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5EBB7" w14:textId="77777777" w:rsidR="00CB2D51" w:rsidRPr="005D60BF" w:rsidRDefault="002E64C7" w:rsidP="00DA788D">
      <w:pPr>
        <w:spacing w:after="120"/>
        <w:jc w:val="center"/>
        <w:rPr>
          <w:rFonts w:ascii="Times New Roman" w:eastAsia="Times New Roman" w:hAnsi="Times New Roman" w:cs="Times New Roman"/>
          <w:sz w:val="24"/>
          <w:szCs w:val="24"/>
        </w:rPr>
      </w:pPr>
      <w:bookmarkStart w:id="0" w:name="_GoBack"/>
      <w:bookmarkEnd w:id="0"/>
      <w:r w:rsidRPr="005D60BF">
        <w:rPr>
          <w:rFonts w:ascii="Times New Roman" w:eastAsia="Times New Roman" w:hAnsi="Times New Roman" w:cs="Times New Roman"/>
          <w:sz w:val="24"/>
          <w:szCs w:val="24"/>
        </w:rPr>
        <w:t>UZASADNIENIE</w:t>
      </w:r>
    </w:p>
    <w:p w14:paraId="7BB08792" w14:textId="77777777" w:rsidR="00CB2D51" w:rsidRPr="00DA788D" w:rsidRDefault="00CB2D51" w:rsidP="00DA788D">
      <w:pPr>
        <w:spacing w:after="120"/>
        <w:jc w:val="both"/>
        <w:rPr>
          <w:rFonts w:ascii="Times New Roman" w:eastAsia="Times New Roman" w:hAnsi="Times New Roman" w:cs="Times New Roman"/>
          <w:b/>
          <w:sz w:val="24"/>
          <w:szCs w:val="24"/>
        </w:rPr>
      </w:pPr>
    </w:p>
    <w:p w14:paraId="3E4DDFCE" w14:textId="77777777" w:rsidR="00CB2D51" w:rsidRPr="00DA788D" w:rsidRDefault="002E64C7" w:rsidP="00DA788D">
      <w:pPr>
        <w:pBdr>
          <w:top w:val="nil"/>
          <w:left w:val="nil"/>
          <w:bottom w:val="nil"/>
          <w:right w:val="nil"/>
          <w:between w:val="nil"/>
        </w:pBdr>
        <w:spacing w:after="120"/>
        <w:ind w:left="510" w:hanging="510"/>
        <w:jc w:val="both"/>
        <w:rPr>
          <w:rFonts w:ascii="Times New Roman" w:eastAsia="Times" w:hAnsi="Times New Roman" w:cs="Times New Roman"/>
          <w:color w:val="000000"/>
          <w:sz w:val="24"/>
          <w:szCs w:val="24"/>
        </w:rPr>
      </w:pPr>
      <w:r w:rsidRPr="00DA788D">
        <w:rPr>
          <w:rFonts w:ascii="Times New Roman" w:eastAsia="Times New Roman" w:hAnsi="Times New Roman" w:cs="Times New Roman"/>
          <w:b/>
          <w:sz w:val="24"/>
          <w:szCs w:val="24"/>
        </w:rPr>
        <w:t>I. Cel projektowanej regulacji</w:t>
      </w:r>
      <w:r w:rsidR="000E25E4" w:rsidRPr="00DA788D">
        <w:rPr>
          <w:rFonts w:ascii="Times New Roman" w:eastAsia="Times New Roman" w:hAnsi="Times New Roman" w:cs="Times New Roman"/>
          <w:b/>
          <w:sz w:val="24"/>
          <w:szCs w:val="24"/>
        </w:rPr>
        <w:t>.</w:t>
      </w:r>
      <w:r w:rsidR="000E25E4" w:rsidRPr="00DA788D">
        <w:rPr>
          <w:rFonts w:ascii="Times New Roman" w:eastAsia="Times" w:hAnsi="Times New Roman" w:cs="Times New Roman"/>
          <w:b/>
          <w:color w:val="000000"/>
          <w:sz w:val="24"/>
          <w:szCs w:val="24"/>
        </w:rPr>
        <w:t xml:space="preserve"> </w:t>
      </w:r>
    </w:p>
    <w:p w14:paraId="4C8FADB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 Prawo zamówień publicznych, zwanej dalej „ustawą” lub „projektem ustawy”, ma na celu kompleksowe uregulowanie materii zamówień publicznych stanowiących umowy o charakterze odpłatnym zawierane pomiędzy zamawiającymi a wykonawcami, których przedmiotem jest nabycie przez zamawiającego robót budowlanych, dostaw lub usług od wybranego wykonawcy. </w:t>
      </w:r>
    </w:p>
    <w:p w14:paraId="3F090593" w14:textId="2DACA770" w:rsidR="00CB2D51" w:rsidRPr="00DA788D" w:rsidRDefault="00A17062"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Obecnie</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zagadnienia te </w:t>
      </w:r>
      <w:r w:rsidRPr="00DA788D">
        <w:rPr>
          <w:rFonts w:ascii="Times New Roman" w:eastAsia="Times New Roman" w:hAnsi="Times New Roman" w:cs="Times New Roman"/>
          <w:sz w:val="24"/>
          <w:szCs w:val="24"/>
        </w:rPr>
        <w:t>regul</w:t>
      </w:r>
      <w:r>
        <w:rPr>
          <w:rFonts w:ascii="Times New Roman" w:eastAsia="Times New Roman" w:hAnsi="Times New Roman" w:cs="Times New Roman"/>
          <w:sz w:val="24"/>
          <w:szCs w:val="24"/>
        </w:rPr>
        <w:t>uje</w:t>
      </w:r>
      <w:r w:rsidRPr="00DA788D">
        <w:rPr>
          <w:rFonts w:ascii="Times New Roman" w:eastAsia="Times New Roman" w:hAnsi="Times New Roman" w:cs="Times New Roman"/>
          <w:sz w:val="24"/>
          <w:szCs w:val="24"/>
        </w:rPr>
        <w:t xml:space="preserve"> ustaw</w:t>
      </w:r>
      <w:r>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z dnia 29 stycznia 2004 r. – Prawo zamówień publicznych (Dz. U. z 2018 r. poz. 1986, z późn. zm.), </w:t>
      </w:r>
      <w:r w:rsidRPr="00DA788D">
        <w:rPr>
          <w:rFonts w:ascii="Times New Roman" w:eastAsia="Times New Roman" w:hAnsi="Times New Roman" w:cs="Times New Roman"/>
          <w:sz w:val="24"/>
          <w:szCs w:val="24"/>
        </w:rPr>
        <w:t>zwan</w:t>
      </w:r>
      <w:r>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dalej „ustawą Pzp”, która zostanie zastąpiona przez nową ustawę. </w:t>
      </w:r>
    </w:p>
    <w:p w14:paraId="5827B10B" w14:textId="79140F8D"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Przygotowanie nowej ustawy wychodzi naprzeciw wieloletnim oczekiwaniom zarówno podmiotów publicznych jak i wykonawców ubiegających się o zamówienia publiczne. Ponad </w:t>
      </w:r>
      <w:r w:rsidR="00A17062" w:rsidRPr="00DA788D">
        <w:rPr>
          <w:rFonts w:ascii="Times New Roman" w:eastAsia="Times New Roman" w:hAnsi="Times New Roman" w:cs="Times New Roman"/>
          <w:sz w:val="24"/>
          <w:szCs w:val="24"/>
        </w:rPr>
        <w:t>14</w:t>
      </w:r>
      <w:r w:rsidR="00A17062">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letni okres obowiązywania ustawy Pzp </w:t>
      </w:r>
      <w:r w:rsidR="00E942C6">
        <w:rPr>
          <w:rFonts w:ascii="Times New Roman" w:eastAsia="Times New Roman" w:hAnsi="Times New Roman" w:cs="Times New Roman"/>
          <w:sz w:val="24"/>
          <w:szCs w:val="24"/>
        </w:rPr>
        <w:t>uchwalonej</w:t>
      </w:r>
      <w:r w:rsidR="00E942C6"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zupełnie innych realiach gospodarczych oraz otoczeniu prawnym, a także wprowadzane liczne zmiany na skutek transpozycji dyrektyw unijnych oraz </w:t>
      </w:r>
      <w:r w:rsidR="00A17062" w:rsidRPr="00DA788D">
        <w:rPr>
          <w:rFonts w:ascii="Times New Roman" w:eastAsia="Times New Roman" w:hAnsi="Times New Roman" w:cs="Times New Roman"/>
          <w:sz w:val="24"/>
          <w:szCs w:val="24"/>
        </w:rPr>
        <w:t>pozostał</w:t>
      </w:r>
      <w:r w:rsidR="00A17062">
        <w:rPr>
          <w:rFonts w:ascii="Times New Roman" w:eastAsia="Times New Roman" w:hAnsi="Times New Roman" w:cs="Times New Roman"/>
          <w:sz w:val="24"/>
          <w:szCs w:val="24"/>
        </w:rPr>
        <w:t>e</w:t>
      </w:r>
      <w:r w:rsidR="00A1706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zmian</w:t>
      </w:r>
      <w:r w:rsidR="00A17062">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 xml:space="preserve"> </w:t>
      </w:r>
      <w:r w:rsidR="00A17062" w:rsidRPr="00DA788D">
        <w:rPr>
          <w:rFonts w:ascii="Times New Roman" w:eastAsia="Times New Roman" w:hAnsi="Times New Roman" w:cs="Times New Roman"/>
          <w:sz w:val="24"/>
          <w:szCs w:val="24"/>
        </w:rPr>
        <w:t>mając</w:t>
      </w:r>
      <w:r w:rsidR="00A17062">
        <w:rPr>
          <w:rFonts w:ascii="Times New Roman" w:eastAsia="Times New Roman" w:hAnsi="Times New Roman" w:cs="Times New Roman"/>
          <w:sz w:val="24"/>
          <w:szCs w:val="24"/>
        </w:rPr>
        <w:t>e</w:t>
      </w:r>
      <w:r w:rsidR="00A1706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na celu dostosowywanie prawa do potrzeb zmieniającej się sytuacji prawnej i gospodarczej, generują potrzebę przygotowania nowego kompleksowego i spójnego Prawa zamówień publicznych. </w:t>
      </w:r>
    </w:p>
    <w:p w14:paraId="05BFC845" w14:textId="7D5C1C5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Celem opracowania nowej ustawy jest wprowadzenie nowych rozwiązań opartych na maksymalnej efektywności i przejrzystości udzielanych zamówień publicznych, uwzględniających jednocześnie rolę zamówień publicznych w kształtowaniu polityki państwa oraz potrzebę wsparcia rozwoju małych i średnich przedsiębiorstw, a także innowacyjnych, nowoczesnych produktów i usług. </w:t>
      </w:r>
      <w:r w:rsidR="00A17062">
        <w:rPr>
          <w:rFonts w:ascii="Times New Roman" w:eastAsia="Times New Roman" w:hAnsi="Times New Roman" w:cs="Times New Roman"/>
          <w:sz w:val="24"/>
          <w:szCs w:val="24"/>
        </w:rPr>
        <w:t>K</w:t>
      </w:r>
      <w:r w:rsidRPr="00DA788D">
        <w:rPr>
          <w:rFonts w:ascii="Times New Roman" w:eastAsia="Times New Roman" w:hAnsi="Times New Roman" w:cs="Times New Roman"/>
          <w:sz w:val="24"/>
          <w:szCs w:val="24"/>
        </w:rPr>
        <w:t>onieczne stało się również zwiększenie przejrzystości i spójności regulacji w zakresie zamówień publicznych.</w:t>
      </w:r>
    </w:p>
    <w:p w14:paraId="2972A74E" w14:textId="11A5934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nowej ustawy jest także odpowiedzią na wyzwanie postawione w Strategii na Rzecz Odpowiedzialnego Rozwoju, w której wskazano, że zamówienia publiczne są jednym z obszarów, których usprawnienie może przyczynić się do zapewnienia stałego wzrostu gospodarczego kraju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prowadzenie zrównoważonej polityki gospodarczej sprzyjającej zapobieganiu wykluczeniu społecznemu i gospodarczemu. </w:t>
      </w:r>
    </w:p>
    <w:p w14:paraId="2E892391" w14:textId="1BB06F6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Opracowanie nowej ustawy zostało poprzedzone szerokimi konsultacjami Koncepcji nowego Prawa zamówień publicznych z dnia 6 czerwca 2018 r., zwanej dalej „Koncepcją Prawa zamówień publicznych”, w której zdiagnozowano główne obszary identyfikujące potrzebę wprowadzenia nowych rozwiązań optymalizujących proces udzielania zamówień. Koncepcja Prawa zamówień publicznych została przygotowana wspólnie przez Ministerstwo Przedsiębiorczości i Technologii oraz Urząd Zamówień Publicznych, a następnie została poddana szerokim konsultacjom. </w:t>
      </w:r>
    </w:p>
    <w:p w14:paraId="5E264F6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w:t>
      </w:r>
    </w:p>
    <w:p w14:paraId="7EC151E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Zidentyfikowano następujące kluczowe problemy w dziedzinie zamówień publicznych wymagające nowych rozwiązań, które zostały zaprojektowane w nowej ustawie:</w:t>
      </w:r>
    </w:p>
    <w:p w14:paraId="596FCDD4"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brak powiązania wydatków z realizacją polityki oraz celów strategicznych państwa; </w:t>
      </w:r>
    </w:p>
    <w:p w14:paraId="5128B085"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wybieranie rozwiązań najtańszych zamiast najbardziej efektywnych w dłuższym okresie;</w:t>
      </w:r>
    </w:p>
    <w:p w14:paraId="2108CF3C"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nieproporcjonalny do potencjału udział przedsiębiorców z sektora MŚP w rynku zamówień publicznych;</w:t>
      </w:r>
    </w:p>
    <w:p w14:paraId="6A03005E" w14:textId="49791371"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 xml:space="preserve">nieefektywne zarządzanie procesem zakupowym </w:t>
      </w:r>
      <w:r w:rsidR="00A17062">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od planowania udzielenia zamówienia, przygotowania postępowania po podsumowanie jego realizacji;</w:t>
      </w:r>
    </w:p>
    <w:p w14:paraId="1032129C" w14:textId="77777777" w:rsidR="00CB2D51" w:rsidRPr="00DA788D" w:rsidRDefault="002E64C7" w:rsidP="00DA788D">
      <w:pPr>
        <w:numPr>
          <w:ilvl w:val="0"/>
          <w:numId w:val="8"/>
        </w:numPr>
        <w:pBdr>
          <w:top w:val="nil"/>
          <w:left w:val="nil"/>
          <w:bottom w:val="nil"/>
          <w:right w:val="nil"/>
          <w:between w:val="nil"/>
        </w:pBdr>
        <w:spacing w:after="120"/>
        <w:ind w:left="743" w:hanging="383"/>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koncentracja zamawiających na spełnieniu wymogów formalnych zamiast na uzyskaniu najlepszego jakościowo produktu lub usługi;</w:t>
      </w:r>
    </w:p>
    <w:p w14:paraId="6C0092D5" w14:textId="579D5B18"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niski odsetek zamówień udzielonych w innych trybach niż przetarg nieograniczony i woln</w:t>
      </w:r>
      <w:r w:rsidR="00A17062">
        <w:rPr>
          <w:rFonts w:ascii="Times New Roman" w:eastAsia="Times New Roman" w:hAnsi="Times New Roman" w:cs="Times New Roman"/>
          <w:color w:val="000000"/>
          <w:sz w:val="24"/>
          <w:szCs w:val="24"/>
        </w:rPr>
        <w:t>ej</w:t>
      </w:r>
      <w:r w:rsidRPr="00DA788D">
        <w:rPr>
          <w:rFonts w:ascii="Times New Roman" w:eastAsia="Times New Roman" w:hAnsi="Times New Roman" w:cs="Times New Roman"/>
          <w:color w:val="000000"/>
          <w:sz w:val="24"/>
          <w:szCs w:val="24"/>
        </w:rPr>
        <w:t xml:space="preserve"> </w:t>
      </w:r>
      <w:r w:rsidR="00A17062" w:rsidRPr="00DA788D">
        <w:rPr>
          <w:rFonts w:ascii="Times New Roman" w:eastAsia="Times New Roman" w:hAnsi="Times New Roman" w:cs="Times New Roman"/>
          <w:color w:val="000000"/>
          <w:sz w:val="24"/>
          <w:szCs w:val="24"/>
        </w:rPr>
        <w:t>ręk</w:t>
      </w:r>
      <w:r w:rsidR="00A17062">
        <w:rPr>
          <w:rFonts w:ascii="Times New Roman" w:eastAsia="Times New Roman" w:hAnsi="Times New Roman" w:cs="Times New Roman"/>
          <w:color w:val="000000"/>
          <w:sz w:val="24"/>
          <w:szCs w:val="24"/>
        </w:rPr>
        <w:t>i</w:t>
      </w:r>
      <w:r w:rsidR="00A17062"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(negocjacje z ogłoszeniem, dialog konkurencyjny, negocjacje bez ogłoszenia oraz partnerstwo innowacyjne i licytacja elektroniczna stanowią zaledwie 1,27% postępowań);</w:t>
      </w:r>
    </w:p>
    <w:p w14:paraId="6D0DDD01"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zmniejszające się zainteresowanie wykonawców rynkiem zamówień publicznych (w 2017 r. w ok. 43% postępowań złożona została tylko jedna oferta);</w:t>
      </w:r>
    </w:p>
    <w:p w14:paraId="47E4514B"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ograniczona dostępność do środków odwoławczych do Krajowej Izby Odwoławczej (KIO) oraz skarg na wyroki KIO do sądów powszechnych;</w:t>
      </w:r>
    </w:p>
    <w:p w14:paraId="1D0F93AC"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niejednolitość orzecznictwa KIO i sądów powszechnych w przedmiocie zamówień publicznych; </w:t>
      </w:r>
    </w:p>
    <w:p w14:paraId="79A0F6C3"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brak wyodrębnionej i uproszczonej procedury udzielania zamówień poniżej progów unijnych;</w:t>
      </w:r>
    </w:p>
    <w:p w14:paraId="2F278968"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rozproszony i nieefektywny system kontroli;</w:t>
      </w:r>
    </w:p>
    <w:p w14:paraId="1ACF2A48" w14:textId="77777777" w:rsidR="00CB2D51" w:rsidRPr="00DA788D" w:rsidRDefault="002E64C7" w:rsidP="00DA788D">
      <w:pPr>
        <w:numPr>
          <w:ilvl w:val="0"/>
          <w:numId w:val="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brak przejrzystości ustawy wywołany licznymi nowelizacjami.</w:t>
      </w:r>
    </w:p>
    <w:p w14:paraId="1895DB4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Dziedzina zamówień publicznych stanowi potężne narzędzie wspierające rozwój gospodarczy, umożliwiające poprawę jakości zamawianych dostaw, usług i robót budowlanych, wsparcie innowacyjności, realizowanie polityki społecznej i strategii państwa.</w:t>
      </w:r>
    </w:p>
    <w:p w14:paraId="480A2BC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Zamówienia publiczne są kluczową formą udziału sektora publicznego w gospodarce. Wartość zamówień udzielanych w procedurach przewidzianych w ustawie Pzp to ok. 163,2 mld zł w 2017 r., co stanowi ok. 8,23% PKB (w 2016 r. 107 mld zł, 5,8% PKB). Przybliżona wartość rynku zamówień publicznych, uwzględniająca również zamówienia udzielane bez stosowania procedur, wyniosła 234,6 mld zł w 2017 r. (174,3 mld zł w 2016 r.). Zamówienia publiczne wywierają bezpośredni i natychmiastowy wpływ na krajową gospodarkę, w tym jej najistotniejsze branże. Sektor usług oraz produkcja przemysłowa powiązana z budownictwem i infrastrukturą w znacznej mierze zależne są od rynku zamówień. </w:t>
      </w:r>
    </w:p>
    <w:p w14:paraId="493F3EB9" w14:textId="3FEDB82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wielu branżach dla co czwartego przedsiębiorcy zamówienia publiczne stanowią ponad połowę całkowitych przychodów, zaś dla co dziesiątego to 75% przychodów. Odpowiednio ukierunkowane i zarządzane zamówienia publiczne mogą tym samym stanowić ważny czynnik wzrostu przedsiębiorstw. Natomiast źle przeprowadzane postępowania, brak współpracy pomiędzy zamawiającym i wykonawcą, restrykcyjne umowy mogą prowadzić do upadku firm lub ich przechodzenia na inne rynki. Dlatego też tak istotnym jest wprowadzenie usprawnień proceduralnych ułatwiających przedsiębiorcom, w szczególności z sektora MŚP, dostęp do zamówień. Obecna ustawa Pzp nie ma wydzielonej części zamówień klasycznych poniżej i powyżej progów unijnych, a tryby i zasady udzielania zamówień krajowych właściwie nie różnią się od zamówień unijnych. W nowej ustawie proponuje się wyodrębnienie oraz znaczące uproszczenie i uelastycznienie procedury udzielania zamówień poniżej progów unijnych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odejście od stosowania trybów właściwych dla zamówień powyżej progów unijnych i zwiększenie autonomii zamawiającego w kształtowaniu procedury wyłonienia wykonawcy.</w:t>
      </w:r>
    </w:p>
    <w:p w14:paraId="1A562496" w14:textId="1DBE7E5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Zamówienia publiczne stanowią narzędzie kształtowania gospodarki państwa, w tym również realizacji celów społecznych, politycznych i strategicznych, służące wspieraniu ważnych gałęzi rynku. Procedura zawarta w ustawie,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odpowiednie kształtowanie wymagań, może być najbardziej efektywnym wsparciem celów gospodarczych i rozwojowych oraz ważnych polityk społecznych i związanych z rynkiem pracy. </w:t>
      </w:r>
    </w:p>
    <w:p w14:paraId="75C65F1D" w14:textId="3000D49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Zastosowanie odpowiednich kryteriów oceny ofert, trybów udzielania zamówień</w:t>
      </w:r>
      <w:r w:rsidR="00A17062">
        <w:rPr>
          <w:rFonts w:ascii="Times New Roman" w:eastAsia="Times New Roman" w:hAnsi="Times New Roman" w:cs="Times New Roman"/>
          <w:sz w:val="24"/>
          <w:szCs w:val="24"/>
        </w:rPr>
        <w:t xml:space="preserve"> oraz </w:t>
      </w:r>
      <w:r w:rsidR="00A1706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rzetelna współpraca z wykonawcą powinny zapewniać nie tylko równe traktowanie, konkurencyjność i oszczędności, ale także kreować zapotrzebowanie oraz pożądane postawy, wzmacniać kompetencje zespołów, umożliwiać budowanie doświadczenia wykonawców oraz dawać impuls do rozwoju. </w:t>
      </w:r>
    </w:p>
    <w:p w14:paraId="563BC675" w14:textId="2AE7DB8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Istotnym impulsem do poprawy efektywności zamówień publicznych, ich transparentności oraz poprawienia dostępu małych i średnich przedsiębiorstw do zamówień publicznych jest elektronizacja procesu udzielania zamówienia publicznego, w szczególności obowiązek udostępniania przez zamawiających dokumentów zamówienia w postaci elektronicznej oraz prowadzenia komunikacji elektronicznej pomiędzy zamawiającym i wykonawcą. Dzięki obowiązkowi przyjmowania przez zamawiających dokumentów składanych drogą elektroniczną zmniejszają się koszty udziału w postępowaniu po stronie wykonawców. Elektronizacja obniża koszty prowadzenia postępowań po stronie zamawiających w związku z brakiem konieczności przechowywania znacznej </w:t>
      </w:r>
      <w:r w:rsidR="00A17062">
        <w:rPr>
          <w:rFonts w:ascii="Times New Roman" w:eastAsia="Times New Roman" w:hAnsi="Times New Roman" w:cs="Times New Roman"/>
          <w:sz w:val="24"/>
          <w:szCs w:val="24"/>
        </w:rPr>
        <w:t>liczby</w:t>
      </w:r>
      <w:r w:rsidR="00A1706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dokumentów w postaci papierowej. Jak wynika z badań przeprowadzonych przez Komisję Europejską, wprowadzenie elektronicznego procesu udzielania zamówień generuje oszczędności po stronie instytucji zamawiających sięgające nawet 20% dotychczasowych wydatków. </w:t>
      </w:r>
    </w:p>
    <w:p w14:paraId="4E395823" w14:textId="05266B7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Istotnym elementem zmian będzie również wzmocnienie roli Prezesa Urzędu Zamówień Publicznych. W nowej roli Urząd będzie – w szerszym zakresie niż do tej pory – wspierał zamawiających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systematyczne wypracowywanie wzorów umów i innych dokumentów, a także gromadzenie dobrych praktyk. Ponadto rozszerzona zostanie funkcja doradcza Urzędu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m.in. stworzenie w </w:t>
      </w:r>
      <w:r w:rsidR="00A17062">
        <w:rPr>
          <w:rFonts w:ascii="Times New Roman" w:eastAsia="Times New Roman" w:hAnsi="Times New Roman" w:cs="Times New Roman"/>
          <w:sz w:val="24"/>
          <w:szCs w:val="24"/>
        </w:rPr>
        <w:t>Urzędzie Zamówień Publicznych</w:t>
      </w:r>
      <w:r w:rsidR="00A1706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infolinii.</w:t>
      </w:r>
    </w:p>
    <w:p w14:paraId="08F70432" w14:textId="7379C5F8" w:rsidR="00CB2D51" w:rsidRPr="00DA788D" w:rsidRDefault="002E64C7" w:rsidP="00DA788D">
      <w:pPr>
        <w:pBdr>
          <w:top w:val="nil"/>
          <w:left w:val="nil"/>
          <w:bottom w:val="nil"/>
          <w:right w:val="nil"/>
          <w:between w:val="nil"/>
        </w:pBdr>
        <w:spacing w:after="120"/>
        <w:jc w:val="both"/>
        <w:rPr>
          <w:rFonts w:ascii="Times New Roman" w:eastAsia="Times New Roman" w:hAnsi="Times New Roman" w:cs="Times New Roman"/>
          <w:b/>
          <w:color w:val="000000"/>
          <w:sz w:val="24"/>
          <w:szCs w:val="24"/>
        </w:rPr>
      </w:pPr>
      <w:r w:rsidRPr="00DA788D">
        <w:rPr>
          <w:rFonts w:ascii="Times New Roman" w:eastAsia="Times New Roman" w:hAnsi="Times New Roman" w:cs="Times New Roman"/>
          <w:b/>
          <w:color w:val="000000"/>
          <w:sz w:val="24"/>
          <w:szCs w:val="24"/>
        </w:rPr>
        <w:t>II. Aktualny stan prawny</w:t>
      </w:r>
      <w:r w:rsidR="00B51345">
        <w:rPr>
          <w:rFonts w:ascii="Times New Roman" w:eastAsia="Times New Roman" w:hAnsi="Times New Roman" w:cs="Times New Roman"/>
          <w:b/>
          <w:color w:val="000000"/>
          <w:sz w:val="24"/>
          <w:szCs w:val="24"/>
        </w:rPr>
        <w:t>.</w:t>
      </w:r>
      <w:r w:rsidRPr="00DA788D">
        <w:rPr>
          <w:rFonts w:ascii="Times New Roman" w:eastAsia="Times New Roman" w:hAnsi="Times New Roman" w:cs="Times New Roman"/>
          <w:b/>
          <w:color w:val="000000"/>
          <w:sz w:val="24"/>
          <w:szCs w:val="24"/>
        </w:rPr>
        <w:t xml:space="preserve"> </w:t>
      </w:r>
    </w:p>
    <w:p w14:paraId="07689E9A" w14:textId="77777777" w:rsidR="00CB2D51" w:rsidRPr="00DA788D" w:rsidRDefault="002E64C7" w:rsidP="00DA788D">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Ustawa Pzp zawiera przepisy stanowiące wdrożenie prawa unijnego z zakresu zamówień publicznych.</w:t>
      </w:r>
    </w:p>
    <w:p w14:paraId="53992268" w14:textId="77777777" w:rsidR="00CB2D51" w:rsidRPr="00DA788D" w:rsidRDefault="002E64C7" w:rsidP="00DA788D">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highlight w:val="yellow"/>
        </w:rPr>
      </w:pPr>
      <w:r w:rsidRPr="00DA788D">
        <w:rPr>
          <w:rFonts w:ascii="Times New Roman" w:eastAsia="Times New Roman" w:hAnsi="Times New Roman" w:cs="Times New Roman"/>
          <w:color w:val="000000"/>
          <w:sz w:val="24"/>
          <w:szCs w:val="24"/>
        </w:rPr>
        <w:t>Do krajowego porządku prawnego w dniu 28 lipca 2016 r. ustawą z dnia 22 czerwca 2016 r. o zmianie ustawy – Prawo zamówień publicznych oraz niektórych innych ustaw (Dz. U. poz. 1020) zostały wdrożone następujące dyrektywy Parlamentu Europejskiego i Rady:</w:t>
      </w:r>
    </w:p>
    <w:p w14:paraId="34C9CCEB" w14:textId="77777777" w:rsidR="00CB2D51" w:rsidRPr="00DA788D" w:rsidRDefault="002E64C7" w:rsidP="00DA788D">
      <w:pPr>
        <w:numPr>
          <w:ilvl w:val="0"/>
          <w:numId w:val="4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2014/24/UE z dnia 26 lutego 2014 r. w sprawie zamówień publicznych, uchylającej dyrektywę 2004/18/WE (Dz. Urz. UE L 94 z 28.03.2014, str. 65, z późn. zm.), zwana dalej „dyrektywą klasyczną” lub „dyrektywą 2014/24/UE”, oraz</w:t>
      </w:r>
    </w:p>
    <w:p w14:paraId="3CC724BE" w14:textId="77777777" w:rsidR="00CB2D51" w:rsidRPr="00DA788D" w:rsidRDefault="002E64C7" w:rsidP="00DA788D">
      <w:pPr>
        <w:numPr>
          <w:ilvl w:val="0"/>
          <w:numId w:val="4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2014/25/UE z dnia 26 lutego 2014 r. w sprawie udzielania zamówień przez podmioty działające w sektorach gospodarki wodnej, energetyki, transportu i usług pocztowych, uchylającej dyrektywę 2004/17/WE (Dz. Urz. UE L 94 z 28.03.2014, str. 243, z późn. zm.), zwana dalej „dyrektywą sektorową” lub „dyrektywą 2014/25/UE”.</w:t>
      </w:r>
    </w:p>
    <w:p w14:paraId="3ED970E7" w14:textId="2DF50A7F" w:rsidR="00CB2D51" w:rsidRPr="00DA788D" w:rsidRDefault="002E64C7" w:rsidP="00DA788D">
      <w:pPr>
        <w:pStyle w:val="Nagwek1"/>
        <w:shd w:val="clear" w:color="auto" w:fill="FFFFFF"/>
        <w:spacing w:before="0" w:after="120"/>
        <w:ind w:firstLine="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 xml:space="preserve">W zakresie udzielania zamówień w dziedzinach obronności i bezpieczeństwa wdrożona została dyrektywa </w:t>
      </w:r>
      <w:r w:rsidR="00B51345" w:rsidRPr="00DA788D">
        <w:rPr>
          <w:rFonts w:ascii="Times New Roman" w:eastAsia="Times New Roman" w:hAnsi="Times New Roman" w:cs="Times New Roman"/>
          <w:color w:val="000000"/>
          <w:sz w:val="24"/>
          <w:szCs w:val="24"/>
        </w:rPr>
        <w:t xml:space="preserve">Parlamentu Europejskiego i Rady </w:t>
      </w:r>
      <w:r w:rsidRPr="00DA788D">
        <w:rPr>
          <w:rFonts w:ascii="Times New Roman" w:eastAsia="Times New Roman" w:hAnsi="Times New Roman" w:cs="Times New Roman"/>
          <w:color w:val="000000"/>
          <w:sz w:val="24"/>
          <w:szCs w:val="24"/>
        </w:rPr>
        <w:t>2009/81/WE z dnia 13 lipca 2009 r. w sprawie koordynacji procedur udzielania niektórych zamówień na roboty budowlane, dostawy i usługi przez instytucje lub podmioty zamawiające w dziedzinach obronności i bezpieczeństwa i zmieniająca dyrektywy 2004/17/WE i 2004/18/WE (Dz. Urz. UE L 216 z 20.08.2009, str. 76, z późn. zm.), zwana dalej „dyrektywą obronną” lub „dyrektywą 2009/81/WE”.</w:t>
      </w:r>
    </w:p>
    <w:p w14:paraId="36CD2CA1" w14:textId="77777777" w:rsidR="00CB2D51" w:rsidRPr="00DA788D" w:rsidRDefault="002E64C7" w:rsidP="00DA788D">
      <w:pPr>
        <w:tabs>
          <w:tab w:val="left" w:pos="567"/>
        </w:tabs>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t>W zakresie środków ochrony prawnej ustawa Pzp wdrożyła następujące dyrektywy:</w:t>
      </w:r>
    </w:p>
    <w:p w14:paraId="7835E6BD" w14:textId="23F40B01" w:rsidR="00CB2D51" w:rsidRPr="00DA788D" w:rsidRDefault="002E64C7" w:rsidP="00DA788D">
      <w:pPr>
        <w:numPr>
          <w:ilvl w:val="0"/>
          <w:numId w:val="48"/>
        </w:numPr>
        <w:pBdr>
          <w:top w:val="nil"/>
          <w:left w:val="nil"/>
          <w:bottom w:val="nil"/>
          <w:right w:val="nil"/>
          <w:between w:val="nil"/>
        </w:pBdr>
        <w:tabs>
          <w:tab w:val="left" w:pos="567"/>
        </w:tabs>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dyrektywę Rady 89/665/EWG z dnia 21 grudnia 1989 r. w sprawie koordynacji przepisów ustawowych, wykonawczych i administracyjnych odnoszących się do stosowania procedur odwoławczych w zakresie udzielania zamówień publicznych na dostawy i roboty budowlane (Dz. Urz. WE L </w:t>
      </w:r>
      <w:r w:rsidR="00B51345">
        <w:rPr>
          <w:rFonts w:ascii="Times New Roman" w:eastAsia="Times New Roman" w:hAnsi="Times New Roman" w:cs="Times New Roman"/>
          <w:color w:val="000000"/>
          <w:sz w:val="24"/>
          <w:szCs w:val="24"/>
        </w:rPr>
        <w:t>3</w:t>
      </w:r>
      <w:r w:rsidR="00B51345" w:rsidRPr="00DA788D">
        <w:rPr>
          <w:rFonts w:ascii="Times New Roman" w:eastAsia="Times New Roman" w:hAnsi="Times New Roman" w:cs="Times New Roman"/>
          <w:color w:val="000000"/>
          <w:sz w:val="24"/>
          <w:szCs w:val="24"/>
        </w:rPr>
        <w:t xml:space="preserve">95 </w:t>
      </w:r>
      <w:r w:rsidRPr="00DA788D">
        <w:rPr>
          <w:rFonts w:ascii="Times New Roman" w:eastAsia="Times New Roman" w:hAnsi="Times New Roman" w:cs="Times New Roman"/>
          <w:color w:val="000000"/>
          <w:sz w:val="24"/>
          <w:szCs w:val="24"/>
        </w:rPr>
        <w:t>z 30.12.1989, str. 33; Dz. Urz. UE Polskie wydanie specjalne rozdz. 6, t. 1, str. 246) (klasyczna dyrektywa odwoławcza),</w:t>
      </w:r>
    </w:p>
    <w:p w14:paraId="46E1E116" w14:textId="42CEC3F5" w:rsidR="00CB2D51" w:rsidRPr="00DA788D" w:rsidRDefault="002E64C7" w:rsidP="00DA788D">
      <w:pPr>
        <w:numPr>
          <w:ilvl w:val="0"/>
          <w:numId w:val="48"/>
        </w:numPr>
        <w:pBdr>
          <w:top w:val="nil"/>
          <w:left w:val="nil"/>
          <w:bottom w:val="nil"/>
          <w:right w:val="nil"/>
          <w:between w:val="nil"/>
        </w:pBdr>
        <w:tabs>
          <w:tab w:val="left" w:pos="567"/>
        </w:tabs>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dyrektywę Rady 92/13/EWG z dnia 25 lutego 1992 r. </w:t>
      </w:r>
      <w:r w:rsidR="00B51345" w:rsidRPr="00DA788D">
        <w:rPr>
          <w:rFonts w:ascii="Times New Roman" w:eastAsia="Times New Roman" w:hAnsi="Times New Roman" w:cs="Times New Roman"/>
          <w:color w:val="000000"/>
          <w:sz w:val="24"/>
          <w:szCs w:val="24"/>
        </w:rPr>
        <w:t>koordynując</w:t>
      </w:r>
      <w:r w:rsidR="00B51345">
        <w:rPr>
          <w:rFonts w:ascii="Times New Roman" w:eastAsia="Times New Roman" w:hAnsi="Times New Roman" w:cs="Times New Roman"/>
          <w:color w:val="000000"/>
          <w:sz w:val="24"/>
          <w:szCs w:val="24"/>
        </w:rPr>
        <w:t>ą</w:t>
      </w:r>
      <w:r w:rsidR="00B51345"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przepisy ustawowe, wykonawcze i administracyjne odnoszące się do stosowania przepisów wspólnotowych w procedurach zamówień publicznych podmiotów działających w sektorach gospodarki wodnej, energetyki, transportu i telekomunikacji (Dz. Urz. WE L 76 z 23.</w:t>
      </w:r>
      <w:r w:rsidR="00B51345">
        <w:rPr>
          <w:rFonts w:ascii="Times New Roman" w:eastAsia="Times New Roman" w:hAnsi="Times New Roman" w:cs="Times New Roman"/>
          <w:color w:val="000000"/>
          <w:sz w:val="24"/>
          <w:szCs w:val="24"/>
        </w:rPr>
        <w:t>0</w:t>
      </w:r>
      <w:r w:rsidRPr="00DA788D">
        <w:rPr>
          <w:rFonts w:ascii="Times New Roman" w:eastAsia="Times New Roman" w:hAnsi="Times New Roman" w:cs="Times New Roman"/>
          <w:color w:val="000000"/>
          <w:sz w:val="24"/>
          <w:szCs w:val="24"/>
        </w:rPr>
        <w:t>3.1992, str. 14; Dz. Urz. UE Polskie wydanie specjalne rozdz. 6, t. 1, str. 315) (sektorowa dyrektywa odwoławcza)</w:t>
      </w:r>
    </w:p>
    <w:p w14:paraId="20ED40CF" w14:textId="77777777" w:rsidR="00CB2D51" w:rsidRPr="00DA788D" w:rsidRDefault="002E64C7" w:rsidP="00DA788D">
      <w:pPr>
        <w:tabs>
          <w:tab w:val="left" w:pos="567"/>
        </w:tabs>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zwane dalej „dyrektywami odwoławczymi”. </w:t>
      </w:r>
    </w:p>
    <w:p w14:paraId="48DC0C4E" w14:textId="77777777" w:rsidR="00CB2D51" w:rsidRPr="00DA788D" w:rsidRDefault="002E64C7" w:rsidP="00DA788D">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Zgodnie z motywem pierwszym dyrektywy klasycznej udzielanie zamówień publicznych przez instytucje państw członkowskich lub w imieniu tych instytucji musi być zgodne z zasadami Traktatu o funkcjonowaniu Unii Europejskiej (TFUE), a w szczególności z zasadą swobodnego przepływu towarów, swobody przedsiębiorczości oraz swobody świadczenia usług, a także z zasadami, które się z nich wywodzą, takimi jak: zasada równego traktowania, zasada niedyskryminacji, zasada wzajemnego uznawania, zasada proporcjonalności oraz zasada przejrzystości. W odniesieniu do zamówień publicznych o wartości powyżej określonej kwoty należy jednak ustanowić przepisy koordynujące krajowe procedury udzielania zamówień w celu zagwarantowania, że zasady te mają praktyczne zastosowanie, a zamówienia publiczne są otwarte na konkurencję.</w:t>
      </w:r>
    </w:p>
    <w:p w14:paraId="3CD0F4A3" w14:textId="7868B888" w:rsidR="00CB2D51" w:rsidRPr="00DA788D" w:rsidRDefault="002E64C7" w:rsidP="00DA788D">
      <w:pPr>
        <w:tabs>
          <w:tab w:val="left" w:pos="567"/>
        </w:tabs>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r>
      <w:r w:rsidRPr="00DA788D">
        <w:rPr>
          <w:rFonts w:ascii="Times New Roman" w:eastAsia="Times New Roman" w:hAnsi="Times New Roman" w:cs="Times New Roman"/>
          <w:sz w:val="24"/>
          <w:szCs w:val="24"/>
        </w:rPr>
        <w:tab/>
        <w:t xml:space="preserve">W celu zapewnienia poszanowania zasad traktatowych w zamówieniach poniżej progów unijnych, w ustawie Pzp określony został próg krajowy, od którego konieczne jest zastosowanie odpowiednich reguł. Jest to tzw. próg bagatelności, czyli kwota poniżej której zamawiający nie ma obowiązku stosowania ustawy Pzp i w obowiązującym stanie prawnym jest to kwota 30 000 euro. W projekcie ustawy nie przewiduje się zasadniczo zmiany progu jej zastosowania, a jedynie w celu ułatwienia ustalenia wartości zamówienia, od której jest stosowana ustawa Pzp – proponuje się, aby jej próg zastosowania był wyrażony jako 130 000 zł.   </w:t>
      </w:r>
    </w:p>
    <w:p w14:paraId="3745E50F" w14:textId="647C1FC2" w:rsidR="00CB2D51" w:rsidRPr="00DA788D" w:rsidRDefault="002E64C7" w:rsidP="00DA788D">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W stosunku do zamówień, których wartość jest pomiędzy progiem bagatelności a progami unijnymi, poszanowanie zasad traktatowych zapewniane jest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 xml:space="preserve"> zobowiązanie zamawiających do stosowania procedur nieznacznie tylko różniących się od procedur obowiązujących powyżej progów unijnych. Takie rozwiązanie rozszerza znacznie zakres stosowania szczególnie dyrektywy klasycznej w zakresie zamówień poniżej progów unijnych. </w:t>
      </w:r>
    </w:p>
    <w:p w14:paraId="0F71541B" w14:textId="77777777" w:rsidR="00CB2D51" w:rsidRPr="00DA788D" w:rsidRDefault="002E64C7" w:rsidP="00DA788D">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 xml:space="preserve">W postępowaniach dotyczących zamówień poniżej progów unijnych ustawa Pzp wprowadziła obowiązek stosowania w zasadzie tych samych trybów udzielania zamówień publicznych, z wyjątkami mającymi na celu uelastycznienie i uproszczenie postępowań dla tych zamówień. Ustawa Pzp różnicuje m.in. wymagania w przypadku zamówień poniżej progów unijnych, przede wszystkim w zakresie terminów, upubliczniania ogłoszenia o zamówieniu (bezpłatne ogłoszenie w Biuletynie Zamówień Publicznych), wymogu zabezpieczenia należytego wykonania umowy, składania wadium czy fakultatywności w zakresie żądania dokumentów potwierdzających spełnianie warunków. </w:t>
      </w:r>
    </w:p>
    <w:p w14:paraId="09B4599E"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III. Zakres projektowanej regulacji.</w:t>
      </w:r>
    </w:p>
    <w:p w14:paraId="66DEB2A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uwzględnia wdrożone wcześniej do polskiego porządku prawnego akty prawa unijnego, w tym dyrektywę klasyczną, dyrektywę sektorową, dyrektywę obronną oraz dyrektywy odwoławcze. Większość przepisów dyrektyw to przepisy wymagające obowiązkowego wdrożenia przez państwa członkowskie UE, przez co wszelkie nowe rozwiązania wprowadzane do rynku zamówień muszą mieścić się w granicach prawa unijnego określonych postanowieniami dyrektyw. </w:t>
      </w:r>
    </w:p>
    <w:p w14:paraId="0878899D" w14:textId="5CC7764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w:t>
      </w:r>
      <w:r w:rsidR="00B51345">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zaproponowano następujące regulacje o kluczowym znaczeniu wychodzące naprzeciw oczekiwaniom podmiotów publicznych jak i wykonawców:</w:t>
      </w:r>
    </w:p>
    <w:p w14:paraId="1343F074"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Wprowadzenie podstawy prawnej do stworzenia polityki zakupowej państwa, która będzie narzędziem do realizacji polityki gospodarczej państwa. </w:t>
      </w:r>
    </w:p>
    <w:p w14:paraId="306C5042" w14:textId="08DB341D"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Zwiększenie roli planowania w zamówieniach publicznych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w:t>
      </w:r>
    </w:p>
    <w:p w14:paraId="464FBDB5" w14:textId="77777777"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obowiązku dokonania analizy przed wszczęciem postępowania o udzielenie zamówienia;</w:t>
      </w:r>
    </w:p>
    <w:p w14:paraId="7C2D9866" w14:textId="6B11FE26"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nałożenie obowiązku na centralne organy administracji rządowej określenia strategii zarządzania dla poszczególnych kategorii zakupowych (drzewo kategorii zakupowych) oraz wskazanie zamówień stanowiących realizację polityki państwa; obowiązek ten będzie stanowił ramy dla rocznych planów postępowań, obecnie funkcjonujących w ramach </w:t>
      </w:r>
      <w:r w:rsidR="00B51345">
        <w:rPr>
          <w:rFonts w:ascii="Times New Roman" w:eastAsia="Times New Roman" w:hAnsi="Times New Roman" w:cs="Times New Roman"/>
          <w:color w:val="000000"/>
          <w:sz w:val="24"/>
          <w:szCs w:val="24"/>
        </w:rPr>
        <w:t xml:space="preserve">ustawy </w:t>
      </w:r>
      <w:r w:rsidRPr="00DA788D">
        <w:rPr>
          <w:rFonts w:ascii="Times New Roman" w:eastAsia="Times New Roman" w:hAnsi="Times New Roman" w:cs="Times New Roman"/>
          <w:color w:val="000000"/>
          <w:sz w:val="24"/>
          <w:szCs w:val="24"/>
        </w:rPr>
        <w:t>Pzp;</w:t>
      </w:r>
    </w:p>
    <w:p w14:paraId="7C3C847A" w14:textId="77777777"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obowiązku aktualizacji rocznych planów postępowań;</w:t>
      </w:r>
    </w:p>
    <w:p w14:paraId="38B32D3D" w14:textId="77777777"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koncentrację ogłoszeń o zamówieniach w oficjalnym publikatorze, tj. Biuletynie Zamówień Publicznych (poniżej progów UE) oraz Dzienniku Urzędowym Unii Europejskiej (powyżej progów UE);</w:t>
      </w:r>
    </w:p>
    <w:p w14:paraId="4CDB4CCF" w14:textId="5C6AFFD2"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zwiększenie znaczenia dialogu z wykonawcą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 xml:space="preserve"> podkreślenie roli przygotowania postępowania;</w:t>
      </w:r>
    </w:p>
    <w:p w14:paraId="141E7E43" w14:textId="77777777" w:rsidR="00CB2D51" w:rsidRPr="00DA788D" w:rsidRDefault="002E64C7" w:rsidP="00DA788D">
      <w:pPr>
        <w:numPr>
          <w:ilvl w:val="0"/>
          <w:numId w:val="1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do ustawy zasady efektywności.</w:t>
      </w:r>
    </w:p>
    <w:p w14:paraId="70DE9ABE" w14:textId="0FE4F97A"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Uproszczenie zasad podmiotowej kwalifikacji wykonawców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 xml:space="preserve">: </w:t>
      </w:r>
    </w:p>
    <w:p w14:paraId="26E35307" w14:textId="77777777" w:rsidR="00CB2D51" w:rsidRPr="00DA788D" w:rsidRDefault="002E64C7" w:rsidP="00DA788D">
      <w:pPr>
        <w:numPr>
          <w:ilvl w:val="0"/>
          <w:numId w:val="6"/>
        </w:numPr>
        <w:pBdr>
          <w:top w:val="nil"/>
          <w:left w:val="nil"/>
          <w:bottom w:val="nil"/>
          <w:right w:val="nil"/>
          <w:between w:val="nil"/>
        </w:pBdr>
        <w:spacing w:after="120"/>
        <w:ind w:left="1375" w:hanging="284"/>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uproszczenie warunków udziału w postępowaniu;</w:t>
      </w:r>
    </w:p>
    <w:p w14:paraId="79F4EB83" w14:textId="77777777" w:rsidR="00CB2D51" w:rsidRPr="00DA788D" w:rsidRDefault="002E64C7" w:rsidP="00DA788D">
      <w:pPr>
        <w:numPr>
          <w:ilvl w:val="0"/>
          <w:numId w:val="6"/>
        </w:numPr>
        <w:pBdr>
          <w:top w:val="nil"/>
          <w:left w:val="nil"/>
          <w:bottom w:val="nil"/>
          <w:right w:val="nil"/>
          <w:between w:val="nil"/>
        </w:pBdr>
        <w:spacing w:after="120"/>
        <w:ind w:left="1375" w:hanging="284"/>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ograniczenie i doprecyzowanie przesłanek wykluczenia.</w:t>
      </w:r>
    </w:p>
    <w:p w14:paraId="43FBF4BB" w14:textId="5E437D28"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Uproszczenie proceduralne w postępowaniach powyżej i poniżej progów unijnych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w:t>
      </w:r>
    </w:p>
    <w:p w14:paraId="33E87264" w14:textId="5E255E71" w:rsidR="00CB2D51" w:rsidRPr="00DA788D" w:rsidRDefault="002E64C7" w:rsidP="00DA788D">
      <w:pPr>
        <w:numPr>
          <w:ilvl w:val="2"/>
          <w:numId w:val="12"/>
        </w:numPr>
        <w:pBdr>
          <w:top w:val="nil"/>
          <w:left w:val="nil"/>
          <w:bottom w:val="nil"/>
          <w:right w:val="nil"/>
          <w:between w:val="nil"/>
        </w:pBdr>
        <w:spacing w:after="120"/>
        <w:ind w:left="1341" w:hanging="284"/>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odrębne tryby udzielania zamówień powyżej progów unijnych</w:t>
      </w:r>
      <w:r w:rsidR="00B51345">
        <w:rPr>
          <w:rFonts w:ascii="Times New Roman" w:eastAsia="Times New Roman" w:hAnsi="Times New Roman" w:cs="Times New Roman"/>
          <w:color w:val="000000"/>
          <w:sz w:val="24"/>
          <w:szCs w:val="24"/>
        </w:rPr>
        <w:t>;</w:t>
      </w:r>
    </w:p>
    <w:p w14:paraId="7779329A" w14:textId="77777777" w:rsidR="00CB2D51" w:rsidRPr="00DA788D" w:rsidRDefault="002E64C7" w:rsidP="00DA788D">
      <w:pPr>
        <w:numPr>
          <w:ilvl w:val="2"/>
          <w:numId w:val="12"/>
        </w:numPr>
        <w:pBdr>
          <w:top w:val="nil"/>
          <w:left w:val="nil"/>
          <w:bottom w:val="nil"/>
          <w:right w:val="nil"/>
          <w:between w:val="nil"/>
        </w:pBdr>
        <w:spacing w:after="120"/>
        <w:ind w:left="1379" w:hanging="322"/>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uproszczenie i uelastycznienie procedury dla zamówień poniżej progów unijnych.</w:t>
      </w:r>
    </w:p>
    <w:p w14:paraId="7F973AB3" w14:textId="5AA4F901"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Zrównoważenie stron w umowach w sprawie zamówienia publicznego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w:t>
      </w:r>
    </w:p>
    <w:p w14:paraId="67B3CF80" w14:textId="77777777" w:rsidR="00CB2D51" w:rsidRPr="00DA788D" w:rsidRDefault="002E64C7" w:rsidP="00DA788D">
      <w:pPr>
        <w:numPr>
          <w:ilvl w:val="0"/>
          <w:numId w:val="1"/>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określenie zasad kształtowania umów;</w:t>
      </w:r>
    </w:p>
    <w:p w14:paraId="782C3FAF" w14:textId="77777777" w:rsidR="00CB2D51" w:rsidRPr="00DA788D" w:rsidRDefault="002E64C7" w:rsidP="00DA788D">
      <w:pPr>
        <w:numPr>
          <w:ilvl w:val="0"/>
          <w:numId w:val="1"/>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katalogu klauzul abuzywnych;</w:t>
      </w:r>
    </w:p>
    <w:p w14:paraId="549402C7" w14:textId="77777777" w:rsidR="00CB2D51" w:rsidRPr="00DA788D" w:rsidRDefault="002E64C7" w:rsidP="00DA788D">
      <w:pPr>
        <w:numPr>
          <w:ilvl w:val="0"/>
          <w:numId w:val="1"/>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określenie obowiązkowych postanowień umownych;</w:t>
      </w:r>
    </w:p>
    <w:p w14:paraId="4D3B5CD7" w14:textId="77777777" w:rsidR="00CB2D51" w:rsidRPr="00DA788D" w:rsidRDefault="002E64C7" w:rsidP="00DA788D">
      <w:pPr>
        <w:numPr>
          <w:ilvl w:val="0"/>
          <w:numId w:val="1"/>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nowych zasad waloryzacji wynagrodzenia.</w:t>
      </w:r>
    </w:p>
    <w:p w14:paraId="7965880E"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obowiązku ewaluacji realizacji umowy.</w:t>
      </w:r>
    </w:p>
    <w:p w14:paraId="47218D20"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Zniesienie odpowiedzialności solidarnej wykonawców w trybie partnerstwa innowacyjnego.</w:t>
      </w:r>
    </w:p>
    <w:p w14:paraId="6D2FF132"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obowiązku stosowania zaliczek lub częściowych płatności w umowach powyżej 12 miesięcy.</w:t>
      </w:r>
    </w:p>
    <w:p w14:paraId="6344EC92" w14:textId="05F1810B"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Usprawnienie postępowania skargowego na orzeczenia KIO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w:t>
      </w:r>
    </w:p>
    <w:p w14:paraId="66347BF9" w14:textId="77777777" w:rsidR="00CB2D51" w:rsidRPr="00DA788D" w:rsidRDefault="002E64C7" w:rsidP="00DA788D">
      <w:pPr>
        <w:numPr>
          <w:ilvl w:val="0"/>
          <w:numId w:val="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obniżenie opłaty od skargi na orzeczenie KIO;</w:t>
      </w:r>
    </w:p>
    <w:p w14:paraId="0684DE9F" w14:textId="77777777" w:rsidR="00CB2D51" w:rsidRPr="00DA788D" w:rsidRDefault="002E64C7" w:rsidP="00DA788D">
      <w:pPr>
        <w:numPr>
          <w:ilvl w:val="0"/>
          <w:numId w:val="2"/>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wydłużenie terminu na wniesienie skargi na orzeczenie KIO.</w:t>
      </w:r>
    </w:p>
    <w:p w14:paraId="325D211A" w14:textId="1CF04922"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Usprawnienie systemu kontroli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w:t>
      </w:r>
    </w:p>
    <w:p w14:paraId="39CBA3C9" w14:textId="77777777" w:rsidR="00CB2D51" w:rsidRPr="00DA788D" w:rsidRDefault="002E64C7" w:rsidP="00DA788D">
      <w:pPr>
        <w:numPr>
          <w:ilvl w:val="0"/>
          <w:numId w:val="3"/>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wspólne przepisy ogólne dotyczące kontroli zamówień publicznych;</w:t>
      </w:r>
    </w:p>
    <w:p w14:paraId="5457187B" w14:textId="77777777" w:rsidR="00CB2D51" w:rsidRPr="00DA788D" w:rsidRDefault="002E64C7" w:rsidP="00DA788D">
      <w:pPr>
        <w:numPr>
          <w:ilvl w:val="0"/>
          <w:numId w:val="3"/>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przeprowadzanie kontroli na podstawie analizy ryzyka naruszenia prawa; </w:t>
      </w:r>
    </w:p>
    <w:p w14:paraId="2C5304F2" w14:textId="77777777" w:rsidR="00CB2D51" w:rsidRPr="00DA788D" w:rsidRDefault="002E64C7" w:rsidP="00DA788D">
      <w:pPr>
        <w:numPr>
          <w:ilvl w:val="0"/>
          <w:numId w:val="3"/>
        </w:numPr>
        <w:pBdr>
          <w:top w:val="nil"/>
          <w:left w:val="nil"/>
          <w:bottom w:val="nil"/>
          <w:right w:val="nil"/>
          <w:between w:val="nil"/>
        </w:pBdr>
        <w:spacing w:after="120"/>
        <w:ind w:left="1416"/>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obowiązek publikacji wytycznych dotyczących prowadzenia kontroli przez organy kontroli.</w:t>
      </w:r>
    </w:p>
    <w:p w14:paraId="07F17EBA"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Wzmocnienie roli Prezesa Urzędu Zamówień Publicznych w przygotowywaniu i propagowaniu dobrych praktyk i wzorców dokumentów, które będą stanowiły wsparcie dla zamawiających. </w:t>
      </w:r>
    </w:p>
    <w:p w14:paraId="56974BA2" w14:textId="77777777" w:rsidR="00CB2D51" w:rsidRPr="00DA788D" w:rsidRDefault="002E64C7" w:rsidP="00DA788D">
      <w:pPr>
        <w:numPr>
          <w:ilvl w:val="0"/>
          <w:numId w:val="10"/>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Wprowadzenie nowego rozwiązania mającego na celu pozasądowe rozwiązywanie sporów.</w:t>
      </w:r>
    </w:p>
    <w:p w14:paraId="053D6A2F" w14:textId="77777777" w:rsidR="00CB2D51" w:rsidRPr="00DA788D" w:rsidRDefault="002E64C7" w:rsidP="00DA788D">
      <w:pPr>
        <w:spacing w:after="120"/>
        <w:ind w:left="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Oczekiwanym efektem ustawy jest:</w:t>
      </w:r>
    </w:p>
    <w:p w14:paraId="201F48DF"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zapewnienie stałego wzrostu gospodarczego Polski;</w:t>
      </w:r>
    </w:p>
    <w:p w14:paraId="6B3B4489" w14:textId="4932516D"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zapewnienie możliwości kształtowania polityki państwa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 xml:space="preserve"> zamówienia publiczne;</w:t>
      </w:r>
    </w:p>
    <w:p w14:paraId="5BC13E71"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ograniczenie liczby zamówień udzielonych poza systemem zamówień publicznych;</w:t>
      </w:r>
    </w:p>
    <w:p w14:paraId="1F856CDD"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zwiększenie liczby postępowań przeprowadzonych w trybach negocjacyjnych;</w:t>
      </w:r>
    </w:p>
    <w:p w14:paraId="5CAE1EC5"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zwiększenie liczby przeprowadzonych wstępnych konsultacji rynkowych;</w:t>
      </w:r>
    </w:p>
    <w:p w14:paraId="1EDF4628"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zwiększenie liczby ofert składanych w postępowaniu o udzielenie zamówienia publicznego; </w:t>
      </w:r>
    </w:p>
    <w:p w14:paraId="76933728"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zwiększenie udziału MŚP w postępowaniach;</w:t>
      </w:r>
    </w:p>
    <w:p w14:paraId="08B7F671"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zapobieganie wykluczeniu społecznemu i gospodarczemu;</w:t>
      </w:r>
    </w:p>
    <w:p w14:paraId="1475F8BD"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ujednolicenie orzecznictwa KIO i sądów powszechnych dotyczącego zamówień publicznych; </w:t>
      </w:r>
    </w:p>
    <w:p w14:paraId="0CD41A2B"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zmniejszenie liczby sporów sądowych dotyczących zamówień publicznych;</w:t>
      </w:r>
    </w:p>
    <w:p w14:paraId="3FFC9D3E"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zwiększenie efektywności kontroli zamówień publicznych;</w:t>
      </w:r>
    </w:p>
    <w:p w14:paraId="59292126" w14:textId="77777777" w:rsidR="00CB2D51" w:rsidRPr="00DA788D" w:rsidRDefault="002E64C7" w:rsidP="00DA788D">
      <w:pPr>
        <w:numPr>
          <w:ilvl w:val="0"/>
          <w:numId w:val="4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ograniczenie liczby upadłości przedsiębiorstw w trakcie realizacji zamówienia publicznego.</w:t>
      </w:r>
    </w:p>
    <w:p w14:paraId="19E98F8A" w14:textId="4CD31E2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IV. Systematyka ustawy</w:t>
      </w:r>
      <w:r w:rsidR="00512F04">
        <w:rPr>
          <w:rFonts w:ascii="Times New Roman" w:eastAsia="Times New Roman" w:hAnsi="Times New Roman" w:cs="Times New Roman"/>
          <w:b/>
          <w:sz w:val="24"/>
          <w:szCs w:val="24"/>
        </w:rPr>
        <w:t>.</w:t>
      </w:r>
    </w:p>
    <w:p w14:paraId="303467B7" w14:textId="187FA22F" w:rsidR="00CB2D51" w:rsidRPr="00DA788D" w:rsidRDefault="00B51345"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2E64C7" w:rsidRPr="00DA788D">
        <w:rPr>
          <w:rFonts w:ascii="Times New Roman" w:eastAsia="Times New Roman" w:hAnsi="Times New Roman" w:cs="Times New Roman"/>
          <w:sz w:val="24"/>
          <w:szCs w:val="24"/>
        </w:rPr>
        <w:t>ystematyk</w:t>
      </w:r>
      <w:r>
        <w:rPr>
          <w:rFonts w:ascii="Times New Roman" w:eastAsia="Times New Roman" w:hAnsi="Times New Roman" w:cs="Times New Roman"/>
          <w:sz w:val="24"/>
          <w:szCs w:val="24"/>
        </w:rPr>
        <w:t>a</w:t>
      </w:r>
      <w:r w:rsidR="002E64C7" w:rsidRPr="00DA788D">
        <w:rPr>
          <w:rFonts w:ascii="Times New Roman" w:eastAsia="Times New Roman" w:hAnsi="Times New Roman" w:cs="Times New Roman"/>
          <w:sz w:val="24"/>
          <w:szCs w:val="24"/>
        </w:rPr>
        <w:t xml:space="preserve"> ustawy </w:t>
      </w:r>
      <w:r w:rsidRPr="00DA788D">
        <w:rPr>
          <w:rFonts w:ascii="Times New Roman" w:eastAsia="Times New Roman" w:hAnsi="Times New Roman" w:cs="Times New Roman"/>
          <w:sz w:val="24"/>
          <w:szCs w:val="24"/>
        </w:rPr>
        <w:t>uporządkow</w:t>
      </w:r>
      <w:r>
        <w:rPr>
          <w:rFonts w:ascii="Times New Roman" w:eastAsia="Times New Roman" w:hAnsi="Times New Roman" w:cs="Times New Roman"/>
          <w:sz w:val="24"/>
          <w:szCs w:val="24"/>
        </w:rPr>
        <w:t>uje</w:t>
      </w:r>
      <w:r w:rsidRPr="00DA788D">
        <w:rPr>
          <w:rFonts w:ascii="Times New Roman" w:eastAsia="Times New Roman" w:hAnsi="Times New Roman" w:cs="Times New Roman"/>
          <w:sz w:val="24"/>
          <w:szCs w:val="24"/>
        </w:rPr>
        <w:t xml:space="preserve"> przepis</w:t>
      </w:r>
      <w:r>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oraz </w:t>
      </w:r>
      <w:r w:rsidRPr="00DA788D">
        <w:rPr>
          <w:rFonts w:ascii="Times New Roman" w:eastAsia="Times New Roman" w:hAnsi="Times New Roman" w:cs="Times New Roman"/>
          <w:sz w:val="24"/>
          <w:szCs w:val="24"/>
        </w:rPr>
        <w:t>zwiększ</w:t>
      </w:r>
      <w:r>
        <w:rPr>
          <w:rFonts w:ascii="Times New Roman" w:eastAsia="Times New Roman" w:hAnsi="Times New Roman" w:cs="Times New Roman"/>
          <w:sz w:val="24"/>
          <w:szCs w:val="24"/>
        </w:rPr>
        <w:t>a jej</w:t>
      </w:r>
      <w:r w:rsidRPr="00DA788D">
        <w:rPr>
          <w:rFonts w:ascii="Times New Roman" w:eastAsia="Times New Roman" w:hAnsi="Times New Roman" w:cs="Times New Roman"/>
          <w:sz w:val="24"/>
          <w:szCs w:val="24"/>
        </w:rPr>
        <w:t xml:space="preserve"> przejrzystoś</w:t>
      </w:r>
      <w:r>
        <w:rPr>
          <w:rFonts w:ascii="Times New Roman" w:eastAsia="Times New Roman" w:hAnsi="Times New Roman" w:cs="Times New Roman"/>
          <w:sz w:val="24"/>
          <w:szCs w:val="24"/>
        </w:rPr>
        <w:t>ć</w:t>
      </w:r>
      <w:r w:rsidR="002E64C7" w:rsidRPr="00DA788D">
        <w:rPr>
          <w:rFonts w:ascii="Times New Roman" w:eastAsia="Times New Roman" w:hAnsi="Times New Roman" w:cs="Times New Roman"/>
          <w:sz w:val="24"/>
          <w:szCs w:val="24"/>
        </w:rPr>
        <w:t>. Czytelność poprawi jasny układ ustawy i podział na przepisy materialne oraz proceduralne, a także podział działów na</w:t>
      </w:r>
      <w:r>
        <w:rPr>
          <w:rFonts w:ascii="Times New Roman" w:eastAsia="Times New Roman" w:hAnsi="Times New Roman" w:cs="Times New Roman"/>
          <w:sz w:val="24"/>
          <w:szCs w:val="24"/>
        </w:rPr>
        <w:t>,</w:t>
      </w:r>
      <w:r w:rsidR="002E64C7" w:rsidRPr="00DA788D">
        <w:rPr>
          <w:rFonts w:ascii="Times New Roman" w:eastAsia="Times New Roman" w:hAnsi="Times New Roman" w:cs="Times New Roman"/>
          <w:sz w:val="24"/>
          <w:szCs w:val="24"/>
        </w:rPr>
        <w:t xml:space="preserve"> mniejsze niż do tej pory</w:t>
      </w:r>
      <w:r>
        <w:rPr>
          <w:rFonts w:ascii="Times New Roman" w:eastAsia="Times New Roman" w:hAnsi="Times New Roman" w:cs="Times New Roman"/>
          <w:sz w:val="24"/>
          <w:szCs w:val="24"/>
        </w:rPr>
        <w:t>,</w:t>
      </w:r>
      <w:r w:rsidR="002E64C7" w:rsidRPr="00DA788D">
        <w:rPr>
          <w:rFonts w:ascii="Times New Roman" w:eastAsia="Times New Roman" w:hAnsi="Times New Roman" w:cs="Times New Roman"/>
          <w:sz w:val="24"/>
          <w:szCs w:val="24"/>
        </w:rPr>
        <w:t xml:space="preserve"> rozdziały z wydzielonymi oddziałami.</w:t>
      </w:r>
    </w:p>
    <w:p w14:paraId="657BB55D" w14:textId="737DA822" w:rsidR="00CB2D51" w:rsidRPr="00DA788D" w:rsidRDefault="00B51345"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Mając na uwadze</w:t>
      </w:r>
      <w:r w:rsidR="002E64C7" w:rsidRPr="00DA788D">
        <w:rPr>
          <w:rFonts w:ascii="Times New Roman" w:eastAsia="Times New Roman" w:hAnsi="Times New Roman" w:cs="Times New Roman"/>
          <w:sz w:val="24"/>
          <w:szCs w:val="24"/>
        </w:rPr>
        <w:t xml:space="preserve">, że ustawa zawiera regulacje wdrażające kilka dyrektyw unijnych, w celu zapewnienia skrótowości aktu prawnego, zaproponowano wydzielenie przepisów ogólnych, które będą miały zastosowanie do wszystkich reżimów udzielania zamówień publicznych, a także uregulowanie w sposób kompleksowy „Postępowanie o udzielenie zamówienia klasycznego o wartości równej lub przekraczającej progi unijne” (dział II), a następnie „Postępowanie o udzielenie zamówienia klasycznego o wartości mniejszej niż progi” (dział III), w których wprowadzono odrębną procedurę (tj. tryb podstawowy). Dyrektywa sektorowa i dyrektywa obronna zawierają w dużej mierze analogiczne uregulowania co dyrektywa klasyczna, dlatego też „Zamówienia sektorowe” (dział V) i </w:t>
      </w:r>
      <w:r>
        <w:rPr>
          <w:rFonts w:ascii="Times New Roman" w:eastAsia="Times New Roman" w:hAnsi="Times New Roman" w:cs="Times New Roman"/>
          <w:sz w:val="24"/>
          <w:szCs w:val="24"/>
        </w:rPr>
        <w:t>„</w:t>
      </w:r>
      <w:r w:rsidR="002E64C7" w:rsidRPr="00DA788D">
        <w:rPr>
          <w:rFonts w:ascii="Times New Roman" w:eastAsia="Times New Roman" w:hAnsi="Times New Roman" w:cs="Times New Roman"/>
          <w:sz w:val="24"/>
          <w:szCs w:val="24"/>
        </w:rPr>
        <w:t>Zamówienia w dziedzinach obronności i bezpieczeństwa</w:t>
      </w:r>
      <w:r>
        <w:rPr>
          <w:rFonts w:ascii="Times New Roman" w:eastAsia="Times New Roman" w:hAnsi="Times New Roman" w:cs="Times New Roman"/>
          <w:sz w:val="24"/>
          <w:szCs w:val="24"/>
        </w:rPr>
        <w:t>”</w:t>
      </w:r>
      <w:r w:rsidR="002E64C7" w:rsidRPr="00DA788D">
        <w:rPr>
          <w:rFonts w:ascii="Times New Roman" w:eastAsia="Times New Roman" w:hAnsi="Times New Roman" w:cs="Times New Roman"/>
          <w:sz w:val="24"/>
          <w:szCs w:val="24"/>
        </w:rPr>
        <w:t xml:space="preserve"> (dział VI) zostały uregulowane w kolejnych działach ustawy z zastosowaniem techniki odesłań. </w:t>
      </w:r>
    </w:p>
    <w:p w14:paraId="55E9A17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Przepisy ustawy zostały pogrupowane w oddziały, rozdziały, te z kolei w następujące działy:</w:t>
      </w:r>
    </w:p>
    <w:p w14:paraId="7EE4A659" w14:textId="77777777" w:rsidR="00CB2D51" w:rsidRPr="00DA788D" w:rsidRDefault="002E64C7" w:rsidP="00DA788D">
      <w:pPr>
        <w:spacing w:after="120"/>
        <w:ind w:left="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 Przepisy ogólne.</w:t>
      </w:r>
    </w:p>
    <w:p w14:paraId="24CEAD27" w14:textId="36A80FFF" w:rsidR="00CB2D51" w:rsidRPr="00DA788D" w:rsidRDefault="002E64C7" w:rsidP="00DA788D">
      <w:pPr>
        <w:spacing w:after="120"/>
        <w:ind w:left="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II. Postępowanie o udzielenie zamówienia klasycznego o wartości równej lub przekraczającej progi unijne.</w:t>
      </w:r>
    </w:p>
    <w:p w14:paraId="27D57EB8"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III. Postępowanie o udzielenie zamówienia klasycznego o wartości mniejszej niż progi unijne.</w:t>
      </w:r>
    </w:p>
    <w:p w14:paraId="446B329C"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IV. Szczególne instrumenty i procedury w zakresie zamówień klasycznych. </w:t>
      </w:r>
    </w:p>
    <w:p w14:paraId="5F815560"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V. Zamówienia sektorowe.</w:t>
      </w:r>
    </w:p>
    <w:p w14:paraId="7FB52162"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VI. Zamówienia w dziedzinach obronności i bezpieczeństwa.</w:t>
      </w:r>
    </w:p>
    <w:p w14:paraId="62CEA0D0" w14:textId="77777777" w:rsidR="00CB2D51" w:rsidRPr="00DA788D" w:rsidRDefault="002E64C7" w:rsidP="00DA788D">
      <w:pPr>
        <w:spacing w:after="120"/>
        <w:ind w:left="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VII. Umowa w sprawie zamówienia publicznego i jej wykonanie.</w:t>
      </w:r>
    </w:p>
    <w:p w14:paraId="2BFC4147"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VIII. Organy właściwe w sprawach zamówień publicznych.</w:t>
      </w:r>
    </w:p>
    <w:p w14:paraId="076101FC"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smallCaps/>
          <w:color w:val="000000"/>
          <w:sz w:val="24"/>
          <w:szCs w:val="24"/>
        </w:rPr>
      </w:pPr>
      <w:r w:rsidRPr="00DA788D">
        <w:rPr>
          <w:rFonts w:ascii="Times New Roman" w:eastAsia="Times New Roman" w:hAnsi="Times New Roman" w:cs="Times New Roman"/>
          <w:smallCaps/>
          <w:color w:val="000000"/>
          <w:sz w:val="24"/>
          <w:szCs w:val="24"/>
        </w:rPr>
        <w:t xml:space="preserve">IX. </w:t>
      </w:r>
      <w:r w:rsidRPr="00DA788D">
        <w:rPr>
          <w:rFonts w:ascii="Times New Roman" w:eastAsia="Times New Roman" w:hAnsi="Times New Roman" w:cs="Times New Roman"/>
          <w:color w:val="000000"/>
          <w:sz w:val="24"/>
          <w:szCs w:val="24"/>
        </w:rPr>
        <w:t>Środki ochrony prawnej.</w:t>
      </w:r>
    </w:p>
    <w:p w14:paraId="2F95D513" w14:textId="21B0FD55"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smallCaps/>
          <w:color w:val="000000"/>
          <w:sz w:val="24"/>
          <w:szCs w:val="24"/>
        </w:rPr>
      </w:pPr>
      <w:r w:rsidRPr="00DA788D">
        <w:rPr>
          <w:rFonts w:ascii="Times New Roman" w:eastAsia="Times New Roman" w:hAnsi="Times New Roman" w:cs="Times New Roman"/>
          <w:smallCaps/>
          <w:color w:val="000000"/>
          <w:sz w:val="24"/>
          <w:szCs w:val="24"/>
        </w:rPr>
        <w:t xml:space="preserve">X. </w:t>
      </w:r>
      <w:r w:rsidR="008533BA">
        <w:rPr>
          <w:rFonts w:ascii="Times New Roman" w:eastAsia="Times New Roman" w:hAnsi="Times New Roman" w:cs="Times New Roman"/>
          <w:color w:val="000000"/>
          <w:sz w:val="24"/>
          <w:szCs w:val="24"/>
        </w:rPr>
        <w:t>Pozasądowe rozwiązywanie sporów</w:t>
      </w:r>
      <w:r w:rsidR="00B51345">
        <w:rPr>
          <w:rFonts w:ascii="Times New Roman" w:eastAsia="Times New Roman" w:hAnsi="Times New Roman" w:cs="Times New Roman"/>
          <w:color w:val="000000"/>
          <w:sz w:val="24"/>
          <w:szCs w:val="24"/>
        </w:rPr>
        <w:t>.</w:t>
      </w:r>
      <w:r w:rsidR="008533BA">
        <w:rPr>
          <w:rFonts w:ascii="Times New Roman" w:eastAsia="Times New Roman" w:hAnsi="Times New Roman" w:cs="Times New Roman"/>
          <w:color w:val="000000"/>
          <w:sz w:val="24"/>
          <w:szCs w:val="24"/>
        </w:rPr>
        <w:t xml:space="preserve"> </w:t>
      </w:r>
    </w:p>
    <w:p w14:paraId="221BFA0B" w14:textId="77777777" w:rsidR="00CB2D51" w:rsidRPr="00DA788D"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smallCaps/>
          <w:color w:val="000000"/>
          <w:sz w:val="24"/>
          <w:szCs w:val="24"/>
        </w:rPr>
      </w:pPr>
      <w:r w:rsidRPr="00DA788D">
        <w:rPr>
          <w:rFonts w:ascii="Times New Roman" w:eastAsia="Times New Roman" w:hAnsi="Times New Roman" w:cs="Times New Roman"/>
          <w:smallCaps/>
          <w:color w:val="000000"/>
          <w:sz w:val="24"/>
          <w:szCs w:val="24"/>
        </w:rPr>
        <w:t xml:space="preserve">XI. </w:t>
      </w:r>
      <w:r w:rsidRPr="00DA788D">
        <w:rPr>
          <w:rFonts w:ascii="Times New Roman" w:eastAsia="Times New Roman" w:hAnsi="Times New Roman" w:cs="Times New Roman"/>
          <w:color w:val="000000"/>
          <w:sz w:val="24"/>
          <w:szCs w:val="24"/>
        </w:rPr>
        <w:t>Kontrola udzielania zamówień publicznych</w:t>
      </w:r>
      <w:r w:rsidRPr="00DA788D">
        <w:rPr>
          <w:rFonts w:ascii="Times New Roman" w:eastAsia="Times New Roman" w:hAnsi="Times New Roman" w:cs="Times New Roman"/>
          <w:smallCaps/>
          <w:color w:val="000000"/>
          <w:sz w:val="24"/>
          <w:szCs w:val="24"/>
        </w:rPr>
        <w:t>.</w:t>
      </w:r>
    </w:p>
    <w:p w14:paraId="26543E0E" w14:textId="77777777" w:rsidR="00CB2D51" w:rsidRDefault="002E64C7"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smallCaps/>
          <w:color w:val="000000"/>
          <w:sz w:val="24"/>
          <w:szCs w:val="24"/>
        </w:rPr>
        <w:t xml:space="preserve">XII. </w:t>
      </w:r>
      <w:r w:rsidRPr="00DA788D">
        <w:rPr>
          <w:rFonts w:ascii="Times New Roman" w:eastAsia="Times New Roman" w:hAnsi="Times New Roman" w:cs="Times New Roman"/>
          <w:color w:val="000000"/>
          <w:sz w:val="24"/>
          <w:szCs w:val="24"/>
        </w:rPr>
        <w:t>Przepisy o karach pieniężnych.</w:t>
      </w:r>
    </w:p>
    <w:p w14:paraId="08DD728F" w14:textId="77777777" w:rsidR="008533BA" w:rsidRPr="00DA788D" w:rsidRDefault="008533BA" w:rsidP="00DA788D">
      <w:pPr>
        <w:keepNext/>
        <w:pBdr>
          <w:top w:val="nil"/>
          <w:left w:val="nil"/>
          <w:bottom w:val="nil"/>
          <w:right w:val="nil"/>
          <w:between w:val="nil"/>
        </w:pBdr>
        <w:spacing w:after="120"/>
        <w:ind w:left="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XIII. Przepis końcowy. </w:t>
      </w:r>
    </w:p>
    <w:p w14:paraId="328098C3" w14:textId="1DF359E2"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V.</w:t>
      </w:r>
      <w:r w:rsidRPr="00DA788D">
        <w:rPr>
          <w:rFonts w:ascii="Times New Roman" w:eastAsia="Times New Roman" w:hAnsi="Times New Roman" w:cs="Times New Roman"/>
          <w:b/>
          <w:sz w:val="24"/>
          <w:szCs w:val="24"/>
        </w:rPr>
        <w:tab/>
        <w:t>Szczegółowe regulacje</w:t>
      </w:r>
      <w:r w:rsidR="00B51345">
        <w:rPr>
          <w:rFonts w:ascii="Times New Roman" w:eastAsia="Times New Roman" w:hAnsi="Times New Roman" w:cs="Times New Roman"/>
          <w:b/>
          <w:sz w:val="24"/>
          <w:szCs w:val="24"/>
        </w:rPr>
        <w:t>.</w:t>
      </w:r>
    </w:p>
    <w:p w14:paraId="0A714F41" w14:textId="1BCBE8D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I</w:t>
      </w:r>
      <w:r w:rsidR="00B51345">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Przepisy ogólne</w:t>
      </w:r>
    </w:p>
    <w:p w14:paraId="37FA1EFF" w14:textId="78AFC98E" w:rsidR="00CB2D51" w:rsidRPr="00DA788D" w:rsidRDefault="002E64C7" w:rsidP="00DA788D">
      <w:pPr>
        <w:spacing w:after="120"/>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lastRenderedPageBreak/>
        <w:t>Rozdział 1</w:t>
      </w:r>
      <w:r w:rsidR="00B51345">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Przedmiot regulacji</w:t>
      </w:r>
    </w:p>
    <w:p w14:paraId="1183E0D3" w14:textId="0AD443CD" w:rsidR="00CB2D51" w:rsidRPr="00DA788D" w:rsidRDefault="002E64C7" w:rsidP="00DA788D">
      <w:pPr>
        <w:spacing w:after="120"/>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w:t>
      </w:r>
      <w:r w:rsidR="00B51345">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Zakres spraw regulowanych ustawą</w:t>
      </w:r>
    </w:p>
    <w:p w14:paraId="0B54BD5F" w14:textId="77777777" w:rsidR="00CB2D51" w:rsidRPr="00DA788D" w:rsidRDefault="002E64C7" w:rsidP="00DA788D">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Zakres przedmiotowy</w:t>
      </w:r>
    </w:p>
    <w:p w14:paraId="4CF19A4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Zakres przedmiotowy ustawy obejmie kwestie udzielania zamówień publicznych zarówno o wartości równej lub wyższej od progów unijnych jak i zamówień do wartości progowych. Ustawa określa zasady i tryb udzielania zamówień publicznych, środki ochrony prawnej, kontrolę udzielania zamówień publicznych oraz organy właściwe w sprawach uregulowanych w ustawie.</w:t>
      </w:r>
    </w:p>
    <w:p w14:paraId="6BB7D16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Ustawa w sposób kompleksowy reguluje proces udzielania zamówień publicznych, uwzględniając specyfikę różnych reżimów udzielania zamówień publicznych, takich jak reżim udzielania zamówień klasycznych, reżim udzielania zamówień sektorowych, a także reżim udzielania zamówień w dziedzinach obronności i bezpieczeństwa.</w:t>
      </w:r>
    </w:p>
    <w:p w14:paraId="05E87CAA" w14:textId="77777777" w:rsidR="00CB2D51" w:rsidRPr="00DA788D" w:rsidRDefault="002E64C7" w:rsidP="00DA788D">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Zakres podmiotowy</w:t>
      </w:r>
    </w:p>
    <w:p w14:paraId="43033423" w14:textId="687A75FD" w:rsidR="00CB2D51" w:rsidRPr="00DA788D" w:rsidRDefault="00BA41AF"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2E64C7" w:rsidRPr="00DA788D">
        <w:rPr>
          <w:rFonts w:ascii="Times New Roman" w:eastAsia="Times New Roman" w:hAnsi="Times New Roman" w:cs="Times New Roman"/>
          <w:sz w:val="24"/>
          <w:szCs w:val="24"/>
        </w:rPr>
        <w:t>rzepisy ustawy mają mieć zastosowanie do udzielania zamówień publicznych oraz organizowania konkursów przez podmioty obowiązane do stosowania ustawy. Wprowadzono podział podmiotów obowiązanych do stosowania ustawy na zamawiających publicznych, zamawiających sektorowych oraz zamawiających subsydiowanych. Krąg zamawiających publicznych obejmuje podmioty mieszczące się w zakresie definicji „instytucji zamawiających” w rozumieniu art. 2 ust. 1 pkt 1 dyrektyw</w:t>
      </w:r>
      <w:r w:rsidR="00B51345">
        <w:rPr>
          <w:rFonts w:ascii="Times New Roman" w:eastAsia="Times New Roman" w:hAnsi="Times New Roman" w:cs="Times New Roman"/>
          <w:sz w:val="24"/>
          <w:szCs w:val="24"/>
        </w:rPr>
        <w:t>y</w:t>
      </w:r>
      <w:r w:rsidR="002E64C7" w:rsidRPr="00DA788D">
        <w:rPr>
          <w:rFonts w:ascii="Times New Roman" w:eastAsia="Times New Roman" w:hAnsi="Times New Roman" w:cs="Times New Roman"/>
          <w:sz w:val="24"/>
          <w:szCs w:val="24"/>
        </w:rPr>
        <w:t xml:space="preserve"> klasycznej. Z kolei zamawiający sektorowi odpowiadają podmiotom zamawiającym w rozumieniu art. 4 dyrektywy sektorowej. Zamawiający subsydiowani </w:t>
      </w:r>
      <w:r w:rsidR="00B51345">
        <w:rPr>
          <w:rFonts w:ascii="Times New Roman" w:eastAsia="Times New Roman" w:hAnsi="Times New Roman" w:cs="Times New Roman"/>
          <w:sz w:val="24"/>
          <w:szCs w:val="24"/>
        </w:rPr>
        <w:t xml:space="preserve">to </w:t>
      </w:r>
      <w:r w:rsidR="002E64C7" w:rsidRPr="00DA788D">
        <w:rPr>
          <w:rFonts w:ascii="Times New Roman" w:eastAsia="Times New Roman" w:hAnsi="Times New Roman" w:cs="Times New Roman"/>
          <w:sz w:val="24"/>
          <w:szCs w:val="24"/>
        </w:rPr>
        <w:t xml:space="preserve">podmioty udzielające zamówień dofinansowanych w ponad 50% przez zamawiających publicznych i których szacunkowa wartość przekracza progi unijne, jeżeli przedmiotem tych zamówień są roboty budowlane z zakresu inżynierii lądowej lub wodnej oraz dotyczące niektórych rodzajów obiektów lub budynków użyteczności publicznej, a także związane z nimi usługi. </w:t>
      </w:r>
    </w:p>
    <w:p w14:paraId="6CF40D4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Wspomniane zmiany mają wyłącznie charakter porządkujący. Nie prowadzą do modyfikacji podmiotowego zakresu reżimu zamówień publicznych. Na tym tle wyjątkiem jest nowa formuła wyłączeń z zakresu działalności sektorowej. Zamawiający sektorowi, odmiennie niż zamawiający publiczni, są wyodrębnieni nie tylko ze względu na kryteria podmiotowe, ale również ze względu na kryterium przedmiotowe – prowadzenie działalności w sektorach gospodarki wodnej, energetyki, transportu i usług pocztowych, nazwanej zbiorowo działalnością sektorową. Zakres działalności sektorowej został określony w projekcie na wzór przepisów art. 7-14 dyrektywy sektorowej, łącznie z w</w:t>
      </w:r>
      <w:r w:rsidR="005E7855">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łączeniami dotyczącymi prowadzenia działalności sektorowej jako działalności ubocznej. Inaczej niż dotychczas wyłączenia te, w ślad za prawem europejskim, będą dotyczyły jedynie zamawiających sektorowych niebędących zamawiającymi publicznymi.</w:t>
      </w:r>
    </w:p>
    <w:p w14:paraId="69ADA86A" w14:textId="77777777" w:rsidR="00CB2D51" w:rsidRPr="00DA788D" w:rsidRDefault="002E64C7" w:rsidP="00DA788D">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Progi</w:t>
      </w:r>
    </w:p>
    <w:p w14:paraId="4622EC0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Jak dotychczas ustawowym reżimem mają być objęte zamówienia publiczne i konkursy, których wartość osiąga określone kwoty progowe. Planuje się podnieść progi stosowania ustawy dla zamówień w dziedzinach obronności i bezpieczeństwa jednolicie do progów unijnych. Obecnie progi unijne mają zastosowanie tylko do zamówień w dziedzinach obronności i bezpieczeństwa na dostawy lub usługi, natomiast roboty budowlane poniżej tych progów podlegają reżimowi ustawowemu. </w:t>
      </w:r>
    </w:p>
    <w:p w14:paraId="44C6D776" w14:textId="0D4F5D1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Przewidziane w projekcie ustawy regulacje w zakresie wyłączenia obowiązku stosowania ustawy do udzielania określonych rodzajów zamówień publicznych, w przypadku zamówień publicznych o wartości równej lub wyższej od progów unijnych będą stanowiły przeniesienie do polskiego prawa wyłączeń przewidzianych w prawie unijnym, zarówno</w:t>
      </w:r>
      <w:r w:rsidR="00B51345">
        <w:rPr>
          <w:rFonts w:ascii="Times New Roman" w:eastAsia="Times New Roman" w:hAnsi="Times New Roman" w:cs="Times New Roman"/>
          <w:sz w:val="24"/>
          <w:szCs w:val="24"/>
        </w:rPr>
        <w:t xml:space="preserve"> w </w:t>
      </w:r>
      <w:r w:rsidRPr="00DA788D">
        <w:rPr>
          <w:rFonts w:ascii="Times New Roman" w:eastAsia="Times New Roman" w:hAnsi="Times New Roman" w:cs="Times New Roman"/>
          <w:sz w:val="24"/>
          <w:szCs w:val="24"/>
        </w:rPr>
        <w:t xml:space="preserve"> dyrektywie klasycznej, jak i w dyrektywie sektorowej oraz w dyrektywie obronnej.</w:t>
      </w:r>
    </w:p>
    <w:p w14:paraId="1B44A5C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w ślad za obowiązującymi przepisami ustawy Pzp przewiduje wprowadzenie kwoty szacunkowej wartości zamówienia publicznego lub konkursu, której nieprzekroczenie będzie zwalniało zamawiającego z obowiązku stosowania przepisów ustawy do udzielenia danego zamówienia publicznego lub organizowania konkursu. </w:t>
      </w:r>
    </w:p>
    <w:p w14:paraId="3399A4C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zamówień sektorowych i konkursów oraz zamówień w dziedzinach obronności i bezpieczeństwa, zamawiający będą zwolnieni z obowiązku stosowania przepisów ustawy, tak jak na gruncie obecnie obowiązującej ustawy Pzp, tj. jeżeli szacunkowa wartość zamówienia publicznego lub konkursu będzie mniejsza niż progi unijne.</w:t>
      </w:r>
    </w:p>
    <w:p w14:paraId="28544BE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zamówień klasycznych lub konkursów próg ten wynosi 130 000 zł, co stanowi w przybliżeniu wyrażoną w złotych w dotychczas obowiązujących przepisach równowartość kwoty 30 000 euro. Rezygnacja z posługiwania się w projekcie ustawy kwotami wyrażonymi w walucie euro i wprowadzenie stałego progu stosowania ustawy wyrażonego w złotych, uniezależnionego od kursu euro ma na celu przede wszystkim zwolnienie zamawiających z konieczności przeliczania kwot szacowanych i wyrażonych w złotych na euro, po to aby sprawdzić czy zachodzi obowiązek stosowania przepisów ustawy czy też nie. Ułatwi to także dokonywanie przez inne organy ustaleń w zakresie obowiązku stosowania przez zamawiających przepisów ustawy. </w:t>
      </w:r>
    </w:p>
    <w:p w14:paraId="44F19BD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Ponadto w projekcie próg bagatelności został zapisany od strony pozytywnej, tj. przez wskazanie od jakiej kwoty ustawę się stosuje. Dotychczas zwolnienie spod reżimu ustawowego zamówień bagatelnych do wartości 30 000 euro wynikało z katalogu wyłączeń. </w:t>
      </w:r>
    </w:p>
    <w:p w14:paraId="03F356CE" w14:textId="77777777" w:rsidR="00CB2D51" w:rsidRPr="00DA788D" w:rsidRDefault="002E64C7" w:rsidP="00DA788D">
      <w:pPr>
        <w:pBdr>
          <w:top w:val="nil"/>
          <w:left w:val="nil"/>
          <w:bottom w:val="nil"/>
          <w:right w:val="nil"/>
          <w:between w:val="nil"/>
        </w:pBdr>
        <w:spacing w:after="120"/>
        <w:jc w:val="both"/>
        <w:rPr>
          <w:rFonts w:ascii="Times New Roman" w:eastAsia="Times New Roman" w:hAnsi="Times New Roman" w:cs="Times New Roman"/>
          <w:color w:val="000000"/>
          <w:sz w:val="24"/>
          <w:szCs w:val="24"/>
          <w:u w:val="single"/>
        </w:rPr>
      </w:pPr>
      <w:r w:rsidRPr="00DA788D">
        <w:rPr>
          <w:rFonts w:ascii="Times New Roman" w:eastAsia="Times New Roman" w:hAnsi="Times New Roman" w:cs="Times New Roman"/>
          <w:color w:val="000000"/>
          <w:sz w:val="24"/>
          <w:szCs w:val="24"/>
          <w:u w:val="single"/>
        </w:rPr>
        <w:t>Wyjątek stosowania ustawy</w:t>
      </w:r>
    </w:p>
    <w:p w14:paraId="2955C0F4" w14:textId="4E53CC28" w:rsidR="00CB2D51" w:rsidRPr="00DA788D" w:rsidRDefault="005E7855" w:rsidP="00DA788D">
      <w:pPr>
        <w:pBdr>
          <w:top w:val="nil"/>
          <w:left w:val="nil"/>
          <w:bottom w:val="nil"/>
          <w:right w:val="nil"/>
          <w:between w:val="nil"/>
        </w:pBdr>
        <w:spacing w:after="120"/>
        <w:ind w:firstLine="5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udzielania</w:t>
      </w:r>
      <w:r w:rsidR="002E64C7" w:rsidRPr="00DA788D">
        <w:rPr>
          <w:rFonts w:ascii="Times New Roman" w:eastAsia="Times New Roman" w:hAnsi="Times New Roman" w:cs="Times New Roman"/>
          <w:color w:val="000000"/>
          <w:sz w:val="24"/>
          <w:szCs w:val="24"/>
        </w:rPr>
        <w:t xml:space="preserve"> zamówień klasycznych o wartości, bez podatku od towarów i usług</w:t>
      </w:r>
      <w:r w:rsidR="00716062">
        <w:rPr>
          <w:rFonts w:ascii="Times New Roman" w:eastAsia="Times New Roman" w:hAnsi="Times New Roman" w:cs="Times New Roman"/>
          <w:color w:val="000000"/>
          <w:sz w:val="24"/>
          <w:szCs w:val="24"/>
        </w:rPr>
        <w:t xml:space="preserve">, </w:t>
      </w:r>
      <w:r w:rsidR="00716062" w:rsidRPr="00716062">
        <w:rPr>
          <w:rFonts w:ascii="Times New Roman" w:eastAsia="Times New Roman" w:hAnsi="Times New Roman" w:cs="Times New Roman"/>
          <w:color w:val="000000"/>
          <w:sz w:val="24"/>
          <w:szCs w:val="24"/>
        </w:rPr>
        <w:t>dotycząc</w:t>
      </w:r>
      <w:r w:rsidR="00716062">
        <w:rPr>
          <w:rFonts w:ascii="Times New Roman" w:eastAsia="Times New Roman" w:hAnsi="Times New Roman" w:cs="Times New Roman"/>
          <w:color w:val="000000"/>
          <w:sz w:val="24"/>
          <w:szCs w:val="24"/>
        </w:rPr>
        <w:t>ej</w:t>
      </w:r>
      <w:r w:rsidR="00716062" w:rsidRPr="00716062">
        <w:rPr>
          <w:rFonts w:ascii="Times New Roman" w:eastAsia="Times New Roman" w:hAnsi="Times New Roman" w:cs="Times New Roman"/>
          <w:color w:val="000000"/>
          <w:sz w:val="24"/>
          <w:szCs w:val="24"/>
        </w:rPr>
        <w:t xml:space="preserve"> jednorazowego zakupu,</w:t>
      </w:r>
      <w:r w:rsidR="002E64C7" w:rsidRPr="00DA788D">
        <w:rPr>
          <w:rFonts w:ascii="Times New Roman" w:eastAsia="Times New Roman" w:hAnsi="Times New Roman" w:cs="Times New Roman"/>
          <w:color w:val="000000"/>
          <w:sz w:val="24"/>
          <w:szCs w:val="24"/>
        </w:rPr>
        <w:t xml:space="preserve"> mniejszej niż wyrażona w złotych kwota 130 000 zł, ale nie mniejszej niż 50 000 zł, ustawa będzie miała zastosowanie, ale wyłącznie w zakresie zamieszczania ogłoszeń o zamówieniu oraz w zakresie udzielania sprawozdań o udzielonych zamówieniach publicznych. Wprowadzana regulacja będzie dotyczyć wyłącznie zamówień udzielanych przez zamawiających publicznych, które nie są wyłączone z obowiązku stosowania ustawy, na podstawie przepisów ustawy (działu I rozdziału 1 oddziału 2)</w:t>
      </w:r>
      <w:r w:rsidR="003E26E5" w:rsidRPr="00DA788D">
        <w:rPr>
          <w:rFonts w:ascii="Times New Roman" w:eastAsia="Times New Roman" w:hAnsi="Times New Roman" w:cs="Times New Roman"/>
          <w:color w:val="000000"/>
          <w:sz w:val="24"/>
          <w:szCs w:val="24"/>
        </w:rPr>
        <w:t xml:space="preserve"> i takich, których jednostkowa wartość przekracza określony próg.</w:t>
      </w:r>
    </w:p>
    <w:p w14:paraId="59D8193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Zamieszczanie tych ogłoszeń w Biuletynie Zamówień Publicznych ma na celu zwiększenie dostępności informacji dla wykonawców o udzielanych zamówieniach co zapewni przejrzystość udzielania zamówień publicznych. </w:t>
      </w:r>
    </w:p>
    <w:p w14:paraId="524D6019" w14:textId="77777777" w:rsidR="00CB2D51" w:rsidRPr="00DA788D" w:rsidRDefault="002E64C7" w:rsidP="00DA788D">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Słowniczek</w:t>
      </w:r>
    </w:p>
    <w:p w14:paraId="7D6C9398" w14:textId="77777777" w:rsidR="00CB2D51"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Słowniczek uzupełniono o nowe definicje ustawowe. Dodano definicję dokumentów zamówienia, innowacji, łańcucha dostaw, pisemności, podmiotowych i przedmiotowych środków dowodowych, udzielenia zamówienia, warunków zamówienia, zamówień klasycznych, zamówień na usługi społeczne i inne szczególne usługi oraz zamówień w dziedzinac</w:t>
      </w:r>
      <w:r w:rsidR="00DA788D">
        <w:rPr>
          <w:rFonts w:ascii="Times New Roman" w:eastAsia="Times New Roman" w:hAnsi="Times New Roman" w:cs="Times New Roman"/>
          <w:sz w:val="24"/>
          <w:szCs w:val="24"/>
        </w:rPr>
        <w:t xml:space="preserve">h obronności i bezpieczeństwa. </w:t>
      </w:r>
    </w:p>
    <w:p w14:paraId="4967195E" w14:textId="77777777" w:rsidR="00975EB9"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Przez ”dokumenty zamówienia” ustawa rozumie dokumenty sporządzone przez zamawiającego lub dokumenty, do których zamawiający się odwołuje, inne niż ogłoszenie, służące do określenia lub opisania warunków zamówienia. Dokumenty zamówienia są więc pisemnymi oświadczeniami zamawiającego, które wraz z ogłoszeniem o zamówieniu (w przypadku zamówień sektorowych w grę wchodzi również okresowe ogłoszenie informacyjne stanowiące zaproszenie do ubiegania zamówienie sektorowe albo ogłoszenie o systemie kwalifikowania wykonawców wszczynające postępowanie o udzielenie zamówienia) oraz przepisami ustawy wyznaczają całokształt warunków zamówienia, a tym samym treść stosunku przetargowego oraz poprzedzającego go prowizorycznego stosunku przedprzetargowego. Dokumenty sporządzone przez zamawiającego to nie tylko dokumenty przygotowane przez personel zamawiającego, ale również dokumenty, których opracowanie zamawiający powierzył zewnętrznym, profesjonalnym podmiotom (np. dokumentacja projektowa wykonana przez biuro projektowe na zlecenie zamawiającego). Dokumenty zamówienia to także istniejące opracowania, do których zamawiający się odwołuje. Przykładem są normy, oznakowania lub inne zewnętrzne specyfikacje techniczne określające wymagane cechy materiałów, produktów lub usług, do których zamawiający jedynie odsyła w opisie przedmiotu zamówienia. Takie odesłanie powoduje, że stają się one elementem oświadczenia zamawiającego, nawet bez konieczności powtórzenia ich treści w dokumentacji przetargowej. Pojedyncze dokumenty zamówienia są zwykle łączone w zbiory dokumentów tworzących funkcjonalną całość. Zbiorem dokumentów zamówienia jest specyfikacja warunków zamówienia oraz opis potrzeb i wymagań. Istotne znaczenie ma także pojęcie „warunków zamówienia”. Warunki zamówienia są elementem definiującym pojęcie „dokumenty zamówienia”. Warunki zamówienia stanowią nadrzędną kategorię warunków, wyznaczają bowiem nie tylko warunki udziału w postępowaniu i inne wymagania proceduralne oraz sam przebieg postępowania, lecz także przedmiot zamówienia, wymagania związane z jego realizacją oraz projektowane postanowienia umowy. </w:t>
      </w:r>
      <w:r w:rsidR="00975EB9" w:rsidRPr="00DA788D">
        <w:rPr>
          <w:rFonts w:ascii="Times New Roman" w:eastAsia="Times New Roman" w:hAnsi="Times New Roman" w:cs="Times New Roman"/>
          <w:sz w:val="24"/>
          <w:szCs w:val="24"/>
        </w:rPr>
        <w:t xml:space="preserve">Tak szeroko zdefiniowane warunki zamówienia korespondują z terminem „specyfikacja warunków zamówienia”, która jest dokumentem zamówienia obejmującym całość wymagań określonych przez zamawiającego. </w:t>
      </w:r>
    </w:p>
    <w:p w14:paraId="1344FB66" w14:textId="7FCBFD48"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 pojęciem „łańcucha dostaw” należy rozumieć </w:t>
      </w:r>
      <w:r w:rsidRPr="00DA788D">
        <w:rPr>
          <w:rFonts w:ascii="Times New Roman" w:eastAsia="Times" w:hAnsi="Times New Roman" w:cs="Times New Roman"/>
          <w:color w:val="000000"/>
          <w:sz w:val="24"/>
          <w:szCs w:val="24"/>
        </w:rPr>
        <w:t xml:space="preserve">wszystkie zasoby i działania niezbędne do </w:t>
      </w:r>
      <w:r w:rsidR="005E7855">
        <w:rPr>
          <w:rFonts w:ascii="Times New Roman" w:eastAsia="Times" w:hAnsi="Times New Roman" w:cs="Times New Roman"/>
          <w:color w:val="000000"/>
          <w:sz w:val="24"/>
          <w:szCs w:val="24"/>
        </w:rPr>
        <w:t>wykonania</w:t>
      </w:r>
      <w:r w:rsidR="005E7855" w:rsidRPr="00DA788D">
        <w:rPr>
          <w:rFonts w:ascii="Times New Roman" w:eastAsia="Times" w:hAnsi="Times New Roman" w:cs="Times New Roman"/>
          <w:color w:val="000000"/>
          <w:sz w:val="24"/>
          <w:szCs w:val="24"/>
        </w:rPr>
        <w:t xml:space="preserve"> </w:t>
      </w:r>
      <w:r w:rsidRPr="00DA788D">
        <w:rPr>
          <w:rFonts w:ascii="Times New Roman" w:eastAsia="Times" w:hAnsi="Times New Roman" w:cs="Times New Roman"/>
          <w:color w:val="000000"/>
          <w:sz w:val="24"/>
          <w:szCs w:val="24"/>
        </w:rPr>
        <w:t>dostaw, usług i robót budowalnych, stanowiących przedmiot zamówienia.</w:t>
      </w:r>
      <w:r w:rsidRPr="00DA788D">
        <w:rPr>
          <w:rFonts w:ascii="Times New Roman" w:eastAsia="Times New Roman" w:hAnsi="Times New Roman" w:cs="Times New Roman"/>
          <w:sz w:val="24"/>
          <w:szCs w:val="24"/>
        </w:rPr>
        <w:t xml:space="preserve"> Łańcuch dostaw obejmuje wszelkie czynności związane z transportem oraz przeróbką produktów, łącznie z początkowym etapem, czyli pozyskaniem wszelkiego rodzaju surowców oraz etapem końcowym tj. dostarczeniem produktu zamawiającemu. Łańcuch dostaw składa się więc z sieci zakładów i wykonawców, którzy dostarczają surowce i komponenty, następnie  przerabiają  je  w  półprodukty  i  podzespoły,  później produkują z nich wyrób finalny i umożliwiają konsumpcję przez konsumenta finalnego.</w:t>
      </w:r>
    </w:p>
    <w:p w14:paraId="586D4022" w14:textId="5B2EB87C" w:rsidR="005E7855" w:rsidRPr="005E7855" w:rsidRDefault="005E7855" w:rsidP="005E7855">
      <w:pPr>
        <w:spacing w:after="120"/>
        <w:ind w:firstLine="708"/>
        <w:jc w:val="both"/>
        <w:rPr>
          <w:rFonts w:ascii="Times New Roman" w:eastAsia="Times New Roman" w:hAnsi="Times New Roman" w:cs="Times New Roman"/>
          <w:sz w:val="24"/>
          <w:szCs w:val="24"/>
        </w:rPr>
      </w:pPr>
      <w:r w:rsidRPr="005E7855">
        <w:rPr>
          <w:rFonts w:ascii="Times New Roman" w:eastAsia="Times New Roman" w:hAnsi="Times New Roman" w:cs="Times New Roman"/>
          <w:sz w:val="24"/>
          <w:szCs w:val="24"/>
        </w:rPr>
        <w:t xml:space="preserve">Termin „pisemnie” stosowany w ustawie w odniesieniu do komunikacji oznacza „sposób wyrażenia informacji przy użyciu wyrazów, cyfr lub innych znaków pisarskich, które można odczytać i powielić, w tym przy użyciu środków komunikacji elektronicznej”. Wyrażenie przy „użyciu wyrazów, cyfr lub innych znaków pisarskich” wskazuje, iż komunikacja musi być prowadzona w postaci tekstowej. Nie mieszczą się tu komunikaty dźwiękowe lub wizualne. </w:t>
      </w:r>
      <w:r w:rsidR="00FC218B">
        <w:rPr>
          <w:rFonts w:ascii="Times New Roman" w:eastAsia="Times New Roman" w:hAnsi="Times New Roman" w:cs="Times New Roman"/>
          <w:sz w:val="24"/>
          <w:szCs w:val="24"/>
        </w:rPr>
        <w:t>Wyrazy</w:t>
      </w:r>
      <w:r w:rsidRPr="005E7855">
        <w:rPr>
          <w:rFonts w:ascii="Times New Roman" w:eastAsia="Times New Roman" w:hAnsi="Times New Roman" w:cs="Times New Roman"/>
          <w:sz w:val="24"/>
          <w:szCs w:val="24"/>
        </w:rPr>
        <w:t xml:space="preserve">, cyfry lub inne znaki pisarskie powinny być uzewnętrznione w widzialnej </w:t>
      </w:r>
      <w:r w:rsidRPr="005E7855">
        <w:rPr>
          <w:rFonts w:ascii="Times New Roman" w:eastAsia="Times New Roman" w:hAnsi="Times New Roman" w:cs="Times New Roman"/>
          <w:sz w:val="24"/>
          <w:szCs w:val="24"/>
        </w:rPr>
        <w:lastRenderedPageBreak/>
        <w:t>postaci oraz w sposób umożliwiający ich kopiowanie np. w postaci papierowej lub elektronicznej. Pojęcia „pisemnie” nie można utożsamiać z formą pisemną oświadczenia woli w rozumieniu art. 78</w:t>
      </w:r>
      <w:r w:rsidR="00FC218B">
        <w:rPr>
          <w:rFonts w:ascii="Times New Roman" w:eastAsia="Times New Roman" w:hAnsi="Times New Roman" w:cs="Times New Roman"/>
          <w:sz w:val="24"/>
          <w:szCs w:val="24"/>
        </w:rPr>
        <w:t xml:space="preserve"> ustawy z dnia 23 kwietnia 1964 r. – </w:t>
      </w:r>
      <w:r w:rsidRPr="005E7855">
        <w:rPr>
          <w:rFonts w:ascii="Times New Roman" w:eastAsia="Times New Roman" w:hAnsi="Times New Roman" w:cs="Times New Roman"/>
          <w:sz w:val="24"/>
          <w:szCs w:val="24"/>
        </w:rPr>
        <w:t xml:space="preserve"> Kodeks</w:t>
      </w:r>
      <w:r w:rsidR="00F878B4">
        <w:rPr>
          <w:rFonts w:ascii="Times New Roman" w:eastAsia="Times New Roman" w:hAnsi="Times New Roman" w:cs="Times New Roman"/>
          <w:sz w:val="24"/>
          <w:szCs w:val="24"/>
        </w:rPr>
        <w:t xml:space="preserve"> </w:t>
      </w:r>
      <w:r w:rsidR="00FC218B">
        <w:rPr>
          <w:rFonts w:ascii="Times New Roman" w:eastAsia="Times New Roman" w:hAnsi="Times New Roman" w:cs="Times New Roman"/>
          <w:sz w:val="24"/>
          <w:szCs w:val="24"/>
        </w:rPr>
        <w:t>cywilny (Dz. U. z 2018 r. poz. 1020, z późn. zm.)</w:t>
      </w:r>
      <w:r w:rsidR="009B1B52">
        <w:rPr>
          <w:rFonts w:ascii="Times New Roman" w:eastAsia="Times New Roman" w:hAnsi="Times New Roman" w:cs="Times New Roman"/>
          <w:sz w:val="24"/>
          <w:szCs w:val="24"/>
        </w:rPr>
        <w:t>, zwanej dalej „Kodeksem cywilnym”</w:t>
      </w:r>
      <w:r w:rsidR="00F878B4">
        <w:rPr>
          <w:rFonts w:ascii="Times New Roman" w:eastAsia="Times New Roman" w:hAnsi="Times New Roman" w:cs="Times New Roman"/>
          <w:sz w:val="24"/>
          <w:szCs w:val="24"/>
        </w:rPr>
        <w:t>. Na gruncie ustawy</w:t>
      </w:r>
      <w:r w:rsidRPr="005E7855">
        <w:rPr>
          <w:rFonts w:ascii="Times New Roman" w:eastAsia="Times New Roman" w:hAnsi="Times New Roman" w:cs="Times New Roman"/>
          <w:sz w:val="24"/>
          <w:szCs w:val="24"/>
        </w:rPr>
        <w:t xml:space="preserve"> dokument pisemny nie musi być opatrzony własnoręcznym podpisem obejmującym treść oświadczenia. </w:t>
      </w:r>
    </w:p>
    <w:p w14:paraId="74CAE296" w14:textId="1EAC97A9"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 kolei </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udzielenie zamówienia</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zdefiniowano po prostu jako zawarcie umowy w sprawie zamówienia publicznego. </w:t>
      </w:r>
    </w:p>
    <w:p w14:paraId="26637D0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 słowniczka przeniesiono również rozsiane po różnych przepisach dotychczasowej ustawy definicje dyrektywy obronnej, dyrektywy klasycznej, dyrektywy sektorowej, konkursu, kryteriów selekcji. </w:t>
      </w:r>
    </w:p>
    <w:p w14:paraId="51BFEB47" w14:textId="2A684CE2" w:rsidR="00975EB9"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Część definicji uległa zmianie. </w:t>
      </w:r>
      <w:r w:rsidR="00FC218B" w:rsidRPr="00DA788D">
        <w:rPr>
          <w:rFonts w:ascii="Times New Roman" w:eastAsia="Times New Roman" w:hAnsi="Times New Roman" w:cs="Times New Roman"/>
          <w:sz w:val="24"/>
          <w:szCs w:val="24"/>
        </w:rPr>
        <w:t>Kluczow</w:t>
      </w:r>
      <w:r w:rsidR="00FC218B">
        <w:rPr>
          <w:rFonts w:ascii="Times New Roman" w:eastAsia="Times New Roman" w:hAnsi="Times New Roman" w:cs="Times New Roman"/>
          <w:sz w:val="24"/>
          <w:szCs w:val="24"/>
        </w:rPr>
        <w:t>e</w:t>
      </w:r>
      <w:r w:rsidR="00FC218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znaczenie ma zmiana definicji zamówienia publicznego. Pod tym terminem projektodawca rozumie umowę odpłatną zawieraną między zamawiającym a wykonawcą, której przedmiotem jest nabycie przez zamawiającego robót budowlanych, dostaw lub usług od wybranego wykonawcy. Definicja ta wskazuje na cztery zasadnicze elementy konstytuując</w:t>
      </w:r>
      <w:r w:rsidR="005E7855">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zamówienie publiczne:  umowę, nabycie, odpłatność oraz wybór wykonawcy. Elementy te są zaczerpnięte z art. 1 ust. 2 i art. 2 ust. 1 pkt 8 dyrektywy klasycznej oraz art. 1 ust. 2 i art. 2 pkt 1 dyrektywy sektorowej. Z motywu 4 preambuły do dyrektywy klasycznej wynika, że termin „nabycie” należy rozumieć jako uzyskiwanie korzyści z tytułu określonych robót budowalnych, dostaw lub usług, przy czym przeniesienie własności na zamawiającego nie jest konieczne. Nabycia nie można więc utożsamiać z obowiązkiem przeniesienia na zamawiającego własności przedmiotu dostawy lub obiektu budowlanego. Wystarczy, że świadczenie ma być wykonane zgodnie z wymaganiami zamawiającego. Z drugiej jednak strony w tym samym motywie stwierdza się, że nabyciem nie jest przyznanie dotacji, nawet jeżeli jest związane z obowiązkiem zwrotu otrzymanych kwot, jeżeli nie zostały wykorzystane zgodnie z przeznaczeniem. </w:t>
      </w:r>
      <w:r w:rsidR="00975EB9" w:rsidRPr="00DA788D">
        <w:rPr>
          <w:rFonts w:ascii="Times New Roman" w:eastAsia="Times New Roman" w:hAnsi="Times New Roman" w:cs="Times New Roman"/>
          <w:sz w:val="24"/>
          <w:szCs w:val="24"/>
        </w:rPr>
        <w:t>Dotacje stanowią formę nieodpłatnej i bezzwrotnej pomocy finansowej udzielanej przez państwo podmiotom na realizację ich zadań. Przyznanie dotacji może być uzależnione od spełnienia świadczenia, które jednak nie będzie miało z reguły charakteru</w:t>
      </w:r>
      <w:r w:rsidR="00975EB9" w:rsidRPr="00DA788D">
        <w:rPr>
          <w:rFonts w:ascii="Times New Roman" w:hAnsi="Times New Roman" w:cs="Times New Roman"/>
          <w:sz w:val="24"/>
          <w:szCs w:val="24"/>
        </w:rPr>
        <w:t xml:space="preserve"> </w:t>
      </w:r>
      <w:r w:rsidR="00975EB9" w:rsidRPr="00DA788D">
        <w:rPr>
          <w:rFonts w:ascii="Times New Roman" w:eastAsia="Times New Roman" w:hAnsi="Times New Roman" w:cs="Times New Roman"/>
          <w:sz w:val="24"/>
          <w:szCs w:val="24"/>
        </w:rPr>
        <w:t>bezpośredniego przysporzenia o charakterze gospodarczym po stronie zamawiającego. Celem dotacji nie jest bowiem uzyskanie korzyści z tytułu robót budowalnych, dostaw lub usług, lecz udzielenie wsparcia finansowego. Także przesłanka wyboru wykonawcy zawęża stosowanie reżimu ustawowego. Jak wynika z przywołanego motywu element wyboru wykonawcy konstytuujący zamówienie skutkuje wyjęciem spod regulacji zamówień publicznych sytuacji, w których wszystkie podmioty spełniające określone warunki są uprawnione do wykonania danego zadania, bez przeprowadzania kwalifikacji. Przykładami takich sytuacji są system oparty na wyborze wykonawcy dokonanym przez klienta oraz system bonów usługowych. Potwierdza to również orzecznictwo Trybunału Sprawiedliwości. W wyroku w sprawie C-410/14 (Falk Pharma) Trybunał Sprawiedliwości zwrócił uwagę, iż celem dyrektyw jest wykluczenie ryzyka preferowania krajowych wykonawców. Ryzyko to jest ściśle związane z dokonywanym przez zamawiającego wyborem wykonawców, którzy w wyniku udzielenia zamówienia uzyskują prawo wyłączności. Jeżeli więc zamawiający zamierza zawrzeć umowy z wszystkimi wykonawcami, którzy spełniają określone warunki, to brak jest wyboru wykonawcy, któremu przyznana zostałaby wyłączność w zakresie zamówienia.</w:t>
      </w:r>
      <w:r w:rsidR="00975EB9" w:rsidRPr="00DA788D">
        <w:rPr>
          <w:rFonts w:ascii="Times New Roman" w:hAnsi="Times New Roman" w:cs="Times New Roman"/>
          <w:sz w:val="24"/>
          <w:szCs w:val="24"/>
        </w:rPr>
        <w:t xml:space="preserve"> W</w:t>
      </w:r>
      <w:r w:rsidR="00975EB9" w:rsidRPr="00DA788D">
        <w:rPr>
          <w:rFonts w:ascii="Times New Roman" w:eastAsia="Times New Roman" w:hAnsi="Times New Roman" w:cs="Times New Roman"/>
          <w:sz w:val="24"/>
          <w:szCs w:val="24"/>
        </w:rPr>
        <w:t xml:space="preserve"> wyroku</w:t>
      </w:r>
      <w:r w:rsidR="00975EB9" w:rsidRPr="00DA788D">
        <w:rPr>
          <w:rFonts w:ascii="Times New Roman" w:hAnsi="Times New Roman" w:cs="Times New Roman"/>
          <w:sz w:val="24"/>
          <w:szCs w:val="24"/>
        </w:rPr>
        <w:t xml:space="preserve"> </w:t>
      </w:r>
      <w:r w:rsidR="00975EB9" w:rsidRPr="00DA788D">
        <w:rPr>
          <w:rFonts w:ascii="Times New Roman" w:eastAsia="Times New Roman" w:hAnsi="Times New Roman" w:cs="Times New Roman"/>
          <w:sz w:val="24"/>
          <w:szCs w:val="24"/>
        </w:rPr>
        <w:t xml:space="preserve">w sprawie C-9/17 (Tirkkonen) Trybunał doprecyzował, iż nie mamy do czynienia z wyborem wykonawcy przez zamawiającego, jeżeli podstawą takiego wyboru są jedynie kryteria kwalifikacji. Dopóki bowiem decyzja o zakwalifikowaniu do systemu opartego na wyborze dokonanym przez klienta nie jest podejmowana na podstawie </w:t>
      </w:r>
      <w:r w:rsidR="00975EB9" w:rsidRPr="00DA788D">
        <w:rPr>
          <w:rFonts w:ascii="Times New Roman" w:eastAsia="Times New Roman" w:hAnsi="Times New Roman" w:cs="Times New Roman"/>
          <w:sz w:val="24"/>
          <w:szCs w:val="24"/>
        </w:rPr>
        <w:lastRenderedPageBreak/>
        <w:t xml:space="preserve">kryteriów udzielenia zamówienia, które umożliwiłyby zamawiającemu porównanie i klasyfikację dopuszczalnych ofert, dopóty taki system nie stanowi zamówienia publicznego. W praktyce w przypadku systemów opartych na wyborze dokonywanym przez klienta wynagrodzenie wypłacane przez zamawiającego wykonawcom za świadczone przez nich usługi jest ustalane na podstawie wspólnych dla wszystkich warunków. </w:t>
      </w:r>
    </w:p>
    <w:p w14:paraId="4AB1E10D"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Dostawy, na wzór europejski, zostały zdefiniowane jako nabywanie produktów. Produktami są wszystkie rzeczy ruchome, energia, woda i prawa majątkowe (zwłaszcza prawa do programów komputerowych), jeżeli mogą być przedmiotem obrotu. </w:t>
      </w:r>
    </w:p>
    <w:p w14:paraId="25139CE5" w14:textId="7E5A39CA" w:rsidR="005E7855" w:rsidRPr="005E7855" w:rsidRDefault="005E7855" w:rsidP="005E7855">
      <w:pPr>
        <w:spacing w:after="120"/>
        <w:ind w:firstLine="708"/>
        <w:jc w:val="both"/>
        <w:rPr>
          <w:rFonts w:ascii="Times New Roman" w:eastAsia="Times New Roman" w:hAnsi="Times New Roman" w:cs="Times New Roman"/>
          <w:sz w:val="24"/>
          <w:szCs w:val="24"/>
        </w:rPr>
      </w:pPr>
      <w:r w:rsidRPr="005E7855">
        <w:rPr>
          <w:rFonts w:ascii="Times New Roman" w:eastAsia="Times New Roman" w:hAnsi="Times New Roman" w:cs="Times New Roman"/>
          <w:sz w:val="24"/>
          <w:szCs w:val="24"/>
        </w:rPr>
        <w:t xml:space="preserve">Doprecyzowano definicję postępowania o udzielenie zamówienia, wskazując jako chwilę jego zakończenia zawarcie umowy w sprawie zamówienia publicznego lub unieważnienie postępowania. Jakkolwiek postępowanie o udzielenie zamówienia kończy się z momentem zawarcia umowy w sprawie zamówienia lub unieważnienia postępowania, to jednak zawarcie umowy, inaczej niż unieważnienie postępowania, nie jest już czynnością w postępowaniu. Obowiązek zawarcia umowy wynika z wyodrębnionego konstrukcyjnie względem stosunku przetargowego stosunku kreowanego swoistą umową </w:t>
      </w:r>
      <w:r w:rsidR="00FC218B" w:rsidRPr="005E7855">
        <w:rPr>
          <w:rFonts w:ascii="Times New Roman" w:eastAsia="Times New Roman" w:hAnsi="Times New Roman" w:cs="Times New Roman"/>
          <w:sz w:val="24"/>
          <w:szCs w:val="24"/>
        </w:rPr>
        <w:t>przedwstępn</w:t>
      </w:r>
      <w:r w:rsidR="00FC218B">
        <w:rPr>
          <w:rFonts w:ascii="Times New Roman" w:eastAsia="Times New Roman" w:hAnsi="Times New Roman" w:cs="Times New Roman"/>
          <w:sz w:val="24"/>
          <w:szCs w:val="24"/>
        </w:rPr>
        <w:t>ą</w:t>
      </w:r>
      <w:r w:rsidR="00FC218B" w:rsidRPr="005E7855">
        <w:rPr>
          <w:rFonts w:ascii="Times New Roman" w:eastAsia="Times New Roman" w:hAnsi="Times New Roman" w:cs="Times New Roman"/>
          <w:sz w:val="24"/>
          <w:szCs w:val="24"/>
        </w:rPr>
        <w:t xml:space="preserve"> </w:t>
      </w:r>
      <w:r w:rsidRPr="005E7855">
        <w:rPr>
          <w:rFonts w:ascii="Times New Roman" w:eastAsia="Times New Roman" w:hAnsi="Times New Roman" w:cs="Times New Roman"/>
          <w:sz w:val="24"/>
          <w:szCs w:val="24"/>
        </w:rPr>
        <w:t xml:space="preserve">lub umową do niej zbliżoną, która dochodzi do skutku w wyniku wyboru najkorzystniejszej oferty. Zawarcie umowy w sprawie zamówienia następuje więc w wykonaniu umowy przedwstępnej. Nie oznacza to bynajmniej, że zawarcie umowy finalnej pozostaje bez wpływu na stosunek przetargowy, a tym samym na postępowanie o udzielenie zamówienia. Zawarcie umowy w sprawie zamówienia publicznego jest na gruncie ustawy warunkiem rozwiązującym stosunek przetargowy, wyznacza zatem moment zakończenia postępowania o udzielenie zamówienia. </w:t>
      </w:r>
    </w:p>
    <w:p w14:paraId="742196B9" w14:textId="5C21B069"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Zmieniono definicję wykonawcy. Dotychczas wykonawcą była wyłącznie osoba </w:t>
      </w:r>
      <w:r w:rsidR="00FC218B" w:rsidRPr="00DA788D">
        <w:rPr>
          <w:rFonts w:ascii="Times New Roman" w:eastAsia="Times New Roman" w:hAnsi="Times New Roman" w:cs="Times New Roman"/>
          <w:sz w:val="24"/>
          <w:szCs w:val="24"/>
        </w:rPr>
        <w:t>fizyczn</w:t>
      </w:r>
      <w:r w:rsidR="00FC218B">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osoba prawna albo jednostka organizacyjna nieposiadająca osobowości prawnej, która ubiega się o udzielenie zamówienia publicznego, złożyła ofertę lub zawarła umowę w sprawie zamówienia publicznego. Obecnie r</w:t>
      </w:r>
      <w:r w:rsidRPr="00DA788D">
        <w:rPr>
          <w:rFonts w:ascii="Times New Roman" w:hAnsi="Times New Roman" w:cs="Times New Roman"/>
          <w:sz w:val="24"/>
          <w:szCs w:val="24"/>
        </w:rPr>
        <w:t>ozszerzono ją</w:t>
      </w:r>
      <w:r w:rsidR="00FC218B">
        <w:rPr>
          <w:rFonts w:ascii="Times New Roman" w:hAnsi="Times New Roman" w:cs="Times New Roman"/>
          <w:sz w:val="24"/>
          <w:szCs w:val="24"/>
        </w:rPr>
        <w:t>,</w:t>
      </w:r>
      <w:r w:rsidRPr="00DA788D">
        <w:rPr>
          <w:rFonts w:ascii="Times New Roman" w:hAnsi="Times New Roman" w:cs="Times New Roman"/>
          <w:sz w:val="24"/>
          <w:szCs w:val="24"/>
        </w:rPr>
        <w:t xml:space="preserve"> na wzór europejski</w:t>
      </w:r>
      <w:r w:rsidR="00FC218B">
        <w:rPr>
          <w:rFonts w:ascii="Times New Roman" w:hAnsi="Times New Roman" w:cs="Times New Roman"/>
          <w:sz w:val="24"/>
          <w:szCs w:val="24"/>
        </w:rPr>
        <w:t>,</w:t>
      </w:r>
      <w:r w:rsidRPr="00DA788D">
        <w:rPr>
          <w:rFonts w:ascii="Times New Roman" w:hAnsi="Times New Roman" w:cs="Times New Roman"/>
          <w:sz w:val="24"/>
          <w:szCs w:val="24"/>
        </w:rPr>
        <w:t xml:space="preserve"> o </w:t>
      </w:r>
      <w:bookmarkStart w:id="1" w:name="_Hlk8985969"/>
      <w:r w:rsidRPr="00DA788D">
        <w:rPr>
          <w:rFonts w:ascii="Times New Roman" w:eastAsia="Times New Roman" w:hAnsi="Times New Roman" w:cs="Times New Roman"/>
          <w:sz w:val="24"/>
          <w:szCs w:val="24"/>
        </w:rPr>
        <w:t>osobę fizyczną, osobę prawna</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albo jednostkę </w:t>
      </w:r>
      <w:r w:rsidR="00FC218B" w:rsidRPr="00DA788D">
        <w:rPr>
          <w:rFonts w:ascii="Times New Roman" w:eastAsia="Times New Roman" w:hAnsi="Times New Roman" w:cs="Times New Roman"/>
          <w:sz w:val="24"/>
          <w:szCs w:val="24"/>
        </w:rPr>
        <w:t>organizacyjn</w:t>
      </w:r>
      <w:r w:rsidR="00FC218B">
        <w:rPr>
          <w:rFonts w:ascii="Times New Roman" w:eastAsia="Times New Roman" w:hAnsi="Times New Roman" w:cs="Times New Roman"/>
          <w:sz w:val="24"/>
          <w:szCs w:val="24"/>
        </w:rPr>
        <w:t>ą</w:t>
      </w:r>
      <w:r w:rsidR="00FC218B" w:rsidRPr="00DA788D">
        <w:rPr>
          <w:rFonts w:ascii="Times New Roman" w:eastAsia="Times New Roman" w:hAnsi="Times New Roman" w:cs="Times New Roman"/>
          <w:sz w:val="24"/>
          <w:szCs w:val="24"/>
        </w:rPr>
        <w:t xml:space="preserve"> nieposiadając</w:t>
      </w:r>
      <w:r w:rsidR="00FC218B">
        <w:rPr>
          <w:rFonts w:ascii="Times New Roman" w:eastAsia="Times New Roman" w:hAnsi="Times New Roman" w:cs="Times New Roman"/>
          <w:sz w:val="24"/>
          <w:szCs w:val="24"/>
        </w:rPr>
        <w:t>ą</w:t>
      </w:r>
      <w:r w:rsidR="00FC218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osobowości prawnej</w:t>
      </w:r>
      <w:r w:rsidRPr="00DA788D">
        <w:rPr>
          <w:rFonts w:ascii="Times New Roman" w:hAnsi="Times New Roman" w:cs="Times New Roman"/>
          <w:sz w:val="24"/>
          <w:szCs w:val="24"/>
        </w:rPr>
        <w:t xml:space="preserve">, która oferuje na rynku wykonanie robót budowlanych lub obiektu budowlanego, dostawę produktów lub świadczenie usług. </w:t>
      </w:r>
      <w:bookmarkEnd w:id="1"/>
      <w:r w:rsidRPr="00DA788D">
        <w:rPr>
          <w:rFonts w:ascii="Times New Roman" w:hAnsi="Times New Roman" w:cs="Times New Roman"/>
          <w:sz w:val="24"/>
          <w:szCs w:val="24"/>
        </w:rPr>
        <w:t xml:space="preserve">Definicja obejmie więc dodatkowo np. </w:t>
      </w:r>
      <w:r w:rsidRPr="00DA788D">
        <w:rPr>
          <w:rFonts w:ascii="Times New Roman" w:eastAsia="Times New Roman" w:hAnsi="Times New Roman" w:cs="Times New Roman"/>
          <w:sz w:val="24"/>
          <w:szCs w:val="24"/>
        </w:rPr>
        <w:t xml:space="preserve">uczestnika wstępnych konsultacji rynkowych, przedsiębiorcę niezaproszonego do negocjacji w postępowaniu o udzielenie zamówienia w trybie negocjacji bez ogłoszenia lub zamówienia z wolnej ręki, czy byłego uczestnika postępowania o udzielenie zamówienia kwestionującego dopuszczalność zmian umowy w sprawie zamówienia publicznego zawartej z innym wykonawcą. </w:t>
      </w:r>
    </w:p>
    <w:p w14:paraId="47A03FCD"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Definicję umowy o podwykonawstwo dostosowano do definicji umowy o podwykonawstwo zawartej w art. 1 pkt 22 dyrektywy obronnej, wyłączając spod jej zakresu umowy z dalszymi podwykonawcami zawierane w celu realizacji zamówień na roboty budowlane w dziedzinach obronności i bezpieczeństwa.</w:t>
      </w:r>
    </w:p>
    <w:p w14:paraId="69BC7A68" w14:textId="77777777" w:rsidR="00975EB9" w:rsidRPr="005D60BF" w:rsidRDefault="00975EB9" w:rsidP="00DA788D">
      <w:pPr>
        <w:spacing w:after="120"/>
        <w:ind w:firstLine="708"/>
        <w:jc w:val="both"/>
        <w:rPr>
          <w:rFonts w:ascii="Times New Roman" w:eastAsia="Times New Roman" w:hAnsi="Times New Roman" w:cs="Times New Roman"/>
          <w:b/>
          <w:sz w:val="24"/>
          <w:szCs w:val="24"/>
        </w:rPr>
      </w:pPr>
      <w:r w:rsidRPr="005D60BF">
        <w:rPr>
          <w:rFonts w:ascii="Times New Roman" w:eastAsia="Times New Roman" w:hAnsi="Times New Roman" w:cs="Times New Roman"/>
          <w:b/>
          <w:sz w:val="24"/>
          <w:szCs w:val="24"/>
        </w:rPr>
        <w:t>Terminy</w:t>
      </w:r>
    </w:p>
    <w:p w14:paraId="7EB0C6F0" w14:textId="37A32DAF"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Utrzymano regulację o cywilnoprawnym charakterze procedur udzielania zamówień i posiłkowym stosowaniu </w:t>
      </w:r>
      <w:r w:rsidR="009B1B52">
        <w:rPr>
          <w:rFonts w:ascii="Times New Roman" w:eastAsia="Times New Roman" w:hAnsi="Times New Roman" w:cs="Times New Roman"/>
          <w:sz w:val="24"/>
          <w:szCs w:val="24"/>
        </w:rPr>
        <w:t>Kodeksu cywilnego</w:t>
      </w:r>
      <w:r w:rsidRPr="00DA788D">
        <w:rPr>
          <w:rFonts w:ascii="Times New Roman" w:eastAsia="Times New Roman" w:hAnsi="Times New Roman" w:cs="Times New Roman"/>
          <w:sz w:val="24"/>
          <w:szCs w:val="24"/>
        </w:rPr>
        <w:t>. W związku z tym do liczenia terminów w postępowaniu o udzielenie zamówienia oraz umowie w sprawie zamówienia publicznego stosuje się przepisy art. 111</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115 Kodeksu cywilnego. </w:t>
      </w:r>
    </w:p>
    <w:p w14:paraId="5ECCD940" w14:textId="7F0D94F6"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Zamieszczone w art. 111–115 Kodeksu cywilnego reguły obliczania terminów traktują dzień (dobę) jako najmniejszą jednostkę, za pomocą której może być oznaczony termin.</w:t>
      </w:r>
      <w:r w:rsidRPr="00DA788D">
        <w:rPr>
          <w:rFonts w:ascii="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projekcie wprowadzono regulację, która zawiera reguły obliczania terminu na wypadek oznaczenia go w godzinach. Jeżeli początkiem terminu </w:t>
      </w:r>
      <w:r w:rsidRPr="00DA788D">
        <w:rPr>
          <w:rFonts w:ascii="Times New Roman" w:eastAsia="Times New Roman" w:hAnsi="Times New Roman" w:cs="Times New Roman"/>
          <w:sz w:val="24"/>
          <w:szCs w:val="24"/>
        </w:rPr>
        <w:lastRenderedPageBreak/>
        <w:t xml:space="preserve">oznaczonego w godzinach jest określona godzina, termin rozpoczyna się z początkiem pierwszej godziny i kończy się z upływem ostatniej godziny. Jeżeli natomiast termin określony w godzinach został oznaczony tak, że jego początek wyznacza pewne zdarzenie (np. otwarcie aukcji elektronicznej), przy obliczaniu tak oznaczonego terminu nie uwzględnia się godziny, w której to zdarzenie nastąpiło. </w:t>
      </w:r>
    </w:p>
    <w:p w14:paraId="73B75406"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Proponuje się, aby wyznaczony przez zamawiającego termin na dokonanie czynności w postępowaniu o udzielenie zamówienia obejmujący dwa lub więcej dni zawierał co najmniej dwa dni robocze. Przez dzień roboczy należy rozumieć każdy inny dzień niż dzień uznany ustawowo za wolny od pracy i sobota. </w:t>
      </w:r>
    </w:p>
    <w:p w14:paraId="5B1F59F9" w14:textId="28E2AD48"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Wyłączenia</w:t>
      </w:r>
    </w:p>
    <w:p w14:paraId="5CCB7F9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Podobnie jak na gruncie obecnie obowiązujących przepisów ustawy Pzp, przewiduje się stosowne regulacje w zakresie wyłączenia obowiązku stosowania ustawy do udzielania określonych rodzajów zamówień publicznych, które będą stanowiły przeniesienie do polskiego prawa wyłączeń przewidzianych w prawie unijnym.</w:t>
      </w:r>
    </w:p>
    <w:p w14:paraId="05EAD7C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Ograniczono katalog wyłączeń spod stosowania ustawy. Zrezygnowano z wyłączenia stosowania ustawy do przyznawania dotacji ze środków publicznych. Wyłączenie to stanie się bezprzedmiotowe po wprowadzeniu planowanej definicji udzielenia zamówienia publicznego, która powinna definitywnie rozstrzygnąć spór o charakter prawny przyznania dotacji, zwalniając takie przysporzenie spod reżimu ustawowego. Z katalogu usunięto również wyłączenie zamówień bagatelnych do wartości 30 000 euro. Zwolnienie takich zamówień spod reżimu ustawowego będzie wynikać z przepisów określających progi stosowania ustawy.</w:t>
      </w:r>
    </w:p>
    <w:p w14:paraId="1D64431C" w14:textId="1B1E5EE0"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Rozdział 2</w:t>
      </w:r>
      <w:r w:rsidR="00FC218B">
        <w:rPr>
          <w:rFonts w:ascii="Times New Roman" w:eastAsia="Times New Roman" w:hAnsi="Times New Roman" w:cs="Times New Roman"/>
          <w:b/>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 xml:space="preserve">Zasady udzielania zamówień </w:t>
      </w:r>
    </w:p>
    <w:p w14:paraId="2A6F58E6" w14:textId="16C4922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Zasadniczo utrzymano dotychczasowy katalog zasad udzielania zamówień publicznych, wzbogacając go o zasadę efektywności ekonomicznej. Zasada efektywności ekonomicznej wyraża się w obowiązku udzielenia zamówienia w sposób zapewniający zarówno najlepszą jakość przedmiotu zamówienia w stosunku do środków, które zamawiający może przeznaczyć na jego realizację, jak i najlepszy stosunek nakładów do efektów, w tym efektów społecznych, środowiskowych i gospodarczych. Zrezygnowano jednak z zasady przetargowego sposobu udzielania zamówień publicznych, dając impuls do szerszego stosowania szeroko pojętych procedur negocjacyjnych wszczynanych publicznym ogłoszeniem. Z kolei przy formułowaniu zasady jawności uwzględniono wymagania w zakresie ochrony danych osobowych wynikające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w:t>
      </w:r>
      <w:r w:rsidR="00FC218B">
        <w:rPr>
          <w:rFonts w:ascii="Times New Roman" w:eastAsia="Times New Roman" w:hAnsi="Times New Roman" w:cs="Times New Roman"/>
          <w:sz w:val="24"/>
          <w:szCs w:val="24"/>
        </w:rPr>
        <w:t>, z późn. zm.</w:t>
      </w:r>
      <w:r w:rsidRPr="00DA788D">
        <w:rPr>
          <w:rFonts w:ascii="Times New Roman" w:eastAsia="Times New Roman" w:hAnsi="Times New Roman" w:cs="Times New Roman"/>
          <w:sz w:val="24"/>
          <w:szCs w:val="24"/>
        </w:rPr>
        <w:t>).</w:t>
      </w:r>
    </w:p>
    <w:p w14:paraId="0CB22D39" w14:textId="7BC3F32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3</w:t>
      </w:r>
      <w:r w:rsidR="00FC218B">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Polityka zakupowa państwa</w:t>
      </w:r>
      <w:r w:rsidRPr="00DA788D">
        <w:rPr>
          <w:rFonts w:ascii="Times New Roman" w:hAnsi="Times New Roman" w:cs="Times New Roman"/>
          <w:sz w:val="24"/>
          <w:szCs w:val="24"/>
        </w:rPr>
        <w:t xml:space="preserve"> </w:t>
      </w:r>
      <w:r w:rsidRPr="00DA788D">
        <w:rPr>
          <w:rFonts w:ascii="Times New Roman" w:eastAsia="Times New Roman" w:hAnsi="Times New Roman" w:cs="Times New Roman"/>
          <w:b/>
          <w:sz w:val="24"/>
          <w:szCs w:val="24"/>
        </w:rPr>
        <w:t>oraz plany postępowań o udzielenie zamówień publicznych</w:t>
      </w:r>
    </w:p>
    <w:p w14:paraId="2A7DA9FE" w14:textId="0E28569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Dotychczas Polityka zakupowa państwa nie była przedmiotem regulacji ustawy Pzp. Koncepcja Prawa zamówień publicznych</w:t>
      </w:r>
      <w:r w:rsidR="00F1545D">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jako jeden z głównych celów wskazała stworzenie warunków do realizacji celów Polityki zakupowej państwa, co zrealizowano w formie przepisów niniejszego rozdziału. Dokument Polityki zakupowej państwa należy rozumieć jako ukierunkowanie zakupów na innowacyjne i zrównoważone produkty i usługi dostarczane instytucjom publicznym. Z perspektywy strategicznej, Polityka zakupowa państwa opiera się na potrzebie wdrożenia inteligentnego modelu zarządzania zakupami w ramach realizowanych zamówień pu</w:t>
      </w:r>
      <w:r w:rsidRPr="00DA788D">
        <w:rPr>
          <w:rFonts w:ascii="Times New Roman" w:eastAsia="Times New Roman" w:hAnsi="Times New Roman" w:cs="Times New Roman"/>
          <w:sz w:val="24"/>
          <w:szCs w:val="24"/>
        </w:rPr>
        <w:lastRenderedPageBreak/>
        <w:t>blicznych z uwzględnieniem aspektów normalizacyjnych, środowiskowych (koszt cyklu życia produktu), społecznej odpowiedzialności przedsiębiorstw oraz upowszechnienia dobrych praktyk i narzędzi zakupowych. Polityka zakupowa państwa stanowi tym samym średniookresową strategię wydawaną raz na 4 lata (art. 2</w:t>
      </w:r>
      <w:r w:rsidR="003E26E5"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projektu ustawy), która nakreśla program działań wykonawczych wraz z instrumentami do jego realizacji. Ponadto Polityka zakupowa państwa powinna być opracowywana zgodnie z zasadą zrównoważonego rozwoju kraju. </w:t>
      </w:r>
    </w:p>
    <w:p w14:paraId="31EF3749" w14:textId="2753A16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ramach niniejszego rozdziału nałożono na ministra właściwego do spraw gospodarki dodatkowe </w:t>
      </w:r>
      <w:r w:rsidR="00F1545D">
        <w:rPr>
          <w:rFonts w:ascii="Times New Roman" w:eastAsia="Times New Roman" w:hAnsi="Times New Roman" w:cs="Times New Roman"/>
          <w:sz w:val="24"/>
          <w:szCs w:val="24"/>
        </w:rPr>
        <w:t>obowiązki</w:t>
      </w:r>
      <w:r w:rsidRPr="00DA788D">
        <w:rPr>
          <w:rFonts w:ascii="Times New Roman" w:eastAsia="Times New Roman" w:hAnsi="Times New Roman" w:cs="Times New Roman"/>
          <w:sz w:val="24"/>
          <w:szCs w:val="24"/>
        </w:rPr>
        <w:t>. Pierwsze z nich polega na przygotowaniu projektu Polityki zakupowej państwa oraz inicjatywie uchwałodawczej w tym zakresie</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Drugim obowiązkiem jest ciągła koordynacja realizacja Polityki zakupowej państwa</w:t>
      </w:r>
      <w:r w:rsidR="003E26E5" w:rsidRPr="00DA788D">
        <w:rPr>
          <w:rFonts w:ascii="Times New Roman" w:eastAsia="Times New Roman" w:hAnsi="Times New Roman" w:cs="Times New Roman"/>
          <w:sz w:val="24"/>
          <w:szCs w:val="24"/>
        </w:rPr>
        <w:t>.</w:t>
      </w:r>
    </w:p>
    <w:p w14:paraId="4128C655" w14:textId="3C8E7F9A"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związku z Polityką zakupową państwa dodatkowy obowiązek nałożono na zamawiających będących centralnymi organami administracji rządowej. Podmioty te zobowiązane zostały do sporządzenia strategii zarządzania dla poszczególnych kategorii zakupowych,</w:t>
      </w:r>
      <w:r w:rsidR="00254F76">
        <w:rPr>
          <w:rFonts w:ascii="Times New Roman" w:eastAsia="Times New Roman" w:hAnsi="Times New Roman" w:cs="Times New Roman"/>
          <w:sz w:val="24"/>
          <w:szCs w:val="24"/>
        </w:rPr>
        <w:t xml:space="preserve"> zgodnej z polityką zakupową państwa. W</w:t>
      </w:r>
      <w:r w:rsidRPr="00DA788D">
        <w:rPr>
          <w:rFonts w:ascii="Times New Roman" w:eastAsia="Times New Roman" w:hAnsi="Times New Roman" w:cs="Times New Roman"/>
          <w:sz w:val="24"/>
          <w:szCs w:val="24"/>
        </w:rPr>
        <w:t xml:space="preserve"> </w:t>
      </w:r>
      <w:r w:rsidR="00254F76">
        <w:rPr>
          <w:rFonts w:ascii="Times New Roman" w:eastAsia="Times New Roman" w:hAnsi="Times New Roman" w:cs="Times New Roman"/>
          <w:sz w:val="24"/>
          <w:szCs w:val="24"/>
        </w:rPr>
        <w:t>strategii</w:t>
      </w:r>
      <w:r w:rsidRPr="00DA788D">
        <w:rPr>
          <w:rFonts w:ascii="Times New Roman" w:eastAsia="Times New Roman" w:hAnsi="Times New Roman" w:cs="Times New Roman"/>
          <w:sz w:val="24"/>
          <w:szCs w:val="24"/>
        </w:rPr>
        <w:t xml:space="preserve"> określone zostaną zamówienia o charakterze kluczowym dla realizacji Polityki zakupowej państwa (art. 2</w:t>
      </w:r>
      <w:r w:rsidR="003E26E5" w:rsidRPr="00DA788D">
        <w:rPr>
          <w:rFonts w:ascii="Times New Roman" w:eastAsia="Times New Roman" w:hAnsi="Times New Roman" w:cs="Times New Roman"/>
          <w:sz w:val="24"/>
          <w:szCs w:val="24"/>
        </w:rPr>
        <w:t>2</w:t>
      </w:r>
      <w:r w:rsidRPr="00DA788D">
        <w:rPr>
          <w:rFonts w:ascii="Times New Roman" w:eastAsia="Times New Roman" w:hAnsi="Times New Roman" w:cs="Times New Roman"/>
          <w:sz w:val="24"/>
          <w:szCs w:val="24"/>
        </w:rPr>
        <w:t xml:space="preserve"> projektu ustawy).</w:t>
      </w:r>
    </w:p>
    <w:p w14:paraId="544D8A6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Dodatkowo zamawiający mają obowiązek sporządzania planu postępowań o udzielenie zamówień. Obowiązek ten był już ujęty w dotychczasowej ustawie Pzp. Niniejsza ustawa dodaje obowiązek aktualizacji tego planu (art. 2</w:t>
      </w:r>
      <w:r w:rsidR="003E26E5" w:rsidRPr="00DA788D">
        <w:rPr>
          <w:rFonts w:ascii="Times New Roman" w:eastAsia="Times New Roman" w:hAnsi="Times New Roman" w:cs="Times New Roman"/>
          <w:sz w:val="24"/>
          <w:szCs w:val="24"/>
        </w:rPr>
        <w:t>3</w:t>
      </w:r>
      <w:r w:rsidRPr="00DA788D">
        <w:rPr>
          <w:rFonts w:ascii="Times New Roman" w:eastAsia="Times New Roman" w:hAnsi="Times New Roman" w:cs="Times New Roman"/>
          <w:sz w:val="24"/>
          <w:szCs w:val="24"/>
        </w:rPr>
        <w:t xml:space="preserve"> projektu ustawy).</w:t>
      </w:r>
    </w:p>
    <w:p w14:paraId="3DC3CEB0" w14:textId="4E644ABB"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Rozdział 4</w:t>
      </w:r>
      <w:r w:rsidR="00FC218B">
        <w:rPr>
          <w:rFonts w:ascii="Times New Roman" w:eastAsia="Times New Roman" w:hAnsi="Times New Roman" w:cs="Times New Roman"/>
          <w:b/>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Stosowanie przepisów ustawy do zamówień o charakterze mieszanym</w:t>
      </w:r>
    </w:p>
    <w:p w14:paraId="7F66B137" w14:textId="3D967350" w:rsidR="00B7654E" w:rsidRPr="00B7654E" w:rsidRDefault="00B7654E" w:rsidP="00C80E98">
      <w:pPr>
        <w:spacing w:after="120"/>
        <w:ind w:firstLine="708"/>
        <w:jc w:val="both"/>
        <w:rPr>
          <w:rFonts w:ascii="Times New Roman" w:eastAsia="Times New Roman" w:hAnsi="Times New Roman" w:cs="Times New Roman"/>
          <w:sz w:val="24"/>
          <w:szCs w:val="24"/>
        </w:rPr>
      </w:pPr>
      <w:r w:rsidRPr="00B7654E">
        <w:rPr>
          <w:rFonts w:ascii="Times New Roman" w:eastAsia="Times New Roman" w:hAnsi="Times New Roman" w:cs="Times New Roman"/>
          <w:sz w:val="24"/>
          <w:szCs w:val="24"/>
        </w:rPr>
        <w:t xml:space="preserve">W nowy sposób zredagowano przepisy dotyczące stosowania przepisów ustawy do zamówień o charakterze mieszanym, które podlegają różnym reżimom prawnych, właściwym dla zamówienia klasycznych, sektorowych lub w dziedzinach obronności i bezpieczeństwa. Uregulowanie tych kwestii w dotychczasowej ustawie Pzp było mało klarowne. Nowe przepisy ustrukturyzowano na podstawie czytelnego podziału zamówień o charakterze mieszanym na zamówienia podzielne na części, niepodzielne na części oraz służące wykonywaniu różnych rodzajów działalności. Dla każdego z tych trzech przypadków wprowadzono odrębne reguły przyporządkowania zamówienia o charakterze mieszanym właściwemu reżimowi prawnemu. Reguły te zostały usystematyzowane według kolejności ich stosowania. Przykładowo, w przypadku udzielenia jednego zamówienia podzielnego na części najpierw należy zweryfikować, czy znajdzie zastosowanie reguła określona w art. 24 ust. 3 pkt 1. Jeżeli nie są spełnione warunki zastosowania tej reguły w kolejnym kroku sprawdza się, czy znajdzie zastosowanie reguła określona w art. 24 ust. 3 pkt 2. Jeżeli warunki stosowania tej reguły również nie są spełnione, w kolejnym kroku bada się możliwość zastosowania reguły zawartej w art. 24 ust. 3 pkt 3 i tak dalej. Jeżeli zaś określona reguła ma zastosowanie (np. art. 24 ust. 3 pkt 3), nie analizuje się możliwości zastosowania kolejnych </w:t>
      </w:r>
      <w:r w:rsidR="00CA05BC">
        <w:rPr>
          <w:rFonts w:ascii="Times New Roman" w:eastAsia="Times New Roman" w:hAnsi="Times New Roman" w:cs="Times New Roman"/>
          <w:sz w:val="24"/>
          <w:szCs w:val="24"/>
        </w:rPr>
        <w:t xml:space="preserve">reguł </w:t>
      </w:r>
      <w:r w:rsidRPr="00B7654E">
        <w:rPr>
          <w:rFonts w:ascii="Times New Roman" w:eastAsia="Times New Roman" w:hAnsi="Times New Roman" w:cs="Times New Roman"/>
          <w:sz w:val="24"/>
          <w:szCs w:val="24"/>
        </w:rPr>
        <w:t>(np. art. 24 ust. 3 pkt 4 i 5).</w:t>
      </w:r>
    </w:p>
    <w:p w14:paraId="09B0629C" w14:textId="7893BEFF"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5</w:t>
      </w:r>
      <w:r w:rsidR="00FC218B">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Szacowanie wartości zamówienia i konkursu</w:t>
      </w:r>
    </w:p>
    <w:p w14:paraId="4EC3A0F6" w14:textId="4975C9F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dotychczasowej ustawie Pzp, regulacja dotycząca szacowania wartości zamówienia umiejscowiona została w dziale II Postępowanie o udzielenie zamówienia, rozdziale II Przygotowanie postępowania o udzielenie zamówienia i obejmuje przepisy art. 32</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35 ustawy Pzp, z tym że istotna dla szacowania wartości zamówienia norma dotycząca wyjątku od reguły szacowania wartości zamówień częściowych znajduje się poza tym </w:t>
      </w:r>
      <w:r w:rsidRPr="00DA788D">
        <w:rPr>
          <w:rFonts w:ascii="Times New Roman" w:eastAsia="Times New Roman" w:hAnsi="Times New Roman" w:cs="Times New Roman"/>
          <w:sz w:val="24"/>
          <w:szCs w:val="24"/>
        </w:rPr>
        <w:lastRenderedPageBreak/>
        <w:t>rozdziałem – w art. 6a ustawy. Normy dotychczasowej ustawy Pzp wdrożyły do polskiego porządku prawnego normy art. 5 dyrektywy klasycznej i art. 16 dyrektywy sektorowej.</w:t>
      </w:r>
    </w:p>
    <w:p w14:paraId="4202D03D" w14:textId="09E40D3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Projektowane przepisy odzwierciedlają unormowania dotyczące szacunkowej wartości zamówienia publicznego zawarte w dotychczasowej ustawie Pzp. Zachowują one także pełną zgodność z przepisami obowiązujących dyrektyw. Zmiany względem dotychczasowych przepisów mają charakter porządkowy i polegają m. in. podkreśleniu w systematyce ustawy rangi „szacowania wartości zamówienia”, </w:t>
      </w:r>
      <w:r w:rsidR="003A2702">
        <w:rPr>
          <w:rFonts w:ascii="Times New Roman" w:eastAsia="Times New Roman" w:hAnsi="Times New Roman" w:cs="Times New Roman"/>
          <w:sz w:val="24"/>
          <w:szCs w:val="24"/>
        </w:rPr>
        <w:t>skumulowaniu</w:t>
      </w:r>
      <w:r w:rsidR="003A270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przepisów dotyczących szacowania w jednym rozdziale, unormowaniu szacunkowej wartości zamówienia publicznego w ramach trybu dialogu konkurencyjnego z nagrodami, doprecyzowaniu sposobu szacowania wartości </w:t>
      </w:r>
      <w:r w:rsidR="003A2702">
        <w:rPr>
          <w:rFonts w:ascii="Times New Roman" w:eastAsia="Times New Roman" w:hAnsi="Times New Roman" w:cs="Times New Roman"/>
          <w:sz w:val="24"/>
          <w:szCs w:val="24"/>
        </w:rPr>
        <w:t xml:space="preserve">poszczególnych rodzajów zamówień </w:t>
      </w:r>
      <w:r w:rsidRPr="00DA788D">
        <w:rPr>
          <w:rFonts w:ascii="Times New Roman" w:eastAsia="Times New Roman" w:hAnsi="Times New Roman" w:cs="Times New Roman"/>
          <w:sz w:val="24"/>
          <w:szCs w:val="24"/>
        </w:rPr>
        <w:t xml:space="preserve">oraz </w:t>
      </w:r>
      <w:r w:rsidR="003A2702">
        <w:rPr>
          <w:rFonts w:ascii="Times New Roman" w:eastAsia="Times New Roman" w:hAnsi="Times New Roman" w:cs="Times New Roman"/>
          <w:sz w:val="24"/>
          <w:szCs w:val="24"/>
        </w:rPr>
        <w:t xml:space="preserve">wprowadzeniu przepisu dotyczącego </w:t>
      </w:r>
      <w:r w:rsidRPr="00DA788D">
        <w:rPr>
          <w:rFonts w:ascii="Times New Roman" w:eastAsia="Times New Roman" w:hAnsi="Times New Roman" w:cs="Times New Roman"/>
          <w:sz w:val="24"/>
          <w:szCs w:val="24"/>
        </w:rPr>
        <w:t xml:space="preserve">aktualizacji dokonanego szacunku, jeśli ustalony szacunek przed wszczęciem postępowania okazał się nieaktualny. </w:t>
      </w:r>
    </w:p>
    <w:p w14:paraId="00FB89F5" w14:textId="46D12C9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Normy dotyczące szacowania zostały umiejscowione w projekcie ustawy w dziale I Przepisy ogólne, rozdziale 5 Szacowanie wartości zamówienia. Umiejscowienie tych przepisów w dziale ogólnym podkreśla, że przepisy dotyczące szacowania mają charakter uniwersalny i obowiązują dla wszystkich zamówień i konkursów, o których mowa w ustawie. Ponadto przepisy te znajdą zastosowanie w przypadku, gdy ustawa przewiduje określone wyłączenie przedmiotowe od stosowania jej przepisów, które jest uzależnione od wartości takiego zamówienia. </w:t>
      </w:r>
    </w:p>
    <w:p w14:paraId="4CE82EA8" w14:textId="46A8DB17" w:rsidR="0001584F" w:rsidRDefault="00FC218B"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w:t>
      </w:r>
      <w:r w:rsidR="00302E13">
        <w:rPr>
          <w:rFonts w:ascii="Times New Roman" w:eastAsia="Times New Roman" w:hAnsi="Times New Roman" w:cs="Times New Roman"/>
          <w:sz w:val="24"/>
          <w:szCs w:val="24"/>
        </w:rPr>
        <w:t>U</w:t>
      </w:r>
      <w:r>
        <w:rPr>
          <w:rFonts w:ascii="Times New Roman" w:eastAsia="Times New Roman" w:hAnsi="Times New Roman" w:cs="Times New Roman"/>
          <w:sz w:val="24"/>
          <w:szCs w:val="24"/>
        </w:rPr>
        <w:t>stawa</w:t>
      </w:r>
      <w:r w:rsidR="002E64C7" w:rsidRPr="00DA788D">
        <w:rPr>
          <w:rFonts w:ascii="Times New Roman" w:eastAsia="Times New Roman" w:hAnsi="Times New Roman" w:cs="Times New Roman"/>
          <w:sz w:val="24"/>
          <w:szCs w:val="24"/>
        </w:rPr>
        <w:t xml:space="preserve"> porządkuje gradację norm związanych z szacowaniem wartości zamówienia. Podstawową pozostała norma dotycząca ustalenia wartości szacunkowej zamówienia (art. 28 ustawy jest dokładnym odzwierciedleniem dotychczasowego art. 32 ust. 1 ustawy Pzp). Podniesiono rangę przepisu dotyczącego sposobu szacowania zamówień częściowych i udzielanych w częściach, składających się na jedno zamówienie i uporządkowano tę regulację, co ułatwi zrozumienie tej istotnej normy. Dotychczasow</w:t>
      </w:r>
      <w:r w:rsidR="003A2702">
        <w:rPr>
          <w:rFonts w:ascii="Times New Roman" w:eastAsia="Times New Roman" w:hAnsi="Times New Roman" w:cs="Times New Roman"/>
          <w:sz w:val="24"/>
          <w:szCs w:val="24"/>
        </w:rPr>
        <w:t>y</w:t>
      </w:r>
      <w:r w:rsidR="002E64C7" w:rsidRPr="00DA788D">
        <w:rPr>
          <w:rFonts w:ascii="Times New Roman" w:eastAsia="Times New Roman" w:hAnsi="Times New Roman" w:cs="Times New Roman"/>
          <w:sz w:val="24"/>
          <w:szCs w:val="24"/>
        </w:rPr>
        <w:t xml:space="preserve"> art. 32 ust. 4 został zastąpion</w:t>
      </w:r>
      <w:r w:rsidR="003A2702">
        <w:rPr>
          <w:rFonts w:ascii="Times New Roman" w:eastAsia="Times New Roman" w:hAnsi="Times New Roman" w:cs="Times New Roman"/>
          <w:sz w:val="24"/>
          <w:szCs w:val="24"/>
        </w:rPr>
        <w:t>y</w:t>
      </w:r>
      <w:r w:rsidR="002E64C7" w:rsidRPr="00DA788D">
        <w:rPr>
          <w:rFonts w:ascii="Times New Roman" w:eastAsia="Times New Roman" w:hAnsi="Times New Roman" w:cs="Times New Roman"/>
          <w:sz w:val="24"/>
          <w:szCs w:val="24"/>
        </w:rPr>
        <w:t xml:space="preserve"> przez </w:t>
      </w:r>
      <w:r w:rsidR="000C6E7B" w:rsidRPr="00DA788D">
        <w:rPr>
          <w:rFonts w:ascii="Times New Roman" w:eastAsia="Times New Roman" w:hAnsi="Times New Roman" w:cs="Times New Roman"/>
          <w:sz w:val="24"/>
          <w:szCs w:val="24"/>
        </w:rPr>
        <w:t>bardziej czyteln</w:t>
      </w:r>
      <w:r w:rsidR="003A2702">
        <w:rPr>
          <w:rFonts w:ascii="Times New Roman" w:eastAsia="Times New Roman" w:hAnsi="Times New Roman" w:cs="Times New Roman"/>
          <w:sz w:val="24"/>
          <w:szCs w:val="24"/>
        </w:rPr>
        <w:t>ą regulację</w:t>
      </w:r>
      <w:r w:rsidR="002E64C7" w:rsidRPr="00DA788D">
        <w:rPr>
          <w:rFonts w:ascii="Times New Roman" w:eastAsia="Times New Roman" w:hAnsi="Times New Roman" w:cs="Times New Roman"/>
          <w:sz w:val="24"/>
          <w:szCs w:val="24"/>
        </w:rPr>
        <w:t>. Obecna regulacja podkreśla, że niedozwolony podział zamówienia na części nie musi nastąpić z zamiarem uniknięcia stosowania ustawy, wystarczający dla naruszenia reguły zakazu podziału zamówienia na części jest skutek tego podziału (ominięcie stosowania przepisów ustawy).</w:t>
      </w:r>
      <w:r w:rsidR="000C6E7B" w:rsidRPr="00DA788D">
        <w:rPr>
          <w:rFonts w:ascii="Times New Roman" w:eastAsia="Times New Roman" w:hAnsi="Times New Roman" w:cs="Times New Roman"/>
          <w:sz w:val="24"/>
          <w:szCs w:val="24"/>
        </w:rPr>
        <w:t xml:space="preserve"> </w:t>
      </w:r>
    </w:p>
    <w:p w14:paraId="0252B4C9" w14:textId="0AD4E5E3" w:rsidR="0001584F" w:rsidRPr="00DA788D" w:rsidRDefault="009049AF" w:rsidP="0047354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art. 30 </w:t>
      </w:r>
      <w:r w:rsidR="00BA41AF">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precyzyjniej określono sposób szacowania wartości zamówień na </w:t>
      </w:r>
      <w:r w:rsidR="0001584F">
        <w:rPr>
          <w:rFonts w:ascii="Times New Roman" w:eastAsia="Times New Roman" w:hAnsi="Times New Roman" w:cs="Times New Roman"/>
          <w:sz w:val="24"/>
          <w:szCs w:val="24"/>
        </w:rPr>
        <w:t xml:space="preserve">usługi, roboty budowlane i </w:t>
      </w:r>
      <w:r w:rsidRPr="00DA788D">
        <w:rPr>
          <w:rFonts w:ascii="Times New Roman" w:eastAsia="Times New Roman" w:hAnsi="Times New Roman" w:cs="Times New Roman"/>
          <w:sz w:val="24"/>
          <w:szCs w:val="24"/>
        </w:rPr>
        <w:t>dostawy kierując się bezpośrednio przepisem art. 5 dyrektywy klasycznej.</w:t>
      </w:r>
      <w:r w:rsidR="000C6E7B" w:rsidRPr="00DA788D">
        <w:rPr>
          <w:rFonts w:ascii="Times New Roman" w:eastAsia="Times New Roman" w:hAnsi="Times New Roman" w:cs="Times New Roman"/>
          <w:sz w:val="24"/>
          <w:szCs w:val="24"/>
        </w:rPr>
        <w:t xml:space="preserve"> Podstawową regułą decydującą, czy dane </w:t>
      </w:r>
      <w:r w:rsidR="0001584F">
        <w:rPr>
          <w:rFonts w:ascii="Times New Roman" w:eastAsia="Times New Roman" w:hAnsi="Times New Roman" w:cs="Times New Roman"/>
          <w:sz w:val="24"/>
          <w:szCs w:val="24"/>
        </w:rPr>
        <w:t>usługi</w:t>
      </w:r>
      <w:r w:rsidR="0073194B">
        <w:rPr>
          <w:rFonts w:ascii="Times New Roman" w:eastAsia="Times New Roman" w:hAnsi="Times New Roman" w:cs="Times New Roman"/>
          <w:sz w:val="24"/>
          <w:szCs w:val="24"/>
        </w:rPr>
        <w:t>, dostawy</w:t>
      </w:r>
      <w:r w:rsidR="0001584F">
        <w:rPr>
          <w:rFonts w:ascii="Times New Roman" w:eastAsia="Times New Roman" w:hAnsi="Times New Roman" w:cs="Times New Roman"/>
          <w:sz w:val="24"/>
          <w:szCs w:val="24"/>
        </w:rPr>
        <w:t xml:space="preserve"> i roboty budowlane powinny być oszacowane łącznie i traktowane jako jedno zamówienie jest możliwość</w:t>
      </w:r>
      <w:r w:rsidR="00786984">
        <w:rPr>
          <w:rFonts w:ascii="Times New Roman" w:eastAsia="Times New Roman" w:hAnsi="Times New Roman" w:cs="Times New Roman"/>
          <w:sz w:val="24"/>
          <w:szCs w:val="24"/>
        </w:rPr>
        <w:t xml:space="preserve"> uprzedniego zaplanowania usługi, dostawy</w:t>
      </w:r>
      <w:r w:rsidR="0001584F">
        <w:rPr>
          <w:rFonts w:ascii="Times New Roman" w:eastAsia="Times New Roman" w:hAnsi="Times New Roman" w:cs="Times New Roman"/>
          <w:sz w:val="24"/>
          <w:szCs w:val="24"/>
        </w:rPr>
        <w:t xml:space="preserve"> lub robót budowlanych. </w:t>
      </w:r>
      <w:r w:rsidR="00BA41AF">
        <w:rPr>
          <w:rFonts w:ascii="Times New Roman" w:eastAsia="Times New Roman" w:hAnsi="Times New Roman" w:cs="Times New Roman"/>
          <w:sz w:val="24"/>
          <w:szCs w:val="24"/>
        </w:rPr>
        <w:t>A</w:t>
      </w:r>
      <w:r w:rsidR="00786984">
        <w:rPr>
          <w:rFonts w:ascii="Times New Roman" w:eastAsia="Times New Roman" w:hAnsi="Times New Roman" w:cs="Times New Roman"/>
          <w:sz w:val="24"/>
          <w:szCs w:val="24"/>
        </w:rPr>
        <w:t xml:space="preserve">rt. 30 ust. 2 </w:t>
      </w:r>
      <w:r w:rsidR="00BA41AF">
        <w:rPr>
          <w:rFonts w:ascii="Times New Roman" w:eastAsia="Times New Roman" w:hAnsi="Times New Roman" w:cs="Times New Roman"/>
          <w:sz w:val="24"/>
          <w:szCs w:val="24"/>
        </w:rPr>
        <w:t xml:space="preserve">projektu ustawy </w:t>
      </w:r>
      <w:r w:rsidR="0014792C">
        <w:rPr>
          <w:rFonts w:ascii="Times New Roman" w:eastAsia="Times New Roman" w:hAnsi="Times New Roman" w:cs="Times New Roman"/>
          <w:sz w:val="24"/>
          <w:szCs w:val="24"/>
        </w:rPr>
        <w:t xml:space="preserve">wzorowany bezpośrednio na art. 5 ust. 9 dyrektywy klasycznej wprowadza przy tym dodatkową </w:t>
      </w:r>
      <w:r w:rsidR="00120EEF">
        <w:rPr>
          <w:rFonts w:ascii="Times New Roman" w:eastAsia="Times New Roman" w:hAnsi="Times New Roman" w:cs="Times New Roman"/>
          <w:sz w:val="24"/>
          <w:szCs w:val="24"/>
        </w:rPr>
        <w:t>regułę</w:t>
      </w:r>
      <w:r w:rsidR="0014792C">
        <w:rPr>
          <w:rFonts w:ascii="Times New Roman" w:eastAsia="Times New Roman" w:hAnsi="Times New Roman" w:cs="Times New Roman"/>
          <w:sz w:val="24"/>
          <w:szCs w:val="24"/>
        </w:rPr>
        <w:t xml:space="preserve"> szacowania odnoszącą się wyłącznie do dostaw</w:t>
      </w:r>
      <w:r w:rsidR="00120EEF">
        <w:rPr>
          <w:rFonts w:ascii="Times New Roman" w:eastAsia="Times New Roman" w:hAnsi="Times New Roman" w:cs="Times New Roman"/>
          <w:sz w:val="24"/>
          <w:szCs w:val="24"/>
        </w:rPr>
        <w:t>. Reguła nakazuje, aby łączn</w:t>
      </w:r>
      <w:r w:rsidR="0046782C">
        <w:rPr>
          <w:rFonts w:ascii="Times New Roman" w:eastAsia="Times New Roman" w:hAnsi="Times New Roman" w:cs="Times New Roman"/>
          <w:sz w:val="24"/>
          <w:szCs w:val="24"/>
        </w:rPr>
        <w:t>ym</w:t>
      </w:r>
      <w:r w:rsidR="00120EEF">
        <w:rPr>
          <w:rFonts w:ascii="Times New Roman" w:eastAsia="Times New Roman" w:hAnsi="Times New Roman" w:cs="Times New Roman"/>
          <w:sz w:val="24"/>
          <w:szCs w:val="24"/>
        </w:rPr>
        <w:t xml:space="preserve"> szacowani</w:t>
      </w:r>
      <w:r w:rsidR="0046782C">
        <w:rPr>
          <w:rFonts w:ascii="Times New Roman" w:eastAsia="Times New Roman" w:hAnsi="Times New Roman" w:cs="Times New Roman"/>
          <w:sz w:val="24"/>
          <w:szCs w:val="24"/>
        </w:rPr>
        <w:t>em</w:t>
      </w:r>
      <w:r w:rsidR="00120EEF">
        <w:rPr>
          <w:rFonts w:ascii="Times New Roman" w:eastAsia="Times New Roman" w:hAnsi="Times New Roman" w:cs="Times New Roman"/>
          <w:sz w:val="24"/>
          <w:szCs w:val="24"/>
        </w:rPr>
        <w:t xml:space="preserve"> wartości dostaw obejmować nie tylko takie same dostawy, ale także dostawy podobne</w:t>
      </w:r>
      <w:r w:rsidR="0046782C">
        <w:rPr>
          <w:rFonts w:ascii="Times New Roman" w:eastAsia="Times New Roman" w:hAnsi="Times New Roman" w:cs="Times New Roman"/>
          <w:sz w:val="24"/>
          <w:szCs w:val="24"/>
        </w:rPr>
        <w:t>, które należy rozumieć jako dostawy o</w:t>
      </w:r>
      <w:r w:rsidR="0046782C" w:rsidRPr="0046782C">
        <w:rPr>
          <w:rFonts w:ascii="Times New Roman" w:eastAsia="Times New Roman" w:hAnsi="Times New Roman" w:cs="Times New Roman"/>
          <w:sz w:val="24"/>
          <w:szCs w:val="24"/>
        </w:rPr>
        <w:t xml:space="preserve"> identycznym lub podobnym przeznaczeniu</w:t>
      </w:r>
      <w:r w:rsidR="0046782C">
        <w:rPr>
          <w:rFonts w:ascii="Times New Roman" w:eastAsia="Times New Roman" w:hAnsi="Times New Roman" w:cs="Times New Roman"/>
          <w:sz w:val="24"/>
          <w:szCs w:val="24"/>
        </w:rPr>
        <w:t xml:space="preserve"> (motyw 19 dyrektywy klasycznej). </w:t>
      </w:r>
      <w:r w:rsidR="000C6E7B" w:rsidRPr="00DA788D">
        <w:rPr>
          <w:rFonts w:ascii="Times New Roman" w:eastAsia="Times New Roman" w:hAnsi="Times New Roman" w:cs="Times New Roman"/>
          <w:sz w:val="24"/>
          <w:szCs w:val="24"/>
        </w:rPr>
        <w:t xml:space="preserve">Jeżeli </w:t>
      </w:r>
      <w:r w:rsidR="00640D42">
        <w:rPr>
          <w:rFonts w:ascii="Times New Roman" w:eastAsia="Times New Roman" w:hAnsi="Times New Roman" w:cs="Times New Roman"/>
          <w:sz w:val="24"/>
          <w:szCs w:val="24"/>
        </w:rPr>
        <w:t xml:space="preserve">zatem </w:t>
      </w:r>
      <w:r w:rsidR="000C6E7B" w:rsidRPr="00DA788D">
        <w:rPr>
          <w:rFonts w:ascii="Times New Roman" w:eastAsia="Times New Roman" w:hAnsi="Times New Roman" w:cs="Times New Roman"/>
          <w:sz w:val="24"/>
          <w:szCs w:val="24"/>
        </w:rPr>
        <w:t xml:space="preserve">dostawy nie są </w:t>
      </w:r>
      <w:r w:rsidR="00640D42">
        <w:rPr>
          <w:rFonts w:ascii="Times New Roman" w:eastAsia="Times New Roman" w:hAnsi="Times New Roman" w:cs="Times New Roman"/>
          <w:sz w:val="24"/>
          <w:szCs w:val="24"/>
        </w:rPr>
        <w:t xml:space="preserve">takie same lub </w:t>
      </w:r>
      <w:r w:rsidR="000C6E7B" w:rsidRPr="00DA788D">
        <w:rPr>
          <w:rFonts w:ascii="Times New Roman" w:eastAsia="Times New Roman" w:hAnsi="Times New Roman" w:cs="Times New Roman"/>
          <w:sz w:val="24"/>
          <w:szCs w:val="24"/>
        </w:rPr>
        <w:t>podobne</w:t>
      </w:r>
      <w:r w:rsidR="00640D42">
        <w:rPr>
          <w:rFonts w:ascii="Times New Roman" w:eastAsia="Times New Roman" w:hAnsi="Times New Roman" w:cs="Times New Roman"/>
          <w:sz w:val="24"/>
          <w:szCs w:val="24"/>
        </w:rPr>
        <w:t>,</w:t>
      </w:r>
      <w:r w:rsidR="000C6E7B" w:rsidRPr="00DA788D">
        <w:rPr>
          <w:rFonts w:ascii="Times New Roman" w:eastAsia="Times New Roman" w:hAnsi="Times New Roman" w:cs="Times New Roman"/>
          <w:sz w:val="24"/>
          <w:szCs w:val="24"/>
        </w:rPr>
        <w:t xml:space="preserve"> lub nie </w:t>
      </w:r>
      <w:r w:rsidR="009721D4">
        <w:rPr>
          <w:rFonts w:ascii="Times New Roman" w:eastAsia="Times New Roman" w:hAnsi="Times New Roman" w:cs="Times New Roman"/>
          <w:sz w:val="24"/>
          <w:szCs w:val="24"/>
        </w:rPr>
        <w:t>było możliwości ich</w:t>
      </w:r>
      <w:r w:rsidR="00640D42" w:rsidRPr="00DA788D">
        <w:rPr>
          <w:rFonts w:ascii="Times New Roman" w:eastAsia="Times New Roman" w:hAnsi="Times New Roman" w:cs="Times New Roman"/>
          <w:sz w:val="24"/>
          <w:szCs w:val="24"/>
        </w:rPr>
        <w:t xml:space="preserve"> </w:t>
      </w:r>
      <w:r w:rsidR="000C6E7B" w:rsidRPr="00DA788D">
        <w:rPr>
          <w:rFonts w:ascii="Times New Roman" w:eastAsia="Times New Roman" w:hAnsi="Times New Roman" w:cs="Times New Roman"/>
          <w:sz w:val="24"/>
          <w:szCs w:val="24"/>
        </w:rPr>
        <w:t>zaplanowan</w:t>
      </w:r>
      <w:r w:rsidR="009721D4">
        <w:rPr>
          <w:rFonts w:ascii="Times New Roman" w:eastAsia="Times New Roman" w:hAnsi="Times New Roman" w:cs="Times New Roman"/>
          <w:sz w:val="24"/>
          <w:szCs w:val="24"/>
        </w:rPr>
        <w:t>ia</w:t>
      </w:r>
      <w:r w:rsidR="000C6E7B" w:rsidRPr="00DA788D">
        <w:rPr>
          <w:rFonts w:ascii="Times New Roman" w:eastAsia="Times New Roman" w:hAnsi="Times New Roman" w:cs="Times New Roman"/>
          <w:sz w:val="24"/>
          <w:szCs w:val="24"/>
        </w:rPr>
        <w:t xml:space="preserve"> – co do zasady, nie będzie konieczności łącznego szacowania ich wartości. </w:t>
      </w:r>
      <w:r w:rsidR="009721D4">
        <w:rPr>
          <w:rFonts w:ascii="Times New Roman" w:eastAsia="Times New Roman" w:hAnsi="Times New Roman" w:cs="Times New Roman"/>
          <w:sz w:val="24"/>
          <w:szCs w:val="24"/>
        </w:rPr>
        <w:t xml:space="preserve">Podkreślić należy, że reguła podobieństwa nie dotyczy np. usług. </w:t>
      </w:r>
      <w:r w:rsidR="008A6569">
        <w:rPr>
          <w:rFonts w:ascii="Times New Roman" w:eastAsia="Times New Roman" w:hAnsi="Times New Roman" w:cs="Times New Roman"/>
          <w:sz w:val="24"/>
          <w:szCs w:val="24"/>
        </w:rPr>
        <w:t>Obowiązek łącznego szacowania dotyczyć będzie zatem taki</w:t>
      </w:r>
      <w:r w:rsidR="008701BA">
        <w:rPr>
          <w:rFonts w:ascii="Times New Roman" w:eastAsia="Times New Roman" w:hAnsi="Times New Roman" w:cs="Times New Roman"/>
          <w:sz w:val="24"/>
          <w:szCs w:val="24"/>
        </w:rPr>
        <w:t>ej</w:t>
      </w:r>
      <w:r w:rsidR="008A6569">
        <w:rPr>
          <w:rFonts w:ascii="Times New Roman" w:eastAsia="Times New Roman" w:hAnsi="Times New Roman" w:cs="Times New Roman"/>
          <w:sz w:val="24"/>
          <w:szCs w:val="24"/>
        </w:rPr>
        <w:t xml:space="preserve"> sam</w:t>
      </w:r>
      <w:r w:rsidR="008701BA">
        <w:rPr>
          <w:rFonts w:ascii="Times New Roman" w:eastAsia="Times New Roman" w:hAnsi="Times New Roman" w:cs="Times New Roman"/>
          <w:sz w:val="24"/>
          <w:szCs w:val="24"/>
        </w:rPr>
        <w:t>ej</w:t>
      </w:r>
      <w:r w:rsidR="008A6569">
        <w:rPr>
          <w:rFonts w:ascii="Times New Roman" w:eastAsia="Times New Roman" w:hAnsi="Times New Roman" w:cs="Times New Roman"/>
          <w:sz w:val="24"/>
          <w:szCs w:val="24"/>
        </w:rPr>
        <w:t xml:space="preserve"> usług</w:t>
      </w:r>
      <w:r w:rsidR="008701BA">
        <w:rPr>
          <w:rFonts w:ascii="Times New Roman" w:eastAsia="Times New Roman" w:hAnsi="Times New Roman" w:cs="Times New Roman"/>
          <w:sz w:val="24"/>
          <w:szCs w:val="24"/>
        </w:rPr>
        <w:t xml:space="preserve">i (takich samych jednorodnych usług) pod warunkiem, że są one możliwe do przewidzenia. </w:t>
      </w:r>
      <w:r w:rsidR="00BC6293">
        <w:rPr>
          <w:rFonts w:ascii="Times New Roman" w:eastAsia="Times New Roman" w:hAnsi="Times New Roman" w:cs="Times New Roman"/>
          <w:sz w:val="24"/>
          <w:szCs w:val="24"/>
        </w:rPr>
        <w:t>Co do zasady, ustawa nie nakazuje</w:t>
      </w:r>
      <w:r w:rsidR="008701BA">
        <w:rPr>
          <w:rFonts w:ascii="Times New Roman" w:eastAsia="Times New Roman" w:hAnsi="Times New Roman" w:cs="Times New Roman"/>
          <w:sz w:val="24"/>
          <w:szCs w:val="24"/>
        </w:rPr>
        <w:t xml:space="preserve"> łącznego szacowania </w:t>
      </w:r>
      <w:r w:rsidR="00BC6293">
        <w:rPr>
          <w:rFonts w:ascii="Times New Roman" w:eastAsia="Times New Roman" w:hAnsi="Times New Roman" w:cs="Times New Roman"/>
          <w:sz w:val="24"/>
          <w:szCs w:val="24"/>
        </w:rPr>
        <w:t xml:space="preserve">wartości </w:t>
      </w:r>
      <w:r w:rsidR="008701BA">
        <w:rPr>
          <w:rFonts w:ascii="Times New Roman" w:eastAsia="Times New Roman" w:hAnsi="Times New Roman" w:cs="Times New Roman"/>
          <w:sz w:val="24"/>
          <w:szCs w:val="24"/>
        </w:rPr>
        <w:t xml:space="preserve">(jednorodnej) usługi z </w:t>
      </w:r>
      <w:r w:rsidR="00BC6293">
        <w:rPr>
          <w:rFonts w:ascii="Times New Roman" w:eastAsia="Times New Roman" w:hAnsi="Times New Roman" w:cs="Times New Roman"/>
          <w:sz w:val="24"/>
          <w:szCs w:val="24"/>
        </w:rPr>
        <w:t xml:space="preserve">wartością innej </w:t>
      </w:r>
      <w:r w:rsidR="008701BA">
        <w:rPr>
          <w:rFonts w:ascii="Times New Roman" w:eastAsia="Times New Roman" w:hAnsi="Times New Roman" w:cs="Times New Roman"/>
          <w:sz w:val="24"/>
          <w:szCs w:val="24"/>
        </w:rPr>
        <w:t>usług</w:t>
      </w:r>
      <w:r w:rsidR="00BC6293">
        <w:rPr>
          <w:rFonts w:ascii="Times New Roman" w:eastAsia="Times New Roman" w:hAnsi="Times New Roman" w:cs="Times New Roman"/>
          <w:sz w:val="24"/>
          <w:szCs w:val="24"/>
        </w:rPr>
        <w:t>i</w:t>
      </w:r>
      <w:r w:rsidR="008701BA">
        <w:rPr>
          <w:rFonts w:ascii="Times New Roman" w:eastAsia="Times New Roman" w:hAnsi="Times New Roman" w:cs="Times New Roman"/>
          <w:sz w:val="24"/>
          <w:szCs w:val="24"/>
        </w:rPr>
        <w:t xml:space="preserve"> o podobnym przeznaczeniu.</w:t>
      </w:r>
      <w:r w:rsidR="008A6569">
        <w:rPr>
          <w:rFonts w:ascii="Times New Roman" w:eastAsia="Times New Roman" w:hAnsi="Times New Roman" w:cs="Times New Roman"/>
          <w:sz w:val="24"/>
          <w:szCs w:val="24"/>
        </w:rPr>
        <w:t xml:space="preserve"> W przypadku robót budowlanych analiza zasadności dokonania łącznego szacowania wartości robót budowlanych następuje z uwzględnieniem definicji obiektu budowlanego.</w:t>
      </w:r>
    </w:p>
    <w:p w14:paraId="39EE221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Normy dotyczące sposobu szacowania wartości zamówienia w sytuacji, gdy zamawiający przewiduje udzielanie zamówień uzupełniających (podobnych), zastosowanie opcji, bądź prowadzi zamówienie w trybie partnerstwa innowacyjnego lub z wykorzystaniem szczególnych sposobów udzielania zamówień (umowa ramowa, konkurs, dynamiczny system zakupów) nie uległy zmianie. Wprowadzono natomiast do ustawy przepis dotyczący sposobu ustalenia wartości zamówienia w trybie dialogu konkurencyjnego, jeśli zamawiający przewidział nagrody za udział w dialogu. W takiej sytuacji w szacunkowej wartości dialogu konkurencyjnego uwzględnia się wartość tych nagród.</w:t>
      </w:r>
    </w:p>
    <w:p w14:paraId="7F9F9AFC" w14:textId="5D6D3B67" w:rsidR="0047354D" w:rsidRDefault="0047354D"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Podobnie jak w dotychczasowej ustawie </w:t>
      </w:r>
      <w:r w:rsidR="002E64C7" w:rsidRPr="00DA788D">
        <w:rPr>
          <w:rFonts w:ascii="Times New Roman" w:eastAsia="Times New Roman" w:hAnsi="Times New Roman" w:cs="Times New Roman"/>
          <w:sz w:val="24"/>
          <w:szCs w:val="24"/>
        </w:rPr>
        <w:t xml:space="preserve">wartość zamówienia publicznego na roboty budowlane </w:t>
      </w:r>
      <w:r w:rsidR="00FC218B" w:rsidRPr="00DA788D">
        <w:rPr>
          <w:rFonts w:ascii="Times New Roman" w:eastAsia="Times New Roman" w:hAnsi="Times New Roman" w:cs="Times New Roman"/>
          <w:sz w:val="24"/>
          <w:szCs w:val="24"/>
        </w:rPr>
        <w:t>ustala</w:t>
      </w:r>
      <w:r w:rsidR="00FC218B">
        <w:rPr>
          <w:rFonts w:ascii="Times New Roman" w:eastAsia="Times New Roman" w:hAnsi="Times New Roman" w:cs="Times New Roman"/>
          <w:sz w:val="24"/>
          <w:szCs w:val="24"/>
        </w:rPr>
        <w:t>na</w:t>
      </w:r>
      <w:r w:rsidR="00FC218B" w:rsidRPr="00DA78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będzie</w:t>
      </w:r>
      <w:r w:rsidR="002E64C7" w:rsidRPr="00DA788D">
        <w:rPr>
          <w:rFonts w:ascii="Times New Roman" w:eastAsia="Times New Roman" w:hAnsi="Times New Roman" w:cs="Times New Roman"/>
          <w:sz w:val="24"/>
          <w:szCs w:val="24"/>
        </w:rPr>
        <w:t xml:space="preserve">, w zależności od typu robót budowlanych określonych w definicji robót budowlanych, na podstawie: (1) kosztorysu inwestorskiego albo planowanych kosztów robót budowlanych określonych w programie funkcjonalno-użytkowym, jeżeli przedmiotem zamówienia </w:t>
      </w:r>
      <w:r>
        <w:rPr>
          <w:rFonts w:ascii="Times New Roman" w:eastAsia="Times New Roman" w:hAnsi="Times New Roman" w:cs="Times New Roman"/>
          <w:sz w:val="24"/>
          <w:szCs w:val="24"/>
        </w:rPr>
        <w:t>będzie</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wykonanie robót budowlanych, albo (2) planowanych kosztów prac projektowych oraz planowanych kosztów robót budowlanych określonych w programie funkcjonalno-użytkowym, jeżeli przedmiotem zamówienia </w:t>
      </w:r>
      <w:r>
        <w:rPr>
          <w:rFonts w:ascii="Times New Roman" w:eastAsia="Times New Roman" w:hAnsi="Times New Roman" w:cs="Times New Roman"/>
          <w:sz w:val="24"/>
          <w:szCs w:val="24"/>
        </w:rPr>
        <w:t xml:space="preserve">będzie </w:t>
      </w:r>
      <w:r w:rsidR="002E64C7" w:rsidRPr="00DA788D">
        <w:rPr>
          <w:rFonts w:ascii="Times New Roman" w:eastAsia="Times New Roman" w:hAnsi="Times New Roman" w:cs="Times New Roman"/>
          <w:sz w:val="24"/>
          <w:szCs w:val="24"/>
        </w:rPr>
        <w:t xml:space="preserve">zaprojektowanie i wykonanie robót budowlanych. </w:t>
      </w:r>
    </w:p>
    <w:p w14:paraId="2909AE55" w14:textId="428CD12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podobnie jak dotychczasowa ustawa Pzp oraz dyrektywa klasyczna 2014/24/UE posługuje się pojęciem wznowienia zamówienia publicznego i opcją. Zgodnie z art. </w:t>
      </w:r>
      <w:r w:rsidR="000C6E7B" w:rsidRPr="00DA788D">
        <w:rPr>
          <w:rFonts w:ascii="Times New Roman" w:eastAsia="Times New Roman" w:hAnsi="Times New Roman" w:cs="Times New Roman"/>
          <w:sz w:val="24"/>
          <w:szCs w:val="24"/>
        </w:rPr>
        <w:t xml:space="preserve">35 </w:t>
      </w:r>
      <w:r w:rsidRPr="00DA788D">
        <w:rPr>
          <w:rFonts w:ascii="Times New Roman" w:eastAsia="Times New Roman" w:hAnsi="Times New Roman" w:cs="Times New Roman"/>
          <w:sz w:val="24"/>
          <w:szCs w:val="24"/>
        </w:rPr>
        <w:t xml:space="preserve">ust. </w:t>
      </w:r>
      <w:r w:rsidR="003604A9" w:rsidRPr="00DA788D">
        <w:rPr>
          <w:rFonts w:ascii="Times New Roman" w:eastAsia="Times New Roman" w:hAnsi="Times New Roman" w:cs="Times New Roman"/>
          <w:sz w:val="24"/>
          <w:szCs w:val="24"/>
        </w:rPr>
        <w:t>1</w:t>
      </w:r>
      <w:r w:rsidR="00BA41AF">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jeżeli zamówienie przewiduje opcję lub wznowienie, przy ustalaniu szacunkowej wartości zamówienia uwzględnia się największy możliwy zakres tego zamówienia z uwzględnieniem opcji lub wznowienia zamówienia. Opcja stanowi przeniesienie tożsamej instytucji z dotychczasowej ustawy Pzp, przy czym w projekcie ustawy dotyczy także robót budowlanych. Wznowienia zamówienia, są wykonywaniem po raz kolejny tych samych dostaw lub usług przewidzianych w pierwotnej umowie. Wznowienia nie wymagają zmiany umowy i dotyczą umów zawartych na czas określony, które podlegają przedłużaniu na kolejny okres. Ustawa zmodyfikowała dotychczas stosowaną terminologię. W miejsce zamówień powtarzających się okresowo wprowadzono pojęcie „usług lub dostaw, o charakterze ciągłym”, a więc cechujące się trwałością ze względu na czas. Celem zmiany jest nawiązanie do pojęcia zobowiązania o charakterze ciągłym, jakim posługuje się Kodeks cywilny (art. 365</w:t>
      </w:r>
      <w:r w:rsidRPr="00DA788D">
        <w:rPr>
          <w:rFonts w:ascii="Times New Roman" w:eastAsia="Times New Roman" w:hAnsi="Times New Roman" w:cs="Times New Roman"/>
          <w:sz w:val="24"/>
          <w:szCs w:val="24"/>
          <w:vertAlign w:val="superscript"/>
        </w:rPr>
        <w:t>1</w:t>
      </w:r>
      <w:r w:rsidRPr="00DA788D">
        <w:rPr>
          <w:rFonts w:ascii="Times New Roman" w:eastAsia="Times New Roman" w:hAnsi="Times New Roman" w:cs="Times New Roman"/>
          <w:sz w:val="24"/>
          <w:szCs w:val="24"/>
        </w:rPr>
        <w:t>). Zobowiązanie ma charakter ciągły, jeżeli przynajmniej jedna z jego stron jest zobowiązana do spełniania świadczenia okresowego lub świadczenia ciągłego. Zobowiązania ciągłe polegają na tym, że świadczenie jest spełniane przez czas trwania stosunku prawnego bądź w sposób stały i w zasadzie niezmienny (np. świadczenie polegające na zaniechaniu), bądź w sposób kilkukrotny (np. zapłata okresowa czynszu najmu), a zaspokojenie interesu wierzyciela nie może nastąpić w drodze jednorazowego zachowania dłużnika. W zamówieniach publicznych świadczeniami ciągłymi mogą być świadczenia wykonawcy usług polegających na wykonywaniu powtarzających się czynności w określonym czasie, np. ochrony mienia, sprzątania lub utrzymania. W określonych sytuacjach świadczeniem ciągłym może być również świadczenie wykonawcy zamówienia zaliczanego do dostaw, np. wynajmującego lub wydzierżawiającego pojazd. Świadczeniami okresowymi mogą być dostawy artykułów żywnościowych, części zamiennych lub artykułów biurowych. Przykładem może być też umowa serwisowa przez którą wykonawca zobowiązuje się do naprawy określonej maszyny, ilekroć się zepsuje, zamawiający zaś do uiszczania miesięcznego wynagrodzenia w stałej wysokości.</w:t>
      </w:r>
    </w:p>
    <w:p w14:paraId="7371C53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Proponuje się również utrzymanie dotychczasowej regulacji, zgodnie z którą dokonanie oszacowania wartości zamówienia w terminach przewidzianych w obecnej ustawie Pzp (na 6 miesięcy w przypadku robót budowlanych lub 3 miesiące w przypadku dostaw lub usług, przed wszczęciem postępowania) będzie skuteczne, </w:t>
      </w:r>
      <w:r w:rsidRPr="00DA788D">
        <w:rPr>
          <w:rFonts w:ascii="Times New Roman" w:eastAsia="Times New Roman" w:hAnsi="Times New Roman" w:cs="Times New Roman"/>
          <w:sz w:val="24"/>
          <w:szCs w:val="24"/>
        </w:rPr>
        <w:lastRenderedPageBreak/>
        <w:t>pod warunkiem nie wystąpienia w tym okresie okoliczności mogących skutkować dezaktualizacją oszacowania wartości.</w:t>
      </w:r>
    </w:p>
    <w:p w14:paraId="6EA80D72" w14:textId="4B9138A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6</w:t>
      </w:r>
      <w:r w:rsidR="00FC218B">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Zamawiający i wykonawcy</w:t>
      </w:r>
    </w:p>
    <w:p w14:paraId="4018C46D" w14:textId="1D36F9DF"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w:t>
      </w:r>
      <w:r w:rsidR="00FC218B">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Zamawiający</w:t>
      </w:r>
    </w:p>
    <w:p w14:paraId="5DBC895B" w14:textId="77777777" w:rsidR="00CE3084" w:rsidRPr="00DA788D" w:rsidRDefault="00CE3084" w:rsidP="00CE3084">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Pomocnicze działania zakupowe</w:t>
      </w:r>
    </w:p>
    <w:p w14:paraId="24EE5096"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37 ustawy, tak jak w dotychczas obowiązującym stanie prawnym, zamawiający przygotowuje i przeprowadza postępowanie o udzielenie zamówienia publicznego oraz organizuje konkurs. </w:t>
      </w:r>
    </w:p>
    <w:p w14:paraId="65964CE0"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może przygotować oraz przeprowadzić postępowani</w:t>
      </w:r>
      <w:r>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o udzielenie zamówienia albo konkurs samodzielnie, ale może również powierzyć przygotowanie lub przeprowadzenie postępowania o udzielenie zamówienia lub organizację konkursu w ramach pomocniczych działań zakupowych własnej jednostce organizacyjnej lub osobie trzeciej.</w:t>
      </w:r>
    </w:p>
    <w:p w14:paraId="52102B07"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ślad za definicją zawartą w art. 2 pkt 15 dyrektywy klasycznej oraz art. 2 pkt 13 dyrektywy sektorowej, ustawa definiuje pomocnicze działania zakupowe, wskazując, że polegają one na zapewnieniu zamawiającemu wsparcia w związku z udzielaniem zamówienia lub przeprowadzaniem konkursu, w szczególności przez:</w:t>
      </w:r>
    </w:p>
    <w:p w14:paraId="514F9CD5" w14:textId="77777777" w:rsidR="00CE3084" w:rsidRPr="00DA788D" w:rsidRDefault="00CE3084" w:rsidP="00CE3084">
      <w:pPr>
        <w:numPr>
          <w:ilvl w:val="0"/>
          <w:numId w:val="1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zapewnienie infrastruktury technicznej umożliwiającej zamawiającemu udzielanie zamówień lub zawieranie umów ramowych;</w:t>
      </w:r>
    </w:p>
    <w:p w14:paraId="764089CB" w14:textId="77777777" w:rsidR="00CE3084" w:rsidRPr="00DA788D" w:rsidRDefault="00CE3084" w:rsidP="00CE3084">
      <w:pPr>
        <w:numPr>
          <w:ilvl w:val="0"/>
          <w:numId w:val="1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doradztwo dotyczące </w:t>
      </w:r>
      <w:r>
        <w:rPr>
          <w:rFonts w:ascii="Times New Roman" w:eastAsia="Times New Roman" w:hAnsi="Times New Roman" w:cs="Times New Roman"/>
          <w:sz w:val="24"/>
          <w:szCs w:val="24"/>
        </w:rPr>
        <w:t xml:space="preserve">planowania, </w:t>
      </w:r>
      <w:r w:rsidRPr="00DA788D">
        <w:rPr>
          <w:rFonts w:ascii="Times New Roman" w:eastAsia="Times New Roman" w:hAnsi="Times New Roman" w:cs="Times New Roman"/>
          <w:sz w:val="24"/>
          <w:szCs w:val="24"/>
        </w:rPr>
        <w:t>przygotowania lub przeprowadzenia postępowania o udzielenie zamówienia oraz konkursu;</w:t>
      </w:r>
    </w:p>
    <w:p w14:paraId="24F31899" w14:textId="77777777" w:rsidR="00CE3084" w:rsidRPr="00DA788D" w:rsidRDefault="00CE3084" w:rsidP="00CE3084">
      <w:pPr>
        <w:numPr>
          <w:ilvl w:val="0"/>
          <w:numId w:val="1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przygotowanie postępowania o udzielenie zamówienia lub</w:t>
      </w:r>
    </w:p>
    <w:p w14:paraId="1D037622" w14:textId="77777777" w:rsidR="00CE3084" w:rsidRPr="00DA788D" w:rsidRDefault="00CE3084" w:rsidP="00CE3084">
      <w:pPr>
        <w:numPr>
          <w:ilvl w:val="0"/>
          <w:numId w:val="1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przeprowadzanie postępowania o udzielenie zamówienia publicznego w imieniu i na rzecz zamawiającego.</w:t>
      </w:r>
    </w:p>
    <w:p w14:paraId="28D7B3F2"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Podmioty albo jednostki, którym zamawiający powierzył przeprowadzanie takiego postępowania w imieniu i na rzecz zamawiającego działają jako pełnomocnicy zamawiającego.</w:t>
      </w:r>
    </w:p>
    <w:p w14:paraId="761F0A3A" w14:textId="77777777" w:rsidR="00CE3084" w:rsidRPr="00DA788D" w:rsidRDefault="00CE3084" w:rsidP="00CE3084">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Wspólne udzielanie zamówień</w:t>
      </w:r>
    </w:p>
    <w:p w14:paraId="1FD83F92" w14:textId="2F3FE2B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Podobnie jak w dotychczas obowiązującym stanie prawnym, zamawiający będą mogli, stosownie do art. 38 projektu ustawy, który odzwierciedla art. 38 dyrektywy 2014/24/UE oraz art. 56 dyrektywy 2014/25/UE, wspólnie przygotować lub przeprowadzić postępowanie lub </w:t>
      </w:r>
      <w:r>
        <w:rPr>
          <w:rFonts w:ascii="Times New Roman" w:eastAsia="Times New Roman" w:hAnsi="Times New Roman" w:cs="Times New Roman"/>
          <w:sz w:val="24"/>
          <w:szCs w:val="24"/>
        </w:rPr>
        <w:t xml:space="preserve">zorganizować </w:t>
      </w:r>
      <w:r w:rsidRPr="00DA788D">
        <w:rPr>
          <w:rFonts w:ascii="Times New Roman" w:eastAsia="Times New Roman" w:hAnsi="Times New Roman" w:cs="Times New Roman"/>
          <w:sz w:val="24"/>
          <w:szCs w:val="24"/>
        </w:rPr>
        <w:t>konkurs</w:t>
      </w:r>
      <w:r>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udzielić zamówienia, zawrzeć umowę ramową, ustanowić dynamiczny system zakupów oraz udzielać zamówień na podstawie umowy ramowej lub objętych dynamicznym systemem zakupów. Mimo, iż przepisy dyrektywy 2009/81/WE regulującej udzielanie zamówień w dziedzinach obronności i bezpieczeństwa, nie wskazują wprost na stosowanie formuły wspólnego udzielania zamówień, nie ma przeszkód, by wspólne udzielanie zamówień miało zastosowanie również w zakresie zamówień w dziedzinach obronności i bezpieczeństwa. </w:t>
      </w:r>
    </w:p>
    <w:p w14:paraId="460B781D"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Wspólne przeprowadzanie postępowań albo konkursów przez zamawiających może być realizowane w szczególności przez:</w:t>
      </w:r>
    </w:p>
    <w:p w14:paraId="410BD397" w14:textId="77777777" w:rsidR="00CE3084" w:rsidRPr="00DA788D" w:rsidRDefault="00CE3084" w:rsidP="00CE3084">
      <w:pPr>
        <w:numPr>
          <w:ilvl w:val="0"/>
          <w:numId w:val="3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wspólne przygotowanie i przeprowadzenie postępowania;</w:t>
      </w:r>
    </w:p>
    <w:p w14:paraId="7DC126A3" w14:textId="77777777" w:rsidR="00CE3084" w:rsidRPr="00DA788D" w:rsidRDefault="00CE3084" w:rsidP="00CE3084">
      <w:pPr>
        <w:numPr>
          <w:ilvl w:val="0"/>
          <w:numId w:val="3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wspólne przygotowanie postępowania i indywidualne jego prowadzenie przez każdego z wykonawców; </w:t>
      </w:r>
    </w:p>
    <w:p w14:paraId="75F432CC" w14:textId="77777777" w:rsidR="00CE3084" w:rsidRPr="00DA788D" w:rsidRDefault="00CE3084" w:rsidP="00CE3084">
      <w:pPr>
        <w:numPr>
          <w:ilvl w:val="0"/>
          <w:numId w:val="3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wspólne prowadzenie postępowania przez kilku zamawiających;</w:t>
      </w:r>
    </w:p>
    <w:p w14:paraId="344DB86B" w14:textId="77777777" w:rsidR="00CE3084" w:rsidRPr="00DA788D" w:rsidRDefault="00CE3084" w:rsidP="00CE3084">
      <w:pPr>
        <w:numPr>
          <w:ilvl w:val="0"/>
          <w:numId w:val="3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powierzenie jednemu z nich wykonywania czynności w tym postępowaniu w imieniu i na rzecz pozostałych zamawiających.</w:t>
      </w:r>
    </w:p>
    <w:p w14:paraId="24A8A189" w14:textId="40E94665"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Dla celów wspólnego prowadzenia postępowań albo konkursów zamawiający mają zawierać porozumienie. Przy czym ustawa nie nakłada na zamawiających obowiązku zawierania porozumień odrębnie do każdego wspólnie przeprowadzanego postępowania – porozumienia takie mogą mieć </w:t>
      </w:r>
      <w:r>
        <w:rPr>
          <w:rFonts w:ascii="Times New Roman" w:eastAsia="Times New Roman" w:hAnsi="Times New Roman" w:cs="Times New Roman"/>
          <w:sz w:val="24"/>
          <w:szCs w:val="24"/>
        </w:rPr>
        <w:t xml:space="preserve">również </w:t>
      </w:r>
      <w:r w:rsidRPr="00DA788D">
        <w:rPr>
          <w:rFonts w:ascii="Times New Roman" w:eastAsia="Times New Roman" w:hAnsi="Times New Roman" w:cs="Times New Roman"/>
          <w:sz w:val="24"/>
          <w:szCs w:val="24"/>
        </w:rPr>
        <w:t xml:space="preserve">charakter ramowy i być zawierane dla celów przeprowadzania np. określonego rodzaju postępowań. Porozumienia zawierane dla celów wspólnego przeprowadzenia postępowań albo konkursów powinny określać istotne elementy kształtujące i porządkujące współpracę takie jak np.: oznaczenie stron oraz zakres zawieranych porozumień; sposób sporządzenia opisu przedmiotu zamówienia lub konkursu i szacowania i ich wartości; zasady wspólnego przygotowania lub prowadzenia postępowania o udzielenie zamówienia lub organizacji konkursu, w tym wyznaczenie zamawiającego upoważnionego do przeprowadzenia postępowania lub konkursu lub udzielenia zamówienia w imieniu i na rzecz zamawiających wspólnie przygotowujących lub przeprowadzających postępowanie albo organizujących konkurs, zakres upoważnienia wyznaczonego zamawiającego; podział praw i obowiązków między zamawiającymi; zasady wzajemnych rozliczeń między zamawiającymi, w tym pokrycia kosztów czynności postępowania; termin obowiązywania porozumienia; sposób rozstrzygania sporów między stronami i kwestie dotyczące możliwości zmiany porozumienia. </w:t>
      </w:r>
    </w:p>
    <w:p w14:paraId="7449D53D"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Wspólne przeprowadzanie postępowania o udzielenie zamówienia lub konkursu nie zwalnia zamawiających z odpowiedzialności; w takim przypadku każdy zamawiający, który wspólnie z innymi przeprowadza postępowanie</w:t>
      </w:r>
      <w:r>
        <w:rPr>
          <w:rFonts w:ascii="Times New Roman" w:eastAsia="Times New Roman" w:hAnsi="Times New Roman" w:cs="Times New Roman"/>
          <w:sz w:val="24"/>
          <w:szCs w:val="24"/>
        </w:rPr>
        <w:t>, bez względu na rolę, jaką pełni i jaki zakres działań mu przypada w związku ze wspólnym udzielaniem zamówienia lub konkursu,</w:t>
      </w:r>
      <w:r w:rsidRPr="00DA788D">
        <w:rPr>
          <w:rFonts w:ascii="Times New Roman" w:eastAsia="Times New Roman" w:hAnsi="Times New Roman" w:cs="Times New Roman"/>
          <w:sz w:val="24"/>
          <w:szCs w:val="24"/>
        </w:rPr>
        <w:t xml:space="preserve"> odpowiada za zgodność tego postępowania lub konkursu z ustawą tak jakby przeprowadzał je samodzielnie. Projekt ustawy przewiduje, że jedynie w przypadku, gdy postępowanie o udzielenie zamówienia lub konkurs nie są przygotowywane lub prowadzone w całości w imieniu i na rzecz wszystkich zamawiających:</w:t>
      </w:r>
    </w:p>
    <w:p w14:paraId="4F868882" w14:textId="77777777" w:rsidR="00CE3084" w:rsidRPr="00DA788D" w:rsidRDefault="00CE3084" w:rsidP="00CE3084">
      <w:pPr>
        <w:numPr>
          <w:ilvl w:val="0"/>
          <w:numId w:val="42"/>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każdy zamawiający ponosi odpowiedzialność za wypełnienie swoich obowiązków wynikających z ustawy w zakresie części postępowania lub konkursu, które przygotowuje lub prowadzi w swoim imieniu i na swoją rzecz;</w:t>
      </w:r>
    </w:p>
    <w:p w14:paraId="772FCD19" w14:textId="77777777" w:rsidR="00CE3084" w:rsidRPr="00DA788D" w:rsidRDefault="00CE3084" w:rsidP="00CE3084">
      <w:pPr>
        <w:numPr>
          <w:ilvl w:val="0"/>
          <w:numId w:val="42"/>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wszyscy zamawiający ponoszą odpowiedzialność za wypełnienie obowiązków wynikających z ustawy w części postępowania lub konkursu, która jest przygotowywana lub prowadzona w imieniu i na rzecz wszystkich zamawiających.</w:t>
      </w:r>
    </w:p>
    <w:p w14:paraId="7FDC2B2B"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42 ustawy, w oparciu o art. 39 dyrektywy 2014/24/UE oraz art. 57 dyrektywy 2014/25/UE, na podobnych jak wyżej wskazane zasadach zamawiający będą mogli przygotować i przeprowadzić postępowanie o udzielenie zamówienia lub </w:t>
      </w:r>
      <w:r>
        <w:rPr>
          <w:rFonts w:ascii="Times New Roman" w:eastAsia="Times New Roman" w:hAnsi="Times New Roman" w:cs="Times New Roman"/>
          <w:sz w:val="24"/>
          <w:szCs w:val="24"/>
        </w:rPr>
        <w:t xml:space="preserve">zorganizować </w:t>
      </w:r>
      <w:r w:rsidRPr="00DA788D">
        <w:rPr>
          <w:rFonts w:ascii="Times New Roman" w:eastAsia="Times New Roman" w:hAnsi="Times New Roman" w:cs="Times New Roman"/>
          <w:sz w:val="24"/>
          <w:szCs w:val="24"/>
        </w:rPr>
        <w:t xml:space="preserve">konkurs, </w:t>
      </w:r>
      <w:r>
        <w:rPr>
          <w:rFonts w:ascii="Times New Roman" w:eastAsia="Times New Roman" w:hAnsi="Times New Roman" w:cs="Times New Roman"/>
          <w:sz w:val="24"/>
          <w:szCs w:val="24"/>
        </w:rPr>
        <w:t xml:space="preserve">udzielić zamówienia, </w:t>
      </w:r>
      <w:r w:rsidRPr="00DA788D">
        <w:rPr>
          <w:rFonts w:ascii="Times New Roman" w:eastAsia="Times New Roman" w:hAnsi="Times New Roman" w:cs="Times New Roman"/>
          <w:sz w:val="24"/>
          <w:szCs w:val="24"/>
        </w:rPr>
        <w:t xml:space="preserve">zawrzeć umowę ramową, </w:t>
      </w:r>
      <w:r>
        <w:rPr>
          <w:rFonts w:ascii="Times New Roman" w:eastAsia="Times New Roman" w:hAnsi="Times New Roman" w:cs="Times New Roman"/>
          <w:sz w:val="24"/>
          <w:szCs w:val="24"/>
        </w:rPr>
        <w:t>ustanowić</w:t>
      </w:r>
      <w:r w:rsidRPr="00DA788D">
        <w:rPr>
          <w:rFonts w:ascii="Times New Roman" w:eastAsia="Times New Roman" w:hAnsi="Times New Roman" w:cs="Times New Roman"/>
          <w:sz w:val="24"/>
          <w:szCs w:val="24"/>
        </w:rPr>
        <w:t xml:space="preserve"> dynamiczny system zakupów oraz udzielać zamówień na podstawie umowy ramowej lub objętych dynamicznym systemem zakupów wspólnie z zamawiającymi posiadającymi siedzibę w innych państwach członkowskich Unii Europejskiej. W takich przypadkach w zawieranym porozumieniu zamawiający określą:</w:t>
      </w:r>
    </w:p>
    <w:p w14:paraId="3C7110D3" w14:textId="503E6835" w:rsidR="00CE3084" w:rsidRPr="00DA788D" w:rsidRDefault="00CE3084" w:rsidP="00CE3084">
      <w:pPr>
        <w:numPr>
          <w:ilvl w:val="0"/>
          <w:numId w:val="38"/>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obowiązki stron, ich podział i mające zastosowanie przepisy państw zamawiających</w:t>
      </w:r>
      <w:r w:rsidR="00FC218B">
        <w:rPr>
          <w:rFonts w:ascii="Times New Roman" w:eastAsia="Times New Roman" w:hAnsi="Times New Roman" w:cs="Times New Roman"/>
          <w:sz w:val="24"/>
          <w:szCs w:val="24"/>
        </w:rPr>
        <w:t>,</w:t>
      </w:r>
    </w:p>
    <w:p w14:paraId="589F4066" w14:textId="77777777" w:rsidR="00CE3084" w:rsidRPr="00DA788D" w:rsidRDefault="00CE3084" w:rsidP="00CE3084">
      <w:pPr>
        <w:numPr>
          <w:ilvl w:val="0"/>
          <w:numId w:val="38"/>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organizację postępowania o udzielenie zamówienia lub konkursu, zawarcia umowy ramowej lub ustanowienia dynamicznego systemu zakupów, w tym kwestie przygotowania i przeprowadzenia tego postępowania lub konkursu, podziału zamawianych robót budowlanych, dostaw lub usług oraz zawarcia umów,</w:t>
      </w:r>
    </w:p>
    <w:p w14:paraId="70766969" w14:textId="77777777" w:rsidR="00CE3084" w:rsidRPr="00DA788D" w:rsidRDefault="00CE3084" w:rsidP="00CE3084">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ab/>
        <w:t xml:space="preserve">o ile nie zostało to uregulowane w umowie międzynarodowej zawartej między Rzeczpospolitą Polską a państwami członkowskimi Unii Europejskiej. </w:t>
      </w:r>
    </w:p>
    <w:p w14:paraId="09B6D19E"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Przyjęty podział obowiązków i mające zastosowanie przepisy powinny być wskazane w ogłoszeniu o zamówieniu lub dokumentach zamówienia dotyczących wspólnie udzielanych zamówień lub organizowanych konkursów. W zakresie, w jakim mają zastosowanie przepisy innego państwa członkowskiego Unii Europejskiej, przepisy ustawy nie będą miały zastosowania.</w:t>
      </w:r>
    </w:p>
    <w:p w14:paraId="4594403D"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Podobnie jak w przypadku wspólnego udzielania zamówień, rozwiązanie powyższe może być stosowane w przypadku zamówień udzielanych w dziedzinach obronności i bezpieczeństwa.</w:t>
      </w:r>
    </w:p>
    <w:p w14:paraId="63713395" w14:textId="7279D9F8"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będą mogli również, zgodnie z art. 43 projektu ustawy, utworzyć wspólny podmiot z zamawiającymi posiadającymi siedzibę w innych państwach członkowskich Unii Europejskiej w celu przygotowywania i przeprowadzenia postępowania o udzielenie zamówienia lub konkursu, zawierania umów ramowych oraz ustanawiania dynamicznego systemu zakupów. Wówczas, właściwy organ wspólnie utworzonego podmiotu wskazuje przepisy obowiązujące w państw</w:t>
      </w:r>
      <w:r>
        <w:rPr>
          <w:rFonts w:ascii="Times New Roman" w:eastAsia="Times New Roman" w:hAnsi="Times New Roman" w:cs="Times New Roman"/>
          <w:sz w:val="24"/>
          <w:szCs w:val="24"/>
        </w:rPr>
        <w:t>ie</w:t>
      </w:r>
      <w:r w:rsidRPr="00DA788D">
        <w:rPr>
          <w:rFonts w:ascii="Times New Roman" w:eastAsia="Times New Roman" w:hAnsi="Times New Roman" w:cs="Times New Roman"/>
          <w:sz w:val="24"/>
          <w:szCs w:val="24"/>
        </w:rPr>
        <w:t xml:space="preserve"> członkowski</w:t>
      </w:r>
      <w:r>
        <w:rPr>
          <w:rFonts w:ascii="Times New Roman" w:eastAsia="Times New Roman" w:hAnsi="Times New Roman" w:cs="Times New Roman"/>
          <w:sz w:val="24"/>
          <w:szCs w:val="24"/>
        </w:rPr>
        <w:t>m</w:t>
      </w:r>
      <w:r w:rsidRPr="00DA788D">
        <w:rPr>
          <w:rFonts w:ascii="Times New Roman" w:eastAsia="Times New Roman" w:hAnsi="Times New Roman" w:cs="Times New Roman"/>
          <w:sz w:val="24"/>
          <w:szCs w:val="24"/>
        </w:rPr>
        <w:t xml:space="preserve"> Unii Europejskiej</w:t>
      </w:r>
      <w:r w:rsidRPr="008A20A7">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którym wspólny podmiot ma siedzibę albo prowadzi swoją działalność, </w:t>
      </w:r>
      <w:r>
        <w:rPr>
          <w:rFonts w:ascii="Times New Roman" w:eastAsia="Times New Roman" w:hAnsi="Times New Roman" w:cs="Times New Roman"/>
          <w:sz w:val="24"/>
          <w:szCs w:val="24"/>
        </w:rPr>
        <w:t xml:space="preserve">jako </w:t>
      </w:r>
      <w:r w:rsidRPr="00DA788D">
        <w:rPr>
          <w:rFonts w:ascii="Times New Roman" w:eastAsia="Times New Roman" w:hAnsi="Times New Roman" w:cs="Times New Roman"/>
          <w:sz w:val="24"/>
          <w:szCs w:val="24"/>
        </w:rPr>
        <w:t xml:space="preserve"> ma</w:t>
      </w:r>
      <w:r>
        <w:rPr>
          <w:rFonts w:ascii="Times New Roman" w:eastAsia="Times New Roman" w:hAnsi="Times New Roman" w:cs="Times New Roman"/>
          <w:sz w:val="24"/>
          <w:szCs w:val="24"/>
        </w:rPr>
        <w:t>jące</w:t>
      </w:r>
      <w:r w:rsidRPr="00DA788D">
        <w:rPr>
          <w:rFonts w:ascii="Times New Roman" w:eastAsia="Times New Roman" w:hAnsi="Times New Roman" w:cs="Times New Roman"/>
          <w:sz w:val="24"/>
          <w:szCs w:val="24"/>
        </w:rPr>
        <w:t xml:space="preserve"> zastosowanie do przygotowywania i przeprowadzenia postępowania o udzielenie zamówienia lub konkursu, zawierania umów ramowych oraz ustanawiania dynamicznego systemu zakupów przez wspólny podmiot</w:t>
      </w:r>
      <w:r>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Możliwość utworzenia wspólnego podmiotu w celu udzielania zamówień odnosi się także do zamówień udzielanych w dziedzinach obronności i bezpieczeństwa.</w:t>
      </w:r>
    </w:p>
    <w:p w14:paraId="08D4C9A7" w14:textId="77777777" w:rsidR="00CE3084" w:rsidRPr="00DA788D" w:rsidRDefault="00CE3084" w:rsidP="00CE3084">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Centralny zamawiający</w:t>
      </w:r>
    </w:p>
    <w:p w14:paraId="6648BC12" w14:textId="47ABEB4A"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Udzielanie zamówień, zawieranie umów ramowych, ustanawianie dynamicznych systemów zakupów oraz przeprowadzanie konkursów może być realizowane, stosownie do art. 37 dyrektywy 2014/24/UE oraz art. 55 dyrektywy 2014/25/UE, przez centralnego zamawiającego. W </w:t>
      </w:r>
      <w:r>
        <w:rPr>
          <w:rFonts w:ascii="Times New Roman" w:eastAsia="Times New Roman" w:hAnsi="Times New Roman" w:cs="Times New Roman"/>
          <w:sz w:val="24"/>
          <w:szCs w:val="24"/>
        </w:rPr>
        <w:t>art. 44 ustawy</w:t>
      </w:r>
      <w:r w:rsidRPr="00DA788D">
        <w:rPr>
          <w:rFonts w:ascii="Times New Roman" w:eastAsia="Times New Roman" w:hAnsi="Times New Roman" w:cs="Times New Roman"/>
          <w:sz w:val="24"/>
          <w:szCs w:val="24"/>
        </w:rPr>
        <w:t>, w ślad za definicją z art. 2 pkt 16 dyrektywy 2014/24/UE oraz art. 2 pkt 12 dyrektywy</w:t>
      </w:r>
      <w:r>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2014/25/UE, została zawarta definicja centralnego zamawiającego, którym jest zamawiający prowadzący stałą działalność w zakresie:</w:t>
      </w:r>
    </w:p>
    <w:p w14:paraId="0F63E56B" w14:textId="77777777" w:rsidR="00CE3084" w:rsidRPr="00DA788D" w:rsidRDefault="00CE3084" w:rsidP="00CE3084">
      <w:pPr>
        <w:numPr>
          <w:ilvl w:val="0"/>
          <w:numId w:val="29"/>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nabywania produktów lub usług z przeznaczeniem ich odsprzedaży zamawiającym;</w:t>
      </w:r>
    </w:p>
    <w:p w14:paraId="0664FC69" w14:textId="77777777" w:rsidR="00CE3084" w:rsidRPr="00DA788D" w:rsidRDefault="00CE3084" w:rsidP="00CE3084">
      <w:pPr>
        <w:numPr>
          <w:ilvl w:val="0"/>
          <w:numId w:val="29"/>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udzielania zamówień, lub zawierania umów ramowych  na roboty budowlane, dostawy lub usługi.</w:t>
      </w:r>
    </w:p>
    <w:p w14:paraId="6B340702"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zakresie udzielanych przez siebie zamówień, zawieran</w:t>
      </w:r>
      <w:r>
        <w:rPr>
          <w:rFonts w:ascii="Times New Roman" w:eastAsia="Times New Roman" w:hAnsi="Times New Roman" w:cs="Times New Roman"/>
          <w:sz w:val="24"/>
          <w:szCs w:val="24"/>
        </w:rPr>
        <w:t>ia</w:t>
      </w:r>
      <w:r w:rsidRPr="00DA788D">
        <w:rPr>
          <w:rFonts w:ascii="Times New Roman" w:eastAsia="Times New Roman" w:hAnsi="Times New Roman" w:cs="Times New Roman"/>
          <w:sz w:val="24"/>
          <w:szCs w:val="24"/>
        </w:rPr>
        <w:t xml:space="preserve"> umów ramowych, ustanawian</w:t>
      </w:r>
      <w:r>
        <w:rPr>
          <w:rFonts w:ascii="Times New Roman" w:eastAsia="Times New Roman" w:hAnsi="Times New Roman" w:cs="Times New Roman"/>
          <w:sz w:val="24"/>
          <w:szCs w:val="24"/>
        </w:rPr>
        <w:t>ia</w:t>
      </w:r>
      <w:r w:rsidRPr="00DA788D">
        <w:rPr>
          <w:rFonts w:ascii="Times New Roman" w:eastAsia="Times New Roman" w:hAnsi="Times New Roman" w:cs="Times New Roman"/>
          <w:sz w:val="24"/>
          <w:szCs w:val="24"/>
        </w:rPr>
        <w:t xml:space="preserve"> dynamicznych systemów zakupów oraz przeprowadzan</w:t>
      </w:r>
      <w:r>
        <w:rPr>
          <w:rFonts w:ascii="Times New Roman" w:eastAsia="Times New Roman" w:hAnsi="Times New Roman" w:cs="Times New Roman"/>
          <w:sz w:val="24"/>
          <w:szCs w:val="24"/>
        </w:rPr>
        <w:t>ia</w:t>
      </w:r>
      <w:r w:rsidRPr="00DA788D">
        <w:rPr>
          <w:rFonts w:ascii="Times New Roman" w:eastAsia="Times New Roman" w:hAnsi="Times New Roman" w:cs="Times New Roman"/>
          <w:sz w:val="24"/>
          <w:szCs w:val="24"/>
        </w:rPr>
        <w:t xml:space="preserve"> konkursów odpowiedzialność za zgodność z ustawą ponosi centralny zamawiający, a zatem odpowiedzialności w tym zakresie nie ponoszą zamawiający, w których imieniu </w:t>
      </w:r>
      <w:r>
        <w:rPr>
          <w:rFonts w:ascii="Times New Roman" w:eastAsia="Times New Roman" w:hAnsi="Times New Roman" w:cs="Times New Roman"/>
          <w:sz w:val="24"/>
          <w:szCs w:val="24"/>
        </w:rPr>
        <w:t xml:space="preserve">lub </w:t>
      </w:r>
      <w:r w:rsidRPr="00DA788D">
        <w:rPr>
          <w:rFonts w:ascii="Times New Roman" w:eastAsia="Times New Roman" w:hAnsi="Times New Roman" w:cs="Times New Roman"/>
          <w:sz w:val="24"/>
          <w:szCs w:val="24"/>
        </w:rPr>
        <w:t xml:space="preserve">na których rzecz działania te są podejmowane przez centralnego zamawiającego. </w:t>
      </w:r>
    </w:p>
    <w:p w14:paraId="45FDC0C7"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Przepisy ustawy dotyczące zamawiającego mają odpowiednie zastosowanie do centralnego zamawiającego, w tym do centralnego zamawiającego ma zastosowanie obowiązek przeprowadzania postępowań o udzielenie zamówienia publicznego przy użyciu środków komunikacji elektronicznej.</w:t>
      </w:r>
    </w:p>
    <w:p w14:paraId="32D95F3F"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Zamawiający nie będą stosować przepisów ustawy do nabywania od centralnego zamawiającego produktów lub usług. Przepis ten ma zastosowanie do sytuacji, w której zamawiający nabywają produkty lub usługi od centralnego zamawiającego, który działa jako hurtownik i odsprzedaje im nabyte w drodze postępowań o udzielenie zamówienia produkty lub usługi. Zamawiający nie będą stosować ustawy także do odpłatnych usług, które są wykonywane w zakresie działalności centralnego zamawiającego jako hurtownika, a więc wówczas, gdy usługi centralnego zamawiającego jako hurtownika mają charakter odpłatny i zapłata za nie jest uiszczana przez zamawiających </w:t>
      </w:r>
      <w:r>
        <w:rPr>
          <w:rFonts w:ascii="Times New Roman" w:eastAsia="Times New Roman" w:hAnsi="Times New Roman" w:cs="Times New Roman"/>
          <w:sz w:val="24"/>
          <w:szCs w:val="24"/>
        </w:rPr>
        <w:t>niezależnie od</w:t>
      </w:r>
      <w:r w:rsidRPr="00DA788D">
        <w:rPr>
          <w:rFonts w:ascii="Times New Roman" w:eastAsia="Times New Roman" w:hAnsi="Times New Roman" w:cs="Times New Roman"/>
          <w:sz w:val="24"/>
          <w:szCs w:val="24"/>
        </w:rPr>
        <w:t xml:space="preserve"> kwoty jaką zamawiający ci zapłacą za nabywane od centralnego zamawiającego produkty, usługi czy roboty budowlane. Zamawiający nie stosują również ustawy, gdy nabywają od centralnego zamawiającego usługi w zakresie pomocniczych działań zakupowych związanych z doradztwem lub przeprowadzaniem w imieniu albo w imieniu i na rzecz zamawiających postępowań o udzielenie zamówienia lub konkursów. Ponadto, zamawiający nie będą stosować ustawy do nabywania robót budowlanych, produktów lub usług od wykonawców, którym zostały udzielone zamówienia przez centralnego zamawiającego w imieniu lub na rzecz tych zamawiających</w:t>
      </w:r>
      <w:r>
        <w:rPr>
          <w:rFonts w:ascii="Times New Roman" w:eastAsia="Times New Roman" w:hAnsi="Times New Roman" w:cs="Times New Roman"/>
          <w:sz w:val="24"/>
          <w:szCs w:val="24"/>
        </w:rPr>
        <w:t>, od wykonawców w ramach dynamicznego systemu zakupów ustanowionego przez centralnego zamawiającego czy wykonawców, z którymi centralny zamawiający zawarł umowę ramową</w:t>
      </w:r>
      <w:r w:rsidRPr="00DA788D">
        <w:rPr>
          <w:rFonts w:ascii="Times New Roman" w:eastAsia="Times New Roman" w:hAnsi="Times New Roman" w:cs="Times New Roman"/>
          <w:sz w:val="24"/>
          <w:szCs w:val="24"/>
        </w:rPr>
        <w:t>. W przypadku, gdy pomocnicze działania zakupowe (pomoc w zakresie przygotowania czy przeprowadzenia postępowań lub konkursów) są pozyskiwane przez zamawiających od innych podmiotów niż zamawiający centralny – ustawa będzie miała zastosowanie.</w:t>
      </w:r>
    </w:p>
    <w:p w14:paraId="5827BC44"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Centralny zamawiający ponosi samodzielnie odpowiedzialność za zgodność z ustawą przeprowadzania przez siebie postępowań i konkursów i udzielanie zamówień, natomiast zamawiający odpowiadają za zgodność z ustawą własnych działań w zakresie przeprowadzania postępowań w celu udzielania zamówień w ramach dynamicznego systemu zakupów obsługiwanego przez centralnego zamawiającego albo na podstawie umowy ramowej zawartej przez centralnego zamawiającego w przypadku przeprowadzania postępowania konkurencyjnego lub </w:t>
      </w:r>
      <w:r>
        <w:rPr>
          <w:rFonts w:ascii="Times New Roman" w:eastAsia="Times New Roman" w:hAnsi="Times New Roman" w:cs="Times New Roman"/>
          <w:sz w:val="24"/>
          <w:szCs w:val="24"/>
        </w:rPr>
        <w:t>wyboru</w:t>
      </w:r>
      <w:r w:rsidRPr="00DA788D">
        <w:rPr>
          <w:rFonts w:ascii="Times New Roman" w:eastAsia="Times New Roman" w:hAnsi="Times New Roman" w:cs="Times New Roman"/>
          <w:sz w:val="24"/>
          <w:szCs w:val="24"/>
        </w:rPr>
        <w:t xml:space="preserve"> przez zamawiającego wykonawców zamówień. </w:t>
      </w:r>
    </w:p>
    <w:p w14:paraId="076E6861"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ślad za art. 39 dyrektywy 2014/24/UE oraz art. 57 dyrektywy 2014/25/UE, </w:t>
      </w:r>
      <w:r>
        <w:rPr>
          <w:rFonts w:ascii="Times New Roman" w:eastAsia="Times New Roman" w:hAnsi="Times New Roman" w:cs="Times New Roman"/>
          <w:sz w:val="24"/>
          <w:szCs w:val="24"/>
        </w:rPr>
        <w:t>w</w:t>
      </w:r>
      <w:r w:rsidRPr="00DA788D">
        <w:rPr>
          <w:rFonts w:ascii="Times New Roman" w:eastAsia="Times New Roman" w:hAnsi="Times New Roman" w:cs="Times New Roman"/>
          <w:sz w:val="24"/>
          <w:szCs w:val="24"/>
        </w:rPr>
        <w:t xml:space="preserve"> art. 50 ustaw</w:t>
      </w:r>
      <w:r>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przewiduje, że zamawiający może korzystać z usług centralnego zamawiającego mającego siedzibę w innym państwie członkowskim Unii Europejskiej w zakresie nabywania produktów lub usług z przeznaczeniem ich odsprzedaży zamawiającym. Usługi takiego centralnego zamawiającego podlegają przepisom z zakresu zamówień publicznych obowiązującym w tym państwie członkowskim, w którym znajduje się siedziba centralnego zamawiającego. Również do udzielania zamówień objętych dynamicznym systemem zakupów, do udzielania zamówień na podstawie umowy ramowej oraz do </w:t>
      </w:r>
      <w:r>
        <w:rPr>
          <w:rFonts w:ascii="Times New Roman" w:eastAsia="Times New Roman" w:hAnsi="Times New Roman" w:cs="Times New Roman"/>
          <w:sz w:val="24"/>
          <w:szCs w:val="24"/>
        </w:rPr>
        <w:t>wyboru</w:t>
      </w:r>
      <w:r w:rsidRPr="00DA788D">
        <w:rPr>
          <w:rFonts w:ascii="Times New Roman" w:eastAsia="Times New Roman" w:hAnsi="Times New Roman" w:cs="Times New Roman"/>
          <w:sz w:val="24"/>
          <w:szCs w:val="24"/>
        </w:rPr>
        <w:t xml:space="preserve"> wykonawców zamówień na podstawie umowy ramowej zawartej przez takiego centralnego zamawiającego, będą miały zastosowanie przepisy obowiązujące w państwie członkowskim Unii Europejskiej, w którym siedzibę posiada ten zamawiający.</w:t>
      </w:r>
    </w:p>
    <w:p w14:paraId="31A70564"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wprowadza upoważnienia odpowiednio: dla Prezesa Rady Ministrów (w przypadku jednostek organizacyjnych  podległych organom administracji rządowej lub przez te organy nadzorowanych), ministra oraz organu wykonawczego jednostki samorządu terytorialnego (w przypadku zamawiających wchodzących w skład administracji samorządowej), w zakresie podległych im jednostek, do wyznaczenia centralnego zamawiającego, a także polecenia tym jednostkom nabywanie określonych zamówień od takiego centralnego zamawiającego albo od wykonawców wybranych przez centralnego zamawiającego, udzielania zamówień pu</w:t>
      </w:r>
      <w:r w:rsidRPr="00DA788D">
        <w:rPr>
          <w:rFonts w:ascii="Times New Roman" w:eastAsia="Times New Roman" w:hAnsi="Times New Roman" w:cs="Times New Roman"/>
          <w:sz w:val="24"/>
          <w:szCs w:val="24"/>
        </w:rPr>
        <w:lastRenderedPageBreak/>
        <w:t xml:space="preserve">blicznych na podstawie umowy ramowej zawartej przez centralną jednostkę zakupującą lub objętych dynamicznych systemów zakupów obsługiwanych przez tę jednostkę oraz określenia sposobu współdziałania z centralną jednostką zakupującą. </w:t>
      </w:r>
    </w:p>
    <w:p w14:paraId="6F8690FC" w14:textId="77777777" w:rsidR="00CE3084" w:rsidRPr="00DA788D" w:rsidRDefault="00CE3084" w:rsidP="00CE3084">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Konflikt interesów</w:t>
      </w:r>
    </w:p>
    <w:p w14:paraId="18751493" w14:textId="296E5AD0"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Ustawa zmienia przyjęte w dotychczas obowiązujących przepisach regulacje dotyczące wyłączenia osób wykonujących czynności w postępowaniu o udzielenie zamówienia po stronie zamawiającego w sytuacji, gdy nie zapewniają one bezstronności i obiektywizmu. Na wzór rozwiązań prawnych zawartych w dyrektywach europejskich  ustawa posługuje się na określenie takich przypadków pojęciem konfliktu interesów. Należy przez to rozumieć każdą sytuację, w której bezstronność lub niezależność osób działających po stronie zamawiającego w postępowaniu o udzielenie zamówienia publicznego jest lub może być postrzegana jako zagrożona z uwagi na posiadanie bezpośredniego lub pośredniego interesu finansowego, ekonomicznego lub osobistego w określonym rozstrzygnięciu tego postępowania. Wyeksponowana została w ten sposób konieczność wyłączenia takich osób z działań związanych z postępowaniem o udzielenie zamówienia publicznego nie tylko z powodu rzeczywistego, ale również postrzeganego konfliktu interesów. Ponadto w ustawie został wskazany moment, w którym osoby występujące po stronie zamawiającego mają składać oświadczenie o braku lub istnieniu konfliktu interesów;  oświadczenie o istnieniu konfliktu interesów powinno być</w:t>
      </w:r>
      <w:r w:rsidR="00A01338">
        <w:rPr>
          <w:rFonts w:ascii="Times New Roman" w:eastAsia="Times New Roman" w:hAnsi="Times New Roman" w:cs="Times New Roman"/>
          <w:sz w:val="24"/>
          <w:szCs w:val="24"/>
        </w:rPr>
        <w:t xml:space="preserve"> złożone</w:t>
      </w:r>
      <w:r w:rsidRPr="00DA788D">
        <w:rPr>
          <w:rFonts w:ascii="Times New Roman" w:eastAsia="Times New Roman" w:hAnsi="Times New Roman" w:cs="Times New Roman"/>
          <w:sz w:val="24"/>
          <w:szCs w:val="24"/>
        </w:rPr>
        <w:t xml:space="preserve">, stosownie do art. 56 ust. 5 i 6 ustawy, niezwłocznie po powzięciu wiadomości o jego zaistnieniu, a oświadczenie o braku istnienia takiego konfliktu nie później niż przed zakończeniem postępowania o udzielenie zamówienia. Obowiązek złożenia oświadczenia o braku lub istnieniu konfliktu interesów rozciągnięty został również na osoby udzielające zamówienia. Zawarcie umowy w sprawie zamówienia publicznego nie jest bowiem czynnością w postępowaniu o udzielenie zamówienia. </w:t>
      </w:r>
    </w:p>
    <w:p w14:paraId="5EA31D26" w14:textId="4CB64746" w:rsidR="00CE3084" w:rsidRPr="00DA788D" w:rsidRDefault="00CE3084" w:rsidP="00CE3084">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Wykonawcy</w:t>
      </w:r>
    </w:p>
    <w:p w14:paraId="32A21B2A" w14:textId="18FDD95D"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Rozwinięte zostały także normy o wspólnym ubieganiu się wykonawców o udzielenie zamówienia. W ślad za art. 19 ust. 3 dyrektywy klasycznej i art. 37 ust. 3 dyrektywy sektorowej zostało doprecyzowane, że wprawdzie zamawiający nie może wymagać od wykonawców wspólnie ubiegających się o udzielenie zamówienia posiadania określonej formy prawnej na etapie ubiegania się o to  zamówienie, wolno mu jednak żądać przyjęcia takiej formy w przypadku udzielenia im zamówienia, o ile taka forma prawna jest niezbędna do właściwej realizacji zamówienia. W ramach realizacji art. 63 ust. 2 dyrektywy klasycznej dopuszczona została również możliwość zastrzeżenia przez zamawiającego obowiązku osobistego wykonania przez jednego z wykonawców wspólnie ubiegających się o udzielenie zamówienia kluczowych zadań dotyczących zamówień na roboty budowlane lub usługi albo dotyczących prac związanych z rozmieszczeniem i instalacją w ramach zamówienia na dostawy. </w:t>
      </w:r>
    </w:p>
    <w:p w14:paraId="0FF8E45D" w14:textId="44C03227" w:rsidR="00CE3084" w:rsidRPr="00DA788D" w:rsidRDefault="00CE3084" w:rsidP="00CE3084">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7</w:t>
      </w:r>
      <w:r w:rsidR="00A01338">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Komunikacja zamawiającego z wykonawcami</w:t>
      </w:r>
    </w:p>
    <w:p w14:paraId="5A5D8FE9"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Analogicznie jak w dotychczas obowiązujących przepisach, ustawa w ślad za postanowieniami dyrektyw wdraża obowiązek elektronicznej komunikacji pomiędzy zamawiającym a wykonawcami w postępowaniu o udzielenie zamówienia publicznego i w konkursie. Komunikacja elektroniczna sprzyja przejrzystemu procesowi udzielania zamówień i przeprowadzania konkursów, pozwalając w większym stopniu na unikanie zjawisk sprzyjających korupcji. Zapewnia również wykonawcom lepszy dostęp do zamówień publicznych i konkursów, a co </w:t>
      </w:r>
      <w:r w:rsidRPr="00DA788D">
        <w:rPr>
          <w:rFonts w:ascii="Times New Roman" w:eastAsia="Times New Roman" w:hAnsi="Times New Roman" w:cs="Times New Roman"/>
          <w:sz w:val="24"/>
          <w:szCs w:val="24"/>
        </w:rPr>
        <w:lastRenderedPageBreak/>
        <w:t>za tym idzie wpływa na zwiększenie konkurencji i poprawę efektywności udzielania zamówień i rozstrzygania konkursów.</w:t>
      </w:r>
    </w:p>
    <w:p w14:paraId="5266CC76" w14:textId="77777777" w:rsidR="00CE3084"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Elektroniczna komunikacja </w:t>
      </w:r>
      <w:r>
        <w:rPr>
          <w:rFonts w:ascii="Times New Roman" w:eastAsia="Times New Roman" w:hAnsi="Times New Roman" w:cs="Times New Roman"/>
          <w:sz w:val="24"/>
          <w:szCs w:val="24"/>
        </w:rPr>
        <w:t xml:space="preserve">obowiązuje </w:t>
      </w:r>
      <w:r w:rsidRPr="00DA788D">
        <w:rPr>
          <w:rFonts w:ascii="Times New Roman" w:eastAsia="Times New Roman" w:hAnsi="Times New Roman" w:cs="Times New Roman"/>
          <w:sz w:val="24"/>
          <w:szCs w:val="24"/>
        </w:rPr>
        <w:t xml:space="preserve">zarówno </w:t>
      </w:r>
      <w:r>
        <w:rPr>
          <w:rFonts w:ascii="Times New Roman" w:eastAsia="Times New Roman" w:hAnsi="Times New Roman" w:cs="Times New Roman"/>
          <w:sz w:val="24"/>
          <w:szCs w:val="24"/>
        </w:rPr>
        <w:t xml:space="preserve">w odniesieniu do </w:t>
      </w:r>
      <w:r w:rsidRPr="00DA788D">
        <w:rPr>
          <w:rFonts w:ascii="Times New Roman" w:eastAsia="Times New Roman" w:hAnsi="Times New Roman" w:cs="Times New Roman"/>
          <w:sz w:val="24"/>
          <w:szCs w:val="24"/>
        </w:rPr>
        <w:t xml:space="preserve">składania przez wykonawców ofert, wniosków, oświadczeń oraz wszelkich innych dokumentów jak i porozumiewania się w zakresie m.in. zapytań dotyczących postępowania o udzielenie zamówienia czy konkursu, udzielania przez zamawiającego odpowiedzi na te pytania czy przekazywania komunikatów i informacji w związku z postępowaniem czy konkursem. Obowiązek komunikacji elektronicznej nie wyklucza ustnego porozumiewania się wykonawców i zamawiających </w:t>
      </w:r>
      <w:r>
        <w:rPr>
          <w:rFonts w:ascii="Times New Roman" w:eastAsia="Times New Roman" w:hAnsi="Times New Roman" w:cs="Times New Roman"/>
          <w:sz w:val="24"/>
          <w:szCs w:val="24"/>
        </w:rPr>
        <w:t xml:space="preserve">w przypadku prowadzenia negocjacji lub dialogu zamawiającego z wykonawcami,  oraz w odniesieniu do informacji, które nie mają istotnego znaczenia w prowadzonym postępowaniu lub konkursie (nie dotyczą np. zmian ogłoszenia, wyjaśnień dotyczących treści dokumentów zamówienia, treści wniosków o dopuszczenie do udziału w postępowaniu, ofert lub prac konkursowych), i </w:t>
      </w:r>
      <w:r w:rsidRPr="00DA788D">
        <w:rPr>
          <w:rFonts w:ascii="Times New Roman" w:eastAsia="Times New Roman" w:hAnsi="Times New Roman" w:cs="Times New Roman"/>
          <w:sz w:val="24"/>
          <w:szCs w:val="24"/>
        </w:rPr>
        <w:t xml:space="preserve">o ile treść takiej wymiany informacji będzie udokumentowana tzn. zostanie załączona do protokołu postępowania . </w:t>
      </w:r>
    </w:p>
    <w:p w14:paraId="4CBEBD82" w14:textId="0DC5CABC" w:rsidR="00CE3084" w:rsidRDefault="00CE3084" w:rsidP="00CE3084">
      <w:pPr>
        <w:pStyle w:val="Akapitzlist"/>
        <w:pBdr>
          <w:top w:val="nil"/>
          <w:left w:val="nil"/>
          <w:bottom w:val="nil"/>
          <w:right w:val="nil"/>
          <w:between w:val="nil"/>
        </w:pBdr>
        <w:spacing w:before="12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Ustawa przewiduje także</w:t>
      </w:r>
      <w:r w:rsidR="00A013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 art. 63</w:t>
      </w:r>
      <w:r w:rsidR="00A013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 jakiej formie mają być składane oferty, wnioski o dopuszczenie do udziału w postępowaniu o udzielenie zamówienia publicznego lub w konkursie, wnioski o dopuszczenie do udziału w systemie kwalifikowania wykonawców oraz oświadczenia wykonawców o niepodleganiu wykluczeniu oraz spełnianiu przez wykonawców warunków udziału w postępowaniu lub kryteriów selekcji, w postępowaniach lub konkursach o wartości powyżej progów unijnych </w:t>
      </w:r>
      <w:r w:rsidR="00A01338">
        <w:rPr>
          <w:rFonts w:ascii="Times New Roman" w:eastAsia="Times New Roman" w:hAnsi="Times New Roman" w:cs="Times New Roman"/>
          <w:sz w:val="24"/>
          <w:szCs w:val="24"/>
        </w:rPr>
        <w:t>(</w:t>
      </w:r>
      <w:r>
        <w:rPr>
          <w:rFonts w:ascii="Times New Roman" w:eastAsia="Times New Roman" w:hAnsi="Times New Roman" w:cs="Times New Roman"/>
          <w:sz w:val="24"/>
          <w:szCs w:val="24"/>
        </w:rPr>
        <w:t>tj. pod rygorem nieważności musi to być forma elektroniczna w rozumieniu Kodeksu cywilnego</w:t>
      </w:r>
      <w:r w:rsidR="00A013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 przypadku postępowań o udzielenie zamówienia publicznego lub konkursu o wartości niższej niż wartość właściwa dla progów unijnych, </w:t>
      </w:r>
      <w:r w:rsidRPr="00321785">
        <w:rPr>
          <w:rFonts w:ascii="Times New Roman" w:eastAsia="Times" w:hAnsi="Times New Roman" w:cs="Times New Roman"/>
          <w:color w:val="000000"/>
          <w:sz w:val="24"/>
          <w:szCs w:val="24"/>
        </w:rPr>
        <w:t>ofert</w:t>
      </w:r>
      <w:r>
        <w:rPr>
          <w:rFonts w:ascii="Times New Roman" w:eastAsia="Times" w:hAnsi="Times New Roman" w:cs="Times New Roman"/>
          <w:color w:val="000000"/>
          <w:sz w:val="24"/>
          <w:szCs w:val="24"/>
        </w:rPr>
        <w:t>y</w:t>
      </w:r>
      <w:r w:rsidRPr="00321785">
        <w:rPr>
          <w:rFonts w:ascii="Times New Roman" w:eastAsia="Times" w:hAnsi="Times New Roman" w:cs="Times New Roman"/>
          <w:color w:val="000000"/>
          <w:sz w:val="24"/>
          <w:szCs w:val="24"/>
        </w:rPr>
        <w:t>, wniosk</w:t>
      </w:r>
      <w:r>
        <w:rPr>
          <w:rFonts w:ascii="Times New Roman" w:eastAsia="Times" w:hAnsi="Times New Roman" w:cs="Times New Roman"/>
          <w:color w:val="000000"/>
          <w:sz w:val="24"/>
          <w:szCs w:val="24"/>
        </w:rPr>
        <w:t>i</w:t>
      </w:r>
      <w:r w:rsidRPr="00321785">
        <w:rPr>
          <w:rFonts w:ascii="Times New Roman" w:eastAsia="Times" w:hAnsi="Times New Roman" w:cs="Times New Roman"/>
          <w:color w:val="000000"/>
          <w:sz w:val="24"/>
          <w:szCs w:val="24"/>
        </w:rPr>
        <w:t xml:space="preserve"> o dopuszczenie do udziału w postępowaniu o udzielenie zamówienia lub w konkursie</w:t>
      </w:r>
      <w:r>
        <w:rPr>
          <w:rFonts w:ascii="Times New Roman" w:eastAsia="Times" w:hAnsi="Times New Roman" w:cs="Times New Roman"/>
          <w:color w:val="000000"/>
          <w:sz w:val="24"/>
          <w:szCs w:val="24"/>
        </w:rPr>
        <w:t xml:space="preserve"> i </w:t>
      </w:r>
      <w:r w:rsidRPr="00321785">
        <w:rPr>
          <w:rFonts w:ascii="Times New Roman" w:eastAsia="Times" w:hAnsi="Times New Roman" w:cs="Times New Roman"/>
          <w:color w:val="000000"/>
          <w:sz w:val="24"/>
          <w:szCs w:val="24"/>
        </w:rPr>
        <w:t>oświadczeni</w:t>
      </w:r>
      <w:r>
        <w:rPr>
          <w:rFonts w:ascii="Times New Roman" w:eastAsia="Times" w:hAnsi="Times New Roman" w:cs="Times New Roman"/>
          <w:color w:val="000000"/>
          <w:sz w:val="24"/>
          <w:szCs w:val="24"/>
        </w:rPr>
        <w:t>a</w:t>
      </w:r>
      <w:r w:rsidRPr="003217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wykonawców o niepodleganiu wykluczeniu oraz spełnianiu przez wykonawców warunków udziału w postępowaniu lub kryteriów selekcji</w:t>
      </w:r>
      <w:r>
        <w:rPr>
          <w:rFonts w:ascii="Times New Roman" w:eastAsia="Times" w:hAnsi="Times New Roman" w:cs="Times New Roman"/>
          <w:color w:val="000000"/>
          <w:sz w:val="24"/>
          <w:szCs w:val="24"/>
        </w:rPr>
        <w:t xml:space="preserve"> </w:t>
      </w:r>
      <w:r w:rsidRPr="00321785">
        <w:rPr>
          <w:rFonts w:ascii="Times New Roman" w:eastAsia="Times" w:hAnsi="Times New Roman" w:cs="Times New Roman"/>
          <w:color w:val="000000"/>
          <w:sz w:val="24"/>
          <w:szCs w:val="24"/>
        </w:rPr>
        <w:t xml:space="preserve">, o którym mowa w art. 125 ust. 1, </w:t>
      </w:r>
      <w:r>
        <w:rPr>
          <w:rFonts w:ascii="Times New Roman" w:eastAsia="Times" w:hAnsi="Times New Roman" w:cs="Times New Roman"/>
          <w:color w:val="000000"/>
          <w:sz w:val="24"/>
          <w:szCs w:val="24"/>
        </w:rPr>
        <w:t xml:space="preserve">będą </w:t>
      </w:r>
      <w:r w:rsidRPr="00321785">
        <w:rPr>
          <w:rFonts w:ascii="Times New Roman" w:eastAsia="Times" w:hAnsi="Times New Roman" w:cs="Times New Roman"/>
          <w:color w:val="000000"/>
          <w:sz w:val="24"/>
          <w:szCs w:val="24"/>
        </w:rPr>
        <w:t>składa</w:t>
      </w:r>
      <w:r>
        <w:rPr>
          <w:rFonts w:ascii="Times New Roman" w:eastAsia="Times" w:hAnsi="Times New Roman" w:cs="Times New Roman"/>
          <w:color w:val="000000"/>
          <w:sz w:val="24"/>
          <w:szCs w:val="24"/>
        </w:rPr>
        <w:t>ne</w:t>
      </w:r>
      <w:r w:rsidRPr="00321785">
        <w:rPr>
          <w:rFonts w:ascii="Times New Roman" w:eastAsia="Times" w:hAnsi="Times New Roman" w:cs="Times New Roman"/>
          <w:color w:val="000000"/>
          <w:sz w:val="24"/>
          <w:szCs w:val="24"/>
        </w:rPr>
        <w:t xml:space="preserve"> pod rygorem nieważności</w:t>
      </w:r>
      <w:r>
        <w:rPr>
          <w:rFonts w:ascii="Times New Roman" w:eastAsia="Times" w:hAnsi="Times New Roman" w:cs="Times New Roman"/>
          <w:color w:val="000000"/>
          <w:sz w:val="24"/>
          <w:szCs w:val="24"/>
        </w:rPr>
        <w:t xml:space="preserve"> </w:t>
      </w:r>
      <w:r w:rsidRPr="00321785">
        <w:rPr>
          <w:rFonts w:ascii="Times New Roman" w:eastAsia="Times" w:hAnsi="Times New Roman" w:cs="Times New Roman"/>
          <w:sz w:val="24"/>
          <w:szCs w:val="24"/>
        </w:rPr>
        <w:t>w formie elektronicznej lub w postaci elektronicznej opatrzonej podpisem zaufanym, o którym mowa w  ustawie z dnia 17 lutego 2005 r. o informatyzacji działalności podmiotów realizujących zadania publiczne (Dz. U. z 2019 r. poz. 700</w:t>
      </w:r>
      <w:r w:rsidR="00A01338">
        <w:rPr>
          <w:rFonts w:ascii="Times New Roman" w:eastAsia="Times" w:hAnsi="Times New Roman" w:cs="Times New Roman"/>
          <w:sz w:val="24"/>
          <w:szCs w:val="24"/>
        </w:rPr>
        <w:t>, z późn. zm.</w:t>
      </w:r>
      <w:r w:rsidRPr="00321785">
        <w:rPr>
          <w:rFonts w:ascii="Times New Roman" w:eastAsia="Times" w:hAnsi="Times New Roman" w:cs="Times New Roman"/>
          <w:sz w:val="24"/>
          <w:szCs w:val="24"/>
        </w:rPr>
        <w:t xml:space="preserve">) lub podpisem osobistym, o którym mowa w  ustawie z dnia </w:t>
      </w:r>
      <w:r w:rsidRPr="00321785">
        <w:rPr>
          <w:rFonts w:ascii="Times New Roman" w:eastAsia="Times New Roman" w:hAnsi="Times New Roman" w:cs="Times New Roman"/>
          <w:sz w:val="24"/>
          <w:szCs w:val="24"/>
        </w:rPr>
        <w:t>z dnia 6 sierpnia 2010 r. o dowodach osobistych (Dz. U. z 2019 r. poz. 653 i 730)</w:t>
      </w:r>
      <w:r>
        <w:rPr>
          <w:rFonts w:ascii="Times New Roman" w:eastAsia="Times New Roman" w:hAnsi="Times New Roman" w:cs="Times New Roman"/>
          <w:sz w:val="24"/>
          <w:szCs w:val="24"/>
        </w:rPr>
        <w:t>.</w:t>
      </w:r>
    </w:p>
    <w:p w14:paraId="4C78FA9E" w14:textId="1D36B03A"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sytuacjach określonych </w:t>
      </w:r>
      <w:r w:rsidR="00A01338" w:rsidRPr="00DA788D">
        <w:rPr>
          <w:rFonts w:ascii="Times New Roman" w:eastAsia="Times New Roman" w:hAnsi="Times New Roman" w:cs="Times New Roman"/>
          <w:sz w:val="24"/>
          <w:szCs w:val="24"/>
        </w:rPr>
        <w:t>w art. 65</w:t>
      </w:r>
      <w:r w:rsidR="00E32874">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ustaw</w:t>
      </w:r>
      <w:r w:rsidR="00A01338">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 xml:space="preserve">, takich jak wyspecjalizowany charakter zamówienia, który wymagałby użycia równie specjalistycznych narzędzi i urządzeń czy wówczas, gdy jest wymagane przedstawienie modelu fizycznego, modelu w skali lub próbki, których nie można przekazać przy użyciu środków komunikacji elektronicznej, czy ze względu na potrzebę ochrony informacji szczególnie wrażliwych zamawiający, podobnie jak w dotychczasowym stanie prawnym, będzie mógł odstąpić od użycia środków komunikacji elektronicznej. W takiej sytuacji wniosek o dopuszczenie do udziału w postępowaniu, oferta, </w:t>
      </w:r>
      <w:r>
        <w:rPr>
          <w:rFonts w:ascii="Times New Roman" w:eastAsia="Times New Roman" w:hAnsi="Times New Roman" w:cs="Times New Roman"/>
          <w:sz w:val="24"/>
          <w:szCs w:val="24"/>
        </w:rPr>
        <w:t xml:space="preserve">praca konkursowa </w:t>
      </w:r>
      <w:r w:rsidRPr="00DA788D">
        <w:rPr>
          <w:rFonts w:ascii="Times New Roman" w:eastAsia="Times New Roman" w:hAnsi="Times New Roman" w:cs="Times New Roman"/>
          <w:sz w:val="24"/>
          <w:szCs w:val="24"/>
        </w:rPr>
        <w:t xml:space="preserve">lub ich części, </w:t>
      </w:r>
      <w:r>
        <w:rPr>
          <w:rFonts w:ascii="Times New Roman" w:eastAsia="Times New Roman" w:hAnsi="Times New Roman" w:cs="Times New Roman"/>
          <w:sz w:val="24"/>
          <w:szCs w:val="24"/>
        </w:rPr>
        <w:t>będą mogły być przekazywane w postaci innej niż elektroniczna</w:t>
      </w:r>
      <w:r w:rsidRPr="001D1AF1">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na zasadach określonych w dokumentach zamówienia, także</w:t>
      </w:r>
      <w:r>
        <w:rPr>
          <w:rFonts w:ascii="Times New Roman" w:eastAsia="Times New Roman" w:hAnsi="Times New Roman" w:cs="Times New Roman"/>
          <w:sz w:val="24"/>
          <w:szCs w:val="24"/>
        </w:rPr>
        <w:t xml:space="preserve"> w</w:t>
      </w:r>
      <w:r w:rsidRPr="00DA788D">
        <w:rPr>
          <w:rFonts w:ascii="Times New Roman" w:eastAsia="Times New Roman" w:hAnsi="Times New Roman" w:cs="Times New Roman"/>
          <w:sz w:val="24"/>
          <w:szCs w:val="24"/>
        </w:rPr>
        <w:t xml:space="preserve"> innej postaci niż papierowa np. na nośniku elektronicznym</w:t>
      </w:r>
      <w:r>
        <w:rPr>
          <w:rFonts w:ascii="Times New Roman" w:eastAsia="Times New Roman" w:hAnsi="Times New Roman" w:cs="Times New Roman"/>
          <w:sz w:val="24"/>
          <w:szCs w:val="24"/>
        </w:rPr>
        <w:t>, przy czym  wniosek o dopuszczenie do udziału w postępowaniu lub konkursie, wniosek o dopuszczenie do udziału w systemie kwalifikowania wykonawców, oferty, lub odpowiednio ich części, mają być składane pod rygorem nieważności w formie pisemnej w rozumieniu Kodeksu cywilnego</w:t>
      </w:r>
      <w:r w:rsidR="00A013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więc wyłącznie w postaci papierowej opatrzone własnoręcznym podpisem.  </w:t>
      </w:r>
    </w:p>
    <w:p w14:paraId="583369CC" w14:textId="77777777" w:rsidR="00CE3084" w:rsidRPr="00F26342" w:rsidRDefault="00CE3084" w:rsidP="00CE3084">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Warunki zachowania elektronicznej formy są określone w art. 78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Kodeksu cywilnego. Zgodnie z tym przepisem do zachowania elektronicznej formy czynności prawnej wystarcza złożenie oświadczenia woli w postaci elektronicznej i opatrzenie go kwalifikowanym podpisem elektronicznym.</w:t>
      </w:r>
    </w:p>
    <w:p w14:paraId="476E8E40"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 takich samych zasadach jak dotychczas, w art. 66 ustawy, zostało przewidziane, że zamawiający będzie mógł wymagać od wykonawców komunikacji przy użyciu narzędzi, urządzeń lub formatów plików, które nie są ogólnie dostępne. W szczególności sytuacja taka może dotyczyć składania ofert lub prac konkursowych przygotowywanych przy użyciu narzędzi elektronicznego modelowania danych budowlanych. </w:t>
      </w:r>
    </w:p>
    <w:p w14:paraId="7754109A" w14:textId="3EE44D6E"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Informacje o środkach komunikacji elektronicznej przy użyciu których zamawiający będzie komunikował się z wykonawcami oraz informacje o wymaganiach technicznych i organizacyjnych dotyczących wysyłania i odbierania korespondencji elektronicznej powinny być, stosownie do art. 67 ustawy, zamieszczone w ogłoszeniu lub w dokumencie zamówienia rozpoczynającym postępowanie o udzielenie zamówienia lub konkurs.</w:t>
      </w:r>
    </w:p>
    <w:p w14:paraId="6F0DDE9A"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 uwagi na fakt, że kwestie związane z elektronizacją sytemu zamówień publicznych wymagają wprowadzenia szczegółowych regulacji o charakterze technicznym proponuje się uregulowanie tych kwestii w rozporządzeniu. W celu doprecyzowania technicznych i praktycznych aspektów związanych z elektronizacją proponuje się rozszerzenie zakresu delegacji do wydania rozporządzenia dotyczącego wymagań technicznych dla środków komunikacji elektronicznej oraz sposobu sporządzania dokumentów elektronicznych lub elektronicznych kopii dokumentów. </w:t>
      </w:r>
    </w:p>
    <w:p w14:paraId="0221A120" w14:textId="4EFB5D6E" w:rsidR="00CE3084" w:rsidRPr="00DA788D" w:rsidRDefault="00CE3084" w:rsidP="00CE3084">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8</w:t>
      </w:r>
      <w:r w:rsidR="00A01338">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Dokumentowanie przebiegu postępowania</w:t>
      </w:r>
      <w:r w:rsidR="00A01338">
        <w:rPr>
          <w:rFonts w:ascii="Times New Roman" w:eastAsia="Times New Roman" w:hAnsi="Times New Roman" w:cs="Times New Roman"/>
          <w:b/>
          <w:sz w:val="24"/>
          <w:szCs w:val="24"/>
        </w:rPr>
        <w:t xml:space="preserve"> o udzielenie zamówienia</w:t>
      </w:r>
    </w:p>
    <w:p w14:paraId="5F2F00BF" w14:textId="77777777"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Podobnie jak dotychczas w ustawie Pzp, </w:t>
      </w:r>
      <w:r>
        <w:rPr>
          <w:rFonts w:ascii="Times New Roman" w:eastAsia="Times New Roman" w:hAnsi="Times New Roman" w:cs="Times New Roman"/>
          <w:sz w:val="24"/>
          <w:szCs w:val="24"/>
        </w:rPr>
        <w:t>w</w:t>
      </w:r>
      <w:r w:rsidRPr="00DA788D">
        <w:rPr>
          <w:rFonts w:ascii="Times New Roman" w:eastAsia="Times New Roman" w:hAnsi="Times New Roman" w:cs="Times New Roman"/>
          <w:sz w:val="24"/>
          <w:szCs w:val="24"/>
        </w:rPr>
        <w:t xml:space="preserve"> art. 71 ustawy, </w:t>
      </w:r>
      <w:r>
        <w:rPr>
          <w:rFonts w:ascii="Times New Roman" w:eastAsia="Times New Roman" w:hAnsi="Times New Roman" w:cs="Times New Roman"/>
          <w:sz w:val="24"/>
          <w:szCs w:val="24"/>
        </w:rPr>
        <w:t xml:space="preserve">został uregulowany </w:t>
      </w:r>
      <w:r w:rsidRPr="00DA788D">
        <w:rPr>
          <w:rFonts w:ascii="Times New Roman" w:eastAsia="Times New Roman" w:hAnsi="Times New Roman" w:cs="Times New Roman"/>
          <w:sz w:val="24"/>
          <w:szCs w:val="24"/>
        </w:rPr>
        <w:t xml:space="preserve">obowiązek dokumentowania </w:t>
      </w:r>
      <w:r>
        <w:rPr>
          <w:rFonts w:ascii="Times New Roman" w:eastAsia="Times New Roman" w:hAnsi="Times New Roman" w:cs="Times New Roman"/>
          <w:sz w:val="24"/>
          <w:szCs w:val="24"/>
        </w:rPr>
        <w:t xml:space="preserve">przez zamawiającego </w:t>
      </w:r>
      <w:r w:rsidRPr="00DA788D">
        <w:rPr>
          <w:rFonts w:ascii="Times New Roman" w:eastAsia="Times New Roman" w:hAnsi="Times New Roman" w:cs="Times New Roman"/>
          <w:sz w:val="24"/>
          <w:szCs w:val="24"/>
        </w:rPr>
        <w:t>przebiegu postępowania o udzielenie zamówienia na co składa się sporządzany</w:t>
      </w:r>
      <w:r>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trakcie postępowania protokół. Przy czym nie ma obowiązku podawania w protokole informacji, które zostały już podane w ogłoszeniu, pod warunkiem </w:t>
      </w:r>
      <w:r>
        <w:rPr>
          <w:rFonts w:ascii="Times New Roman" w:eastAsia="Times New Roman" w:hAnsi="Times New Roman" w:cs="Times New Roman"/>
          <w:sz w:val="24"/>
          <w:szCs w:val="24"/>
        </w:rPr>
        <w:t xml:space="preserve"> załączenia </w:t>
      </w:r>
      <w:r w:rsidRPr="00DA788D">
        <w:rPr>
          <w:rFonts w:ascii="Times New Roman" w:eastAsia="Times New Roman" w:hAnsi="Times New Roman" w:cs="Times New Roman"/>
          <w:sz w:val="24"/>
          <w:szCs w:val="24"/>
        </w:rPr>
        <w:t xml:space="preserve">tego ogłoszenia do protokołu. Załącznikami do protokołu, zgodnie z art. 73 ustawy, będą nadal jak w ustawie Pzp, oferty, opinie biegłych, oświadczenia, zawiadomienia, wnioski, </w:t>
      </w:r>
      <w:r>
        <w:rPr>
          <w:rFonts w:ascii="Times New Roman" w:eastAsia="Times New Roman" w:hAnsi="Times New Roman" w:cs="Times New Roman"/>
          <w:sz w:val="24"/>
          <w:szCs w:val="24"/>
        </w:rPr>
        <w:t xml:space="preserve">dowód przekazania ogłoszenia Urzędowi Publikacji Unii Europejskiej, </w:t>
      </w:r>
      <w:r w:rsidRPr="00DA788D">
        <w:rPr>
          <w:rFonts w:ascii="Times New Roman" w:eastAsia="Times New Roman" w:hAnsi="Times New Roman" w:cs="Times New Roman"/>
          <w:sz w:val="24"/>
          <w:szCs w:val="24"/>
        </w:rPr>
        <w:t xml:space="preserve">a także inne dokumenty i informacje składane przez zamawiającego i wykonawców oraz umowa w sprawie zamówienia publicznego. </w:t>
      </w:r>
    </w:p>
    <w:p w14:paraId="293C7B1A" w14:textId="577B382C"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Stosownie do art. 74 </w:t>
      </w:r>
      <w:r w:rsidR="00A01338">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protokół jest jawny i udostępniany na wniosek,</w:t>
      </w:r>
      <w:r>
        <w:rPr>
          <w:rFonts w:ascii="Times New Roman" w:eastAsia="Times New Roman" w:hAnsi="Times New Roman" w:cs="Times New Roman"/>
          <w:sz w:val="24"/>
          <w:szCs w:val="24"/>
        </w:rPr>
        <w:t xml:space="preserve"> przy czym nie są udostępniane informacje mające charakter poufny, zwłaszcza przekazywanych w czasie negocjacji czy dialogu, oraz ofert podlegających negocjacjom. Dostępność informacji zawartych w protokole jest ograniczona także ze względu na </w:t>
      </w:r>
      <w:r w:rsidRPr="00DA788D">
        <w:rPr>
          <w:rFonts w:ascii="Times New Roman" w:eastAsia="Times New Roman" w:hAnsi="Times New Roman" w:cs="Times New Roman"/>
          <w:sz w:val="24"/>
          <w:szCs w:val="24"/>
        </w:rPr>
        <w:t xml:space="preserve"> ochron</w:t>
      </w:r>
      <w:r>
        <w:rPr>
          <w:rFonts w:ascii="Times New Roman" w:eastAsia="Times New Roman" w:hAnsi="Times New Roman" w:cs="Times New Roman"/>
          <w:sz w:val="24"/>
          <w:szCs w:val="24"/>
        </w:rPr>
        <w:t>ę</w:t>
      </w:r>
      <w:r w:rsidRPr="00DA788D">
        <w:rPr>
          <w:rFonts w:ascii="Times New Roman" w:eastAsia="Times New Roman" w:hAnsi="Times New Roman" w:cs="Times New Roman"/>
          <w:sz w:val="24"/>
          <w:szCs w:val="24"/>
        </w:rPr>
        <w:t xml:space="preserve"> danych osobowych, w tym ograniczenia w dostępie do danych osobowych odnoszących się do wyroków skazujących i naruszeń prawa</w:t>
      </w:r>
      <w:r>
        <w:rPr>
          <w:rFonts w:ascii="Times New Roman" w:eastAsia="Times New Roman" w:hAnsi="Times New Roman" w:cs="Times New Roman"/>
          <w:sz w:val="24"/>
          <w:szCs w:val="24"/>
        </w:rPr>
        <w:t xml:space="preserve"> (dostęp ten jest możliwy tylko w celu korzystania ze środków ochrony prawnej przewidzianych ustawą i tylko do czasu upływu terminu na ich wniesienie)</w:t>
      </w:r>
      <w:r w:rsidRPr="00DA788D">
        <w:rPr>
          <w:rFonts w:ascii="Times New Roman" w:eastAsia="Times New Roman" w:hAnsi="Times New Roman" w:cs="Times New Roman"/>
          <w:sz w:val="24"/>
          <w:szCs w:val="24"/>
        </w:rPr>
        <w:t>, a także zakaz udostępniania danych szczególnie wrażliwych, takich jak np. dane dotyczące zdrowia. Ograniczenia w zakresie dostępu do danych osobowych mają zastosowanie także do udostępniania załączników do protokołu wykonawcom i innym podmiotom uprawnionym do wnoszenia środków ochrony prawnej</w:t>
      </w:r>
      <w:r>
        <w:rPr>
          <w:rFonts w:ascii="Times New Roman" w:eastAsia="Times New Roman" w:hAnsi="Times New Roman" w:cs="Times New Roman"/>
          <w:sz w:val="24"/>
          <w:szCs w:val="24"/>
        </w:rPr>
        <w:t xml:space="preserve"> (art. 18, art. 19 i art. 74 ustawy)</w:t>
      </w:r>
      <w:r w:rsidRPr="00DA788D">
        <w:rPr>
          <w:rFonts w:ascii="Times New Roman" w:eastAsia="Times New Roman" w:hAnsi="Times New Roman" w:cs="Times New Roman"/>
          <w:sz w:val="24"/>
          <w:szCs w:val="24"/>
        </w:rPr>
        <w:t>.</w:t>
      </w:r>
    </w:p>
    <w:p w14:paraId="104B6B84" w14:textId="2BD9AC86"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77 ustawy, została wprowadzona możliwość zwrotu wykonawcom</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przez zamawiającego</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złożonych przez nich planów, projektów, rysunków, modeli, próbek, wzorów, programów komputerowych oraz innych podobnych materiałów, jeżeli nie wystąpili oni sami z wnioskami o taki zwrot w terminie 30 dni od dnia zawarcia umowy w sprawie zamówienia publicznego albo unieważnienia postępowania, co dotyczy również </w:t>
      </w:r>
      <w:r w:rsidRPr="00DA788D">
        <w:rPr>
          <w:rFonts w:ascii="Times New Roman" w:eastAsia="Times New Roman" w:hAnsi="Times New Roman" w:cs="Times New Roman"/>
          <w:sz w:val="24"/>
          <w:szCs w:val="24"/>
        </w:rPr>
        <w:lastRenderedPageBreak/>
        <w:t xml:space="preserve">wykonawcy, którego oferta została wybrana jako najkorzystniejsza, w zakresie, w jakim  wymienione załączniki do protokołu nie stanowią załączników do umowy. Rozwiązanie to wychodzi naprzeciw potrzebie zapobiegania obciążania zamawiających dodatkowymi kosztami przechowywania wskazanych materiałów w sytuacji, gdy nie są już one potrzebne dla celów postępowania, ani nie są niezbędne dla wykazywania prawidłowości realizacji umowy. </w:t>
      </w:r>
    </w:p>
    <w:p w14:paraId="38685CFA" w14:textId="2D26C734" w:rsidR="00CE3084" w:rsidRPr="00DA788D" w:rsidRDefault="00302E13" w:rsidP="00CE3084">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CE3084" w:rsidRPr="00DA788D">
        <w:rPr>
          <w:rFonts w:ascii="Times New Roman" w:eastAsia="Times New Roman" w:hAnsi="Times New Roman" w:cs="Times New Roman"/>
          <w:sz w:val="24"/>
          <w:szCs w:val="24"/>
        </w:rPr>
        <w:t xml:space="preserve">rzepisy art. 78 </w:t>
      </w:r>
      <w:r>
        <w:rPr>
          <w:rFonts w:ascii="Times New Roman" w:eastAsia="Times New Roman" w:hAnsi="Times New Roman" w:cs="Times New Roman"/>
          <w:sz w:val="24"/>
          <w:szCs w:val="24"/>
        </w:rPr>
        <w:t xml:space="preserve">ustawy </w:t>
      </w:r>
      <w:r w:rsidR="00CE3084" w:rsidRPr="00DA788D">
        <w:rPr>
          <w:rFonts w:ascii="Times New Roman" w:eastAsia="Times New Roman" w:hAnsi="Times New Roman" w:cs="Times New Roman"/>
          <w:sz w:val="24"/>
          <w:szCs w:val="24"/>
        </w:rPr>
        <w:t>utrzymują obowiązek przechowywania przez zamawiającego protokołu wraz z załącznikami przez okres 4 lat od dnia zakończenia postępowania o udzielenie zamówienia lub przez cały czas trwania umowy, w sposób gwarantujący jego nienaruszalność. Przy czym, w przypadku prowadzenia postępowania o udzielenie zamówienia lub konkursu w oparciu o narzędzia i urządzenia komunikacji elektronicznej udostępniane przez inny podmiot, zamawiający może powierzyć temu podmiotowi przechowywanie protokołu i załączników do protokołu w jego systemie teleinformatycznym, bez wpływu na udostępnianie ich przez zamawiającego w systemie teleinformatycznym tego podmiotu, pod warunkiem przekazania zamawiającemu elektronicznej kopii wszystkich informacji i dokumentów związanych z takim postępowaniem lub konkursem. W takim przypadku zamawiający powinien zagwarantować sobie w umowie o świadczenie usług zawieranej z tym podmiotem, by sposób przechowywania protokołu i załączników do protokołu oraz przekazywania zamawiającemu elektronicznej kopii tych dokumentów umożliwiał ich odczytanie przez zamawiającego.</w:t>
      </w:r>
    </w:p>
    <w:p w14:paraId="16C3BB3D" w14:textId="79E6AA2B"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Bez względu na to, czy zamawiający prowadzi protokół postępowania w postaci elektronicznej czy papierowej, zgodnie z art. 79 </w:t>
      </w:r>
      <w:r w:rsidR="00E32874">
        <w:rPr>
          <w:rFonts w:ascii="Times New Roman" w:eastAsia="Times New Roman" w:hAnsi="Times New Roman" w:cs="Times New Roman"/>
          <w:sz w:val="24"/>
          <w:szCs w:val="24"/>
        </w:rPr>
        <w:t xml:space="preserve">projektu </w:t>
      </w:r>
      <w:r w:rsidRPr="00DA788D">
        <w:rPr>
          <w:rFonts w:ascii="Times New Roman" w:eastAsia="Times New Roman" w:hAnsi="Times New Roman" w:cs="Times New Roman"/>
          <w:sz w:val="24"/>
          <w:szCs w:val="24"/>
        </w:rPr>
        <w:t xml:space="preserve">ustawy, ma on obowiązek przechowywania wszystkich dokumentów, w tym dokumentów elektronicznych składanych przez wykonawców lub wykorzystywanych dla celów prowadzonego postępowania lub konkursu, stanowiących załączniki do protokołu, w oryginalnej postaci i formacie, w jakich zostały sporządzone lub przekazane. </w:t>
      </w:r>
      <w:r>
        <w:rPr>
          <w:rFonts w:ascii="Times New Roman" w:eastAsia="Times New Roman" w:hAnsi="Times New Roman" w:cs="Times New Roman"/>
          <w:sz w:val="24"/>
          <w:szCs w:val="24"/>
        </w:rPr>
        <w:t>Z regulacji tej wynika, że j</w:t>
      </w:r>
      <w:r w:rsidRPr="00DA788D">
        <w:rPr>
          <w:rFonts w:ascii="Times New Roman" w:eastAsia="Times New Roman" w:hAnsi="Times New Roman" w:cs="Times New Roman"/>
          <w:sz w:val="24"/>
          <w:szCs w:val="24"/>
        </w:rPr>
        <w:t xml:space="preserve">eżeli protokół postępowania jest sporządzany w postaci papierowej zamawiający </w:t>
      </w:r>
      <w:r>
        <w:rPr>
          <w:rFonts w:ascii="Times New Roman" w:eastAsia="Times New Roman" w:hAnsi="Times New Roman" w:cs="Times New Roman"/>
          <w:sz w:val="24"/>
          <w:szCs w:val="24"/>
        </w:rPr>
        <w:t xml:space="preserve">powinien </w:t>
      </w:r>
      <w:r w:rsidRPr="00DA788D">
        <w:rPr>
          <w:rFonts w:ascii="Times New Roman" w:eastAsia="Times New Roman" w:hAnsi="Times New Roman" w:cs="Times New Roman"/>
          <w:sz w:val="24"/>
          <w:szCs w:val="24"/>
        </w:rPr>
        <w:t>załącza</w:t>
      </w:r>
      <w:r>
        <w:rPr>
          <w:rFonts w:ascii="Times New Roman" w:eastAsia="Times New Roman" w:hAnsi="Times New Roman" w:cs="Times New Roman"/>
          <w:sz w:val="24"/>
          <w:szCs w:val="24"/>
        </w:rPr>
        <w:t>ć</w:t>
      </w:r>
      <w:r w:rsidRPr="00DA788D">
        <w:rPr>
          <w:rFonts w:ascii="Times New Roman" w:eastAsia="Times New Roman" w:hAnsi="Times New Roman" w:cs="Times New Roman"/>
          <w:sz w:val="24"/>
          <w:szCs w:val="24"/>
        </w:rPr>
        <w:t xml:space="preserve"> do niego nośniki elektroniczne zawierające kopię dokumentacji postępowania lub konkursu przechowywanej w postaci elektronicznej. Jeżeli natomiast protokół jest prowadzony w postaci elektronicznej, zamawiający </w:t>
      </w:r>
      <w:r>
        <w:rPr>
          <w:rFonts w:ascii="Times New Roman" w:eastAsia="Times New Roman" w:hAnsi="Times New Roman" w:cs="Times New Roman"/>
          <w:sz w:val="24"/>
          <w:szCs w:val="24"/>
        </w:rPr>
        <w:t xml:space="preserve">powinien </w:t>
      </w:r>
      <w:r w:rsidRPr="00DA788D">
        <w:rPr>
          <w:rFonts w:ascii="Times New Roman" w:eastAsia="Times New Roman" w:hAnsi="Times New Roman" w:cs="Times New Roman"/>
          <w:sz w:val="24"/>
          <w:szCs w:val="24"/>
        </w:rPr>
        <w:t>poda</w:t>
      </w:r>
      <w:r>
        <w:rPr>
          <w:rFonts w:ascii="Times New Roman" w:eastAsia="Times New Roman" w:hAnsi="Times New Roman" w:cs="Times New Roman"/>
          <w:sz w:val="24"/>
          <w:szCs w:val="24"/>
        </w:rPr>
        <w:t>ć</w:t>
      </w:r>
      <w:r w:rsidRPr="00DA788D">
        <w:rPr>
          <w:rFonts w:ascii="Times New Roman" w:eastAsia="Times New Roman" w:hAnsi="Times New Roman" w:cs="Times New Roman"/>
          <w:sz w:val="24"/>
          <w:szCs w:val="24"/>
        </w:rPr>
        <w:t xml:space="preserve"> w protokole aktywne ścieżki dostępu (linki) do załączników, umożliwiające podgląd wszystkich dokumentów elektronicznych stanowiących załączniki do protokołu a także, odpowiednio, załą</w:t>
      </w:r>
      <w:r>
        <w:rPr>
          <w:rFonts w:ascii="Times New Roman" w:eastAsia="Times New Roman" w:hAnsi="Times New Roman" w:cs="Times New Roman"/>
          <w:sz w:val="24"/>
          <w:szCs w:val="24"/>
        </w:rPr>
        <w:t>czyć</w:t>
      </w:r>
      <w:r w:rsidRPr="00DA788D">
        <w:rPr>
          <w:rFonts w:ascii="Times New Roman" w:eastAsia="Times New Roman" w:hAnsi="Times New Roman" w:cs="Times New Roman"/>
          <w:sz w:val="24"/>
          <w:szCs w:val="24"/>
        </w:rPr>
        <w:t xml:space="preserve"> do protokołu elektroniczny wykaz załączników przechowywanych w postaci fizycznej z oznaczeniem podmiotów, które je przekazały oraz określeniem kiedy te dokumenty zostały przekazane.</w:t>
      </w:r>
    </w:p>
    <w:p w14:paraId="6DF2D385" w14:textId="211B2956" w:rsidR="00CE3084" w:rsidRPr="00DA788D" w:rsidRDefault="00CE3084" w:rsidP="00CE3084">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W celu realizacji zadania Prezesa Urzędu określonego w art. 469 pkt 4</w:t>
      </w:r>
      <w:r>
        <w:rPr>
          <w:rFonts w:ascii="Times New Roman" w:eastAsia="Times" w:hAnsi="Times New Roman" w:cs="Times New Roman"/>
          <w:color w:val="000000"/>
          <w:sz w:val="24"/>
          <w:szCs w:val="24"/>
        </w:rPr>
        <w:t xml:space="preserve"> </w:t>
      </w:r>
      <w:r w:rsidR="00E32874">
        <w:rPr>
          <w:rFonts w:ascii="Times New Roman" w:eastAsia="Times" w:hAnsi="Times New Roman" w:cs="Times New Roman"/>
          <w:color w:val="000000"/>
          <w:sz w:val="24"/>
          <w:szCs w:val="24"/>
        </w:rPr>
        <w:t xml:space="preserve">projektu </w:t>
      </w:r>
      <w:r>
        <w:rPr>
          <w:rFonts w:ascii="Times New Roman" w:eastAsia="Times" w:hAnsi="Times New Roman" w:cs="Times New Roman"/>
          <w:color w:val="000000"/>
          <w:sz w:val="24"/>
          <w:szCs w:val="24"/>
        </w:rPr>
        <w:t>ustawy</w:t>
      </w:r>
      <w:r w:rsidRPr="00DA788D">
        <w:rPr>
          <w:rFonts w:ascii="Times New Roman" w:eastAsia="Times" w:hAnsi="Times New Roman" w:cs="Times New Roman"/>
          <w:color w:val="000000"/>
          <w:sz w:val="24"/>
          <w:szCs w:val="24"/>
        </w:rPr>
        <w:t>, zgodnie z którym jest on zobowiązany do dokonywania analiz funkcjonowania systemu zamówień publicznych, w art. 81 przewidziano dodatkowe narzędzie, które w większym stopniu pozwoli na bieżąco realizować to zadanie. Zakres bieżącej analizy będzie dotyczył informacji o złożonych wnioskach o dopuszczenie do udziału w postępowaniu lub ofertach, które zamawiający powinien przekazać nie później niż w terminie 7 dni od dnia otwarcia odpowiednio ofert lub ofert ostatecznych albo unieważnienia postępowania.</w:t>
      </w:r>
    </w:p>
    <w:p w14:paraId="17A996A5" w14:textId="77777777" w:rsidR="00CE3084" w:rsidRPr="00DA788D" w:rsidRDefault="00CE3084" w:rsidP="00CE3084">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Zakres informacji, które zamawiający będzie przekazywał Prezesowi Urzędowi zostanie określony przez ministra właściwego do spraw gospodarki, w drodze rozporządzenia. Rozporządzenie określi także wzór informacji, sposób sporządzania i jej przekazywania. Zakres danych zawartych w informacji będzie dotyczył wyłącznie wniosków o dopuszczenie do udziału w postępowaniu lub ofert, w zakresie m.in. rodzajów zamawiających, rodzajów i wartości zamówień, trybów postępowania o udzielenie zamówienia.</w:t>
      </w:r>
    </w:p>
    <w:p w14:paraId="6004FF32" w14:textId="43B4D9DA" w:rsidR="00CE3084" w:rsidRPr="00DA788D" w:rsidRDefault="00CE3084" w:rsidP="00CE3084">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Nadal, stosownie do wymogów dyrektyw, zamawiający będzie zobowiązany do sporządzania rocznego sprawozdania o udzielonych zamówieniach i przekazywania go Prezesowi Urzędu w terminie do dnia 1 marca każdego roku następującego po roku, którego dotyczy sprawozdanie (art. 82 projektu ustawy). W ust. 1 doprecyzowano zakres sprawozdania, które zgodnie z wymogami dyrektyw ma dotyczyć wartości całego rynku zamówień, a więc nie tylko wartości tych zamówień, do których ma zastosowanie ustawa.  W ust. 3–</w:t>
      </w:r>
      <w:r w:rsidR="00A01338">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wprowadzono przepis pozwalający na dokonywanie korekt do corocznych sprawozdań zamawiających przesyłanych do UZP. Takie uregulowanie jest  podyktowane zaleceniem pokontrolnym Najwyższej Izby Kontroli, powstałym w wyniku kontroli pn. „Dokonywanie zakupów do 30 tys. Euro przez wybrane jednostki sektora finansów publicznych”.</w:t>
      </w:r>
    </w:p>
    <w:p w14:paraId="73FD49EA" w14:textId="059AA500"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II</w:t>
      </w:r>
      <w:r w:rsidR="00A01338">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Postępowanie o udzielenie zamówienia klasycznego o wartości równej lub przekraczającej progi unijne</w:t>
      </w:r>
    </w:p>
    <w:p w14:paraId="570986EC" w14:textId="18B8A587"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1</w:t>
      </w:r>
      <w:r w:rsidR="00A01338">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Przygotowanie postępowania</w:t>
      </w:r>
    </w:p>
    <w:p w14:paraId="238A01C0" w14:textId="7EB2EC2E"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1</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 xml:space="preserve">Analiza potrzeb zamawiającego, wstępne konsultacje rynkowe oraz wcześniejsze zaangażowanie wykonawców </w:t>
      </w:r>
    </w:p>
    <w:p w14:paraId="0071D974" w14:textId="77777777" w:rsidR="00CB2D51" w:rsidRPr="005D60BF" w:rsidRDefault="002E64C7" w:rsidP="00DA788D">
      <w:pPr>
        <w:spacing w:after="120"/>
        <w:jc w:val="both"/>
        <w:rPr>
          <w:rFonts w:ascii="Times New Roman" w:eastAsia="Times New Roman" w:hAnsi="Times New Roman" w:cs="Times New Roman"/>
          <w:sz w:val="24"/>
          <w:szCs w:val="24"/>
          <w:u w:val="single"/>
        </w:rPr>
      </w:pPr>
      <w:r w:rsidRPr="005D60BF">
        <w:rPr>
          <w:rFonts w:ascii="Times New Roman" w:eastAsia="Times New Roman" w:hAnsi="Times New Roman" w:cs="Times New Roman"/>
          <w:sz w:val="24"/>
          <w:szCs w:val="24"/>
          <w:u w:val="single"/>
        </w:rPr>
        <w:t>Analiza potrzeb zamawiającego</w:t>
      </w:r>
    </w:p>
    <w:p w14:paraId="2AAFDB2F" w14:textId="77777777" w:rsidR="001177C1" w:rsidRDefault="006F7611" w:rsidP="00DA788D">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6F7611">
        <w:rPr>
          <w:rFonts w:ascii="Times New Roman" w:eastAsia="Times New Roman" w:hAnsi="Times New Roman" w:cs="Times New Roman"/>
          <w:sz w:val="24"/>
          <w:szCs w:val="24"/>
        </w:rPr>
        <w:t xml:space="preserve">Zobowiązanie zamawiających do dokonywania analizy potrzeb i wymagań ma służyć realizacji jednego z głównych celów projektu, tj. zwiększeniu efektywności systemu zamówień publicznych. </w:t>
      </w:r>
      <w:r>
        <w:rPr>
          <w:rFonts w:ascii="Times New Roman" w:eastAsia="Times New Roman" w:hAnsi="Times New Roman" w:cs="Times New Roman"/>
          <w:sz w:val="24"/>
          <w:szCs w:val="24"/>
        </w:rPr>
        <w:t>Na k</w:t>
      </w:r>
      <w:r w:rsidRPr="006F7611">
        <w:rPr>
          <w:rFonts w:ascii="Times New Roman" w:eastAsia="Times New Roman" w:hAnsi="Times New Roman" w:cs="Times New Roman"/>
          <w:sz w:val="24"/>
          <w:szCs w:val="24"/>
        </w:rPr>
        <w:t>onieczność podniesienia efektywności sys</w:t>
      </w:r>
      <w:r>
        <w:rPr>
          <w:rFonts w:ascii="Times New Roman" w:eastAsia="Times New Roman" w:hAnsi="Times New Roman" w:cs="Times New Roman"/>
          <w:sz w:val="24"/>
          <w:szCs w:val="24"/>
        </w:rPr>
        <w:t>temu zamówień publicznych wskazano</w:t>
      </w:r>
      <w:r w:rsidR="005F75C6">
        <w:rPr>
          <w:rFonts w:ascii="Times New Roman" w:eastAsia="Times New Roman" w:hAnsi="Times New Roman" w:cs="Times New Roman"/>
          <w:sz w:val="24"/>
          <w:szCs w:val="24"/>
        </w:rPr>
        <w:t xml:space="preserve"> już</w:t>
      </w:r>
      <w:r w:rsidRPr="006F7611">
        <w:rPr>
          <w:rFonts w:ascii="Times New Roman" w:eastAsia="Times New Roman" w:hAnsi="Times New Roman" w:cs="Times New Roman"/>
          <w:sz w:val="24"/>
          <w:szCs w:val="24"/>
        </w:rPr>
        <w:t xml:space="preserve"> w Strategii na rzecz Odpowiedzialnego Rozwoju.</w:t>
      </w:r>
    </w:p>
    <w:p w14:paraId="37785BB7" w14:textId="77777777" w:rsidR="00737B4E" w:rsidRDefault="001177C1" w:rsidP="001177C1">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Wymóg sporządzenia analizy potrzeb i wymagań ma w założeniu przyczyni</w:t>
      </w:r>
      <w:r w:rsidR="00A644A8">
        <w:rPr>
          <w:rFonts w:ascii="Times New Roman" w:eastAsia="Times New Roman" w:hAnsi="Times New Roman" w:cs="Times New Roman"/>
          <w:sz w:val="24"/>
          <w:szCs w:val="24"/>
        </w:rPr>
        <w:t>a</w:t>
      </w:r>
      <w:r>
        <w:rPr>
          <w:rFonts w:ascii="Times New Roman" w:eastAsia="Times New Roman" w:hAnsi="Times New Roman" w:cs="Times New Roman"/>
          <w:sz w:val="24"/>
          <w:szCs w:val="24"/>
        </w:rPr>
        <w:t>ć się do lepszego przygotowania procesu udzielania zamówienia publicznego.</w:t>
      </w:r>
      <w:r w:rsidR="00A644A8">
        <w:rPr>
          <w:rFonts w:ascii="Times New Roman" w:eastAsia="Times New Roman" w:hAnsi="Times New Roman" w:cs="Times New Roman"/>
          <w:sz w:val="24"/>
          <w:szCs w:val="24"/>
        </w:rPr>
        <w:t xml:space="preserve"> Stanowi on wyraz zwiększenia roli etapu przygotowania zamówienia, który rzutuje</w:t>
      </w:r>
      <w:r w:rsidR="00CA0806">
        <w:rPr>
          <w:rFonts w:ascii="Times New Roman" w:eastAsia="Times New Roman" w:hAnsi="Times New Roman" w:cs="Times New Roman"/>
          <w:sz w:val="24"/>
          <w:szCs w:val="24"/>
        </w:rPr>
        <w:t xml:space="preserve"> bezpośrednio</w:t>
      </w:r>
      <w:r w:rsidR="00A644A8">
        <w:rPr>
          <w:rFonts w:ascii="Times New Roman" w:eastAsia="Times New Roman" w:hAnsi="Times New Roman" w:cs="Times New Roman"/>
          <w:sz w:val="24"/>
          <w:szCs w:val="24"/>
        </w:rPr>
        <w:t xml:space="preserve"> na wszystkie następne </w:t>
      </w:r>
      <w:r w:rsidR="00737B4E">
        <w:rPr>
          <w:rFonts w:ascii="Times New Roman" w:eastAsia="Times New Roman" w:hAnsi="Times New Roman" w:cs="Times New Roman"/>
          <w:sz w:val="24"/>
          <w:szCs w:val="24"/>
        </w:rPr>
        <w:t xml:space="preserve">etapy procesu zakupowego. </w:t>
      </w:r>
    </w:p>
    <w:p w14:paraId="1F633EF5" w14:textId="4F160DA0" w:rsidR="00737B4E" w:rsidRDefault="00737B4E" w:rsidP="001177C1">
      <w:pPr>
        <w:spacing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Proponowane rozwiązanie </w:t>
      </w:r>
      <w:r w:rsidR="00600694">
        <w:rPr>
          <w:rFonts w:ascii="Times New Roman" w:eastAsia="Times New Roman" w:hAnsi="Times New Roman" w:cs="Times New Roman"/>
          <w:sz w:val="24"/>
          <w:szCs w:val="24"/>
        </w:rPr>
        <w:t xml:space="preserve">będzie stanowiło instrument powiązania udzielanych zamówień publicznych z celami państwa. Zwiększy ono efektywność systemu </w:t>
      </w:r>
      <w:r w:rsidR="00A17062">
        <w:rPr>
          <w:rFonts w:ascii="Times New Roman" w:eastAsia="Times New Roman" w:hAnsi="Times New Roman" w:cs="Times New Roman"/>
          <w:sz w:val="24"/>
          <w:szCs w:val="24"/>
        </w:rPr>
        <w:t>przez</w:t>
      </w:r>
      <w:r w:rsidR="00600694">
        <w:rPr>
          <w:rFonts w:ascii="Times New Roman" w:eastAsia="Times New Roman" w:hAnsi="Times New Roman" w:cs="Times New Roman"/>
          <w:sz w:val="24"/>
          <w:szCs w:val="24"/>
        </w:rPr>
        <w:t xml:space="preserve"> odpowiednie przygotowanie największych zakupów, i to zarówn</w:t>
      </w:r>
      <w:r w:rsidR="00E3423F">
        <w:rPr>
          <w:rFonts w:ascii="Times New Roman" w:eastAsia="Times New Roman" w:hAnsi="Times New Roman" w:cs="Times New Roman"/>
          <w:sz w:val="24"/>
          <w:szCs w:val="24"/>
        </w:rPr>
        <w:t>o na etapie postępowania o udzieleni</w:t>
      </w:r>
      <w:r w:rsidR="00842F64">
        <w:rPr>
          <w:rFonts w:ascii="Times New Roman" w:eastAsia="Times New Roman" w:hAnsi="Times New Roman" w:cs="Times New Roman"/>
          <w:sz w:val="24"/>
          <w:szCs w:val="24"/>
        </w:rPr>
        <w:t>e</w:t>
      </w:r>
      <w:r w:rsidR="00E3423F">
        <w:rPr>
          <w:rFonts w:ascii="Times New Roman" w:eastAsia="Times New Roman" w:hAnsi="Times New Roman" w:cs="Times New Roman"/>
          <w:sz w:val="24"/>
          <w:szCs w:val="24"/>
        </w:rPr>
        <w:t xml:space="preserve"> zamówienia publicznego, jak i realizacji samego zamówienia. </w:t>
      </w:r>
    </w:p>
    <w:p w14:paraId="3D72F31A" w14:textId="054F0A87" w:rsidR="00CB2D51" w:rsidRDefault="00E3423F" w:rsidP="00E3423F">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Dokonanie analizy poprzedzającej udzielenie zamówienia pozwoli również na pełniejsze wdrożenie zasad funkcjonujących na gruncie finansów publicznych. Zamawiający, z</w:t>
      </w:r>
      <w:r w:rsidR="002E64C7" w:rsidRPr="00DA788D">
        <w:rPr>
          <w:rFonts w:ascii="Times New Roman" w:eastAsia="Times New Roman" w:hAnsi="Times New Roman" w:cs="Times New Roman"/>
          <w:sz w:val="24"/>
          <w:szCs w:val="24"/>
        </w:rPr>
        <w:t>godnie z art. 44 ust. 3 ustawy</w:t>
      </w:r>
      <w:r w:rsidR="00A01338">
        <w:rPr>
          <w:rFonts w:ascii="Times New Roman" w:eastAsia="Times New Roman" w:hAnsi="Times New Roman" w:cs="Times New Roman"/>
          <w:sz w:val="24"/>
          <w:szCs w:val="24"/>
        </w:rPr>
        <w:t xml:space="preserve"> z dnia 27 sierpnia 2009 r. </w:t>
      </w:r>
      <w:r w:rsidR="002E64C7" w:rsidRPr="00DA788D">
        <w:rPr>
          <w:rFonts w:ascii="Times New Roman" w:eastAsia="Times New Roman" w:hAnsi="Times New Roman" w:cs="Times New Roman"/>
          <w:sz w:val="24"/>
          <w:szCs w:val="24"/>
        </w:rPr>
        <w:t xml:space="preserve"> o finansach publicznych</w:t>
      </w:r>
      <w:r w:rsidR="00A01338">
        <w:rPr>
          <w:rFonts w:ascii="Times New Roman" w:eastAsia="Times New Roman" w:hAnsi="Times New Roman" w:cs="Times New Roman"/>
          <w:sz w:val="24"/>
          <w:szCs w:val="24"/>
        </w:rPr>
        <w:t xml:space="preserve"> (Dz. U. z 2019 r. poz. 869)</w:t>
      </w:r>
      <w:r w:rsidR="002E64C7" w:rsidRPr="00DA788D">
        <w:rPr>
          <w:rFonts w:ascii="Times New Roman" w:eastAsia="Times New Roman" w:hAnsi="Times New Roman" w:cs="Times New Roman"/>
          <w:sz w:val="24"/>
          <w:szCs w:val="24"/>
        </w:rPr>
        <w:t xml:space="preserve"> zapewnia, żeby wydatki </w:t>
      </w:r>
      <w:bookmarkStart w:id="2" w:name="gjdgxs" w:colFirst="0" w:colLast="0"/>
      <w:bookmarkEnd w:id="2"/>
      <w:r w:rsidR="002E64C7" w:rsidRPr="00DA788D">
        <w:rPr>
          <w:rFonts w:ascii="Times New Roman" w:eastAsia="Times New Roman" w:hAnsi="Times New Roman" w:cs="Times New Roman"/>
          <w:sz w:val="24"/>
          <w:szCs w:val="24"/>
        </w:rPr>
        <w:t>publiczne były dokonywane</w:t>
      </w:r>
      <w:bookmarkStart w:id="3" w:name="30j0zll" w:colFirst="0" w:colLast="0"/>
      <w:bookmarkEnd w:id="3"/>
      <w:r w:rsidR="002E64C7" w:rsidRPr="00DA788D">
        <w:rPr>
          <w:rFonts w:ascii="Times New Roman" w:eastAsia="Times New Roman" w:hAnsi="Times New Roman" w:cs="Times New Roman"/>
          <w:sz w:val="24"/>
          <w:szCs w:val="24"/>
        </w:rPr>
        <w:t xml:space="preserve"> w sposób celowy, z zachowaniem zasad: uzyskiwania najlepszych efektów z danych nakładów, optymalnego doboru metod i środków służących osiągnięciu założonych celów</w:t>
      </w:r>
      <w:bookmarkStart w:id="4" w:name="1fob9te" w:colFirst="0" w:colLast="0"/>
      <w:bookmarkEnd w:id="4"/>
      <w:r w:rsidR="002E64C7" w:rsidRPr="00DA788D">
        <w:rPr>
          <w:rFonts w:ascii="Times New Roman" w:eastAsia="Times New Roman" w:hAnsi="Times New Roman" w:cs="Times New Roman"/>
          <w:sz w:val="24"/>
          <w:szCs w:val="24"/>
        </w:rPr>
        <w:t>, w sposób umożliwiający terminową realizację zadań</w:t>
      </w:r>
      <w:bookmarkStart w:id="5" w:name="3znysh7" w:colFirst="0" w:colLast="0"/>
      <w:bookmarkEnd w:id="5"/>
      <w:r w:rsidR="002E64C7" w:rsidRPr="00DA788D">
        <w:rPr>
          <w:rFonts w:ascii="Times New Roman" w:eastAsia="Times New Roman" w:hAnsi="Times New Roman" w:cs="Times New Roman"/>
          <w:sz w:val="24"/>
          <w:szCs w:val="24"/>
        </w:rPr>
        <w:t>, w wysokości i terminach wynikających z wcześniej zaciągni</w:t>
      </w:r>
      <w:r>
        <w:rPr>
          <w:rFonts w:ascii="Times New Roman" w:eastAsia="Times New Roman" w:hAnsi="Times New Roman" w:cs="Times New Roman"/>
          <w:sz w:val="24"/>
          <w:szCs w:val="24"/>
        </w:rPr>
        <w:t xml:space="preserve">ętych zobowiązań. </w:t>
      </w:r>
      <w:r w:rsidR="002E64C7" w:rsidRPr="00DA788D">
        <w:rPr>
          <w:rFonts w:ascii="Times New Roman" w:eastAsia="Times New Roman" w:hAnsi="Times New Roman" w:cs="Times New Roman"/>
          <w:sz w:val="24"/>
          <w:szCs w:val="24"/>
        </w:rPr>
        <w:t xml:space="preserve"> </w:t>
      </w:r>
    </w:p>
    <w:p w14:paraId="7DE50BD3" w14:textId="1C15870C" w:rsidR="00E3423F" w:rsidRDefault="00BA41AF" w:rsidP="00E3423F">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3423F">
        <w:rPr>
          <w:rFonts w:ascii="Times New Roman" w:eastAsia="Times New Roman" w:hAnsi="Times New Roman" w:cs="Times New Roman"/>
          <w:sz w:val="24"/>
          <w:szCs w:val="24"/>
        </w:rPr>
        <w:t>rzepisy</w:t>
      </w:r>
      <w:r>
        <w:rPr>
          <w:rFonts w:ascii="Times New Roman" w:eastAsia="Times New Roman" w:hAnsi="Times New Roman" w:cs="Times New Roman"/>
          <w:sz w:val="24"/>
          <w:szCs w:val="24"/>
        </w:rPr>
        <w:t xml:space="preserve"> ustawy</w:t>
      </w:r>
      <w:r w:rsidR="00E3423F">
        <w:rPr>
          <w:rFonts w:ascii="Times New Roman" w:eastAsia="Times New Roman" w:hAnsi="Times New Roman" w:cs="Times New Roman"/>
          <w:sz w:val="24"/>
          <w:szCs w:val="24"/>
        </w:rPr>
        <w:t xml:space="preserve"> </w:t>
      </w:r>
      <w:r w:rsidR="00214E45">
        <w:rPr>
          <w:rFonts w:ascii="Times New Roman" w:eastAsia="Times New Roman" w:hAnsi="Times New Roman" w:cs="Times New Roman"/>
          <w:sz w:val="24"/>
          <w:szCs w:val="24"/>
        </w:rPr>
        <w:t>nie określają</w:t>
      </w:r>
      <w:r w:rsidR="00842F64">
        <w:rPr>
          <w:rFonts w:ascii="Times New Roman" w:eastAsia="Times New Roman" w:hAnsi="Times New Roman" w:cs="Times New Roman"/>
          <w:sz w:val="24"/>
          <w:szCs w:val="24"/>
        </w:rPr>
        <w:t xml:space="preserve"> formy, w jakiej powinna zostać sporządzona analiza, ani terminu na jej wykonanie. Wskazują one jedynie pewne stałe elementy, które należy rozważyć przy sporządzaniu analizy potrzeb i wymagań. </w:t>
      </w:r>
      <w:r w:rsidR="00B518D5">
        <w:rPr>
          <w:rFonts w:ascii="Times New Roman" w:eastAsia="Times New Roman" w:hAnsi="Times New Roman" w:cs="Times New Roman"/>
          <w:sz w:val="24"/>
          <w:szCs w:val="24"/>
        </w:rPr>
        <w:t xml:space="preserve">Ponadto analiza potrzeb i wymagań nie musi być </w:t>
      </w:r>
      <w:r w:rsidR="00CA0806">
        <w:rPr>
          <w:rFonts w:ascii="Times New Roman" w:eastAsia="Times New Roman" w:hAnsi="Times New Roman" w:cs="Times New Roman"/>
          <w:sz w:val="24"/>
          <w:szCs w:val="24"/>
        </w:rPr>
        <w:t>sporządzana w postaci</w:t>
      </w:r>
      <w:r w:rsidR="00B518D5">
        <w:rPr>
          <w:rFonts w:ascii="Times New Roman" w:eastAsia="Times New Roman" w:hAnsi="Times New Roman" w:cs="Times New Roman"/>
          <w:sz w:val="24"/>
          <w:szCs w:val="24"/>
        </w:rPr>
        <w:t xml:space="preserve"> oddzielnego dokumentu</w:t>
      </w:r>
      <w:r w:rsidR="00CA0806">
        <w:rPr>
          <w:rFonts w:ascii="Times New Roman" w:eastAsia="Times New Roman" w:hAnsi="Times New Roman" w:cs="Times New Roman"/>
          <w:sz w:val="24"/>
          <w:szCs w:val="24"/>
        </w:rPr>
        <w:t>, przygotowywanego</w:t>
      </w:r>
      <w:r w:rsidR="00B518D5">
        <w:rPr>
          <w:rFonts w:ascii="Times New Roman" w:eastAsia="Times New Roman" w:hAnsi="Times New Roman" w:cs="Times New Roman"/>
          <w:sz w:val="24"/>
          <w:szCs w:val="24"/>
        </w:rPr>
        <w:t xml:space="preserve"> wyłącznie w związku z dyspozycją przedmiotowego przepisu.  </w:t>
      </w:r>
    </w:p>
    <w:p w14:paraId="5703A69F" w14:textId="00EA9BA0" w:rsidR="00CB2D51" w:rsidRPr="00DA788D" w:rsidRDefault="002E64C7" w:rsidP="00E3423F">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Zgodnie z art. 83 projektu ustawy, zamawiający w przypadku udzielania zamówień o wartości równej lub przekraczającej progi </w:t>
      </w:r>
      <w:r w:rsidR="00A01338">
        <w:rPr>
          <w:rFonts w:ascii="Times New Roman" w:eastAsia="Times New Roman" w:hAnsi="Times New Roman" w:cs="Times New Roman"/>
          <w:sz w:val="24"/>
          <w:szCs w:val="24"/>
        </w:rPr>
        <w:t>unijne</w:t>
      </w:r>
      <w:r w:rsidRPr="00DA788D">
        <w:rPr>
          <w:rFonts w:ascii="Times New Roman" w:eastAsia="Times New Roman" w:hAnsi="Times New Roman" w:cs="Times New Roman"/>
          <w:sz w:val="24"/>
          <w:szCs w:val="24"/>
        </w:rPr>
        <w:t>, powinien poprzedzić udzielenie zamówienia publicznego analizą potrzeb wskazującą na:</w:t>
      </w:r>
    </w:p>
    <w:p w14:paraId="421BFD19" w14:textId="77777777" w:rsidR="00CB2D51" w:rsidRPr="00DA788D" w:rsidRDefault="002E64C7" w:rsidP="00DA788D">
      <w:pPr>
        <w:numPr>
          <w:ilvl w:val="0"/>
          <w:numId w:val="3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zasadność jego udzielenia, w tym czy nie można zaspokoić danej potrzeby zasobami własnymi,</w:t>
      </w:r>
    </w:p>
    <w:p w14:paraId="46C99208" w14:textId="77C23467" w:rsidR="00CB2D51" w:rsidRPr="00DA788D" w:rsidRDefault="002E64C7" w:rsidP="00DA788D">
      <w:pPr>
        <w:numPr>
          <w:ilvl w:val="0"/>
          <w:numId w:val="3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zbadanie możliwość zastosowania alternatywnych sposobów i środków zaspokojenia zidentyfikowanych potrzeb </w:t>
      </w:r>
      <w:r w:rsidR="00A17062">
        <w:rPr>
          <w:rFonts w:ascii="Times New Roman" w:eastAsia="Times New Roman" w:hAnsi="Times New Roman" w:cs="Times New Roman"/>
          <w:color w:val="000000"/>
          <w:sz w:val="24"/>
          <w:szCs w:val="24"/>
        </w:rPr>
        <w:t>przez</w:t>
      </w:r>
      <w:r w:rsidRPr="00DA788D">
        <w:rPr>
          <w:rFonts w:ascii="Times New Roman" w:eastAsia="Times New Roman" w:hAnsi="Times New Roman" w:cs="Times New Roman"/>
          <w:color w:val="000000"/>
          <w:sz w:val="24"/>
          <w:szCs w:val="24"/>
        </w:rPr>
        <w:t xml:space="preserve"> wskazanie możliwych wariantów, np. zamówienia zakupu usług zamiast rzeczy czy zastąpienia zamówienia na dostawy związane z przeniesieniem własności na najem lub leasing rzeczy lub innych dóbr, a także wykorzystania np. umowy koncesji na roboty budowlane lub usługi.</w:t>
      </w:r>
    </w:p>
    <w:p w14:paraId="3DF4109A" w14:textId="70615AA9"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ramach analizy zamawiający powinien również:</w:t>
      </w:r>
    </w:p>
    <w:p w14:paraId="572DB9AA" w14:textId="61E0005A" w:rsidR="00CB2D51" w:rsidRPr="00DA788D" w:rsidRDefault="002E64C7" w:rsidP="00DA788D">
      <w:pPr>
        <w:numPr>
          <w:ilvl w:val="0"/>
          <w:numId w:val="3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dokonać wstępnego oszacowania wartości przedmiotu zamówienia w przedstawionych wariantach</w:t>
      </w:r>
      <w:r w:rsidR="00A01338">
        <w:rPr>
          <w:rFonts w:ascii="Times New Roman" w:eastAsia="Times New Roman" w:hAnsi="Times New Roman" w:cs="Times New Roman"/>
          <w:color w:val="000000"/>
          <w:sz w:val="24"/>
          <w:szCs w:val="24"/>
        </w:rPr>
        <w:t>;</w:t>
      </w:r>
      <w:r w:rsidR="00A01338" w:rsidRPr="00DA788D">
        <w:rPr>
          <w:rFonts w:ascii="Times New Roman" w:eastAsia="Times New Roman" w:hAnsi="Times New Roman" w:cs="Times New Roman"/>
          <w:color w:val="000000"/>
          <w:sz w:val="24"/>
          <w:szCs w:val="24"/>
        </w:rPr>
        <w:t xml:space="preserve"> </w:t>
      </w:r>
    </w:p>
    <w:p w14:paraId="103880CF" w14:textId="697A5961" w:rsidR="00CB2D51" w:rsidRPr="00DA788D" w:rsidRDefault="002E64C7" w:rsidP="00DA788D">
      <w:pPr>
        <w:numPr>
          <w:ilvl w:val="0"/>
          <w:numId w:val="3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wziąć pod uwagę możliwość podziału zamówienia na części</w:t>
      </w:r>
      <w:r w:rsidR="00A01338">
        <w:rPr>
          <w:rFonts w:ascii="Times New Roman" w:eastAsia="Times New Roman" w:hAnsi="Times New Roman" w:cs="Times New Roman"/>
          <w:color w:val="000000"/>
          <w:sz w:val="24"/>
          <w:szCs w:val="24"/>
        </w:rPr>
        <w:t>;</w:t>
      </w:r>
    </w:p>
    <w:p w14:paraId="62B234B4" w14:textId="15C3D288" w:rsidR="00CB2D51" w:rsidRPr="00DA788D" w:rsidRDefault="002E64C7" w:rsidP="00DA788D">
      <w:pPr>
        <w:numPr>
          <w:ilvl w:val="0"/>
          <w:numId w:val="3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dokonać wyboru odpowiedniego trybu udzielenia zamówienia, dostosowanego do konkretnego przedmiotu zamówienia. Na przykład na etapie przygotowania postępowania zamawiający powinien stwierdzić czy posiada odpowiednie zasoby i wiedzę pozwalającą na szczegółowy opis przedmiotu zamówienia oraz czy nie jest wskazane wybranie trybu, który umożliwia zidentyfikowanie w drodze dialogu z wykonawcami optymalnego sposobu zaspokojenia potrzeb i sporządzenia opisu przedmiotu zamówienia</w:t>
      </w:r>
      <w:r w:rsidR="00A01338">
        <w:rPr>
          <w:rFonts w:ascii="Times New Roman" w:eastAsia="Times New Roman" w:hAnsi="Times New Roman" w:cs="Times New Roman"/>
          <w:color w:val="000000"/>
          <w:sz w:val="24"/>
          <w:szCs w:val="24"/>
        </w:rPr>
        <w:t>;</w:t>
      </w:r>
    </w:p>
    <w:p w14:paraId="699CBD5F" w14:textId="14705B4A" w:rsidR="00CB2D51" w:rsidRPr="00DA788D" w:rsidRDefault="002E64C7" w:rsidP="00DA788D">
      <w:pPr>
        <w:numPr>
          <w:ilvl w:val="0"/>
          <w:numId w:val="3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wskazać możliwość uwzględnienia aspektów społecznych, środowiskowych lub innowacyjnych w postępowaniu</w:t>
      </w:r>
      <w:r w:rsidR="00A01338">
        <w:rPr>
          <w:rFonts w:ascii="Times New Roman" w:eastAsia="Times New Roman" w:hAnsi="Times New Roman" w:cs="Times New Roman"/>
          <w:color w:val="000000"/>
          <w:sz w:val="24"/>
          <w:szCs w:val="24"/>
        </w:rPr>
        <w:t>;</w:t>
      </w:r>
    </w:p>
    <w:p w14:paraId="3D19D980" w14:textId="77777777" w:rsidR="00CB2D51" w:rsidRDefault="002E64C7" w:rsidP="00DA788D">
      <w:pPr>
        <w:numPr>
          <w:ilvl w:val="0"/>
          <w:numId w:val="3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wskazać ryzyka związane z udzieleniem zamówienia oraz w miarę możliwości sposoby na ograniczenie tych ryzyk.</w:t>
      </w:r>
    </w:p>
    <w:p w14:paraId="23B9E43C" w14:textId="77777777" w:rsidR="00CA0806" w:rsidRPr="00DA788D" w:rsidRDefault="00CA0806" w:rsidP="00CA0806">
      <w:pPr>
        <w:pBdr>
          <w:top w:val="nil"/>
          <w:left w:val="nil"/>
          <w:bottom w:val="nil"/>
          <w:right w:val="nil"/>
          <w:between w:val="nil"/>
        </w:pBdr>
        <w:spacing w:after="120"/>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Proponuje się, aby zamawiający publiczny mogli</w:t>
      </w:r>
      <w:r w:rsidRPr="00CA0806">
        <w:rPr>
          <w:rFonts w:ascii="Times New Roman" w:eastAsia="Times New Roman" w:hAnsi="Times New Roman" w:cs="Times New Roman"/>
          <w:color w:val="000000"/>
          <w:sz w:val="24"/>
          <w:szCs w:val="24"/>
        </w:rPr>
        <w:t xml:space="preserve"> odstąpić od dokonania analizy potrzeb i wymagań w przypadku gdy zachodzi podstawa udzielenia zamówienia w trybie negocjacji bez ogłoszenia, o której mowa w art. 209 ust. 1 pkt 4, lub w trybie zamówienia z wolnej ręki, o której mowa art. 214 ust. 1 pkt 5.</w:t>
      </w:r>
    </w:p>
    <w:p w14:paraId="2D759861" w14:textId="77777777" w:rsidR="00CB2D51" w:rsidRPr="005D60BF" w:rsidRDefault="002E64C7" w:rsidP="00DA788D">
      <w:pPr>
        <w:spacing w:after="120"/>
        <w:jc w:val="both"/>
        <w:rPr>
          <w:rFonts w:ascii="Times New Roman" w:eastAsia="Times New Roman" w:hAnsi="Times New Roman" w:cs="Times New Roman"/>
          <w:sz w:val="24"/>
          <w:szCs w:val="24"/>
          <w:u w:val="single"/>
        </w:rPr>
      </w:pPr>
      <w:r w:rsidRPr="005D60BF">
        <w:rPr>
          <w:rFonts w:ascii="Times New Roman" w:eastAsia="Times New Roman" w:hAnsi="Times New Roman" w:cs="Times New Roman"/>
          <w:sz w:val="24"/>
          <w:szCs w:val="24"/>
          <w:u w:val="single"/>
        </w:rPr>
        <w:t>Wstępne konsultacje rynkowe oraz wcześniejsze zaangażowanie wykonawców</w:t>
      </w:r>
    </w:p>
    <w:p w14:paraId="13639F20" w14:textId="1B8138B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Prawidłowe przygotowanie postępowania o udzielenie zamówienia wymaga rozeznania rynku i dostępnych na nim rozwiązań, a w wielu przypadkach także bezpośredniej konsultacji zamawiającego z uczestnikami rynku reprezentującymi daną jego branżę. Z treści ogłoszeń zamieszczonych w Biuletynie Zamówień Publicznych w roku 2017 wynika, że taki dialog techniczny z uczestnikami rynku został przeprowadzony w 429 postępowaniach, co stanowiło zaledwie 0,35% wszystkich postępowań, których dotyczyły ogłoszenia zamieszczone </w:t>
      </w:r>
      <w:r w:rsidR="00A01338" w:rsidRPr="00DA788D">
        <w:rPr>
          <w:rFonts w:ascii="Times New Roman" w:eastAsia="Times New Roman" w:hAnsi="Times New Roman" w:cs="Times New Roman"/>
          <w:sz w:val="24"/>
          <w:szCs w:val="24"/>
        </w:rPr>
        <w:t xml:space="preserve">w Biuletynie </w:t>
      </w:r>
      <w:r w:rsidRPr="00DA788D">
        <w:rPr>
          <w:rFonts w:ascii="Times New Roman" w:eastAsia="Times New Roman" w:hAnsi="Times New Roman" w:cs="Times New Roman"/>
          <w:sz w:val="24"/>
          <w:szCs w:val="24"/>
        </w:rPr>
        <w:t xml:space="preserve">w roku 2017 . Mimo, iż w 2017 r. instrument ten był wykorzystywany przez polskich zamawiających częściej niż w latach poprzednich (w 2016 r. w 193 postępowaniach (0,18 % ogółu), w 2015 r. w 240 (0,21 % ogółu), a w 2014 r. i w 2013 r. - w 275 (0,19% ogółu), nadal korzystanie z niego odbywa się na bardzo niskim poziomie tj. na poziomie ok. 0,2% ogółu postępowań z ogłoszeń zamieszczanych w Biuletynie Zamówień Publicznych. Aby zachęcić zamawiających do stosowania tego instrumentu w celu opracowywania nie tylko technicznych dokumentów zamówienia, ale także rozważenia różnych innych aspektów związanych z planowanymi zamówieniami i wymagających konsultacji rynkowej, w sposób bardziej przejrzysty niż miało to miejsce w </w:t>
      </w:r>
      <w:r w:rsidRPr="00DA788D">
        <w:rPr>
          <w:rFonts w:ascii="Times New Roman" w:eastAsia="Times New Roman" w:hAnsi="Times New Roman" w:cs="Times New Roman"/>
          <w:sz w:val="24"/>
          <w:szCs w:val="24"/>
        </w:rPr>
        <w:lastRenderedPageBreak/>
        <w:t>dotychczasowym stanie prawnym została uregulowana możliwość przeprowadzenia przez zamawiającego wstępnych konsultacji rynkowych. Konsultacje te, stosownie do art. 84</w:t>
      </w:r>
      <w:r w:rsidR="00BA41AF">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mogą być przeprowadzone wyłącznie przed wszczęciem postępowania o udzielenie zamówienia publicznego i mają służyć przygotowaniu tego postępowania, a także poinformowaniu wykonawców o planach zamawiającego i wymaganiach dotyczących zamówienia. </w:t>
      </w:r>
    </w:p>
    <w:p w14:paraId="6FDC58F4" w14:textId="332522B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ramach konsultacji rynkowych zamawiający będzie mógł korzystać </w:t>
      </w:r>
      <w:r w:rsidR="00A01338">
        <w:rPr>
          <w:rFonts w:ascii="Times New Roman" w:eastAsia="Times New Roman" w:hAnsi="Times New Roman" w:cs="Times New Roman"/>
          <w:sz w:val="24"/>
          <w:szCs w:val="24"/>
        </w:rPr>
        <w:t xml:space="preserve">z </w:t>
      </w:r>
      <w:r w:rsidRPr="00DA788D">
        <w:rPr>
          <w:rFonts w:ascii="Times New Roman" w:eastAsia="Times New Roman" w:hAnsi="Times New Roman" w:cs="Times New Roman"/>
          <w:sz w:val="24"/>
          <w:szCs w:val="24"/>
        </w:rPr>
        <w:t xml:space="preserve">doradztwa niezależnych ekspertów będących specjalistami w danej branży, organów administracji publicznej, które mogą dostarczyć potrzebnych informacji, oraz uczestników rynku, w tym izb branżowych i potencjalnych wykonawców. </w:t>
      </w:r>
    </w:p>
    <w:p w14:paraId="734D69AC" w14:textId="37528235" w:rsidR="00CB2D51" w:rsidRPr="00DA788D" w:rsidRDefault="002E64C7" w:rsidP="00DA788D">
      <w:pPr>
        <w:spacing w:after="120"/>
        <w:ind w:firstLine="70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art. </w:t>
      </w:r>
      <w:r w:rsidR="00BA41AF" w:rsidRPr="00DA788D">
        <w:rPr>
          <w:rFonts w:ascii="Times New Roman" w:eastAsia="Times New Roman" w:hAnsi="Times New Roman" w:cs="Times New Roman"/>
          <w:sz w:val="24"/>
          <w:szCs w:val="24"/>
        </w:rPr>
        <w:t>85</w:t>
      </w:r>
      <w:r w:rsidR="00BA41AF">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zasady: gwarantowania równego traktowania wykonawców, przejrzystości postępowania i zachowania w nim uczciwej konkurencji zostały wdrożone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wymaganie, aby w sytuacji, gdy w postępowaniu o udzielenie zamówienia publicznego weźmie udział wykonawca lub podmiot należący</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 wykonawca</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do tej samej grupy kapitałowej w rozumieniu przepisów o ochronie konkurencji i konsumentów, który doradzał lub w inny sposób był zaangażowany w przygotowanie tego postępowania, zamawiający musi pod</w:t>
      </w:r>
      <w:r w:rsidR="00A01338">
        <w:rPr>
          <w:rFonts w:ascii="Times New Roman" w:eastAsia="Times New Roman" w:hAnsi="Times New Roman" w:cs="Times New Roman"/>
          <w:sz w:val="24"/>
          <w:szCs w:val="24"/>
        </w:rPr>
        <w:t>j</w:t>
      </w:r>
      <w:r w:rsidRPr="00DA788D">
        <w:rPr>
          <w:rFonts w:ascii="Times New Roman" w:eastAsia="Times New Roman" w:hAnsi="Times New Roman" w:cs="Times New Roman"/>
          <w:sz w:val="24"/>
          <w:szCs w:val="24"/>
        </w:rPr>
        <w:t>ąć odpowiednie środki w celu zagwarantowania, że udział takiego wykonawcy nie naruszy konkurencji. W szczególności zamawiający powinien przekazać innym wykonawcom informacje, które sam przekazał podczas konsultacji temu wykonawcy</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oraz informacje uzyskane od tego wykonawcy podczas konsultacji. Ponadto zamawiający, odpowiednio do zastosowanego trybu postępowania, wyznacza dostatecznie długi na zapoznanie się z tymi informacjami termin składania ofert umożliwiający także uwzględnienie tych informacji w ofertach. Środki mające na celu zapobieżenie zakłóceniu konkurencji powinny być ujawnione w protokole postępowania. Projekt ustawy, w celu jednoznacznego określenia sytuacji, w których wykonawca zaangażowany w konsultacje rynkowe może być wykluczony z postępowania o udzielenie zamówienia publicznego wprowadza zasadę, iż taki wykonawca może być wykluczony tylko wówczas, gdy zakłócenie konkurencji spowodowane jego udziałem w postępowaniu nie może być wyeliminowane w inny sposób. Niemniej dodatkowo, projekt ustawy przewiduje, że przed wykluczeniem wykonawcy na takiej podstawie zamawiający powinien umożliwić mu udowodnienie, że jego zaangażowanie w przygotowanie postępowania nie zakłóci konkurencji. </w:t>
      </w:r>
    </w:p>
    <w:p w14:paraId="7BDBCE03" w14:textId="48B657FD"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2</w:t>
      </w:r>
      <w:r w:rsidR="00A0133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Ogłoszenia</w:t>
      </w:r>
    </w:p>
    <w:p w14:paraId="3A7B43E6" w14:textId="165A732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Zasady dotyczące publikacji ogłoszeń, określone w dziale II rozdziale 1 oddziale 2</w:t>
      </w:r>
      <w:r w:rsidR="00A01338">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xml:space="preserve">, będą miały zastosowanie do zamówień klasycznych o wartości równej lub przekraczającej progi unijne publikowanych w Dzienniku Urzędowym Unii Europejskiej, o ile będą przekazywane przez zamawiającego Urzędowi Publikacji Unii Europejskiej. Przepisy te są odzwierciedleniem regulacji unijnych. </w:t>
      </w:r>
    </w:p>
    <w:p w14:paraId="25E89D4E" w14:textId="794C4C8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ogłoszeń dotyczących zamówień o wartości równej lub przekraczającej progi unijne, w tym dotyczących zamówień klasycznych, zastosowanie będą miały standardowe formularze ogłoszeń określone w rozporządzeniu wykonawczym Komisji (UE) 2015/1986 z dnia 11 listopada 2015 r. ustanawiającym standardowe formularze do publikacji ogłoszeń w dziedzinie zamówień publicznych i uchylającym rozporządzenie wykonawcze (UE) nr 842/2011 (Dz. Urz. UE L 296 z 12.11.2015, str. 1</w:t>
      </w:r>
      <w:r w:rsidR="00A01338">
        <w:rPr>
          <w:rFonts w:ascii="Times New Roman" w:eastAsia="Times New Roman" w:hAnsi="Times New Roman" w:cs="Times New Roman"/>
          <w:sz w:val="24"/>
          <w:szCs w:val="24"/>
        </w:rPr>
        <w:t>, z późn. zm.</w:t>
      </w:r>
      <w:r w:rsidRPr="00DA788D">
        <w:rPr>
          <w:rFonts w:ascii="Times New Roman" w:eastAsia="Times New Roman" w:hAnsi="Times New Roman" w:cs="Times New Roman"/>
          <w:sz w:val="24"/>
          <w:szCs w:val="24"/>
        </w:rPr>
        <w:t xml:space="preserve">). W związku z tym, projekt ustawy nie zawiera zakresu treściowego formularzy ogłoszeń, ale odsyła do rozporządzenia Komisji określającego tego rodzaju standardowe formularze, stanowiące załączniki do rozporządzenia Komisji. Tak jak dotychczas zamawiający będzie przekazywał ogłoszenia wyłącznie zgodnie z formatem i procedurami elektronicznego </w:t>
      </w:r>
      <w:r w:rsidRPr="00DA788D">
        <w:rPr>
          <w:rFonts w:ascii="Times New Roman" w:eastAsia="Times New Roman" w:hAnsi="Times New Roman" w:cs="Times New Roman"/>
          <w:sz w:val="24"/>
          <w:szCs w:val="24"/>
        </w:rPr>
        <w:lastRenderedPageBreak/>
        <w:t>przesyłania ogłoszeń, ustanowionymi przez Komisję Europejską, dostępnymi na stronie internetowej, o której mowa w ust. 3 załącznika VIII do dyrektywy klasycznej.</w:t>
      </w:r>
    </w:p>
    <w:p w14:paraId="67E78F80" w14:textId="458B115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wprowadza jednocześnie wymóg udostępniania przez zamawiającego ogłoszeń o wartości równej lub przekraczającej progi unijne na stronie internetowej prowadzonego postępowania, a nie jak dotychczas w miejscu publicznie dostępnym w swojej siedzibie oraz na stronie internetowej. Zamawiający będzie mógł dodatkowo udostępnić ogłoszenie w innym miejscu niż na stronie internetowej prowadzonego postępowania. Należy przy tym wyjaśnić, że zgodnie z projektem ustawy zamawiający będzie udostępniał (a nie zamieszczał) treść publikowanego ogłoszenia, wskazując przykładowo jego link lub załączając treść ogłoszenia. W związku z tym w nowej ustawie rezygnuje się z regulacji określających treść ogłoszenia dotyczącego zamówień o wartości równej lub przekraczającej progi unijne, publikowanego na poziomie krajowym (por.: art. 41, </w:t>
      </w:r>
      <w:r w:rsidR="00D838AE" w:rsidRPr="00DA788D">
        <w:rPr>
          <w:rFonts w:ascii="Times New Roman" w:eastAsia="Times New Roman" w:hAnsi="Times New Roman" w:cs="Times New Roman"/>
          <w:sz w:val="24"/>
          <w:szCs w:val="24"/>
        </w:rPr>
        <w:t xml:space="preserve">art. </w:t>
      </w:r>
      <w:r w:rsidRPr="00DA788D">
        <w:rPr>
          <w:rFonts w:ascii="Times New Roman" w:eastAsia="Times New Roman" w:hAnsi="Times New Roman" w:cs="Times New Roman"/>
          <w:sz w:val="24"/>
          <w:szCs w:val="24"/>
        </w:rPr>
        <w:t xml:space="preserve">48, </w:t>
      </w:r>
      <w:r w:rsidR="00D838AE" w:rsidRPr="00DA788D">
        <w:rPr>
          <w:rFonts w:ascii="Times New Roman" w:eastAsia="Times New Roman" w:hAnsi="Times New Roman" w:cs="Times New Roman"/>
          <w:sz w:val="24"/>
          <w:szCs w:val="24"/>
        </w:rPr>
        <w:t xml:space="preserve">art. </w:t>
      </w:r>
      <w:r w:rsidRPr="00DA788D">
        <w:rPr>
          <w:rFonts w:ascii="Times New Roman" w:eastAsia="Times New Roman" w:hAnsi="Times New Roman" w:cs="Times New Roman"/>
          <w:sz w:val="24"/>
          <w:szCs w:val="24"/>
        </w:rPr>
        <w:t xml:space="preserve">60c, </w:t>
      </w:r>
      <w:r w:rsidR="00D838AE" w:rsidRPr="00DA788D">
        <w:rPr>
          <w:rFonts w:ascii="Times New Roman" w:eastAsia="Times New Roman" w:hAnsi="Times New Roman" w:cs="Times New Roman"/>
          <w:sz w:val="24"/>
          <w:szCs w:val="24"/>
        </w:rPr>
        <w:t xml:space="preserve">art. </w:t>
      </w:r>
      <w:r w:rsidRPr="00DA788D">
        <w:rPr>
          <w:rFonts w:ascii="Times New Roman" w:eastAsia="Times New Roman" w:hAnsi="Times New Roman" w:cs="Times New Roman"/>
          <w:sz w:val="24"/>
          <w:szCs w:val="24"/>
        </w:rPr>
        <w:t>73b ustawy Pzp).</w:t>
      </w:r>
    </w:p>
    <w:p w14:paraId="39791D5B" w14:textId="735A0B3C" w:rsidR="00CB2D51" w:rsidRPr="00DA788D" w:rsidRDefault="002E64C7"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New Roman" w:hAnsi="Times New Roman" w:cs="Times New Roman"/>
          <w:color w:val="000000"/>
          <w:sz w:val="24"/>
          <w:szCs w:val="24"/>
        </w:rPr>
        <w:t>W projekcie ustawy w art. 90 ust. 3 wprowadzono regulację wskazującą na ograniczenia co do zakresu dopuszczalnych zmian treści ogłoszenia o zamówieniu, zgodnie z którą „</w:t>
      </w:r>
      <w:r w:rsidR="00D838AE">
        <w:rPr>
          <w:rFonts w:ascii="Times New Roman" w:eastAsia="Times" w:hAnsi="Times New Roman" w:cs="Times New Roman"/>
          <w:color w:val="000000"/>
          <w:sz w:val="24"/>
          <w:szCs w:val="24"/>
        </w:rPr>
        <w:t>w</w:t>
      </w:r>
      <w:r w:rsidR="00D838AE" w:rsidRPr="00DA788D">
        <w:rPr>
          <w:rFonts w:ascii="Times New Roman" w:eastAsia="Times" w:hAnsi="Times New Roman" w:cs="Times New Roman"/>
          <w:color w:val="000000"/>
          <w:sz w:val="24"/>
          <w:szCs w:val="24"/>
        </w:rPr>
        <w:t xml:space="preserve"> </w:t>
      </w:r>
      <w:r w:rsidRPr="00DA788D">
        <w:rPr>
          <w:rFonts w:ascii="Times New Roman" w:eastAsia="Times" w:hAnsi="Times New Roman" w:cs="Times New Roman"/>
          <w:color w:val="000000"/>
          <w:sz w:val="24"/>
          <w:szCs w:val="24"/>
        </w:rPr>
        <w:t>przypadku gdy zmiany treści ogłoszenia o zamówieniu istotnie zmieniają charakter zamówienia w porównaniu z pierwotnie określonym, w szczególności znacznie zmieniają zakres zamówienia, zamawiający unieważnia postępowania na podstawie art. 256”.</w:t>
      </w:r>
    </w:p>
    <w:p w14:paraId="76680F8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Powyższa regulacja jest odzwierciedleniem motywu 81 dyrektywy klasycznej, zgodnie z którym zmiany w ogłoszeniu o zamówieniu „(…) nie powinny być na tyle istotne, by umożliwić dopuszczenie innych kandydatów niż kandydaci pierwotnie zakwalifikowani lub by zainteresować postępowaniem o udzielenie zamówienia dodatkowych uczestników. Taki przypadek wystąpiłby w sytuacji, gdy wprowadzane modyfikacje istotnie zmieniają charakter zamówienia lub umowy ramowej w porównaniu z charakterem pierwotnie określonym w dokumentach zamówienia (…)”. </w:t>
      </w:r>
    </w:p>
    <w:p w14:paraId="1129E98C" w14:textId="77777777" w:rsidR="00743F4E" w:rsidRPr="00DA788D" w:rsidRDefault="00743F4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związku z powyższym za niedopuszczalną zmianę należy uznać w szczególności zwiększenie zakresu zamówienia, np. dodanie części zamówienia (tzw. pakietu), zmianę rodzaju zamówienia (np. z dostawy na usługi), zmiana charakteru zamówienia</w:t>
      </w:r>
      <w:r w:rsidR="00DA788D">
        <w:rPr>
          <w:rFonts w:ascii="Times New Roman" w:eastAsia="Times New Roman" w:hAnsi="Times New Roman" w:cs="Times New Roman"/>
          <w:sz w:val="24"/>
          <w:szCs w:val="24"/>
        </w:rPr>
        <w:t xml:space="preserve"> (np. z leasingu na sprzedaż). </w:t>
      </w:r>
    </w:p>
    <w:p w14:paraId="0FF1586F" w14:textId="606DF0C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takich przypadkach nie będzie możliwe dokonanie zmian i przedłużenie terminu składania wniosków o dopuszczenie do udziału w postępowaniu, a w przypadku trybu przetargu niegraniczonego przed upływem terminu składania ofert. Zamawiający będzie mógł jednak unieważnić postępowanie o udzielenie zamówienia, a następnie wszcząć nowe. Zgodnie z nową podstawą do unieważnienia postępowania </w:t>
      </w:r>
      <w:r w:rsidR="00BA41AF">
        <w:rPr>
          <w:rFonts w:ascii="Times New Roman" w:eastAsia="Times New Roman" w:hAnsi="Times New Roman" w:cs="Times New Roman"/>
          <w:sz w:val="24"/>
          <w:szCs w:val="24"/>
        </w:rPr>
        <w:t>zawartą</w:t>
      </w:r>
      <w:r w:rsidR="00BA41AF"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 art. 256</w:t>
      </w:r>
      <w:r w:rsidR="00BA41AF">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zamawiający będzie mógł unieważnić postępowanie o udzielenie zamówienia przed upływem terminu do składania wniosków o dopuszczenie do udziału w postępowaniu</w:t>
      </w:r>
      <w:r w:rsidR="00E95656">
        <w:rPr>
          <w:rFonts w:ascii="Times New Roman" w:eastAsia="Times New Roman" w:hAnsi="Times New Roman" w:cs="Times New Roman"/>
          <w:sz w:val="24"/>
          <w:szCs w:val="24"/>
        </w:rPr>
        <w:t xml:space="preserve"> (dotyczy trybów kilkuetapowych)</w:t>
      </w:r>
      <w:r w:rsidRPr="00DA788D">
        <w:rPr>
          <w:rFonts w:ascii="Times New Roman" w:eastAsia="Times New Roman" w:hAnsi="Times New Roman" w:cs="Times New Roman"/>
          <w:sz w:val="24"/>
          <w:szCs w:val="24"/>
        </w:rPr>
        <w:t xml:space="preserve"> albo odpowiednio przed upływem terminu składania ofert, jeżeli wystąpiły okoliczności powodujące, że dalsze prowadzenie postępowania jest nieuzasadnione. </w:t>
      </w:r>
    </w:p>
    <w:p w14:paraId="38DA531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Należy przy tym zauważyć, że w formularzu ogłoszenia zmian lub dodatkowych informacji (załącznik XI do rozporządzenia wykonawczego Komisji (UE) 2015/1986 z dnia 11 listopada 2015 r. ustanawiającym standardowe formularze do publikacji ogłoszeń w dziedzinie zamówień publicznych i uchylającym rozporządzenie wykonawcze (UE) nr 842/2011) wyraźnie wskazuje się, że jeżeli „sprostowanie lub modyfikacja ogłoszeń prowadzi do znaczącej zmiany warunków konkurencji, konieczne jest przedłużenie początkowo przewidzianych terminów lub wszczęcie nowego postępowania”.</w:t>
      </w:r>
    </w:p>
    <w:p w14:paraId="2AB399F7" w14:textId="048EFF99"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Oddział 3</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Ustalenie niektórych warunków zamówienia</w:t>
      </w:r>
    </w:p>
    <w:p w14:paraId="47265A11"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t xml:space="preserve">Z regulacji dotyczącej warunków udziału w postępowaniu przeniesiono do regulacji dotyczącej ustalenia niektórych warunków zamówienia przepisy normujące tzw. zamówienia zastrzeżone. Obecnie umiejscowienie tych regulacji rodziło problemy praktyczne związane z mylnym utożsamianiem zastrzeżenia zamówienia przez zamawiającego z warunkami udziału w postępowaniu. </w:t>
      </w:r>
    </w:p>
    <w:p w14:paraId="255A2701"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gdy komunikacja w postępowaniu o udzielenie zamówienia odbywa się przy użyciu środków komunikacji elektronicznej zamawiający może wymagać złożenia oferty w postaci katalogu elektronicznego, albo wymagać dołączenia katalogu elektronicznego do składanej oferty, albo</w:t>
      </w:r>
      <w:r w:rsidRPr="00DA788D">
        <w:rPr>
          <w:rFonts w:ascii="Times New Roman" w:eastAsia="Times New Roman" w:hAnsi="Times New Roman" w:cs="Times New Roman"/>
          <w:sz w:val="24"/>
          <w:szCs w:val="24"/>
        </w:rPr>
        <w:tab/>
        <w:t xml:space="preserve">dopuścić dołączenie katalogu elektronicznego do składanej oferty, albo przewidzieć obowiązek złożenia katalogu elektronicznego wraz z wnioskiem o dopuszczenie do udziału w dynamicznym systemie zakupów. Wprowadzono definicję katalogu elektronicznego. Stanowi on wykaz zamawianych produktów, robót budowlanych lub usług sporządzony przez wykonawcę zgodnie z opisem przedmiotu zamówienia oraz w formacie nadającym się do automatycznego przetwarzania danych. Katalog elektroniczny może w szczególności zawierać opisy i zdjęcia produktów, robót budowlanych lub usług oraz informacje o cenach. Najprostszym przykładem formatu nadającego się do automatycznego przetwarzania danych jest format arkusza kalkulacyjnego (np. stosowanego w programie Microsoft Excel). </w:t>
      </w:r>
    </w:p>
    <w:p w14:paraId="0E970943"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Katalog elektroniczny powinien być sporządzony przez wykonawcę na potrzeby udziału w danym postępowaniu o udzielenie zamówienia, zgodnie z wymaganiami określonymi przez zamawiającego. Zatem wykonawca nie może ograniczyć się do przesłania swojego ogólnego katalogu. Ma on obowiązek zindywidualizowania katalogu, a więc dostosowania swojego ogólnego katalogu do konkretnego postępowania o udzielenie zamówienia.  </w:t>
      </w:r>
    </w:p>
    <w:p w14:paraId="534B1625" w14:textId="77777777" w:rsidR="00975EB9" w:rsidRPr="00DA788D" w:rsidRDefault="00975EB9"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ofert składanych w postaci katalogu elektronicznego mogą być załączone inne dokumenty lub oświadczenia uzupełniające ofertę. Przykładem dokumentów uzupełniających ofertę mogą być katalogowe karty produktu, instrukcje montażu lub foldery reklamowe.</w:t>
      </w:r>
    </w:p>
    <w:p w14:paraId="029D7C3C" w14:textId="77777777" w:rsidR="00975EB9" w:rsidRPr="00DA788D" w:rsidRDefault="00975EB9" w:rsidP="00DA788D">
      <w:pPr>
        <w:spacing w:after="120"/>
        <w:jc w:val="both"/>
        <w:rPr>
          <w:rFonts w:ascii="Times New Roman" w:eastAsia="Times New Roman" w:hAnsi="Times New Roman" w:cs="Times New Roman"/>
          <w:sz w:val="24"/>
          <w:szCs w:val="24"/>
        </w:rPr>
      </w:pPr>
    </w:p>
    <w:p w14:paraId="6EB3C7C3" w14:textId="74BB2FC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celu uproszczenia prowadzenia postępowań o udzielenie zamówienia publicznego w projekcie ustawy została przewidziana zasada fakultatywności wadium mająca zastosowanie do wszystkich postępowań prowadzonych w oparciu o przepisy ustawy. A zatem, bez względu na wartość zamówienia i bez względu na tryb, w jakim postępowanie o udzielenie zamówienia jest prowadzone, zamawiający nie będzie miał obowiązku żądania od wykonawców wniesienia wadium. W art. 97 </w:t>
      </w:r>
      <w:r w:rsidR="00BA41AF">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maksymalna wysokość wadium, jaka może być żądana przez zamawiającego została utrzymana na tym samym, co dotychczas poziomie 3% wartości zamówienia. Obowiązek wniesienia wadium przed upływem terminu składania ofert, w przypadku, gdy zamawiający zażąda od wykonawców wniesienia wadium, został powiązany z obowiązkiem nieprzerwanego utrzymania wadium przez wykonawcę do upływu terminu związania ofertą, włączając sytuacje, w których wykonawca przedłuża termin związania ofertą, chociaż w określonych przypadkach, zwłaszcza wniesienia wadium w postaci gwarancji bankowej, ubezpieczeniowej lub poręczenia, może to oznaczać konieczność wniesienia nowego wadium na przedłużony okres związania ofertą.</w:t>
      </w:r>
    </w:p>
    <w:p w14:paraId="02036601" w14:textId="4C23C5B2"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ab/>
        <w:t xml:space="preserve">Projekt ustawy doprecyzowuje także kwestie zwrotu wadium. W art. 98 projektu ustawy został na zamawiającego nałożony obowiązek zwrotu wadium bez wezwania wykonawcy niezwłocznie, nie później jednak niż w terminie 7 od momentu wystąpienia jednej ze wskazanych ustawą okoliczności: upływu terminu związania ofertą, zawarcia umowy w sprawie zamówienia publicznego bądź unieważnienia postępowania. Zamawiający zwraca wadium również niezwłocznie i nie później niż w terminie 7 dni na wniosek wykonawcy: który wycofał ofertę przed upływem terminu składania ofert, którego oferta została odrzucona, który zwrócił się z takim wnioskiem po wyborze oferty najkorzystniejszej (przy czym nie dotyczy to wykonawcy którego oferta została wybrana jako najkorzystniejsza) albo po unieważnieniu postępowania, w sytuacji, gdy nie zostało rozstrzygnięte odwołanie na czynność unieważnienia postępowania albo nie upłynął termin na wniesienie takiego odwołania. Wystąpienie wykonawcy z wnioskiem o zwrot wadium w wymienionych sytuacjach będzie równoznaczne z deklaracją braku zainteresowania dalszym udziałem w postępowaniu. Doprecyzowano sposób zwrotu wadium wniesionego w innej formie niż w pieniądzu. Jeżeli wadium jest wnoszone w formie gwarancji lub poręczenia, zamawiający zwraca wadium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złożenie gwarantowi lub poręczycielowi oświadczenie o zwolnieniu wadium. Charakter prawny oświadczenia o zwolnieniu wadium będzie zależał od indywidualnego ukształtowania treści stosunku gwarancji lub poręczenia. Co do zasady jednak zwolnienie z wadium należy kwalifikować jako zwolnienie z długu. </w:t>
      </w:r>
    </w:p>
    <w:p w14:paraId="576CD69B" w14:textId="13641BB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Ten sam przepis wprowadza nowe w stosunku do dotychczasowych regulacje dotyczące zasad zatrzymania wadium albo wystąpienia przez zamawiającego z żądaniem zapłaty wadium. Zatrzymanie wadium wraz z odsetkami będzie miało miejsce w przypadku wadium wniesionego w pieniądzu, a w przypadku wadium wniesionego w formie gwarancji lub poręczenia zamawiający będzie występował odpowiednio do gwaranta lub poręczyciela z żądaniem zapłaty wadium. Takie wystąpienie z żądaniem zapłaty wadium będzie dotyczyło sytuacji, w której wykonawca w odpowiedzi na wezwanie zamawiającego z przyczyn leżących po stronie wykonawcy nie złożył oświadczenia o spełnianiu warunków udziału w postępowaniu i nie podleganiu wykluczeniu z udziału w postępowaniu (jednolitego dokumentu), podmiotowych lub przedmiotowych środków dowodowych, pełnomocnictw albo nie zgodził się na poprawienie omyłki, co spowodowało brak możliwości wybrania jego oferty jako najkorzystniejszej</w:t>
      </w:r>
      <w:r w:rsidR="00D838AE">
        <w:rPr>
          <w:rFonts w:ascii="Times New Roman" w:eastAsia="Times New Roman" w:hAnsi="Times New Roman" w:cs="Times New Roman"/>
          <w:sz w:val="24"/>
          <w:szCs w:val="24"/>
        </w:rPr>
        <w:t>,</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sytuacji, w której wykonawca</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którego oferta została wybrana jako najkorzystniejsza odmówił podpisania umowy na warunkach określonych w ofercie lub nie wniósł wymaganego zabezpieczenia należytego wykonania umowy, a także sytuacji gdy zawarcie umowy stało się niemożliwe z przyczyn leżących po stronie wykonawcy, którego oferta została wybrana jako najkorzystniejsza. Ostatni wymieniony przypadek dotyczy zatrzymania wadium zarówno w sytuacji, gdy wykonawca ten uchyla się od podpisania umowy jak również w sytuacji, gdy z różnych innych przyczyn leżących po stronie wykonawcy podpisanie umowy stało się niemożliwe. Takie ujęcie zatrzymania wadium oznacza, że do zatrzymania wadium nie dojdzie, jeżeli sam zamawiający przyczyni się do braku możliwości podpisania umowy np. wyznaczając nieproporcjonalnie krótki termin podpisania umowy po wyborze oferty najkorzystniejszej.</w:t>
      </w:r>
    </w:p>
    <w:p w14:paraId="0571D287" w14:textId="7B4A5A58"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4</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Opis przedmiotu zamówienia</w:t>
      </w:r>
    </w:p>
    <w:p w14:paraId="7AA643D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Zagadnienia dotyczące opisu przedmiotu zamówienia uregulowane dotychczas w art. 29-31 ustawy Pzp znalazły odzwierciedlenie w przepisach art. </w:t>
      </w:r>
      <w:r w:rsidR="00C84B34" w:rsidRPr="00DA788D">
        <w:rPr>
          <w:rFonts w:ascii="Times New Roman" w:eastAsia="Times New Roman" w:hAnsi="Times New Roman" w:cs="Times New Roman"/>
          <w:sz w:val="24"/>
          <w:szCs w:val="24"/>
        </w:rPr>
        <w:t>99-10</w:t>
      </w:r>
      <w:r w:rsidR="005B0FB8" w:rsidRPr="00DA788D">
        <w:rPr>
          <w:rFonts w:ascii="Times New Roman" w:eastAsia="Times New Roman" w:hAnsi="Times New Roman" w:cs="Times New Roman"/>
          <w:sz w:val="24"/>
          <w:szCs w:val="24"/>
        </w:rPr>
        <w:t>3</w:t>
      </w:r>
      <w:r w:rsidRPr="00DA788D">
        <w:rPr>
          <w:rFonts w:ascii="Times New Roman" w:eastAsia="Times New Roman" w:hAnsi="Times New Roman" w:cs="Times New Roman"/>
          <w:sz w:val="24"/>
          <w:szCs w:val="24"/>
        </w:rPr>
        <w:t xml:space="preserve"> ustawy. W projekcie ustawy postanowiono zachować dotychczas obowiązującą i ugruntowaną w doktrynie terminologię i instytucje związane z opisem przedmiotu zamówienia. Nowym rozwiązaniem względem regulacji dotychczasowej jest syntetyczne uregulowanie zagadnienia. </w:t>
      </w:r>
    </w:p>
    <w:p w14:paraId="57852475" w14:textId="6E78D2CF" w:rsidR="00CB2D51" w:rsidRPr="00DA788D" w:rsidRDefault="00C84B34"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Doprecyzowano</w:t>
      </w:r>
      <w:r w:rsidR="002E64C7"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w:t>
      </w:r>
      <w:r w:rsidR="002E64C7" w:rsidRPr="00DA788D">
        <w:rPr>
          <w:rFonts w:ascii="Times New Roman" w:eastAsia="Times New Roman" w:hAnsi="Times New Roman" w:cs="Times New Roman"/>
          <w:sz w:val="24"/>
          <w:szCs w:val="24"/>
        </w:rPr>
        <w:t xml:space="preserve">nowej </w:t>
      </w:r>
      <w:r w:rsidRPr="00DA788D">
        <w:rPr>
          <w:rFonts w:ascii="Times New Roman" w:eastAsia="Times New Roman" w:hAnsi="Times New Roman" w:cs="Times New Roman"/>
          <w:sz w:val="24"/>
          <w:szCs w:val="24"/>
        </w:rPr>
        <w:t xml:space="preserve">ustawie </w:t>
      </w:r>
      <w:r w:rsidR="002E64C7" w:rsidRPr="00DA788D">
        <w:rPr>
          <w:rFonts w:ascii="Times New Roman" w:eastAsia="Times New Roman" w:hAnsi="Times New Roman" w:cs="Times New Roman"/>
          <w:sz w:val="24"/>
          <w:szCs w:val="24"/>
        </w:rPr>
        <w:t>normy dotyczące, m.in.: (1) reguły, co do sposobu dokonywania opisu, (2) zakazu dokonywania opisu przedmiotu zamówienia w sposób, który mógłby utrudniać uczciwą konkurencję, w tym przy użyciu „nazw własnych”, (3)</w:t>
      </w:r>
      <w:r w:rsidR="00D838AE">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oznakowania, czy (</w:t>
      </w:r>
      <w:r w:rsidR="00D30C10" w:rsidRPr="00DA788D">
        <w:rPr>
          <w:rFonts w:ascii="Times New Roman" w:eastAsia="Times New Roman" w:hAnsi="Times New Roman" w:cs="Times New Roman"/>
          <w:sz w:val="24"/>
          <w:szCs w:val="24"/>
        </w:rPr>
        <w:t>4</w:t>
      </w:r>
      <w:r w:rsidR="002E64C7" w:rsidRPr="00DA788D">
        <w:rPr>
          <w:rFonts w:ascii="Times New Roman" w:eastAsia="Times New Roman" w:hAnsi="Times New Roman" w:cs="Times New Roman"/>
          <w:sz w:val="24"/>
          <w:szCs w:val="24"/>
        </w:rPr>
        <w:t>) uwzględnienia w opisie potrzeb osób niepełnosprawnych.</w:t>
      </w:r>
    </w:p>
    <w:p w14:paraId="29D493DE" w14:textId="02877A4C" w:rsidR="00D30C10"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Podobnie jak w dotychczas obowiązujących przepisach ustawy Pzp, projekt ustawy wprowadza wymagania, zgodnie z którymi opis przedmiotu zamówienia publicznego nie powinien tworzyć nieuzasadnionych przeszkód dla otwarcia tego postępowania na konkurencję.</w:t>
      </w:r>
      <w:r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sz w:val="24"/>
          <w:szCs w:val="24"/>
        </w:rPr>
        <w:t xml:space="preserve">W związku z powyższym przedmiot zamówienia publicznego powinien być opisany w taki sposób, aby uniknąć sztucznego zawężania konkurencji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wymagania, które faworyzują konkretnego wykonawcę lub konkretny produkt lub usługę. </w:t>
      </w:r>
    </w:p>
    <w:p w14:paraId="5B396CAF" w14:textId="77777777" w:rsidR="00D30C10" w:rsidRPr="00DA788D" w:rsidRDefault="00EF0E2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Zasadniczo bez zmian </w:t>
      </w:r>
      <w:r w:rsidR="005B0FB8" w:rsidRPr="00DA788D">
        <w:rPr>
          <w:rFonts w:ascii="Times New Roman" w:eastAsia="Times New Roman" w:hAnsi="Times New Roman" w:cs="Times New Roman"/>
          <w:sz w:val="24"/>
          <w:szCs w:val="24"/>
        </w:rPr>
        <w:t>określono sposób</w:t>
      </w:r>
      <w:r w:rsidR="00D30C10" w:rsidRPr="00DA788D">
        <w:rPr>
          <w:rFonts w:ascii="Times New Roman" w:eastAsia="Times New Roman" w:hAnsi="Times New Roman" w:cs="Times New Roman"/>
          <w:sz w:val="24"/>
          <w:szCs w:val="24"/>
        </w:rPr>
        <w:t xml:space="preserve"> dokonywania opisu</w:t>
      </w:r>
      <w:r w:rsidR="005B0FB8" w:rsidRPr="00DA788D">
        <w:rPr>
          <w:rFonts w:ascii="Times New Roman" w:eastAsia="Times New Roman" w:hAnsi="Times New Roman" w:cs="Times New Roman"/>
          <w:sz w:val="24"/>
          <w:szCs w:val="24"/>
        </w:rPr>
        <w:t xml:space="preserve"> przedmiotu zamówienia; dopuszczalny jest opis</w:t>
      </w:r>
      <w:r w:rsidR="00D30C10" w:rsidRPr="00DA788D">
        <w:rPr>
          <w:rFonts w:ascii="Times New Roman" w:eastAsia="Times New Roman" w:hAnsi="Times New Roman" w:cs="Times New Roman"/>
          <w:sz w:val="24"/>
          <w:szCs w:val="24"/>
        </w:rPr>
        <w:t xml:space="preserve"> </w:t>
      </w:r>
      <w:r w:rsidR="005B0FB8" w:rsidRPr="00DA788D">
        <w:rPr>
          <w:rFonts w:ascii="Times New Roman" w:eastAsia="Times New Roman" w:hAnsi="Times New Roman" w:cs="Times New Roman"/>
          <w:sz w:val="24"/>
          <w:szCs w:val="24"/>
        </w:rPr>
        <w:t>funkcjonalny, opis sporządzony w oparciu o</w:t>
      </w:r>
      <w:r w:rsidR="00D30C10" w:rsidRPr="00DA788D">
        <w:rPr>
          <w:rFonts w:ascii="Times New Roman" w:eastAsia="Times New Roman" w:hAnsi="Times New Roman" w:cs="Times New Roman"/>
          <w:sz w:val="24"/>
          <w:szCs w:val="24"/>
        </w:rPr>
        <w:t xml:space="preserve"> norm</w:t>
      </w:r>
      <w:r w:rsidR="005B0FB8" w:rsidRPr="00DA788D">
        <w:rPr>
          <w:rFonts w:ascii="Times New Roman" w:eastAsia="Times New Roman" w:hAnsi="Times New Roman" w:cs="Times New Roman"/>
          <w:sz w:val="24"/>
          <w:szCs w:val="24"/>
        </w:rPr>
        <w:t>y</w:t>
      </w:r>
      <w:r w:rsidR="00D30C10" w:rsidRPr="00DA788D">
        <w:rPr>
          <w:rFonts w:ascii="Times New Roman" w:eastAsia="Times New Roman" w:hAnsi="Times New Roman" w:cs="Times New Roman"/>
          <w:sz w:val="24"/>
          <w:szCs w:val="24"/>
        </w:rPr>
        <w:t xml:space="preserve"> lub </w:t>
      </w:r>
      <w:r w:rsidR="005B0FB8" w:rsidRPr="00DA788D">
        <w:rPr>
          <w:rFonts w:ascii="Times New Roman" w:eastAsia="Times New Roman" w:hAnsi="Times New Roman" w:cs="Times New Roman"/>
          <w:sz w:val="24"/>
          <w:szCs w:val="24"/>
        </w:rPr>
        <w:t xml:space="preserve">opis łączący cechy obu tych modeli. W przypadku opisu z zastosowaniem norm (ale także </w:t>
      </w:r>
      <w:r w:rsidR="00D30C10" w:rsidRPr="00DA788D">
        <w:rPr>
          <w:rFonts w:ascii="Times New Roman" w:eastAsia="Times New Roman" w:hAnsi="Times New Roman" w:cs="Times New Roman"/>
          <w:sz w:val="24"/>
          <w:szCs w:val="24"/>
        </w:rPr>
        <w:t>inn</w:t>
      </w:r>
      <w:r w:rsidR="005B0FB8" w:rsidRPr="00DA788D">
        <w:rPr>
          <w:rFonts w:ascii="Times New Roman" w:eastAsia="Times New Roman" w:hAnsi="Times New Roman" w:cs="Times New Roman"/>
          <w:sz w:val="24"/>
          <w:szCs w:val="24"/>
        </w:rPr>
        <w:t>ych</w:t>
      </w:r>
      <w:r w:rsidR="00D30C10" w:rsidRPr="00DA788D">
        <w:rPr>
          <w:rFonts w:ascii="Times New Roman" w:eastAsia="Times New Roman" w:hAnsi="Times New Roman" w:cs="Times New Roman"/>
          <w:sz w:val="24"/>
          <w:szCs w:val="24"/>
        </w:rPr>
        <w:t xml:space="preserve"> zewnętrzn</w:t>
      </w:r>
      <w:r w:rsidR="005B0FB8" w:rsidRPr="00DA788D">
        <w:rPr>
          <w:rFonts w:ascii="Times New Roman" w:eastAsia="Times New Roman" w:hAnsi="Times New Roman" w:cs="Times New Roman"/>
          <w:sz w:val="24"/>
          <w:szCs w:val="24"/>
        </w:rPr>
        <w:t>ych</w:t>
      </w:r>
      <w:r w:rsidR="00D30C10" w:rsidRPr="00DA788D">
        <w:rPr>
          <w:rFonts w:ascii="Times New Roman" w:eastAsia="Times New Roman" w:hAnsi="Times New Roman" w:cs="Times New Roman"/>
          <w:sz w:val="24"/>
          <w:szCs w:val="24"/>
        </w:rPr>
        <w:t xml:space="preserve"> specyfikacj</w:t>
      </w:r>
      <w:r w:rsidR="005B0FB8" w:rsidRPr="00DA788D">
        <w:rPr>
          <w:rFonts w:ascii="Times New Roman" w:eastAsia="Times New Roman" w:hAnsi="Times New Roman" w:cs="Times New Roman"/>
          <w:sz w:val="24"/>
          <w:szCs w:val="24"/>
        </w:rPr>
        <w:t>i</w:t>
      </w:r>
      <w:r w:rsidR="00D30C10" w:rsidRPr="00DA788D">
        <w:rPr>
          <w:rFonts w:ascii="Times New Roman" w:eastAsia="Times New Roman" w:hAnsi="Times New Roman" w:cs="Times New Roman"/>
          <w:sz w:val="24"/>
          <w:szCs w:val="24"/>
        </w:rPr>
        <w:t xml:space="preserve"> techniczn</w:t>
      </w:r>
      <w:r w:rsidR="005B0FB8" w:rsidRPr="00DA788D">
        <w:rPr>
          <w:rFonts w:ascii="Times New Roman" w:eastAsia="Times New Roman" w:hAnsi="Times New Roman" w:cs="Times New Roman"/>
          <w:sz w:val="24"/>
          <w:szCs w:val="24"/>
        </w:rPr>
        <w:t>ych)</w:t>
      </w:r>
      <w:r w:rsidR="00D30C10" w:rsidRPr="00DA788D">
        <w:rPr>
          <w:rFonts w:ascii="Times New Roman" w:eastAsia="Times New Roman" w:hAnsi="Times New Roman" w:cs="Times New Roman"/>
          <w:sz w:val="24"/>
          <w:szCs w:val="24"/>
        </w:rPr>
        <w:t xml:space="preserve"> określając</w:t>
      </w:r>
      <w:r w:rsidR="005B0FB8" w:rsidRPr="00DA788D">
        <w:rPr>
          <w:rFonts w:ascii="Times New Roman" w:eastAsia="Times New Roman" w:hAnsi="Times New Roman" w:cs="Times New Roman"/>
          <w:sz w:val="24"/>
          <w:szCs w:val="24"/>
        </w:rPr>
        <w:t>ych</w:t>
      </w:r>
      <w:r w:rsidR="00D30C10" w:rsidRPr="00DA788D">
        <w:rPr>
          <w:rFonts w:ascii="Times New Roman" w:eastAsia="Times New Roman" w:hAnsi="Times New Roman" w:cs="Times New Roman"/>
          <w:sz w:val="24"/>
          <w:szCs w:val="24"/>
        </w:rPr>
        <w:t xml:space="preserve"> wymagane cechy materiałów, produktów lub usług</w:t>
      </w:r>
      <w:r w:rsidR="005B0FB8" w:rsidRPr="00DA788D">
        <w:rPr>
          <w:rFonts w:ascii="Times New Roman" w:eastAsia="Times New Roman" w:hAnsi="Times New Roman" w:cs="Times New Roman"/>
          <w:sz w:val="24"/>
          <w:szCs w:val="24"/>
        </w:rPr>
        <w:t xml:space="preserve"> –</w:t>
      </w:r>
      <w:r w:rsidR="00D30C10" w:rsidRPr="00DA788D">
        <w:rPr>
          <w:rFonts w:ascii="Times New Roman" w:eastAsia="Times New Roman" w:hAnsi="Times New Roman" w:cs="Times New Roman"/>
          <w:sz w:val="24"/>
          <w:szCs w:val="24"/>
        </w:rPr>
        <w:t xml:space="preserve"> zamawiający odsyła </w:t>
      </w:r>
      <w:r w:rsidR="005F09E8" w:rsidRPr="00DA788D">
        <w:rPr>
          <w:rFonts w:ascii="Times New Roman" w:eastAsia="Times New Roman" w:hAnsi="Times New Roman" w:cs="Times New Roman"/>
          <w:sz w:val="24"/>
          <w:szCs w:val="24"/>
        </w:rPr>
        <w:t xml:space="preserve">do nich </w:t>
      </w:r>
      <w:r w:rsidR="00D30C10" w:rsidRPr="00DA788D">
        <w:rPr>
          <w:rFonts w:ascii="Times New Roman" w:eastAsia="Times New Roman" w:hAnsi="Times New Roman" w:cs="Times New Roman"/>
          <w:sz w:val="24"/>
          <w:szCs w:val="24"/>
        </w:rPr>
        <w:t xml:space="preserve">w opisie przedmiotu zamówienia. </w:t>
      </w:r>
      <w:r w:rsidR="005F09E8" w:rsidRPr="00DA788D">
        <w:rPr>
          <w:rFonts w:ascii="Times New Roman" w:eastAsia="Times New Roman" w:hAnsi="Times New Roman" w:cs="Times New Roman"/>
          <w:sz w:val="24"/>
          <w:szCs w:val="24"/>
        </w:rPr>
        <w:t>Takie istniejące opracowania, do których zamawiający się odwołuje także stanowią dokumenty zamówienia, o których mowa w słowniczku z art. 7</w:t>
      </w:r>
      <w:r w:rsidR="005B0FB8" w:rsidRPr="00DA788D">
        <w:rPr>
          <w:rFonts w:ascii="Times New Roman" w:eastAsia="Times New Roman" w:hAnsi="Times New Roman" w:cs="Times New Roman"/>
          <w:sz w:val="24"/>
          <w:szCs w:val="24"/>
        </w:rPr>
        <w:t xml:space="preserve">. </w:t>
      </w:r>
      <w:r w:rsidR="005F09E8" w:rsidRPr="00DA788D">
        <w:rPr>
          <w:rFonts w:ascii="Times New Roman" w:eastAsia="Times New Roman" w:hAnsi="Times New Roman" w:cs="Times New Roman"/>
          <w:sz w:val="24"/>
          <w:szCs w:val="24"/>
        </w:rPr>
        <w:t>O</w:t>
      </w:r>
      <w:r w:rsidR="00D30C10" w:rsidRPr="00DA788D">
        <w:rPr>
          <w:rFonts w:ascii="Times New Roman" w:eastAsia="Times New Roman" w:hAnsi="Times New Roman" w:cs="Times New Roman"/>
          <w:sz w:val="24"/>
          <w:szCs w:val="24"/>
        </w:rPr>
        <w:t>desłanie powoduje, że stają się one elementem oświadczenia zamawiającego, nawet bez konieczności powtórzenia ich treści w dokum</w:t>
      </w:r>
      <w:r w:rsidR="005F09E8" w:rsidRPr="00DA788D">
        <w:rPr>
          <w:rFonts w:ascii="Times New Roman" w:eastAsia="Times New Roman" w:hAnsi="Times New Roman" w:cs="Times New Roman"/>
          <w:sz w:val="24"/>
          <w:szCs w:val="24"/>
        </w:rPr>
        <w:t>entacji przetargowej.</w:t>
      </w:r>
    </w:p>
    <w:p w14:paraId="450B68E4" w14:textId="77777777" w:rsid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Proponuje się zachowanie dotychczas obowiązującej regulacji, zgodnie z którą przedmiot zamówienia publicznego na roboty budowlane opisuje się za pomocą dokumentacji projektowej, specyfikacji technicznych wykonania i odbioru robót budowlanych oraz programu funkcjonalno-użytkowego, określonych w rozporządzeniu ministra właściwego do spraw budownictwa, lokalnego planowania i zagospodarowania przestrzennego przepisu upoważniającego.</w:t>
      </w:r>
    </w:p>
    <w:p w14:paraId="61C3BB35" w14:textId="2C3C3E52" w:rsidR="00C84B34" w:rsidRPr="00DA788D" w:rsidRDefault="00C84B34"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5</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Przedmiotowe środki dowodowe</w:t>
      </w:r>
    </w:p>
    <w:p w14:paraId="2CF1CBED" w14:textId="0D83047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Przepisy z art. 104-107 projektu ustawy wprowadzają nową regulację dotyczącą przedmiotowych środków dowodowych, która w dotychczasowym akcie prawnym była uregulowana szczątkowo w art. 25 ust. 1 pkt 2 ustawy Pzp. Definicja przedmiotowych środków dowodowych znajduje się w słowniczku, w art. 7 pkt </w:t>
      </w:r>
      <w:r w:rsidR="00D838AE">
        <w:rPr>
          <w:rFonts w:ascii="Times New Roman" w:eastAsia="Times New Roman" w:hAnsi="Times New Roman" w:cs="Times New Roman"/>
          <w:sz w:val="24"/>
          <w:szCs w:val="24"/>
        </w:rPr>
        <w:t>20</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ustawy, gdzie pod pojęciem „przedmiotowy</w:t>
      </w:r>
      <w:r w:rsidR="00D838AE">
        <w:rPr>
          <w:rFonts w:ascii="Times New Roman" w:eastAsia="Times New Roman" w:hAnsi="Times New Roman" w:cs="Times New Roman"/>
          <w:sz w:val="24"/>
          <w:szCs w:val="24"/>
        </w:rPr>
        <w:t>ch</w:t>
      </w:r>
      <w:r w:rsidRPr="00DA788D">
        <w:rPr>
          <w:rFonts w:ascii="Times New Roman" w:eastAsia="Times New Roman" w:hAnsi="Times New Roman" w:cs="Times New Roman"/>
          <w:sz w:val="24"/>
          <w:szCs w:val="24"/>
        </w:rPr>
        <w:t xml:space="preserve"> </w:t>
      </w:r>
      <w:r w:rsidR="00D838AE" w:rsidRPr="00DA788D">
        <w:rPr>
          <w:rFonts w:ascii="Times New Roman" w:eastAsia="Times New Roman" w:hAnsi="Times New Roman" w:cs="Times New Roman"/>
          <w:sz w:val="24"/>
          <w:szCs w:val="24"/>
        </w:rPr>
        <w:t>środ</w:t>
      </w:r>
      <w:r w:rsidR="00D838AE">
        <w:rPr>
          <w:rFonts w:ascii="Times New Roman" w:eastAsia="Times New Roman" w:hAnsi="Times New Roman" w:cs="Times New Roman"/>
          <w:sz w:val="24"/>
          <w:szCs w:val="24"/>
        </w:rPr>
        <w:t>ków</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dowodowy</w:t>
      </w:r>
      <w:r w:rsidR="00D838AE">
        <w:rPr>
          <w:rFonts w:ascii="Times New Roman" w:eastAsia="Times New Roman" w:hAnsi="Times New Roman" w:cs="Times New Roman"/>
          <w:sz w:val="24"/>
          <w:szCs w:val="24"/>
        </w:rPr>
        <w:t>ch</w:t>
      </w:r>
      <w:r w:rsidRPr="00DA788D">
        <w:rPr>
          <w:rFonts w:ascii="Times New Roman" w:eastAsia="Times New Roman" w:hAnsi="Times New Roman" w:cs="Times New Roman"/>
          <w:sz w:val="24"/>
          <w:szCs w:val="24"/>
        </w:rPr>
        <w:t>” rozumie się przewidziane ustawą środki służące potwierdzeniu zgodności oferowanych dostaw, usług lub robót budowlanych z wymaganiami określonymi w opisie przedmiotu zamówienia. Przedmiotowy środek dowodowy merytorycznie powiązany jest z opisem przedmiotu zamówienia (a nie kryteriami kwalifikacji wykonawcy) stąd też regulacja dotycząca tego typu środka dowodowego znalazła się w rozdziale dotyczącym przedmiotu zamówienia.</w:t>
      </w:r>
    </w:p>
    <w:p w14:paraId="53291D9C" w14:textId="41DB705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 art. 105 projektu ustawy wskazuje, że typowym środkiem dowodowym będzie certyfikat. Katalog możliwych przedmiotowych środków dowodowych będzie katalogiem otwartym. W ramach tego katalogu mieścić się będą dokumenty wymienione obecnie w § 13 dotychczasowego rozporządzenia Ministra Rozwoju z dnia 26 lipca 2016 r. </w:t>
      </w:r>
      <w:r w:rsidR="00D838AE" w:rsidRPr="00D838AE">
        <w:rPr>
          <w:rFonts w:ascii="Times New Roman" w:eastAsia="Times New Roman" w:hAnsi="Times New Roman" w:cs="Times New Roman"/>
          <w:sz w:val="24"/>
          <w:szCs w:val="24"/>
        </w:rPr>
        <w:t xml:space="preserve">w sprawie rodzajów dokumentów, jakich może żądać zamawiający od wykonawcy w postępowaniu o udzielenie zamówienia </w:t>
      </w:r>
      <w:r w:rsidRPr="00DA788D">
        <w:rPr>
          <w:rFonts w:ascii="Times New Roman" w:eastAsia="Times New Roman" w:hAnsi="Times New Roman" w:cs="Times New Roman"/>
          <w:sz w:val="24"/>
          <w:szCs w:val="24"/>
        </w:rPr>
        <w:t>(Dz. U. poz. 1126 oraz z 2018 r. poz. 1993), ale także np. oznakowania, jeśli zamawiający uzna, że oznakowanie będzie służyło nie tylko dokonaniu opisu, ale jego przedstawienie potwierdzało zgodność oferowanych dostaw, usług lub robót budowlanych z wymaganiami zamawiającego. Za przedmiotowy środek dowodowy należy uznać również sprawozdania z badań przeprowadzonych przez jed</w:t>
      </w:r>
      <w:r w:rsidRPr="00DA788D">
        <w:rPr>
          <w:rFonts w:ascii="Times New Roman" w:eastAsia="Times New Roman" w:hAnsi="Times New Roman" w:cs="Times New Roman"/>
          <w:sz w:val="24"/>
          <w:szCs w:val="24"/>
        </w:rPr>
        <w:lastRenderedPageBreak/>
        <w:t>nostkę oceniającą zgodność lub certyfikat wydany przez taką jednostkę, potwierdzające zgodność z wymaganiami lub kryteriami określonymi w opisie przedmiotu zamówienia publicznego (dotychczasowy art. 30b ustawy Pzp). Żądanie przedmiotowego środka dowodowego będzie możliwe tylko jeśli zamawiający w ogłoszeniu lub dokumentach zamówienia jednoznacznie wskaże wymagany środek.</w:t>
      </w:r>
    </w:p>
    <w:p w14:paraId="6B61D3B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Podkreślić należy, że o ile rozgraniczenie środków dowodowych jako podmiotowych lub przedmiotowych jest ścisłe (konkretny dokument nie może pełnić w postępowaniu obu funkcji), o tyle na poziomie typów środków dowodowych (np. certyfikatów, próbek, opisów) przyporządkowanie danego typu środka dowodowego do środka podmiotowego lub przedmiotowego będzie uzależnione od celu jaki chce uzyskać zamawiający żądając jego przedłożenia. Dokument w formie certyfikatu (np. ISO) potwierdzający, że wykonawca wdrożył odpowiednie normy produkcyjne, co do zasady, będzie środkiem dowodowym podmiotowym weryfikującym zdolność techniczną wykonawcy. Certyfikat wystawiany zaś na konkretny produkt oferowany przez wykonawcę w konkretnym postępowaniu będzie środkiem dowodowym przedmiotowym.</w:t>
      </w:r>
    </w:p>
    <w:p w14:paraId="23032E54" w14:textId="66C78E7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nie daje zamawiającemu nieograniczonej swobody w żądaniu przedmiotowych środków dowodowych. Przepis art. 106 ust. 2 projektu ustawy stanowi, że zamawiający może żądać przedmiotowych środków dowodowych tylko proporcjonalnych do przedmiotu zamówienia i tylko </w:t>
      </w:r>
      <w:r w:rsidR="00D838AE" w:rsidRPr="00DA788D">
        <w:rPr>
          <w:rFonts w:ascii="Times New Roman" w:eastAsia="Times New Roman" w:hAnsi="Times New Roman" w:cs="Times New Roman"/>
          <w:sz w:val="24"/>
          <w:szCs w:val="24"/>
        </w:rPr>
        <w:t xml:space="preserve">z nim </w:t>
      </w:r>
      <w:r w:rsidRPr="00DA788D">
        <w:rPr>
          <w:rFonts w:ascii="Times New Roman" w:eastAsia="Times New Roman" w:hAnsi="Times New Roman" w:cs="Times New Roman"/>
          <w:sz w:val="24"/>
          <w:szCs w:val="24"/>
        </w:rPr>
        <w:t>związanych. W pełni aktualna na okoliczność żądania przedmiotowych środków dowodowych</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będzie także zasada proporcjonalności, która stanowi, że zamawiający może żądać od wykonawców wyłącznie środków dowodowych niezbędnych do przeprowadzenia postępowania. Przepis art. </w:t>
      </w:r>
      <w:r w:rsidR="00C84B34" w:rsidRPr="00DA788D">
        <w:rPr>
          <w:rFonts w:ascii="Times New Roman" w:eastAsia="Times New Roman" w:hAnsi="Times New Roman" w:cs="Times New Roman"/>
          <w:sz w:val="24"/>
          <w:szCs w:val="24"/>
        </w:rPr>
        <w:t xml:space="preserve">106 </w:t>
      </w:r>
      <w:r w:rsidRPr="00DA788D">
        <w:rPr>
          <w:rFonts w:ascii="Times New Roman" w:eastAsia="Times New Roman" w:hAnsi="Times New Roman" w:cs="Times New Roman"/>
          <w:sz w:val="24"/>
          <w:szCs w:val="24"/>
        </w:rPr>
        <w:t>ust. 3 projektu ustawy stanowi zaś, że żądanie przedmiotowych środków dowodowych, nie może ograniczać uczciwej konkurencji i równego traktowania wykonawców. Powyższe przepisy mają zabezpieczać prawidłowy przebieg postępowania i uniemożliwiać zamawiającemu żądanie dokumentów zbędnych, lub do których dostęp jest utrudniony z okoliczności innych niż obiektywne. Stąd też istotne znaczenie będzie miał art. 106 ust. 3 zd</w:t>
      </w:r>
      <w:r w:rsidR="00D838AE">
        <w:rPr>
          <w:rFonts w:ascii="Times New Roman" w:eastAsia="Times New Roman" w:hAnsi="Times New Roman" w:cs="Times New Roman"/>
          <w:sz w:val="24"/>
          <w:szCs w:val="24"/>
        </w:rPr>
        <w:t>anie</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drugie ustawy, który nakazuje zamawiającemu akceptowanie równoważnych przedmiotowych środków dowodowych, jeśli w dostateczny sposób potwierdzają, że oferowane dostawy, usługi lub roboty budowlane spełniają wymagania określone przez zamawiającego.</w:t>
      </w:r>
    </w:p>
    <w:p w14:paraId="4C151E43" w14:textId="10B2290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Przedmiotowe środki dowodowe są środkami służącymi zweryfikowaniu poprawności merytorycznej złożonej oferty. Oznacza, że zamawiający musi mieć możliwość zapoznania się z nimi już na etapie badania oferty, a nie dopiero na etapie weryfikowania podmiotowego wykonawcy, którego oferta została najwyżej oceniona. W takim bowiem przypadku może się okazać, że po wyborze oferty najwyżej ocenionej zajdzie konieczność jej odrzucenia na podstawie niezgodności z dokumentami zamówienia. Z tego tytułu na gruncie art. 107 ust. 1 ustawy ustanowiono nową regulację dotyczącą składania przedmiotowych środków dowodowych odmienną od tej, która dotyczy obowiązku składania środków podmiotowych. Zamawiający żąda bowiem złożenia przedmiotowych środków dowodowych wraz z ofertą. </w:t>
      </w:r>
    </w:p>
    <w:p w14:paraId="6136D0B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 art. 107 ust. 2 ustawy wprowadza przepis dotyczący obowiązku uzupełniania przedmiotowego środka dowodowego, jeśli (1) nie został on złożony, (2) złożony przedmiotowy środek dowodowy jest niekompletny. Norma z art. 107 ust. 2 ustawy jest wzorowana na dotychczasowej normie z art. 26 ust. 3 ustawy Pzp, choć zawiera istotne różnice względem „podmiotowej” regulacji dotyczącej uzupełniania dokumentów. Po pierwsze, dopuszczalne będzie tylko (jednorazowe) uzupełnienie „braków formalnych”, tj. braku dokumentu lub niekompletnego dokumentu, który nie pozwala przesądzić merytorycznie o wartości oferty. Nie będzie dopuszczalne uzupełnianie dokumentów przedmiotowych, jeśli przedłożone potwierdzają, że oferta jest niezgodna </w:t>
      </w:r>
      <w:r w:rsidRPr="00DA788D">
        <w:rPr>
          <w:rFonts w:ascii="Times New Roman" w:eastAsia="Times New Roman" w:hAnsi="Times New Roman" w:cs="Times New Roman"/>
          <w:sz w:val="24"/>
          <w:szCs w:val="24"/>
        </w:rPr>
        <w:lastRenderedPageBreak/>
        <w:t xml:space="preserve">z opisem przedmiotu zamówienia. Oznacza to, że przedmiotowe środki dowodowe nie będą uzupełniane, jeżeli na skutek merytorycznej oceny zamawiający uzna, że nie odpowiadają one wymaganiom przedmiotu zamówienia (nie potwierdzają, że wykonawca oferuje produkt lub usługę spełniającą oczekiwania zamawiającego). Po drugie, regulacja dotycząca uzupełniania dokumentów jest regulacją fakultatywną. Oznacza to, że zamawiający będzie mógł skorzystać z przepisu, o ile przewidział tę możliwość w ogłoszeniu lub dokumentach zamówienia. Nie będzie natomiast zobowiązany do każdorazowego uzupełniania brakujących lub niekompletnych dokumentów przedmiotowych. </w:t>
      </w:r>
    </w:p>
    <w:p w14:paraId="0EF12D22" w14:textId="1F58C99E" w:rsidR="00CB2D51" w:rsidRPr="00DA788D" w:rsidRDefault="00C84B34" w:rsidP="00DA788D">
      <w:pPr>
        <w:spacing w:after="120"/>
        <w:jc w:val="both"/>
        <w:rPr>
          <w:rFonts w:ascii="Times New Roman" w:eastAsia="Times New Roman" w:hAnsi="Times New Roman" w:cs="Times New Roman"/>
          <w:b/>
          <w:sz w:val="24"/>
          <w:szCs w:val="24"/>
        </w:rPr>
      </w:pPr>
      <w:r w:rsidRPr="00DA788D" w:rsidDel="00C84B34">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b/>
          <w:sz w:val="24"/>
          <w:szCs w:val="24"/>
        </w:rPr>
        <w:t>Rozdział 2</w:t>
      </w:r>
      <w:r w:rsidR="00D838AE">
        <w:rPr>
          <w:rFonts w:ascii="Times New Roman" w:eastAsia="Times New Roman" w:hAnsi="Times New Roman" w:cs="Times New Roman"/>
          <w:b/>
          <w:sz w:val="24"/>
          <w:szCs w:val="24"/>
        </w:rPr>
        <w:t>.</w:t>
      </w:r>
      <w:r w:rsidR="002E64C7" w:rsidRPr="00DA788D">
        <w:rPr>
          <w:rFonts w:ascii="Times New Roman" w:eastAsia="Times New Roman" w:hAnsi="Times New Roman" w:cs="Times New Roman"/>
          <w:b/>
          <w:sz w:val="24"/>
          <w:szCs w:val="24"/>
        </w:rPr>
        <w:t xml:space="preserve"> Kwalifikacja podmiotowa wykonawców</w:t>
      </w:r>
    </w:p>
    <w:p w14:paraId="555D3D7A" w14:textId="2C3B6C78" w:rsidR="00CB2D51" w:rsidRPr="00DA788D" w:rsidRDefault="002E64C7" w:rsidP="00DA788D">
      <w:pPr>
        <w:spacing w:after="120"/>
        <w:jc w:val="both"/>
        <w:rPr>
          <w:rFonts w:ascii="Times New Roman" w:eastAsia="Times New Roman" w:hAnsi="Times New Roman" w:cs="Times New Roman"/>
          <w:b/>
          <w:sz w:val="24"/>
          <w:szCs w:val="24"/>
        </w:rPr>
      </w:pPr>
      <w:bookmarkStart w:id="6" w:name="_2et92p0" w:colFirst="0" w:colLast="0"/>
      <w:bookmarkEnd w:id="6"/>
      <w:r w:rsidRPr="00DA788D">
        <w:rPr>
          <w:rFonts w:ascii="Times New Roman" w:eastAsia="Times New Roman" w:hAnsi="Times New Roman" w:cs="Times New Roman"/>
          <w:sz w:val="24"/>
          <w:szCs w:val="24"/>
        </w:rPr>
        <w:t>Oddział 1</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Podstawy wykluczenia z postępowania o udzielenie zamówienia</w:t>
      </w:r>
    </w:p>
    <w:p w14:paraId="750C602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Regulację podstaw wykluczenia dostosowano do regulacji dyrektywy klasycznej. Zasadniczo ograniczono liczbę obligatoryjnych podstaw wykluczenia do przesłanek wskazanych w dyrektywie klasycznej. Zgodnie z proponowanym rozwiązaniem zamawiający będzie musiał wykluczyć wykonawcę skazanego prawomocnie za przestępstwa, o których mowa w art. 57 ust. 1 dyrektywy klasycznej. Katalog przestępstw został dostosowany do przestępstw wskazanych w tym przepisie dyrektywy.</w:t>
      </w:r>
    </w:p>
    <w:p w14:paraId="76D1115A" w14:textId="1426596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Wykluczenie na tej podstawie dotyczyć będzie także wykonawcy, którego członka organu zarządzającego lub nadzorczego, wspólnika w spółce jawnej lub partnerskiej albo komplementariusza w spółce komandytowej lub komandytowo</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akcyjnej, lub prokurenta skazano prawomocnym wyrokiem za ww. przestępstwa.</w:t>
      </w:r>
    </w:p>
    <w:p w14:paraId="4D93A69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Obowiązkową podstawą wykluczenia pozostanie również przesłanka obejmująca sytuacje, w których:</w:t>
      </w:r>
    </w:p>
    <w:p w14:paraId="346B33FE" w14:textId="1E40ADC5"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1) wydano prawomocny wyrok sądu lub ostateczną decyzję administracyjną o zaleganiu z uiszczeniem podatków, opłat lub składek na ubezpieczenie społeczne lub zdrowotne, chyba że wykonawca dokonał płatności należnych podatków, opłat lub składek na ubezpieczenie społeczne lub zdrowotne wraz z odsetkami lub grzywnami lub zawarł wiążące porozumienie w sprawie spłaty tych należności</w:t>
      </w:r>
      <w:r w:rsidR="00D838AE">
        <w:rPr>
          <w:rFonts w:ascii="Times New Roman" w:eastAsia="Times New Roman" w:hAnsi="Times New Roman" w:cs="Times New Roman"/>
          <w:sz w:val="24"/>
          <w:szCs w:val="24"/>
        </w:rPr>
        <w:t>;</w:t>
      </w:r>
      <w:r w:rsidR="00D838AE" w:rsidRPr="00DA788D">
        <w:rPr>
          <w:rFonts w:ascii="Times New Roman" w:eastAsia="Times New Roman" w:hAnsi="Times New Roman" w:cs="Times New Roman"/>
          <w:sz w:val="24"/>
          <w:szCs w:val="24"/>
        </w:rPr>
        <w:t xml:space="preserve"> </w:t>
      </w:r>
    </w:p>
    <w:p w14:paraId="0FB66D25" w14:textId="325720E1"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2) orzeczono zakaz ubiegania się o zamówienia publiczne</w:t>
      </w:r>
      <w:r w:rsidR="00D838AE">
        <w:rPr>
          <w:rFonts w:ascii="Times New Roman" w:eastAsia="Times New Roman" w:hAnsi="Times New Roman" w:cs="Times New Roman"/>
          <w:sz w:val="24"/>
          <w:szCs w:val="24"/>
        </w:rPr>
        <w:t>;</w:t>
      </w:r>
    </w:p>
    <w:p w14:paraId="6485DE0F" w14:textId="3D492E84" w:rsidR="0011488E"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3) </w:t>
      </w:r>
      <w:bookmarkStart w:id="7" w:name="_Hlk8986710"/>
      <w:r w:rsidR="0011488E" w:rsidRPr="00DA788D">
        <w:rPr>
          <w:rFonts w:ascii="Times New Roman" w:eastAsia="Times New Roman" w:hAnsi="Times New Roman" w:cs="Times New Roman"/>
          <w:sz w:val="24"/>
          <w:szCs w:val="24"/>
        </w:rPr>
        <w:t>zamawiający może stwierdzić, na podstawie wiarygodnych przesłanek</w:t>
      </w:r>
      <w:bookmarkEnd w:id="7"/>
      <w:r w:rsidR="0011488E" w:rsidRPr="00DA788D">
        <w:rPr>
          <w:rFonts w:ascii="Times New Roman" w:eastAsia="Times New Roman" w:hAnsi="Times New Roman" w:cs="Times New Roman"/>
          <w:sz w:val="24"/>
          <w:szCs w:val="24"/>
        </w:rPr>
        <w:t xml:space="preserve">, że </w:t>
      </w:r>
      <w:bookmarkStart w:id="8" w:name="_Hlk8984616"/>
      <w:r w:rsidR="0011488E" w:rsidRPr="00DA788D">
        <w:rPr>
          <w:rFonts w:ascii="Times New Roman" w:eastAsia="Times New Roman" w:hAnsi="Times New Roman" w:cs="Times New Roman"/>
          <w:sz w:val="24"/>
          <w:szCs w:val="24"/>
        </w:rPr>
        <w:t>wykonawca zawarł z innymi wykonawcami porozumienie mające na celu zakłócenie konkurencji</w:t>
      </w:r>
      <w:bookmarkEnd w:id="8"/>
      <w:r w:rsidR="0011488E" w:rsidRPr="00DA788D">
        <w:rPr>
          <w:rFonts w:ascii="Times New Roman" w:eastAsia="Times New Roman" w:hAnsi="Times New Roman" w:cs="Times New Roman"/>
          <w:sz w:val="24"/>
          <w:szCs w:val="24"/>
        </w:rPr>
        <w:t>,  w szczególności jeżeli należąc do tej samej grupy kapitałowej w rozumieniu ustawy z dnia 16 lutego 2007 r. o ochronie konkurencji i konsumentów</w:t>
      </w:r>
      <w:r w:rsidR="00D838AE">
        <w:rPr>
          <w:rFonts w:ascii="Times New Roman" w:eastAsia="Times New Roman" w:hAnsi="Times New Roman" w:cs="Times New Roman"/>
          <w:sz w:val="24"/>
          <w:szCs w:val="24"/>
        </w:rPr>
        <w:t xml:space="preserve"> (Dz. U. z 2019 r. poz. 369)</w:t>
      </w:r>
      <w:r w:rsidR="0011488E" w:rsidRPr="00DA788D">
        <w:rPr>
          <w:rFonts w:ascii="Times New Roman" w:eastAsia="Times New Roman" w:hAnsi="Times New Roman" w:cs="Times New Roman"/>
          <w:sz w:val="24"/>
          <w:szCs w:val="24"/>
        </w:rPr>
        <w:t xml:space="preserve"> złożyli odrębne oferty, oferty częściowe lub wnioski o dopuszczenie do udziału w postępowaniu, chyba że wykażą, że przygotowali te oferty lub wnioski niezależnie od siebie,</w:t>
      </w:r>
    </w:p>
    <w:p w14:paraId="7EA4D96F" w14:textId="3B8A56AB" w:rsidR="0011488E" w:rsidRPr="00DA788D" w:rsidRDefault="0011488E"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4) w przypadkach, o których mowa w art. 85 ust. 1</w:t>
      </w:r>
      <w:r w:rsidR="00D838AE">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w:t>
      </w:r>
    </w:p>
    <w:p w14:paraId="15367E6C" w14:textId="452BBA5C" w:rsidR="0011488E" w:rsidRPr="00DA788D" w:rsidRDefault="0011488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217 Konstytucji RP, nakładanie podatków, innych danin publicznych, określanie podmiotów, przedmiotów opodatkowania i stawek podatkowych, a także zasad przyznawania ulg i umorzeń oraz kategorii podmiotów zwolnionych od podatków następuje w drodze ustawy. Daniny publiczne, do których zgodnie z art. 5 ust. 2 pkt 1 ustawy </w:t>
      </w:r>
      <w:r w:rsidR="00D838AE">
        <w:rPr>
          <w:rFonts w:ascii="Times New Roman" w:eastAsia="Times New Roman" w:hAnsi="Times New Roman" w:cs="Times New Roman"/>
          <w:sz w:val="24"/>
          <w:szCs w:val="24"/>
        </w:rPr>
        <w:t xml:space="preserve">z dnia 27 sierpnia 2009 r. </w:t>
      </w:r>
      <w:r w:rsidRPr="00DA788D">
        <w:rPr>
          <w:rFonts w:ascii="Times New Roman" w:eastAsia="Times New Roman" w:hAnsi="Times New Roman" w:cs="Times New Roman"/>
          <w:sz w:val="24"/>
          <w:szCs w:val="24"/>
        </w:rPr>
        <w:t xml:space="preserve">o finansach publicznych zalicza się „podatki, składki, </w:t>
      </w:r>
      <w:r w:rsidRPr="00DA788D">
        <w:rPr>
          <w:rFonts w:ascii="Times New Roman" w:eastAsia="Times New Roman" w:hAnsi="Times New Roman" w:cs="Times New Roman"/>
          <w:sz w:val="24"/>
          <w:szCs w:val="24"/>
        </w:rPr>
        <w:lastRenderedPageBreak/>
        <w:t>opłaty, wpłaty z zysku przedsiębiorstw państwowych i jednoosobowych spółek Skarbu Państwa oraz banków państwowych, a także inne świadczenia pieniężne, których obowiązek ponoszenia na rzecz państwa, jednostek samorządu terytorialnego, państwowych funduszy celowych oraz innych jednostek sektora finansów publicznych wynika z odrębnych ustaw” to dochody publiczne, stanowiące element środków publicznych.</w:t>
      </w:r>
    </w:p>
    <w:p w14:paraId="669CBBE4" w14:textId="690C09E4" w:rsidR="0011488E" w:rsidRPr="00DA788D" w:rsidRDefault="0011488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Zaznaczyć należy, że wskazany powyżej </w:t>
      </w:r>
      <w:bookmarkStart w:id="9" w:name="_Hlk8984390"/>
      <w:r w:rsidRPr="00DA788D">
        <w:rPr>
          <w:rFonts w:ascii="Times New Roman" w:eastAsia="Times New Roman" w:hAnsi="Times New Roman" w:cs="Times New Roman"/>
          <w:sz w:val="24"/>
          <w:szCs w:val="24"/>
        </w:rPr>
        <w:t>katalog podatków i opłat jest otwarty</w:t>
      </w:r>
      <w:bookmarkEnd w:id="9"/>
      <w:r w:rsidRPr="00DA788D">
        <w:rPr>
          <w:rFonts w:ascii="Times New Roman" w:eastAsia="Times New Roman" w:hAnsi="Times New Roman" w:cs="Times New Roman"/>
          <w:sz w:val="24"/>
          <w:szCs w:val="24"/>
        </w:rPr>
        <w:t>. W praktyce, na gruncie krajowego prawa podatkowego, trzeba uwzględniać przepisy ustawy – Ordynacja podatkowa</w:t>
      </w:r>
      <w:r w:rsidR="00D838AE">
        <w:rPr>
          <w:rFonts w:ascii="Times New Roman" w:eastAsia="Times New Roman" w:hAnsi="Times New Roman" w:cs="Times New Roman"/>
          <w:sz w:val="24"/>
          <w:szCs w:val="24"/>
        </w:rPr>
        <w:t xml:space="preserve"> (Dz. U. z 2019 r. poz. 900, z późn. zm.) (dalej: Ordynacja podatkowa)</w:t>
      </w:r>
      <w:r w:rsidRPr="00DA788D">
        <w:rPr>
          <w:rFonts w:ascii="Times New Roman" w:eastAsia="Times New Roman" w:hAnsi="Times New Roman" w:cs="Times New Roman"/>
          <w:sz w:val="24"/>
          <w:szCs w:val="24"/>
        </w:rPr>
        <w:t xml:space="preserve">, w szczególności art. 51, zgodnie z którym zaległość podatkowa powstaje z mocy samego prawa i wiąże się z tym, że należności, o których mowa w § 1 i 2, nie zostały uregulowane przez podatnika w terminie ich płatności. Powstanie zaległości podatkowej warunkuje możliwość podjęcia przez organ podatkowy określonych działań m.in. wydania decyzji określającej wysokość zobowiązania podatkowego (por. art. 21 § 3 Ordynacji podatkowej).     </w:t>
      </w:r>
    </w:p>
    <w:p w14:paraId="25E0FEAF" w14:textId="481035F6" w:rsidR="0011488E" w:rsidRPr="00DA788D" w:rsidRDefault="0011488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Ostateczna decyzja podatkowa (prawomocny wyrok sądu) potwierdzająca w swej treści odpowiednio, istnienie zaległości podatkowej albo naruszenie obowiązków dotyczących płatności podatku, w szczególności decyzja ustalająca lub określająca wysokość zobowiązania podatkowego, będzie stanowić przeszkodę w udziale wykonawcy w postępowaniu o udzielenie zamówienia publicznego, chyba że wykonawca dokona płatności należnych podatków lub opłat wraz z odsetkami lub grzywnami lub zawrze wiążące porozumienie w sprawie spłaty tych należności. Przez „wiążące porozumienie w sprawie spłaty tych należności” na gruncie przepisów polskiego prawa podatkowego należy rozumieć ulgi w spłacie zobowiązań podatkowych, o których mowa w art. 67a i nast</w:t>
      </w:r>
      <w:r w:rsidR="00D838AE">
        <w:rPr>
          <w:rFonts w:ascii="Times New Roman" w:eastAsia="Times New Roman" w:hAnsi="Times New Roman" w:cs="Times New Roman"/>
          <w:sz w:val="24"/>
          <w:szCs w:val="24"/>
        </w:rPr>
        <w:t>ępnych</w:t>
      </w:r>
      <w:r w:rsidR="00D838AE" w:rsidRPr="00DA788D">
        <w:rPr>
          <w:rFonts w:ascii="Times New Roman" w:eastAsia="Times New Roman" w:hAnsi="Times New Roman" w:cs="Times New Roman"/>
          <w:sz w:val="24"/>
          <w:szCs w:val="24"/>
        </w:rPr>
        <w:t xml:space="preserve"> Ordynacj</w:t>
      </w:r>
      <w:r w:rsidR="00D838AE">
        <w:rPr>
          <w:rFonts w:ascii="Times New Roman" w:eastAsia="Times New Roman" w:hAnsi="Times New Roman" w:cs="Times New Roman"/>
          <w:sz w:val="24"/>
          <w:szCs w:val="24"/>
        </w:rPr>
        <w:t>i</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podatkow</w:t>
      </w:r>
      <w:r w:rsidR="00D838AE">
        <w:rPr>
          <w:rFonts w:ascii="Times New Roman" w:eastAsia="Times New Roman" w:hAnsi="Times New Roman" w:cs="Times New Roman"/>
          <w:sz w:val="24"/>
          <w:szCs w:val="24"/>
        </w:rPr>
        <w:t>ej</w:t>
      </w:r>
      <w:r w:rsidRPr="00DA788D">
        <w:rPr>
          <w:rFonts w:ascii="Times New Roman" w:eastAsia="Times New Roman" w:hAnsi="Times New Roman" w:cs="Times New Roman"/>
          <w:sz w:val="24"/>
          <w:szCs w:val="24"/>
        </w:rPr>
        <w:t xml:space="preserve">, przyznawane w drodze decyzji. </w:t>
      </w:r>
    </w:p>
    <w:p w14:paraId="439745C8" w14:textId="0DE46458" w:rsidR="0011488E" w:rsidRPr="00DA788D" w:rsidRDefault="0011488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Obowiązkowemu wykluczeniu podlega również wykonawca, który zawarł z innymi wykonawcami porozumienie mające na celu zakłócenie konkurencji. Ponieważ wykonawcą jest każda osoba fizyczna, osoba prawna albo jednostk</w:t>
      </w:r>
      <w:r w:rsidR="00D838AE">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organizacyjna nieposiadająca osobowości prawnej, która oferuje na rynku wykonanie robót budowlanych lub obiektu budowlanego, dostawę produktów lub świadczenie usług, przesłanka wykluczenia obejmuje również sytuacje, w których uczestnik postępowania o udzielenie zamówienia zawiera porozumienie mające na celu zakłócenie konkurencji z producentem lub dystrybutorem oferowanego produktu. Ponadto porozumienie nie musi służyć ograniczeniu konkurencji w postępowaniu o udzielenie zamówienia. Może to być dowolne porozumienie ograniczające konkurencję np. porozumienie w sprawie stosowaniu w podobnych umowach z osobami trzecimi uciążliwych lub niejednolitych warunków umów, stwarzających tym osobom zróżnicowane warunki konkurencji. Zamawiający może stwierdzić zawarcie porozumienia ograniczającego konkurencję na podstawie wiarygodnych przesłanek, zwłaszcza dowodów poszlakowych. </w:t>
      </w:r>
    </w:p>
    <w:p w14:paraId="1D5CEB1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Pozostałe dotychczasowe obligatoryjne podstawy wykluczenia proponuje się przenieść do katalogu fakultatywnych podstaw wykluczenia. </w:t>
      </w:r>
    </w:p>
    <w:p w14:paraId="10B2A3C0" w14:textId="0DEA48C2" w:rsidR="005E7855" w:rsidRDefault="005E7855" w:rsidP="00DA788D">
      <w:pPr>
        <w:spacing w:after="120"/>
        <w:ind w:firstLine="708"/>
        <w:jc w:val="both"/>
        <w:rPr>
          <w:rFonts w:ascii="Times New Roman" w:eastAsia="Times New Roman" w:hAnsi="Times New Roman" w:cs="Times New Roman"/>
          <w:sz w:val="24"/>
          <w:szCs w:val="24"/>
        </w:rPr>
      </w:pPr>
      <w:r w:rsidRPr="005E7855">
        <w:rPr>
          <w:rFonts w:ascii="Times New Roman" w:eastAsia="Times New Roman" w:hAnsi="Times New Roman" w:cs="Times New Roman"/>
          <w:sz w:val="24"/>
          <w:szCs w:val="24"/>
        </w:rPr>
        <w:t>Projekt wprowadza nową, krajową, obligatoryjną podstawę wykluczenia.  Obowiązkowemu wykluczeniu będzie podlegał wykonawca, który udaremnia lub utrudniania stwierdzenie przestępnego pochodzenia pieniędzy lub ukrywa ich pochodzenie w związku z brakiem możliwości ustalenia  beneficjenta rzeczywistego, w rozumieniu art. 2 ust. 2 pkt 1 ustawy z dnia 1 marca 2018 r. o przeciwdziałaniu praniu pieniędzy oraz finansowaniu terroryzmu (Dz. U. z 2019</w:t>
      </w:r>
      <w:r w:rsidR="00D838AE">
        <w:rPr>
          <w:rFonts w:ascii="Times New Roman" w:eastAsia="Times New Roman" w:hAnsi="Times New Roman" w:cs="Times New Roman"/>
          <w:sz w:val="24"/>
          <w:szCs w:val="24"/>
        </w:rPr>
        <w:t xml:space="preserve"> r.</w:t>
      </w:r>
      <w:r w:rsidRPr="005E7855">
        <w:rPr>
          <w:rFonts w:ascii="Times New Roman" w:eastAsia="Times New Roman" w:hAnsi="Times New Roman" w:cs="Times New Roman"/>
          <w:sz w:val="24"/>
          <w:szCs w:val="24"/>
        </w:rPr>
        <w:t xml:space="preserve"> poz. 1115). Regulacja ta będzie dotyczyła tylko największych zamówień, których wartość jest równa lub przekracza wyrażoną w złotych równowartość kwoty 20 000 000 euro, a dla dostaw lub usług – 10 000 000 euro.</w:t>
      </w:r>
    </w:p>
    <w:p w14:paraId="3040B58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Katalog fakultatywnych przesłanek wykluczenia został zasadniczo dostosowany do listy przesłanek wskazanych w art. 57 ust. 4 dyrektywy klasycznej. Celem tych zmian jest ułatwienie wykonawcom wypełniania jednolitego dokumentu, który odzwierciedla regulacje unijne.</w:t>
      </w:r>
    </w:p>
    <w:p w14:paraId="3D81898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Możliwość samooczyszczenia wykonawców oraz cezury czasowe dotyczące możliwości wykluczenia zostały określone zgodnie z obwiązującymi dyrektywami regulującymi tę kwestię. Regulacja dotycząca samooczyszczenia została doprecyzowana. Uwzględniając wskazówki zawarte w motywie 102 dyrektywy klasycznej, podano przykładowe środki organizacyjne i kadrowe służące samooczyszczeniu, takie jak zerwanie wszelkich powiązań z osobami lub podmiotami odpowiedzialnymi za nieprawidłowe postępowanie wykonawcy, zreorganizowanie personelu, wdrożenie systemu sprawozdawczości i kontroli, utworzenie struktury audytu wewnętrznego do monitorowania przestrzegania przepisów, wewnętrznych regulacji lub standardów, a także wprowadzenie wewnętrznych regulacji dotyczących odpowiedzialności i odszkodowań za nieprzestrzeganie przepisów, wewnętrznych regulacji lub standardów.</w:t>
      </w:r>
    </w:p>
    <w:p w14:paraId="2D871AA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Zrezygnowano z wykluczenia wykonawców, którzy nie wykazali spełnienia warunków udziału w postępowaniu (art. 24 ust. 1 pkt 12 ustawy Pzp). Obecna regulacja łącząca niespełnienie warunków udziału w postępowaniu z podstawami wykluczenia nie jest spójna, skoro ustawodawca w wielu przepisach ustawy Pzp operuje dwoma odmiennymi pojęciami „warunki udziału w postępowaniu” oraz „podstawy wykluczenia”, nadając im różną treść i zakres znaczeniowy. Ponadto zgodnie z aktualnymi przepisami nie odrzuca się oferty wykonawcy wykluczonego, lecz ofertę tę „uznaje się za odrzuconą” (art. 24 ust. 4 ustawy Pzp). W literaturze podnosi się, że nie jest to regulacja w pełni jasna, zwłaszcza z punktu widzenia potrzeb praktyki, zarówno co do charakteru czynności wykluczenia z postępowania, jak i jej skutków. Wykonawca, który nie spełnia warunków udziału w postępowaniu lub wobec którego zachodzą podstawy wykluczenia, w istocie nie spełnia warunków uczestnictwa w postępowaniu, a tym samym nie można w ogóle uznać go za uczestnika tego postępowania. Z tego punktu widzenia oświadczenie zamawiającego o wykluczeniu wykonawcy ma tylko charakter oświadczenia wiedzy. Ani nie służy rozwiązaniu stosunku prawnego z wykonawcą podlegającym wykluczeniu, ani nie wpływa automatycznie na ważność oferty złożonej przez tego wykonawcę. Charakter oświadczenia woli posiada jedynie oświadczenie o odrzuceniu oferty wykonawcy, który podlega wykluczeniu. Na konieczność złożenia takiego oświadczenia ustawodawca wskazuje niejasno, stanowiąc, że „ofertę wykonawcy wykluczonego uznaje się za odrzuconą”.</w:t>
      </w:r>
    </w:p>
    <w:p w14:paraId="33163B2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Celem uporządkowania i rozjaśnienia tych kwestii zdecydowano się zrezygnować z osobnego oświadczenia o wykluczeniu wykonawcy (a tym samym osobnej czynności w postępowaniu), łącząc je immanentnie z oświadczeniem woli o odrzuceniu oferty. Podobne rozwiązanie funkcjonowało już na gruncie przepisów rozporządzenia Rady Ministrów z dnia 29 stycznia 1937 r. o dostawach i robotach na rzecz Skarbu Państwa, samorządu oraz instytucji prawa publicznego (Dz. U. poz. 92). W przypadku procedur dwuetapowych przewiduje się ponadto odrzucenie wniosku o dopuszczenie do udziału złożonego przez wykonawcę podlegającego wykluczeniu lub niespełniającego warunków udziału w postępowaniu.</w:t>
      </w:r>
    </w:p>
    <w:p w14:paraId="76E73F3F" w14:textId="0690F0B7"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Warunki udziału w postępowaniu</w:t>
      </w:r>
    </w:p>
    <w:p w14:paraId="2072410F" w14:textId="30F309B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Projektowane regulacje uporządkowują i doprecyzowują </w:t>
      </w:r>
      <w:r w:rsidR="00D838AE" w:rsidRPr="00DA788D">
        <w:rPr>
          <w:rFonts w:ascii="Times New Roman" w:eastAsia="Times New Roman" w:hAnsi="Times New Roman" w:cs="Times New Roman"/>
          <w:sz w:val="24"/>
          <w:szCs w:val="24"/>
        </w:rPr>
        <w:t>przepis</w:t>
      </w:r>
      <w:r w:rsidR="00D838AE">
        <w:rPr>
          <w:rFonts w:ascii="Times New Roman" w:eastAsia="Times New Roman" w:hAnsi="Times New Roman" w:cs="Times New Roman"/>
          <w:sz w:val="24"/>
          <w:szCs w:val="24"/>
        </w:rPr>
        <w:t>y</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dotyczące warunków udziału w postępowaniu. Przyjęto podział zdolności wykonawców, których warunki udziału w postępowaniu mogą dotyczyć:</w:t>
      </w:r>
    </w:p>
    <w:p w14:paraId="5A36A8F3" w14:textId="77777777" w:rsidR="00CB2D51" w:rsidRPr="00DA788D" w:rsidRDefault="002E64C7" w:rsidP="00DA788D">
      <w:pPr>
        <w:numPr>
          <w:ilvl w:val="0"/>
          <w:numId w:val="2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zdolności do występowania w obrocie gospodarczym;</w:t>
      </w:r>
    </w:p>
    <w:p w14:paraId="7DFC5D92" w14:textId="77777777" w:rsidR="00CB2D51" w:rsidRPr="00DA788D" w:rsidRDefault="002E64C7" w:rsidP="00DA788D">
      <w:pPr>
        <w:numPr>
          <w:ilvl w:val="0"/>
          <w:numId w:val="2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uprawnienia do prowadzenia określonej działalności zawodowej, o ile wynika to z odrębnych przepisów;</w:t>
      </w:r>
    </w:p>
    <w:p w14:paraId="559EAE70" w14:textId="77777777" w:rsidR="00CB2D51" w:rsidRPr="00DA788D" w:rsidRDefault="002E64C7" w:rsidP="00DA788D">
      <w:pPr>
        <w:numPr>
          <w:ilvl w:val="0"/>
          <w:numId w:val="2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sytuacja ekonomiczna lub finansowa;</w:t>
      </w:r>
    </w:p>
    <w:p w14:paraId="4396D707" w14:textId="77777777" w:rsidR="00CB2D51" w:rsidRPr="00DA788D" w:rsidRDefault="002E64C7" w:rsidP="00DA788D">
      <w:pPr>
        <w:numPr>
          <w:ilvl w:val="0"/>
          <w:numId w:val="2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zdolność techniczna lub zawodowa. </w:t>
      </w:r>
    </w:p>
    <w:p w14:paraId="0CC4074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Warunek dotyczący zdolności do występowania w obrocie gospodarczym będzie pozwalał zamawiającemu na identyfikację podmiotu występującego w postępowaniu, a w szczególności ustalenie czy podmiot występujący jako np. spółka handlowa jest wpisany do odpowiedniego rejestru. </w:t>
      </w:r>
    </w:p>
    <w:p w14:paraId="5758F40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odniesieniu do uprawnień do prowadzenia określonej działalności zawodowej, zamawiający będzie mógł stawiać warunki posiadania zezwolenia, licencji, koncesji, wpisu do rejestru działalności regulowanej, jeżeli ich posiadanie jest niezbędne do świadczenia określonych usług. </w:t>
      </w:r>
    </w:p>
    <w:p w14:paraId="0A97AA2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zakresie warunku dotyczącego sytuacji ekonomicznej lub finansowej wskazano, obok wymogów wyszczególnionych aktualnie w art. 22c ust. 1 ustawy Pzp, że zamawiający może wymagać również posiadania przez wykonawcę określonej zdolności kredytowej lub środków finansowych.</w:t>
      </w:r>
    </w:p>
    <w:p w14:paraId="7768928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Uszczegółowiono regulację dotyczącą spełniania przez wykonawców wspólnie ubiegających się o udzielenie zamówienia warunków udziału w postępowaniu. Proponuje się, aby warunek dotyczący uprawnień do prowadzenia określonej działalności zawodowej uznać za spełniony, jeżeli co najmniej jeden z współwykonawców posiada uprawnienia do prowadzenia określonej działalności zawodowej i zrealizuje tę część zamówienia, do której realizacji te uprawnienia są wymagane. Z kolei w odniesieniu do warunków dotyczących wykształcenia, kwalifikacji zawodowych lub doświadczenia, współwykonawcy będą mogli – tak jak wynika to z art. 63 ust. 1 akapit czwarty dyrektywy klasycznej – polegać na zdolnościach wyłącznie tych z nich, którzy wykonają roboty budowlane lub usługi, do realizacji których te zdolności są wymagane. </w:t>
      </w:r>
    </w:p>
    <w:p w14:paraId="01CA53DC" w14:textId="1682F5D8"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3</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Udostępnienie zasobów</w:t>
      </w:r>
    </w:p>
    <w:p w14:paraId="49FFDA7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Wyodrębniono z regulacji dotyczącej warunków udziału w postępowaniu przepisy dotyczące możliwości powoływania się na potencjał innych podmiotów. Uczytelniono regulację dotyczącą możliwości powoływania się na potencjał podmiotu trzeciego w zakresie kryteriów selekcji. </w:t>
      </w:r>
    </w:p>
    <w:p w14:paraId="776DD6C2" w14:textId="391E283A"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4</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Podmiotowe środki dowodowe</w:t>
      </w:r>
    </w:p>
    <w:p w14:paraId="4BD4D02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Wprowadza się pojęcie podmiotowych środków dowodowych, przez które rozumie się przewidziane ustawą środki służące potwierdzeniu braku podstaw wykluczenia, spełniania warunków udziału w postępowaniu lub kryteriów selekcji. W ramach ogólnej kategorii podmiotowych środków dowodowych rozróżnia się oświadczenia składane przez wykonawcę, ewentualnie podmiot udostępniający zasoby lub podwykonawcę, oraz dokumenty wystawione przez upoważnione podmioty. Podmiotowymi środkami dowodowymi mogą być także zdjęcia, czy próbki. </w:t>
      </w:r>
    </w:p>
    <w:p w14:paraId="3E4255CA" w14:textId="2AC059E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Zachowano regułę, zgodnie z którą zamawiający wymaga podmiotowych środków dowodowych od wykonawcy, którego oferta została najwyżej oceniona. Doprecyzowano regulację dotyczącą wezwania do złożenia dokumentów w ten sposób, że uwzględnia ona sytuacje, w których zamawiający dysponuje już odpowiednimi środkami dowodowymi, czy to na skutek tego, że można je pozyskać z ogólnodostępnych, bezpłatnych baz danych w państwach będących członkami UE oraz EOG, czy też ze względu na wcześniejsze złożenie ich przez </w:t>
      </w:r>
      <w:r w:rsidRPr="00DA788D">
        <w:rPr>
          <w:rFonts w:ascii="Times New Roman" w:eastAsia="Times New Roman" w:hAnsi="Times New Roman" w:cs="Times New Roman"/>
          <w:sz w:val="24"/>
          <w:szCs w:val="24"/>
        </w:rPr>
        <w:lastRenderedPageBreak/>
        <w:t xml:space="preserve">wykonawcę. Ponadto proponuje się, aby zamawiający nie wzywał do złożenia podmiotowych środków dowodowych w postaci oświadczeń (np. wykazu robót budowlanych lub wykazu personelu), gdy ich treść odpowiada zakresowi oświadczenia zawartego w jednolitym dokumencie. </w:t>
      </w:r>
      <w:r w:rsidR="00D838AE" w:rsidRPr="00DA788D">
        <w:rPr>
          <w:rFonts w:ascii="Times New Roman" w:eastAsia="Times New Roman" w:hAnsi="Times New Roman" w:cs="Times New Roman"/>
          <w:sz w:val="24"/>
          <w:szCs w:val="24"/>
        </w:rPr>
        <w:t>Proponowan</w:t>
      </w:r>
      <w:r w:rsidR="00D838AE">
        <w:rPr>
          <w:rFonts w:ascii="Times New Roman" w:eastAsia="Times New Roman" w:hAnsi="Times New Roman" w:cs="Times New Roman"/>
          <w:sz w:val="24"/>
          <w:szCs w:val="24"/>
        </w:rPr>
        <w:t>a</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zmiana ma na celu wyeliminowanie sytuacji, w których oświadczenie składane jest przez wykonawcę jako oświadczenie wstępnie potwierdzające spełnienie warunków udziału w postępowaniu, a następnie to samo oświadczenie (ewentualnie rozbudowane), jako środek dowodowy potwierdzający spełnienie warunków udziału w postępowaniu.</w:t>
      </w:r>
    </w:p>
    <w:p w14:paraId="11E1F642" w14:textId="13E7D40B"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3</w:t>
      </w:r>
      <w:r w:rsidR="00D838AE">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Tryby udzielania zamówień </w:t>
      </w:r>
    </w:p>
    <w:p w14:paraId="24B10D95" w14:textId="3FBE73CD"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1</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Przepisy wspólne</w:t>
      </w:r>
    </w:p>
    <w:p w14:paraId="3762CB2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Koncepcja Prawa zamówień publicznych zakładała ułatwienie stosowania trybów udzielania zamówień, w szczególności negocjacji z ogłoszeniem, dialogu konkurencyjnego i partnerstwa innowacyjnego przez uporządkowanie przepisów i rezygnację z szeregu nieczytelnych odesłań. W nowym projekcie ustawy proponuje się zatem wprowadzenie możliwie kompleksowych regulacji w ramach procedur charakteryzujących poszczególne tryby udzielania zamówień. Rozwiązanie to ma ułatwić zamawiającym sprawne procedowanie w ramach określonego trybu, aby ww. tryby, a zwłaszcza tryb negocjacji z ogłoszeniem, były chętniej stosowane przez zamawiających. Należy przy tym podkreślić, że w dobie ciągłego rozwoju techniki i nowych technologii tryby przetargowe nie zawsze dają możliwość nabycia dóbr zgodnych z potrzebami zamawiającego, a jednocześnie o możliwie najlepszych standardach i za korzystną cenę.</w:t>
      </w:r>
    </w:p>
    <w:p w14:paraId="641919B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Niezależnie od powyższego w celu zwiększenia przejrzystości regulacji i ułatwienia stosowania przepisów dotyczących poszczególnych trybów w nowej ustawie w dziale II rozdziale 3 proponuje się wydzielenie oddziału 1 jako przepisów wspólnych dla trybów udzielania zamówień klasycznych, których wartość jest równa lub przekracza progi unijne, a więc objętych zakresem stosowania dyrektywy klasycznej. Po wydzieleniu przepisów wspólnych, regulacje odnoszące się do poszczególnych trybów, zawarte w oddziale 2-6, będą dotyczyły w szczególności: charakterystyki każdego z trybów; momentu udostępnienia dokumentów zamówienia (specyfikacji warunków zamówienia lub opisu potrzeb i wymagań); zakresu informacji zawartych w dokumentach zamówienia, w zależności od specyfiku danego trybu; terminów składania wniosków o dopuszczenie do udziału w postępowaniu (przetarg ograniczony, negocjacje z ogłoszeniem, dialog konkurencyjny, partnerstwo innowacyjne), sposobu wyłaniania wykonawców zapraszanych do składania ofert lub ofert wstępnych (negocjacje z ogłoszeniem, partnerstwo innowacyjne) czy terminów składania ofert. </w:t>
      </w:r>
    </w:p>
    <w:p w14:paraId="31FD882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przewiduje zachowanie dotychczasowego nazewnictwa trybów dla zamówień klasycznych, których wartość jest równa lub przekracza progi unijne, funkcjonującego na gruncie obowiązującej ustawy Pzp. Uzasadnione jest jednak zwiększenie przejrzystości reguł dotyczących trybów udzielania zamówień powyżej progów unijnych, a także wprowadzenie w nowej ustawie uproszczeń i usprawnień w stosunku do obecnie obowiązujących przepisów.</w:t>
      </w:r>
    </w:p>
    <w:p w14:paraId="665D4337" w14:textId="3045CC2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związku z powyższym w projekcie ustawy zamawiający publiczny oraz zamawiający subsydiowani, o </w:t>
      </w:r>
      <w:r w:rsidR="00D838AE" w:rsidRPr="00DA788D">
        <w:rPr>
          <w:rFonts w:ascii="Times New Roman" w:eastAsia="Times New Roman" w:hAnsi="Times New Roman" w:cs="Times New Roman"/>
          <w:sz w:val="24"/>
          <w:szCs w:val="24"/>
        </w:rPr>
        <w:t>który</w:t>
      </w:r>
      <w:r w:rsidR="00D838AE">
        <w:rPr>
          <w:rFonts w:ascii="Times New Roman" w:eastAsia="Times New Roman" w:hAnsi="Times New Roman" w:cs="Times New Roman"/>
          <w:sz w:val="24"/>
          <w:szCs w:val="24"/>
        </w:rPr>
        <w:t>ch</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mowa w art. 6, udzielając zamówień klasycznych o wartości równej lub przekraczającej progi unijne, będą nadal mieli do wyboru następujące tryby udzielania zamówień:</w:t>
      </w:r>
    </w:p>
    <w:p w14:paraId="22E88945"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przetarg nieograniczony (w dyrektywie klasycznej jako procedura otwarta);</w:t>
      </w:r>
    </w:p>
    <w:p w14:paraId="4DE6F24F"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przetarg ograniczony (w dyrektywie klasycznej jako procedura ograniczona);</w:t>
      </w:r>
    </w:p>
    <w:p w14:paraId="2FEA9D29"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negocjacje z ogłoszeniem (w dyrektywie klasycznej jako procedura konkurencyjna z negocjacjami);</w:t>
      </w:r>
    </w:p>
    <w:p w14:paraId="569C0D47"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dialog konkurencyjny;</w:t>
      </w:r>
    </w:p>
    <w:p w14:paraId="3BB63F66"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partnerstwo innowacyjne;</w:t>
      </w:r>
    </w:p>
    <w:p w14:paraId="59AB0764"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negocjacje bez ogłoszenia (w dyrektywie klasycznej jako procedura negocjacyjna bez uprzedniej publikacji);</w:t>
      </w:r>
    </w:p>
    <w:p w14:paraId="11477148" w14:textId="77777777" w:rsidR="00CB2D51" w:rsidRPr="00DA788D" w:rsidRDefault="002E64C7" w:rsidP="00DA788D">
      <w:pPr>
        <w:numPr>
          <w:ilvl w:val="0"/>
          <w:numId w:val="5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zamówienie z wolnej ręki (w dyrektywie klasycznej jako procedura negocjacyjna bez uprzedniej publikacji).</w:t>
      </w:r>
    </w:p>
    <w:p w14:paraId="7CD1847C" w14:textId="00B6013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Udzielenie zamówienia w trybie przetargu nieograniczonego oraz w trybie przetargu ograniczonego będzie możliwe, tak jak dotychczas, bez spełnienia dodatkowych przesłanek. Z kolei udzielenie zamówienia w trybie negocjacji z ogłoszeniem oraz dialogu konkurencyjnego będzie możliwe, jeżeli zajdzie co najmniej jedna z okoliczności określonych w ustawie. W ślad za dyrektywą klasyczną oraz obecną ustawą Pzp przewiduje się wspólne przesłanki udzielenia zamówienia w trybie negocjacji z ogłoszeniem oraz dialogu konkurencyjnego. Natomiast zamawiający będzie mógł udzielić zamówienia w trybie partnerstwa innowacyjnego w przypadku zapotrzebowania na innowacyjny produkt, usługę lub roboty budowlane, jeżeli nie są one dostępne na rynku. Tryb negocjacji </w:t>
      </w:r>
      <w:r w:rsidR="005A6B94">
        <w:rPr>
          <w:rFonts w:ascii="Times New Roman" w:eastAsia="Times New Roman" w:hAnsi="Times New Roman" w:cs="Times New Roman"/>
          <w:sz w:val="24"/>
          <w:szCs w:val="24"/>
        </w:rPr>
        <w:t>be</w:t>
      </w:r>
      <w:r w:rsidRPr="00DA788D">
        <w:rPr>
          <w:rFonts w:ascii="Times New Roman" w:eastAsia="Times New Roman" w:hAnsi="Times New Roman" w:cs="Times New Roman"/>
          <w:sz w:val="24"/>
          <w:szCs w:val="24"/>
        </w:rPr>
        <w:t>z ogłoszeni</w:t>
      </w:r>
      <w:r w:rsidR="005A6B94">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oraz zamówienia z wolnej ręki mają negatywny wpływ na konkurencję, dlatego też zamawiający nadal będą mogli je stosować wyłącznie w szczególnych przypadkach określonych w ustawie.</w:t>
      </w:r>
    </w:p>
    <w:p w14:paraId="0CD48522" w14:textId="12EBD79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przepisach wspólnych dotyczących trybów udzielania zamówień klasycznych zaprojektowana została regulacja, która określa moment wszczęcia postępowania o udzielenie zamówienia w odniesieniu do wszystkich trybów (art. 130 projektu ustawy). Moment wszczęcia postępowania powinien być skorelowany z przekazaniem przez zamawiającego ogłoszenia o zamówieniu Urzędowi Publikacji Unii Europejskiej, a nie jak dotychczas z publikacją ogłoszenia o zamówieniu na poziomie krajowym, tj. w miejscu publicznie </w:t>
      </w:r>
      <w:r w:rsidR="00D838AE" w:rsidRPr="00DA788D">
        <w:rPr>
          <w:rFonts w:ascii="Times New Roman" w:eastAsia="Times New Roman" w:hAnsi="Times New Roman" w:cs="Times New Roman"/>
          <w:sz w:val="24"/>
          <w:szCs w:val="24"/>
        </w:rPr>
        <w:t>dostępny</w:t>
      </w:r>
      <w:r w:rsidR="00D838AE">
        <w:rPr>
          <w:rFonts w:ascii="Times New Roman" w:eastAsia="Times New Roman" w:hAnsi="Times New Roman" w:cs="Times New Roman"/>
          <w:sz w:val="24"/>
          <w:szCs w:val="24"/>
        </w:rPr>
        <w:t>m</w:t>
      </w:r>
      <w:r w:rsidR="00D838AE"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 siedzibie zamawiającego oraz na stronie internetowej. Tym samym w ustawie zasadne jest określenie momentu wszczęcia postępowania na dzień przekazania</w:t>
      </w:r>
      <w:r w:rsidR="00EA2257">
        <w:rPr>
          <w:rFonts w:ascii="Times New Roman" w:eastAsia="Times New Roman" w:hAnsi="Times New Roman" w:cs="Times New Roman"/>
          <w:sz w:val="24"/>
          <w:szCs w:val="24"/>
        </w:rPr>
        <w:t xml:space="preserve"> do publikacji</w:t>
      </w:r>
      <w:r w:rsidRPr="00DA788D">
        <w:rPr>
          <w:rFonts w:ascii="Times New Roman" w:eastAsia="Times New Roman" w:hAnsi="Times New Roman" w:cs="Times New Roman"/>
          <w:sz w:val="24"/>
          <w:szCs w:val="24"/>
        </w:rPr>
        <w:t xml:space="preserve"> ogłoszenia Urzędowi Publikacji Unii Europejskiej, które jest pierwszą czynnością w postępowaniu, a zamawiający jest obowiązany udokumentować datę przekazania ogłoszenia, w szczególności przechowywać dowód przekazania tego ogłoszenia. Od daty przekazania ogłoszenia o zamówieniu Urzędowi Publikacji Unii Europejskiej liczone są też minimalne terminy ustawowe wskazane w ogłoszeniu</w:t>
      </w:r>
      <w:r w:rsidR="00EA2257">
        <w:rPr>
          <w:rFonts w:ascii="Times New Roman" w:eastAsia="Times New Roman" w:hAnsi="Times New Roman" w:cs="Times New Roman"/>
          <w:sz w:val="24"/>
          <w:szCs w:val="24"/>
        </w:rPr>
        <w:t xml:space="preserve"> o zamówieniu</w:t>
      </w:r>
      <w:r w:rsidRPr="00DA788D">
        <w:rPr>
          <w:rFonts w:ascii="Times New Roman" w:eastAsia="Times New Roman" w:hAnsi="Times New Roman" w:cs="Times New Roman"/>
          <w:sz w:val="24"/>
          <w:szCs w:val="24"/>
        </w:rPr>
        <w:t xml:space="preserve"> oraz w dokumentach zamówienia. Zamieszczenie ogłoszenia na stronie internetowej prowadzonego postępowania powinno mieć charakter wtórny (obowiązkowy, ale nie decydujący o wszczęciu postępowania). Zasady zamieszczania ogłoszeń na poziomie krajowym zostały uregulowane w art. 88</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Należy przy tym zaznaczyć, że w myśl art. 53 dyrektywy klasycznej oraz zgodnie z art. 133 ust. 1, art. 141, art. 155 ust. 2, art. 173, art. 191 ust. 2 </w:t>
      </w:r>
      <w:r w:rsidR="00027177">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zamawiający publikuje dokumenty zamówienia (tj. specyfikację warunków zamówienia lub opis potrzeb i wymagań) dopiero od dnia publikacji ogłoszenia o zamówieniu w Dzienniku Urzędowym Unii Europejskiej. </w:t>
      </w:r>
    </w:p>
    <w:p w14:paraId="5004150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Natomiast w trybie negocjacji bez ogłoszenia wszczęcie postępowania następuje przez przekazanie zaproszenia do negocjacji wybranym wykonawcom, a w przypadku trybu zamówienia z wolnej ręki przez przekazanie zaproszenia do negocjacji jednemu wykonawcy. </w:t>
      </w:r>
    </w:p>
    <w:p w14:paraId="47A7D023" w14:textId="7CBAB190" w:rsidR="001B5DC9" w:rsidRPr="001B5DC9" w:rsidRDefault="002E64C7" w:rsidP="001B5DC9">
      <w:pPr>
        <w:pBdr>
          <w:top w:val="nil"/>
          <w:left w:val="nil"/>
          <w:bottom w:val="nil"/>
          <w:right w:val="nil"/>
          <w:between w:val="nil"/>
        </w:pBdr>
        <w:ind w:firstLine="510"/>
        <w:jc w:val="both"/>
        <w:rPr>
          <w:rFonts w:ascii="Times New Roman" w:eastAsia="Times" w:hAnsi="Times New Roman" w:cs="Times New Roman"/>
          <w:color w:val="000000"/>
          <w:sz w:val="24"/>
          <w:szCs w:val="24"/>
        </w:rPr>
      </w:pPr>
      <w:r w:rsidRPr="00DA788D">
        <w:rPr>
          <w:rFonts w:ascii="Times New Roman" w:eastAsia="Times New Roman" w:hAnsi="Times New Roman" w:cs="Times New Roman"/>
          <w:sz w:val="24"/>
          <w:szCs w:val="24"/>
        </w:rPr>
        <w:t>Odrębnego uregulowania wymaga określenie momentu wszczęcia postępowania w trybie negocjacji z ogłoszeniem lub dialogu konkurencyjnego w sytuacji, o której mowa w m art. 154 ust. 1</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w:t>
      </w:r>
      <w:r w:rsidR="001B5DC9" w:rsidRPr="001B5DC9">
        <w:rPr>
          <w:rFonts w:ascii="Times New Roman" w:eastAsia="Times New Roman" w:hAnsi="Times New Roman" w:cs="Times New Roman"/>
          <w:sz w:val="24"/>
          <w:szCs w:val="24"/>
        </w:rPr>
        <w:t>W</w:t>
      </w:r>
      <w:r w:rsidR="001B5DC9">
        <w:rPr>
          <w:rFonts w:ascii="Times New Roman" w:eastAsia="Times New Roman" w:hAnsi="Times New Roman" w:cs="Times New Roman"/>
          <w:sz w:val="24"/>
          <w:szCs w:val="24"/>
        </w:rPr>
        <w:t xml:space="preserve"> </w:t>
      </w:r>
      <w:r w:rsidR="001B5DC9">
        <w:rPr>
          <w:rFonts w:ascii="Times New Roman" w:eastAsia="Times New Roman" w:hAnsi="Times New Roman" w:cs="Times New Roman"/>
          <w:sz w:val="24"/>
          <w:szCs w:val="24"/>
        </w:rPr>
        <w:lastRenderedPageBreak/>
        <w:t>takiej sytuacji</w:t>
      </w:r>
      <w:r w:rsidR="001B5DC9" w:rsidRPr="001B5DC9">
        <w:rPr>
          <w:rFonts w:ascii="Times New Roman" w:eastAsia="Times New Roman" w:hAnsi="Times New Roman" w:cs="Times New Roman"/>
          <w:sz w:val="24"/>
          <w:szCs w:val="24"/>
        </w:rPr>
        <w:t xml:space="preserve"> zamawiający może wszcząć takie postępowanie </w:t>
      </w:r>
      <w:r w:rsidR="001B5DC9" w:rsidRPr="001B5DC9">
        <w:rPr>
          <w:rFonts w:ascii="Times New Roman" w:eastAsia="Times" w:hAnsi="Times New Roman" w:cs="Times New Roman"/>
          <w:color w:val="000000"/>
          <w:sz w:val="24"/>
          <w:szCs w:val="24"/>
        </w:rPr>
        <w:t>przez przekazanie zaproszenia do negocjacji lub dialogu, w okolicznościach, o których mowa w art. 153 pkt 5</w:t>
      </w:r>
      <w:r w:rsidR="00027177">
        <w:rPr>
          <w:rFonts w:ascii="Times New Roman" w:eastAsia="Times" w:hAnsi="Times New Roman" w:cs="Times New Roman"/>
          <w:color w:val="000000"/>
          <w:sz w:val="24"/>
          <w:szCs w:val="24"/>
        </w:rPr>
        <w:t xml:space="preserve"> projektu ustawy</w:t>
      </w:r>
      <w:r w:rsidR="001B5DC9" w:rsidRPr="001B5DC9">
        <w:rPr>
          <w:rFonts w:ascii="Times New Roman" w:eastAsia="Times" w:hAnsi="Times New Roman" w:cs="Times New Roman"/>
          <w:color w:val="000000"/>
          <w:sz w:val="24"/>
          <w:szCs w:val="24"/>
        </w:rPr>
        <w:t>, jeżeli zamawiający zaprosi do negocjacji lub dialogu wyłącznie wszystkich wykonawców, którzy nie podlegają wykluczeniu i spełniają warunki udziału w postępowaniu oraz w prowadzonym uprzednio postępowaniu w trybie przetargu nieograniczonego lub przetargu ograniczonego złożyli oferty, które nie zostały odrzucone na podstawie art. 226 ust. 1 pkt 1, 2, 6, 7, 10, 13-15 i 19</w:t>
      </w:r>
      <w:r w:rsidR="00027177">
        <w:rPr>
          <w:rFonts w:ascii="Times New Roman" w:eastAsia="Times" w:hAnsi="Times New Roman" w:cs="Times New Roman"/>
          <w:color w:val="000000"/>
          <w:sz w:val="24"/>
          <w:szCs w:val="24"/>
        </w:rPr>
        <w:t xml:space="preserve"> projektu ustawy</w:t>
      </w:r>
      <w:r w:rsidR="001B5DC9" w:rsidRPr="001B5DC9">
        <w:rPr>
          <w:rFonts w:ascii="Times New Roman" w:eastAsia="Times" w:hAnsi="Times New Roman" w:cs="Times New Roman"/>
          <w:color w:val="000000"/>
          <w:sz w:val="24"/>
          <w:szCs w:val="24"/>
        </w:rPr>
        <w:t>.</w:t>
      </w:r>
    </w:p>
    <w:p w14:paraId="0BE8AEB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Wówczas zamawiający może odstąpić od publikacji ogłoszenia o zamówieniu, jeżeli przekaże zaproszenie do negocjacji wyłącznie wszystkim wykonawcom, którzy w prowadzonym uprzednio postępowaniu w trybie przetargu nieograniczonego lub przetargu ograniczonego, nie podlegali wykluczeniu i spełniali warunki udziału w postępowaniu oraz złożyli oferty w wyznaczonym terminie, w sposób określony przez zamawiającego.</w:t>
      </w:r>
    </w:p>
    <w:p w14:paraId="7882D6A6" w14:textId="77777777" w:rsidR="00CB2D51" w:rsidRPr="00DA788D" w:rsidRDefault="002E64C7" w:rsidP="00DA788D">
      <w:pPr>
        <w:spacing w:after="120"/>
        <w:ind w:firstLine="708"/>
        <w:jc w:val="both"/>
        <w:rPr>
          <w:rFonts w:ascii="Times New Roman" w:eastAsia="Times New Roman" w:hAnsi="Times New Roman" w:cs="Times New Roman"/>
          <w:i/>
          <w:sz w:val="24"/>
          <w:szCs w:val="24"/>
        </w:rPr>
      </w:pPr>
      <w:r w:rsidRPr="00DA788D">
        <w:rPr>
          <w:rFonts w:ascii="Times New Roman" w:eastAsia="Times New Roman" w:hAnsi="Times New Roman" w:cs="Times New Roman"/>
          <w:sz w:val="24"/>
          <w:szCs w:val="24"/>
        </w:rPr>
        <w:t xml:space="preserve">W przepisach wspólnych dotyczących trybów, w celu zapewnienia skrótowości aktu normatywnego, znalazły się również ogólne regulacje, dotyczące wyznaczania terminów składania wniosków o dopuszczenie do udziału, ofert wstępnych oraz ofert. Zamawiający będzie zobowiązany wyznaczać te terminy z uwzględnieniem złożoności zamówienia oraz czasu potrzebnego na sporządzenie wniosku lub oferty, bez uszczerbku dla minimalnych terminów ustawowych określonych dla poszczególnych trybów udzielania zamówień. W ślad za dyrektywą klasyczną projekt ustawy określa przypadki, w których terminy minimalne dla poszczególnych trybów muszą być wydłużone, tj. konieczność lub możliwość odbycia wizji lokalnej, weryfikacji na miejscu dokumentów zamówienia, nieudzielenie przez zamawiającego wyjaśnień w terminie dotyczących treści specyfikacji warunków zamówienia lub opisu potrzeb i wymagań, wprowadzenie przez zamawiającego istotnych zmian w tych dokumentach zamówienia. </w:t>
      </w:r>
    </w:p>
    <w:p w14:paraId="4E71A566" w14:textId="320C3C18"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D838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Przetarg nieograniczony</w:t>
      </w:r>
    </w:p>
    <w:p w14:paraId="78E32712" w14:textId="213AEF3B" w:rsidR="00CB2D51" w:rsidRPr="00DA788D" w:rsidRDefault="00027177"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Przepisy ustawy</w:t>
      </w:r>
      <w:r w:rsidR="002E64C7" w:rsidRPr="00DA788D">
        <w:rPr>
          <w:rFonts w:ascii="Times New Roman" w:eastAsia="Times New Roman" w:hAnsi="Times New Roman" w:cs="Times New Roman"/>
          <w:sz w:val="24"/>
          <w:szCs w:val="24"/>
        </w:rPr>
        <w:t xml:space="preserve"> dotyczące trybu przetargu nieograniczonego są odzwierciedleniem przepisów dyrektywy klasycznej i w dużej mierze stanow</w:t>
      </w:r>
      <w:r w:rsidR="001B5DC9">
        <w:rPr>
          <w:rFonts w:ascii="Times New Roman" w:eastAsia="Times New Roman" w:hAnsi="Times New Roman" w:cs="Times New Roman"/>
          <w:sz w:val="24"/>
          <w:szCs w:val="24"/>
        </w:rPr>
        <w:t>i</w:t>
      </w:r>
      <w:r w:rsidR="002E64C7" w:rsidRPr="00DA788D">
        <w:rPr>
          <w:rFonts w:ascii="Times New Roman" w:eastAsia="Times New Roman" w:hAnsi="Times New Roman" w:cs="Times New Roman"/>
          <w:sz w:val="24"/>
          <w:szCs w:val="24"/>
        </w:rPr>
        <w:t>ą powtórzenie dotychczas obowiązujących przepisów.</w:t>
      </w:r>
    </w:p>
    <w:p w14:paraId="3D5EE8C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projektem ustawy, przetarg nieograniczony to tryb udzielenia zamówienia, w którym w odpowiedzi na ogłoszenie o zamówieniu oferty mogą składać wszyscy zainteresowani wykonawcy. </w:t>
      </w:r>
    </w:p>
    <w:p w14:paraId="7D1420D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Datą wszczęcia postępowania o udzielenie zamówienia w trybie przetargu nieograniczonego będzie dzień przekazania </w:t>
      </w:r>
      <w:r w:rsidR="001B5DC9">
        <w:rPr>
          <w:rFonts w:ascii="Times New Roman" w:eastAsia="Times New Roman" w:hAnsi="Times New Roman" w:cs="Times New Roman"/>
          <w:sz w:val="24"/>
          <w:szCs w:val="24"/>
        </w:rPr>
        <w:t xml:space="preserve">do publikacji </w:t>
      </w:r>
      <w:r w:rsidRPr="00DA788D">
        <w:rPr>
          <w:rFonts w:ascii="Times New Roman" w:eastAsia="Times New Roman" w:hAnsi="Times New Roman" w:cs="Times New Roman"/>
          <w:sz w:val="24"/>
          <w:szCs w:val="24"/>
        </w:rPr>
        <w:t xml:space="preserve">ogłoszenia o zamówieniu Urzędowi Publikacji Unii Europejskiej (art. 130 ust. 1 pkt 1 projektu ustawy). Ogłoszenie o zamówieniu opublikowane w Dzienniku Urzędowym Unii Europejskiej oraz udostępnione na poziomie krajowym będzie nadal stanowić zaproszenie do składania ofert. </w:t>
      </w:r>
    </w:p>
    <w:p w14:paraId="083C7AB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 dnia publikacji ogłoszenia o zamówieniu w Dzienniku Urzędowym Unii Europejskiej</w:t>
      </w:r>
      <w:r w:rsidR="000A490C" w:rsidRPr="00DA788D">
        <w:rPr>
          <w:rFonts w:ascii="Times New Roman" w:eastAsia="Times New Roman" w:hAnsi="Times New Roman" w:cs="Times New Roman"/>
          <w:sz w:val="24"/>
          <w:szCs w:val="24"/>
        </w:rPr>
        <w:t>,</w:t>
      </w:r>
      <w:r w:rsidR="000A490C" w:rsidRPr="00DA788D">
        <w:rPr>
          <w:rFonts w:ascii="Times New Roman" w:eastAsia="Times" w:hAnsi="Times New Roman" w:cs="Times New Roman"/>
          <w:color w:val="000000"/>
          <w:sz w:val="24"/>
          <w:szCs w:val="24"/>
        </w:rPr>
        <w:t xml:space="preserve"> </w:t>
      </w:r>
      <w:r w:rsidR="000A490C" w:rsidRPr="00DA788D">
        <w:rPr>
          <w:rFonts w:ascii="Times New Roman" w:eastAsia="Times New Roman" w:hAnsi="Times New Roman" w:cs="Times New Roman"/>
          <w:sz w:val="24"/>
          <w:szCs w:val="24"/>
        </w:rPr>
        <w:t xml:space="preserve">nie krócej niż do dnia udzielenia zamówienia, </w:t>
      </w:r>
      <w:r w:rsidRPr="00DA788D">
        <w:rPr>
          <w:rFonts w:ascii="Times New Roman" w:eastAsia="Times New Roman" w:hAnsi="Times New Roman" w:cs="Times New Roman"/>
          <w:sz w:val="24"/>
          <w:szCs w:val="24"/>
        </w:rPr>
        <w:t xml:space="preserve"> zamawiający zapewnia na stronie internetowej prowadzonego postępowania bezpłatny, pełny, bezpośredni i nieograniczony dostęp do specyfikacji warunków zamówienia. </w:t>
      </w:r>
    </w:p>
    <w:p w14:paraId="133CE20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Należy przy tym wyjaśnić, że w projekcie ustawy rezygnuje się z ogólnej regulacji dotyczącej specyfikacji istotnych warunków zamówienia i mającej odpowiednie zastosowanie do wszystkich trybów (dotychczasowy art. 36 ustawy Pzp). Specyfika każdego z trybów wymusza uregulowanie zakresu informacji zawartych w tym dokumencie zamówienia oraz momentu jego udostępnienia zależnie od danego trybu. Ponadto, w ustawie proponuje się rozróżnienie dokumentów zamówienia określonych jako „specyfikacja warunków zamówienia” </w:t>
      </w:r>
      <w:r w:rsidRPr="00DA788D">
        <w:rPr>
          <w:rFonts w:ascii="Times New Roman" w:eastAsia="Times New Roman" w:hAnsi="Times New Roman" w:cs="Times New Roman"/>
          <w:sz w:val="24"/>
          <w:szCs w:val="24"/>
        </w:rPr>
        <w:lastRenderedPageBreak/>
        <w:t xml:space="preserve">(która zawiera wszystkie warunki zamówienia) od dokumentów zamówienia określonych jako „opis potrzeb i wymagań” (udostępnianych przez zamawiającego na potrzeby postępowania o udzielenie zamówienia prowadzonego w trybie negocjacji z ogłoszeniem, dialogu konkurencyjnego albo partnerstwa innowacyjnego, które zawierają istotne warunki zamówienia, a więc informacje i dane dotyczące przedmiotu zamówienia oraz wymagania proceduralne dotyczące postępowania, umożliwiające ustalenie charakteru i zakresu zamówienia oraz podjęcie decyzji co do złożenia wniosku o dopuszczenie do udziału w postępowaniu).  </w:t>
      </w:r>
    </w:p>
    <w:p w14:paraId="21B8D43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związku z powyższym zasadna i niezbędna okazała się zmiana określenia „specyfikacji istotnych warunków zamówienia” (potocznie SIWZ) na bardziej adekwatne określenie w odniesieniu do zawartych w nim treści, tj. na „specyfikację warunków zamówienia” (w projekcie ustawy wprowadzono skrót „SWZ”).</w:t>
      </w:r>
    </w:p>
    <w:p w14:paraId="4AB1B3AB" w14:textId="77777777" w:rsidR="00CB2D51"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oddziale 2 dotyczącym przetargu nieograniczonego uregulowano zakres informacji zawartych w SWZ oraz zasady odnoszące się do: udostępniania, wyjaśniania lub zmiany treści SWZ, właściwe dla przetargu nieograniczonego. Obecnie regulacje te są unormowane w art. 36 i art. 37 ustawy Pzp. Projektowane regulacje są podobne do dotychczasowych i mają przede wszystkim porządkujący charakter. </w:t>
      </w:r>
    </w:p>
    <w:p w14:paraId="13917ABD" w14:textId="6CF85F1B" w:rsidR="00CB2D51" w:rsidRPr="00DA788D" w:rsidRDefault="00D522CF" w:rsidP="00DA788D">
      <w:pPr>
        <w:spacing w:after="120"/>
        <w:ind w:firstLine="708"/>
        <w:jc w:val="both"/>
        <w:rPr>
          <w:rFonts w:ascii="Times New Roman" w:eastAsia="Times New Roman" w:hAnsi="Times New Roman" w:cs="Times New Roman"/>
          <w:sz w:val="24"/>
          <w:szCs w:val="24"/>
        </w:rPr>
      </w:pPr>
      <w:r w:rsidRPr="00D522CF">
        <w:rPr>
          <w:rFonts w:ascii="Times New Roman" w:eastAsia="Times New Roman" w:hAnsi="Times New Roman" w:cs="Times New Roman"/>
          <w:sz w:val="24"/>
          <w:szCs w:val="24"/>
        </w:rPr>
        <w:t xml:space="preserve">Należy przy tym podkreślić, że </w:t>
      </w:r>
      <w:r>
        <w:rPr>
          <w:rFonts w:ascii="Times New Roman" w:eastAsia="Times New Roman" w:hAnsi="Times New Roman" w:cs="Times New Roman"/>
          <w:sz w:val="24"/>
          <w:szCs w:val="24"/>
        </w:rPr>
        <w:t xml:space="preserve">w projekcie ustawy uwypuklony został obowiązek zamawiającego w zakresie </w:t>
      </w:r>
      <w:r w:rsidR="001B16C0">
        <w:rPr>
          <w:rFonts w:ascii="Times New Roman" w:eastAsia="Times New Roman" w:hAnsi="Times New Roman" w:cs="Times New Roman"/>
          <w:sz w:val="24"/>
          <w:szCs w:val="24"/>
        </w:rPr>
        <w:t xml:space="preserve">wskazywania w SWZ (oraz odpowiednio w opisie potrzeb i wymagań) dokładnego </w:t>
      </w:r>
      <w:r w:rsidR="001B16C0" w:rsidRPr="00575219">
        <w:rPr>
          <w:rFonts w:ascii="Times New Roman" w:eastAsia="Times" w:hAnsi="Times New Roman" w:cs="Times New Roman"/>
          <w:sz w:val="24"/>
          <w:szCs w:val="24"/>
        </w:rPr>
        <w:t>adres strony internetowej</w:t>
      </w:r>
      <w:r w:rsidR="001B16C0">
        <w:rPr>
          <w:rFonts w:ascii="Times New Roman" w:eastAsia="Times" w:hAnsi="Times New Roman" w:cs="Times New Roman"/>
          <w:sz w:val="24"/>
          <w:szCs w:val="24"/>
        </w:rPr>
        <w:t xml:space="preserve"> (ścieżki dostępu)</w:t>
      </w:r>
      <w:r w:rsidR="001B16C0" w:rsidRPr="00575219">
        <w:rPr>
          <w:rFonts w:ascii="Times New Roman" w:eastAsia="Times" w:hAnsi="Times New Roman" w:cs="Times New Roman"/>
          <w:sz w:val="24"/>
          <w:szCs w:val="24"/>
        </w:rPr>
        <w:t>, pod którym udostępniane będą zmiany i wyjaśnienia dotyczące treści SWZ</w:t>
      </w:r>
      <w:r w:rsidR="001B16C0">
        <w:rPr>
          <w:rFonts w:ascii="Times New Roman" w:eastAsia="Times" w:hAnsi="Times New Roman" w:cs="Times New Roman"/>
          <w:sz w:val="24"/>
          <w:szCs w:val="24"/>
        </w:rPr>
        <w:t xml:space="preserve"> (</w:t>
      </w:r>
      <w:r w:rsidR="001B16C0">
        <w:rPr>
          <w:rFonts w:ascii="Times New Roman" w:eastAsia="Times New Roman" w:hAnsi="Times New Roman" w:cs="Times New Roman"/>
          <w:sz w:val="24"/>
          <w:szCs w:val="24"/>
        </w:rPr>
        <w:t>oraz odpowiednio opisu potrzeb i wymagań)</w:t>
      </w:r>
      <w:r w:rsidR="001B16C0" w:rsidRPr="00575219">
        <w:rPr>
          <w:rFonts w:ascii="Times New Roman" w:eastAsia="Times" w:hAnsi="Times New Roman" w:cs="Times New Roman"/>
          <w:sz w:val="24"/>
          <w:szCs w:val="24"/>
        </w:rPr>
        <w:t xml:space="preserve"> oraz inne dokumenty zamówienia bezpośrednio związane z postępowaniem o udzielenie zamówienia</w:t>
      </w:r>
      <w:r w:rsidR="001B16C0">
        <w:rPr>
          <w:rFonts w:ascii="Times New Roman" w:eastAsia="Times" w:hAnsi="Times New Roman" w:cs="Times New Roman"/>
          <w:sz w:val="24"/>
          <w:szCs w:val="24"/>
        </w:rPr>
        <w:t xml:space="preserve">. Powyższe ma zapewnić wykonawcom sprawniejszy dostęp do ww. dokumentów zamówienia, z wykorzystaniem strony internetowej prowadzonego postępowania.  </w:t>
      </w:r>
      <w:r w:rsidR="002E64C7" w:rsidRPr="00DA788D">
        <w:rPr>
          <w:rFonts w:ascii="Times New Roman" w:eastAsia="Times New Roman" w:hAnsi="Times New Roman" w:cs="Times New Roman"/>
          <w:sz w:val="24"/>
          <w:szCs w:val="24"/>
        </w:rPr>
        <w:t xml:space="preserve">Projektuje się przykładowo wyraźną regulację (art. 135 ust. 3. projektu ustawy), będącą odzwierciedleniem art. 47 ust. 3 dyrektywy klasycznej, stanowiącą o obowiązku przedłużenia terminu składania ofert przez zamawiającego w przypadku nieudzielenia wyjaśnień dotyczących treści SWZ w ustawowych terminach. </w:t>
      </w:r>
      <w:r w:rsidR="008533BA" w:rsidRPr="008533BA">
        <w:rPr>
          <w:rFonts w:ascii="Times New Roman" w:eastAsia="Times New Roman" w:hAnsi="Times New Roman" w:cs="Times New Roman"/>
          <w:sz w:val="24"/>
          <w:szCs w:val="24"/>
        </w:rPr>
        <w:t xml:space="preserve">Spowodowane nieudzieleniem wyjaśnień przedłużenie terminu składania ofert nie wpływa na bieg terminu składania wniosku o wyjaśnienie treści SWZ (art. 135 ust. 4), który – w zależności od </w:t>
      </w:r>
      <w:r w:rsidR="001B5DC9">
        <w:rPr>
          <w:rFonts w:ascii="Times New Roman" w:eastAsia="Times New Roman" w:hAnsi="Times New Roman" w:cs="Times New Roman"/>
          <w:sz w:val="24"/>
          <w:szCs w:val="24"/>
        </w:rPr>
        <w:t>wyznaczonego terminu składania ofert</w:t>
      </w:r>
      <w:r w:rsidR="008533BA" w:rsidRPr="008533BA">
        <w:rPr>
          <w:rFonts w:ascii="Times New Roman" w:eastAsia="Times New Roman" w:hAnsi="Times New Roman" w:cs="Times New Roman"/>
          <w:sz w:val="24"/>
          <w:szCs w:val="24"/>
        </w:rPr>
        <w:t xml:space="preserve"> – przypada na 14 albo 7 dzień przed upływem terminu składania ofert. </w:t>
      </w:r>
      <w:r w:rsidR="001B5DC9">
        <w:rPr>
          <w:rFonts w:ascii="Times New Roman" w:eastAsia="Times New Roman" w:hAnsi="Times New Roman" w:cs="Times New Roman"/>
          <w:sz w:val="24"/>
          <w:szCs w:val="24"/>
        </w:rPr>
        <w:t>T</w:t>
      </w:r>
      <w:r w:rsidR="008533BA" w:rsidRPr="008533BA">
        <w:rPr>
          <w:rFonts w:ascii="Times New Roman" w:eastAsia="Times New Roman" w:hAnsi="Times New Roman" w:cs="Times New Roman"/>
          <w:sz w:val="24"/>
          <w:szCs w:val="24"/>
        </w:rPr>
        <w:t xml:space="preserve">ermin na złożenie wniosku o wyjaśnienie treści SWZ </w:t>
      </w:r>
      <w:r w:rsidR="001B5DC9">
        <w:rPr>
          <w:rFonts w:ascii="Times New Roman" w:eastAsia="Times New Roman" w:hAnsi="Times New Roman" w:cs="Times New Roman"/>
          <w:sz w:val="24"/>
          <w:szCs w:val="24"/>
        </w:rPr>
        <w:t>będzie</w:t>
      </w:r>
      <w:r w:rsidR="008533BA" w:rsidRPr="008533BA">
        <w:rPr>
          <w:rFonts w:ascii="Times New Roman" w:eastAsia="Times New Roman" w:hAnsi="Times New Roman" w:cs="Times New Roman"/>
          <w:sz w:val="24"/>
          <w:szCs w:val="24"/>
        </w:rPr>
        <w:t xml:space="preserve"> liczony wstecz</w:t>
      </w:r>
      <w:r w:rsidR="001B5DC9">
        <w:rPr>
          <w:rFonts w:ascii="Times New Roman" w:eastAsia="Times New Roman" w:hAnsi="Times New Roman" w:cs="Times New Roman"/>
          <w:sz w:val="24"/>
          <w:szCs w:val="24"/>
        </w:rPr>
        <w:t>, tj.</w:t>
      </w:r>
      <w:r w:rsidR="008533BA" w:rsidRPr="008533BA">
        <w:rPr>
          <w:rFonts w:ascii="Times New Roman" w:eastAsia="Times New Roman" w:hAnsi="Times New Roman" w:cs="Times New Roman"/>
          <w:sz w:val="24"/>
          <w:szCs w:val="24"/>
        </w:rPr>
        <w:t xml:space="preserve"> od pierwotnie wyznaczonego terminu składania ofert</w:t>
      </w:r>
      <w:r w:rsidR="001B5DC9">
        <w:rPr>
          <w:rFonts w:ascii="Times New Roman" w:eastAsia="Times New Roman" w:hAnsi="Times New Roman" w:cs="Times New Roman"/>
          <w:sz w:val="24"/>
          <w:szCs w:val="24"/>
        </w:rPr>
        <w:t>, p</w:t>
      </w:r>
      <w:r w:rsidR="001B5DC9" w:rsidRPr="008533BA">
        <w:rPr>
          <w:rFonts w:ascii="Times New Roman" w:eastAsia="Times New Roman" w:hAnsi="Times New Roman" w:cs="Times New Roman"/>
          <w:sz w:val="24"/>
          <w:szCs w:val="24"/>
        </w:rPr>
        <w:t>omimo przedłużenia terminu składania ofert</w:t>
      </w:r>
      <w:r w:rsidR="008533BA" w:rsidRPr="008533BA">
        <w:rPr>
          <w:rFonts w:ascii="Times New Roman" w:eastAsia="Times New Roman" w:hAnsi="Times New Roman" w:cs="Times New Roman"/>
          <w:sz w:val="24"/>
          <w:szCs w:val="24"/>
        </w:rPr>
        <w:t>.</w:t>
      </w:r>
    </w:p>
    <w:p w14:paraId="4F1E5CDB" w14:textId="0F658340" w:rsidR="00CB2D51" w:rsidRPr="00DA788D" w:rsidRDefault="002E64C7" w:rsidP="00BB6744">
      <w:pPr>
        <w:pStyle w:val="USTustnpkodeksu"/>
        <w:spacing w:line="276" w:lineRule="auto"/>
        <w:rPr>
          <w:rFonts w:ascii="Times New Roman" w:eastAsia="Times" w:hAnsi="Times New Roman" w:cs="Times New Roman"/>
          <w:color w:val="000000"/>
          <w:szCs w:val="24"/>
        </w:rPr>
      </w:pPr>
      <w:r w:rsidRPr="00DA788D">
        <w:rPr>
          <w:rFonts w:ascii="Times New Roman" w:eastAsia="Times New Roman" w:hAnsi="Times New Roman" w:cs="Times New Roman"/>
          <w:color w:val="000000"/>
          <w:szCs w:val="24"/>
        </w:rPr>
        <w:t xml:space="preserve">Ponadto, wprowadzono regulację wskazującą na ograniczenia co do zakresu zmiany treści SWZ, zgodnie z którą </w:t>
      </w:r>
      <w:r w:rsidRPr="00DA788D">
        <w:rPr>
          <w:rFonts w:ascii="Times New Roman" w:eastAsia="Times" w:hAnsi="Times New Roman" w:cs="Times New Roman"/>
          <w:color w:val="000000"/>
          <w:szCs w:val="24"/>
        </w:rPr>
        <w:t>w przypadku gdy zmiany treści SWZ</w:t>
      </w:r>
      <w:r w:rsidR="00BB6744">
        <w:rPr>
          <w:rFonts w:ascii="Times New Roman" w:eastAsia="Times" w:hAnsi="Times New Roman" w:cs="Times New Roman"/>
          <w:color w:val="000000"/>
          <w:szCs w:val="24"/>
        </w:rPr>
        <w:t xml:space="preserve"> </w:t>
      </w:r>
      <w:r w:rsidR="00BB6744">
        <w:rPr>
          <w:rFonts w:ascii="Times New Roman" w:eastAsia="Times" w:hAnsi="Times New Roman" w:cs="Times New Roman"/>
          <w:szCs w:val="24"/>
        </w:rPr>
        <w:t xml:space="preserve">prowadziłyby do </w:t>
      </w:r>
      <w:r w:rsidR="00BB6744" w:rsidRPr="00533DF5">
        <w:rPr>
          <w:rFonts w:ascii="Times New Roman" w:eastAsia="Times" w:hAnsi="Times New Roman" w:cs="Times New Roman"/>
          <w:szCs w:val="24"/>
        </w:rPr>
        <w:t>istot</w:t>
      </w:r>
      <w:r w:rsidR="00BB6744">
        <w:rPr>
          <w:rFonts w:ascii="Times New Roman" w:eastAsia="Times" w:hAnsi="Times New Roman" w:cs="Times New Roman"/>
          <w:szCs w:val="24"/>
        </w:rPr>
        <w:t xml:space="preserve">nej </w:t>
      </w:r>
      <w:r w:rsidR="00BB6744" w:rsidRPr="00533DF5">
        <w:rPr>
          <w:rFonts w:ascii="Times New Roman" w:eastAsia="Times" w:hAnsi="Times New Roman" w:cs="Times New Roman"/>
          <w:szCs w:val="24"/>
        </w:rPr>
        <w:t>zmi</w:t>
      </w:r>
      <w:r w:rsidR="00BB6744">
        <w:rPr>
          <w:rFonts w:ascii="Times New Roman" w:eastAsia="Times" w:hAnsi="Times New Roman" w:cs="Times New Roman"/>
          <w:szCs w:val="24"/>
        </w:rPr>
        <w:t>a</w:t>
      </w:r>
      <w:r w:rsidR="00BB6744" w:rsidRPr="00533DF5">
        <w:rPr>
          <w:rFonts w:ascii="Times New Roman" w:eastAsia="Times" w:hAnsi="Times New Roman" w:cs="Times New Roman"/>
          <w:szCs w:val="24"/>
        </w:rPr>
        <w:t>n</w:t>
      </w:r>
      <w:r w:rsidR="00BB6744">
        <w:rPr>
          <w:rFonts w:ascii="Times New Roman" w:eastAsia="Times" w:hAnsi="Times New Roman" w:cs="Times New Roman"/>
          <w:szCs w:val="24"/>
        </w:rPr>
        <w:t>y</w:t>
      </w:r>
      <w:r w:rsidR="00BB6744" w:rsidRPr="00533DF5">
        <w:rPr>
          <w:rFonts w:ascii="Times New Roman" w:eastAsia="Times" w:hAnsi="Times New Roman" w:cs="Times New Roman"/>
          <w:szCs w:val="24"/>
        </w:rPr>
        <w:t xml:space="preserve"> charakter</w:t>
      </w:r>
      <w:r w:rsidR="00BB6744">
        <w:rPr>
          <w:rFonts w:ascii="Times New Roman" w:eastAsia="Times" w:hAnsi="Times New Roman" w:cs="Times New Roman"/>
          <w:szCs w:val="24"/>
        </w:rPr>
        <w:t>u</w:t>
      </w:r>
      <w:r w:rsidR="00BB6744" w:rsidRPr="00533DF5">
        <w:rPr>
          <w:rFonts w:ascii="Times New Roman" w:eastAsia="Times" w:hAnsi="Times New Roman" w:cs="Times New Roman"/>
          <w:szCs w:val="24"/>
        </w:rPr>
        <w:t xml:space="preserve"> zamówienia w porównaniu z pierwotnie określonym, w szczególności </w:t>
      </w:r>
      <w:r w:rsidR="00BB6744" w:rsidRPr="00DA3799">
        <w:rPr>
          <w:rFonts w:ascii="Times New Roman" w:eastAsia="Times" w:hAnsi="Times New Roman" w:cs="Times New Roman"/>
          <w:szCs w:val="24"/>
        </w:rPr>
        <w:t>prowadziłyby</w:t>
      </w:r>
      <w:r w:rsidR="00BB6744">
        <w:rPr>
          <w:rFonts w:ascii="Times New Roman" w:eastAsia="Times" w:hAnsi="Times New Roman" w:cs="Times New Roman"/>
          <w:szCs w:val="24"/>
        </w:rPr>
        <w:t xml:space="preserve"> do </w:t>
      </w:r>
      <w:r w:rsidR="00BB6744" w:rsidRPr="00533DF5">
        <w:rPr>
          <w:rFonts w:ascii="Times New Roman" w:eastAsia="Times" w:hAnsi="Times New Roman" w:cs="Times New Roman"/>
          <w:szCs w:val="24"/>
        </w:rPr>
        <w:t>znaczn</w:t>
      </w:r>
      <w:r w:rsidR="00BB6744">
        <w:rPr>
          <w:rFonts w:ascii="Times New Roman" w:eastAsia="Times" w:hAnsi="Times New Roman" w:cs="Times New Roman"/>
          <w:szCs w:val="24"/>
        </w:rPr>
        <w:t>ej</w:t>
      </w:r>
      <w:r w:rsidR="00BB6744" w:rsidRPr="00533DF5">
        <w:rPr>
          <w:rFonts w:ascii="Times New Roman" w:eastAsia="Times" w:hAnsi="Times New Roman" w:cs="Times New Roman"/>
          <w:szCs w:val="24"/>
        </w:rPr>
        <w:t xml:space="preserve"> zmi</w:t>
      </w:r>
      <w:r w:rsidR="00BB6744">
        <w:rPr>
          <w:rFonts w:ascii="Times New Roman" w:eastAsia="Times" w:hAnsi="Times New Roman" w:cs="Times New Roman"/>
          <w:szCs w:val="24"/>
        </w:rPr>
        <w:t>a</w:t>
      </w:r>
      <w:r w:rsidR="00BB6744" w:rsidRPr="00533DF5">
        <w:rPr>
          <w:rFonts w:ascii="Times New Roman" w:eastAsia="Times" w:hAnsi="Times New Roman" w:cs="Times New Roman"/>
          <w:szCs w:val="24"/>
        </w:rPr>
        <w:t>n</w:t>
      </w:r>
      <w:r w:rsidR="00BB6744">
        <w:rPr>
          <w:rFonts w:ascii="Times New Roman" w:eastAsia="Times" w:hAnsi="Times New Roman" w:cs="Times New Roman"/>
          <w:szCs w:val="24"/>
        </w:rPr>
        <w:t>y</w:t>
      </w:r>
      <w:r w:rsidR="00BB6744" w:rsidRPr="00533DF5">
        <w:rPr>
          <w:rFonts w:ascii="Times New Roman" w:eastAsia="Times" w:hAnsi="Times New Roman" w:cs="Times New Roman"/>
          <w:szCs w:val="24"/>
        </w:rPr>
        <w:t xml:space="preserve"> zakres</w:t>
      </w:r>
      <w:r w:rsidR="00BB6744">
        <w:rPr>
          <w:rFonts w:ascii="Times New Roman" w:eastAsia="Times" w:hAnsi="Times New Roman" w:cs="Times New Roman"/>
          <w:szCs w:val="24"/>
        </w:rPr>
        <w:t>u</w:t>
      </w:r>
      <w:r w:rsidR="00BB6744" w:rsidRPr="00533DF5">
        <w:rPr>
          <w:rFonts w:ascii="Times New Roman" w:eastAsia="Times" w:hAnsi="Times New Roman" w:cs="Times New Roman"/>
          <w:szCs w:val="24"/>
        </w:rPr>
        <w:t xml:space="preserve"> zamówienia, </w:t>
      </w:r>
      <w:r w:rsidRPr="00DA788D">
        <w:rPr>
          <w:rFonts w:ascii="Times New Roman" w:eastAsia="Times" w:hAnsi="Times New Roman" w:cs="Times New Roman"/>
          <w:color w:val="000000"/>
          <w:szCs w:val="24"/>
        </w:rPr>
        <w:t>zamawiający unieważnia postępowanie na podstawie art. 256 (por. art. 137 ust. 7 projektu ustawy).</w:t>
      </w:r>
    </w:p>
    <w:p w14:paraId="5ADD203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Powyższa regulacja jest odzwierciedleniem motywu 81 dyrektywy klasycznej, zgodnie z którym zmiany w ogłoszeniu o zamówieniu oraz w dokumentach zmówienia „(…) nie powinny być na tyle istotne, by umożliwić dopuszczenie innych kandydatów niż kandydaci pierwotnie zakwalifikowani lub by zainteresować postępowaniem o udzielenie zamówienia dodatkowych uczestników. Taki przypadek wystąpiłby w sytuacji, gdy wprowadzane modyfikacje istotnie zmieniają charakter zamówienia lub umowy ramowej w porównaniu z charakterem pierwotnie określonym w dokumentach zamówienia (…)”. </w:t>
      </w:r>
    </w:p>
    <w:p w14:paraId="702AA677" w14:textId="77777777" w:rsidR="00BA0B13" w:rsidRPr="00DA788D" w:rsidRDefault="00BA0B13"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W związku z powyższym za niedopuszczalną zmianę należy uznać w szczególności zwiększenie zakresu zamówienia, np. dodanie części zamówienia (tzw. pakietu), zmianę rodzaju zamówienia (np. z dostawy na usługi), zmiana charakteru zamówienia (np. z leasingu na sprzedaż). </w:t>
      </w:r>
    </w:p>
    <w:p w14:paraId="2F41090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Terminy składania ofert wskazane w art. 138 projektu ustawy, są odzwierciedleniem przepisów dyrektywy klasycznej właściwych dla procedury otwartej (tj. przetargu nieograniczonego). </w:t>
      </w:r>
    </w:p>
    <w:p w14:paraId="6D05589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138 ust. 1 projektu ustawy, termin składania ofert nie może być krótszy niż 35 dni licząc od dnia przekazania ogłoszenia o zamówieniu Urzędowi Publikacji Unii Europejskiej.</w:t>
      </w:r>
    </w:p>
    <w:p w14:paraId="01249863" w14:textId="66FB7DDA"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Stosownie do art. 138 ust. 2</w:t>
      </w:r>
      <w:r w:rsidR="009F6261">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zamawiający może wyznaczyć termin składania ofert krótszy niż termin określony w ust. 1, nie krótszy jednak niż 15 dni licząc od dnia przekazania ogłoszenia o zamówieniu Urzędowi Publikacji Unii Europejskiej, w następujących przypadkach:</w:t>
      </w:r>
    </w:p>
    <w:p w14:paraId="73F6C76F" w14:textId="77777777" w:rsidR="00CB2D51" w:rsidRPr="00DA788D" w:rsidRDefault="002E64C7" w:rsidP="00DA788D">
      <w:pPr>
        <w:numPr>
          <w:ilvl w:val="0"/>
          <w:numId w:val="5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opublikowania wstępnego ogłoszenia informacyjnego, o którym mowa w art. 89, o ile zawierało ono wszystkie informacje wymagane dla ogłoszenia o zamówieniu, w zakresie, w jakim były one dostępne w chwili publikacji wstępnego ogłoszenia informacyjnego, które zostało przekazane do publikacji Urzędowi Publikacji Unii Europejskiej lub zamieszczone w profilu nabywcy na co najmniej 35 dni i nie więcej niż 12 miesięcy przed dniem przekazania ogłoszenia o zamówieniu Urzędowi Publikacji Unii Europejskiej;</w:t>
      </w:r>
    </w:p>
    <w:p w14:paraId="5D4DD360" w14:textId="77777777" w:rsidR="00CB2D51" w:rsidRPr="00DA788D" w:rsidRDefault="002E64C7" w:rsidP="00DA788D">
      <w:pPr>
        <w:numPr>
          <w:ilvl w:val="0"/>
          <w:numId w:val="5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zachodzi pilna potrzeba udzielenia zamówienia i skrócenie terminu składania ofert jest uzasadnione.</w:t>
      </w:r>
    </w:p>
    <w:p w14:paraId="0DB2FE6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sytuacjach określonych w art. 133 ust. 2 i 3 projektu ustawy, terminy składania ofert, o których mowa w art. 138 ust. 1 i ust. 2 pkt 1, ulegają wydłużeniu o 5 dni. </w:t>
      </w:r>
    </w:p>
    <w:p w14:paraId="26D6071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zawiera normę, która nie została przewidziana w obecnej ustawie Pzp, stanowiącą odzwierciedlenie przepisów dyrektywy klasycznej, zgodnie z którą zamawiający może wyznaczyć termin składania ofert o 5 dni krótszy niż określony w art. 138 ust. 1, jeżeli składanie ofert odbywa się w całości przy użyciu środków komunikacji elektronicznej, w sposób określony w art. 63 ust. 1, a więc bez możliwości odstąpienia od wymagania użycia środków komunikacji elektronicznej, o której mowa w art. 65 projektu ustawy.</w:t>
      </w:r>
    </w:p>
    <w:p w14:paraId="36872E5C" w14:textId="39486267" w:rsidR="00CB2D51" w:rsidRPr="00BB6744" w:rsidRDefault="002E64C7" w:rsidP="00F87B65">
      <w:pPr>
        <w:pBdr>
          <w:top w:val="nil"/>
          <w:left w:val="nil"/>
          <w:bottom w:val="nil"/>
          <w:right w:val="nil"/>
          <w:between w:val="nil"/>
        </w:pBdr>
        <w:ind w:firstLine="70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ustawie proponuje się doprecyzowanie w przepisach właściwych dla przetargu nieograniczonego regulacji stanowiącej o tzw. procedurze odwróconej, dopuszczalnej jedynie dla tego trybu (obecnie unormowanej w art. 24aa ustawy Pzp). W przypadku tzw. procedury odwróconej oceny ofert zamawiający może najpierw dokonać </w:t>
      </w:r>
      <w:r w:rsidR="00BB6744" w:rsidRPr="00BB6744">
        <w:rPr>
          <w:rFonts w:ascii="Times New Roman" w:eastAsia="Times" w:hAnsi="Times New Roman" w:cs="Times New Roman"/>
          <w:color w:val="000000"/>
          <w:sz w:val="24"/>
          <w:szCs w:val="24"/>
        </w:rPr>
        <w:t xml:space="preserve">badania i </w:t>
      </w:r>
      <w:r w:rsidRPr="00BB6744">
        <w:rPr>
          <w:rFonts w:ascii="Times New Roman" w:eastAsia="Times New Roman" w:hAnsi="Times New Roman" w:cs="Times New Roman"/>
          <w:sz w:val="24"/>
          <w:szCs w:val="24"/>
        </w:rPr>
        <w:t xml:space="preserve">oceny ofert, a następnie </w:t>
      </w:r>
      <w:r w:rsidR="00BB6744" w:rsidRPr="00BB6744">
        <w:rPr>
          <w:rFonts w:ascii="Times New Roman" w:eastAsia="Times" w:hAnsi="Times New Roman" w:cs="Times New Roman"/>
          <w:color w:val="000000"/>
          <w:sz w:val="24"/>
          <w:szCs w:val="24"/>
        </w:rPr>
        <w:t>dokonać kwalifikacji podmiotowej wykonawcy, którego oferta została najwyżej oceniona, w zakresie braku podstaw wykluczenia oraz spełniania warunków udziału w postępowaniu</w:t>
      </w:r>
      <w:r w:rsidRPr="00BB6744">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o ile taka możliwość została przewidziana w SWZ lub w ogłoszeniu o zamówieniu.</w:t>
      </w:r>
      <w:r w:rsidR="00150EA4">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 celu uelastycznienia i odformalizowania tej procedury projektuje się zgodnie z art. 139 ust. 2 projektu ustawy, że wykonawca nie będzie obowiązany do </w:t>
      </w:r>
      <w:r w:rsidRPr="00BB6744">
        <w:rPr>
          <w:rFonts w:ascii="Times New Roman" w:eastAsia="Times New Roman" w:hAnsi="Times New Roman" w:cs="Times New Roman"/>
          <w:sz w:val="24"/>
          <w:szCs w:val="24"/>
        </w:rPr>
        <w:t>złożenia</w:t>
      </w:r>
      <w:r w:rsidR="00BB6744" w:rsidRPr="00BB6744">
        <w:rPr>
          <w:rFonts w:ascii="Times New Roman" w:eastAsia="Times" w:hAnsi="Times New Roman" w:cs="Times New Roman"/>
          <w:color w:val="000000"/>
          <w:sz w:val="24"/>
          <w:szCs w:val="24"/>
        </w:rPr>
        <w:t xml:space="preserve"> wraz z ofertą oświadczenia, o którym mowa w art. 125 ust. 1, jeżeli zamawiający przewidział w SWZ możliwość żądania tego oświadczenia wyłącznie od wykonawcy,</w:t>
      </w:r>
      <w:r w:rsidRPr="00BB6744">
        <w:rPr>
          <w:rFonts w:ascii="Times New Roman" w:eastAsia="Times New Roman" w:hAnsi="Times New Roman" w:cs="Times New Roman"/>
          <w:sz w:val="24"/>
          <w:szCs w:val="24"/>
        </w:rPr>
        <w:t xml:space="preserve">, którego oferta została najwyżej oceniona. </w:t>
      </w:r>
    </w:p>
    <w:p w14:paraId="7B0A5776" w14:textId="28F3CBF5" w:rsidR="00CB2D51" w:rsidRPr="00DA788D" w:rsidRDefault="002E64C7" w:rsidP="00DA788D">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rPr>
        <w:t>Oddział 3</w:t>
      </w:r>
      <w:r w:rsidR="00150EA4">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Przetarg ograniczony</w:t>
      </w:r>
    </w:p>
    <w:p w14:paraId="56CA341D" w14:textId="083ADC2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Podobnie jak w trybie przetargu nieograniczonego, </w:t>
      </w:r>
      <w:r w:rsidR="00660F26">
        <w:rPr>
          <w:rFonts w:ascii="Times New Roman" w:eastAsia="Times New Roman" w:hAnsi="Times New Roman" w:cs="Times New Roman"/>
          <w:sz w:val="24"/>
          <w:szCs w:val="24"/>
        </w:rPr>
        <w:t>przepisy</w:t>
      </w:r>
      <w:r w:rsidRPr="00DA788D">
        <w:rPr>
          <w:rFonts w:ascii="Times New Roman" w:eastAsia="Times New Roman" w:hAnsi="Times New Roman" w:cs="Times New Roman"/>
          <w:sz w:val="24"/>
          <w:szCs w:val="24"/>
        </w:rPr>
        <w:t xml:space="preserve"> dotyczące przetargu ograniczonego również stanowią w dużej mierze powtórzenie dotychczas obowiązujących regulacji z uwzględnieniem </w:t>
      </w:r>
      <w:r w:rsidR="00150EA4" w:rsidRPr="00DA788D">
        <w:rPr>
          <w:rFonts w:ascii="Times New Roman" w:eastAsia="Times New Roman" w:hAnsi="Times New Roman" w:cs="Times New Roman"/>
          <w:sz w:val="24"/>
          <w:szCs w:val="24"/>
        </w:rPr>
        <w:t>różni</w:t>
      </w:r>
      <w:r w:rsidR="00150EA4">
        <w:rPr>
          <w:rFonts w:ascii="Times New Roman" w:eastAsia="Times New Roman" w:hAnsi="Times New Roman" w:cs="Times New Roman"/>
          <w:sz w:val="24"/>
          <w:szCs w:val="24"/>
        </w:rPr>
        <w:t>c</w:t>
      </w:r>
      <w:r w:rsidR="00150EA4"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wynikających z przyjętej systematyki nowej ustawy, a także przepisów dyrektywy klasycznej. </w:t>
      </w:r>
    </w:p>
    <w:p w14:paraId="263E2C4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projektem ustawy, przetarg ograniczony to tryb udzielenia zamówienia, w którym w odpowiedzi na ogłoszenie o zamówieniu, wnioski o dopuszczenie do udziału w postępowaniu mogą składać wszyscy zainteresowani wykonawcy, a oferty mogą składać wyłącznie wykonawcy zaproszeni do składania ofert.</w:t>
      </w:r>
    </w:p>
    <w:p w14:paraId="3A348CC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odróżnieniu od dotychczasowych regulacji, datą wszczęcia postępowania o udzielenie zamówienia w trybie przetargu ograniczonego będzie dzień przekazania </w:t>
      </w:r>
      <w:r w:rsidR="00660F26">
        <w:rPr>
          <w:rFonts w:ascii="Times New Roman" w:eastAsia="Times New Roman" w:hAnsi="Times New Roman" w:cs="Times New Roman"/>
          <w:sz w:val="24"/>
          <w:szCs w:val="24"/>
        </w:rPr>
        <w:t xml:space="preserve">do publikacji </w:t>
      </w:r>
      <w:r w:rsidRPr="00DA788D">
        <w:rPr>
          <w:rFonts w:ascii="Times New Roman" w:eastAsia="Times New Roman" w:hAnsi="Times New Roman" w:cs="Times New Roman"/>
          <w:sz w:val="24"/>
          <w:szCs w:val="24"/>
        </w:rPr>
        <w:t xml:space="preserve">ogłoszenia o zamówieniu Urzędowi Publikacji Unii Europejskiej (art. 130 ust. 1 pkt 1 projektu ustawy). </w:t>
      </w:r>
    </w:p>
    <w:p w14:paraId="0D09C653" w14:textId="2E9CD09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Ogłoszenie o zamówieniu opublikowane w Dzienniku Urzędowym Unii Europejskiej oraz udostępnione na poziomie krajowym </w:t>
      </w:r>
      <w:r w:rsidR="00150EA4" w:rsidRPr="00DA788D">
        <w:rPr>
          <w:rFonts w:ascii="Times New Roman" w:eastAsia="Times New Roman" w:hAnsi="Times New Roman" w:cs="Times New Roman"/>
          <w:sz w:val="24"/>
          <w:szCs w:val="24"/>
        </w:rPr>
        <w:t>będ</w:t>
      </w:r>
      <w:r w:rsidR="00150EA4">
        <w:rPr>
          <w:rFonts w:ascii="Times New Roman" w:eastAsia="Times New Roman" w:hAnsi="Times New Roman" w:cs="Times New Roman"/>
          <w:sz w:val="24"/>
          <w:szCs w:val="24"/>
        </w:rPr>
        <w:t>zie</w:t>
      </w:r>
      <w:r w:rsidR="00150EA4" w:rsidRPr="00DA788D">
        <w:rPr>
          <w:rFonts w:ascii="Times New Roman" w:eastAsia="Times New Roman" w:hAnsi="Times New Roman" w:cs="Times New Roman"/>
          <w:sz w:val="24"/>
          <w:szCs w:val="24"/>
        </w:rPr>
        <w:t xml:space="preserve"> stanowi</w:t>
      </w:r>
      <w:r w:rsidR="00150EA4">
        <w:rPr>
          <w:rFonts w:ascii="Times New Roman" w:eastAsia="Times New Roman" w:hAnsi="Times New Roman" w:cs="Times New Roman"/>
          <w:sz w:val="24"/>
          <w:szCs w:val="24"/>
        </w:rPr>
        <w:t>ć</w:t>
      </w:r>
      <w:r w:rsidR="00150EA4"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zaproszenie do składania wniosków o dopuszczenie do udziału w postępowaniu. </w:t>
      </w:r>
    </w:p>
    <w:p w14:paraId="4B0A26AF" w14:textId="0DC78E92" w:rsidR="00CB2D51" w:rsidRPr="00DA788D" w:rsidRDefault="00660F26"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Podobnie</w:t>
      </w:r>
      <w:r w:rsidR="002E64C7" w:rsidRPr="00DA788D">
        <w:rPr>
          <w:rFonts w:ascii="Times New Roman" w:eastAsia="Times New Roman" w:hAnsi="Times New Roman" w:cs="Times New Roman"/>
          <w:sz w:val="24"/>
          <w:szCs w:val="24"/>
        </w:rPr>
        <w:t xml:space="preserve"> jak w obecnych przepisach ustawy Pzp zmawiający już od dnia publikacji ogłoszenia o zamówieniu w Dzienniku Urzędowym Unii Europejskiej </w:t>
      </w:r>
      <w:r w:rsidR="00BA0B13" w:rsidRPr="00DA788D">
        <w:rPr>
          <w:rFonts w:ascii="Times New Roman" w:eastAsia="Times" w:hAnsi="Times New Roman" w:cs="Times New Roman"/>
          <w:color w:val="000000"/>
          <w:sz w:val="24"/>
          <w:szCs w:val="24"/>
        </w:rPr>
        <w:t xml:space="preserve">nie krócej niż do dnia udzielenia zamówienia, </w:t>
      </w:r>
      <w:r w:rsidR="002E64C7" w:rsidRPr="00DA788D">
        <w:rPr>
          <w:rFonts w:ascii="Times New Roman" w:eastAsia="Times New Roman" w:hAnsi="Times New Roman" w:cs="Times New Roman"/>
          <w:sz w:val="24"/>
          <w:szCs w:val="24"/>
        </w:rPr>
        <w:t xml:space="preserve">zapewnia na stronie internetowej prowadzonego postępowania bezpłatny, pełny, bezpośredni i nieograniczony dostęp do specyfikacji warunków zamówienia. </w:t>
      </w:r>
    </w:p>
    <w:p w14:paraId="5F7ADAD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Należy przy tym wyjaśnić, że w projekcie ustawy analogicznie jak przy przetargu nieograniczonym, została uregulowania kwestia specyfikacji warunków zamówienia.</w:t>
      </w:r>
    </w:p>
    <w:p w14:paraId="07297C9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trybie przetargu ograniczonego zamawiający już od dnia publikacji ogłoszenia o zamówieniu w Dzienniku Urzędowym Unii Europejskiej jest obowiązany zapewnić zainteresowanym wykonawcom dostęp do dokumentów zamówienia, zawierających wszystkie, a nie tylko istotne warunki zamówienia, a więc do dokumentów zamówienia ujętych w specyfikacji warunków zamówienia (SWZ). </w:t>
      </w:r>
    </w:p>
    <w:p w14:paraId="5D9C64B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oddziale 3 dotyczącym przetargu ograniczonego uregulowano zakres informacji zawartych w SWZ oraz zasady odnoszące się do udostępniania, wyjaśniania lub zmiany treści SWZ, właściwe dla przetargu ograniczonego. Obecnie regulacje te są unormowane w art. 36 i art. 37 ustawy Pzp. W celu zapewnienia skrótowości aktu normatywnego, tam gdzie było to możliwe, zastosowano odesłania wprost do trybu przetargu nieograniczonego. </w:t>
      </w:r>
    </w:p>
    <w:p w14:paraId="53D0E0D3" w14:textId="50FC353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Minimalne terminy składania wniosków o dopuszczenie do udziału w postępowaniu wskazane w art. 144 projektu ustawy, są określone analogiczne jak dotychczas oraz stanowią odzwierciedlenie przepisów dyrektywy klasycznej właściwych dla procedury ograniczonej (tj. przetargu ograniczonego). Zgodnie z art. 144 ust. 1</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termin składania wniosków o dopuszczenie do udziału w postępowaniu nie może być krótszy niż 30 dni od dnia przekazania </w:t>
      </w:r>
      <w:r w:rsidR="000B0FA3">
        <w:rPr>
          <w:rFonts w:ascii="Times New Roman" w:eastAsia="Times New Roman" w:hAnsi="Times New Roman" w:cs="Times New Roman"/>
          <w:sz w:val="24"/>
          <w:szCs w:val="24"/>
        </w:rPr>
        <w:t xml:space="preserve">do publikacji </w:t>
      </w:r>
      <w:r w:rsidRPr="00DA788D">
        <w:rPr>
          <w:rFonts w:ascii="Times New Roman" w:eastAsia="Times New Roman" w:hAnsi="Times New Roman" w:cs="Times New Roman"/>
          <w:sz w:val="24"/>
          <w:szCs w:val="24"/>
        </w:rPr>
        <w:t>ogłoszenia o zamówieniu Urzędowi Publikacji Unii Europejskiej. Jeżeli zachodzi pilna potrzeba udzielenia zamówienia, należycie uzasadniona przez zamawiającego, może on wyznaczyć krótszy termin składania wniosków o dopuszczenie do udziału w przetargu ograniczonym, jednak nie krótszy niż 15 dni od dnia przekazania</w:t>
      </w:r>
      <w:r w:rsidR="000B0FA3">
        <w:rPr>
          <w:rFonts w:ascii="Times New Roman" w:eastAsia="Times New Roman" w:hAnsi="Times New Roman" w:cs="Times New Roman"/>
          <w:sz w:val="24"/>
          <w:szCs w:val="24"/>
        </w:rPr>
        <w:t xml:space="preserve"> do publikacji</w:t>
      </w:r>
      <w:r w:rsidRPr="00DA788D">
        <w:rPr>
          <w:rFonts w:ascii="Times New Roman" w:eastAsia="Times New Roman" w:hAnsi="Times New Roman" w:cs="Times New Roman"/>
          <w:sz w:val="24"/>
          <w:szCs w:val="24"/>
        </w:rPr>
        <w:t xml:space="preserve"> ogłoszenia o zamówieniu Urzędowi Publikacji Unii Europejskiej. </w:t>
      </w:r>
    </w:p>
    <w:p w14:paraId="0F4DF3C5" w14:textId="76921D1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Istotną nowością jest wprowadzenie w projekcie ustawy przepisu stanowiącego o podstawach do odrzucenia wniosku o dopuszczenie do udziału w postępowaniu. Zgodnie z aktualnym brzmieniem art. 24 ust. 1 pkt 12 ustawy Pzp z postępowania o udzielenie zamówienia wyklucza się wykonawcę, który nie wykazał spełniania warunków udziału w postępowaniu lub nie został zaproszony do negocjacji lub złożenia ofert wstępnych albo ofert, lub nie wykazał braku podstaw wykluczenia. Z kolei stosownie do art. 24 ust. 4 ustawy Pzp ofertę wykonawcy wykluczonego z postępowania uznaje się za odrzuconą. W celu przesądzenia sytuacji wykonawców na etapie składania wniosków o dopuszczenie do udziału w postępowaniu proponuje się wprowadzenie regulacji wskazującej na okoliczności stanowiące podstawę do odrzucenia tego wniosku. Zgodnie z art. 146 ust. 1 </w:t>
      </w:r>
      <w:r w:rsidR="00027177">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zamawiający odrzuca wniosek o dopuszczenie do udziału w postępowaniu, jeżeli:</w:t>
      </w:r>
    </w:p>
    <w:p w14:paraId="3C8D7C5F" w14:textId="77777777" w:rsidR="00CB2D51" w:rsidRPr="00DA788D" w:rsidRDefault="002E64C7" w:rsidP="000B0FA3">
      <w:pPr>
        <w:numPr>
          <w:ilvl w:val="0"/>
          <w:numId w:val="3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został złożony po terminie;</w:t>
      </w:r>
    </w:p>
    <w:p w14:paraId="1AE91E02" w14:textId="77777777" w:rsidR="00CB2D51" w:rsidRPr="00DA788D" w:rsidRDefault="002E64C7" w:rsidP="009D44CA">
      <w:pPr>
        <w:numPr>
          <w:ilvl w:val="0"/>
          <w:numId w:val="3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został złożony przez wykonawcę:</w:t>
      </w:r>
    </w:p>
    <w:p w14:paraId="7C30EFDD" w14:textId="77777777" w:rsidR="00CB2D51" w:rsidRPr="00DA788D" w:rsidRDefault="002E64C7">
      <w:pPr>
        <w:numPr>
          <w:ilvl w:val="0"/>
          <w:numId w:val="30"/>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podlegającego wykluczeniu z postępowania o udzielenie zamówienia,</w:t>
      </w:r>
    </w:p>
    <w:p w14:paraId="7C6EF9E0" w14:textId="77777777" w:rsidR="00CB2D51" w:rsidRPr="00DA788D" w:rsidRDefault="002E64C7">
      <w:pPr>
        <w:numPr>
          <w:ilvl w:val="0"/>
          <w:numId w:val="30"/>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niespełniającego warunków udziału w postępowaniu o udzielenie zamówienia, </w:t>
      </w:r>
    </w:p>
    <w:p w14:paraId="48750BAC" w14:textId="2F32C6E1" w:rsidR="00CB2D51" w:rsidRPr="00DA788D" w:rsidRDefault="002E64C7">
      <w:pPr>
        <w:numPr>
          <w:ilvl w:val="0"/>
          <w:numId w:val="30"/>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który nie złożył w przewidzianym terminie </w:t>
      </w:r>
      <w:r w:rsidR="000B0FA3">
        <w:rPr>
          <w:rFonts w:ascii="Times New Roman" w:eastAsia="Times New Roman" w:hAnsi="Times New Roman" w:cs="Times New Roman"/>
          <w:color w:val="000000"/>
          <w:sz w:val="24"/>
          <w:szCs w:val="24"/>
        </w:rPr>
        <w:t>oświadczenia, o którym mowa w art. 125 ust. 1</w:t>
      </w:r>
      <w:r w:rsidRPr="00DA788D">
        <w:rPr>
          <w:rFonts w:ascii="Times New Roman" w:eastAsia="Times New Roman" w:hAnsi="Times New Roman" w:cs="Times New Roman"/>
          <w:color w:val="000000"/>
          <w:sz w:val="24"/>
          <w:szCs w:val="24"/>
        </w:rPr>
        <w:t>,</w:t>
      </w:r>
      <w:r w:rsidR="000B0FA3">
        <w:rPr>
          <w:rFonts w:ascii="Times New Roman" w:eastAsia="Times New Roman" w:hAnsi="Times New Roman" w:cs="Times New Roman"/>
          <w:color w:val="000000"/>
          <w:sz w:val="24"/>
          <w:szCs w:val="24"/>
        </w:rPr>
        <w:t xml:space="preserve"> lub</w:t>
      </w:r>
      <w:r w:rsidRPr="00DA788D">
        <w:rPr>
          <w:rFonts w:ascii="Times New Roman" w:eastAsia="Times New Roman" w:hAnsi="Times New Roman" w:cs="Times New Roman"/>
          <w:color w:val="000000"/>
          <w:sz w:val="24"/>
          <w:szCs w:val="24"/>
        </w:rPr>
        <w:t xml:space="preserve"> podmiotowego środka dowodowego,</w:t>
      </w:r>
      <w:r w:rsidR="000B0FA3">
        <w:rPr>
          <w:rFonts w:ascii="Times New Roman" w:eastAsia="Times New Roman" w:hAnsi="Times New Roman" w:cs="Times New Roman"/>
          <w:color w:val="000000"/>
          <w:sz w:val="24"/>
          <w:szCs w:val="24"/>
        </w:rPr>
        <w:t xml:space="preserve"> potwierdzających brak podstaw wykluczenia lub spełnianie warunków udziału w postępowaniu,</w:t>
      </w:r>
      <w:r w:rsidRPr="00DA788D">
        <w:rPr>
          <w:rFonts w:ascii="Times New Roman" w:eastAsia="Times New Roman" w:hAnsi="Times New Roman" w:cs="Times New Roman"/>
          <w:color w:val="000000"/>
          <w:sz w:val="24"/>
          <w:szCs w:val="24"/>
        </w:rPr>
        <w:t xml:space="preserve"> innych dokumentów</w:t>
      </w:r>
      <w:r w:rsidR="000B0FA3">
        <w:rPr>
          <w:rFonts w:ascii="Times New Roman" w:eastAsia="Times New Roman" w:hAnsi="Times New Roman" w:cs="Times New Roman"/>
          <w:color w:val="000000"/>
          <w:sz w:val="24"/>
          <w:szCs w:val="24"/>
        </w:rPr>
        <w:t xml:space="preserve"> lub oświadczeń</w:t>
      </w:r>
      <w:r w:rsidRPr="00DA788D">
        <w:rPr>
          <w:rFonts w:ascii="Times New Roman" w:eastAsia="Times New Roman" w:hAnsi="Times New Roman" w:cs="Times New Roman"/>
          <w:color w:val="000000"/>
          <w:sz w:val="24"/>
          <w:szCs w:val="24"/>
        </w:rPr>
        <w:t>;</w:t>
      </w:r>
    </w:p>
    <w:p w14:paraId="4D4DA4B8" w14:textId="77777777" w:rsidR="00CB2D51" w:rsidRPr="00DA788D" w:rsidRDefault="002E64C7">
      <w:pPr>
        <w:numPr>
          <w:ilvl w:val="0"/>
          <w:numId w:val="3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jest niezgodny z przepisami ustawy;</w:t>
      </w:r>
    </w:p>
    <w:p w14:paraId="36B4FB83" w14:textId="77777777" w:rsidR="00CB2D51" w:rsidRPr="000B0FA3" w:rsidRDefault="002E64C7">
      <w:pPr>
        <w:numPr>
          <w:ilvl w:val="0"/>
          <w:numId w:val="3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0B0FA3">
        <w:rPr>
          <w:rFonts w:ascii="Times New Roman" w:eastAsia="Times New Roman" w:hAnsi="Times New Roman" w:cs="Times New Roman"/>
          <w:color w:val="000000"/>
          <w:sz w:val="24"/>
          <w:szCs w:val="24"/>
        </w:rPr>
        <w:t>jest nieważny na podstawie odrębnych przepisów;</w:t>
      </w:r>
    </w:p>
    <w:p w14:paraId="5821B42B" w14:textId="77777777" w:rsidR="000B0FA3" w:rsidRPr="000B0FA3" w:rsidRDefault="000B0FA3" w:rsidP="000B0FA3">
      <w:pPr>
        <w:pStyle w:val="Akapitzlist"/>
        <w:numPr>
          <w:ilvl w:val="0"/>
          <w:numId w:val="31"/>
        </w:numPr>
        <w:pBdr>
          <w:top w:val="nil"/>
          <w:left w:val="nil"/>
          <w:bottom w:val="nil"/>
          <w:right w:val="nil"/>
          <w:between w:val="nil"/>
        </w:pBdr>
        <w:spacing w:after="0"/>
        <w:jc w:val="both"/>
        <w:rPr>
          <w:rFonts w:ascii="Times New Roman" w:eastAsia="Times" w:hAnsi="Times New Roman" w:cs="Times New Roman"/>
          <w:color w:val="000000"/>
          <w:sz w:val="24"/>
          <w:szCs w:val="24"/>
        </w:rPr>
      </w:pPr>
      <w:r w:rsidRPr="000B0FA3">
        <w:rPr>
          <w:rFonts w:ascii="Times New Roman" w:eastAsia="Times" w:hAnsi="Times New Roman" w:cs="Times New Roman"/>
          <w:color w:val="000000"/>
          <w:sz w:val="24"/>
          <w:szCs w:val="24"/>
        </w:rPr>
        <w:t>nie został sporządzony lub przekazany w sposób zgodny z wymaganiami technicznymi oraz organizacyjnymi sporządzania lub przekazywania ofert przy użyciu środków komunikacji elektronicznej określonymi przez zamawiającego;</w:t>
      </w:r>
    </w:p>
    <w:p w14:paraId="30EA5907" w14:textId="77777777" w:rsidR="00CB2D51" w:rsidRPr="00DA788D" w:rsidRDefault="002E64C7" w:rsidP="000B0FA3">
      <w:pPr>
        <w:numPr>
          <w:ilvl w:val="0"/>
          <w:numId w:val="3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został złożony w związku z zawarciem porozumienia ograniczającego konkurencję w rozumieniu przepisów o ochronie konkurencji i konsumentów.</w:t>
      </w:r>
    </w:p>
    <w:p w14:paraId="29663A1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Wniosek o dopuszczenie do udziału w postępowaniu wykonawcy niezaproszonego do składania ofert uznaje się za odrzucony.</w:t>
      </w:r>
    </w:p>
    <w:p w14:paraId="51D01279" w14:textId="5E73490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Stosownie do art. 148 </w:t>
      </w:r>
      <w:r w:rsidR="00027177">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zamawiający będzie mógł ograniczyć liczbę wykonawców, których wnioski o dopuszczenie do udziału w postępowaniu nie podlegały odrzuceniu, i których zaprosi do składania ofert w oparciu o przewidziane kryteria selekcji.  Oznacza to, że na gruncie projektowanych przepisów będzie możliwe przeprowadzenie przetargu ograniczonego bez zastosowania kryteriów selekcji, które definiuje art. </w:t>
      </w:r>
      <w:r w:rsidR="000B0FA3">
        <w:rPr>
          <w:rFonts w:ascii="Times New Roman" w:eastAsia="Times New Roman" w:hAnsi="Times New Roman" w:cs="Times New Roman"/>
          <w:sz w:val="24"/>
          <w:szCs w:val="24"/>
        </w:rPr>
        <w:t>7</w:t>
      </w:r>
      <w:r w:rsidRPr="00DA788D">
        <w:rPr>
          <w:rFonts w:ascii="Times New Roman" w:eastAsia="Times New Roman" w:hAnsi="Times New Roman" w:cs="Times New Roman"/>
          <w:sz w:val="24"/>
          <w:szCs w:val="24"/>
        </w:rPr>
        <w:t xml:space="preserve"> pkt </w:t>
      </w:r>
      <w:r w:rsidR="000B0FA3">
        <w:rPr>
          <w:rFonts w:ascii="Times New Roman" w:eastAsia="Times New Roman" w:hAnsi="Times New Roman" w:cs="Times New Roman"/>
          <w:sz w:val="24"/>
          <w:szCs w:val="24"/>
        </w:rPr>
        <w:t>9</w:t>
      </w:r>
      <w:r w:rsidRPr="00DA788D">
        <w:rPr>
          <w:rFonts w:ascii="Times New Roman" w:eastAsia="Times New Roman" w:hAnsi="Times New Roman" w:cs="Times New Roman"/>
          <w:sz w:val="24"/>
          <w:szCs w:val="24"/>
        </w:rPr>
        <w:t xml:space="preserve"> projektu ustawy.</w:t>
      </w:r>
    </w:p>
    <w:p w14:paraId="36617EA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odróżnieniu więc od przepisów obecnej ustawy Pzp, w projekcie ustawy nie wskazano maksymalnej liczby wykonawców, których można zaprosić do udziału w trybie przetargu ograniczonego. </w:t>
      </w:r>
    </w:p>
    <w:p w14:paraId="5545A111" w14:textId="7E44845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Zamawiający będzie zatem zapraszał do składania ofert wykonawców, których wnioski o dopuszczenie do udziału w postępowaniu nie podlegały odrzuceniu, a w przypadku ustalenia kryteriów selekcji – wykonawców, którzy spełniają te kryteria, w liczbie ustalonej przez zamawiającego. W projekcie ustawy wprowadzona została wyraźna regulacja, zgodnie z którą w przypadku, gdy liczba wykonawców, którzy złożyli </w:t>
      </w:r>
      <w:r w:rsidR="009D44CA">
        <w:rPr>
          <w:rFonts w:ascii="Times New Roman" w:eastAsia="Times New Roman" w:hAnsi="Times New Roman" w:cs="Times New Roman"/>
          <w:sz w:val="24"/>
          <w:szCs w:val="24"/>
        </w:rPr>
        <w:t xml:space="preserve">niepodlegające </w:t>
      </w:r>
      <w:r w:rsidR="009D44CA">
        <w:rPr>
          <w:rFonts w:ascii="Times New Roman" w:eastAsia="Times New Roman" w:hAnsi="Times New Roman" w:cs="Times New Roman"/>
          <w:sz w:val="24"/>
          <w:szCs w:val="24"/>
        </w:rPr>
        <w:lastRenderedPageBreak/>
        <w:t>odrzuceniu</w:t>
      </w:r>
      <w:r w:rsidRPr="00DA788D">
        <w:rPr>
          <w:rFonts w:ascii="Times New Roman" w:eastAsia="Times New Roman" w:hAnsi="Times New Roman" w:cs="Times New Roman"/>
          <w:sz w:val="24"/>
          <w:szCs w:val="24"/>
        </w:rPr>
        <w:t xml:space="preserve"> wnioski o dopuszczenie do udziału w postępowaniu, jest mniejsza od minimalnej liczby określonej przez zamawiającego zgodnie z art. 148 projektu ustawy, zamawiający może kontynuować postępowanie, zapraszając do składania ofert tych wykonawców albo unieważnia postępowanie na podstawie art. 258</w:t>
      </w:r>
      <w:r w:rsidR="009D44CA">
        <w:rPr>
          <w:rFonts w:ascii="Times New Roman" w:eastAsia="Times New Roman" w:hAnsi="Times New Roman" w:cs="Times New Roman"/>
          <w:sz w:val="24"/>
          <w:szCs w:val="24"/>
        </w:rPr>
        <w:t xml:space="preserve"> ust. 1</w:t>
      </w:r>
      <w:r w:rsidRPr="00DA788D">
        <w:rPr>
          <w:rFonts w:ascii="Times New Roman" w:eastAsia="Times New Roman" w:hAnsi="Times New Roman" w:cs="Times New Roman"/>
          <w:sz w:val="24"/>
          <w:szCs w:val="24"/>
        </w:rPr>
        <w:t xml:space="preserve"> projektu ustawy. </w:t>
      </w:r>
    </w:p>
    <w:p w14:paraId="6B40EA6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Powyższe projektowane regulacje są odzwierciedleniem art. 65 dyrektywy klasycznej dotyczących możliwości ograniczania liczby wykonawców na podstawie tzw. kryteriów selekcji. </w:t>
      </w:r>
    </w:p>
    <w:p w14:paraId="346E755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projekcie ustawy proponuje się rezygnację z obowiązku zamieszczania w zaproszeniu do składania ofert informacji o wagach przypisanych kryteriom oceny ofert (obecny art. 51 ust. 5 pkt 4 ustawy Pzp), gdyż w trybie przetargu ograniczonego, w celu zagwarantowania równego traktowania wszystkich wykonawców, określenie wag kryteriów oceny ofert powinno nastąpić na etapie wszczęcia postępowania, a informacje w tym zakresie powinny być z</w:t>
      </w:r>
      <w:r w:rsidR="009D44CA">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warte w ogłoszeniu o zamówieniu oraz w specyfikacji warunków zamówienia. </w:t>
      </w:r>
    </w:p>
    <w:p w14:paraId="0C97B24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Terminy składania ofert wskazane w art. 151 projektu ustawy, są odzwierciedleniem przepisów właściwych dla procedury ograniczonej (tj. przetargu ograniczonego). </w:t>
      </w:r>
    </w:p>
    <w:p w14:paraId="329EAEA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151 ust. 1 projektu ustawy, termin składania ofert nie może być krótszy niż 30 dni licząc od dnia przekazania ogłoszenia o zamówieniu Urzędowi Publikacji Unii Europejskiej.</w:t>
      </w:r>
    </w:p>
    <w:p w14:paraId="0C9DF463" w14:textId="259621C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Stosownie do art. 151 ust. 2 projektu ustawy, zamawiający może wyznaczyć termin składania ofert krótszy niż termin określony w ust. 1, nie krótszy jednak niż 10 dni licząc od dnia przekazania </w:t>
      </w:r>
      <w:r w:rsidR="009D44CA">
        <w:rPr>
          <w:rFonts w:ascii="Times New Roman" w:eastAsia="Times New Roman" w:hAnsi="Times New Roman" w:cs="Times New Roman"/>
          <w:sz w:val="24"/>
          <w:szCs w:val="24"/>
        </w:rPr>
        <w:t>zaproszenia do składania ofert</w:t>
      </w:r>
      <w:r w:rsidRPr="00DA788D">
        <w:rPr>
          <w:rFonts w:ascii="Times New Roman" w:eastAsia="Times New Roman" w:hAnsi="Times New Roman" w:cs="Times New Roman"/>
          <w:sz w:val="24"/>
          <w:szCs w:val="24"/>
        </w:rPr>
        <w:t>, w następujących przypadkach:</w:t>
      </w:r>
    </w:p>
    <w:p w14:paraId="22B53FA6" w14:textId="77777777" w:rsidR="00CB2D51" w:rsidRPr="00DA788D" w:rsidRDefault="002E64C7" w:rsidP="00DA788D">
      <w:pPr>
        <w:numPr>
          <w:ilvl w:val="0"/>
          <w:numId w:val="1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opublikowania wstępnego ogłoszenia informacyjnego, o którym mowa w art. 89, o ile zawierało ono wszystkie informacje wymagane dla ogłoszenia o zamówieniu, w zakresie, w jakim były one dostępne w chwili publikacji wstępnego ogłoszenia informacyjnego, które zostało przekazane do publikacji Urzędowi Publikacji Unii Europejskiej lub zamieszczone w profilu nabywcy na co najmniej 35 dni i nie więcej niż 12 miesięcy przed dniem przekazania ogłoszenia o zamówieniu Urzędowi Publikacji Unii Europejskiej;</w:t>
      </w:r>
    </w:p>
    <w:p w14:paraId="1E579A4C" w14:textId="77777777" w:rsidR="00CB2D51" w:rsidRPr="00DA788D" w:rsidRDefault="002E64C7" w:rsidP="00DA788D">
      <w:pPr>
        <w:numPr>
          <w:ilvl w:val="0"/>
          <w:numId w:val="1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zachodzi pilna potrzeba udzielenia zamówienia i skrócenie terminu składania ofert jest uzasadnione.</w:t>
      </w:r>
    </w:p>
    <w:p w14:paraId="21C72B0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sytuacjach określonych w art. 133 ust. 2 i 3 projektu ustawy, terminy składania ofert, o których mowa w art. 151 ust. 1 i ust. 2 pkt 1, ulegają wydłużeniu o 5 dni. </w:t>
      </w:r>
    </w:p>
    <w:p w14:paraId="70CA881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zawiera normę, której brak jest w obecnej ustawie Pzp, stanowiącą odzwierciedlenie przepisów dyrektywy klasycznej, zgodnie z którą zamawiający może wyznaczyć termin składania ofert o 5 dni krótszy niż określony w art. 151 ust. 1, jeżeli składanie ofert odbywa się w całości przy użyciu środków komunikacji elektronicznej, w sposób określony w art. 63 ust. 1, a więc bez możliwości odstąpienia od wymagania użycia środków komunikacji elektronicznej.</w:t>
      </w:r>
    </w:p>
    <w:p w14:paraId="24D34D9F" w14:textId="425315EB"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Oddział 4</w:t>
      </w:r>
      <w:r w:rsidR="00B85E9F">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Negocjacje z ogłoszeniem</w:t>
      </w:r>
    </w:p>
    <w:p w14:paraId="5955850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Zwiększenie możliwości korzystania przez zamawiających klasycznych z procedur negocjacyjnych, w tym w szczególności z trybu negocjacji z ogłoszeniem, było jednym z założeń reformy unijnych regulacji w dziedzinie zamówień publicznych. Jak wskazano w motywie 42 preambuły dyrektywy klasycznej, bardzo </w:t>
      </w:r>
      <w:r w:rsidRPr="00DA788D">
        <w:rPr>
          <w:rFonts w:ascii="Times New Roman" w:eastAsia="Times New Roman" w:hAnsi="Times New Roman" w:cs="Times New Roman"/>
          <w:sz w:val="24"/>
          <w:szCs w:val="24"/>
        </w:rPr>
        <w:lastRenderedPageBreak/>
        <w:t>istotne jest, by instytucje zamawiające miały większą elastyczność, jeśli chodzi o wybór procedury udzielania zamówień zakładającej możliwość negocjacji. W ocenie unijnego prawodawcy państwa członkowskie powinny mieć możliwość, by przewidzieć stosowanie procedury konkurencyjnej z negocjacjami (lub dialogu konkurencyjnego) w różnych sytuacjach, w których procedura otwarta lub ograniczona bez negocjacji prawdopodobnie nie przyniosą zadowalających wyników.</w:t>
      </w:r>
    </w:p>
    <w:p w14:paraId="40DD6D8E" w14:textId="0B9A81E0" w:rsidR="00CB2D51" w:rsidRPr="00F87B65" w:rsidRDefault="002E64C7" w:rsidP="00F87B65">
      <w:pPr>
        <w:pBdr>
          <w:top w:val="nil"/>
          <w:left w:val="nil"/>
          <w:bottom w:val="nil"/>
          <w:right w:val="nil"/>
          <w:between w:val="nil"/>
        </w:pBdr>
        <w:spacing w:before="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myśl Koncepcji Prawa zamówień publicznych, w projekcie ustawy proponuje się uelastycznienie trybu negocjacji z ogłoszeniem, które ma na celu zachęcenie zamawiających do jego stosowania. Proponuje się więc ukształtowanie przepisów dotyczących istoty negocjacji na wzór dyrektyw, tj. negocjowania ofert w celu ulepszenia ich treści. Obowiązujące przepisy dają jedynie możliwość doprecyzowania lub uzupełnienia opisu przedmiotu zamówienia lub warunków umowy, z zachowaniem wymogów minimalnych sformułowanych przez zamawiającego i kryteriów oceny ofert. Proponowana zmiana lepiej oddaje istotę i cel negocjacji</w:t>
      </w:r>
      <w:r w:rsidRPr="00F87B65">
        <w:rPr>
          <w:rFonts w:ascii="Times New Roman" w:eastAsia="Times New Roman" w:hAnsi="Times New Roman" w:cs="Times New Roman"/>
          <w:sz w:val="24"/>
          <w:szCs w:val="24"/>
        </w:rPr>
        <w:t xml:space="preserve">. </w:t>
      </w:r>
      <w:r w:rsidR="00F87B65" w:rsidRPr="00F87B65">
        <w:rPr>
          <w:rFonts w:ascii="Times New Roman" w:eastAsia="Times" w:hAnsi="Times New Roman" w:cs="Times New Roman"/>
          <w:color w:val="000000"/>
          <w:sz w:val="24"/>
          <w:szCs w:val="24"/>
        </w:rPr>
        <w:t>Negocjacje ofert nie będą mogły dotyczyć oraz prowadzić do zmiany minimalnych wymagań oraz kryteriów oceny ofert i ich wag, określonych przez zamawiającego w ogłoszeniu o zamówieniu oraz w opisie potrzeb i wymagań</w:t>
      </w:r>
      <w:r w:rsidRPr="00F87B65">
        <w:rPr>
          <w:rFonts w:ascii="Times New Roman" w:eastAsia="Times New Roman" w:hAnsi="Times New Roman" w:cs="Times New Roman"/>
          <w:sz w:val="24"/>
          <w:szCs w:val="24"/>
        </w:rPr>
        <w:t xml:space="preserve"> (art. 164 projektu ustawy).</w:t>
      </w:r>
    </w:p>
    <w:p w14:paraId="09C0BEC6" w14:textId="07C5A8FA" w:rsidR="00CB2D51" w:rsidRPr="00DA788D" w:rsidRDefault="002E64C7" w:rsidP="00DA788D">
      <w:pPr>
        <w:spacing w:after="120"/>
        <w:ind w:firstLine="708"/>
        <w:jc w:val="both"/>
        <w:rPr>
          <w:rFonts w:ascii="Times New Roman" w:eastAsia="Times New Roman" w:hAnsi="Times New Roman" w:cs="Times New Roman"/>
          <w:sz w:val="24"/>
          <w:szCs w:val="24"/>
        </w:rPr>
      </w:pPr>
      <w:r w:rsidRPr="00F87B65">
        <w:rPr>
          <w:rFonts w:ascii="Times New Roman" w:eastAsia="Times New Roman" w:hAnsi="Times New Roman" w:cs="Times New Roman"/>
          <w:sz w:val="24"/>
          <w:szCs w:val="24"/>
        </w:rPr>
        <w:t>W związku z powyższym proponuje</w:t>
      </w:r>
      <w:r w:rsidRPr="00DA788D">
        <w:rPr>
          <w:rFonts w:ascii="Times New Roman" w:eastAsia="Times New Roman" w:hAnsi="Times New Roman" w:cs="Times New Roman"/>
          <w:sz w:val="24"/>
          <w:szCs w:val="24"/>
        </w:rPr>
        <w:t xml:space="preserve"> się modyfikację definicji trybu negocjacji z ogłoszeniem. Zgodnie z art. 152 ust. 1</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negocjacje z ogłoszeniem to tryb udzielenia zamówienia, w którym w odpowiedzi na ogłoszenie o zamówieniu, wnioski o dopuszczenie do udziału w postępowaniu mogą składać wszyscy zainteresowani wykonawcy, zamawiający zaprasza wykonawców dopuszczonych do udziału w postępowaniu do składania ofert wstępnych, prowadzi z nimi negocjacje w celu ulepszenia treści ofert wstępnych, ofert składanych na etapie negocjacji, po zakończeniu których zaprasza wykonawców do składania ofert</w:t>
      </w:r>
      <w:r w:rsidR="00F87B65">
        <w:rPr>
          <w:rFonts w:ascii="Times New Roman" w:eastAsia="Times New Roman" w:hAnsi="Times New Roman" w:cs="Times New Roman"/>
          <w:sz w:val="24"/>
          <w:szCs w:val="24"/>
        </w:rPr>
        <w:t xml:space="preserve"> ostatecznych</w:t>
      </w:r>
      <w:r w:rsidRPr="00DA788D">
        <w:rPr>
          <w:rFonts w:ascii="Times New Roman" w:eastAsia="Times New Roman" w:hAnsi="Times New Roman" w:cs="Times New Roman"/>
          <w:sz w:val="24"/>
          <w:szCs w:val="24"/>
        </w:rPr>
        <w:t>.</w:t>
      </w:r>
    </w:p>
    <w:p w14:paraId="426371C5" w14:textId="77777777" w:rsidR="00CB2D51" w:rsidRPr="00DA788D" w:rsidRDefault="002E64C7" w:rsidP="00D63511">
      <w:pPr>
        <w:spacing w:after="120"/>
        <w:ind w:firstLine="70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wyraźnie wskazuje się zatem, że tryb negocjacji z ogłoszeniem polega na negocjowaniu treści ofert składanych na etapie negocjacji w celu ulepszenia ich treści. Krajowa propozycja regulacji odzwierciedla art. 29 ust. 3 dyrektywy klasycznej, w myśl którego zamawiający negocjują z wykonawcami wstępne i wszystkie późniejsze złożone przez nich oferty, z wyjątkiem ostatecznych ofert, w celu ulepszenia ich treści. </w:t>
      </w:r>
    </w:p>
    <w:p w14:paraId="7C10631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Należy przy tym podkreślić, że zamawiający nadal będzie mógł udzielić zamówienia na podstawie ofert wstępnych bez negocjacji, o ile wskaże w ogłoszeniu o zamówieniu, że zastrzega sobie taką możliwość (art. 152 ust. 2 projektu ustawy w związku z art. 29 ust. 4 dyrektywy klasycznej). </w:t>
      </w:r>
    </w:p>
    <w:p w14:paraId="1BB7337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proponuje się, na wzór dyrektywy klasycznej, rozszerzenie możliwości zastosowania trybu negocjacji z ogłoszeniem. Dotyczy to przesłanki określonej obecnie w art. 55 ust. 1 pkt 1 ustawy Pzp. Ustawa Pzp w aktualnie obowiązującym brzmieniu, przewiduje stosowanie trybu negocjacji z ogłoszeniem w przypadku, gdy w postępowaniu prowadzonym uprzednio w trybie przetargu nieograniczonego lub przetargu ograniczonego wszystkie oferty zostały odrzucone na podstawie art. 89 ust. 1 pkt 1 ustawy Pzp, tj. ze względu na niezgodność z ustawą, art. 89 ust. 1 pkt 2 ustawy Pzp, tj. treść ofert nie odpowiadała treści specyfikacji istotnych warunków zamówienia i tej niezgodności nie można było usunąć w trybie poprawiania omyłek niepowodujących istotnych zmian w treści oferty, art. 89 ust. 1 pkt 4 ustawy Pzp, tj. oferty zawierały rażąco niską cenę lub koszt w stosunku do przedmiotu zamówienia, lub art. 89 ust. 1 pkt 5 ustawy Pzp, tj. zostały złożona przez wykonawcę wykluczonego z udziału w postępowaniu o udzielenie zamówienia lub niezaproszonego do składania ofert, lub zamawiający unieważnił postępowanie na podstawie art. 93 ust. 1 pkt 4, tj. w przypadku gdy </w:t>
      </w:r>
      <w:r w:rsidRPr="00DA788D">
        <w:rPr>
          <w:rFonts w:ascii="Times New Roman" w:eastAsia="Times New Roman" w:hAnsi="Times New Roman" w:cs="Times New Roman"/>
          <w:sz w:val="24"/>
          <w:szCs w:val="24"/>
        </w:rPr>
        <w:lastRenderedPageBreak/>
        <w:t xml:space="preserve">cena najkorzystniejszej oferty lub oferta z najniższą ceną przewyższała kwotę, którą zamawiający zamierzał przeznaczyć na sfinansowanie zamówienia i której nie mógł zwiększyć do ceny najkorzystniejszej oferty. </w:t>
      </w:r>
    </w:p>
    <w:p w14:paraId="5E3F283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Porównanie przepisów dyrektywy klasycznej z aktualnie obowiązującą ustawą Pzp wskazuje na możliwość rozszerzenia ww. przesłanki. </w:t>
      </w:r>
    </w:p>
    <w:p w14:paraId="37F7803B" w14:textId="77777777" w:rsidR="00CB2D51" w:rsidRPr="00025759" w:rsidRDefault="002E64C7" w:rsidP="00DA788D">
      <w:pPr>
        <w:spacing w:after="120"/>
        <w:ind w:firstLine="708"/>
        <w:jc w:val="both"/>
        <w:rPr>
          <w:rFonts w:ascii="Times New Roman" w:eastAsia="Times New Roman" w:hAnsi="Times New Roman" w:cs="Times New Roman"/>
          <w:sz w:val="24"/>
          <w:szCs w:val="24"/>
        </w:rPr>
      </w:pPr>
      <w:r w:rsidRPr="00025759">
        <w:rPr>
          <w:rFonts w:ascii="Times New Roman" w:eastAsia="Times New Roman" w:hAnsi="Times New Roman" w:cs="Times New Roman"/>
          <w:sz w:val="24"/>
          <w:szCs w:val="24"/>
        </w:rPr>
        <w:t xml:space="preserve">Projektuje się w art. 153 ust. 1 pkt 5, aby zamawiający mógł udzielić zamówienia w trybie negocjacji z ogłoszeniem, jeżeli w postępowaniu prowadzonym uprzednio w trybie przetargu nieograniczonego lub przetargu ograniczonego </w:t>
      </w:r>
      <w:r w:rsidR="00025759" w:rsidRPr="00025759">
        <w:rPr>
          <w:rFonts w:ascii="Times New Roman" w:eastAsia="Times" w:hAnsi="Times New Roman" w:cs="Times New Roman"/>
          <w:color w:val="000000"/>
          <w:sz w:val="24"/>
          <w:szCs w:val="24"/>
        </w:rPr>
        <w:t xml:space="preserve">wszystkie wnioski o dopuszczenie do udziału w postępowaniu zostały odrzucone na podstawie art. 146 ust. 1, lub </w:t>
      </w:r>
      <w:r w:rsidRPr="00025759">
        <w:rPr>
          <w:rFonts w:ascii="Times New Roman" w:eastAsia="Times New Roman" w:hAnsi="Times New Roman" w:cs="Times New Roman"/>
          <w:sz w:val="24"/>
          <w:szCs w:val="24"/>
        </w:rPr>
        <w:t>wszystkie oferty zostały odrzucone na podstawie art. 226 ust. 1</w:t>
      </w:r>
      <w:r w:rsidR="00025759" w:rsidRPr="00025759">
        <w:rPr>
          <w:rFonts w:ascii="Times New Roman" w:eastAsia="Times New Roman" w:hAnsi="Times New Roman" w:cs="Times New Roman"/>
          <w:sz w:val="24"/>
          <w:szCs w:val="24"/>
        </w:rPr>
        <w:t>,</w:t>
      </w:r>
      <w:r w:rsidRPr="00025759">
        <w:rPr>
          <w:rFonts w:ascii="Times New Roman" w:eastAsia="Times New Roman" w:hAnsi="Times New Roman" w:cs="Times New Roman"/>
          <w:sz w:val="24"/>
          <w:szCs w:val="24"/>
        </w:rPr>
        <w:t xml:space="preserve"> lub zamawiający unieważnił postępowanie na podstawie art. 255 pkt 3.</w:t>
      </w:r>
    </w:p>
    <w:p w14:paraId="2CFF29A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Proponuje się zatem rozszerzenie katalogu przypadków uprawniających do udzielenia zamówienia w trybie negocjacji z ogłoszeniem do wszystkich przypadków odrzucenia ofert</w:t>
      </w:r>
      <w:r w:rsidR="00864A54">
        <w:rPr>
          <w:rFonts w:ascii="Times New Roman" w:eastAsia="Times New Roman" w:hAnsi="Times New Roman" w:cs="Times New Roman"/>
          <w:sz w:val="24"/>
          <w:szCs w:val="24"/>
        </w:rPr>
        <w:t xml:space="preserve"> lub odpowiednio wniosków o dopuszczenie do udziału w postępowaniu</w:t>
      </w:r>
      <w:r w:rsidRPr="00DA788D">
        <w:rPr>
          <w:rFonts w:ascii="Times New Roman" w:eastAsia="Times New Roman" w:hAnsi="Times New Roman" w:cs="Times New Roman"/>
          <w:sz w:val="24"/>
          <w:szCs w:val="24"/>
        </w:rPr>
        <w:t>, w prowadzonym uprzednio postępowaniu w trybie przetargu nieograniczonego lub ograniczonego. Ponadto, rezygnuje się z wymogu, by pierwotne warunki zamówienia z prowadzonego uprzednio postępowania w trybie przetargu nieograniczonego lub przetargu ograniczonego nie zostały w istotny sposób zmienione w postępowaniu prowadzonym w trybie negocjacji z ogłoszeniem.</w:t>
      </w:r>
    </w:p>
    <w:p w14:paraId="53ECE94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Powyższe odnosi się także do trybu dialogu konkurencyjnego, gdyż przesłanki zastosowania negocjacji z ogłoszeniem i dialogu konkurencyjnego są tożsame. </w:t>
      </w:r>
    </w:p>
    <w:p w14:paraId="4128E335" w14:textId="44F035F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154 ust. 1</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w sytuacji, o której </w:t>
      </w:r>
      <w:r w:rsidRPr="00864A54">
        <w:rPr>
          <w:rFonts w:ascii="Times New Roman" w:eastAsia="Times New Roman" w:hAnsi="Times New Roman" w:cs="Times New Roman"/>
          <w:sz w:val="24"/>
          <w:szCs w:val="24"/>
        </w:rPr>
        <w:t>art. 153 pkt 5 zamawiający może odstąpić od publikacji ogłoszenia o zamówieniu, jeżeli zaprosi do negocjacji wyłącznie wszystkich wykonawców, którzy</w:t>
      </w:r>
      <w:r w:rsidR="00864A54" w:rsidRPr="00864A54">
        <w:rPr>
          <w:rFonts w:ascii="Times New Roman" w:eastAsia="Times New Roman" w:hAnsi="Times New Roman" w:cs="Times New Roman"/>
          <w:sz w:val="24"/>
          <w:szCs w:val="24"/>
        </w:rPr>
        <w:t xml:space="preserve"> </w:t>
      </w:r>
      <w:r w:rsidR="00864A54" w:rsidRPr="00864A54">
        <w:rPr>
          <w:rFonts w:ascii="Times New Roman" w:eastAsia="Times" w:hAnsi="Times New Roman" w:cs="Times New Roman"/>
          <w:color w:val="000000"/>
          <w:sz w:val="24"/>
          <w:szCs w:val="24"/>
        </w:rPr>
        <w:t>nie podlegają wykluczeniu i spełniają warunki udziału w postępowaniu</w:t>
      </w:r>
      <w:r w:rsidRPr="00864A54">
        <w:rPr>
          <w:rFonts w:ascii="Times New Roman" w:eastAsia="Times New Roman" w:hAnsi="Times New Roman" w:cs="Times New Roman"/>
          <w:sz w:val="24"/>
          <w:szCs w:val="24"/>
        </w:rPr>
        <w:t xml:space="preserve"> </w:t>
      </w:r>
      <w:r w:rsidR="00864A54" w:rsidRPr="00864A54">
        <w:rPr>
          <w:rFonts w:ascii="Times New Roman" w:eastAsia="Times New Roman" w:hAnsi="Times New Roman" w:cs="Times New Roman"/>
          <w:sz w:val="24"/>
          <w:szCs w:val="24"/>
        </w:rPr>
        <w:t xml:space="preserve">oraz </w:t>
      </w:r>
      <w:r w:rsidRPr="00864A54">
        <w:rPr>
          <w:rFonts w:ascii="Times New Roman" w:eastAsia="Times New Roman" w:hAnsi="Times New Roman" w:cs="Times New Roman"/>
          <w:sz w:val="24"/>
          <w:szCs w:val="24"/>
        </w:rPr>
        <w:t>w prowadzonym uprzednio postępowaniu w trybie przetargu nieograniczonego lub przetargu ograniczonego</w:t>
      </w:r>
      <w:r w:rsidR="00864A54" w:rsidRPr="00864A54">
        <w:rPr>
          <w:rFonts w:ascii="Times New Roman" w:eastAsia="Times New Roman" w:hAnsi="Times New Roman" w:cs="Times New Roman"/>
          <w:sz w:val="24"/>
          <w:szCs w:val="24"/>
        </w:rPr>
        <w:t xml:space="preserve"> </w:t>
      </w:r>
      <w:r w:rsidR="00864A54" w:rsidRPr="00864A54">
        <w:rPr>
          <w:rFonts w:ascii="Times New Roman" w:eastAsia="Times" w:hAnsi="Times New Roman" w:cs="Times New Roman"/>
          <w:color w:val="000000"/>
          <w:sz w:val="24"/>
          <w:szCs w:val="24"/>
        </w:rPr>
        <w:t>złożyli oferty, które nie zostały odrzucone na podstawie art. 226 ust. 1 pkt 1, 2, 6, 7, 10, 13-15 lub 19.</w:t>
      </w:r>
      <w:r w:rsidR="00B85E9F">
        <w:rPr>
          <w:rFonts w:ascii="Times New Roman" w:eastAsia="Times" w:hAnsi="Times New Roman" w:cs="Times New Roman"/>
          <w:color w:val="000000"/>
          <w:sz w:val="24"/>
          <w:szCs w:val="24"/>
        </w:rPr>
        <w:t xml:space="preserve"> </w:t>
      </w:r>
      <w:r w:rsidRPr="00DA788D">
        <w:rPr>
          <w:rFonts w:ascii="Times New Roman" w:eastAsia="Times New Roman" w:hAnsi="Times New Roman" w:cs="Times New Roman"/>
          <w:sz w:val="24"/>
          <w:szCs w:val="24"/>
        </w:rPr>
        <w:t xml:space="preserve">Stosownie do motywu 44 dyrektywy klasycznej w takich przypadkach zamawiający może negocjować złożone uprzednio oferty w celu otrzymania prawidłowych i dopuszczalnych ofert. W związku z tym, w ustawie projektuje się wprowadzenie wyraźnej regulacji, zgodnie z którą oferty wykonawców, o których mowa w art. 154 ust. 1, uznaje się za oferty wstępne podlegające negocjacjom. W takim przypadku wykonawcy nie będą musieli składać wniosków o dopuszczenie do udziału w postępowaniu. Zamawiający będzie mógł zatem rozpocząć negocjacje od negocjacji ofert złożonych uprzednio w przetargu nieograniczonym lub przetargu ograniczonym, które będą traktowane jako oferty wstępne podlegające negocjacjom. W takim przypadku wszczęcie postępowania o udzielenie zamówienia w trybie negocjacji z ogłoszeniem nie będzie następowało przez przekazanie ogłoszenia o zamówienia Urzędowi Publikacji Unii Europejskiej, ale wyjątkowo przez przekazanie zaproszenia do negocjacji ofert </w:t>
      </w:r>
      <w:r w:rsidR="00864A54">
        <w:rPr>
          <w:rFonts w:ascii="Times New Roman" w:eastAsia="Times New Roman" w:hAnsi="Times New Roman" w:cs="Times New Roman"/>
          <w:sz w:val="24"/>
          <w:szCs w:val="24"/>
        </w:rPr>
        <w:t xml:space="preserve">wyłącznie </w:t>
      </w:r>
      <w:r w:rsidRPr="00DA788D">
        <w:rPr>
          <w:rFonts w:ascii="Times New Roman" w:eastAsia="Times New Roman" w:hAnsi="Times New Roman" w:cs="Times New Roman"/>
          <w:sz w:val="24"/>
          <w:szCs w:val="24"/>
        </w:rPr>
        <w:t xml:space="preserve">wszystkich </w:t>
      </w:r>
      <w:r w:rsidR="00864A54">
        <w:rPr>
          <w:rFonts w:ascii="Times New Roman" w:eastAsia="Times New Roman" w:hAnsi="Times New Roman" w:cs="Times New Roman"/>
          <w:sz w:val="24"/>
          <w:szCs w:val="24"/>
        </w:rPr>
        <w:t xml:space="preserve">ww. </w:t>
      </w:r>
      <w:r w:rsidRPr="00DA788D">
        <w:rPr>
          <w:rFonts w:ascii="Times New Roman" w:eastAsia="Times New Roman" w:hAnsi="Times New Roman" w:cs="Times New Roman"/>
          <w:sz w:val="24"/>
          <w:szCs w:val="24"/>
        </w:rPr>
        <w:t>wykonawców</w:t>
      </w:r>
      <w:r w:rsidR="00864A54">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Zgodnie z założeniami przedstawionymi w Koncepcji Prawa zamówień publicznych w projekcie ustawy proponuje się rezygnację z udostępniania przez zamawiającego specyfikacji istotnych warunków zamówienia na stronie internetowej od dnia publikacji ogłoszenia o zamówieniu. Zgodnie z projektem ustawy, w trybie negocjacji z ogłoszeniem zmawiający będzie udostępniał od dnia publikacji ogłoszenia o zamówieniu w Dzienniku Urzędowym Unii Europejskiej „opis potrzeb i wymagań” (zamiast dotychczasowej specyfikacji istotnych warunków zamówienia), w celu ustalenia przez wykonawców charakteru i zakresu zamówienia oraz wymagań formalnych i proceduralnych dotyczących postępowania. Opis potrzeb i wymagań będzie modyfikowany na kolejnych etapach postępowania, z wyjątkiem minimalnych wymogów oraz kryteriów oceny </w:t>
      </w:r>
      <w:r w:rsidRPr="00DA788D">
        <w:rPr>
          <w:rFonts w:ascii="Times New Roman" w:eastAsia="Times New Roman" w:hAnsi="Times New Roman" w:cs="Times New Roman"/>
          <w:sz w:val="24"/>
          <w:szCs w:val="24"/>
        </w:rPr>
        <w:lastRenderedPageBreak/>
        <w:t xml:space="preserve">ofert i ich wag, które nie powinny podlegać negocjacjom. Natomiast specyfikację warunków zamówienia zamawiający będzie udostępniał wykonawcom wraz z zaproszeniem do składnia ofert ostatecznych. </w:t>
      </w:r>
    </w:p>
    <w:p w14:paraId="58A1525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oddziale 4 dotyczącym negocjacji z ogłoszeniem uregulowano zakres informacji zawartych w opisie potrzeb i wymagań. Do wyjaśnień oraz zmian opisu potrzeb i wymagań w zakresie niezbędnym do złożenia wniosku o dopuszczenie do udziału w postępowaniu stosuje się regulacje właściwe dla przetargu ograniczonego. Jeżeli zamawiający zastrzegł możliwość udzielenia zamówienia na podstawie ofert wstępnych bez negocjacji do wyjaśnień oraz zmian treści opisu potrzeb i wymagań niezbędnych do złożenia tych ofert stosuje się odpowiednio regulacje właściwe dla przetargu nieograniczonego. Obecnie regulacje te są unormowane w art. 36 i art. 37 ustawy Pzp. Projektowane regulacje są zasadniczo analogiczne jak dotychczasowe i mają przede wszystkim porządkujący charakter. </w:t>
      </w:r>
    </w:p>
    <w:p w14:paraId="3FE1285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Minimalne terminy składania wniosków o dopuszczenie do udziału w postępowaniu wskazane w art. 158 projektu ustawy, nie będą zmieniane, gdyż są one odzwierciedleniem przepisów dyrektywy klasycznej właściwych dla procedury konkurencyjnej z negocjacjami (tj. negocjacji z ogłoszeniem). </w:t>
      </w:r>
    </w:p>
    <w:p w14:paraId="3BD4EBF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 wniosków o dopuszczenie do udziału w postępowaniu stosuje się przepisy właściwe dla przetargu ograniczonego, w tym regulacje stanowiące o podstawach do odrzucenia wniosku o dopuszczenie do udziału w postępowaniu. </w:t>
      </w:r>
    </w:p>
    <w:p w14:paraId="726E421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Zamawiający tak jak dotychczas będzie mógł ograniczyć liczbę wykonawców, których wnioski o dopuszczenie do udziału w postępowaniu nie podlegały odrzuceniu, a których zaprosi do składania ofert wstępnych, o ile liczba ta jest wystarczająca, aby zapewnić konkurencję i nie jest mniejsza niż 3. W takim przypadku zamawiający wskazuje w ogłoszeniu o zamówieniu oraz w opisie potrzeb i wymagań kryteria selekcji, które zamierza stosować w celu ograniczenia liczby wykonawców zaproszonych do składania ofert wstępnych podlegających negocjacjom, oraz podaje minimalną liczbę wykonawców, których zaprosi do składania ofert wstępnych. Zamawiający może wskazać maksymalną liczbę wykonawców, których zaprosi do składania ofert wstępnych. </w:t>
      </w:r>
    </w:p>
    <w:p w14:paraId="0AE97B5E" w14:textId="4E5338F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będzie zatem zapraszał jednocześnie do składania ofert wstępnych wykonawców, których wnioski o dopuszczenie do udziału w postępowaniu nie zostały odrzucone, a w przypadku ustalenia kryteriów selekcji – wykonawców, którzy spełniają te kryteria, w liczbie ustalonej przez zamawiającego. W projekcie ustawy wprowadzona została wyraźna regulacja, zgodnie z którą w przypadku, gdy liczba wykonawców, którzy złożyli niepodlegające odrzuceniu wnioski o dopuszczenie do udziału w postępowaniu, jest mniejsza od minimalnej liczby określonej przez zamawiającego zgodnie z art. 159, zamawiający może kontynuować postępowanie, zapraszając do składania ofert wstępnych tych wykonawców albo unieważnia postępowanie na podstawie art. 258</w:t>
      </w:r>
      <w:r w:rsidR="005852E6">
        <w:rPr>
          <w:rFonts w:ascii="Times New Roman" w:eastAsia="Times New Roman" w:hAnsi="Times New Roman" w:cs="Times New Roman"/>
          <w:sz w:val="24"/>
          <w:szCs w:val="24"/>
        </w:rPr>
        <w:t xml:space="preserve"> ust. 1</w:t>
      </w:r>
      <w:r w:rsidRPr="00DA788D">
        <w:rPr>
          <w:rFonts w:ascii="Times New Roman" w:eastAsia="Times New Roman" w:hAnsi="Times New Roman" w:cs="Times New Roman"/>
          <w:sz w:val="24"/>
          <w:szCs w:val="24"/>
        </w:rPr>
        <w:t xml:space="preserve">. </w:t>
      </w:r>
    </w:p>
    <w:p w14:paraId="3A2E7BE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Powyższe projektowane regulacje są odzwierciedleniem przepisów art. 65 dyrektywy klasycznej dotyczących możliwości ograniczania liczby wykonawców na podstawie tzw. kryteriów selekcji. </w:t>
      </w:r>
    </w:p>
    <w:p w14:paraId="2454DE1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nowej ustawie proponuje się wprowadzenie regulacji, która wprost stanowi, co zawiera zaproszenie do składania ofert wstępnych (art. 161 ust. 1 projektu ustawy).</w:t>
      </w:r>
    </w:p>
    <w:p w14:paraId="66D995B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Terminy składania ofert wstępnych wskazane w art. 162 projektu ustawy, są odzwierciedleniem przepisów właściwych dla procedury konkurencyjnej z negocjacjami (tj. trybu negocjacji z ogłoszeniem), określonych w dyrektywie klasycznej. </w:t>
      </w:r>
    </w:p>
    <w:p w14:paraId="44505FA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162 ust. 1 projektu ustawy, termin składania ofert wstępnych nie może być krótszy niż 30 dni licząc od dnia przekazania zaproszenia do składania ofert wstępnych.</w:t>
      </w:r>
    </w:p>
    <w:p w14:paraId="5A722D8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Stosownie do art. 162 ust. 2, zamawiający może wyznaczyć termin składania ofert wstępnych krótszy niż termin określony w ust. 1, nie krótszy jednak niż 10 dni licząc od dnia przekazania zaproszenia do składania ofert wstępnych, w następujących przypadkach:</w:t>
      </w:r>
    </w:p>
    <w:p w14:paraId="694AA103" w14:textId="77777777" w:rsidR="00CB2D51" w:rsidRPr="00DA788D" w:rsidRDefault="002E64C7" w:rsidP="00DA788D">
      <w:pPr>
        <w:numPr>
          <w:ilvl w:val="0"/>
          <w:numId w:val="13"/>
        </w:numPr>
        <w:pBdr>
          <w:top w:val="nil"/>
          <w:left w:val="nil"/>
          <w:bottom w:val="nil"/>
          <w:right w:val="nil"/>
          <w:between w:val="nil"/>
        </w:pBdr>
        <w:spacing w:after="120"/>
        <w:ind w:left="993" w:hanging="283"/>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opublikowania wstępnego ogłoszenia informacyjnego, o którym mowa w art. 89, o ile zawierało ono wszystkie informacje wymagane dla ogłoszenia o zamówieniu, w zakresie, w jakim były one dostępne w chwili publikacji wstępnego ogłoszenia informacyjnego, które zostało przekazane do publikacji Urzędowi Publikacji Unii Europejskiej lub zamieszczone w profilu nabywcy na co najmniej 35 dni i nie więcej niż 12 miesięcy przed dniem przekazania ogłoszenia o zamówieniu Urzędowi Publikacji Unii Europejskiej;</w:t>
      </w:r>
    </w:p>
    <w:p w14:paraId="6F0FD6AA" w14:textId="77777777" w:rsidR="00CB2D51" w:rsidRPr="00DA788D" w:rsidRDefault="002E64C7" w:rsidP="00DA788D">
      <w:pPr>
        <w:numPr>
          <w:ilvl w:val="0"/>
          <w:numId w:val="13"/>
        </w:numPr>
        <w:pBdr>
          <w:top w:val="nil"/>
          <w:left w:val="nil"/>
          <w:bottom w:val="nil"/>
          <w:right w:val="nil"/>
          <w:between w:val="nil"/>
        </w:pBdr>
        <w:spacing w:after="120"/>
        <w:ind w:left="993" w:hanging="283"/>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zachodzi pilna potrzeba udzielenia zamówienia i skrócenie terminu składania ofert jest uzasadnione.</w:t>
      </w:r>
    </w:p>
    <w:p w14:paraId="4DAB2B2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sytuacjach określonych w art. 133 ust. 2 i 3, terminy składania ofert wstępnych, o których mowa w art. 162 ust. 1 i ust. 2 pkt 1, ulegają wydłużeniu o 5 dni. </w:t>
      </w:r>
    </w:p>
    <w:p w14:paraId="3AA3202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zawiera normę, która nie została przewidziana w obecnej ustawie Pzp, stanowiącą odzwierciedlenie przepisów dyrektywy klasycznej, zgodnie z którą zamawiający może wyznaczyć termin składania ofert wstępnych o 5 dni krótszy niż określony w art. 162 ust. 1, jeżeli składanie ofert wstępnych odbywa się w całości przy użyciu środków komunikacji elektronicznej, w sposób określony w art. 63 ust. 1, a więc bez możliwości odstąpienia od wymagania użycia środków komunikacji elektronicznej, o której mowa w art. 65 projektu ustawy.</w:t>
      </w:r>
    </w:p>
    <w:p w14:paraId="1F155FB9" w14:textId="77777777" w:rsidR="005852E6"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nowej ustawie, zgodnie z założeniami przedstawionymi w Koncepcji Prawa zamówień publicznych, proponuje się również doprecyzowanie przepisów dotyczących etapu negocjacji ofert. </w:t>
      </w:r>
    </w:p>
    <w:p w14:paraId="1205F0BC" w14:textId="69BC6B30" w:rsidR="005852E6" w:rsidRPr="005852E6" w:rsidRDefault="005852E6" w:rsidP="005852E6">
      <w:pPr>
        <w:pBdr>
          <w:top w:val="nil"/>
          <w:left w:val="nil"/>
          <w:bottom w:val="nil"/>
          <w:right w:val="nil"/>
          <w:between w:val="nil"/>
        </w:pBdr>
        <w:spacing w:before="120"/>
        <w:ind w:firstLine="510"/>
        <w:jc w:val="both"/>
        <w:rPr>
          <w:rFonts w:ascii="Times New Roman" w:eastAsia="Times" w:hAnsi="Times New Roman" w:cs="Times New Roman"/>
          <w:color w:val="000000"/>
          <w:sz w:val="24"/>
          <w:szCs w:val="24"/>
        </w:rPr>
      </w:pPr>
      <w:r w:rsidRPr="005852E6">
        <w:rPr>
          <w:rFonts w:ascii="Times New Roman" w:eastAsia="Times" w:hAnsi="Times New Roman" w:cs="Times New Roman"/>
          <w:color w:val="000000"/>
          <w:sz w:val="24"/>
          <w:szCs w:val="24"/>
        </w:rPr>
        <w:t>Zgodnie z art. 166</w:t>
      </w:r>
      <w:r>
        <w:rPr>
          <w:rFonts w:ascii="Times New Roman" w:eastAsia="Times" w:hAnsi="Times New Roman" w:cs="Times New Roman"/>
          <w:color w:val="000000"/>
          <w:sz w:val="24"/>
          <w:szCs w:val="24"/>
        </w:rPr>
        <w:t xml:space="preserve"> ust. 1</w:t>
      </w:r>
      <w:r w:rsidR="00027177">
        <w:rPr>
          <w:rFonts w:ascii="Times New Roman" w:eastAsia="Times" w:hAnsi="Times New Roman" w:cs="Times New Roman"/>
          <w:color w:val="000000"/>
          <w:sz w:val="24"/>
          <w:szCs w:val="24"/>
        </w:rPr>
        <w:t xml:space="preserve"> projektu ustawy</w:t>
      </w:r>
      <w:r>
        <w:rPr>
          <w:rFonts w:ascii="Times New Roman" w:eastAsia="Times" w:hAnsi="Times New Roman" w:cs="Times New Roman"/>
          <w:color w:val="000000"/>
          <w:sz w:val="24"/>
          <w:szCs w:val="24"/>
        </w:rPr>
        <w:t>, t</w:t>
      </w:r>
      <w:r w:rsidRPr="005852E6">
        <w:rPr>
          <w:rFonts w:ascii="Times New Roman" w:eastAsia="Times" w:hAnsi="Times New Roman" w:cs="Times New Roman"/>
          <w:color w:val="000000"/>
          <w:sz w:val="24"/>
          <w:szCs w:val="24"/>
        </w:rPr>
        <w:t xml:space="preserve">reść oferty wstępnej, ofert składanych w trakcie negocjacji oraz prowadzone negocjacje mają charakter poufny. Żadna ze stron nie może bez zgody drugiej strony ujawnić informacji technicznych i handlowych związanych z negocjacjami. Zgoda powinna być udzielona w odniesieniu do konkretnych informacji i przed ich ujawnieniem. Zamawiający udostępnia treść ofert, o których mowa </w:t>
      </w:r>
      <w:r>
        <w:rPr>
          <w:rFonts w:ascii="Times New Roman" w:eastAsia="Times" w:hAnsi="Times New Roman" w:cs="Times New Roman"/>
          <w:color w:val="000000"/>
          <w:sz w:val="24"/>
          <w:szCs w:val="24"/>
        </w:rPr>
        <w:t>art. 166</w:t>
      </w:r>
      <w:r w:rsidRPr="005852E6">
        <w:rPr>
          <w:rFonts w:ascii="Times New Roman" w:eastAsia="Times" w:hAnsi="Times New Roman" w:cs="Times New Roman"/>
          <w:color w:val="000000"/>
          <w:sz w:val="24"/>
          <w:szCs w:val="24"/>
        </w:rPr>
        <w:t xml:space="preserve"> ust. 1</w:t>
      </w:r>
      <w:r w:rsidR="00027177">
        <w:rPr>
          <w:rFonts w:ascii="Times New Roman" w:eastAsia="Times" w:hAnsi="Times New Roman" w:cs="Times New Roman"/>
          <w:color w:val="000000"/>
          <w:sz w:val="24"/>
          <w:szCs w:val="24"/>
        </w:rPr>
        <w:t xml:space="preserve"> projektu  ustawy</w:t>
      </w:r>
      <w:r w:rsidRPr="005852E6">
        <w:rPr>
          <w:rFonts w:ascii="Times New Roman" w:eastAsia="Times" w:hAnsi="Times New Roman" w:cs="Times New Roman"/>
          <w:color w:val="000000"/>
          <w:sz w:val="24"/>
          <w:szCs w:val="24"/>
        </w:rPr>
        <w:t>, niezwłocznie po otwarciu ofert ostatecznych, a jeżeli udziela zamówienia na podstawie ofert wstępnych – od wyboru oferty najkorzystniejszej.</w:t>
      </w:r>
    </w:p>
    <w:p w14:paraId="08F11C7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wprowadza się regulację, zgodnie z którą zamawiający informuje jednocześnie wszystkich wykonawców o wynikach kwalifikacji ofert do kolejnego etapu, podając uzasadnienie faktyczne i prawne. Ponadto, zamawiający informuje jednocześnie wszystkich wykonawców, których oferty zostały zakwalifikowane do kolejnych etapów, o wszelkich zmianach mających wpływ na treść kolejnych ofert składanych na etapie negocjacji lub ofert, w szczególności o zmianach związanych z opisem potrzeb zamawiającego i cechami </w:t>
      </w:r>
      <w:r w:rsidRPr="00DA788D">
        <w:rPr>
          <w:rFonts w:ascii="Times New Roman" w:eastAsia="Times New Roman" w:hAnsi="Times New Roman" w:cs="Times New Roman"/>
          <w:sz w:val="24"/>
          <w:szCs w:val="24"/>
        </w:rPr>
        <w:lastRenderedPageBreak/>
        <w:t xml:space="preserve">charakterystycznymi dostaw, robót budowlanych lub usług, stanowiących przedmiot zamówienia, warunkami umowy w sprawie zamówienia publicznego, tak aby wykonawcy mieli jednakowo wystarczająco dużo czasu na zmodyfikowanie i ponowne złożenie poprawionych ofert składanych na etapie negocjacji lub ofert. Zamawiający nie udziela informacji w sposób, który mógłby zapewnić niektórym wykonawcom przewagę nad innymi wykonawcami. </w:t>
      </w:r>
    </w:p>
    <w:p w14:paraId="24DCBAB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 projektu nowej ustawy wynika wprost, że negocjacje ofert nie mogą dotyczyć oraz prowadzić do zmiany minimalnych wymagań oraz kryteriów oceny ofert, jak również ich wag, określonych przez zamawiającego na etapie wszczęcia postępowania i udostępnionych w ogłoszeniu o zamówieniu oraz w opisie potrzeb i wymagań. </w:t>
      </w:r>
    </w:p>
    <w:p w14:paraId="42F504D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tym miejscu należy przytoczyć motyw 45 dyrektyw klasycznej, który wskazuje na specyfikę trybu negocjacji z ogłoszeniem, w tym wskazuje na możliwy zakres negocjacji oraz wyjaśnia rozumienie minimalnych wymagań niepodlegających negocjacjom. </w:t>
      </w:r>
    </w:p>
    <w:p w14:paraId="4CC82CBC" w14:textId="3B2EDAAD"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Procedurze konkurencyjnej z negocjacjami (tryb negocjacji z ogłoszeniem) powinny towarzyszyć odpowiednie zabezpieczenia gwarantujące przestrzeganie zasad równego traktowania i przejrzystości. W szczególności instytucje zamawiające powinny uprzednio wskazać minimalne wymagania opisujące charakter zamówienia, które nie powinny być zmieniane podczas negocjacji. Kryteria udzielenia zamówienia i ich waga powinny być stałe przez cały czas trwania postępowania i nie powinny podlegać negocjacjom, w celu zagwarantowania równego traktowania wszystkich wykonawców. Negocjacje powinny służyć poprawie ofert, by umożliwić instytucjom zamawiającym zakup robót budowlanych, dostaw i usług idealnie dostosowanych do ich konkretnych potrzeb. Negocjacje mogą dotyczyć wszystkich cech zamawianych robót budowlanych, dostaw i usług, w tym na przykład jakości, ilości, klauzul handlowych oraz aspektów społecznych, środowiskowych i innowacyjnych, o ile nie stanowią one wymagań minimalnych. Należy wyjaśnić, że minimalnymi wymaganiami, ustanawianymi przez instytucję zamawiającą, są te warunki i cechy (zwłaszcza cechy fizyczne, funkcjonalne i prawne), które powinna spełniać lub posiadać każda oferta, by umożliwić instytucji zamawiającej udzielenie zamówienia zgodnie z wybranymi kryteriami udzielenia zamówienia. Aby zapewnić przejrzystość i możliwość śledzenia procesu, wszystkie jego etapy powinny być należycie udokumentowane.</w:t>
      </w:r>
      <w:r w:rsidR="00B85E9F">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t>
      </w:r>
    </w:p>
    <w:p w14:paraId="366906B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Koncepcją Prawa zamówień publicznych, w projekcie ustawy proponuje się rezygnację z obowiązku zamieszczania w zaproszeniu do składania ofert (tak jak to ma miejsce aktualnie we wszystkich trybach) informacji na temat wykazu podmiotowych środków dowodowych (dotychczas oświadczeń lub dokumentów potwierdzających spełnienie warunków udziału w postępowaniu lub kryteriów selekcji oraz braku podstaw wykluczenia). Informacja o podmiotowych środkach dowodowych będzie zamieszczana wyłącznie w przypadku, gdy ze względu na specyfikę danego postępowania zamawiający przewiduje wymóg składania wybranych lub wszystkich podmiotowych środków dowodowych na etapie składania ofert. W zaproszeniu do składania ofert zamawiający nie będzie wskazywał wag przypisanych kryteriom oceny ofert, gdyż zgodnie z motywem 45 dyrektywy klasycznej w procedurze konkurencyjnej z negocjacjami kryteria udzielenia zamówienia i ich waga powinny być stałe przez cały czas trwania postępowania i nie powinny podlegać negocjacjom, w celu zagwarantowania równego traktowania wszystkich wykonawców. Zatem określenie wag kryteriów oceny ofert powinno nastąpić na etapie wszczęcia postępowania i informacje w tym zakresie powinny być zwarte w ogłoszeniu o zamówieniu oraz w opisie potrzeb i wymagań. </w:t>
      </w:r>
    </w:p>
    <w:p w14:paraId="7633227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W celu uelastycznienia trybu negocjacji z ogłoszeniem w nowej ustawie proponuje się rezygnację z wyznaczania wprost w ustawie minimalnego terminu składnia ofert ostatecznych. Jest to zgodne z przepisami dyrektywy klasycznej, które nie wskazują w tym zakresie terminów minimalnych, a jedynie wytyczne do ich wyznaczania (art. 47 dyrektywy klasycznej w związku z art. 131 projektu ustawy).</w:t>
      </w:r>
    </w:p>
    <w:p w14:paraId="22BF4CB0" w14:textId="0F87E80E"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Odział 5</w:t>
      </w:r>
      <w:r w:rsidR="00B85E9F">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Dialog konkurencyjny</w:t>
      </w:r>
    </w:p>
    <w:p w14:paraId="1FEDBAC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projekcie ustawy doprecyzowano definicję dialogu konkurencyjnego. Zgodnie z art. 169 projektu ustawy, dialog konkurencyjny to tryb udzielenia zamówienia, w którym w odpowiedzi na ogłoszenie o zamówieniu wnioski o dopuszczenie do udziału w postępowaniu mogą składać wszyscy zainteresowani wykonawcy, następnie zamawiający prowadzi dialog z zaproszonymi do udziału w dialogu wykonawcami w zakresie zaproponowanych przez nich rozwiązań, po zakończeniu którego zaprasza ich do składania ofert.</w:t>
      </w:r>
    </w:p>
    <w:p w14:paraId="7E24338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trybie dialogu konkurencyjnego zamówienia udziela się wyłącznie na podstawie kryteriów jakościowych oraz ceny lub kosztu.</w:t>
      </w:r>
    </w:p>
    <w:p w14:paraId="4DD9687B" w14:textId="7C68F10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Koncepcją Prawa zamówień publicznych doprecyzowano moment, w którym powinno nastąpić ostateczne określenie wag poszczególnych kryteriów oceny ofert. Ma to zapobiec sytuacji, w której zamawiający, po złożeniu przez wykonawców ofert „ostatecznych”, dopiero wskazuje poszczególne wagi w zakresie wybranych kryteriów w sposób, który mógłby naruszać uczciwą konkurencję (obecny art. 60e ust. 3a pkt 5 ustawy Pzp dopuszczający ustalenie jedynie kolejności kryteriów oceny oferty wraz z zaproszeniem do składania ofert</w:t>
      </w:r>
      <w:r w:rsidRPr="00DA788D">
        <w:rPr>
          <w:rFonts w:ascii="Times New Roman" w:hAnsi="Times New Roman" w:cs="Times New Roman"/>
          <w:sz w:val="24"/>
          <w:szCs w:val="24"/>
        </w:rPr>
        <w:t xml:space="preserve"> </w:t>
      </w:r>
      <w:r w:rsidRPr="00DA788D">
        <w:rPr>
          <w:rFonts w:ascii="Times New Roman" w:eastAsia="Times New Roman" w:hAnsi="Times New Roman" w:cs="Times New Roman"/>
          <w:sz w:val="24"/>
          <w:szCs w:val="24"/>
        </w:rPr>
        <w:t>w związku z art. 171 ust. 2</w:t>
      </w:r>
      <w:r w:rsidR="00027177">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Projekt ustawy wskazuje, że określenie wag poszczególnych kryteriów oceny ofert powinno nastąpić najpóźniej wraz z zaproszeniem do składania ofert. </w:t>
      </w:r>
    </w:p>
    <w:p w14:paraId="288A1791" w14:textId="60F32BD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Dialog konkurencyjny wykazuje wiele podobieństw do trybu negocjacji z ogłoszeniem. Przesłanki zastosowania tego trybu są takie same jak w przypadku negocjacji z ogłoszeniem, w związku z tym w art. </w:t>
      </w:r>
      <w:r w:rsidR="00A80750">
        <w:rPr>
          <w:rFonts w:ascii="Times New Roman" w:eastAsia="Times New Roman" w:hAnsi="Times New Roman" w:cs="Times New Roman"/>
          <w:sz w:val="24"/>
          <w:szCs w:val="24"/>
        </w:rPr>
        <w:t>170</w:t>
      </w:r>
      <w:r w:rsidR="00A80750"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projektu ustawy odsyła się do przepisów normujących przesłanki udzielenia zamówienia w trybie negocjacji z ogłoszeniem.</w:t>
      </w:r>
    </w:p>
    <w:p w14:paraId="54B6EA3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założeniami przedstawionymi w Koncepcji Prawa zamówień publicznych w projekcie ustawy również w trybie dialogu konkurencyjnego proponuje się rezygnację z udostępniania przez zamawiającego specyfikacji istotnych warunków zamówienia na stronie internetowej od dnia publikacji ogłoszenia o zamówieniu. Zgodnie z projektem ustawy, w trybie dialogu konkurencyjnego zmawiający będzie udostępniał od dnia publikacji ogłoszenia o zamówieniu w Dzienniku Urzędowym Unii Europejskiej „opis potrzeb i wymagań” (zamiast dotychczasowej specyfikacji istotnych warunków zamówienia), w celu ustalenia przez wykonawców potrzeb zamawiającego dotyczących charakteru i zakresu zamówienia oraz wymagań formalnych i proceduralnych prowadzonego postępowania. Opis potrzeb i wymagań będzie modyfikowany na kolejnych etapach postępowania w wyniku prowadzonego dialogu. Natomiast dopiero po ostatecznym zakończeniu etapu dialogu zamawiający będzie sporządzał specyfikację warunków zamówienia stanowiącą doprecyzowanie oraz uzupełnienie informacji zawartych w opisie potrzeb i wymagań, na podstawie rozwiązań przedstawionych podczas dialogu. Następnie specyfikacja warunków zamówienia będzie udostępniana wykonawcom wraz z zaproszeniem do składnia ofert ostatecznych. </w:t>
      </w:r>
    </w:p>
    <w:p w14:paraId="084355D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Analogicznie jak w trybie negocjacji z ogłoszeniem zmawiający od dnia publikacji ogłoszenia o zamówieniu w Dzienniku Urzędowym Unii Europejskiej </w:t>
      </w:r>
      <w:r w:rsidR="00BA0B13" w:rsidRPr="00DA788D">
        <w:rPr>
          <w:rFonts w:ascii="Times New Roman" w:eastAsia="Times" w:hAnsi="Times New Roman" w:cs="Times New Roman"/>
          <w:color w:val="000000"/>
          <w:sz w:val="24"/>
          <w:szCs w:val="24"/>
        </w:rPr>
        <w:t>nie krócej niż do dnia udzielenia zamówienia</w:t>
      </w:r>
      <w:r w:rsidR="00BA0B13"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będzie zapewniał na stronie internetowej prowadzonego postępowania bezpłatny, pełny, bezpośredni i nieograniczony dostęp do opisu potrzeb i wymagań. Opis potrzeb i wymagań będzie zawierał podobne informacje jak opis potrzeb i wymagań w trybie negocjacji z ogłoszeniem. Dodatkowo opis potrzeb i wymagań będzie zawierał:</w:t>
      </w:r>
    </w:p>
    <w:p w14:paraId="1A3FB148" w14:textId="77777777" w:rsidR="00E63B4A" w:rsidRPr="00E63B4A" w:rsidRDefault="00E63B4A" w:rsidP="00E63B4A">
      <w:pPr>
        <w:pStyle w:val="Akapitzlist"/>
        <w:numPr>
          <w:ilvl w:val="0"/>
          <w:numId w:val="11"/>
        </w:numPr>
        <w:pBdr>
          <w:top w:val="nil"/>
          <w:left w:val="nil"/>
          <w:bottom w:val="nil"/>
          <w:right w:val="nil"/>
          <w:between w:val="nil"/>
        </w:pBdr>
        <w:jc w:val="both"/>
        <w:rPr>
          <w:rFonts w:ascii="Times New Roman" w:eastAsia="Times" w:hAnsi="Times New Roman" w:cs="Times New Roman"/>
          <w:color w:val="000000"/>
          <w:sz w:val="24"/>
          <w:szCs w:val="24"/>
        </w:rPr>
      </w:pPr>
      <w:r w:rsidRPr="00E63B4A">
        <w:rPr>
          <w:rFonts w:ascii="Times New Roman" w:eastAsia="Times" w:hAnsi="Times New Roman" w:cs="Times New Roman"/>
          <w:color w:val="000000"/>
          <w:sz w:val="24"/>
          <w:szCs w:val="24"/>
        </w:rPr>
        <w:t>opis potrzeb i wymagań zamawiającego dotyczących dostaw, usług lub robót budowlanych, stanowiących przedmiot zamówienia;</w:t>
      </w:r>
    </w:p>
    <w:p w14:paraId="1880CAC9" w14:textId="77777777" w:rsidR="00CB2D51" w:rsidRPr="00DA788D" w:rsidRDefault="002E64C7">
      <w:pPr>
        <w:numPr>
          <w:ilvl w:val="0"/>
          <w:numId w:val="11"/>
        </w:numPr>
        <w:spacing w:after="120"/>
        <w:ind w:left="641"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informację o wysokości nagród dla wykonawców, którzy podczas dialogu przedstawili rozwiązania stanowiące podstawę do składania ofert, jeżeli zamawiający przewiduje nagrody;</w:t>
      </w:r>
    </w:p>
    <w:p w14:paraId="1FF03A44" w14:textId="77777777" w:rsidR="00CB2D51" w:rsidRPr="00DA788D" w:rsidRDefault="002E64C7" w:rsidP="00DA788D">
      <w:pPr>
        <w:numPr>
          <w:ilvl w:val="0"/>
          <w:numId w:val="11"/>
        </w:numPr>
        <w:spacing w:after="120"/>
        <w:ind w:left="641"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wstępny harmonogram postępowania;</w:t>
      </w:r>
    </w:p>
    <w:p w14:paraId="5DF813D9" w14:textId="77777777" w:rsidR="00CB2D51" w:rsidRPr="00DA788D" w:rsidRDefault="002E64C7" w:rsidP="00DA788D">
      <w:pPr>
        <w:numPr>
          <w:ilvl w:val="0"/>
          <w:numId w:val="11"/>
        </w:numPr>
        <w:spacing w:after="120"/>
        <w:ind w:left="641"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opis kryteriów, którymi zamawiający będzie się kierował przy wyborze oferty, wraz z podaniem wag tych kryteriów i sposobu oceny ofert, a jeżeli przypisanie wag nie jest możliwe na etapie wszczęcia postępowania z obiektywnych przyczyn, zamawiający wskazuje kryteria oceny ofert w kolejności od najważniejszego do najmniej ważnego;</w:t>
      </w:r>
    </w:p>
    <w:p w14:paraId="111E612C" w14:textId="77777777" w:rsidR="00CB2D51" w:rsidRPr="00DA788D" w:rsidRDefault="002E64C7" w:rsidP="00DA788D">
      <w:pPr>
        <w:numPr>
          <w:ilvl w:val="0"/>
          <w:numId w:val="11"/>
        </w:numPr>
        <w:spacing w:after="120"/>
        <w:ind w:left="641"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liczbę wykonawców, którzy zostaną zaproszeni do udziału w dialogu, jeżeli zamawiający przewiduje ograniczenie liczby wykonawców; </w:t>
      </w:r>
    </w:p>
    <w:p w14:paraId="558299B1" w14:textId="77777777" w:rsidR="00CB2D51" w:rsidRPr="00DA788D" w:rsidRDefault="002E64C7" w:rsidP="00DA788D">
      <w:pPr>
        <w:numPr>
          <w:ilvl w:val="0"/>
          <w:numId w:val="11"/>
        </w:numPr>
        <w:spacing w:after="120"/>
        <w:ind w:left="641"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informację o podziale dialogu na etapy, jeżeli zamawiający przewiduje taki podział w celu ograniczenia liczby rozwiązań, które będą przedmiotem dialogu na kolejnych etapach.</w:t>
      </w:r>
    </w:p>
    <w:p w14:paraId="0E4F0ACC" w14:textId="66BB977D"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Minimalny 30-dniowy termin składania wniosków o dopuszczenie do udziału w postępowaniu wskazany w art. 1</w:t>
      </w:r>
      <w:r w:rsidR="00E63B4A">
        <w:rPr>
          <w:rFonts w:ascii="Times New Roman" w:eastAsia="Times New Roman" w:hAnsi="Times New Roman" w:cs="Times New Roman"/>
          <w:sz w:val="24"/>
          <w:szCs w:val="24"/>
        </w:rPr>
        <w:t>76</w:t>
      </w:r>
      <w:r w:rsidRPr="00DA788D">
        <w:rPr>
          <w:rFonts w:ascii="Times New Roman" w:eastAsia="Times New Roman" w:hAnsi="Times New Roman" w:cs="Times New Roman"/>
          <w:sz w:val="24"/>
          <w:szCs w:val="24"/>
        </w:rPr>
        <w:t xml:space="preserve"> ust. 1 projektu ustawy, nie został zmieniony, gdyż jest on odzwierciedleniem przepisów dyrektywy klasycznej właściwych dla dialogu konkurencyjnego. </w:t>
      </w:r>
    </w:p>
    <w:p w14:paraId="095DF26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Stosownie do art. 176 ust. 2 projektu ustawy, do wniosków o dopuszczenie do udziału w postępowaniu stosuje się przepisy właściwe dla przetargu ograniczonego, w tym regulacje stanowiące o podstawach do odrzucenia wniosku o dopuszczenie do udziału w postępowaniu. </w:t>
      </w:r>
    </w:p>
    <w:p w14:paraId="7428248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tak jak dotychczas będzie mógł ograniczyć liczbę wykonawców niepodlegających wykluczeniu oraz spełniających warunki udziału w postępowaniu, których zaprosi do prowadzenia dialogu, o ile liczba ta jest wystarczająca, aby zapewnić konkurencję i nie jest mniejsza niż 3</w:t>
      </w:r>
      <w:r w:rsidR="00BA0B13" w:rsidRPr="00DA788D">
        <w:rPr>
          <w:rFonts w:ascii="Times New Roman" w:eastAsia="Times New Roman" w:hAnsi="Times New Roman" w:cs="Times New Roman"/>
          <w:sz w:val="24"/>
          <w:szCs w:val="24"/>
        </w:rPr>
        <w:t>.</w:t>
      </w:r>
    </w:p>
    <w:p w14:paraId="430EAFE7" w14:textId="45AF74B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będzie zatem zapraszał jednocześnie do dialogu wykonawców, których wnioski o dopuszczenie do udziału w postępowaniu nie podlegały odrzuceniu, a w przypadku ustalenia kryteriów selekcji – wykonawców, którzy spełniają te kryteria, w liczbie ustalonej przez zamawiającego. W projekcie ustawy wprowadzona została wyraźna regulacja, zgodnie z którą w przypadku, gdy liczba wykonawców, którzy złożyli w terminie wnioski o dopuszczenie do udziału w postępowaniu oraz spełniają warunki udziału w postępowaniu, jest mniejsza od minimalnej liczby określonej przez zamawiającego zgodnie z art. 177, zamawiający będzie mógł kontynuować postępowanie, zapraszając do dialogu tych wykonawców albo unieważnia postępowanie na podstawie art. 258</w:t>
      </w:r>
      <w:r w:rsidR="00E63B4A">
        <w:rPr>
          <w:rFonts w:ascii="Times New Roman" w:eastAsia="Times New Roman" w:hAnsi="Times New Roman" w:cs="Times New Roman"/>
          <w:sz w:val="24"/>
          <w:szCs w:val="24"/>
        </w:rPr>
        <w:t xml:space="preserve"> ust. 1</w:t>
      </w:r>
      <w:r w:rsidRPr="00DA788D">
        <w:rPr>
          <w:rFonts w:ascii="Times New Roman" w:eastAsia="Times New Roman" w:hAnsi="Times New Roman" w:cs="Times New Roman"/>
          <w:sz w:val="24"/>
          <w:szCs w:val="24"/>
        </w:rPr>
        <w:t xml:space="preserve">. </w:t>
      </w:r>
    </w:p>
    <w:p w14:paraId="257F0EC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Powyższe projektowane regulacje są odzwierciedleniem przepisów art. 65 dyrektywy klasycznej dotyczących możliwości ograniczania liczby wykonawców na podstawie tzw. kryteriów selekcji. </w:t>
      </w:r>
    </w:p>
    <w:p w14:paraId="1667BF2B" w14:textId="77777777" w:rsidR="00CB2D51" w:rsidRPr="00DA788D" w:rsidRDefault="002E64C7" w:rsidP="00DA788D">
      <w:pPr>
        <w:spacing w:after="120"/>
        <w:ind w:firstLine="708"/>
        <w:jc w:val="both"/>
        <w:rPr>
          <w:rFonts w:ascii="Times New Roman" w:eastAsia="Times New Roman" w:hAnsi="Times New Roman" w:cs="Times New Roman"/>
          <w:i/>
          <w:sz w:val="24"/>
          <w:szCs w:val="24"/>
        </w:rPr>
      </w:pPr>
      <w:r w:rsidRPr="00DA788D">
        <w:rPr>
          <w:rFonts w:ascii="Times New Roman" w:eastAsia="Times New Roman" w:hAnsi="Times New Roman" w:cs="Times New Roman"/>
          <w:sz w:val="24"/>
          <w:szCs w:val="24"/>
        </w:rPr>
        <w:lastRenderedPageBreak/>
        <w:t>Zgodnie z Koncepcją Prawa zamówień publicznych, w projekcie ustawy proponuje się rezygnację z obowiązku zamieszczania przez zamawiającego w zaproszeniu do dialogu lub zaproszeniu do składania ofert informacji na temat wykazu podmiotowych środków dowodowych (dotychczas oświadczeń lub dokumentów potwierdzających spełnienie warunków udziału w postępowaniu lub kryteriów selekcji oraz braku podstaw wykluczenia, art. 60d ust. 5 pkt 6 oraz art. 60e ust. 3a pkt 4 ustawy Pzp). Informacja o podmiotowych środkach dowodowych będzie zamieszczana wyłącznie w przypadku, gdy ze względu na specyfikę danego postępowania zamawiający przewiduje wymóg składania wybranych lub wszystkich podmiotowych środków dowodowych na etapie dialogu lub składania ofert. Powyższe koresponduje z motywem 84 dyrektywy klasycznej, stosownie do którego zamawiający powinni być uprawnieni „(…) do zwrócenia się w każdej chwili o całość lub część dokumentów potwierdzających, gdy uważają, że jest to niezbędne dla właściwego przebiegu postępowania. Może to w szczególności dotyczyć procedur dwustopniowych - procedur ograniczonych, procedur konkurencyjnych z negocjacjami, dialogów konkurencyjnych oraz partnerstw innowacyjnych - w ramach którego instytucje zamawiające korzystają z możliwości ograniczania liczby kandydatów zaproszonych do złożenia oferty. Wymóg przedłożenia dokumentów potwierdzających w chwili kwalifikacji zapraszanych kandydatów może być uzasadniony, by nie dopuścić do zaproszenia przez instytucje zamawiające kandydatów, którzy następnie nie są w stanie przedłożyć tych dokumentów na etapie udzielania zamówienia, tym samym uniemożliwiając udział kwalifikującym się kandydatom. (…)”.</w:t>
      </w:r>
    </w:p>
    <w:p w14:paraId="251D8F4B" w14:textId="771E912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nowej ustawie, zgodnie z Koncepcją Prawa zamówień publicznych, proponuje się również doprecyzowanie przepisów dotyczących etapu dialogu. W projekcie ustawy wprowadza się regulację, zgodnie z którą zamawiający informuje jednocześnie wszystkich wykonawców o wynikach kwalifikacji propozycji do kolejnego etapu, podając uzasadnienie faktyczne i prawne. Ponadto, zamawiający informuje jednocześnie wszystkich wykonawców, których propozycje zostały zakwalifikowane do kolejnych etapów dialogu, na podstawie art. 183, o wszelkich zmianach mających wpływ na treść kolejnych propozycji lub ofert, w szczególności o zmianach związanych z opisem potrzeb zamawiającego i cechami charakterystycznymi dostaw, robót budowlanych lub usług, stanowiących przedmiot zamówienia, warunkami umowy w sprawie zamówienia publicznego, tak aby poszczególni wykonawcy mieli jednakowo wystarczająco dużo czasu na zmodyfikowanie i ponowne złożenie kolejnych poprawionych propozycji lub ofert. </w:t>
      </w:r>
    </w:p>
    <w:p w14:paraId="7A0EEC5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Podczas dialogu, w odróżnieniu od negocjacji ofert w trybie negocjacji z ogłoszeniem, zamawiający będzie mógł omawiać z zaproszonymi wykonawcami wszystkie aspekty zamówienia. Analogiczna regulacja zwarta jest obecnie w art. 60d ust. 7 zdanie pierwsze ustawy Pzp. </w:t>
      </w:r>
    </w:p>
    <w:p w14:paraId="298D9302" w14:textId="6BE523C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celu uelastycznienia trybu dialogu konkurencyjnego w nowej ustawie proponuje się rezygnację z wyznaczania wprost w ustawie minimalnego terminu składnia ofert ostatecznych (art. 60e ust. 4 obecnej ustawy Pzp). Jest to zgodne z przepisami dyrektywy 2014/24/UE, które nie wskazują w tym zakresie terminów minimalnych, a jedynie wytyczne do ich wyznaczania (art. 47 dyrektywy 2014/24/UE w związku z art. 131 projektu ustawy).</w:t>
      </w:r>
    </w:p>
    <w:p w14:paraId="374D7FA1" w14:textId="13440078"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Odział 6</w:t>
      </w:r>
      <w:r w:rsidR="00A80750">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Partnerstwo innowacyjne</w:t>
      </w:r>
    </w:p>
    <w:p w14:paraId="33261D6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Przepisy stanowiące o partnerstwie innowacyjnym zostały dodane do ustawy Pzp przez ustawę z dnia 22 czerwca 2016 r., która wdrażała do krajowego porządku prawnego m.in. dyrektywę 2014/24/UE. </w:t>
      </w:r>
    </w:p>
    <w:p w14:paraId="5842D10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Tryb ustanowienia partnerstwa innowacyjnego został opracowany z myślą o takich zamawiających, którzy poszukują innowacyjnych rozwiązań, i są przekonani, że oferowane przez rynek produkty i usługi nie są w stanie zaspokoić ich potrzeb. Zgłaszają oni swoje zapotrzebowanie określając przy tym minimalne, ale jednocześnie precyzyjne wymogi, w odpowiedzi na które zainteresowani współpracą wykonawcy składają wnioski o dopuszczenie do udziału w postępowaniu. Skorzystanie z ustanowienia partnerstwa innowacyjnego powinno być poprzedzone gruntowną analizą rynku, której celem jest stwierdzenie, czy dostępne na rynku rozwiązania będą w stanie odpowiedzieć na potrzeby zamawiającego czy też istnieje potrzeba stworzenia nowego rozwiązania. Ta analiza powinna służyć m.in. temu, aby zamawiający nie wszczynał bez potrzeby czasochłonnej procedury, jeśli odpowiednie rozwiązanie już istnieje na rynku lub istnieją przesłanki, aby przyjąć, że w niedługim czasie takie rozwiązanie powstanie. Wówczas bardziej zasadne wydaje się udzielenie zamówienia w trybie negocjacji z ogłoszeniem albo dialogu konkurencyjnym. Podkreślenia wymaga jednak fakt, że ocena rynku dokonywana jest w określonym momencie i na ten moment jest ważna. Oznacza to, że jeżeli po wszczęciu trybu partnerstwa innowacyjnego pojawi się na rynku rozwiązanie odpowiadające potrzebom zamawiającego, nie musi on unieważniać postępowania.</w:t>
      </w:r>
    </w:p>
    <w:p w14:paraId="165B01B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Celem ułatwienia stosowania partnerstwa innowacyjnego i zachęcenia do stosowania tego trybu, proponuje się uelastycznienie, a jednocześnie doprecyzowanie przepisów dotyczących partnerstwa innowacyjnego, w tym jego definicji, tak aby zastosowanie tego trybu było możliwe w jak największej ilości przypadków. </w:t>
      </w:r>
    </w:p>
    <w:p w14:paraId="735FE3A4" w14:textId="3345816A"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projektem ustawy, partnerstwo innowacyjne to tryb udzielenia zamówienia, w którym w odpowiedzi na ogłoszenie o zamówieniu wnioski o dopuszczenie do udziału w postępowaniu mogą składać wszyscy zainteresowani wykonawcy, </w:t>
      </w:r>
      <w:r w:rsidR="00E63B4A">
        <w:rPr>
          <w:rFonts w:ascii="Times New Roman" w:eastAsia="Times New Roman" w:hAnsi="Times New Roman" w:cs="Times New Roman"/>
          <w:sz w:val="24"/>
          <w:szCs w:val="24"/>
        </w:rPr>
        <w:t>po czym</w:t>
      </w:r>
      <w:r w:rsidRPr="00DA788D">
        <w:rPr>
          <w:rFonts w:ascii="Times New Roman" w:eastAsia="Times New Roman" w:hAnsi="Times New Roman" w:cs="Times New Roman"/>
          <w:sz w:val="24"/>
          <w:szCs w:val="24"/>
        </w:rPr>
        <w:t xml:space="preserve"> zamawiający zaprasza wykonawców dopuszczonych do udziału w postępowaniu do składania ofert wstępnych, prowadzi z nimi negocjacje w celu ulepszenia treści ofert </w:t>
      </w:r>
      <w:r w:rsidR="00E63B4A">
        <w:rPr>
          <w:rFonts w:ascii="Times New Roman" w:eastAsia="Times New Roman" w:hAnsi="Times New Roman" w:cs="Times New Roman"/>
          <w:sz w:val="24"/>
          <w:szCs w:val="24"/>
        </w:rPr>
        <w:t xml:space="preserve">wstępnych, ofert </w:t>
      </w:r>
      <w:r w:rsidRPr="00DA788D">
        <w:rPr>
          <w:rFonts w:ascii="Times New Roman" w:eastAsia="Times New Roman" w:hAnsi="Times New Roman" w:cs="Times New Roman"/>
          <w:sz w:val="24"/>
          <w:szCs w:val="24"/>
        </w:rPr>
        <w:t>składanych na etapie negocjacji, po zakończeniu których zaprasza do składania ofert na</w:t>
      </w:r>
      <w:r w:rsidR="00E63B4A">
        <w:rPr>
          <w:rFonts w:ascii="Times New Roman" w:eastAsia="Times New Roman" w:hAnsi="Times New Roman" w:cs="Times New Roman"/>
          <w:sz w:val="24"/>
          <w:szCs w:val="24"/>
        </w:rPr>
        <w:t xml:space="preserve"> prace badawczo rozwojowe, których celem jest</w:t>
      </w:r>
      <w:r w:rsidRPr="00DA788D">
        <w:rPr>
          <w:rFonts w:ascii="Times New Roman" w:eastAsia="Times New Roman" w:hAnsi="Times New Roman" w:cs="Times New Roman"/>
          <w:sz w:val="24"/>
          <w:szCs w:val="24"/>
        </w:rPr>
        <w:t xml:space="preserve"> opracowanie innowacyjnego produktu, usług lub robót budowlanych</w:t>
      </w:r>
      <w:r w:rsidR="00E63B4A">
        <w:rPr>
          <w:rFonts w:ascii="Times New Roman" w:eastAsia="Times New Roman" w:hAnsi="Times New Roman" w:cs="Times New Roman"/>
          <w:sz w:val="24"/>
          <w:szCs w:val="24"/>
        </w:rPr>
        <w:t>, a następnie dokonuje</w:t>
      </w:r>
      <w:r w:rsidRPr="00DA788D">
        <w:rPr>
          <w:rFonts w:ascii="Times New Roman" w:eastAsia="Times New Roman" w:hAnsi="Times New Roman" w:cs="Times New Roman"/>
          <w:sz w:val="24"/>
          <w:szCs w:val="24"/>
        </w:rPr>
        <w:t xml:space="preserve"> </w:t>
      </w:r>
      <w:r w:rsidR="00E63B4A">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bez konieczności przeprowadzania odrębnego postępowania o udzielenie zamówienia</w:t>
      </w:r>
      <w:r w:rsidR="00E63B4A">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zakupu dostaw, usług lub robót budowlanych, będących wynikiem </w:t>
      </w:r>
      <w:r w:rsidR="00E63B4A">
        <w:rPr>
          <w:rFonts w:ascii="Times New Roman" w:eastAsia="Times New Roman" w:hAnsi="Times New Roman" w:cs="Times New Roman"/>
          <w:sz w:val="24"/>
          <w:szCs w:val="24"/>
        </w:rPr>
        <w:t>prac</w:t>
      </w:r>
      <w:r w:rsidRPr="00DA788D">
        <w:rPr>
          <w:rFonts w:ascii="Times New Roman" w:eastAsia="Times New Roman" w:hAnsi="Times New Roman" w:cs="Times New Roman"/>
          <w:sz w:val="24"/>
          <w:szCs w:val="24"/>
        </w:rPr>
        <w:t xml:space="preserve"> badawczo-rozwojowych, na podstawie których dokonano opracowania innowacyjnego produktu, usług lub robót budowlanych, pod warunkiem że odpowiadają one poziomom wydajności i maksymalnym kosztom uzgodnionym między zamawiającym a wykonawcą lub wykonawcami. </w:t>
      </w:r>
    </w:p>
    <w:p w14:paraId="40AD0EA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Przez innowacyjny produkt, usługę lub roboty budowlane należy rozumieć, niedostępny na rynku, nowy lub znacznie udoskonalony produkt, usługę lub proces, w tym proces produkcji, budowy lub konstrukcji, nową metodę marketingową lub nową metodę organizacyjną w działalności gospodarczej, organizowaniu pracy lub relacjach zewnętrznych.</w:t>
      </w:r>
    </w:p>
    <w:p w14:paraId="4A18E5A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Istotą ustanowienia partnerstwa innowacyjnego nie jest więc tylko opracowanie innowacyjnego produktu, usługi czy roboty budowlanej, ale również ich zakup bez konieczności przeprowadzania odrębnego postępowania o udzielenie zamówienia. W ustanowieniu partnerstwa innowacyjnego mamy zatem do czynienia z jedną umową, obejmującą zarówno fazę badawczo-rozwojową, jak i późniejsze wyprodukowanie i dostarczenie innowacyjnego produktu, świadczenie usługi czy ukończenie robót budowlanych.</w:t>
      </w:r>
    </w:p>
    <w:p w14:paraId="38300E1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Tak jak dotychczas, zamawiający może podjąć decyzję o ustanowieniu partnerstwa innowacyjnego z jednym partnerem lub kilkoma partnerami prowadzącymi odrębne działania badawczo-rozwojowe, co ma w szczególności na celu zapobieżenie ograniczenia lub zakłócenia konkurencji. </w:t>
      </w:r>
    </w:p>
    <w:p w14:paraId="269965F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Koncepcją Prawa zamówień publicznych, w celu zachęcenia wykonawców - szczególnie z sektora MŚP - do udziału w postępowaniach, których przedmiotem jest nabycie innowacyjnego produktu, usługi lub roboty budowlanej, proponuje się zniesienie zasady solidarnej odpowiedzialności wykonawców wspólnie ubiegających się o udzielenie zamówienia publicznego za wykonanie umowy. Celem powyższej zmiany jest takie ukształtowanie odpowiedzialności wykonawców wspólnie ubiegających się o udzielenie zamówienia za wykonanie umowy, żeby każdy z członków konsorcjum ponosił odpowiedzialność tylko za tę część umowy, którą rzeczywiście wykonuje. W takim przypadku wykonawca (konsorcjant) odpowiedzialny za fazę badawczo-rozwojową partnerstwa nie będzie ponosił odpowiedzialności za fazę wytworzenia, produkcji seryjnej itp., za którą odpowiedzialny będzie inny konsorcjant i odwrotnie.</w:t>
      </w:r>
    </w:p>
    <w:p w14:paraId="65E8A35E" w14:textId="5129DB0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bowiem z art. 445 ust. 2 </w:t>
      </w:r>
      <w:r w:rsidR="009F6261">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solidarnej </w:t>
      </w:r>
      <w:r w:rsidR="00A80750" w:rsidRPr="00DA788D">
        <w:rPr>
          <w:rFonts w:ascii="Times New Roman" w:eastAsia="Times New Roman" w:hAnsi="Times New Roman" w:cs="Times New Roman"/>
          <w:sz w:val="24"/>
          <w:szCs w:val="24"/>
        </w:rPr>
        <w:t>odpowiedzialnoś</w:t>
      </w:r>
      <w:r w:rsidR="00A80750">
        <w:rPr>
          <w:rFonts w:ascii="Times New Roman" w:eastAsia="Times New Roman" w:hAnsi="Times New Roman" w:cs="Times New Roman"/>
          <w:sz w:val="24"/>
          <w:szCs w:val="24"/>
        </w:rPr>
        <w:t>ci</w:t>
      </w:r>
      <w:r w:rsidR="00A80750"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za wykonanie umowy i wniesienie zabezpieczenia należytego wykonania umowy nie stosuje się do zamówienia, którego przedmiotem jest nabycie innowacyjnego produktu, usługi lub roboty budowlanej, udzielonego w trybie partnerstwa innowacyjnego wykonawcom wspólnie ubiegającym się o udzielenie zamówienia publicznego. W takim przypadku wykonawcy ci ponoszą odpowiedzialność za wykonanie tej części umowy, którą wykonują zgodnie z umową zawartą między tymi wykonawcami.</w:t>
      </w:r>
    </w:p>
    <w:p w14:paraId="28D03EA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Procedura ustanowienia partnerstwa innowacyjnego opiera się na trybie negocjacji z ogłoszeniem.</w:t>
      </w:r>
    </w:p>
    <w:p w14:paraId="5800E0B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nowej ustawie w celu uelastycznienia trybu partnerstwa innowacyjnego oraz zachęcenia zamawiających do jego stosowania, analogicznie jak w trybie negocjacji z ogłoszeniem, proponuje się ukształtowanie przepisów dotyczących istoty negocjacji na wzór dyrektyw, tj. negocjowania ofert w celu ulepszenia ich treści. Obowiązujące przepisy dają jedynie możliwość doprecyzowania lub uzupełnienia opisu przedmiotu zamówienia lub warunków umowy, z zachowaniem wymogów minimalnych sformułowanych przez zamawiającego i kryteriów udzielenia zamówienia. Proponowana zmiana lepiej oddaje istotę i cel negocjacji. Negocjacjom ofert nie będą mogły jednak prowadzić do zmiany minimalnych wymagań oraz kryteriów oceny ofert, które zostały wskazane przez zamawiającego w ogłoszeniu o zamówieniu oraz w opisie potrzeb i wymagań.</w:t>
      </w:r>
    </w:p>
    <w:p w14:paraId="34B9A7F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założeniami przedstawionymi w Koncepcji Prawa zamówień publicznych w projekcie ustawy proponuje się rezygnację z udostępniania przez zamawiającego specyfikacji istotnych warunków zamówienia na stronie internetowej od dnia publikacji ogłoszenia o zamówieniu. Zgodnie z projektem ustawy, w trybie partnerstwa innowacyjnego zamawiający będzie udostępniał od dnia publikacji ogłoszenia o zamówieniu w Dzienniku Urzędowym Unii Europejskiej „opis potrzeb i wymagań” (zamiast dotychczasowej specyfikacji istotnych warunków zamówienia), w celu ustalenia przez wykonawców charakteru i zakresu wymaganego rozwiązania dotyczącego opracowania innowacyjnego produktu, usługi lub robót budowlanych oraz wymagań formalnych i proceduralnych dotyczących postępowania. Opis potrzeb i wymagań będzie modyfikowany na kolejnych etapach postępowania, z wyjątkiem minimalnych wymogów i kryteriów udzielenia zamówienia, które nie podlegają negocjacjom. Natomiast po ostatecznym zakończeniu etapu negocjacji zamawiający sporządza opis potrzeb i wymagań, który stanowi doprecyzowanie oraz uzupełnienie informacji zawartych w opisie potrzeb i </w:t>
      </w:r>
      <w:r w:rsidRPr="00DA788D">
        <w:rPr>
          <w:rFonts w:ascii="Times New Roman" w:eastAsia="Times New Roman" w:hAnsi="Times New Roman" w:cs="Times New Roman"/>
          <w:sz w:val="24"/>
          <w:szCs w:val="24"/>
        </w:rPr>
        <w:lastRenderedPageBreak/>
        <w:t xml:space="preserve">wymagań udostępnianym od dnia publikacji ogłoszenia o zamówieniu w Dzienniku Urzędowym Unii Europejskiej, wyłącznie w zakresie, w jakim było to przedmiotem negocjacji. </w:t>
      </w:r>
    </w:p>
    <w:p w14:paraId="516DA69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Koncepcją Prawa zamówień publicznych, proponuje się rezygnację z obowiązkowego zamieszczania w ogłoszeniu o zamówieniu oraz w opisie potrzeb i wymagań (udostępnianym na etapie publikacji ogłoszenia) elementów opisu przedmiotu zamówienia na rzecz zapotrzebowania na innowacyjny produkt, usługę lub roboty budowlane i opisu minimalnych wymogów, jakie muszą spełniać oferty. Aktualnie uczestnicy rynku wskazują na trudności z określaniem elementów opisu przedmiotu w sytuacji, kiedy dopiero na etapie realizacji partnerstwa kształtowane są rozwiązania spełniające zapotrzebowanie zamawiającego. </w:t>
      </w:r>
    </w:p>
    <w:p w14:paraId="769DC6D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Założeniem partnerstwa innowacyjnego jest poszukiwanie nowych rozwiązań, nie jest zatem celowe dokonywanie szczegółowego opisu przedmiotu zamówienia. Rozwiązanie to powinno wyeliminować wątpliwości dotyczące zasad opisu przedmiotu zamówienia aktualnie zawartych w art. 29 ust. 1 ustawy Pzp oraz sposobu opisu zamówienia na roboty budowlane (obecnie art. 31 ustawy Pzp). </w:t>
      </w:r>
    </w:p>
    <w:p w14:paraId="1DE26FAA" w14:textId="6703337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nowej ustawie proponuje się rezygnację z konieczności wskazywania na etapie ogłoszenia o zamówieniu i udostępniania dokumentów zamówienia (obecnie zwanych „opisem potrzeb i wymagań</w:t>
      </w:r>
      <w:r w:rsidR="00A80750">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również innych informacji, które z uwagi na specyfikę trybu partnerstwa innowacyjnego nie są jeszcze możliwe do określenia na etapie wszczęcia postępowania. Dotyczy to m.in.: informacji o etapach partnerstwa innowacyjnego, celach do osiągnięcia po każdym z nich oraz celach pośrednich; informacji o możliwości zakończenia partnerstwa innowacyjnego lub zmniejszenia liczby partnerów po każdym etapie oraz warunki skorzystania z tych możliwości, jeżeli zamawiający przewiduje taką możliwość. Informacje te powinny być jednak zawarte w opisie potrzeb i wymagań udostępnianym na etapie składania ofert ostatecznych. </w:t>
      </w:r>
    </w:p>
    <w:p w14:paraId="12E297E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w zaproszeniu do składania ofert wskazuje wagę poszczególnych kryteriów oceny ofert, jeżeli nie została ona przypisana na wcześniejszym etapie postępowania (art. 186 ust. 2 pkt 4).</w:t>
      </w:r>
      <w:r w:rsidRPr="00DA788D">
        <w:rPr>
          <w:rFonts w:ascii="Times New Roman" w:eastAsia="Times New Roman" w:hAnsi="Times New Roman" w:cs="Times New Roman"/>
          <w:sz w:val="24"/>
          <w:szCs w:val="24"/>
        </w:rPr>
        <w:tab/>
      </w:r>
    </w:p>
    <w:p w14:paraId="19EAA69B" w14:textId="7D26FAD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nowej ustawie proponuje się wprowadzenie regulacji umożliwiającej przyznawanie wykonawcom - na etapie negocjacji – nagród za przedstawione propozycje innowacyjnych rozwiązań, co ma zachęcić wykonawców do uczestniczenia w wypracowywaniu innowacyjnych rozwiązań w postępowaniach prowadzonych przez zamawiających. W związku z tym, zgodnie art. 174 ust. 2 pkt 2</w:t>
      </w:r>
      <w:r w:rsidR="009F6261">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zamawiający w opisie potrzeb i wymagań udostępnianym na etapie wszczęcia postępowania podaje informacje o wysokości nagród dla wykonawców, którzy podczas negocjacji przedstawili propozycję innowacyjnych rozwiązań w zakresie przedmiotu zamówienia, jeżeli przewidział przyznanie takich nagród.</w:t>
      </w:r>
    </w:p>
    <w:p w14:paraId="5A063D6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wprowadzono regulację, która pozwala zamawiającemu na elastyczny wybór i nabycie oferowanego przez partnerów produktu, usługi czy robót budowlanych w sytuacji, w której kilku partnerów udało się zakwalifikować do etapu produktu finalnego. Przepisy powinny zapewniać wybór produktu zgodnie z zasadami uczciwej konkurencji i równego traktowania, ale jednocześnie nie powinny nadmiernie formalizować tego etapu postępowania. </w:t>
      </w:r>
    </w:p>
    <w:p w14:paraId="3C6F9CD9" w14:textId="20C5F517"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w:t>
      </w:r>
      <w:r w:rsidR="00A80750">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 xml:space="preserve"> 7 i 8</w:t>
      </w:r>
      <w:r w:rsidR="00A80750">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w:t>
      </w:r>
      <w:r w:rsidR="006908A2">
        <w:rPr>
          <w:rFonts w:ascii="Times New Roman" w:eastAsia="Times New Roman" w:hAnsi="Times New Roman" w:cs="Times New Roman"/>
          <w:b/>
          <w:sz w:val="24"/>
          <w:szCs w:val="24"/>
        </w:rPr>
        <w:t>N</w:t>
      </w:r>
      <w:r w:rsidRPr="00DA788D">
        <w:rPr>
          <w:rFonts w:ascii="Times New Roman" w:eastAsia="Times New Roman" w:hAnsi="Times New Roman" w:cs="Times New Roman"/>
          <w:b/>
          <w:sz w:val="24"/>
          <w:szCs w:val="24"/>
        </w:rPr>
        <w:t>egocjacj</w:t>
      </w:r>
      <w:r w:rsidR="006908A2">
        <w:rPr>
          <w:rFonts w:ascii="Times New Roman" w:eastAsia="Times New Roman" w:hAnsi="Times New Roman" w:cs="Times New Roman"/>
          <w:b/>
          <w:sz w:val="24"/>
          <w:szCs w:val="24"/>
        </w:rPr>
        <w:t>e</w:t>
      </w:r>
      <w:r w:rsidRPr="00DA788D">
        <w:rPr>
          <w:rFonts w:ascii="Times New Roman" w:eastAsia="Times New Roman" w:hAnsi="Times New Roman" w:cs="Times New Roman"/>
          <w:b/>
          <w:sz w:val="24"/>
          <w:szCs w:val="24"/>
        </w:rPr>
        <w:t xml:space="preserve"> bez ogłoszenia oraz  </w:t>
      </w:r>
      <w:r w:rsidR="00D2773F">
        <w:rPr>
          <w:rFonts w:ascii="Times New Roman" w:eastAsia="Times New Roman" w:hAnsi="Times New Roman" w:cs="Times New Roman"/>
          <w:b/>
          <w:sz w:val="24"/>
          <w:szCs w:val="24"/>
        </w:rPr>
        <w:t>z</w:t>
      </w:r>
      <w:r w:rsidR="006908A2" w:rsidRPr="00DA788D">
        <w:rPr>
          <w:rFonts w:ascii="Times New Roman" w:eastAsia="Times New Roman" w:hAnsi="Times New Roman" w:cs="Times New Roman"/>
          <w:b/>
          <w:sz w:val="24"/>
          <w:szCs w:val="24"/>
        </w:rPr>
        <w:t>amówieni</w:t>
      </w:r>
      <w:r w:rsidR="006908A2">
        <w:rPr>
          <w:rFonts w:ascii="Times New Roman" w:eastAsia="Times New Roman" w:hAnsi="Times New Roman" w:cs="Times New Roman"/>
          <w:b/>
          <w:sz w:val="24"/>
          <w:szCs w:val="24"/>
        </w:rPr>
        <w:t>e</w:t>
      </w:r>
      <w:r w:rsidR="006908A2"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b/>
          <w:sz w:val="24"/>
          <w:szCs w:val="24"/>
        </w:rPr>
        <w:t xml:space="preserve">z wolnej ręki </w:t>
      </w:r>
    </w:p>
    <w:p w14:paraId="20E0FC4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uregulowano przesłanki zastosowania tych trybów analogicznie jak dotychczas. </w:t>
      </w:r>
    </w:p>
    <w:p w14:paraId="723B52FC" w14:textId="6ACA5B2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W nowej ustawie proponuje się likwidację obowiązku zawiadamiania Prezesa UZP o wszczęciu postępowania w trybie negocjacji z ogłoszeniem (obecny art. 62 ust. 2</w:t>
      </w:r>
      <w:r w:rsidR="00D2773F">
        <w:rPr>
          <w:rFonts w:ascii="Times New Roman" w:eastAsia="Times New Roman" w:hAnsi="Times New Roman" w:cs="Times New Roman"/>
          <w:sz w:val="24"/>
          <w:szCs w:val="24"/>
        </w:rPr>
        <w:t xml:space="preserve"> ustawy Pzp</w:t>
      </w:r>
      <w:r w:rsidRPr="00DA788D">
        <w:rPr>
          <w:rFonts w:ascii="Times New Roman" w:eastAsia="Times New Roman" w:hAnsi="Times New Roman" w:cs="Times New Roman"/>
          <w:sz w:val="24"/>
          <w:szCs w:val="24"/>
        </w:rPr>
        <w:t xml:space="preserve">) oraz zamówienia z wolnej ręki (obecny art. 67 ust. 2 ustawy Pzp). W związku z tym proponuje się w projekcie ustawy – Przepisy wprowadzające ustawę </w:t>
      </w:r>
      <w:r w:rsidR="006908A2">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Prawo zamówień publicznych uchylenie w art. 17 w ust. 1 pkt 6 ustawy z dnia 17 grudnia 2004 r. o odpowiedzialności za naruszenie dyscypliny finansów publicznych (Dz. U. z 2018 r. poz. 1458, z późn. zm</w:t>
      </w:r>
      <w:r w:rsidR="006908A2">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jednego z czynów stanowiących naruszenie dyscypliny finansów publicznych. </w:t>
      </w:r>
    </w:p>
    <w:p w14:paraId="68EB7EE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projekcie ustawy nie dookreśla się szczegółów postępowania w trybie negocjacji bez ogłoszenia oraz zamówienia z wolnej ręki, pozwalając zamawiającemu samodzielne decydować o przebiegu postępowania. Takie rozwiązanie jest zgodne również z przepisami dyrektyw, które nie zawierają przepisów określających sposób postępowania w tych trybach. </w:t>
      </w:r>
    </w:p>
    <w:p w14:paraId="2D70AA1B" w14:textId="655837FD" w:rsidR="00CB2D51" w:rsidRPr="00DA788D" w:rsidRDefault="002E64C7" w:rsidP="00DA788D">
      <w:pPr>
        <w:spacing w:after="120"/>
        <w:ind w:firstLine="708"/>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Proponuje się natomiast odformalizowanie trybu zamówienia z wolnej ręki. Zamawiający nie będzie miał już obowiązku żądania od wykonawcy jednolitego dokumentu, gdyż zgodnie z art. 217 ust. 2</w:t>
      </w:r>
      <w:r w:rsidR="00D2773F">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przed udzieleniem zamówienia zamawiający będzie mógł odstąpić od żądania złożenia przez wykonawcę oświadczenia u, o którym mowa w art. 125 ust. </w:t>
      </w:r>
      <w:r w:rsidR="00D143AE">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projektu ustawy</w:t>
      </w:r>
      <w:r w:rsidR="00D143AE">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w:t>
      </w:r>
    </w:p>
    <w:p w14:paraId="20056218" w14:textId="439E041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Ponadto, w przypadku udzielania zamówienia w trybie negocjacji bez ogłoszenia, na podstawie art. 209 ust. 1 pkt 4 projektu ustawy (tj. pilna potrzeba udzielenia zamówienia), zamawiający będzie mógł odstąpić od żądania złożenia przez wykonawcę oświadczenia, o którym mowa w art. 125 ust. </w:t>
      </w:r>
      <w:r w:rsidR="00D143AE">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projektu ustawy</w:t>
      </w:r>
      <w:r w:rsidR="00D143A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Projektuje się również, aby w przypadku zamówień udzielanych w trybie zamówienia z wolnej ręki na podstawie art. 214 ust. 1 pkt 11-14 (dotychczas art. 67 ust. 1 pkt 12-15</w:t>
      </w:r>
      <w:r w:rsidR="00D2773F">
        <w:rPr>
          <w:rFonts w:ascii="Times New Roman" w:eastAsia="Times New Roman" w:hAnsi="Times New Roman" w:cs="Times New Roman"/>
          <w:sz w:val="24"/>
          <w:szCs w:val="24"/>
        </w:rPr>
        <w:t xml:space="preserve"> ustawy Pzp</w:t>
      </w:r>
      <w:r w:rsidRPr="00DA788D">
        <w:rPr>
          <w:rFonts w:ascii="Times New Roman" w:eastAsia="Times New Roman" w:hAnsi="Times New Roman" w:cs="Times New Roman"/>
          <w:sz w:val="24"/>
          <w:szCs w:val="24"/>
        </w:rPr>
        <w:t>) zamiast informacji zamieszczanych w Biuletynie Informacji Publicznej, zamieszczane były w Biuletynie Zamówień Publicznych ogłoszenie o zamiarze zawarcia umowy oraz ogłoszenie o wyniku postępowania, zawierające informację o udzieleniu lub unieważnieniu postępowania (art. 265</w:t>
      </w:r>
      <w:r w:rsidR="00D2773F">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w:t>
      </w:r>
    </w:p>
    <w:p w14:paraId="09910598" w14:textId="7FEC5D1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Doprecyzowane zostaną przesłanki skorzystania z wolnej ręki w przypadku tzw. zamówień in-house. Przesłanki skorzystania z tego trybu zgodnie z art. 214 ust. 4 </w:t>
      </w:r>
      <w:r w:rsidR="00E422EA">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xml:space="preserve">będą musiały być spełnione przez cały okres trwania umowy zawartej w oparciu o przesłanki wskazane w ust. 1 pkt 11-14 tego artykułu. Dodatkowo zostanie wskazane, że reorganizacja działalności opisana w </w:t>
      </w:r>
      <w:r w:rsidR="006908A2" w:rsidRPr="00DA788D">
        <w:rPr>
          <w:rFonts w:ascii="Times New Roman" w:eastAsia="Times New Roman" w:hAnsi="Times New Roman" w:cs="Times New Roman"/>
          <w:sz w:val="24"/>
          <w:szCs w:val="24"/>
        </w:rPr>
        <w:t xml:space="preserve">art. 214 </w:t>
      </w:r>
      <w:r w:rsidRPr="00DA788D">
        <w:rPr>
          <w:rFonts w:ascii="Times New Roman" w:eastAsia="Times New Roman" w:hAnsi="Times New Roman" w:cs="Times New Roman"/>
          <w:sz w:val="24"/>
          <w:szCs w:val="24"/>
        </w:rPr>
        <w:t xml:space="preserve">ust. 6 </w:t>
      </w:r>
      <w:r w:rsidR="00D2773F">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ni</w:t>
      </w:r>
      <w:r w:rsidR="00995235">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będzie mogła być </w:t>
      </w:r>
      <w:r w:rsidR="00995235">
        <w:rPr>
          <w:rFonts w:ascii="Times New Roman" w:eastAsia="Times New Roman" w:hAnsi="Times New Roman" w:cs="Times New Roman"/>
          <w:sz w:val="24"/>
          <w:szCs w:val="24"/>
        </w:rPr>
        <w:t>przeprowadzania pozornie</w:t>
      </w:r>
      <w:r w:rsidRPr="00DA788D">
        <w:rPr>
          <w:rFonts w:ascii="Times New Roman" w:eastAsia="Times New Roman" w:hAnsi="Times New Roman" w:cs="Times New Roman"/>
          <w:sz w:val="24"/>
          <w:szCs w:val="24"/>
        </w:rPr>
        <w:t>.</w:t>
      </w:r>
    </w:p>
    <w:p w14:paraId="1B9047A7" w14:textId="48A5F80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5</w:t>
      </w:r>
      <w:r w:rsidR="006908A2">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Składanie i otwarcie ofert</w:t>
      </w:r>
    </w:p>
    <w:p w14:paraId="09198453" w14:textId="22287F7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w:t>
      </w:r>
      <w:r w:rsidR="006908A2">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Składanie ofert</w:t>
      </w:r>
    </w:p>
    <w:p w14:paraId="32F60F89" w14:textId="29BC2DC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Podobnie jak w dotychczasowych przepisach ustawy Pzp, w art. 218 ustawy została przewidziana zasada składania przez wykonawcę tylko jednej oferty, z wyjątkami określonymi ustawą, które dotyczą w szczególności składania ofert wariantowych czy ofert dodatkowych. Treść oferty musi być zgodna z wymaganiami zamawiającego określonymi w dokumentach zamówienia. Przepis art. 218 ustawy nawiązuje w tym zakresie przede wszystkim, w zależności od trybu postępowania i fazy postępowania, odpowiednio do dokumentu specyfikacji warunków zamówienia albo do dokumentu opisu potrzeb i wymagań. </w:t>
      </w:r>
    </w:p>
    <w:p w14:paraId="24BEDB21"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t xml:space="preserve">Przepis art. 219  ustawy utrzymuje zasadę składania oferty tylko do upływu terminu składania ofert. </w:t>
      </w:r>
    </w:p>
    <w:p w14:paraId="48E94B1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Również, tak jak w obecnie obowiązujących przepisach, do upływu terminu składania ofert wykonawca może wycofać ofertę i złożyć nową lub zmienioną ofertę. Zasada ta odnosi się do wymiaru prawnego i oświadczenia woli wykonawcy dotyczącego wycofania oferty, które nie pociąga za sobą obowiązku fizycznego zwrotu oferty przez zamawiającego.</w:t>
      </w:r>
    </w:p>
    <w:p w14:paraId="38F2A3D9"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t xml:space="preserve">Ustawa przewiduje w art. 220 wydłużone w stosunku do przewidzianych w obecnie obowiązujących przepisach, terminy związania ofertą, które wynoszą odpowiednio, licząc od dnia upływu terminu składania ofert: 90 dni (jako zasada) oraz odpowiednio 120 dni (w przypadku, gdy wartość zamówienia dla robót budowlanych jest równa lub przekracza wyrażoną w złotych równowartość kwoty 20 000 000 euro, a dla dostaw lub usług – 10 000 000 euro). W sytuacji, gdy zamawiający przewiduje, że wybór najkorzystniejszej oferty nie nastąpi przed upływem terminu związania ofertą, ma on obowiązek jeszcze przed upływem terminu związania ofertą zwrócenia się do wykonawców o wyrażenie zgody na przedłużenie tego terminu o wskazywany okres, który nie może być jednak dłuższy niż 60 dni. Przedłużenie na żądanie zamawiającego może nastąpić tylko raz w trakcie postępowania. Zamawiający nie będzie mógł zwracać się do wykonawców o dalsze przedłużenie terminu związania ofertą. Termin związania ofertą będzie mógł być przedłużony tylko wówczas, gdy wykonawca złoży wyraźne oświadczenie o przedłużeniu tego terminu i jednocześnie przedłuży wadium lub wniesie nowe wadium na przedłużony okres związania ofertą (o ile wadium jest przewidywane). </w:t>
      </w:r>
    </w:p>
    <w:p w14:paraId="4F848449" w14:textId="06AE625B"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6908A2">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Otwarcie ofert</w:t>
      </w:r>
    </w:p>
    <w:p w14:paraId="2F302429" w14:textId="77777777" w:rsidR="00CE3084" w:rsidRPr="00CE3084" w:rsidRDefault="002E64C7" w:rsidP="00CE3084">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r>
      <w:r w:rsidR="00CE3084" w:rsidRPr="00CE3084">
        <w:rPr>
          <w:rFonts w:ascii="Times New Roman" w:eastAsia="Times New Roman" w:hAnsi="Times New Roman" w:cs="Times New Roman"/>
          <w:sz w:val="24"/>
          <w:szCs w:val="24"/>
        </w:rPr>
        <w:t>Stosownie do art. 221 projektu ustawy, analogicznie jak w dotychczasowym stanie prawnym, zamawiający ma zagwarantować, aby z zawartością ofert nie można było zapoznać się przed upływem terminu ich otwarcia.</w:t>
      </w:r>
    </w:p>
    <w:p w14:paraId="64E81461" w14:textId="6AFFEF09" w:rsidR="00CE3084" w:rsidRPr="00CE3084" w:rsidRDefault="00CE3084" w:rsidP="00CE3084">
      <w:pPr>
        <w:pBdr>
          <w:top w:val="nil"/>
          <w:left w:val="nil"/>
          <w:bottom w:val="nil"/>
          <w:right w:val="nil"/>
          <w:between w:val="nil"/>
        </w:pBdr>
        <w:ind w:firstLine="510"/>
        <w:jc w:val="both"/>
        <w:rPr>
          <w:rFonts w:ascii="Times New Roman" w:eastAsia="Times" w:hAnsi="Times New Roman" w:cs="Times New Roman"/>
          <w:color w:val="000000"/>
          <w:sz w:val="24"/>
          <w:szCs w:val="24"/>
        </w:rPr>
      </w:pPr>
      <w:r w:rsidRPr="00CE3084">
        <w:rPr>
          <w:rFonts w:ascii="Times New Roman" w:eastAsia="Times New Roman" w:hAnsi="Times New Roman" w:cs="Times New Roman"/>
          <w:sz w:val="24"/>
          <w:szCs w:val="24"/>
        </w:rPr>
        <w:t>Zgodnie z art. 222 projektu ustawy, otwarcie ofert ma następować niezwłocznie po upływie terminu składania ofert, jednak nie później niż następnego dnia po dniu, w którym upłynął termin składania ofert. Takie rozwiązanie, zwłaszcza w odniesieniu do ofert przekazywanych za pomocą systemu teleinformatycznego pozwoli na wyeliminowanie ewentualnych problemów związanych z błędami systemowymi i pomijania przy otwarciu tych ofert, które zostały zarejestrowane w systemie teleinformatycznym zamawiającego w terminie składania ofert, ale z przyczyn nieleżących po stronie wykonawcy nie mogły być odczytane lub zlokalizowane przez zamawiającego w tym terminie.</w:t>
      </w:r>
      <w:r w:rsidRPr="00CE3084">
        <w:rPr>
          <w:rFonts w:ascii="Times New Roman" w:eastAsia="Times" w:hAnsi="Times New Roman" w:cs="Times New Roman"/>
          <w:color w:val="000000"/>
          <w:sz w:val="24"/>
          <w:szCs w:val="24"/>
        </w:rPr>
        <w:t xml:space="preserve"> Dodatkowo ustawa przewiduje, że jeżeli dochodzi do awarii systemu teleinformatycznego przy użyciu którego następuje otwarcie ofert, i awaria ta powoduje brak możliwości otwarcia ofert w terminie określonym przez zamawiającego, otwarcie ofert następuje niezwłocznie po usunięciu awarii. Stosując zasadę przejrzystości postępowania o udzielenie zamówienia publicznego zamawiający powinien w tych przypadkach na bieżąco informować wykonawców o zaistniałych problemach</w:t>
      </w:r>
      <w:r w:rsidR="006908A2">
        <w:rPr>
          <w:rFonts w:ascii="Times New Roman" w:eastAsia="Times" w:hAnsi="Times New Roman" w:cs="Times New Roman"/>
          <w:color w:val="000000"/>
          <w:sz w:val="24"/>
          <w:szCs w:val="24"/>
        </w:rPr>
        <w:t>,</w:t>
      </w:r>
      <w:r w:rsidRPr="00CE3084">
        <w:rPr>
          <w:rFonts w:ascii="Times New Roman" w:eastAsia="Times" w:hAnsi="Times New Roman" w:cs="Times New Roman"/>
          <w:color w:val="000000"/>
          <w:sz w:val="24"/>
          <w:szCs w:val="24"/>
        </w:rPr>
        <w:t xml:space="preserve"> a także o przewidywanym terminie otwarcia ofert zamieszczając stosowną informację na stronie internetowej prowadzonego postępowania.</w:t>
      </w:r>
    </w:p>
    <w:p w14:paraId="3662C520" w14:textId="77777777" w:rsidR="00CE3084" w:rsidRPr="00CE3084" w:rsidRDefault="00CE3084" w:rsidP="00CE3084">
      <w:pPr>
        <w:spacing w:after="120"/>
        <w:ind w:firstLine="708"/>
        <w:jc w:val="both"/>
        <w:rPr>
          <w:rFonts w:ascii="Times New Roman" w:eastAsia="Times New Roman" w:hAnsi="Times New Roman" w:cs="Times New Roman"/>
          <w:sz w:val="24"/>
          <w:szCs w:val="24"/>
        </w:rPr>
      </w:pPr>
      <w:r w:rsidRPr="00CE3084">
        <w:rPr>
          <w:rFonts w:ascii="Times New Roman" w:eastAsia="Times New Roman" w:hAnsi="Times New Roman" w:cs="Times New Roman"/>
          <w:sz w:val="24"/>
          <w:szCs w:val="24"/>
        </w:rPr>
        <w:t xml:space="preserve">Ustawa nie wymaga od zamawiającego, tak jak ma to miejsce w dotychczasowym stanie prawnym, publicznego otwarcia ofert, ale również nie wyłącza takiej możliwości. Otwarcie ofert oznacza możliwość zapoznania się osób upoważnionych po stronie zamawiającego z treścią ofert. Najpóźniej przed otwarciem ofert zamawiający będzie podawał na stronie internetowej prowadzonego postępowania informację o kwocie, jaką zamierza przeznaczyć na finansowanie zamówienia. Natomiast bezpośrednio po otwarciu ofert zamawiający będzie udostępniał na stronie internetowej prowadzonego postępowania informacje o firmach albo imionach i </w:t>
      </w:r>
      <w:r w:rsidRPr="00CE3084">
        <w:rPr>
          <w:rFonts w:ascii="Times New Roman" w:eastAsia="Times New Roman" w:hAnsi="Times New Roman" w:cs="Times New Roman"/>
          <w:sz w:val="24"/>
          <w:szCs w:val="24"/>
        </w:rPr>
        <w:lastRenderedPageBreak/>
        <w:t>nazwiskach oraz odpowiednio siedzibach w przypadku firm, miejscach prowadzenia działalności w przypadku osób fizycznych prowadzących działalność gospodarczą albo miejscach zamieszkania  wykonawców, których oferty zostały otwarte oraz o cenach lub kosztach zawartych w ofertach. Nie podaje się informacji o cenach albo kosztach ofertowych, w przypadku ofert, które nie są ofertami ostatecznymi.</w:t>
      </w:r>
    </w:p>
    <w:p w14:paraId="0D878684" w14:textId="3334C67E" w:rsidR="00CB2D51" w:rsidRPr="00DA788D" w:rsidRDefault="002E64C7" w:rsidP="00CE3084">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 xml:space="preserve">Rozdział </w:t>
      </w:r>
      <w:r w:rsidR="006908A2">
        <w:rPr>
          <w:rFonts w:ascii="Times New Roman" w:eastAsia="Times New Roman" w:hAnsi="Times New Roman" w:cs="Times New Roman"/>
          <w:b/>
          <w:sz w:val="24"/>
          <w:szCs w:val="24"/>
        </w:rPr>
        <w:t>5.</w:t>
      </w:r>
      <w:r w:rsidR="006908A2"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b/>
          <w:sz w:val="24"/>
          <w:szCs w:val="24"/>
        </w:rPr>
        <w:t>Ocena ofert</w:t>
      </w:r>
    </w:p>
    <w:p w14:paraId="234032F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Ustawa, inaczej niż w dotychczasowym stanie prawnym, wyraźnie rozdziela czynności badania i oceny ofert od czynności wyboru najkorzystniejszej oferty. </w:t>
      </w:r>
    </w:p>
    <w:p w14:paraId="70EF423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ustawie zostały przyjęte rozwiązania prawne zasadniczo podobne do dotychczas obowiązujących w zakresie: wyjaśniania treści ofert, przedmiotowych środków dowodowych oraz innych dokumentów i oświadczeń poprawiania w nich omyłek oraz wyjaśniania rażąco niskiej ceny albo kosztu, a także podstaw odrzucania oferty. Zmiany w stosunku do dotychczas obowiązującego stanu prawnego w zakresie podstaw odrzucenia oferty, określone art. 226 ustawy, wynikają z nowych regulacji prawnych związanych z ustawą o krajowym systemie cyberbezpieczeństwa, albo z  przyjętych w projekcie ustawy nowych regulacji np. w zakresie rezygnacji z czynności wykluczania wykonawcy z udziału w postępowaniu na rzecz odrzucania oferty wykonawcy podlegającego wykluczeniu, nowych regulacji w zakresie badania warunków formalnych związanych ze złożeniem ofert, tj. złożenia ich w odpowiednim terminie, czy zmian w zakresie terminologii jak wprowadzenie pojęcia dokumentów zamówienia m.in. na określenie dotychczasowej specyfikacji istotnych warunków zamówienia.</w:t>
      </w:r>
    </w:p>
    <w:p w14:paraId="25CBD25B" w14:textId="0AAFA72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 xml:space="preserve">Rozdział </w:t>
      </w:r>
      <w:r w:rsidR="006908A2">
        <w:rPr>
          <w:rFonts w:ascii="Times New Roman" w:eastAsia="Times New Roman" w:hAnsi="Times New Roman" w:cs="Times New Roman"/>
          <w:b/>
          <w:sz w:val="24"/>
          <w:szCs w:val="24"/>
        </w:rPr>
        <w:t>6.</w:t>
      </w:r>
      <w:r w:rsidR="006908A2"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b/>
          <w:sz w:val="24"/>
          <w:szCs w:val="24"/>
        </w:rPr>
        <w:t>Aukcja elektroniczna</w:t>
      </w:r>
    </w:p>
    <w:p w14:paraId="1751C48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Ustawa przewiduje w zakresie aukcji elektronicznej rozwiązania odpowiadające dotychczasowym. Wprowadzone zmiany w stosunku do przepisów dotychczas obowiązujących mają wyłącznie charakter porządkujący i dostosowujący. Przepisy o aukcji elektronicznej wdrażają w projekcie ustawy postanowienia art. 35 dyrektywy klasycznej oraz art. 53 dyrektywy sektorowej.</w:t>
      </w:r>
    </w:p>
    <w:p w14:paraId="36EC3B5E" w14:textId="0FABE1FA"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 xml:space="preserve">Rozdział </w:t>
      </w:r>
      <w:r w:rsidR="006908A2">
        <w:rPr>
          <w:rFonts w:ascii="Times New Roman" w:eastAsia="Times New Roman" w:hAnsi="Times New Roman" w:cs="Times New Roman"/>
          <w:b/>
          <w:sz w:val="24"/>
          <w:szCs w:val="24"/>
        </w:rPr>
        <w:t>7.</w:t>
      </w:r>
      <w:r w:rsidR="006908A2"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b/>
          <w:sz w:val="24"/>
          <w:szCs w:val="24"/>
        </w:rPr>
        <w:t>Wybór najkorzystniejszej oferty</w:t>
      </w:r>
    </w:p>
    <w:p w14:paraId="097473F0" w14:textId="1FCA571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Projektowane przepisy w odniesieniu do sposobu kształtowania kryteriów oceny ofert dla celów prowadzonego postępowania odzwierciedlają postanowienia art. 67 dyrektywy 2014/24/UE or</w:t>
      </w:r>
      <w:r w:rsidR="00555B90">
        <w:rPr>
          <w:rFonts w:ascii="Times New Roman" w:eastAsia="Times New Roman" w:hAnsi="Times New Roman" w:cs="Times New Roman"/>
          <w:sz w:val="24"/>
          <w:szCs w:val="24"/>
        </w:rPr>
        <w:t>az art. 82 dyrektywy 2014/25/UE</w:t>
      </w:r>
      <w:r w:rsidRPr="00D12A1E">
        <w:rPr>
          <w:rFonts w:ascii="Times New Roman" w:eastAsia="Times New Roman" w:hAnsi="Times New Roman" w:cs="Times New Roman"/>
          <w:sz w:val="24"/>
          <w:szCs w:val="24"/>
        </w:rPr>
        <w:t>.</w:t>
      </w:r>
    </w:p>
    <w:p w14:paraId="53906EF7" w14:textId="44D82EE8"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Stosownie do brzmienia art. 239 i </w:t>
      </w:r>
      <w:r w:rsidR="006908A2">
        <w:rPr>
          <w:rFonts w:ascii="Times New Roman" w:eastAsia="Times New Roman" w:hAnsi="Times New Roman" w:cs="Times New Roman"/>
          <w:sz w:val="24"/>
          <w:szCs w:val="24"/>
        </w:rPr>
        <w:t xml:space="preserve">art. </w:t>
      </w:r>
      <w:r w:rsidRPr="00D12A1E">
        <w:rPr>
          <w:rFonts w:ascii="Times New Roman" w:eastAsia="Times New Roman" w:hAnsi="Times New Roman" w:cs="Times New Roman"/>
          <w:sz w:val="24"/>
          <w:szCs w:val="24"/>
        </w:rPr>
        <w:t xml:space="preserve">240 ustawy, zamawiający będzie wybierał najkorzystniejszą ofertę na podstawie kryteriów oceny ofert określonych w dokumentach zamówienia, przy czym jako najkorzystniejsza oferta będzie uznawana oferta  przedstawiająca najkorzystniejszy stosunek jakości do ceny lub kosztu albo oferta z najniższą ceną lub kosztem. W aspekcie oceny ofert powinno to prowadzić do takiego doboru kryteriów oceny ofert, które umożliwią wybór najkorzystniejszej oferty z uwzględnieniem aspektu jakościowego. </w:t>
      </w:r>
    </w:p>
    <w:p w14:paraId="66FDDD15"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Ponadto, podobnie jak zostało to ujęte w dotychczas obowiązujących przepisach, kryteria oceny ofert muszą być opisane w sposób jednoznaczny i zrozumiały oraz  nie mogą pozostawiać zamawiającemu nieograniczonej swobody wyboru najkorzystniejszej oferty, a więc dowolności w ocenie ofert, czego wyrazem jest w szczególności obowiązek wskazania przez zamawiającego kryteriów, którymi będzie posługiwał się przy ocenie ofert, w ogłoszeniu o zamówieniu. </w:t>
      </w:r>
    </w:p>
    <w:p w14:paraId="3417694A" w14:textId="3928F11D"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lastRenderedPageBreak/>
        <w:t xml:space="preserve">W art. 241 </w:t>
      </w:r>
      <w:r w:rsidR="00D2773F">
        <w:rPr>
          <w:rFonts w:ascii="Times New Roman" w:eastAsia="Times New Roman" w:hAnsi="Times New Roman" w:cs="Times New Roman"/>
          <w:sz w:val="24"/>
          <w:szCs w:val="24"/>
        </w:rPr>
        <w:t xml:space="preserve">ustawy </w:t>
      </w:r>
      <w:r w:rsidRPr="00D12A1E">
        <w:rPr>
          <w:rFonts w:ascii="Times New Roman" w:eastAsia="Times New Roman" w:hAnsi="Times New Roman" w:cs="Times New Roman"/>
          <w:sz w:val="24"/>
          <w:szCs w:val="24"/>
        </w:rPr>
        <w:t>utrzymana została dotychczasowa zasada odnosząca się do formułowania kryteriów oceny ofert, zgodnie z którą kryteria te nie mogą dotyczyć właściwości wykonawcy, w szczególności jego wiarygodności ekonomicznej, technicznej lub finansowej  a także zasada powiązania kryteriów oceny ofert z przedmiotem zamówienia bez względu na to w jakim aspekcie to powiązanie wystąpi oraz bez względu fazę, w jakiej przedmiot zamówienia będzie się znajdował tj. bez względu na to czy kryterium to będzie dotyczyło np. samego zakupu produktu, czy użytkowania czy też jego utylizacji. Mając na względzie podział kryteriów oceny ofert na cenowo-kosztowe oraz jakościowe, przy określaniu tych ostatnich za wątpliwe w kontekście powiązania z przedmiotem zamówienia należałoby uznać takie kryteria, które nie odnoszą się do jakości świadczenia wykonawcy jak np. kryterium odnoszące się do terminu zapłaty przez zamawiającego wynagrodzenia wykonawcy.</w:t>
      </w:r>
    </w:p>
    <w:p w14:paraId="012EFCA0"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Z motywu 90 i 92 preambuły do dyrektywy 2014/24/UE oraz motywu 95 i 97 do dyrektywy 2014/25/UE wynika, że zamawiający powinny umożliwić wykonawcom otrzymywanie wystarczających informacji na temat kryteriów i warunków, które zostaną zastosowane przy podejmowaniu decyzji o udzieleniu zamówienia a wybrane kryteria powinny zapewniać możliwość efektywnej i uczciwej konkurencji, a także powinny im towarzyszyć rozwiązania, które pozwalają na skuteczną weryfikację informacji przedstawianych przez oferentów.</w:t>
      </w:r>
    </w:p>
    <w:p w14:paraId="029E3735" w14:textId="5008FBC0"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W przypadku wyboru najkorzystniejszej oferty przy zastosowaniu różnych kryteriów oceny ofert kryteriami oceny ofert będą cena albo koszt wraz z innymi kryteriami ogólnie nazwanymi jakościowymi. Przykładowe zakresy, do których mogą odnosić się jakościowe kryteria oceny ofert, są określone w art. 242 </w:t>
      </w:r>
      <w:r w:rsidR="00D2773F">
        <w:rPr>
          <w:rFonts w:ascii="Times New Roman" w:eastAsia="Times New Roman" w:hAnsi="Times New Roman" w:cs="Times New Roman"/>
          <w:sz w:val="24"/>
          <w:szCs w:val="24"/>
        </w:rPr>
        <w:t xml:space="preserve">projektu ustawy </w:t>
      </w:r>
      <w:r w:rsidRPr="00D12A1E">
        <w:rPr>
          <w:rFonts w:ascii="Times New Roman" w:eastAsia="Times New Roman" w:hAnsi="Times New Roman" w:cs="Times New Roman"/>
          <w:sz w:val="24"/>
          <w:szCs w:val="24"/>
        </w:rPr>
        <w:t xml:space="preserve">analogicznie jak w dotychczas obowiązującym przepisie art. 91 ust. 2 ustawy Pzp. Wymaga podkreślenia, że przewidziana w art. 242 projektu ustawy możliwość zastosowania kryterium oceny ofert odnoszącego się do organizacji, kwalifikacji zawodowych i doświadczenia osób wyznaczonych do realizacji zamówienia, jeżeli mogą one mieć znaczący wpływ na jakość wykonania zamówienia, podobnie jak w dotychczasowym stanie prawnym, ma charakter przedmiotowy, odnoszący się do jakości usługi oferowanej przez wykonawcę i nie narusza ogólnej zasady dotyczącej zakazu odnoszenia kryteriów oceny ofert do właściwości wykonawcy. </w:t>
      </w:r>
    </w:p>
    <w:p w14:paraId="0AB89EC3" w14:textId="05ED0316"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Tak jak dotychczas, na podstawie art. 245 projektu ustawy, zamawiający będzie miał możliwość wyboru jako kryterium oceny ofert kryterium kosztu przy wykorzystaniu podejścia opartego na efektywności kosztowej, takiego jak rachunek kosztów cyklu życia. Pojęcie rachunku kosztów cyklu życia oznacza wszystkie koszty ponoszone w trakcie cyklu życia robót budowlanych, dostaw lub usług. Obejmuje koszty wewnętrzne, ponoszone przez zamawiających lub innych użytkowników, takie jak koszty zużycie energii, materiałów eksploatacyjnych, koszty utrzymania, koszty demontażu i recyklingu. Ponadto, rachunek kosztów cyklu życia może obejmować koszty przypisane ekologicznym efektom zewnętrznym związane z produktem, usługą lub robotami budowlanymi na przestrzeni ich cyklu życia, np. koszty emisji gazów cieplarnianych i innych zanieczyszczeń oraz inne koszty łagodzenia zmiany klimatu. Projektodawca nie narzucił obowiązku uwzględniania wszystkich kosztów w ramach rachunku cyklu życia, umożliwiając bardziej elastyczne podejście do liczenia kosztów cyklu życia w zależności od przedmiotu zamówienia oraz opracowanej metodologii. Sama koncepcja rachunku kosztów cyklu życia pozwala nie tylko na określenie ekonomiki zakupu produktu, ale również na finansową wycenę wpływu produktu na środowisko, przy czym zewnętrzne koszty środowiskowe są ujmowane w rachunku LCC o ile można określić i zweryfikować ich wartość pieniężną. Zastosowanie rachunku kosztów cyklu życia wymaga od zamawiającego uszczegółowienia zakresu informacji wymaganych od wykonawców oraz wskazania metody szacowania wartości kosztów. Ustawa nie określa jednej metodologii szacowania kosztów cyklu życia dla wszystkich rodzajów zamówień. Zamawiający mogą zdecydować się na wykorzystanie jednej z istniejących </w:t>
      </w:r>
      <w:r w:rsidRPr="00D12A1E">
        <w:rPr>
          <w:rFonts w:ascii="Times New Roman" w:eastAsia="Times New Roman" w:hAnsi="Times New Roman" w:cs="Times New Roman"/>
          <w:sz w:val="24"/>
          <w:szCs w:val="24"/>
        </w:rPr>
        <w:lastRenderedPageBreak/>
        <w:t xml:space="preserve">już na rynku metodologii lub wypracować własną metodologię, która mogą stosować na potrzeby określonego zamówienia, określonych typów zamówień lub wszystkich udzielanych przez siebie zamówień. W przypadku jednak wprowadzenia obowiązkowej wspólnej metody kalkulacji kosztów cyklu życia na mocy unijnego aktu ustawodawczego przyjętego w określonej dziedzinie, zamawiający będą mieli obowiązek stosowania jej w ramach postępowania przetargowego. Dotychczas, na szczeblu unijnym została wypracowana tylko jedna taka metodologia – dyrektywa </w:t>
      </w:r>
      <w:r w:rsidR="006908A2">
        <w:rPr>
          <w:rFonts w:ascii="Times New Roman" w:eastAsia="Times New Roman" w:hAnsi="Times New Roman" w:cs="Times New Roman"/>
          <w:sz w:val="24"/>
          <w:szCs w:val="24"/>
        </w:rPr>
        <w:t xml:space="preserve">Parlamentu Europejskiego i Rady </w:t>
      </w:r>
      <w:r w:rsidRPr="00D12A1E">
        <w:rPr>
          <w:rFonts w:ascii="Times New Roman" w:eastAsia="Times New Roman" w:hAnsi="Times New Roman" w:cs="Times New Roman"/>
          <w:sz w:val="24"/>
          <w:szCs w:val="24"/>
        </w:rPr>
        <w:t>2009/33/WE z dnia 23 kwietnia 2009 r. w sprawie promowania ekologicznie czystych i energooszczędnych pojazdów transportu drogowego</w:t>
      </w:r>
      <w:r w:rsidR="005D4C23">
        <w:rPr>
          <w:rFonts w:ascii="Times New Roman" w:eastAsia="Times New Roman" w:hAnsi="Times New Roman" w:cs="Times New Roman"/>
          <w:sz w:val="24"/>
          <w:szCs w:val="24"/>
        </w:rPr>
        <w:t xml:space="preserve"> (</w:t>
      </w:r>
      <w:r w:rsidR="006908A2">
        <w:rPr>
          <w:rFonts w:ascii="Times New Roman" w:eastAsia="Times New Roman" w:hAnsi="Times New Roman" w:cs="Times New Roman"/>
          <w:sz w:val="24"/>
          <w:szCs w:val="24"/>
        </w:rPr>
        <w:t>Dz. Urz. UE L 120, z 15.05.2009, str. 5)</w:t>
      </w:r>
      <w:r w:rsidRPr="00D12A1E">
        <w:rPr>
          <w:rFonts w:ascii="Times New Roman" w:eastAsia="Times New Roman" w:hAnsi="Times New Roman" w:cs="Times New Roman"/>
          <w:sz w:val="24"/>
          <w:szCs w:val="24"/>
        </w:rPr>
        <w:t xml:space="preserve"> wprowadziła obowiązek uwzględniania aspektów środowiskowych w zamówieniach na zakup pojazdów transportu drogowego. </w:t>
      </w:r>
    </w:p>
    <w:p w14:paraId="67AF47C9"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Ustawa podobnie jak dyrektywy dopuszcza również możliwość wyboru najkorzystniejszej oferty jedynie w oparciu o kryterium ceny albo kosztu (art. 242 projektu ustawy). Nie oznacza to, że w takich przypadkach zamawiający rezygnują z aspektu jakościowego zamówienia, który powinien w takich przypadkach wynikać ze specyfikacji technicznych lub warunków realizacji zamówienia określonych w dokumentach zamówienia. </w:t>
      </w:r>
    </w:p>
    <w:p w14:paraId="4A61CA46" w14:textId="03AEDCFB"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W związku z tym, że dyrektywa 2014/24/UE w art. 67 ust. 2 i dyrektywa 2014/25/UE w art. 82 ust. 2 stwarzają państwom członkowskim możliwość ograniczenia zastosowania kryterium ceny albo kosztu jako jedynego kryterium udzielenia zamówienia do określonych kategorii zamawiających lub określonego rodzaju zamówień, w art. 246 projektu ustawy skorzystano z tego uprawnienia </w:t>
      </w:r>
      <w:r w:rsidR="00A17062">
        <w:rPr>
          <w:rFonts w:ascii="Times New Roman" w:eastAsia="Times New Roman" w:hAnsi="Times New Roman" w:cs="Times New Roman"/>
          <w:sz w:val="24"/>
          <w:szCs w:val="24"/>
        </w:rPr>
        <w:t>przez</w:t>
      </w:r>
      <w:r w:rsidRPr="00D12A1E">
        <w:rPr>
          <w:rFonts w:ascii="Times New Roman" w:eastAsia="Times New Roman" w:hAnsi="Times New Roman" w:cs="Times New Roman"/>
          <w:sz w:val="24"/>
          <w:szCs w:val="24"/>
        </w:rPr>
        <w:t xml:space="preserve"> wprowadzenie, podobnie jak miało to miejsce w dotychczas obowiązujących przepisach, ograniczenia w zakresie korzystania wyłącznie z kryterium cenowego w odniesieniu do zamówień udzielanych przez zamawiających publicznych i ich związki. Zamawiający ci z zasady nie będą stosować kryterium ceny jako jedynego kryterium oceny ofert albo kryterium o wadze przekraczającej 60%, z wyjątkiem przypadków, w których określą oni w opisie przedmiotu zamówienia wymagania jakościowe odnoszące się do co najmniej głównych elementów składających się na przedmiot zamówienia. Zasada określona art. 246 projektu ustawy nie będzie miała zatem zastosowania do zamawiających sektorowych oraz zamawiających udzielających zamówień w dziedzinach obronności i bezpieczeństwa. </w:t>
      </w:r>
    </w:p>
    <w:p w14:paraId="2499C183"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Zawarte w ustawie rozwiązania prawne w zakresie wyboru najkorzystniejszej oferty wpisują się w potrzebę zapewnienia bardziej efektywnego prowadzenia postępowania o udzielenie zamówienia publicznego. W tym celu w art. 252 została przewidziana podstawowa zasada, iż zamawiający ma dokonywać wyboru najkorzystniejszej oferty w terminie związania ofertą, który został określony w dokumentach zamówienia, a więc maksymalnie w terminie 90 albo 120 dni od dnia upływu terminu składania ofert. Upływ terminu związania ofertą nie będzie stanowił podstawy do odrzucenia oferty wykonawcy, którego oferta otrzymała najwyższą ocenę, o ile wykonawca ten wyrazi pisemną zgodę na wybór jego oferty w okolicznościach upływu terminu związania ofertą. W sensie cywilistycznym wyrażenie zgody przez wykonawcę będzie równoznaczne ze złożeniem przez niego nowej oferty o tożsamej treści jak oferta, którą wykonawca był dotychczas związany. W przypadku braku wyrażenia zgody przez wykonawcę, zamawiający będzie miał obowiązek zwrócenia się o wyrażenie takiej zgody do kolejnego wykonawcy, którego oferta otrzymała w kolejności najwyższą ocenę. Gdy kolejny wykonawca wyrazi zgodę na wybór jego oferty, zamawiający nie będzie musiał dokonywać ponownej oceny ofert opierając się na przeprowadzonej już ocenie, niemniej będzie mógł taką ocenę ponownie przeprowadzić, jeżeli uzna to za potrzebne. Proponowane rozwiązanie pozwoli na uniknięcie ryzyka unieważniania postępowań o udzielenie zamówienia i umożliwi zawieranie umów w sytuacjach, gdy nie było możliwe dokonanie wyboru oferty najkorzystniejszej w terminie związania ofertą.</w:t>
      </w:r>
    </w:p>
    <w:p w14:paraId="39A18F83" w14:textId="71BABE26"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lastRenderedPageBreak/>
        <w:t>Natomiast, stosownie do art. 253</w:t>
      </w:r>
      <w:r w:rsidR="00D2773F">
        <w:rPr>
          <w:rFonts w:ascii="Times New Roman" w:eastAsia="Times New Roman" w:hAnsi="Times New Roman" w:cs="Times New Roman"/>
          <w:sz w:val="24"/>
          <w:szCs w:val="24"/>
        </w:rPr>
        <w:t xml:space="preserve"> ustawy</w:t>
      </w:r>
      <w:r w:rsidRPr="00D12A1E">
        <w:rPr>
          <w:rFonts w:ascii="Times New Roman" w:eastAsia="Times New Roman" w:hAnsi="Times New Roman" w:cs="Times New Roman"/>
          <w:sz w:val="24"/>
          <w:szCs w:val="24"/>
        </w:rPr>
        <w:t>, wszyscy wykonawcy, którzy złożyli oferty, powinni otrzymać niezwłocznie po wyborze najkorzystniejszej oferty informacje o wybranej ofercie i wykonawcy, który ją złożył</w:t>
      </w:r>
      <w:r w:rsidR="006908A2">
        <w:rPr>
          <w:rFonts w:ascii="Times New Roman" w:eastAsia="Times New Roman" w:hAnsi="Times New Roman" w:cs="Times New Roman"/>
          <w:sz w:val="24"/>
          <w:szCs w:val="24"/>
        </w:rPr>
        <w:t>,</w:t>
      </w:r>
      <w:r w:rsidRPr="00D12A1E">
        <w:rPr>
          <w:rFonts w:ascii="Times New Roman" w:eastAsia="Times New Roman" w:hAnsi="Times New Roman" w:cs="Times New Roman"/>
          <w:sz w:val="24"/>
          <w:szCs w:val="24"/>
        </w:rPr>
        <w:t xml:space="preserve"> oraz o wykonawcach, których oferty zostały odrzucone, wraz z uzasadnieniem faktycznym i prawnym. Informacje te powinny być udostępnione także na stronie internetowej prowadzonego postępowania, chyba, że ich ujawnienie byłoby sprzeczne z interesem publicznym. </w:t>
      </w:r>
    </w:p>
    <w:p w14:paraId="060B7507"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Wprowadzane do ustawy przepisy w zakresie obowiązków informacyjnych zamawiającego wdrażają art. 55 dyrektywy 2014/24/UE oraz art. 75 dyrektywy 2014/25/UE. </w:t>
      </w:r>
    </w:p>
    <w:p w14:paraId="00953842" w14:textId="66602FB2" w:rsidR="00D12A1E" w:rsidRPr="00D12A1E" w:rsidRDefault="00D12A1E" w:rsidP="00D12A1E">
      <w:pPr>
        <w:spacing w:after="120"/>
        <w:jc w:val="both"/>
        <w:rPr>
          <w:rFonts w:ascii="Times New Roman" w:eastAsia="Times New Roman" w:hAnsi="Times New Roman" w:cs="Times New Roman"/>
          <w:b/>
          <w:sz w:val="24"/>
          <w:szCs w:val="24"/>
        </w:rPr>
      </w:pPr>
      <w:r w:rsidRPr="00D12A1E">
        <w:rPr>
          <w:rFonts w:ascii="Times New Roman" w:eastAsia="Times New Roman" w:hAnsi="Times New Roman" w:cs="Times New Roman"/>
          <w:b/>
          <w:sz w:val="24"/>
          <w:szCs w:val="24"/>
        </w:rPr>
        <w:t xml:space="preserve">Rozdział </w:t>
      </w:r>
      <w:r w:rsidR="006908A2">
        <w:rPr>
          <w:rFonts w:ascii="Times New Roman" w:eastAsia="Times New Roman" w:hAnsi="Times New Roman" w:cs="Times New Roman"/>
          <w:b/>
          <w:sz w:val="24"/>
          <w:szCs w:val="24"/>
        </w:rPr>
        <w:t>8.</w:t>
      </w:r>
      <w:r w:rsidR="006908A2" w:rsidRPr="00D12A1E">
        <w:rPr>
          <w:rFonts w:ascii="Times New Roman" w:eastAsia="Times New Roman" w:hAnsi="Times New Roman" w:cs="Times New Roman"/>
          <w:b/>
          <w:sz w:val="24"/>
          <w:szCs w:val="24"/>
        </w:rPr>
        <w:t xml:space="preserve"> </w:t>
      </w:r>
      <w:r w:rsidRPr="00D12A1E">
        <w:rPr>
          <w:rFonts w:ascii="Times New Roman" w:eastAsia="Times New Roman" w:hAnsi="Times New Roman" w:cs="Times New Roman"/>
          <w:b/>
          <w:sz w:val="24"/>
          <w:szCs w:val="24"/>
        </w:rPr>
        <w:t>Zakończenie postępowania</w:t>
      </w:r>
    </w:p>
    <w:p w14:paraId="779BDD9E"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Dyrektywy unijne nie zawierają regulacji odnoszących się do podstaw unieważnienia postępowania, pozostawiając tę kwestię ustawodawstwom krajowym.</w:t>
      </w:r>
    </w:p>
    <w:p w14:paraId="3191E598" w14:textId="1312A771" w:rsidR="00D12A1E" w:rsidRPr="00D12A1E" w:rsidRDefault="00D12A1E" w:rsidP="00D12A1E">
      <w:pPr>
        <w:keepNext/>
        <w:spacing w:after="120"/>
        <w:ind w:firstLine="510"/>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Do ustawy zostały włączone nowe rozwiązania porządkujące dotychczasowe rozwiązania prawne w tym zakresie. Stosownie do art. 254 ustawy, postępowanie o udzielenie zamówienia kończy się zawarciem umowy w sprawie zamówienia publicznego albo unieważnieniem postępowania. Przy czym, zgodnie z definicją zamówienia publicznego (art. 7 pkt </w:t>
      </w:r>
      <w:r w:rsidR="006908A2">
        <w:rPr>
          <w:rFonts w:ascii="Times New Roman" w:eastAsia="Times New Roman" w:hAnsi="Times New Roman" w:cs="Times New Roman"/>
          <w:sz w:val="24"/>
          <w:szCs w:val="24"/>
        </w:rPr>
        <w:t>32</w:t>
      </w:r>
      <w:r w:rsidRPr="00D12A1E">
        <w:rPr>
          <w:rFonts w:ascii="Times New Roman" w:eastAsia="Times New Roman" w:hAnsi="Times New Roman" w:cs="Times New Roman"/>
          <w:sz w:val="24"/>
          <w:szCs w:val="24"/>
        </w:rPr>
        <w:t xml:space="preserve"> ustawy), samo zawarcie umowy w sprawie zamówienia publicznego nie jest już czynnością w postępowaniu o udzielenie zamówienia. </w:t>
      </w:r>
    </w:p>
    <w:p w14:paraId="4521CC83" w14:textId="752F4F22" w:rsidR="00D12A1E" w:rsidRPr="00D12A1E" w:rsidRDefault="00D12A1E" w:rsidP="00D12A1E">
      <w:pPr>
        <w:spacing w:after="120"/>
        <w:ind w:firstLine="510"/>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W zakresie unieważnienia postępowania w ustawie zostało przyjętych wiele rozwiązań prawnych analogicznych jak w dotychczasowym stanie prawnym. Niektóre wprowadzone zmiany mają charakter dostosowujący i porządkujący. Ustawa przewiduje również rozwiązania nowe jak np. przewidziana w art. 256 </w:t>
      </w:r>
      <w:r w:rsidR="006908A2">
        <w:rPr>
          <w:rFonts w:ascii="Times New Roman" w:eastAsia="Times New Roman" w:hAnsi="Times New Roman" w:cs="Times New Roman"/>
          <w:sz w:val="24"/>
          <w:szCs w:val="24"/>
        </w:rPr>
        <w:t xml:space="preserve">ustawy </w:t>
      </w:r>
      <w:r w:rsidRPr="00D12A1E">
        <w:rPr>
          <w:rFonts w:ascii="Times New Roman" w:eastAsia="Times New Roman" w:hAnsi="Times New Roman" w:cs="Times New Roman"/>
          <w:sz w:val="24"/>
          <w:szCs w:val="24"/>
        </w:rPr>
        <w:t xml:space="preserve">możliwość unieważnienia przez zamawiającego postępowania o udzielenie zamówienia </w:t>
      </w:r>
      <w:r w:rsidRPr="00D12A1E">
        <w:rPr>
          <w:rFonts w:ascii="Times New Roman" w:eastAsia="Times" w:hAnsi="Times New Roman" w:cs="Times New Roman"/>
          <w:sz w:val="24"/>
          <w:szCs w:val="24"/>
        </w:rPr>
        <w:t xml:space="preserve">przed upływem terminu do składania wniosków o dopuszczenie do udziału w postępowaniu albo odpowiednio przed upływem terminu składania ofert, jeżeli wystąpiły okoliczności powodujące, że dalsze prowadzenie postępowania jest nieuzasadnione. </w:t>
      </w:r>
      <w:r w:rsidRPr="00D12A1E">
        <w:rPr>
          <w:rFonts w:ascii="Times New Roman" w:eastAsia="Times New Roman" w:hAnsi="Times New Roman" w:cs="Times New Roman"/>
          <w:sz w:val="24"/>
          <w:szCs w:val="24"/>
        </w:rPr>
        <w:t>Rozwiązanie to umożliwi zamawiającym zakończenie prowadzonych postępowań w sytuacji wystąpienia innych niż obowiązkowe podstaw unieważnienia postępowania, które powodują, że dalsze prowadzenie tych postępowań mija się z celem.</w:t>
      </w:r>
    </w:p>
    <w:p w14:paraId="3CAFA4B1" w14:textId="343C48D6"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 Ustawa w art. 260-262 przewiduje obowiązki informacyjne zamawiającego związane z unieważnieniem postępowania. Wychodzi to naprzeciw potrzebom wykonawców związanym z pozyskiwaniem wiedzy o potencjalnej możliwości wszczęcia innego postępowania w przedmiocie postępowania unieważnionego. Oprócz informowania wykonawców, którzy ubiegali się o udzielenie zamówienia w przypadku unieważnienia przed terminem składania ofert i wykonawców, którzy złożyli oferty, zamawiający będzie miał obowiązek udostępnienia informacji o unieważnieniu postępowania na stronie internetowej prowadzonego postępowania. Wymienione obowiązki są niezależne od obowiązku związanego z przekazaniem odpowiednio do Dziennika Urzędowego Unii Europejskiej lub do Biuletynu Zamówień Publicznych ogłoszenia </w:t>
      </w:r>
      <w:r w:rsidR="006908A2" w:rsidRPr="00D12A1E">
        <w:rPr>
          <w:rFonts w:ascii="Times New Roman" w:eastAsia="Times New Roman" w:hAnsi="Times New Roman" w:cs="Times New Roman"/>
          <w:sz w:val="24"/>
          <w:szCs w:val="24"/>
        </w:rPr>
        <w:t>o</w:t>
      </w:r>
      <w:r w:rsidR="006908A2">
        <w:rPr>
          <w:rFonts w:ascii="Times New Roman" w:eastAsia="Times New Roman" w:hAnsi="Times New Roman" w:cs="Times New Roman"/>
          <w:sz w:val="24"/>
          <w:szCs w:val="24"/>
        </w:rPr>
        <w:t xml:space="preserve"> </w:t>
      </w:r>
      <w:r w:rsidRPr="00D12A1E">
        <w:rPr>
          <w:rFonts w:ascii="Times New Roman" w:eastAsia="Times New Roman" w:hAnsi="Times New Roman" w:cs="Times New Roman"/>
          <w:sz w:val="24"/>
          <w:szCs w:val="24"/>
        </w:rPr>
        <w:t>wyniku postępowania, w tym o unieważnieniu postępowania.</w:t>
      </w:r>
    </w:p>
    <w:p w14:paraId="394DF1BE"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t xml:space="preserve">W celu eliminowania przypadków unieważnienia postępowania z przyczyn związanych z uchylaniem się od zawarcia umowy przez wykonawcę, którego oferta została wybrana jako najkorzystniejsza albo nie wnoszeniem wymaganego zabezpieczenia należytego wykonania umowy w art. 263 ustawy została przewidziana możliwość unieważnienia postępowania o udzielenie zamówienia albo dokonania ponownej oceny pozostałych w postępowaniu ofert. </w:t>
      </w:r>
    </w:p>
    <w:p w14:paraId="7E3FDEE3" w14:textId="77777777" w:rsidR="00D12A1E" w:rsidRPr="00D12A1E" w:rsidRDefault="00D12A1E" w:rsidP="00D12A1E">
      <w:pPr>
        <w:spacing w:after="120"/>
        <w:ind w:firstLine="708"/>
        <w:jc w:val="both"/>
        <w:rPr>
          <w:rFonts w:ascii="Times New Roman" w:eastAsia="Times New Roman" w:hAnsi="Times New Roman" w:cs="Times New Roman"/>
          <w:sz w:val="24"/>
          <w:szCs w:val="24"/>
        </w:rPr>
      </w:pPr>
      <w:r w:rsidRPr="00D12A1E">
        <w:rPr>
          <w:rFonts w:ascii="Times New Roman" w:eastAsia="Times New Roman" w:hAnsi="Times New Roman" w:cs="Times New Roman"/>
          <w:sz w:val="24"/>
          <w:szCs w:val="24"/>
        </w:rPr>
        <w:lastRenderedPageBreak/>
        <w:t xml:space="preserve">W analogiczny sposób, jak w obecnie obowiązujących przepisach ustawy Pzp, została uregulowana kwestia terminu zawarcia umowy w sprawie zamówienia publicznego oraz zostały określone sytuacje, w których jest możliwe zawarcie umowy przed upływem terminu wskazanego ustawą. </w:t>
      </w:r>
    </w:p>
    <w:p w14:paraId="49F620CE" w14:textId="6085D805"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DZIAŁ III</w:t>
      </w:r>
      <w:r w:rsidR="006908A2">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Postępowanie o udzielenie zamówienia klasycznego o wartości mniejszej niż progi unijne </w:t>
      </w:r>
    </w:p>
    <w:p w14:paraId="02554BC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Koncepcją Prawa zamówień publicznych proponuje się w projekcie ustawy wprowadzenie elastycznej i uproszczonej procedury dla zamówień o wartości mniejszej niż progi unijne. Procedura uproszczona (tryb podstawowy), gwarantując realizację celów systemu zamówień publicznych, zapewnia zarazem zamawiającym odpowiednią elastyczność umożliwiającą optymalną organizację procesu udzielania zamówienia publicznego. Ponadto w nowej ustawie proponuje się umożliwienie zamawiającym wykorzystania narzędzi, które sprzyjają dialogowi z wykonawcami w celu pozyskania jak najlepszych rozwiązań dotyczących konkretnego zamówienia. </w:t>
      </w:r>
    </w:p>
    <w:p w14:paraId="1D494CC4" w14:textId="07C302A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świetle komunikatu wyjaśniającego Komisji Europejskiej dotyczącego </w:t>
      </w:r>
      <w:r w:rsidR="00873CB1">
        <w:rPr>
          <w:rFonts w:ascii="Times New Roman" w:eastAsia="Times New Roman" w:hAnsi="Times New Roman" w:cs="Times New Roman"/>
          <w:sz w:val="24"/>
          <w:szCs w:val="24"/>
        </w:rPr>
        <w:t xml:space="preserve">prawa wspólnotowgo obowiązującego w dziedzinie udzielania </w:t>
      </w:r>
      <w:r w:rsidRPr="00DA788D">
        <w:rPr>
          <w:rFonts w:ascii="Times New Roman" w:eastAsia="Times New Roman" w:hAnsi="Times New Roman" w:cs="Times New Roman"/>
          <w:sz w:val="24"/>
          <w:szCs w:val="24"/>
        </w:rPr>
        <w:t xml:space="preserve">zamówień, które nie są lub są jedynie częściowo objęte dyrektywami w sprawie zamówień publicznych (Dz. Urz. UE  C 179 z </w:t>
      </w:r>
      <w:r w:rsidR="00873CB1">
        <w:rPr>
          <w:rFonts w:ascii="Times New Roman" w:eastAsia="Times New Roman" w:hAnsi="Times New Roman" w:cs="Times New Roman"/>
          <w:sz w:val="24"/>
          <w:szCs w:val="24"/>
        </w:rPr>
        <w:t>0</w:t>
      </w:r>
      <w:r w:rsidRPr="00DA788D">
        <w:rPr>
          <w:rFonts w:ascii="Times New Roman" w:eastAsia="Times New Roman" w:hAnsi="Times New Roman" w:cs="Times New Roman"/>
          <w:sz w:val="24"/>
          <w:szCs w:val="24"/>
        </w:rPr>
        <w:t>1.</w:t>
      </w:r>
      <w:r w:rsidR="00873CB1">
        <w:rPr>
          <w:rFonts w:ascii="Times New Roman" w:eastAsia="Times New Roman" w:hAnsi="Times New Roman" w:cs="Times New Roman"/>
          <w:sz w:val="24"/>
          <w:szCs w:val="24"/>
        </w:rPr>
        <w:t>0</w:t>
      </w:r>
      <w:r w:rsidRPr="00DA788D">
        <w:rPr>
          <w:rFonts w:ascii="Times New Roman" w:eastAsia="Times New Roman" w:hAnsi="Times New Roman" w:cs="Times New Roman"/>
          <w:sz w:val="24"/>
          <w:szCs w:val="24"/>
        </w:rPr>
        <w:t>8.2006, str. 2), oraz orzecznictwa Trybunału Sprawiedliwości stosowanie zasad traktatowych oznacza, że do udzielania zamówień o wartości mniejszej niż progi unijne znajdują zastosowanie następujące reguły:</w:t>
      </w:r>
    </w:p>
    <w:p w14:paraId="2012C084" w14:textId="5F496A07" w:rsidR="00CB2D51" w:rsidRPr="00DA788D" w:rsidRDefault="002E64C7" w:rsidP="00DA788D">
      <w:pPr>
        <w:numPr>
          <w:ilvl w:val="0"/>
          <w:numId w:val="18"/>
        </w:numPr>
        <w:spacing w:after="120"/>
        <w:ind w:left="567" w:hanging="56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obowiązek uprzedniej publikacji ogłoszenia o zamówieniu (przy zachowaniu wyjątków</w:t>
      </w:r>
      <w:r w:rsidR="00873CB1" w:rsidRPr="00DA788D">
        <w:rPr>
          <w:rFonts w:ascii="Times New Roman" w:eastAsia="Times New Roman" w:hAnsi="Times New Roman" w:cs="Times New Roman"/>
          <w:sz w:val="24"/>
          <w:szCs w:val="24"/>
        </w:rPr>
        <w:t>)</w:t>
      </w:r>
      <w:r w:rsidR="00873CB1">
        <w:rPr>
          <w:rFonts w:ascii="Times New Roman" w:eastAsia="Times New Roman" w:hAnsi="Times New Roman" w:cs="Times New Roman"/>
          <w:sz w:val="24"/>
          <w:szCs w:val="24"/>
        </w:rPr>
        <w:t>;</w:t>
      </w:r>
    </w:p>
    <w:p w14:paraId="0A70531C" w14:textId="1E757293" w:rsidR="00CB2D51" w:rsidRPr="00DA788D" w:rsidRDefault="002E64C7" w:rsidP="00DA788D">
      <w:pPr>
        <w:numPr>
          <w:ilvl w:val="0"/>
          <w:numId w:val="18"/>
        </w:numPr>
        <w:spacing w:after="120"/>
        <w:ind w:left="567" w:hanging="56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uczciwa i bezstronna procedura udzielenia zamówienia, niedyskryminujący opis przedmiotu zamówienia</w:t>
      </w:r>
      <w:r w:rsidR="00873CB1">
        <w:rPr>
          <w:rFonts w:ascii="Times New Roman" w:eastAsia="Times New Roman" w:hAnsi="Times New Roman" w:cs="Times New Roman"/>
          <w:sz w:val="24"/>
          <w:szCs w:val="24"/>
        </w:rPr>
        <w:t>;</w:t>
      </w:r>
    </w:p>
    <w:p w14:paraId="123113C5" w14:textId="77777777" w:rsidR="00CB2D51" w:rsidRPr="00DA788D" w:rsidRDefault="002E64C7" w:rsidP="00DA788D">
      <w:pPr>
        <w:numPr>
          <w:ilvl w:val="0"/>
          <w:numId w:val="18"/>
        </w:numPr>
        <w:spacing w:after="120"/>
        <w:ind w:left="567" w:hanging="56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obowiązek zapewnienia równego dostępu wykonawcom z innych państw członkowskich, wzajemne uznawanie, odpowiednie terminy, przejrzyste i obiektywne podejście, ograniczanie liczby wykonawców jedynie w oparciu o obiektywne kryteria, prowadzenie negocjacji w sposób równy i niedyskryminujący.</w:t>
      </w:r>
    </w:p>
    <w:p w14:paraId="7FD021B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związku z wprowadzeniem odrębnej, uproszczonej i elastycznej procedury udzielania zamówień o wartości mniejszej niż progi unijne (tryb podstawowy) proponuje się wydzielenie w nowej ustawie działu III zatytułowanego Postępowanie o udzielenie zamówienia klasycznego o wartości mniejszej niż progi unijne, właściwego dla tzw. zamówień krajowych nieobjętych dyrektywą klasyczną. </w:t>
      </w:r>
    </w:p>
    <w:p w14:paraId="6EA954D2" w14:textId="1AB937B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266</w:t>
      </w:r>
      <w:r w:rsidR="00D2773F">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do przygotowania i prowadzenia przez zamawiających publicznych postępowania o udzielenie zamówienia klasycznego o wartości mniejszej niż progi unijne stosuje się przepisy działu III oraz przepisy działu II (Postępowanie o udzielenie zamówienia klasycznego o wartości równej lub przekraczającej progi unijne), z wyjątkiem wyszczególnionych w tym przepisie regulacji. Z przepisów działu III</w:t>
      </w:r>
      <w:r w:rsidR="003C7D6C">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wynika zaś, że największe odmienności w porównaniu z postępowaniami o udzielenie zamówienia klasycznego o wartości równej lub przekraczającej progi unijne będą w zakresie: ogłoszeń zamieszczanych Biuletynie Zamówień Publicznych (rozdział 2), kwalifikacji podmiotowej wykonawców (rozdział 3), wyboru najkorzystniejszej oferty (rozdział 5), a przede wszystkim w zakresie trybów udzielania zamówień (rozdział 4). </w:t>
      </w:r>
    </w:p>
    <w:p w14:paraId="7127EE1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nowej ustawie proponuje się pozostawienie zamawiającym możliwości stawiania wymagań co do warunków przewidzianych w procedurze właściwej dla zamówień klasycznych o wartości równej lub przekraczającej progi unijne. Zamawiający będzie decydował, które z warunków udziału w postępowaniu będą miały zastosowanie w konkretnym, prowadzonym przez niego postępowaniu. W kwestii wykluczenia, w związku </w:t>
      </w:r>
      <w:r w:rsidRPr="00DA788D">
        <w:rPr>
          <w:rFonts w:ascii="Times New Roman" w:eastAsia="Times New Roman" w:hAnsi="Times New Roman" w:cs="Times New Roman"/>
          <w:sz w:val="24"/>
          <w:szCs w:val="24"/>
        </w:rPr>
        <w:lastRenderedPageBreak/>
        <w:t>z istotnymi zmianami planowanymi w procedurach, do których mają zastosowanie dyrektywy, m.in. w zakresie ograniczenia przesłanek obligatoryjnych, zastosowanie będą miały regulacje analogiczne jak w postępowaniach o wartości równej lub przekraczającej progi unijne, z tym że brak będzie obowiązku żądania podmiotowych środków dowodowych potwierdzających brak podstaw do wykluczenia.</w:t>
      </w:r>
    </w:p>
    <w:p w14:paraId="23E6585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trybach poniżej progów unijnych proponuje się, aby wykonawcy składali oświadczenia o braku podstaw wykluczenia i spełnianiu warunków udziału w postępowaniu zamiast jednolitego dokumentu. Zamawiający będzie mógł żądać podmiotowych środków dowodowych na potwierdzenie informacji zawartych w tym oświadczeniu.</w:t>
      </w:r>
    </w:p>
    <w:p w14:paraId="56D846BE" w14:textId="766C6D9A"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zamówień klasycznych o wartości mniejszej niż progi unijne zamawiający publiczny będzie udzielał zamówienia w nowym trybie, tj. trybie podstawowym, określonym w przepisach rozdziału 4 oddziału 1. Zamawiający będzie mógł również udzielić zamówienia w trybie partnerstwa innowacyjnego w przypadku zapotrzebowania na innowacyjny produkt, usługę lub roboty budowlane, jeżeli nie są one dostępne na rynku, określonym w rozdziale 4 </w:t>
      </w:r>
      <w:r w:rsidR="00873CB1">
        <w:rPr>
          <w:rFonts w:ascii="Times New Roman" w:eastAsia="Times New Roman" w:hAnsi="Times New Roman" w:cs="Times New Roman"/>
          <w:sz w:val="24"/>
          <w:szCs w:val="24"/>
        </w:rPr>
        <w:t xml:space="preserve">w </w:t>
      </w:r>
      <w:r w:rsidRPr="00DA788D">
        <w:rPr>
          <w:rFonts w:ascii="Times New Roman" w:eastAsia="Times New Roman" w:hAnsi="Times New Roman" w:cs="Times New Roman"/>
          <w:sz w:val="24"/>
          <w:szCs w:val="24"/>
        </w:rPr>
        <w:t>oddziale 2, ale wzorowanym na przepisach właściwych dla zamówień klasycznych powyżej progów unijnych. Zamawiający nadal będzie mógł w szczególnych przypadkach udzielić zamówienia w trybie negocjacji bez ogłoszenia lub zamówienia z wolnej ręki, wzorowanych na dotychczasowych regulacjach, z odmiennościami określonymi  w przepisach oddziału 3 lub 4.</w:t>
      </w:r>
    </w:p>
    <w:p w14:paraId="421EBCE4" w14:textId="073253AF" w:rsidR="00CB2D51" w:rsidRPr="00DA788D" w:rsidRDefault="00812207"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Przykładowo, w</w:t>
      </w:r>
      <w:r w:rsidR="002E64C7" w:rsidRPr="00DA788D">
        <w:rPr>
          <w:rFonts w:ascii="Times New Roman" w:eastAsia="Times New Roman" w:hAnsi="Times New Roman" w:cs="Times New Roman"/>
          <w:sz w:val="24"/>
          <w:szCs w:val="24"/>
        </w:rPr>
        <w:t xml:space="preserve"> art. 301 ust. 1 pkt 4 projektu ustawy proponuje się wprowadzenie nowej (krajowej) przesłanki udzielenia zamówienia w trybie negocjacji bez ogłoszenia, w przypadku gdy w okresie 3 lat od udzielenia zamówienia na roboty budowlane, zamawiający odstąpił od umowy w sprawie zamówienia publicznego z przyczyn leżących po stronie wykonawcy i udzielenie zamówienia jest niezbędne do zakończenia robót budowlanych stanowiących przedmiot wcześniejszego zamówienia. Zamawiający będzie wówczas zapraszał, w terminie 3 miesięcy od dnia odstąpienia od umowy w sprawie zamówienia publicznego, do negocjacji co najmniej tych wykonawców, którzy złożyli oferty we wcześniejszym postępowaniu, z wyjątkiem wykonawcy, z którym została zawarta umowa, od której zamawiający odstąpił.</w:t>
      </w:r>
    </w:p>
    <w:p w14:paraId="304156D0"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u w:val="single"/>
        </w:rPr>
        <w:t xml:space="preserve">Tryb podstawowy </w:t>
      </w:r>
    </w:p>
    <w:p w14:paraId="55AC3730" w14:textId="77777777" w:rsidR="00CB2D51" w:rsidRPr="00DA788D" w:rsidRDefault="002E64C7" w:rsidP="00DA788D">
      <w:pPr>
        <w:keepNext/>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Istotną nowością jest wprowadzenie nowej uproszczonej i elastycznej procedury, tj. trybu podstawowego, wszczynanego ogłoszeniem o zamówieniu zamieszczanym w Biuletynie Zamówień Publicznych, w odpowiedzi na które oferty będą mogli składać wszyscy zainteresowani wykonawcy, a następnie zamawiający:</w:t>
      </w:r>
    </w:p>
    <w:p w14:paraId="4ACE0D2B" w14:textId="77777777" w:rsidR="00CB2D51" w:rsidRPr="00DA788D" w:rsidRDefault="002E64C7" w:rsidP="00DA788D">
      <w:pPr>
        <w:spacing w:after="120"/>
        <w:ind w:left="510" w:hanging="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ab/>
        <w:t>wybiera najkorzystniejszą ofertę bez przeprowadzenia negocjacji; albo</w:t>
      </w:r>
    </w:p>
    <w:p w14:paraId="5DDC1791" w14:textId="77777777" w:rsidR="00CB2D51" w:rsidRPr="00DA788D" w:rsidRDefault="002E64C7" w:rsidP="00DA788D">
      <w:pPr>
        <w:spacing w:after="120"/>
        <w:ind w:left="510" w:hanging="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2)</w:t>
      </w:r>
      <w:r w:rsidRPr="00DA788D">
        <w:rPr>
          <w:rFonts w:ascii="Times New Roman" w:eastAsia="Times New Roman" w:hAnsi="Times New Roman" w:cs="Times New Roman"/>
          <w:sz w:val="24"/>
          <w:szCs w:val="24"/>
        </w:rPr>
        <w:tab/>
        <w:t>może negocjować treść ofert w celu ich ulepszenia, o ile przewidział taką możliwość; albo</w:t>
      </w:r>
    </w:p>
    <w:p w14:paraId="5F80F38F" w14:textId="77777777" w:rsidR="00CB2D51" w:rsidRPr="00DA788D" w:rsidRDefault="002E64C7" w:rsidP="00DA788D">
      <w:pPr>
        <w:spacing w:after="120"/>
        <w:ind w:left="510" w:hanging="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3)</w:t>
      </w:r>
      <w:r w:rsidRPr="00DA788D">
        <w:rPr>
          <w:rFonts w:ascii="Times New Roman" w:eastAsia="Times New Roman" w:hAnsi="Times New Roman" w:cs="Times New Roman"/>
          <w:sz w:val="24"/>
          <w:szCs w:val="24"/>
        </w:rPr>
        <w:tab/>
        <w:t>negocjuje treść ofert złożonych w celu ich ulepszenia.</w:t>
      </w:r>
    </w:p>
    <w:p w14:paraId="710CA5A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celu uproszczenia nie przewiduje się wniosków o dopuszczenie do udziału w postępowaniu, gdyż dotychczas tryby poprzedzone wnioskami o dopuszczenie do udziału w postępowaniu nie były chętnie stosowane przez zamawiających.</w:t>
      </w:r>
    </w:p>
    <w:p w14:paraId="0D3B659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Dopuszcza się jednak, aby zamawiający mógł, jeżeli jest to niezbędne, żądać podmiotowych środków dowodowych załączanych do oferty albo do oferty podlegającej negocjacjom, w celu dokonania kwalifikacji </w:t>
      </w:r>
      <w:r w:rsidRPr="00DA788D">
        <w:rPr>
          <w:rFonts w:ascii="Times New Roman" w:eastAsia="Times New Roman" w:hAnsi="Times New Roman" w:cs="Times New Roman"/>
          <w:sz w:val="24"/>
          <w:szCs w:val="24"/>
        </w:rPr>
        <w:lastRenderedPageBreak/>
        <w:t xml:space="preserve">podmiotowej. Możliwe będzie również ograniczenie ilości składanych ofert przez zastosowanie kryteriów oceny ofert. </w:t>
      </w:r>
    </w:p>
    <w:p w14:paraId="3AB5F43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 projektowanych przepisów wynika, że zamawiający w ramach trybu podstawowego będzie miał do wyboru trzy warianty postępowań:</w:t>
      </w:r>
    </w:p>
    <w:p w14:paraId="71664342" w14:textId="425692AE" w:rsidR="00CB2D51" w:rsidRPr="00DA788D" w:rsidRDefault="002E64C7" w:rsidP="00DA788D">
      <w:pPr>
        <w:numPr>
          <w:ilvl w:val="0"/>
          <w:numId w:val="9"/>
        </w:numPr>
        <w:spacing w:after="120"/>
        <w:ind w:left="567" w:hanging="56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wariant analogiczny do trybu przetargu nieograniczonego (art. 275 pkt 1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xml:space="preserve">- tryb podstawowy bez negocjacji) – jeżeli specyfika przedmiotu zamówienia oraz potrzeby zamawiającego umożliwiają opisanie w wystarczająco precyzyjny sposób </w:t>
      </w:r>
      <w:r w:rsidR="00812207">
        <w:rPr>
          <w:rFonts w:ascii="Times New Roman" w:eastAsia="Times New Roman" w:hAnsi="Times New Roman" w:cs="Times New Roman"/>
          <w:sz w:val="24"/>
          <w:szCs w:val="24"/>
        </w:rPr>
        <w:t xml:space="preserve">wszystkich </w:t>
      </w:r>
      <w:r w:rsidRPr="00DA788D">
        <w:rPr>
          <w:rFonts w:ascii="Times New Roman" w:eastAsia="Times New Roman" w:hAnsi="Times New Roman" w:cs="Times New Roman"/>
          <w:sz w:val="24"/>
          <w:szCs w:val="24"/>
        </w:rPr>
        <w:t>warunków zamówienia na etapie wszczęcia postępowania, a zamawiający nie przewiduje możliwości negocjacji ofert;</w:t>
      </w:r>
    </w:p>
    <w:p w14:paraId="7B2F290B" w14:textId="4E9A1CF3" w:rsidR="00CB2D51" w:rsidRPr="00DA788D" w:rsidRDefault="002E64C7" w:rsidP="00DA788D">
      <w:pPr>
        <w:spacing w:after="120"/>
        <w:ind w:left="510" w:hanging="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2</w:t>
      </w:r>
      <w:r w:rsidR="00873CB1">
        <w:rPr>
          <w:rFonts w:ascii="Times New Roman" w:eastAsia="Times New Roman" w:hAnsi="Times New Roman" w:cs="Times New Roman"/>
          <w:sz w:val="24"/>
          <w:szCs w:val="24"/>
        </w:rPr>
        <w:t>)</w:t>
      </w:r>
      <w:r w:rsidR="00873CB1"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ab/>
        <w:t xml:space="preserve">wariant z możliwością negocjacji ofert w celu ich ulepszenia, o ile zamawiający przewidział taką możliwość na etapie wszczęcia postępowania  (art. 275 pkt 2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tryb podstawowy z możliwością negocjacji), negocjacje treści ofert nie mogą jednak prowadzić do zmiany treści SWZ oraz dotyczą wyłącznie tych elementów treści ofert, które podlegają ocenie w ramach kryteriów oceny ofert.</w:t>
      </w:r>
    </w:p>
    <w:p w14:paraId="5B4684C1" w14:textId="09557118" w:rsidR="00CB2D51" w:rsidRPr="00DA788D" w:rsidRDefault="002E64C7" w:rsidP="00DA788D">
      <w:pPr>
        <w:spacing w:after="120"/>
        <w:ind w:left="510" w:hanging="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3</w:t>
      </w:r>
      <w:r w:rsidR="00873CB1">
        <w:rPr>
          <w:rFonts w:ascii="Times New Roman" w:eastAsia="Times New Roman" w:hAnsi="Times New Roman" w:cs="Times New Roman"/>
          <w:sz w:val="24"/>
          <w:szCs w:val="24"/>
        </w:rPr>
        <w:t>)</w:t>
      </w:r>
      <w:r w:rsidR="00873CB1"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ab/>
        <w:t xml:space="preserve">wariant z obowiązkowymi negocjacjami ofert w celu ich ulepszenia (art. 275 pkt 3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tryb podstawowy z negocjacjami), negocjacje nie mogą jednak prowadzić do zmiany minimalnych wymagań dotyczących przedmiotu zamówienia lub realizacji zamówienia określonych w opisie potrzeb i wymagań oraz mogą dotyczyć warunków zamówienia, w celu podniesienia jego efektywności.</w:t>
      </w:r>
    </w:p>
    <w:p w14:paraId="3B5FC066" w14:textId="2BC7AF0B"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o którym mowa w art. 275 pkt 1 lub 2</w:t>
      </w:r>
      <w:r w:rsidR="00627E31">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zamawiający sporządza SWZ. W przypadku, o którym mowa w art. 275 pkt 3</w:t>
      </w:r>
      <w:r w:rsidR="00627E31">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zamawiający sporządza opis potrzeb i wymagań, a po przeprowadzeniu negocjacji sporządza SWZ.</w:t>
      </w:r>
    </w:p>
    <w:p w14:paraId="6364CC3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Wprowadzenie możliwości zastosowania negocjacji służy realizacji celu nowego Prawa zamówień publicznych, jakim jest zwiększenie roli dialogu zamawiającego z wykonawcami oraz maksymalne odformalizowanie procedury udzielenia zamówienia publicznego.</w:t>
      </w:r>
    </w:p>
    <w:p w14:paraId="2CFA440D" w14:textId="73324E51" w:rsidR="00CB2D51" w:rsidRPr="00DA788D" w:rsidRDefault="00375C82"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Przewidziane</w:t>
      </w:r>
      <w:r w:rsidR="002E64C7" w:rsidRPr="00DA788D">
        <w:rPr>
          <w:rFonts w:ascii="Times New Roman" w:eastAsia="Times New Roman" w:hAnsi="Times New Roman" w:cs="Times New Roman"/>
          <w:sz w:val="24"/>
          <w:szCs w:val="24"/>
        </w:rPr>
        <w:t xml:space="preserve"> zostały regulacje nakazujące zapewnienie przez zamawiającego podczas negocjacji równego traktowania wszystkich wykonawców oraz równego dostępu do informacji. Ponadto w przypadku, o którym mowa w art. 275 pkt 2</w:t>
      </w:r>
      <w:r w:rsidR="00627E31">
        <w:rPr>
          <w:rFonts w:ascii="Times New Roman" w:eastAsia="Times New Roman" w:hAnsi="Times New Roman" w:cs="Times New Roman"/>
          <w:sz w:val="24"/>
          <w:szCs w:val="24"/>
        </w:rPr>
        <w:t xml:space="preserve"> ustawy</w:t>
      </w:r>
      <w:r w:rsidR="002E64C7" w:rsidRPr="00DA788D">
        <w:rPr>
          <w:rFonts w:ascii="Times New Roman" w:eastAsia="Times New Roman" w:hAnsi="Times New Roman" w:cs="Times New Roman"/>
          <w:sz w:val="24"/>
          <w:szCs w:val="24"/>
        </w:rPr>
        <w:t>, prowadzone negocjacje mają charakter poufny</w:t>
      </w:r>
      <w:r w:rsidR="00966294">
        <w:rPr>
          <w:rFonts w:ascii="Times New Roman" w:eastAsia="Times New Roman" w:hAnsi="Times New Roman" w:cs="Times New Roman"/>
          <w:sz w:val="24"/>
          <w:szCs w:val="24"/>
        </w:rPr>
        <w:t>, zamawiający udostępnia treść ofert, które podlegają negocjacjom od dnia ich otwarcia</w:t>
      </w:r>
      <w:r w:rsidR="002E64C7" w:rsidRPr="00DA788D">
        <w:rPr>
          <w:rFonts w:ascii="Times New Roman" w:eastAsia="Times New Roman" w:hAnsi="Times New Roman" w:cs="Times New Roman"/>
          <w:sz w:val="24"/>
          <w:szCs w:val="24"/>
        </w:rPr>
        <w:t>. Natomiast w przypadku, o którym mowa w art. 275 pkt 3</w:t>
      </w:r>
      <w:r w:rsidR="00627E31">
        <w:rPr>
          <w:rFonts w:ascii="Times New Roman" w:eastAsia="Times New Roman" w:hAnsi="Times New Roman" w:cs="Times New Roman"/>
          <w:sz w:val="24"/>
          <w:szCs w:val="24"/>
        </w:rPr>
        <w:t xml:space="preserve"> ustawy</w:t>
      </w:r>
      <w:r w:rsidR="002E64C7" w:rsidRPr="00DA788D">
        <w:rPr>
          <w:rFonts w:ascii="Times New Roman" w:eastAsia="Times New Roman" w:hAnsi="Times New Roman" w:cs="Times New Roman"/>
          <w:sz w:val="24"/>
          <w:szCs w:val="24"/>
        </w:rPr>
        <w:t>, treść ofert, które podlegają negocjacjom, oraz prowadzone negocjacje mają charakter poufny, zamawiający udostępnia treść tych ofert od dnia otwarcia ofert ostatecznych.</w:t>
      </w:r>
    </w:p>
    <w:p w14:paraId="18116ECE" w14:textId="6BF36FA9" w:rsidR="00BA0B13" w:rsidRPr="00DA788D" w:rsidRDefault="00BA0B13"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W przypadkach, o których mowa w art. 275 pkt 2 i 3</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zamawiający będzie mógł może ograniczyć liczbę wykonawców, których zaprosi do negocjacji ofert, o ile liczba ta jest wystarczająca, aby zapewnić konkurencję i nie jest mniejsza niż 3.</w:t>
      </w:r>
    </w:p>
    <w:p w14:paraId="6FD4A4A2" w14:textId="3E0498B9" w:rsidR="00BA0B13" w:rsidRPr="00DA788D" w:rsidRDefault="00BA0B13"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 xml:space="preserve">W przypadku, o którym mowa w art. 275 pkt 2 </w:t>
      </w:r>
      <w:r w:rsidR="00627E31">
        <w:rPr>
          <w:rFonts w:ascii="Times New Roman" w:eastAsia="Times" w:hAnsi="Times New Roman" w:cs="Times New Roman"/>
          <w:color w:val="000000"/>
          <w:sz w:val="24"/>
          <w:szCs w:val="24"/>
        </w:rPr>
        <w:t xml:space="preserve">ustawy </w:t>
      </w:r>
      <w:r w:rsidRPr="00DA788D">
        <w:rPr>
          <w:rFonts w:ascii="Times New Roman" w:eastAsia="Times" w:hAnsi="Times New Roman" w:cs="Times New Roman"/>
          <w:color w:val="000000"/>
          <w:sz w:val="24"/>
          <w:szCs w:val="24"/>
        </w:rPr>
        <w:t>zamawiający może zaprosić, a przypadku, o którym mowa w art. 275 pkt 3</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xml:space="preserve">, zaprasza jednocześnie wykonawców do negocjacji ofert złożonych w odpowiedzi na ogłoszenie o zamówieniu, jeżeli nie podlegały one odrzuceniu, a jeżeli </w:t>
      </w:r>
      <w:r w:rsidR="00A32389">
        <w:rPr>
          <w:rFonts w:ascii="Times New Roman" w:eastAsia="Times" w:hAnsi="Times New Roman" w:cs="Times New Roman"/>
          <w:color w:val="000000"/>
          <w:sz w:val="24"/>
          <w:szCs w:val="24"/>
        </w:rPr>
        <w:t xml:space="preserve">zamawiający </w:t>
      </w:r>
      <w:r w:rsidRPr="00DA788D">
        <w:rPr>
          <w:rFonts w:ascii="Times New Roman" w:eastAsia="Times" w:hAnsi="Times New Roman" w:cs="Times New Roman"/>
          <w:color w:val="000000"/>
          <w:sz w:val="24"/>
          <w:szCs w:val="24"/>
        </w:rPr>
        <w:t>ustalił kryteria, o których mowa w art. 288 ust. 2</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zaproszenie kieruje do tych wykonawców, których oferty spełniają w najwyższym stopniu te kryteria, w liczbie ustalonej przez zamawiającego.</w:t>
      </w:r>
    </w:p>
    <w:p w14:paraId="4BBCC5D9" w14:textId="5163C7E6" w:rsidR="00BA0B13" w:rsidRPr="00DA788D" w:rsidRDefault="00BA0B13" w:rsidP="00DA788D">
      <w:pPr>
        <w:keepNext/>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lastRenderedPageBreak/>
        <w:t>Jeżeli liczba wykonawców, którzy złożyli oferty niepodlegające odrzuceniu na podstawie art. 226 ust. 1 pkt 1-6</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jest mniejsza niż 3 (tj. 2 lub 1), zamawiający:</w:t>
      </w:r>
    </w:p>
    <w:p w14:paraId="23FEFE5C" w14:textId="7BF8A276" w:rsidR="00BA0B13" w:rsidRPr="00DA788D" w:rsidRDefault="00BA0B13" w:rsidP="00DA788D">
      <w:pPr>
        <w:pBdr>
          <w:top w:val="nil"/>
          <w:left w:val="nil"/>
          <w:bottom w:val="nil"/>
          <w:right w:val="nil"/>
          <w:between w:val="nil"/>
        </w:pBdr>
        <w:spacing w:after="120"/>
        <w:ind w:left="510" w:hanging="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1)</w:t>
      </w:r>
      <w:r w:rsidRPr="00DA788D">
        <w:rPr>
          <w:rFonts w:ascii="Times New Roman" w:eastAsia="Times" w:hAnsi="Times New Roman" w:cs="Times New Roman"/>
          <w:color w:val="000000"/>
          <w:sz w:val="24"/>
          <w:szCs w:val="24"/>
        </w:rPr>
        <w:tab/>
        <w:t>w przypadku art. 275 pkt 2</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kontynuuje postępowanie, a więc nie ma podstaw do unieważnienia postępowania;</w:t>
      </w:r>
    </w:p>
    <w:p w14:paraId="0870D1D0" w14:textId="0C7D75E4" w:rsidR="00BA0B13" w:rsidRPr="00DA788D" w:rsidRDefault="00BA0B13" w:rsidP="00DA788D">
      <w:pPr>
        <w:pBdr>
          <w:top w:val="nil"/>
          <w:left w:val="nil"/>
          <w:bottom w:val="nil"/>
          <w:right w:val="nil"/>
          <w:between w:val="nil"/>
        </w:pBdr>
        <w:spacing w:after="120"/>
        <w:ind w:left="510" w:hanging="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2)</w:t>
      </w:r>
      <w:r w:rsidRPr="00DA788D">
        <w:rPr>
          <w:rFonts w:ascii="Times New Roman" w:eastAsia="Times" w:hAnsi="Times New Roman" w:cs="Times New Roman"/>
          <w:color w:val="000000"/>
          <w:sz w:val="24"/>
          <w:szCs w:val="24"/>
        </w:rPr>
        <w:tab/>
        <w:t>w przypadku art. 275 pkt 3</w:t>
      </w:r>
      <w:r w:rsidR="00627E31">
        <w:rPr>
          <w:rFonts w:ascii="Times New Roman" w:eastAsia="Times" w:hAnsi="Times New Roman" w:cs="Times New Roman"/>
          <w:color w:val="000000"/>
          <w:sz w:val="24"/>
          <w:szCs w:val="24"/>
        </w:rPr>
        <w:t xml:space="preserve"> ustawy</w:t>
      </w:r>
      <w:r w:rsidRPr="00DA788D">
        <w:rPr>
          <w:rFonts w:ascii="Times New Roman" w:eastAsia="Times" w:hAnsi="Times New Roman" w:cs="Times New Roman"/>
          <w:color w:val="000000"/>
          <w:sz w:val="24"/>
          <w:szCs w:val="24"/>
        </w:rPr>
        <w:t>, może kontynuować postępowanie, zapraszając do negocjacji ofert tych wykonawców albo unieważnia post</w:t>
      </w:r>
      <w:r w:rsidR="00DA788D">
        <w:rPr>
          <w:rFonts w:ascii="Times New Roman" w:eastAsia="Times" w:hAnsi="Times New Roman" w:cs="Times New Roman"/>
          <w:color w:val="000000"/>
          <w:sz w:val="24"/>
          <w:szCs w:val="24"/>
        </w:rPr>
        <w:t>ępowanie na podstawie art. 258.</w:t>
      </w:r>
    </w:p>
    <w:p w14:paraId="6B2DC97D" w14:textId="77777777" w:rsidR="00BA0B13" w:rsidRPr="00DA788D" w:rsidRDefault="00BA0B13" w:rsidP="00DA788D">
      <w:pPr>
        <w:spacing w:after="120"/>
        <w:ind w:firstLine="708"/>
        <w:jc w:val="both"/>
        <w:rPr>
          <w:rFonts w:ascii="Times New Roman" w:eastAsia="Times New Roman" w:hAnsi="Times New Roman" w:cs="Times New Roman"/>
          <w:sz w:val="24"/>
          <w:szCs w:val="24"/>
        </w:rPr>
      </w:pPr>
    </w:p>
    <w:p w14:paraId="5697B1B3" w14:textId="49F5FB63"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IV</w:t>
      </w:r>
      <w:r w:rsidR="00873CB1">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Szczególne instrumenty i procedury w zakresie zamówień klasycznych </w:t>
      </w:r>
    </w:p>
    <w:p w14:paraId="14891272" w14:textId="7CB9DA4E"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1</w:t>
      </w:r>
      <w:r w:rsidR="00873CB1">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Umowa ramowa </w:t>
      </w:r>
    </w:p>
    <w:p w14:paraId="699560E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Przepisy o umowie ramowej odzwierciedlają art. 33, art. 35 ust. 2 akapit drugi oraz art. 36 ust. 4 i 5 dyrektywy klasycznej. Obecna regulacja procedur udzielania zamówień jednostkowych objętych umową ramową nie jest zadawalająca. Wątpliwości budzi przede wszystkim zakres wymagań proceduralnych towarzyszących udzieleniu zamówień jednostkowych na podstawie umów ramowych zawartych z jednym wykonawcą lub z kilkoma wykonawcami zgodnie z warunkami umowy, bez ponownego poddania zamówienia procedurze konkurencyjnej. W celu wyjaśnienia tej kwestii w projekcie wyraźnie wskazuje się, że udzielenie zamówienia jednostkowego bezpośrednio na warunkach umowy ramowej odbywa się bez przeprowadzenia postępowania o udzielenie zamówienia. Zamawiający nie ma więc w takich wypadkach obowiązku m.in. oszacowania wartości zamówienia jednostkowego, powołania komisji przetargowej, stosowania elektronicznych środków komunikacji, ponownej weryfikacji podmiotowej wykonawcy czy też sporządzenia protokołu. </w:t>
      </w:r>
    </w:p>
    <w:p w14:paraId="22B34E51" w14:textId="00F8DE46"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2</w:t>
      </w:r>
      <w:r w:rsidR="00873CB1">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Dynamiczny system zakupów</w:t>
      </w:r>
    </w:p>
    <w:p w14:paraId="53D04F7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Przepisy dotyczące dynamicznego systemu zakupów stanowią zasadniczo powtórzenie analogicznej regulacji ustawy Pzp. Drobne zmiany mają wyłącznie na celu dostosowanie przepisów do nowej terminologii. </w:t>
      </w:r>
    </w:p>
    <w:p w14:paraId="79848FF8" w14:textId="6673C153"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3</w:t>
      </w:r>
      <w:r w:rsidR="00873CB1">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Konkurs</w:t>
      </w:r>
    </w:p>
    <w:p w14:paraId="6D9408D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zmodyfikował w sposób istotny dotychczasową regulację dotyczącą konkursu. Asumptem do zmian była relatywnie niewielka popularność tego alternatywnego instrumentu udzielania zamówienia wśród zamawiających. </w:t>
      </w:r>
    </w:p>
    <w:p w14:paraId="632401BC" w14:textId="13A51B0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Konkurs został zdefiniowany w art. 7 pkt 8 projektu ustawy, gdzie stwierdzono, że pod pojęciem konkursu, należy rozumieć przyrzeczenie publiczne, w którym przez publiczne ogłoszenie zamawiający przyrzeka nagrodę za wykonanie i przeniesienie prawa do wybranej przez sąd konkursowy pracy konkursowej. Konkurs ma być organizowany przez zamawiającego w celu wyboru pracy konkursowej o charakterze twórczym, dotyczącej, w szczególności planowania przestrzennego, projektowania urbanistycznego, projektowania architektoniczno-budowlanego, przetwarzania danych, projektowania z zakresu informatyki, zamierzenia innowacyjnego. Zakres przedmiotowy konkursu jest katalogiem otwartym, a wskazane powyżej elementy mają charakter przykładowy. W art. 325 ustawy podkreślono jednakże, że przedmiotem konkursu może być szeroko rozumiane projektowanie z zakresu informatyki. Konkurs będzie mógł być także wykorzystywany przez zamawiającego do uzyskania planów dotyczących inżynierii finansowej, które umożliwiłyby optymalizację wsparcia dla MŚP. </w:t>
      </w:r>
    </w:p>
    <w:p w14:paraId="77637D3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Przepisy dotyczące konkursu umiejscowiono w dziale IV. Konieczne stało się zatem precyzyjne określenie, które przepisy innych działów stosuje się do konkursu, a których się nie stosuje. Przepisy działu I (przepisy ogólne) zasadniczo obowiązują w konkursie bezpośrednio, z wyłączeniem przepisów dotyczących wykonawców, komisji przetargowej, zespołu zamawiającego oraz z modyfikacją jednej z zasad udzielania zamówień. Informacje o planowanych postępowaniach nie będą dotyczyły konkursu. Do konkursu nie stosuje się przepisów działu II dotyczących zamówień powyżej progów unijnych, chyba że poszczególne przypisy konkursowe wprost się do przepisów działu II odwołują. Oznacza to, że nie znajdą wprost zastosowania reguły dotyczące np. kwalifikacji podmiotowej wykonawców, trybów udzielania zamówień, ustalenia warunków zamówienia, itd. Do konkursu znajdą zastosowanie natomiast przepisy dotyczące zamówień sektorowych i zamówień w dziedzinach obronności i bezpieczeństwa oraz przepisy wprowadzające środki ochrony prawnej. </w:t>
      </w:r>
    </w:p>
    <w:p w14:paraId="3EC75A6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projektem ustawy, przewiduje się konkurs: (1) z nagrodami pieniężnymi lub rzeczowymi lub, (2) gdzie nagrodą będzie zaproszenie autora lub autorów wybranych prac konkursowych do negocjacji odpowiednio w trybie zamówienia z wolnej ręki lub negocjacji bez ogłoszenia w celu wykonania usługi na podstawie wybranej pracy konkursowej, a ponadto uczestnicy konkursu będą mogli otrzymać nagrody pieniężne lub rzeczowe. Istotną zmianę względem przepisów dotychczasowych przewidziano w konkursie z nagrodą w postaci zaproszenia do negocjacji. W przypadku, gdy zamawiający przewiduje taką nagrodę – przedmiotem zamówienia będzie wykonanie usługi na podstawie tej pracy konkursowej, a nie jak było dotychczas tylko uszczegółowienie pracy konkursowej (art. 111 ust. 2 ustawy Pzp). </w:t>
      </w:r>
    </w:p>
    <w:p w14:paraId="00E32C76" w14:textId="581BD8F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wprowadza istotne novum jakim jest obowiązek uprzedniego przeprowadzenia konkursu, jeżeli zamawiający zamierza udzielić zamówienia na usługi projektowania architektonicznego</w:t>
      </w:r>
      <w:r w:rsidR="00E4133A" w:rsidRPr="00DA788D">
        <w:rPr>
          <w:rFonts w:ascii="Times New Roman" w:eastAsia="Times New Roman" w:hAnsi="Times New Roman" w:cs="Times New Roman"/>
          <w:sz w:val="24"/>
          <w:szCs w:val="24"/>
        </w:rPr>
        <w:t xml:space="preserve"> lub </w:t>
      </w:r>
      <w:r w:rsidR="00C84FA1" w:rsidRPr="00DA788D">
        <w:rPr>
          <w:rFonts w:ascii="Times New Roman" w:eastAsia="Times New Roman" w:hAnsi="Times New Roman" w:cs="Times New Roman"/>
          <w:sz w:val="24"/>
          <w:szCs w:val="24"/>
        </w:rPr>
        <w:t>architektoniczno</w:t>
      </w:r>
      <w:r w:rsidR="00E4133A" w:rsidRPr="00DA788D">
        <w:rPr>
          <w:rFonts w:ascii="Times New Roman" w:eastAsia="Times New Roman" w:hAnsi="Times New Roman" w:cs="Times New Roman"/>
          <w:sz w:val="24"/>
          <w:szCs w:val="24"/>
        </w:rPr>
        <w:t>-budowlanego</w:t>
      </w:r>
      <w:r w:rsidRPr="00DA788D">
        <w:rPr>
          <w:rFonts w:ascii="Times New Roman" w:eastAsia="Times New Roman" w:hAnsi="Times New Roman" w:cs="Times New Roman"/>
          <w:sz w:val="24"/>
          <w:szCs w:val="24"/>
        </w:rPr>
        <w:t xml:space="preserve">. Zamówienie na usługę projektu architektonicznego </w:t>
      </w:r>
      <w:r w:rsidR="00E4133A" w:rsidRPr="00DA788D">
        <w:rPr>
          <w:rFonts w:ascii="Times New Roman" w:eastAsia="Times New Roman" w:hAnsi="Times New Roman" w:cs="Times New Roman"/>
          <w:sz w:val="24"/>
          <w:szCs w:val="24"/>
        </w:rPr>
        <w:t xml:space="preserve">lub </w:t>
      </w:r>
      <w:r w:rsidR="00C84FA1" w:rsidRPr="00DA788D">
        <w:rPr>
          <w:rFonts w:ascii="Times New Roman" w:eastAsia="Times New Roman" w:hAnsi="Times New Roman" w:cs="Times New Roman"/>
          <w:sz w:val="24"/>
          <w:szCs w:val="24"/>
        </w:rPr>
        <w:t>architektoniczno</w:t>
      </w:r>
      <w:r w:rsidR="00E4133A" w:rsidRPr="00DA788D">
        <w:rPr>
          <w:rFonts w:ascii="Times New Roman" w:eastAsia="Times New Roman" w:hAnsi="Times New Roman" w:cs="Times New Roman"/>
          <w:sz w:val="24"/>
          <w:szCs w:val="24"/>
        </w:rPr>
        <w:t xml:space="preserve">-budowlanego </w:t>
      </w:r>
      <w:r w:rsidRPr="00DA788D">
        <w:rPr>
          <w:rFonts w:ascii="Times New Roman" w:eastAsia="Times New Roman" w:hAnsi="Times New Roman" w:cs="Times New Roman"/>
          <w:sz w:val="24"/>
          <w:szCs w:val="24"/>
        </w:rPr>
        <w:t xml:space="preserve">poprzedzone będzie konkursem, jeżeli w zamierzeniu zamawiającego projekt ma zawierać rozwiązania </w:t>
      </w:r>
      <w:r w:rsidR="00E4133A" w:rsidRPr="00DA788D">
        <w:rPr>
          <w:rFonts w:ascii="Times New Roman" w:eastAsia="Times New Roman" w:hAnsi="Times New Roman" w:cs="Times New Roman"/>
          <w:sz w:val="24"/>
          <w:szCs w:val="24"/>
        </w:rPr>
        <w:t>twórcze</w:t>
      </w:r>
      <w:r w:rsidRPr="00DA788D">
        <w:rPr>
          <w:rFonts w:ascii="Times New Roman" w:eastAsia="Times New Roman" w:hAnsi="Times New Roman" w:cs="Times New Roman"/>
          <w:sz w:val="24"/>
          <w:szCs w:val="24"/>
        </w:rPr>
        <w:t xml:space="preserve"> w rozumieniu ustawy </w:t>
      </w:r>
      <w:r w:rsidR="00873CB1">
        <w:rPr>
          <w:rFonts w:ascii="Times New Roman" w:eastAsia="Times New Roman" w:hAnsi="Times New Roman" w:cs="Times New Roman"/>
          <w:sz w:val="24"/>
          <w:szCs w:val="24"/>
        </w:rPr>
        <w:t xml:space="preserve">z dnia 4 lutego 1994 r. </w:t>
      </w:r>
      <w:r w:rsidRPr="00DA788D">
        <w:rPr>
          <w:rFonts w:ascii="Times New Roman" w:eastAsia="Times New Roman" w:hAnsi="Times New Roman" w:cs="Times New Roman"/>
          <w:sz w:val="24"/>
          <w:szCs w:val="24"/>
        </w:rPr>
        <w:t xml:space="preserve">o </w:t>
      </w:r>
      <w:r w:rsidR="009C1303">
        <w:rPr>
          <w:rFonts w:ascii="Times New Roman" w:eastAsia="Times New Roman" w:hAnsi="Times New Roman" w:cs="Times New Roman"/>
          <w:sz w:val="24"/>
          <w:szCs w:val="24"/>
        </w:rPr>
        <w:t>praw</w:t>
      </w:r>
      <w:r w:rsidR="00873CB1">
        <w:rPr>
          <w:rFonts w:ascii="Times New Roman" w:eastAsia="Times New Roman" w:hAnsi="Times New Roman" w:cs="Times New Roman"/>
          <w:sz w:val="24"/>
          <w:szCs w:val="24"/>
        </w:rPr>
        <w:t>ie</w:t>
      </w:r>
      <w:r w:rsidR="00873CB1" w:rsidRPr="00DA788D">
        <w:rPr>
          <w:rFonts w:ascii="Times New Roman" w:eastAsia="Times New Roman" w:hAnsi="Times New Roman" w:cs="Times New Roman"/>
          <w:sz w:val="24"/>
          <w:szCs w:val="24"/>
        </w:rPr>
        <w:t xml:space="preserve"> autorski</w:t>
      </w:r>
      <w:r w:rsidR="00873CB1">
        <w:rPr>
          <w:rFonts w:ascii="Times New Roman" w:eastAsia="Times New Roman" w:hAnsi="Times New Roman" w:cs="Times New Roman"/>
          <w:sz w:val="24"/>
          <w:szCs w:val="24"/>
        </w:rPr>
        <w:t>m</w:t>
      </w:r>
      <w:r w:rsidR="00873CB1"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i prawach pokrewnych</w:t>
      </w:r>
      <w:r w:rsidR="00873CB1">
        <w:rPr>
          <w:rFonts w:ascii="Times New Roman" w:eastAsia="Times New Roman" w:hAnsi="Times New Roman" w:cs="Times New Roman"/>
          <w:sz w:val="24"/>
          <w:szCs w:val="24"/>
        </w:rPr>
        <w:t xml:space="preserve"> (Dz. U. z 2019 r. poz. 1231)</w:t>
      </w:r>
      <w:r w:rsidRPr="00DA788D">
        <w:rPr>
          <w:rFonts w:ascii="Times New Roman" w:eastAsia="Times New Roman" w:hAnsi="Times New Roman" w:cs="Times New Roman"/>
          <w:sz w:val="24"/>
          <w:szCs w:val="24"/>
        </w:rPr>
        <w:t>. Nie każde zatem zamówienie na dokumentację projektową będzie musiało być poprzedzone konkursem na wykonanie projektu.</w:t>
      </w:r>
      <w:r w:rsidR="003558CF" w:rsidRPr="00DA788D">
        <w:rPr>
          <w:rFonts w:ascii="Times New Roman" w:eastAsia="Times New Roman" w:hAnsi="Times New Roman" w:cs="Times New Roman"/>
          <w:sz w:val="24"/>
          <w:szCs w:val="24"/>
        </w:rPr>
        <w:t xml:space="preserve"> Dotyczy to w szczególności zamówień na przygotowanie dokumentacji projektowej zwykłych obiektów liniowych, np. dróg lub przygotowanie projektów branżowych np. w branży wod-kan.</w:t>
      </w:r>
      <w:r w:rsidRPr="00DA788D">
        <w:rPr>
          <w:rFonts w:ascii="Times New Roman" w:eastAsia="Times New Roman" w:hAnsi="Times New Roman" w:cs="Times New Roman"/>
          <w:sz w:val="24"/>
          <w:szCs w:val="24"/>
        </w:rPr>
        <w:t xml:space="preserve"> </w:t>
      </w:r>
      <w:r w:rsidR="003558CF" w:rsidRPr="00DA788D">
        <w:rPr>
          <w:rFonts w:ascii="Times New Roman" w:eastAsia="Times New Roman" w:hAnsi="Times New Roman" w:cs="Times New Roman"/>
          <w:sz w:val="24"/>
          <w:szCs w:val="24"/>
        </w:rPr>
        <w:t>Obowiązkiem przeprowadzenia konkursu nie będą także objęte zamówienia planowane do udziel</w:t>
      </w:r>
      <w:r w:rsidR="00267BF7" w:rsidRPr="00DA788D">
        <w:rPr>
          <w:rFonts w:ascii="Times New Roman" w:eastAsia="Times New Roman" w:hAnsi="Times New Roman" w:cs="Times New Roman"/>
          <w:sz w:val="24"/>
          <w:szCs w:val="24"/>
        </w:rPr>
        <w:t>enia</w:t>
      </w:r>
      <w:r w:rsidR="00C84FA1">
        <w:rPr>
          <w:rFonts w:ascii="Times New Roman" w:eastAsia="Times New Roman" w:hAnsi="Times New Roman" w:cs="Times New Roman"/>
          <w:sz w:val="24"/>
          <w:szCs w:val="24"/>
        </w:rPr>
        <w:t xml:space="preserve"> </w:t>
      </w:r>
      <w:r w:rsidR="003558CF" w:rsidRPr="00DA788D">
        <w:rPr>
          <w:rFonts w:ascii="Times New Roman" w:eastAsia="Times New Roman" w:hAnsi="Times New Roman" w:cs="Times New Roman"/>
          <w:sz w:val="24"/>
          <w:szCs w:val="24"/>
        </w:rPr>
        <w:t>w formule zaprojektuj i wybuduj, gdyż zamówienie takie stanowi roboty budowlane, a nie</w:t>
      </w:r>
      <w:r w:rsidR="00E4133A" w:rsidRPr="00DA788D">
        <w:rPr>
          <w:rFonts w:ascii="Times New Roman" w:eastAsia="Times New Roman" w:hAnsi="Times New Roman" w:cs="Times New Roman"/>
          <w:sz w:val="24"/>
          <w:szCs w:val="24"/>
        </w:rPr>
        <w:t xml:space="preserve"> </w:t>
      </w:r>
      <w:r w:rsidR="003558CF" w:rsidRPr="00DA788D">
        <w:rPr>
          <w:rFonts w:ascii="Times New Roman" w:eastAsia="Times New Roman" w:hAnsi="Times New Roman" w:cs="Times New Roman"/>
          <w:sz w:val="24"/>
          <w:szCs w:val="24"/>
        </w:rPr>
        <w:t>usługę</w:t>
      </w:r>
      <w:r w:rsidR="00E4133A" w:rsidRPr="00DA788D">
        <w:rPr>
          <w:rFonts w:ascii="Times New Roman" w:eastAsia="Times New Roman" w:hAnsi="Times New Roman" w:cs="Times New Roman"/>
          <w:sz w:val="24"/>
          <w:szCs w:val="24"/>
        </w:rPr>
        <w:t>.</w:t>
      </w:r>
    </w:p>
    <w:p w14:paraId="262D4997" w14:textId="7811096C" w:rsidR="00CB2D51" w:rsidRPr="00DA788D" w:rsidRDefault="0070607E"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Art. 325 ust. 3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xml:space="preserve">wprowadza istotne wyłączenia względem obligatoryjnego konkursu. </w:t>
      </w:r>
      <w:r w:rsidR="002E64C7" w:rsidRPr="00DA788D">
        <w:rPr>
          <w:rFonts w:ascii="Times New Roman" w:eastAsia="Times New Roman" w:hAnsi="Times New Roman" w:cs="Times New Roman"/>
          <w:sz w:val="24"/>
          <w:szCs w:val="24"/>
        </w:rPr>
        <w:t>Zamawiający nie będzie miał obowiązku przeprowadzania konkursu w sytuacji, gdy</w:t>
      </w:r>
      <w:r w:rsidRPr="00DA788D">
        <w:rPr>
          <w:rFonts w:ascii="Times New Roman" w:eastAsia="Times New Roman" w:hAnsi="Times New Roman" w:cs="Times New Roman"/>
          <w:sz w:val="24"/>
          <w:szCs w:val="24"/>
        </w:rPr>
        <w:t xml:space="preserve"> przedmiotem</w:t>
      </w:r>
      <w:r w:rsidR="002E64C7" w:rsidRPr="00DA788D">
        <w:rPr>
          <w:rFonts w:ascii="Times New Roman" w:eastAsia="Times New Roman" w:hAnsi="Times New Roman" w:cs="Times New Roman"/>
          <w:sz w:val="24"/>
          <w:szCs w:val="24"/>
        </w:rPr>
        <w:t xml:space="preserve"> zamówieni</w:t>
      </w:r>
      <w:r w:rsidRPr="00DA788D">
        <w:rPr>
          <w:rFonts w:ascii="Times New Roman" w:eastAsia="Times New Roman" w:hAnsi="Times New Roman" w:cs="Times New Roman"/>
          <w:sz w:val="24"/>
          <w:szCs w:val="24"/>
        </w:rPr>
        <w:t>a na usługę jest zamówienie sektorowe lub zamówienie klasyczne o wartości mniejszej niż progi unijne.</w:t>
      </w:r>
      <w:r w:rsidR="002E64C7" w:rsidRPr="00DA788D">
        <w:rPr>
          <w:rFonts w:ascii="Times New Roman" w:eastAsia="Times New Roman" w:hAnsi="Times New Roman" w:cs="Times New Roman"/>
          <w:sz w:val="24"/>
          <w:szCs w:val="24"/>
        </w:rPr>
        <w:t xml:space="preserve">  </w:t>
      </w:r>
      <w:r w:rsidR="00787D09" w:rsidRPr="00DA788D">
        <w:rPr>
          <w:rFonts w:ascii="Times New Roman" w:eastAsia="Times New Roman" w:hAnsi="Times New Roman" w:cs="Times New Roman"/>
          <w:sz w:val="24"/>
          <w:szCs w:val="24"/>
        </w:rPr>
        <w:t>Obowiązek przeprowadzenia konkursu będzie wyłączony również</w:t>
      </w:r>
      <w:r w:rsidR="00267BF7" w:rsidRPr="00DA788D">
        <w:rPr>
          <w:rFonts w:ascii="Times New Roman" w:eastAsia="Times New Roman" w:hAnsi="Times New Roman" w:cs="Times New Roman"/>
          <w:sz w:val="24"/>
          <w:szCs w:val="24"/>
        </w:rPr>
        <w:t>,</w:t>
      </w:r>
      <w:r w:rsidR="00787D09" w:rsidRPr="00DA788D">
        <w:rPr>
          <w:rFonts w:ascii="Times New Roman" w:eastAsia="Times New Roman" w:hAnsi="Times New Roman" w:cs="Times New Roman"/>
          <w:sz w:val="24"/>
          <w:szCs w:val="24"/>
        </w:rPr>
        <w:t xml:space="preserve"> jeśli zamawiający zdecyduje się w zamówieniu publicznym przedstawić swoje zamierzenia i oczekiwania </w:t>
      </w:r>
      <w:r w:rsidR="00267BF7" w:rsidRPr="00DA788D">
        <w:rPr>
          <w:rFonts w:ascii="Times New Roman" w:eastAsia="Times New Roman" w:hAnsi="Times New Roman" w:cs="Times New Roman"/>
          <w:sz w:val="24"/>
          <w:szCs w:val="24"/>
        </w:rPr>
        <w:t xml:space="preserve">wykonawcom </w:t>
      </w:r>
      <w:r w:rsidR="00787D09" w:rsidRPr="00DA788D">
        <w:rPr>
          <w:rFonts w:ascii="Times New Roman" w:eastAsia="Times New Roman" w:hAnsi="Times New Roman" w:cs="Times New Roman"/>
          <w:sz w:val="24"/>
          <w:szCs w:val="24"/>
        </w:rPr>
        <w:t xml:space="preserve">w procedurze negocjacyjnej. Zatem udzielenie zamówienia na usługi projektowania architektonicznego lub </w:t>
      </w:r>
      <w:r w:rsidR="00C84FA1" w:rsidRPr="00DA788D">
        <w:rPr>
          <w:rFonts w:ascii="Times New Roman" w:eastAsia="Times New Roman" w:hAnsi="Times New Roman" w:cs="Times New Roman"/>
          <w:sz w:val="24"/>
          <w:szCs w:val="24"/>
        </w:rPr>
        <w:t>architektoniczno</w:t>
      </w:r>
      <w:r w:rsidR="00787D09" w:rsidRPr="00DA788D">
        <w:rPr>
          <w:rFonts w:ascii="Times New Roman" w:eastAsia="Times New Roman" w:hAnsi="Times New Roman" w:cs="Times New Roman"/>
          <w:sz w:val="24"/>
          <w:szCs w:val="24"/>
        </w:rPr>
        <w:t xml:space="preserve">-budowlanego </w:t>
      </w:r>
      <w:r w:rsidR="002E64C7" w:rsidRPr="00DA788D">
        <w:rPr>
          <w:rFonts w:ascii="Times New Roman" w:eastAsia="Times New Roman" w:hAnsi="Times New Roman" w:cs="Times New Roman"/>
          <w:sz w:val="24"/>
          <w:szCs w:val="24"/>
        </w:rPr>
        <w:t xml:space="preserve">w trybie </w:t>
      </w:r>
      <w:r w:rsidR="00787D09" w:rsidRPr="00DA788D">
        <w:rPr>
          <w:rFonts w:ascii="Times New Roman" w:eastAsia="Times New Roman" w:hAnsi="Times New Roman" w:cs="Times New Roman"/>
          <w:sz w:val="24"/>
          <w:szCs w:val="24"/>
        </w:rPr>
        <w:t xml:space="preserve">negocjacji z ogłoszeniem i dialogu konkurencyjnego powoduje wyłączenie obowiązku poprzedzania takich zamówień konkursem. Z przyczyn celowościowych wyłącza się także takie zamówienia na usługi, które spełniają przesłanki pozwalające na udzielenie ich w trybie </w:t>
      </w:r>
      <w:r w:rsidR="002E64C7" w:rsidRPr="00DA788D">
        <w:rPr>
          <w:rFonts w:ascii="Times New Roman" w:eastAsia="Times New Roman" w:hAnsi="Times New Roman" w:cs="Times New Roman"/>
          <w:sz w:val="24"/>
          <w:szCs w:val="24"/>
        </w:rPr>
        <w:t xml:space="preserve">negocjacji bez ogłoszenia lub zamówienia z wolnej ręki. </w:t>
      </w:r>
    </w:p>
    <w:p w14:paraId="326CEB77" w14:textId="566F6432"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b/>
        <w:t xml:space="preserve">Przepisy dotyczące zasad konkursowych stosuje się </w:t>
      </w:r>
      <w:r w:rsidR="00267BF7" w:rsidRPr="00DA788D">
        <w:rPr>
          <w:rFonts w:ascii="Times New Roman" w:eastAsia="Times New Roman" w:hAnsi="Times New Roman" w:cs="Times New Roman"/>
          <w:sz w:val="24"/>
          <w:szCs w:val="24"/>
        </w:rPr>
        <w:t>odpowiednio</w:t>
      </w:r>
      <w:r w:rsidRPr="00DA788D">
        <w:rPr>
          <w:rFonts w:ascii="Times New Roman" w:eastAsia="Times New Roman" w:hAnsi="Times New Roman" w:cs="Times New Roman"/>
          <w:sz w:val="24"/>
          <w:szCs w:val="24"/>
        </w:rPr>
        <w:t xml:space="preserve">, przy czym ograniczono </w:t>
      </w:r>
      <w:r w:rsidR="00267BF7" w:rsidRPr="00DA788D">
        <w:rPr>
          <w:rFonts w:ascii="Times New Roman" w:eastAsia="Times New Roman" w:hAnsi="Times New Roman" w:cs="Times New Roman"/>
          <w:sz w:val="24"/>
          <w:szCs w:val="24"/>
        </w:rPr>
        <w:t xml:space="preserve">stosowanie </w:t>
      </w:r>
      <w:r w:rsidRPr="00DA788D">
        <w:rPr>
          <w:rFonts w:ascii="Times New Roman" w:eastAsia="Times New Roman" w:hAnsi="Times New Roman" w:cs="Times New Roman"/>
          <w:sz w:val="24"/>
          <w:szCs w:val="24"/>
        </w:rPr>
        <w:t xml:space="preserve">zasady jawności postępowania, jeśli jawność mogłaby naruszyć istotne reguły konkursowe (tj. anonimowość </w:t>
      </w:r>
      <w:r w:rsidRPr="00DA788D">
        <w:rPr>
          <w:rFonts w:ascii="Times New Roman" w:eastAsia="Times New Roman" w:hAnsi="Times New Roman" w:cs="Times New Roman"/>
          <w:sz w:val="24"/>
          <w:szCs w:val="24"/>
        </w:rPr>
        <w:lastRenderedPageBreak/>
        <w:t>prac konkursowych).</w:t>
      </w:r>
      <w:r w:rsidR="00267BF7" w:rsidRPr="00DA788D">
        <w:rPr>
          <w:rFonts w:ascii="Times New Roman" w:eastAsia="Times New Roman" w:hAnsi="Times New Roman" w:cs="Times New Roman"/>
          <w:sz w:val="24"/>
          <w:szCs w:val="24"/>
        </w:rPr>
        <w:t xml:space="preserve"> Nowe przepisy w większym niż dotychczas stopniu pochylają się </w:t>
      </w:r>
      <w:r w:rsidR="009C1303">
        <w:rPr>
          <w:rFonts w:ascii="Times New Roman" w:eastAsia="Times New Roman" w:hAnsi="Times New Roman" w:cs="Times New Roman"/>
          <w:sz w:val="24"/>
          <w:szCs w:val="24"/>
        </w:rPr>
        <w:t xml:space="preserve">nad </w:t>
      </w:r>
      <w:r w:rsidR="00267BF7" w:rsidRPr="00DA788D">
        <w:rPr>
          <w:rFonts w:ascii="Times New Roman" w:eastAsia="Times New Roman" w:hAnsi="Times New Roman" w:cs="Times New Roman"/>
          <w:sz w:val="24"/>
          <w:szCs w:val="24"/>
        </w:rPr>
        <w:t>zagadnieniem udostępniania prac konkursowych w trakcie trwania konkursu i po jego zakończeniu. Jak wynika z art. 328</w:t>
      </w:r>
      <w:r w:rsidR="00267BF7" w:rsidRPr="00DA788D">
        <w:rPr>
          <w:rFonts w:ascii="Times New Roman" w:hAnsi="Times New Roman" w:cs="Times New Roman"/>
          <w:sz w:val="24"/>
          <w:szCs w:val="24"/>
        </w:rPr>
        <w:t xml:space="preserve"> </w:t>
      </w:r>
      <w:r w:rsidR="00627E31">
        <w:rPr>
          <w:rFonts w:ascii="Times New Roman" w:hAnsi="Times New Roman" w:cs="Times New Roman"/>
          <w:sz w:val="24"/>
          <w:szCs w:val="24"/>
        </w:rPr>
        <w:t xml:space="preserve">ustawy </w:t>
      </w:r>
      <w:r w:rsidR="00267BF7" w:rsidRPr="00DA788D">
        <w:rPr>
          <w:rFonts w:ascii="Times New Roman" w:eastAsia="Times New Roman" w:hAnsi="Times New Roman" w:cs="Times New Roman"/>
          <w:sz w:val="24"/>
          <w:szCs w:val="24"/>
        </w:rPr>
        <w:t xml:space="preserve">zamawiający udostępnia wyłącznie nagrodzone prace konkursowe i to dopiero po rozstrzygnięciu konkursu. Na podstawie art. 358 </w:t>
      </w:r>
      <w:r w:rsidR="00627E31">
        <w:rPr>
          <w:rFonts w:ascii="Times New Roman" w:eastAsia="Times New Roman" w:hAnsi="Times New Roman" w:cs="Times New Roman"/>
          <w:sz w:val="24"/>
          <w:szCs w:val="24"/>
        </w:rPr>
        <w:t xml:space="preserve">ustawy </w:t>
      </w:r>
      <w:r w:rsidR="00267BF7" w:rsidRPr="00DA788D">
        <w:rPr>
          <w:rFonts w:ascii="Times New Roman" w:eastAsia="Times New Roman" w:hAnsi="Times New Roman" w:cs="Times New Roman"/>
          <w:sz w:val="24"/>
          <w:szCs w:val="24"/>
        </w:rPr>
        <w:t>prace konkursowe, które nie zdobyły nagrody nie zostają udostępniane, co więcej zamawiający, na wniosek uczestnika konkursu, który taką pracę złożył, zwraca złożoną przez niego pracę konkursową.</w:t>
      </w:r>
    </w:p>
    <w:p w14:paraId="17920FC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Projekt ustawy w zakresie, w jakim dotyczy (1) niezależnego sądu konkursowego oraz jego zadań, (2) przepisów dotyczących uczestników konkursu – zasadniczo powtarza dotychczasowe przepisy ustawy Pzp. Bez zmian pozostaje obowiązek dla zamawiającego sporządzenia i przeprowadzenia konkursu w oparciu o przygotowany przez siebie regulamin, który publikuje wraz z zaproszeniem do konkursu. Obligatoryjny zakres regulaminu został jednak uzależniony od typu konkursu, tj. jeżeli zamawiający zdecyduje o przeprowadzeniu konkursu, w którym nagrodą będzie zaproszenie do negocjacji – ciążyć będą na nim dodatkowe obowiązki informacyjne. </w:t>
      </w:r>
      <w:r w:rsidR="00B84167" w:rsidRPr="00DA788D">
        <w:rPr>
          <w:rFonts w:ascii="Times New Roman" w:eastAsia="Times New Roman" w:hAnsi="Times New Roman" w:cs="Times New Roman"/>
          <w:sz w:val="24"/>
          <w:szCs w:val="24"/>
        </w:rPr>
        <w:t>Rozbudowaniu uległy przepisy dotyczące możliwości podzielenia konkursu na etapy.</w:t>
      </w:r>
    </w:p>
    <w:p w14:paraId="5973474D" w14:textId="3F602E9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oddziale 4 proponuje się szczegółowiej niż ma to miejsce w przepisach dotychczasowych opisać możliwe do zastosowania procedury konkursowe. Dotychczasowe rozwiązania przewidywały zasadniczo tylko jedną procedurę konkursową wzorowaną na trybie przetargu ograniczonego. Powyższa procedura mająca uzasadnienie w pewnych typach konkursów np. na projekty architektoniczne, była nadmiernie sformalizowana w odniesieniu do innych np. na prace informatyczne. Projekt ustawy przewiduje zatem dwa rodzaje konkursu: </w:t>
      </w:r>
      <w:r w:rsidR="00B84167" w:rsidRPr="00DA788D">
        <w:rPr>
          <w:rFonts w:ascii="Times New Roman" w:eastAsia="Times New Roman" w:hAnsi="Times New Roman" w:cs="Times New Roman"/>
          <w:sz w:val="24"/>
          <w:szCs w:val="24"/>
        </w:rPr>
        <w:t xml:space="preserve">nieograniczony i </w:t>
      </w:r>
      <w:r w:rsidRPr="00DA788D">
        <w:rPr>
          <w:rFonts w:ascii="Times New Roman" w:eastAsia="Times New Roman" w:hAnsi="Times New Roman" w:cs="Times New Roman"/>
          <w:sz w:val="24"/>
          <w:szCs w:val="24"/>
        </w:rPr>
        <w:t xml:space="preserve">ograniczony. </w:t>
      </w:r>
    </w:p>
    <w:p w14:paraId="3683318C" w14:textId="67E71D2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Konkurs ograniczony jest procedurą dwuetapową podzieloną na etap składania wniosków o dopuszczenie do udziału w konkursie oraz etap składania prac konkursowych. Konkurs ograniczony, podobnie jak ma to miejsce dotychczas, przewiduje, że merytoryczna ocena prac konkursowych musi być poprzedzona formalną weryfikacją uczestników konkursu. Na etapie składania wniosków zamawiający będzie zatem weryfikował uczestników konkursu pod kątem obligatoryjnej przesłanki z art. 330 ust. 2 projektu ustawy, tj. posiadania uprawnień do opracowania pracy konkursowej oraz będzie mógł fakultatywnie zweryfikować tych uczestników pod kątem wymagań z art. 330 ust. 4 projektu ustawy, które mogą obejmować podstawy wykluczenia, warunki udziału w postępowaniu oraz kryteria selekcji. W przypadku konkursu ograniczonego zamawiający będzie mógł ograniczyć liczbę uczestników konkursu na podstawie jasnych i niedyskryminacyjnych kryteriów. Liczba kandydatów zaproszonych do udziału (zweryfikowanych pod względem formalnym) powinna być jednak wystarczająca do zapewnienia realnej konkurencji. Do udziału w konkursie i do składania prac konkursowych będą mogli być dopuszczeni tylko uczestnicy konkursu spełniający kryteria kwalifikacji uczestników określone w ogłoszeniu o konkursie. Możliwe do zastosowania wymagania, kryteria kwalifikacji i środki dowodowe zostały określone w art. 330 ust. 3-8 projektu ustawy. Najistotniejsze różnice względem kryteriów kwalifikacji w zamówieniach o wartościach przekraczających progi unijne dotyczą: fakultatywnego charakteru wszystkich przesłanek wykluczenia, nieobowiązywaniu reguły wstępnego wykazywania spełnienia warunków udziału w postępowaniu oraz braku podstaw do wykluczenia za pomocą oświadczeń i, konsekwentnie, brak obowiązku żądania i składania jednolitego dokumentu. Doprecyzowano także, wzorem trybu przetargu ograniczonego, jakie przesłanki formalne mogą przesądzić o niedopuszczeniu uczestnika konkursu do etapu składania prac konkursowych (przesłanki odrzucenia wniosku do udziału w konkursie określono w art. 343 ust. 3 projektu ustawy). Po zweryfikowaniu podmiotowym uczestników konkursu, zamawiający zaprasza ich do składania prac konkursowych </w:t>
      </w:r>
      <w:r w:rsidRPr="00DA788D">
        <w:rPr>
          <w:rFonts w:ascii="Times New Roman" w:eastAsia="Times New Roman" w:hAnsi="Times New Roman" w:cs="Times New Roman"/>
          <w:sz w:val="24"/>
          <w:szCs w:val="24"/>
        </w:rPr>
        <w:lastRenderedPageBreak/>
        <w:t>oraz wyznacza termin na złożenie pracy konkursowej. Etap oceny prac konkursowych został opisany w przepisach w art. 345-353</w:t>
      </w:r>
      <w:r w:rsidR="00627E31">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xml:space="preserve">. Ocena prac konkursowych różni się od oceny ofert. Po pierwsze, sąd konkursowy oceniający prace nie może mieć wiedzy, który uczestnik konkursu odpowiada za złożenie, której pracy konkursowej. Po drugie, sąd konkursowy jest autonomiczny przy dokonywaniu oceny prac. Po trzecie, uczestnicy konkursu, co do zasady, składają prace konkursowe wraz z informacjami o planowanych łącznych kosztach wykonania prac realizowanych na podstawie pracy konkursowej. Po czwarte, nie istnieje proste odwzorowanie norm dotyczących kryteriów oceny ofert na kryteria prac konkursowych. Ustawa w art. 347 ust. 2 zawiera w tym względzie własne rozwiązania, co oznacza, że zamawiający nie jest związany przepisami dotyczącymi kryteriów oceny ofert z rozdziału 4 dla zamówień o wartościach równych lub przekraczających progi unijne. </w:t>
      </w:r>
    </w:p>
    <w:p w14:paraId="62109E7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konkursu </w:t>
      </w:r>
      <w:r w:rsidR="00B84167" w:rsidRPr="00DA788D">
        <w:rPr>
          <w:rFonts w:ascii="Times New Roman" w:eastAsia="Times New Roman" w:hAnsi="Times New Roman" w:cs="Times New Roman"/>
          <w:sz w:val="24"/>
          <w:szCs w:val="24"/>
        </w:rPr>
        <w:t xml:space="preserve">nieograniczonego </w:t>
      </w:r>
      <w:r w:rsidRPr="00DA788D">
        <w:rPr>
          <w:rFonts w:ascii="Times New Roman" w:eastAsia="Times New Roman" w:hAnsi="Times New Roman" w:cs="Times New Roman"/>
          <w:sz w:val="24"/>
          <w:szCs w:val="24"/>
        </w:rPr>
        <w:t>uczestnicy konkursu będą mogli składać prace konkursowe przed czynnością ich weryfikacji podmiotowej przez zamawiającego. W założeniu rozwiązanie to ma zachęcić twórców do wzięcia udziału w konkursie, nie będzie bowiem etapu weryfikacji formalnej, która poprzedza ocenę merytoryczną pracy. W procedurze uczestnicy konkursu będą składać pracę konkursowe w odpowiedzi na ogłoszenie o konkursie. Ocena prac konkursowych będzie przebiegała wg takiego samego wzorca jak w konkursie ograniczonym. Wymóg weryfikacji podmiotowej dotyczył będzie obowiązku posiadania uprawnień do złożenia pracy konkursowej, jeśli ich posiadanie jest niezbędne dla przygotowania pracy (art. 330 ust. 2 projektu ustawy). Procedura nie przewiduje możliwości postawienia innych wymagań, co oznacza, że jeżeli zamawiający zamierza dokonywać takiej weryfikacji powinien zastosować procedurę ograniczoną. Zamawiający weryfikować będzie na podstawie środka dowodowego dotyczącego posiadania uprawnień tylko uczestnika konkursu, którego praca została wskazana przez sąd konkursowy. Niepotwierdzenie posiadania uprawnień uniemożliwia otrzymanie nagrody.</w:t>
      </w:r>
      <w:r w:rsidR="00B84167" w:rsidRPr="00DA788D">
        <w:rPr>
          <w:rFonts w:ascii="Times New Roman" w:eastAsia="Times New Roman" w:hAnsi="Times New Roman" w:cs="Times New Roman"/>
          <w:sz w:val="24"/>
          <w:szCs w:val="24"/>
        </w:rPr>
        <w:t xml:space="preserve"> Obok pracy konkursowej uczestnicy konkursu składać będą zgłoszenia do udziału w konkursie, które w zamiarze mają umożliwić przyporządkowanie na stosownym etapie uczestnika konkursu do złożonej przez niego anonimowej pracy konkursowej. </w:t>
      </w:r>
    </w:p>
    <w:p w14:paraId="329C8743" w14:textId="6376169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Dostrzegając nieprecyzyjność niektórych przepisów dotychczasowej ustawy Pzp, przewidziano w art. 355 </w:t>
      </w:r>
      <w:r w:rsidR="00627E31">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przesłanki unieważnienia konkursu. Przypominają one niektóre przesłanki unieważnienia postępowania o udzielenie zamówienia, z tym że umożliwiono zamawiającemu unieważnienie konkursu także wtedy, gdy złożono tylko jeden wniosek lub tylko jedną pracę konkursową (art. 355 ust. 2 projektu ustawy).</w:t>
      </w:r>
    </w:p>
    <w:p w14:paraId="39FDE01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Nowym rozwiązaniem, zachęcającym uczestników konkursu do wzięcia w nim udziału, jest także obowiązek przewidzenia przez zamawiającego zwrotu kosztów przygotowania pracy konkursowej, jeżeli unieważnienie konkursu, nastąpiło z przyczyn leżących po stronie zamawiającego (art. 355 ust. 4 projektu ustawy).</w:t>
      </w:r>
    </w:p>
    <w:p w14:paraId="5B8BC36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Specyfika konkursu i autorski charakter składanych prac oddziałuje także na przepisy dotyczące przechowywania prac konkursowych. Bezpośrednie stosowanie norm dotyczących archiwizacji ofert nie znajdzie tu zastosowania, w miejsce przepisów ogólnych regulacja konkursowa wprowadza normę nakazującą zamawiającemu zwrot prac konkursowych, które nie zostały nagrodzone.</w:t>
      </w:r>
    </w:p>
    <w:p w14:paraId="1BD329F8" w14:textId="223E3FF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4</w:t>
      </w:r>
      <w:r w:rsidR="009C1303">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Zamówienia na usługi społeczne i inne szczególne usługi</w:t>
      </w:r>
    </w:p>
    <w:p w14:paraId="0EFDDEB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Uwzględniając okoliczność, że dotychczasowe rozwiązanie w zakresie zamówień na usługi społeczne i inne szczególne usługi jest nadmiernie skomplikowane i wymaga od zamawiającego samodzielnego opisania całej procedury na okoliczność udzielania takich zamówień – proponuje się przywrócenie rozwiązania znanego </w:t>
      </w:r>
      <w:r w:rsidRPr="00DA788D">
        <w:rPr>
          <w:rFonts w:ascii="Times New Roman" w:eastAsia="Times New Roman" w:hAnsi="Times New Roman" w:cs="Times New Roman"/>
          <w:sz w:val="24"/>
          <w:szCs w:val="24"/>
        </w:rPr>
        <w:lastRenderedPageBreak/>
        <w:t>w systemie zamówień publicznych, tj. przepisów dotyczących dawnych usług niepriorytetowych (nieobowiązujący art. 5 ustawy Pzp). W projekcie ustawy przewidziano, że zamawiający zobowiązany do udzielenia zamówienia na usługi społeczne o wartościach wskazanych w art. 359 ustawy (dotychczasowy art. 138g ustawy Pzp) zobowiązany będzie przeprowadzić postępowania w trybach ogólnych przewidzianych ustawą z wyłączeniami wskazanymi w art. 360 ustawy, tj. (1) brakiem obowiązku powołania komisji przetargowej lub zespołu zamawiającego, (2) brakiem obowiązku składania jednolitego dokumentu, (3) możliwością innych terminów składania wniosków o dopuszczenie do udziału w postępowaniu lub terminów składania ofert niż terminy minimalne przewidziane dla trybów, (4) brakiem obowiązku żądania dokumentów jako podmiotowego środka dowodowego oraz (5) możliwością wyboru trybów negocjacji z ogłoszeniem, dialogu konkurencyjnego lub partnerstwa innowacyjnego bez spełnienia ustawowych przesłanek.</w:t>
      </w:r>
    </w:p>
    <w:p w14:paraId="3C56FC16" w14:textId="49282B16" w:rsidR="00CB2D51" w:rsidRPr="00DA788D" w:rsidRDefault="002E64C7" w:rsidP="00DA788D">
      <w:pPr>
        <w:spacing w:after="120"/>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V</w:t>
      </w:r>
      <w:r w:rsidR="009C1303">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Zamówienia sektorowe</w:t>
      </w:r>
    </w:p>
    <w:p w14:paraId="7011A265" w14:textId="285769DE"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przepisem art. 2 ust. 1 pkt 2 ustawa będzie miała zastosowanie do udzielania przez zamawiających sektorowych zamówień publicznych oraz organizowania konkursów, których wartość jest równa lub przekracza progi unijne, tj.  wyrażoną w złotych równowartość kwoty 443 000 euro w przypadku dostaw lub usług i  kwoty 5 548 000 euro w przypadku robót budowlanych.</w:t>
      </w:r>
    </w:p>
    <w:p w14:paraId="6F8FE4B0" w14:textId="3C8542AA"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Zamawiający sektorowi zostali zdefiniowani w art. 5 ust. 1 ustawy. W art. 5 ust. 2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xml:space="preserve">zdefiniowane zostały, na użytek definicji zamawiających sektorowych, prawa szczególne lub wyłączne. W art. 5 ust. 4 </w:t>
      </w:r>
      <w:r w:rsidR="00627E31">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zdefiniowane zostały rodzaje działalności sektorowej, przy zachowaniu pełnej zgodności z uregulowaniami dyrektywy sektorowej w tym zakresie. Zgodnie z art. 7 pkt 3</w:t>
      </w:r>
      <w:r>
        <w:rPr>
          <w:rFonts w:ascii="Times New Roman" w:eastAsia="Times New Roman" w:hAnsi="Times New Roman" w:cs="Times New Roman"/>
          <w:sz w:val="24"/>
          <w:szCs w:val="24"/>
        </w:rPr>
        <w:t>5</w:t>
      </w:r>
      <w:r w:rsidR="00627E31">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 xml:space="preserve">, przez zamówienie sektorowe należy rozumieć zamówienie publiczne udzielane przez zamawiających sektorowych, w celu prowadzenia jednego z rodzajów działalności sektorowej, o których mowa w art. 5 ust. </w:t>
      </w:r>
      <w:r>
        <w:rPr>
          <w:rFonts w:ascii="Times New Roman" w:eastAsia="Times New Roman" w:hAnsi="Times New Roman" w:cs="Times New Roman"/>
          <w:sz w:val="24"/>
          <w:szCs w:val="24"/>
        </w:rPr>
        <w:t>4</w:t>
      </w:r>
      <w:r w:rsidR="00627E31">
        <w:rPr>
          <w:rFonts w:ascii="Times New Roman" w:eastAsia="Times New Roman" w:hAnsi="Times New Roman" w:cs="Times New Roman"/>
          <w:sz w:val="24"/>
          <w:szCs w:val="24"/>
        </w:rPr>
        <w:t xml:space="preserve"> ustawy</w:t>
      </w:r>
      <w:r w:rsidRPr="00DA788D">
        <w:rPr>
          <w:rFonts w:ascii="Times New Roman" w:eastAsia="Times New Roman" w:hAnsi="Times New Roman" w:cs="Times New Roman"/>
          <w:sz w:val="24"/>
          <w:szCs w:val="24"/>
        </w:rPr>
        <w:t>.</w:t>
      </w:r>
    </w:p>
    <w:p w14:paraId="7E4538A2"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Odesłanie do przepisów właściwych dla zamówień publicznych</w:t>
      </w:r>
    </w:p>
    <w:p w14:paraId="409A9311"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Szereg przepisów dyrektywy sektorowej regulującej udzielanie zamówień przez podmioty prowadzące działalność w sektorach gospodarki wodnej, energetyki, transportu i usług pocztowych charakteryzuje bliźniacze podobieństwo do analogicznych regulacji zawartych w dyrektywie klasycznej regulującej udzielanie zamówień publicznych. Dotyczy to następujących kwestii:</w:t>
      </w:r>
    </w:p>
    <w:p w14:paraId="0508C287"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tzw. współpracy publiczno-publicznej w przypadku podmiotów zamawiających będących jednocześnie instytucjami zamawiającymi w rozumieniu dyrektywy klasycznej (art. 28 dyrektywy sektorowej);</w:t>
      </w:r>
    </w:p>
    <w:p w14:paraId="3C1B763B"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usług badawczych i rozwojowych (art. 32 dyrektywy sektorowej);</w:t>
      </w:r>
    </w:p>
    <w:p w14:paraId="04939053"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przestrzegania obowiązków w dziedzinie prawa ochrony środowiska, prawa socjalnego i prawa pracy (art. 36 ust. 2 dyrektywy sektorowej);</w:t>
      </w:r>
    </w:p>
    <w:p w14:paraId="2C14804B"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zamówień zastrzeżonych (art. 38 dyrektywy sektorowej);</w:t>
      </w:r>
    </w:p>
    <w:p w14:paraId="298A834E"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poufności (art. 39 dyrektywy sektorowej);</w:t>
      </w:r>
    </w:p>
    <w:p w14:paraId="41DC1ACE"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 mających zastosowanie do komunikacji (art. 40 dyrektywy sektorowej);</w:t>
      </w:r>
    </w:p>
    <w:p w14:paraId="33FD3803"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nomenklatury (art. 41 dyrektywy sektorowej);</w:t>
      </w:r>
    </w:p>
    <w:p w14:paraId="145AA981"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konfliktu interesów (art. 42 dyrektywy sektorowej);</w:t>
      </w:r>
    </w:p>
    <w:p w14:paraId="7525683E"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aukcji elektronicznej (art. 53 dyrektywy sektorowej);</w:t>
      </w:r>
    </w:p>
    <w:p w14:paraId="371CFD13"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katalogów elektronicznych (art. 54 dyrektywy sektorowej);</w:t>
      </w:r>
    </w:p>
    <w:p w14:paraId="6E2580C4"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scentralizowanych działań zakupowych i centralnej jednostki zakupujące (art. 55 dyrektywy sektorowej);</w:t>
      </w:r>
    </w:p>
    <w:p w14:paraId="2FC9C841"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okazjonalnego wspólnego udzielania zamówień (art. 56 dyrektywy sektorowej);</w:t>
      </w:r>
    </w:p>
    <w:p w14:paraId="6B143290"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zamówienia, w których biorą udział podmioty zamawiające z różnych państw członkowskich (art. 57 dyrektywy sektorowej);</w:t>
      </w:r>
    </w:p>
    <w:p w14:paraId="00E4AD10"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wstępnych konsultacji rynkowych (art. 58 dyrektywy sektorowej);</w:t>
      </w:r>
    </w:p>
    <w:p w14:paraId="5FCFDDE8"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wcześniejszego udziału kandydatów lub oferentów (art. 59 dyrektywy sektorowej);</w:t>
      </w:r>
    </w:p>
    <w:p w14:paraId="4480F5BC"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specyfikacji technicznych (art. 60 dyrektywy sektorowej);</w:t>
      </w:r>
    </w:p>
    <w:p w14:paraId="225FF42E"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form i sposobu publikacji ogłoszeń (art. 71 dyrektywy sektorowej);</w:t>
      </w:r>
    </w:p>
    <w:p w14:paraId="56275C1B"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publikacji na poziomie krajowym (art. 72 dyrektywy sektorowej);</w:t>
      </w:r>
    </w:p>
    <w:p w14:paraId="3F055804"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dostępności w formie elektronicznej dokumentów koncesji (art. 73 dyrektywy sektorowej);</w:t>
      </w:r>
    </w:p>
    <w:p w14:paraId="4B0E73FC"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norm zapewnienia jakości i normy zarządzania środowiskowego (art. 78 dyrektywy sektorowej);</w:t>
      </w:r>
    </w:p>
    <w:p w14:paraId="04845EEC"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polegania na zdolności innych podmiotów (art. 79 dyrektywy sektorowej);</w:t>
      </w:r>
    </w:p>
    <w:p w14:paraId="653A2513"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kryteriów udzielenia zamówienia (art. 82 dyrektywy sektorowej);</w:t>
      </w:r>
    </w:p>
    <w:p w14:paraId="02AD4397"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rachunku kosztów cyklu życia (art. 83 dyrektywy sektorowej);</w:t>
      </w:r>
    </w:p>
    <w:p w14:paraId="4C06AABB"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rażąco niskiej oferty (art. 84 dyrektywy sektorowej);</w:t>
      </w:r>
    </w:p>
    <w:p w14:paraId="36D0AE97"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podwykonawstwa (art. 88 dyrektywy sektorowej);</w:t>
      </w:r>
    </w:p>
    <w:p w14:paraId="7EC69B7C"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modyfikacji umów w okresie ich obowiązywania (art. 89 dyrektywy sektorowej);</w:t>
      </w:r>
    </w:p>
    <w:p w14:paraId="2447F2F0"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rozwiązywania umów (art. 90 dyrektywy sektorowej);</w:t>
      </w:r>
    </w:p>
    <w:p w14:paraId="773FA3A5"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udzielania zamówień na usługi społeczne i inne szczególne usługi (art. 91-94 dyrektywy sektorowej);</w:t>
      </w:r>
    </w:p>
    <w:p w14:paraId="5F75F590"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przepisów dotyczących konkursów (art. 95-98 dyrektywy sektorowej);</w:t>
      </w:r>
    </w:p>
    <w:p w14:paraId="4B5A82A2" w14:textId="77777777" w:rsidR="00C84FA1" w:rsidRPr="00DA788D" w:rsidRDefault="00C84FA1" w:rsidP="00C84FA1">
      <w:pPr>
        <w:numPr>
          <w:ilvl w:val="0"/>
          <w:numId w:val="15"/>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ładu administracyjno-regulacyjnego, w tym sprawozdawczość (art. 99-102 dyrektywy sektorowej).</w:t>
      </w:r>
    </w:p>
    <w:p w14:paraId="6A525B36"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konsekwencji w powyższym zakresie konieczne jest rozszerzenie na zamówienia sektorowe stosowania rozwiązań proponowanych w ustawie dla zamówień klasycznych. Odesłanie do stosownych przepisów znalazło się w art. 362 projektu ustawy.</w:t>
      </w:r>
    </w:p>
    <w:p w14:paraId="74822911"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Wyłączenia</w:t>
      </w:r>
    </w:p>
    <w:p w14:paraId="406E5415" w14:textId="5F5B4581"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przepisach od art. 363-366 projektu ustawy uregulowane zostały wyłączenia szczególne właściwe zamówieniom sektorowym, w tym wyłączenie dotyczące zamówień udzielanych podmiotom powiązanym (art. 29 i 30 dyrektywy sektorowej), czy uregulowane w przepisach art. 18 do 23 dyrektywy sektorowej wyłączenia </w:t>
      </w:r>
      <w:r w:rsidRPr="00DA788D">
        <w:rPr>
          <w:rFonts w:ascii="Times New Roman" w:eastAsia="Times New Roman" w:hAnsi="Times New Roman" w:cs="Times New Roman"/>
          <w:sz w:val="24"/>
          <w:szCs w:val="24"/>
        </w:rPr>
        <w:lastRenderedPageBreak/>
        <w:t>mające zastosowanie do wszystkich podmiotów zamawiających oraz szczególne wyłączenia dotyczące sektorów gospodarki wodnej i energetyki.</w:t>
      </w:r>
    </w:p>
    <w:p w14:paraId="639C7A7A"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Tryby udzielenia zamówienia sektorowego</w:t>
      </w:r>
    </w:p>
    <w:p w14:paraId="051373CA"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Podstawowymi trybami udzielania zamówień sektorowych będą – wzorem uregulowań unijnych – procedury: otwarta (przetarg nieograniczony), ograniczona (przetarg ograniczony) i negocjacyjna z uprzednim zaproszeniem do ubiegania się o zamówienie (sektorowe negocjacje z ogłoszeniem).</w:t>
      </w:r>
    </w:p>
    <w:p w14:paraId="564DBB36" w14:textId="7940C2CF"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Zaproszenia do ubiegania się o zamówienie podmioty zamawiające działające w sektorach gospodarki wodnej, energetyki, transportu i usług pocztowych powinny móc, jak dotychczas, dokonywać w jeden z następujących trzech sposobów: albo za pomocą okresowego ogłoszenia informacyjnego, jeżeli zamówienia udziela się w drodze procedury ograniczonej lub procedury negocjacyjnej (przepis art. </w:t>
      </w:r>
      <w:r w:rsidRPr="005D60BF">
        <w:rPr>
          <w:rFonts w:ascii="Times New Roman" w:eastAsia="Times New Roman" w:hAnsi="Times New Roman" w:cs="Times New Roman"/>
          <w:sz w:val="24"/>
          <w:szCs w:val="24"/>
        </w:rPr>
        <w:t>370</w:t>
      </w:r>
      <w:r w:rsidRPr="00DA788D">
        <w:rPr>
          <w:rFonts w:ascii="Times New Roman" w:eastAsia="Times New Roman" w:hAnsi="Times New Roman" w:cs="Times New Roman"/>
          <w:sz w:val="24"/>
          <w:szCs w:val="24"/>
        </w:rPr>
        <w:t xml:space="preserve"> ustawy), albo za pomocą ogłoszenia o istnieniu systemu kwalifikowania, jeżeli zamówienia udziela się w drodze procedury ograniczonej, procedury negocjacyjnej, dialogu konkurencyjnego lub partnerstwa innowacyjnego (art. </w:t>
      </w:r>
      <w:r w:rsidRPr="005D60BF">
        <w:rPr>
          <w:rFonts w:ascii="Times New Roman" w:eastAsia="Times New Roman" w:hAnsi="Times New Roman" w:cs="Times New Roman"/>
          <w:sz w:val="24"/>
          <w:szCs w:val="24"/>
        </w:rPr>
        <w:t>375</w:t>
      </w:r>
      <w:r w:rsidRPr="00DA788D">
        <w:rPr>
          <w:rFonts w:ascii="Times New Roman" w:eastAsia="Times New Roman" w:hAnsi="Times New Roman" w:cs="Times New Roman"/>
          <w:sz w:val="24"/>
          <w:szCs w:val="24"/>
        </w:rPr>
        <w:t xml:space="preserve"> projektu ustawy), albo za pomocą ogłoszenia o zamówieniu.</w:t>
      </w:r>
    </w:p>
    <w:p w14:paraId="7F13F49C"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zapewnia zamawiającym sektorowym również możliwość korzystania z procedur dialogu konkurencyjnego i partnerstwa innowacyjnego.</w:t>
      </w:r>
    </w:p>
    <w:p w14:paraId="3B9BF763"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odniesieniu do procedury otwartej, proponuje się wprowadzenie w art. 378 ust. 2 ustawy, wzorem art. 45 ust. 2 dyrektywy sektorowej, możliwości skrócenia minimalnego terminu składania ofert w przetargu nieograniczonym do 15 dni liczonych od dnia wysłania ogłoszenia o zamówieniu, w przypadku gdy informacja o zamówieniu została zawarta w okresowym ogłoszeniu informacyjnym dotyczącym zamówień planowanych w terminie 12 miesięcy, które samo w sobie nie stanowiło zaproszenia do składania ofert, przekazanym lub zamieszczonym w profilu nabywcy już na co najmniej 35 dni (dotychczas 52 dni) przed dniem przekazania ogłoszenia o zamówieniu Urzędowi Publikacji Unii Europejskiej.</w:t>
      </w:r>
    </w:p>
    <w:p w14:paraId="696E6E66"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procedury ograniczonej proponuje się utrzymanie w projektowanym art. 379 ust. 2 pkt 1 ustawy, w ślad za art. 46 ust. 1 dyrektywy sektorowej, możliwości skrócenia minimalnego terminu składania wniosków o dopuszczenie do udziału do 15 dni od dnia wysłania ogłoszenia o zamówieniu lub zaproszenia do potwierdzenia zainteresowania. Odnośnie do terminu składania ofert proponuje się utrzymanie w art. 379 ust. 2 pkt 3 ustawy możliwości jego ustalenia w drodze wzajemnego porozumienia między podmiotem zamawiającym a zakwalifikowanymi wykonawcami, pod warunkiem że wszyscy wykonawcy mają tyle samo czasu na przygotowanie i złożenie ofert, oraz określenia minimalnego terminu składania ofert na poziomie co najmniej 10 dni od daty wysłania zaproszenia do ich składania w przypadku nieosiągnięcia porozumienia zamawiającego z wykonawcami, wzorem art. 46 ust. 2 dyrektywy sektorowej (art. 379 ust. 2 pkt 2 projektu ustawy).</w:t>
      </w:r>
    </w:p>
    <w:p w14:paraId="4C8E2C4D"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Jako że procedurę negocjacyjną z uprzednim zaproszeniem do ubiegania się o zamówienie na gruncie unijnych przepisów w dziedzinie zamówień sektorowych charakteryzują znaczące różnice w stosunku do analogicznych regulacji na gruncie udzielania zamówień klasycznych, proponuje się </w:t>
      </w:r>
      <w:r w:rsidRPr="00DA788D">
        <w:rPr>
          <w:rFonts w:ascii="Times New Roman" w:eastAsia="Times New Roman" w:hAnsi="Times New Roman" w:cs="Times New Roman"/>
          <w:sz w:val="24"/>
          <w:szCs w:val="24"/>
          <w:u w:val="single"/>
        </w:rPr>
        <w:t>ustanowienie w nowej ustawie odrębnej dla zamówień sektorowych procedury negocjacyjnej z ogłoszeniem</w:t>
      </w:r>
      <w:r w:rsidRPr="00DA788D">
        <w:rPr>
          <w:rFonts w:ascii="Times New Roman" w:eastAsia="Times New Roman" w:hAnsi="Times New Roman" w:cs="Times New Roman"/>
          <w:sz w:val="24"/>
          <w:szCs w:val="24"/>
        </w:rPr>
        <w:t xml:space="preserve">, której kształt określony został w przepisach dyrektywy sektorowej. </w:t>
      </w:r>
    </w:p>
    <w:p w14:paraId="0546595F"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47 dyrektywy sektorowej w procedurze negocjacyjnej z uprzednim zaproszeniem do ubiegania się o zamówienie każdy wykonawca może – w odpowiedzi na zaproszenie do ubiegania się o zamówienie </w:t>
      </w:r>
      <w:r w:rsidRPr="00DA788D">
        <w:rPr>
          <w:rFonts w:ascii="Times New Roman" w:eastAsia="Times New Roman" w:hAnsi="Times New Roman" w:cs="Times New Roman"/>
          <w:sz w:val="24"/>
          <w:szCs w:val="24"/>
        </w:rPr>
        <w:lastRenderedPageBreak/>
        <w:t>– złożyć wniosek o dopuszczenie do udziału, przedstawiając informacje na potrzeby kwalifikacji podmiotowej wymagane przez podmiot zamawiający. Minimalny termin składania wniosków o dopuszczenie do udziału wynosi, co do zasady, co najmniej 30 dni od daty wysłania ogłoszenia o zamówieniu lub, w przypadku gdy okresowe ogłoszenie informacyjne jest stosowane jako zaproszenie do ubiegania się o zamówienie, od daty wysłania zaproszenia do potwierdzenia zainteresowania i nie może być w żadnym wypadku krótszy niż 15 dni. W negocjacjach uczestniczyć mogą tylko wykonawcy zaproszeni przez podmiot zamawiający po dokonaniu przez niego oceny dostarczonych informacji. Podmioty zamawiające mogą ograniczyć liczbę odpowiednich kandydatów, których zaproszą do udziału w postępowaniu, na podstawie ustalonych w tym celu obiektywnych zasad i kryteriów. Termin składania ofert można ustalić w drodze wzajemnego porozumienia między podmiotem zamawiającym a zakwalifikowanymi kandydatami, pod warunkiem że wszyscy tacy kandydaci mają tyle samo czasu na przygotowanie i złożenie ofert. W przypadku nieosiągnięcia porozumienia w sprawie terminu składania ofert termin ten wynosi co najmniej 10 dni od daty wysłania zaproszenia do składania ofert.</w:t>
      </w:r>
    </w:p>
    <w:p w14:paraId="76DF4B5A"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Procedura sektorowych negocjacji z ogłoszeniem została uregulowana w przepisach art. 380-381 projektu ustawy.</w:t>
      </w:r>
    </w:p>
    <w:p w14:paraId="6F5AC496"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dialogu konkurencyjnego i partnerstwa innowacyjnego proponuje się utrzymanie w art. 384 pkt 1 ustawy możliwości skrócenia minimalnego terminu składania wniosków o dopuszczenie do udziału do 15 dni liczonych od dnia wysłania ogłoszenia o zamówieniu lub, w przypadku gdy okresowe ogłoszenie informacyjne jest stosowane jako zaproszenie do ubiegania się o zamówienie, od daty wysłania zaproszenia do potwierdzenia zainteresowania, w ślad za rozwiązaniami przewidzianymi w art. 48 ust. 1 i art. 49 ust. 1 dyrektywy sektorowej.</w:t>
      </w:r>
    </w:p>
    <w:p w14:paraId="0834A94E"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 xml:space="preserve">Szczególne instrumenty (metody) udzielenia zamówienia sektorowego </w:t>
      </w:r>
    </w:p>
    <w:p w14:paraId="674FBDB8"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Odnośnie do umów ramowych pożądane jest, by nowa ustawa, w ślad za art. 51 dyrektywy sektorowej, przewidywała </w:t>
      </w:r>
      <w:r w:rsidRPr="00DA788D">
        <w:rPr>
          <w:rFonts w:ascii="Times New Roman" w:eastAsia="Times New Roman" w:hAnsi="Times New Roman" w:cs="Times New Roman"/>
          <w:sz w:val="24"/>
          <w:szCs w:val="24"/>
          <w:u w:val="single"/>
        </w:rPr>
        <w:t>odrębną procedurę udzielania zamówień w oparciu o umowę ramową, właściwą sektorom użyteczności publicznej</w:t>
      </w:r>
      <w:r w:rsidRPr="00DA788D">
        <w:rPr>
          <w:rFonts w:ascii="Times New Roman" w:eastAsia="Times New Roman" w:hAnsi="Times New Roman" w:cs="Times New Roman"/>
          <w:sz w:val="24"/>
          <w:szCs w:val="24"/>
        </w:rPr>
        <w:t xml:space="preserve">. </w:t>
      </w:r>
    </w:p>
    <w:p w14:paraId="792E385F"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Mocą art. 51 dyrektywy sektorowej podmioty zamawiające mogą zawierać umowy ramowe, pod warunkiem że stosują procedury przewidziane w tej dyrektywie. Umowa ramowa oznacza umowę zawartą pomiędzy co najmniej jednym podmiotem zamawiającym a co najmniej jednym wykonawcą, której celem jest określenie warunków dotyczących zamówień, które zostaną udzielone w danym okresie, w szczególności w odniesieniu do ceny oraz, w stosownych przypadkach, przewidywanych ilości. Okres obowiązywania umowy ramowej nie przekracza </w:t>
      </w:r>
      <w:r w:rsidRPr="00DA788D">
        <w:rPr>
          <w:rFonts w:ascii="Times New Roman" w:eastAsia="Times New Roman" w:hAnsi="Times New Roman" w:cs="Times New Roman"/>
          <w:sz w:val="24"/>
          <w:szCs w:val="24"/>
          <w:u w:val="single"/>
        </w:rPr>
        <w:t>ośmiu lat</w:t>
      </w:r>
      <w:r w:rsidRPr="00DA788D">
        <w:rPr>
          <w:rFonts w:ascii="Times New Roman" w:eastAsia="Times New Roman" w:hAnsi="Times New Roman" w:cs="Times New Roman"/>
          <w:sz w:val="24"/>
          <w:szCs w:val="24"/>
        </w:rPr>
        <w:t xml:space="preserve">, poza wyjątkowymi przypadkami, które są należycie uzasadnione, w szczególności pod kątem przedmiotu umowy ramowej. Zamówień opartych na umowie ramowej udziela się na podstawie obiektywnych zasad i kryteriów, które mogą obejmować ponowne poddanie zamówienia procedurze konkurencyjnej w pomiędzy wykonawcami będącymi stroną zawartej umowy ramowej. Wspomniane zasady i kryteria określa się w dokumentach zamówienia dotyczących umowy ramowej. Zapewniają one równe traktowanie wykonawców będących stronami umowy ramowej. W przypadku gdy zawarto zapis dopuszczający ponowne poddanie zamówienia procedurze konkurencyjnej, podmioty zamawiające określają wystarczająco długi termin, by umożliwić złożenie ofert na poszczególne zamówienia, i udzielają każdego zamówienia wykonawcy, który złożył najlepszą ofertę na podstawie kryteriów udzielenia zamówienia określonych w specyfikacjach umowy ramowej. </w:t>
      </w:r>
      <w:r w:rsidRPr="00DA788D">
        <w:rPr>
          <w:rFonts w:ascii="Times New Roman" w:eastAsia="Times New Roman" w:hAnsi="Times New Roman" w:cs="Times New Roman"/>
          <w:sz w:val="24"/>
          <w:szCs w:val="24"/>
        </w:rPr>
        <w:lastRenderedPageBreak/>
        <w:t>Jak w przypadku zamówień klasycznych, podmioty zamawiające nie mogą stosować umów ramowych w sposób nieodpowiedni ani w sposób uniemożliwiający, ograniczający lub zakłócający konkurencję.</w:t>
      </w:r>
    </w:p>
    <w:p w14:paraId="7D35905D" w14:textId="34020FA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Przepisy dotyczące umów ramowych znajdują </w:t>
      </w:r>
      <w:r w:rsidR="00627E31">
        <w:rPr>
          <w:rFonts w:ascii="Times New Roman" w:eastAsia="Times New Roman" w:hAnsi="Times New Roman" w:cs="Times New Roman"/>
          <w:sz w:val="24"/>
          <w:szCs w:val="24"/>
        </w:rPr>
        <w:t xml:space="preserve">się </w:t>
      </w:r>
      <w:r w:rsidRPr="00DA788D">
        <w:rPr>
          <w:rFonts w:ascii="Times New Roman" w:eastAsia="Times New Roman" w:hAnsi="Times New Roman" w:cs="Times New Roman"/>
          <w:sz w:val="24"/>
          <w:szCs w:val="24"/>
        </w:rPr>
        <w:t>w art. 389 ustawy.</w:t>
      </w:r>
    </w:p>
    <w:p w14:paraId="0AF049BB"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odniesieniu do dynamicznych systemów zakupów proponuje się, by nowa ustawa w art. 390, wzorem art. 52 dyrektywy sektorowej, przewidywała możliwość skrócenia minimalnego terminu składania wniosków o dopuszczenie do udziału w systemie do 15 dni liczonych od dnia wysłania ogłoszenia o zamówieniu lub, w przypadku gdy okresowe ogłoszenie informacyjne jest stosowane jako zaproszenie do ubiegania się o zamówienie, od daty wysłania zaproszenia do potwierdzenia zainteresowania.</w:t>
      </w:r>
    </w:p>
    <w:p w14:paraId="3F494DD8"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Kwalifikacja wykonawców</w:t>
      </w:r>
    </w:p>
    <w:p w14:paraId="7A3C392C"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Jedną z odrębności reżimu udzielania zamówień sektorowych, której utrzymanie jest pożądane również na gruncie nowej ustawy, są systemy kwalifikowania. Zgodnie z art. 77 dyrektywy sektorowej zamawiający sektorowi mogą, według swojego uznania, ustanowić i stosować system kwalifikowania wykonawców. W tym celu zamawiający ustalają obiektywne zasady i kryteria wykluczenia oraz kwalifikacji wykonawców wnioskujących o zakwalifikowanie oraz obiektywne kryteria i zasady funkcjonowania systemu kwalifikowania, regulujące kwestie, takie jak wpis do systemu, ewentualna okresowa aktualizacja kwalifikacji oraz okres obowiązywania systemu. Należy przy tym pamiętać, że zamawiający sektorowi będący jednocześnie instytucjami zamawiającymi w rozumieniu dyrektywy klasycznej muszą stosować obligatoryjne podstawy wykluczenia uregulowane na gruncie przepisów dotyczących udzielania zamówień klasycznych na zasadach w nich określonych. Zamawiający sektorowi, którzy skorzystają z możliwości ustanowienia systemów kwalifikowania, mają obowiązek prowadzić pisemny rejestr zakwalifikowanych wykonawców; mogą w nim uwzględnić podział na kategorie według rodzajów zamówień, których dotyczy kwalifikacja. W przypadku gdy zaproszenie do ubiegania się o zamówienie jest dokonywane za pomocą ogłoszenia o istnieniu systemu kwalifikowania, poszczególnych zamówień na roboty budowlane, dostawy lub usługi objęte systemem kwalifikowania udziela się w drodze procedury ograniczonej lub procedury negocjacyjnej, w której wszystkich oferentów i uczestników wybiera się spośród kandydatów już zakwalifikowanych zgodnie z takim systemem.</w:t>
      </w:r>
    </w:p>
    <w:p w14:paraId="736A47CA"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Systemy kwalifikowania wykonawców zostały uregulowane w przepisach art. </w:t>
      </w:r>
      <w:r w:rsidRPr="00DA788D">
        <w:rPr>
          <w:rFonts w:ascii="Times New Roman" w:eastAsia="Times New Roman" w:hAnsi="Times New Roman" w:cs="Times New Roman"/>
          <w:b/>
          <w:sz w:val="24"/>
          <w:szCs w:val="24"/>
        </w:rPr>
        <w:t> </w:t>
      </w:r>
      <w:r w:rsidRPr="005D60BF">
        <w:rPr>
          <w:rFonts w:ascii="Times New Roman" w:eastAsia="Times New Roman" w:hAnsi="Times New Roman" w:cs="Times New Roman"/>
          <w:sz w:val="24"/>
          <w:szCs w:val="24"/>
        </w:rPr>
        <w:t>371</w:t>
      </w:r>
      <w:r w:rsidRPr="009C1303">
        <w:rPr>
          <w:rFonts w:ascii="Times New Roman" w:eastAsia="Times New Roman" w:hAnsi="Times New Roman" w:cs="Times New Roman"/>
          <w:sz w:val="24"/>
          <w:szCs w:val="24"/>
        </w:rPr>
        <w:t xml:space="preserve">- </w:t>
      </w:r>
      <w:r w:rsidRPr="005D60BF">
        <w:rPr>
          <w:rFonts w:ascii="Times New Roman" w:eastAsia="Times New Roman" w:hAnsi="Times New Roman" w:cs="Times New Roman"/>
          <w:sz w:val="24"/>
          <w:szCs w:val="24"/>
        </w:rPr>
        <w:t> 375</w:t>
      </w:r>
      <w:r w:rsidRPr="00DA788D">
        <w:rPr>
          <w:rFonts w:ascii="Times New Roman" w:eastAsia="Times New Roman" w:hAnsi="Times New Roman" w:cs="Times New Roman"/>
          <w:sz w:val="24"/>
          <w:szCs w:val="24"/>
        </w:rPr>
        <w:t xml:space="preserve"> projektu ustawy.</w:t>
      </w:r>
    </w:p>
    <w:p w14:paraId="4F51057F"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 xml:space="preserve">Oferty obejmujące produkty pochodzące z państw trzecich </w:t>
      </w:r>
    </w:p>
    <w:p w14:paraId="724CAF60"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Kolejną odrębnością, której utrzymanie na gruncie nowej ustawy jest wysoce wskazane, są tzw. „preferencje unijne”, tj. mechanizmy przewidziane w art. 85 dyrektywy sektorowej, w tym możliwość odrzucenia oferty, jeżeli udział produktów pochodzących z państw trzecich, z którymi Unia Europejska nie zawarła wielostronnych ani dwustronnych umów zapewniających przedsiębiorstwom unijnym porównywalny i skuteczny dostęp do rynków tych państw, przekracza 50% całkowitej wartości produktów objętych ofertą. Co więcej, jeżeli co najmniej dwie oferty są równoważne w świetle kryteriów udzielenia zamówienia, preferowane są oferty, które nie mogą zostać odrzucone z przyczyn wskazanych wyżej. Do celów cyt. przepisu ceny ofert uważa się za równoważne, jeżeli różnica pomiędzy nimi nie przekracza 3%.</w:t>
      </w:r>
    </w:p>
    <w:p w14:paraId="02F0F8B4" w14:textId="41DC5BC2"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Regulacje w tym zakresie znajdują się w art. </w:t>
      </w:r>
      <w:r w:rsidR="009C1303" w:rsidRPr="00DA788D">
        <w:rPr>
          <w:rFonts w:ascii="Times New Roman" w:eastAsia="Times New Roman" w:hAnsi="Times New Roman" w:cs="Times New Roman"/>
          <w:sz w:val="24"/>
          <w:szCs w:val="24"/>
        </w:rPr>
        <w:t>39</w:t>
      </w:r>
      <w:r w:rsidR="009C1303">
        <w:rPr>
          <w:rFonts w:ascii="Times New Roman" w:eastAsia="Times New Roman" w:hAnsi="Times New Roman" w:cs="Times New Roman"/>
          <w:sz w:val="24"/>
          <w:szCs w:val="24"/>
        </w:rPr>
        <w:t>3</w:t>
      </w:r>
      <w:r w:rsidR="009C1303"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ust. 1 pkt 4 i w art. </w:t>
      </w:r>
      <w:r w:rsidR="009C1303" w:rsidRPr="00DA788D">
        <w:rPr>
          <w:rFonts w:ascii="Times New Roman" w:eastAsia="Times New Roman" w:hAnsi="Times New Roman" w:cs="Times New Roman"/>
          <w:sz w:val="24"/>
          <w:szCs w:val="24"/>
        </w:rPr>
        <w:t>39</w:t>
      </w:r>
      <w:r w:rsidR="009C1303">
        <w:rPr>
          <w:rFonts w:ascii="Times New Roman" w:eastAsia="Times New Roman" w:hAnsi="Times New Roman" w:cs="Times New Roman"/>
          <w:sz w:val="24"/>
          <w:szCs w:val="24"/>
        </w:rPr>
        <w:t>3</w:t>
      </w:r>
      <w:r w:rsidR="009C1303"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ust. 2 projektu ustawy.</w:t>
      </w:r>
    </w:p>
    <w:p w14:paraId="7181CA8F" w14:textId="77777777" w:rsidR="00C84FA1" w:rsidRPr="00DA788D" w:rsidRDefault="00C84FA1" w:rsidP="00C84FA1">
      <w:pPr>
        <w:spacing w:after="120"/>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lastRenderedPageBreak/>
        <w:t>Procedura mająca na celu ustalenie, czy działalność jest prowadzona na rynku konkurencyjnym</w:t>
      </w:r>
    </w:p>
    <w:p w14:paraId="1B44C07F" w14:textId="3DB8EDC1" w:rsidR="00C84FA1" w:rsidRPr="00DA788D" w:rsidRDefault="00C84FA1" w:rsidP="00C84FA1">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związku z koniecznością uregulowania procedury mającej na celu ustalenie, czy dana działalność bezpośrednio podlega konkurencji na rynku, do którego dostęp nie jest ograniczony, uwzględniając decyzję wykonawczą Komisji nr 2016/1804 z dnia 10 października 2016 r. dotyczącą szczegółowych zasad stosowania art. 34 i 35 dyrektywy 2014/25/UE (Dz. Urz. UE L 275 z 12.10.2016, str. 39), projekt ustawy przewiduje stosowne rozwiązania w przepisach </w:t>
      </w:r>
      <w:r w:rsidRPr="005D60BF">
        <w:rPr>
          <w:rFonts w:ascii="Times New Roman" w:eastAsia="Times New Roman" w:hAnsi="Times New Roman" w:cs="Times New Roman"/>
          <w:sz w:val="24"/>
          <w:szCs w:val="24"/>
        </w:rPr>
        <w:t>art. 394</w:t>
      </w:r>
      <w:r w:rsidRPr="009C1303">
        <w:rPr>
          <w:rFonts w:ascii="Times New Roman" w:eastAsia="Times New Roman" w:hAnsi="Times New Roman" w:cs="Times New Roman"/>
          <w:sz w:val="24"/>
          <w:szCs w:val="24"/>
        </w:rPr>
        <w:t>.</w:t>
      </w:r>
    </w:p>
    <w:p w14:paraId="37998BF3" w14:textId="245EF21E" w:rsidR="00C84FA1" w:rsidRPr="00DA788D" w:rsidRDefault="00C84FA1" w:rsidP="00C84FA1">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VI</w:t>
      </w:r>
      <w:r w:rsidR="009C1303">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Zamówienia w dziedzinach obronności i bezpieczeństwa</w:t>
      </w:r>
    </w:p>
    <w:p w14:paraId="189AAB84"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przewiduje stosowanie jej przepisów do udzielania zamówień w dziedzinach obronności i bezpieczeństwa jedynie w przypadku zamówień o wartości równej lub wyższej niż progi unijne, tj. wyrażonej w złotych równowartości kwoty 443 000 euro w przypadku dostaw lub usług i kwoty 5 548 000 euro w przypadku robót budowlanych (art. 2 ust. 1 pkt 3 projektu ustawy).</w:t>
      </w:r>
    </w:p>
    <w:p w14:paraId="00B2B050"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Zamówienia w dziedzinach obronności i bezpieczeństwa zostały zdefiniowane w art. 7 pkt 3</w:t>
      </w:r>
      <w:r>
        <w:rPr>
          <w:rFonts w:ascii="Times New Roman" w:eastAsia="Times New Roman" w:hAnsi="Times New Roman" w:cs="Times New Roman"/>
          <w:sz w:val="24"/>
          <w:szCs w:val="24"/>
        </w:rPr>
        <w:t>6</w:t>
      </w:r>
      <w:r w:rsidRPr="00DA788D">
        <w:rPr>
          <w:rFonts w:ascii="Times New Roman" w:eastAsia="Times New Roman" w:hAnsi="Times New Roman" w:cs="Times New Roman"/>
          <w:sz w:val="24"/>
          <w:szCs w:val="24"/>
        </w:rPr>
        <w:t xml:space="preserve"> projektu ustawy.</w:t>
      </w:r>
    </w:p>
    <w:p w14:paraId="622299DE"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zamówień w dziedzinach obronności i bezpieczeństwa zastosowanie znajdą właściwe dla zamówień klasycznych i sektorowych przepisy dotyczące w szczególności:</w:t>
      </w:r>
    </w:p>
    <w:p w14:paraId="6475CB50"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szacowania wartości zamówienia;</w:t>
      </w:r>
    </w:p>
    <w:p w14:paraId="1605B66C"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centralnego zamawiającego;</w:t>
      </w:r>
    </w:p>
    <w:p w14:paraId="74341876"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wspólnego udzielania zamówień, w tym transgranicznego wspólnego udzielania zamówień;</w:t>
      </w:r>
    </w:p>
    <w:p w14:paraId="0D9B4ECC"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wstępnych konsultacji rynkowych;</w:t>
      </w:r>
    </w:p>
    <w:p w14:paraId="1A2A9931"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publikacji ogłoszeń;</w:t>
      </w:r>
    </w:p>
    <w:p w14:paraId="6F439F4D"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wyjaśnień treści SWZ;</w:t>
      </w:r>
    </w:p>
    <w:p w14:paraId="10433726"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informowania wykonawców (o wynikach kwalifikacji podmiotowej i wyborze oferty najkorzystniejszej);</w:t>
      </w:r>
    </w:p>
    <w:p w14:paraId="7DA76F1D" w14:textId="77777777" w:rsidR="00C84FA1"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aukcji elektronicznych;</w:t>
      </w:r>
    </w:p>
    <w:p w14:paraId="1B5EA239"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katalogów elektronicznych;</w:t>
      </w:r>
    </w:p>
    <w:p w14:paraId="188233C2"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rażąco niskich ofert;</w:t>
      </w:r>
    </w:p>
    <w:p w14:paraId="56086527"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warunków wykonania zamówienia;</w:t>
      </w:r>
    </w:p>
    <w:p w14:paraId="1B1D748B" w14:textId="77777777" w:rsidR="00C84FA1" w:rsidRPr="00DA788D" w:rsidRDefault="00C84FA1" w:rsidP="00C84FA1">
      <w:pPr>
        <w:numPr>
          <w:ilvl w:val="0"/>
          <w:numId w:val="32"/>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sprawozdawczości.</w:t>
      </w:r>
    </w:p>
    <w:p w14:paraId="540CB723" w14:textId="77777777" w:rsidR="00C84FA1" w:rsidRPr="00DA788D" w:rsidRDefault="00C84FA1" w:rsidP="00C84FA1">
      <w:pPr>
        <w:spacing w:after="120"/>
        <w:ind w:firstLine="70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Odesłanie do stosownych przepisów znalazło się w art. 39</w:t>
      </w:r>
      <w:r>
        <w:rPr>
          <w:rFonts w:ascii="Times New Roman" w:eastAsia="Times New Roman" w:hAnsi="Times New Roman" w:cs="Times New Roman"/>
          <w:sz w:val="24"/>
          <w:szCs w:val="24"/>
        </w:rPr>
        <w:t>5</w:t>
      </w:r>
      <w:r w:rsidRPr="00DA788D">
        <w:rPr>
          <w:rFonts w:ascii="Times New Roman" w:eastAsia="Times New Roman" w:hAnsi="Times New Roman" w:cs="Times New Roman"/>
          <w:sz w:val="24"/>
          <w:szCs w:val="24"/>
        </w:rPr>
        <w:t xml:space="preserve"> projektu ustawy.</w:t>
      </w:r>
    </w:p>
    <w:p w14:paraId="06DA8DDD"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Jednocześnie projekt ustawy uwzględnia przede wszystkim podstawowe odrębności reżimu udzielania zamówień w dziedzinach obronności i bezpieczeństwa, tj. regulacje dotyczące bezpieczeństwa informacji (projektowany przepis art. 407), bezpieczeństwa dostaw (art. 408 projektu ustawy) i podwykonawstwa (przepisy art. 409 i art. 423-430 projektu ustawy).</w:t>
      </w:r>
    </w:p>
    <w:p w14:paraId="09810A17"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Ponadto projekt ustawy uwzględnia szereg innych odrębności reżimu udzielania zamówień w dziedzinach obronności i bezpieczeństwa, w tym w szczególności:</w:t>
      </w:r>
    </w:p>
    <w:p w14:paraId="366CCDAD" w14:textId="77777777"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podział usług na usługi priorytetowe i usługi niepriorytetowe (projektowane przepisy art. 39</w:t>
      </w:r>
      <w:r>
        <w:rPr>
          <w:rFonts w:ascii="Times New Roman" w:eastAsia="Times New Roman" w:hAnsi="Times New Roman" w:cs="Times New Roman"/>
          <w:sz w:val="24"/>
          <w:szCs w:val="24"/>
        </w:rPr>
        <w:t>7</w:t>
      </w:r>
      <w:r w:rsidRPr="00DA788D">
        <w:rPr>
          <w:rFonts w:ascii="Times New Roman" w:eastAsia="Times New Roman" w:hAnsi="Times New Roman" w:cs="Times New Roman"/>
          <w:sz w:val="24"/>
          <w:szCs w:val="24"/>
        </w:rPr>
        <w:t xml:space="preserve"> i 39</w:t>
      </w:r>
      <w:r>
        <w:rPr>
          <w:rFonts w:ascii="Times New Roman" w:eastAsia="Times New Roman" w:hAnsi="Times New Roman" w:cs="Times New Roman"/>
          <w:sz w:val="24"/>
          <w:szCs w:val="24"/>
        </w:rPr>
        <w:t>8</w:t>
      </w:r>
      <w:r w:rsidRPr="00DA788D">
        <w:rPr>
          <w:rFonts w:ascii="Times New Roman" w:eastAsia="Times New Roman" w:hAnsi="Times New Roman" w:cs="Times New Roman"/>
          <w:sz w:val="24"/>
          <w:szCs w:val="24"/>
        </w:rPr>
        <w:t xml:space="preserve"> projektu ustawy),</w:t>
      </w:r>
    </w:p>
    <w:p w14:paraId="071B3DF8" w14:textId="77777777"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możliwość stosowania norm obronnych do opisu przedmiotu zamówienia (art. 400 projektu ustawy),</w:t>
      </w:r>
    </w:p>
    <w:p w14:paraId="3B24F796" w14:textId="7A85DB81"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zastosowanie elektronicznych środków komunikacji uzależnione od decyzji zamawiającego (art. 401 </w:t>
      </w:r>
      <w:r w:rsidR="009C1303"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w:t>
      </w:r>
    </w:p>
    <w:p w14:paraId="143AFA94" w14:textId="77777777"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szczególne podstawy wykluczenia wykonawców (art. 405 ust. 2 projektu ustawy),</w:t>
      </w:r>
    </w:p>
    <w:p w14:paraId="35ABC560" w14:textId="7C42CE42"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obowiązek złożenia wraz z wnioskiem o dopuszczenie do udziału w postępowaniu dokumentów potwierdzających brak podstaw do wykluczenia i spełnianie warunków udziału w postępowaniu lub kryteriów selekcji, jeżeli mają zastosowanie (art. 405 ust. </w:t>
      </w:r>
      <w:r>
        <w:rPr>
          <w:rFonts w:ascii="Times New Roman" w:eastAsia="Times New Roman" w:hAnsi="Times New Roman" w:cs="Times New Roman"/>
          <w:sz w:val="24"/>
          <w:szCs w:val="24"/>
        </w:rPr>
        <w:t>4</w:t>
      </w:r>
      <w:r w:rsidRPr="00DA788D">
        <w:rPr>
          <w:rFonts w:ascii="Times New Roman" w:eastAsia="Times New Roman" w:hAnsi="Times New Roman" w:cs="Times New Roman"/>
          <w:sz w:val="24"/>
          <w:szCs w:val="24"/>
        </w:rPr>
        <w:t xml:space="preserve"> </w:t>
      </w:r>
      <w:r w:rsidR="009C1303"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w:t>
      </w:r>
    </w:p>
    <w:p w14:paraId="19BFC3E7" w14:textId="77777777"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możliwość stosowania rentowności, bezpieczeństwa dostaw, interoperacyjności i właściwości operacyjnych jako kryteriów oceny ofert (art. 417 projektu ustawy);</w:t>
      </w:r>
    </w:p>
    <w:p w14:paraId="6CCB2817" w14:textId="77777777" w:rsidR="00C84FA1" w:rsidRPr="00DA788D" w:rsidRDefault="00C84FA1" w:rsidP="00C84FA1">
      <w:pPr>
        <w:numPr>
          <w:ilvl w:val="0"/>
          <w:numId w:val="16"/>
        </w:numPr>
        <w:spacing w:after="120"/>
        <w:ind w:left="1066"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możliwość zawarcia umowy ramowej na okres siedmiu lat (art. 422 projektu ustawy).</w:t>
      </w:r>
    </w:p>
    <w:p w14:paraId="48CDFCE1" w14:textId="04C4F13E"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Wzorem uregulowań unijnych, podstawowymi trybami udzielania zamówień w dziedzinach obronności i bezpieczeństwa będą procedury: ograniczona (przetarg ograniczony) i negocjacyjna z uprzednim zaproszeniem do ubiegania się o zamówienie (negocjacje z ogłoszeniem). Projekt ustawy zapewnia zamawiającym sektorowym również możliwość korzystania z procedur dialogu konkurencyjnego (projektowany przepis art. 413 </w:t>
      </w:r>
      <w:r w:rsidR="009C1303"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xml:space="preserve">), a także negocjacji bez ogłoszenia (art. 414 </w:t>
      </w:r>
      <w:r w:rsidR="009C1303"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xml:space="preserve">) i zamówienia z wolnej ręki (art. 415 </w:t>
      </w:r>
      <w:r w:rsidR="009C1303"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Terminy minimalne składania wniosków o odpuszczenie do udziału w postępowaniu i minimalne terminy składania ofert zostały określone z uwzględnieniem terminów minimalnych przewidzianych dyrektywą obronną, przy założeniu, że ogłoszenia są przekazywane Urzędowi Publikacji UE za pomocą środków elektronicznych.</w:t>
      </w:r>
    </w:p>
    <w:p w14:paraId="216B2DC4" w14:textId="77777777" w:rsidR="00C84FA1" w:rsidRPr="00DA788D" w:rsidRDefault="00C84FA1" w:rsidP="00C84FA1">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Jako że przepisy dyrektywy obronnej dotyczące procedur odwoławczych (środków ochrony prawnej) wzorowane są na przepisach dyrektyw odwoławczych, właściwe jest w tym zakresie odesłanie do przepisów regulujących środki ochrony prawnej na gruncie zamówień klasycznych i zamówień sektorowych.</w:t>
      </w:r>
    </w:p>
    <w:p w14:paraId="3BBA2461" w14:textId="365B4BED"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VII</w:t>
      </w:r>
      <w:r w:rsidR="009C1303">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Umowa w sprawie zamówienie publicznego i jej wykonanie</w:t>
      </w:r>
    </w:p>
    <w:p w14:paraId="6F1266D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Zmiany w obszarze przepisów dotyczących umów w sprawie zamówień publicznych (dalej „umowa”) mają zasadniczo trzy cele:</w:t>
      </w:r>
    </w:p>
    <w:p w14:paraId="2FFF480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Ograniczenie negatywnego zjawiska wskazanego w Koncepcji prawa zamówień publicznych, tj. zbyt jednostronnego kształtowania postanowień umów przez zamawiających.</w:t>
      </w:r>
    </w:p>
    <w:p w14:paraId="6F7A0D60" w14:textId="0EE9733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Kierując się często uproszczonym postrzeganiem interesu zamawiającego, postanowienia umów zawierają rozwiązania nazbyt restrykcyjne i nieproporcjonalne do rodzaju i wartości zamówienia publicznego (np. z zakresu wysokości i kategorii zastrzeganych kar umownych, przerzucanie odpowiedzialności za większość ryzyk na wykonawców, nieuwzględnianie okoliczności związanych z trudnymi do oszacowania gwałtownymi zmianami rynkowymi). Paradoksalnym skutkiem takiego działania jest niekorzystny wpływ na efektywność </w:t>
      </w:r>
      <w:r w:rsidRPr="00DA788D">
        <w:rPr>
          <w:rFonts w:ascii="Times New Roman" w:eastAsia="Times New Roman" w:hAnsi="Times New Roman" w:cs="Times New Roman"/>
          <w:sz w:val="24"/>
          <w:szCs w:val="24"/>
        </w:rPr>
        <w:lastRenderedPageBreak/>
        <w:t>wydatkowania środków publicznych, przez wyższe ceny wskazywane przez wykonawców uwzględniające koszt nieproporcjonalnego ryzyka po ich stronie, a także zmniejszanie konkurencyjności postępowań, przez rezygnację potencjalnych wykonawców z udziału w postępowaniach o udzielenia zamówienia publicznego.</w:t>
      </w:r>
      <w:r w:rsidRPr="00DA788D">
        <w:rPr>
          <w:rFonts w:ascii="Times New Roman" w:eastAsia="Times New Roman" w:hAnsi="Times New Roman" w:cs="Times New Roman"/>
          <w:sz w:val="24"/>
          <w:szCs w:val="24"/>
          <w:vertAlign w:val="superscript"/>
        </w:rPr>
        <w:footnoteReference w:id="1"/>
      </w:r>
      <w:r w:rsidRPr="00DA788D">
        <w:rPr>
          <w:rFonts w:ascii="Times New Roman" w:eastAsia="Times New Roman" w:hAnsi="Times New Roman" w:cs="Times New Roman"/>
          <w:sz w:val="24"/>
          <w:szCs w:val="24"/>
        </w:rPr>
        <w:t xml:space="preserve"> Kluczowymi rozwiązaniami, które mają zniwelować rzeczone zjawisko nadmiernej jednostronności umów to zwłaszcza: wyraźne wskazani</w:t>
      </w:r>
      <w:r w:rsidR="008E1569">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w:t>
      </w:r>
      <w:r w:rsidR="008E1569">
        <w:rPr>
          <w:rFonts w:ascii="Times New Roman" w:eastAsia="Times New Roman" w:hAnsi="Times New Roman" w:cs="Times New Roman"/>
          <w:sz w:val="24"/>
          <w:szCs w:val="24"/>
        </w:rPr>
        <w:t xml:space="preserve"> zakazanych postanowień umownych</w:t>
      </w:r>
      <w:r w:rsidRPr="00DA788D">
        <w:rPr>
          <w:rFonts w:ascii="Times New Roman" w:eastAsia="Times New Roman" w:hAnsi="Times New Roman" w:cs="Times New Roman"/>
          <w:sz w:val="24"/>
          <w:szCs w:val="24"/>
        </w:rPr>
        <w:t xml:space="preserve">, obligatoryjne postanowienia umowy w zakresie zmiany wynagrodzenia, płatności częściowych, czy zaliczek, zmiany w zakresie określania maksymalnej wysokości zabezpieczenia należytego wykonania umowy. </w:t>
      </w:r>
    </w:p>
    <w:p w14:paraId="386012DD" w14:textId="0DB1871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Drugim celem jest wzmocnienie regulacji dotyczących fazy wykonania i ewaluacji umowy w sprawie zamówienia publicznego. Oczywistym jest, że zawarcie umowy nie jest celem w samym w sobie, celem tym jest należyte wykonanie zamówienia publicznego z poszanowaniem interesów stron umowy. Urzeczywistnieniu tego celu ma służyć wyraźne wyartykułowanie zasady współdziałania zamawiającego i wykonawcy przy wykonaniu umowy, w celu należytej realizacji zamówienia publicznego (art. 431</w:t>
      </w:r>
      <w:r w:rsidR="00082C02" w:rsidRP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Nową instytucją jest wprowadzenie obowiązku przygotowania raportu z realizacji zamówienia, w którym zamawiający dokon</w:t>
      </w:r>
      <w:r w:rsidR="008E1569">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ewaluacji realizacji umowy – w określonych w ustawie przypadkach. </w:t>
      </w:r>
    </w:p>
    <w:p w14:paraId="58C06CD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Trzecim celem zmian w obszarze regulacji umów jest zwiększenie ich przejrzystości, przez zebranie przepisów dotyczących umów obecnie rozproszonych w wielu miejscach ustawy w jednym dziale, a także nową redakcję przepisów, których stosowanie było utrudnione (np. przepis dotyczący zmian umowy). </w:t>
      </w:r>
    </w:p>
    <w:p w14:paraId="691C7C06" w14:textId="77777777" w:rsidR="00CB2D51" w:rsidRPr="00DA788D" w:rsidRDefault="002E64C7" w:rsidP="00DA788D">
      <w:pPr>
        <w:spacing w:after="120"/>
        <w:ind w:firstLine="708"/>
        <w:jc w:val="both"/>
        <w:rPr>
          <w:rFonts w:ascii="Times New Roman" w:eastAsia="Times New Roman" w:hAnsi="Times New Roman" w:cs="Times New Roman"/>
          <w:sz w:val="24"/>
          <w:szCs w:val="24"/>
          <w:u w:val="single"/>
        </w:rPr>
      </w:pPr>
      <w:r w:rsidRPr="00DA788D">
        <w:rPr>
          <w:rFonts w:ascii="Times New Roman" w:eastAsia="Times New Roman" w:hAnsi="Times New Roman" w:cs="Times New Roman"/>
          <w:sz w:val="24"/>
          <w:szCs w:val="24"/>
          <w:u w:val="single"/>
        </w:rPr>
        <w:t>Rozwiązania szczegółowe</w:t>
      </w:r>
    </w:p>
    <w:p w14:paraId="04CEDF0E" w14:textId="77777777" w:rsidR="00CB2D51" w:rsidRPr="00DA788D" w:rsidRDefault="00923199" w:rsidP="00DA788D">
      <w:pPr>
        <w:numPr>
          <w:ilvl w:val="0"/>
          <w:numId w:val="4"/>
        </w:numPr>
        <w:spacing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Klauzule abuzywne</w:t>
      </w:r>
    </w:p>
    <w:p w14:paraId="0F4FCCA5" w14:textId="36A53261" w:rsidR="008E1569"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art. 433 projektu ustawy wyraźnie wskazuje się katalog abuzywnych klauzul. W dalszym ciągu do umów w sprawie zamówienia publicznego, w zakresie nieuregulowanym niniejszą ustawą zastosowania znajduje Kodeks cywilny. Jednak specyfika kształtowania treści umowy, która de facto </w:t>
      </w:r>
      <w:r w:rsidR="008E1569">
        <w:rPr>
          <w:rFonts w:ascii="Times New Roman" w:eastAsia="Times New Roman" w:hAnsi="Times New Roman" w:cs="Times New Roman"/>
          <w:sz w:val="24"/>
          <w:szCs w:val="24"/>
        </w:rPr>
        <w:t>jest narzucana</w:t>
      </w:r>
      <w:r w:rsidR="008E156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jest przez zamawiającego, </w:t>
      </w:r>
      <w:r w:rsidR="008E1569">
        <w:rPr>
          <w:rFonts w:ascii="Times New Roman" w:eastAsia="Times New Roman" w:hAnsi="Times New Roman" w:cs="Times New Roman"/>
          <w:sz w:val="24"/>
          <w:szCs w:val="24"/>
        </w:rPr>
        <w:t xml:space="preserve"> wymaga</w:t>
      </w:r>
      <w:r w:rsidRPr="00DA788D">
        <w:rPr>
          <w:rFonts w:ascii="Times New Roman" w:eastAsia="Times New Roman" w:hAnsi="Times New Roman" w:cs="Times New Roman"/>
          <w:sz w:val="24"/>
          <w:szCs w:val="24"/>
        </w:rPr>
        <w:t xml:space="preserve"> wzmocnienia kwestii bardziej proporcjonalnego podejścia do praw i obowiązków stron. </w:t>
      </w:r>
    </w:p>
    <w:p w14:paraId="036A7E08" w14:textId="709C0AB4"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Skutkiem przepisu jest jasna dyrektywa dla zamawiających, aby</w:t>
      </w:r>
      <w:r w:rsidR="008E1569">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nie przerzucać wszystkich ryzyk realizacji zamówienia na wykonawcę. </w:t>
      </w:r>
      <w:r w:rsidR="008E1569">
        <w:rPr>
          <w:rFonts w:ascii="Times New Roman" w:eastAsia="Times New Roman" w:hAnsi="Times New Roman" w:cs="Times New Roman"/>
          <w:sz w:val="24"/>
          <w:szCs w:val="24"/>
        </w:rPr>
        <w:t>Nie</w:t>
      </w:r>
      <w:r w:rsidRPr="00DA788D">
        <w:rPr>
          <w:rFonts w:ascii="Times New Roman" w:eastAsia="Times New Roman" w:hAnsi="Times New Roman" w:cs="Times New Roman"/>
          <w:sz w:val="24"/>
          <w:szCs w:val="24"/>
        </w:rPr>
        <w:t xml:space="preserve"> ma </w:t>
      </w:r>
      <w:r w:rsidR="008E1569">
        <w:rPr>
          <w:rFonts w:ascii="Times New Roman" w:eastAsia="Times New Roman" w:hAnsi="Times New Roman" w:cs="Times New Roman"/>
          <w:sz w:val="24"/>
          <w:szCs w:val="24"/>
        </w:rPr>
        <w:t xml:space="preserve"> to </w:t>
      </w:r>
      <w:r w:rsidRPr="00DA788D">
        <w:rPr>
          <w:rFonts w:ascii="Times New Roman" w:eastAsia="Times New Roman" w:hAnsi="Times New Roman" w:cs="Times New Roman"/>
          <w:sz w:val="24"/>
          <w:szCs w:val="24"/>
        </w:rPr>
        <w:t>na celu uniemożliwieni</w:t>
      </w:r>
      <w:r w:rsidR="008E1569">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zamawiającym ukształtowania treści umowy</w:t>
      </w:r>
      <w:r w:rsidR="008E1569">
        <w:rPr>
          <w:rFonts w:ascii="Times New Roman" w:eastAsia="Times New Roman" w:hAnsi="Times New Roman" w:cs="Times New Roman"/>
          <w:sz w:val="24"/>
          <w:szCs w:val="24"/>
        </w:rPr>
        <w:t xml:space="preserve"> w sposób</w:t>
      </w:r>
      <w:r w:rsidR="005D4C23">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uzasadniony specyfiką, rodzajem, wartością, sprawną realizacją zamówienia, a jedynie eliminacje postanowień umowy rażąco naruszających interesy wykonawców. Wykonawcy mający zastrzeżenia do zaproponowanych postanowień umownych będą mogli je zweryfikować przez skorzystanie</w:t>
      </w:r>
      <w:r w:rsidR="008E1569">
        <w:rPr>
          <w:rFonts w:ascii="Times New Roman" w:eastAsia="Times New Roman" w:hAnsi="Times New Roman" w:cs="Times New Roman"/>
          <w:sz w:val="24"/>
          <w:szCs w:val="24"/>
        </w:rPr>
        <w:t xml:space="preserve"> w tym zakresie</w:t>
      </w:r>
      <w:r w:rsidRPr="00DA788D">
        <w:rPr>
          <w:rFonts w:ascii="Times New Roman" w:eastAsia="Times New Roman" w:hAnsi="Times New Roman" w:cs="Times New Roman"/>
          <w:sz w:val="24"/>
          <w:szCs w:val="24"/>
        </w:rPr>
        <w:t xml:space="preserve"> z odwołania</w:t>
      </w:r>
      <w:r w:rsidR="008E1569">
        <w:rPr>
          <w:rFonts w:ascii="Times New Roman" w:eastAsia="Times New Roman" w:hAnsi="Times New Roman" w:cs="Times New Roman"/>
          <w:sz w:val="24"/>
          <w:szCs w:val="24"/>
        </w:rPr>
        <w:t xml:space="preserve"> do KIO</w:t>
      </w:r>
      <w:r w:rsidRPr="00DA788D">
        <w:rPr>
          <w:rFonts w:ascii="Times New Roman" w:eastAsia="Times New Roman" w:hAnsi="Times New Roman" w:cs="Times New Roman"/>
          <w:sz w:val="24"/>
          <w:szCs w:val="24"/>
        </w:rPr>
        <w:t xml:space="preserve">. </w:t>
      </w:r>
    </w:p>
    <w:p w14:paraId="2771B334"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 xml:space="preserve">Postanowienia obowiązkowe umów </w:t>
      </w:r>
    </w:p>
    <w:p w14:paraId="4FF49181" w14:textId="77777777" w:rsidR="003F1F89"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436 projektu ustawy wskazuje się postanowienia, które obligatoryjnie powinna zawierać każda umowa, takie jak kwestie terminu jej wykonania oraz warunków płatności</w:t>
      </w:r>
      <w:r w:rsidR="008E1569">
        <w:rPr>
          <w:rFonts w:ascii="Times New Roman" w:eastAsia="Times New Roman" w:hAnsi="Times New Roman" w:cs="Times New Roman"/>
          <w:sz w:val="24"/>
          <w:szCs w:val="24"/>
        </w:rPr>
        <w:t xml:space="preserve"> czy limitowanie kar umownych</w:t>
      </w:r>
      <w:r w:rsidRPr="00DA788D">
        <w:rPr>
          <w:rFonts w:ascii="Times New Roman" w:eastAsia="Times New Roman" w:hAnsi="Times New Roman" w:cs="Times New Roman"/>
          <w:sz w:val="24"/>
          <w:szCs w:val="24"/>
        </w:rPr>
        <w:t xml:space="preserve">. Nowym rozwiązaniem jest wyraźne zobligowanie zamawiających do określenia terminu wykonania umowy, w jednostkach czasu (dniach, tygodniach, latach), chyba że wskazanie daty wykonania umowy jest uzasadnione </w:t>
      </w:r>
      <w:r w:rsidRPr="00DA788D">
        <w:rPr>
          <w:rFonts w:ascii="Times New Roman" w:eastAsia="Times New Roman" w:hAnsi="Times New Roman" w:cs="Times New Roman"/>
          <w:sz w:val="24"/>
          <w:szCs w:val="24"/>
        </w:rPr>
        <w:lastRenderedPageBreak/>
        <w:t>obiektywną przyczyną, niezależną od zamawiającego np. w przypadku projektów finansowanych ze środków UE.</w:t>
      </w:r>
    </w:p>
    <w:p w14:paraId="747EE3DE" w14:textId="2B0B17BE" w:rsidR="003F1F89"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pkt 4 tego artykułu wskazuje się postanowienia obligatoryjne w umowie zawartej na okres dłuższy niż 12 miesięcy, tj. karę umowną dla wykonawcy, którego wynagrodzenie zostało zwaloryzowane, za brak dalszej waloryzacji podwykonawców, a także klauzule dotyczą zwiększenia wynagrodzenia wykonawcy o równowartość wzrostu danin publicznoprawnych nakładanych na wykonawcę w związku z wykonywaniem umowy. </w:t>
      </w:r>
    </w:p>
    <w:p w14:paraId="42F8ABF7" w14:textId="77777777" w:rsidR="00CB2D51" w:rsidRPr="00DA788D" w:rsidRDefault="002E64C7" w:rsidP="00DA788D">
      <w:pPr>
        <w:pStyle w:val="Akapitzlist"/>
        <w:numPr>
          <w:ilvl w:val="0"/>
          <w:numId w:val="4"/>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Obligatoryjna klauzula dotycząca zmiany wysokości wynagrodzenia</w:t>
      </w:r>
    </w:p>
    <w:p w14:paraId="58EA075C" w14:textId="2B707C8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439 ust. 1 projektu ustawy wprowadza się obowiązek zawarcia w umowie, której przedmiotem są roboty budowlane lub usługi, zawartej na okres dłuższy niż 12 miesięcy</w:t>
      </w:r>
      <w:r w:rsidR="008E1569">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postanowie</w:t>
      </w:r>
      <w:r w:rsidR="008E1569">
        <w:rPr>
          <w:rFonts w:ascii="Times New Roman" w:eastAsia="Times New Roman" w:hAnsi="Times New Roman" w:cs="Times New Roman"/>
          <w:sz w:val="24"/>
          <w:szCs w:val="24"/>
        </w:rPr>
        <w:t>ń</w:t>
      </w:r>
      <w:r w:rsidRPr="00DA788D">
        <w:rPr>
          <w:rFonts w:ascii="Times New Roman" w:eastAsia="Times New Roman" w:hAnsi="Times New Roman" w:cs="Times New Roman"/>
          <w:sz w:val="24"/>
          <w:szCs w:val="24"/>
        </w:rPr>
        <w:t xml:space="preserve"> o zasadach wprowadzenia zmian wysokości wynagrodzenia należnego wykonawcy w przypadku zmiany cen materiałów lub kosztów </w:t>
      </w:r>
      <w:r w:rsidR="00E145F2">
        <w:rPr>
          <w:rFonts w:ascii="Times New Roman" w:eastAsia="Times New Roman" w:hAnsi="Times New Roman" w:cs="Times New Roman"/>
          <w:sz w:val="24"/>
          <w:szCs w:val="24"/>
        </w:rPr>
        <w:t xml:space="preserve">związanych z </w:t>
      </w:r>
      <w:r w:rsidRPr="00DA788D">
        <w:rPr>
          <w:rFonts w:ascii="Times New Roman" w:eastAsia="Times New Roman" w:hAnsi="Times New Roman" w:cs="Times New Roman"/>
          <w:sz w:val="24"/>
          <w:szCs w:val="24"/>
        </w:rPr>
        <w:t>realizacj</w:t>
      </w:r>
      <w:r w:rsidR="00E145F2">
        <w:rPr>
          <w:rFonts w:ascii="Times New Roman" w:eastAsia="Times New Roman" w:hAnsi="Times New Roman" w:cs="Times New Roman"/>
          <w:sz w:val="24"/>
          <w:szCs w:val="24"/>
        </w:rPr>
        <w:t>ą</w:t>
      </w:r>
      <w:r w:rsidRPr="00DA788D">
        <w:rPr>
          <w:rFonts w:ascii="Times New Roman" w:eastAsia="Times New Roman" w:hAnsi="Times New Roman" w:cs="Times New Roman"/>
          <w:sz w:val="24"/>
          <w:szCs w:val="24"/>
        </w:rPr>
        <w:t xml:space="preserve"> zamówienia. Mając świadomość ogromnego zróżnicowania poszczególnych umów, z uwagi chociażby na wielkość, czy przedmiot zamówienia, przepis ustawowy nie może być nadmiernie kazuistyczny. W ramach tego obowiązku poszczególni zamawiający mają swobodę, oczywiście z poszanowaniem ustawowych zasad określających relacje między stronami, w ukształtowani</w:t>
      </w:r>
      <w:r w:rsidR="00E145F2">
        <w:rPr>
          <w:rFonts w:ascii="Times New Roman" w:eastAsia="Times New Roman" w:hAnsi="Times New Roman" w:cs="Times New Roman"/>
          <w:sz w:val="24"/>
          <w:szCs w:val="24"/>
        </w:rPr>
        <w:t>u</w:t>
      </w:r>
      <w:r w:rsidRPr="00DA788D">
        <w:rPr>
          <w:rFonts w:ascii="Times New Roman" w:eastAsia="Times New Roman" w:hAnsi="Times New Roman" w:cs="Times New Roman"/>
          <w:sz w:val="24"/>
          <w:szCs w:val="24"/>
        </w:rPr>
        <w:t xml:space="preserve"> klauzuli waloryzacyjnej uwzględniającej specyfikę danego zamówienia. </w:t>
      </w:r>
    </w:p>
    <w:p w14:paraId="25292C1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ust. 2 tego artykułu zostały wskazane obligatoryjne elementy z jakich ma się składać postanowienie waloryzacyjne:</w:t>
      </w:r>
    </w:p>
    <w:p w14:paraId="378D35C3" w14:textId="77777777" w:rsidR="00CB2D51" w:rsidRPr="00DA788D" w:rsidRDefault="002E64C7" w:rsidP="00DA788D">
      <w:pPr>
        <w:numPr>
          <w:ilvl w:val="0"/>
          <w:numId w:val="59"/>
        </w:numPr>
        <w:spacing w:after="120"/>
        <w:ind w:left="850" w:hanging="493"/>
        <w:jc w:val="both"/>
        <w:rPr>
          <w:rFonts w:ascii="Times New Roman" w:eastAsia="Times New Roman" w:hAnsi="Times New Roman" w:cs="Times New Roman"/>
          <w:sz w:val="24"/>
          <w:szCs w:val="24"/>
        </w:rPr>
      </w:pPr>
      <w:bookmarkStart w:id="10" w:name="_tyjcwt" w:colFirst="0" w:colLast="0"/>
      <w:bookmarkEnd w:id="10"/>
      <w:r w:rsidRPr="00DA788D">
        <w:rPr>
          <w:rFonts w:ascii="Times New Roman" w:eastAsia="Times New Roman" w:hAnsi="Times New Roman" w:cs="Times New Roman"/>
          <w:sz w:val="24"/>
          <w:szCs w:val="24"/>
        </w:rPr>
        <w:t>poziom zmiany cen materiałów lub kosztów, uprawniających stronę do żądania zmiany wynagrodzenia, przy czym ustawa nie określa żadnego minimalnego progu w tym zakresie i możliwe jest waloryzowanie wynagrodz</w:t>
      </w:r>
      <w:r w:rsidR="003F1F89" w:rsidRPr="00DA788D">
        <w:rPr>
          <w:rFonts w:ascii="Times New Roman" w:eastAsia="Times New Roman" w:hAnsi="Times New Roman" w:cs="Times New Roman"/>
          <w:sz w:val="24"/>
          <w:szCs w:val="24"/>
        </w:rPr>
        <w:t>enia od nawet zerowego poziomu.</w:t>
      </w:r>
      <w:r w:rsidRPr="00DA788D">
        <w:rPr>
          <w:rFonts w:ascii="Times New Roman" w:eastAsia="Times New Roman" w:hAnsi="Times New Roman" w:cs="Times New Roman"/>
          <w:sz w:val="24"/>
          <w:szCs w:val="24"/>
        </w:rPr>
        <w:t xml:space="preserve"> Postanowienie ma wskazać początkowy termin ustalenia zmiany wynagrodzenia, który będzie początkowym punktem odniesienia.</w:t>
      </w:r>
    </w:p>
    <w:p w14:paraId="3F5457A7" w14:textId="37D88DCE" w:rsidR="00CB2D51" w:rsidRPr="00DA788D" w:rsidRDefault="002E64C7" w:rsidP="00DA788D">
      <w:pPr>
        <w:numPr>
          <w:ilvl w:val="0"/>
          <w:numId w:val="59"/>
        </w:numPr>
        <w:spacing w:after="120"/>
        <w:ind w:left="850" w:hanging="493"/>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sposób ustalenia zmiany wynagrodzenia z użyciem odesłania do wskaźnika zmiany cen materiałów lub kosztów, w szczególności wskaźnika ogłaszanego w komunikacie Prezesa Głównego Urzędu Statystycznego. Sposób ustalenia zmiany wynagrodzenia może zostać określony również przez wskazanie innej podstaw</w:t>
      </w:r>
      <w:r w:rsidR="00082C02">
        <w:rPr>
          <w:rFonts w:ascii="Times New Roman" w:eastAsia="Times New Roman" w:hAnsi="Times New Roman" w:cs="Times New Roman"/>
          <w:sz w:val="24"/>
          <w:szCs w:val="24"/>
        </w:rPr>
        <w:t>y</w:t>
      </w:r>
      <w:r w:rsidRPr="00DA788D">
        <w:rPr>
          <w:rFonts w:ascii="Times New Roman" w:eastAsia="Times New Roman" w:hAnsi="Times New Roman" w:cs="Times New Roman"/>
          <w:sz w:val="24"/>
          <w:szCs w:val="24"/>
        </w:rPr>
        <w:t xml:space="preserve">, w szczególności wykazu rodzajów materiałów lub kosztów. </w:t>
      </w:r>
    </w:p>
    <w:p w14:paraId="21B36508" w14:textId="639A8C25" w:rsidR="00CB2D51" w:rsidRPr="00DA788D" w:rsidRDefault="002E64C7" w:rsidP="00DA788D">
      <w:pPr>
        <w:numPr>
          <w:ilvl w:val="0"/>
          <w:numId w:val="59"/>
        </w:numPr>
        <w:spacing w:after="120"/>
        <w:ind w:left="850" w:hanging="493"/>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sposób określenia wpływu zmiany ceny na koszty wykonania zamówienia oraz okresów, w których może następować zmiana wynagrodzenia wykonawcy.</w:t>
      </w:r>
      <w:r w:rsidR="00E145F2">
        <w:rPr>
          <w:rFonts w:ascii="Times New Roman" w:eastAsia="Times New Roman" w:hAnsi="Times New Roman" w:cs="Times New Roman"/>
          <w:sz w:val="24"/>
          <w:szCs w:val="24"/>
        </w:rPr>
        <w:t xml:space="preserve"> Zamawiający określi zatem, jak wyliczona zgodnie z pkt 2 powyżej zmiana ceny wpłynęła na sytuację wykonawcy i jak obliczyć w związku z tym jego nowe wynagrodzenie.</w:t>
      </w:r>
    </w:p>
    <w:p w14:paraId="7A37A2B1" w14:textId="77777777" w:rsidR="00CB2D51" w:rsidRPr="00DA788D" w:rsidRDefault="002E64C7" w:rsidP="00DA788D">
      <w:pPr>
        <w:numPr>
          <w:ilvl w:val="0"/>
          <w:numId w:val="59"/>
        </w:numPr>
        <w:spacing w:after="120"/>
        <w:ind w:left="851" w:hanging="491"/>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maksymalną wartość zmiany wynagrodzenia, jaką dopuszcza zamawiający w efekcie zastosowania postanowienia.</w:t>
      </w:r>
    </w:p>
    <w:p w14:paraId="436968B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Wskazane obligatoryjne elementy klauzuli waloryzacyjnej mają pomóc zamawiającym przy konstruowaniu skutecznych i jasnych postanowień umownych. Zamawiający wprowadzając do umowy odpowiednią klauzulę ma pozostawioną swobodę określenia jej elementów, mając na względzie w szczególności: specyfikę zamówienia (np. w zakresie jakie elementy materiałów i kosztów są kluczowe i w praktyce podlegają dużym wahaniom), dostępność wiarygodnych i aktualizowanych podstaw ustalenia zmiany ceny (np. odpowiednie </w:t>
      </w:r>
      <w:r w:rsidRPr="00DA788D">
        <w:rPr>
          <w:rFonts w:ascii="Times New Roman" w:eastAsia="Times New Roman" w:hAnsi="Times New Roman" w:cs="Times New Roman"/>
          <w:sz w:val="24"/>
          <w:szCs w:val="24"/>
        </w:rPr>
        <w:lastRenderedPageBreak/>
        <w:t>wskaźniki Prezesa GUS), planowane możliwości finansowe zamawiającego co do przewidywanych zmian wynagrodzenia.</w:t>
      </w:r>
    </w:p>
    <w:p w14:paraId="3DE43862" w14:textId="3AFF432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ust. 3 tego artykułu wskazuje się, sposób obliczania początkowego terminu zmiany wynagrodzenia, jeśli do zawarcia umowy doszło po upływie 180 dni od dnia terminu składania ofert. W takiej sytuacji w celu ustalenia zmiany wysokości wynagrodzenia należnego wykonawcy oblicza się różnicę między</w:t>
      </w:r>
      <w:r w:rsidR="00214E45">
        <w:rPr>
          <w:rFonts w:ascii="Times New Roman" w:eastAsia="Times New Roman" w:hAnsi="Times New Roman" w:cs="Times New Roman"/>
          <w:sz w:val="24"/>
          <w:szCs w:val="24"/>
        </w:rPr>
        <w:t xml:space="preserve"> średnią</w:t>
      </w:r>
      <w:r w:rsidRPr="00DA788D">
        <w:rPr>
          <w:rFonts w:ascii="Times New Roman" w:eastAsia="Times New Roman" w:hAnsi="Times New Roman" w:cs="Times New Roman"/>
          <w:sz w:val="24"/>
          <w:szCs w:val="24"/>
        </w:rPr>
        <w:t xml:space="preserve"> ceną materiałów lub kosztów</w:t>
      </w:r>
      <w:r w:rsidR="00214E45">
        <w:rPr>
          <w:rFonts w:ascii="Times New Roman" w:eastAsia="Times New Roman" w:hAnsi="Times New Roman" w:cs="Times New Roman"/>
          <w:sz w:val="24"/>
          <w:szCs w:val="24"/>
        </w:rPr>
        <w:t xml:space="preserve"> obowiązującą w dniu otwarcia ofert,</w:t>
      </w:r>
      <w:r w:rsidRPr="00DA788D">
        <w:rPr>
          <w:rFonts w:ascii="Times New Roman" w:eastAsia="Times New Roman" w:hAnsi="Times New Roman" w:cs="Times New Roman"/>
          <w:sz w:val="24"/>
          <w:szCs w:val="24"/>
        </w:rPr>
        <w:t xml:space="preserve">  a ceną materiałów lub poniesienia kosztów przez wykonawcę</w:t>
      </w:r>
      <w:r w:rsidR="00E145F2">
        <w:rPr>
          <w:rFonts w:ascii="Times New Roman" w:eastAsia="Times New Roman" w:hAnsi="Times New Roman" w:cs="Times New Roman"/>
          <w:sz w:val="24"/>
          <w:szCs w:val="24"/>
        </w:rPr>
        <w:t xml:space="preserve"> obowiązującą w dniu otwarcia ofert</w:t>
      </w:r>
      <w:r w:rsidRPr="00DA788D">
        <w:rPr>
          <w:rFonts w:ascii="Times New Roman" w:eastAsia="Times New Roman" w:hAnsi="Times New Roman" w:cs="Times New Roman"/>
          <w:sz w:val="24"/>
          <w:szCs w:val="24"/>
        </w:rPr>
        <w:t>. Zasadą jest, że to zamawiający określa początkowy termin ustalenia zmiany wynagrodzenia zgodnie z ust. 2 pkt</w:t>
      </w:r>
      <w:r w:rsidR="00082C02">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1, w praktyce ust. 3 wyznacza granice tej swobody jeśli postępowanie przedłuża się. Rozwiązanie z ust. 3 znajdzie obligatoryjne zastosowanie we wskazanych tam okolicznościach przedłużającego się postępowania, gdy przewidziana przez zamawiającego klauzula wskazuje późniejszy termin początkowy ustalenia zmiany wynagrodzenia. </w:t>
      </w:r>
    </w:p>
    <w:p w14:paraId="7753EF0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Wyraźnie wskazuje się, że przez zmianę cen materiałów lub kosztów rozumie się jej wzrost jak i jej obniżenie, co za tym idzie zastosowanie klauzuli waloryzacyjnej będzie powodowało odpowiednie zwiększenie lub zmniejszenie wynagrodzenia. Takie rozwiązanie powoduje równe rozłożenie ryzyk pomiędzy strony w zakresie kierunków możliwej waloryzacji. </w:t>
      </w:r>
    </w:p>
    <w:p w14:paraId="6A04C65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ust. 5 nakłada się na wykonawcę, którego wynagrodzenie zostało zwaloryzowane zgodnie z tym artykułem, zobowiązanie do zmiany wynagrodzenia przysługującego podwykonawcy, z którym zawarł umowę, w zakresie odpowiadającym zmianom cen materiałów i kosztów zobowiązania podwykonawcy. Powstanie ww. zobowiązania zostało jednak uzależnione od łącznego spełniania wskazanych przesłanek.</w:t>
      </w:r>
    </w:p>
    <w:p w14:paraId="5438D9E1" w14:textId="6DC0159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440 projektu ustawy, przepisy dotyczące obligatoryjnych postanowień o zasadach wprowadzania zmiany wynagrodzenia (art. 439 ust. 2-4 projektu ustawy) stosuje się również w przypadku gdy zamawiający przewiduje takie postanowienie przy innych umowach</w:t>
      </w:r>
      <w:r w:rsidR="00E145F2">
        <w:rPr>
          <w:rFonts w:ascii="Times New Roman" w:eastAsia="Times New Roman" w:hAnsi="Times New Roman" w:cs="Times New Roman"/>
          <w:sz w:val="24"/>
          <w:szCs w:val="24"/>
        </w:rPr>
        <w:t>, np. zawart</w:t>
      </w:r>
      <w:r w:rsidR="00082C02">
        <w:rPr>
          <w:rFonts w:ascii="Times New Roman" w:eastAsia="Times New Roman" w:hAnsi="Times New Roman" w:cs="Times New Roman"/>
          <w:sz w:val="24"/>
          <w:szCs w:val="24"/>
        </w:rPr>
        <w:t>y</w:t>
      </w:r>
      <w:r w:rsidR="00E145F2">
        <w:rPr>
          <w:rFonts w:ascii="Times New Roman" w:eastAsia="Times New Roman" w:hAnsi="Times New Roman" w:cs="Times New Roman"/>
          <w:sz w:val="24"/>
          <w:szCs w:val="24"/>
        </w:rPr>
        <w:t>ch na krótszy niż 12 miesięcy okres, albo w przypadku umów na dostawę.</w:t>
      </w:r>
    </w:p>
    <w:p w14:paraId="240B7F61"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Prawo opcji</w:t>
      </w:r>
    </w:p>
    <w:p w14:paraId="682282A1" w14:textId="7A559B2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Art. 441 projektu ustawy wskazuje przesłanki umożliwiające zamawiającemu skorzystanie z prawa opcji. Będzie to możliwe, jeżeli dokumenty postępowania wskażą jednoznacznie: rodzaj i zakres opcji, </w:t>
      </w:r>
      <w:r w:rsidR="00A25934">
        <w:rPr>
          <w:rFonts w:ascii="Times New Roman" w:eastAsia="Times New Roman" w:hAnsi="Times New Roman" w:cs="Times New Roman"/>
          <w:sz w:val="24"/>
          <w:szCs w:val="24"/>
        </w:rPr>
        <w:t>warunki</w:t>
      </w:r>
      <w:r w:rsidR="00A25934"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skorzystania z opcji. Dodatkowo przewidziane opcje nie mogą modyfikować</w:t>
      </w:r>
      <w:r w:rsidR="00A25934">
        <w:rPr>
          <w:rFonts w:ascii="Times New Roman" w:eastAsia="Times New Roman" w:hAnsi="Times New Roman" w:cs="Times New Roman"/>
          <w:sz w:val="24"/>
          <w:szCs w:val="24"/>
        </w:rPr>
        <w:t xml:space="preserve"> ogólnego</w:t>
      </w:r>
      <w:r w:rsidRPr="00DA788D">
        <w:rPr>
          <w:rFonts w:ascii="Times New Roman" w:eastAsia="Times New Roman" w:hAnsi="Times New Roman" w:cs="Times New Roman"/>
          <w:sz w:val="24"/>
          <w:szCs w:val="24"/>
        </w:rPr>
        <w:t xml:space="preserve"> charakteru umowy</w:t>
      </w:r>
      <w:r w:rsidR="00A25934">
        <w:rPr>
          <w:rFonts w:ascii="Times New Roman" w:eastAsia="Times New Roman" w:hAnsi="Times New Roman" w:cs="Times New Roman"/>
          <w:sz w:val="24"/>
          <w:szCs w:val="24"/>
        </w:rPr>
        <w:t>, a więc na przykład zupełnie zmieniać jej przedmiotu, np. z umowy na roboty budowlane tworzyć umowy na dostawę.</w:t>
      </w:r>
      <w:r w:rsidRPr="00DA788D">
        <w:rPr>
          <w:rFonts w:ascii="Times New Roman" w:eastAsia="Times New Roman" w:hAnsi="Times New Roman" w:cs="Times New Roman"/>
          <w:sz w:val="24"/>
          <w:szCs w:val="24"/>
        </w:rPr>
        <w:t xml:space="preserve"> Zgodnie z ust. 2 tego artykułu, czynności dokonane z naruszeniem wskazanych wyżej przesłanej podlegają unieważnieniu.</w:t>
      </w:r>
    </w:p>
    <w:p w14:paraId="0EFA44E4"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Zaliczki i wypłata wynagrodzenia w częściach</w:t>
      </w:r>
    </w:p>
    <w:p w14:paraId="32318F9C" w14:textId="412D6E2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Odnośnie regulacji dotyczących zaliczek i wypłatę wynagrodzenia w częściach, w art. 44</w:t>
      </w:r>
      <w:r w:rsidR="00B43FE0">
        <w:rPr>
          <w:rFonts w:ascii="Times New Roman" w:eastAsia="Times New Roman" w:hAnsi="Times New Roman" w:cs="Times New Roman"/>
          <w:sz w:val="24"/>
          <w:szCs w:val="24"/>
        </w:rPr>
        <w:t>3</w:t>
      </w:r>
      <w:r w:rsidRPr="00DA788D">
        <w:rPr>
          <w:rFonts w:ascii="Times New Roman" w:eastAsia="Times New Roman" w:hAnsi="Times New Roman" w:cs="Times New Roman"/>
          <w:sz w:val="24"/>
          <w:szCs w:val="24"/>
        </w:rPr>
        <w:t xml:space="preserve"> projektu ustawy, wprowadza się obowiązek wypłaty wynagrodzenia w częściach, po wykonaniu części umowy, lub udzielenia zaliczki, w przypadku umów zawieranych na okres dłuższy niż 12 miesięcy. Obowiązek ten będzie więc teraz dotyczył wszystkich kategorii umów zawartych na okres dłuższy niż 12 miesięcy, a nie tylko umów na roboty budowlane. Rozwiązania takie powinno poprawić płynność</w:t>
      </w:r>
      <w:r w:rsidR="00A25934">
        <w:rPr>
          <w:rFonts w:ascii="Times New Roman" w:eastAsia="Times New Roman" w:hAnsi="Times New Roman" w:cs="Times New Roman"/>
          <w:sz w:val="24"/>
          <w:szCs w:val="24"/>
        </w:rPr>
        <w:t xml:space="preserve"> finansową</w:t>
      </w:r>
      <w:r w:rsidRPr="00DA788D">
        <w:rPr>
          <w:rFonts w:ascii="Times New Roman" w:eastAsia="Times New Roman" w:hAnsi="Times New Roman" w:cs="Times New Roman"/>
          <w:sz w:val="24"/>
          <w:szCs w:val="24"/>
        </w:rPr>
        <w:t xml:space="preserve"> wykonawców, obniżyć</w:t>
      </w:r>
      <w:r w:rsidR="00A25934">
        <w:rPr>
          <w:rFonts w:ascii="Times New Roman" w:eastAsia="Times New Roman" w:hAnsi="Times New Roman" w:cs="Times New Roman"/>
          <w:sz w:val="24"/>
          <w:szCs w:val="24"/>
        </w:rPr>
        <w:t xml:space="preserve"> po ich </w:t>
      </w:r>
      <w:r w:rsidR="00A25934">
        <w:rPr>
          <w:rFonts w:ascii="Times New Roman" w:eastAsia="Times New Roman" w:hAnsi="Times New Roman" w:cs="Times New Roman"/>
          <w:sz w:val="24"/>
          <w:szCs w:val="24"/>
        </w:rPr>
        <w:lastRenderedPageBreak/>
        <w:t>stronie</w:t>
      </w:r>
      <w:r w:rsidRPr="00DA788D">
        <w:rPr>
          <w:rFonts w:ascii="Times New Roman" w:eastAsia="Times New Roman" w:hAnsi="Times New Roman" w:cs="Times New Roman"/>
          <w:sz w:val="24"/>
          <w:szCs w:val="24"/>
        </w:rPr>
        <w:t xml:space="preserve"> koszty realizacji umowy w zakresie konieczności pozyskiwania finansowania, a w konsekwencji przełożyć się na kwestie konkurencyjności, atrakcyjności ubiegania się o zamówienia publiczne szerszej grupy wykonawców. </w:t>
      </w:r>
    </w:p>
    <w:p w14:paraId="325F10A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Projektowane przepisy znoszą również obecnie obowiązujące ograniczenia w zakresie możliwości przewidzenia zaliczki jeżeli wykonawca został wybrany w trybie negocjacji bez ogłoszenia lub zamówienia z wolnej ręki.</w:t>
      </w:r>
    </w:p>
    <w:p w14:paraId="040F1E0E"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Zasady odpowiedzialności wykonawców wspólnie ubiegających się o udzielenie zamówienia publicznego</w:t>
      </w:r>
    </w:p>
    <w:p w14:paraId="5300BFD3" w14:textId="7D094DA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Wykonawcy wspólnie ubiegających się o udzielenie zamówienia publicznego, tak jak obecnie, będą ponosili </w:t>
      </w:r>
      <w:r w:rsidR="00082C02" w:rsidRPr="00DA788D">
        <w:rPr>
          <w:rFonts w:ascii="Times New Roman" w:eastAsia="Times New Roman" w:hAnsi="Times New Roman" w:cs="Times New Roman"/>
          <w:sz w:val="24"/>
          <w:szCs w:val="24"/>
        </w:rPr>
        <w:t>solidarn</w:t>
      </w:r>
      <w:r w:rsidR="00082C02">
        <w:rPr>
          <w:rFonts w:ascii="Times New Roman" w:eastAsia="Times New Roman" w:hAnsi="Times New Roman" w:cs="Times New Roman"/>
          <w:sz w:val="24"/>
          <w:szCs w:val="24"/>
        </w:rPr>
        <w:t>ą</w:t>
      </w:r>
      <w:r w:rsidR="00082C0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odpowiedzialność za wykonanie umowy (art. 445 ust. 1 projektu ustawy). </w:t>
      </w:r>
    </w:p>
    <w:p w14:paraId="5ECBD91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celu zachęcenia wykonawców wspólnie ubiegających się o udzielenie zamówienia publicznego - szczególnie z sektora MŚP - do udziału w postępowaniach, których przedmiotem jest nabycie innowacyjnego produktu, usługi lub roboty budowlanej, udzielonego w trybie partnerstwa innowacyjnego powyższa zasada solidarnej odpowiedzialności wykonawców za wykonanie umowy nie znajdzie zastosowania. Celem powyższej zmiany jest takie ukształtowanie odpowiedzialności wykonawców wspólnie ubiegających się o udzielenie zamówienia za wykonanie umowy, żeby każdy z członków konsorcjum ponosił odpowiedzialność tylko za tę część umowy, którą rzeczywiście wykonuje. W takim przypadku wykonawca (konsorcjant) odpowiedzialny za fazę badawczo-rozwojową partnerstwa nie będzie ponosił odpowiedzialności za fazę wytworzenia, produkcji seryjnej itp., za którą odpowiedzialny będzie inny konsorcjant i odwrotnie.</w:t>
      </w:r>
    </w:p>
    <w:p w14:paraId="4D544695"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Raport z realizacji zamówienia</w:t>
      </w:r>
    </w:p>
    <w:p w14:paraId="3524AC4E" w14:textId="06E778F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Nową instytucją jest raport z realizacji zamówienia przewidziany w art. 446 projektu ustawy, który ma na celu zobligowanie zamawiających w przypadku zamówień, których realizacja napotkała określone trudności, do dokonania oceny realizacji takiego zamówienia. Celem tego nowego obowiązku po stronie zamawiających jest zwiększenie efektywności wydatkowania środków publicznych dzięki należycie przeprowadzonej ewaluacji realizacji umowy. Dzięki przeanalizowaniu treści umowy oraz sposobu jej realizacji, zamawiający może wdrożyć zmiany w odniesieniu do zamówień podobnego typu w przyszłości. Obecnie, praktyka ta nie jest dostatecznie wykorzystywana jako narzędzie do poprawiania jakości realizacji zamówień, co prowadzi do powielania generujących problemy rozwiązań. W wielu przypadkach zamawiający mimo pojawienia się problemów na etapie realizacji umowy wykorzystują nadal analogiczną dokumentację przetargową, która w kolejnych zamówieniach mo</w:t>
      </w:r>
      <w:r w:rsidR="00A25934">
        <w:rPr>
          <w:rFonts w:ascii="Times New Roman" w:eastAsia="Times New Roman" w:hAnsi="Times New Roman" w:cs="Times New Roman"/>
          <w:sz w:val="24"/>
          <w:szCs w:val="24"/>
        </w:rPr>
        <w:t>że</w:t>
      </w:r>
      <w:r w:rsidRPr="00DA788D">
        <w:rPr>
          <w:rFonts w:ascii="Times New Roman" w:eastAsia="Times New Roman" w:hAnsi="Times New Roman" w:cs="Times New Roman"/>
          <w:sz w:val="24"/>
          <w:szCs w:val="24"/>
        </w:rPr>
        <w:t xml:space="preserve"> sprawiać podobne trudności w należytej realizacji zamówień. </w:t>
      </w:r>
    </w:p>
    <w:p w14:paraId="5AF2EE9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ust. 1 art. 446 projektu ustawy wskazuje przypadki, w których zamawiający sporządza raport, obejmujące sytuacje związane z określonym zwiększeniem kwoty wydatkowanej na wynagrodzenie, naliczeniem kary umownej, znaczących opóźnień lub odstąpienia od umowy przez, którąś ze stron. </w:t>
      </w:r>
    </w:p>
    <w:p w14:paraId="34B746C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Przepis określa również elementy, które ma zawierać raport, a także termin w jakim ma on zostać sporządzony.</w:t>
      </w:r>
    </w:p>
    <w:p w14:paraId="762253A5"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Zabezpieczenie należytego wykonania umowy</w:t>
      </w:r>
    </w:p>
    <w:p w14:paraId="1DEFD29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Przepisy dotyczące zabezpieczenia należytego wykonania umowy w ustawie, co do zasady, są zbieżne z dotychczasowymi rozwiązaniami. Zmiana w tym zakresie dotyczy maksymalnej wysokości zabezpieczenia, jaką może ustalić zamawiający, która obecnie wynosi maksymalnie 10% ceny całkowitej podanej w ofercie. W praktyce wielu zamawiających wymaga zabezpieczenia w takiej wysokości, choć nie zawsze taka wysokość zabezpieczenia jest uzasadniona specyfiką zamówienia. </w:t>
      </w:r>
    </w:p>
    <w:p w14:paraId="146F7348" w14:textId="68F5973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452 ust. 2 projektu ustawy ustala się zasadę, że zabezpieczenie ustala się w wysokości nieprzekraczającej 5% ceny całkowitej podanej w ofercie albo maksymalnej wartości nominalnej zobowiązania zamawiającego wynikającego z umowy. W kolejnym ustępie przewiduje się, ze zamawiający może ustalić takie zabezpieczenie w wysokości większej niż wskazana w ust. 2, jednak nieprzekraczającej 10% takiej ceny albo maksymalnej wartości nominalnej zobowiązania zamawiającego wynikającego z umowy, jeżeli jest to uzasadnione przedmiotem zamówienia lub wystąpieniem ryzyka</w:t>
      </w:r>
      <w:r w:rsidR="00373BCA">
        <w:rPr>
          <w:rFonts w:ascii="Times New Roman" w:eastAsia="Times New Roman" w:hAnsi="Times New Roman" w:cs="Times New Roman"/>
          <w:sz w:val="24"/>
          <w:szCs w:val="24"/>
        </w:rPr>
        <w:t xml:space="preserve"> związanego z realizacją</w:t>
      </w:r>
      <w:r w:rsidRPr="00DA788D">
        <w:rPr>
          <w:rFonts w:ascii="Times New Roman" w:eastAsia="Times New Roman" w:hAnsi="Times New Roman" w:cs="Times New Roman"/>
          <w:sz w:val="24"/>
          <w:szCs w:val="24"/>
        </w:rPr>
        <w:t xml:space="preserve"> zamówienia publicznego, co zamawiający opisał w SWZ lub innych dokumentach zamówienia. </w:t>
      </w:r>
    </w:p>
    <w:p w14:paraId="12A6450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Celem tej zmiany jest bardziej świadome określanie przez zamawiających wysokości zabezpieczenia należytego wykonania umowy, w efekcie czego w wielu przypadkach niższe zabezpieczenia pozytywnie wpłyną na płynność finansową wykonawców.</w:t>
      </w:r>
    </w:p>
    <w:p w14:paraId="0FB22BE1"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 xml:space="preserve">Zmiana umowy </w:t>
      </w:r>
    </w:p>
    <w:p w14:paraId="414A1B86" w14:textId="77777777"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 xml:space="preserve">Projektowane regulacje dotyczące zmian umowy w sprawie zamówienia publicznego są odzwierciedleniem przepisów art. 72 dyrektywy klasycznej oraz art. 89 dyrektywy sektorowej. Przepisy dyrektyw uwzględniają orzecznictwo Trybunału Sprawiedliwości dotyczące (nie)dopuszczalności zmian zawartej umowy w sprawie zamówienia publicznego (por. orzeczenia w sprawach C-337/98, Komisja przeciwko Francji, C-454/06, pressetext, C-160/08, Komisja przeciwko Niemcom, C-91/08, Wall AG, C-549/14, Finn Frogne A/S). Z orzecznictwa tego wynika, że zmiana umowy w sprawie zamówienia publicznego w trakcie jej obowiązywania jest co do zasady niedopuszczalna, jeżeli nie została poprzedzona przeprowadzeniem nowego postępowania o udzielenie zamówienia. Warunki umowy stanowią bowiem wynik przetargu lub innej procedury ofertowo-eliminacyjnej. Ich późniejsza zmiana może prowadzić do wypaczenia tego wyniku oraz naruszenia zasad uczciwej konkurencji, równego traktowania i przejrzystości. </w:t>
      </w:r>
    </w:p>
    <w:p w14:paraId="530EB3C7" w14:textId="051880FA"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Przepisy określające przypadki, w których wyjątkowo dopuszczalne są zmiany umowy bez przeprowadzenia nowego postępowania, zostały przeredagowanea, aby w jaśniejszy sposób oddać zakres dopuszczalnych zmian umowy określonych w prawie unijnym i nie zawierają merytorycznych zmian w stosunku do obowiązujących rozwiązań. Przypadki te można podzielić na cztery kategorie:</w:t>
      </w:r>
    </w:p>
    <w:p w14:paraId="7613B9CC" w14:textId="3B2EA534"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1) zmiany, które nie mają istotnego wpływu na konkurencję (art. 454 ust. 1 w zw. z ust. 2</w:t>
      </w:r>
      <w:r w:rsidR="00082C02" w:rsidRP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161903">
        <w:rPr>
          <w:rFonts w:ascii="Times New Roman" w:eastAsia="Times New Roman" w:hAnsi="Times New Roman" w:cs="Times New Roman"/>
          <w:sz w:val="24"/>
          <w:szCs w:val="24"/>
        </w:rPr>
        <w:t>);</w:t>
      </w:r>
    </w:p>
    <w:p w14:paraId="6DCBC583" w14:textId="05962B6B"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2) zmiany, które zostały z góry przewidziane w ogłoszeniu o zamówieniu lub dokumentach zamówienia (art. 455 ust. 1 pkt 1 i pkt 2 lit. a</w:t>
      </w:r>
      <w:r w:rsidR="00082C02" w:rsidRP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161903">
        <w:rPr>
          <w:rFonts w:ascii="Times New Roman" w:eastAsia="Times New Roman" w:hAnsi="Times New Roman" w:cs="Times New Roman"/>
          <w:sz w:val="24"/>
          <w:szCs w:val="24"/>
        </w:rPr>
        <w:t>);</w:t>
      </w:r>
    </w:p>
    <w:p w14:paraId="3D651CEA" w14:textId="0E4734F0"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3) zmiany, które zostały uznane przez projektodawcę za merytorycznie uzasadnione (art. 455 ust. 1 pkt 2 lit. b i c, pkt 3 i 4</w:t>
      </w:r>
      <w:r w:rsidR="00082C02" w:rsidRP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161903">
        <w:rPr>
          <w:rFonts w:ascii="Times New Roman" w:eastAsia="Times New Roman" w:hAnsi="Times New Roman" w:cs="Times New Roman"/>
          <w:sz w:val="24"/>
          <w:szCs w:val="24"/>
        </w:rPr>
        <w:t>);</w:t>
      </w:r>
    </w:p>
    <w:p w14:paraId="6B130D41" w14:textId="49EE4F53"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4) zmiany, których wartość nie przekracza progu bagatelności (art. 455 ust. 2</w:t>
      </w:r>
      <w:r w:rsidR="00082C02" w:rsidRP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161903">
        <w:rPr>
          <w:rFonts w:ascii="Times New Roman" w:eastAsia="Times New Roman" w:hAnsi="Times New Roman" w:cs="Times New Roman"/>
          <w:sz w:val="24"/>
          <w:szCs w:val="24"/>
        </w:rPr>
        <w:t>).</w:t>
      </w:r>
    </w:p>
    <w:p w14:paraId="54F0650F" w14:textId="77777777"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lastRenderedPageBreak/>
        <w:t xml:space="preserve"> Już z powyższego wyliczenia wynika, że zmianą umowy w rozumieniu projektowanych przepisów jest nie tylko modyfikacja będąca następstwem złożenia przez strony zgodnych oświadczeń woli co do nowego ukształtowania treści łączącego je stosunku, ale również zmiana z góry przewidziana w pierwotnej umowie, nawet jeżeli – tak jak w przypadku klauzuli automatycznej waloryzacji – następuje automatycznie, bez konieczności złożenia oświadczenia woli przez którąkolwiek ze stron. </w:t>
      </w:r>
    </w:p>
    <w:p w14:paraId="2561C066" w14:textId="5F0999ED" w:rsidR="00161903" w:rsidRPr="00161903"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 xml:space="preserve">Przepis art. 454 ust. 1 </w:t>
      </w:r>
      <w:r w:rsidR="003C4044">
        <w:rPr>
          <w:rFonts w:ascii="Times New Roman" w:eastAsia="Times New Roman" w:hAnsi="Times New Roman" w:cs="Times New Roman"/>
          <w:sz w:val="24"/>
          <w:szCs w:val="24"/>
        </w:rPr>
        <w:t xml:space="preserve">projektu ustawy </w:t>
      </w:r>
      <w:r w:rsidRPr="00161903">
        <w:rPr>
          <w:rFonts w:ascii="Times New Roman" w:eastAsia="Times New Roman" w:hAnsi="Times New Roman" w:cs="Times New Roman"/>
          <w:sz w:val="24"/>
          <w:szCs w:val="24"/>
        </w:rPr>
        <w:t>ustanawia zasadę, że nowe postępowanie o udzielenie zamówienia wymagane jest w przypadku istotnych zmian w pierwotnej umowie. Z zasady tej wynika jednocześnie dopuszczalność zmian nieistotnych. Pojęcie „istotnej zmiany umowy” zostało zdefiniowane ustawowo w zdaniu wprowadzającym do wyliczenia w art. 454 ust. 2</w:t>
      </w:r>
      <w:r w:rsidR="003C4044">
        <w:rPr>
          <w:rFonts w:ascii="Times New Roman" w:eastAsia="Times New Roman" w:hAnsi="Times New Roman" w:cs="Times New Roman"/>
          <w:sz w:val="24"/>
          <w:szCs w:val="24"/>
        </w:rPr>
        <w:t xml:space="preserve"> projektu ustawy</w:t>
      </w:r>
      <w:r w:rsidRPr="00161903">
        <w:rPr>
          <w:rFonts w:ascii="Times New Roman" w:eastAsia="Times New Roman" w:hAnsi="Times New Roman" w:cs="Times New Roman"/>
          <w:sz w:val="24"/>
          <w:szCs w:val="24"/>
        </w:rPr>
        <w:t xml:space="preserve">. Są to zmiany, które powodują, że charakter umowy zmienia się w sposób istotny w stosunku do pierwotnej umowy. Jak wynika z motywu 107 akapit pierwszy dyrektywy klasycznej chodzi o zmiany, które wskazują na zamiar stron dotyczący renegocjowania istotnych warunków umowy. Ma to miejsce w szczególności w sytuacji, gdy zmienione warunki miałyby wpływ na wynik postępowania, gdyby zostały uwzględnione w pierwotnym zamówieniu. Przepis art. 454 ust. 2 zawiera również przykładowy („w szczególności”) katalog zmian, które zostały uznane przez projektodawcę za istotne. Katalog nie jest wyczerpujący. Również inne przypadki zmian mogą być uznane za istotne, jeżeli spełnione są ogólne kryteria definicji „istotnej zamiany umowy”. </w:t>
      </w:r>
    </w:p>
    <w:p w14:paraId="321EDBA0" w14:textId="4A2F60D5" w:rsidR="00CA0806" w:rsidRPr="00DA788D" w:rsidRDefault="00161903" w:rsidP="00161903">
      <w:pPr>
        <w:spacing w:after="120"/>
        <w:ind w:firstLine="708"/>
        <w:jc w:val="both"/>
        <w:rPr>
          <w:rFonts w:ascii="Times New Roman" w:eastAsia="Times New Roman" w:hAnsi="Times New Roman" w:cs="Times New Roman"/>
          <w:sz w:val="24"/>
          <w:szCs w:val="24"/>
        </w:rPr>
      </w:pPr>
      <w:r w:rsidRPr="00161903">
        <w:rPr>
          <w:rFonts w:ascii="Times New Roman" w:eastAsia="Times New Roman" w:hAnsi="Times New Roman" w:cs="Times New Roman"/>
          <w:sz w:val="24"/>
          <w:szCs w:val="24"/>
        </w:rPr>
        <w:t xml:space="preserve">W art. 455 </w:t>
      </w:r>
      <w:r w:rsidR="003C4044">
        <w:rPr>
          <w:rFonts w:ascii="Times New Roman" w:eastAsia="Times New Roman" w:hAnsi="Times New Roman" w:cs="Times New Roman"/>
          <w:sz w:val="24"/>
          <w:szCs w:val="24"/>
        </w:rPr>
        <w:t xml:space="preserve">projektu ustawy </w:t>
      </w:r>
      <w:r w:rsidRPr="00161903">
        <w:rPr>
          <w:rFonts w:ascii="Times New Roman" w:eastAsia="Times New Roman" w:hAnsi="Times New Roman" w:cs="Times New Roman"/>
          <w:sz w:val="24"/>
          <w:szCs w:val="24"/>
        </w:rPr>
        <w:t xml:space="preserve">zostały wymienione przypadki zmian umowy inne niż nieistotne zmiany umowy, które nie wymagają przeprowadzenia nowego postępowania. W dotychczasowej praktyce szczególne wątpliwości budzi uregulowany w art. 455 ust. 1 pkt 2 lit. c projektu </w:t>
      </w:r>
      <w:r w:rsidR="003C4044">
        <w:rPr>
          <w:rFonts w:ascii="Times New Roman" w:eastAsia="Times New Roman" w:hAnsi="Times New Roman" w:cs="Times New Roman"/>
          <w:sz w:val="24"/>
          <w:szCs w:val="24"/>
        </w:rPr>
        <w:t xml:space="preserve">ustawy </w:t>
      </w:r>
      <w:r w:rsidRPr="00161903">
        <w:rPr>
          <w:rFonts w:ascii="Times New Roman" w:eastAsia="Times New Roman" w:hAnsi="Times New Roman" w:cs="Times New Roman"/>
          <w:sz w:val="24"/>
          <w:szCs w:val="24"/>
        </w:rPr>
        <w:t xml:space="preserve">przypadek zmiany umowy polegający na zastąpieniu dotychczasowego wykonawcy nowym wykonawcą w wyniku przejęcia przez zamawiającego zobowiązań wykonawcy względem podwykonawców. </w:t>
      </w:r>
      <w:r w:rsidR="00A25934">
        <w:rPr>
          <w:rFonts w:ascii="Times New Roman" w:eastAsia="Times New Roman" w:hAnsi="Times New Roman" w:cs="Times New Roman"/>
          <w:sz w:val="24"/>
          <w:szCs w:val="24"/>
        </w:rPr>
        <w:t>P</w:t>
      </w:r>
      <w:r w:rsidRPr="00161903">
        <w:rPr>
          <w:rFonts w:ascii="Times New Roman" w:eastAsia="Times New Roman" w:hAnsi="Times New Roman" w:cs="Times New Roman"/>
          <w:sz w:val="24"/>
          <w:szCs w:val="24"/>
        </w:rPr>
        <w:t>rzepis</w:t>
      </w:r>
      <w:r w:rsidR="00A25934">
        <w:rPr>
          <w:rFonts w:ascii="Times New Roman" w:eastAsia="Times New Roman" w:hAnsi="Times New Roman" w:cs="Times New Roman"/>
          <w:sz w:val="24"/>
          <w:szCs w:val="24"/>
        </w:rPr>
        <w:t xml:space="preserve"> </w:t>
      </w:r>
      <w:r w:rsidRPr="00161903">
        <w:rPr>
          <w:rFonts w:ascii="Times New Roman" w:eastAsia="Times New Roman" w:hAnsi="Times New Roman" w:cs="Times New Roman"/>
          <w:sz w:val="24"/>
          <w:szCs w:val="24"/>
        </w:rPr>
        <w:t xml:space="preserve">art. 144 ust. 1 pkt 4 lit. c </w:t>
      </w:r>
      <w:r w:rsidR="003C4044">
        <w:rPr>
          <w:rFonts w:ascii="Times New Roman" w:eastAsia="Times New Roman" w:hAnsi="Times New Roman" w:cs="Times New Roman"/>
          <w:sz w:val="24"/>
          <w:szCs w:val="24"/>
        </w:rPr>
        <w:t xml:space="preserve">ustawy Pzp </w:t>
      </w:r>
      <w:r w:rsidRPr="00161903">
        <w:rPr>
          <w:rFonts w:ascii="Times New Roman" w:eastAsia="Times New Roman" w:hAnsi="Times New Roman" w:cs="Times New Roman"/>
          <w:sz w:val="24"/>
          <w:szCs w:val="24"/>
        </w:rPr>
        <w:t>nie wskazuje do jakiej sytuacji przejęcia zobowiązań wykonawcy względem podwykonawców się odnosi i jakie są konsekwencje jego zastosowania, w szczególności czy na jego podstawie dopuszczalna jest zmiana strony umowy z wykonawcy na podwykonawcę. Przepis art.</w:t>
      </w:r>
      <w:r w:rsidR="00082C02">
        <w:rPr>
          <w:rFonts w:ascii="Times New Roman" w:eastAsia="Times New Roman" w:hAnsi="Times New Roman" w:cs="Times New Roman"/>
          <w:sz w:val="24"/>
          <w:szCs w:val="24"/>
        </w:rPr>
        <w:t xml:space="preserve"> </w:t>
      </w:r>
      <w:r w:rsidRPr="00161903">
        <w:rPr>
          <w:rFonts w:ascii="Times New Roman" w:eastAsia="Times New Roman" w:hAnsi="Times New Roman" w:cs="Times New Roman"/>
          <w:sz w:val="24"/>
          <w:szCs w:val="24"/>
        </w:rPr>
        <w:t xml:space="preserve">144 ust. 1 pkt 4 lit. c </w:t>
      </w:r>
      <w:r w:rsidR="00082C02">
        <w:rPr>
          <w:rFonts w:ascii="Times New Roman" w:eastAsia="Times New Roman" w:hAnsi="Times New Roman" w:cs="Times New Roman"/>
          <w:sz w:val="24"/>
          <w:szCs w:val="24"/>
        </w:rPr>
        <w:t xml:space="preserve">obecnie </w:t>
      </w:r>
      <w:r w:rsidR="00A25934">
        <w:rPr>
          <w:rFonts w:ascii="Times New Roman" w:eastAsia="Times New Roman" w:hAnsi="Times New Roman" w:cs="Times New Roman"/>
          <w:sz w:val="24"/>
          <w:szCs w:val="24"/>
        </w:rPr>
        <w:t>obowiązującej</w:t>
      </w:r>
      <w:r w:rsidR="00A25934" w:rsidRPr="00161903">
        <w:rPr>
          <w:rFonts w:ascii="Times New Roman" w:eastAsia="Times New Roman" w:hAnsi="Times New Roman" w:cs="Times New Roman"/>
          <w:sz w:val="24"/>
          <w:szCs w:val="24"/>
        </w:rPr>
        <w:t xml:space="preserve"> </w:t>
      </w:r>
      <w:r w:rsidRPr="00161903">
        <w:rPr>
          <w:rFonts w:ascii="Times New Roman" w:eastAsia="Times New Roman" w:hAnsi="Times New Roman" w:cs="Times New Roman"/>
          <w:sz w:val="24"/>
          <w:szCs w:val="24"/>
        </w:rPr>
        <w:t>ustawy wdraża</w:t>
      </w:r>
      <w:r w:rsidR="00A25934">
        <w:rPr>
          <w:rFonts w:ascii="Times New Roman" w:eastAsia="Times New Roman" w:hAnsi="Times New Roman" w:cs="Times New Roman"/>
          <w:sz w:val="24"/>
          <w:szCs w:val="24"/>
        </w:rPr>
        <w:t>ł</w:t>
      </w:r>
      <w:r w:rsidRPr="00161903">
        <w:rPr>
          <w:rFonts w:ascii="Times New Roman" w:eastAsia="Times New Roman" w:hAnsi="Times New Roman" w:cs="Times New Roman"/>
          <w:sz w:val="24"/>
          <w:szCs w:val="24"/>
        </w:rPr>
        <w:t xml:space="preserve"> art. 72 ust. 1 lit. d ppkt iii dyrektywy klasycznej. Ten ostatni nie dotyczy zmiany stron umowy. Reguluje jedynie sytuację przejęcia przez zamawiającego zobowiązania głównego wykonawcy względem jego podwykonawców w zakresie płatności wynagrodzenia, na co wskazuje zawarte w nim odesłanie do art. 71 ust. 3 dyrektywy klasycznej. Art. 71 ust. 3 dyrektywy klasycznej zezwala zamawiającemu wyłącznie na dokonanie bezpośredniej zapłaty wynagrodzenia należnego podwykonawcy z tytułu wykonanych przez niego usług, dostaw lub robót budowlanych. W art. 72 ust. 1 lit. d ppkt iii dyrektywy klasycznej chodzi więc o doprecyzowanie, że w przypadku przejęcia zobowiązań głównego wykonawcy względem podwykonawców w związku z dokonywaniem bezpośrednich płatności na rzecz podwykonawców nie dochodzi do zmiany umowy, która wymagałaby przeprowadzenia nowego postępowania o udzielenie zamówienia. Przy uwzględnieniu wykładani proeuropejskiej należy dojść do wniosku, że zmiana strony umowy z wykonawcy na podwykonawcę nie jest objęta zwolnieniem z obowiązku przeprowadzenia postępowania o udzielenie zamówienia, o ile nie została z góry przewidziana w warunkach zamówienia. Celem usunięcia powyższych wątpliwości w art. 455 ust. 1 pkt 2 lit. c projektu </w:t>
      </w:r>
      <w:r w:rsidR="003C4044">
        <w:rPr>
          <w:rFonts w:ascii="Times New Roman" w:eastAsia="Times New Roman" w:hAnsi="Times New Roman" w:cs="Times New Roman"/>
          <w:sz w:val="24"/>
          <w:szCs w:val="24"/>
        </w:rPr>
        <w:t xml:space="preserve">ustawy </w:t>
      </w:r>
      <w:r w:rsidRPr="00161903">
        <w:rPr>
          <w:rFonts w:ascii="Times New Roman" w:eastAsia="Times New Roman" w:hAnsi="Times New Roman" w:cs="Times New Roman"/>
          <w:sz w:val="24"/>
          <w:szCs w:val="24"/>
        </w:rPr>
        <w:t xml:space="preserve">doprecyzowano, że dotyczy on sytuacji przejęcia przez zamawiającego zobowiązań wykonawcy zamówienia na roboty budowalne względem jego podwykonawców wyłącznie w przypadku bezpośredniej zapłaty wymagalnego wynagrodzenia przysługującego podwykonawcy spowodowanej uchyleniem się od obowiązku </w:t>
      </w:r>
      <w:r w:rsidRPr="00161903">
        <w:rPr>
          <w:rFonts w:ascii="Times New Roman" w:eastAsia="Times New Roman" w:hAnsi="Times New Roman" w:cs="Times New Roman"/>
          <w:sz w:val="24"/>
          <w:szCs w:val="24"/>
        </w:rPr>
        <w:lastRenderedPageBreak/>
        <w:t xml:space="preserve">zapłaty przez wykonawcę. Dopuszczalny przypadek zmiany umowy odnosi się więc do zmiany struktury podmiotowej w zakresie rozliczania kontraktu na roboty budowlane, a nie do całkowitej zmiany strony umowy z wykonawcy na podwykonawcę. Projektowany przepis art. 455 ust. 1 pkt 2 lit. c nie stwarza więc możliwości bezprzetargowego udzielenia zamówienia dotychczasowemu podwykonawcy w przypadku rozwiązania umowy z wykonawcą lub wykonania zastępczego. </w:t>
      </w:r>
    </w:p>
    <w:p w14:paraId="64DC6968"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Odstąpienie od umowy oraz jej unieważnienie</w:t>
      </w:r>
    </w:p>
    <w:p w14:paraId="76C4A44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Przepisy dotyczące odstąpienia od umowy oraz jej unieważnienia zasadniczo zostały zmienione jedynie w zakresie doprecyzowań mających na celu uniknięcia wątpliwości, co do zgodności polskich przepisów z prawem unijnym.</w:t>
      </w:r>
    </w:p>
    <w:p w14:paraId="70DF2E67" w14:textId="16A2AFE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Jako okoliczność, w której umowa podlega unieważnieniu wskazano w art. 45</w:t>
      </w:r>
      <w:r w:rsidR="00B43FE0">
        <w:rPr>
          <w:rFonts w:ascii="Times New Roman" w:eastAsia="Times New Roman" w:hAnsi="Times New Roman" w:cs="Times New Roman"/>
          <w:sz w:val="24"/>
          <w:szCs w:val="24"/>
        </w:rPr>
        <w:t>7</w:t>
      </w:r>
      <w:r w:rsidRPr="00DA788D">
        <w:rPr>
          <w:rFonts w:ascii="Times New Roman" w:eastAsia="Times New Roman" w:hAnsi="Times New Roman" w:cs="Times New Roman"/>
          <w:sz w:val="24"/>
          <w:szCs w:val="24"/>
        </w:rPr>
        <w:t xml:space="preserve"> ust. 1 pkt 1 projektu ustawy sytuację, gdy zamawiający z naruszeniem przepisów ustawy udzielił zamówienia bez uprzedniego zamieszczenia ogłoszenia w Biuletynie Zamówień Publicznych albo bez uprzedniego przekazania ogłoszenia Urzędowi Publikacji Unii Europejskiej. Zmiana ta ma na celu objęcie zakresem przepisu przypadków tzw. bezpośredniego udzielenia zamówienia, tj. bez żadnego trybu przewidzianego ustawą, np. pod pretekstem, że podlega ono wyłączeniu spod ustawy lub stanowi nieistotną zmianę umowy.</w:t>
      </w:r>
    </w:p>
    <w:p w14:paraId="3D0413F0" w14:textId="77777777" w:rsidR="00CB2D51" w:rsidRPr="00DA788D" w:rsidRDefault="002E64C7" w:rsidP="00DA788D">
      <w:pPr>
        <w:numPr>
          <w:ilvl w:val="0"/>
          <w:numId w:val="4"/>
        </w:num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Podwykonawstwo</w:t>
      </w:r>
    </w:p>
    <w:p w14:paraId="607DB50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rozdziale Podwykonawcy zostały zebrane dotychczas rozproszone przepisy dotyczące zagadnienia podwykonawstwa. </w:t>
      </w:r>
    </w:p>
    <w:p w14:paraId="5196BB6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Celem poprawy sytuacji podwykonawców dodaje się w art. 463 projektu ustawy przepis zakazujący wykonawców zawierania w ich umowach o podwykonawstwo postanowień mniej korzystnych dla podwykonawców, od rozwiązań z umów między zamawiającym a wykonawcom, w zakresie kar umownych oraz warunków zapłaty wynagrodzenia. </w:t>
      </w:r>
    </w:p>
    <w:p w14:paraId="1E9FA9BF" w14:textId="75E88106"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VIII</w:t>
      </w:r>
      <w:r w:rsidR="00082C02">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Organy właściwe w sprawach zamówień publicznych</w:t>
      </w:r>
    </w:p>
    <w:p w14:paraId="6E3FC3A0" w14:textId="73AACC8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1</w:t>
      </w:r>
      <w:r w:rsidR="00082C02">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Prezes Urzędu Zamówień Publicznych </w:t>
      </w:r>
    </w:p>
    <w:p w14:paraId="1F40B6A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Pozycja ustrojowa Prezesa Urzędu Zamówień Publicznych, procedura wyboru (jego i jego zastępy) oraz wymagania jakie musi spełniać kandydat na ten urząd nie ulegną zmianie względem ustawy Pzp. Prezes Urzędu Zamówień Publicznych pozostanie centralnym organem administracji rządowej właściwym w sprawach zamówień publicznych, nad którym nadzór sprawuje minister właściwy do spraw gospodarki (art. 46</w:t>
      </w:r>
      <w:r w:rsidR="004B0477" w:rsidRPr="00DA788D">
        <w:rPr>
          <w:rFonts w:ascii="Times New Roman" w:eastAsia="Times New Roman" w:hAnsi="Times New Roman" w:cs="Times New Roman"/>
          <w:sz w:val="24"/>
          <w:szCs w:val="24"/>
        </w:rPr>
        <w:t>6</w:t>
      </w:r>
      <w:r w:rsidRPr="00DA788D">
        <w:rPr>
          <w:rFonts w:ascii="Times New Roman" w:eastAsia="Times New Roman" w:hAnsi="Times New Roman" w:cs="Times New Roman"/>
          <w:sz w:val="24"/>
          <w:szCs w:val="24"/>
        </w:rPr>
        <w:t xml:space="preserve"> ust. 1 i 2 projektu ustawy). W ramach nadzoru minister właściwy do spraw gospodarki dokonuje co roku</w:t>
      </w:r>
      <w:r w:rsidR="004B0477" w:rsidRPr="00DA788D">
        <w:rPr>
          <w:rFonts w:ascii="Times New Roman" w:eastAsia="Times New Roman" w:hAnsi="Times New Roman" w:cs="Times New Roman"/>
          <w:sz w:val="24"/>
          <w:szCs w:val="24"/>
        </w:rPr>
        <w:t xml:space="preserve"> m.in.</w:t>
      </w:r>
      <w:r w:rsidRPr="00DA788D">
        <w:rPr>
          <w:rFonts w:ascii="Times New Roman" w:eastAsia="Times New Roman" w:hAnsi="Times New Roman" w:cs="Times New Roman"/>
          <w:sz w:val="24"/>
          <w:szCs w:val="24"/>
        </w:rPr>
        <w:t xml:space="preserve"> oceny działalności Prezesa Urzędu na podstawie corocznego sprawozdania, w terminie do dnia 30 </w:t>
      </w:r>
      <w:r w:rsidR="004B0477" w:rsidRPr="00DA788D">
        <w:rPr>
          <w:rFonts w:ascii="Times New Roman" w:eastAsia="Times New Roman" w:hAnsi="Times New Roman" w:cs="Times New Roman"/>
          <w:sz w:val="24"/>
          <w:szCs w:val="24"/>
        </w:rPr>
        <w:t>września każdego roku</w:t>
      </w:r>
      <w:r w:rsidRPr="00DA788D">
        <w:rPr>
          <w:rFonts w:ascii="Times New Roman" w:eastAsia="Times New Roman" w:hAnsi="Times New Roman" w:cs="Times New Roman"/>
          <w:sz w:val="24"/>
          <w:szCs w:val="24"/>
        </w:rPr>
        <w:t xml:space="preserve"> (art. 46</w:t>
      </w:r>
      <w:r w:rsidR="004B0477" w:rsidRPr="00DA788D">
        <w:rPr>
          <w:rFonts w:ascii="Times New Roman" w:eastAsia="Times New Roman" w:hAnsi="Times New Roman" w:cs="Times New Roman"/>
          <w:sz w:val="24"/>
          <w:szCs w:val="24"/>
        </w:rPr>
        <w:t>6</w:t>
      </w:r>
      <w:r w:rsidRPr="00DA788D">
        <w:rPr>
          <w:rFonts w:ascii="Times New Roman" w:eastAsia="Times New Roman" w:hAnsi="Times New Roman" w:cs="Times New Roman"/>
          <w:sz w:val="24"/>
          <w:szCs w:val="24"/>
        </w:rPr>
        <w:t xml:space="preserve"> ust. 3</w:t>
      </w:r>
      <w:r w:rsidR="004B0477" w:rsidRPr="00DA788D">
        <w:rPr>
          <w:rFonts w:ascii="Times New Roman" w:eastAsia="Times New Roman" w:hAnsi="Times New Roman" w:cs="Times New Roman"/>
          <w:sz w:val="24"/>
          <w:szCs w:val="24"/>
        </w:rPr>
        <w:t xml:space="preserve"> pkt 1</w:t>
      </w:r>
      <w:r w:rsidRPr="00DA788D">
        <w:rPr>
          <w:rFonts w:ascii="Times New Roman" w:eastAsia="Times New Roman" w:hAnsi="Times New Roman" w:cs="Times New Roman"/>
          <w:sz w:val="24"/>
          <w:szCs w:val="24"/>
        </w:rPr>
        <w:t xml:space="preserve"> projektu ustawy). Zmiany dokonane w niemniejszej ustawie koncentrują się wokół roli oraz zadań jakie stawiane są Prezesowi Urzędu Zamówień Publicznych. </w:t>
      </w:r>
    </w:p>
    <w:p w14:paraId="10AC034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4</w:t>
      </w:r>
      <w:r w:rsidR="004B0477" w:rsidRPr="00DA788D">
        <w:rPr>
          <w:rFonts w:ascii="Times New Roman" w:eastAsia="Times New Roman" w:hAnsi="Times New Roman" w:cs="Times New Roman"/>
          <w:sz w:val="24"/>
          <w:szCs w:val="24"/>
        </w:rPr>
        <w:t>69</w:t>
      </w:r>
      <w:r w:rsidRPr="00DA788D">
        <w:rPr>
          <w:rFonts w:ascii="Times New Roman" w:eastAsia="Times New Roman" w:hAnsi="Times New Roman" w:cs="Times New Roman"/>
          <w:sz w:val="24"/>
          <w:szCs w:val="24"/>
        </w:rPr>
        <w:t xml:space="preserve"> projektu ustawy, do zadań Prezesa Urzędy Zamówień Publicznych należy:</w:t>
      </w:r>
    </w:p>
    <w:p w14:paraId="32078A9F"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czuwanie nad systemem zamówień publicznych, w szczególności czuwanie nad przestrzeganiem zasad udzielania zamówień publicznych i dokonywanie kontroli procesu udzielania zamówień w zakresie przewidzianym ustawą, oraz upowszechnia zasady etyki zawodowej osób wykonujących zadania w systemie zamówień publicznych;</w:t>
      </w:r>
    </w:p>
    <w:p w14:paraId="665DD3F2"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podejmowanie rozstrzygnięć w indywidualnych sprawach przewidzianych ustawą;</w:t>
      </w:r>
    </w:p>
    <w:p w14:paraId="3898D11E"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prowadzenie współpracy międzynarodowej w sprawach związanych z zamówieniami publicznymi;</w:t>
      </w:r>
    </w:p>
    <w:p w14:paraId="599B3C72"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dokonywanie analiz funkcjonowania systemu zamówień publicznych;</w:t>
      </w:r>
    </w:p>
    <w:p w14:paraId="336AC55F"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opracowywanie i opiniowanie projektów aktów normatywnych dotyczących zamówień publicznych;</w:t>
      </w:r>
    </w:p>
    <w:p w14:paraId="22228CD4"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dążenie do zapewnienia jednolitego stosowania przepisów o zamówieniach, przy uwzględnieniu orzecznictwa sądów oraz trybunałów, w szczególności upowszechnia orzeczenia Krajowej Izby Odwoławczej, sądów, Trybunału Sprawiedliwości Unii Europejskiej oraz Trybunału Konstytucyjnego, dotyczące zamówień publicznych; </w:t>
      </w:r>
    </w:p>
    <w:p w14:paraId="22816727"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przygotowywanie i upowszechnianie przykładowych wzory umów w sprawach zamówień publicznych, regulaminów oraz innych dokumentów stosowanych przy udzielaniu zamówień;</w:t>
      </w:r>
    </w:p>
    <w:p w14:paraId="595EF73E" w14:textId="67FA3F80"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przygotowywanie, na podstawie orzecznictwa Krajowej Izby Odwoławczej oraz sąd</w:t>
      </w:r>
      <w:r w:rsidR="004B0477" w:rsidRPr="00DA788D">
        <w:rPr>
          <w:rFonts w:ascii="Times New Roman" w:eastAsia="Times New Roman" w:hAnsi="Times New Roman" w:cs="Times New Roman"/>
          <w:sz w:val="24"/>
          <w:szCs w:val="24"/>
        </w:rPr>
        <w:t>u zamówień publicznych</w:t>
      </w:r>
      <w:r w:rsidRPr="00DA788D">
        <w:rPr>
          <w:rFonts w:ascii="Times New Roman" w:eastAsia="Times New Roman" w:hAnsi="Times New Roman" w:cs="Times New Roman"/>
          <w:sz w:val="24"/>
          <w:szCs w:val="24"/>
        </w:rPr>
        <w:t>, i podawanie do publicznej wiadomości przykładow</w:t>
      </w:r>
      <w:r w:rsidR="004B0477" w:rsidRPr="00DA788D">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postanow</w:t>
      </w:r>
      <w:r w:rsidR="004B0477" w:rsidRPr="00DA788D">
        <w:rPr>
          <w:rFonts w:ascii="Times New Roman" w:eastAsia="Times New Roman" w:hAnsi="Times New Roman" w:cs="Times New Roman"/>
          <w:sz w:val="24"/>
          <w:szCs w:val="24"/>
        </w:rPr>
        <w:t>ienia</w:t>
      </w:r>
      <w:r w:rsidRPr="00DA788D">
        <w:rPr>
          <w:rFonts w:ascii="Times New Roman" w:eastAsia="Times New Roman" w:hAnsi="Times New Roman" w:cs="Times New Roman"/>
          <w:sz w:val="24"/>
          <w:szCs w:val="24"/>
        </w:rPr>
        <w:t xml:space="preserve"> umown</w:t>
      </w:r>
      <w:r w:rsidR="004B0477" w:rsidRPr="00DA788D">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które mogą </w:t>
      </w:r>
      <w:r w:rsidR="004B0477" w:rsidRPr="00DA788D">
        <w:rPr>
          <w:rFonts w:ascii="Times New Roman" w:eastAsia="Times New Roman" w:hAnsi="Times New Roman" w:cs="Times New Roman"/>
          <w:sz w:val="24"/>
          <w:szCs w:val="24"/>
        </w:rPr>
        <w:t>być niezgodne z art.</w:t>
      </w:r>
      <w:r w:rsidR="008622C6" w:rsidRPr="00DA788D">
        <w:rPr>
          <w:rFonts w:ascii="Times New Roman" w:eastAsia="Times New Roman" w:hAnsi="Times New Roman" w:cs="Times New Roman"/>
          <w:sz w:val="24"/>
          <w:szCs w:val="24"/>
        </w:rPr>
        <w:t xml:space="preserve"> 433;</w:t>
      </w:r>
    </w:p>
    <w:p w14:paraId="2B3FE895" w14:textId="77777777" w:rsidR="00CB2D51" w:rsidRPr="00DA788D" w:rsidRDefault="008622C6"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prowadzenie działalności edukacyjno-informacyjnej w zakresie zamówień publicznych;</w:t>
      </w:r>
    </w:p>
    <w:p w14:paraId="4DCA548D" w14:textId="77777777" w:rsidR="00CB2D51" w:rsidRPr="00DA788D" w:rsidRDefault="008622C6"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 udzielanie informacji</w:t>
      </w:r>
      <w:r w:rsidR="002E64C7" w:rsidRPr="00DA788D">
        <w:rPr>
          <w:rFonts w:ascii="Times New Roman" w:eastAsia="Times New Roman" w:hAnsi="Times New Roman" w:cs="Times New Roman"/>
          <w:sz w:val="24"/>
          <w:szCs w:val="24"/>
        </w:rPr>
        <w:t xml:space="preserve"> z zakresu zamówień publicznych, przy pomocy centrum telefonicznego oraz środków komunikacji elektronicznej;</w:t>
      </w:r>
    </w:p>
    <w:p w14:paraId="661A7671"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upowszechnianie wiedzy o zamówieniach publicznych, w tym w zakresie informacji analitycznych dotyczących warunków udziału w postępowaniu, opisów przedmiotów zamówienia w podziałach na kategorie zamówień, kryteriów oceny ofert oraz uzyskanych cen za poszczególne składowe zamówień;</w:t>
      </w:r>
    </w:p>
    <w:p w14:paraId="203EC95C"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prowadzenia działań związanych z informatyzacją systemu zamówień publicznych;</w:t>
      </w:r>
    </w:p>
    <w:p w14:paraId="23BF8F03"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wydawanie w formie elektronicznej Biuletynu Zamówień Publicznych, w którym zamieszczane są ogłoszenia przewidziane ustawą;</w:t>
      </w:r>
    </w:p>
    <w:p w14:paraId="06DE2F99"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zapewnianie funkcjonowania systemu środków ochrony prawnej</w:t>
      </w:r>
      <w:r w:rsidR="00B43FE0">
        <w:rPr>
          <w:rFonts w:ascii="Times New Roman" w:eastAsia="Times New Roman" w:hAnsi="Times New Roman" w:cs="Times New Roman"/>
          <w:sz w:val="24"/>
          <w:szCs w:val="24"/>
        </w:rPr>
        <w:t>, w zakresie postępowania odwoławczego;</w:t>
      </w:r>
    </w:p>
    <w:p w14:paraId="14D4BB54"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prowadzenie i ogłaszanie na stronie internetowej Urzędu listy organizacji uprawnionych do wnoszenia środków ochrony prawnej;</w:t>
      </w:r>
    </w:p>
    <w:p w14:paraId="40234894"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zgłaszanie kandydatów na Prezesa i wiceprezesów Krajowej Izby Odwoławczej;</w:t>
      </w:r>
    </w:p>
    <w:p w14:paraId="24A41F0C"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zgłaszanie wniosku o powołanie rzecznika dyscyplinarnego Krajowej Izby Odwoławczej;</w:t>
      </w:r>
    </w:p>
    <w:p w14:paraId="4747DB90"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przedstawianie ministrowi właściwemu do spraw gospodarki do zatwierdzenia, do dnia 31 października każdego roku kalendarzowego, planu sposobu wykonania</w:t>
      </w:r>
      <w:r w:rsidR="0097550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 kolejnym roku</w:t>
      </w:r>
      <w:r w:rsidR="0097550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zadań określonych w pkt 7 oraz 9;</w:t>
      </w:r>
    </w:p>
    <w:p w14:paraId="2ABEF2BD"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przedstawianie ministrowi właściwemu do spraw gospodarki, w terminie do dnia 31 marca każdego roku kalendarzowego, rocznego sprawozdania z działalności Krajowej Izby Odwoławczej, uwzględniającego problemy wynikające z jej orzecznictwa;</w:t>
      </w:r>
    </w:p>
    <w:p w14:paraId="7A7304D0" w14:textId="0662FFA6"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opracowywanie i przedstawianie Radzie Ministrów</w:t>
      </w:r>
      <w:r w:rsidR="0097550E">
        <w:rPr>
          <w:rFonts w:ascii="Times New Roman" w:eastAsia="Times New Roman" w:hAnsi="Times New Roman" w:cs="Times New Roman"/>
          <w:sz w:val="24"/>
          <w:szCs w:val="24"/>
        </w:rPr>
        <w:t xml:space="preserve">, </w:t>
      </w:r>
      <w:r w:rsidR="0097550E" w:rsidRPr="00DA788D">
        <w:rPr>
          <w:rFonts w:ascii="Times New Roman" w:eastAsia="Times New Roman" w:hAnsi="Times New Roman" w:cs="Times New Roman"/>
          <w:sz w:val="24"/>
          <w:szCs w:val="24"/>
        </w:rPr>
        <w:t>w terminie do dnia 31 lipca każdego roku kalendarzowego</w:t>
      </w:r>
      <w:r w:rsidR="0097550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oraz właściwej komisji Sejmu rocznego sprawozdania z funkcjonowania systemu zamówień publicznych, w tym w zakresie realizacji zadania, o którym mowa w pkt 6 i 7, uwzględniając w nim analizę swojej działalności;</w:t>
      </w:r>
    </w:p>
    <w:p w14:paraId="298C9CB2"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przekazywanie Komisji Europejskiej, co trzy lata, sprawozdania z monitorowania funkcjonowania systemu zamówień publicznych, których wartość jest mniejsza niż progi unijne, oraz sprawozdania statystycznego dotyczącego tych zamówień;</w:t>
      </w:r>
    </w:p>
    <w:p w14:paraId="12641955" w14:textId="77777777"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przekazywanie Komisji Europejskiej, co roku, do dnia 31 marca, wyroków Krajowej Izby Odwoławczej z roku poprzedniego dotyczących odwołań w sprawie postępowań o udzielenie zamówienia, w których nie orzeczono unieważnienia umowy ze względu na ważny interes publiczny wraz z ich uzasadnieniem;</w:t>
      </w:r>
    </w:p>
    <w:p w14:paraId="252C7BFE" w14:textId="7A443485" w:rsidR="00CB2D51" w:rsidRPr="00DA788D" w:rsidRDefault="008622C6"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przedstawianie stanowiska w związku z wątpliwościami interpretacyjnymi między organami kontroli, o których mowa w art. </w:t>
      </w:r>
      <w:r w:rsidR="0097550E">
        <w:rPr>
          <w:rFonts w:ascii="Times New Roman" w:eastAsia="Times New Roman" w:hAnsi="Times New Roman" w:cs="Times New Roman"/>
          <w:sz w:val="24"/>
          <w:szCs w:val="24"/>
        </w:rPr>
        <w:t>596</w:t>
      </w:r>
      <w:r w:rsid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xml:space="preserve">, na wniosek organu kontroli; </w:t>
      </w:r>
    </w:p>
    <w:p w14:paraId="369D75E6" w14:textId="0E440726" w:rsidR="00CB2D51" w:rsidRPr="00DA788D" w:rsidRDefault="002E64C7" w:rsidP="00DA788D">
      <w:pPr>
        <w:numPr>
          <w:ilvl w:val="0"/>
          <w:numId w:val="58"/>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opiniowanie</w:t>
      </w:r>
      <w:r w:rsidR="008622C6" w:rsidRPr="00DA788D">
        <w:rPr>
          <w:rFonts w:ascii="Times New Roman" w:eastAsia="Times New Roman" w:hAnsi="Times New Roman" w:cs="Times New Roman"/>
          <w:sz w:val="24"/>
          <w:szCs w:val="24"/>
        </w:rPr>
        <w:t xml:space="preserve"> kwestionariuszy kontroli, o których mowa w art. </w:t>
      </w:r>
      <w:r w:rsidR="0097550E">
        <w:rPr>
          <w:rFonts w:ascii="Times New Roman" w:eastAsia="Times New Roman" w:hAnsi="Times New Roman" w:cs="Times New Roman"/>
          <w:sz w:val="24"/>
          <w:szCs w:val="24"/>
        </w:rPr>
        <w:t xml:space="preserve"> 599 </w:t>
      </w:r>
      <w:r w:rsidR="008622C6" w:rsidRPr="00DA788D">
        <w:rPr>
          <w:rFonts w:ascii="Times New Roman" w:eastAsia="Times New Roman" w:hAnsi="Times New Roman" w:cs="Times New Roman"/>
          <w:sz w:val="24"/>
          <w:szCs w:val="24"/>
        </w:rPr>
        <w:t>ust. 1</w:t>
      </w:r>
      <w:r w:rsid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008622C6" w:rsidRPr="00DA788D">
        <w:rPr>
          <w:rFonts w:ascii="Times New Roman" w:eastAsia="Times New Roman" w:hAnsi="Times New Roman" w:cs="Times New Roman"/>
          <w:sz w:val="24"/>
          <w:szCs w:val="24"/>
        </w:rPr>
        <w:t>, o ile organ kontroli zwróci się o wydanie op</w:t>
      </w:r>
      <w:r w:rsidR="0097550E">
        <w:rPr>
          <w:rFonts w:ascii="Times New Roman" w:eastAsia="Times New Roman" w:hAnsi="Times New Roman" w:cs="Times New Roman"/>
          <w:sz w:val="24"/>
          <w:szCs w:val="24"/>
        </w:rPr>
        <w:t>i</w:t>
      </w:r>
      <w:r w:rsidR="008622C6" w:rsidRPr="00DA788D">
        <w:rPr>
          <w:rFonts w:ascii="Times New Roman" w:eastAsia="Times New Roman" w:hAnsi="Times New Roman" w:cs="Times New Roman"/>
          <w:sz w:val="24"/>
          <w:szCs w:val="24"/>
        </w:rPr>
        <w:t>nii.</w:t>
      </w:r>
    </w:p>
    <w:p w14:paraId="51C0BBFD" w14:textId="1C268C32"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Nowe obowiązki Prezesa Urzędu Zamówień Publicznych dotyczą wspierania zamawiających w prawidłowym przeprowadzaniu postępowania oraz wykorzystaniu odpowiednich narzędzi, jakie daje im ustawa. Wyrazem tego podejścia jest m.in. nowe zadanie polegające na upowszechnianiu wiedzy o zamówieniach publicznych, w tym w zakresie informacji analitycznych dotyczących warunków udziału w postępowaniu, opisu przedmiotu zamówienia w podziałach na kategorie zamówień, kryteriów oceny ofert oraz uzyskanych cen za poszczególne składowe zamówień. Ponadto, wszyscy zainteresowani będą mogli uzyskać wsparcie merytoryczne w zakresie regulacji prawnych dotyczących zamówień publicznych. W tym celu Prezes Urzędu Zamówień Publicznych będzie prowadzić </w:t>
      </w:r>
      <w:r w:rsidR="0097550E">
        <w:rPr>
          <w:rFonts w:ascii="Times New Roman" w:eastAsia="Times New Roman" w:hAnsi="Times New Roman" w:cs="Times New Roman"/>
          <w:sz w:val="24"/>
          <w:szCs w:val="24"/>
        </w:rPr>
        <w:t xml:space="preserve">w zakresie </w:t>
      </w:r>
      <w:r w:rsidRPr="00DA788D">
        <w:rPr>
          <w:rFonts w:ascii="Times New Roman" w:eastAsia="Times New Roman" w:hAnsi="Times New Roman" w:cs="Times New Roman"/>
          <w:sz w:val="24"/>
          <w:szCs w:val="24"/>
        </w:rPr>
        <w:t xml:space="preserve">szerszym niż dotychczas </w:t>
      </w:r>
      <w:r w:rsidR="0097550E">
        <w:rPr>
          <w:rFonts w:ascii="Times New Roman" w:eastAsia="Times New Roman" w:hAnsi="Times New Roman" w:cs="Times New Roman"/>
          <w:sz w:val="24"/>
          <w:szCs w:val="24"/>
        </w:rPr>
        <w:t xml:space="preserve">doradztwo za pośrednictwem </w:t>
      </w:r>
      <w:r w:rsidRPr="00DA788D">
        <w:rPr>
          <w:rFonts w:ascii="Times New Roman" w:eastAsia="Times New Roman" w:hAnsi="Times New Roman" w:cs="Times New Roman"/>
          <w:sz w:val="24"/>
          <w:szCs w:val="24"/>
        </w:rPr>
        <w:t>centrum telefoniczne</w:t>
      </w:r>
      <w:r w:rsidR="0097550E">
        <w:rPr>
          <w:rFonts w:ascii="Times New Roman" w:eastAsia="Times New Roman" w:hAnsi="Times New Roman" w:cs="Times New Roman"/>
          <w:sz w:val="24"/>
          <w:szCs w:val="24"/>
        </w:rPr>
        <w:t>go</w:t>
      </w:r>
      <w:r w:rsidRPr="00DA788D">
        <w:rPr>
          <w:rFonts w:ascii="Times New Roman" w:eastAsia="Times New Roman" w:hAnsi="Times New Roman" w:cs="Times New Roman"/>
          <w:sz w:val="24"/>
          <w:szCs w:val="24"/>
        </w:rPr>
        <w:t xml:space="preserve">. </w:t>
      </w:r>
    </w:p>
    <w:p w14:paraId="69F8C508" w14:textId="51A388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Dodatkowymi zadaniami dla Prezesa Urzędu Zamówień Publicznych będą </w:t>
      </w:r>
      <w:r w:rsidR="008622C6" w:rsidRPr="00DA788D">
        <w:rPr>
          <w:rFonts w:ascii="Times New Roman" w:eastAsia="Times New Roman" w:hAnsi="Times New Roman" w:cs="Times New Roman"/>
          <w:sz w:val="24"/>
          <w:szCs w:val="24"/>
        </w:rPr>
        <w:t>przedstawianie stanowisk w związku z wątpliwościami interpretacyjnymi między organami kontroli</w:t>
      </w:r>
      <w:r w:rsidRPr="00DA788D">
        <w:rPr>
          <w:rFonts w:ascii="Times New Roman" w:eastAsia="Times New Roman" w:hAnsi="Times New Roman" w:cs="Times New Roman"/>
          <w:sz w:val="24"/>
          <w:szCs w:val="24"/>
        </w:rPr>
        <w:t xml:space="preserve"> oraz  </w:t>
      </w:r>
      <w:r w:rsidR="008622C6" w:rsidRPr="00DA788D">
        <w:rPr>
          <w:rFonts w:ascii="Times New Roman" w:eastAsia="Times New Roman" w:hAnsi="Times New Roman" w:cs="Times New Roman"/>
          <w:sz w:val="24"/>
          <w:szCs w:val="24"/>
        </w:rPr>
        <w:t>opiniowanie kwestionariuszy kontroli</w:t>
      </w:r>
      <w:r w:rsidR="00B85F16" w:rsidRPr="00DA788D">
        <w:rPr>
          <w:rFonts w:ascii="Times New Roman" w:eastAsia="Times New Roman" w:hAnsi="Times New Roman" w:cs="Times New Roman"/>
          <w:sz w:val="24"/>
          <w:szCs w:val="24"/>
        </w:rPr>
        <w:t xml:space="preserve">, o których mowa w art. </w:t>
      </w:r>
      <w:r w:rsidR="0097550E">
        <w:rPr>
          <w:rFonts w:ascii="Times New Roman" w:eastAsia="Times New Roman" w:hAnsi="Times New Roman" w:cs="Times New Roman"/>
          <w:sz w:val="24"/>
          <w:szCs w:val="24"/>
        </w:rPr>
        <w:t xml:space="preserve"> 599 </w:t>
      </w:r>
      <w:r w:rsidR="00B85F16" w:rsidRPr="00DA788D">
        <w:rPr>
          <w:rFonts w:ascii="Times New Roman" w:eastAsia="Times New Roman" w:hAnsi="Times New Roman" w:cs="Times New Roman"/>
          <w:sz w:val="24"/>
          <w:szCs w:val="24"/>
        </w:rPr>
        <w:t>ust. 1</w:t>
      </w:r>
      <w:r w:rsidR="00082C02">
        <w:rPr>
          <w:rFonts w:ascii="Times New Roman" w:eastAsia="Times New Roman" w:hAnsi="Times New Roman" w:cs="Times New Roman"/>
          <w:sz w:val="24"/>
          <w:szCs w:val="24"/>
        </w:rPr>
        <w:t xml:space="preserve"> </w:t>
      </w:r>
      <w:r w:rsidR="00082C02" w:rsidRPr="00DA788D">
        <w:rPr>
          <w:rFonts w:ascii="Times New Roman" w:eastAsia="Times New Roman" w:hAnsi="Times New Roman" w:cs="Times New Roman"/>
          <w:sz w:val="24"/>
          <w:szCs w:val="24"/>
        </w:rPr>
        <w:t>projektu ustawy</w:t>
      </w:r>
      <w:r w:rsidR="00B85F16" w:rsidRPr="00DA788D">
        <w:rPr>
          <w:rFonts w:ascii="Times New Roman" w:eastAsia="Times New Roman" w:hAnsi="Times New Roman" w:cs="Times New Roman"/>
          <w:sz w:val="24"/>
          <w:szCs w:val="24"/>
        </w:rPr>
        <w:t>, o ile organ kontroli zwróci się o wydanie opinii.</w:t>
      </w:r>
      <w:r w:rsidRPr="00DA788D">
        <w:rPr>
          <w:rFonts w:ascii="Times New Roman" w:eastAsia="Times New Roman" w:hAnsi="Times New Roman" w:cs="Times New Roman"/>
          <w:sz w:val="24"/>
          <w:szCs w:val="24"/>
        </w:rPr>
        <w:t xml:space="preserve"> </w:t>
      </w:r>
    </w:p>
    <w:p w14:paraId="07ABA1DF" w14:textId="259FC436"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Istotnym, z punktu widzenia potencjalnych wykonawców, nowym zadaniem Prezesa Urzędu Zamówień Publicznych będzie przygotowywanie, na podstawie orzecznictwa Krajowej Izby Odwoławczej i sąd</w:t>
      </w:r>
      <w:r w:rsidR="00B85F16" w:rsidRPr="00DA788D">
        <w:rPr>
          <w:rFonts w:ascii="Times New Roman" w:eastAsia="Times New Roman" w:hAnsi="Times New Roman" w:cs="Times New Roman"/>
          <w:sz w:val="24"/>
          <w:szCs w:val="24"/>
        </w:rPr>
        <w:t>u</w:t>
      </w:r>
      <w:r w:rsidRPr="00DA788D">
        <w:rPr>
          <w:rFonts w:ascii="Times New Roman" w:eastAsia="Times New Roman" w:hAnsi="Times New Roman" w:cs="Times New Roman"/>
          <w:sz w:val="24"/>
          <w:szCs w:val="24"/>
        </w:rPr>
        <w:t xml:space="preserve">  zamówień publicznych, katalogu przykładowych postanowień umownych</w:t>
      </w:r>
      <w:r w:rsidR="0097550E">
        <w:rPr>
          <w:rFonts w:ascii="Times New Roman" w:eastAsia="Times New Roman" w:hAnsi="Times New Roman" w:cs="Times New Roman"/>
          <w:sz w:val="24"/>
          <w:szCs w:val="24"/>
        </w:rPr>
        <w:t xml:space="preserve"> naruszających art. 433 </w:t>
      </w:r>
      <w:r w:rsidR="00082C02" w:rsidRPr="00DA788D">
        <w:rPr>
          <w:rFonts w:ascii="Times New Roman" w:eastAsia="Times New Roman" w:hAnsi="Times New Roman" w:cs="Times New Roman"/>
          <w:sz w:val="24"/>
          <w:szCs w:val="24"/>
        </w:rPr>
        <w:t>projektu ustawy</w:t>
      </w:r>
      <w:r w:rsidR="0097550E">
        <w:rPr>
          <w:rFonts w:ascii="Times New Roman" w:eastAsia="Times New Roman" w:hAnsi="Times New Roman" w:cs="Times New Roman"/>
          <w:sz w:val="24"/>
          <w:szCs w:val="24"/>
        </w:rPr>
        <w:t>, tj. przewidujących</w:t>
      </w:r>
      <w:r w:rsidR="00C94DDB">
        <w:rPr>
          <w:rFonts w:ascii="Times New Roman" w:eastAsia="Times New Roman" w:hAnsi="Times New Roman" w:cs="Times New Roman"/>
          <w:sz w:val="24"/>
          <w:szCs w:val="24"/>
        </w:rPr>
        <w:t>:</w:t>
      </w:r>
      <w:r w:rsidR="0097550E">
        <w:rPr>
          <w:rFonts w:ascii="Times New Roman" w:eastAsia="Times New Roman" w:hAnsi="Times New Roman" w:cs="Times New Roman"/>
          <w:sz w:val="24"/>
          <w:szCs w:val="24"/>
        </w:rPr>
        <w:t xml:space="preserve"> </w:t>
      </w:r>
      <w:r w:rsidR="00C94DDB" w:rsidRPr="00C94DDB">
        <w:rPr>
          <w:rFonts w:ascii="Times New Roman" w:eastAsia="Times New Roman" w:hAnsi="Times New Roman" w:cs="Times New Roman"/>
          <w:sz w:val="24"/>
          <w:szCs w:val="24"/>
        </w:rPr>
        <w:t>odpowiedzialnoś</w:t>
      </w:r>
      <w:r w:rsidR="00C94DDB">
        <w:rPr>
          <w:rFonts w:ascii="Times New Roman" w:eastAsia="Times New Roman" w:hAnsi="Times New Roman" w:cs="Times New Roman"/>
          <w:sz w:val="24"/>
          <w:szCs w:val="24"/>
        </w:rPr>
        <w:t>ć</w:t>
      </w:r>
      <w:r w:rsidR="00C94DDB" w:rsidRPr="00C94DDB">
        <w:rPr>
          <w:rFonts w:ascii="Times New Roman" w:eastAsia="Times New Roman" w:hAnsi="Times New Roman" w:cs="Times New Roman"/>
          <w:sz w:val="24"/>
          <w:szCs w:val="24"/>
        </w:rPr>
        <w:t xml:space="preserve"> wykonawcy za opóźnienie, chyba że jest to uzasadnione okolicznościami lub zakresem zamówienia;</w:t>
      </w:r>
      <w:r w:rsidR="00C94DDB">
        <w:rPr>
          <w:rFonts w:ascii="Times New Roman" w:eastAsia="Times New Roman" w:hAnsi="Times New Roman" w:cs="Times New Roman"/>
          <w:sz w:val="24"/>
          <w:szCs w:val="24"/>
        </w:rPr>
        <w:t xml:space="preserve"> </w:t>
      </w:r>
      <w:r w:rsidR="00C94DDB" w:rsidRPr="00C94DDB">
        <w:rPr>
          <w:rFonts w:ascii="Times New Roman" w:eastAsia="Times New Roman" w:hAnsi="Times New Roman" w:cs="Times New Roman"/>
          <w:sz w:val="24"/>
          <w:szCs w:val="24"/>
        </w:rPr>
        <w:t>naliczanie kar umownych za zachowanie wykonawcy niezwiązane bezpośrednio lub pośrednio z przedmiotem umowy lub jej prawidłowym wykonaniem;</w:t>
      </w:r>
      <w:r w:rsidR="00C94DDB">
        <w:rPr>
          <w:rFonts w:ascii="Times New Roman" w:eastAsia="Times New Roman" w:hAnsi="Times New Roman" w:cs="Times New Roman"/>
          <w:sz w:val="24"/>
          <w:szCs w:val="24"/>
        </w:rPr>
        <w:t xml:space="preserve"> </w:t>
      </w:r>
      <w:r w:rsidR="00C94DDB" w:rsidRPr="00C94DDB">
        <w:rPr>
          <w:rFonts w:ascii="Times New Roman" w:eastAsia="Times New Roman" w:hAnsi="Times New Roman" w:cs="Times New Roman"/>
          <w:sz w:val="24"/>
          <w:szCs w:val="24"/>
        </w:rPr>
        <w:t>odpowiedzialnoś</w:t>
      </w:r>
      <w:r w:rsidR="00C94DDB">
        <w:rPr>
          <w:rFonts w:ascii="Times New Roman" w:eastAsia="Times New Roman" w:hAnsi="Times New Roman" w:cs="Times New Roman"/>
          <w:sz w:val="24"/>
          <w:szCs w:val="24"/>
        </w:rPr>
        <w:t>ć</w:t>
      </w:r>
      <w:r w:rsidR="00C94DDB" w:rsidRPr="00C94DDB">
        <w:rPr>
          <w:rFonts w:ascii="Times New Roman" w:eastAsia="Times New Roman" w:hAnsi="Times New Roman" w:cs="Times New Roman"/>
          <w:sz w:val="24"/>
          <w:szCs w:val="24"/>
        </w:rPr>
        <w:t xml:space="preserve"> wykonawcy za okoliczności, za które wyłączną odpowiedzialność ponosi zamawiający;</w:t>
      </w:r>
      <w:r w:rsidR="00C94DDB">
        <w:rPr>
          <w:rFonts w:ascii="Times New Roman" w:eastAsia="Times New Roman" w:hAnsi="Times New Roman" w:cs="Times New Roman"/>
          <w:sz w:val="24"/>
          <w:szCs w:val="24"/>
        </w:rPr>
        <w:t xml:space="preserve"> </w:t>
      </w:r>
      <w:r w:rsidR="00C94DDB" w:rsidRPr="00C94DDB">
        <w:rPr>
          <w:rFonts w:ascii="Times New Roman" w:eastAsia="Times New Roman" w:hAnsi="Times New Roman" w:cs="Times New Roman"/>
          <w:sz w:val="24"/>
          <w:szCs w:val="24"/>
        </w:rPr>
        <w:t>możliwoś</w:t>
      </w:r>
      <w:r w:rsidR="00C94DDB">
        <w:rPr>
          <w:rFonts w:ascii="Times New Roman" w:eastAsia="Times New Roman" w:hAnsi="Times New Roman" w:cs="Times New Roman"/>
          <w:sz w:val="24"/>
          <w:szCs w:val="24"/>
        </w:rPr>
        <w:t>ć</w:t>
      </w:r>
      <w:r w:rsidR="00C94DDB" w:rsidRPr="00C94DDB">
        <w:rPr>
          <w:rFonts w:ascii="Times New Roman" w:eastAsia="Times New Roman" w:hAnsi="Times New Roman" w:cs="Times New Roman"/>
          <w:sz w:val="24"/>
          <w:szCs w:val="24"/>
        </w:rPr>
        <w:t xml:space="preserve"> ograniczenia zakresu zamówienia przez zamawiającego bez wskazania minimalnej wartości lub wielkości świadczenia stron</w:t>
      </w:r>
      <w:r w:rsidRPr="00DA788D">
        <w:rPr>
          <w:rFonts w:ascii="Times New Roman" w:eastAsia="Times New Roman" w:hAnsi="Times New Roman" w:cs="Times New Roman"/>
          <w:sz w:val="24"/>
          <w:szCs w:val="24"/>
        </w:rPr>
        <w:t xml:space="preserve">. </w:t>
      </w:r>
    </w:p>
    <w:p w14:paraId="5E6D92F2"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Nowa rola Prezesa Urzędu Zamówień Publicznych ma przyczynić się do zwiększenia efektywności zamówień publicznych i praktycznego wykorzystania wiedzy o zamówieniach publicznych, w tym także wysokiego poziomu wiedzy o zamówieniach publicznych wśród zamawiających. </w:t>
      </w:r>
    </w:p>
    <w:p w14:paraId="2CAB2AD4" w14:textId="468D5113"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2</w:t>
      </w:r>
      <w:r w:rsidR="00082C02">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Krajowa Izba Odwoławcza</w:t>
      </w:r>
    </w:p>
    <w:p w14:paraId="3D96C37C" w14:textId="366C133B"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w:t>
      </w:r>
      <w:r w:rsidR="00082C02">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Zadania i ustrój Krajowej Izby Odwoławczej </w:t>
      </w:r>
    </w:p>
    <w:p w14:paraId="5BD635ED" w14:textId="7D3702B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Krajowa Izba Odwoławcza (Izba) utrzyma swoje dotychczasowe uprawnienia. </w:t>
      </w:r>
      <w:r w:rsidR="003C4044">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rt. 473 </w:t>
      </w:r>
      <w:r w:rsidR="00C80C05">
        <w:rPr>
          <w:rFonts w:ascii="Times New Roman" w:eastAsia="Times New Roman" w:hAnsi="Times New Roman" w:cs="Times New Roman"/>
          <w:sz w:val="24"/>
          <w:szCs w:val="24"/>
        </w:rPr>
        <w:t xml:space="preserve">projektu </w:t>
      </w:r>
      <w:r w:rsidR="003C4044">
        <w:rPr>
          <w:rFonts w:ascii="Times New Roman" w:eastAsia="Times New Roman" w:hAnsi="Times New Roman" w:cs="Times New Roman"/>
          <w:sz w:val="24"/>
          <w:szCs w:val="24"/>
        </w:rPr>
        <w:t xml:space="preserve">ustawy </w:t>
      </w:r>
      <w:r w:rsidRPr="00DA788D">
        <w:rPr>
          <w:rFonts w:ascii="Times New Roman" w:eastAsia="Times New Roman" w:hAnsi="Times New Roman" w:cs="Times New Roman"/>
          <w:sz w:val="24"/>
          <w:szCs w:val="24"/>
        </w:rPr>
        <w:t xml:space="preserve">zakłada, że Izba będzie organem właściwym w </w:t>
      </w:r>
      <w:r w:rsidR="00B85F16" w:rsidRPr="00DA788D">
        <w:rPr>
          <w:rFonts w:ascii="Times New Roman" w:eastAsia="Times New Roman" w:hAnsi="Times New Roman" w:cs="Times New Roman"/>
          <w:sz w:val="24"/>
          <w:szCs w:val="24"/>
        </w:rPr>
        <w:t>trzech</w:t>
      </w:r>
      <w:r w:rsidRPr="00DA788D">
        <w:rPr>
          <w:rFonts w:ascii="Times New Roman" w:eastAsia="Times New Roman" w:hAnsi="Times New Roman" w:cs="Times New Roman"/>
          <w:sz w:val="24"/>
          <w:szCs w:val="24"/>
        </w:rPr>
        <w:t xml:space="preserve"> rodzajach spraw:</w:t>
      </w:r>
    </w:p>
    <w:p w14:paraId="43DFA2AF" w14:textId="6B2A834A" w:rsidR="00B85F16" w:rsidRPr="00DA788D" w:rsidRDefault="002E64C7" w:rsidP="00DA788D">
      <w:pPr>
        <w:numPr>
          <w:ilvl w:val="1"/>
          <w:numId w:val="5"/>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rozpoznawania odwołań na czynności zamawiającego, podjęt</w:t>
      </w:r>
      <w:r w:rsidR="00082C02">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j w postępowaniu o udzielenie zamówienia, konkursie, systemie kwalifikowania wykonawców, lub zaniechania czynności, do której zamawiający jest zobowiązany na podstawie ustawy,</w:t>
      </w:r>
      <w:r w:rsidR="00B85F16" w:rsidRPr="00DA788D">
        <w:rPr>
          <w:rFonts w:ascii="Times New Roman" w:eastAsia="Times New Roman" w:hAnsi="Times New Roman" w:cs="Times New Roman"/>
          <w:sz w:val="24"/>
          <w:szCs w:val="24"/>
        </w:rPr>
        <w:t xml:space="preserve"> na projektowane postanowienia umowy w sprawie zamówienia publicznego oraz zaniechanie udzielenia zamówienia na podstawie ustawy, mimo, że zamawiający był do tego obowiązany (</w:t>
      </w:r>
      <w:r w:rsidR="00C94DDB">
        <w:rPr>
          <w:rFonts w:ascii="Times New Roman" w:eastAsia="Times New Roman" w:hAnsi="Times New Roman" w:cs="Times New Roman"/>
          <w:sz w:val="24"/>
          <w:szCs w:val="24"/>
        </w:rPr>
        <w:t>pkt</w:t>
      </w:r>
      <w:r w:rsidR="00B85F16" w:rsidRPr="00DA788D">
        <w:rPr>
          <w:rFonts w:ascii="Times New Roman" w:eastAsia="Times New Roman" w:hAnsi="Times New Roman" w:cs="Times New Roman"/>
          <w:sz w:val="24"/>
          <w:szCs w:val="24"/>
        </w:rPr>
        <w:t xml:space="preserve"> 1);</w:t>
      </w:r>
    </w:p>
    <w:p w14:paraId="7570E864" w14:textId="426F072F" w:rsidR="00CB2D51" w:rsidRPr="00DA788D" w:rsidRDefault="00B85F16" w:rsidP="00DA788D">
      <w:pPr>
        <w:numPr>
          <w:ilvl w:val="1"/>
          <w:numId w:val="5"/>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rozpoznawania wniosków o uchylenie zakazu zawarcia umowy, o których mowa w art. 578 </w:t>
      </w:r>
      <w:r w:rsidR="00C80C05">
        <w:rPr>
          <w:rFonts w:ascii="Times New Roman" w:eastAsia="Times New Roman" w:hAnsi="Times New Roman" w:cs="Times New Roman"/>
          <w:sz w:val="24"/>
          <w:szCs w:val="24"/>
        </w:rPr>
        <w:t xml:space="preserve">projektu </w:t>
      </w:r>
      <w:r w:rsidRPr="00DA788D">
        <w:rPr>
          <w:rFonts w:ascii="Times New Roman" w:eastAsia="Times New Roman" w:hAnsi="Times New Roman" w:cs="Times New Roman"/>
          <w:sz w:val="24"/>
          <w:szCs w:val="24"/>
        </w:rPr>
        <w:t>ustawy (</w:t>
      </w:r>
      <w:r w:rsidR="00C94DDB">
        <w:rPr>
          <w:rFonts w:ascii="Times New Roman" w:eastAsia="Times New Roman" w:hAnsi="Times New Roman" w:cs="Times New Roman"/>
          <w:sz w:val="24"/>
          <w:szCs w:val="24"/>
        </w:rPr>
        <w:t>pkt</w:t>
      </w:r>
      <w:r w:rsidRPr="00DA788D">
        <w:rPr>
          <w:rFonts w:ascii="Times New Roman" w:eastAsia="Times New Roman" w:hAnsi="Times New Roman" w:cs="Times New Roman"/>
          <w:sz w:val="24"/>
          <w:szCs w:val="24"/>
        </w:rPr>
        <w:t xml:space="preserve"> 2);</w:t>
      </w:r>
    </w:p>
    <w:p w14:paraId="079035D9" w14:textId="0C2084D7" w:rsidR="00CB2D51" w:rsidRPr="00DA788D" w:rsidRDefault="002E64C7" w:rsidP="00DA788D">
      <w:pPr>
        <w:numPr>
          <w:ilvl w:val="1"/>
          <w:numId w:val="5"/>
        </w:numPr>
        <w:spacing w:after="120"/>
        <w:ind w:left="1134" w:hanging="425"/>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podejmowania uchwał zawierających opinię do zastrzeżeń zamawiającego do wyniku kontroli uprzedniej oraz kontroli doraźnej</w:t>
      </w:r>
      <w:r w:rsidR="00B85F16" w:rsidRPr="00DA788D">
        <w:rPr>
          <w:rFonts w:ascii="Times New Roman" w:eastAsia="Times New Roman" w:hAnsi="Times New Roman" w:cs="Times New Roman"/>
          <w:sz w:val="24"/>
          <w:szCs w:val="24"/>
        </w:rPr>
        <w:t xml:space="preserve"> (</w:t>
      </w:r>
      <w:r w:rsidR="00C94DDB">
        <w:rPr>
          <w:rFonts w:ascii="Times New Roman" w:eastAsia="Times New Roman" w:hAnsi="Times New Roman" w:cs="Times New Roman"/>
          <w:sz w:val="24"/>
          <w:szCs w:val="24"/>
        </w:rPr>
        <w:t>pkt</w:t>
      </w:r>
      <w:r w:rsidR="00B85F16" w:rsidRPr="00DA788D">
        <w:rPr>
          <w:rFonts w:ascii="Times New Roman" w:eastAsia="Times New Roman" w:hAnsi="Times New Roman" w:cs="Times New Roman"/>
          <w:sz w:val="24"/>
          <w:szCs w:val="24"/>
        </w:rPr>
        <w:t xml:space="preserve"> 3)</w:t>
      </w:r>
      <w:r w:rsidRPr="00DA788D">
        <w:rPr>
          <w:rFonts w:ascii="Times New Roman" w:eastAsia="Times New Roman" w:hAnsi="Times New Roman" w:cs="Times New Roman"/>
          <w:sz w:val="24"/>
          <w:szCs w:val="24"/>
        </w:rPr>
        <w:t>.</w:t>
      </w:r>
    </w:p>
    <w:p w14:paraId="426E8080" w14:textId="29567ADA"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Tak jak dotychczas, obsługę organizacyjno-techniczną oraz księgową Izby zapewni Urząd Zamówień Publicznych (art. 473 ust. 2 projektu ustawy).</w:t>
      </w:r>
    </w:p>
    <w:p w14:paraId="244490F5" w14:textId="3EA7C08B" w:rsidR="00CB2D51" w:rsidRPr="00DA788D" w:rsidRDefault="00C94DDB"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2E64C7" w:rsidRPr="00DA788D">
        <w:rPr>
          <w:rFonts w:ascii="Times New Roman" w:eastAsia="Times New Roman" w:hAnsi="Times New Roman" w:cs="Times New Roman"/>
          <w:sz w:val="24"/>
          <w:szCs w:val="24"/>
        </w:rPr>
        <w:t xml:space="preserve">kład Izby nie ulegnie zmianie. W art. 474 ust. 1 </w:t>
      </w:r>
      <w:r w:rsidR="00C80C05">
        <w:rPr>
          <w:rFonts w:ascii="Times New Roman" w:eastAsia="Times New Roman" w:hAnsi="Times New Roman" w:cs="Times New Roman"/>
          <w:sz w:val="24"/>
          <w:szCs w:val="24"/>
        </w:rPr>
        <w:t xml:space="preserve">projektu </w:t>
      </w:r>
      <w:r w:rsidR="003C4044">
        <w:rPr>
          <w:rFonts w:ascii="Times New Roman" w:eastAsia="Times New Roman" w:hAnsi="Times New Roman" w:cs="Times New Roman"/>
          <w:sz w:val="24"/>
          <w:szCs w:val="24"/>
        </w:rPr>
        <w:t xml:space="preserve">ustawy </w:t>
      </w:r>
      <w:r>
        <w:rPr>
          <w:rFonts w:ascii="Times New Roman" w:eastAsia="Times New Roman" w:hAnsi="Times New Roman" w:cs="Times New Roman"/>
          <w:sz w:val="24"/>
          <w:szCs w:val="24"/>
        </w:rPr>
        <w:t xml:space="preserve">przewidziano, że </w:t>
      </w:r>
      <w:r w:rsidR="002E64C7" w:rsidRPr="00DA788D">
        <w:rPr>
          <w:rFonts w:ascii="Times New Roman" w:eastAsia="Times New Roman" w:hAnsi="Times New Roman" w:cs="Times New Roman"/>
          <w:sz w:val="24"/>
          <w:szCs w:val="24"/>
        </w:rPr>
        <w:t xml:space="preserve">Izba może składać się, tak jak obecnie, z nie więcej niż 100 członków, powoływanych i odwoływanych przez ministra właściwego do spraw gospodarki spośród osób spełniających wymagania, wymienione </w:t>
      </w:r>
      <w:r>
        <w:rPr>
          <w:rFonts w:ascii="Times New Roman" w:eastAsia="Times New Roman" w:hAnsi="Times New Roman" w:cs="Times New Roman"/>
          <w:sz w:val="24"/>
          <w:szCs w:val="24"/>
        </w:rPr>
        <w:t>w art. 474 ust. 2</w:t>
      </w:r>
      <w:r w:rsidR="003C4044">
        <w:rPr>
          <w:rFonts w:ascii="Times New Roman" w:eastAsia="Times New Roman" w:hAnsi="Times New Roman" w:cs="Times New Roman"/>
          <w:sz w:val="24"/>
          <w:szCs w:val="24"/>
        </w:rPr>
        <w:t xml:space="preserve"> </w:t>
      </w:r>
      <w:r w:rsidR="00C80C05">
        <w:rPr>
          <w:rFonts w:ascii="Times New Roman" w:eastAsia="Times New Roman" w:hAnsi="Times New Roman" w:cs="Times New Roman"/>
          <w:sz w:val="24"/>
          <w:szCs w:val="24"/>
        </w:rPr>
        <w:t xml:space="preserve">projektu </w:t>
      </w:r>
      <w:r w:rsidR="003C4044">
        <w:rPr>
          <w:rFonts w:ascii="Times New Roman" w:eastAsia="Times New Roman" w:hAnsi="Times New Roman" w:cs="Times New Roman"/>
          <w:sz w:val="24"/>
          <w:szCs w:val="24"/>
        </w:rPr>
        <w:t>ustawy</w:t>
      </w:r>
      <w:r w:rsidR="002E64C7" w:rsidRPr="00DA788D">
        <w:rPr>
          <w:rFonts w:ascii="Times New Roman" w:eastAsia="Times New Roman" w:hAnsi="Times New Roman" w:cs="Times New Roman"/>
          <w:sz w:val="24"/>
          <w:szCs w:val="24"/>
        </w:rPr>
        <w:t xml:space="preserve">, i które uzyskały najlepsze wyniki w postępowaniu kwalifikacyjnym. </w:t>
      </w:r>
    </w:p>
    <w:p w14:paraId="7579D467" w14:textId="576FA99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Na podstawie art. 474 ust. 2 projektu ustawy, modyfikacji ulegną niektóre wymagania jakie musi spełniać członek Izby. Zgodnie z tym przepisem niezbędne będzie:</w:t>
      </w:r>
    </w:p>
    <w:p w14:paraId="5DD6659B"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obywatelstwa polskiego;</w:t>
      </w:r>
    </w:p>
    <w:p w14:paraId="0504E49F"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wyższego wykształcenia prawniczego;</w:t>
      </w:r>
    </w:p>
    <w:p w14:paraId="27C35E29" w14:textId="4E0E2B3F" w:rsidR="00CB2D51" w:rsidRPr="00DA788D" w:rsidRDefault="002E64C7" w:rsidP="00373BCA">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złożenie egzaminu sędziowskiego, prokuratorskiego adwokackiego, radcowskiego lub notarialnego</w:t>
      </w:r>
      <w:r w:rsidR="00373BCA">
        <w:rPr>
          <w:rFonts w:ascii="Times New Roman" w:eastAsia="Times New Roman" w:hAnsi="Times New Roman" w:cs="Times New Roman"/>
          <w:sz w:val="24"/>
          <w:szCs w:val="24"/>
        </w:rPr>
        <w:t xml:space="preserve">, </w:t>
      </w:r>
      <w:r w:rsidR="00373BCA" w:rsidRPr="00373BCA">
        <w:rPr>
          <w:rFonts w:ascii="Times New Roman" w:eastAsia="Times New Roman" w:hAnsi="Times New Roman" w:cs="Times New Roman"/>
          <w:sz w:val="24"/>
          <w:szCs w:val="24"/>
        </w:rPr>
        <w:t xml:space="preserve">lub </w:t>
      </w:r>
      <w:r w:rsidR="00C94DDB" w:rsidRPr="00373BCA">
        <w:rPr>
          <w:rFonts w:ascii="Times New Roman" w:eastAsia="Times New Roman" w:hAnsi="Times New Roman" w:cs="Times New Roman"/>
          <w:sz w:val="24"/>
          <w:szCs w:val="24"/>
        </w:rPr>
        <w:t>zajmowa</w:t>
      </w:r>
      <w:r w:rsidR="00C94DDB">
        <w:rPr>
          <w:rFonts w:ascii="Times New Roman" w:eastAsia="Times New Roman" w:hAnsi="Times New Roman" w:cs="Times New Roman"/>
          <w:sz w:val="24"/>
          <w:szCs w:val="24"/>
        </w:rPr>
        <w:t>nie</w:t>
      </w:r>
      <w:r w:rsidR="00C94DDB" w:rsidRPr="00373BCA">
        <w:rPr>
          <w:rFonts w:ascii="Times New Roman" w:eastAsia="Times New Roman" w:hAnsi="Times New Roman" w:cs="Times New Roman"/>
          <w:sz w:val="24"/>
          <w:szCs w:val="24"/>
        </w:rPr>
        <w:t xml:space="preserve"> stanowisk</w:t>
      </w:r>
      <w:r w:rsidR="00C94DDB">
        <w:rPr>
          <w:rFonts w:ascii="Times New Roman" w:eastAsia="Times New Roman" w:hAnsi="Times New Roman" w:cs="Times New Roman"/>
          <w:sz w:val="24"/>
          <w:szCs w:val="24"/>
        </w:rPr>
        <w:t>a</w:t>
      </w:r>
      <w:r w:rsidR="00C94DDB" w:rsidRPr="00373BCA">
        <w:rPr>
          <w:rFonts w:ascii="Times New Roman" w:eastAsia="Times New Roman" w:hAnsi="Times New Roman" w:cs="Times New Roman"/>
          <w:sz w:val="24"/>
          <w:szCs w:val="24"/>
        </w:rPr>
        <w:t xml:space="preserve"> </w:t>
      </w:r>
      <w:r w:rsidR="00373BCA" w:rsidRPr="00373BCA">
        <w:rPr>
          <w:rFonts w:ascii="Times New Roman" w:eastAsia="Times New Roman" w:hAnsi="Times New Roman" w:cs="Times New Roman"/>
          <w:sz w:val="24"/>
          <w:szCs w:val="24"/>
        </w:rPr>
        <w:t xml:space="preserve">sędziego lub prokuratora, lub </w:t>
      </w:r>
      <w:r w:rsidR="00C94DDB">
        <w:rPr>
          <w:rFonts w:ascii="Times New Roman" w:eastAsia="Times New Roman" w:hAnsi="Times New Roman" w:cs="Times New Roman"/>
          <w:sz w:val="24"/>
          <w:szCs w:val="24"/>
        </w:rPr>
        <w:t>posiadanie</w:t>
      </w:r>
      <w:r w:rsidR="00C94DDB" w:rsidRPr="00373BCA">
        <w:rPr>
          <w:rFonts w:ascii="Times New Roman" w:eastAsia="Times New Roman" w:hAnsi="Times New Roman" w:cs="Times New Roman"/>
          <w:sz w:val="24"/>
          <w:szCs w:val="24"/>
        </w:rPr>
        <w:t xml:space="preserve"> wpis</w:t>
      </w:r>
      <w:r w:rsidR="00C94DDB">
        <w:rPr>
          <w:rFonts w:ascii="Times New Roman" w:eastAsia="Times New Roman" w:hAnsi="Times New Roman" w:cs="Times New Roman"/>
          <w:sz w:val="24"/>
          <w:szCs w:val="24"/>
        </w:rPr>
        <w:t>u</w:t>
      </w:r>
      <w:r w:rsidR="00C94DDB" w:rsidRPr="00373BCA">
        <w:rPr>
          <w:rFonts w:ascii="Times New Roman" w:eastAsia="Times New Roman" w:hAnsi="Times New Roman" w:cs="Times New Roman"/>
          <w:sz w:val="24"/>
          <w:szCs w:val="24"/>
        </w:rPr>
        <w:t xml:space="preserve"> </w:t>
      </w:r>
      <w:r w:rsidR="00373BCA" w:rsidRPr="00373BCA">
        <w:rPr>
          <w:rFonts w:ascii="Times New Roman" w:eastAsia="Times New Roman" w:hAnsi="Times New Roman" w:cs="Times New Roman"/>
          <w:sz w:val="24"/>
          <w:szCs w:val="24"/>
        </w:rPr>
        <w:t>na listę adwokatów, listę radców prawnych lub listę notariuszy;</w:t>
      </w:r>
    </w:p>
    <w:p w14:paraId="0D001FCB"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wyróżnianie się wiedzą z zakresu zamówień publicznych lub prawa cywilnego i posiadanie minimum pięcioletniego doświadczenia zawodowego w tym zakresie;</w:t>
      </w:r>
    </w:p>
    <w:p w14:paraId="58D05A81"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pełnej zdolności do czynności prawnych;</w:t>
      </w:r>
    </w:p>
    <w:p w14:paraId="4C2CE3B3"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korzystanie z pełni praw publicznych;</w:t>
      </w:r>
    </w:p>
    <w:p w14:paraId="712825E3"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nieposzlakowanej opinii;</w:t>
      </w:r>
    </w:p>
    <w:p w14:paraId="2C4269D4"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brak skazania prawomocnym wyrokiem za przestępstwo umyślne lub umyślne przestępstwo skarbowe;</w:t>
      </w:r>
    </w:p>
    <w:p w14:paraId="0AE2C74E"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ukończenie 29 lat;</w:t>
      </w:r>
    </w:p>
    <w:p w14:paraId="3904B448" w14:textId="77777777" w:rsidR="00CB2D51" w:rsidRPr="00DA788D" w:rsidRDefault="002E64C7" w:rsidP="00DA788D">
      <w:pPr>
        <w:numPr>
          <w:ilvl w:val="1"/>
          <w:numId w:val="4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poświadczenia bezpieczeństwa upoważniającego do dostępu do informacji niejawnych o klauzuli „poufne” lub wyższej, lub złożenie oświadczenia o wyrażeniu zgody na przeprowadzenie postępowania sprawdzającego, o którym mowa w art. 22 ust. 1 pkt 1 lub 2 ustawy z dnia 5 sierpnia 2010 r. o ochronie informacji niejawnych, w zależności od klauzuli nadanej informacjom, o dostęp do których ubiega się członek Izby, lub funkcji, którą ma pełnić.</w:t>
      </w:r>
    </w:p>
    <w:p w14:paraId="048509CC" w14:textId="71CA98B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474 ust. 3 projektu ustawy, przed podjęciem obowiązków członek Izby jest obowiązany złożyć przed ministrem właściwym do spraw gospodarki ślubowanie. Złożenie ślubowania członek Izby potwierdza własnoręcznym podpisem.</w:t>
      </w:r>
    </w:p>
    <w:p w14:paraId="7ED59034" w14:textId="109DE3C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Ważnym uprawnieniem członka Izby w zakresie wykonywania czynności określonych ustawą jest korzystanie z ochrony prawnej przysługującej funkcjonariuszowi publicznemu, któr</w:t>
      </w:r>
      <w:r w:rsidR="00C94DDB">
        <w:rPr>
          <w:rFonts w:ascii="Times New Roman" w:eastAsia="Times New Roman" w:hAnsi="Times New Roman" w:cs="Times New Roman"/>
          <w:sz w:val="24"/>
          <w:szCs w:val="24"/>
        </w:rPr>
        <w:t>ą</w:t>
      </w:r>
      <w:r w:rsidRPr="00DA788D">
        <w:rPr>
          <w:rFonts w:ascii="Times New Roman" w:eastAsia="Times New Roman" w:hAnsi="Times New Roman" w:cs="Times New Roman"/>
          <w:sz w:val="24"/>
          <w:szCs w:val="24"/>
        </w:rPr>
        <w:t xml:space="preserve"> gwarantuje art. 475 ust. 1. Istotna jest także gwarancja niezawisłości oraz związania wyłącznie przepisami obowiązującego prawa członka Izby. Członków Izby, na podstawie art. 476  ust. 1 i 2 projektu ustawy, obowiązuje szereg zakazów związanych z podejmowaniem dodatkowej aktywności zawodowej. </w:t>
      </w:r>
    </w:p>
    <w:p w14:paraId="620A047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Członkostwa w Izbie nie można łączyć z mandatem posła lub senatora, radnego, wójta (burmistrza, prezydenta miasta) oraz z członkostwem w zarządzie powiatu lub województwa, członkostwem w kolegium regionalnej izby obrachunkowej oraz samorządowym kolegium odwoławczym, a także przynależnością do partii politycznej lub prowadzeniem działalności politycznej. Członek Izby nie może również:</w:t>
      </w:r>
    </w:p>
    <w:p w14:paraId="355A2086" w14:textId="77777777" w:rsidR="00CB2D51" w:rsidRPr="00DA788D" w:rsidRDefault="002E64C7" w:rsidP="00DA788D">
      <w:pPr>
        <w:numPr>
          <w:ilvl w:val="1"/>
          <w:numId w:val="5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bez zgody Prezesa Izby, podejmować dodatkowych zajęć zarobkowych, z wyjątkiem zatrudnienia na stanowisku dydaktycznym, naukowo-dydaktycznym lub naukowym, w łącznym wymiarze nieprzekraczającym pełnego wymiaru czasu pracy pracowników zatrudnionych na tych stanowiskach;</w:t>
      </w:r>
    </w:p>
    <w:p w14:paraId="5D9E7F9B" w14:textId="77777777" w:rsidR="00CB2D51" w:rsidRPr="00DA788D" w:rsidRDefault="002E64C7" w:rsidP="00DA788D">
      <w:pPr>
        <w:numPr>
          <w:ilvl w:val="1"/>
          <w:numId w:val="5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prowadzić działalności gospodarczej na własny rachunek lub wspólnie z innymi osobami, a także zarządzać taką działalnością lub być przedstawicielem czy pełnomocnikiem w prowadzeniu takiej działalności;</w:t>
      </w:r>
    </w:p>
    <w:p w14:paraId="24924FBA" w14:textId="77777777" w:rsidR="00CB2D51" w:rsidRPr="00DA788D" w:rsidRDefault="002E64C7" w:rsidP="00DA788D">
      <w:pPr>
        <w:numPr>
          <w:ilvl w:val="1"/>
          <w:numId w:val="5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być członkiem zarządu, rady nadzorczej lub komisji rewizyjnej ani pełnomocnikiem spółek handlowych;</w:t>
      </w:r>
    </w:p>
    <w:p w14:paraId="1C09540F" w14:textId="77777777" w:rsidR="00CB2D51" w:rsidRPr="00DA788D" w:rsidRDefault="002E64C7" w:rsidP="00DA788D">
      <w:pPr>
        <w:numPr>
          <w:ilvl w:val="1"/>
          <w:numId w:val="5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być członkiem zarządu fundacji lub stowarzyszenia prowadzących działalność gospodarczą;</w:t>
      </w:r>
    </w:p>
    <w:p w14:paraId="2CEA93D9" w14:textId="77777777" w:rsidR="00CB2D51" w:rsidRPr="00DA788D" w:rsidRDefault="002E64C7" w:rsidP="00DA788D">
      <w:pPr>
        <w:numPr>
          <w:ilvl w:val="1"/>
          <w:numId w:val="56"/>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posiadać w spółkach handlowych więcej niż 10% akcji lub udziały przedstawiające więcej niż 10% kapitału zakładowego - w każdej z tych spółek.</w:t>
      </w:r>
    </w:p>
    <w:p w14:paraId="3E36C1D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Wszelkie zajęcia dodatkowe podejmowane przez członka Izby nie mogą być sprzeczne z pełnieniem obowiązków członka Izby oraz nie mogą osłabiać zaufania do jego bezstronności lub godzić w powagę pełnionej funkcji (art. 476 ust. 3 projektu ustawy).</w:t>
      </w:r>
    </w:p>
    <w:p w14:paraId="55B78FC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celu zapewnienie przejrzystości oraz sprawdzenia zachowania ustawowych wymogów do pełnienia funkcji, członek Izby co roku, do dnia 31 marca, oświadczenie:</w:t>
      </w:r>
    </w:p>
    <w:p w14:paraId="7E12A47E" w14:textId="77777777" w:rsidR="00CB2D51" w:rsidRPr="00DA788D" w:rsidRDefault="002E64C7" w:rsidP="00DA788D">
      <w:pPr>
        <w:numPr>
          <w:ilvl w:val="0"/>
          <w:numId w:val="6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czy toczą się przeciwko niemu postępowania karne, wraz z informacją dotyczącą przedmiotu postępowania;</w:t>
      </w:r>
    </w:p>
    <w:p w14:paraId="2C3D7D9F" w14:textId="77777777" w:rsidR="00CB2D51" w:rsidRPr="00DA788D" w:rsidRDefault="002E64C7" w:rsidP="00DA788D">
      <w:pPr>
        <w:numPr>
          <w:ilvl w:val="0"/>
          <w:numId w:val="60"/>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 stanie majątkowym według stanu na dzień 31 grudnia roku poprzedniego, stosując odpowiednio formularz, którego wzór jest określony w przepisach o ograniczeniu prowadzenia działalności gospodarczej przez osoby pełniące funkcje publiczne. </w:t>
      </w:r>
    </w:p>
    <w:p w14:paraId="4E08FC6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Oświadczenie składa się Prezesowi Urzędu Zamówień Publicznych.</w:t>
      </w:r>
    </w:p>
    <w:p w14:paraId="49C6D0E2" w14:textId="1439407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Członków Izby wyłania się w drodze postępowania kwalifikacyjnego prowadzonego na </w:t>
      </w:r>
      <w:r w:rsidR="00C94DDB" w:rsidRPr="00DA788D">
        <w:rPr>
          <w:rFonts w:ascii="Times New Roman" w:eastAsia="Times New Roman" w:hAnsi="Times New Roman" w:cs="Times New Roman"/>
          <w:sz w:val="24"/>
          <w:szCs w:val="24"/>
        </w:rPr>
        <w:t xml:space="preserve">zasadach </w:t>
      </w:r>
      <w:r w:rsidRPr="00DA788D">
        <w:rPr>
          <w:rFonts w:ascii="Times New Roman" w:eastAsia="Times New Roman" w:hAnsi="Times New Roman" w:cs="Times New Roman"/>
          <w:sz w:val="24"/>
          <w:szCs w:val="24"/>
        </w:rPr>
        <w:t>takich samych jak dotychczas (art. 477 projektu ustawy).</w:t>
      </w:r>
    </w:p>
    <w:p w14:paraId="6B48380E" w14:textId="44926EC9"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Szczegółowe reguły postępowania kwalifikacyjnego określi rozporządzenie Prezesa Rady Ministrów (art. 477 ust. </w:t>
      </w:r>
      <w:r w:rsidR="00432332">
        <w:rPr>
          <w:rFonts w:ascii="Times New Roman" w:eastAsia="Times New Roman" w:hAnsi="Times New Roman" w:cs="Times New Roman"/>
          <w:sz w:val="24"/>
          <w:szCs w:val="24"/>
        </w:rPr>
        <w:t>10</w:t>
      </w:r>
      <w:r w:rsidR="0043233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projektu ustawy). W rozporządzeniu tym uregulowane zostaną tryb przeprowadzania postępowania kwalifikacyjnego oraz uzupełniającego postępowania kwalifikacyjnego, dokumenty które należy dołączyć, potwierdzające spełnianie warunków, o których mowa w art. 474 ust. 2</w:t>
      </w:r>
      <w:r w:rsidR="00C80C05">
        <w:rPr>
          <w:rFonts w:ascii="Times New Roman" w:eastAsia="Times New Roman" w:hAnsi="Times New Roman" w:cs="Times New Roman"/>
          <w:sz w:val="24"/>
          <w:szCs w:val="24"/>
        </w:rPr>
        <w:t xml:space="preserve"> projektu ustawy</w:t>
      </w:r>
      <w:r w:rsidR="00432332">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dołączane do zgłoszenia na członka Izby, szczegółowy zakres zagadnień, w oparciu o które przeprowadzane jest postępowanie kwalifikacyjne</w:t>
      </w:r>
      <w:r w:rsidR="00432332">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oraz tryb i sposób powoływania komisji kwalifikacyjnej, szczegółowe wymagania wobec członków komisji kwalifikacyjnej oraz organizację jej pracy. Wydając rozporządzenie należy uwzględnić </w:t>
      </w:r>
      <w:r w:rsidR="00432332" w:rsidRPr="00DA788D">
        <w:rPr>
          <w:rFonts w:ascii="Times New Roman" w:eastAsia="Times New Roman" w:hAnsi="Times New Roman" w:cs="Times New Roman"/>
          <w:sz w:val="24"/>
          <w:szCs w:val="24"/>
        </w:rPr>
        <w:t>potrzeb</w:t>
      </w:r>
      <w:r w:rsidR="00432332">
        <w:rPr>
          <w:rFonts w:ascii="Times New Roman" w:eastAsia="Times New Roman" w:hAnsi="Times New Roman" w:cs="Times New Roman"/>
          <w:sz w:val="24"/>
          <w:szCs w:val="24"/>
        </w:rPr>
        <w:t>ę</w:t>
      </w:r>
      <w:r w:rsidR="0043233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zapewnienia prawidłowego i sprawnego przeprowadzenia postępowania kwalifikacyjnego oraz uzupełniającego postępowania kwalifikacyjnego, </w:t>
      </w:r>
      <w:r w:rsidR="00432332" w:rsidRPr="00DA788D">
        <w:rPr>
          <w:rFonts w:ascii="Times New Roman" w:eastAsia="Times New Roman" w:hAnsi="Times New Roman" w:cs="Times New Roman"/>
          <w:sz w:val="24"/>
          <w:szCs w:val="24"/>
        </w:rPr>
        <w:t>potrzeb</w:t>
      </w:r>
      <w:r w:rsidR="00432332">
        <w:rPr>
          <w:rFonts w:ascii="Times New Roman" w:eastAsia="Times New Roman" w:hAnsi="Times New Roman" w:cs="Times New Roman"/>
          <w:sz w:val="24"/>
          <w:szCs w:val="24"/>
        </w:rPr>
        <w:t>ę</w:t>
      </w:r>
      <w:r w:rsidR="0043233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zapewnienia efektywnej i bezstronnej pracy komisji kwalifikacyjnej, a także potrzebę obiektywnego sprawdzenia teoretycznego i praktycznego przygotowania kandydatów na członka Izby, które będzie zapewniało prawidłowe i sprawne przeprowadzanie postępowań odwoławczych i postępowań koncyliacyjnych, oraz </w:t>
      </w:r>
      <w:r w:rsidR="00432332">
        <w:rPr>
          <w:rFonts w:ascii="Times New Roman" w:eastAsia="Times New Roman" w:hAnsi="Times New Roman" w:cs="Times New Roman"/>
          <w:sz w:val="24"/>
          <w:szCs w:val="24"/>
        </w:rPr>
        <w:t>brać</w:t>
      </w:r>
      <w:r w:rsidR="00432332"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pod uwagę okoliczność, że potwierdzeniem spełniania warunków dla pełnienia funkcji </w:t>
      </w:r>
      <w:r w:rsidR="00432332">
        <w:rPr>
          <w:rFonts w:ascii="Times New Roman" w:eastAsia="Times New Roman" w:hAnsi="Times New Roman" w:cs="Times New Roman"/>
          <w:sz w:val="24"/>
          <w:szCs w:val="24"/>
        </w:rPr>
        <w:t>c</w:t>
      </w:r>
      <w:r w:rsidR="00432332" w:rsidRPr="00DA788D">
        <w:rPr>
          <w:rFonts w:ascii="Times New Roman" w:eastAsia="Times New Roman" w:hAnsi="Times New Roman" w:cs="Times New Roman"/>
          <w:sz w:val="24"/>
          <w:szCs w:val="24"/>
        </w:rPr>
        <w:t xml:space="preserve">złonka </w:t>
      </w:r>
      <w:r w:rsidRPr="00DA788D">
        <w:rPr>
          <w:rFonts w:ascii="Times New Roman" w:eastAsia="Times New Roman" w:hAnsi="Times New Roman" w:cs="Times New Roman"/>
          <w:sz w:val="24"/>
          <w:szCs w:val="24"/>
        </w:rPr>
        <w:t xml:space="preserve">Izby, mogą być dokumenty </w:t>
      </w:r>
      <w:r w:rsidR="00432332" w:rsidRPr="00432332">
        <w:rPr>
          <w:rFonts w:ascii="Times New Roman" w:eastAsia="Times New Roman" w:hAnsi="Times New Roman" w:cs="Times New Roman"/>
          <w:sz w:val="24"/>
          <w:szCs w:val="24"/>
        </w:rPr>
        <w:t>i oświadczenia, w tym zawierające informacje podlegające ochronie danych osobowych.</w:t>
      </w:r>
    </w:p>
    <w:p w14:paraId="4C9B55A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Przesłanki wygaśnięcia członkostwa w Izbie zostaną określone tak jak dotychczas. Członkostwo wygaśnie z powodu śmierci albo odwołania (art. 478 ust. 1 projektu ustawy).</w:t>
      </w:r>
    </w:p>
    <w:p w14:paraId="7E31456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Minister właściwy do spraw gospodarki, zgodnie z art. 478 ust. 2 projektu ustawy, ma obowiązek odwołać członka Izby w przypadku:</w:t>
      </w:r>
    </w:p>
    <w:p w14:paraId="43414010"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utraty obywatelstwa polskiego;</w:t>
      </w:r>
    </w:p>
    <w:p w14:paraId="39437B28"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utraty albo ograniczenia zdolności do czynności prawnych;</w:t>
      </w:r>
    </w:p>
    <w:p w14:paraId="6CD88319"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utraty praw publicznych;</w:t>
      </w:r>
    </w:p>
    <w:p w14:paraId="492A408E"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utraty nieposzlakowanej opinii;</w:t>
      </w:r>
    </w:p>
    <w:p w14:paraId="74FB65C5"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prawomocnego skazania za przestępstwo umyślne lub umyślne przestępstwo skarbowe; </w:t>
      </w:r>
    </w:p>
    <w:p w14:paraId="6B7C1CC4" w14:textId="653C4964"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upływu 6 miesięcy zawieszenia, w przypadku postępowania karnego prowadzonego przeciwko </w:t>
      </w:r>
      <w:r w:rsidR="00F06C8A">
        <w:rPr>
          <w:rFonts w:ascii="Times New Roman" w:eastAsia="Times New Roman" w:hAnsi="Times New Roman" w:cs="Times New Roman"/>
          <w:sz w:val="24"/>
          <w:szCs w:val="24"/>
        </w:rPr>
        <w:t>c</w:t>
      </w:r>
      <w:r w:rsidR="00F06C8A" w:rsidRPr="00DA788D">
        <w:rPr>
          <w:rFonts w:ascii="Times New Roman" w:eastAsia="Times New Roman" w:hAnsi="Times New Roman" w:cs="Times New Roman"/>
          <w:sz w:val="24"/>
          <w:szCs w:val="24"/>
        </w:rPr>
        <w:t xml:space="preserve">złonkowi </w:t>
      </w:r>
      <w:r w:rsidRPr="00DA788D">
        <w:rPr>
          <w:rFonts w:ascii="Times New Roman" w:eastAsia="Times New Roman" w:hAnsi="Times New Roman" w:cs="Times New Roman"/>
          <w:sz w:val="24"/>
          <w:szCs w:val="24"/>
        </w:rPr>
        <w:t>Izby;</w:t>
      </w:r>
    </w:p>
    <w:p w14:paraId="1368821E"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orzeczenia kary dyscyplinarnej wykluczenia ze składu Izby;</w:t>
      </w:r>
    </w:p>
    <w:p w14:paraId="2B547691"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niezłożenia w terminie jednego z oświadczeń, czy toczą się przeciwko niemu postępowania karne, wraz z informacją dotyczącą przedmiotu postępowania lub o stanie majątkowym według stanu na </w:t>
      </w:r>
      <w:r w:rsidRPr="00DA788D">
        <w:rPr>
          <w:rFonts w:ascii="Times New Roman" w:eastAsia="Times New Roman" w:hAnsi="Times New Roman" w:cs="Times New Roman"/>
          <w:sz w:val="24"/>
          <w:szCs w:val="24"/>
        </w:rPr>
        <w:lastRenderedPageBreak/>
        <w:t>dzień 31 grudnia roku poprzedniego, stosując odpowiednio formularz, którego wzór jest określony w przepisach o ograniczeniu prowadzenia działalności gospodarczej przez osoby pełniące funkcje publiczne – w terminie do 31 marca każdego roku;</w:t>
      </w:r>
    </w:p>
    <w:p w14:paraId="62555EF5"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odmowy wydania albo cofnięcia mu poświadczenia bezpieczeństwa, o którym mowa w ustawie z dnia 5 sierpnia 2010 r. o ochronie informacji niejawnych;</w:t>
      </w:r>
    </w:p>
    <w:p w14:paraId="0028C562"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odmowy złożenia ślubowania;</w:t>
      </w:r>
    </w:p>
    <w:p w14:paraId="3728F50D"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nieobjęcia stanowiska w terminie określonym w akcie powołania;</w:t>
      </w:r>
    </w:p>
    <w:p w14:paraId="394DD342" w14:textId="77777777" w:rsidR="00CB2D51" w:rsidRPr="00DA788D" w:rsidRDefault="002E64C7" w:rsidP="00DA788D">
      <w:pPr>
        <w:numPr>
          <w:ilvl w:val="0"/>
          <w:numId w:val="43"/>
        </w:numPr>
        <w:spacing w:after="120"/>
        <w:ind w:left="1134" w:hanging="425"/>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złożenia przez członka Izby wniosku o odwołanie.</w:t>
      </w:r>
    </w:p>
    <w:p w14:paraId="79AE638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Przesłanki odwołania są zatem ściśle powiązane z warunkami i wymogami formalnymi</w:t>
      </w:r>
      <w:r w:rsidR="00F06C8A">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jakie musi spełnić członek Izby.</w:t>
      </w:r>
    </w:p>
    <w:p w14:paraId="322D99CC" w14:textId="54D86E4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odwołania </w:t>
      </w:r>
      <w:r w:rsidR="00F06C8A">
        <w:rPr>
          <w:rFonts w:ascii="Times New Roman" w:eastAsia="Times New Roman" w:hAnsi="Times New Roman" w:cs="Times New Roman"/>
          <w:sz w:val="24"/>
          <w:szCs w:val="24"/>
        </w:rPr>
        <w:t>c</w:t>
      </w:r>
      <w:r w:rsidR="00F06C8A" w:rsidRPr="00DA788D">
        <w:rPr>
          <w:rFonts w:ascii="Times New Roman" w:eastAsia="Times New Roman" w:hAnsi="Times New Roman" w:cs="Times New Roman"/>
          <w:sz w:val="24"/>
          <w:szCs w:val="24"/>
        </w:rPr>
        <w:t xml:space="preserve">złonka </w:t>
      </w:r>
      <w:r w:rsidRPr="00DA788D">
        <w:rPr>
          <w:rFonts w:ascii="Times New Roman" w:eastAsia="Times New Roman" w:hAnsi="Times New Roman" w:cs="Times New Roman"/>
          <w:sz w:val="24"/>
          <w:szCs w:val="24"/>
        </w:rPr>
        <w:t>Izby skład Izby, w miejsce członka Izby odwołanego z powodu odmowy złożenia ślubowania, nieobjęcia stanowiska w terminie określonym w akcie powołania lub złożenia przez członka Izby wniosku o odwołanie można powołać kolejną osobę, która uzyskała minimalną liczbę punktów, a nie została powołana w skład Izby w wyniku postępowania kwalifikacyjnego albo uzupełniającego postępowania kwalifikacyjnego, o ile postępowanie to zakończyło się nie wcześniej niż na rok przed dniem odwołania (art. 478 ust. 3 projektu ustawy).</w:t>
      </w:r>
    </w:p>
    <w:p w14:paraId="1A71F9E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Organy Izby nie ulegną zmianie. Zgodnie z art. 479 ust. 1 projektu ustawy będą nimi Prezes Izby oraz zgromadzenie ogólne Izby, które tworzą członkowie Izby.</w:t>
      </w:r>
    </w:p>
    <w:p w14:paraId="218D081C" w14:textId="0D1C7B2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Prezes Izby kieruje pracami Izby a do jego podstawowych obowiązków należy reprezentowanie Izby na zewnątrz, przewodniczenie zgromadzeniu ogólnemu Izby, ustalanie terminów posiedzeń składów orzekających, a także zarządzanie łącznego rozpoznania odwołań, wyznaczanie składu orzekającego do rozpoznania odwołania, w tym jego przewodniczącego, oraz składu do podjęcia uchwały o której mowa w art. </w:t>
      </w:r>
      <w:r w:rsidR="00F06C8A">
        <w:rPr>
          <w:rFonts w:ascii="Times New Roman" w:eastAsia="Times New Roman" w:hAnsi="Times New Roman" w:cs="Times New Roman"/>
          <w:sz w:val="24"/>
          <w:szCs w:val="24"/>
        </w:rPr>
        <w:t>473 ust. 1 pkt 3</w:t>
      </w:r>
      <w:r w:rsidR="00C80C05">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w tym jego przewodniczącego, czuwanie nad sprawnością pracy Izby, dokonywanie analizy orzecznictwa Izby, sądów, Trybunału Sprawiedliwości Unii Europejskiej oraz Trybunału Konstytucyjnego, dotyczącego zamówień publicznych i przygotowuje wnioski z tych analiz, składanie Prezesowi Urzędu, po przyjęciu przez zgromadzenie ogólne Izby, rocznej informacji o działaniu Izby, uwzględniającej problemy wynikające z orzecznictwa.</w:t>
      </w:r>
    </w:p>
    <w:p w14:paraId="3A7CD0F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Prezes Izby będzie wykonywał swoje zadania przy pomocy wiceprezesa,  który będzie zastępował Prezesa Izby w razie jego nieobecności (art. 479 ust. 3 projektu ustawy). </w:t>
      </w:r>
    </w:p>
    <w:p w14:paraId="6168A549" w14:textId="18AC8E5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Zasady powoływania oraz odwoływania Prezesa Izby i wiceprezesa Izby zostaną określone tak samo</w:t>
      </w:r>
      <w:r w:rsidR="00F06C8A">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 obecnie. Powołanie przez ministra właściwego do spraw gospodarki nastąpi na wniosek Prezesa Urzędu. Kadencja będzie wynosić trzy lata. Prezes Izby i wiceprezesi Izby są powoływani spośród członków Izby muszą posiadać poświadczenie bezpieczeństwa upoważniające do dostępu do informacji niejawnych o klauzuli „ściśle tajne” lub złożyć oświadczenie o wyrażeniu zgody na przeprowadzenie postępowania sprawdzającego, o którym mowa w art. 22 ust. 1 pkt 2 ustawy z dnia 5 sierpnia 2010 r. o ochronie informacji niejawnych</w:t>
      </w:r>
      <w:r w:rsidR="00373BCA">
        <w:rPr>
          <w:rFonts w:ascii="Times New Roman" w:eastAsia="Times New Roman" w:hAnsi="Times New Roman" w:cs="Times New Roman"/>
          <w:sz w:val="24"/>
          <w:szCs w:val="24"/>
        </w:rPr>
        <w:t>,</w:t>
      </w:r>
      <w:r w:rsidR="00373BCA" w:rsidRPr="00373BCA">
        <w:t xml:space="preserve"> </w:t>
      </w:r>
      <w:r w:rsidR="00373BCA" w:rsidRPr="00373BCA">
        <w:rPr>
          <w:rFonts w:ascii="Times New Roman" w:eastAsia="Times New Roman" w:hAnsi="Times New Roman" w:cs="Times New Roman"/>
          <w:sz w:val="24"/>
          <w:szCs w:val="24"/>
        </w:rPr>
        <w:t>lub spośród kandydatów spełniających wymagania, o których mowa w art. 474 ust. 2</w:t>
      </w:r>
      <w:r w:rsidR="00C80C05">
        <w:rPr>
          <w:rFonts w:ascii="Times New Roman" w:eastAsia="Times New Roman" w:hAnsi="Times New Roman" w:cs="Times New Roman"/>
          <w:sz w:val="24"/>
          <w:szCs w:val="24"/>
        </w:rPr>
        <w:t xml:space="preserve"> projektu ustawy</w:t>
      </w:r>
      <w:r w:rsidR="00373BCA" w:rsidRPr="00373BCA">
        <w:rPr>
          <w:rFonts w:ascii="Times New Roman" w:eastAsia="Times New Roman" w:hAnsi="Times New Roman" w:cs="Times New Roman"/>
          <w:sz w:val="24"/>
          <w:szCs w:val="24"/>
        </w:rPr>
        <w:t>, wyłonionych w dro</w:t>
      </w:r>
      <w:r w:rsidR="00373BCA" w:rsidRPr="00373BCA">
        <w:rPr>
          <w:rFonts w:ascii="Times New Roman" w:eastAsia="Times New Roman" w:hAnsi="Times New Roman" w:cs="Times New Roman"/>
          <w:sz w:val="24"/>
          <w:szCs w:val="24"/>
        </w:rPr>
        <w:lastRenderedPageBreak/>
        <w:t>dze konkursu. Kandydat przed powołaniem przedstawia poświadczenie bezpieczeństwa, o którym mowa w zdaniu pierwszym</w:t>
      </w:r>
      <w:r w:rsidRPr="00DA788D">
        <w:rPr>
          <w:rFonts w:ascii="Times New Roman" w:eastAsia="Times New Roman" w:hAnsi="Times New Roman" w:cs="Times New Roman"/>
          <w:sz w:val="24"/>
          <w:szCs w:val="24"/>
        </w:rPr>
        <w:t xml:space="preserve"> (art. 480 ust. </w:t>
      </w:r>
      <w:r w:rsidR="00373BCA">
        <w:rPr>
          <w:rFonts w:ascii="Times New Roman" w:eastAsia="Times New Roman" w:hAnsi="Times New Roman" w:cs="Times New Roman"/>
          <w:sz w:val="24"/>
          <w:szCs w:val="24"/>
        </w:rPr>
        <w:t>2</w:t>
      </w:r>
      <w:r w:rsidRPr="00DA788D">
        <w:rPr>
          <w:rFonts w:ascii="Times New Roman" w:eastAsia="Times New Roman" w:hAnsi="Times New Roman" w:cs="Times New Roman"/>
          <w:sz w:val="24"/>
          <w:szCs w:val="24"/>
        </w:rPr>
        <w:t xml:space="preserve"> projektu ustawy). Odmowa wydania albo cofnięcie poświadczenie bezpieczeństwa, o którym mowa w ustawie z dnia 5 sierpnia 2010 r. o ochronie informacji niejawnych będzie skutkować odwołaniem odpowiednio Prezesa lub wiceprezesa Izby.</w:t>
      </w:r>
    </w:p>
    <w:p w14:paraId="0699C567" w14:textId="77777777" w:rsidR="00F06C8A" w:rsidRPr="00DA788D" w:rsidRDefault="00F06C8A" w:rsidP="00F06C8A">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Minister właściwy do spraw gospodarki odwołuje Prezesa Izby w przypadku, gdy odmówiono mu wydania albo cofnięto mu poświadczenie bezpieczeństwa, o którym mowa w ustawie z dnia 5 sierpnia 2010 r. o ochronie informacji niejawnych. Przepis, o którym mowa w zdaniu pierwszym, stosuje się do wiceprezesa Izby.</w:t>
      </w:r>
      <w:r>
        <w:rPr>
          <w:rFonts w:ascii="Times New Roman" w:eastAsia="Times New Roman" w:hAnsi="Times New Roman" w:cs="Times New Roman"/>
          <w:sz w:val="24"/>
          <w:szCs w:val="24"/>
        </w:rPr>
        <w:t xml:space="preserve"> </w:t>
      </w:r>
    </w:p>
    <w:p w14:paraId="5436B8C3" w14:textId="40B0EA2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Zadaniami drugiego z organów Izby – zgromadzenia ogólnego Izby będą przygotowywanie i przyjmowanie rocznej informacji o działalności Izby, uwzględniającej problemy wynikające z orzecznictwa, wyznaczanie składu sądu dyscyplinarnego, rozpatrywanie odwołania od orzeczenia sądu dyscyplinarnego oraz rozpatrywanie albo opiniowanie innych spraw przedłożonych przez Prezesa Izby lub zgłoszonych przez członków zgromadzenia ogólnego Izby (art. </w:t>
      </w:r>
      <w:r w:rsidR="009E3409">
        <w:rPr>
          <w:rFonts w:ascii="Times New Roman" w:eastAsia="Times New Roman" w:hAnsi="Times New Roman" w:cs="Times New Roman"/>
          <w:sz w:val="24"/>
          <w:szCs w:val="24"/>
        </w:rPr>
        <w:t>479</w:t>
      </w:r>
      <w:r w:rsidR="009E340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ust. 4 projektu ustawy).</w:t>
      </w:r>
    </w:p>
    <w:p w14:paraId="525B0175" w14:textId="14F02F9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celu zapewnienia wypełniania przez zgromadzenie ogólne Izby ustawowych zadań zgromadzenie będzie zwoływane co najmniej dwa razy w roku, a także na pisemny wniosek co najmniej połowy członków Izby albo przewodniczącego sądu dyscyplinarnego, w terminie 14 dni od dnia jego złożenia (art. </w:t>
      </w:r>
      <w:r w:rsidR="009E3409" w:rsidRPr="00DA788D">
        <w:rPr>
          <w:rFonts w:ascii="Times New Roman" w:eastAsia="Times New Roman" w:hAnsi="Times New Roman" w:cs="Times New Roman"/>
          <w:sz w:val="24"/>
          <w:szCs w:val="24"/>
        </w:rPr>
        <w:t>4</w:t>
      </w:r>
      <w:r w:rsidR="009E3409">
        <w:rPr>
          <w:rFonts w:ascii="Times New Roman" w:eastAsia="Times New Roman" w:hAnsi="Times New Roman" w:cs="Times New Roman"/>
          <w:sz w:val="24"/>
          <w:szCs w:val="24"/>
        </w:rPr>
        <w:t>81</w:t>
      </w:r>
      <w:r w:rsidR="009E340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ust. </w:t>
      </w:r>
      <w:r w:rsidR="009E3409">
        <w:rPr>
          <w:rFonts w:ascii="Times New Roman" w:eastAsia="Times New Roman" w:hAnsi="Times New Roman" w:cs="Times New Roman"/>
          <w:sz w:val="24"/>
          <w:szCs w:val="24"/>
        </w:rPr>
        <w:t>1</w:t>
      </w:r>
      <w:r w:rsidR="009E340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projektu ustawy).</w:t>
      </w:r>
    </w:p>
    <w:p w14:paraId="0FE90442" w14:textId="7A0F069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Stanowiska zgromadzenia ogólnego Izby będą wyrażane w formie uchwał, zapadających większością głosów w obecności co najmniej połowy składu Izby (art. 481 projektu ustawy). W przypadku równej liczby głosów rozstrzygający będzie głos Prezesa Izby.</w:t>
      </w:r>
    </w:p>
    <w:p w14:paraId="7954FEA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Szczegółowe procedury zostaną określone w wewnętrznym regulaminie organizacji pracy Izby, w drodze zarządzenia, przez Prezesa Izby. Prezes Izby określi także zadania wiceprezesa Izby. Wewnętrzny regulamin powinien uwzględniać potrzebę zapewnienia sprawnego i rzetelnego wykonywania zadań powierzonych Izbie, w tym zadań powierzonych Izbie Odwoławczej (art. 482 projektu ustawy).</w:t>
      </w:r>
    </w:p>
    <w:p w14:paraId="4CB9A8E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Tak jak dotychczas</w:t>
      </w:r>
      <w:r w:rsidR="00F06C8A">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nawiązanie stosunku pracy z członkiem Izby następuje na podstawie powołania, w terminie określonym w akcie powołania. W sprawach nieuregulowanych w ustawie, dotyczących stosunku pracy członka Izby, odpowiednio stosuje się przepisy ustawy z dnia 26 czerwca 1974 r. - Kodeks pracy.</w:t>
      </w:r>
    </w:p>
    <w:p w14:paraId="099273B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Zasady wynagradzania członków Izby nie zmienią się.</w:t>
      </w:r>
    </w:p>
    <w:p w14:paraId="526E6210" w14:textId="5D5DD1F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Podstawę ustalenia wynagrodzenia zasadniczego Prezesa Izby, wiceprezesa Izby oraz pozostałych członków Izby stanowi wielokrotność kwoty bazowej ustalonej w ustawie budżetowej na dany rok, na podstawie art. 9 ust. 1 pkt 2 ustawy z dnia 23 grudnia 1999 r. o kształtowaniu wynagrodzeń w państwowej sferze budżetowej oraz o zmianie niektórych ustaw (Dz. U. z 2018 r. poz. </w:t>
      </w:r>
      <w:r w:rsidR="009E3409">
        <w:rPr>
          <w:rFonts w:ascii="Times New Roman" w:eastAsia="Times New Roman" w:hAnsi="Times New Roman" w:cs="Times New Roman"/>
          <w:sz w:val="24"/>
          <w:szCs w:val="24"/>
        </w:rPr>
        <w:t>2288</w:t>
      </w:r>
      <w:r w:rsidRPr="00DA788D">
        <w:rPr>
          <w:rFonts w:ascii="Times New Roman" w:eastAsia="Times New Roman" w:hAnsi="Times New Roman" w:cs="Times New Roman"/>
          <w:sz w:val="24"/>
          <w:szCs w:val="24"/>
        </w:rPr>
        <w:t>) dla pracowników państwowej sfery budżetowej, o których mowa w art. 5 pkt 1 lit. a tej ustawy (art. 484 ust. 1 projektu ustawy).</w:t>
      </w:r>
    </w:p>
    <w:p w14:paraId="6FB4E23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Członkowi Izby przysługuje dodatek za wieloletnią pracę wynoszący, począwszy od szóstego roku pracy, 5% miesięcznego wynagrodzenia zasadniczego i wzrastający po każdym roku pracy o 1%, aż do osiągnięcia 20% miesięcznego wynagrodzenia zasadniczego (art. 484 ust. 2 projektu ustawy).</w:t>
      </w:r>
    </w:p>
    <w:p w14:paraId="09565E9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Członkowi Izby, na podstawie art. 484 ust. 3 projektu ustawy, przysługuje nagroda jubileuszowa w wysokości:</w:t>
      </w:r>
    </w:p>
    <w:p w14:paraId="5177E388"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75% wynagrodzenia miesięcznego - po 20 latach pracy;</w:t>
      </w:r>
    </w:p>
    <w:p w14:paraId="7F60AAF9"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100% wynagrodzenia miesięcznego - po 25 latach pracy;</w:t>
      </w:r>
    </w:p>
    <w:p w14:paraId="3A8C191B"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150% wynagrodzenia miesięcznego - po 30 latach pracy;</w:t>
      </w:r>
    </w:p>
    <w:p w14:paraId="2BABE405"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200% wynagrodzenia miesięcznego - po 35 latach pracy;</w:t>
      </w:r>
    </w:p>
    <w:p w14:paraId="7C576B08"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300% wynagrodzenia miesięcznego - po 40 latach pracy;</w:t>
      </w:r>
    </w:p>
    <w:p w14:paraId="40B1FC3B" w14:textId="77777777" w:rsidR="00CB2D51" w:rsidRPr="00DA788D" w:rsidRDefault="002E64C7" w:rsidP="00DA788D">
      <w:pPr>
        <w:numPr>
          <w:ilvl w:val="1"/>
          <w:numId w:val="41"/>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350% wynagrodzenia miesięcznego - po 45 latach pracy.</w:t>
      </w:r>
    </w:p>
    <w:p w14:paraId="072633B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okresu pracy uprawniającego do nagrody jubileuszowej wlicza się wszystkie poprzednie zakończone okresy zatrudnienia oraz inne okresy, jeżeli z mocy odrębnych przepisów podlegają one wliczeniu do okresu pracy, od którego zależą uprawnienia pracownicze. Do obliczania i wypłacania nagrody jubileuszowej stosuje się odpowiednio przepisy dotyczące nagród jubileuszowych, o których mowa w przepisach o pracownikach urzędów państwowych (art. 484 ust. 4 projektu ustawy).</w:t>
      </w:r>
    </w:p>
    <w:p w14:paraId="5F9988A7" w14:textId="2D7C001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Wielokrotność kwoty bazowej określa Prezes Rady Ministrów, w drodze rozporządzenia. Wielokrotność nie może być mniejsza niż 4,5 (art. 484 ust</w:t>
      </w:r>
      <w:r w:rsidR="00371CBC">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5 projektu ustawy). </w:t>
      </w:r>
    </w:p>
    <w:p w14:paraId="201C64D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Zasady podlegania odpowiedzialności dyscyplinarnej za naruszenie swoich obowiązków i uchybienie godności zawodowej nie ulegną zmianie i zostaną określone w art. 485 projektu ustawy, przy czym minister właściwy do spraw gospodarki, na podstawie art. 486 projektu ustawy, zawiesza członka Izby w jego prawach i obowiązkach w przypadku przedstawienia mu zarzutu popełnienia umyślnego przestępstwa lub umyślnego przestępstwa skarbowego. Okres zawieszenia trwa do czasu zakończenia postępowania karnego, nie dłużej jednak niż przez 6 miesięcy. W okresie zawieszenia członek Izby zachowuje prawo do połowy wynagrodzenia. </w:t>
      </w:r>
    </w:p>
    <w:p w14:paraId="7C550403" w14:textId="0015359C"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FC4DEB">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Zasady działania Krajowej Izby Odwoławczej </w:t>
      </w:r>
    </w:p>
    <w:p w14:paraId="6487CF9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Zasadą dla Izby Odwoławczej będzie rozpoznawanie odwołań w składzie trzyosobowym – w przypadku zamówień równych lub większych niż progi unijne, a w składzie jednoosobowych – w przypadku zamówień mniejszych niż progi unijne (art. 487 ust. 1 projektu ustawy). W składzie trzyosobowym będą podejmowane uchwały zawierające opinię do zastrzeżeń zamawiającego do wyniku kontroli doraźnej albo kontroli uprzedniej (art. 487 ust. 3 projektu ustawy). </w:t>
      </w:r>
    </w:p>
    <w:p w14:paraId="4934A2D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Prezes Izby będzie uprawniony do zarządzenia rozpoznania odwołania w składzie jednoosobowym, w przypadku zamówień równych lub większych niż progi unijne, albo trzyosobowym, w przypadku zamówień mniejszych niż progi unijne, jeżeli uzna to za wskazane ze względu na stopień zawiłości sprawy (art. 487 ust. 2 projektu ustawy). Liczebność składu orzekającego będzie zatem zależna przede wszystkim od trudności sprawy.</w:t>
      </w:r>
    </w:p>
    <w:p w14:paraId="0358B03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Przydzielanie spraw i wyznaczanie składów orzekających będzie obowiązkiem Prezesa Izby (art. 488 ust. 1 projektu ustawy).</w:t>
      </w:r>
    </w:p>
    <w:p w14:paraId="7C6BC1E1" w14:textId="734E1B4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Sprawy będą przydzielane z alfabetycznej listy odpowiednio członków Izby orzekających w Izbie Odwoławczej, według kolejności wpływu odwołań, jawnej dla stron postępowania odwoławczego (art. 488 ust. 2 projektu ustawy).</w:t>
      </w:r>
    </w:p>
    <w:p w14:paraId="4CF9C78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Odstępstwo od kolejności alfabetycznej będzie dopuszczalne z powodu choroby członka Izby lub z innej ważnej przyczyny, co należy zaznaczyć w zarządzeniu o wyznaczeniu posiedzenia odpowiednio składu orzekającego. Także zmiana wyznaczonego składu orzekającego będzie mogła nastąpić z takich samych przyczyn</w:t>
      </w:r>
      <w:r w:rsidR="00371CBC">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 dla odstępstwa od zasady członków</w:t>
      </w:r>
      <w:r w:rsidR="00371CBC">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na podstawie alfabetycznej listy (art. 488 ust. 3 i 4 projektu ustawy).</w:t>
      </w:r>
    </w:p>
    <w:p w14:paraId="25686A60" w14:textId="167A0F8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 okolicznościach uzasadniających odstępstwo od wyznaczenia członka składu na podstawie alfabetycznej listy, członek składu orzekającego zawiadamia pisemnie Prezesa Izby (art. 488 ust. </w:t>
      </w:r>
      <w:r w:rsidR="00FC4DEB">
        <w:rPr>
          <w:rFonts w:ascii="Times New Roman" w:eastAsia="Times New Roman" w:hAnsi="Times New Roman" w:cs="Times New Roman"/>
          <w:sz w:val="24"/>
          <w:szCs w:val="24"/>
        </w:rPr>
        <w:t>5</w:t>
      </w:r>
      <w:r w:rsidR="00FC4DE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projektu ustawy).</w:t>
      </w:r>
    </w:p>
    <w:p w14:paraId="31C5A0A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Prezes Izby wyznaczają skład orzekający będzie wskazywał, spośród wyznaczonych członków składu, przewodniczącego składu (art. 489 projektu ustawy).</w:t>
      </w:r>
    </w:p>
    <w:p w14:paraId="05B19804" w14:textId="539F0CE6" w:rsidR="00371CBC" w:rsidRPr="00371CBC" w:rsidRDefault="002E64C7" w:rsidP="00371CBC">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Obiektywizm działania Izby ma zapewnić instytucja wyłączenia członka Izby. </w:t>
      </w:r>
      <w:r w:rsidR="00371CBC">
        <w:rPr>
          <w:rFonts w:ascii="Times New Roman" w:eastAsia="Times New Roman" w:hAnsi="Times New Roman" w:cs="Times New Roman"/>
          <w:sz w:val="24"/>
          <w:szCs w:val="24"/>
        </w:rPr>
        <w:t>W projekcie przewiduje się wyłączenie c</w:t>
      </w:r>
      <w:r w:rsidR="00371CBC" w:rsidRPr="00371CBC">
        <w:rPr>
          <w:rFonts w:ascii="Times New Roman" w:eastAsia="Times New Roman" w:hAnsi="Times New Roman" w:cs="Times New Roman"/>
          <w:sz w:val="24"/>
          <w:szCs w:val="24"/>
        </w:rPr>
        <w:t>złon</w:t>
      </w:r>
      <w:r w:rsidR="00371CBC">
        <w:rPr>
          <w:rFonts w:ascii="Times New Roman" w:eastAsia="Times New Roman" w:hAnsi="Times New Roman" w:cs="Times New Roman"/>
          <w:sz w:val="24"/>
          <w:szCs w:val="24"/>
        </w:rPr>
        <w:t>ka składu orzekającego oraz człon</w:t>
      </w:r>
      <w:r w:rsidR="00371CBC" w:rsidRPr="00371CBC">
        <w:rPr>
          <w:rFonts w:ascii="Times New Roman" w:eastAsia="Times New Roman" w:hAnsi="Times New Roman" w:cs="Times New Roman"/>
          <w:sz w:val="24"/>
          <w:szCs w:val="24"/>
        </w:rPr>
        <w:t>k</w:t>
      </w:r>
      <w:r w:rsidR="00371CBC">
        <w:rPr>
          <w:rFonts w:ascii="Times New Roman" w:eastAsia="Times New Roman" w:hAnsi="Times New Roman" w:cs="Times New Roman"/>
          <w:sz w:val="24"/>
          <w:szCs w:val="24"/>
        </w:rPr>
        <w:t>a</w:t>
      </w:r>
      <w:r w:rsidR="00371CBC" w:rsidRPr="00371CBC">
        <w:rPr>
          <w:rFonts w:ascii="Times New Roman" w:eastAsia="Times New Roman" w:hAnsi="Times New Roman" w:cs="Times New Roman"/>
          <w:sz w:val="24"/>
          <w:szCs w:val="24"/>
        </w:rPr>
        <w:t xml:space="preserve"> składu biorącego udział w podjęciu uchwały, o której mowa w art. 487 ust. 3</w:t>
      </w:r>
      <w:r w:rsidR="00C80C05">
        <w:rPr>
          <w:rFonts w:ascii="Times New Roman" w:eastAsia="Times New Roman" w:hAnsi="Times New Roman" w:cs="Times New Roman"/>
          <w:sz w:val="24"/>
          <w:szCs w:val="24"/>
        </w:rPr>
        <w:t xml:space="preserve"> projektu ustawy</w:t>
      </w:r>
      <w:r w:rsidR="00371CBC" w:rsidRPr="00371CBC">
        <w:rPr>
          <w:rFonts w:ascii="Times New Roman" w:eastAsia="Times New Roman" w:hAnsi="Times New Roman" w:cs="Times New Roman"/>
          <w:sz w:val="24"/>
          <w:szCs w:val="24"/>
        </w:rPr>
        <w:t xml:space="preserve">, </w:t>
      </w:r>
      <w:r w:rsidR="00371CBC">
        <w:rPr>
          <w:rFonts w:ascii="Times New Roman" w:eastAsia="Times New Roman" w:hAnsi="Times New Roman" w:cs="Times New Roman"/>
          <w:sz w:val="24"/>
          <w:szCs w:val="24"/>
        </w:rPr>
        <w:t>z mocy ustawy</w:t>
      </w:r>
      <w:r w:rsidR="00371CBC" w:rsidRPr="00371CBC">
        <w:rPr>
          <w:rFonts w:ascii="Times New Roman" w:eastAsia="Times New Roman" w:hAnsi="Times New Roman" w:cs="Times New Roman"/>
          <w:sz w:val="24"/>
          <w:szCs w:val="24"/>
        </w:rPr>
        <w:t>:</w:t>
      </w:r>
      <w:r w:rsidR="00371CBC">
        <w:rPr>
          <w:rFonts w:ascii="Times New Roman" w:eastAsia="Times New Roman" w:hAnsi="Times New Roman" w:cs="Times New Roman"/>
          <w:sz w:val="24"/>
          <w:szCs w:val="24"/>
        </w:rPr>
        <w:t xml:space="preserve"> gdy </w:t>
      </w:r>
      <w:r w:rsidR="00371CBC" w:rsidRPr="00371CBC">
        <w:rPr>
          <w:rFonts w:ascii="Times New Roman" w:eastAsia="Times New Roman" w:hAnsi="Times New Roman" w:cs="Times New Roman"/>
          <w:sz w:val="24"/>
          <w:szCs w:val="24"/>
        </w:rPr>
        <w:t xml:space="preserve">jest </w:t>
      </w:r>
      <w:r w:rsidR="00371CBC">
        <w:rPr>
          <w:rFonts w:ascii="Times New Roman" w:eastAsia="Times New Roman" w:hAnsi="Times New Roman" w:cs="Times New Roman"/>
          <w:sz w:val="24"/>
          <w:szCs w:val="24"/>
        </w:rPr>
        <w:t xml:space="preserve">on </w:t>
      </w:r>
      <w:r w:rsidR="00371CBC" w:rsidRPr="00371CBC">
        <w:rPr>
          <w:rFonts w:ascii="Times New Roman" w:eastAsia="Times New Roman" w:hAnsi="Times New Roman" w:cs="Times New Roman"/>
          <w:sz w:val="24"/>
          <w:szCs w:val="24"/>
        </w:rPr>
        <w:t>stroną lub pozostaje z jedną ze stron w takim stosunku prawnym, że wynik sprawy oddziałuje na jego prawa lub obowiązki;</w:t>
      </w:r>
      <w:r w:rsidR="00371CBC">
        <w:rPr>
          <w:rFonts w:ascii="Times New Roman" w:eastAsia="Times New Roman" w:hAnsi="Times New Roman" w:cs="Times New Roman"/>
          <w:sz w:val="24"/>
          <w:szCs w:val="24"/>
        </w:rPr>
        <w:t xml:space="preserve"> w sprawach </w:t>
      </w:r>
      <w:r w:rsidR="00371CBC" w:rsidRPr="00371CBC">
        <w:rPr>
          <w:rFonts w:ascii="Times New Roman" w:eastAsia="Times New Roman" w:hAnsi="Times New Roman" w:cs="Times New Roman"/>
          <w:sz w:val="24"/>
          <w:szCs w:val="24"/>
        </w:rPr>
        <w:t>swojego małżonka, krewnych lub powinowatych w linii prostej, krewnych bocznych do czwartego stopnia i powinowatych bocznych do drugiego stopnia;</w:t>
      </w:r>
      <w:r w:rsidR="00371CBC">
        <w:rPr>
          <w:rFonts w:ascii="Times New Roman" w:eastAsia="Times New Roman" w:hAnsi="Times New Roman" w:cs="Times New Roman"/>
          <w:sz w:val="24"/>
          <w:szCs w:val="24"/>
        </w:rPr>
        <w:t xml:space="preserve"> w sprawach </w:t>
      </w:r>
      <w:r w:rsidR="00371CBC" w:rsidRPr="00371CBC">
        <w:rPr>
          <w:rFonts w:ascii="Times New Roman" w:eastAsia="Times New Roman" w:hAnsi="Times New Roman" w:cs="Times New Roman"/>
          <w:sz w:val="24"/>
          <w:szCs w:val="24"/>
        </w:rPr>
        <w:t>osób związanych z nim z tytułu przysposobienia, opieki lub kurateli;</w:t>
      </w:r>
      <w:r w:rsidR="00371CBC">
        <w:rPr>
          <w:rFonts w:ascii="Times New Roman" w:eastAsia="Times New Roman" w:hAnsi="Times New Roman" w:cs="Times New Roman"/>
          <w:sz w:val="24"/>
          <w:szCs w:val="24"/>
        </w:rPr>
        <w:t xml:space="preserve"> w sprawach, </w:t>
      </w:r>
      <w:r w:rsidR="00371CBC" w:rsidRPr="00371CBC">
        <w:rPr>
          <w:rFonts w:ascii="Times New Roman" w:eastAsia="Times New Roman" w:hAnsi="Times New Roman" w:cs="Times New Roman"/>
          <w:sz w:val="24"/>
          <w:szCs w:val="24"/>
        </w:rPr>
        <w:t>w których był lub jest jeszcze pełnomocnikiem jednej ze stron;</w:t>
      </w:r>
      <w:r w:rsidR="00371CBC">
        <w:rPr>
          <w:rFonts w:ascii="Times New Roman" w:eastAsia="Times New Roman" w:hAnsi="Times New Roman" w:cs="Times New Roman"/>
          <w:sz w:val="24"/>
          <w:szCs w:val="24"/>
        </w:rPr>
        <w:t xml:space="preserve"> w sprawach, </w:t>
      </w:r>
      <w:r w:rsidR="00371CBC" w:rsidRPr="00371CBC">
        <w:rPr>
          <w:rFonts w:ascii="Times New Roman" w:eastAsia="Times New Roman" w:hAnsi="Times New Roman" w:cs="Times New Roman"/>
          <w:sz w:val="24"/>
          <w:szCs w:val="24"/>
        </w:rPr>
        <w:t>w których świadczył usługi prawne na rzecz jednej ze stron lub jakiekolwiek inne usługi związane ze sprawą</w:t>
      </w:r>
      <w:r w:rsidR="00371CBC">
        <w:rPr>
          <w:rFonts w:ascii="Times New Roman" w:eastAsia="Times New Roman" w:hAnsi="Times New Roman" w:cs="Times New Roman"/>
          <w:sz w:val="24"/>
          <w:szCs w:val="24"/>
        </w:rPr>
        <w:t xml:space="preserve"> (art. 490</w:t>
      </w:r>
      <w:r w:rsidR="00C80C05">
        <w:rPr>
          <w:rFonts w:ascii="Times New Roman" w:eastAsia="Times New Roman" w:hAnsi="Times New Roman" w:cs="Times New Roman"/>
          <w:sz w:val="24"/>
          <w:szCs w:val="24"/>
        </w:rPr>
        <w:t xml:space="preserve"> projektu ustawy</w:t>
      </w:r>
      <w:r w:rsidR="00371CBC">
        <w:rPr>
          <w:rFonts w:ascii="Times New Roman" w:eastAsia="Times New Roman" w:hAnsi="Times New Roman" w:cs="Times New Roman"/>
          <w:sz w:val="24"/>
          <w:szCs w:val="24"/>
        </w:rPr>
        <w:t>)</w:t>
      </w:r>
      <w:r w:rsidR="00371CBC" w:rsidRPr="00371CBC">
        <w:rPr>
          <w:rFonts w:ascii="Times New Roman" w:eastAsia="Times New Roman" w:hAnsi="Times New Roman" w:cs="Times New Roman"/>
          <w:sz w:val="24"/>
          <w:szCs w:val="24"/>
        </w:rPr>
        <w:t>.</w:t>
      </w:r>
    </w:p>
    <w:p w14:paraId="09218768" w14:textId="37314EF2" w:rsidR="00371CBC" w:rsidRPr="00371CBC" w:rsidRDefault="00371CBC" w:rsidP="00371CBC">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Ponadto, </w:t>
      </w:r>
      <w:r w:rsidRPr="00371CBC">
        <w:rPr>
          <w:rFonts w:ascii="Times New Roman" w:eastAsia="Times New Roman" w:hAnsi="Times New Roman" w:cs="Times New Roman"/>
          <w:sz w:val="24"/>
          <w:szCs w:val="24"/>
        </w:rPr>
        <w:t>Prezes Izby wyłącza członka składu orzekającego</w:t>
      </w:r>
      <w:r>
        <w:rPr>
          <w:rFonts w:ascii="Times New Roman" w:eastAsia="Times New Roman" w:hAnsi="Times New Roman" w:cs="Times New Roman"/>
          <w:sz w:val="24"/>
          <w:szCs w:val="24"/>
        </w:rPr>
        <w:t xml:space="preserve"> oraz człon</w:t>
      </w:r>
      <w:r w:rsidRPr="00371CBC">
        <w:rPr>
          <w:rFonts w:ascii="Times New Roman" w:eastAsia="Times New Roman" w:hAnsi="Times New Roman" w:cs="Times New Roman"/>
          <w:sz w:val="24"/>
          <w:szCs w:val="24"/>
        </w:rPr>
        <w:t>k</w:t>
      </w:r>
      <w:r>
        <w:rPr>
          <w:rFonts w:ascii="Times New Roman" w:eastAsia="Times New Roman" w:hAnsi="Times New Roman" w:cs="Times New Roman"/>
          <w:sz w:val="24"/>
          <w:szCs w:val="24"/>
        </w:rPr>
        <w:t>a</w:t>
      </w:r>
      <w:r w:rsidRPr="00371CBC">
        <w:rPr>
          <w:rFonts w:ascii="Times New Roman" w:eastAsia="Times New Roman" w:hAnsi="Times New Roman" w:cs="Times New Roman"/>
          <w:sz w:val="24"/>
          <w:szCs w:val="24"/>
        </w:rPr>
        <w:t xml:space="preserve"> składu biorącego udział w podjęciu uchwały, o której mowa w art. 487 ust. 3</w:t>
      </w:r>
      <w:r w:rsidR="00C80C05">
        <w:rPr>
          <w:rFonts w:ascii="Times New Roman" w:eastAsia="Times New Roman" w:hAnsi="Times New Roman" w:cs="Times New Roman"/>
          <w:sz w:val="24"/>
          <w:szCs w:val="24"/>
        </w:rPr>
        <w:t xml:space="preserve"> projektu ustawy</w:t>
      </w:r>
      <w:r w:rsidRPr="00371CBC">
        <w:rPr>
          <w:rFonts w:ascii="Times New Roman" w:eastAsia="Times New Roman" w:hAnsi="Times New Roman" w:cs="Times New Roman"/>
          <w:sz w:val="24"/>
          <w:szCs w:val="24"/>
        </w:rPr>
        <w:t>, na jego żądanie lub wniosek strony, jeżeli zachodzą okoliczności uzasadniające wyłączenie wyznaczonego członka, w szczególności gdy zachodzą okoliczności faktyczne lub prawne, które mogą budzić uzasadnione wątpliwości co do jego bezstronności.</w:t>
      </w:r>
      <w:r>
        <w:rPr>
          <w:rFonts w:ascii="Times New Roman" w:eastAsia="Times New Roman" w:hAnsi="Times New Roman" w:cs="Times New Roman"/>
          <w:sz w:val="24"/>
          <w:szCs w:val="24"/>
        </w:rPr>
        <w:t xml:space="preserve"> W</w:t>
      </w:r>
      <w:r w:rsidRPr="00371CBC">
        <w:rPr>
          <w:rFonts w:ascii="Times New Roman" w:eastAsia="Times New Roman" w:hAnsi="Times New Roman" w:cs="Times New Roman"/>
          <w:sz w:val="24"/>
          <w:szCs w:val="24"/>
        </w:rPr>
        <w:t>niosek o wyłączenie członka składu orzekającego</w:t>
      </w:r>
      <w:r>
        <w:rPr>
          <w:rFonts w:ascii="Times New Roman" w:eastAsia="Times New Roman" w:hAnsi="Times New Roman" w:cs="Times New Roman"/>
          <w:sz w:val="24"/>
          <w:szCs w:val="24"/>
        </w:rPr>
        <w:t xml:space="preserve"> strona składa</w:t>
      </w:r>
      <w:r w:rsidRPr="00371CBC">
        <w:rPr>
          <w:rFonts w:ascii="Times New Roman" w:eastAsia="Times New Roman" w:hAnsi="Times New Roman" w:cs="Times New Roman"/>
          <w:sz w:val="24"/>
          <w:szCs w:val="24"/>
        </w:rPr>
        <w:t xml:space="preserve"> na piśmie, uprawdopodobniając okoliczności uzasadniające wyłączenie. Ponowny wniosek oparty na tych samych okolicznościach podlega </w:t>
      </w:r>
      <w:r>
        <w:rPr>
          <w:rFonts w:ascii="Times New Roman" w:eastAsia="Times New Roman" w:hAnsi="Times New Roman" w:cs="Times New Roman"/>
          <w:sz w:val="24"/>
          <w:szCs w:val="24"/>
        </w:rPr>
        <w:t>pozostawieniu bez rozpatrzenia</w:t>
      </w:r>
      <w:r w:rsidR="00474B7E">
        <w:rPr>
          <w:rFonts w:ascii="Times New Roman" w:eastAsia="Times New Roman" w:hAnsi="Times New Roman" w:cs="Times New Roman"/>
          <w:sz w:val="24"/>
          <w:szCs w:val="24"/>
        </w:rPr>
        <w:t xml:space="preserve"> (art. 491</w:t>
      </w:r>
      <w:r w:rsidR="00C80C05">
        <w:rPr>
          <w:rFonts w:ascii="Times New Roman" w:eastAsia="Times New Roman" w:hAnsi="Times New Roman" w:cs="Times New Roman"/>
          <w:sz w:val="24"/>
          <w:szCs w:val="24"/>
        </w:rPr>
        <w:t xml:space="preserve"> ust. 3 projektu ustawy</w:t>
      </w:r>
      <w:r w:rsidR="00474B7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6544BDD" w14:textId="77777777" w:rsidR="00371CBC" w:rsidRPr="00371CBC" w:rsidRDefault="00371CBC" w:rsidP="00474B7E">
      <w:pPr>
        <w:spacing w:after="120"/>
        <w:ind w:firstLine="708"/>
        <w:jc w:val="both"/>
        <w:rPr>
          <w:rFonts w:ascii="Times New Roman" w:eastAsia="Times New Roman" w:hAnsi="Times New Roman" w:cs="Times New Roman"/>
          <w:sz w:val="24"/>
          <w:szCs w:val="24"/>
        </w:rPr>
      </w:pPr>
      <w:r w:rsidRPr="00371CBC">
        <w:rPr>
          <w:rFonts w:ascii="Times New Roman" w:eastAsia="Times New Roman" w:hAnsi="Times New Roman" w:cs="Times New Roman"/>
          <w:sz w:val="24"/>
          <w:szCs w:val="24"/>
        </w:rPr>
        <w:t>O wyłączeniu członka składu orzekającego albo odmowie jego wyłączenia rozstrzyga Prezes Izby w drodze postanowienia, na które nie przysługuje skarga do sądu.</w:t>
      </w:r>
      <w:r w:rsidR="00474B7E">
        <w:rPr>
          <w:rFonts w:ascii="Times New Roman" w:eastAsia="Times New Roman" w:hAnsi="Times New Roman" w:cs="Times New Roman"/>
          <w:sz w:val="24"/>
          <w:szCs w:val="24"/>
        </w:rPr>
        <w:t xml:space="preserve"> Natomiast, w przypadku gdy </w:t>
      </w:r>
      <w:r w:rsidRPr="00371CBC">
        <w:rPr>
          <w:rFonts w:ascii="Times New Roman" w:eastAsia="Times New Roman" w:hAnsi="Times New Roman" w:cs="Times New Roman"/>
          <w:sz w:val="24"/>
          <w:szCs w:val="24"/>
        </w:rPr>
        <w:t>okoliczności</w:t>
      </w:r>
      <w:r w:rsidR="00474B7E">
        <w:rPr>
          <w:rFonts w:ascii="Times New Roman" w:eastAsia="Times New Roman" w:hAnsi="Times New Roman" w:cs="Times New Roman"/>
          <w:sz w:val="24"/>
          <w:szCs w:val="24"/>
        </w:rPr>
        <w:t xml:space="preserve"> </w:t>
      </w:r>
      <w:r w:rsidRPr="00371CBC">
        <w:rPr>
          <w:rFonts w:ascii="Times New Roman" w:eastAsia="Times New Roman" w:hAnsi="Times New Roman" w:cs="Times New Roman"/>
          <w:sz w:val="24"/>
          <w:szCs w:val="24"/>
        </w:rPr>
        <w:t>dotyczą</w:t>
      </w:r>
      <w:r w:rsidR="00474B7E">
        <w:rPr>
          <w:rFonts w:ascii="Times New Roman" w:eastAsia="Times New Roman" w:hAnsi="Times New Roman" w:cs="Times New Roman"/>
          <w:sz w:val="24"/>
          <w:szCs w:val="24"/>
        </w:rPr>
        <w:t>ce wyłączenia odnoszą się do</w:t>
      </w:r>
      <w:r w:rsidRPr="00371CBC">
        <w:rPr>
          <w:rFonts w:ascii="Times New Roman" w:eastAsia="Times New Roman" w:hAnsi="Times New Roman" w:cs="Times New Roman"/>
          <w:sz w:val="24"/>
          <w:szCs w:val="24"/>
        </w:rPr>
        <w:t xml:space="preserve"> Prezesa Izby, o jego wyłączeniu albo odmowie wyłączenia rozstrzyga minister właściwy do spraw gospodarki.</w:t>
      </w:r>
    </w:p>
    <w:p w14:paraId="4AEF4822" w14:textId="4BE111FB" w:rsidR="00CB2D51" w:rsidRPr="00DA788D" w:rsidRDefault="00CB2D51" w:rsidP="00DA788D">
      <w:pPr>
        <w:spacing w:after="120"/>
        <w:ind w:firstLine="708"/>
        <w:jc w:val="both"/>
        <w:rPr>
          <w:rFonts w:ascii="Times New Roman" w:eastAsia="Times New Roman" w:hAnsi="Times New Roman" w:cs="Times New Roman"/>
          <w:sz w:val="24"/>
          <w:szCs w:val="24"/>
        </w:rPr>
      </w:pPr>
    </w:p>
    <w:p w14:paraId="58AF1AF0" w14:textId="5BFB0410"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Rozdział 3</w:t>
      </w:r>
      <w:r w:rsidR="00FC4DEB">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Komitet do spraw Kontroli w Zamówieniach Publicznych</w:t>
      </w:r>
    </w:p>
    <w:p w14:paraId="50A95A2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Urzeczywistnieniem zasady współdziałania organów kontroli w nowym prawie zamówień publicznych jest powołanie Komitetu ds. kontroli w zamówieniach publicznych, czyli forum współpracy wszystkich instytucji kontrolujących zamówienia, zarówno związanych z krajowymi środkami</w:t>
      </w:r>
      <w:r w:rsidR="006F11C6">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 i pochodzącymi z UE. Zadania komitetu opisuj</w:t>
      </w:r>
      <w:r w:rsidR="007B299A" w:rsidRPr="00DA788D">
        <w:rPr>
          <w:rFonts w:ascii="Times New Roman" w:eastAsia="Times New Roman" w:hAnsi="Times New Roman" w:cs="Times New Roman"/>
          <w:sz w:val="24"/>
          <w:szCs w:val="24"/>
        </w:rPr>
        <w:t>e</w:t>
      </w:r>
      <w:r w:rsidRPr="00DA788D">
        <w:rPr>
          <w:rFonts w:ascii="Times New Roman" w:eastAsia="Times New Roman" w:hAnsi="Times New Roman" w:cs="Times New Roman"/>
          <w:sz w:val="24"/>
          <w:szCs w:val="24"/>
        </w:rPr>
        <w:t xml:space="preserve"> art. 49</w:t>
      </w:r>
      <w:r w:rsidR="007B299A" w:rsidRPr="00DA788D">
        <w:rPr>
          <w:rFonts w:ascii="Times New Roman" w:eastAsia="Times New Roman" w:hAnsi="Times New Roman" w:cs="Times New Roman"/>
          <w:sz w:val="24"/>
          <w:szCs w:val="24"/>
        </w:rPr>
        <w:t>4</w:t>
      </w:r>
      <w:r w:rsidRPr="00DA788D">
        <w:rPr>
          <w:rFonts w:ascii="Times New Roman" w:eastAsia="Times New Roman" w:hAnsi="Times New Roman" w:cs="Times New Roman"/>
          <w:sz w:val="24"/>
          <w:szCs w:val="24"/>
        </w:rPr>
        <w:t xml:space="preserve"> projektu ustawy.</w:t>
      </w:r>
    </w:p>
    <w:p w14:paraId="0BF56D42" w14:textId="014FD2E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Komitet działać będzie przy ministrze właściwym do spraw gospodarki, (art. 49</w:t>
      </w:r>
      <w:r w:rsidR="007B299A" w:rsidRPr="00DA788D">
        <w:rPr>
          <w:rFonts w:ascii="Times New Roman" w:eastAsia="Times New Roman" w:hAnsi="Times New Roman" w:cs="Times New Roman"/>
          <w:sz w:val="24"/>
          <w:szCs w:val="24"/>
        </w:rPr>
        <w:t>3</w:t>
      </w:r>
      <w:r w:rsidRPr="00DA788D">
        <w:rPr>
          <w:rFonts w:ascii="Times New Roman" w:eastAsia="Times New Roman" w:hAnsi="Times New Roman" w:cs="Times New Roman"/>
          <w:sz w:val="24"/>
          <w:szCs w:val="24"/>
        </w:rPr>
        <w:t xml:space="preserve"> ust.</w:t>
      </w:r>
      <w:r w:rsidR="000F3040">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1 projektu ustawy). </w:t>
      </w:r>
      <w:r w:rsidR="006F11C6">
        <w:rPr>
          <w:rFonts w:ascii="Times New Roman" w:eastAsia="Times New Roman" w:hAnsi="Times New Roman" w:cs="Times New Roman"/>
          <w:sz w:val="24"/>
          <w:szCs w:val="24"/>
        </w:rPr>
        <w:t>Komitet b</w:t>
      </w:r>
      <w:r w:rsidRPr="00DA788D">
        <w:rPr>
          <w:rFonts w:ascii="Times New Roman" w:eastAsia="Times New Roman" w:hAnsi="Times New Roman" w:cs="Times New Roman"/>
          <w:sz w:val="24"/>
          <w:szCs w:val="24"/>
        </w:rPr>
        <w:t>ędzie formułował własne wnioski, oparte na dyskusji wszystkich organów kontroli (art. 49</w:t>
      </w:r>
      <w:r w:rsidR="007B299A" w:rsidRPr="00DA788D">
        <w:rPr>
          <w:rFonts w:ascii="Times New Roman" w:eastAsia="Times New Roman" w:hAnsi="Times New Roman" w:cs="Times New Roman"/>
          <w:sz w:val="24"/>
          <w:szCs w:val="24"/>
        </w:rPr>
        <w:t>5</w:t>
      </w:r>
      <w:r w:rsidRPr="00DA788D">
        <w:rPr>
          <w:rFonts w:ascii="Times New Roman" w:eastAsia="Times New Roman" w:hAnsi="Times New Roman" w:cs="Times New Roman"/>
          <w:sz w:val="24"/>
          <w:szCs w:val="24"/>
        </w:rPr>
        <w:t xml:space="preserve"> projektu ustawy), tj.: </w:t>
      </w:r>
    </w:p>
    <w:p w14:paraId="616D2895" w14:textId="77777777" w:rsidR="006F11C6" w:rsidRDefault="006F11C6" w:rsidP="00DA788D">
      <w:pPr>
        <w:numPr>
          <w:ilvl w:val="0"/>
          <w:numId w:val="7"/>
        </w:numPr>
        <w:spacing w:after="120"/>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Przedstawicieli Prezesa Rady Ministrów,</w:t>
      </w:r>
    </w:p>
    <w:p w14:paraId="33BAD165" w14:textId="77777777" w:rsidR="00CB2D51" w:rsidRPr="00DA788D" w:rsidRDefault="002E64C7" w:rsidP="00DA788D">
      <w:pPr>
        <w:numPr>
          <w:ilvl w:val="0"/>
          <w:numId w:val="7"/>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przedstawicieli instytucji systemu zamówień publicznych (Prezes UZP, KIO, UOKIK),</w:t>
      </w:r>
    </w:p>
    <w:p w14:paraId="20FFCD6F" w14:textId="77777777" w:rsidR="00CB2D51" w:rsidRPr="00DA788D" w:rsidRDefault="002E64C7" w:rsidP="00DA788D">
      <w:pPr>
        <w:numPr>
          <w:ilvl w:val="0"/>
          <w:numId w:val="7"/>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przedstawicieli głównych instytucji kontrolnych państwa (NIK, RIO),</w:t>
      </w:r>
    </w:p>
    <w:p w14:paraId="1078E894" w14:textId="77777777" w:rsidR="00CB2D51" w:rsidRPr="00DA788D" w:rsidRDefault="002E64C7" w:rsidP="00DA788D">
      <w:pPr>
        <w:numPr>
          <w:ilvl w:val="0"/>
          <w:numId w:val="7"/>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przedstawicieli instytucji systemu wdrażania funduszy unijnych.</w:t>
      </w:r>
    </w:p>
    <w:p w14:paraId="097F33A9" w14:textId="1CD5A49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Komitet będzie podejmował rozstrzygnięcia w formie uchwał podejmowanych większością 2/3 głosów w obecności co najmniej połowy wyznaczonych członków (art. </w:t>
      </w:r>
      <w:r w:rsidR="007B299A" w:rsidRPr="00DA788D">
        <w:rPr>
          <w:rFonts w:ascii="Times New Roman" w:eastAsia="Times New Roman" w:hAnsi="Times New Roman" w:cs="Times New Roman"/>
          <w:sz w:val="24"/>
          <w:szCs w:val="24"/>
        </w:rPr>
        <w:t>497</w:t>
      </w:r>
      <w:r w:rsidRPr="00DA788D">
        <w:rPr>
          <w:rFonts w:ascii="Times New Roman" w:eastAsia="Times New Roman" w:hAnsi="Times New Roman" w:cs="Times New Roman"/>
          <w:sz w:val="24"/>
          <w:szCs w:val="24"/>
        </w:rPr>
        <w:t xml:space="preserve"> ust. 1 i 2 projektu ustawy). Uchwały będą podejmowane na posiedzeniach z możliwością głosowania ich w trybie obiegowym. Decydujący głos w przypadku równej liczny głosów przypadałby przewodniczącemu </w:t>
      </w:r>
      <w:r w:rsidR="006F11C6">
        <w:rPr>
          <w:rFonts w:ascii="Times New Roman" w:eastAsia="Times New Roman" w:hAnsi="Times New Roman" w:cs="Times New Roman"/>
          <w:sz w:val="24"/>
          <w:szCs w:val="24"/>
        </w:rPr>
        <w:t>K</w:t>
      </w:r>
      <w:r w:rsidRPr="00DA788D">
        <w:rPr>
          <w:rFonts w:ascii="Times New Roman" w:eastAsia="Times New Roman" w:hAnsi="Times New Roman" w:cs="Times New Roman"/>
          <w:sz w:val="24"/>
          <w:szCs w:val="24"/>
        </w:rPr>
        <w:t>omitetu</w:t>
      </w:r>
      <w:r w:rsidR="006F11C6">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wyznaczanemu przez ministra właściwego do spraw gospodarki spośród pracowników urzędu obsługującego tego ministra. Przewodniczący będzie miał również prawo tworzenia zespołów roboczych do poszczególnych spraw. Będzie zobowiązany do przedkładania ministrowi właściwemu do spraw gospodarki informacji z działalności </w:t>
      </w:r>
      <w:r w:rsidR="006F11C6">
        <w:rPr>
          <w:rFonts w:ascii="Times New Roman" w:eastAsia="Times New Roman" w:hAnsi="Times New Roman" w:cs="Times New Roman"/>
          <w:sz w:val="24"/>
          <w:szCs w:val="24"/>
        </w:rPr>
        <w:t>K</w:t>
      </w:r>
      <w:r w:rsidRPr="00DA788D">
        <w:rPr>
          <w:rFonts w:ascii="Times New Roman" w:eastAsia="Times New Roman" w:hAnsi="Times New Roman" w:cs="Times New Roman"/>
          <w:sz w:val="24"/>
          <w:szCs w:val="24"/>
        </w:rPr>
        <w:t>omitetu za każdy rok.</w:t>
      </w:r>
    </w:p>
    <w:p w14:paraId="6FED8F37" w14:textId="7558AED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Minister właściwy do spraw gospodarki określi w drodze zarządzenia regulamin pracy Komitetu (art. </w:t>
      </w:r>
      <w:r w:rsidR="007B299A" w:rsidRPr="00DA788D">
        <w:rPr>
          <w:rFonts w:ascii="Times New Roman" w:eastAsia="Times New Roman" w:hAnsi="Times New Roman" w:cs="Times New Roman"/>
          <w:sz w:val="24"/>
          <w:szCs w:val="24"/>
        </w:rPr>
        <w:t>497</w:t>
      </w:r>
      <w:r w:rsidRPr="00DA788D">
        <w:rPr>
          <w:rFonts w:ascii="Times New Roman" w:eastAsia="Times New Roman" w:hAnsi="Times New Roman" w:cs="Times New Roman"/>
          <w:sz w:val="24"/>
          <w:szCs w:val="24"/>
        </w:rPr>
        <w:t xml:space="preserve"> </w:t>
      </w:r>
      <w:r w:rsidR="007977F6">
        <w:rPr>
          <w:rFonts w:ascii="Times New Roman" w:eastAsia="Times New Roman" w:hAnsi="Times New Roman" w:cs="Times New Roman"/>
          <w:sz w:val="24"/>
          <w:szCs w:val="24"/>
        </w:rPr>
        <w:t xml:space="preserve">ust. 6 </w:t>
      </w:r>
      <w:r w:rsidRPr="00DA788D">
        <w:rPr>
          <w:rFonts w:ascii="Times New Roman" w:eastAsia="Times New Roman" w:hAnsi="Times New Roman" w:cs="Times New Roman"/>
          <w:sz w:val="24"/>
          <w:szCs w:val="24"/>
        </w:rPr>
        <w:t>projektu ustawy).</w:t>
      </w:r>
    </w:p>
    <w:p w14:paraId="079C335C" w14:textId="2B00673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Zadania Komitetu i jego działania nie mają na celu </w:t>
      </w:r>
      <w:r w:rsidR="006F11C6" w:rsidRPr="00DA788D">
        <w:rPr>
          <w:rFonts w:ascii="Times New Roman" w:eastAsia="Times New Roman" w:hAnsi="Times New Roman" w:cs="Times New Roman"/>
          <w:sz w:val="24"/>
          <w:szCs w:val="24"/>
        </w:rPr>
        <w:t>ogranicza</w:t>
      </w:r>
      <w:r w:rsidR="006F11C6">
        <w:rPr>
          <w:rFonts w:ascii="Times New Roman" w:eastAsia="Times New Roman" w:hAnsi="Times New Roman" w:cs="Times New Roman"/>
          <w:sz w:val="24"/>
          <w:szCs w:val="24"/>
        </w:rPr>
        <w:t>nie</w:t>
      </w:r>
      <w:r w:rsidR="006F11C6"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kompetencji poszczególnych instytucji, ale stworz</w:t>
      </w:r>
      <w:r w:rsidR="006F11C6">
        <w:rPr>
          <w:rFonts w:ascii="Times New Roman" w:eastAsia="Times New Roman" w:hAnsi="Times New Roman" w:cs="Times New Roman"/>
          <w:sz w:val="24"/>
          <w:szCs w:val="24"/>
        </w:rPr>
        <w:t>enie</w:t>
      </w:r>
      <w:r w:rsidRPr="00DA788D">
        <w:rPr>
          <w:rFonts w:ascii="Times New Roman" w:eastAsia="Times New Roman" w:hAnsi="Times New Roman" w:cs="Times New Roman"/>
          <w:sz w:val="24"/>
          <w:szCs w:val="24"/>
        </w:rPr>
        <w:t xml:space="preserve"> pol</w:t>
      </w:r>
      <w:r w:rsidR="006F11C6">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do wymiany doświadczeń, współpracy</w:t>
      </w:r>
      <w:r w:rsidR="006F11C6">
        <w:rPr>
          <w:rFonts w:ascii="Times New Roman" w:eastAsia="Times New Roman" w:hAnsi="Times New Roman" w:cs="Times New Roman"/>
          <w:sz w:val="24"/>
          <w:szCs w:val="24"/>
        </w:rPr>
        <w:t xml:space="preserve"> i</w:t>
      </w:r>
      <w:r w:rsidRPr="00DA788D">
        <w:rPr>
          <w:rFonts w:ascii="Times New Roman" w:eastAsia="Times New Roman" w:hAnsi="Times New Roman" w:cs="Times New Roman"/>
          <w:sz w:val="24"/>
          <w:szCs w:val="24"/>
        </w:rPr>
        <w:t xml:space="preserve"> wskazywania na problemy poszczególnych instytucji, z wykorzystaniem również wiedzy zgromadzonej przez każdą z nich. Zadania Komitetu będą polegały na:</w:t>
      </w:r>
    </w:p>
    <w:p w14:paraId="0E6B0600" w14:textId="63B24425" w:rsidR="006F11C6" w:rsidRPr="00DA788D" w:rsidRDefault="002E64C7" w:rsidP="006F11C6">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monitorowaniu i analizie działalności</w:t>
      </w:r>
      <w:r w:rsidR="007B299A" w:rsidRPr="00DA788D">
        <w:rPr>
          <w:rFonts w:ascii="Times New Roman" w:eastAsia="Times New Roman" w:hAnsi="Times New Roman" w:cs="Times New Roman"/>
          <w:sz w:val="24"/>
          <w:szCs w:val="24"/>
        </w:rPr>
        <w:t xml:space="preserve"> organów kontroli administracji publicznej, o których mowa w art. </w:t>
      </w:r>
      <w:r w:rsidR="006F11C6">
        <w:rPr>
          <w:rFonts w:ascii="Times New Roman" w:eastAsia="Times New Roman" w:hAnsi="Times New Roman" w:cs="Times New Roman"/>
          <w:sz w:val="24"/>
          <w:szCs w:val="24"/>
        </w:rPr>
        <w:t>596</w:t>
      </w:r>
      <w:r w:rsidR="007B299A" w:rsidRPr="00DA788D">
        <w:rPr>
          <w:rFonts w:ascii="Times New Roman" w:eastAsia="Times New Roman" w:hAnsi="Times New Roman" w:cs="Times New Roman"/>
          <w:sz w:val="24"/>
          <w:szCs w:val="24"/>
        </w:rPr>
        <w:t xml:space="preserve"> ust. 2 projektu ustawy</w:t>
      </w:r>
      <w:r w:rsidR="00584FAB" w:rsidRPr="00DA788D">
        <w:rPr>
          <w:rFonts w:ascii="Times New Roman" w:eastAsia="Times New Roman" w:hAnsi="Times New Roman" w:cs="Times New Roman"/>
          <w:sz w:val="24"/>
          <w:szCs w:val="24"/>
        </w:rPr>
        <w:t>, w zakresie kontroli legalności udzielania zamówień publicznych</w:t>
      </w:r>
      <w:r w:rsidR="006F11C6">
        <w:rPr>
          <w:rFonts w:ascii="Times New Roman" w:eastAsia="Times New Roman" w:hAnsi="Times New Roman" w:cs="Times New Roman"/>
          <w:sz w:val="24"/>
          <w:szCs w:val="24"/>
        </w:rPr>
        <w:t>, w tym</w:t>
      </w:r>
      <w:r w:rsidR="006F11C6" w:rsidRPr="006F11C6">
        <w:rPr>
          <w:rFonts w:ascii="Times New Roman" w:eastAsia="Times New Roman" w:hAnsi="Times New Roman" w:cs="Times New Roman"/>
          <w:sz w:val="24"/>
          <w:szCs w:val="24"/>
        </w:rPr>
        <w:t xml:space="preserve"> </w:t>
      </w:r>
      <w:r w:rsidR="006F11C6" w:rsidRPr="00DA788D">
        <w:rPr>
          <w:rFonts w:ascii="Times New Roman" w:eastAsia="Times New Roman" w:hAnsi="Times New Roman" w:cs="Times New Roman"/>
          <w:sz w:val="24"/>
          <w:szCs w:val="24"/>
        </w:rPr>
        <w:t>dokonywaniu analizy przypadków, w których działania organów kontroli ujawniły nieprawidłowości w przestrzeganiu przepisów o zamówieniach publicznych, a także rozbieżności w stosowaniu lub rozumieniu tych przepisów, oraz przygotowywanie wniosków z tej analizy</w:t>
      </w:r>
      <w:r w:rsidR="000F3040">
        <w:rPr>
          <w:rFonts w:ascii="Times New Roman" w:eastAsia="Times New Roman" w:hAnsi="Times New Roman" w:cs="Times New Roman"/>
          <w:sz w:val="24"/>
          <w:szCs w:val="24"/>
        </w:rPr>
        <w:t>;</w:t>
      </w:r>
    </w:p>
    <w:p w14:paraId="2008FF67" w14:textId="48ED2FAF" w:rsidR="00CB2D51" w:rsidRPr="00DA788D" w:rsidRDefault="00584FAB"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zapewnieniu możliwości</w:t>
      </w:r>
      <w:r w:rsidR="002E64C7" w:rsidRPr="00DA788D">
        <w:rPr>
          <w:rFonts w:ascii="Times New Roman" w:eastAsia="Times New Roman" w:hAnsi="Times New Roman" w:cs="Times New Roman"/>
          <w:sz w:val="24"/>
          <w:szCs w:val="24"/>
        </w:rPr>
        <w:t xml:space="preserve"> współpracy organów</w:t>
      </w:r>
      <w:r w:rsidRPr="00DA788D">
        <w:rPr>
          <w:rFonts w:ascii="Times New Roman" w:eastAsia="Times New Roman" w:hAnsi="Times New Roman" w:cs="Times New Roman"/>
          <w:sz w:val="24"/>
          <w:szCs w:val="24"/>
        </w:rPr>
        <w:t xml:space="preserve">, o których mowa w art. </w:t>
      </w:r>
      <w:r w:rsidR="006F11C6">
        <w:rPr>
          <w:rFonts w:ascii="Times New Roman" w:eastAsia="Times New Roman" w:hAnsi="Times New Roman" w:cs="Times New Roman"/>
          <w:sz w:val="24"/>
          <w:szCs w:val="24"/>
        </w:rPr>
        <w:t>596</w:t>
      </w:r>
      <w:r w:rsidR="006F11C6"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w zakresie prowadzonych kontroli</w:t>
      </w:r>
      <w:r w:rsidR="000F3040">
        <w:rPr>
          <w:rFonts w:ascii="Times New Roman" w:eastAsia="Times New Roman" w:hAnsi="Times New Roman" w:cs="Times New Roman"/>
          <w:sz w:val="24"/>
          <w:szCs w:val="24"/>
        </w:rPr>
        <w:t>;</w:t>
      </w:r>
      <w:r w:rsidR="000F3040" w:rsidRPr="00DA788D">
        <w:rPr>
          <w:rFonts w:ascii="Times New Roman" w:eastAsia="Times New Roman" w:hAnsi="Times New Roman" w:cs="Times New Roman"/>
          <w:sz w:val="24"/>
          <w:szCs w:val="24"/>
        </w:rPr>
        <w:t xml:space="preserve"> </w:t>
      </w:r>
    </w:p>
    <w:p w14:paraId="2D9B95CE" w14:textId="4E4B2A29" w:rsidR="00CB2D51" w:rsidRPr="00DA788D" w:rsidRDefault="002E64C7"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proponowaniu działań, w tym działań zapobiegawczych, odpowiadających wnioskom z w</w:t>
      </w:r>
      <w:r w:rsidR="007977F6">
        <w:rPr>
          <w:rFonts w:ascii="Times New Roman" w:eastAsia="Times New Roman" w:hAnsi="Times New Roman" w:cs="Times New Roman"/>
          <w:sz w:val="24"/>
          <w:szCs w:val="24"/>
        </w:rPr>
        <w:t>w</w:t>
      </w:r>
      <w:r w:rsidRPr="00DA788D">
        <w:rPr>
          <w:rFonts w:ascii="Times New Roman" w:eastAsia="Times New Roman" w:hAnsi="Times New Roman" w:cs="Times New Roman"/>
          <w:sz w:val="24"/>
          <w:szCs w:val="24"/>
        </w:rPr>
        <w:t>. analizy</w:t>
      </w:r>
      <w:r w:rsidR="000F3040">
        <w:rPr>
          <w:rFonts w:ascii="Times New Roman" w:eastAsia="Times New Roman" w:hAnsi="Times New Roman" w:cs="Times New Roman"/>
          <w:sz w:val="24"/>
          <w:szCs w:val="24"/>
        </w:rPr>
        <w:t>;</w:t>
      </w:r>
      <w:r w:rsidR="000F3040" w:rsidRPr="00DA788D">
        <w:rPr>
          <w:rFonts w:ascii="Times New Roman" w:eastAsia="Times New Roman" w:hAnsi="Times New Roman" w:cs="Times New Roman"/>
          <w:sz w:val="24"/>
          <w:szCs w:val="24"/>
        </w:rPr>
        <w:t xml:space="preserve"> </w:t>
      </w:r>
    </w:p>
    <w:p w14:paraId="44CECA51" w14:textId="349D3BB7" w:rsidR="00CB2D51" w:rsidRPr="00DA788D" w:rsidRDefault="002E64C7"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występowaniu do Prezesa UZP o przeprowadzanie szkolenia dla instytucji kontrolnych, wydanie opinii lub podjęcie innych działań zmierzających do zapewnienia prawidłowego i jednolitego rozumienia przepisów o zamówieniach publicznych</w:t>
      </w:r>
      <w:r w:rsidR="000F3040">
        <w:rPr>
          <w:rFonts w:ascii="Times New Roman" w:eastAsia="Times New Roman" w:hAnsi="Times New Roman" w:cs="Times New Roman"/>
          <w:sz w:val="24"/>
          <w:szCs w:val="24"/>
        </w:rPr>
        <w:t>;</w:t>
      </w:r>
    </w:p>
    <w:p w14:paraId="4C344E08" w14:textId="0F08A6A3" w:rsidR="00CB2D51" w:rsidRPr="00DA788D" w:rsidRDefault="002E64C7"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proponowaniu rozwiązań w zakresie zmian w systemie kontroli zamówień publicznych, w tym w polityce zakupowej państwa</w:t>
      </w:r>
      <w:r w:rsidR="000F3040">
        <w:rPr>
          <w:rFonts w:ascii="Times New Roman" w:eastAsia="Times New Roman" w:hAnsi="Times New Roman" w:cs="Times New Roman"/>
          <w:sz w:val="24"/>
          <w:szCs w:val="24"/>
        </w:rPr>
        <w:t>;</w:t>
      </w:r>
      <w:r w:rsidR="000F3040" w:rsidRPr="00DA788D">
        <w:rPr>
          <w:rFonts w:ascii="Times New Roman" w:eastAsia="Times New Roman" w:hAnsi="Times New Roman" w:cs="Times New Roman"/>
          <w:sz w:val="24"/>
          <w:szCs w:val="24"/>
        </w:rPr>
        <w:t xml:space="preserve"> </w:t>
      </w:r>
    </w:p>
    <w:p w14:paraId="0DA26320" w14:textId="59ED75CF" w:rsidR="00CB2D51" w:rsidRPr="00DA788D" w:rsidRDefault="002E64C7"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proponowaniu na wniosek jednego z organów treści stanowiska w zakresie zastrzeżeń zgłaszanych przez Komisję Europejską w odniesieniu do stosowania przepisów o zamówieniach publicznych</w:t>
      </w:r>
      <w:r w:rsidR="000F3040">
        <w:rPr>
          <w:rFonts w:ascii="Times New Roman" w:eastAsia="Times New Roman" w:hAnsi="Times New Roman" w:cs="Times New Roman"/>
          <w:sz w:val="24"/>
          <w:szCs w:val="24"/>
        </w:rPr>
        <w:t>;</w:t>
      </w:r>
    </w:p>
    <w:p w14:paraId="29C16A6A" w14:textId="05CD61B1" w:rsidR="00CB2D51" w:rsidRPr="00DA788D" w:rsidRDefault="002E64C7" w:rsidP="00DA788D">
      <w:pPr>
        <w:numPr>
          <w:ilvl w:val="0"/>
          <w:numId w:val="52"/>
        </w:numPr>
        <w:spacing w:after="120"/>
        <w:ind w:left="1219"/>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propagowaniu dobrych praktyk w zakresie standardów kontroli zamówień publicznych</w:t>
      </w:r>
      <w:r w:rsidR="000F3040">
        <w:rPr>
          <w:rFonts w:ascii="Times New Roman" w:eastAsia="Times New Roman" w:hAnsi="Times New Roman" w:cs="Times New Roman"/>
          <w:sz w:val="24"/>
          <w:szCs w:val="24"/>
        </w:rPr>
        <w:t>;</w:t>
      </w:r>
    </w:p>
    <w:p w14:paraId="7C1C294A" w14:textId="77777777" w:rsidR="00CB2D51" w:rsidRPr="00DA788D" w:rsidRDefault="002E64C7" w:rsidP="00DA788D">
      <w:pPr>
        <w:pStyle w:val="Akapitzlist"/>
        <w:numPr>
          <w:ilvl w:val="0"/>
          <w:numId w:val="52"/>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współpraca w sprawach związanych z rozwojem systemu kontroli zamówień publicznych z innymi państwami, organizacjami oraz instytucjami międzynarodowymi i zagranicznymi.</w:t>
      </w:r>
    </w:p>
    <w:p w14:paraId="5F68F258" w14:textId="5FE02C8B"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lastRenderedPageBreak/>
        <w:t>Rozdział 4</w:t>
      </w:r>
      <w:r w:rsidR="007977F6">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Rada Zamówień Publicznych </w:t>
      </w:r>
    </w:p>
    <w:p w14:paraId="5825FA8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Rada Zamówień Publicznych składa się z 10 do 15 członków powoływanych przez ministra właściwego do spraw gospodarki (art. 50</w:t>
      </w:r>
      <w:r w:rsidR="004538E0"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projektu ustawy). Rada, tak jak dotychczas, pozostanie kolegialnym organem opiniodawczo-doradczym Prezesa Urzędu. </w:t>
      </w:r>
    </w:p>
    <w:p w14:paraId="4409D23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zadań Rada należy (art. 50</w:t>
      </w:r>
      <w:r w:rsidR="004538E0" w:rsidRPr="00DA788D">
        <w:rPr>
          <w:rFonts w:ascii="Times New Roman" w:eastAsia="Times New Roman" w:hAnsi="Times New Roman" w:cs="Times New Roman"/>
          <w:sz w:val="24"/>
          <w:szCs w:val="24"/>
        </w:rPr>
        <w:t>0</w:t>
      </w:r>
      <w:r w:rsidRPr="00DA788D">
        <w:rPr>
          <w:rFonts w:ascii="Times New Roman" w:eastAsia="Times New Roman" w:hAnsi="Times New Roman" w:cs="Times New Roman"/>
          <w:sz w:val="24"/>
          <w:szCs w:val="24"/>
        </w:rPr>
        <w:t xml:space="preserve"> ust. 2 projektu ustawy):</w:t>
      </w:r>
    </w:p>
    <w:p w14:paraId="47D30790" w14:textId="77777777" w:rsidR="004538E0" w:rsidRPr="00DA788D" w:rsidRDefault="002E64C7" w:rsidP="00DA788D">
      <w:pPr>
        <w:numPr>
          <w:ilvl w:val="0"/>
          <w:numId w:val="51"/>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wyrażanie opinii w szczególnie istotnych sprawach systemu zamówień publicznych, przedstawionych jej przez Prezesa Urzędu</w:t>
      </w:r>
      <w:r w:rsidR="004538E0" w:rsidRPr="00DA788D">
        <w:rPr>
          <w:rFonts w:ascii="Times New Roman" w:eastAsia="Times New Roman" w:hAnsi="Times New Roman" w:cs="Times New Roman"/>
          <w:color w:val="000000"/>
          <w:sz w:val="24"/>
          <w:szCs w:val="24"/>
        </w:rPr>
        <w:t>;</w:t>
      </w:r>
    </w:p>
    <w:p w14:paraId="05D5E8E5" w14:textId="77777777" w:rsidR="00CB2D51" w:rsidRPr="00DA788D" w:rsidRDefault="002E64C7" w:rsidP="00DA788D">
      <w:pPr>
        <w:numPr>
          <w:ilvl w:val="0"/>
          <w:numId w:val="51"/>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 opiniowanie projektów aktów normatywnych dotyczących zamówień publicznych</w:t>
      </w:r>
      <w:r w:rsidR="004538E0" w:rsidRPr="00DA788D">
        <w:rPr>
          <w:rFonts w:ascii="Times New Roman" w:eastAsia="Times New Roman" w:hAnsi="Times New Roman" w:cs="Times New Roman"/>
          <w:color w:val="000000"/>
          <w:sz w:val="24"/>
          <w:szCs w:val="24"/>
        </w:rPr>
        <w:t xml:space="preserve"> przedstawionych jej przez Prezesa Urzędu</w:t>
      </w:r>
      <w:r w:rsidRPr="00DA788D">
        <w:rPr>
          <w:rFonts w:ascii="Times New Roman" w:eastAsia="Times New Roman" w:hAnsi="Times New Roman" w:cs="Times New Roman"/>
          <w:color w:val="000000"/>
          <w:sz w:val="24"/>
          <w:szCs w:val="24"/>
        </w:rPr>
        <w:t>;</w:t>
      </w:r>
    </w:p>
    <w:p w14:paraId="7A545AE6" w14:textId="77777777" w:rsidR="004538E0" w:rsidRPr="00DA788D" w:rsidRDefault="004538E0" w:rsidP="00DA788D">
      <w:pPr>
        <w:numPr>
          <w:ilvl w:val="0"/>
          <w:numId w:val="51"/>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opiniowanie sprawozdania z funkcjonowania systemu zamówień publicznych, o którym mowa w art. 469 pkt 21 projektu ustawy;</w:t>
      </w:r>
    </w:p>
    <w:p w14:paraId="11303539" w14:textId="77777777" w:rsidR="00CB2D51" w:rsidRPr="00DA788D" w:rsidRDefault="002E64C7" w:rsidP="00DA788D">
      <w:pPr>
        <w:numPr>
          <w:ilvl w:val="0"/>
          <w:numId w:val="51"/>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ustalanie zasad etyki zawodowej osób wykonujących określone w ustawie zadania w systemie zamówień publicznych;</w:t>
      </w:r>
    </w:p>
    <w:p w14:paraId="0176955E" w14:textId="77777777" w:rsidR="00CB2D51" w:rsidRPr="00DA788D" w:rsidRDefault="002E64C7" w:rsidP="00DA788D">
      <w:pPr>
        <w:numPr>
          <w:ilvl w:val="0"/>
          <w:numId w:val="51"/>
        </w:numPr>
        <w:pBdr>
          <w:top w:val="nil"/>
          <w:left w:val="nil"/>
          <w:bottom w:val="nil"/>
          <w:right w:val="nil"/>
          <w:between w:val="nil"/>
        </w:pBdr>
        <w:spacing w:after="120"/>
        <w:ind w:left="1068"/>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wykonywanie innych zadań zleconych przez Prezesa Urzędu.</w:t>
      </w:r>
    </w:p>
    <w:p w14:paraId="3D4CD97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Rada może mieć zatem wpływ na funkcjonowanie i praktyczne zastosowanie przepisów o zamówieniach publicznych i upowszechnianie pożądanych zachowań wśród zamawiających. Problematyka prac Rady powinna koncentrować się na znaczących zagadnieniach i praktycznych trudnościach z jakimi muszą zmierzyć się zamawiający i wykonawcy. Rolą Rady nie jest analizowanie i rozwiązywanie indywidualnych spraw zamawiających i wykonawców. Opinie Rady nie mają wiążącego charakteru dla Prezesa Urzędu.</w:t>
      </w:r>
    </w:p>
    <w:p w14:paraId="483F8B6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Kandydatów na członków Rady mogą zgłosić (art. 50</w:t>
      </w:r>
      <w:r w:rsidR="004538E0"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ust. 2 projektu ustawy): </w:t>
      </w:r>
    </w:p>
    <w:p w14:paraId="48D43700" w14:textId="77777777" w:rsidR="00CB2D51" w:rsidRPr="00DA788D" w:rsidRDefault="002E64C7" w:rsidP="00DA788D">
      <w:pPr>
        <w:numPr>
          <w:ilvl w:val="0"/>
          <w:numId w:val="5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Prezes Urzędu;</w:t>
      </w:r>
    </w:p>
    <w:p w14:paraId="104EDE82" w14:textId="77777777" w:rsidR="00CB2D51" w:rsidRPr="00DA788D" w:rsidRDefault="002E64C7" w:rsidP="00DA788D">
      <w:pPr>
        <w:numPr>
          <w:ilvl w:val="0"/>
          <w:numId w:val="5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inne organy administracji rządowej;</w:t>
      </w:r>
    </w:p>
    <w:p w14:paraId="3CBADD18" w14:textId="77777777" w:rsidR="00CB2D51" w:rsidRPr="00DA788D" w:rsidRDefault="002E64C7" w:rsidP="00DA788D">
      <w:pPr>
        <w:numPr>
          <w:ilvl w:val="0"/>
          <w:numId w:val="5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Komisja Wspólna Rządu i Samorządu Terytorialnego;</w:t>
      </w:r>
    </w:p>
    <w:p w14:paraId="67C0C093" w14:textId="77777777" w:rsidR="00CB2D51" w:rsidRPr="00DA788D" w:rsidRDefault="002E64C7" w:rsidP="00DA788D">
      <w:pPr>
        <w:numPr>
          <w:ilvl w:val="0"/>
          <w:numId w:val="5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Rada Dialogu Społecznego.</w:t>
      </w:r>
    </w:p>
    <w:p w14:paraId="68A8C5F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Zapewnia to możliwość reprezentacji przedstawicieli zarówno zamawiających i wykonawców.</w:t>
      </w:r>
    </w:p>
    <w:p w14:paraId="2DBF19D4" w14:textId="67E260DF"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art. 50</w:t>
      </w:r>
      <w:r w:rsidR="004538E0"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ust. 3</w:t>
      </w:r>
      <w:r w:rsidR="007977F6">
        <w:rPr>
          <w:rFonts w:ascii="Times New Roman" w:eastAsia="Times New Roman" w:hAnsi="Times New Roman" w:cs="Times New Roman"/>
          <w:sz w:val="24"/>
          <w:szCs w:val="24"/>
        </w:rPr>
        <w:t xml:space="preserve"> </w:t>
      </w:r>
      <w:r w:rsidR="007977F6" w:rsidRPr="00DA788D">
        <w:rPr>
          <w:rFonts w:ascii="Times New Roman" w:eastAsia="Times New Roman" w:hAnsi="Times New Roman" w:cs="Times New Roman"/>
          <w:sz w:val="24"/>
          <w:szCs w:val="24"/>
        </w:rPr>
        <w:t>projektu ustawy</w:t>
      </w:r>
      <w:r w:rsidRPr="00DA788D">
        <w:rPr>
          <w:rFonts w:ascii="Times New Roman" w:eastAsia="Times New Roman" w:hAnsi="Times New Roman" w:cs="Times New Roman"/>
          <w:sz w:val="24"/>
          <w:szCs w:val="24"/>
        </w:rPr>
        <w:t>, członkiem Rady może być osoba, która:</w:t>
      </w:r>
    </w:p>
    <w:p w14:paraId="174E9AFB" w14:textId="77777777" w:rsidR="00CB2D51" w:rsidRPr="00DA788D" w:rsidRDefault="002E64C7" w:rsidP="00DA788D">
      <w:pPr>
        <w:numPr>
          <w:ilvl w:val="0"/>
          <w:numId w:val="5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posiada obywatelstwo polskie;</w:t>
      </w:r>
    </w:p>
    <w:p w14:paraId="3D9C552B" w14:textId="77777777" w:rsidR="00CB2D51" w:rsidRPr="00DA788D" w:rsidRDefault="002E64C7" w:rsidP="00DA788D">
      <w:pPr>
        <w:numPr>
          <w:ilvl w:val="0"/>
          <w:numId w:val="5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korzysta z pełni praw publicznych; </w:t>
      </w:r>
    </w:p>
    <w:p w14:paraId="317C1F20" w14:textId="33296E76" w:rsidR="00CB2D51" w:rsidRPr="00DA788D" w:rsidRDefault="002E64C7" w:rsidP="00DA788D">
      <w:pPr>
        <w:numPr>
          <w:ilvl w:val="0"/>
          <w:numId w:val="5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w:hAnsi="Times New Roman" w:cs="Times New Roman"/>
          <w:color w:val="000000"/>
          <w:sz w:val="24"/>
          <w:szCs w:val="24"/>
        </w:rPr>
        <w:t>nie była skazane prawomocnym wyrokiem za przestępstwo umyślne lub umyślne przestępstwo skarbowe</w:t>
      </w:r>
      <w:r w:rsidRPr="00DA788D">
        <w:rPr>
          <w:rFonts w:ascii="Times New Roman" w:eastAsia="Times New Roman" w:hAnsi="Times New Roman" w:cs="Times New Roman"/>
          <w:color w:val="000000"/>
          <w:sz w:val="24"/>
          <w:szCs w:val="24"/>
        </w:rPr>
        <w:t>;</w:t>
      </w:r>
    </w:p>
    <w:p w14:paraId="01C2D390" w14:textId="77777777" w:rsidR="00CB2D51" w:rsidRPr="00DA788D" w:rsidRDefault="002E64C7" w:rsidP="00DA788D">
      <w:pPr>
        <w:numPr>
          <w:ilvl w:val="0"/>
          <w:numId w:val="5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posiada wiedzę i autorytet dające rękojmię prawidłowej realizacji zadań Rady.</w:t>
      </w:r>
    </w:p>
    <w:p w14:paraId="2A3AF2F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Pracami Rady kieruje przewodniczący, powoływany przez ministra właściwego do spraw gospodarki Rada wybiera wiceprzewodniczącego Rady ze swojego grona. Regulamin pracy Rady określa Prezes Urzędu, w drodze zarządzenia (art. 50</w:t>
      </w:r>
      <w:r w:rsidR="004538E0" w:rsidRPr="00DA788D">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ust. 5 projektu ustawy).</w:t>
      </w:r>
    </w:p>
    <w:p w14:paraId="3A826C5B" w14:textId="1A41CF2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Członkostwo w Radzie nie jest bezterminowe i wygasa wraz z </w:t>
      </w:r>
      <w:r w:rsidR="006F11C6">
        <w:rPr>
          <w:rFonts w:ascii="Times New Roman" w:eastAsia="Times New Roman" w:hAnsi="Times New Roman" w:cs="Times New Roman"/>
          <w:sz w:val="24"/>
          <w:szCs w:val="24"/>
        </w:rPr>
        <w:t>odwołaniem</w:t>
      </w:r>
      <w:r w:rsidRPr="00DA788D">
        <w:rPr>
          <w:rFonts w:ascii="Times New Roman" w:eastAsia="Times New Roman" w:hAnsi="Times New Roman" w:cs="Times New Roman"/>
          <w:sz w:val="24"/>
          <w:szCs w:val="24"/>
        </w:rPr>
        <w:t xml:space="preserve"> Prezesa Urzędu (art. 50</w:t>
      </w:r>
      <w:r w:rsidR="004538E0" w:rsidRPr="00DA788D">
        <w:rPr>
          <w:rFonts w:ascii="Times New Roman" w:eastAsia="Times New Roman" w:hAnsi="Times New Roman" w:cs="Times New Roman"/>
          <w:sz w:val="24"/>
          <w:szCs w:val="24"/>
        </w:rPr>
        <w:t>2</w:t>
      </w:r>
      <w:r w:rsidRPr="00DA788D">
        <w:rPr>
          <w:rFonts w:ascii="Times New Roman" w:eastAsia="Times New Roman" w:hAnsi="Times New Roman" w:cs="Times New Roman"/>
          <w:sz w:val="24"/>
          <w:szCs w:val="24"/>
        </w:rPr>
        <w:t xml:space="preserve"> ust. 1 projektu ustawy). Wówczas także Rada ulega rozwiązaniu. Członkostwo w Radzie wygasa ponadto w przypadku śmierci członka Rady, jego odwołania albo rezygnacji.</w:t>
      </w:r>
    </w:p>
    <w:p w14:paraId="3883B93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Minister właściwy do spraw gospodarki odwołuje członka Rady, gdy przestał on odpowiadać jednemu z warunków ustawowych warunków, a na wniosek Prezesa Urzędu w razie:</w:t>
      </w:r>
    </w:p>
    <w:p w14:paraId="3064A0B6" w14:textId="77777777" w:rsidR="00CB2D51" w:rsidRPr="00DA788D" w:rsidRDefault="002E64C7" w:rsidP="00DA788D">
      <w:pPr>
        <w:numPr>
          <w:ilvl w:val="0"/>
          <w:numId w:val="5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niewykonywania obowiązków członka Rady;</w:t>
      </w:r>
    </w:p>
    <w:p w14:paraId="1F762F06" w14:textId="77777777" w:rsidR="00CB2D51" w:rsidRPr="00DA788D" w:rsidRDefault="002E64C7" w:rsidP="00DA788D">
      <w:pPr>
        <w:numPr>
          <w:ilvl w:val="0"/>
          <w:numId w:val="5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utraty autorytetu dającego rękojmię prawidłowej realizacji zadań Rady;</w:t>
      </w:r>
    </w:p>
    <w:p w14:paraId="13F6C8E8" w14:textId="77777777" w:rsidR="00CB2D51" w:rsidRPr="00DA788D" w:rsidRDefault="002E64C7" w:rsidP="00DA788D">
      <w:pPr>
        <w:numPr>
          <w:ilvl w:val="0"/>
          <w:numId w:val="5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utraty zdolności do pełnienia obowiązków na skutek długotrwałej choroby, trwającej co najmniej 6 miesięcy.</w:t>
      </w:r>
    </w:p>
    <w:p w14:paraId="7D8629F2" w14:textId="77777777"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Skład Rady może zostać uzupełniony w sytuacji gdy liczba członków Rady jest nie mniejsza niż 10. Jednakże, Rada obowiązkowo podlega uzupełnieniu w sytuacji gdy liczba członków byłaby mniejsza niż 10 w wyniku wygaśnięcia członkostwa w Radzie, śmierci jej członka, bądź jego odwołania albo rezygnacji.</w:t>
      </w:r>
    </w:p>
    <w:p w14:paraId="7ABBF779" w14:textId="1C8F3ADF" w:rsidR="00CB2D51" w:rsidRPr="00DA788D" w:rsidRDefault="006F11C6"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Udział w pracach Rady jest odpłatny. Wysokość wynagrodzenia przewodniczącego, wiceprzewodniczącego i pozostałych członków Rady określa rozporządzenie ministra właściwego do spraw gospodarki (art. 504 ust. 2 projektu ustawy).</w:t>
      </w:r>
      <w:r>
        <w:rPr>
          <w:rFonts w:ascii="Times New Roman" w:eastAsia="Times New Roman" w:hAnsi="Times New Roman" w:cs="Times New Roman"/>
          <w:sz w:val="24"/>
          <w:szCs w:val="24"/>
        </w:rPr>
        <w:t xml:space="preserve"> </w:t>
      </w:r>
    </w:p>
    <w:p w14:paraId="1811C5B6" w14:textId="406A76F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IX</w:t>
      </w:r>
      <w:r w:rsidR="007977F6">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Środki ochrony prawnej </w:t>
      </w:r>
    </w:p>
    <w:p w14:paraId="7CDA883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Standardy ochrony prawnej w zamówieniach publicznych wyznacza dyrektywa Rady nr 89/665/EWG z dnia 21 grudnia 1989 r. w sprawie koordynacji przepisów ustawowych, wykonawczych i administracyjnych odnoszących się do stosowania procedur odwoławczych w zakresie udzielania zamówień publicznych na dostawy i roboty budowlane (Dz. Urz. L 395 z 30.12.1989, str. 33, z późn. zm.).</w:t>
      </w:r>
    </w:p>
    <w:p w14:paraId="66A7BF07" w14:textId="577F7052"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Ostatnie zasadnicze zmiany w regulacjach dotyczących środków ochrony prawnej wprowadzono ustawą z dnia 2 grudnia 2009 r. o zmianie ustawy – Prawo zamówień publicznych oraz niektórych innych ustaw (Dz. U. poz. 1778). Zmiany te wynikały z konieczności implementacji dyrektywy odwoławczej Parlamentu Europejskiego i Rady nr 2007/66/WE z dnia 11 grudnia 2007 r. zmieniającej dyrektywy Rady nr 89/665/EWG i nr 92/13/EWG w zakresie poprawy skuteczności procedur odwoławczych w dziedzinie zamówień publicznych. </w:t>
      </w:r>
    </w:p>
    <w:p w14:paraId="4C5859D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Aktualnie obowiązujące rozwiązania instytucjonalne i procesowe przyjęte w zakresie środków ochrony prawnej w polskim systemie zamówień publicznych zapewniają oczekiwaną przez regulacje unijne szybkość i efektywność. W praktyce dostrzegalne są jednak potrzeby zmian niektórych instytucji prawnych</w:t>
      </w:r>
      <w:r w:rsidR="006F11C6">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 celu zwiększenia gwarancji ochrony interesów przedsiębiorców. </w:t>
      </w:r>
    </w:p>
    <w:p w14:paraId="747C69D2" w14:textId="0D0134A1"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1</w:t>
      </w:r>
      <w:r w:rsidR="007977F6">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Przepisy wspólne </w:t>
      </w:r>
    </w:p>
    <w:p w14:paraId="63F484C3" w14:textId="77777777" w:rsidR="00CB2D51" w:rsidRPr="00DA788D" w:rsidRDefault="002E64C7" w:rsidP="00DA788D">
      <w:pPr>
        <w:spacing w:after="120"/>
        <w:ind w:firstLine="7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Środki ochrony prawnej, na podstawie art. 505 ust. 1 projektu ustawy, będą przysługiwały</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tak jak dotychczas</w:t>
      </w:r>
      <w:r w:rsidR="006F11C6">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wykonawcy, uczestnikowi konkursu oraz innemu podmiotowi, który ma lub miał interes w uzyskaniu </w:t>
      </w:r>
      <w:r w:rsidRPr="00DA788D">
        <w:rPr>
          <w:rFonts w:ascii="Times New Roman" w:eastAsia="Times New Roman" w:hAnsi="Times New Roman" w:cs="Times New Roman"/>
          <w:sz w:val="24"/>
          <w:szCs w:val="24"/>
        </w:rPr>
        <w:lastRenderedPageBreak/>
        <w:t>danego zamówienia lub nagrody w konkursie oraz poniósł lub może ponieść szkodę w wyniku naruszenia przez zamawiającego ustawy.</w:t>
      </w:r>
    </w:p>
    <w:p w14:paraId="36962733" w14:textId="3DD239E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Legitymacja do wniesienia środka ochrony prawnej służy tylko takiemu uczestnikowi postępowania, który wykaże interes w uzyskaniu zamówienia. </w:t>
      </w:r>
      <w:r w:rsidR="00705F17">
        <w:rPr>
          <w:rFonts w:ascii="Times New Roman" w:eastAsia="Times New Roman" w:hAnsi="Times New Roman" w:cs="Times New Roman"/>
          <w:sz w:val="24"/>
          <w:szCs w:val="24"/>
        </w:rPr>
        <w:t>O</w:t>
      </w:r>
      <w:r w:rsidRPr="00DA788D">
        <w:rPr>
          <w:rFonts w:ascii="Times New Roman" w:eastAsia="Times New Roman" w:hAnsi="Times New Roman" w:cs="Times New Roman"/>
          <w:sz w:val="24"/>
          <w:szCs w:val="24"/>
        </w:rPr>
        <w:t>dwołujący musi dowieść, że posiada obiektywną, tj. wynikającą z rzeczywistej utraty możliwości uzyskania zamówienia, lub ubiegania się o udzielenie zamówienia, potrzebę uzyskania określonego rozstrzygnięcia. Ponadto norma prawna wskazuje na interes w uzyskaniu danego zamówienia, a zatem interes ten dotyczyć musi tego konkretnego postępowania, w którym środek ochrony prawnej jest stosowany. Wnoszący odwołanie, nie może powoływać się zatem na interes hipotetyczny, odnoszący się do innego zamówienia przewidywanego w przyszłości. Tym samym, brak konieczności oparcia się na normie prawa materialnego nie oznacza dowolności w ocenie, czy wnoszący środek ochrony prawnej jest do tego legitymowany.</w:t>
      </w:r>
    </w:p>
    <w:p w14:paraId="396A9AC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Odwołujący musi także wykazać, że poniósł lub może ponieść szkodę. Ustawa nie konkretyzuje, czy chodzi wyłącznie o stratę (szkodę majątkową), czy także o krzywdę (szkodę niemajątkową). Zasadniczo niewątpliwie szkoda będzie rozumiana</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jako strata, jako że utrata możliwości uzyskania zamówienia ma głównie charakter ekonomiczny.</w:t>
      </w:r>
    </w:p>
    <w:p w14:paraId="49BFC60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Ponadto</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szkoda musi być wynikiem naruszenia przez zamawiającego przepisów ustawy. Oznacza to, że wykazywana przez odwołującego szkoda musi pozostawać w adekwatnym związku przyczynowym z naruszeniem przez zamawiającego przepisów ustawy. Odwołujący musi więc wykazać, że zamawiający dokonał albo zaniechał dokonania określonej czynności wbrew przepisom ustawy, czego normalnym następstwem w okolicznościach danej sprawy jest poniesienie lub możliwość poniesienia szkody przez wnoszącego odwołanie.</w:t>
      </w:r>
    </w:p>
    <w:p w14:paraId="5D1D44F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Posiadanie legitymacji czynnej przez odwołującego podlega badaniu przez Izbę lub sąd</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 celu ustalenia dopuszczalności wniesienia odwołania. Stwierdzenie braku legitymacji do wniesienia środków ochrony prawnej prowadzi do oddalenia odwołania.</w:t>
      </w:r>
    </w:p>
    <w:p w14:paraId="46ECE2E6" w14:textId="7294063D"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Uczestnikiem postępowania odwoławczego oprócz stron staje się także wykonawca, który przystępując do tego postępowania wykaże, iż posiada interes w uzyskaniu rozstrzygnięcia na korzyść jednej ze stron. Zgłoszenie przystąpienia zawierać musi wskazanie strony, po której wykonawca przystępuje oraz interesu w uzyskaniu rozstrzygnięcia na korzyść tej strony. Wykonawca, który nie wykaże interesu w uzyskaniu rozstrzygnięcia na korzyść strony, do której przystępuje nie staje się uczestnikiem postępowania odwoławczego. W tym względzie zamawiającemu oraz odwołującemu przysługuje prawo do zgłoszenia opozycji przeciwko przystąpieniu wykonawcy do postępowania odwoławczego. Zamawiający lub odwołujący zgłaszający opozycję wykazują, iż przystępujący nie ma interesu w uzyskaniu rozstrzygnięcia na korzyść strony, do której przystąpił. Jeżeli zgłaszający opozycję uprawdopodobni, że wykonawca przystępujący nie ma interesu w uzyskaniu rozstrzygnięcia na korzyść strony, do której przystąpił, Izba uwzględnia opozycję</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00705F17">
        <w:rPr>
          <w:rFonts w:ascii="Times New Roman" w:eastAsia="Times New Roman" w:hAnsi="Times New Roman" w:cs="Times New Roman"/>
          <w:sz w:val="24"/>
          <w:szCs w:val="24"/>
        </w:rPr>
        <w:t>W</w:t>
      </w:r>
      <w:r w:rsidRPr="00DA788D">
        <w:rPr>
          <w:rFonts w:ascii="Times New Roman" w:eastAsia="Times New Roman" w:hAnsi="Times New Roman" w:cs="Times New Roman"/>
          <w:sz w:val="24"/>
          <w:szCs w:val="24"/>
        </w:rPr>
        <w:t>ówczas wykonawca zgłaszający przystąpienie nie staje się uczestnikiem postępowania odwoławczego. W przeciwnym wypadku Izba oddala opozycję, a zgłoszenie przystąpienia skutkuje uzyskaniem statusu uczestnika postępowania odwoławczego.</w:t>
      </w:r>
    </w:p>
    <w:p w14:paraId="08C9597D" w14:textId="4F04D04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Środki ochrony prawnej wobec ogłoszenia wszczynającego postępowanie lub konkurs oraz dokumentów zamówienia przysługują również wybranym organizacjom wpisanym na listę Prezesa Urzędu. </w:t>
      </w:r>
      <w:r w:rsidR="00705F17">
        <w:rPr>
          <w:rFonts w:ascii="Times New Roman" w:eastAsia="Times New Roman" w:hAnsi="Times New Roman" w:cs="Times New Roman"/>
          <w:sz w:val="24"/>
          <w:szCs w:val="24"/>
        </w:rPr>
        <w:t>N</w:t>
      </w:r>
      <w:r w:rsidR="00705F17" w:rsidRPr="00DA788D">
        <w:rPr>
          <w:rFonts w:ascii="Times New Roman" w:eastAsia="Times New Roman" w:hAnsi="Times New Roman" w:cs="Times New Roman"/>
          <w:sz w:val="24"/>
          <w:szCs w:val="24"/>
        </w:rPr>
        <w:t xml:space="preserve">atomiast </w:t>
      </w:r>
      <w:r w:rsidR="00705F17">
        <w:rPr>
          <w:rFonts w:ascii="Times New Roman" w:eastAsia="Times New Roman" w:hAnsi="Times New Roman" w:cs="Times New Roman"/>
          <w:sz w:val="24"/>
          <w:szCs w:val="24"/>
        </w:rPr>
        <w:t>n</w:t>
      </w:r>
      <w:r w:rsidR="00705F17" w:rsidRPr="00DA788D">
        <w:rPr>
          <w:rFonts w:ascii="Times New Roman" w:eastAsia="Times New Roman" w:hAnsi="Times New Roman" w:cs="Times New Roman"/>
          <w:sz w:val="24"/>
          <w:szCs w:val="24"/>
        </w:rPr>
        <w:t xml:space="preserve">owe </w:t>
      </w:r>
      <w:r w:rsidRPr="00DA788D">
        <w:rPr>
          <w:rFonts w:ascii="Times New Roman" w:eastAsia="Times New Roman" w:hAnsi="Times New Roman" w:cs="Times New Roman"/>
          <w:sz w:val="24"/>
          <w:szCs w:val="24"/>
        </w:rPr>
        <w:t xml:space="preserve">uprawnienie w zakresie wnoszenia środków ochrony prawnej, jak w przypadku organizacji, zyska Rzecznik </w:t>
      </w:r>
      <w:r w:rsidRPr="00DA788D">
        <w:rPr>
          <w:rFonts w:ascii="Times New Roman" w:eastAsia="Times New Roman" w:hAnsi="Times New Roman" w:cs="Times New Roman"/>
          <w:sz w:val="24"/>
          <w:szCs w:val="24"/>
        </w:rPr>
        <w:lastRenderedPageBreak/>
        <w:t>Małych i Średnich Przedsiębiorców (art. 505 ust. 2</w:t>
      </w:r>
      <w:r w:rsidR="00C80C05">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Ma to m.in. na celu ułatwienie małym i średnim przedsiębiorcom korzystanie ze środków ochrony prawnej, w sytuacji kiedy z perspektywy przedsiębiorcy zainteresowanego udziałem w procedurze udzielenia zamówienia nie jest uzasadnione ujawnianie się zamawiającemu. Powyższe tym samym przyczyni się do zwiększenia konkurencyjności postępowań o zamówienie publiczne.</w:t>
      </w:r>
    </w:p>
    <w:p w14:paraId="2F7AD246" w14:textId="3117780E"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2</w:t>
      </w:r>
      <w:r w:rsidR="001B7ED9">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Postępowanie odwoławcze </w:t>
      </w:r>
    </w:p>
    <w:p w14:paraId="15E1944F" w14:textId="189AF63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Zmiany wprowadzane w postępowaniu odwoławczym mają na celu usprawnienie przebiegu postępowania oraz zwiększenie efektywności rozstrzygnięć Izby. Do ustawy zostaną także przeniesione niektóre rozwiązania uregulowane obecnie w rozporządzeniu Prezesa Rady Ministrów z dnia 22 marca 2010 r. w sprawie regulaminu postępowania przy rozpoznawaniu odwołań (Dz. U. z 2018 r. poz. 1092</w:t>
      </w:r>
      <w:r w:rsidR="001B7ED9">
        <w:rPr>
          <w:rFonts w:ascii="Times New Roman" w:eastAsia="Times New Roman" w:hAnsi="Times New Roman" w:cs="Times New Roman"/>
          <w:sz w:val="24"/>
          <w:szCs w:val="24"/>
        </w:rPr>
        <w:t>, z późn. zm.</w:t>
      </w:r>
      <w:r w:rsidRPr="00DA788D">
        <w:rPr>
          <w:rFonts w:ascii="Times New Roman" w:eastAsia="Times New Roman" w:hAnsi="Times New Roman" w:cs="Times New Roman"/>
          <w:sz w:val="24"/>
          <w:szCs w:val="24"/>
        </w:rPr>
        <w:t>).</w:t>
      </w:r>
    </w:p>
    <w:p w14:paraId="0A035C1E" w14:textId="3DA3AA82"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Oddział 1</w:t>
      </w:r>
      <w:r w:rsidR="001B7ED9">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Przepisy ogólne </w:t>
      </w:r>
    </w:p>
    <w:p w14:paraId="3DF18DF7" w14:textId="77777777"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Na podstawie art. 506 projektu ustawy postępowanie odwoławcze będzie prowadzone w języku polskim. Wszystkie dokumenty muszą być przedstawiane w języku polskim, a jeżeli zostały sporządzone w języku obcym, strona oraz uczestnik postępowania odwoławczego, który się na nie powołuje, ma obowiązek przedłożenia ich tłumaczenie na język polski. W uzasadnionych przypadkach Izba będzie mogła żądać przedstawienia tłumaczenia dokumentu na język polski poświadczonego przez tłumacza przysięgłego.</w:t>
      </w:r>
    </w:p>
    <w:p w14:paraId="76E016DE" w14:textId="0BE40CA0"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Pisma składane w toku postępowania odwoławczego przez strony oraz uczestników postępowania odwoławczego muszą być wnoszone z odpisami dla stron oraz uczestników postępowania odwoławczego, tj. w odpowiedniej do liczby podmiotów biorących udział w postępowaniu egzemplarzy (art. 507</w:t>
      </w:r>
      <w:r w:rsidR="00C80C05">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w:t>
      </w:r>
    </w:p>
    <w:p w14:paraId="0DDA3032" w14:textId="3F9C868A"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Formę</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 jakiej mogą być wnoszone pisma</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r w:rsidR="00705F17" w:rsidRPr="00DA788D">
        <w:rPr>
          <w:rFonts w:ascii="Times New Roman" w:eastAsia="Times New Roman" w:hAnsi="Times New Roman" w:cs="Times New Roman"/>
          <w:sz w:val="24"/>
          <w:szCs w:val="24"/>
        </w:rPr>
        <w:t>określ</w:t>
      </w:r>
      <w:r w:rsidR="00705F17">
        <w:rPr>
          <w:rFonts w:ascii="Times New Roman" w:eastAsia="Times New Roman" w:hAnsi="Times New Roman" w:cs="Times New Roman"/>
          <w:sz w:val="24"/>
          <w:szCs w:val="24"/>
        </w:rPr>
        <w:t>a</w:t>
      </w:r>
      <w:r w:rsidR="00705F17"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art. 508 projektu ustawy, zgodnie z którym pisma w postępowaniu odwoławczym mogą być składane</w:t>
      </w:r>
      <w:r w:rsidR="00B43FE0">
        <w:rPr>
          <w:rFonts w:ascii="Times New Roman" w:eastAsia="Times New Roman" w:hAnsi="Times New Roman" w:cs="Times New Roman"/>
          <w:sz w:val="24"/>
          <w:szCs w:val="24"/>
        </w:rPr>
        <w:t xml:space="preserve"> w formie pisemnej </w:t>
      </w:r>
      <w:r w:rsidR="00705F17">
        <w:rPr>
          <w:rFonts w:ascii="Times New Roman" w:eastAsia="Times New Roman" w:hAnsi="Times New Roman" w:cs="Times New Roman"/>
          <w:sz w:val="24"/>
          <w:szCs w:val="24"/>
        </w:rPr>
        <w:t xml:space="preserve">(opatrzone własnoręcznym podpisem) </w:t>
      </w:r>
      <w:r w:rsidR="00B43FE0">
        <w:rPr>
          <w:rFonts w:ascii="Times New Roman" w:eastAsia="Times New Roman" w:hAnsi="Times New Roman" w:cs="Times New Roman"/>
          <w:sz w:val="24"/>
          <w:szCs w:val="24"/>
        </w:rPr>
        <w:t xml:space="preserve">albo formie elektronicznej </w:t>
      </w:r>
      <w:r w:rsidR="00705F17">
        <w:rPr>
          <w:rFonts w:ascii="Times New Roman" w:eastAsia="Times New Roman" w:hAnsi="Times New Roman" w:cs="Times New Roman"/>
          <w:sz w:val="24"/>
          <w:szCs w:val="24"/>
        </w:rPr>
        <w:t xml:space="preserve">(opatrzone podpisem kwalifikowanym), w rozumieniu ustawy – Kodeks cywilny, </w:t>
      </w:r>
      <w:r w:rsidR="00B43FE0">
        <w:rPr>
          <w:rFonts w:ascii="Times New Roman" w:eastAsia="Times New Roman" w:hAnsi="Times New Roman" w:cs="Times New Roman"/>
          <w:sz w:val="24"/>
          <w:szCs w:val="24"/>
        </w:rPr>
        <w:t>albo w postaci elektronicznej opatrzonej podpisem zaufanym.</w:t>
      </w:r>
      <w:r w:rsidR="003F1F8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Pisma będą mogły być składane za pośrednictwem operatora pocztowego, w rozumieniu ustawy z dnia 23 listopada 2012 r. - Prawo pocztowe</w:t>
      </w:r>
      <w:r w:rsidR="001B7ED9">
        <w:rPr>
          <w:rFonts w:ascii="Times New Roman" w:eastAsia="Times New Roman" w:hAnsi="Times New Roman" w:cs="Times New Roman"/>
          <w:sz w:val="24"/>
          <w:szCs w:val="24"/>
        </w:rPr>
        <w:t xml:space="preserve"> </w:t>
      </w:r>
      <w:r w:rsidR="001B7ED9" w:rsidRPr="001B7ED9">
        <w:rPr>
          <w:rFonts w:ascii="Times New Roman" w:eastAsia="Times New Roman" w:hAnsi="Times New Roman" w:cs="Times New Roman"/>
          <w:sz w:val="24"/>
          <w:szCs w:val="24"/>
        </w:rPr>
        <w:t>(Dz.</w:t>
      </w:r>
      <w:r w:rsidR="001B7ED9">
        <w:rPr>
          <w:rFonts w:ascii="Times New Roman" w:eastAsia="Times New Roman" w:hAnsi="Times New Roman" w:cs="Times New Roman"/>
          <w:sz w:val="24"/>
          <w:szCs w:val="24"/>
        </w:rPr>
        <w:t xml:space="preserve"> </w:t>
      </w:r>
      <w:r w:rsidR="001B7ED9" w:rsidRPr="001B7ED9">
        <w:rPr>
          <w:rFonts w:ascii="Times New Roman" w:eastAsia="Times New Roman" w:hAnsi="Times New Roman" w:cs="Times New Roman"/>
          <w:sz w:val="24"/>
          <w:szCs w:val="24"/>
        </w:rPr>
        <w:t>U. z 2018 r. poz. 2188</w:t>
      </w:r>
      <w:r w:rsidR="001B7ED9">
        <w:rPr>
          <w:rFonts w:ascii="Times New Roman" w:eastAsia="Times New Roman" w:hAnsi="Times New Roman" w:cs="Times New Roman"/>
          <w:sz w:val="24"/>
          <w:szCs w:val="24"/>
        </w:rPr>
        <w:t>, z późn. zm.</w:t>
      </w:r>
      <w:r w:rsidR="001B7ED9" w:rsidRPr="001B7ED9">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osobiście, za pośrednictwem posłańca albo przy użyciu środków komunikacji elektronicznej. Zasada ta będzie dotyczyć wszystkich rodzajów pism wnoszonych w postępowaniu odwoławczym.</w:t>
      </w:r>
    </w:p>
    <w:p w14:paraId="0677B739" w14:textId="46C50089"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Wszystkie terminy związane z postępowaniem będą obliczane według przepisów prawa cywilnego a oddanie pisma procesowego w polskiej placówce pocztowej operatora wyznaczonego w rozumieniu ustawy z dnia 23 listopada 2012 r. – Prawo pocztowe lub w placówce pocztowej operatora świadczącego pocztowe usługi powszechne w innym państwie członkowskim Unii Europejskiej albo wprowadzenie pisma do systemu teleinformatycznego będzie równoznaczne z wniesieniem go do Izby (art. 509 ust. 1-3</w:t>
      </w:r>
      <w:r w:rsidR="00C80C05">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Jeżeli koniec terminu do wykonania czynności przypada na sobotę lub dzień ustawowo wolny od pracy, termin upłynie dnia następnego po dniu lub dniach wolnych od pracy (art. 509 ust. 4 projektu ustawy).</w:t>
      </w:r>
    </w:p>
    <w:p w14:paraId="39BCBD01" w14:textId="77777777"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510 projektu ustawy zostanie określone kto będzie mógł być pełnomocnikiem w postępowaniu odwoławczym. Pełnomocnikiem będzie mógł być:</w:t>
      </w:r>
    </w:p>
    <w:p w14:paraId="18ABAB27" w14:textId="77777777" w:rsidR="00CB2D51"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adwokat lub radca prawny,</w:t>
      </w:r>
    </w:p>
    <w:p w14:paraId="0CD1BE34" w14:textId="3A73BBD9" w:rsidR="00705F17" w:rsidRPr="00DA788D" w:rsidRDefault="002E64C7" w:rsidP="00DA788D">
      <w:pPr>
        <w:spacing w:after="120"/>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osoba sprawująca zarząd majątkiem lub interesami strony oraz osoba pozostająca ze stroną w stosunku zlecenia, jeżeli przedmiot sprawy wchodzi w zakres tego zlecenia. Ponadto, pełnomocnikiem osoby prawnej lub przedsiębiorcy, w tym nieposiadającego osobowości prawnej, będzie mógł być również pracownik tej jednostki. Strona postępowania będzie miała zatem wybór czy ustanowić profesjonalnego pełnomocnika</w:t>
      </w:r>
      <w:r w:rsidR="00705F17">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czy inną osobę, która ma ją reprezentować przed KIO. </w:t>
      </w:r>
    </w:p>
    <w:p w14:paraId="657A8BDB" w14:textId="0EB25A45" w:rsidR="00CB2D51" w:rsidRPr="00DA788D" w:rsidRDefault="002E64C7" w:rsidP="00386C63">
      <w:pPr>
        <w:pBdr>
          <w:top w:val="nil"/>
          <w:left w:val="nil"/>
          <w:bottom w:val="nil"/>
          <w:right w:val="nil"/>
          <w:between w:val="nil"/>
        </w:pBdr>
        <w:ind w:firstLine="51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511 </w:t>
      </w:r>
      <w:r w:rsidR="00C80C05">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pełnomocnik będzie obowiązany, przy pierwszej czynności przed Prezesem Izby lub przed Izbą, dołączyć do akt sprawy pełnomocnictwo z podpisem mocodawcy lub wierzytelny odpis pełnomocnictwa wraz z odpisem dla stron i uczestników postępowania, chyba, że odpis pełnomocnictwa został doręczony przez pełnomocnika bezpośrednio stronie i uczestnikowi postępowania. Adwokat i radca prawny będą mogli - podobnie jak w innych rodzajach postępowań - sami uwierzytelnić odpis udzielonego im pełnomocnictwa oraz odpisy innych dokumentów wykazujących ich umocowanie. Jeżeli braki w zakresie pełnomocnictwa albo w składzie właściwych organów dają się uzupełnić, Izba wyznaczy w tym celu odpowiedni termin. Izba będzie mogła także dopuścić tymczasowo do czynności osobę </w:t>
      </w:r>
      <w:r w:rsidR="00386C63" w:rsidRPr="00386C63">
        <w:rPr>
          <w:rFonts w:ascii="Times New Roman" w:eastAsia="Times New Roman" w:hAnsi="Times New Roman" w:cs="Times New Roman"/>
          <w:sz w:val="24"/>
          <w:szCs w:val="24"/>
        </w:rPr>
        <w:t>niemogącą przedstawić pełnomocnictwa</w:t>
      </w:r>
      <w:r w:rsidRPr="00DA788D">
        <w:rPr>
          <w:rFonts w:ascii="Times New Roman" w:eastAsia="Times New Roman" w:hAnsi="Times New Roman" w:cs="Times New Roman"/>
          <w:sz w:val="24"/>
          <w:szCs w:val="24"/>
        </w:rPr>
        <w:t>, z zastrzeżeniem, że przed upływem wyznaczonego terminu braki będą uzupełnione, a czynności zatwierdzone przez powołaną do tego osobę. Podobne rozwiązanie obowiązuje na gruncie postępowania cywilnego.</w:t>
      </w:r>
    </w:p>
    <w:p w14:paraId="29544EE4" w14:textId="0E21581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Członkowie Izby, podobnie jak obecnie, będą obowiązani zachować poufność informacji niejawnych lub innych informacji zawartych w dokumentach przekazanych przez strony i uczestników postępowania oraz przystępujących do postępowania odwoławczego i działają w postępowaniu odwoławczym zgodnie z interesami w dziedzinach obronności i bezpieczeństwa (art. 512 projektu ustawy)</w:t>
      </w:r>
      <w:r w:rsidR="00386C63">
        <w:rPr>
          <w:rFonts w:ascii="Times New Roman" w:eastAsia="Times New Roman" w:hAnsi="Times New Roman" w:cs="Times New Roman"/>
          <w:sz w:val="24"/>
          <w:szCs w:val="24"/>
        </w:rPr>
        <w:t>.</w:t>
      </w:r>
    </w:p>
    <w:p w14:paraId="22633DB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projekcie ustawy zrezygnowano z odesłania do odpowiedniego stosowania do postępowania odwoławczego przepisów ustawy z dnia 17 listopada 1964 r. – Kodeks postępowania cywilnego (Dz. U. z 2018 r. poz. 1360, z późn. zm.) o sądzie polubownym (arbitrażowym), o ile ustawa nie stanowi inaczej. Regulacja dotycząca postępowania przed KIO będzie autonomiczna i zbliżona do postępowania przed sądem powszechnym. Odwoływanie się zatem do reguł postępowania arbitrażowego nie jest celowe.</w:t>
      </w:r>
    </w:p>
    <w:p w14:paraId="544495B6" w14:textId="72E224BC"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2</w:t>
      </w:r>
      <w:r w:rsidR="001B7ED9">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Odwołanie </w:t>
      </w:r>
    </w:p>
    <w:p w14:paraId="66305256" w14:textId="303D03D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Przedmiotem odwołania, zgodnie z art. 513 projektu ustawy, będzie mogła być niezgodna z przepisami ustawy czynność zamawiającego podjęta w postępowaniu o udzielenie zamówienia, konkursie, systemie kwalifikowania wykonawców</w:t>
      </w:r>
      <w:r w:rsidR="00EB1963">
        <w:rPr>
          <w:rFonts w:ascii="Times New Roman" w:eastAsia="Times New Roman" w:hAnsi="Times New Roman" w:cs="Times New Roman"/>
          <w:sz w:val="24"/>
          <w:szCs w:val="24"/>
        </w:rPr>
        <w:t>, w tym na projektowane postanowienia umowy w sprawie zamówienia publicznego,</w:t>
      </w:r>
      <w:r w:rsidRPr="00DA788D">
        <w:rPr>
          <w:rFonts w:ascii="Times New Roman" w:eastAsia="Times New Roman" w:hAnsi="Times New Roman" w:cs="Times New Roman"/>
          <w:sz w:val="24"/>
          <w:szCs w:val="24"/>
        </w:rPr>
        <w:t xml:space="preserve"> lub </w:t>
      </w:r>
      <w:r w:rsidR="00386C63" w:rsidRPr="00DA788D">
        <w:rPr>
          <w:rFonts w:ascii="Times New Roman" w:eastAsia="Times New Roman" w:hAnsi="Times New Roman" w:cs="Times New Roman"/>
          <w:sz w:val="24"/>
          <w:szCs w:val="24"/>
        </w:rPr>
        <w:t>zaniechani</w:t>
      </w:r>
      <w:r w:rsidR="00386C63">
        <w:rPr>
          <w:rFonts w:ascii="Times New Roman" w:eastAsia="Times New Roman" w:hAnsi="Times New Roman" w:cs="Times New Roman"/>
          <w:sz w:val="24"/>
          <w:szCs w:val="24"/>
        </w:rPr>
        <w:t>e</w:t>
      </w:r>
      <w:r w:rsidR="00386C63"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czynności, do której zamawiający jest zobowiązany na podstawie ustawy</w:t>
      </w:r>
      <w:r w:rsidR="00EB1963">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t>
      </w:r>
    </w:p>
    <w:p w14:paraId="66D3AAAC" w14:textId="6B3DBC04" w:rsidR="00584FAB" w:rsidRPr="00DA788D" w:rsidRDefault="00386C63"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Jednocześnie, należy zauważyć, że w</w:t>
      </w:r>
      <w:r w:rsidR="00584FAB" w:rsidRPr="00DA788D">
        <w:rPr>
          <w:rFonts w:ascii="Times New Roman" w:eastAsia="Times New Roman" w:hAnsi="Times New Roman" w:cs="Times New Roman"/>
          <w:sz w:val="24"/>
          <w:szCs w:val="24"/>
        </w:rPr>
        <w:t xml:space="preserve"> </w:t>
      </w:r>
      <w:r w:rsidR="00B56A69">
        <w:rPr>
          <w:rFonts w:ascii="Times New Roman" w:eastAsia="Times New Roman" w:hAnsi="Times New Roman" w:cs="Times New Roman"/>
          <w:sz w:val="24"/>
          <w:szCs w:val="24"/>
        </w:rPr>
        <w:t>odniesieniu do</w:t>
      </w:r>
      <w:r w:rsidR="00B56A69" w:rsidRPr="00DA788D">
        <w:rPr>
          <w:rFonts w:ascii="Times New Roman" w:eastAsia="Times New Roman" w:hAnsi="Times New Roman" w:cs="Times New Roman"/>
          <w:sz w:val="24"/>
          <w:szCs w:val="24"/>
        </w:rPr>
        <w:t xml:space="preserve"> </w:t>
      </w:r>
      <w:r w:rsidR="00584FAB" w:rsidRPr="00DA788D">
        <w:rPr>
          <w:rFonts w:ascii="Times New Roman" w:eastAsia="Times New Roman" w:hAnsi="Times New Roman" w:cs="Times New Roman"/>
          <w:sz w:val="24"/>
          <w:szCs w:val="24"/>
        </w:rPr>
        <w:t xml:space="preserve">zamówień, o których mowa w art. 12 ust. 2 </w:t>
      </w:r>
      <w:r w:rsidR="00C80C05">
        <w:rPr>
          <w:rFonts w:ascii="Times New Roman" w:eastAsia="Times New Roman" w:hAnsi="Times New Roman" w:cs="Times New Roman"/>
          <w:sz w:val="24"/>
          <w:szCs w:val="24"/>
        </w:rPr>
        <w:t xml:space="preserve">projektu </w:t>
      </w:r>
      <w:r w:rsidR="00584FAB" w:rsidRPr="00DA788D">
        <w:rPr>
          <w:rFonts w:ascii="Times New Roman" w:eastAsia="Times New Roman" w:hAnsi="Times New Roman" w:cs="Times New Roman"/>
          <w:sz w:val="24"/>
          <w:szCs w:val="24"/>
        </w:rPr>
        <w:t>ustawy,</w:t>
      </w:r>
      <w:r w:rsidR="00B56A69">
        <w:rPr>
          <w:rFonts w:ascii="Times New Roman" w:eastAsia="Times New Roman" w:hAnsi="Times New Roman" w:cs="Times New Roman"/>
          <w:sz w:val="24"/>
          <w:szCs w:val="24"/>
        </w:rPr>
        <w:t xml:space="preserve"> art. 513</w:t>
      </w:r>
      <w:r w:rsidR="00584FAB" w:rsidRPr="00DA788D">
        <w:rPr>
          <w:rFonts w:ascii="Times New Roman" w:eastAsia="Times New Roman" w:hAnsi="Times New Roman" w:cs="Times New Roman"/>
          <w:sz w:val="24"/>
          <w:szCs w:val="24"/>
        </w:rPr>
        <w:t xml:space="preserve"> </w:t>
      </w:r>
      <w:r w:rsidR="00C80C05">
        <w:rPr>
          <w:rFonts w:ascii="Times New Roman" w:eastAsia="Times New Roman" w:hAnsi="Times New Roman" w:cs="Times New Roman"/>
          <w:sz w:val="24"/>
          <w:szCs w:val="24"/>
        </w:rPr>
        <w:t xml:space="preserve">projektu ustawy </w:t>
      </w:r>
      <w:r w:rsidR="00B56A69">
        <w:rPr>
          <w:rFonts w:ascii="Times New Roman" w:eastAsia="Times New Roman" w:hAnsi="Times New Roman" w:cs="Times New Roman"/>
          <w:sz w:val="24"/>
          <w:szCs w:val="24"/>
        </w:rPr>
        <w:t xml:space="preserve">obejmuje swą treścią </w:t>
      </w:r>
      <w:r w:rsidR="00584FAB" w:rsidRPr="00DA788D">
        <w:rPr>
          <w:rFonts w:ascii="Times New Roman" w:eastAsia="Times New Roman" w:hAnsi="Times New Roman" w:cs="Times New Roman"/>
          <w:sz w:val="24"/>
          <w:szCs w:val="24"/>
        </w:rPr>
        <w:t>wyłączenie możliwości wnoszenia przez wykonawców odwołań w zakresie przepisów wyłączonych ze stosowania w danym zamówieniu na podstawie art. 346 Traktatu o Funkcjonowaniu Unii Europejskiej. Przedmiotowa regulacja pozostawia zatem decyzj</w:t>
      </w:r>
      <w:r>
        <w:rPr>
          <w:rFonts w:ascii="Times New Roman" w:eastAsia="Times New Roman" w:hAnsi="Times New Roman" w:cs="Times New Roman"/>
          <w:sz w:val="24"/>
          <w:szCs w:val="24"/>
        </w:rPr>
        <w:t>ę</w:t>
      </w:r>
      <w:r w:rsidR="00584FAB" w:rsidRPr="00DA788D">
        <w:rPr>
          <w:rFonts w:ascii="Times New Roman" w:eastAsia="Times New Roman" w:hAnsi="Times New Roman" w:cs="Times New Roman"/>
          <w:sz w:val="24"/>
          <w:szCs w:val="24"/>
        </w:rPr>
        <w:t xml:space="preserve"> o koniecznym zakresie wyłączenia jedynie podmiotowi korzystającemu z tego uprawnienia, bez możliwości wzruszenia tej decyzji przez wykonawcę. </w:t>
      </w:r>
      <w:r w:rsidR="00584FAB" w:rsidRPr="00386C63">
        <w:rPr>
          <w:rFonts w:ascii="Times New Roman" w:eastAsia="Times New Roman" w:hAnsi="Times New Roman" w:cs="Times New Roman"/>
          <w:i/>
          <w:sz w:val="24"/>
          <w:szCs w:val="24"/>
        </w:rPr>
        <w:t>A contrario</w:t>
      </w:r>
      <w:r w:rsidR="00584FAB" w:rsidRPr="00DA788D">
        <w:rPr>
          <w:rFonts w:ascii="Times New Roman" w:eastAsia="Times New Roman" w:hAnsi="Times New Roman" w:cs="Times New Roman"/>
          <w:sz w:val="24"/>
          <w:szCs w:val="24"/>
        </w:rPr>
        <w:t xml:space="preserve"> regulacja umożliwia składanie odwołań w zakresie niewyłączonym.</w:t>
      </w:r>
    </w:p>
    <w:p w14:paraId="614764D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nie przysługuje natomiast na działania</w:t>
      </w:r>
      <w:r w:rsidR="00314F5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jak i zaniechania zamawiającego podejmowane poza postępowaniem o udzielenie zamówienia publicznego. Przedmiotem odwołania nie może być np. zawarcie </w:t>
      </w:r>
      <w:r w:rsidRPr="00DA788D">
        <w:rPr>
          <w:rFonts w:ascii="Times New Roman" w:eastAsia="Times New Roman" w:hAnsi="Times New Roman" w:cs="Times New Roman"/>
          <w:sz w:val="24"/>
          <w:szCs w:val="24"/>
        </w:rPr>
        <w:lastRenderedPageBreak/>
        <w:t>umowy w sprawie zamówienia publicznego. Stosownie bowiem do definicji postępowania o udzielenie zamówienia zawarcie umowy w sprawie zamówienia publicznego  jest skutkiem przeprowadzonego postępowania.</w:t>
      </w:r>
    </w:p>
    <w:p w14:paraId="0AF5976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przysługuje tylko od dokonania czynności lub zaniechania dokonania czynności wbrew przepisom ustawy – Prawo zamówień publicznych. Omawiany środek ochrony prawnej nie przysługuje, jeżeli wykonawca czy uczestnik konkursu opiera odwołanie jedynie na naruszeniu przepisów innych niż ustawa – Prawo zamówień publicznych lub akty wykonawcze wydane na jej podstawie. Powyższe wiąże się z kognicją Izby i sądu okręgowego rozpatrującego skargę na orzeczenie Izby, która ograniczona jest do spraw wskazanych w ustawie.</w:t>
      </w:r>
    </w:p>
    <w:p w14:paraId="0ABF175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Wobec czynności wykluczenia wykonawcy lub odrzucenia oferty uprawnionym do wniesienia odwołania jest ten wykonawca, którego czynność dotyczy, a nie każdy wykonawca uczestniczący w postępowaniu.</w:t>
      </w:r>
    </w:p>
    <w:p w14:paraId="5FEEA61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można także wnieść w przypadku niezgodnego z ustawą ustalenia przez zamawiającego opisu sposobu dokonania oceny spełniania warunków udziału w postępowaniu.</w:t>
      </w:r>
    </w:p>
    <w:p w14:paraId="6167940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Terminy wnoszenia odwołania zostaną uregulowane, analogicznie do aktualnie obowiązujących regulacji. W związku z tym odwołanie będzie wnoszone:</w:t>
      </w:r>
    </w:p>
    <w:p w14:paraId="5DA5D2A9" w14:textId="77777777" w:rsidR="00CB2D51" w:rsidRPr="00DA788D" w:rsidRDefault="002E64C7" w:rsidP="00DA788D">
      <w:pPr>
        <w:numPr>
          <w:ilvl w:val="0"/>
          <w:numId w:val="40"/>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 przypadku zamówień, których wartość jest równa albo przekracza progi unijne, w terminie 10 dni od dnia przekazania informacji o czynności zamawiającego stanowiącej podstawę jego wniesienia, jeżeli informacja została przekazana przy użyciu środków komunikacji elektronicznej albo 15 dni od dnia wysłania informacji o czynności zamawiającego stanowiącej podstawę jego wniesienia, jeżeli informacja została przekazana w sposób inny niż określony w pierwszym przypadku;</w:t>
      </w:r>
    </w:p>
    <w:p w14:paraId="3D8F979A" w14:textId="77777777" w:rsidR="00CB2D51" w:rsidRPr="00DA788D" w:rsidRDefault="002E64C7" w:rsidP="00DA788D">
      <w:pPr>
        <w:numPr>
          <w:ilvl w:val="0"/>
          <w:numId w:val="40"/>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 przypadku zamówień, których wartość jest mniejsza niż progi unijne, w terminie: 5 dni od dnia przekazania informacji o czynności zamawiającego stanowiącej podstawę jego wniesienia, jeżeli informacja została przekazana przy użyciu środków komunikacji elektronicznej albo 10 dni od dnia wysłania informacji o czynności zamawiającego stanowiącej podstawę jego wniesienia, jeżeli informacja została przekazana w sposób inny niż określony pierwszym przypadku (art. 515 ust. 1 projektu ustawy).</w:t>
      </w:r>
    </w:p>
    <w:p w14:paraId="48B7D29A" w14:textId="044A51A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które</w:t>
      </w:r>
      <w:r w:rsidR="001B7ED9">
        <w:rPr>
          <w:rFonts w:ascii="Times New Roman" w:eastAsia="Times New Roman" w:hAnsi="Times New Roman" w:cs="Times New Roman"/>
          <w:sz w:val="24"/>
          <w:szCs w:val="24"/>
        </w:rPr>
        <w:t>go</w:t>
      </w:r>
      <w:r w:rsidRPr="00DA788D">
        <w:rPr>
          <w:rFonts w:ascii="Times New Roman" w:eastAsia="Times New Roman" w:hAnsi="Times New Roman" w:cs="Times New Roman"/>
          <w:sz w:val="24"/>
          <w:szCs w:val="24"/>
        </w:rPr>
        <w:t xml:space="preserve"> przedmiotem będzie treść ogłoszenia wszczynającego postępowanie o udzielenie zamówienia lub konkurs lub treść dokumentów zamówienia, będzie wnoszone w terminie:</w:t>
      </w:r>
    </w:p>
    <w:p w14:paraId="4F1727C0" w14:textId="77777777" w:rsidR="00CB2D51" w:rsidRPr="00DA788D" w:rsidRDefault="002E64C7" w:rsidP="00DA788D">
      <w:pPr>
        <w:numPr>
          <w:ilvl w:val="0"/>
          <w:numId w:val="3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10 dni od dnia publikacji ogłoszenia w Dzienniku Urzędowym Unii Europejskiej lub zamieszczenia dokumentów zamówienia na stronie internetowej, w przypadku zamówień, których wartość jest równa albo przekracza progi unijne;</w:t>
      </w:r>
    </w:p>
    <w:p w14:paraId="465CC75E" w14:textId="77777777" w:rsidR="00CB2D51" w:rsidRPr="00DA788D" w:rsidRDefault="002E64C7" w:rsidP="00DA788D">
      <w:pPr>
        <w:numPr>
          <w:ilvl w:val="0"/>
          <w:numId w:val="39"/>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5 dni od dnia zamieszczenia ogłoszenia w Biuletynie Zamówień Publicznych lub dokumentów zamówienia na stronie internetowej, w przypadku zamówień, których wartość jest mniejsza niż progi unijne (art. 515 ust. 2 projektu ustawy).</w:t>
      </w:r>
    </w:p>
    <w:p w14:paraId="70593A1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przypadkach innych odwołanie będzie wnoszone w terminie:</w:t>
      </w:r>
    </w:p>
    <w:p w14:paraId="2A164F23" w14:textId="77777777" w:rsidR="00CB2D51" w:rsidRPr="00DA788D" w:rsidRDefault="002E64C7" w:rsidP="00DA788D">
      <w:pPr>
        <w:numPr>
          <w:ilvl w:val="0"/>
          <w:numId w:val="4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10 dni od dnia, w którym powzięto lub przy zachowaniu należytej staranności można było powziąć wiadomość o okolicznościach stanowiących podstawę jego wniesienia, w przypadku zamówień, których wartość jest równa albo przekracza progi unijne;</w:t>
      </w:r>
    </w:p>
    <w:p w14:paraId="34E6AFFB" w14:textId="77777777" w:rsidR="00CB2D51" w:rsidRPr="00DA788D" w:rsidRDefault="002E64C7" w:rsidP="00DA788D">
      <w:pPr>
        <w:numPr>
          <w:ilvl w:val="0"/>
          <w:numId w:val="4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5 dni od dnia, w którym powzięto lub przy zachowaniu należytej staranności można było powziąć wiadomość o okolicznościach stanowiących podstawę jego wniesienia, w przypadku zamówień, których wartość jest mniejsza niż progi unijne (art. 515 ust. 3 projektu ustawy).</w:t>
      </w:r>
    </w:p>
    <w:p w14:paraId="10FA07D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gdy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będzie wnoszone nie później niż w terminie: </w:t>
      </w:r>
    </w:p>
    <w:p w14:paraId="630BFD9A" w14:textId="77777777" w:rsidR="00CB2D51" w:rsidRPr="00DA788D" w:rsidRDefault="002E64C7" w:rsidP="00DA788D">
      <w:pPr>
        <w:numPr>
          <w:ilvl w:val="0"/>
          <w:numId w:val="4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15 dni od dnia zamieszczenia w Biuletynie Zamówień Publicznych albo 30 dni od dnia publikacji w Dzienniku Urzędowym Unii Europejskiej ogłoszenia o udzieleniu zamówienia, a w przypadku udzielenia zamówienia w trybie negocjacji bez ogłoszenia albo zamówienia z wolnej ręki - ogłoszenia o udzieleniu zamówienia z uzasadnieniem;</w:t>
      </w:r>
    </w:p>
    <w:p w14:paraId="5E0CDAC1" w14:textId="77777777" w:rsidR="00CB2D51" w:rsidRPr="00DA788D" w:rsidRDefault="002E64C7" w:rsidP="00DA788D">
      <w:pPr>
        <w:numPr>
          <w:ilvl w:val="0"/>
          <w:numId w:val="4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6 miesięcy od dnia zawarcia umowy, jeżeli zamawiający nie opublikował w Dzienniku Urzędowym Unii Europejskiej ogłoszenia o udzieleniu zamówienia, albo opublikował w Dzienniku Urzędowym Unii Europejskiej ogłoszenie o udzieleniu zamówienia, które nie zawiera uzasadnienia udzielenia zamówienia w trybie negocjacji bez ogłoszenia albo zamówienia z wolnej ręki; </w:t>
      </w:r>
    </w:p>
    <w:p w14:paraId="2E3107D7" w14:textId="77777777" w:rsidR="00CB2D51" w:rsidRPr="00DA788D" w:rsidRDefault="002E64C7" w:rsidP="00DA788D">
      <w:pPr>
        <w:numPr>
          <w:ilvl w:val="0"/>
          <w:numId w:val="4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1 miesiąca od dnia zawarcia umowy, jeżeli zamawiający nie zamieścił w Biuletynie Zamówień Publicznych ogłoszenia o udzieleniu zamówienia, albo zamieścił w Biuletynie Zamówień Publicznych ogłoszenie o udzieleniu zamówienia, które nie zawiera uzasadnienia udzielenia zamówienia w trybie negocjacji bez ogłoszenia albo zamówienia z wolnej ręki. </w:t>
      </w:r>
    </w:p>
    <w:p w14:paraId="2A0681E6" w14:textId="3A62D31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ustawy zostanie wprowadzony przepis określający, co powinno zawierać odwołanie (art. 516 ust. 1 pkt 1-</w:t>
      </w:r>
      <w:r w:rsidR="001B7ED9">
        <w:rPr>
          <w:rFonts w:ascii="Times New Roman" w:eastAsia="Times New Roman" w:hAnsi="Times New Roman" w:cs="Times New Roman"/>
          <w:sz w:val="24"/>
          <w:szCs w:val="24"/>
        </w:rPr>
        <w:t>10</w:t>
      </w:r>
      <w:r w:rsidR="001B7ED9"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projektu ustawy). W odwołaniu powinno zostać podane: </w:t>
      </w:r>
    </w:p>
    <w:p w14:paraId="56B21045" w14:textId="7468F68F" w:rsidR="00CB2D51" w:rsidRPr="00DA788D" w:rsidRDefault="002E64C7"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imię i nazwisko lub nazwę, miejsce zamieszkania lub </w:t>
      </w:r>
      <w:r w:rsidR="00314F5B" w:rsidRPr="00DA788D">
        <w:rPr>
          <w:rFonts w:ascii="Times New Roman" w:eastAsia="Times New Roman" w:hAnsi="Times New Roman" w:cs="Times New Roman"/>
          <w:color w:val="000000"/>
          <w:sz w:val="24"/>
          <w:szCs w:val="24"/>
        </w:rPr>
        <w:t>siedzib</w:t>
      </w:r>
      <w:r w:rsidR="00314F5B">
        <w:rPr>
          <w:rFonts w:ascii="Times New Roman" w:eastAsia="Times New Roman" w:hAnsi="Times New Roman" w:cs="Times New Roman"/>
          <w:color w:val="000000"/>
          <w:sz w:val="24"/>
          <w:szCs w:val="24"/>
        </w:rPr>
        <w:t>a</w:t>
      </w:r>
      <w:r w:rsidRPr="00DA788D">
        <w:rPr>
          <w:rFonts w:ascii="Times New Roman" w:eastAsia="Times New Roman" w:hAnsi="Times New Roman" w:cs="Times New Roman"/>
          <w:color w:val="000000"/>
          <w:sz w:val="24"/>
          <w:szCs w:val="24"/>
        </w:rPr>
        <w:t>, numer telefonu oraz adres poczty elektronicznej odwołującego oraz imię i nazwisko przedstawiciela (przedstawicieli);</w:t>
      </w:r>
    </w:p>
    <w:p w14:paraId="08271E5B" w14:textId="6E2D5AE7" w:rsidR="00CB2D51" w:rsidRPr="00DA788D" w:rsidRDefault="00314F5B"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nazw</w:t>
      </w:r>
      <w:r>
        <w:rPr>
          <w:rFonts w:ascii="Times New Roman" w:eastAsia="Times New Roman" w:hAnsi="Times New Roman" w:cs="Times New Roman"/>
          <w:color w:val="000000"/>
          <w:sz w:val="24"/>
          <w:szCs w:val="24"/>
        </w:rPr>
        <w:t xml:space="preserve">a </w:t>
      </w:r>
      <w:r w:rsidR="00A51E15">
        <w:rPr>
          <w:rFonts w:ascii="Times New Roman" w:eastAsia="Times New Roman" w:hAnsi="Times New Roman" w:cs="Times New Roman"/>
          <w:color w:val="000000"/>
          <w:sz w:val="24"/>
          <w:szCs w:val="24"/>
        </w:rPr>
        <w:t>i</w:t>
      </w:r>
      <w:r w:rsidR="002E64C7"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siedzib</w:t>
      </w:r>
      <w:r>
        <w:rPr>
          <w:rFonts w:ascii="Times New Roman" w:eastAsia="Times New Roman" w:hAnsi="Times New Roman" w:cs="Times New Roman"/>
          <w:color w:val="000000"/>
          <w:sz w:val="24"/>
          <w:szCs w:val="24"/>
        </w:rPr>
        <w:t>a</w:t>
      </w:r>
      <w:r w:rsidRPr="00DA788D">
        <w:rPr>
          <w:rFonts w:ascii="Times New Roman" w:eastAsia="Times New Roman" w:hAnsi="Times New Roman" w:cs="Times New Roman"/>
          <w:color w:val="000000"/>
          <w:sz w:val="24"/>
          <w:szCs w:val="24"/>
        </w:rPr>
        <w:t xml:space="preserve"> </w:t>
      </w:r>
      <w:r w:rsidR="002E64C7" w:rsidRPr="00DA788D">
        <w:rPr>
          <w:rFonts w:ascii="Times New Roman" w:eastAsia="Times New Roman" w:hAnsi="Times New Roman" w:cs="Times New Roman"/>
          <w:color w:val="000000"/>
          <w:sz w:val="24"/>
          <w:szCs w:val="24"/>
        </w:rPr>
        <w:t>zamawiającego, numer telefonu oraz adres poczty elektronicznej zamawiającego;</w:t>
      </w:r>
    </w:p>
    <w:p w14:paraId="5FC44320" w14:textId="77777777" w:rsidR="00CB2D51" w:rsidRPr="002A1626" w:rsidRDefault="00A51E15" w:rsidP="00DA788D">
      <w:pPr>
        <w:numPr>
          <w:ilvl w:val="0"/>
          <w:numId w:val="24"/>
        </w:numPr>
        <w:spacing w:after="120"/>
        <w:jc w:val="both"/>
        <w:rPr>
          <w:rFonts w:ascii="Times New Roman" w:eastAsia="Times New Roman" w:hAnsi="Times New Roman" w:cs="Times New Roman"/>
          <w:sz w:val="24"/>
          <w:szCs w:val="24"/>
        </w:rPr>
      </w:pPr>
      <w:r>
        <w:rPr>
          <w:rFonts w:ascii="Times New Roman" w:eastAsia="Times" w:hAnsi="Times New Roman" w:cs="Times New Roman"/>
          <w:sz w:val="24"/>
          <w:szCs w:val="24"/>
        </w:rPr>
        <w:t>numer Powszechnego Elektronicznego Systemu Ewidencji Ludności (PESEL) lub numer NIP odwołującego będącego osobą fizyczną, jeżeli jest on zobowiązany do jego posiadania lub posiada go nie mając takiego obowiązku</w:t>
      </w:r>
      <w:r w:rsidR="002E64C7" w:rsidRPr="00DA788D">
        <w:rPr>
          <w:rFonts w:ascii="Times New Roman" w:eastAsia="Times" w:hAnsi="Times New Roman" w:cs="Times New Roman"/>
          <w:sz w:val="24"/>
          <w:szCs w:val="24"/>
        </w:rPr>
        <w:t xml:space="preserve">; </w:t>
      </w:r>
    </w:p>
    <w:p w14:paraId="07501A11" w14:textId="77777777" w:rsidR="00A51E15" w:rsidRPr="00DA788D" w:rsidRDefault="00A51E15" w:rsidP="00DA788D">
      <w:pPr>
        <w:numPr>
          <w:ilvl w:val="0"/>
          <w:numId w:val="24"/>
        </w:numPr>
        <w:spacing w:after="120"/>
        <w:jc w:val="both"/>
        <w:rPr>
          <w:rFonts w:ascii="Times New Roman" w:eastAsia="Times New Roman" w:hAnsi="Times New Roman" w:cs="Times New Roman"/>
          <w:sz w:val="24"/>
          <w:szCs w:val="24"/>
        </w:rPr>
      </w:pPr>
      <w:r>
        <w:rPr>
          <w:rFonts w:ascii="Times New Roman" w:eastAsia="Times" w:hAnsi="Times New Roman" w:cs="Times New Roman"/>
          <w:sz w:val="24"/>
          <w:szCs w:val="24"/>
        </w:rPr>
        <w:t xml:space="preserve">numer w Krajowym Rejestrze Sądowym, a w przypadku jego braku </w:t>
      </w:r>
      <w:r>
        <w:rPr>
          <w:rFonts w:ascii="Times New Roman" w:eastAsia="Times New Roman" w:hAnsi="Times New Roman" w:cs="Times New Roman"/>
          <w:sz w:val="24"/>
          <w:szCs w:val="24"/>
        </w:rPr>
        <w:t>– numer w innym właściwym rejestrze, ewidencji  lub NIP odwołującego niebędącego osobą fizyczną, który nie ma obowiązku wpisu we właściwym rejestrze lub ewidencji, jeżeli jest on obowiązany do jego posiadania;</w:t>
      </w:r>
    </w:p>
    <w:p w14:paraId="27049FD2" w14:textId="77777777" w:rsidR="00CB2D51" w:rsidRPr="00DA788D" w:rsidRDefault="00A51E15"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określenie </w:t>
      </w:r>
      <w:r w:rsidR="002E64C7" w:rsidRPr="00DA788D">
        <w:rPr>
          <w:rFonts w:ascii="Times New Roman" w:eastAsia="Times New Roman" w:hAnsi="Times New Roman" w:cs="Times New Roman"/>
          <w:color w:val="000000"/>
          <w:sz w:val="24"/>
          <w:szCs w:val="24"/>
        </w:rPr>
        <w:t>przedmiot</w:t>
      </w:r>
      <w:r>
        <w:rPr>
          <w:rFonts w:ascii="Times New Roman" w:eastAsia="Times New Roman" w:hAnsi="Times New Roman" w:cs="Times New Roman"/>
          <w:color w:val="000000"/>
          <w:sz w:val="24"/>
          <w:szCs w:val="24"/>
        </w:rPr>
        <w:t>u</w:t>
      </w:r>
      <w:r w:rsidR="002E64C7" w:rsidRPr="00DA788D">
        <w:rPr>
          <w:rFonts w:ascii="Times New Roman" w:eastAsia="Times New Roman" w:hAnsi="Times New Roman" w:cs="Times New Roman"/>
          <w:color w:val="000000"/>
          <w:sz w:val="24"/>
          <w:szCs w:val="24"/>
        </w:rPr>
        <w:t xml:space="preserve"> zamówienia;</w:t>
      </w:r>
    </w:p>
    <w:p w14:paraId="7774041E" w14:textId="77777777" w:rsidR="00CB2D51" w:rsidRPr="00DA788D" w:rsidRDefault="00A51E15"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wskazanie </w:t>
      </w:r>
      <w:r w:rsidR="002E64C7" w:rsidRPr="00DA788D">
        <w:rPr>
          <w:rFonts w:ascii="Times New Roman" w:eastAsia="Times New Roman" w:hAnsi="Times New Roman" w:cs="Times New Roman"/>
          <w:color w:val="000000"/>
          <w:sz w:val="24"/>
          <w:szCs w:val="24"/>
        </w:rPr>
        <w:t>numer</w:t>
      </w:r>
      <w:r>
        <w:rPr>
          <w:rFonts w:ascii="Times New Roman" w:eastAsia="Times New Roman" w:hAnsi="Times New Roman" w:cs="Times New Roman"/>
          <w:color w:val="000000"/>
          <w:sz w:val="24"/>
          <w:szCs w:val="24"/>
        </w:rPr>
        <w:t>u</w:t>
      </w:r>
      <w:r w:rsidR="002E64C7" w:rsidRPr="00DA788D">
        <w:rPr>
          <w:rFonts w:ascii="Times New Roman" w:eastAsia="Times New Roman" w:hAnsi="Times New Roman" w:cs="Times New Roman"/>
          <w:color w:val="000000"/>
          <w:sz w:val="24"/>
          <w:szCs w:val="24"/>
        </w:rPr>
        <w:t xml:space="preserve"> ogłoszenia w przypadku zamieszczenia w Biuletynie Zamówień Publicznych albo Dzienniku Urzędowym Unii Europejskiej;</w:t>
      </w:r>
    </w:p>
    <w:p w14:paraId="38CEE205" w14:textId="77777777" w:rsidR="00CB2D51" w:rsidRPr="00DA788D" w:rsidRDefault="00A51E15"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wskazanie </w:t>
      </w:r>
      <w:r w:rsidR="002E64C7" w:rsidRPr="00DA788D">
        <w:rPr>
          <w:rFonts w:ascii="Times New Roman" w:eastAsia="Times New Roman" w:hAnsi="Times New Roman" w:cs="Times New Roman"/>
          <w:color w:val="000000"/>
          <w:sz w:val="24"/>
          <w:szCs w:val="24"/>
        </w:rPr>
        <w:t>czynnoś</w:t>
      </w:r>
      <w:r>
        <w:rPr>
          <w:rFonts w:ascii="Times New Roman" w:eastAsia="Times New Roman" w:hAnsi="Times New Roman" w:cs="Times New Roman"/>
          <w:color w:val="000000"/>
          <w:sz w:val="24"/>
          <w:szCs w:val="24"/>
        </w:rPr>
        <w:t>ci</w:t>
      </w:r>
      <w:r w:rsidR="002E64C7" w:rsidRPr="00DA788D">
        <w:rPr>
          <w:rFonts w:ascii="Times New Roman" w:eastAsia="Times New Roman" w:hAnsi="Times New Roman" w:cs="Times New Roman"/>
          <w:color w:val="000000"/>
          <w:sz w:val="24"/>
          <w:szCs w:val="24"/>
        </w:rPr>
        <w:t xml:space="preserve"> lub zaniechani</w:t>
      </w:r>
      <w:r>
        <w:rPr>
          <w:rFonts w:ascii="Times New Roman" w:eastAsia="Times New Roman" w:hAnsi="Times New Roman" w:cs="Times New Roman"/>
          <w:color w:val="000000"/>
          <w:sz w:val="24"/>
          <w:szCs w:val="24"/>
        </w:rPr>
        <w:t>a</w:t>
      </w:r>
      <w:r w:rsidR="002E64C7" w:rsidRPr="00DA788D">
        <w:rPr>
          <w:rFonts w:ascii="Times New Roman" w:eastAsia="Times New Roman" w:hAnsi="Times New Roman" w:cs="Times New Roman"/>
          <w:color w:val="000000"/>
          <w:sz w:val="24"/>
          <w:szCs w:val="24"/>
        </w:rPr>
        <w:t xml:space="preserve"> zamawiającego, któr</w:t>
      </w:r>
      <w:r>
        <w:rPr>
          <w:rFonts w:ascii="Times New Roman" w:eastAsia="Times New Roman" w:hAnsi="Times New Roman" w:cs="Times New Roman"/>
          <w:color w:val="000000"/>
          <w:sz w:val="24"/>
          <w:szCs w:val="24"/>
        </w:rPr>
        <w:t>ej</w:t>
      </w:r>
      <w:r w:rsidR="002E64C7" w:rsidRPr="00DA788D">
        <w:rPr>
          <w:rFonts w:ascii="Times New Roman" w:eastAsia="Times New Roman" w:hAnsi="Times New Roman" w:cs="Times New Roman"/>
          <w:color w:val="000000"/>
          <w:sz w:val="24"/>
          <w:szCs w:val="24"/>
        </w:rPr>
        <w:t xml:space="preserve"> zarzuca się niezgodność z przepisami ustawy;</w:t>
      </w:r>
    </w:p>
    <w:p w14:paraId="73C19BAD" w14:textId="77777777" w:rsidR="00CB2D51" w:rsidRPr="00DA788D" w:rsidRDefault="002E64C7"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zwięzłe przedstawienie zarzutów;</w:t>
      </w:r>
    </w:p>
    <w:p w14:paraId="657E2F16" w14:textId="77777777" w:rsidR="00CB2D51" w:rsidRPr="00DA788D" w:rsidRDefault="002E64C7" w:rsidP="00DA788D">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żądanie co do sposobu rozstrzygnięcia odwołania;</w:t>
      </w:r>
    </w:p>
    <w:p w14:paraId="34E146EB" w14:textId="77777777" w:rsidR="00A51E15" w:rsidRPr="00100696" w:rsidRDefault="00A51E15" w:rsidP="00100696">
      <w:pPr>
        <w:numPr>
          <w:ilvl w:val="0"/>
          <w:numId w:val="24"/>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wskazanie </w:t>
      </w:r>
      <w:r w:rsidR="002E64C7" w:rsidRPr="00DA788D">
        <w:rPr>
          <w:rFonts w:ascii="Times New Roman" w:eastAsia="Times New Roman" w:hAnsi="Times New Roman" w:cs="Times New Roman"/>
          <w:color w:val="000000"/>
          <w:sz w:val="24"/>
          <w:szCs w:val="24"/>
        </w:rPr>
        <w:t>okoliczności faktyczn</w:t>
      </w:r>
      <w:r>
        <w:rPr>
          <w:rFonts w:ascii="Times New Roman" w:eastAsia="Times New Roman" w:hAnsi="Times New Roman" w:cs="Times New Roman"/>
          <w:color w:val="000000"/>
          <w:sz w:val="24"/>
          <w:szCs w:val="24"/>
        </w:rPr>
        <w:t>ych</w:t>
      </w:r>
      <w:r w:rsidR="002E64C7" w:rsidRPr="00DA788D">
        <w:rPr>
          <w:rFonts w:ascii="Times New Roman" w:eastAsia="Times New Roman" w:hAnsi="Times New Roman" w:cs="Times New Roman"/>
          <w:color w:val="000000"/>
          <w:sz w:val="24"/>
          <w:szCs w:val="24"/>
        </w:rPr>
        <w:t xml:space="preserve"> i prawn</w:t>
      </w:r>
      <w:r>
        <w:rPr>
          <w:rFonts w:ascii="Times New Roman" w:eastAsia="Times New Roman" w:hAnsi="Times New Roman" w:cs="Times New Roman"/>
          <w:color w:val="000000"/>
          <w:sz w:val="24"/>
          <w:szCs w:val="24"/>
        </w:rPr>
        <w:t>ych</w:t>
      </w:r>
      <w:r w:rsidR="002E64C7" w:rsidRPr="00DA788D">
        <w:rPr>
          <w:rFonts w:ascii="Times New Roman" w:eastAsia="Times New Roman" w:hAnsi="Times New Roman" w:cs="Times New Roman"/>
          <w:color w:val="000000"/>
          <w:sz w:val="24"/>
          <w:szCs w:val="24"/>
        </w:rPr>
        <w:t xml:space="preserve"> uzasadniając</w:t>
      </w:r>
      <w:r>
        <w:rPr>
          <w:rFonts w:ascii="Times New Roman" w:eastAsia="Times New Roman" w:hAnsi="Times New Roman" w:cs="Times New Roman"/>
          <w:color w:val="000000"/>
          <w:sz w:val="24"/>
          <w:szCs w:val="24"/>
        </w:rPr>
        <w:t>ych</w:t>
      </w:r>
      <w:r w:rsidR="002E64C7" w:rsidRPr="00DA788D">
        <w:rPr>
          <w:rFonts w:ascii="Times New Roman" w:eastAsia="Times New Roman" w:hAnsi="Times New Roman" w:cs="Times New Roman"/>
          <w:color w:val="000000"/>
          <w:sz w:val="24"/>
          <w:szCs w:val="24"/>
        </w:rPr>
        <w:t xml:space="preserve"> wniesienie odwołania oraz dowody na poparcie przytoczonych okoliczności. </w:t>
      </w:r>
    </w:p>
    <w:p w14:paraId="416A7CBD" w14:textId="3C06E21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powinno ponadto zawierać podpis odwołującego albo jego przedstawiciela lub przedstawicieli (art. 516 ust. 1 pkt 11</w:t>
      </w:r>
      <w:r w:rsidR="001B7ED9">
        <w:rPr>
          <w:rFonts w:ascii="Times New Roman" w:eastAsia="Times New Roman" w:hAnsi="Times New Roman" w:cs="Times New Roman"/>
          <w:sz w:val="24"/>
          <w:szCs w:val="24"/>
        </w:rPr>
        <w:t xml:space="preserve"> i 12</w:t>
      </w:r>
      <w:r w:rsidRPr="00DA788D">
        <w:rPr>
          <w:rFonts w:ascii="Times New Roman" w:eastAsia="Times New Roman" w:hAnsi="Times New Roman" w:cs="Times New Roman"/>
          <w:sz w:val="24"/>
          <w:szCs w:val="24"/>
        </w:rPr>
        <w:t xml:space="preserve"> projektu ustawy) oraz wykaz załączników, tj. dowód uiszczenia wpisu od odwołania w wymaganej wysokości, dowód przesłania kopii odwołania zamawiającemu, dokument potwierdzający umocowanie do reprezentowania odwołującego. </w:t>
      </w:r>
    </w:p>
    <w:p w14:paraId="2D40308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Rozpoznaniu będą podlegać odwołania niezawierające braków formalnych oraz prawidłowo opłacone (art. 517 ust. 1 projektu ustawy). </w:t>
      </w:r>
    </w:p>
    <w:p w14:paraId="1293A5E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Mylne oznaczenie odwołania lub inne oczywiste niedokładności nie stanowią przeszkody do nadania mu biegu i rozpoznania przez Izbę (art. 518 ust. 2 projektu ustawy). </w:t>
      </w:r>
    </w:p>
    <w:p w14:paraId="454F90F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Błędy formalne oraz nieprawidłowa opłata mogą być sanowane. W przypadku gdy odwołanie nie może otrzymać prawidłowego biegu wskutek niezachowania warunków formalnych, braku pełnomocnictwa lub nieuiszczenia wpisu, Prezes Izby wzywa odwołującego</w:t>
      </w:r>
      <w:r w:rsidR="00314F5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pod rygorem zwrócenia odwołania</w:t>
      </w:r>
      <w:r w:rsidR="00314F5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do poprawienia lub uzupełnienia odwołania lub złożenia dowodu uiszczenia wpisu, w terminie 3 dni od dnia doręczenia wezwania (art. 518 ust. 1 projektu ustawy). </w:t>
      </w:r>
    </w:p>
    <w:p w14:paraId="1879209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Prezes Izby ma obowiązek pouczyć w wezwaniu, że w przypadku niepoprawienia, nieuzupełnienia lub niedołączenia dowodu uiszczenia wpisu w terminie 3 dni odwołanie zostanie zwrócone.</w:t>
      </w:r>
    </w:p>
    <w:p w14:paraId="79E4C215" w14:textId="5D05431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Wpis od odwołania powinien być uiszczony najpóźniej do dnia upływu terminu do wniesienia odwołania. Odwołujący może uzupełnić dowód uiszczenia wpisu najpóźniej do upływu terminu do wniesienia odwołania (art. 518 ust. 4 projektu ustawy). Wprowadzenie możliwości dołączenia uzupełniającego dowodu uiszczenia wpisu ma na celu zwiększenie elastyczności w dokonywaniu uzupełnień w zakresie opłat. Dotychczas art. 187 ust. 2 ustawy Pzp nakazywał dołączenie dowodu uiszczenia wpisu wyłącznie do odwołania.</w:t>
      </w:r>
    </w:p>
    <w:p w14:paraId="57F68F6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Odwołanie zwraca się, w formie postanowienia, gdy nie zostanie ono prawidłowo opłacone (art. 519 ust. 1 projektu ustawy). </w:t>
      </w:r>
    </w:p>
    <w:p w14:paraId="28E8FC60" w14:textId="7C484FD9" w:rsidR="00CB2D51" w:rsidRPr="00DA788D" w:rsidRDefault="002E64C7" w:rsidP="00314F5B">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 czasu zamknięcia </w:t>
      </w:r>
      <w:r w:rsidR="00314F5B">
        <w:rPr>
          <w:rFonts w:ascii="Times New Roman" w:eastAsia="Times New Roman" w:hAnsi="Times New Roman" w:cs="Times New Roman"/>
          <w:sz w:val="24"/>
          <w:szCs w:val="24"/>
        </w:rPr>
        <w:t>rozprawy</w:t>
      </w:r>
      <w:r w:rsidRPr="00DA788D">
        <w:rPr>
          <w:rFonts w:ascii="Times New Roman" w:eastAsia="Times New Roman" w:hAnsi="Times New Roman" w:cs="Times New Roman"/>
          <w:sz w:val="24"/>
          <w:szCs w:val="24"/>
        </w:rPr>
        <w:t xml:space="preserve"> odwołujący może cofnąć odwołanie (art. 520 ust. 1 projektu ustawy)</w:t>
      </w:r>
      <w:r w:rsidR="00314F5B">
        <w:rPr>
          <w:rFonts w:ascii="Times New Roman" w:eastAsia="Times New Roman" w:hAnsi="Times New Roman" w:cs="Times New Roman"/>
          <w:sz w:val="24"/>
          <w:szCs w:val="24"/>
        </w:rPr>
        <w:t>. Wówczas, z</w:t>
      </w:r>
      <w:r w:rsidRPr="00DA788D">
        <w:rPr>
          <w:rFonts w:ascii="Times New Roman" w:eastAsia="Times New Roman" w:hAnsi="Times New Roman" w:cs="Times New Roman"/>
          <w:sz w:val="24"/>
          <w:szCs w:val="24"/>
        </w:rPr>
        <w:t>wrócone albo cofnięte odwołanie nie wywoła żadnych skutków, jakie ustawa wiąże z wniesieniem odwołania (art.</w:t>
      </w:r>
      <w:r w:rsidR="00542EE6">
        <w:rPr>
          <w:rFonts w:ascii="Times New Roman" w:eastAsia="Times New Roman" w:hAnsi="Times New Roman" w:cs="Times New Roman"/>
          <w:sz w:val="24"/>
          <w:szCs w:val="24"/>
        </w:rPr>
        <w:t xml:space="preserve"> 519 ust. 2 </w:t>
      </w:r>
      <w:r w:rsidR="009D53EB">
        <w:rPr>
          <w:rFonts w:ascii="Times New Roman" w:eastAsia="Times New Roman" w:hAnsi="Times New Roman" w:cs="Times New Roman"/>
          <w:sz w:val="24"/>
          <w:szCs w:val="24"/>
        </w:rPr>
        <w:t>oraz</w:t>
      </w:r>
      <w:r w:rsidR="00542EE6">
        <w:rPr>
          <w:rFonts w:ascii="Times New Roman" w:eastAsia="Times New Roman" w:hAnsi="Times New Roman" w:cs="Times New Roman"/>
          <w:sz w:val="24"/>
          <w:szCs w:val="24"/>
        </w:rPr>
        <w:t xml:space="preserve"> art.</w:t>
      </w:r>
      <w:r w:rsidRPr="00DA788D">
        <w:rPr>
          <w:rFonts w:ascii="Times New Roman" w:eastAsia="Times New Roman" w:hAnsi="Times New Roman" w:cs="Times New Roman"/>
          <w:sz w:val="24"/>
          <w:szCs w:val="24"/>
        </w:rPr>
        <w:t xml:space="preserve"> 520 ust. 2 projektu ustawy)</w:t>
      </w:r>
      <w:r w:rsidR="00314F5B">
        <w:rPr>
          <w:rFonts w:ascii="Times New Roman" w:eastAsia="Times New Roman" w:hAnsi="Times New Roman" w:cs="Times New Roman"/>
          <w:sz w:val="24"/>
          <w:szCs w:val="24"/>
        </w:rPr>
        <w:t>.</w:t>
      </w:r>
    </w:p>
    <w:p w14:paraId="0D26B60F" w14:textId="0E91D803"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3</w:t>
      </w:r>
      <w:r w:rsidR="00542EE6">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Odpowiedź na odwołanie </w:t>
      </w:r>
    </w:p>
    <w:p w14:paraId="2123265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Przed pierwszym posiedzeniem wyznaczonym na rozprawę zamawiający będzie mógł wnieść odpowiedź na odwołanie. W odpowiedzi na odwołanie powinno znaleźć się ustosunkowanie do treści odwołania, twierdzenia i dowody na uzasadnienie wniosków zamawiającego lub w celu odparcia wniosków i twierdzeń powołanych w odwołaniu (art. 521 projektu ustawy). </w:t>
      </w:r>
    </w:p>
    <w:p w14:paraId="5C8340C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może umorzyć postępowanie, gdy zamawiający w całości uwzględni zarzuty podniesione w odwołaniu</w:t>
      </w:r>
      <w:r w:rsidR="00314F5B">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na posiedzeniu niejawnym bez obecności stron oraz uczestników postępowania odwoławczego, którzy </w:t>
      </w:r>
      <w:r w:rsidRPr="00DA788D">
        <w:rPr>
          <w:rFonts w:ascii="Times New Roman" w:eastAsia="Times New Roman" w:hAnsi="Times New Roman" w:cs="Times New Roman"/>
          <w:sz w:val="24"/>
          <w:szCs w:val="24"/>
        </w:rPr>
        <w:lastRenderedPageBreak/>
        <w:t>przystąpili do postępowania po stronie wykonawcy, pod warunkiem że po stronie zamawiającego do postępowania odwoławczego nie przystąpił żaden wykonawca. W takim przypadku zamawiający wykonuje, powtarza lub unieważnia czynności w postępowaniu o udzielenie zamówienia zgodnie z żądaniem przedstawionym w odwołaniu (art. 522 ust. 1 projektu ustawy).</w:t>
      </w:r>
    </w:p>
    <w:p w14:paraId="32591CB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Gdy uczestnik postępowania odwoławczego, który przystąpił do postępowania po stronie zamawiającego, nie wniesie sprzeciwu w przedmiocie uwzględnienia w całości zarzutów podniesionych w odwołaniu przez zamawiającego, Izba umarza postępowanie, a zamawiający wykonuje, powtarza lub unieważnia czynności w postępowaniu o udzielenie zamówienia zgodnie z żądaniem zawartym w odwołaniu</w:t>
      </w:r>
      <w:r w:rsidR="00314F5B">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(art.  522  ust. 2 projektu ustawy).</w:t>
      </w:r>
    </w:p>
    <w:p w14:paraId="1FAE523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uwzględnienia przez zamawiającego części zarzutów przedstawionych w odwołaniu i wycofania pozostałych zarzutów przez odwołującego, Izba może umorzyć postępowanie na posiedzeniu niejawnym bez obecności stron oraz uczestników postępowania odwoławczego, którzy przystąpili do postępowania po stronie wykonawcy, pod warunkiem że po stronie zamawiającego do postępowania odwoławczego nie przystąpił żaden wykonawca albo wykonawca, który przystąpił po stronie zamawiającego nie wniósł sprzeciwu wobec uwzględnienia części zarzutów. Także w takim przypadku zamawiający wykonuje, powtarza lub unieważnia czynności w postępowaniu o udzielenie zamówienia zgodnie z żądaniem zawartym w odwołaniu w zakresie uwzględnionych zarzutów (art. 522 ust. 3 projektu ustawy).</w:t>
      </w:r>
    </w:p>
    <w:p w14:paraId="7D9516B7" w14:textId="7BD4EAD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uwzględnienia przez zamawiającego części zarzutów przedstawionych w odwołaniu, Izba może umorzyć postępowanie odwoławcze w części dotyczącej tych zarzutów, pod warunkiem, że w postępowaniu odwoławczym po stronie zamawiającego nie przystąpił żaden wykonawca albo wykonawca, który przystąpił po stronie zamawiającego nie wniósł sprzeciwu wobec uwzględnienia tych zarzutów. W takim przypadku Izba rozpoznaje pozostałe zarzuty odwołania. Zamawiający natomiast wykonuje, powtarza lub unieważnia czynności w postępowaniu o udzielenie zamówienia zgodnie z żądaniem zawartym w odwołaniu w zakresie uwzględnionych zarzutów (art. 522 ust. 4 projektu ustawy)</w:t>
      </w:r>
      <w:r w:rsidR="00314F5B">
        <w:rPr>
          <w:rFonts w:ascii="Times New Roman" w:eastAsia="Times New Roman" w:hAnsi="Times New Roman" w:cs="Times New Roman"/>
          <w:sz w:val="24"/>
          <w:szCs w:val="24"/>
        </w:rPr>
        <w:t>.</w:t>
      </w:r>
    </w:p>
    <w:p w14:paraId="5B956BA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Uczestnik postępowania odwoławczego, który przystąpił do postępowania po stronie zamawiającego, może – na podstawie art. 523 ust. 1 projektu ustawy – wnieść, na piśmie, elektronicznie albo ustnie, sprzeciw wobec uwzględnienia przez zamawiającego zarzutów przedstawionych w odwołaniu.</w:t>
      </w:r>
    </w:p>
    <w:p w14:paraId="0E4FEB9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Gdy uczestnik postępowania odwoławczego, który przystąpił do postępowania po stronie zamawiającego, wniesie sprzeciw wobec uwzględnienia zarzutów przedstawionych w odwołaniu w całości albo w części, gdy odwołujący nie wycofa pozostałych zarzutów odwołania, Izba rozpoznaje odwołanie (art. 523 ust. 2 projektu ustawy).</w:t>
      </w:r>
    </w:p>
    <w:p w14:paraId="2B0CE3DB" w14:textId="0C189700"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4</w:t>
      </w:r>
      <w:r w:rsidR="00542EE6">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Przystąpienie do postępowania odwoławczego </w:t>
      </w:r>
    </w:p>
    <w:p w14:paraId="288E1BA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ma obowiązek przekazania niezwłocznie, nie później niż w terminie 2 dni od dnia otrzymania, kopii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jest udostępniany dokument zamówienia, wzywając wykonawców do przystąpienia do postępowania odwoławczego (art. 524 projektu ustawy).</w:t>
      </w:r>
    </w:p>
    <w:p w14:paraId="6EC7C05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Wykonawca, zgodnie z art. 525 projektu ustawy, może zgłosić przystąpienie do postępowania odwoławczego w terminie 3 dni od dnia otrzymania kopii odwołania, wskazując stronę, do której przystępuje, i interes w uzyskaniu rozstrzygnięcia na korzyść strony, do której przystępuje. </w:t>
      </w:r>
    </w:p>
    <w:p w14:paraId="002BA2C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Zgłoszenie przystąpienia wykonawcy doręcza się Prezesowi Izby, a jego kopię przesyła się zamawiającemu oraz wykonawcy, który wniósł odwołanie (art. 525 ust. 4 projektu ustawy). </w:t>
      </w:r>
    </w:p>
    <w:p w14:paraId="2511656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Wykonawcy, którzy przystąpili do postępowania odwoławczego, stają się uczestnikami postępowania odwoławczego, jeżeli mają interes w tym, aby odwołanie zostało rozstrzygnięte na korzyść jednej ze stron.</w:t>
      </w:r>
    </w:p>
    <w:p w14:paraId="276C96A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Czynności uczestnika postępowania odwoławczego nie mogą pozostawać w sprzeczności z czynnościami i oświadczeniami strony, do której przystąpił, z zastrzeżeniem zgłoszenia sprzeciwu, przez uczestnika, który przystąpił do postępowania po stronie zamawiającego (art. 525 ust. 6 projektu ustawy).</w:t>
      </w:r>
    </w:p>
    <w:p w14:paraId="0BDBA82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lub odwołujący mają prawo zgłosić opozycję przeciw przystąpieniu innego wykonawcy nie później niż do czasu otwarcia rozprawy. Izba nie rozpoznaje opozycji zgłoszonej po otwarciu rozprawy, w szczególności uchybienie terminowi do wniesienia opozycji nie wymaga odrzucenia jej przez izbę. Opozycja wniesiona po terminie nie wywołuje żadnych skutków prawnych wobec uczestnika postępowania, którego dotyczy.</w:t>
      </w:r>
    </w:p>
    <w:p w14:paraId="04CDEDA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przedmiocie uwzględnienia lub oddalenia opozycji Izba wydaje postanowienie, na które nie służy skarga do sądu (art. 526 ust. 3 projektu ustawy).</w:t>
      </w:r>
    </w:p>
    <w:p w14:paraId="6B23F111" w14:textId="7EF0F7F3"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uwzględni opozycję, jeżeli zostanie uprawdopodobni</w:t>
      </w:r>
      <w:r w:rsidR="00542EE6">
        <w:rPr>
          <w:rFonts w:ascii="Times New Roman" w:eastAsia="Times New Roman" w:hAnsi="Times New Roman" w:cs="Times New Roman"/>
          <w:sz w:val="24"/>
          <w:szCs w:val="24"/>
        </w:rPr>
        <w:t>one</w:t>
      </w:r>
      <w:r w:rsidRPr="00DA788D">
        <w:rPr>
          <w:rFonts w:ascii="Times New Roman" w:eastAsia="Times New Roman" w:hAnsi="Times New Roman" w:cs="Times New Roman"/>
          <w:sz w:val="24"/>
          <w:szCs w:val="24"/>
        </w:rPr>
        <w:t xml:space="preserve">, że wykonawca nie ma interesu w uzyskaniu rozstrzygnięcia na korzyść strony, do której przystąpił. W przeciwnym przypadku Izba oddala opozycję. </w:t>
      </w:r>
    </w:p>
    <w:p w14:paraId="5CE4169B" w14:textId="32411F0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 postanowienie Izby o przedmiocie zgłoszonej opozycji nie przysługuje skarga do sądu (art. 526 ust. </w:t>
      </w:r>
      <w:r w:rsidR="00314F5B">
        <w:rPr>
          <w:rFonts w:ascii="Times New Roman" w:eastAsia="Times New Roman" w:hAnsi="Times New Roman" w:cs="Times New Roman"/>
          <w:sz w:val="24"/>
          <w:szCs w:val="24"/>
        </w:rPr>
        <w:t>4</w:t>
      </w:r>
      <w:r w:rsidRPr="00DA788D">
        <w:rPr>
          <w:rFonts w:ascii="Times New Roman" w:eastAsia="Times New Roman" w:hAnsi="Times New Roman" w:cs="Times New Roman"/>
          <w:sz w:val="24"/>
          <w:szCs w:val="24"/>
        </w:rPr>
        <w:t xml:space="preserve"> projektu ustawy). </w:t>
      </w:r>
    </w:p>
    <w:p w14:paraId="354414D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Skorzystanie ze środków ochrony prawnej nie jest dopuszczalne wobec czynności zamawiającego wykonanych zgodnie z wyrokiem Izby lub sądu albo w wyniku uwzględnienia zarzutów odwołania w całości albo niewniesienia sprzeciwu przez przystępującego do postępowania odwoławczego.</w:t>
      </w:r>
    </w:p>
    <w:p w14:paraId="0FE088D3" w14:textId="26659F69"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5</w:t>
      </w:r>
      <w:r w:rsidR="00542EE6">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Odrzucenie odwołania </w:t>
      </w:r>
    </w:p>
    <w:p w14:paraId="33EDBEC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podlega odrzuceniu, jeżeli Izba stwierdzi, że w sprawie nie mają zastosowania przepisy ustawy, odwołanie zostało wniesione przez podmiot nieuprawniony, odwołanie zostało wniesione po upływie terminu określonego w ustawie, odwołujący powołuje się wyłącznie na te same okoliczności, które były przedmiotem rozstrzygnięcia przez Izbę w sprawie innego odwołania dotyczącego tego samego postępowania wniesionego przez tego samego odwołującego się, odwołanie dotyczy czynności, którą zamawiający wykonał zgodnie z treścią wyroku Izby lub sądu lub, w przypadku uwzględnienia zarzutów w odwołaniu, którą wykonał zgodnie z żądaniem zawartym w odwołaniu lub odwołujący nie przesłał zamawiającemu kopii odwołania (art. 528 projektu ustawy).</w:t>
      </w:r>
    </w:p>
    <w:p w14:paraId="42BC8DA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Odrzucenie odwołania może nastąpić na posiedzeniu niejawnym, przy czym jeśli będzie to konieczne, Izba może dopuścić do udziału w posiedzeniu strony, świadków lub biegłych (art. 529 projektu ustawy).</w:t>
      </w:r>
    </w:p>
    <w:p w14:paraId="5692B30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Jeśli nie zachodzą podstawy do odrzucenia odwołania, Izba skieruje sprawę na rozprawę (art. 530 projektu ustawy).</w:t>
      </w:r>
    </w:p>
    <w:p w14:paraId="54EA12D1" w14:textId="23A152C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6</w:t>
      </w:r>
      <w:r w:rsidR="00542EE6">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Dowody </w:t>
      </w:r>
    </w:p>
    <w:p w14:paraId="32E0B38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ustawie w art. 531-543</w:t>
      </w:r>
      <w:r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sz w:val="24"/>
          <w:szCs w:val="24"/>
        </w:rPr>
        <w:t>kompleksowo zostaną uregulowane kwestie związane z dowodami w postępowaniu odwoławczym. Rozwiązania przyjęte w ustawie w przeważającej większości są zbieżne z rozwiązaniami znanymi w postępowaniu sądowym w sprawach cywilnych.</w:t>
      </w:r>
    </w:p>
    <w:p w14:paraId="7153B5C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Przedmiotem dowodu są fakty mające dla rozstrzygnięcia sprawy istotne znaczenie, przy czym fakty powszechnie znane nie wymagają dowodu. Nie wymagają dowodu również fakty znane Izbie z urzędu, jednakże Izba powinna na rozprawie zwrócić na nie uwagę stronom i uczestnikom postępowania. Nie wymagają dowodu fakty przyznane w toku postępowania przez stronę przeciwną, jeżeli Izba uzna, że przyznanie nie budzi wątpliwości co do zgodności z rzeczywistym stanem rzeczy.</w:t>
      </w:r>
    </w:p>
    <w:p w14:paraId="33708F0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Gdy strona nie wypowie się co do stwierdzeń strony przeciwnej o faktach, Izba, mając na uwadze wynik całej rozprawy, może uznać te fakty za przyznane.</w:t>
      </w:r>
    </w:p>
    <w:p w14:paraId="002C826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Strony i uczestnicy postępowania odwoławczego są obowiązani wskazywać dowody dla stwierdzenia faktów, z których wywodzą skutki prawne. Izba może jednak z urzędu dopuścić dowód niewskazany przez stronę. </w:t>
      </w:r>
    </w:p>
    <w:p w14:paraId="4694328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Dowody mogą być przedstawiane aż do zamknięcia rozprawy (art. 535 projektu ustawy).</w:t>
      </w:r>
    </w:p>
    <w:p w14:paraId="3E62BE2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Skład orzekający może zobowiązać strony oraz uczestników postępowania odwoławczego do przedstawienia dokumentów lub innych dowodów istotnych do rozstrzygnięcia odwołania. </w:t>
      </w:r>
    </w:p>
    <w:p w14:paraId="6D25E25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Utrzymana zostanie reguła odnosząca się do ciężaru dowodu, w zakresie rażąco niskiej ceny w ofercie. Ciężar dowodu co </w:t>
      </w:r>
      <w:r w:rsidR="00A14D8E">
        <w:rPr>
          <w:rFonts w:ascii="Times New Roman" w:eastAsia="Times New Roman" w:hAnsi="Times New Roman" w:cs="Times New Roman"/>
          <w:sz w:val="24"/>
          <w:szCs w:val="24"/>
        </w:rPr>
        <w:t>d</w:t>
      </w:r>
      <w:r w:rsidRPr="00DA788D">
        <w:rPr>
          <w:rFonts w:ascii="Times New Roman" w:eastAsia="Times New Roman" w:hAnsi="Times New Roman" w:cs="Times New Roman"/>
          <w:sz w:val="24"/>
          <w:szCs w:val="24"/>
        </w:rPr>
        <w:t>o tej okoliczności spoczywa na:</w:t>
      </w:r>
    </w:p>
    <w:p w14:paraId="61690D54" w14:textId="77777777" w:rsidR="00CB2D51" w:rsidRPr="00DA788D" w:rsidRDefault="002E64C7" w:rsidP="00DA788D">
      <w:pPr>
        <w:numPr>
          <w:ilvl w:val="0"/>
          <w:numId w:val="2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wykonawcy, który złożył ofertę, jeżeli jest stroną albo uczestnikiem postępowania odwoławczego;</w:t>
      </w:r>
    </w:p>
    <w:p w14:paraId="163134BF" w14:textId="77777777" w:rsidR="00CB2D51" w:rsidRPr="00DA788D" w:rsidRDefault="002E64C7" w:rsidP="00DA788D">
      <w:pPr>
        <w:numPr>
          <w:ilvl w:val="0"/>
          <w:numId w:val="2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zamawiającym, jeżeli wykonawca, który złożył ofertę, nie jest uczestnikiem postępowania.</w:t>
      </w:r>
    </w:p>
    <w:p w14:paraId="78C1461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Dowodami mogą być w szczególności dokumenty, zeznania świadków, opinie biegłych oraz przesłuchanie stron (art. 538 projektu ustawy).</w:t>
      </w:r>
    </w:p>
    <w:p w14:paraId="29AA13B5" w14:textId="4A6FDF0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Izba - analogicznie jak w postępowaniu cywilnym - może powołać biegłego spośród osób wpisanych na listę biegłych sądowych albo biegłego </w:t>
      </w:r>
      <w:r w:rsidRPr="00DA788D">
        <w:rPr>
          <w:rFonts w:ascii="Times New Roman" w:eastAsia="Times New Roman" w:hAnsi="Times New Roman" w:cs="Times New Roman"/>
          <w:i/>
          <w:sz w:val="24"/>
          <w:szCs w:val="24"/>
        </w:rPr>
        <w:t>ad hoc</w:t>
      </w:r>
      <w:r w:rsidRPr="00DA788D">
        <w:rPr>
          <w:rFonts w:ascii="Times New Roman" w:eastAsia="Times New Roman" w:hAnsi="Times New Roman" w:cs="Times New Roman"/>
          <w:sz w:val="24"/>
          <w:szCs w:val="24"/>
        </w:rPr>
        <w:t xml:space="preserve">, jeżeli ustalenie stanu faktycznego sprawy wymaga wiadomości specjalnych. Izba będzie mogła zwrócić się o opinię także do odpowiedniego podmiotu, o którym mowa w </w:t>
      </w:r>
      <w:r w:rsidRPr="00DA788D">
        <w:rPr>
          <w:rFonts w:ascii="Times New Roman" w:eastAsia="Times" w:hAnsi="Times New Roman" w:cs="Times New Roman"/>
          <w:sz w:val="24"/>
          <w:szCs w:val="24"/>
        </w:rPr>
        <w:t>art. 7 ustawy z dnia 20 lipca 2018 r. – Prawo o szkolnictwie wyższym i nauce</w:t>
      </w:r>
      <w:r w:rsidR="00542EE6">
        <w:rPr>
          <w:rFonts w:ascii="Times New Roman" w:eastAsia="Times" w:hAnsi="Times New Roman" w:cs="Times New Roman"/>
          <w:sz w:val="24"/>
          <w:szCs w:val="24"/>
        </w:rPr>
        <w:t xml:space="preserve"> (</w:t>
      </w:r>
      <w:r w:rsidR="00542EE6" w:rsidRPr="00542EE6">
        <w:rPr>
          <w:rFonts w:ascii="Times New Roman" w:eastAsia="Times" w:hAnsi="Times New Roman" w:cs="Times New Roman"/>
          <w:sz w:val="24"/>
          <w:szCs w:val="24"/>
        </w:rPr>
        <w:t xml:space="preserve">Dz. U. poz. 1668, </w:t>
      </w:r>
      <w:r w:rsidR="00542EE6">
        <w:rPr>
          <w:rFonts w:ascii="Times New Roman" w:eastAsia="Times" w:hAnsi="Times New Roman" w:cs="Times New Roman"/>
          <w:sz w:val="24"/>
          <w:szCs w:val="24"/>
        </w:rPr>
        <w:t>z późn. zm.)</w:t>
      </w:r>
      <w:r w:rsidRPr="00DA788D">
        <w:rPr>
          <w:rFonts w:ascii="Times New Roman" w:eastAsia="Times" w:hAnsi="Times New Roman" w:cs="Times New Roman"/>
          <w:sz w:val="24"/>
          <w:szCs w:val="24"/>
        </w:rPr>
        <w:t>. Tym samym opinie specjalistyczne będą mogły wydawać także instytutu i inne jednostki prowadzące działalność badawczą i naukową.</w:t>
      </w:r>
    </w:p>
    <w:p w14:paraId="7CC2C145" w14:textId="75F9D15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Biegłemu przysługuje wynagrodzenie w wysokości ustalonej zgodnie z przepisami działu 2 tytułu III ustawy z dnia 28 lipca 2005 r. o kosztach sądowych w sprawach cywilnych (Dz. U. z </w:t>
      </w:r>
      <w:r w:rsidR="00DF186B" w:rsidRPr="00DA788D">
        <w:rPr>
          <w:rFonts w:ascii="Times New Roman" w:eastAsia="Times New Roman" w:hAnsi="Times New Roman" w:cs="Times New Roman"/>
          <w:sz w:val="24"/>
          <w:szCs w:val="24"/>
        </w:rPr>
        <w:t>201</w:t>
      </w:r>
      <w:r w:rsidR="00DF186B">
        <w:rPr>
          <w:rFonts w:ascii="Times New Roman" w:eastAsia="Times New Roman" w:hAnsi="Times New Roman" w:cs="Times New Roman"/>
          <w:sz w:val="24"/>
          <w:szCs w:val="24"/>
        </w:rPr>
        <w:t>9</w:t>
      </w:r>
      <w:r w:rsidR="00DF186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 xml:space="preserve">r. poz. </w:t>
      </w:r>
      <w:r w:rsidR="00DF186B">
        <w:rPr>
          <w:rFonts w:ascii="Times New Roman" w:eastAsia="Times New Roman" w:hAnsi="Times New Roman" w:cs="Times New Roman"/>
          <w:sz w:val="24"/>
          <w:szCs w:val="24"/>
        </w:rPr>
        <w:t>785</w:t>
      </w:r>
      <w:r w:rsidRPr="00DA788D">
        <w:rPr>
          <w:rFonts w:ascii="Times New Roman" w:eastAsia="Times New Roman" w:hAnsi="Times New Roman" w:cs="Times New Roman"/>
          <w:sz w:val="24"/>
          <w:szCs w:val="24"/>
        </w:rPr>
        <w:t xml:space="preserve">, </w:t>
      </w:r>
      <w:r w:rsidR="00DF186B">
        <w:rPr>
          <w:rFonts w:ascii="Times New Roman" w:eastAsia="Times New Roman" w:hAnsi="Times New Roman" w:cs="Times New Roman"/>
          <w:sz w:val="24"/>
          <w:szCs w:val="24"/>
        </w:rPr>
        <w:t>z późn. zm.</w:t>
      </w:r>
      <w:r w:rsidRPr="00DA788D">
        <w:rPr>
          <w:rFonts w:ascii="Times New Roman" w:eastAsia="Times New Roman" w:hAnsi="Times New Roman" w:cs="Times New Roman"/>
          <w:sz w:val="24"/>
          <w:szCs w:val="24"/>
        </w:rPr>
        <w:t xml:space="preserve">). </w:t>
      </w:r>
    </w:p>
    <w:p w14:paraId="567D6EF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Skład orzekający powołując biegłego określa przedmiot opinii biegłego i wskazuje dokumentację niezbędną do sporządzenia opinii oraz odracza rozprawę do czasu sporządzenie przez biegłego opinii. Biegły sporządza opinię na piśmie.</w:t>
      </w:r>
    </w:p>
    <w:p w14:paraId="251635E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Jeśli biegły przy sporządzaniu opinii ma zapoznać się z informacjami niejawnymi, biegłym może być tylko osoba posiadająca dostęp do informacji niejawnych w rozumieniu przepisów o ochronie informacji niejawnych. Gwarantuje to ochronę informacji niejawnych.</w:t>
      </w:r>
    </w:p>
    <w:p w14:paraId="601F69D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Prezes Izby określa termin sporządzenia opinii oraz wykonuje czynności organizacyjne wynikające z powołania biegłego, w szczególności przekazuje biegłemu potwierdzoną za zgodność z oryginałem kopię postanowienia o powołaniu biegłego oraz kopię dokumentacji postępowania o udzielenie zamówienia publicznego lub dokumentację postępowania w postaci elektronicznej, niezbędne do sporządzenia opinii, wraz z potwierdzoną za zgodność z oryginałem kopią protokołu z rozprawy, w toku której zapadło postanowienie o dopuszczeniu dowodu z opinii biegłego. </w:t>
      </w:r>
    </w:p>
    <w:p w14:paraId="302B2A8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 sporządzeniu opinii przez biegłego skład orzekający w uzgodnieniu z Prezesem Izby wyznacza termin odroczonej rozprawy i zawiadamia o nim strony oraz uczestników postępowania odwoławczego. </w:t>
      </w:r>
    </w:p>
    <w:p w14:paraId="030C42D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Prezes Izby, przed wyznaczeniem terminu odroczonej rozprawy, przesyła stronom oraz uczestnikom postępowania odwoławczego potwierdzoną za zgodność z oryginałem kopię opinii biegłego.</w:t>
      </w:r>
    </w:p>
    <w:p w14:paraId="086CB68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 biegłego można zażądać obecności na rozprawie w celu złożenia ustnej opinii uzupełniającej.</w:t>
      </w:r>
    </w:p>
    <w:p w14:paraId="4DA3280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Świadek składa zeznania pod rygorem odpowiedzialności karanej za składanie fałszywych zeznań. Przed przystąpieniem do odebrania zeznań, należy pouczyć świadka o odpowiedzialności karnej (art. 540 projektu ustawy).</w:t>
      </w:r>
    </w:p>
    <w:p w14:paraId="0743238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Przeprowadzenia wnioskowanych dowodów odmawia się, jeżeli fakty będące ich przedmiotem zostały już stwierdzone innymi dowodami lub gdy zostały powołane jedynie dla zwłoki. </w:t>
      </w:r>
    </w:p>
    <w:p w14:paraId="35B67C7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Wiarygodność i moc dowodów Izba ocenia według własnego przekonania, na podstawie wszechstronnego rozważenia zebranego materiału. Na tej samej podstawie Izba ocenia, jakie znaczenie nadać odmowie przedstawienia przez stronę lub uczestnika postępowania odwoławczego dowodu lub przeszkodom stawianym przez nich w jego przeprowadzeniu wbrew zobowiązaniu Izby. </w:t>
      </w:r>
    </w:p>
    <w:p w14:paraId="34D177D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zawarcia umowy</w:t>
      </w:r>
      <w:r w:rsidR="00A14D8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Izba może przeprowadzić postępowanie wyjaśniające w celu ustalenia przesłanek unieważnienia umowy, nałożenia kary finansowej albo skrócenia okresu obowiązywania umowy.</w:t>
      </w:r>
    </w:p>
    <w:p w14:paraId="62F0073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Reguły postępowania dowodowego stwarzają gwarancje do ustalenia prawdy materialnej, stanowiących podstawę do wydania rozstrzygnięcia w sprawie.</w:t>
      </w:r>
    </w:p>
    <w:p w14:paraId="2D51B015" w14:textId="4D478058"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7</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Rozpoznanie odwołania </w:t>
      </w:r>
    </w:p>
    <w:p w14:paraId="31DCED1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Izba rozpoznaje odwołanie w terminie 15 dni od dnia jego doręczenia Prezesowi Izby (art. 544 ust. 1 projektu ustawy). Termin ten nie ulega zmianie w stosunku do aktualnie obowiązujących przepisów i ma na celu zapewnienie szybkości rozpoznania sprawy. </w:t>
      </w:r>
    </w:p>
    <w:p w14:paraId="037FA46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Jeżeli odwołania zostały złożone w tym samym postępowaniu o udzielenie zamówienia lub dotyczą takich samych czynności i zaniechań zamawiającego, Prezes Izby może zarządzić łączne rozpoznanie odwołań przez Izbę, </w:t>
      </w:r>
    </w:p>
    <w:p w14:paraId="52D2ED9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Zasadą jest, że Izba rozpoznaje odwołanie na jawnej rozprawie, której termin wyznacza Prezes Izby (art. 544 ust. 3 </w:t>
      </w:r>
      <w:r w:rsidR="00A14D8E">
        <w:rPr>
          <w:rFonts w:ascii="Times New Roman" w:eastAsia="Times New Roman" w:hAnsi="Times New Roman" w:cs="Times New Roman"/>
          <w:sz w:val="24"/>
          <w:szCs w:val="24"/>
        </w:rPr>
        <w:t xml:space="preserve">i art. 545 ust. 1 </w:t>
      </w:r>
      <w:r w:rsidRPr="00DA788D">
        <w:rPr>
          <w:rFonts w:ascii="Times New Roman" w:eastAsia="Times New Roman" w:hAnsi="Times New Roman" w:cs="Times New Roman"/>
          <w:sz w:val="24"/>
          <w:szCs w:val="24"/>
        </w:rPr>
        <w:t xml:space="preserve">projektu ustawy). </w:t>
      </w:r>
    </w:p>
    <w:p w14:paraId="00F1A27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 wniosek strony lub z urzędu Izba wyłącza jawność rozprawy w całości lub w części, jeżeli przy rozpoznawaniu odwołania może być ujawniona informacja stanowiąca tajemnicę chronioną na podstawie odrębnych przepisów inna niż informacja niejawna w rozumieniu przepisów o ochronie informacji niejawnych. Rozprawa odbywa się wówczas wyłącznie z udziałem stron i uczestników postępowania lub ich pełnomocników. </w:t>
      </w:r>
    </w:p>
    <w:p w14:paraId="50F22BD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rozpoznaje się na posiedzeniu niejawnym, jeżeli przy rozpoznaniu odwołania może być ujawniona informacja niejawna w rozumieniu przepisów o ochronie informacji niejawnych. Izba może także postanowić o rozpatrzeniu odwołania na rozprawie, której jawność wyłączono w całości, jeżeli przemawia za tym ważny interes strony.</w:t>
      </w:r>
    </w:p>
    <w:p w14:paraId="75896A1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Izba na wniosek lub z urzędu może również w niezbędnym zakresie ograniczyć stronom i uczestnikom postępowania odwoławczego prawo wglądu do materiału dowodowego załączonego do akt sprawy, jeżeli udostępnienie tego materiału groziłoby ujawnieniem informacji stanowiącej tajemnicę chronioną na podstawie odrębnych przepisów innej niż informacja niejawna w rozumieniu przepisów o ochronie informacji niejawnych. </w:t>
      </w:r>
    </w:p>
    <w:p w14:paraId="33B7F17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wniesienia odwołania dotyczącego postępowania o udzielenie zamówienia w dziedzinach obronności i bezpieczeństwa, którego dokumentacja zawiera informacje niejawne, Prezes Urzędu, na wniosek Prezesa Krajowej Izby Odwoławczej, mając na uwadze zapewnienie ochrony informacji niejawnych, wskazuje miejsce rozpoznania odwołania przez Krajową Izbę Odwoławczą.</w:t>
      </w:r>
    </w:p>
    <w:p w14:paraId="32B80913" w14:textId="4B138AA2"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8</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Rozprawa </w:t>
      </w:r>
    </w:p>
    <w:p w14:paraId="5940EE6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Rozprawa, zgodnie z art. 548 projektu ustawy, odbywa się w języku polskim. Osoby, które nie znają języka polskiego biorą udział w postępowaniu korzystając z pomocy tłumacza.</w:t>
      </w:r>
    </w:p>
    <w:p w14:paraId="2B05B5D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Rozprawę prowadzi przewodniczący składu orzekającego Izby, w szczególności otwiera rozprawę, zarządza przerwy w rozprawie, udziela głosu stronom oraz uczestnikom postępowania odwoławczego, zadaje pytania, umożliwia zadawanie pytań członkom składu orzekającego Izby, podaje brzmienie zapisów do protokołu oraz zamyka rozprawę i ogłasza orzeczenie. Zapewnia to sprawność przebiegu rozprawy.</w:t>
      </w:r>
    </w:p>
    <w:p w14:paraId="151EA2B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 otwarciu rozprawy przewodniczący składu orzekającego Izby sprawdza, czy strony oraz uczestnicy postępowania odwoławczego zostali prawidłowo zawiadomieni o terminie rozprawy oraz czy osoby reprezentujące strony oraz uczestników postępowania są uprawnione do występowania w ich imieniu (art. 549 ust. 2 projektu ustawy).</w:t>
      </w:r>
    </w:p>
    <w:p w14:paraId="535558F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niestawiennictwa strony lub uczestnika postępowania odwoławczego na rozprawie i braku dowodu skutecznego doręczenia zawiadomienia o terminie rozprawy, przewodniczący składu orzekającego Izby odracza rozprawę i wyznacza, w uzgodnieniu z Prezesem Izby, nowy termin rozprawy.</w:t>
      </w:r>
    </w:p>
    <w:p w14:paraId="0C42D9B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Niestawiennictwo strony oraz uczestnika postępowania odwoławczego prawidłowo zawiadomionego o terminie rozprawy nie wstrzymuje rozpoznania odwołania (art. 549 ust. 4 projektu ustawy). </w:t>
      </w:r>
    </w:p>
    <w:p w14:paraId="7BA62C9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Rozprawę można odroczyć w celu przeprowadzenia dowodów, których nie można było przeprowadzić w wyznaczonym terminie, albo z innych ważnych przyczyn. </w:t>
      </w:r>
      <w:r w:rsidR="00100696">
        <w:rPr>
          <w:rFonts w:ascii="Times New Roman" w:eastAsia="Times New Roman" w:hAnsi="Times New Roman" w:cs="Times New Roman"/>
          <w:sz w:val="24"/>
          <w:szCs w:val="24"/>
        </w:rPr>
        <w:t xml:space="preserve">Skład orzekający będzie miał obwiązek wyznaczenia nowego terminu rozprawy. </w:t>
      </w:r>
    </w:p>
    <w:p w14:paraId="3109C67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Przewodniczący składu orzekającego ma obowiązek pouczyć strony oraz uczestników postępowania odwoławczego o obowiązku stawienia się w nowym terminie bez osobnego zawiadomienia. Nieobecne na rozprawie strony oraz uczestników postępowania odwoławczego zawiadamia się o nowym terminie.</w:t>
      </w:r>
    </w:p>
    <w:p w14:paraId="5F10B29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Przewodniczący składu orzekającego zamyka rozprawę po przeprowadzeniu dowodów i udzieleniu głosu stronom, a także jeżeli Izba uzna, że sprawa została dostatecznie wyjaśniona. Izba otwiera na nowo zamkniętą rozprawę, jeżeli po jej zamknięciu ujawniono okoliczności istotne dla rozstrzygnięcia odwołania (art. 551 projektu ustawy).</w:t>
      </w:r>
    </w:p>
    <w:p w14:paraId="1EA0AE31" w14:textId="47BA3A73"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9</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Orzeczenia Izby </w:t>
      </w:r>
    </w:p>
    <w:p w14:paraId="1547450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Postępowanie kończy wydanie wyroku uwzględniającego albo oddalającego odwołanie. W pozostałych przypadkach Izba wydaje postanowienie. Izba ogłasza orzeczenie po zamknięciu rozprawy na posiedzeniu jawnym oraz podaje ustnie motywy rozstrzygnięcia. Nieobecność stron nie stanowi przeszkody do ogłoszenia orzeczenia (</w:t>
      </w:r>
      <w:r w:rsidR="00A14D8E">
        <w:rPr>
          <w:rFonts w:ascii="Times New Roman" w:eastAsia="Times New Roman" w:hAnsi="Times New Roman" w:cs="Times New Roman"/>
          <w:sz w:val="24"/>
          <w:szCs w:val="24"/>
        </w:rPr>
        <w:t xml:space="preserve">art. 552 i </w:t>
      </w:r>
      <w:r w:rsidRPr="00DA788D">
        <w:rPr>
          <w:rFonts w:ascii="Times New Roman" w:eastAsia="Times New Roman" w:hAnsi="Times New Roman" w:cs="Times New Roman"/>
          <w:sz w:val="24"/>
          <w:szCs w:val="24"/>
        </w:rPr>
        <w:t>art. 558 projektu ustawy).</w:t>
      </w:r>
    </w:p>
    <w:p w14:paraId="6A2FCBF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Podstawę do wydania stanowi stan rzeczy ustalony w toku postępowania odwoławczego. Izba może orzekać jedynie co do zarzutów, które były zawarte w odwołaniu.</w:t>
      </w:r>
    </w:p>
    <w:p w14:paraId="46B1E72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Wyrok może być wydany wyłącznie przez skład orzekający, przed którym toczyło się postępowanie odwoławcze.</w:t>
      </w:r>
    </w:p>
    <w:p w14:paraId="31FDA42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sprawie zawiłej Izba może odroczyć ogłoszenie orzeczenia na czas nie dłuższy niż 5 dni. W postanowieniu o odroczeniu ogłoszenia orzeczenia Izba wyznacza termin jego ogłoszenia. Jeżeli ogłoszenie było odroczone, może go dokonać przewodniczący składu orzekającego Izby albo wyznaczony przez Prezesa Izby członek składu orzekającego Izby.</w:t>
      </w:r>
    </w:p>
    <w:p w14:paraId="6A8E3B1C" w14:textId="074F4381" w:rsidR="00A14D8E" w:rsidRPr="00DA788D" w:rsidRDefault="002E64C7" w:rsidP="0074515E">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Odwołanie uwzględnia się w całości lub w części, gdy naruszenie przepisów ustawy, miało wpływ lub może mieć istotny wpływ na wynik postępowania o udzielenie zamówienia</w:t>
      </w:r>
      <w:r w:rsidR="00A14D8E">
        <w:rPr>
          <w:rFonts w:ascii="Times New Roman" w:eastAsia="Times New Roman" w:hAnsi="Times New Roman" w:cs="Times New Roman"/>
          <w:sz w:val="24"/>
          <w:szCs w:val="24"/>
        </w:rPr>
        <w:t xml:space="preserve">, </w:t>
      </w:r>
      <w:r w:rsidR="00A14D8E" w:rsidRPr="00A14D8E">
        <w:rPr>
          <w:rFonts w:ascii="Times New Roman" w:eastAsia="Times New Roman" w:hAnsi="Times New Roman" w:cs="Times New Roman"/>
          <w:sz w:val="24"/>
          <w:szCs w:val="24"/>
        </w:rPr>
        <w:t>konkursu lub systemu kwalifikowania wykonawców</w:t>
      </w:r>
      <w:r w:rsidR="0074515E">
        <w:rPr>
          <w:rFonts w:ascii="Times New Roman" w:eastAsia="Times New Roman" w:hAnsi="Times New Roman" w:cs="Times New Roman"/>
          <w:sz w:val="24"/>
          <w:szCs w:val="24"/>
        </w:rPr>
        <w:t xml:space="preserve">, oraz w przypadku </w:t>
      </w:r>
      <w:r w:rsidR="0074515E" w:rsidRPr="00A14D8E">
        <w:rPr>
          <w:rFonts w:ascii="Times New Roman" w:eastAsia="Times New Roman" w:hAnsi="Times New Roman" w:cs="Times New Roman"/>
          <w:sz w:val="24"/>
          <w:szCs w:val="24"/>
        </w:rPr>
        <w:t>n</w:t>
      </w:r>
      <w:r w:rsidR="0074515E">
        <w:rPr>
          <w:rFonts w:ascii="Times New Roman" w:eastAsia="Times New Roman" w:hAnsi="Times New Roman" w:cs="Times New Roman"/>
          <w:sz w:val="24"/>
          <w:szCs w:val="24"/>
        </w:rPr>
        <w:t>iezgodności</w:t>
      </w:r>
      <w:r w:rsidR="0074515E" w:rsidRPr="00A14D8E">
        <w:rPr>
          <w:rFonts w:ascii="Times New Roman" w:eastAsia="Times New Roman" w:hAnsi="Times New Roman" w:cs="Times New Roman"/>
          <w:sz w:val="24"/>
          <w:szCs w:val="24"/>
        </w:rPr>
        <w:t xml:space="preserve"> projektowanego postanowienia umowy z wymaganiami wynikającymi z przepisów ustawy</w:t>
      </w:r>
      <w:r w:rsidRPr="00DA788D">
        <w:rPr>
          <w:rFonts w:ascii="Times New Roman" w:eastAsia="Times New Roman" w:hAnsi="Times New Roman" w:cs="Times New Roman"/>
          <w:sz w:val="24"/>
          <w:szCs w:val="24"/>
        </w:rPr>
        <w:t>. W przypadku uwzględnienia odwołania w części w sentencji wyroku Izba wskazuje, które zarzuty uznała za uzasadnione</w:t>
      </w:r>
      <w:r w:rsidR="00A14D8E">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oraz które uznała za nieuzasadnione.</w:t>
      </w:r>
    </w:p>
    <w:p w14:paraId="6D7E990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Uwzględniając odwołanie, Izba może:</w:t>
      </w:r>
    </w:p>
    <w:p w14:paraId="2CC29FE7" w14:textId="0BE1ABC3" w:rsidR="00CB2D51" w:rsidRPr="00DA788D" w:rsidRDefault="002E64C7" w:rsidP="00DA788D">
      <w:pPr>
        <w:numPr>
          <w:ilvl w:val="0"/>
          <w:numId w:val="2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umowa nie została zawarta</w:t>
      </w:r>
      <w:r w:rsidR="00100696">
        <w:rPr>
          <w:rFonts w:ascii="Times New Roman" w:eastAsia="Times New Roman" w:hAnsi="Times New Roman" w:cs="Times New Roman"/>
          <w:color w:val="000000"/>
          <w:sz w:val="24"/>
          <w:szCs w:val="24"/>
        </w:rPr>
        <w:t>:</w:t>
      </w:r>
      <w:r w:rsidRPr="00DA788D">
        <w:rPr>
          <w:rFonts w:ascii="Times New Roman" w:eastAsia="Times New Roman" w:hAnsi="Times New Roman" w:cs="Times New Roman"/>
          <w:color w:val="000000"/>
          <w:sz w:val="24"/>
          <w:szCs w:val="24"/>
        </w:rPr>
        <w:t xml:space="preserve"> - nakazać wykonanie lub powtórzenie czynności zamawiającego lub nakazać unieważnienie czynności zamawiającego</w:t>
      </w:r>
      <w:r w:rsidR="00EB1963">
        <w:rPr>
          <w:rFonts w:ascii="Times New Roman" w:eastAsia="Times New Roman" w:hAnsi="Times New Roman" w:cs="Times New Roman"/>
          <w:color w:val="000000"/>
          <w:sz w:val="24"/>
          <w:szCs w:val="24"/>
        </w:rPr>
        <w:t xml:space="preserve"> lub, </w:t>
      </w:r>
      <w:r w:rsidR="00100696">
        <w:rPr>
          <w:rFonts w:ascii="Times New Roman" w:eastAsia="Times New Roman" w:hAnsi="Times New Roman" w:cs="Times New Roman"/>
          <w:color w:val="000000"/>
          <w:sz w:val="24"/>
          <w:szCs w:val="24"/>
        </w:rPr>
        <w:t>nakazać zamianę projektowanego postanowienia umowy albo jego usunięcie, jeżeli jest niezgodne z przepisami ustawy</w:t>
      </w:r>
      <w:r w:rsidR="00EB1963">
        <w:rPr>
          <w:rFonts w:ascii="Times New Roman" w:eastAsia="Times New Roman" w:hAnsi="Times New Roman" w:cs="Times New Roman"/>
          <w:color w:val="000000"/>
          <w:sz w:val="24"/>
          <w:szCs w:val="24"/>
        </w:rPr>
        <w:t xml:space="preserve">, albo </w:t>
      </w:r>
    </w:p>
    <w:p w14:paraId="417D3776" w14:textId="6B871CB2" w:rsidR="00CB2D51" w:rsidRPr="00DA788D" w:rsidRDefault="002E64C7" w:rsidP="00DA788D">
      <w:pPr>
        <w:numPr>
          <w:ilvl w:val="0"/>
          <w:numId w:val="2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umowa została zawarta oraz zachodzi jedna z przesłanek</w:t>
      </w:r>
      <w:r w:rsidR="005F6EBC">
        <w:rPr>
          <w:rFonts w:ascii="Times New Roman" w:eastAsia="Times New Roman" w:hAnsi="Times New Roman" w:cs="Times New Roman"/>
          <w:color w:val="000000"/>
          <w:sz w:val="24"/>
          <w:szCs w:val="24"/>
        </w:rPr>
        <w:t xml:space="preserve"> określonych w  art. 457 ust. 1</w:t>
      </w:r>
      <w:r w:rsidR="009D53EB">
        <w:rPr>
          <w:rFonts w:ascii="Times New Roman" w:eastAsia="Times New Roman" w:hAnsi="Times New Roman" w:cs="Times New Roman"/>
          <w:color w:val="000000"/>
          <w:sz w:val="24"/>
          <w:szCs w:val="24"/>
        </w:rPr>
        <w:t xml:space="preserve"> projektu ustawy</w:t>
      </w:r>
      <w:r w:rsidRPr="00DA788D">
        <w:rPr>
          <w:rFonts w:ascii="Times New Roman" w:eastAsia="Times New Roman" w:hAnsi="Times New Roman" w:cs="Times New Roman"/>
          <w:color w:val="000000"/>
          <w:sz w:val="24"/>
          <w:szCs w:val="24"/>
        </w:rPr>
        <w:t xml:space="preserve">: </w:t>
      </w:r>
    </w:p>
    <w:p w14:paraId="7BC57BD6" w14:textId="77777777" w:rsidR="00CB2D51" w:rsidRPr="00DA788D" w:rsidRDefault="002E64C7" w:rsidP="00DA788D">
      <w:pPr>
        <w:numPr>
          <w:ilvl w:val="1"/>
          <w:numId w:val="22"/>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unieważnić umowę, albo </w:t>
      </w:r>
    </w:p>
    <w:p w14:paraId="622CB601" w14:textId="77777777" w:rsidR="00CB2D51" w:rsidRPr="00DA788D" w:rsidRDefault="002E64C7" w:rsidP="00DA788D">
      <w:pPr>
        <w:numPr>
          <w:ilvl w:val="1"/>
          <w:numId w:val="22"/>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 xml:space="preserve">unieważnić umowę w zakresie zobowiązań niewykonanych i nałożyć karę finansową w uzasadnionych przypadkach, w szczególności gdy nie jest możliwy zwrot świadczeń spełnionych na podstawie umowy podlegającej unieważnieniu, albo </w:t>
      </w:r>
    </w:p>
    <w:p w14:paraId="684F288A" w14:textId="77777777" w:rsidR="00CB2D51" w:rsidRPr="00DA788D" w:rsidRDefault="002E64C7" w:rsidP="00DA788D">
      <w:pPr>
        <w:numPr>
          <w:ilvl w:val="1"/>
          <w:numId w:val="22"/>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nałożyć karę finansową albo orzec o skróceniu okresu obowiązywania umowy w przypadku stwierdzenia, że utrzymanie umowy w mocy leży w ważnym interesie publicznym, w szczególności w dziedzinach obronności i bezpieczeństwa, albo </w:t>
      </w:r>
    </w:p>
    <w:p w14:paraId="3FD330B7" w14:textId="78935C43" w:rsidR="00EB1963" w:rsidRDefault="002E64C7" w:rsidP="00DA788D">
      <w:pPr>
        <w:numPr>
          <w:ilvl w:val="0"/>
          <w:numId w:val="21"/>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jeżeli umowa została zawarta w okolicznościach dopuszczonych w ustawie - stwierdzić naruszenie przepisów ustawy</w:t>
      </w:r>
      <w:r w:rsidR="005F6EBC">
        <w:rPr>
          <w:rFonts w:ascii="Times New Roman" w:eastAsia="Times New Roman" w:hAnsi="Times New Roman" w:cs="Times New Roman"/>
          <w:color w:val="000000"/>
          <w:sz w:val="24"/>
          <w:szCs w:val="24"/>
        </w:rPr>
        <w:t>.</w:t>
      </w:r>
    </w:p>
    <w:p w14:paraId="4B412C3C" w14:textId="5BB2E08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ma obowiązek uwzględnić wszystkie istotne okoliczności, w tym powagę naruszenia, zachowanie zamawiającego oraz konsekwencje unieważnienia umowy</w:t>
      </w:r>
      <w:r w:rsidR="00EB1963">
        <w:rPr>
          <w:rFonts w:ascii="Times New Roman" w:eastAsia="Times New Roman" w:hAnsi="Times New Roman" w:cs="Times New Roman"/>
          <w:sz w:val="24"/>
          <w:szCs w:val="24"/>
        </w:rPr>
        <w:t xml:space="preserve"> lub jej postanowienia</w:t>
      </w:r>
      <w:r w:rsidRPr="00DA788D">
        <w:rPr>
          <w:rFonts w:ascii="Times New Roman" w:eastAsia="Times New Roman" w:hAnsi="Times New Roman" w:cs="Times New Roman"/>
          <w:sz w:val="24"/>
          <w:szCs w:val="24"/>
        </w:rPr>
        <w:t xml:space="preserve"> (art. 554 ust. </w:t>
      </w:r>
      <w:r w:rsidR="00CC148B">
        <w:rPr>
          <w:rFonts w:ascii="Times New Roman" w:eastAsia="Times New Roman" w:hAnsi="Times New Roman" w:cs="Times New Roman"/>
          <w:sz w:val="24"/>
          <w:szCs w:val="24"/>
        </w:rPr>
        <w:t>4</w:t>
      </w:r>
      <w:r w:rsidR="00CC148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projektu ustawy).</w:t>
      </w:r>
    </w:p>
    <w:p w14:paraId="1E4AD0A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Ważnego interesu publicznego nie stanowi interes gospodarczy związany bezpośrednio z zamówieniem, obejmujący w szczególności konsekwencje poniesienia kosztów wynikających z: opóźnienia w wykonaniu zamówienia, wszczęcia nowego postępowania o udzielenie zamówienia publicznego, udzielenia zamówienia innemu wykonawcy oraz zobowiązań prawnych związanych z unieważnieniem umowy. Interes gospodarczy w utrzymaniu ważności umowy może być uznany za ważny interes publiczny wyłącznie w przypadku, gdy unieważnienie umowy spowoduje niewspółmierne konsekwencje.</w:t>
      </w:r>
    </w:p>
    <w:p w14:paraId="3732EB1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nie jest uprawniona do nakazania zawarcia umowy</w:t>
      </w:r>
      <w:r w:rsidR="00EB1963">
        <w:rPr>
          <w:rFonts w:ascii="Times New Roman" w:eastAsia="Times New Roman" w:hAnsi="Times New Roman" w:cs="Times New Roman"/>
          <w:sz w:val="24"/>
          <w:szCs w:val="24"/>
        </w:rPr>
        <w:t xml:space="preserve"> lub wprowadzenia do umowy postanowienia o określonej treści.</w:t>
      </w:r>
    </w:p>
    <w:p w14:paraId="3770833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nie może unieważnić umowy, jeżeli mogłoby to stanowić istotne zagrożenie dla szerszego programu obrony i bezpieczeństwa niezbędnego ze względu na interesy związane z bezpieczeństwem Rzeczypospolitej Polskiej.</w:t>
      </w:r>
    </w:p>
    <w:p w14:paraId="72672DA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przypadku połączenia postępowań może zostać wydany łączne orzeczenie w sprawach złożonych odwołań.</w:t>
      </w:r>
    </w:p>
    <w:p w14:paraId="7B50050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wyroku oraz w postanowieniu kończącym postępowanie odwoławcze Izba ma obowiązek rozstrzygnąć o kosztach postępowania odwoławczego.</w:t>
      </w:r>
    </w:p>
    <w:p w14:paraId="47DD22B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Uzasadnienie orzeczenia sporządza się z urzędu w terminie 7 dni </w:t>
      </w:r>
      <w:r w:rsidR="00CC148B">
        <w:rPr>
          <w:rFonts w:ascii="Times New Roman" w:eastAsia="Times New Roman" w:hAnsi="Times New Roman" w:cs="Times New Roman"/>
          <w:sz w:val="24"/>
          <w:szCs w:val="24"/>
        </w:rPr>
        <w:t xml:space="preserve">od dnia ogłoszenia orzeczenia </w:t>
      </w:r>
      <w:r w:rsidRPr="00DA788D">
        <w:rPr>
          <w:rFonts w:ascii="Times New Roman" w:eastAsia="Times New Roman" w:hAnsi="Times New Roman" w:cs="Times New Roman"/>
          <w:sz w:val="24"/>
          <w:szCs w:val="24"/>
        </w:rPr>
        <w:t>(art. 559 ust. 1 projektu ustawy). Jest to termin instrukcyjny.</w:t>
      </w:r>
    </w:p>
    <w:p w14:paraId="0989FCE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Uzasadnienie wyroku zawiera wskazanie podstawy faktycznej rozstrzygnięcia, w tym ustalenie faktów, które Izba uznała za udowodnione, dowodów, na których się oparła, i przyczyn, dla których innym dowodom odmówiła wiarygodności i mocy dowodowej, oraz wskazanie podstawy prawnej wyroku z przytoczeniem przepisów prawa.</w:t>
      </w:r>
    </w:p>
    <w:p w14:paraId="0DB91B9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Odpisy orzeczenia wraz z uzasadnieniem wysyła się stronom oraz uczestnikom postępowania odwoławczego lub ich pełnomocnikom niezwłocznie po sporządzeniu uzasadnienia.</w:t>
      </w:r>
    </w:p>
    <w:p w14:paraId="1165381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Izba może sprostować na wniosek strony lub uczestnika postępowania odwoławczego lub z urzędu, w drodze postanowienia, błędy pisarskie albo rachunkowe lub inne oczywiste omyłki popełnione w orzeczeniu. </w:t>
      </w:r>
      <w:r w:rsidRPr="00DA788D">
        <w:rPr>
          <w:rFonts w:ascii="Times New Roman" w:eastAsia="Times New Roman" w:hAnsi="Times New Roman" w:cs="Times New Roman"/>
          <w:sz w:val="24"/>
          <w:szCs w:val="24"/>
        </w:rPr>
        <w:lastRenderedPageBreak/>
        <w:t>W takim przypadku przewodniczący składu orzekającego Izby umieszcza na oryginale orzeczenia wzmiankę o jego sprostowaniu. Odpisy sprostowanego orzeczenia wraz z odpisem postanowienia o sprostowaniu doręcza się stronom oraz uczestnikom postępowania odwoławczego lub ich pełnomocnikom niezwłocznie.</w:t>
      </w:r>
    </w:p>
    <w:p w14:paraId="7326A7D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Orzeczenie Izby, po stwierdzeniu przez sąd jego wykonalności, ma moc prawną na równi z wyrokiem sądu. Przepis art. 781 § 2 ustawy z dnia 17 listopada 1964 r. - Kodeks postępowania cywilnego stosuje się odpowiednio (art. 562 ust. 1 projektu ustawy).</w:t>
      </w:r>
    </w:p>
    <w:p w14:paraId="2D0103B9" w14:textId="785C885C"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 stwierdzeniu wykonalności orzeczenia Izby sąd orzeka na wniosek strony. Strona jest obowiązana załączyć do wniosku oryginał lub poświadczony przez Prezesa Izby odpis orzeczenia Izby (art. </w:t>
      </w:r>
      <w:r w:rsidR="00CC148B" w:rsidRPr="00DA788D">
        <w:rPr>
          <w:rFonts w:ascii="Times New Roman" w:eastAsia="Times New Roman" w:hAnsi="Times New Roman" w:cs="Times New Roman"/>
          <w:sz w:val="24"/>
          <w:szCs w:val="24"/>
        </w:rPr>
        <w:t>5</w:t>
      </w:r>
      <w:r w:rsidR="00CC148B">
        <w:rPr>
          <w:rFonts w:ascii="Times New Roman" w:eastAsia="Times New Roman" w:hAnsi="Times New Roman" w:cs="Times New Roman"/>
          <w:sz w:val="24"/>
          <w:szCs w:val="24"/>
        </w:rPr>
        <w:t>62</w:t>
      </w:r>
      <w:r w:rsidR="00CC148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ust. 2 projektu ustawy).</w:t>
      </w:r>
    </w:p>
    <w:p w14:paraId="1AF8A15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Sąd stwierdza wykonalność orzeczenia Izby nadającego się do wykonania w drodze egzekucji, nadając orzeczeniu klauzulę wykonalności (art. 562 ust. 3 projektu ustawy).</w:t>
      </w:r>
    </w:p>
    <w:p w14:paraId="4F52EF0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Sankcje w postaci kary finansowej nakładanej przez Krajową Izbę Odwoławczą (sąd okręgowy) pozostaną bez zmian. Regulacje w tym zakresie zostaną umieszczone w art. 563-567 projektu ustawy.</w:t>
      </w:r>
    </w:p>
    <w:p w14:paraId="3BA8F0F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Kara finansowa nakładana jest w dwóch wysokościach – do 10% i do 5% wartości wynagrodzenia wykonawcy przewidzianego w zawartej umowie.</w:t>
      </w:r>
    </w:p>
    <w:p w14:paraId="5B31965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Kara finansowa w wysokości do 10% wynagrodzenia wykonawcy stanowi karę alternatywną wobec unieważnienia umowy. Dlatego też Izba albo sąd nakłada ją wyłącznie w przypadku, gdy:</w:t>
      </w:r>
    </w:p>
    <w:p w14:paraId="18605FB2" w14:textId="77777777" w:rsidR="00CB2D51" w:rsidRPr="00DA788D" w:rsidRDefault="002E64C7" w:rsidP="00DA788D">
      <w:pPr>
        <w:numPr>
          <w:ilvl w:val="1"/>
          <w:numId w:val="2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odwołanie zostało uwzględnione oraz</w:t>
      </w:r>
    </w:p>
    <w:p w14:paraId="4443E0F8" w14:textId="77777777" w:rsidR="00CB2D51" w:rsidRPr="00DA788D" w:rsidRDefault="002E64C7" w:rsidP="00DA788D">
      <w:pPr>
        <w:numPr>
          <w:ilvl w:val="1"/>
          <w:numId w:val="25"/>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zamawiający zawarł umowę w okolicznościach stanowiących kwalifikowane naruszenie przepisów ustawy skutkujące unieważnieniem umowy. </w:t>
      </w:r>
    </w:p>
    <w:p w14:paraId="7B1A517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Kara finansowa jako alternatywa wobec unieważnienia umowy nakładana jest wyłącznie wówczas, gdy umowa zostaje unieważniona w zakresie zobowiązań niewykonanych, w szczególności gdy nie jest możliwy zwrot świadczeń spełnionych na podstawie umowy podlegającej unieważnieniu, utrzymanie umowy leży w ważnym interesie publicznym, a nie orzeczono o skróceniu okresu jej obowiązywania.</w:t>
      </w:r>
    </w:p>
    <w:p w14:paraId="3BB5795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Przy ustaleniu wymiaru kary Izba bierze pod uwagę rodzaj i zakres naruszenia, za które kara jest nakładana oraz wartość wynagrodzenia wykonawcy.</w:t>
      </w:r>
    </w:p>
    <w:p w14:paraId="3BFBB56C" w14:textId="3964D61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Kara finansowa w wysokości 5% wartości wynagrodzenia wykonawcy przewidzianego w zawartej umowie jest obligatoryjna w przypadku, gdy zamawiający naruszy zakaz zawarcia umowy przed upływem okresu zawieszenia (</w:t>
      </w:r>
      <w:r w:rsidRPr="00DA788D">
        <w:rPr>
          <w:rFonts w:ascii="Times New Roman" w:eastAsia="Times New Roman" w:hAnsi="Times New Roman" w:cs="Times New Roman"/>
          <w:i/>
          <w:sz w:val="24"/>
          <w:szCs w:val="24"/>
        </w:rPr>
        <w:t>standstill</w:t>
      </w:r>
      <w:r w:rsidRPr="00DA788D">
        <w:rPr>
          <w:rFonts w:ascii="Times New Roman" w:eastAsia="Times New Roman" w:hAnsi="Times New Roman" w:cs="Times New Roman"/>
          <w:sz w:val="24"/>
          <w:szCs w:val="24"/>
        </w:rPr>
        <w:t>) określonym w ustawie. W praktyce zatem Izba będzie zobligowana do nałożenia kary finansowej w przypadku, gdy stwierdzi, iż zamawiający zawarł umowę w sprawie zamówienia publicznego bez zachowania terminów określonych w ustawie, pomimo iż odwołanie wykonawcy nie będzie zasługiwało na uwzględnienie. Przy ustaleniu wysokości kary Izba albo sąd weźmie pod uwagę wszystkie istotne okoliczności dotyczące udzielenia zamówienia.</w:t>
      </w:r>
    </w:p>
    <w:p w14:paraId="426BD56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Instytucji kary finansowej nakładanej orzeczeniem przez Izbę nie należy utożsamiać z karą pieniężną nakładaną przez Prezesa UZP w drodze decyzji administracyjnej. Poza samym trybem nałożenia kary obie te </w:t>
      </w:r>
      <w:r w:rsidRPr="00DA788D">
        <w:rPr>
          <w:rFonts w:ascii="Times New Roman" w:eastAsia="Times New Roman" w:hAnsi="Times New Roman" w:cs="Times New Roman"/>
          <w:sz w:val="24"/>
          <w:szCs w:val="24"/>
        </w:rPr>
        <w:lastRenderedPageBreak/>
        <w:t>instytucje w sposób zasadniczy różnią się przesłankami. W przypadku, kiedy Prezes UZP stwierdzi, że w związku z tym samym naruszeniem Izba lub sąd nałożyli karę na zamawiającego sam już kary nie nakłada.</w:t>
      </w:r>
    </w:p>
    <w:p w14:paraId="3DE6190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na którego została nałożona kara finansowa ma obowiązek jej uiszczenia w terminie 30 dni od uprawomocnienia się orzeczenia Izby lub sądu. Orzeczenie Izby staje się prawomocne z chwilą upływu terminu do wniesienia skargi, gdy jej nie wniesiono lub wydania przez sąd - w wyniku rozpatrzenia skargi na orzeczenie Izby - wyroku oddalającego skargę. Wyrok sądu jest prawomocny z dniem jego wydania. Jeżeli kara nie zostanie uiszczona w ww. terminie podlega ściągnięciu w trybie przepisów o postępowaniu egzekucyjnym w administracji, przy czym nie pobiera się odsetek od kary uiszczonej nieterminowo.</w:t>
      </w:r>
    </w:p>
    <w:p w14:paraId="3F5BB24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Wpływy z tytułu kar finansowych stanowią dochód budżetu państwa.</w:t>
      </w:r>
    </w:p>
    <w:p w14:paraId="3BD3549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Obligatoryjny wymóg umorzenia postępowania odwoławczego zaktualizuje się, w przypadku cofnięcia odwołania, stwierdzenia, że dalsze postępowanie stało się z innej przyczyny zbędne lub niedopuszczalne lub uwzględnienia przez zamawiającego zarzutów w całości (art. 568 projektu ustawy).</w:t>
      </w:r>
    </w:p>
    <w:p w14:paraId="3560F5EE" w14:textId="3D215C04"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10</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Protokół </w:t>
      </w:r>
    </w:p>
    <w:p w14:paraId="63C7737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569-572</w:t>
      </w:r>
      <w:r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sz w:val="24"/>
          <w:szCs w:val="24"/>
        </w:rPr>
        <w:t xml:space="preserve">projektu ustawy zostaną uregulowane kwestie protokołowania czynności Izby. Wszystkie posiedzenia jawne są protokołowane. Protokół sporządza się także z ogłoszenia wyroku albo postanowienia wydanego po zamknięciu posiedzenia niejawnego z udziałem stron, uczestników postępowania odwoławczego, świadków lub biegłych. </w:t>
      </w:r>
    </w:p>
    <w:p w14:paraId="75A58B6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Protokół ma na celu utrwalenie przebiegu posiedzenia za pomocą urządzenia rejestrującego dźwięk albo obraz i dźwięk oraz pisemnie, pod kierunkiem przewodniczącego składu orzekającego Izby.</w:t>
      </w:r>
    </w:p>
    <w:p w14:paraId="6AE29D5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Gdy ze względów technicznych utrwalenie przebiegu posiedzenia za pomocą urządzenia rejestrującego dźwięk albo obraz i dźwięk nie jest możliwe, protokół jest sporządzany wyłącznie pisemnie.</w:t>
      </w:r>
    </w:p>
    <w:p w14:paraId="12BB6DE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Protokół sporządzony pisemnie zawiera:</w:t>
      </w:r>
    </w:p>
    <w:p w14:paraId="3B74C3B0" w14:textId="77777777" w:rsidR="00CB2D51" w:rsidRPr="00DA788D" w:rsidRDefault="002E64C7" w:rsidP="00DA788D">
      <w:pPr>
        <w:numPr>
          <w:ilvl w:val="0"/>
          <w:numId w:val="2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oznaczenie miejsca i daty posiedzenia, imiona i nazwiska członków składu orzekającego Izby, protokolanta, stron i uczestników postępowania, jak również obecnych na posiedzeniu przedstawicieli ustawowych i pełnomocników oraz oznaczenie sprawy i wzmiankę co do jawności;</w:t>
      </w:r>
    </w:p>
    <w:p w14:paraId="0983FF52" w14:textId="77777777" w:rsidR="00CB2D51" w:rsidRPr="00DA788D" w:rsidRDefault="002E64C7" w:rsidP="00DA788D">
      <w:pPr>
        <w:numPr>
          <w:ilvl w:val="0"/>
          <w:numId w:val="2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przebieg posiedzenia, w szczególności wnioski i twierdzenia stron i uczestników postępowania, wymienienie zarządzeń i orzeczeń wydanych na posiedzeniu oraz stwierdzenie, czy zostały ogłoszone;</w:t>
      </w:r>
    </w:p>
    <w:p w14:paraId="27E6B219" w14:textId="77777777" w:rsidR="00CB2D51" w:rsidRPr="00DA788D" w:rsidRDefault="002E64C7" w:rsidP="00DA788D">
      <w:pPr>
        <w:numPr>
          <w:ilvl w:val="0"/>
          <w:numId w:val="28"/>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czynności stron i uczestników postępowania mające znaczenie dla rozstrzygnięcia sprawy.</w:t>
      </w:r>
    </w:p>
    <w:p w14:paraId="584B439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Jeżeli przebiegu posiedzenia jawnego nie utrwala się za pomocą urządzenia rejestrującego dźwięk albo obraz i dźwięk, protokół sporządzony pisemnie zawiera, oprócz danych i ww. okoliczności wnioski oraz twierdzenia stron i uczestników postępowania oraz inne okoliczności istotne dla przebiegu posiedzenia.</w:t>
      </w:r>
    </w:p>
    <w:p w14:paraId="5A6D083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Protokół sporządzony za pomocą urządzenia rejestrującego dźwięk albo obraz i dźwięk protokolant podpisuje podpisem elektronicznym gwarantującym identyfikację osoby protokolanta oraz rozpoznawalność jakiejkolwiek późniejszej zmiany protokołu. </w:t>
      </w:r>
    </w:p>
    <w:p w14:paraId="23E20D3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Protokół sporządzony pisemnie podpisują przewodniczący składu orzekającego Izby i protokolant. </w:t>
      </w:r>
    </w:p>
    <w:p w14:paraId="3220BC09"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Na wniosek lub z urzędu można dokonać sprostowania protokołu. O dokonaniu sprostowania należy zrobić wzmiankę w protokole. </w:t>
      </w:r>
    </w:p>
    <w:p w14:paraId="2CDA77B1"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Na odmowę sprostowania protokołu nie przysługuje skarga. </w:t>
      </w:r>
    </w:p>
    <w:p w14:paraId="542E93A5" w14:textId="417EE286"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11</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Koszty postępowania odwoławczego </w:t>
      </w:r>
    </w:p>
    <w:p w14:paraId="19E312AF" w14:textId="6C76334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art. 573-576 </w:t>
      </w:r>
      <w:r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sz w:val="24"/>
          <w:szCs w:val="24"/>
        </w:rPr>
        <w:t xml:space="preserve">projektu ustawy, umieszczone zostaną szczegółowy związane z rozliczeniem kosztów postępowania odwoławczego. Kosztami postępowania odwoławczego są wpis i uzasadnione koszty postępowania odwoławczego. Strony oraz uczestnik postępowania wnoszący sprzeciw ponoszą koszty postępowania odwoławczego stosownie do jego wyniku. </w:t>
      </w:r>
    </w:p>
    <w:p w14:paraId="3750931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Wniosek dotyczący kosztów postępowania odwoławczego strona, wnoszący sprzeciw lub ich pełnomocnicy mogą złożyć aż do czasu zamknięcia rozprawy. </w:t>
      </w:r>
    </w:p>
    <w:p w14:paraId="29270F07" w14:textId="0D992AF8" w:rsidR="00CB2D51" w:rsidRPr="00DA788D" w:rsidRDefault="002E64C7" w:rsidP="00DA788D">
      <w:p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 xml:space="preserve">Szczegółowe regulacje dotyczące kosztów </w:t>
      </w:r>
      <w:r w:rsidR="00CC148B">
        <w:rPr>
          <w:rFonts w:ascii="Times New Roman" w:eastAsia="Times New Roman" w:hAnsi="Times New Roman" w:cs="Times New Roman"/>
          <w:color w:val="000000"/>
          <w:sz w:val="24"/>
          <w:szCs w:val="24"/>
        </w:rPr>
        <w:t xml:space="preserve">zostaną określone w akcie wykonawczym do ustawy. W art. 576 </w:t>
      </w:r>
      <w:r w:rsidR="009D53EB">
        <w:rPr>
          <w:rFonts w:ascii="Times New Roman" w:eastAsia="Times New Roman" w:hAnsi="Times New Roman" w:cs="Times New Roman"/>
          <w:color w:val="000000"/>
          <w:sz w:val="24"/>
          <w:szCs w:val="24"/>
        </w:rPr>
        <w:t xml:space="preserve">projektu ustawy </w:t>
      </w:r>
      <w:r w:rsidR="00CC148B">
        <w:rPr>
          <w:rFonts w:ascii="Times New Roman" w:eastAsia="Times New Roman" w:hAnsi="Times New Roman" w:cs="Times New Roman"/>
          <w:color w:val="000000"/>
          <w:sz w:val="24"/>
          <w:szCs w:val="24"/>
        </w:rPr>
        <w:t xml:space="preserve">wprowadza się upoważnienie dla </w:t>
      </w:r>
      <w:r w:rsidRPr="00DA788D">
        <w:rPr>
          <w:rFonts w:ascii="Times New Roman" w:eastAsia="Times New Roman" w:hAnsi="Times New Roman" w:cs="Times New Roman"/>
          <w:color w:val="000000"/>
          <w:sz w:val="24"/>
          <w:szCs w:val="24"/>
        </w:rPr>
        <w:t>Prezes</w:t>
      </w:r>
      <w:r w:rsidR="00CC148B">
        <w:rPr>
          <w:rFonts w:ascii="Times New Roman" w:eastAsia="Times New Roman" w:hAnsi="Times New Roman" w:cs="Times New Roman"/>
          <w:color w:val="000000"/>
          <w:sz w:val="24"/>
          <w:szCs w:val="24"/>
        </w:rPr>
        <w:t>a</w:t>
      </w:r>
      <w:r w:rsidRPr="00DA788D">
        <w:rPr>
          <w:rFonts w:ascii="Times New Roman" w:eastAsia="Times New Roman" w:hAnsi="Times New Roman" w:cs="Times New Roman"/>
          <w:color w:val="000000"/>
          <w:sz w:val="24"/>
          <w:szCs w:val="24"/>
        </w:rPr>
        <w:t xml:space="preserve"> Rady Ministrów</w:t>
      </w:r>
      <w:r w:rsidR="00CC148B">
        <w:rPr>
          <w:rFonts w:ascii="Times New Roman" w:eastAsia="Times New Roman" w:hAnsi="Times New Roman" w:cs="Times New Roman"/>
          <w:color w:val="000000"/>
          <w:sz w:val="24"/>
          <w:szCs w:val="24"/>
        </w:rPr>
        <w:t xml:space="preserve"> do</w:t>
      </w:r>
      <w:r w:rsidRPr="00DA788D">
        <w:rPr>
          <w:rFonts w:ascii="Times New Roman" w:eastAsia="Times New Roman" w:hAnsi="Times New Roman" w:cs="Times New Roman"/>
          <w:color w:val="000000"/>
          <w:sz w:val="24"/>
          <w:szCs w:val="24"/>
        </w:rPr>
        <w:t xml:space="preserve"> </w:t>
      </w:r>
      <w:r w:rsidR="00CC148B" w:rsidRPr="00DA788D">
        <w:rPr>
          <w:rFonts w:ascii="Times New Roman" w:eastAsia="Times New Roman" w:hAnsi="Times New Roman" w:cs="Times New Roman"/>
          <w:color w:val="000000"/>
          <w:sz w:val="24"/>
          <w:szCs w:val="24"/>
        </w:rPr>
        <w:t>określ</w:t>
      </w:r>
      <w:r w:rsidR="00CC148B">
        <w:rPr>
          <w:rFonts w:ascii="Times New Roman" w:eastAsia="Times New Roman" w:hAnsi="Times New Roman" w:cs="Times New Roman"/>
          <w:color w:val="000000"/>
          <w:sz w:val="24"/>
          <w:szCs w:val="24"/>
        </w:rPr>
        <w:t>enia</w:t>
      </w:r>
      <w:r w:rsidR="00CC148B"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 xml:space="preserve">, w drodze rozporządzenia, </w:t>
      </w:r>
      <w:r w:rsidR="00CC148B" w:rsidRPr="00DA788D">
        <w:rPr>
          <w:rFonts w:ascii="Times New Roman" w:eastAsia="Times New Roman" w:hAnsi="Times New Roman" w:cs="Times New Roman"/>
          <w:color w:val="000000"/>
          <w:sz w:val="24"/>
          <w:szCs w:val="24"/>
        </w:rPr>
        <w:t>wysokoś</w:t>
      </w:r>
      <w:r w:rsidR="00CC148B">
        <w:rPr>
          <w:rFonts w:ascii="Times New Roman" w:eastAsia="Times New Roman" w:hAnsi="Times New Roman" w:cs="Times New Roman"/>
          <w:color w:val="000000"/>
          <w:sz w:val="24"/>
          <w:szCs w:val="24"/>
        </w:rPr>
        <w:t>ci</w:t>
      </w:r>
      <w:r w:rsidR="00CC148B"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i spos</w:t>
      </w:r>
      <w:r w:rsidR="00CC148B">
        <w:rPr>
          <w:rFonts w:ascii="Times New Roman" w:eastAsia="Times New Roman" w:hAnsi="Times New Roman" w:cs="Times New Roman"/>
          <w:color w:val="000000"/>
          <w:sz w:val="24"/>
          <w:szCs w:val="24"/>
        </w:rPr>
        <w:t>obu</w:t>
      </w:r>
      <w:r w:rsidRPr="00DA788D">
        <w:rPr>
          <w:rFonts w:ascii="Times New Roman" w:eastAsia="Times New Roman" w:hAnsi="Times New Roman" w:cs="Times New Roman"/>
          <w:color w:val="000000"/>
          <w:sz w:val="24"/>
          <w:szCs w:val="24"/>
        </w:rPr>
        <w:t xml:space="preserve"> pobierania wpisu od odwołania, mając na względzie zróżnicowaną wysokość wpisu, zależną od wartości i rodzaju zamówienia, oraz biorąc pod uwagę </w:t>
      </w:r>
      <w:r w:rsidR="00100696">
        <w:rPr>
          <w:rFonts w:ascii="Times New Roman" w:eastAsia="Times New Roman" w:hAnsi="Times New Roman" w:cs="Times New Roman"/>
          <w:color w:val="000000"/>
          <w:sz w:val="24"/>
          <w:szCs w:val="24"/>
        </w:rPr>
        <w:t>dostępne formy</w:t>
      </w:r>
      <w:r w:rsidRPr="00DA788D">
        <w:rPr>
          <w:rFonts w:ascii="Times New Roman" w:eastAsia="Times New Roman" w:hAnsi="Times New Roman" w:cs="Times New Roman"/>
          <w:color w:val="000000"/>
          <w:sz w:val="24"/>
          <w:szCs w:val="24"/>
        </w:rPr>
        <w:t xml:space="preserve"> jego uiszczenia</w:t>
      </w:r>
      <w:r w:rsidR="00CC148B">
        <w:rPr>
          <w:rFonts w:ascii="Times New Roman" w:eastAsia="Times New Roman" w:hAnsi="Times New Roman" w:cs="Times New Roman"/>
          <w:color w:val="000000"/>
          <w:sz w:val="24"/>
          <w:szCs w:val="24"/>
        </w:rPr>
        <w:t>,</w:t>
      </w:r>
      <w:r w:rsidRPr="00DA788D">
        <w:rPr>
          <w:rFonts w:ascii="Times New Roman" w:eastAsia="Times New Roman" w:hAnsi="Times New Roman" w:cs="Times New Roman"/>
          <w:color w:val="000000"/>
          <w:sz w:val="24"/>
          <w:szCs w:val="24"/>
        </w:rPr>
        <w:t xml:space="preserve"> oraz </w:t>
      </w:r>
      <w:r w:rsidR="00CC148B">
        <w:rPr>
          <w:rFonts w:ascii="Times New Roman" w:eastAsia="Times New Roman" w:hAnsi="Times New Roman" w:cs="Times New Roman"/>
          <w:color w:val="000000"/>
          <w:sz w:val="24"/>
          <w:szCs w:val="24"/>
        </w:rPr>
        <w:t xml:space="preserve">do określenia </w:t>
      </w:r>
      <w:r w:rsidRPr="00DA788D">
        <w:rPr>
          <w:rFonts w:ascii="Times New Roman" w:eastAsia="Times New Roman" w:hAnsi="Times New Roman" w:cs="Times New Roman"/>
          <w:color w:val="000000"/>
          <w:sz w:val="24"/>
          <w:szCs w:val="24"/>
        </w:rPr>
        <w:t>szczegółow</w:t>
      </w:r>
      <w:r w:rsidR="00CC148B">
        <w:rPr>
          <w:rFonts w:ascii="Times New Roman" w:eastAsia="Times New Roman" w:hAnsi="Times New Roman" w:cs="Times New Roman"/>
          <w:color w:val="000000"/>
          <w:sz w:val="24"/>
          <w:szCs w:val="24"/>
        </w:rPr>
        <w:t>ych</w:t>
      </w:r>
      <w:r w:rsidRPr="00DA788D">
        <w:rPr>
          <w:rFonts w:ascii="Times New Roman" w:eastAsia="Times New Roman" w:hAnsi="Times New Roman" w:cs="Times New Roman"/>
          <w:color w:val="000000"/>
          <w:sz w:val="24"/>
          <w:szCs w:val="24"/>
        </w:rPr>
        <w:t xml:space="preserve"> rodzaj</w:t>
      </w:r>
      <w:r w:rsidR="00CC148B">
        <w:rPr>
          <w:rFonts w:ascii="Times New Roman" w:eastAsia="Times New Roman" w:hAnsi="Times New Roman" w:cs="Times New Roman"/>
          <w:color w:val="000000"/>
          <w:sz w:val="24"/>
          <w:szCs w:val="24"/>
        </w:rPr>
        <w:t>ów</w:t>
      </w:r>
      <w:r w:rsidRPr="00DA788D">
        <w:rPr>
          <w:rFonts w:ascii="Times New Roman" w:eastAsia="Times New Roman" w:hAnsi="Times New Roman" w:cs="Times New Roman"/>
          <w:color w:val="000000"/>
          <w:sz w:val="24"/>
          <w:szCs w:val="24"/>
        </w:rPr>
        <w:t xml:space="preserve"> kosztów postępowania odwoławczego objętych wpisem oraz uzasadnionymi kosztami stron tego postępowania, a także </w:t>
      </w:r>
      <w:r w:rsidR="00254F76">
        <w:rPr>
          <w:rFonts w:ascii="Times New Roman" w:eastAsia="Times New Roman" w:hAnsi="Times New Roman" w:cs="Times New Roman"/>
          <w:color w:val="000000"/>
          <w:sz w:val="24"/>
          <w:szCs w:val="24"/>
        </w:rPr>
        <w:t>sposób i tryb</w:t>
      </w:r>
      <w:r w:rsidRPr="00DA788D">
        <w:rPr>
          <w:rFonts w:ascii="Times New Roman" w:eastAsia="Times New Roman" w:hAnsi="Times New Roman" w:cs="Times New Roman"/>
          <w:color w:val="000000"/>
          <w:sz w:val="24"/>
          <w:szCs w:val="24"/>
        </w:rPr>
        <w:t xml:space="preserve"> ich rozliczania, mając na uwadze zróżnicowaną wysokość wpisu, zależną od wartości i rodzaju zamówienia, a także zasadność zwrotu stronie kosztów koniecznych do celowego dochodzenia praw lub do celowej obrony oraz treść orzeczenia wydanego przez Izbę.</w:t>
      </w:r>
    </w:p>
    <w:p w14:paraId="5A785230" w14:textId="3BC4F989"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sz w:val="24"/>
          <w:szCs w:val="24"/>
        </w:rPr>
        <w:t>Oddział 12</w:t>
      </w:r>
      <w:r w:rsidR="008459E7">
        <w:rPr>
          <w:rFonts w:ascii="Times New Roman" w:eastAsia="Times New Roman" w:hAnsi="Times New Roman" w:cs="Times New Roman"/>
          <w:sz w:val="24"/>
          <w:szCs w:val="24"/>
        </w:rPr>
        <w:t>.</w:t>
      </w:r>
      <w:r w:rsidRPr="00DA788D">
        <w:rPr>
          <w:rFonts w:ascii="Times New Roman" w:eastAsia="Times New Roman" w:hAnsi="Times New Roman" w:cs="Times New Roman"/>
          <w:b/>
          <w:sz w:val="24"/>
          <w:szCs w:val="24"/>
        </w:rPr>
        <w:t xml:space="preserve"> Zakaz zawarcia umowy w sprawie zamówienia publicznego </w:t>
      </w:r>
    </w:p>
    <w:p w14:paraId="54F5E2B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art. 577 i art.  578 projektu ustawy,</w:t>
      </w:r>
      <w:r w:rsidRPr="00DA788D">
        <w:rPr>
          <w:rFonts w:ascii="Times New Roman" w:eastAsia="Times New Roman" w:hAnsi="Times New Roman" w:cs="Times New Roman"/>
          <w:b/>
          <w:sz w:val="24"/>
          <w:szCs w:val="24"/>
        </w:rPr>
        <w:t xml:space="preserve"> </w:t>
      </w:r>
      <w:r w:rsidRPr="00DA788D">
        <w:rPr>
          <w:rFonts w:ascii="Times New Roman" w:eastAsia="Times New Roman" w:hAnsi="Times New Roman" w:cs="Times New Roman"/>
          <w:sz w:val="24"/>
          <w:szCs w:val="24"/>
        </w:rPr>
        <w:t>utrzymane zostaną obecne rozwiązania dotyczące zakazu zawarcia umowy w sprawie zamówienia publicznego. Zamawiający nie może zawrzeć umowy do czasu ogłoszenia przez Izbę orzeczenia kończącego postępowanie odwoławcze (wyroku albo postanowienia).</w:t>
      </w:r>
    </w:p>
    <w:p w14:paraId="78065F50"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Zamawiający może jednak wnioskować o uchylenie zakazu zawarcia umowy, gdy:</w:t>
      </w:r>
    </w:p>
    <w:p w14:paraId="2783770D" w14:textId="77777777" w:rsidR="00CB2D51" w:rsidRPr="00DA788D" w:rsidRDefault="002E64C7" w:rsidP="00DA788D">
      <w:pPr>
        <w:numPr>
          <w:ilvl w:val="0"/>
          <w:numId w:val="2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niezawarcie umowy mogłoby spowodować negatywne skutki dla interesu publicznego, przewyższające korzyści związane z koniecznością ochrony wszystkich interesów, w odniesieniu do których zachodzi prawdopodobieństwo doznania uszczerbku w wyniku czynności podjętych przez zamawiającego w postępowaniu o udzielenie zamówienia;</w:t>
      </w:r>
    </w:p>
    <w:p w14:paraId="797AF247" w14:textId="77777777" w:rsidR="00CB2D51" w:rsidRPr="00DA788D" w:rsidRDefault="002E64C7" w:rsidP="00DA788D">
      <w:pPr>
        <w:numPr>
          <w:ilvl w:val="0"/>
          <w:numId w:val="27"/>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zamawiający uprawdopodobnił, że odwołanie wnoszone jest wyłącznie w celu uniemożliwienia zawarcia umowy w sprawie zamówienia publicznego.</w:t>
      </w:r>
    </w:p>
    <w:p w14:paraId="7CAD95B6" w14:textId="5B405C3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Izba rozstrzyga </w:t>
      </w:r>
      <w:r w:rsidR="00CC148B">
        <w:rPr>
          <w:rFonts w:ascii="Times New Roman" w:eastAsia="Times New Roman" w:hAnsi="Times New Roman" w:cs="Times New Roman"/>
          <w:sz w:val="24"/>
          <w:szCs w:val="24"/>
        </w:rPr>
        <w:t>w sprawie</w:t>
      </w:r>
      <w:r w:rsidR="00CC148B"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wniosku o uchylenie zakazu na posiedzeniu niejawnym, w formie postanowienia, nie później niż w terminie 5 dni od dnia złożenia wniosku. Na postanowienie w przedmiocie wniosku o uchylenie zakazu nie przysługuje skarga.</w:t>
      </w:r>
    </w:p>
    <w:p w14:paraId="2A55542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Izba umarza, w formie postanowienia, postępowanie wszczęte na skutek złożenia wniosku o uchylenie zakazu, w przypadku ogłoszenia przez Izbę orzeczenia przed rozpoznaniem wniosku, cofnięcia wniosku lub stwierdzenia, że dalsze postępowanie stało się z innej przyczyny zbędne lub niedopuszczalne.</w:t>
      </w:r>
    </w:p>
    <w:p w14:paraId="2689A7A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Ogłoszenie przez Izbę orzeczenia kończącego postępowanie odwoławcze ma doniosłe znaczenie. Z tą chwilą bowiem ustawa łączy zakończenie okresu</w:t>
      </w:r>
      <w:r w:rsidRPr="00DA788D">
        <w:rPr>
          <w:rFonts w:ascii="Times New Roman" w:eastAsia="Times New Roman" w:hAnsi="Times New Roman" w:cs="Times New Roman"/>
          <w:i/>
          <w:sz w:val="24"/>
          <w:szCs w:val="24"/>
        </w:rPr>
        <w:t xml:space="preserve"> standstill</w:t>
      </w:r>
      <w:r w:rsidRPr="00DA788D">
        <w:rPr>
          <w:rFonts w:ascii="Times New Roman" w:eastAsia="Times New Roman" w:hAnsi="Times New Roman" w:cs="Times New Roman"/>
          <w:sz w:val="24"/>
          <w:szCs w:val="24"/>
        </w:rPr>
        <w:t xml:space="preserve">, a tym samym przestaje obowiązywać zakaz zawarcia umowy w sprawie zamówienia publicznego. Ogłoszenie orzeczenia wydanego na posiedzeniu z udziałem stron albo rozprawie następuje w dniu, w którym zakończono posiedzenie lub zamknięto rozprawę, chyba że Izba odroczy ogłoszenie orzeczenia. Ogłoszenie postanowienia kończącego postępowanie odwoławcze wydanego na posiedzeniu niejawnym następuje przez wywieszenie sentencji postanowienia na tablicy ogłoszeń w siedzibie Izby. </w:t>
      </w:r>
    </w:p>
    <w:p w14:paraId="09F1321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Wniesienie skargi do sądu okręgowego na orzeczenie Izby nie uchyla możliwości zawarcia umowy w sprawie zamówienia publicznego. Zawarcie umowy w sprawie zamówienia publicznego nie tamuje zaś rozpoznania skargi. Skoro zatem ogłoszenie orzeczenia </w:t>
      </w:r>
      <w:r w:rsidR="00CC148B">
        <w:rPr>
          <w:rFonts w:ascii="Times New Roman" w:eastAsia="Times New Roman" w:hAnsi="Times New Roman" w:cs="Times New Roman"/>
          <w:sz w:val="24"/>
          <w:szCs w:val="24"/>
        </w:rPr>
        <w:t xml:space="preserve">przez </w:t>
      </w:r>
      <w:r w:rsidRPr="00DA788D">
        <w:rPr>
          <w:rFonts w:ascii="Times New Roman" w:eastAsia="Times New Roman" w:hAnsi="Times New Roman" w:cs="Times New Roman"/>
          <w:sz w:val="24"/>
          <w:szCs w:val="24"/>
        </w:rPr>
        <w:t xml:space="preserve">Izbę otwiera możliwość zawarcia umowy, a jednocześnie jej zawarcie nie wstrzymuje rozpoznania skargi na orzeczenie Izby, to w sytuacji gdy sąd, odmiennie niż Izba, stwierdzi naruszenie przez zamawiającego przepisów ustawy skutkujących unieważnialnością umowy, uchylając wyrok Izby i uwzględniając odwołanie sąd może jedynie stwierdzić naruszenie przepisów ustawy. Zawarcie umowy po upływie okresu </w:t>
      </w:r>
      <w:r w:rsidRPr="00DA788D">
        <w:rPr>
          <w:rFonts w:ascii="Times New Roman" w:eastAsia="Times New Roman" w:hAnsi="Times New Roman" w:cs="Times New Roman"/>
          <w:i/>
          <w:sz w:val="24"/>
          <w:szCs w:val="24"/>
        </w:rPr>
        <w:t>standstill</w:t>
      </w:r>
      <w:r w:rsidRPr="00DA788D">
        <w:rPr>
          <w:rFonts w:ascii="Times New Roman" w:eastAsia="Times New Roman" w:hAnsi="Times New Roman" w:cs="Times New Roman"/>
          <w:sz w:val="24"/>
          <w:szCs w:val="24"/>
        </w:rPr>
        <w:t xml:space="preserve"> należy bowiem uznać za okoliczność dopuszczoną w ustawie. W takiej sytuacji orzeczenie sądu może natomiast stanowić podstawę do dochodzenia przez odwołującego odszkodowania na zasadach ogólnych kodeksu cywilnego.</w:t>
      </w:r>
    </w:p>
    <w:p w14:paraId="051C8630" w14:textId="79FBD2B1"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Rozdział 3</w:t>
      </w:r>
      <w:r w:rsidR="008459E7">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Postępowanie skargowe  </w:t>
      </w:r>
    </w:p>
    <w:p w14:paraId="32549862" w14:textId="7B09ED6E"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Strony oraz uczestnicy postępowania odwoławczego mogą złożyć skargę do sądu na orzeczenie Izby oraz</w:t>
      </w:r>
      <w:r w:rsidR="00EB1963">
        <w:rPr>
          <w:rFonts w:ascii="Times New Roman" w:eastAsia="Times New Roman" w:hAnsi="Times New Roman" w:cs="Times New Roman"/>
          <w:sz w:val="24"/>
          <w:szCs w:val="24"/>
        </w:rPr>
        <w:t xml:space="preserve"> postanowienie</w:t>
      </w:r>
      <w:r w:rsidRPr="00DA788D">
        <w:rPr>
          <w:rFonts w:ascii="Times New Roman" w:eastAsia="Times New Roman" w:hAnsi="Times New Roman" w:cs="Times New Roman"/>
          <w:sz w:val="24"/>
          <w:szCs w:val="24"/>
        </w:rPr>
        <w:t xml:space="preserve"> Prezesa Izby</w:t>
      </w:r>
      <w:r w:rsidR="00EB1963">
        <w:rPr>
          <w:rFonts w:ascii="Times New Roman" w:eastAsia="Times New Roman" w:hAnsi="Times New Roman" w:cs="Times New Roman"/>
          <w:sz w:val="24"/>
          <w:szCs w:val="24"/>
        </w:rPr>
        <w:t>, o którym mowa w art. 519 ust. 1</w:t>
      </w:r>
      <w:r w:rsidR="009D53EB">
        <w:rPr>
          <w:rFonts w:ascii="Times New Roman" w:eastAsia="Times New Roman" w:hAnsi="Times New Roman" w:cs="Times New Roman"/>
          <w:sz w:val="24"/>
          <w:szCs w:val="24"/>
        </w:rPr>
        <w:t xml:space="preserve"> projektu ustawy</w:t>
      </w:r>
      <w:r w:rsidRPr="00DA788D">
        <w:rPr>
          <w:rFonts w:ascii="Times New Roman" w:eastAsia="Times New Roman" w:hAnsi="Times New Roman" w:cs="Times New Roman"/>
          <w:sz w:val="24"/>
          <w:szCs w:val="24"/>
        </w:rPr>
        <w:t xml:space="preserve">. Szczegółowe regulacje w tej materii </w:t>
      </w:r>
      <w:r w:rsidR="009D53EB">
        <w:rPr>
          <w:rFonts w:ascii="Times New Roman" w:eastAsia="Times New Roman" w:hAnsi="Times New Roman" w:cs="Times New Roman"/>
          <w:sz w:val="24"/>
          <w:szCs w:val="24"/>
        </w:rPr>
        <w:t>są</w:t>
      </w:r>
      <w:r w:rsidR="009D53EB" w:rsidRPr="00DA788D">
        <w:rPr>
          <w:rFonts w:ascii="Times New Roman" w:eastAsia="Times New Roman" w:hAnsi="Times New Roman" w:cs="Times New Roman"/>
          <w:sz w:val="24"/>
          <w:szCs w:val="24"/>
        </w:rPr>
        <w:t xml:space="preserve"> </w:t>
      </w:r>
      <w:r w:rsidR="00BA41AF">
        <w:rPr>
          <w:rFonts w:ascii="Times New Roman" w:eastAsia="Times New Roman" w:hAnsi="Times New Roman" w:cs="Times New Roman"/>
          <w:sz w:val="24"/>
          <w:szCs w:val="24"/>
        </w:rPr>
        <w:t>zawarte</w:t>
      </w:r>
      <w:r w:rsidR="00BA41AF"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sz w:val="24"/>
          <w:szCs w:val="24"/>
        </w:rPr>
        <w:t>w art. 579-590 projektu ustawy.</w:t>
      </w:r>
    </w:p>
    <w:p w14:paraId="7266C33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Jeżeli przepisy ustawy nie będą stanowiły inaczej, do postępowania toczącego się wskutek wniesienia skargi stosuje się odpowiednio przepisy ustawy z dnia 17 listopada 1964 r. – Kodeks postępowania cywilnego o apelacji.</w:t>
      </w:r>
    </w:p>
    <w:p w14:paraId="6B5CDA9E"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Do rozpoznania skargi będzie wyłącznie właściwy Sąd Okręgowy w Warszawie – sąd zamówień publicznych (art. 580 ust. 1 projektu ustawy). Jeden sąd wyspecjalizowany i powołany do rozpoznawania skarg z zakresu zamówień publicznych ma przyczynić się do skrócenia czasu rozpoznawania spraw oraz zapewniania jakości orzeczeń sądowych na najwyższym poziomie.</w:t>
      </w:r>
    </w:p>
    <w:p w14:paraId="643BC91F" w14:textId="55D410C5"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Zgodnie z art. 580 ust. 2 </w:t>
      </w:r>
      <w:r w:rsidR="009D53EB">
        <w:rPr>
          <w:rFonts w:ascii="Times New Roman" w:eastAsia="Times New Roman" w:hAnsi="Times New Roman" w:cs="Times New Roman"/>
          <w:sz w:val="24"/>
          <w:szCs w:val="24"/>
        </w:rPr>
        <w:t xml:space="preserve">projektu ustawy </w:t>
      </w:r>
      <w:r w:rsidRPr="00DA788D">
        <w:rPr>
          <w:rFonts w:ascii="Times New Roman" w:eastAsia="Times New Roman" w:hAnsi="Times New Roman" w:cs="Times New Roman"/>
          <w:sz w:val="24"/>
          <w:szCs w:val="24"/>
        </w:rPr>
        <w:t xml:space="preserve">skargę składa się za pośrednictwem Prezesa Izby w terminie 14 dni od dnia doręczenia orzeczenia Izby lub Prezesa Izby, przesyłając jednocześnie jej odpis przeciwnikowi skargi. Dłuższy termin na złożenie skargi (obecnie jest to 7 dni) ma na celu zwiększenie dla stron gwarancji merytorycznej analizy orzeczenia Izby oraz przygotowania się do sporządzenia skargi, co może przełożyć się na sprawniejsze przeprowadzenie postępowania przed sądem. Złożenie skargi w placówce pocztowej operatora wyznaczonego w rozumieniu ustawy. – Prawo pocztowe jest równoznaczne z jej wniesieniem. </w:t>
      </w:r>
    </w:p>
    <w:p w14:paraId="649F8F7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Prezes Izby ma obowiązek przekazać skargę wraz z aktami postępowania odwoławczego do sądu zamówień publicznych, w terminie 7 dni od dnia jej otrzymania.</w:t>
      </w:r>
    </w:p>
    <w:p w14:paraId="5850977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terminie 30 dni od dnia wydania orzeczenia skargę może wnieść także Prezes Urzędu. Prezes Urzędu może także przystąpić do toczącego się postępowania. Również dłuższy termin dla Prezesa Urzędu na złożenie </w:t>
      </w:r>
      <w:r w:rsidRPr="00DA788D">
        <w:rPr>
          <w:rFonts w:ascii="Times New Roman" w:eastAsia="Times New Roman" w:hAnsi="Times New Roman" w:cs="Times New Roman"/>
          <w:sz w:val="24"/>
          <w:szCs w:val="24"/>
        </w:rPr>
        <w:lastRenderedPageBreak/>
        <w:t>skargi na w zamierzeniu projektodawcy przyczynić się do lepszego przygotowania się strony skarżącej do postępowania. Do czynności podejmowanych przez Prezesa Urzędu stosuje się odpowiednio przepisy ustawy z dnia 17 listopada 1964 r. – Kodeks postępowania cywilnego o prokuratorze.</w:t>
      </w:r>
    </w:p>
    <w:p w14:paraId="26CF56A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Skarga powinna czynić zadość wymaganiom przewidzianym dla pisma procesowego oraz zawierać oznaczenie zaskarżonego orzeczenia, ze wskazaniem, czy jest on zaskarżony w całości czy w części, przytoczenie zarzutów, zwięzłe ich uzasadnienie, wskazanie dowodów, a także wniosek o uchylenie orzeczenia lub o zmianę orzeczenia w całości lub w części z zaznaczeniem zakresu żądanej zmiany.</w:t>
      </w:r>
    </w:p>
    <w:p w14:paraId="7B3CBEE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postępowaniu toczącym się na skutek wniesienia skargi nie można rozszerzyć żądania odwołania ani występować z nowymi żądaniami. Także sąd nie może orzekać co do zarzutów, które nie były przedmiotem odwołania.</w:t>
      </w:r>
    </w:p>
    <w:p w14:paraId="64757E0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Sąd odrzuca skargę wniesioną po upływie terminu lub niedopuszczalną z innych przyczyn, jak również skargę, której braków strona nie uzupełniła w terminie.</w:t>
      </w:r>
    </w:p>
    <w:p w14:paraId="0A7012E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Jeżeli strona lub interwenient nie dokonał w terminie czynności procesowej nie ze swojej winy, sąd na jej wniosek przywraca termin. Postanowienie w tej sprawie może być wydane na posiedzeniu niejawnym.</w:t>
      </w:r>
    </w:p>
    <w:p w14:paraId="0893062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Pismo z wnioskiem o przywrócenie terminu wnosi się do sądu w terminie 7 dni od dnia ustania przyczyny uchybienia terminowi. W piśmie należy uprawdopodobnić okoliczności uzasadniające wniosek. Równocześnie z wnioskiem strona powinna dokonać czynności procesowej. </w:t>
      </w:r>
    </w:p>
    <w:p w14:paraId="0B5F1FBF"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Ciężar dowodu, że oferta nie zawiera rażąco niskiej ceny, spoczywa na:</w:t>
      </w:r>
    </w:p>
    <w:p w14:paraId="5B518A3F" w14:textId="77777777" w:rsidR="00CB2D51" w:rsidRPr="00DA788D" w:rsidRDefault="002E64C7" w:rsidP="00DA788D">
      <w:pPr>
        <w:numPr>
          <w:ilvl w:val="0"/>
          <w:numId w:val="2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wykonawcy, który ją złożył, jeżeli jest stroną postępowania albo interwenientem;</w:t>
      </w:r>
    </w:p>
    <w:p w14:paraId="62318500" w14:textId="77777777" w:rsidR="00CB2D51" w:rsidRPr="00DA788D" w:rsidRDefault="002E64C7" w:rsidP="00DA788D">
      <w:pPr>
        <w:numPr>
          <w:ilvl w:val="0"/>
          <w:numId w:val="26"/>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zamawiającym, jeżeli wykonawca, który złożył ofertę, nie jest stroną postępowania albo interwenientem. Rozwiązanie to jest analogiczne jak w przypadku postępowania odwoławczego.</w:t>
      </w:r>
    </w:p>
    <w:p w14:paraId="20C8435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Sąd jest zobligowany rozpoznać sprawę niezwłocznie, nie później jednak niż w terminie 1 miesiąca od dnia wpływu skargi do sądu.</w:t>
      </w:r>
    </w:p>
    <w:p w14:paraId="3DCC417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Jeżeli skarga jest bezzasadna sąd oddala ją wyrokiem.</w:t>
      </w:r>
    </w:p>
    <w:p w14:paraId="5FF92CED" w14:textId="4F1EC681"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przypadku natomiast uwzględnienia skargi sąd zmienia zaskarżone orzeczenie i orzeka wyrokiem co do istoty sprawy, a w pozostałych sprawach wydaje postanowienie. Przepisy </w:t>
      </w:r>
      <w:r w:rsidR="00CC148B">
        <w:rPr>
          <w:rFonts w:ascii="Times New Roman" w:eastAsia="Times New Roman" w:hAnsi="Times New Roman" w:cs="Times New Roman"/>
          <w:sz w:val="24"/>
          <w:szCs w:val="24"/>
        </w:rPr>
        <w:t>regulujące</w:t>
      </w:r>
      <w:r w:rsidRPr="00DA788D">
        <w:rPr>
          <w:rFonts w:ascii="Times New Roman" w:eastAsia="Times New Roman" w:hAnsi="Times New Roman" w:cs="Times New Roman"/>
          <w:sz w:val="24"/>
          <w:szCs w:val="24"/>
        </w:rPr>
        <w:t xml:space="preserve"> postępowania odwoławczego stosuje się odpowiednio. Przepisu art. 386 § 4 ustawy z dnia 17 listopada 1964 r. – Kodeks postępowania cywilnego nie stosuje się. </w:t>
      </w:r>
    </w:p>
    <w:p w14:paraId="753D7C1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Jeżeli odwołanie zostaje odrzucone albo zachodzi podstawa do umorzenia postępowania, sąd uchyla wyrok lub zmienia postanowienie oraz odrzuca odwołanie lub umarza postępowanie.</w:t>
      </w:r>
    </w:p>
    <w:p w14:paraId="52CEE2E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Strony ponoszą koszty postępowania stosownie do jego wyniku. Określając wysokość kosztów w treści orzeczenia, sąd uwzględnia także koszty poniesione przez strony w związku z rozpoznaniem odwołania.</w:t>
      </w:r>
    </w:p>
    <w:p w14:paraId="65E2F89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Od wyroku sądu lub postanowienia kończącego postępowanie w sprawie przysługuje skarga kasacyjna do Sądu Najwyższego. Skargę kasacyjną może wnieść strona oraz Prezes Urzędu. Interwenient będzie uprawniony do wniesienia skargi kasacyjnej na takich samych zasadach jakie dotychczas wyrażono na gruncie ustawy z dnia 17 listopada 1964 r. – Kodeks postępowania cywilnego. Przyznanie Prezesowi Urzędu uprawnienia do </w:t>
      </w:r>
      <w:r w:rsidRPr="00DA788D">
        <w:rPr>
          <w:rFonts w:ascii="Times New Roman" w:eastAsia="Times New Roman" w:hAnsi="Times New Roman" w:cs="Times New Roman"/>
          <w:sz w:val="24"/>
          <w:szCs w:val="24"/>
        </w:rPr>
        <w:lastRenderedPageBreak/>
        <w:t xml:space="preserve">wniesienia skargi kasacyjnej ma na celu zagwarantowanie praworządności i ochrony prawnej przed nieprawidłowościami podmiotów związanych z zamówieniami publicznymi. Z uwagi na wysoki poziom specjalizacji dziedziny zamówień publicznych - podmiot kształtujący i stojący na straży przestrzegania reguł zamówień publicznych wypełni tę rolę najlepiej. </w:t>
      </w:r>
    </w:p>
    <w:p w14:paraId="4F68197D" w14:textId="74658B12" w:rsidR="00CB2D51" w:rsidRPr="00DA788D" w:rsidRDefault="002E64C7" w:rsidP="00DA788D">
      <w:pPr>
        <w:spacing w:after="120"/>
        <w:ind w:firstLine="7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 skargi kasacyjnej z zamówień publicznych stosuje się przepisy części </w:t>
      </w:r>
      <w:r w:rsidR="000F3040">
        <w:rPr>
          <w:rFonts w:ascii="Times New Roman" w:eastAsia="Times New Roman" w:hAnsi="Times New Roman" w:cs="Times New Roman"/>
          <w:sz w:val="24"/>
          <w:szCs w:val="24"/>
        </w:rPr>
        <w:t xml:space="preserve">pierwszej </w:t>
      </w:r>
      <w:r w:rsidR="000F3040" w:rsidRPr="00DA788D">
        <w:rPr>
          <w:rFonts w:ascii="Times New Roman" w:eastAsia="Times New Roman" w:hAnsi="Times New Roman" w:cs="Times New Roman"/>
          <w:sz w:val="24"/>
          <w:szCs w:val="24"/>
        </w:rPr>
        <w:t xml:space="preserve"> </w:t>
      </w:r>
      <w:r w:rsidR="00CC148B" w:rsidRPr="00DA788D">
        <w:rPr>
          <w:rFonts w:ascii="Times New Roman" w:eastAsia="Times New Roman" w:hAnsi="Times New Roman" w:cs="Times New Roman"/>
          <w:sz w:val="24"/>
          <w:szCs w:val="24"/>
        </w:rPr>
        <w:t>księ</w:t>
      </w:r>
      <w:r w:rsidR="00CC148B">
        <w:rPr>
          <w:rFonts w:ascii="Times New Roman" w:eastAsia="Times New Roman" w:hAnsi="Times New Roman" w:cs="Times New Roman"/>
          <w:sz w:val="24"/>
          <w:szCs w:val="24"/>
        </w:rPr>
        <w:t>gi</w:t>
      </w:r>
      <w:r w:rsidR="00CC148B" w:rsidRPr="00DA788D">
        <w:rPr>
          <w:rFonts w:ascii="Times New Roman" w:eastAsia="Times New Roman" w:hAnsi="Times New Roman" w:cs="Times New Roman"/>
          <w:sz w:val="24"/>
          <w:szCs w:val="24"/>
        </w:rPr>
        <w:t xml:space="preserve"> </w:t>
      </w:r>
      <w:r w:rsidR="000F3040">
        <w:rPr>
          <w:rFonts w:ascii="Times New Roman" w:eastAsia="Times New Roman" w:hAnsi="Times New Roman" w:cs="Times New Roman"/>
          <w:sz w:val="24"/>
          <w:szCs w:val="24"/>
        </w:rPr>
        <w:t>pierwszej</w:t>
      </w:r>
      <w:r w:rsidRPr="00DA788D">
        <w:rPr>
          <w:rFonts w:ascii="Times New Roman" w:eastAsia="Times New Roman" w:hAnsi="Times New Roman" w:cs="Times New Roman"/>
          <w:sz w:val="24"/>
          <w:szCs w:val="24"/>
        </w:rPr>
        <w:t xml:space="preserve">  tytu</w:t>
      </w:r>
      <w:r w:rsidR="00CC148B">
        <w:rPr>
          <w:rFonts w:ascii="Times New Roman" w:eastAsia="Times New Roman" w:hAnsi="Times New Roman" w:cs="Times New Roman"/>
          <w:sz w:val="24"/>
          <w:szCs w:val="24"/>
        </w:rPr>
        <w:t>łu</w:t>
      </w:r>
      <w:r w:rsidRPr="00DA788D">
        <w:rPr>
          <w:rFonts w:ascii="Times New Roman" w:eastAsia="Times New Roman" w:hAnsi="Times New Roman" w:cs="Times New Roman"/>
          <w:sz w:val="24"/>
          <w:szCs w:val="24"/>
        </w:rPr>
        <w:t xml:space="preserve"> VI  dzia</w:t>
      </w:r>
      <w:r w:rsidR="00CC148B">
        <w:rPr>
          <w:rFonts w:ascii="Times New Roman" w:eastAsia="Times New Roman" w:hAnsi="Times New Roman" w:cs="Times New Roman"/>
          <w:sz w:val="24"/>
          <w:szCs w:val="24"/>
        </w:rPr>
        <w:t>łu</w:t>
      </w:r>
      <w:r w:rsidRPr="00DA788D">
        <w:rPr>
          <w:rFonts w:ascii="Times New Roman" w:eastAsia="Times New Roman" w:hAnsi="Times New Roman" w:cs="Times New Roman"/>
          <w:sz w:val="24"/>
          <w:szCs w:val="24"/>
        </w:rPr>
        <w:t xml:space="preserve"> Va ustawy z dnia 17 listopada 1964 r. – Kodeks postępowania cywilnego. Do czynności podejmowanych przez Prezesa Urzędu natomiast stosuje się odpowiednio przepisy o Prokuratorze Generalnym, określone części </w:t>
      </w:r>
      <w:r w:rsidR="000F3040">
        <w:rPr>
          <w:rFonts w:ascii="Times New Roman" w:eastAsia="Times New Roman" w:hAnsi="Times New Roman" w:cs="Times New Roman"/>
          <w:sz w:val="24"/>
          <w:szCs w:val="24"/>
        </w:rPr>
        <w:t>pierwszej</w:t>
      </w:r>
      <w:r w:rsidRPr="00DA788D">
        <w:rPr>
          <w:rFonts w:ascii="Times New Roman" w:eastAsia="Times New Roman" w:hAnsi="Times New Roman" w:cs="Times New Roman"/>
          <w:sz w:val="24"/>
          <w:szCs w:val="24"/>
        </w:rPr>
        <w:t xml:space="preserve"> </w:t>
      </w:r>
      <w:r w:rsidR="00CC148B" w:rsidRPr="00DA788D">
        <w:rPr>
          <w:rFonts w:ascii="Times New Roman" w:eastAsia="Times New Roman" w:hAnsi="Times New Roman" w:cs="Times New Roman"/>
          <w:sz w:val="24"/>
          <w:szCs w:val="24"/>
        </w:rPr>
        <w:t>księ</w:t>
      </w:r>
      <w:r w:rsidR="00CC148B">
        <w:rPr>
          <w:rFonts w:ascii="Times New Roman" w:eastAsia="Times New Roman" w:hAnsi="Times New Roman" w:cs="Times New Roman"/>
          <w:sz w:val="24"/>
          <w:szCs w:val="24"/>
        </w:rPr>
        <w:t>gi</w:t>
      </w:r>
      <w:r w:rsidR="00CC148B" w:rsidRPr="00DA788D">
        <w:rPr>
          <w:rFonts w:ascii="Times New Roman" w:eastAsia="Times New Roman" w:hAnsi="Times New Roman" w:cs="Times New Roman"/>
          <w:sz w:val="24"/>
          <w:szCs w:val="24"/>
        </w:rPr>
        <w:t xml:space="preserve"> </w:t>
      </w:r>
      <w:r w:rsidR="000F3040">
        <w:rPr>
          <w:rFonts w:ascii="Times New Roman" w:eastAsia="Times New Roman" w:hAnsi="Times New Roman" w:cs="Times New Roman"/>
          <w:sz w:val="24"/>
          <w:szCs w:val="24"/>
        </w:rPr>
        <w:t>pierwszej</w:t>
      </w:r>
      <w:r w:rsidRPr="00DA788D">
        <w:rPr>
          <w:rFonts w:ascii="Times New Roman" w:eastAsia="Times New Roman" w:hAnsi="Times New Roman" w:cs="Times New Roman"/>
          <w:sz w:val="24"/>
          <w:szCs w:val="24"/>
        </w:rPr>
        <w:t xml:space="preserve"> tytu</w:t>
      </w:r>
      <w:r w:rsidR="00CC148B">
        <w:rPr>
          <w:rFonts w:ascii="Times New Roman" w:eastAsia="Times New Roman" w:hAnsi="Times New Roman" w:cs="Times New Roman"/>
          <w:sz w:val="24"/>
          <w:szCs w:val="24"/>
        </w:rPr>
        <w:t>łu</w:t>
      </w:r>
      <w:r w:rsidRPr="00DA788D">
        <w:rPr>
          <w:rFonts w:ascii="Times New Roman" w:eastAsia="Times New Roman" w:hAnsi="Times New Roman" w:cs="Times New Roman"/>
          <w:sz w:val="24"/>
          <w:szCs w:val="24"/>
        </w:rPr>
        <w:t xml:space="preserve"> VI dzia</w:t>
      </w:r>
      <w:r w:rsidR="00CC148B">
        <w:rPr>
          <w:rFonts w:ascii="Times New Roman" w:eastAsia="Times New Roman" w:hAnsi="Times New Roman" w:cs="Times New Roman"/>
          <w:sz w:val="24"/>
          <w:szCs w:val="24"/>
        </w:rPr>
        <w:t>łu</w:t>
      </w:r>
      <w:r w:rsidRPr="00DA788D">
        <w:rPr>
          <w:rFonts w:ascii="Times New Roman" w:eastAsia="Times New Roman" w:hAnsi="Times New Roman" w:cs="Times New Roman"/>
          <w:sz w:val="24"/>
          <w:szCs w:val="24"/>
        </w:rPr>
        <w:t xml:space="preserve"> Va ustawy z dnia 17 listopada 1964 r. – Kodeks postępowania cywilnego. Oznacza to, że wszystkie przesłanki i reguły związane ze skargą kasacyjną znajdą zastosowanie także w tym przypadku.</w:t>
      </w:r>
    </w:p>
    <w:p w14:paraId="67A6BFAD" w14:textId="77777777" w:rsidR="00CB2D51" w:rsidRPr="00DA788D" w:rsidRDefault="00CB2D51" w:rsidP="00DA788D">
      <w:pPr>
        <w:spacing w:after="120"/>
        <w:ind w:firstLine="708"/>
        <w:jc w:val="both"/>
        <w:rPr>
          <w:rFonts w:ascii="Times New Roman" w:eastAsia="Times New Roman" w:hAnsi="Times New Roman" w:cs="Times New Roman"/>
          <w:sz w:val="24"/>
          <w:szCs w:val="24"/>
        </w:rPr>
      </w:pPr>
    </w:p>
    <w:p w14:paraId="031445F0" w14:textId="1CD977D4" w:rsidR="00CB2D51" w:rsidRPr="00DA788D" w:rsidRDefault="002E64C7" w:rsidP="00DA788D">
      <w:pPr>
        <w:keepNext/>
        <w:pBdr>
          <w:top w:val="nil"/>
          <w:left w:val="nil"/>
          <w:bottom w:val="nil"/>
          <w:right w:val="nil"/>
          <w:between w:val="nil"/>
        </w:pBdr>
        <w:spacing w:after="120"/>
        <w:jc w:val="both"/>
        <w:rPr>
          <w:rFonts w:ascii="Times New Roman" w:eastAsia="Times" w:hAnsi="Times New Roman" w:cs="Times New Roman"/>
          <w:b/>
          <w:color w:val="000000"/>
          <w:sz w:val="24"/>
          <w:szCs w:val="24"/>
        </w:rPr>
      </w:pPr>
      <w:r w:rsidRPr="00DA788D">
        <w:rPr>
          <w:rFonts w:ascii="Times New Roman" w:eastAsia="Times New Roman" w:hAnsi="Times New Roman" w:cs="Times New Roman"/>
          <w:b/>
          <w:color w:val="000000"/>
          <w:sz w:val="24"/>
          <w:szCs w:val="24"/>
        </w:rPr>
        <w:t>DZIAŁ X</w:t>
      </w:r>
      <w:r w:rsidR="008459E7">
        <w:rPr>
          <w:rFonts w:ascii="Times New Roman" w:eastAsia="Times New Roman" w:hAnsi="Times New Roman" w:cs="Times New Roman"/>
          <w:b/>
          <w:color w:val="000000"/>
          <w:sz w:val="24"/>
          <w:szCs w:val="24"/>
        </w:rPr>
        <w:t>.</w:t>
      </w:r>
      <w:r w:rsidRPr="00DA788D">
        <w:rPr>
          <w:rFonts w:ascii="Times New Roman" w:eastAsia="Times New Roman" w:hAnsi="Times New Roman" w:cs="Times New Roman"/>
          <w:b/>
          <w:color w:val="000000"/>
          <w:sz w:val="24"/>
          <w:szCs w:val="24"/>
        </w:rPr>
        <w:t xml:space="preserve"> </w:t>
      </w:r>
      <w:r w:rsidRPr="00DA788D">
        <w:rPr>
          <w:rFonts w:ascii="Times New Roman" w:eastAsia="Times" w:hAnsi="Times New Roman" w:cs="Times New Roman"/>
          <w:b/>
          <w:color w:val="000000"/>
          <w:sz w:val="24"/>
          <w:szCs w:val="24"/>
        </w:rPr>
        <w:t>Pozasądowe rozwiązywanie sporów</w:t>
      </w:r>
    </w:p>
    <w:p w14:paraId="3BCBC5DB"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Mediacja i koncyliacja są alternatywnymi metodami rozwiązywania sporów (</w:t>
      </w:r>
      <w:r w:rsidRPr="00DA788D">
        <w:rPr>
          <w:rFonts w:ascii="Times New Roman" w:eastAsia="Times New Roman" w:hAnsi="Times New Roman" w:cs="Times New Roman"/>
          <w:i/>
          <w:sz w:val="24"/>
          <w:szCs w:val="24"/>
        </w:rPr>
        <w:t>Alternative Dispute Resolution</w:t>
      </w:r>
      <w:r w:rsidRPr="00DA788D">
        <w:rPr>
          <w:rFonts w:ascii="Times New Roman" w:eastAsia="Times New Roman" w:hAnsi="Times New Roman" w:cs="Times New Roman"/>
          <w:sz w:val="24"/>
          <w:szCs w:val="24"/>
        </w:rPr>
        <w:t>, ADR). Ich praktyczne zastosowanie jest bardzo popularne w USA oraz w krajach europejskich z ugruntowaną praktyką pozasądowego rozstrzygania sporów oraz rozwiniętą gospodarką wolnorynkową.</w:t>
      </w:r>
    </w:p>
    <w:p w14:paraId="137228D9" w14:textId="77777777" w:rsidR="00CB2D51" w:rsidRPr="00DA788D" w:rsidRDefault="002E64C7" w:rsidP="00DA788D">
      <w:pPr>
        <w:spacing w:after="120"/>
        <w:ind w:firstLine="708"/>
        <w:jc w:val="both"/>
        <w:rPr>
          <w:rFonts w:ascii="Times New Roman" w:eastAsia="Tahoma" w:hAnsi="Times New Roman" w:cs="Times New Roman"/>
          <w:color w:val="000000"/>
          <w:sz w:val="24"/>
          <w:szCs w:val="24"/>
          <w:highlight w:val="white"/>
        </w:rPr>
      </w:pPr>
      <w:r w:rsidRPr="00DA788D">
        <w:rPr>
          <w:rFonts w:ascii="Times New Roman" w:eastAsia="Times New Roman" w:hAnsi="Times New Roman" w:cs="Times New Roman"/>
          <w:color w:val="000000"/>
          <w:sz w:val="24"/>
          <w:szCs w:val="24"/>
          <w:highlight w:val="white"/>
        </w:rPr>
        <w:t>Mediacja to próba doprowadzenia do ugodowego, satysfakcjonującego strony rozwiązania sporu na drodze dobrowolnych negocjacji prowadzonych przy udziale trzeciej osoby, neutralnego i bezstronnego mediatora, który wspiera przebieg negocjacji, łagodzi powstające napięcia i pomaga w dojściu do porozumienia.</w:t>
      </w:r>
      <w:r w:rsidRPr="00DA788D">
        <w:rPr>
          <w:rFonts w:ascii="Times New Roman" w:eastAsia="Tahoma" w:hAnsi="Times New Roman" w:cs="Times New Roman"/>
          <w:color w:val="000000"/>
          <w:sz w:val="24"/>
          <w:szCs w:val="24"/>
          <w:highlight w:val="white"/>
        </w:rPr>
        <w:t xml:space="preserve"> </w:t>
      </w:r>
    </w:p>
    <w:p w14:paraId="1D95BF7C" w14:textId="77777777" w:rsidR="00CB2D51" w:rsidRPr="00DA788D" w:rsidRDefault="002E64C7" w:rsidP="00DA788D">
      <w:p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Do podstawowych zasad mediacji należy:</w:t>
      </w:r>
    </w:p>
    <w:p w14:paraId="14DFC9CC" w14:textId="77777777" w:rsidR="00CB2D51" w:rsidRPr="00DA788D" w:rsidRDefault="002E64C7" w:rsidP="00DA788D">
      <w:pPr>
        <w:numPr>
          <w:ilvl w:val="0"/>
          <w:numId w:val="14"/>
        </w:num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dobrowolność – udział w mediacji jest dobrowolny a zgoda ma mediację może być cofnięta przez każdą ze stron na każdym etapie trwania mediacji;</w:t>
      </w:r>
    </w:p>
    <w:p w14:paraId="684D511A" w14:textId="77777777" w:rsidR="00CB2D51" w:rsidRPr="00DA788D" w:rsidRDefault="002E64C7" w:rsidP="00DA788D">
      <w:pPr>
        <w:numPr>
          <w:ilvl w:val="0"/>
          <w:numId w:val="14"/>
        </w:num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bezstronność - strony mediacji mają równe prawa i powinny być traktowane jednakowo;</w:t>
      </w:r>
    </w:p>
    <w:p w14:paraId="792D42E9" w14:textId="77777777" w:rsidR="00CB2D51" w:rsidRPr="00DA788D" w:rsidRDefault="002E64C7" w:rsidP="00DA788D">
      <w:pPr>
        <w:numPr>
          <w:ilvl w:val="0"/>
          <w:numId w:val="14"/>
        </w:num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poufność - przebieg postępowania mediacyjnego objęty jest tajemnicą;</w:t>
      </w:r>
    </w:p>
    <w:p w14:paraId="586CD722" w14:textId="77777777" w:rsidR="00CB2D51" w:rsidRPr="00DA788D" w:rsidRDefault="002E64C7" w:rsidP="00DA788D">
      <w:pPr>
        <w:numPr>
          <w:ilvl w:val="0"/>
          <w:numId w:val="14"/>
        </w:num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neutralność - mediator nie może narzucać stronom własnych propozycji rozwiązań sporu, porozumienie jest wypracowywane przez same strony (jedynie na zgodny wniosek stron mediator może wskazać sposoby rozwiązania sporu, które nie są dla stron wiążące, a ponadto mediatorowi nie wolno czerpać żadnych korzyści z tego, co jest przedmiotem negocjacji pomiędzy uczestnikami ani też z faktu, sposobu lub formy zawarcia ugody);</w:t>
      </w:r>
    </w:p>
    <w:p w14:paraId="6286222B" w14:textId="77777777" w:rsidR="00CB2D51" w:rsidRPr="00DA788D" w:rsidRDefault="002E64C7" w:rsidP="00DA788D">
      <w:pPr>
        <w:numPr>
          <w:ilvl w:val="0"/>
          <w:numId w:val="14"/>
        </w:numPr>
        <w:shd w:val="clear" w:color="auto" w:fill="FFFFFF"/>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akceptowalność - strony muszą zaakceptować osobę mediatora i jego pomoc w dochodzeniu do porozumienia; mogą również na początku mediacji uzgodnić z mediatorem reguły mediacji, których następnie w toku mediacji powinny przestrzegać.</w:t>
      </w:r>
    </w:p>
    <w:p w14:paraId="4ED9BE43"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Koncyliacja co do zasady polega natomiast na rozpatrzeniu sporu przez niezależnego koncyliatora albo specjalną komisję koncyliacyjną. Może to być komisja stała lub powołana </w:t>
      </w:r>
      <w:r w:rsidRPr="00DA788D">
        <w:rPr>
          <w:rFonts w:ascii="Times New Roman" w:eastAsia="Times New Roman" w:hAnsi="Times New Roman" w:cs="Times New Roman"/>
          <w:i/>
          <w:sz w:val="24"/>
          <w:szCs w:val="24"/>
        </w:rPr>
        <w:t>ad hoc</w:t>
      </w:r>
      <w:r w:rsidRPr="00DA788D">
        <w:rPr>
          <w:rFonts w:ascii="Times New Roman" w:eastAsia="Times New Roman" w:hAnsi="Times New Roman" w:cs="Times New Roman"/>
          <w:sz w:val="24"/>
          <w:szCs w:val="24"/>
        </w:rPr>
        <w:t xml:space="preserve"> przez strony sporu. Podstawowym zadaniem koncyliatora lub komisji koncyliacyjnej jest zaproponowanie rozstrzygnięcia, które byłoby do przyjęcia przez strony sporu albo pozwoliłoby im na wypracowanie własnego rozwiązania sporu. </w:t>
      </w:r>
    </w:p>
    <w:p w14:paraId="1264E6B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Strony nie są przy tym związane przedstawioną im propozycją rozstrzygnięcia. Wybór rozwiązania zawsze należy do stron sporu, natomiast koncyliatorzy odpowiadają za opracowanie końcowego porozumienia (ugody).</w:t>
      </w:r>
    </w:p>
    <w:p w14:paraId="43F47E55"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Mediatorzy i koncyliatorzy moderują proces rozwiązywania sporu, pomagają stronom zrozumieć problem, dokonać analizy konsekwencji różnych rozwiązań i co najważniejsze zapobiegają eskalacji konfliktu między stronami. W przypadkach wyjątkowo trudnych konfliktów mogą pośredniczyć w utrzymaniu komunikacji między stronami. </w:t>
      </w:r>
    </w:p>
    <w:p w14:paraId="159F5A06" w14:textId="4E2BC1C2" w:rsidR="00CB2D51" w:rsidRPr="00DA788D" w:rsidRDefault="00976DC1"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Jedną z ważnych zalet</w:t>
      </w:r>
      <w:r w:rsidR="002E64C7" w:rsidRPr="00DA788D">
        <w:rPr>
          <w:rFonts w:ascii="Times New Roman" w:eastAsia="Times New Roman" w:hAnsi="Times New Roman" w:cs="Times New Roman"/>
          <w:sz w:val="24"/>
          <w:szCs w:val="24"/>
        </w:rPr>
        <w:t xml:space="preserve"> ADR jest ich poufny charakter. </w:t>
      </w:r>
    </w:p>
    <w:p w14:paraId="1D4D552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Mediacja i koncyliacja jako metody alternatywnego rozwiązywania sporów są rozwiązaniami tańszymi i szybszymi od tradycyjnego procesu sądowego. Dają ponadto stronom poczucie większej kontroli nad sporem i jego rozwiązaniami.</w:t>
      </w:r>
    </w:p>
    <w:p w14:paraId="3AC94D48" w14:textId="6097AA0F" w:rsidR="00CB2D51"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Wprowadzenie do ustawy ADR</w:t>
      </w:r>
      <w:r w:rsidR="00976DC1">
        <w:rPr>
          <w:rFonts w:ascii="Times New Roman" w:eastAsia="Times New Roman" w:hAnsi="Times New Roman" w:cs="Times New Roman"/>
          <w:sz w:val="24"/>
          <w:szCs w:val="24"/>
        </w:rPr>
        <w:t>, w szczególności</w:t>
      </w:r>
      <w:r w:rsidRPr="00DA788D">
        <w:rPr>
          <w:rFonts w:ascii="Times New Roman" w:eastAsia="Times New Roman" w:hAnsi="Times New Roman" w:cs="Times New Roman"/>
          <w:sz w:val="24"/>
          <w:szCs w:val="24"/>
        </w:rPr>
        <w:t xml:space="preserve"> w przypadku sporów wynikłych na tle zamówień publicznych o istotnym znaczeniu dla zamawiających oraz dużej wartości jest uzasadnione potrzebą zapewnienia stronom sporu instrumentów, które zwiększą szanse na dobrowolne i zadowalające obie strony </w:t>
      </w:r>
      <w:r w:rsidR="00976DC1">
        <w:rPr>
          <w:rFonts w:ascii="Times New Roman" w:eastAsia="Times New Roman" w:hAnsi="Times New Roman" w:cs="Times New Roman"/>
          <w:sz w:val="24"/>
          <w:szCs w:val="24"/>
        </w:rPr>
        <w:t>zakończenie konfliktu</w:t>
      </w:r>
      <w:r w:rsidRPr="00DA788D">
        <w:rPr>
          <w:rFonts w:ascii="Times New Roman" w:eastAsia="Times New Roman" w:hAnsi="Times New Roman" w:cs="Times New Roman"/>
          <w:sz w:val="24"/>
          <w:szCs w:val="24"/>
        </w:rPr>
        <w:t>. Nie bez znaczenia jest także możliwość mniej czasochłonnego i mniej kosztownego zaangażowania się zamawiających i wykonawców w postępowanie, które ma przynieść rozstrzygnięcie powstałego sporu.</w:t>
      </w:r>
    </w:p>
    <w:p w14:paraId="57A683E5" w14:textId="77777777" w:rsidR="00976DC1" w:rsidRPr="00DA788D" w:rsidRDefault="00976DC1"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Zamawiający i wykonawca mają pełną swobodę w wyborze pozasądowego sposobu rozwiązania sporu. Mogą przykładowo przedstawić własne propozycje ugodowe albo rozważyć propozycje ugodowe przygotowane przez drugą stronę. Mogą także skorzystać z pomocy ośrodka mediacyjnego.</w:t>
      </w:r>
    </w:p>
    <w:p w14:paraId="2A1EBFA2" w14:textId="76951797" w:rsidR="006A1198" w:rsidRDefault="00BA41AF" w:rsidP="00DA788D">
      <w:pPr>
        <w:spacing w:after="120"/>
        <w:ind w:firstLine="708"/>
        <w:jc w:val="both"/>
        <w:rPr>
          <w:rFonts w:ascii="Times New Roman" w:eastAsia="Times" w:hAnsi="Times New Roman" w:cs="Times New Roman"/>
          <w:sz w:val="24"/>
          <w:szCs w:val="24"/>
        </w:rPr>
      </w:pPr>
      <w:r>
        <w:rPr>
          <w:rFonts w:ascii="Times New Roman" w:eastAsia="Times New Roman" w:hAnsi="Times New Roman" w:cs="Times New Roman"/>
          <w:sz w:val="24"/>
          <w:szCs w:val="24"/>
        </w:rPr>
        <w:t>A</w:t>
      </w:r>
      <w:r w:rsidR="002E64C7" w:rsidRPr="00DA788D">
        <w:rPr>
          <w:rFonts w:ascii="Times New Roman" w:eastAsia="Times New Roman" w:hAnsi="Times New Roman" w:cs="Times New Roman"/>
          <w:sz w:val="24"/>
          <w:szCs w:val="24"/>
        </w:rPr>
        <w:t>rt. 59</w:t>
      </w:r>
      <w:r w:rsidR="00F83456" w:rsidRPr="00DA788D">
        <w:rPr>
          <w:rFonts w:ascii="Times New Roman" w:eastAsia="Times New Roman" w:hAnsi="Times New Roman" w:cs="Times New Roman"/>
          <w:sz w:val="24"/>
          <w:szCs w:val="24"/>
        </w:rPr>
        <w:t>1</w:t>
      </w:r>
      <w:r w:rsidR="002E64C7" w:rsidRPr="00DA788D">
        <w:rPr>
          <w:rFonts w:ascii="Times New Roman" w:eastAsia="Times New Roman" w:hAnsi="Times New Roman" w:cs="Times New Roman"/>
          <w:sz w:val="24"/>
          <w:szCs w:val="24"/>
        </w:rPr>
        <w:t xml:space="preserve"> ust. 1 </w:t>
      </w:r>
      <w:r>
        <w:rPr>
          <w:rFonts w:ascii="Times New Roman" w:eastAsia="Times New Roman" w:hAnsi="Times New Roman" w:cs="Times New Roman"/>
          <w:sz w:val="24"/>
          <w:szCs w:val="24"/>
        </w:rPr>
        <w:t xml:space="preserve">projektu ustawy </w:t>
      </w:r>
      <w:r w:rsidR="002E64C7" w:rsidRPr="00DA788D">
        <w:rPr>
          <w:rFonts w:ascii="Times New Roman" w:eastAsia="Times New Roman" w:hAnsi="Times New Roman" w:cs="Times New Roman"/>
          <w:sz w:val="24"/>
          <w:szCs w:val="24"/>
        </w:rPr>
        <w:t xml:space="preserve">zakłada, że </w:t>
      </w:r>
      <w:r w:rsidR="006A1198" w:rsidRPr="00551CA9">
        <w:rPr>
          <w:rFonts w:ascii="Times New Roman" w:eastAsia="Times" w:hAnsi="Times New Roman" w:cs="Times New Roman"/>
          <w:color w:val="000000"/>
          <w:sz w:val="24"/>
          <w:szCs w:val="24"/>
        </w:rPr>
        <w:t>w sprawie majątkowej, w której zawarcie ugody jest dopuszczalne, każda ze stron umowy, w przypadku sporu wynikającego z zamówienia publicznego</w:t>
      </w:r>
      <w:r w:rsidR="006A1198">
        <w:rPr>
          <w:rFonts w:ascii="Times New Roman" w:eastAsia="Times" w:hAnsi="Times New Roman" w:cs="Times New Roman"/>
          <w:color w:val="000000"/>
          <w:sz w:val="24"/>
          <w:szCs w:val="24"/>
        </w:rPr>
        <w:t>,</w:t>
      </w:r>
      <w:r w:rsidR="006A1198" w:rsidRPr="00551CA9">
        <w:rPr>
          <w:rFonts w:ascii="Times New Roman" w:eastAsia="Times" w:hAnsi="Times New Roman" w:cs="Times New Roman"/>
          <w:color w:val="000000"/>
          <w:sz w:val="24"/>
          <w:szCs w:val="24"/>
        </w:rPr>
        <w:t xml:space="preserve"> może złożyć wniosek o przeprowadzenie mediacji lub inne polubowne rozwiązanie sporu</w:t>
      </w:r>
      <w:r w:rsidR="006A1198">
        <w:rPr>
          <w:rFonts w:ascii="Times New Roman" w:eastAsia="Times" w:hAnsi="Times New Roman" w:cs="Times New Roman"/>
          <w:color w:val="000000"/>
          <w:sz w:val="24"/>
          <w:szCs w:val="24"/>
        </w:rPr>
        <w:t xml:space="preserve">. W przypadku zamówień publicznych o </w:t>
      </w:r>
      <w:r w:rsidR="006A1198" w:rsidRPr="00551CA9">
        <w:rPr>
          <w:rFonts w:ascii="Times New Roman" w:eastAsia="Times" w:hAnsi="Times New Roman" w:cs="Times New Roman"/>
          <w:color w:val="000000"/>
          <w:sz w:val="24"/>
          <w:szCs w:val="24"/>
        </w:rPr>
        <w:t>szacunkow</w:t>
      </w:r>
      <w:r w:rsidR="006A1198">
        <w:rPr>
          <w:rFonts w:ascii="Times New Roman" w:eastAsia="Times" w:hAnsi="Times New Roman" w:cs="Times New Roman"/>
          <w:color w:val="000000"/>
          <w:sz w:val="24"/>
          <w:szCs w:val="24"/>
        </w:rPr>
        <w:t>ej wartości</w:t>
      </w:r>
      <w:r w:rsidR="006A1198" w:rsidRPr="00551CA9">
        <w:rPr>
          <w:rFonts w:ascii="Times New Roman" w:eastAsia="Times" w:hAnsi="Times New Roman" w:cs="Times New Roman"/>
          <w:color w:val="000000"/>
          <w:sz w:val="24"/>
          <w:szCs w:val="24"/>
        </w:rPr>
        <w:t xml:space="preserve"> zamówienia publicznego ustalon</w:t>
      </w:r>
      <w:r w:rsidR="006A1198">
        <w:rPr>
          <w:rFonts w:ascii="Times New Roman" w:eastAsia="Times" w:hAnsi="Times New Roman" w:cs="Times New Roman"/>
          <w:color w:val="000000"/>
          <w:sz w:val="24"/>
          <w:szCs w:val="24"/>
        </w:rPr>
        <w:t>ej,</w:t>
      </w:r>
      <w:r w:rsidR="006A1198" w:rsidRPr="00551CA9">
        <w:rPr>
          <w:rFonts w:ascii="Times New Roman" w:eastAsia="Times" w:hAnsi="Times New Roman" w:cs="Times New Roman"/>
          <w:color w:val="000000"/>
          <w:sz w:val="24"/>
          <w:szCs w:val="24"/>
        </w:rPr>
        <w:t xml:space="preserve"> jako równa lub przekraczająca w złotych równowartość kwoty 10 000 000 euro dla dostaw lub usług oraz 20 000 000 euro dla robót budowlanych oraz </w:t>
      </w:r>
      <w:r w:rsidR="006A1198">
        <w:rPr>
          <w:rFonts w:ascii="Times New Roman" w:eastAsia="Times" w:hAnsi="Times New Roman" w:cs="Times New Roman"/>
          <w:color w:val="000000"/>
          <w:sz w:val="24"/>
          <w:szCs w:val="24"/>
        </w:rPr>
        <w:t xml:space="preserve">o </w:t>
      </w:r>
      <w:r w:rsidR="006A1198" w:rsidRPr="00551CA9">
        <w:rPr>
          <w:rFonts w:ascii="Times New Roman" w:eastAsia="Times" w:hAnsi="Times New Roman" w:cs="Times New Roman"/>
          <w:color w:val="000000"/>
          <w:sz w:val="24"/>
          <w:szCs w:val="24"/>
        </w:rPr>
        <w:t>wartość przedmiotu sporu przewyższa 100 000 złotych</w:t>
      </w:r>
      <w:r w:rsidR="006A1198">
        <w:rPr>
          <w:rFonts w:ascii="Times New Roman" w:eastAsia="Times" w:hAnsi="Times New Roman" w:cs="Times New Roman"/>
          <w:color w:val="000000"/>
          <w:sz w:val="24"/>
          <w:szCs w:val="24"/>
        </w:rPr>
        <w:t xml:space="preserve">, </w:t>
      </w:r>
      <w:r w:rsidR="007163B1">
        <w:rPr>
          <w:rFonts w:ascii="Times New Roman" w:eastAsia="Times" w:hAnsi="Times New Roman" w:cs="Times New Roman"/>
          <w:color w:val="000000"/>
          <w:sz w:val="24"/>
          <w:szCs w:val="24"/>
        </w:rPr>
        <w:t xml:space="preserve">ww. </w:t>
      </w:r>
      <w:r w:rsidR="006A1198">
        <w:rPr>
          <w:rFonts w:ascii="Times New Roman" w:eastAsia="Times" w:hAnsi="Times New Roman" w:cs="Times New Roman"/>
          <w:color w:val="000000"/>
          <w:sz w:val="24"/>
          <w:szCs w:val="24"/>
        </w:rPr>
        <w:t xml:space="preserve">wniosek będzie mógł być złożony </w:t>
      </w:r>
      <w:r w:rsidR="006A1198" w:rsidRPr="00551CA9">
        <w:rPr>
          <w:rFonts w:ascii="Times New Roman" w:eastAsia="Times" w:hAnsi="Times New Roman" w:cs="Times New Roman"/>
          <w:sz w:val="24"/>
          <w:szCs w:val="24"/>
        </w:rPr>
        <w:t>do Prezesa Sądu Polubownego przy Prokuratorii Generalnej Rzeczypospolitej Polskiej</w:t>
      </w:r>
      <w:r w:rsidR="006A1198">
        <w:rPr>
          <w:rFonts w:ascii="Times New Roman" w:eastAsia="Times" w:hAnsi="Times New Roman" w:cs="Times New Roman"/>
          <w:sz w:val="24"/>
          <w:szCs w:val="24"/>
        </w:rPr>
        <w:t xml:space="preserve"> (PGRP)</w:t>
      </w:r>
      <w:r w:rsidR="006A1198">
        <w:rPr>
          <w:rFonts w:ascii="Times New Roman" w:eastAsia="Times" w:hAnsi="Times New Roman" w:cs="Times New Roman"/>
          <w:color w:val="000000"/>
          <w:sz w:val="24"/>
          <w:szCs w:val="24"/>
        </w:rPr>
        <w:t xml:space="preserve">. Jednocześnie, niezależnie od wartości </w:t>
      </w:r>
      <w:r w:rsidR="006A1198" w:rsidRPr="00551CA9">
        <w:rPr>
          <w:rFonts w:ascii="Times New Roman" w:eastAsia="Times" w:hAnsi="Times New Roman" w:cs="Times New Roman"/>
          <w:color w:val="000000"/>
          <w:sz w:val="24"/>
          <w:szCs w:val="24"/>
        </w:rPr>
        <w:t>zamówienia publicznego</w:t>
      </w:r>
      <w:r w:rsidR="006A1198">
        <w:rPr>
          <w:rFonts w:ascii="Times New Roman" w:eastAsia="Times" w:hAnsi="Times New Roman" w:cs="Times New Roman"/>
          <w:color w:val="000000"/>
          <w:sz w:val="24"/>
          <w:szCs w:val="24"/>
        </w:rPr>
        <w:t xml:space="preserve"> oraz wartości </w:t>
      </w:r>
      <w:r w:rsidR="006A1198" w:rsidRPr="00551CA9">
        <w:rPr>
          <w:rFonts w:ascii="Times New Roman" w:eastAsia="Times" w:hAnsi="Times New Roman" w:cs="Times New Roman"/>
          <w:color w:val="000000"/>
          <w:sz w:val="24"/>
          <w:szCs w:val="24"/>
        </w:rPr>
        <w:t>przedmiotu sporu</w:t>
      </w:r>
      <w:r w:rsidR="006A1198">
        <w:rPr>
          <w:rFonts w:ascii="Times New Roman" w:eastAsia="Times" w:hAnsi="Times New Roman" w:cs="Times New Roman"/>
          <w:color w:val="000000"/>
          <w:sz w:val="24"/>
          <w:szCs w:val="24"/>
        </w:rPr>
        <w:t xml:space="preserve">, w sprawie, w której zawarcie ugody między zamawiającym a wykonawcą jest dopuszczalne, przewidziano możliwość złożenia </w:t>
      </w:r>
      <w:r w:rsidR="007163B1">
        <w:rPr>
          <w:rFonts w:ascii="Times New Roman" w:eastAsia="Times" w:hAnsi="Times New Roman" w:cs="Times New Roman"/>
          <w:color w:val="000000"/>
          <w:sz w:val="24"/>
          <w:szCs w:val="24"/>
        </w:rPr>
        <w:t>wniosku</w:t>
      </w:r>
      <w:r w:rsidR="006A1198">
        <w:rPr>
          <w:rFonts w:ascii="Times New Roman" w:eastAsia="Times" w:hAnsi="Times New Roman" w:cs="Times New Roman"/>
          <w:color w:val="000000"/>
          <w:sz w:val="24"/>
          <w:szCs w:val="24"/>
        </w:rPr>
        <w:t xml:space="preserve"> </w:t>
      </w:r>
      <w:r w:rsidR="006A1198" w:rsidRPr="002B3C00">
        <w:rPr>
          <w:rFonts w:ascii="Times New Roman" w:eastAsia="Times" w:hAnsi="Times New Roman" w:cs="Times New Roman"/>
          <w:color w:val="000000"/>
          <w:sz w:val="24"/>
          <w:szCs w:val="24"/>
        </w:rPr>
        <w:t>o przeprowadzenie mediacji lub inne polubowne rozwiązanie sporu</w:t>
      </w:r>
      <w:r w:rsidR="006A1198">
        <w:rPr>
          <w:rFonts w:ascii="Times New Roman" w:eastAsia="Times" w:hAnsi="Times New Roman" w:cs="Times New Roman"/>
          <w:color w:val="000000"/>
          <w:sz w:val="24"/>
          <w:szCs w:val="24"/>
        </w:rPr>
        <w:t xml:space="preserve"> </w:t>
      </w:r>
      <w:r w:rsidR="006A1198" w:rsidRPr="00551CA9">
        <w:rPr>
          <w:rFonts w:ascii="Times New Roman" w:eastAsia="Times" w:hAnsi="Times New Roman" w:cs="Times New Roman"/>
          <w:sz w:val="24"/>
          <w:szCs w:val="24"/>
        </w:rPr>
        <w:t>do innego ośrodka mediacyjnego.</w:t>
      </w:r>
    </w:p>
    <w:p w14:paraId="78AA82B7" w14:textId="50B6E4FB"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Przy ustaleniu wartości przedmiotu sporu będzie pomocne reguły z art. 19-26 ustawy – Kodeks postępowania cywilnego. </w:t>
      </w:r>
    </w:p>
    <w:p w14:paraId="406590A7" w14:textId="137B4508" w:rsidR="00CB2D51" w:rsidRPr="00DA788D" w:rsidRDefault="002E64C7" w:rsidP="00DA788D">
      <w:pPr>
        <w:keepNext/>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 xml:space="preserve">Prowadzenie mediacji lub ADR będzie nowym uprawnieniem dla Sądu Polubownego przy PGRP. Dotychczas sąd ten miał możliwość prowadzenia ADR w sprawach, w których stronami sporu są podmioty inne niż Skarb Państwa, państwowe osoby prawne, osoby prawne z udziałem Skarbu Państwa lub państwowych osób </w:t>
      </w:r>
      <w:r w:rsidRPr="00DA788D">
        <w:rPr>
          <w:rFonts w:ascii="Times New Roman" w:eastAsia="Times" w:hAnsi="Times New Roman" w:cs="Times New Roman"/>
          <w:color w:val="000000"/>
          <w:sz w:val="24"/>
          <w:szCs w:val="24"/>
        </w:rPr>
        <w:lastRenderedPageBreak/>
        <w:t xml:space="preserve">prawnych (zob. art. 26 ust. 2 pkt 2 ustawy z dnia 15 grudnia 2016 r. o Prokuratorii Generalnej Rzeczypospolitej Polskiej (Dz. U. </w:t>
      </w:r>
      <w:r w:rsidR="008459E7">
        <w:rPr>
          <w:rFonts w:ascii="Times New Roman" w:eastAsia="Times" w:hAnsi="Times New Roman" w:cs="Times New Roman"/>
          <w:color w:val="000000"/>
          <w:sz w:val="24"/>
          <w:szCs w:val="24"/>
        </w:rPr>
        <w:t xml:space="preserve">z 2019 r. </w:t>
      </w:r>
      <w:r w:rsidRPr="00DA788D">
        <w:rPr>
          <w:rFonts w:ascii="Times New Roman" w:eastAsia="Times" w:hAnsi="Times New Roman" w:cs="Times New Roman"/>
          <w:color w:val="000000"/>
          <w:sz w:val="24"/>
          <w:szCs w:val="24"/>
        </w:rPr>
        <w:t xml:space="preserve">poz. </w:t>
      </w:r>
      <w:r w:rsidR="008459E7">
        <w:rPr>
          <w:rFonts w:ascii="Times New Roman" w:eastAsia="Times" w:hAnsi="Times New Roman" w:cs="Times New Roman"/>
          <w:color w:val="000000"/>
          <w:sz w:val="24"/>
          <w:szCs w:val="24"/>
        </w:rPr>
        <w:t>1265</w:t>
      </w:r>
      <w:r w:rsidRPr="00DA788D">
        <w:rPr>
          <w:rFonts w:ascii="Times New Roman" w:eastAsia="Times" w:hAnsi="Times New Roman" w:cs="Times New Roman"/>
          <w:color w:val="000000"/>
          <w:sz w:val="24"/>
          <w:szCs w:val="24"/>
        </w:rPr>
        <w:t>).</w:t>
      </w:r>
      <w:r w:rsidR="008D3D07">
        <w:rPr>
          <w:rFonts w:ascii="Times New Roman" w:eastAsia="Times" w:hAnsi="Times New Roman" w:cs="Times New Roman"/>
          <w:color w:val="000000"/>
          <w:sz w:val="24"/>
          <w:szCs w:val="24"/>
        </w:rPr>
        <w:t xml:space="preserve"> </w:t>
      </w:r>
    </w:p>
    <w:p w14:paraId="136B3F59" w14:textId="7B140132" w:rsidR="00CB2D51" w:rsidRPr="00DA788D" w:rsidRDefault="00F8783F" w:rsidP="00DA788D">
      <w:pPr>
        <w:keepNext/>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 xml:space="preserve">Zgodnie z </w:t>
      </w:r>
      <w:r w:rsidR="007163B1">
        <w:rPr>
          <w:rFonts w:ascii="Times New Roman" w:eastAsia="Times" w:hAnsi="Times New Roman" w:cs="Times New Roman"/>
          <w:color w:val="000000"/>
          <w:sz w:val="24"/>
          <w:szCs w:val="24"/>
        </w:rPr>
        <w:t xml:space="preserve">art. 591 </w:t>
      </w:r>
      <w:r>
        <w:rPr>
          <w:rFonts w:ascii="Times New Roman" w:eastAsia="Times" w:hAnsi="Times New Roman" w:cs="Times New Roman"/>
          <w:color w:val="000000"/>
          <w:sz w:val="24"/>
          <w:szCs w:val="24"/>
        </w:rPr>
        <w:t xml:space="preserve">ust. 2 </w:t>
      </w:r>
      <w:r w:rsidR="00BA41AF">
        <w:rPr>
          <w:rFonts w:ascii="Times New Roman" w:eastAsia="Times" w:hAnsi="Times New Roman" w:cs="Times New Roman"/>
          <w:color w:val="000000"/>
          <w:sz w:val="24"/>
          <w:szCs w:val="24"/>
        </w:rPr>
        <w:t xml:space="preserve">projektu ustawy </w:t>
      </w:r>
      <w:r>
        <w:rPr>
          <w:rFonts w:ascii="Times New Roman" w:eastAsia="Times" w:hAnsi="Times New Roman" w:cs="Times New Roman"/>
          <w:color w:val="000000"/>
          <w:sz w:val="24"/>
          <w:szCs w:val="24"/>
        </w:rPr>
        <w:t>p</w:t>
      </w:r>
      <w:r w:rsidR="002E64C7" w:rsidRPr="00DA788D">
        <w:rPr>
          <w:rFonts w:ascii="Times New Roman" w:eastAsia="Times" w:hAnsi="Times New Roman" w:cs="Times New Roman"/>
          <w:color w:val="000000"/>
          <w:sz w:val="24"/>
          <w:szCs w:val="24"/>
        </w:rPr>
        <w:t>ostępowanie w sprawie polubownego zakończenia sporu będzie prowadzone na podstawie umowy, której postanowienia mogą być umieszczone w odrębnej umowie zawartej między zamawiającym a wykonawcą po zawarciu umowy w sprawie zamówienia publicznego, a nawet po jej wykonaniu, rozwiązaniu, wypowiedzeniu czy wygaśnięciu, albo samej umowie w sprawie zamówienia publicznego</w:t>
      </w:r>
      <w:r w:rsidR="00EB1963">
        <w:rPr>
          <w:rFonts w:ascii="Times New Roman" w:eastAsia="Times" w:hAnsi="Times New Roman" w:cs="Times New Roman"/>
          <w:color w:val="000000"/>
          <w:sz w:val="24"/>
          <w:szCs w:val="24"/>
        </w:rPr>
        <w:t xml:space="preserve"> lub umowie ramowej</w:t>
      </w:r>
      <w:r w:rsidR="002E64C7" w:rsidRPr="00DA788D">
        <w:rPr>
          <w:rFonts w:ascii="Times New Roman" w:eastAsia="Times" w:hAnsi="Times New Roman" w:cs="Times New Roman"/>
          <w:color w:val="000000"/>
          <w:sz w:val="24"/>
          <w:szCs w:val="24"/>
        </w:rPr>
        <w:t xml:space="preserve">. Do zawarcia umowy w sprawie mediacji albo innym polubownym rozwiązaniu sporu może dojść także przez wyrażenie przez stronę zgody na mediację lub inne polubowne rozwiązanie sporu, gdy druga strona złożyła wniosek </w:t>
      </w:r>
    </w:p>
    <w:p w14:paraId="1469E34B" w14:textId="497ECB55" w:rsidR="007163B1" w:rsidRPr="00EA17D6" w:rsidRDefault="007163B1" w:rsidP="00DA788D">
      <w:pPr>
        <w:spacing w:after="120"/>
        <w:ind w:firstLine="708"/>
        <w:jc w:val="both"/>
        <w:rPr>
          <w:rFonts w:ascii="Times New Roman" w:eastAsia="Times New Roman" w:hAnsi="Times New Roman" w:cs="Times New Roman"/>
          <w:sz w:val="24"/>
          <w:szCs w:val="24"/>
        </w:rPr>
      </w:pPr>
      <w:r w:rsidRPr="005D60BF">
        <w:rPr>
          <w:rFonts w:ascii="Times New Roman" w:eastAsia="Times" w:hAnsi="Times New Roman" w:cs="Times New Roman"/>
          <w:sz w:val="24"/>
          <w:szCs w:val="24"/>
        </w:rPr>
        <w:t>Zawarcie ugody nie może prowadzić do naruszenia przepisów działu VII rozdziału 3 projektu ustawy (art. 592</w:t>
      </w:r>
      <w:r w:rsidR="00BA41AF">
        <w:rPr>
          <w:rFonts w:ascii="Times New Roman" w:eastAsia="Times" w:hAnsi="Times New Roman" w:cs="Times New Roman"/>
          <w:sz w:val="24"/>
          <w:szCs w:val="24"/>
        </w:rPr>
        <w:t xml:space="preserve"> projektu ustawy</w:t>
      </w:r>
      <w:r w:rsidRPr="005D60BF">
        <w:rPr>
          <w:rFonts w:ascii="Times New Roman" w:eastAsia="Times" w:hAnsi="Times New Roman" w:cs="Times New Roman"/>
          <w:sz w:val="24"/>
          <w:szCs w:val="24"/>
        </w:rPr>
        <w:t>). Co do zasady ugoda musi być zgodna z prawem i zasadami współżycia społecznego. Z uwagi na ograniczenia związane z możliwością zmiany umowy w sprawie zamówienia publicznego, z naturalnych względów ugoda (jako rodzaju umowy) nie może prowadzić do obejścia prawa w tym zakresie.</w:t>
      </w:r>
    </w:p>
    <w:p w14:paraId="3D41834C" w14:textId="04AB8AF4" w:rsidR="00CB2D51" w:rsidRPr="00DA788D" w:rsidRDefault="007163B1" w:rsidP="00DA788D">
      <w:pPr>
        <w:spacing w:after="12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Dla wzmocnienia celu jaki ma spełniać</w:t>
      </w:r>
      <w:r w:rsidRPr="00647C4B">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art. 187 § 1 pkt 3 ustawy – Kodeks postępowania cywilnego, proponuje się, aby zamawiający w pozwie albo odpowiedzi na pozew informował, czy strony podjęły próbę mediacji lub innego polubownego rozwiązania sporu, a w przypadku gdy takich prób nie podjęto, wyjaśnienie przyczyn ich niepodjęcia</w:t>
      </w:r>
      <w:r>
        <w:rPr>
          <w:rFonts w:ascii="Times New Roman" w:eastAsia="Times New Roman" w:hAnsi="Times New Roman" w:cs="Times New Roman"/>
          <w:sz w:val="24"/>
          <w:szCs w:val="24"/>
        </w:rPr>
        <w:t xml:space="preserve"> (projektowany art. 593 ust. 1)</w:t>
      </w:r>
      <w:r w:rsidR="00F8783F">
        <w:rPr>
          <w:rFonts w:ascii="Times New Roman" w:eastAsia="Times New Roman" w:hAnsi="Times New Roman" w:cs="Times New Roman"/>
          <w:sz w:val="24"/>
          <w:szCs w:val="24"/>
        </w:rPr>
        <w:t>.</w:t>
      </w:r>
      <w:r w:rsidR="002E64C7" w:rsidRPr="00DA788D">
        <w:rPr>
          <w:rFonts w:ascii="Times New Roman" w:eastAsia="Times New Roman" w:hAnsi="Times New Roman" w:cs="Times New Roman"/>
          <w:sz w:val="24"/>
          <w:szCs w:val="24"/>
        </w:rPr>
        <w:t xml:space="preserve"> </w:t>
      </w:r>
      <w:r w:rsidR="00F8783F">
        <w:rPr>
          <w:rFonts w:ascii="Times New Roman" w:eastAsia="Times New Roman" w:hAnsi="Times New Roman" w:cs="Times New Roman"/>
          <w:sz w:val="24"/>
          <w:szCs w:val="24"/>
        </w:rPr>
        <w:t>W</w:t>
      </w:r>
      <w:r w:rsidR="002E64C7" w:rsidRPr="00DA788D">
        <w:rPr>
          <w:rFonts w:ascii="Times New Roman" w:eastAsia="Times New Roman" w:hAnsi="Times New Roman" w:cs="Times New Roman"/>
          <w:sz w:val="24"/>
          <w:szCs w:val="24"/>
        </w:rPr>
        <w:t xml:space="preserve"> przypadku niedopełnienia tego obowiązku</w:t>
      </w:r>
      <w:r w:rsidR="00F8783F">
        <w:rPr>
          <w:rFonts w:ascii="Times New Roman" w:eastAsia="Times New Roman" w:hAnsi="Times New Roman" w:cs="Times New Roman"/>
          <w:sz w:val="24"/>
          <w:szCs w:val="24"/>
        </w:rPr>
        <w:t xml:space="preserve">, </w:t>
      </w:r>
      <w:r w:rsidR="00F8783F" w:rsidRPr="00F8783F">
        <w:rPr>
          <w:rFonts w:ascii="Times New Roman" w:eastAsia="Times New Roman" w:hAnsi="Times New Roman" w:cs="Times New Roman"/>
          <w:sz w:val="24"/>
          <w:szCs w:val="24"/>
        </w:rPr>
        <w:t>gdy szacunkowa wartość zamówienia publicznego została ustalona jako równa lub przekraczająca w złotych równowartość kwoty 10 000 000 euro dla dostaw lub usług oraz 20 000 000 euro dla robót budowlanych oraz wartość przedmiotu sporu przewyższa 100 000 złotych,</w:t>
      </w:r>
      <w:r w:rsidR="002E64C7" w:rsidRPr="00DA788D">
        <w:rPr>
          <w:rFonts w:ascii="Times New Roman" w:eastAsia="Times New Roman" w:hAnsi="Times New Roman" w:cs="Times New Roman"/>
          <w:sz w:val="24"/>
          <w:szCs w:val="24"/>
        </w:rPr>
        <w:t xml:space="preserve"> sąd</w:t>
      </w:r>
      <w:r w:rsidR="00F8783F">
        <w:rPr>
          <w:rFonts w:ascii="Times New Roman" w:eastAsia="Times New Roman" w:hAnsi="Times New Roman" w:cs="Times New Roman"/>
          <w:sz w:val="24"/>
          <w:szCs w:val="24"/>
        </w:rPr>
        <w:t xml:space="preserve"> będzie zobowiązany do skierowania</w:t>
      </w:r>
      <w:r w:rsidR="002E64C7" w:rsidRPr="00DA788D">
        <w:rPr>
          <w:rFonts w:ascii="Times New Roman" w:eastAsia="Times New Roman" w:hAnsi="Times New Roman" w:cs="Times New Roman"/>
          <w:sz w:val="24"/>
          <w:szCs w:val="24"/>
        </w:rPr>
        <w:t xml:space="preserve"> stron do mediacji lub innego polubownego rozwiązania sporu.</w:t>
      </w:r>
      <w:r>
        <w:rPr>
          <w:rFonts w:ascii="Times New Roman" w:eastAsia="Times New Roman" w:hAnsi="Times New Roman" w:cs="Times New Roman"/>
          <w:sz w:val="24"/>
          <w:szCs w:val="24"/>
        </w:rPr>
        <w:t xml:space="preserve"> Skierowanie nastąpi do Sądu Polubownego przy PGRP</w:t>
      </w:r>
      <w:r>
        <w:rPr>
          <w:rFonts w:ascii="Times New Roman" w:eastAsia="Times" w:hAnsi="Times New Roman" w:cs="Times New Roman"/>
          <w:sz w:val="24"/>
          <w:szCs w:val="24"/>
        </w:rPr>
        <w:t>, chyba że strony wskażą</w:t>
      </w:r>
      <w:r w:rsidRPr="00647C4B">
        <w:rPr>
          <w:rFonts w:ascii="Times New Roman" w:eastAsia="Times" w:hAnsi="Times New Roman" w:cs="Times New Roman"/>
          <w:sz w:val="24"/>
          <w:szCs w:val="24"/>
        </w:rPr>
        <w:t xml:space="preserve"> inny ośrodek mediacyjny</w:t>
      </w:r>
      <w:r w:rsidRPr="00647C4B">
        <w:rPr>
          <w:rFonts w:ascii="Times New Roman" w:eastAsia="Times" w:hAnsi="Times New Roman" w:cs="Times New Roman"/>
          <w:color w:val="000000"/>
          <w:sz w:val="24"/>
          <w:szCs w:val="24"/>
        </w:rPr>
        <w:t>.</w:t>
      </w:r>
      <w:r>
        <w:rPr>
          <w:rFonts w:ascii="Times New Roman" w:eastAsia="Times" w:hAnsi="Times New Roman" w:cs="Times New Roman"/>
          <w:color w:val="000000"/>
          <w:sz w:val="24"/>
          <w:szCs w:val="24"/>
        </w:rPr>
        <w:t xml:space="preserve"> </w:t>
      </w:r>
      <w:r w:rsidR="002E64C7" w:rsidRPr="00DA788D">
        <w:rPr>
          <w:rFonts w:ascii="Times New Roman" w:eastAsia="Times New Roman" w:hAnsi="Times New Roman" w:cs="Times New Roman"/>
          <w:sz w:val="24"/>
          <w:szCs w:val="24"/>
        </w:rPr>
        <w:t xml:space="preserve"> </w:t>
      </w:r>
      <w:r w:rsidR="00BA41AF">
        <w:rPr>
          <w:rFonts w:ascii="Times New Roman" w:eastAsia="Times New Roman" w:hAnsi="Times New Roman" w:cs="Times New Roman"/>
          <w:sz w:val="24"/>
          <w:szCs w:val="24"/>
        </w:rPr>
        <w:t>A</w:t>
      </w:r>
      <w:r w:rsidR="002E64C7" w:rsidRPr="00DA788D">
        <w:rPr>
          <w:rFonts w:ascii="Times New Roman" w:eastAsia="Times New Roman" w:hAnsi="Times New Roman" w:cs="Times New Roman"/>
          <w:sz w:val="24"/>
          <w:szCs w:val="24"/>
        </w:rPr>
        <w:t>rt. 59</w:t>
      </w:r>
      <w:r w:rsidR="00F83456" w:rsidRPr="00DA788D">
        <w:rPr>
          <w:rFonts w:ascii="Times New Roman" w:eastAsia="Times New Roman" w:hAnsi="Times New Roman" w:cs="Times New Roman"/>
          <w:sz w:val="24"/>
          <w:szCs w:val="24"/>
        </w:rPr>
        <w:t>3</w:t>
      </w:r>
      <w:r w:rsidR="002E64C7" w:rsidRPr="00DA78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ust. 2 </w:t>
      </w:r>
      <w:r w:rsidR="00BA41AF">
        <w:rPr>
          <w:rFonts w:ascii="Times New Roman" w:eastAsia="Times New Roman" w:hAnsi="Times New Roman" w:cs="Times New Roman"/>
          <w:sz w:val="24"/>
          <w:szCs w:val="24"/>
        </w:rPr>
        <w:t xml:space="preserve">projektu ustawy </w:t>
      </w:r>
      <w:r w:rsidR="002E64C7" w:rsidRPr="00DA788D">
        <w:rPr>
          <w:rFonts w:ascii="Times New Roman" w:eastAsia="Times New Roman" w:hAnsi="Times New Roman" w:cs="Times New Roman"/>
          <w:sz w:val="24"/>
          <w:szCs w:val="24"/>
        </w:rPr>
        <w:t xml:space="preserve">będzie stanowił </w:t>
      </w:r>
      <w:r w:rsidR="002E64C7" w:rsidRPr="00DA788D">
        <w:rPr>
          <w:rFonts w:ascii="Times New Roman" w:eastAsia="Times New Roman" w:hAnsi="Times New Roman" w:cs="Times New Roman"/>
          <w:i/>
          <w:sz w:val="24"/>
          <w:szCs w:val="24"/>
        </w:rPr>
        <w:t xml:space="preserve">lex specialis </w:t>
      </w:r>
      <w:r w:rsidR="002E64C7" w:rsidRPr="00DA788D">
        <w:rPr>
          <w:rFonts w:ascii="Times New Roman" w:eastAsia="Times New Roman" w:hAnsi="Times New Roman" w:cs="Times New Roman"/>
          <w:sz w:val="24"/>
          <w:szCs w:val="24"/>
        </w:rPr>
        <w:t xml:space="preserve">w stosunku do kodeksowego </w:t>
      </w:r>
      <w:r w:rsidR="00EA17D6" w:rsidRPr="00DA788D">
        <w:rPr>
          <w:rFonts w:ascii="Times New Roman" w:eastAsia="Times New Roman" w:hAnsi="Times New Roman" w:cs="Times New Roman"/>
          <w:sz w:val="24"/>
          <w:szCs w:val="24"/>
        </w:rPr>
        <w:t>przepis</w:t>
      </w:r>
      <w:r w:rsidR="00EA17D6">
        <w:rPr>
          <w:rFonts w:ascii="Times New Roman" w:eastAsia="Times New Roman" w:hAnsi="Times New Roman" w:cs="Times New Roman"/>
          <w:sz w:val="24"/>
          <w:szCs w:val="24"/>
        </w:rPr>
        <w:t>u</w:t>
      </w:r>
      <w:r w:rsidR="002E64C7" w:rsidRPr="00DA788D">
        <w:rPr>
          <w:rFonts w:ascii="Times New Roman" w:eastAsia="Times New Roman" w:hAnsi="Times New Roman" w:cs="Times New Roman"/>
          <w:sz w:val="24"/>
          <w:szCs w:val="24"/>
        </w:rPr>
        <w:t>, który nie przewiduje żadnych konsekwencji</w:t>
      </w:r>
      <w:r>
        <w:rPr>
          <w:rFonts w:ascii="Times New Roman" w:eastAsia="Times New Roman" w:hAnsi="Times New Roman" w:cs="Times New Roman"/>
          <w:sz w:val="24"/>
          <w:szCs w:val="24"/>
        </w:rPr>
        <w:t>, gdy</w:t>
      </w:r>
      <w:r w:rsidRPr="00647C4B">
        <w:rPr>
          <w:rFonts w:ascii="Times New Roman" w:eastAsia="Times New Roman" w:hAnsi="Times New Roman" w:cs="Times New Roman"/>
          <w:sz w:val="24"/>
          <w:szCs w:val="24"/>
        </w:rPr>
        <w:t xml:space="preserve"> w pozwie </w:t>
      </w:r>
      <w:r>
        <w:rPr>
          <w:rFonts w:ascii="Times New Roman" w:eastAsia="Times New Roman" w:hAnsi="Times New Roman" w:cs="Times New Roman"/>
          <w:sz w:val="24"/>
          <w:szCs w:val="24"/>
        </w:rPr>
        <w:t xml:space="preserve">nie zawarto </w:t>
      </w:r>
      <w:r w:rsidR="002E64C7" w:rsidRPr="00DA788D">
        <w:rPr>
          <w:rFonts w:ascii="Times New Roman" w:eastAsia="Times New Roman" w:hAnsi="Times New Roman" w:cs="Times New Roman"/>
          <w:sz w:val="24"/>
          <w:szCs w:val="24"/>
        </w:rPr>
        <w:t>informacji o podejmowaniu prób pozasądowego rozwiązania sporu. Wprowadzenie obowiązku skierowania do ADR nie stanowi zagrożenia dla stron w zakresie prawa do sądu. Tytułem przykładu można wskazać</w:t>
      </w:r>
      <w:r w:rsidRPr="007163B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na</w:t>
      </w:r>
      <w:r w:rsidRPr="00647C4B">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powszechnie </w:t>
      </w:r>
      <w:r>
        <w:rPr>
          <w:rFonts w:ascii="Times New Roman" w:eastAsia="Times New Roman" w:hAnsi="Times New Roman" w:cs="Times New Roman"/>
          <w:sz w:val="24"/>
          <w:szCs w:val="24"/>
        </w:rPr>
        <w:t xml:space="preserve">uznawaną </w:t>
      </w:r>
      <w:r w:rsidR="002E64C7" w:rsidRPr="00DA788D">
        <w:rPr>
          <w:rFonts w:ascii="Times New Roman" w:eastAsia="Times New Roman" w:hAnsi="Times New Roman" w:cs="Times New Roman"/>
          <w:sz w:val="24"/>
          <w:szCs w:val="24"/>
        </w:rPr>
        <w:t>w prawie unijnym możliw</w:t>
      </w:r>
      <w:r>
        <w:rPr>
          <w:rFonts w:ascii="Times New Roman" w:eastAsia="Times New Roman" w:hAnsi="Times New Roman" w:cs="Times New Roman"/>
          <w:sz w:val="24"/>
          <w:szCs w:val="24"/>
        </w:rPr>
        <w:t xml:space="preserve">ość </w:t>
      </w:r>
      <w:r w:rsidRPr="00DA788D">
        <w:rPr>
          <w:rFonts w:ascii="Times New Roman" w:eastAsia="Times New Roman" w:hAnsi="Times New Roman" w:cs="Times New Roman"/>
          <w:sz w:val="24"/>
          <w:szCs w:val="24"/>
        </w:rPr>
        <w:t>wprowadzeni</w:t>
      </w:r>
      <w:r>
        <w:rPr>
          <w:rFonts w:ascii="Times New Roman" w:eastAsia="Times New Roman" w:hAnsi="Times New Roman" w:cs="Times New Roman"/>
          <w:sz w:val="24"/>
          <w:szCs w:val="24"/>
        </w:rPr>
        <w:t>a</w:t>
      </w:r>
      <w:r w:rsidRPr="00DA788D">
        <w:rPr>
          <w:rFonts w:ascii="Times New Roman" w:eastAsia="Times New Roman" w:hAnsi="Times New Roman" w:cs="Times New Roman"/>
          <w:sz w:val="24"/>
          <w:szCs w:val="24"/>
        </w:rPr>
        <w:t xml:space="preserve"> </w:t>
      </w:r>
      <w:r w:rsidR="002E64C7" w:rsidRPr="00DA788D">
        <w:rPr>
          <w:rFonts w:ascii="Times New Roman" w:eastAsia="Times New Roman" w:hAnsi="Times New Roman" w:cs="Times New Roman"/>
          <w:sz w:val="24"/>
          <w:szCs w:val="24"/>
        </w:rPr>
        <w:t xml:space="preserve">w porządkach krajowych obowiązku poddania się mediacji. Wprost zostało to wyartykułowane w motywie 14 oraz art. 2 ust. 1 dyrektywy Parlamentu Europejskiego i Rady nr 2008/52/WE z dnia 21 maja 2008 r. w sprawie niektórych aspektów mediacji w sprawach cywilnych i handlowych (Dz. Urz. UE L 136 z 24.05.2008, str. 3). </w:t>
      </w:r>
    </w:p>
    <w:p w14:paraId="1556C64A" w14:textId="43FE52EF" w:rsidR="00CB2D51" w:rsidRPr="00DA788D" w:rsidRDefault="007163B1"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W projektowanym</w:t>
      </w:r>
      <w:r w:rsidRPr="00551CA9">
        <w:rPr>
          <w:rFonts w:ascii="Times New Roman" w:eastAsia="Times" w:hAnsi="Times New Roman" w:cs="Times New Roman"/>
          <w:color w:val="000000"/>
          <w:sz w:val="24"/>
          <w:szCs w:val="24"/>
        </w:rPr>
        <w:t xml:space="preserve"> art. 594 ust. 1</w:t>
      </w:r>
      <w:r>
        <w:rPr>
          <w:rFonts w:ascii="Times New Roman" w:eastAsia="Times" w:hAnsi="Times New Roman" w:cs="Times New Roman"/>
          <w:b/>
          <w:color w:val="000000"/>
          <w:sz w:val="24"/>
          <w:szCs w:val="24"/>
        </w:rPr>
        <w:t xml:space="preserve"> </w:t>
      </w:r>
      <w:r w:rsidRPr="00551CA9">
        <w:rPr>
          <w:rFonts w:ascii="Times New Roman" w:eastAsia="Times" w:hAnsi="Times New Roman" w:cs="Times New Roman"/>
          <w:color w:val="000000"/>
          <w:sz w:val="24"/>
          <w:szCs w:val="24"/>
        </w:rPr>
        <w:t>zakłada się, że</w:t>
      </w:r>
      <w:r>
        <w:rPr>
          <w:rFonts w:ascii="Times New Roman" w:eastAsia="Times" w:hAnsi="Times New Roman" w:cs="Times New Roman"/>
          <w:b/>
          <w:color w:val="000000"/>
          <w:sz w:val="24"/>
          <w:szCs w:val="24"/>
        </w:rPr>
        <w:t xml:space="preserve"> </w:t>
      </w:r>
      <w:r w:rsidRPr="00647C4B">
        <w:rPr>
          <w:rFonts w:ascii="Times New Roman" w:eastAsia="Times" w:hAnsi="Times New Roman" w:cs="Times New Roman"/>
          <w:color w:val="000000"/>
          <w:sz w:val="24"/>
          <w:szCs w:val="24"/>
        </w:rPr>
        <w:t xml:space="preserve">Sąd Polubowny przy </w:t>
      </w:r>
      <w:r>
        <w:rPr>
          <w:rFonts w:ascii="Times New Roman" w:eastAsia="Times" w:hAnsi="Times New Roman" w:cs="Times New Roman"/>
          <w:color w:val="000000"/>
          <w:sz w:val="24"/>
          <w:szCs w:val="24"/>
        </w:rPr>
        <w:t>PGRP</w:t>
      </w:r>
      <w:r w:rsidRPr="00647C4B">
        <w:rPr>
          <w:rFonts w:ascii="Times New Roman" w:eastAsia="Times" w:hAnsi="Times New Roman" w:cs="Times New Roman"/>
          <w:color w:val="000000"/>
          <w:sz w:val="24"/>
          <w:szCs w:val="24"/>
        </w:rPr>
        <w:t xml:space="preserve"> </w:t>
      </w:r>
      <w:r>
        <w:rPr>
          <w:rFonts w:ascii="Times New Roman" w:eastAsia="Times" w:hAnsi="Times New Roman" w:cs="Times New Roman"/>
          <w:color w:val="000000"/>
          <w:sz w:val="24"/>
          <w:szCs w:val="24"/>
        </w:rPr>
        <w:t xml:space="preserve">będzie </w:t>
      </w:r>
      <w:r w:rsidRPr="00647C4B">
        <w:rPr>
          <w:rFonts w:ascii="Times New Roman" w:eastAsia="Times" w:hAnsi="Times New Roman" w:cs="Times New Roman"/>
          <w:color w:val="000000"/>
          <w:sz w:val="24"/>
          <w:szCs w:val="24"/>
        </w:rPr>
        <w:t>prowadzi</w:t>
      </w:r>
      <w:r>
        <w:rPr>
          <w:rFonts w:ascii="Times New Roman" w:eastAsia="Times" w:hAnsi="Times New Roman" w:cs="Times New Roman"/>
          <w:color w:val="000000"/>
          <w:sz w:val="24"/>
          <w:szCs w:val="24"/>
        </w:rPr>
        <w:t>ł</w:t>
      </w:r>
      <w:r w:rsidRPr="00647C4B">
        <w:rPr>
          <w:rFonts w:ascii="Times New Roman" w:eastAsia="Times" w:hAnsi="Times New Roman" w:cs="Times New Roman"/>
          <w:color w:val="000000"/>
          <w:sz w:val="24"/>
          <w:szCs w:val="24"/>
        </w:rPr>
        <w:t xml:space="preserve"> mediację lub inne polubowne rozwiązanie sporu na podstawie przepisów ustawy z dnia 15 grudnia 2016 r. o Prokuratorii Generalnej Rzeczypospolitej Polskiej</w:t>
      </w:r>
      <w:r>
        <w:rPr>
          <w:rFonts w:ascii="Times New Roman" w:eastAsia="Times" w:hAnsi="Times New Roman" w:cs="Times New Roman"/>
          <w:color w:val="000000"/>
          <w:sz w:val="24"/>
          <w:szCs w:val="24"/>
        </w:rPr>
        <w:t xml:space="preserve">, tj. </w:t>
      </w:r>
      <w:r w:rsidR="002E64C7" w:rsidRPr="00DA788D">
        <w:rPr>
          <w:rFonts w:ascii="Times New Roman" w:eastAsia="Times" w:hAnsi="Times New Roman" w:cs="Times New Roman"/>
          <w:color w:val="000000"/>
          <w:sz w:val="24"/>
          <w:szCs w:val="24"/>
        </w:rPr>
        <w:t>regulaminu</w:t>
      </w:r>
      <w:r w:rsidR="002E64C7" w:rsidRPr="00DA788D">
        <w:rPr>
          <w:rFonts w:ascii="Times New Roman" w:eastAsia="Times" w:hAnsi="Times New Roman" w:cs="Times New Roman"/>
          <w:color w:val="000000"/>
          <w:sz w:val="24"/>
          <w:szCs w:val="24"/>
          <w:vertAlign w:val="superscript"/>
        </w:rPr>
        <w:footnoteReference w:id="2"/>
      </w:r>
      <w:r w:rsidR="00EA17D6" w:rsidRPr="005D60BF">
        <w:rPr>
          <w:rFonts w:ascii="Times New Roman" w:eastAsia="Times" w:hAnsi="Times New Roman" w:cs="Times New Roman"/>
          <w:color w:val="000000"/>
          <w:sz w:val="24"/>
          <w:szCs w:val="24"/>
          <w:vertAlign w:val="superscript"/>
        </w:rPr>
        <w:t>)</w:t>
      </w:r>
      <w:r w:rsidR="002E64C7" w:rsidRPr="00DA788D">
        <w:rPr>
          <w:rFonts w:ascii="Times New Roman" w:eastAsia="Times" w:hAnsi="Times New Roman" w:cs="Times New Roman"/>
          <w:color w:val="000000"/>
          <w:sz w:val="24"/>
          <w:szCs w:val="24"/>
        </w:rPr>
        <w:t xml:space="preserve"> Sądu Polubownego przy Prokuratorii Generalnej Rzeczypospolitej Polskiej, o którym mowa w art. 26 ust. 7 ustawy z dnia 15 grudnia 2016 r. o Prokuratorii Generalnej Rzeczypospolitej Polskiej. W regulaminie tym, już obecnie, znajdują się zapisy dotyczące mediacji i koncyliacji. </w:t>
      </w:r>
    </w:p>
    <w:p w14:paraId="3D01C9E4" w14:textId="77777777" w:rsidR="00CB2D51" w:rsidRPr="00DA788D" w:rsidRDefault="002E64C7"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lastRenderedPageBreak/>
        <w:t>Pozostałe kwestie nieuregulowane w ustawie w zakresie mediacji lub innego polubownego rozwiązania sporu będą regulowane stosowanymi odpowiednio przepisami</w:t>
      </w:r>
      <w:r w:rsidR="00D0121A">
        <w:rPr>
          <w:rFonts w:ascii="Times New Roman" w:eastAsia="Times" w:hAnsi="Times New Roman" w:cs="Times New Roman"/>
          <w:color w:val="000000"/>
          <w:sz w:val="24"/>
          <w:szCs w:val="24"/>
        </w:rPr>
        <w:t xml:space="preserve"> księgi pierwszej tytułu VI</w:t>
      </w:r>
      <w:r w:rsidRPr="00DA788D">
        <w:rPr>
          <w:rFonts w:ascii="Times New Roman" w:eastAsia="Times" w:hAnsi="Times New Roman" w:cs="Times New Roman"/>
          <w:color w:val="000000"/>
          <w:sz w:val="24"/>
          <w:szCs w:val="24"/>
        </w:rPr>
        <w:t xml:space="preserve"> działu II rozdziału 1 oddziału 1 ustawy– Kodeks postępowania cywilnego, w szczególności dotyczy to osoby mediatora (projektowany art. 59</w:t>
      </w:r>
      <w:r w:rsidR="00F83456" w:rsidRPr="00DA788D">
        <w:rPr>
          <w:rFonts w:ascii="Times New Roman" w:eastAsia="Times" w:hAnsi="Times New Roman" w:cs="Times New Roman"/>
          <w:sz w:val="24"/>
          <w:szCs w:val="24"/>
        </w:rPr>
        <w:t>4</w:t>
      </w:r>
      <w:r w:rsidRPr="00DA788D">
        <w:rPr>
          <w:rFonts w:ascii="Times New Roman" w:eastAsia="Times" w:hAnsi="Times New Roman" w:cs="Times New Roman"/>
          <w:color w:val="000000"/>
          <w:sz w:val="24"/>
          <w:szCs w:val="24"/>
        </w:rPr>
        <w:t xml:space="preserve"> ust. 2).</w:t>
      </w:r>
      <w:r w:rsidR="00E02BE3">
        <w:rPr>
          <w:rFonts w:ascii="Times New Roman" w:eastAsia="Times" w:hAnsi="Times New Roman" w:cs="Times New Roman"/>
          <w:color w:val="000000"/>
          <w:sz w:val="24"/>
          <w:szCs w:val="24"/>
        </w:rPr>
        <w:t xml:space="preserve"> W szczególności będzie dotyczyć to ADR prowadzonego w innych ośrodkach mediacyjnych.</w:t>
      </w:r>
    </w:p>
    <w:p w14:paraId="08AB14D6" w14:textId="42FF9EBB" w:rsidR="00CB2D51" w:rsidRPr="00DA788D" w:rsidRDefault="002E64C7"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 xml:space="preserve">Do zawarcia ugody </w:t>
      </w:r>
      <w:r w:rsidRPr="00DA788D">
        <w:rPr>
          <w:rFonts w:ascii="Times New Roman" w:eastAsia="Times New Roman" w:hAnsi="Times New Roman" w:cs="Times New Roman"/>
          <w:color w:val="000000"/>
          <w:sz w:val="24"/>
          <w:szCs w:val="24"/>
        </w:rPr>
        <w:t xml:space="preserve">w sprawie spornej należności cywilnoprawnej, będącej wynikiem </w:t>
      </w:r>
      <w:r w:rsidRPr="00DA788D">
        <w:rPr>
          <w:rFonts w:ascii="Times New Roman" w:eastAsia="Times" w:hAnsi="Times New Roman" w:cs="Times New Roman"/>
          <w:color w:val="000000"/>
          <w:sz w:val="24"/>
          <w:szCs w:val="24"/>
        </w:rPr>
        <w:t xml:space="preserve">udziału w ADR, zgodnie </w:t>
      </w:r>
      <w:r w:rsidR="00BA41AF">
        <w:rPr>
          <w:rFonts w:ascii="Times New Roman" w:eastAsia="Times" w:hAnsi="Times New Roman" w:cs="Times New Roman"/>
          <w:color w:val="000000"/>
          <w:sz w:val="24"/>
          <w:szCs w:val="24"/>
        </w:rPr>
        <w:t>z</w:t>
      </w:r>
      <w:r w:rsidR="00BA41AF" w:rsidRPr="00DA788D">
        <w:rPr>
          <w:rFonts w:ascii="Times New Roman" w:eastAsia="Times" w:hAnsi="Times New Roman" w:cs="Times New Roman"/>
          <w:color w:val="000000"/>
          <w:sz w:val="24"/>
          <w:szCs w:val="24"/>
        </w:rPr>
        <w:t xml:space="preserve"> </w:t>
      </w:r>
      <w:r w:rsidRPr="00DA788D">
        <w:rPr>
          <w:rFonts w:ascii="Times New Roman" w:eastAsia="Times" w:hAnsi="Times New Roman" w:cs="Times New Roman"/>
          <w:color w:val="000000"/>
          <w:sz w:val="24"/>
          <w:szCs w:val="24"/>
        </w:rPr>
        <w:t>art. 59</w:t>
      </w:r>
      <w:r w:rsidR="00F83456" w:rsidRPr="00DA788D">
        <w:rPr>
          <w:rFonts w:ascii="Times New Roman" w:eastAsia="Times" w:hAnsi="Times New Roman" w:cs="Times New Roman"/>
          <w:sz w:val="24"/>
          <w:szCs w:val="24"/>
        </w:rPr>
        <w:t>4</w:t>
      </w:r>
      <w:r w:rsidRPr="00DA788D">
        <w:rPr>
          <w:rFonts w:ascii="Times New Roman" w:eastAsia="Times" w:hAnsi="Times New Roman" w:cs="Times New Roman"/>
          <w:color w:val="000000"/>
          <w:sz w:val="24"/>
          <w:szCs w:val="24"/>
        </w:rPr>
        <w:t xml:space="preserve"> ust. 3</w:t>
      </w:r>
      <w:r w:rsidR="00BA41AF">
        <w:rPr>
          <w:rFonts w:ascii="Times New Roman" w:eastAsia="Times" w:hAnsi="Times New Roman" w:cs="Times New Roman"/>
          <w:color w:val="000000"/>
          <w:sz w:val="24"/>
          <w:szCs w:val="24"/>
        </w:rPr>
        <w:t xml:space="preserve"> projektu ustawy </w:t>
      </w:r>
      <w:r w:rsidRPr="00DA788D">
        <w:rPr>
          <w:rFonts w:ascii="Times New Roman" w:eastAsia="Times" w:hAnsi="Times New Roman" w:cs="Times New Roman"/>
          <w:color w:val="000000"/>
          <w:sz w:val="24"/>
          <w:szCs w:val="24"/>
        </w:rPr>
        <w:t>, będzie miał zastosowanie przepis</w:t>
      </w:r>
      <w:r w:rsidRPr="00DA788D">
        <w:rPr>
          <w:rFonts w:ascii="Times New Roman" w:eastAsia="Times New Roman" w:hAnsi="Times New Roman" w:cs="Times New Roman"/>
          <w:color w:val="000000"/>
          <w:sz w:val="24"/>
          <w:szCs w:val="24"/>
        </w:rPr>
        <w:t xml:space="preserve"> art. 54a ustawy z dnia 27 sierpnia 2009 r. o finansach publicznych. Przepis ten określa przesłanki jakimi powinien kierować się zamawiający będący jednostką sektora finansów publicznych.  Możliwość zawarcia ugody jest uzależniona od wyników oceny, czy skutki ugody są dla tej jednostki lub odpowiednio Skarbu Państwa albo budżetu jednostki samorządu terytorialnego korzystniejsze niż prawdopodobny wynik postępowania sądowego albo arbitrażowego. Ocena skutków ugody jest dokonywana, w formie pisemnej, z uwzględnieniem okoliczności sprawy, w szczególności zasadności spornych żądań, możliwości ich zaspokojenia i przewidywanego czasu trwania oraz kosztów postępowania sądowego albo arbitrażowego.</w:t>
      </w:r>
    </w:p>
    <w:p w14:paraId="264B0386" w14:textId="637939A2" w:rsidR="00CB2D51" w:rsidRPr="00DA788D" w:rsidRDefault="002E64C7" w:rsidP="002A1626">
      <w:pPr>
        <w:pBdr>
          <w:top w:val="nil"/>
          <w:left w:val="nil"/>
          <w:bottom w:val="nil"/>
          <w:right w:val="nil"/>
          <w:between w:val="nil"/>
        </w:pBdr>
        <w:spacing w:after="120"/>
        <w:jc w:val="both"/>
        <w:rPr>
          <w:rFonts w:ascii="Times New Roman" w:eastAsia="Times" w:hAnsi="Times New Roman" w:cs="Times New Roman"/>
          <w:color w:val="000000"/>
          <w:sz w:val="24"/>
          <w:szCs w:val="24"/>
        </w:rPr>
      </w:pPr>
      <w:r w:rsidRPr="00DA788D">
        <w:rPr>
          <w:rFonts w:ascii="Times New Roman" w:eastAsia="Times" w:hAnsi="Times New Roman" w:cs="Times New Roman"/>
          <w:color w:val="000000"/>
          <w:sz w:val="24"/>
          <w:szCs w:val="24"/>
        </w:rPr>
        <w:t>W projektowanym art. 59</w:t>
      </w:r>
      <w:r w:rsidR="00F83456" w:rsidRPr="00DA788D">
        <w:rPr>
          <w:rFonts w:ascii="Times New Roman" w:eastAsia="Times" w:hAnsi="Times New Roman" w:cs="Times New Roman"/>
          <w:sz w:val="24"/>
          <w:szCs w:val="24"/>
        </w:rPr>
        <w:t>5</w:t>
      </w:r>
      <w:r w:rsidRPr="00DA788D">
        <w:rPr>
          <w:rFonts w:ascii="Times New Roman" w:eastAsia="Times" w:hAnsi="Times New Roman" w:cs="Times New Roman"/>
          <w:b/>
          <w:color w:val="000000"/>
          <w:sz w:val="24"/>
          <w:szCs w:val="24"/>
        </w:rPr>
        <w:t xml:space="preserve"> </w:t>
      </w:r>
      <w:r w:rsidR="00A54C99" w:rsidRPr="00551CA9">
        <w:rPr>
          <w:rFonts w:ascii="Times New Roman" w:eastAsia="Times" w:hAnsi="Times New Roman" w:cs="Times New Roman"/>
          <w:color w:val="000000"/>
          <w:sz w:val="24"/>
          <w:szCs w:val="24"/>
        </w:rPr>
        <w:t>wskazano na</w:t>
      </w:r>
      <w:r w:rsidR="00A54C99">
        <w:rPr>
          <w:rFonts w:ascii="Times New Roman" w:eastAsia="Times" w:hAnsi="Times New Roman" w:cs="Times New Roman"/>
          <w:b/>
          <w:color w:val="000000"/>
          <w:sz w:val="24"/>
          <w:szCs w:val="24"/>
        </w:rPr>
        <w:t xml:space="preserve"> </w:t>
      </w:r>
      <w:r w:rsidR="00A54C99">
        <w:rPr>
          <w:rFonts w:ascii="Times New Roman" w:eastAsia="Times" w:hAnsi="Times New Roman" w:cs="Times New Roman"/>
          <w:color w:val="000000"/>
          <w:sz w:val="24"/>
          <w:szCs w:val="24"/>
        </w:rPr>
        <w:t xml:space="preserve">odrębności z jakimi wiąże się ADR w sprawach zamówień publicznych przed </w:t>
      </w:r>
      <w:r w:rsidR="00A54C99">
        <w:rPr>
          <w:rFonts w:ascii="Times New Roman" w:eastAsia="Times New Roman" w:hAnsi="Times New Roman" w:cs="Times New Roman"/>
          <w:sz w:val="24"/>
          <w:szCs w:val="24"/>
        </w:rPr>
        <w:t>Sądem Polubownym przy PGRP</w:t>
      </w:r>
      <w:r w:rsidR="00A54C99">
        <w:rPr>
          <w:rFonts w:ascii="Times New Roman" w:eastAsia="Times" w:hAnsi="Times New Roman" w:cs="Times New Roman"/>
          <w:color w:val="000000"/>
          <w:sz w:val="24"/>
          <w:szCs w:val="24"/>
        </w:rPr>
        <w:t xml:space="preserve">. Po pierwsze, </w:t>
      </w:r>
      <w:r w:rsidR="00D0121A">
        <w:rPr>
          <w:rFonts w:ascii="Times New Roman" w:eastAsia="Times" w:hAnsi="Times New Roman" w:cs="Times New Roman"/>
          <w:color w:val="000000"/>
          <w:sz w:val="24"/>
          <w:szCs w:val="24"/>
        </w:rPr>
        <w:t>c</w:t>
      </w:r>
      <w:r w:rsidRPr="00DA788D">
        <w:rPr>
          <w:rFonts w:ascii="Times New Roman" w:eastAsia="Times" w:hAnsi="Times New Roman" w:cs="Times New Roman"/>
          <w:color w:val="000000"/>
          <w:sz w:val="24"/>
          <w:szCs w:val="24"/>
        </w:rPr>
        <w:t>zas trwania mediacji lub</w:t>
      </w:r>
      <w:r w:rsidRPr="00DA788D">
        <w:rPr>
          <w:rFonts w:ascii="Times New Roman" w:eastAsia="Times New Roman" w:hAnsi="Times New Roman" w:cs="Times New Roman"/>
          <w:color w:val="000000"/>
          <w:sz w:val="24"/>
          <w:szCs w:val="24"/>
        </w:rPr>
        <w:t xml:space="preserve"> innego polubownego </w:t>
      </w:r>
      <w:r w:rsidR="00A54C99" w:rsidRPr="00DA788D">
        <w:rPr>
          <w:rFonts w:ascii="Times New Roman" w:eastAsia="Times New Roman" w:hAnsi="Times New Roman" w:cs="Times New Roman"/>
          <w:color w:val="000000"/>
          <w:sz w:val="24"/>
          <w:szCs w:val="24"/>
        </w:rPr>
        <w:t>rozwiązani</w:t>
      </w:r>
      <w:r w:rsidR="00A54C99">
        <w:rPr>
          <w:rFonts w:ascii="Times New Roman" w:eastAsia="Times New Roman" w:hAnsi="Times New Roman" w:cs="Times New Roman"/>
          <w:color w:val="000000"/>
          <w:sz w:val="24"/>
          <w:szCs w:val="24"/>
        </w:rPr>
        <w:t>a</w:t>
      </w:r>
      <w:r w:rsidR="00A54C99" w:rsidRPr="00DA788D">
        <w:rPr>
          <w:rFonts w:ascii="Times New Roman" w:eastAsia="Times New Roman" w:hAnsi="Times New Roman" w:cs="Times New Roman"/>
          <w:color w:val="000000"/>
          <w:sz w:val="24"/>
          <w:szCs w:val="24"/>
        </w:rPr>
        <w:t xml:space="preserve"> </w:t>
      </w:r>
      <w:r w:rsidRPr="00DA788D">
        <w:rPr>
          <w:rFonts w:ascii="Times New Roman" w:eastAsia="Times New Roman" w:hAnsi="Times New Roman" w:cs="Times New Roman"/>
          <w:color w:val="000000"/>
          <w:sz w:val="24"/>
          <w:szCs w:val="24"/>
        </w:rPr>
        <w:t>sporu</w:t>
      </w:r>
      <w:r w:rsidR="00F92549">
        <w:rPr>
          <w:rFonts w:ascii="Times New Roman" w:eastAsia="Times New Roman" w:hAnsi="Times New Roman" w:cs="Times New Roman"/>
          <w:color w:val="000000"/>
          <w:sz w:val="24"/>
          <w:szCs w:val="24"/>
        </w:rPr>
        <w:t xml:space="preserve"> </w:t>
      </w:r>
      <w:r w:rsidR="00A54C99">
        <w:rPr>
          <w:rFonts w:ascii="Times New Roman" w:eastAsia="Times New Roman" w:hAnsi="Times New Roman" w:cs="Times New Roman"/>
          <w:color w:val="000000"/>
          <w:sz w:val="24"/>
          <w:szCs w:val="24"/>
        </w:rPr>
        <w:t xml:space="preserve">nie może przekroczyć </w:t>
      </w:r>
      <w:r w:rsidRPr="00DA788D">
        <w:rPr>
          <w:rFonts w:ascii="Times New Roman" w:eastAsia="Times" w:hAnsi="Times New Roman" w:cs="Times New Roman"/>
          <w:color w:val="000000"/>
          <w:sz w:val="24"/>
          <w:szCs w:val="24"/>
        </w:rPr>
        <w:t>dwóch miesięcy (art. 59</w:t>
      </w:r>
      <w:r w:rsidR="00D0121A">
        <w:rPr>
          <w:rFonts w:ascii="Times New Roman" w:eastAsia="Times" w:hAnsi="Times New Roman" w:cs="Times New Roman"/>
          <w:sz w:val="24"/>
          <w:szCs w:val="24"/>
        </w:rPr>
        <w:t>5</w:t>
      </w:r>
      <w:r w:rsidRPr="00DA788D">
        <w:rPr>
          <w:rFonts w:ascii="Times New Roman" w:eastAsia="Times" w:hAnsi="Times New Roman" w:cs="Times New Roman"/>
          <w:sz w:val="24"/>
          <w:szCs w:val="24"/>
        </w:rPr>
        <w:t xml:space="preserve"> </w:t>
      </w:r>
      <w:r w:rsidR="00A54C99">
        <w:rPr>
          <w:rFonts w:ascii="Times New Roman" w:eastAsia="Times" w:hAnsi="Times New Roman" w:cs="Times New Roman"/>
          <w:sz w:val="24"/>
          <w:szCs w:val="24"/>
        </w:rPr>
        <w:t>pkt</w:t>
      </w:r>
      <w:r w:rsidRPr="00DA788D">
        <w:rPr>
          <w:rFonts w:ascii="Times New Roman" w:eastAsia="Times" w:hAnsi="Times New Roman" w:cs="Times New Roman"/>
          <w:sz w:val="24"/>
          <w:szCs w:val="24"/>
        </w:rPr>
        <w:t xml:space="preserve"> 1</w:t>
      </w:r>
      <w:r w:rsidR="00BA41AF">
        <w:rPr>
          <w:rFonts w:ascii="Times New Roman" w:eastAsia="Times" w:hAnsi="Times New Roman" w:cs="Times New Roman"/>
          <w:sz w:val="24"/>
          <w:szCs w:val="24"/>
        </w:rPr>
        <w:t xml:space="preserve"> projektu ustawy</w:t>
      </w:r>
      <w:r w:rsidRPr="00DA788D">
        <w:rPr>
          <w:rFonts w:ascii="Times New Roman" w:eastAsia="Times" w:hAnsi="Times New Roman" w:cs="Times New Roman"/>
          <w:color w:val="000000"/>
          <w:sz w:val="24"/>
          <w:szCs w:val="24"/>
        </w:rPr>
        <w:t>). Termin ten, na zgodny wniosek stron z innych ważnych powodów, będzie mógł być przedłużony – stosowanie do reguły zawartej w art. 183</w:t>
      </w:r>
      <w:r w:rsidRPr="00DA788D">
        <w:rPr>
          <w:rFonts w:ascii="Times New Roman" w:eastAsia="Times" w:hAnsi="Times New Roman" w:cs="Times New Roman"/>
          <w:color w:val="000000"/>
          <w:sz w:val="24"/>
          <w:szCs w:val="24"/>
          <w:vertAlign w:val="superscript"/>
        </w:rPr>
        <w:t>10</w:t>
      </w:r>
      <w:r w:rsidRPr="00DA788D">
        <w:rPr>
          <w:rFonts w:ascii="Times New Roman" w:eastAsia="Times" w:hAnsi="Times New Roman" w:cs="Times New Roman"/>
          <w:color w:val="000000"/>
          <w:sz w:val="24"/>
          <w:szCs w:val="24"/>
        </w:rPr>
        <w:t xml:space="preserve"> § 1 ustawy – Kodeks postępowania cywilnego. </w:t>
      </w:r>
    </w:p>
    <w:p w14:paraId="26D304D9" w14:textId="3CA4F16A" w:rsidR="00CB2D51" w:rsidRPr="00DA788D" w:rsidRDefault="00A54C99" w:rsidP="00DA788D">
      <w:pPr>
        <w:pBdr>
          <w:top w:val="nil"/>
          <w:left w:val="nil"/>
          <w:bottom w:val="nil"/>
          <w:right w:val="nil"/>
          <w:between w:val="nil"/>
        </w:pBdr>
        <w:spacing w:after="120"/>
        <w:ind w:firstLine="510"/>
        <w:jc w:val="both"/>
        <w:rPr>
          <w:rFonts w:ascii="Times New Roman" w:eastAsia="Times" w:hAnsi="Times New Roman" w:cs="Times New Roman"/>
          <w:color w:val="000000"/>
          <w:sz w:val="24"/>
          <w:szCs w:val="24"/>
        </w:rPr>
      </w:pPr>
      <w:r>
        <w:rPr>
          <w:rFonts w:ascii="Times New Roman" w:eastAsia="Times" w:hAnsi="Times New Roman" w:cs="Times New Roman"/>
          <w:color w:val="000000"/>
          <w:sz w:val="24"/>
          <w:szCs w:val="24"/>
        </w:rPr>
        <w:t>Po drugie,</w:t>
      </w:r>
      <w:r w:rsidRPr="00647C4B">
        <w:rPr>
          <w:rFonts w:ascii="Times New Roman" w:eastAsia="Times" w:hAnsi="Times New Roman" w:cs="Times New Roman"/>
          <w:color w:val="000000"/>
          <w:sz w:val="24"/>
          <w:szCs w:val="24"/>
        </w:rPr>
        <w:t xml:space="preserve"> w </w:t>
      </w:r>
      <w:r>
        <w:rPr>
          <w:rFonts w:ascii="Times New Roman" w:eastAsia="Times" w:hAnsi="Times New Roman" w:cs="Times New Roman"/>
          <w:color w:val="000000"/>
          <w:sz w:val="24"/>
          <w:szCs w:val="24"/>
        </w:rPr>
        <w:t>art. 595 pkt</w:t>
      </w:r>
      <w:r w:rsidR="00D0121A">
        <w:rPr>
          <w:rFonts w:ascii="Times New Roman" w:eastAsia="Times" w:hAnsi="Times New Roman" w:cs="Times New Roman"/>
          <w:color w:val="000000"/>
          <w:sz w:val="24"/>
          <w:szCs w:val="24"/>
        </w:rPr>
        <w:t xml:space="preserve"> 2 </w:t>
      </w:r>
      <w:r w:rsidR="00BA41AF">
        <w:rPr>
          <w:rFonts w:ascii="Times New Roman" w:eastAsia="Times" w:hAnsi="Times New Roman" w:cs="Times New Roman"/>
          <w:color w:val="000000"/>
          <w:sz w:val="24"/>
          <w:szCs w:val="24"/>
        </w:rPr>
        <w:t xml:space="preserve">projektu ustawy </w:t>
      </w:r>
      <w:r w:rsidR="00D0121A">
        <w:rPr>
          <w:rFonts w:ascii="Times New Roman" w:eastAsia="Times" w:hAnsi="Times New Roman" w:cs="Times New Roman"/>
          <w:color w:val="000000"/>
          <w:sz w:val="24"/>
          <w:szCs w:val="24"/>
        </w:rPr>
        <w:t>wprowadza się ograniczenie</w:t>
      </w:r>
      <w:r w:rsidR="002E64C7" w:rsidRPr="00DA788D">
        <w:rPr>
          <w:rFonts w:ascii="Times New Roman" w:eastAsia="Times" w:hAnsi="Times New Roman" w:cs="Times New Roman"/>
          <w:color w:val="000000"/>
          <w:sz w:val="24"/>
          <w:szCs w:val="24"/>
        </w:rPr>
        <w:t>,</w:t>
      </w:r>
      <w:r w:rsidR="00D0121A">
        <w:rPr>
          <w:rFonts w:ascii="Times New Roman" w:eastAsia="Times" w:hAnsi="Times New Roman" w:cs="Times New Roman"/>
          <w:color w:val="000000"/>
          <w:sz w:val="24"/>
          <w:szCs w:val="24"/>
        </w:rPr>
        <w:t xml:space="preserve"> zgodnie z którym</w:t>
      </w:r>
      <w:r w:rsidR="002E64C7" w:rsidRPr="00DA788D">
        <w:rPr>
          <w:rFonts w:ascii="Times New Roman" w:eastAsia="Times" w:hAnsi="Times New Roman" w:cs="Times New Roman"/>
          <w:color w:val="000000"/>
          <w:sz w:val="24"/>
          <w:szCs w:val="24"/>
        </w:rPr>
        <w:t xml:space="preserve"> osoby będące mediatorem lub koncyliatorem nie mogły być pełnomocnikami w postępowaniu przed sądem w postępowaniu dotyczącym sporu objętym mediacją lub innym </w:t>
      </w:r>
      <w:r w:rsidR="002E64C7" w:rsidRPr="00DA788D">
        <w:rPr>
          <w:rFonts w:ascii="Times New Roman" w:eastAsia="Times New Roman" w:hAnsi="Times New Roman" w:cs="Times New Roman"/>
          <w:color w:val="000000"/>
          <w:sz w:val="24"/>
          <w:szCs w:val="24"/>
        </w:rPr>
        <w:t>polubownym rozwiązaniem sporu</w:t>
      </w:r>
      <w:r w:rsidR="002E64C7" w:rsidRPr="00DA788D">
        <w:rPr>
          <w:rFonts w:ascii="Times New Roman" w:eastAsia="Times" w:hAnsi="Times New Roman" w:cs="Times New Roman"/>
          <w:color w:val="000000"/>
          <w:sz w:val="24"/>
          <w:szCs w:val="24"/>
        </w:rPr>
        <w:t xml:space="preserve">, jak również w żaden inny sposób uczestniczyć w tym postępowaniu sądowym. Oznacza to, że osoby zaangażowane w ADR </w:t>
      </w:r>
      <w:r>
        <w:rPr>
          <w:rFonts w:ascii="Times New Roman" w:eastAsia="Times" w:hAnsi="Times New Roman" w:cs="Times New Roman"/>
          <w:color w:val="000000"/>
          <w:sz w:val="24"/>
          <w:szCs w:val="24"/>
        </w:rPr>
        <w:t xml:space="preserve">w ramach Sądu Polubownego przy PGRP, </w:t>
      </w:r>
      <w:r w:rsidR="002E64C7" w:rsidRPr="00DA788D">
        <w:rPr>
          <w:rFonts w:ascii="Times New Roman" w:eastAsia="Times" w:hAnsi="Times New Roman" w:cs="Times New Roman"/>
          <w:color w:val="000000"/>
          <w:sz w:val="24"/>
          <w:szCs w:val="24"/>
        </w:rPr>
        <w:t xml:space="preserve">przed skierowaniem sprawy do sądu albo sprawy będącej w toku nie będą mogły reprezentować strony </w:t>
      </w:r>
      <w:r>
        <w:rPr>
          <w:rFonts w:ascii="Times New Roman" w:eastAsia="Times" w:hAnsi="Times New Roman" w:cs="Times New Roman"/>
          <w:color w:val="000000"/>
          <w:sz w:val="24"/>
          <w:szCs w:val="24"/>
        </w:rPr>
        <w:t xml:space="preserve"> (zamawiającego i wykonawcy),</w:t>
      </w:r>
      <w:r w:rsidRPr="00647C4B">
        <w:rPr>
          <w:rFonts w:ascii="Times New Roman" w:eastAsia="Times" w:hAnsi="Times New Roman" w:cs="Times New Roman"/>
          <w:color w:val="000000"/>
          <w:sz w:val="24"/>
          <w:szCs w:val="24"/>
        </w:rPr>
        <w:t xml:space="preserve"> </w:t>
      </w:r>
      <w:r w:rsidR="002E64C7" w:rsidRPr="00DA788D">
        <w:rPr>
          <w:rFonts w:ascii="Times New Roman" w:eastAsia="Times" w:hAnsi="Times New Roman" w:cs="Times New Roman"/>
          <w:color w:val="000000"/>
          <w:sz w:val="24"/>
          <w:szCs w:val="24"/>
        </w:rPr>
        <w:t>jako pełnomocnik.</w:t>
      </w:r>
    </w:p>
    <w:p w14:paraId="086DB228" w14:textId="370C3A43" w:rsidR="00CB2D51" w:rsidRPr="00DA788D" w:rsidRDefault="002E64C7" w:rsidP="00DA788D">
      <w:p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b/>
          <w:sz w:val="24"/>
          <w:szCs w:val="24"/>
        </w:rPr>
        <w:t>DZIAŁ XI</w:t>
      </w:r>
      <w:r w:rsidR="00EA17D6">
        <w:rPr>
          <w:rFonts w:ascii="Times New Roman" w:eastAsia="Times New Roman" w:hAnsi="Times New Roman" w:cs="Times New Roman"/>
          <w:b/>
          <w:sz w:val="24"/>
          <w:szCs w:val="24"/>
        </w:rPr>
        <w:t>.</w:t>
      </w:r>
      <w:r w:rsidRPr="00DA788D">
        <w:rPr>
          <w:rFonts w:ascii="Times New Roman" w:eastAsia="Times New Roman" w:hAnsi="Times New Roman" w:cs="Times New Roman"/>
          <w:sz w:val="24"/>
          <w:szCs w:val="24"/>
        </w:rPr>
        <w:t xml:space="preserve"> </w:t>
      </w:r>
      <w:r w:rsidRPr="00DA788D">
        <w:rPr>
          <w:rFonts w:ascii="Times New Roman" w:eastAsia="Times New Roman" w:hAnsi="Times New Roman" w:cs="Times New Roman"/>
          <w:b/>
          <w:sz w:val="24"/>
          <w:szCs w:val="24"/>
        </w:rPr>
        <w:t>Kontrola udzielania zamówień publicznych</w:t>
      </w:r>
    </w:p>
    <w:p w14:paraId="73585A48" w14:textId="77777777" w:rsidR="00CB2D51" w:rsidRPr="00DA788D" w:rsidRDefault="002E64C7" w:rsidP="00196CEC">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Nowym rozwiązaniem wprowadzonym w ustawie </w:t>
      </w:r>
      <w:r w:rsidR="008D3D07">
        <w:rPr>
          <w:rFonts w:ascii="Times New Roman" w:eastAsia="Times New Roman" w:hAnsi="Times New Roman" w:cs="Times New Roman"/>
          <w:sz w:val="24"/>
          <w:szCs w:val="24"/>
        </w:rPr>
        <w:t>są przepisy regulujące sposób przeprowadzania kontroli</w:t>
      </w:r>
      <w:r w:rsidRPr="00DA788D">
        <w:rPr>
          <w:rFonts w:ascii="Times New Roman" w:eastAsia="Times New Roman" w:hAnsi="Times New Roman" w:cs="Times New Roman"/>
          <w:sz w:val="24"/>
          <w:szCs w:val="24"/>
        </w:rPr>
        <w:t xml:space="preserve"> nie tylko dla Prez</w:t>
      </w:r>
      <w:r w:rsidR="00DA788D" w:rsidRPr="00DA788D">
        <w:rPr>
          <w:rFonts w:ascii="Times New Roman" w:eastAsia="Times New Roman" w:hAnsi="Times New Roman" w:cs="Times New Roman"/>
          <w:sz w:val="24"/>
          <w:szCs w:val="24"/>
        </w:rPr>
        <w:t>esa UZP, również dla innych organów, w tym</w:t>
      </w:r>
      <w:r w:rsidR="008D3D07">
        <w:rPr>
          <w:rFonts w:ascii="Times New Roman" w:eastAsia="Times New Roman" w:hAnsi="Times New Roman" w:cs="Times New Roman"/>
          <w:sz w:val="24"/>
          <w:szCs w:val="24"/>
        </w:rPr>
        <w:t xml:space="preserve"> regionalnych izb obrachunkowych oraz</w:t>
      </w:r>
      <w:r w:rsidRPr="00DA788D">
        <w:rPr>
          <w:rFonts w:ascii="Times New Roman" w:eastAsia="Times New Roman" w:hAnsi="Times New Roman" w:cs="Times New Roman"/>
          <w:sz w:val="24"/>
          <w:szCs w:val="24"/>
        </w:rPr>
        <w:t xml:space="preserve"> instytucji</w:t>
      </w:r>
      <w:r w:rsidR="008D3D07">
        <w:rPr>
          <w:rFonts w:ascii="Times New Roman" w:eastAsia="Times New Roman" w:hAnsi="Times New Roman" w:cs="Times New Roman"/>
          <w:sz w:val="24"/>
          <w:szCs w:val="24"/>
        </w:rPr>
        <w:t xml:space="preserve"> audytowych oraz</w:t>
      </w:r>
      <w:r w:rsidRPr="00DA788D">
        <w:rPr>
          <w:rFonts w:ascii="Times New Roman" w:eastAsia="Times New Roman" w:hAnsi="Times New Roman" w:cs="Times New Roman"/>
          <w:sz w:val="24"/>
          <w:szCs w:val="24"/>
        </w:rPr>
        <w:t xml:space="preserve"> zarządzających w rozumieniu przepisów dotyczących realizacji programów w zakresie polityki spójności, (dalej „organy kontroli”). Ze względu na swoją pozycję ustrojową, Najwyższa Izba Kontroli</w:t>
      </w:r>
      <w:r w:rsidR="008533BA">
        <w:rPr>
          <w:rFonts w:ascii="Times New Roman" w:eastAsia="Times New Roman" w:hAnsi="Times New Roman" w:cs="Times New Roman"/>
          <w:sz w:val="24"/>
          <w:szCs w:val="24"/>
        </w:rPr>
        <w:t xml:space="preserve"> oraz Prezes Rady Ministrów zostały</w:t>
      </w:r>
      <w:r w:rsidRPr="00DA788D">
        <w:rPr>
          <w:rFonts w:ascii="Times New Roman" w:eastAsia="Times New Roman" w:hAnsi="Times New Roman" w:cs="Times New Roman"/>
          <w:sz w:val="24"/>
          <w:szCs w:val="24"/>
        </w:rPr>
        <w:t xml:space="preserve"> wyłącz</w:t>
      </w:r>
      <w:r w:rsidR="008533BA">
        <w:rPr>
          <w:rFonts w:ascii="Times New Roman" w:eastAsia="Times New Roman" w:hAnsi="Times New Roman" w:cs="Times New Roman"/>
          <w:sz w:val="24"/>
          <w:szCs w:val="24"/>
        </w:rPr>
        <w:t>one</w:t>
      </w:r>
      <w:r w:rsidRPr="00DA788D">
        <w:rPr>
          <w:rFonts w:ascii="Times New Roman" w:eastAsia="Times New Roman" w:hAnsi="Times New Roman" w:cs="Times New Roman"/>
          <w:sz w:val="24"/>
          <w:szCs w:val="24"/>
        </w:rPr>
        <w:t xml:space="preserve"> z obowiązku stosowania w toku kontroli udzielania zamówień publicznych zasad uregulowanych ustawą.</w:t>
      </w:r>
      <w:r w:rsidR="004466FF" w:rsidRPr="004466FF">
        <w:t xml:space="preserve"> </w:t>
      </w:r>
      <w:r w:rsidR="004466FF" w:rsidRPr="004466FF">
        <w:rPr>
          <w:rFonts w:ascii="Times New Roman" w:eastAsia="Times New Roman" w:hAnsi="Times New Roman" w:cs="Times New Roman"/>
          <w:sz w:val="24"/>
          <w:szCs w:val="24"/>
        </w:rPr>
        <w:t>Zasady kontroli określone w dziale XI nie będą stos</w:t>
      </w:r>
      <w:r w:rsidR="004466FF">
        <w:rPr>
          <w:rFonts w:ascii="Times New Roman" w:eastAsia="Times New Roman" w:hAnsi="Times New Roman" w:cs="Times New Roman"/>
          <w:sz w:val="24"/>
          <w:szCs w:val="24"/>
        </w:rPr>
        <w:t xml:space="preserve">owane także przez Urząd Ochrony </w:t>
      </w:r>
      <w:r w:rsidR="004466FF" w:rsidRPr="004466FF">
        <w:rPr>
          <w:rFonts w:ascii="Times New Roman" w:eastAsia="Times New Roman" w:hAnsi="Times New Roman" w:cs="Times New Roman"/>
          <w:sz w:val="24"/>
          <w:szCs w:val="24"/>
        </w:rPr>
        <w:t>Konkurencji i Konsumentów</w:t>
      </w:r>
      <w:r w:rsidR="00196CEC">
        <w:rPr>
          <w:rFonts w:ascii="Times New Roman" w:eastAsia="Times New Roman" w:hAnsi="Times New Roman" w:cs="Times New Roman"/>
          <w:sz w:val="24"/>
          <w:szCs w:val="24"/>
        </w:rPr>
        <w:t xml:space="preserve"> (</w:t>
      </w:r>
      <w:r w:rsidR="00196CEC" w:rsidRPr="004466FF">
        <w:rPr>
          <w:rFonts w:ascii="Times New Roman" w:eastAsia="Times New Roman" w:hAnsi="Times New Roman" w:cs="Times New Roman"/>
          <w:sz w:val="24"/>
          <w:szCs w:val="24"/>
        </w:rPr>
        <w:t>UOKiK</w:t>
      </w:r>
      <w:r w:rsidR="00196CEC">
        <w:rPr>
          <w:rFonts w:ascii="Times New Roman" w:eastAsia="Times New Roman" w:hAnsi="Times New Roman" w:cs="Times New Roman"/>
          <w:sz w:val="24"/>
          <w:szCs w:val="24"/>
        </w:rPr>
        <w:t>)</w:t>
      </w:r>
      <w:r w:rsidR="004466FF" w:rsidRPr="004466FF">
        <w:rPr>
          <w:rFonts w:ascii="Times New Roman" w:eastAsia="Times New Roman" w:hAnsi="Times New Roman" w:cs="Times New Roman"/>
          <w:sz w:val="24"/>
          <w:szCs w:val="24"/>
        </w:rPr>
        <w:t>. UOKiK należy do szeroko rozumianego systemu instytucji</w:t>
      </w:r>
      <w:r w:rsidR="004466FF">
        <w:rPr>
          <w:rFonts w:ascii="Times New Roman" w:eastAsia="Times New Roman" w:hAnsi="Times New Roman" w:cs="Times New Roman"/>
          <w:sz w:val="24"/>
          <w:szCs w:val="24"/>
        </w:rPr>
        <w:t xml:space="preserve"> </w:t>
      </w:r>
      <w:r w:rsidR="004466FF" w:rsidRPr="004466FF">
        <w:rPr>
          <w:rFonts w:ascii="Times New Roman" w:eastAsia="Times New Roman" w:hAnsi="Times New Roman" w:cs="Times New Roman"/>
          <w:sz w:val="24"/>
          <w:szCs w:val="24"/>
        </w:rPr>
        <w:t>zamówień publicznych i będzie uczestniczył</w:t>
      </w:r>
      <w:r w:rsidR="004466FF">
        <w:rPr>
          <w:rFonts w:ascii="Times New Roman" w:eastAsia="Times New Roman" w:hAnsi="Times New Roman" w:cs="Times New Roman"/>
          <w:sz w:val="24"/>
          <w:szCs w:val="24"/>
        </w:rPr>
        <w:t xml:space="preserve"> </w:t>
      </w:r>
      <w:r w:rsidR="004466FF" w:rsidRPr="004466FF">
        <w:rPr>
          <w:rFonts w:ascii="Times New Roman" w:eastAsia="Times New Roman" w:hAnsi="Times New Roman" w:cs="Times New Roman"/>
          <w:sz w:val="24"/>
          <w:szCs w:val="24"/>
        </w:rPr>
        <w:t>w pracach Komitetu do spraw Kontroli w Zamówieniach Publicznych, ale przedmiotem</w:t>
      </w:r>
      <w:r w:rsidR="00196CEC">
        <w:rPr>
          <w:rFonts w:ascii="Times New Roman" w:eastAsia="Times New Roman" w:hAnsi="Times New Roman" w:cs="Times New Roman"/>
          <w:sz w:val="24"/>
          <w:szCs w:val="24"/>
        </w:rPr>
        <w:t xml:space="preserve"> </w:t>
      </w:r>
      <w:r w:rsidR="004466FF" w:rsidRPr="004466FF">
        <w:rPr>
          <w:rFonts w:ascii="Times New Roman" w:eastAsia="Times New Roman" w:hAnsi="Times New Roman" w:cs="Times New Roman"/>
          <w:sz w:val="24"/>
          <w:szCs w:val="24"/>
        </w:rPr>
        <w:t>kontroli wykonywanej przez UOKiK nie jest udziel</w:t>
      </w:r>
      <w:r w:rsidR="004466FF">
        <w:rPr>
          <w:rFonts w:ascii="Times New Roman" w:eastAsia="Times New Roman" w:hAnsi="Times New Roman" w:cs="Times New Roman"/>
          <w:sz w:val="24"/>
          <w:szCs w:val="24"/>
        </w:rPr>
        <w:t xml:space="preserve">anie zamówień publicznych tylko </w:t>
      </w:r>
      <w:r w:rsidR="004466FF" w:rsidRPr="004466FF">
        <w:rPr>
          <w:rFonts w:ascii="Times New Roman" w:eastAsia="Times New Roman" w:hAnsi="Times New Roman" w:cs="Times New Roman"/>
          <w:sz w:val="24"/>
          <w:szCs w:val="24"/>
        </w:rPr>
        <w:t>ewentualne porozumienia zawierane przez przedsiębiorców, których celem lub skutkiem</w:t>
      </w:r>
      <w:r w:rsidR="004466FF">
        <w:rPr>
          <w:rFonts w:ascii="Times New Roman" w:eastAsia="Times New Roman" w:hAnsi="Times New Roman" w:cs="Times New Roman"/>
          <w:sz w:val="24"/>
          <w:szCs w:val="24"/>
        </w:rPr>
        <w:t xml:space="preserve"> </w:t>
      </w:r>
      <w:r w:rsidR="004466FF" w:rsidRPr="004466FF">
        <w:rPr>
          <w:rFonts w:ascii="Times New Roman" w:eastAsia="Times New Roman" w:hAnsi="Times New Roman" w:cs="Times New Roman"/>
          <w:sz w:val="24"/>
          <w:szCs w:val="24"/>
        </w:rPr>
        <w:t>jest wyeliminowanie, ograniczenie lub naruszenie w inny sposób konkurencji (tzw. zmowy</w:t>
      </w:r>
      <w:r w:rsidR="004466FF">
        <w:rPr>
          <w:rFonts w:ascii="Times New Roman" w:eastAsia="Times New Roman" w:hAnsi="Times New Roman" w:cs="Times New Roman"/>
          <w:sz w:val="24"/>
          <w:szCs w:val="24"/>
        </w:rPr>
        <w:t xml:space="preserve"> </w:t>
      </w:r>
      <w:r w:rsidR="004466FF" w:rsidRPr="004466FF">
        <w:rPr>
          <w:rFonts w:ascii="Times New Roman" w:eastAsia="Times New Roman" w:hAnsi="Times New Roman" w:cs="Times New Roman"/>
          <w:sz w:val="24"/>
          <w:szCs w:val="24"/>
        </w:rPr>
        <w:t>przetargowe).</w:t>
      </w:r>
      <w:r w:rsidRPr="00DA788D">
        <w:rPr>
          <w:rFonts w:ascii="Times New Roman" w:eastAsia="Times New Roman" w:hAnsi="Times New Roman" w:cs="Times New Roman"/>
          <w:sz w:val="24"/>
          <w:szCs w:val="24"/>
        </w:rPr>
        <w:t xml:space="preserve"> Wprowadzenie tych zasad uczyni system bardziej spójnym i czytelnym dla rynku. Może mieć też pozytywny wpływ na rozwiązanie problemów wynikających z odmiennych interpretacji czy dublowania się kontroli.</w:t>
      </w:r>
    </w:p>
    <w:p w14:paraId="1F8C6D60" w14:textId="6B23F906"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Kontrola zamówień publicznych powinna być dokonywana w zgodzie z przepisami zawartymi w ustawie</w:t>
      </w:r>
      <w:r w:rsidR="00196CEC">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a także przepisami odrębnymi właściwymi dla poszczególnych organów</w:t>
      </w:r>
      <w:r w:rsidR="00EA17D6">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W przypadku wystąpienia sprzeczności między zasadami przeprowadzania kontroli przewidzianymi w ustawie a zasadami uregulowanymi w przepisach odrębnych, zastosowanie będzie miała norma kolizyjna regulująca stosunek przepisów odrębnych do przepisów ustawy (art. </w:t>
      </w:r>
      <w:r w:rsidR="00E815D6">
        <w:rPr>
          <w:rFonts w:ascii="Times New Roman" w:eastAsia="Times New Roman" w:hAnsi="Times New Roman" w:cs="Times New Roman"/>
          <w:sz w:val="24"/>
          <w:szCs w:val="24"/>
        </w:rPr>
        <w:t>596 ust. 3</w:t>
      </w:r>
      <w:r w:rsidRPr="00DA788D">
        <w:rPr>
          <w:rFonts w:ascii="Times New Roman" w:eastAsia="Times New Roman" w:hAnsi="Times New Roman" w:cs="Times New Roman"/>
          <w:sz w:val="24"/>
          <w:szCs w:val="24"/>
        </w:rPr>
        <w:t xml:space="preserve"> projektu ustawy).</w:t>
      </w:r>
    </w:p>
    <w:p w14:paraId="694CC108"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Zasady wskazane w prawie zamówień publicznych nie wpływają na ustawowe kompetencje poszczególnych organów, a wskazują ramy metodologiczne samego procesu przeprowadzania kontroli, wspólne dla wszystkich instytucji. Te zasady to:</w:t>
      </w:r>
    </w:p>
    <w:p w14:paraId="409642D9" w14:textId="77777777" w:rsidR="00CB2D51" w:rsidRPr="00DA788D" w:rsidRDefault="002E64C7" w:rsidP="00DA788D">
      <w:pPr>
        <w:numPr>
          <w:ilvl w:val="0"/>
          <w:numId w:val="34"/>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współpraca organów kontroli oraz uwzględnianie przez te organy przeprowadzaniu kontroli wyników kontroli legalności udzielania zamówień publicznych dokonywanych przez Prezesa UZP lub inne organy kontroli (art. </w:t>
      </w:r>
      <w:r w:rsidR="00E815D6">
        <w:rPr>
          <w:rFonts w:ascii="Times New Roman" w:eastAsia="Times New Roman" w:hAnsi="Times New Roman" w:cs="Times New Roman"/>
          <w:sz w:val="24"/>
          <w:szCs w:val="24"/>
        </w:rPr>
        <w:t>597</w:t>
      </w:r>
      <w:r w:rsidRPr="00DA788D">
        <w:rPr>
          <w:rFonts w:ascii="Times New Roman" w:eastAsia="Times New Roman" w:hAnsi="Times New Roman" w:cs="Times New Roman"/>
          <w:sz w:val="24"/>
          <w:szCs w:val="24"/>
        </w:rPr>
        <w:t xml:space="preserve"> projektu ustawy);</w:t>
      </w:r>
    </w:p>
    <w:p w14:paraId="5F8F4ABC" w14:textId="77777777" w:rsidR="00CB2D51" w:rsidRPr="00DA788D" w:rsidRDefault="002E64C7" w:rsidP="00DA788D">
      <w:pPr>
        <w:numPr>
          <w:ilvl w:val="0"/>
          <w:numId w:val="34"/>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planowanie i przeprowadzanie kontroli na podstawie analizy ryzyka (art. </w:t>
      </w:r>
      <w:r w:rsidR="00E815D6">
        <w:rPr>
          <w:rFonts w:ascii="Times New Roman" w:eastAsia="Times New Roman" w:hAnsi="Times New Roman" w:cs="Times New Roman"/>
          <w:sz w:val="24"/>
          <w:szCs w:val="24"/>
        </w:rPr>
        <w:t>598</w:t>
      </w:r>
      <w:r w:rsidRPr="00DA788D">
        <w:rPr>
          <w:rFonts w:ascii="Times New Roman" w:eastAsia="Times New Roman" w:hAnsi="Times New Roman" w:cs="Times New Roman"/>
          <w:sz w:val="24"/>
          <w:szCs w:val="24"/>
        </w:rPr>
        <w:t xml:space="preserve"> projektu ustawy);</w:t>
      </w:r>
    </w:p>
    <w:p w14:paraId="1732E837" w14:textId="77777777" w:rsidR="00CB2D51" w:rsidRPr="00DA788D" w:rsidRDefault="002E64C7" w:rsidP="00DA788D">
      <w:pPr>
        <w:numPr>
          <w:ilvl w:val="0"/>
          <w:numId w:val="34"/>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dokonywanie kontroli na podstawie przygotowanych przez organy kwestionariuszy kontrolnych (art. </w:t>
      </w:r>
      <w:r w:rsidR="00E815D6">
        <w:rPr>
          <w:rFonts w:ascii="Times New Roman" w:eastAsia="Times New Roman" w:hAnsi="Times New Roman" w:cs="Times New Roman"/>
          <w:sz w:val="24"/>
          <w:szCs w:val="24"/>
        </w:rPr>
        <w:t>599 i 600</w:t>
      </w:r>
      <w:r w:rsidRPr="00DA788D">
        <w:rPr>
          <w:rFonts w:ascii="Times New Roman" w:eastAsia="Times New Roman" w:hAnsi="Times New Roman" w:cs="Times New Roman"/>
          <w:sz w:val="24"/>
          <w:szCs w:val="24"/>
        </w:rPr>
        <w:t xml:space="preserve"> projektu ustawy);</w:t>
      </w:r>
    </w:p>
    <w:p w14:paraId="17033843" w14:textId="741F25F0" w:rsidR="00CB2D51" w:rsidRPr="00DA788D" w:rsidRDefault="002E64C7" w:rsidP="00DA788D">
      <w:pPr>
        <w:numPr>
          <w:ilvl w:val="0"/>
          <w:numId w:val="34"/>
        </w:numPr>
        <w:spacing w:after="120"/>
        <w:ind w:left="714" w:hanging="357"/>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podstawą negatywnego wyniku kontroli mogą być tylko uchybienia mogące mieć wpływ na wynik postępowania, z wyłączeniem </w:t>
      </w:r>
      <w:r w:rsidRPr="00DA788D">
        <w:rPr>
          <w:rFonts w:ascii="Times New Roman" w:eastAsia="Times" w:hAnsi="Times New Roman" w:cs="Times New Roman"/>
          <w:sz w:val="24"/>
          <w:szCs w:val="24"/>
        </w:rPr>
        <w:t>kontroli postępowań o udzielenie zamówień współfinansowanych ze środków Unii Europejskiej</w:t>
      </w:r>
      <w:r w:rsidRPr="00DA788D">
        <w:rPr>
          <w:rFonts w:ascii="Times New Roman" w:eastAsia="Times New Roman" w:hAnsi="Times New Roman" w:cs="Times New Roman"/>
          <w:sz w:val="24"/>
          <w:szCs w:val="24"/>
        </w:rPr>
        <w:t xml:space="preserve"> (art. 60</w:t>
      </w:r>
      <w:r w:rsidR="00E815D6">
        <w:rPr>
          <w:rFonts w:ascii="Times New Roman" w:eastAsia="Times New Roman" w:hAnsi="Times New Roman" w:cs="Times New Roman"/>
          <w:sz w:val="24"/>
          <w:szCs w:val="24"/>
        </w:rPr>
        <w:t>1</w:t>
      </w:r>
      <w:r w:rsidRPr="00DA788D">
        <w:rPr>
          <w:rFonts w:ascii="Times New Roman" w:eastAsia="Times New Roman" w:hAnsi="Times New Roman" w:cs="Times New Roman"/>
          <w:sz w:val="24"/>
          <w:szCs w:val="24"/>
        </w:rPr>
        <w:t xml:space="preserve"> projektu ustawy);</w:t>
      </w:r>
    </w:p>
    <w:p w14:paraId="7192113E" w14:textId="77777777" w:rsidR="00CB2D51" w:rsidRPr="00DA788D" w:rsidRDefault="002E64C7" w:rsidP="00DA788D">
      <w:pPr>
        <w:numPr>
          <w:ilvl w:val="0"/>
          <w:numId w:val="34"/>
        </w:numPr>
        <w:spacing w:after="120"/>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upublicznianie</w:t>
      </w:r>
      <w:r w:rsidR="008D3D07">
        <w:rPr>
          <w:rFonts w:ascii="Times New Roman" w:eastAsia="Times New Roman" w:hAnsi="Times New Roman" w:cs="Times New Roman"/>
          <w:sz w:val="24"/>
          <w:szCs w:val="24"/>
        </w:rPr>
        <w:t xml:space="preserve"> informacji o przeprowadzonych kontrolach i ich wynikach, w tym dokumentu kończącego kontrolę</w:t>
      </w:r>
      <w:r w:rsidRPr="00DA788D">
        <w:rPr>
          <w:rFonts w:ascii="Times New Roman" w:eastAsia="Times New Roman" w:hAnsi="Times New Roman" w:cs="Times New Roman"/>
          <w:sz w:val="24"/>
          <w:szCs w:val="24"/>
        </w:rPr>
        <w:t xml:space="preserve"> (art. 60</w:t>
      </w:r>
      <w:r w:rsidR="00E815D6">
        <w:rPr>
          <w:rFonts w:ascii="Times New Roman" w:eastAsia="Times New Roman" w:hAnsi="Times New Roman" w:cs="Times New Roman"/>
          <w:sz w:val="24"/>
          <w:szCs w:val="24"/>
        </w:rPr>
        <w:t>2</w:t>
      </w:r>
      <w:r w:rsidRPr="00DA788D">
        <w:rPr>
          <w:rFonts w:ascii="Times New Roman" w:eastAsia="Times New Roman" w:hAnsi="Times New Roman" w:cs="Times New Roman"/>
          <w:sz w:val="24"/>
          <w:szCs w:val="24"/>
        </w:rPr>
        <w:t xml:space="preserve"> projektu ustawy).</w:t>
      </w:r>
    </w:p>
    <w:p w14:paraId="0BAC6C7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Zasada współpracy i uwzględniania wyników kontroli przeprowadzonych przez Prezesa UZP lub inne organy kontroli oznacza, że organy kontroli zobowiązane są do wymiany podstawowych informacji o przeprowadzanych kontrolach wśród zamawiających, a także o ich wynikach, co pozwoli na ograniczenie przypadków odmiennych interpretacji przepisów czy dublowania postępowań kontrolnych u tych samych zamawiających. Organy kontroli prowadząc kontrolę z punktu widzenia legalności postępowań będzie zobowiązany do uwzględniania wyników kontroli Prezesa UZP albo innego organu kontroli w danym postępowaniu. Dodatkowo, zgodnie z nową kompetencją Prezesa UZP, w przypadku wątpliwości lub odmiennych interpretacji prawa zamówień publicznych, organy będą mogły zwrócić się do niego o wydanie opinii dotyczącej stosowania prawa zamówień publicznych. Pozwoli to uniknąć wydawania odmiennych interpretacji przepisów prawa zamówień publicznych przez instytucje kontrolujące. </w:t>
      </w:r>
    </w:p>
    <w:p w14:paraId="70CABFB7"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Zgodnie z zasadą planowania i przeprowadzania kontroli na podstawie identyfikacji prawdopodobieństwa naruszenia prawa (analizy ryzyka), kontrole w zakresie zamówień publicznych co do zasady powinny być planowane i przeprowadzane po uprzednim dokonaniu analizy prawdopodobieństwa naruszenia prawa, na które może wskazywać w szczególności mała liczba ofert, zarzuty stawiane przez wykonawców dotyczące sposobu określenia warunków udziału w postępowaniu lub opisu przedmiotu zamówienia, odstąpienie od umowy, a także wcześniej stwierdzone u zamawiającego istotne naruszenia prawa. Analiza powinna obejmować identyfikację obszarów podmiotowych i przedmiotowych, w których ryzyko naruszenia przepisów jest największe. Sposób przeprowadzenia analizy określałby organ kontroli lub jego organ nadrzędny.</w:t>
      </w:r>
    </w:p>
    <w:p w14:paraId="2D29B430" w14:textId="1ECE4920"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lastRenderedPageBreak/>
        <w:t xml:space="preserve">Zasada dokonywania kontroli na podstawie przygotowanych przez organy kontroli kwestionariuszy kontroli ma na celu wypracowanie u każdego organu ściśle określonego wzorca prowadzenia kontroli. W związku z tym organy te będą posługiwać się kwestionariuszami kontroli (tzw. checklistami) wprowadzonymi dla wszystkich jednostek kontrolujących. Organy kontrolne zostaną wyposażone w kompetencję i obowiązek wydawania obowiązujących kwestionariuszy, którymi będą posługiwać się kontrolerzy. Ważnym elementem kwestionariusza, o charakterze obligatoryjnym, ma być miejsce na przedstawienie przez zamawiającego informacji o przeprowadzonej kontroli przedmiotowego postępowania przez Prezesa UZP lub inny organ kontroli. Pozyskiwanie tej informacji przez organy kontroli ma przyczyniać się do urzeczywistnienia innej zasady kontroli udzielania zamówień publicznych, mianowicie zasady współpracy organów kontroli. Wchodząc bowiem w posiadanie informacji o przeprowadzeniu kontroli danego zamówienia publicznego organ kontroli będzie zobowiązany do uzyskania informacji o jej wyniku, w tym dokumentu kończącego kontrolę. Kwestionariusze kontroli będą jawne jednocześnie dla zamawiających, wykonawców i organów kontrolnych. Jawność wzorów kwestionariuszy została zagwarantowana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nałożenie na organy kontroli obowiązku ich publikowania w Biuletynie Informacji Publicznej. </w:t>
      </w:r>
    </w:p>
    <w:p w14:paraId="33F24DB6" w14:textId="06D03098"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 toku kontroli nie będzie możliwe wyjście poza ramy wyznaczone zawartością kwestionariusza kontroli. Organ kontroli będzie uprawniony do kontroli wyłącznie tych zagadnień, które zostały ujęte w kwestionariuszu. Wprowadzane ograniczenie ma zapobiegać przewlekłości postępowań kontrolnych. Kwestionariusze kontroli będą wydawane dla zamawiających podlegających kontroli.</w:t>
      </w:r>
    </w:p>
    <w:p w14:paraId="719C0266"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W celu zapewnienia, by drobne uchybienia formalne nie były podstawą uznania przez organy kontroli, że doszło do naruszenia prawa zamówień publicznych, konieczne jest wskazanie jako zasady, że podstawą negatywnej oceny dokonanej przez kontrolera może być tylko nieprawidłowość, która miała wpływ na wynik danego postępowania. Zasada ta nie będzie stosowana w przypadku </w:t>
      </w:r>
      <w:r w:rsidRPr="00DA788D">
        <w:rPr>
          <w:rFonts w:ascii="Times New Roman" w:eastAsia="Times" w:hAnsi="Times New Roman" w:cs="Times New Roman"/>
          <w:sz w:val="24"/>
          <w:szCs w:val="24"/>
        </w:rPr>
        <w:t>kontroli postępowań o udzielenie zamówień współfinansowanych ze środków Unii Europejskiej.</w:t>
      </w:r>
    </w:p>
    <w:p w14:paraId="0915079B" w14:textId="7BE4E06D"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Instytucje kontrolujące zostaną zobowiązane również do publikowania wyników kontroli, w tym dokumentów kończących kontrolę, w Biuletynie Informacji Publicznej, co będzie służyło przejrzystości i prawidłowości działań organów</w:t>
      </w:r>
      <w:r w:rsidR="00A86278">
        <w:rPr>
          <w:rFonts w:ascii="Times New Roman" w:eastAsia="Times New Roman" w:hAnsi="Times New Roman" w:cs="Times New Roman"/>
          <w:sz w:val="24"/>
          <w:szCs w:val="24"/>
        </w:rPr>
        <w:t>,</w:t>
      </w:r>
      <w:r w:rsidRPr="00DA788D">
        <w:rPr>
          <w:rFonts w:ascii="Times New Roman" w:eastAsia="Times New Roman" w:hAnsi="Times New Roman" w:cs="Times New Roman"/>
          <w:sz w:val="24"/>
          <w:szCs w:val="24"/>
        </w:rPr>
        <w:t xml:space="preserve"> a także ograniczeniu wątpliwości kontrolowanych podmiotów co do przyjętych przez organy interpretacji prawa, czy podjętych decyzji.</w:t>
      </w:r>
      <w:r w:rsidR="00A86278">
        <w:rPr>
          <w:rFonts w:ascii="Times New Roman" w:eastAsia="Times New Roman" w:hAnsi="Times New Roman" w:cs="Times New Roman"/>
          <w:sz w:val="24"/>
          <w:szCs w:val="24"/>
        </w:rPr>
        <w:t xml:space="preserve"> </w:t>
      </w:r>
      <w:r w:rsidR="00BB10CB">
        <w:rPr>
          <w:rFonts w:ascii="Times New Roman" w:eastAsia="Times New Roman" w:hAnsi="Times New Roman" w:cs="Times New Roman"/>
          <w:sz w:val="24"/>
          <w:szCs w:val="24"/>
        </w:rPr>
        <w:t>Wyniki kontroli będą podlegały zgodnie z obowiązującymi przepisami pseudonimizacji.</w:t>
      </w:r>
    </w:p>
    <w:p w14:paraId="06D1853A"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Ponadto projekt wprowadza zmiany w rozdziale dotyczącym kontroli Prezesa Urzędu Zamówień Publicznych, dotyczące:</w:t>
      </w:r>
    </w:p>
    <w:p w14:paraId="2EF0B33A" w14:textId="2EF591B0" w:rsidR="00CB2D51" w:rsidRPr="00792BE6" w:rsidRDefault="002E64C7" w:rsidP="00716062">
      <w:pPr>
        <w:numPr>
          <w:ilvl w:val="0"/>
          <w:numId w:val="3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doprecyzowania roli postępowania wyjaśniającego, w tym zakończenia postępowania wyjaśniającego w przypadku przypuszczenia, że nie doszło do naruszenia przepisów ustawy (art. 6</w:t>
      </w:r>
      <w:r w:rsidR="00E815D6">
        <w:rPr>
          <w:rFonts w:ascii="Times New Roman" w:eastAsia="Times New Roman" w:hAnsi="Times New Roman" w:cs="Times New Roman"/>
          <w:color w:val="000000"/>
          <w:sz w:val="24"/>
          <w:szCs w:val="24"/>
        </w:rPr>
        <w:t>08</w:t>
      </w:r>
      <w:r w:rsidRPr="00DA788D">
        <w:rPr>
          <w:rFonts w:ascii="Times New Roman" w:eastAsia="Times New Roman" w:hAnsi="Times New Roman" w:cs="Times New Roman"/>
          <w:color w:val="000000"/>
          <w:sz w:val="24"/>
          <w:szCs w:val="24"/>
        </w:rPr>
        <w:t xml:space="preserve"> </w:t>
      </w:r>
      <w:r w:rsidRPr="00716062">
        <w:rPr>
          <w:rFonts w:ascii="Times New Roman" w:eastAsia="Times New Roman" w:hAnsi="Times New Roman" w:cs="Times New Roman"/>
          <w:color w:val="000000"/>
          <w:sz w:val="24"/>
          <w:szCs w:val="24"/>
        </w:rPr>
        <w:t>i art. 6</w:t>
      </w:r>
      <w:r w:rsidR="00E815D6" w:rsidRPr="00792BE6">
        <w:rPr>
          <w:rFonts w:ascii="Times New Roman" w:eastAsia="Times New Roman" w:hAnsi="Times New Roman" w:cs="Times New Roman"/>
          <w:color w:val="000000"/>
          <w:sz w:val="24"/>
          <w:szCs w:val="24"/>
        </w:rPr>
        <w:t>09</w:t>
      </w:r>
      <w:r w:rsidRPr="00792BE6">
        <w:rPr>
          <w:rFonts w:ascii="Times New Roman" w:eastAsia="Times New Roman" w:hAnsi="Times New Roman" w:cs="Times New Roman"/>
          <w:color w:val="000000"/>
          <w:sz w:val="24"/>
          <w:szCs w:val="24"/>
        </w:rPr>
        <w:t xml:space="preserve"> ust. 1 pkt 1 projektu ustawy),</w:t>
      </w:r>
    </w:p>
    <w:p w14:paraId="6318718A" w14:textId="77777777" w:rsidR="00CB2D51" w:rsidRPr="00DA788D" w:rsidRDefault="002E64C7" w:rsidP="00DA788D">
      <w:pPr>
        <w:numPr>
          <w:ilvl w:val="0"/>
          <w:numId w:val="3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odmowy wszczęcia kontroli w przypadku stwierdzenia braku podstaw do wszczęcia kontroli (art. 60</w:t>
      </w:r>
      <w:r w:rsidR="00E815D6">
        <w:rPr>
          <w:rFonts w:ascii="Times New Roman" w:eastAsia="Times New Roman" w:hAnsi="Times New Roman" w:cs="Times New Roman"/>
          <w:color w:val="000000"/>
          <w:sz w:val="24"/>
          <w:szCs w:val="24"/>
        </w:rPr>
        <w:t>3</w:t>
      </w:r>
      <w:r w:rsidRPr="00DA788D">
        <w:rPr>
          <w:rFonts w:ascii="Times New Roman" w:eastAsia="Times New Roman" w:hAnsi="Times New Roman" w:cs="Times New Roman"/>
          <w:color w:val="000000"/>
          <w:sz w:val="24"/>
          <w:szCs w:val="24"/>
        </w:rPr>
        <w:t xml:space="preserve"> ust. 4 projektu ustawy),</w:t>
      </w:r>
    </w:p>
    <w:p w14:paraId="3BC8A130" w14:textId="77777777" w:rsidR="00CB2D51" w:rsidRPr="00DA788D" w:rsidRDefault="002E64C7" w:rsidP="00DA788D">
      <w:pPr>
        <w:numPr>
          <w:ilvl w:val="0"/>
          <w:numId w:val="3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określenia, że kontrola doraźna wszczęta na wniosek dotyczy co do zasady zarzutów wynikających z informacji zawartych we wniosku, z możliwością rozszerzenia zakresu kontroli przez Prezesa w przypadku ujawnienia innych istotnych naruszeń (art. 6</w:t>
      </w:r>
      <w:r w:rsidR="00E815D6">
        <w:rPr>
          <w:rFonts w:ascii="Times New Roman" w:eastAsia="Times New Roman" w:hAnsi="Times New Roman" w:cs="Times New Roman"/>
          <w:color w:val="000000"/>
          <w:sz w:val="24"/>
          <w:szCs w:val="24"/>
        </w:rPr>
        <w:t>07</w:t>
      </w:r>
      <w:r w:rsidRPr="00DA788D">
        <w:rPr>
          <w:rFonts w:ascii="Times New Roman" w:eastAsia="Times New Roman" w:hAnsi="Times New Roman" w:cs="Times New Roman"/>
          <w:color w:val="000000"/>
          <w:sz w:val="24"/>
          <w:szCs w:val="24"/>
        </w:rPr>
        <w:t xml:space="preserve"> ust. 2 projektu ustawy),</w:t>
      </w:r>
    </w:p>
    <w:p w14:paraId="1ADC710D" w14:textId="77777777" w:rsidR="00CB2D51" w:rsidRPr="00DA788D" w:rsidRDefault="002E64C7" w:rsidP="00DA788D">
      <w:pPr>
        <w:numPr>
          <w:ilvl w:val="0"/>
          <w:numId w:val="3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lastRenderedPageBreak/>
        <w:t>momentu zakończenia kontroli doraźnej (art. 6</w:t>
      </w:r>
      <w:r w:rsidR="00B23E34">
        <w:rPr>
          <w:rFonts w:ascii="Times New Roman" w:eastAsia="Times New Roman" w:hAnsi="Times New Roman" w:cs="Times New Roman"/>
          <w:sz w:val="24"/>
          <w:szCs w:val="24"/>
        </w:rPr>
        <w:t>09</w:t>
      </w:r>
      <w:r w:rsidRPr="00DA788D">
        <w:rPr>
          <w:rFonts w:ascii="Times New Roman" w:eastAsia="Times New Roman" w:hAnsi="Times New Roman" w:cs="Times New Roman"/>
          <w:color w:val="000000"/>
          <w:sz w:val="24"/>
          <w:szCs w:val="24"/>
        </w:rPr>
        <w:t xml:space="preserve"> projektu ustawy),</w:t>
      </w:r>
    </w:p>
    <w:p w14:paraId="15E9C58F" w14:textId="77777777" w:rsidR="00CB2D51" w:rsidRPr="00DA788D" w:rsidRDefault="002E64C7" w:rsidP="00DA788D">
      <w:pPr>
        <w:numPr>
          <w:ilvl w:val="0"/>
          <w:numId w:val="33"/>
        </w:numPr>
        <w:pBdr>
          <w:top w:val="nil"/>
          <w:left w:val="nil"/>
          <w:bottom w:val="nil"/>
          <w:right w:val="nil"/>
          <w:between w:val="nil"/>
        </w:pBdr>
        <w:spacing w:after="120"/>
        <w:jc w:val="both"/>
        <w:rPr>
          <w:rFonts w:ascii="Times New Roman" w:eastAsia="Times New Roman" w:hAnsi="Times New Roman" w:cs="Times New Roman"/>
          <w:color w:val="000000"/>
          <w:sz w:val="24"/>
          <w:szCs w:val="24"/>
        </w:rPr>
      </w:pPr>
      <w:r w:rsidRPr="00DA788D">
        <w:rPr>
          <w:rFonts w:ascii="Times New Roman" w:eastAsia="Times New Roman" w:hAnsi="Times New Roman" w:cs="Times New Roman"/>
          <w:color w:val="000000"/>
          <w:sz w:val="24"/>
          <w:szCs w:val="24"/>
        </w:rPr>
        <w:t>wykorzystywania w postępowaniu kontrolnym dokumentów i wyjaśnień w postaci elektronicznej (art. 60</w:t>
      </w:r>
      <w:r w:rsidR="00B23E34">
        <w:rPr>
          <w:rFonts w:ascii="Times New Roman" w:eastAsia="Times New Roman" w:hAnsi="Times New Roman" w:cs="Times New Roman"/>
          <w:color w:val="000000"/>
          <w:sz w:val="24"/>
          <w:szCs w:val="24"/>
        </w:rPr>
        <w:t>5</w:t>
      </w:r>
      <w:r w:rsidRPr="00DA788D">
        <w:rPr>
          <w:rFonts w:ascii="Times New Roman" w:eastAsia="Times New Roman" w:hAnsi="Times New Roman" w:cs="Times New Roman"/>
          <w:color w:val="000000"/>
          <w:sz w:val="24"/>
          <w:szCs w:val="24"/>
        </w:rPr>
        <w:t xml:space="preserve"> ust. 4 projektu ustawy).</w:t>
      </w:r>
    </w:p>
    <w:p w14:paraId="444CBD84"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Ważną zmianą w stosunku do aktualnego stanu prawnego jest umożliwienie zamawiającym wystąpienia do Prezesa Urzędu Zamówień Publicznych z wnioskiem o przeprowadzanie kontroli uprzedniej dokumentów w przypadku zamówień o wartości równej lub przekraczającej progi unijne, które obejmują aspekty związane z innowacyjnością lub, których przedmiotem jest produkt innowacyjny,   innych niż zamówienia, w których kontrola uprzednia jest obligatoryjna (art. 61</w:t>
      </w:r>
      <w:r w:rsidR="00B23E34">
        <w:rPr>
          <w:rFonts w:ascii="Times New Roman" w:eastAsia="Times New Roman" w:hAnsi="Times New Roman" w:cs="Times New Roman"/>
          <w:sz w:val="24"/>
          <w:szCs w:val="24"/>
        </w:rPr>
        <w:t>4</w:t>
      </w:r>
      <w:r w:rsidRPr="00DA788D">
        <w:rPr>
          <w:rFonts w:ascii="Times New Roman" w:eastAsia="Times New Roman" w:hAnsi="Times New Roman" w:cs="Times New Roman"/>
          <w:sz w:val="24"/>
          <w:szCs w:val="24"/>
        </w:rPr>
        <w:t>). Rozwiązanie to ma umożliwić zamawiającym sprawdzenie prawidłowości przygotowanego postępowania jeszcze na etapie, który pozwala na wprowadzenie zmian i uniknięcie konsekwencji związanych z przeprowadzeniem i wykonaniem zamówienia publicznego niezgodnie z przepisami ustawy.</w:t>
      </w:r>
    </w:p>
    <w:p w14:paraId="4F0F3E21" w14:textId="4EC8D285" w:rsidR="00CB2D51" w:rsidRPr="00DA788D" w:rsidRDefault="002E64C7" w:rsidP="00DA788D">
      <w:pPr>
        <w:spacing w:after="120"/>
        <w:jc w:val="both"/>
        <w:rPr>
          <w:rFonts w:ascii="Times New Roman" w:eastAsia="Times New Roman" w:hAnsi="Times New Roman" w:cs="Times New Roman"/>
          <w:b/>
          <w:sz w:val="24"/>
          <w:szCs w:val="24"/>
        </w:rPr>
      </w:pPr>
      <w:r w:rsidRPr="00DA788D">
        <w:rPr>
          <w:rFonts w:ascii="Times New Roman" w:eastAsia="Times New Roman" w:hAnsi="Times New Roman" w:cs="Times New Roman"/>
          <w:b/>
          <w:sz w:val="24"/>
          <w:szCs w:val="24"/>
        </w:rPr>
        <w:t>DZIAŁ XII</w:t>
      </w:r>
      <w:r w:rsidR="00EA17D6">
        <w:rPr>
          <w:rFonts w:ascii="Times New Roman" w:eastAsia="Times New Roman" w:hAnsi="Times New Roman" w:cs="Times New Roman"/>
          <w:b/>
          <w:sz w:val="24"/>
          <w:szCs w:val="24"/>
        </w:rPr>
        <w:t>.</w:t>
      </w:r>
      <w:r w:rsidRPr="00DA788D">
        <w:rPr>
          <w:rFonts w:ascii="Times New Roman" w:eastAsia="Times New Roman" w:hAnsi="Times New Roman" w:cs="Times New Roman"/>
          <w:b/>
          <w:sz w:val="24"/>
          <w:szCs w:val="24"/>
        </w:rPr>
        <w:t xml:space="preserve"> Przepisy o karach pieniężnych</w:t>
      </w:r>
    </w:p>
    <w:p w14:paraId="16CF5547" w14:textId="6AD80D64"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Dział dotyczący kar pieniężnych przenosi w znacznej mierze rozwiązania zawarte w dotychczasowej ustawie w dziale zatytułowanym „Odpowiedzialność za naruszenie przepisów ustawy”. Dodano doprecyzowanie dotyczące przesłanek podlegania karze </w:t>
      </w:r>
      <w:r w:rsidR="00A17062">
        <w:rPr>
          <w:rFonts w:ascii="Times New Roman" w:eastAsia="Times New Roman" w:hAnsi="Times New Roman" w:cs="Times New Roman"/>
          <w:sz w:val="24"/>
          <w:szCs w:val="24"/>
        </w:rPr>
        <w:t>przez</w:t>
      </w:r>
      <w:r w:rsidRPr="00DA788D">
        <w:rPr>
          <w:rFonts w:ascii="Times New Roman" w:eastAsia="Times New Roman" w:hAnsi="Times New Roman" w:cs="Times New Roman"/>
          <w:sz w:val="24"/>
          <w:szCs w:val="24"/>
        </w:rPr>
        <w:t xml:space="preserve"> wskazanie, że jest ona nakładana w sytuacji, jeżeli naruszenie miało wpływ na wynik postępowania, w którym doszło do naruszenia (art. 6</w:t>
      </w:r>
      <w:r w:rsidR="00D621EE">
        <w:rPr>
          <w:rFonts w:ascii="Times New Roman" w:eastAsia="Times New Roman" w:hAnsi="Times New Roman" w:cs="Times New Roman"/>
          <w:sz w:val="24"/>
          <w:szCs w:val="24"/>
        </w:rPr>
        <w:t>19</w:t>
      </w:r>
      <w:r w:rsidRPr="00DA788D">
        <w:rPr>
          <w:rFonts w:ascii="Times New Roman" w:eastAsia="Times New Roman" w:hAnsi="Times New Roman" w:cs="Times New Roman"/>
          <w:sz w:val="24"/>
          <w:szCs w:val="24"/>
        </w:rPr>
        <w:t xml:space="preserve"> projektu ustawy).</w:t>
      </w:r>
    </w:p>
    <w:p w14:paraId="2B073DBD"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 xml:space="preserve">Przedkładany projekt ustawy jest zgodny z prawem Unii Europejskiej. </w:t>
      </w:r>
    </w:p>
    <w:p w14:paraId="4FD8574C"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nie podlega przedstawieniu właściwym organom i instytucjom Unii Europejskiej, w tym Europejskiemu Bankowi Centralnemu.</w:t>
      </w:r>
    </w:p>
    <w:p w14:paraId="3999DE12" w14:textId="77777777" w:rsidR="00CB2D51" w:rsidRPr="00DA788D" w:rsidRDefault="002E64C7" w:rsidP="00DA788D">
      <w:pPr>
        <w:spacing w:after="120"/>
        <w:ind w:firstLine="708"/>
        <w:jc w:val="both"/>
        <w:rPr>
          <w:rFonts w:ascii="Times New Roman" w:eastAsia="Times New Roman" w:hAnsi="Times New Roman" w:cs="Times New Roman"/>
          <w:sz w:val="24"/>
          <w:szCs w:val="24"/>
        </w:rPr>
      </w:pPr>
      <w:r w:rsidRPr="00DA788D">
        <w:rPr>
          <w:rFonts w:ascii="Times New Roman" w:eastAsia="Times New Roman" w:hAnsi="Times New Roman" w:cs="Times New Roman"/>
          <w:sz w:val="24"/>
          <w:szCs w:val="24"/>
        </w:rPr>
        <w:t>Projekt ustawy nie zawiera norm technicznych w rozumieniu przepisów rozporządzenia Rady Ministrów z dnia 23 grudnia 2002 r. w sprawie sposobu funkcjonowania krajowego systemu notyfikacji norm i aktów prawnych (Dz. U. poz. 2039, z późn. zm.), zatem nie podlega notyfikacji.</w:t>
      </w:r>
    </w:p>
    <w:p w14:paraId="2FDA6BF8" w14:textId="1528D288" w:rsidR="00CB2D51" w:rsidRPr="00DA788D" w:rsidRDefault="00C8304E" w:rsidP="005D60BF">
      <w:pPr>
        <w:spacing w:after="120"/>
        <w:ind w:firstLine="708"/>
        <w:jc w:val="both"/>
        <w:rPr>
          <w:rFonts w:ascii="Times New Roman" w:eastAsia="Times New Roman" w:hAnsi="Times New Roman" w:cs="Times New Roman"/>
          <w:sz w:val="24"/>
          <w:szCs w:val="24"/>
        </w:rPr>
      </w:pPr>
      <w:r w:rsidRPr="00C8304E">
        <w:rPr>
          <w:rFonts w:ascii="Times New Roman" w:eastAsia="Times New Roman" w:hAnsi="Times New Roman" w:cs="Times New Roman"/>
          <w:sz w:val="24"/>
          <w:szCs w:val="24"/>
        </w:rPr>
        <w:t xml:space="preserve">Zgodnie z art. 5 ustawy z dnia 7 lipca 2005 r. o działalności lobbingowej w procesie stanowienia prawa (Dz. U. z 2017 r. poz. 248) oraz § 52 ust. 1 uchwały nr 190 Rady Ministrów z dnia 29 października 2013 r. – Regulamin pracy Rady Ministrów (M.P. z 2016 r. poz. 1006, z późn. zm.) projekt </w:t>
      </w:r>
      <w:r w:rsidR="00143C54">
        <w:rPr>
          <w:rFonts w:ascii="Times New Roman" w:eastAsia="Times New Roman" w:hAnsi="Times New Roman" w:cs="Times New Roman"/>
          <w:sz w:val="24"/>
          <w:szCs w:val="24"/>
        </w:rPr>
        <w:t>ustaw</w:t>
      </w:r>
      <w:r w:rsidR="00017204">
        <w:rPr>
          <w:rFonts w:ascii="Times New Roman" w:eastAsia="Times New Roman" w:hAnsi="Times New Roman" w:cs="Times New Roman"/>
          <w:sz w:val="24"/>
          <w:szCs w:val="24"/>
        </w:rPr>
        <w:t xml:space="preserve">y </w:t>
      </w:r>
      <w:r w:rsidRPr="00C8304E">
        <w:rPr>
          <w:rFonts w:ascii="Times New Roman" w:eastAsia="Times New Roman" w:hAnsi="Times New Roman" w:cs="Times New Roman"/>
          <w:sz w:val="24"/>
          <w:szCs w:val="24"/>
        </w:rPr>
        <w:t>został udostępniony w Biuletynie Informacji Publicznej na stronie podmiotowej Rządowego Centrum Legislacji, w serwisie Rządowy Proces Legislacyjny. Do projektu ustawy nie wpłynęły zgłoszenia od żadnego podmiotu zainteresowanego pracami nad ustawą, w trybie ww. ustawy.</w:t>
      </w:r>
    </w:p>
    <w:sectPr w:rsidR="00CB2D51" w:rsidRPr="00DA788D">
      <w:footerReference w:type="default" r:id="rId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8F21F3" w14:textId="77777777" w:rsidR="00871674" w:rsidRDefault="00871674">
      <w:pPr>
        <w:spacing w:after="0" w:line="240" w:lineRule="auto"/>
      </w:pPr>
      <w:r>
        <w:separator/>
      </w:r>
    </w:p>
  </w:endnote>
  <w:endnote w:type="continuationSeparator" w:id="0">
    <w:p w14:paraId="37431F4A" w14:textId="77777777" w:rsidR="00871674" w:rsidRDefault="00871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0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3433" w14:textId="2EE951C9" w:rsidR="00E942C6" w:rsidRDefault="00E942C6">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22C88">
      <w:rPr>
        <w:noProof/>
        <w:color w:val="000000"/>
      </w:rPr>
      <w:t>1</w:t>
    </w:r>
    <w:r>
      <w:rPr>
        <w:color w:val="000000"/>
      </w:rPr>
      <w:fldChar w:fldCharType="end"/>
    </w:r>
  </w:p>
  <w:p w14:paraId="32EE68BD" w14:textId="77777777" w:rsidR="00E942C6" w:rsidRDefault="00E942C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1FEDD" w14:textId="77777777" w:rsidR="00871674" w:rsidRDefault="00871674">
      <w:pPr>
        <w:spacing w:after="0" w:line="240" w:lineRule="auto"/>
      </w:pPr>
      <w:r>
        <w:separator/>
      </w:r>
    </w:p>
  </w:footnote>
  <w:footnote w:type="continuationSeparator" w:id="0">
    <w:p w14:paraId="658BEC4B" w14:textId="77777777" w:rsidR="00871674" w:rsidRDefault="00871674">
      <w:pPr>
        <w:spacing w:after="0" w:line="240" w:lineRule="auto"/>
      </w:pPr>
      <w:r>
        <w:continuationSeparator/>
      </w:r>
    </w:p>
  </w:footnote>
  <w:footnote w:id="1">
    <w:p w14:paraId="0D948205" w14:textId="6E97761B" w:rsidR="00E942C6" w:rsidRDefault="00E942C6">
      <w:pPr>
        <w:spacing w:after="0"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Wskazane okoliczności, mają swój udział w obserwowanym zjawisku zmniejszania się średniej liczby ofert w postępowaniach o udzielenie zamówienia publicznego. W zamówieniach o wartości poniżej progów unijnych, średnia liczba ofert wyniosła w 2017 r. 2,38 (w 2016 r. – 2,87), w zamówieniach o wartościach powyżej progów unijnych średnia ta wyniosła 2,23 (w 2016 r. – 2,51) – patrz: Sprawozdanie Prezesa Urzędu Zamówień Publicznych o funkcjonowaniu systemu zamówień publicznych w 2017 r.</w:t>
      </w:r>
    </w:p>
  </w:footnote>
  <w:footnote w:id="2">
    <w:p w14:paraId="154CC0B4" w14:textId="35A5DC96" w:rsidR="00E942C6" w:rsidRDefault="00E942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Aktualny regulamin Sądu Polubownego przy PGRP jest dostępny na stronie </w:t>
      </w:r>
      <w:hyperlink r:id="rId1">
        <w:r>
          <w:rPr>
            <w:rFonts w:ascii="Times New Roman" w:eastAsia="Times New Roman" w:hAnsi="Times New Roman" w:cs="Times New Roman"/>
            <w:color w:val="0000FF"/>
            <w:sz w:val="20"/>
            <w:szCs w:val="20"/>
            <w:u w:val="single"/>
          </w:rPr>
          <w:t>https://sp.prokuratoria.gov.pl/regulamin,m,m1,9</w:t>
        </w:r>
      </w:hyperlink>
      <w:r>
        <w:rPr>
          <w:rFonts w:ascii="Times New Roman" w:eastAsia="Times New Roman" w:hAnsi="Times New Roman" w:cs="Times New Roman"/>
          <w:color w:val="000000"/>
          <w:sz w:val="20"/>
          <w:szCs w:val="20"/>
        </w:rPr>
        <w:t xml:space="preserve"> (dostęp z dnia 5 kwietnia 2019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24A6"/>
    <w:multiLevelType w:val="multilevel"/>
    <w:tmpl w:val="6DCE1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E0471"/>
    <w:multiLevelType w:val="multilevel"/>
    <w:tmpl w:val="FCA290B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06FA6350"/>
    <w:multiLevelType w:val="multilevel"/>
    <w:tmpl w:val="02FA714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083D3D08"/>
    <w:multiLevelType w:val="multilevel"/>
    <w:tmpl w:val="C2280FF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08FE3722"/>
    <w:multiLevelType w:val="multilevel"/>
    <w:tmpl w:val="B914BD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553C9D"/>
    <w:multiLevelType w:val="multilevel"/>
    <w:tmpl w:val="8D02F63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09F47BB8"/>
    <w:multiLevelType w:val="multilevel"/>
    <w:tmpl w:val="774AD84E"/>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0DA93C51"/>
    <w:multiLevelType w:val="multilevel"/>
    <w:tmpl w:val="972884F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0DEA05C8"/>
    <w:multiLevelType w:val="multilevel"/>
    <w:tmpl w:val="3AE82D0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EC96673"/>
    <w:multiLevelType w:val="multilevel"/>
    <w:tmpl w:val="8BCED6E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1468198A"/>
    <w:multiLevelType w:val="multilevel"/>
    <w:tmpl w:val="32E8627E"/>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15C44365"/>
    <w:multiLevelType w:val="multilevel"/>
    <w:tmpl w:val="699022F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167966F8"/>
    <w:multiLevelType w:val="multilevel"/>
    <w:tmpl w:val="0486DC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E40A18"/>
    <w:multiLevelType w:val="multilevel"/>
    <w:tmpl w:val="BCCA366A"/>
    <w:lvl w:ilvl="0">
      <w:start w:val="1"/>
      <w:numFmt w:val="decimal"/>
      <w:lvlText w:val="%1)"/>
      <w:lvlJc w:val="left"/>
      <w:pPr>
        <w:ind w:left="720" w:hanging="360"/>
      </w:pPr>
      <w:rPr>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B14740E"/>
    <w:multiLevelType w:val="multilevel"/>
    <w:tmpl w:val="B0D69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DC13BD9"/>
    <w:multiLevelType w:val="multilevel"/>
    <w:tmpl w:val="C4EAD06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 w15:restartNumberingAfterBreak="0">
    <w:nsid w:val="218E0C2F"/>
    <w:multiLevelType w:val="multilevel"/>
    <w:tmpl w:val="B13859A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 w15:restartNumberingAfterBreak="0">
    <w:nsid w:val="23146CFD"/>
    <w:multiLevelType w:val="multilevel"/>
    <w:tmpl w:val="EDF6B27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26C62F9D"/>
    <w:multiLevelType w:val="multilevel"/>
    <w:tmpl w:val="C4E06D80"/>
    <w:lvl w:ilvl="0">
      <w:start w:val="1"/>
      <w:numFmt w:val="decimal"/>
      <w:lvlText w:val="%1)"/>
      <w:lvlJc w:val="left"/>
      <w:pPr>
        <w:ind w:left="1068" w:hanging="360"/>
      </w:pPr>
    </w:lvl>
    <w:lvl w:ilvl="1">
      <w:start w:val="1"/>
      <w:numFmt w:val="decimal"/>
      <w:lvlText w:val="%2)"/>
      <w:lvlJc w:val="left"/>
      <w:pPr>
        <w:ind w:left="1788" w:hanging="360"/>
      </w:pPr>
    </w:lvl>
    <w:lvl w:ilvl="2">
      <w:start w:val="1"/>
      <w:numFmt w:val="lowerRoman"/>
      <w:lvlText w:val="%3."/>
      <w:lvlJc w:val="right"/>
      <w:pPr>
        <w:ind w:left="2508" w:hanging="180"/>
      </w:pPr>
    </w:lvl>
    <w:lvl w:ilvl="3">
      <w:start w:val="1"/>
      <w:numFmt w:val="lowerLetter"/>
      <w:lvlText w:val="%4)"/>
      <w:lvlJc w:val="left"/>
      <w:pPr>
        <w:ind w:left="3573" w:hanging="705"/>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 w15:restartNumberingAfterBreak="0">
    <w:nsid w:val="26FC4089"/>
    <w:multiLevelType w:val="multilevel"/>
    <w:tmpl w:val="AB428570"/>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2B685FCF"/>
    <w:multiLevelType w:val="multilevel"/>
    <w:tmpl w:val="1DA8F6F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2B83711A"/>
    <w:multiLevelType w:val="multilevel"/>
    <w:tmpl w:val="3D6A75D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2" w15:restartNumberingAfterBreak="0">
    <w:nsid w:val="2B977828"/>
    <w:multiLevelType w:val="multilevel"/>
    <w:tmpl w:val="67E425A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2E412419"/>
    <w:multiLevelType w:val="multilevel"/>
    <w:tmpl w:val="D4F659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E8D24BC"/>
    <w:multiLevelType w:val="multilevel"/>
    <w:tmpl w:val="246209CE"/>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15:restartNumberingAfterBreak="0">
    <w:nsid w:val="2F7E39EE"/>
    <w:multiLevelType w:val="multilevel"/>
    <w:tmpl w:val="5AEA4AFA"/>
    <w:lvl w:ilvl="0">
      <w:start w:val="1"/>
      <w:numFmt w:val="decimal"/>
      <w:lvlText w:val="%1)"/>
      <w:lvlJc w:val="left"/>
      <w:pPr>
        <w:ind w:left="1068" w:hanging="360"/>
      </w:pPr>
    </w:lvl>
    <w:lvl w:ilvl="1">
      <w:start w:val="1"/>
      <w:numFmt w:val="lowerLetter"/>
      <w:lvlText w:val="%2."/>
      <w:lvlJc w:val="left"/>
      <w:pPr>
        <w:ind w:left="1788" w:hanging="360"/>
      </w:pPr>
    </w:lvl>
    <w:lvl w:ilvl="2">
      <w:start w:val="1"/>
      <w:numFmt w:val="decimal"/>
      <w:lvlText w:val="%3)"/>
      <w:lvlJc w:val="left"/>
      <w:pPr>
        <w:ind w:left="1031"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33A32397"/>
    <w:multiLevelType w:val="multilevel"/>
    <w:tmpl w:val="9BDCAFCC"/>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350D7EAD"/>
    <w:multiLevelType w:val="multilevel"/>
    <w:tmpl w:val="7E1C8AF8"/>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8" w15:restartNumberingAfterBreak="0">
    <w:nsid w:val="3B4576C7"/>
    <w:multiLevelType w:val="multilevel"/>
    <w:tmpl w:val="FE36F0B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 w15:restartNumberingAfterBreak="0">
    <w:nsid w:val="3BCA6CEA"/>
    <w:multiLevelType w:val="multilevel"/>
    <w:tmpl w:val="4CFCBA82"/>
    <w:lvl w:ilvl="0">
      <w:start w:val="1"/>
      <w:numFmt w:val="lowerLetter"/>
      <w:lvlText w:val="%1)"/>
      <w:lvlJc w:val="left"/>
      <w:pPr>
        <w:ind w:left="1428" w:hanging="360"/>
      </w:pPr>
    </w:lvl>
    <w:lvl w:ilvl="1">
      <w:start w:val="3"/>
      <w:numFmt w:val="bullet"/>
      <w:lvlText w:val="−"/>
      <w:lvlJc w:val="left"/>
      <w:pPr>
        <w:ind w:left="2148" w:hanging="360"/>
      </w:pPr>
      <w:rPr>
        <w:rFonts w:ascii="Noto Sans Symbols" w:eastAsia="Noto Sans Symbols" w:hAnsi="Noto Sans Symbols" w:cs="Noto Sans Symbols"/>
      </w:r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0" w15:restartNumberingAfterBreak="0">
    <w:nsid w:val="46BC636A"/>
    <w:multiLevelType w:val="multilevel"/>
    <w:tmpl w:val="8EC4816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15:restartNumberingAfterBreak="0">
    <w:nsid w:val="489C478F"/>
    <w:multiLevelType w:val="multilevel"/>
    <w:tmpl w:val="5DCE0E3C"/>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2" w15:restartNumberingAfterBreak="0">
    <w:nsid w:val="4B9B488D"/>
    <w:multiLevelType w:val="multilevel"/>
    <w:tmpl w:val="F57A01F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15:restartNumberingAfterBreak="0">
    <w:nsid w:val="4C2D17EB"/>
    <w:multiLevelType w:val="multilevel"/>
    <w:tmpl w:val="8D289CD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4" w15:restartNumberingAfterBreak="0">
    <w:nsid w:val="514043A4"/>
    <w:multiLevelType w:val="multilevel"/>
    <w:tmpl w:val="671868C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517D7C7C"/>
    <w:multiLevelType w:val="multilevel"/>
    <w:tmpl w:val="14BCCFF0"/>
    <w:lvl w:ilvl="0">
      <w:start w:val="1"/>
      <w:numFmt w:val="decimal"/>
      <w:lvlText w:val="%1)"/>
      <w:lvlJc w:val="left"/>
      <w:pPr>
        <w:ind w:left="1068" w:hanging="360"/>
      </w:pPr>
    </w:lvl>
    <w:lvl w:ilvl="1">
      <w:start w:val="1"/>
      <w:numFmt w:val="bullet"/>
      <w:lvlText w:val="•"/>
      <w:lvlJc w:val="left"/>
      <w:pPr>
        <w:ind w:left="1788" w:hanging="360"/>
      </w:pPr>
      <w:rPr>
        <w:rFonts w:ascii="Verdana" w:eastAsia="Verdana" w:hAnsi="Verdana" w:cs="Verdana"/>
      </w:rPr>
    </w:lvl>
    <w:lvl w:ilvl="2">
      <w:start w:val="1"/>
      <w:numFmt w:val="bullet"/>
      <w:lvlText w:val="•"/>
      <w:lvlJc w:val="left"/>
      <w:pPr>
        <w:ind w:left="2508" w:hanging="360"/>
      </w:pPr>
      <w:rPr>
        <w:rFonts w:ascii="Verdana" w:eastAsia="Verdana" w:hAnsi="Verdana" w:cs="Verdana"/>
      </w:rPr>
    </w:lvl>
    <w:lvl w:ilvl="3">
      <w:start w:val="1"/>
      <w:numFmt w:val="bullet"/>
      <w:lvlText w:val="•"/>
      <w:lvlJc w:val="left"/>
      <w:pPr>
        <w:ind w:left="3228" w:hanging="360"/>
      </w:pPr>
      <w:rPr>
        <w:rFonts w:ascii="Verdana" w:eastAsia="Verdana" w:hAnsi="Verdana" w:cs="Verdana"/>
      </w:rPr>
    </w:lvl>
    <w:lvl w:ilvl="4">
      <w:start w:val="1"/>
      <w:numFmt w:val="bullet"/>
      <w:lvlText w:val="•"/>
      <w:lvlJc w:val="left"/>
      <w:pPr>
        <w:ind w:left="3948" w:hanging="360"/>
      </w:pPr>
      <w:rPr>
        <w:rFonts w:ascii="Verdana" w:eastAsia="Verdana" w:hAnsi="Verdana" w:cs="Verdana"/>
      </w:rPr>
    </w:lvl>
    <w:lvl w:ilvl="5">
      <w:start w:val="1"/>
      <w:numFmt w:val="bullet"/>
      <w:lvlText w:val="•"/>
      <w:lvlJc w:val="left"/>
      <w:pPr>
        <w:ind w:left="4668" w:hanging="360"/>
      </w:pPr>
      <w:rPr>
        <w:rFonts w:ascii="Verdana" w:eastAsia="Verdana" w:hAnsi="Verdana" w:cs="Verdana"/>
      </w:rPr>
    </w:lvl>
    <w:lvl w:ilvl="6">
      <w:start w:val="1"/>
      <w:numFmt w:val="bullet"/>
      <w:lvlText w:val="•"/>
      <w:lvlJc w:val="left"/>
      <w:pPr>
        <w:ind w:left="5388" w:hanging="360"/>
      </w:pPr>
      <w:rPr>
        <w:rFonts w:ascii="Verdana" w:eastAsia="Verdana" w:hAnsi="Verdana" w:cs="Verdana"/>
      </w:rPr>
    </w:lvl>
    <w:lvl w:ilvl="7">
      <w:start w:val="1"/>
      <w:numFmt w:val="bullet"/>
      <w:lvlText w:val="•"/>
      <w:lvlJc w:val="left"/>
      <w:pPr>
        <w:ind w:left="6108" w:hanging="360"/>
      </w:pPr>
      <w:rPr>
        <w:rFonts w:ascii="Verdana" w:eastAsia="Verdana" w:hAnsi="Verdana" w:cs="Verdana"/>
      </w:rPr>
    </w:lvl>
    <w:lvl w:ilvl="8">
      <w:start w:val="1"/>
      <w:numFmt w:val="bullet"/>
      <w:lvlText w:val="•"/>
      <w:lvlJc w:val="left"/>
      <w:pPr>
        <w:ind w:left="6828" w:hanging="360"/>
      </w:pPr>
      <w:rPr>
        <w:rFonts w:ascii="Verdana" w:eastAsia="Verdana" w:hAnsi="Verdana" w:cs="Verdana"/>
      </w:rPr>
    </w:lvl>
  </w:abstractNum>
  <w:abstractNum w:abstractNumId="36" w15:restartNumberingAfterBreak="0">
    <w:nsid w:val="53082016"/>
    <w:multiLevelType w:val="multilevel"/>
    <w:tmpl w:val="7294391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7" w15:restartNumberingAfterBreak="0">
    <w:nsid w:val="541B510A"/>
    <w:multiLevelType w:val="multilevel"/>
    <w:tmpl w:val="D4F8EC34"/>
    <w:lvl w:ilvl="0">
      <w:start w:val="1"/>
      <w:numFmt w:val="decimal"/>
      <w:lvlText w:val="%1)"/>
      <w:lvlJc w:val="left"/>
      <w:pPr>
        <w:ind w:left="1068" w:hanging="360"/>
      </w:pPr>
    </w:lvl>
    <w:lvl w:ilvl="1">
      <w:start w:val="1"/>
      <w:numFmt w:val="decimal"/>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8" w15:restartNumberingAfterBreak="0">
    <w:nsid w:val="55130692"/>
    <w:multiLevelType w:val="multilevel"/>
    <w:tmpl w:val="C90EB3B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9" w15:restartNumberingAfterBreak="0">
    <w:nsid w:val="55166E8B"/>
    <w:multiLevelType w:val="multilevel"/>
    <w:tmpl w:val="ADE24A3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0" w15:restartNumberingAfterBreak="0">
    <w:nsid w:val="561B0200"/>
    <w:multiLevelType w:val="multilevel"/>
    <w:tmpl w:val="FD7C1456"/>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1" w15:restartNumberingAfterBreak="0">
    <w:nsid w:val="572F0185"/>
    <w:multiLevelType w:val="multilevel"/>
    <w:tmpl w:val="58ECF1C4"/>
    <w:lvl w:ilvl="0">
      <w:start w:val="1"/>
      <w:numFmt w:val="decimal"/>
      <w:lvlText w:val="%1)"/>
      <w:lvlJc w:val="left"/>
      <w:pPr>
        <w:ind w:left="1218" w:hanging="51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2" w15:restartNumberingAfterBreak="0">
    <w:nsid w:val="588E07E0"/>
    <w:multiLevelType w:val="multilevel"/>
    <w:tmpl w:val="6B08A6C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3" w15:restartNumberingAfterBreak="0">
    <w:nsid w:val="5C6C769C"/>
    <w:multiLevelType w:val="multilevel"/>
    <w:tmpl w:val="7444D9E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4" w15:restartNumberingAfterBreak="0">
    <w:nsid w:val="5EFE0A4C"/>
    <w:multiLevelType w:val="multilevel"/>
    <w:tmpl w:val="4CEA2CC8"/>
    <w:lvl w:ilvl="0">
      <w:start w:val="1"/>
      <w:numFmt w:val="decimal"/>
      <w:lvlText w:val="%1)"/>
      <w:lvlJc w:val="left"/>
      <w:pPr>
        <w:ind w:left="1068" w:hanging="360"/>
      </w:pPr>
    </w:lvl>
    <w:lvl w:ilvl="1">
      <w:start w:val="1"/>
      <w:numFmt w:val="decimal"/>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5" w15:restartNumberingAfterBreak="0">
    <w:nsid w:val="62761079"/>
    <w:multiLevelType w:val="multilevel"/>
    <w:tmpl w:val="C8AE6A26"/>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6" w15:restartNumberingAfterBreak="0">
    <w:nsid w:val="65D4463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65E42864"/>
    <w:multiLevelType w:val="multilevel"/>
    <w:tmpl w:val="98D49A60"/>
    <w:lvl w:ilvl="0">
      <w:start w:val="1"/>
      <w:numFmt w:val="decimal"/>
      <w:lvlText w:val="%1)"/>
      <w:lvlJc w:val="left"/>
      <w:pPr>
        <w:ind w:left="1068" w:hanging="360"/>
      </w:pPr>
    </w:lvl>
    <w:lvl w:ilvl="1">
      <w:start w:val="1"/>
      <w:numFmt w:val="lowerLetter"/>
      <w:lvlText w:val="%2."/>
      <w:lvlJc w:val="left"/>
      <w:pPr>
        <w:ind w:left="1788" w:hanging="360"/>
      </w:pPr>
    </w:lvl>
    <w:lvl w:ilvl="2">
      <w:start w:val="1"/>
      <w:numFmt w:val="decimal"/>
      <w:lvlText w:val="%3)"/>
      <w:lvlJc w:val="lef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8" w15:restartNumberingAfterBreak="0">
    <w:nsid w:val="6A5B75FC"/>
    <w:multiLevelType w:val="multilevel"/>
    <w:tmpl w:val="E6C6CFD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9" w15:restartNumberingAfterBreak="0">
    <w:nsid w:val="6DF06496"/>
    <w:multiLevelType w:val="multilevel"/>
    <w:tmpl w:val="E0F6FAA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0" w15:restartNumberingAfterBreak="0">
    <w:nsid w:val="6F7C2DB8"/>
    <w:multiLevelType w:val="multilevel"/>
    <w:tmpl w:val="76A0490E"/>
    <w:lvl w:ilvl="0">
      <w:start w:val="1"/>
      <w:numFmt w:val="decimal"/>
      <w:lvlText w:val="%1)"/>
      <w:lvlJc w:val="left"/>
      <w:pPr>
        <w:ind w:left="1068" w:hanging="360"/>
      </w:p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1" w15:restartNumberingAfterBreak="0">
    <w:nsid w:val="70345B55"/>
    <w:multiLevelType w:val="multilevel"/>
    <w:tmpl w:val="1D64DA86"/>
    <w:lvl w:ilvl="0">
      <w:start w:val="1"/>
      <w:numFmt w:val="decimal"/>
      <w:lvlText w:val="%1)"/>
      <w:lvlJc w:val="left"/>
      <w:pPr>
        <w:ind w:left="1068" w:hanging="360"/>
      </w:pPr>
    </w:lvl>
    <w:lvl w:ilvl="1">
      <w:start w:val="1"/>
      <w:numFmt w:val="lowerLetter"/>
      <w:lvlText w:val="%2)"/>
      <w:lvlJc w:val="left"/>
      <w:pPr>
        <w:ind w:left="2838" w:hanging="141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2" w15:restartNumberingAfterBreak="0">
    <w:nsid w:val="70FB190B"/>
    <w:multiLevelType w:val="multilevel"/>
    <w:tmpl w:val="6E505D9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3" w15:restartNumberingAfterBreak="0">
    <w:nsid w:val="72DB19A3"/>
    <w:multiLevelType w:val="multilevel"/>
    <w:tmpl w:val="3684E94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4" w15:restartNumberingAfterBreak="0">
    <w:nsid w:val="73B07409"/>
    <w:multiLevelType w:val="multilevel"/>
    <w:tmpl w:val="FA9E4AB2"/>
    <w:lvl w:ilvl="0">
      <w:start w:val="1"/>
      <w:numFmt w:val="decimal"/>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562721F"/>
    <w:multiLevelType w:val="multilevel"/>
    <w:tmpl w:val="D3367D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612710C"/>
    <w:multiLevelType w:val="multilevel"/>
    <w:tmpl w:val="0E566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6AA2674"/>
    <w:multiLevelType w:val="multilevel"/>
    <w:tmpl w:val="FE9A2354"/>
    <w:lvl w:ilvl="0">
      <w:start w:val="1"/>
      <w:numFmt w:val="decimal"/>
      <w:lvlText w:val="%1)"/>
      <w:lvlJc w:val="left"/>
      <w:pPr>
        <w:ind w:left="720" w:hanging="360"/>
      </w:pPr>
    </w:lvl>
    <w:lvl w:ilvl="1">
      <w:start w:val="1"/>
      <w:numFmt w:val="decimal"/>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8" w15:restartNumberingAfterBreak="0">
    <w:nsid w:val="7A415824"/>
    <w:multiLevelType w:val="multilevel"/>
    <w:tmpl w:val="44AE4B8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9" w15:restartNumberingAfterBreak="0">
    <w:nsid w:val="7C8B375D"/>
    <w:multiLevelType w:val="multilevel"/>
    <w:tmpl w:val="F50A49CA"/>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0" w15:restartNumberingAfterBreak="0">
    <w:nsid w:val="7FDE3B5D"/>
    <w:multiLevelType w:val="multilevel"/>
    <w:tmpl w:val="54909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7"/>
  </w:num>
  <w:num w:numId="2">
    <w:abstractNumId w:val="44"/>
  </w:num>
  <w:num w:numId="3">
    <w:abstractNumId w:val="18"/>
  </w:num>
  <w:num w:numId="4">
    <w:abstractNumId w:val="12"/>
  </w:num>
  <w:num w:numId="5">
    <w:abstractNumId w:val="10"/>
  </w:num>
  <w:num w:numId="6">
    <w:abstractNumId w:val="34"/>
  </w:num>
  <w:num w:numId="7">
    <w:abstractNumId w:val="13"/>
  </w:num>
  <w:num w:numId="8">
    <w:abstractNumId w:val="23"/>
  </w:num>
  <w:num w:numId="9">
    <w:abstractNumId w:val="8"/>
  </w:num>
  <w:num w:numId="10">
    <w:abstractNumId w:val="55"/>
  </w:num>
  <w:num w:numId="11">
    <w:abstractNumId w:val="26"/>
  </w:num>
  <w:num w:numId="12">
    <w:abstractNumId w:val="25"/>
  </w:num>
  <w:num w:numId="13">
    <w:abstractNumId w:val="56"/>
  </w:num>
  <w:num w:numId="14">
    <w:abstractNumId w:val="54"/>
  </w:num>
  <w:num w:numId="15">
    <w:abstractNumId w:val="35"/>
  </w:num>
  <w:num w:numId="16">
    <w:abstractNumId w:val="19"/>
  </w:num>
  <w:num w:numId="17">
    <w:abstractNumId w:val="48"/>
  </w:num>
  <w:num w:numId="18">
    <w:abstractNumId w:val="27"/>
  </w:num>
  <w:num w:numId="19">
    <w:abstractNumId w:val="49"/>
  </w:num>
  <w:num w:numId="20">
    <w:abstractNumId w:val="59"/>
  </w:num>
  <w:num w:numId="21">
    <w:abstractNumId w:val="52"/>
  </w:num>
  <w:num w:numId="22">
    <w:abstractNumId w:val="53"/>
  </w:num>
  <w:num w:numId="23">
    <w:abstractNumId w:val="39"/>
  </w:num>
  <w:num w:numId="24">
    <w:abstractNumId w:val="30"/>
  </w:num>
  <w:num w:numId="25">
    <w:abstractNumId w:val="24"/>
  </w:num>
  <w:num w:numId="26">
    <w:abstractNumId w:val="17"/>
  </w:num>
  <w:num w:numId="27">
    <w:abstractNumId w:val="38"/>
  </w:num>
  <w:num w:numId="28">
    <w:abstractNumId w:val="28"/>
  </w:num>
  <w:num w:numId="29">
    <w:abstractNumId w:val="32"/>
  </w:num>
  <w:num w:numId="30">
    <w:abstractNumId w:val="29"/>
  </w:num>
  <w:num w:numId="31">
    <w:abstractNumId w:val="16"/>
  </w:num>
  <w:num w:numId="32">
    <w:abstractNumId w:val="1"/>
  </w:num>
  <w:num w:numId="33">
    <w:abstractNumId w:val="33"/>
  </w:num>
  <w:num w:numId="34">
    <w:abstractNumId w:val="0"/>
  </w:num>
  <w:num w:numId="35">
    <w:abstractNumId w:val="50"/>
  </w:num>
  <w:num w:numId="36">
    <w:abstractNumId w:val="31"/>
  </w:num>
  <w:num w:numId="37">
    <w:abstractNumId w:val="36"/>
  </w:num>
  <w:num w:numId="38">
    <w:abstractNumId w:val="3"/>
  </w:num>
  <w:num w:numId="39">
    <w:abstractNumId w:val="20"/>
  </w:num>
  <w:num w:numId="40">
    <w:abstractNumId w:val="11"/>
  </w:num>
  <w:num w:numId="41">
    <w:abstractNumId w:val="40"/>
  </w:num>
  <w:num w:numId="42">
    <w:abstractNumId w:val="51"/>
  </w:num>
  <w:num w:numId="43">
    <w:abstractNumId w:val="9"/>
  </w:num>
  <w:num w:numId="44">
    <w:abstractNumId w:val="22"/>
  </w:num>
  <w:num w:numId="45">
    <w:abstractNumId w:val="58"/>
  </w:num>
  <w:num w:numId="46">
    <w:abstractNumId w:val="57"/>
  </w:num>
  <w:num w:numId="47">
    <w:abstractNumId w:val="37"/>
  </w:num>
  <w:num w:numId="48">
    <w:abstractNumId w:val="7"/>
  </w:num>
  <w:num w:numId="49">
    <w:abstractNumId w:val="14"/>
  </w:num>
  <w:num w:numId="50">
    <w:abstractNumId w:val="42"/>
  </w:num>
  <w:num w:numId="51">
    <w:abstractNumId w:val="45"/>
  </w:num>
  <w:num w:numId="52">
    <w:abstractNumId w:val="41"/>
  </w:num>
  <w:num w:numId="53">
    <w:abstractNumId w:val="5"/>
  </w:num>
  <w:num w:numId="54">
    <w:abstractNumId w:val="15"/>
  </w:num>
  <w:num w:numId="55">
    <w:abstractNumId w:val="43"/>
  </w:num>
  <w:num w:numId="56">
    <w:abstractNumId w:val="6"/>
  </w:num>
  <w:num w:numId="57">
    <w:abstractNumId w:val="4"/>
  </w:num>
  <w:num w:numId="58">
    <w:abstractNumId w:val="2"/>
  </w:num>
  <w:num w:numId="59">
    <w:abstractNumId w:val="60"/>
  </w:num>
  <w:num w:numId="60">
    <w:abstractNumId w:val="21"/>
  </w:num>
  <w:num w:numId="61">
    <w:abstractNumId w:val="4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D51"/>
    <w:rsid w:val="000100D1"/>
    <w:rsid w:val="00010293"/>
    <w:rsid w:val="0001584F"/>
    <w:rsid w:val="00017204"/>
    <w:rsid w:val="00025759"/>
    <w:rsid w:val="00027177"/>
    <w:rsid w:val="000446FA"/>
    <w:rsid w:val="00063155"/>
    <w:rsid w:val="00082C02"/>
    <w:rsid w:val="000A490C"/>
    <w:rsid w:val="000B0FA3"/>
    <w:rsid w:val="000C6E7B"/>
    <w:rsid w:val="000E25E4"/>
    <w:rsid w:val="000F137E"/>
    <w:rsid w:val="000F3040"/>
    <w:rsid w:val="00100696"/>
    <w:rsid w:val="0011488E"/>
    <w:rsid w:val="001177C1"/>
    <w:rsid w:val="00120EEF"/>
    <w:rsid w:val="0013084F"/>
    <w:rsid w:val="00143C54"/>
    <w:rsid w:val="0014792C"/>
    <w:rsid w:val="00150EA4"/>
    <w:rsid w:val="00151DDF"/>
    <w:rsid w:val="00161903"/>
    <w:rsid w:val="0017201B"/>
    <w:rsid w:val="001779B1"/>
    <w:rsid w:val="00196CEC"/>
    <w:rsid w:val="001A6D55"/>
    <w:rsid w:val="001A6EC8"/>
    <w:rsid w:val="001B16C0"/>
    <w:rsid w:val="001B2453"/>
    <w:rsid w:val="001B5DC9"/>
    <w:rsid w:val="001B7ED9"/>
    <w:rsid w:val="001D2A8C"/>
    <w:rsid w:val="001F42FC"/>
    <w:rsid w:val="0020012A"/>
    <w:rsid w:val="00214E45"/>
    <w:rsid w:val="00254F76"/>
    <w:rsid w:val="00261648"/>
    <w:rsid w:val="002675E8"/>
    <w:rsid w:val="00267BF7"/>
    <w:rsid w:val="002977CA"/>
    <w:rsid w:val="002A1626"/>
    <w:rsid w:val="002B7298"/>
    <w:rsid w:val="002C644A"/>
    <w:rsid w:val="002E0B58"/>
    <w:rsid w:val="002E64C7"/>
    <w:rsid w:val="002E714F"/>
    <w:rsid w:val="002F0BA6"/>
    <w:rsid w:val="00302E13"/>
    <w:rsid w:val="00314F5B"/>
    <w:rsid w:val="003558CF"/>
    <w:rsid w:val="00355F89"/>
    <w:rsid w:val="003604A9"/>
    <w:rsid w:val="00371CBC"/>
    <w:rsid w:val="00373BCA"/>
    <w:rsid w:val="00375993"/>
    <w:rsid w:val="00375C82"/>
    <w:rsid w:val="003774A6"/>
    <w:rsid w:val="00386C63"/>
    <w:rsid w:val="00392C9D"/>
    <w:rsid w:val="003A2702"/>
    <w:rsid w:val="003A75B6"/>
    <w:rsid w:val="003B0A8A"/>
    <w:rsid w:val="003C4044"/>
    <w:rsid w:val="003C6360"/>
    <w:rsid w:val="003C7D6C"/>
    <w:rsid w:val="003E26E5"/>
    <w:rsid w:val="003F1F89"/>
    <w:rsid w:val="0040367B"/>
    <w:rsid w:val="00405012"/>
    <w:rsid w:val="0041603C"/>
    <w:rsid w:val="00417CED"/>
    <w:rsid w:val="00423C04"/>
    <w:rsid w:val="00432332"/>
    <w:rsid w:val="004466FF"/>
    <w:rsid w:val="00452E9A"/>
    <w:rsid w:val="004538E0"/>
    <w:rsid w:val="00466A30"/>
    <w:rsid w:val="0046782C"/>
    <w:rsid w:val="0047354D"/>
    <w:rsid w:val="00474B7E"/>
    <w:rsid w:val="004766CA"/>
    <w:rsid w:val="004A3E3B"/>
    <w:rsid w:val="004B0477"/>
    <w:rsid w:val="004D2FAD"/>
    <w:rsid w:val="004D3C79"/>
    <w:rsid w:val="004E4C47"/>
    <w:rsid w:val="00512F04"/>
    <w:rsid w:val="00516A78"/>
    <w:rsid w:val="00542EE6"/>
    <w:rsid w:val="00555B90"/>
    <w:rsid w:val="005654B6"/>
    <w:rsid w:val="00576332"/>
    <w:rsid w:val="00584FAB"/>
    <w:rsid w:val="005852E6"/>
    <w:rsid w:val="005A6B94"/>
    <w:rsid w:val="005B0FB8"/>
    <w:rsid w:val="005B49CF"/>
    <w:rsid w:val="005D2D33"/>
    <w:rsid w:val="005D4C23"/>
    <w:rsid w:val="005D60BF"/>
    <w:rsid w:val="005E7855"/>
    <w:rsid w:val="005F09E8"/>
    <w:rsid w:val="005F6EBC"/>
    <w:rsid w:val="005F75C6"/>
    <w:rsid w:val="00600694"/>
    <w:rsid w:val="00627E31"/>
    <w:rsid w:val="00640D42"/>
    <w:rsid w:val="00654691"/>
    <w:rsid w:val="00660F26"/>
    <w:rsid w:val="006908A2"/>
    <w:rsid w:val="006A1198"/>
    <w:rsid w:val="006C47A8"/>
    <w:rsid w:val="006F11C6"/>
    <w:rsid w:val="006F7611"/>
    <w:rsid w:val="00700A35"/>
    <w:rsid w:val="00705F17"/>
    <w:rsid w:val="0070607E"/>
    <w:rsid w:val="00716062"/>
    <w:rsid w:val="007163B1"/>
    <w:rsid w:val="00721E40"/>
    <w:rsid w:val="00722C88"/>
    <w:rsid w:val="007270FF"/>
    <w:rsid w:val="0073194B"/>
    <w:rsid w:val="00737B4E"/>
    <w:rsid w:val="00741B4A"/>
    <w:rsid w:val="00743F4E"/>
    <w:rsid w:val="0074515E"/>
    <w:rsid w:val="00786984"/>
    <w:rsid w:val="00787D09"/>
    <w:rsid w:val="00792BE6"/>
    <w:rsid w:val="007977F6"/>
    <w:rsid w:val="007B2410"/>
    <w:rsid w:val="007B299A"/>
    <w:rsid w:val="007E2D37"/>
    <w:rsid w:val="00812207"/>
    <w:rsid w:val="00821809"/>
    <w:rsid w:val="008237DF"/>
    <w:rsid w:val="00842F64"/>
    <w:rsid w:val="008459E7"/>
    <w:rsid w:val="00846334"/>
    <w:rsid w:val="008533BA"/>
    <w:rsid w:val="008622C6"/>
    <w:rsid w:val="00864A54"/>
    <w:rsid w:val="008701BA"/>
    <w:rsid w:val="00871674"/>
    <w:rsid w:val="00873CB1"/>
    <w:rsid w:val="00883945"/>
    <w:rsid w:val="008902AD"/>
    <w:rsid w:val="00891E1F"/>
    <w:rsid w:val="008A6569"/>
    <w:rsid w:val="008A72C0"/>
    <w:rsid w:val="008D3D07"/>
    <w:rsid w:val="008E1569"/>
    <w:rsid w:val="008F7B2B"/>
    <w:rsid w:val="009049AF"/>
    <w:rsid w:val="00923199"/>
    <w:rsid w:val="00947C7C"/>
    <w:rsid w:val="00952D08"/>
    <w:rsid w:val="009608C4"/>
    <w:rsid w:val="00966294"/>
    <w:rsid w:val="00966A6A"/>
    <w:rsid w:val="009721D4"/>
    <w:rsid w:val="0097550E"/>
    <w:rsid w:val="00975EB9"/>
    <w:rsid w:val="00976DC1"/>
    <w:rsid w:val="00995235"/>
    <w:rsid w:val="009A754C"/>
    <w:rsid w:val="009B1B52"/>
    <w:rsid w:val="009B708E"/>
    <w:rsid w:val="009C1303"/>
    <w:rsid w:val="009D44CA"/>
    <w:rsid w:val="009D53EB"/>
    <w:rsid w:val="009E3409"/>
    <w:rsid w:val="009E6F52"/>
    <w:rsid w:val="009F0B8D"/>
    <w:rsid w:val="009F6261"/>
    <w:rsid w:val="00A01338"/>
    <w:rsid w:val="00A14D8E"/>
    <w:rsid w:val="00A17062"/>
    <w:rsid w:val="00A25934"/>
    <w:rsid w:val="00A303E1"/>
    <w:rsid w:val="00A32389"/>
    <w:rsid w:val="00A51E15"/>
    <w:rsid w:val="00A54C99"/>
    <w:rsid w:val="00A644A8"/>
    <w:rsid w:val="00A7049F"/>
    <w:rsid w:val="00A80750"/>
    <w:rsid w:val="00A86278"/>
    <w:rsid w:val="00B23E34"/>
    <w:rsid w:val="00B43FE0"/>
    <w:rsid w:val="00B51345"/>
    <w:rsid w:val="00B514C1"/>
    <w:rsid w:val="00B518D5"/>
    <w:rsid w:val="00B56A69"/>
    <w:rsid w:val="00B7654E"/>
    <w:rsid w:val="00B84167"/>
    <w:rsid w:val="00B85E9F"/>
    <w:rsid w:val="00B85F16"/>
    <w:rsid w:val="00B92582"/>
    <w:rsid w:val="00B94256"/>
    <w:rsid w:val="00BA0B13"/>
    <w:rsid w:val="00BA41AF"/>
    <w:rsid w:val="00BA5070"/>
    <w:rsid w:val="00BB10CB"/>
    <w:rsid w:val="00BB6744"/>
    <w:rsid w:val="00BC6293"/>
    <w:rsid w:val="00BD25DB"/>
    <w:rsid w:val="00BE6D10"/>
    <w:rsid w:val="00C31E04"/>
    <w:rsid w:val="00C32251"/>
    <w:rsid w:val="00C80C05"/>
    <w:rsid w:val="00C80E98"/>
    <w:rsid w:val="00C8304E"/>
    <w:rsid w:val="00C84B34"/>
    <w:rsid w:val="00C84FA1"/>
    <w:rsid w:val="00C853B6"/>
    <w:rsid w:val="00C94DDB"/>
    <w:rsid w:val="00CA05BC"/>
    <w:rsid w:val="00CA0806"/>
    <w:rsid w:val="00CB2D51"/>
    <w:rsid w:val="00CC148B"/>
    <w:rsid w:val="00CC33C3"/>
    <w:rsid w:val="00CE3084"/>
    <w:rsid w:val="00D0121A"/>
    <w:rsid w:val="00D057B6"/>
    <w:rsid w:val="00D12A1E"/>
    <w:rsid w:val="00D143AE"/>
    <w:rsid w:val="00D15C0B"/>
    <w:rsid w:val="00D2773F"/>
    <w:rsid w:val="00D30C10"/>
    <w:rsid w:val="00D522CF"/>
    <w:rsid w:val="00D621EE"/>
    <w:rsid w:val="00D63511"/>
    <w:rsid w:val="00D838AE"/>
    <w:rsid w:val="00DA788D"/>
    <w:rsid w:val="00DA7B26"/>
    <w:rsid w:val="00DB02E8"/>
    <w:rsid w:val="00DF186B"/>
    <w:rsid w:val="00E02BE3"/>
    <w:rsid w:val="00E114B5"/>
    <w:rsid w:val="00E145F2"/>
    <w:rsid w:val="00E32874"/>
    <w:rsid w:val="00E3423F"/>
    <w:rsid w:val="00E4133A"/>
    <w:rsid w:val="00E422EA"/>
    <w:rsid w:val="00E61AC1"/>
    <w:rsid w:val="00E63B4A"/>
    <w:rsid w:val="00E663F1"/>
    <w:rsid w:val="00E77BA7"/>
    <w:rsid w:val="00E815D6"/>
    <w:rsid w:val="00E942C6"/>
    <w:rsid w:val="00E95656"/>
    <w:rsid w:val="00EA17D6"/>
    <w:rsid w:val="00EA2257"/>
    <w:rsid w:val="00EB1963"/>
    <w:rsid w:val="00EB33C8"/>
    <w:rsid w:val="00EE4E89"/>
    <w:rsid w:val="00EF0E2E"/>
    <w:rsid w:val="00EF52D4"/>
    <w:rsid w:val="00EF7A46"/>
    <w:rsid w:val="00F06C8A"/>
    <w:rsid w:val="00F1545D"/>
    <w:rsid w:val="00F17BEA"/>
    <w:rsid w:val="00F2030A"/>
    <w:rsid w:val="00F357AA"/>
    <w:rsid w:val="00F41C92"/>
    <w:rsid w:val="00F72C76"/>
    <w:rsid w:val="00F80A70"/>
    <w:rsid w:val="00F83323"/>
    <w:rsid w:val="00F83456"/>
    <w:rsid w:val="00F8783F"/>
    <w:rsid w:val="00F878B4"/>
    <w:rsid w:val="00F87B65"/>
    <w:rsid w:val="00F92549"/>
    <w:rsid w:val="00FA282F"/>
    <w:rsid w:val="00FC218B"/>
    <w:rsid w:val="00FC4DEB"/>
    <w:rsid w:val="00FF60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0DA92"/>
  <w15:docId w15:val="{037E080B-1B7D-436D-B64A-481C8D9A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240" w:after="0"/>
      <w:outlineLvl w:val="0"/>
    </w:pPr>
    <w:rPr>
      <w:color w:val="2E75B5"/>
      <w:sz w:val="32"/>
      <w:szCs w:val="32"/>
    </w:rPr>
  </w:style>
  <w:style w:type="paragraph" w:styleId="Nagwek2">
    <w:name w:val="heading 2"/>
    <w:basedOn w:val="Normalny"/>
    <w:next w:val="Normalny"/>
    <w:pPr>
      <w:keepNext/>
      <w:keepLines/>
      <w:spacing w:before="40" w:after="0"/>
      <w:outlineLvl w:val="1"/>
    </w:pPr>
    <w:rPr>
      <w:color w:val="2E75B5"/>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paragraph" w:styleId="Tekstdymka">
    <w:name w:val="Balloon Text"/>
    <w:basedOn w:val="Normalny"/>
    <w:link w:val="TekstdymkaZnak"/>
    <w:uiPriority w:val="99"/>
    <w:semiHidden/>
    <w:unhideWhenUsed/>
    <w:rsid w:val="00E413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133A"/>
    <w:rPr>
      <w:rFonts w:ascii="Segoe UI" w:hAnsi="Segoe UI" w:cs="Segoe UI"/>
      <w:sz w:val="18"/>
      <w:szCs w:val="18"/>
    </w:rPr>
  </w:style>
  <w:style w:type="character" w:styleId="Odwoaniedokomentarza">
    <w:name w:val="annotation reference"/>
    <w:basedOn w:val="Domylnaczcionkaakapitu"/>
    <w:uiPriority w:val="99"/>
    <w:semiHidden/>
    <w:unhideWhenUsed/>
    <w:rsid w:val="00267BF7"/>
    <w:rPr>
      <w:sz w:val="16"/>
      <w:szCs w:val="16"/>
    </w:rPr>
  </w:style>
  <w:style w:type="paragraph" w:styleId="Tekstkomentarza">
    <w:name w:val="annotation text"/>
    <w:basedOn w:val="Normalny"/>
    <w:link w:val="TekstkomentarzaZnak"/>
    <w:uiPriority w:val="99"/>
    <w:semiHidden/>
    <w:unhideWhenUsed/>
    <w:rsid w:val="00267BF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67BF7"/>
    <w:rPr>
      <w:sz w:val="20"/>
      <w:szCs w:val="20"/>
    </w:rPr>
  </w:style>
  <w:style w:type="paragraph" w:styleId="Tematkomentarza">
    <w:name w:val="annotation subject"/>
    <w:basedOn w:val="Tekstkomentarza"/>
    <w:next w:val="Tekstkomentarza"/>
    <w:link w:val="TematkomentarzaZnak"/>
    <w:uiPriority w:val="99"/>
    <w:semiHidden/>
    <w:unhideWhenUsed/>
    <w:rsid w:val="00267BF7"/>
    <w:rPr>
      <w:b/>
      <w:bCs/>
    </w:rPr>
  </w:style>
  <w:style w:type="character" w:customStyle="1" w:styleId="TematkomentarzaZnak">
    <w:name w:val="Temat komentarza Znak"/>
    <w:basedOn w:val="TekstkomentarzaZnak"/>
    <w:link w:val="Tematkomentarza"/>
    <w:uiPriority w:val="99"/>
    <w:semiHidden/>
    <w:rsid w:val="00267BF7"/>
    <w:rPr>
      <w:b/>
      <w:bCs/>
      <w:sz w:val="20"/>
      <w:szCs w:val="20"/>
    </w:rPr>
  </w:style>
  <w:style w:type="paragraph" w:styleId="Tekstprzypisukocowego">
    <w:name w:val="endnote text"/>
    <w:basedOn w:val="Normalny"/>
    <w:link w:val="TekstprzypisukocowegoZnak"/>
    <w:uiPriority w:val="99"/>
    <w:semiHidden/>
    <w:unhideWhenUsed/>
    <w:rsid w:val="000E25E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E25E4"/>
    <w:rPr>
      <w:sz w:val="20"/>
      <w:szCs w:val="20"/>
    </w:rPr>
  </w:style>
  <w:style w:type="character" w:styleId="Odwoanieprzypisukocowego">
    <w:name w:val="endnote reference"/>
    <w:basedOn w:val="Domylnaczcionkaakapitu"/>
    <w:uiPriority w:val="99"/>
    <w:semiHidden/>
    <w:unhideWhenUsed/>
    <w:rsid w:val="000E25E4"/>
    <w:rPr>
      <w:vertAlign w:val="superscript"/>
    </w:rPr>
  </w:style>
  <w:style w:type="paragraph" w:styleId="Akapitzlist">
    <w:name w:val="List Paragraph"/>
    <w:aliases w:val="WyliczPrzyklad"/>
    <w:basedOn w:val="Normalny"/>
    <w:uiPriority w:val="34"/>
    <w:qFormat/>
    <w:rsid w:val="004538E0"/>
    <w:pPr>
      <w:ind w:left="720"/>
      <w:contextualSpacing/>
    </w:pPr>
  </w:style>
  <w:style w:type="paragraph" w:customStyle="1" w:styleId="ARTartustawynprozporzdzenia">
    <w:name w:val="ART(§) – art. ustawy (§ np. rozporządzenia)"/>
    <w:uiPriority w:val="11"/>
    <w:qFormat/>
    <w:rsid w:val="00371CBC"/>
    <w:pPr>
      <w:suppressAutoHyphens/>
      <w:autoSpaceDE w:val="0"/>
      <w:autoSpaceDN w:val="0"/>
      <w:adjustRightInd w:val="0"/>
      <w:spacing w:before="120" w:after="0" w:line="360" w:lineRule="auto"/>
      <w:ind w:firstLine="510"/>
      <w:jc w:val="both"/>
    </w:pPr>
    <w:rPr>
      <w:rFonts w:ascii="Times" w:eastAsiaTheme="minorEastAsia" w:hAnsi="Times" w:cs="Arial"/>
      <w:sz w:val="24"/>
      <w:szCs w:val="20"/>
    </w:rPr>
  </w:style>
  <w:style w:type="paragraph" w:customStyle="1" w:styleId="PKTpunkt">
    <w:name w:val="PKT – punkt"/>
    <w:uiPriority w:val="13"/>
    <w:qFormat/>
    <w:rsid w:val="00A14D8E"/>
    <w:pPr>
      <w:spacing w:after="0" w:line="360" w:lineRule="auto"/>
      <w:ind w:left="510" w:hanging="510"/>
      <w:jc w:val="both"/>
    </w:pPr>
    <w:rPr>
      <w:rFonts w:ascii="Times" w:eastAsia="Times New Roman" w:hAnsi="Times" w:cs="Arial"/>
      <w:bCs/>
      <w:sz w:val="24"/>
      <w:szCs w:val="20"/>
    </w:rPr>
  </w:style>
  <w:style w:type="paragraph" w:customStyle="1" w:styleId="USTustnpkodeksu">
    <w:name w:val="UST(§) – ust. (§ np. kodeksu)"/>
    <w:basedOn w:val="Normalny"/>
    <w:uiPriority w:val="12"/>
    <w:qFormat/>
    <w:rsid w:val="00BB6744"/>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1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p.prokuratoria.gov.pl/regulamin,m,m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39DB-0D0E-4CF1-9289-C83B15121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55293</Words>
  <Characters>331761</Characters>
  <Application>Microsoft Office Word</Application>
  <DocSecurity>4</DocSecurity>
  <Lines>2764</Lines>
  <Paragraphs>772</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386282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Kacprzak Karol</dc:creator>
  <cp:lastModifiedBy>Binkowska Joanna</cp:lastModifiedBy>
  <cp:revision>2</cp:revision>
  <cp:lastPrinted>2019-06-27T15:11:00Z</cp:lastPrinted>
  <dcterms:created xsi:type="dcterms:W3CDTF">2019-07-12T12:29:00Z</dcterms:created>
  <dcterms:modified xsi:type="dcterms:W3CDTF">2019-07-12T12:29:00Z</dcterms:modified>
</cp:coreProperties>
</file>