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06521" w14:textId="77777777" w:rsidR="00FF5857" w:rsidRPr="00F95D50" w:rsidRDefault="00FF5857" w:rsidP="00FF5857">
      <w:pPr>
        <w:jc w:val="center"/>
        <w:rPr>
          <w:rStyle w:val="Ppogrubienie"/>
        </w:rPr>
      </w:pPr>
      <w:r w:rsidRPr="00F95D50">
        <w:rPr>
          <w:rStyle w:val="Ppogrubienie"/>
        </w:rPr>
        <w:t>UZASADNIENIE</w:t>
      </w:r>
    </w:p>
    <w:p w14:paraId="09F49136" w14:textId="77777777" w:rsidR="00FF5857" w:rsidRPr="00A87EBB" w:rsidRDefault="00FF5857" w:rsidP="00FF5857">
      <w:pPr>
        <w:spacing w:before="120"/>
        <w:ind w:firstLine="708"/>
        <w:jc w:val="both"/>
        <w:rPr>
          <w:color w:val="000000"/>
          <w:szCs w:val="24"/>
        </w:rPr>
      </w:pPr>
      <w:r w:rsidRPr="00A87EBB">
        <w:rPr>
          <w:color w:val="000000"/>
          <w:szCs w:val="24"/>
        </w:rPr>
        <w:t xml:space="preserve">Projekt ustawy </w:t>
      </w:r>
      <w:r w:rsidRPr="00A87EBB">
        <w:rPr>
          <w:rStyle w:val="Kkursywa"/>
          <w:color w:val="000000"/>
          <w:szCs w:val="24"/>
        </w:rPr>
        <w:t xml:space="preserve">o </w:t>
      </w:r>
      <w:r>
        <w:rPr>
          <w:rStyle w:val="Kkursywa"/>
          <w:color w:val="000000"/>
          <w:szCs w:val="24"/>
        </w:rPr>
        <w:t xml:space="preserve">zmianie ustawy o </w:t>
      </w:r>
      <w:r w:rsidRPr="00A87EBB">
        <w:rPr>
          <w:rStyle w:val="Kkursywa"/>
          <w:color w:val="000000"/>
          <w:szCs w:val="24"/>
        </w:rPr>
        <w:t>biokomponentach</w:t>
      </w:r>
      <w:r>
        <w:rPr>
          <w:rStyle w:val="Kkursywa"/>
          <w:color w:val="000000"/>
          <w:szCs w:val="24"/>
        </w:rPr>
        <w:t xml:space="preserve"> </w:t>
      </w:r>
      <w:r w:rsidRPr="00A87EBB">
        <w:rPr>
          <w:rStyle w:val="Kkursywa"/>
          <w:color w:val="000000"/>
          <w:szCs w:val="24"/>
        </w:rPr>
        <w:t>i biopaliwach ciekłych</w:t>
      </w:r>
      <w:r w:rsidRPr="00A87EBB">
        <w:rPr>
          <w:i/>
          <w:color w:val="000000"/>
          <w:szCs w:val="24"/>
        </w:rPr>
        <w:t xml:space="preserve"> </w:t>
      </w:r>
      <w:r>
        <w:rPr>
          <w:i/>
          <w:color w:val="000000"/>
          <w:szCs w:val="24"/>
        </w:rPr>
        <w:t xml:space="preserve">oraz niektórych innych ustaw </w:t>
      </w:r>
      <w:r w:rsidRPr="00A87EBB">
        <w:rPr>
          <w:color w:val="000000"/>
          <w:szCs w:val="24"/>
        </w:rPr>
        <w:t>(dalej: „</w:t>
      </w:r>
      <w:r>
        <w:rPr>
          <w:color w:val="000000"/>
          <w:szCs w:val="24"/>
        </w:rPr>
        <w:t xml:space="preserve">projekt </w:t>
      </w:r>
      <w:r w:rsidRPr="00A87EBB">
        <w:rPr>
          <w:color w:val="000000"/>
          <w:szCs w:val="24"/>
        </w:rPr>
        <w:t>ustaw</w:t>
      </w:r>
      <w:r>
        <w:rPr>
          <w:color w:val="000000"/>
          <w:szCs w:val="24"/>
        </w:rPr>
        <w:t>y</w:t>
      </w:r>
      <w:r w:rsidRPr="00A87EBB">
        <w:rPr>
          <w:color w:val="000000"/>
          <w:szCs w:val="24"/>
        </w:rPr>
        <w:t>”) został przygotowany, między innymi w</w:t>
      </w:r>
      <w:r>
        <w:rPr>
          <w:color w:val="000000"/>
          <w:szCs w:val="24"/>
        </w:rPr>
        <w:t> </w:t>
      </w:r>
      <w:r w:rsidRPr="00A87EBB">
        <w:rPr>
          <w:color w:val="000000"/>
          <w:szCs w:val="24"/>
        </w:rPr>
        <w:t>związku z koniecznością wprowadzenia do ustawy z dnia 25 sierpnia 2006 r.</w:t>
      </w:r>
      <w:r>
        <w:rPr>
          <w:color w:val="000000"/>
          <w:szCs w:val="24"/>
        </w:rPr>
        <w:t> </w:t>
      </w:r>
      <w:r w:rsidRPr="00A87EBB">
        <w:rPr>
          <w:rStyle w:val="Kkursywa"/>
          <w:color w:val="000000"/>
          <w:szCs w:val="24"/>
        </w:rPr>
        <w:t>o</w:t>
      </w:r>
      <w:r>
        <w:rPr>
          <w:rStyle w:val="Kkursywa"/>
          <w:color w:val="000000"/>
          <w:szCs w:val="24"/>
        </w:rPr>
        <w:t> </w:t>
      </w:r>
      <w:r w:rsidRPr="00A87EBB">
        <w:rPr>
          <w:rStyle w:val="Kkursywa"/>
          <w:color w:val="000000"/>
          <w:szCs w:val="24"/>
        </w:rPr>
        <w:t>biokomponentach i biopaliwach ciekłych</w:t>
      </w:r>
      <w:r w:rsidRPr="00A87EBB">
        <w:rPr>
          <w:color w:val="000000"/>
          <w:szCs w:val="24"/>
        </w:rPr>
        <w:t xml:space="preserve"> </w:t>
      </w:r>
      <w:r w:rsidRPr="00A87EBB">
        <w:rPr>
          <w:rFonts w:eastAsia="Calibri"/>
          <w:color w:val="000000"/>
          <w:szCs w:val="24"/>
        </w:rPr>
        <w:t>(Dz. U. z 201</w:t>
      </w:r>
      <w:r>
        <w:rPr>
          <w:rFonts w:eastAsia="Calibri"/>
          <w:color w:val="000000"/>
          <w:szCs w:val="24"/>
        </w:rPr>
        <w:t>9</w:t>
      </w:r>
      <w:r w:rsidRPr="00A87EBB">
        <w:rPr>
          <w:rFonts w:eastAsia="Calibri"/>
          <w:color w:val="000000"/>
          <w:szCs w:val="24"/>
        </w:rPr>
        <w:t xml:space="preserve"> r. poz. </w:t>
      </w:r>
      <w:r>
        <w:rPr>
          <w:rFonts w:eastAsia="Calibri"/>
          <w:color w:val="000000"/>
          <w:szCs w:val="24"/>
        </w:rPr>
        <w:t>1155 i 1210</w:t>
      </w:r>
      <w:r w:rsidRPr="00A87EBB">
        <w:rPr>
          <w:rFonts w:eastAsia="Calibri"/>
          <w:color w:val="000000"/>
          <w:szCs w:val="24"/>
        </w:rPr>
        <w:t xml:space="preserve">) </w:t>
      </w:r>
      <w:r>
        <w:rPr>
          <w:rFonts w:eastAsia="Calibri"/>
          <w:color w:val="000000"/>
          <w:szCs w:val="24"/>
        </w:rPr>
        <w:t xml:space="preserve">(dalej: „ustawa”) </w:t>
      </w:r>
      <w:r w:rsidRPr="00A87EBB">
        <w:rPr>
          <w:color w:val="000000"/>
          <w:szCs w:val="24"/>
        </w:rPr>
        <w:t>przepisów umożliwiających podmiotom zobowiązanym do realizacji Narodowego Celu Wskaźnikowego (dalej: „NCW”) urealnienie zakresu obowiązków związanych z</w:t>
      </w:r>
      <w:r>
        <w:rPr>
          <w:color w:val="000000"/>
          <w:szCs w:val="24"/>
        </w:rPr>
        <w:t> </w:t>
      </w:r>
      <w:r w:rsidRPr="00A87EBB">
        <w:rPr>
          <w:color w:val="000000"/>
          <w:szCs w:val="24"/>
        </w:rPr>
        <w:t>realizacją NCW w najbliższych</w:t>
      </w:r>
      <w:r>
        <w:rPr>
          <w:color w:val="000000"/>
          <w:szCs w:val="24"/>
        </w:rPr>
        <w:t>, kluczowych dla branży</w:t>
      </w:r>
      <w:r w:rsidRPr="00A87EBB">
        <w:rPr>
          <w:color w:val="000000"/>
          <w:szCs w:val="24"/>
        </w:rPr>
        <w:t xml:space="preserve"> latach. </w:t>
      </w:r>
    </w:p>
    <w:p w14:paraId="06737F84" w14:textId="77777777" w:rsidR="00FF5857" w:rsidRPr="00A87EBB" w:rsidRDefault="00FF5857" w:rsidP="00FF5857">
      <w:pPr>
        <w:spacing w:before="120"/>
        <w:ind w:firstLine="708"/>
        <w:jc w:val="both"/>
        <w:rPr>
          <w:color w:val="000000"/>
          <w:szCs w:val="24"/>
        </w:rPr>
      </w:pPr>
      <w:r w:rsidRPr="00A87EBB">
        <w:rPr>
          <w:color w:val="000000"/>
          <w:szCs w:val="24"/>
        </w:rPr>
        <w:t>Ponadto niniejszy projekt ustawy:</w:t>
      </w:r>
    </w:p>
    <w:p w14:paraId="17EF9597" w14:textId="77777777" w:rsidR="00FF5857" w:rsidRPr="00A87EBB" w:rsidRDefault="00FF5857" w:rsidP="00FF5857">
      <w:pPr>
        <w:pStyle w:val="Akapitzlist"/>
        <w:spacing w:before="120"/>
        <w:ind w:left="426" w:hanging="426"/>
        <w:jc w:val="both"/>
        <w:rPr>
          <w:rFonts w:ascii="Times New Roman" w:hAnsi="Times New Roman"/>
          <w:color w:val="000000"/>
          <w:szCs w:val="24"/>
        </w:rPr>
      </w:pPr>
      <w:r w:rsidRPr="00A87EBB">
        <w:rPr>
          <w:rFonts w:ascii="Times New Roman" w:hAnsi="Times New Roman"/>
          <w:color w:val="000000"/>
          <w:szCs w:val="24"/>
        </w:rPr>
        <w:t>1. Wprowadza przepisy</w:t>
      </w:r>
      <w:r>
        <w:rPr>
          <w:rFonts w:ascii="Times New Roman" w:hAnsi="Times New Roman"/>
          <w:color w:val="000000"/>
          <w:szCs w:val="24"/>
        </w:rPr>
        <w:t xml:space="preserve">, które </w:t>
      </w:r>
      <w:r w:rsidRPr="00A87EBB">
        <w:rPr>
          <w:rFonts w:ascii="Times New Roman" w:hAnsi="Times New Roman"/>
          <w:color w:val="000000"/>
          <w:szCs w:val="24"/>
        </w:rPr>
        <w:t xml:space="preserve">umożliwiają wykorzystanie produktów </w:t>
      </w:r>
      <w:proofErr w:type="spellStart"/>
      <w:r w:rsidRPr="00A87EBB">
        <w:rPr>
          <w:rFonts w:ascii="Times New Roman" w:hAnsi="Times New Roman"/>
          <w:color w:val="000000"/>
          <w:szCs w:val="24"/>
        </w:rPr>
        <w:t>współuwodornienia</w:t>
      </w:r>
      <w:proofErr w:type="spellEnd"/>
      <w:r w:rsidRPr="00A87EBB">
        <w:rPr>
          <w:rFonts w:ascii="Times New Roman" w:hAnsi="Times New Roman"/>
          <w:color w:val="000000"/>
          <w:szCs w:val="24"/>
        </w:rPr>
        <w:t xml:space="preserve"> do realizacji NCW od 2020 r.</w:t>
      </w:r>
      <w:r>
        <w:rPr>
          <w:rFonts w:ascii="Times New Roman" w:hAnsi="Times New Roman"/>
          <w:color w:val="000000"/>
          <w:szCs w:val="24"/>
        </w:rPr>
        <w:t xml:space="preserve"> oraz umożliwiające zaliczenie do NCW </w:t>
      </w:r>
      <w:proofErr w:type="spellStart"/>
      <w:r>
        <w:rPr>
          <w:rFonts w:ascii="Times New Roman" w:hAnsi="Times New Roman"/>
          <w:color w:val="000000"/>
          <w:szCs w:val="24"/>
        </w:rPr>
        <w:t>biowodoru</w:t>
      </w:r>
      <w:proofErr w:type="spellEnd"/>
      <w:r>
        <w:rPr>
          <w:rFonts w:ascii="Times New Roman" w:hAnsi="Times New Roman"/>
          <w:color w:val="000000"/>
          <w:szCs w:val="24"/>
        </w:rPr>
        <w:t xml:space="preserve"> zawartego w paliwach ciekłych przy produkcji których wykorzystano </w:t>
      </w:r>
      <w:proofErr w:type="spellStart"/>
      <w:r>
        <w:rPr>
          <w:rFonts w:ascii="Times New Roman" w:hAnsi="Times New Roman"/>
          <w:color w:val="000000"/>
          <w:szCs w:val="24"/>
        </w:rPr>
        <w:t>biometan</w:t>
      </w:r>
      <w:proofErr w:type="spellEnd"/>
      <w:r>
        <w:rPr>
          <w:rFonts w:ascii="Times New Roman" w:hAnsi="Times New Roman"/>
          <w:color w:val="000000"/>
          <w:szCs w:val="24"/>
        </w:rPr>
        <w:t>.</w:t>
      </w:r>
    </w:p>
    <w:p w14:paraId="5D4A82E4" w14:textId="77777777" w:rsidR="00FF5857" w:rsidRPr="00A87EBB" w:rsidRDefault="00FF5857" w:rsidP="00FF5857">
      <w:pPr>
        <w:spacing w:before="120"/>
        <w:ind w:left="425" w:hanging="425"/>
        <w:jc w:val="both"/>
        <w:rPr>
          <w:color w:val="000000"/>
          <w:szCs w:val="24"/>
        </w:rPr>
      </w:pPr>
      <w:r w:rsidRPr="00A87EBB">
        <w:rPr>
          <w:color w:val="000000"/>
          <w:szCs w:val="24"/>
        </w:rPr>
        <w:t>2. Wprowadza zmiany, których celem jest umożliwienie zaliczenia do NCW innych paliw odnawialnych i biokomponentów zawartych we wszystkich paliwach stosowanych w</w:t>
      </w:r>
      <w:r>
        <w:rPr>
          <w:color w:val="000000"/>
          <w:szCs w:val="24"/>
        </w:rPr>
        <w:t> </w:t>
      </w:r>
      <w:r w:rsidRPr="00A87EBB">
        <w:rPr>
          <w:color w:val="000000"/>
          <w:szCs w:val="24"/>
        </w:rPr>
        <w:t>transporcie.</w:t>
      </w:r>
    </w:p>
    <w:p w14:paraId="0E8C5825" w14:textId="77777777" w:rsidR="00FF5857" w:rsidRPr="00A87EBB" w:rsidRDefault="00FF5857" w:rsidP="00FF5857">
      <w:pPr>
        <w:spacing w:before="120"/>
        <w:ind w:left="425" w:hanging="425"/>
        <w:jc w:val="both"/>
        <w:rPr>
          <w:color w:val="000000"/>
          <w:szCs w:val="24"/>
        </w:rPr>
      </w:pPr>
      <w:r w:rsidRPr="00A87EBB">
        <w:rPr>
          <w:color w:val="000000"/>
          <w:szCs w:val="24"/>
        </w:rPr>
        <w:t xml:space="preserve">3. Modyfikuje mechanizm obowiązkowego dodawania biokomponentów do paliw ciekłych, tzw. </w:t>
      </w:r>
      <w:r w:rsidRPr="0090765C">
        <w:rPr>
          <w:i/>
          <w:color w:val="000000"/>
          <w:szCs w:val="24"/>
        </w:rPr>
        <w:t xml:space="preserve">obligatoryjnego </w:t>
      </w:r>
      <w:proofErr w:type="spellStart"/>
      <w:r w:rsidRPr="0090765C">
        <w:rPr>
          <w:i/>
          <w:color w:val="000000"/>
          <w:szCs w:val="24"/>
        </w:rPr>
        <w:t>blendingu</w:t>
      </w:r>
      <w:proofErr w:type="spellEnd"/>
      <w:r w:rsidRPr="00A87EBB">
        <w:rPr>
          <w:color w:val="000000"/>
          <w:szCs w:val="24"/>
        </w:rPr>
        <w:t>.</w:t>
      </w:r>
    </w:p>
    <w:p w14:paraId="391E4BD3" w14:textId="77777777" w:rsidR="00FF5857" w:rsidRPr="00A87EBB" w:rsidRDefault="00FF5857" w:rsidP="00FF5857">
      <w:pPr>
        <w:spacing w:before="120"/>
        <w:ind w:left="425" w:hanging="425"/>
        <w:jc w:val="both"/>
        <w:rPr>
          <w:color w:val="000000"/>
          <w:szCs w:val="24"/>
        </w:rPr>
      </w:pPr>
      <w:r w:rsidRPr="00A87EBB">
        <w:rPr>
          <w:color w:val="000000"/>
          <w:szCs w:val="24"/>
        </w:rPr>
        <w:t>4. Wprowadza zmiany mające na celu uszczegółowienie procedur oraz wymagań dotyczących certyfikacji jakościowej biokomponentów.</w:t>
      </w:r>
    </w:p>
    <w:p w14:paraId="5A4FA2F6" w14:textId="77777777" w:rsidR="00FF5857" w:rsidRPr="00A87EBB" w:rsidRDefault="00FF5857" w:rsidP="00FF5857">
      <w:pPr>
        <w:spacing w:before="120"/>
        <w:ind w:left="425" w:hanging="425"/>
        <w:jc w:val="both"/>
        <w:rPr>
          <w:color w:val="000000"/>
          <w:szCs w:val="24"/>
        </w:rPr>
      </w:pPr>
      <w:r w:rsidRPr="00A87EBB">
        <w:rPr>
          <w:color w:val="000000"/>
          <w:szCs w:val="24"/>
        </w:rPr>
        <w:t xml:space="preserve">5. </w:t>
      </w:r>
      <w:r>
        <w:rPr>
          <w:color w:val="000000"/>
          <w:szCs w:val="24"/>
        </w:rPr>
        <w:t>Uchyla</w:t>
      </w:r>
      <w:r w:rsidRPr="00A87EBB">
        <w:rPr>
          <w:color w:val="000000"/>
          <w:szCs w:val="24"/>
        </w:rPr>
        <w:t xml:space="preserve"> przepis</w:t>
      </w:r>
      <w:r>
        <w:rPr>
          <w:color w:val="000000"/>
          <w:szCs w:val="24"/>
        </w:rPr>
        <w:t xml:space="preserve">y </w:t>
      </w:r>
      <w:r w:rsidRPr="00A87EBB">
        <w:rPr>
          <w:color w:val="000000"/>
          <w:szCs w:val="24"/>
        </w:rPr>
        <w:t>w zakresie</w:t>
      </w:r>
      <w:r>
        <w:rPr>
          <w:color w:val="000000"/>
          <w:szCs w:val="24"/>
        </w:rPr>
        <w:t xml:space="preserve"> obowiązku</w:t>
      </w:r>
      <w:r w:rsidRPr="00A87EBB">
        <w:rPr>
          <w:color w:val="000000"/>
          <w:szCs w:val="24"/>
        </w:rPr>
        <w:t xml:space="preserve"> oznakowania dystrybutorów do biopaliw ciekłych</w:t>
      </w:r>
      <w:r w:rsidRPr="00A87EBB">
        <w:rPr>
          <w:szCs w:val="24"/>
        </w:rPr>
        <w:t xml:space="preserve"> używanych na stacjach paliw oraz obowiązku zamieszczania czytelnych informacji o</w:t>
      </w:r>
      <w:r>
        <w:rPr>
          <w:szCs w:val="24"/>
        </w:rPr>
        <w:t> </w:t>
      </w:r>
      <w:r w:rsidRPr="00A87EBB">
        <w:rPr>
          <w:szCs w:val="24"/>
        </w:rPr>
        <w:t>dostępności biopaliw ciekłych na tych stacjach</w:t>
      </w:r>
      <w:r w:rsidRPr="00A87EBB">
        <w:rPr>
          <w:color w:val="000000"/>
          <w:szCs w:val="24"/>
        </w:rPr>
        <w:t>.</w:t>
      </w:r>
    </w:p>
    <w:p w14:paraId="3C2B91E2" w14:textId="77777777" w:rsidR="00FF5857" w:rsidRDefault="00FF5857" w:rsidP="00FF5857">
      <w:pPr>
        <w:spacing w:before="120"/>
        <w:ind w:left="425" w:hanging="425"/>
        <w:jc w:val="both"/>
        <w:rPr>
          <w:color w:val="000000"/>
          <w:szCs w:val="24"/>
        </w:rPr>
      </w:pPr>
      <w:r w:rsidRPr="00A87EBB">
        <w:rPr>
          <w:color w:val="000000"/>
          <w:szCs w:val="24"/>
        </w:rPr>
        <w:t xml:space="preserve">6. </w:t>
      </w:r>
      <w:r>
        <w:rPr>
          <w:bCs/>
          <w:szCs w:val="24"/>
        </w:rPr>
        <w:t>Zawiera propozycje zmian do ustawy o biokomponentach i biopaliwach ciekłych przedłożone przez Krajowy Ośrodek Wsparcia Rolnictwa (dalej: „KOWR”) w zakresie dotyczącym funkcjonowania podmiotów zarejestrowanych w rejestrach prowadzonych przez Dyrektora Generalnego KOWR.</w:t>
      </w:r>
    </w:p>
    <w:p w14:paraId="6E884EC2" w14:textId="77777777" w:rsidR="00FF5857" w:rsidRPr="00A87EBB" w:rsidRDefault="00FF5857" w:rsidP="00FF5857">
      <w:pPr>
        <w:spacing w:before="120"/>
        <w:ind w:left="425" w:hanging="425"/>
        <w:jc w:val="both"/>
      </w:pPr>
      <w:r>
        <w:rPr>
          <w:color w:val="000000"/>
          <w:szCs w:val="24"/>
        </w:rPr>
        <w:t xml:space="preserve">7. </w:t>
      </w:r>
      <w:r w:rsidRPr="00A87EBB">
        <w:rPr>
          <w:color w:val="000000"/>
          <w:szCs w:val="24"/>
        </w:rPr>
        <w:t xml:space="preserve">Wprowadza zmiany dotyczące funkcjonowania Funduszu Niskoemisyjnego Transportu. </w:t>
      </w:r>
    </w:p>
    <w:p w14:paraId="7E426980" w14:textId="77777777" w:rsidR="00FF5857" w:rsidRDefault="00FF5857" w:rsidP="00FF5857">
      <w:pPr>
        <w:spacing w:before="120"/>
        <w:ind w:left="425" w:hanging="425"/>
        <w:jc w:val="both"/>
        <w:rPr>
          <w:bCs/>
          <w:szCs w:val="24"/>
        </w:rPr>
      </w:pPr>
      <w:r>
        <w:rPr>
          <w:bCs/>
          <w:szCs w:val="24"/>
        </w:rPr>
        <w:t>8</w:t>
      </w:r>
      <w:r w:rsidRPr="00A87EBB">
        <w:rPr>
          <w:bCs/>
          <w:szCs w:val="24"/>
        </w:rPr>
        <w:t xml:space="preserve">. </w:t>
      </w:r>
      <w:r>
        <w:rPr>
          <w:bCs/>
          <w:szCs w:val="24"/>
        </w:rPr>
        <w:t>Zawiera propozycje zmian w</w:t>
      </w:r>
      <w:r w:rsidRPr="002E4699">
        <w:rPr>
          <w:bCs/>
          <w:szCs w:val="24"/>
        </w:rPr>
        <w:t xml:space="preserve"> ustawie z dnia 25 sierpnia 2006 r. </w:t>
      </w:r>
      <w:r w:rsidRPr="002E4699">
        <w:rPr>
          <w:bCs/>
          <w:i/>
          <w:szCs w:val="24"/>
        </w:rPr>
        <w:t>o systemie monitorowania i</w:t>
      </w:r>
      <w:r>
        <w:rPr>
          <w:bCs/>
          <w:i/>
          <w:szCs w:val="24"/>
        </w:rPr>
        <w:t> </w:t>
      </w:r>
      <w:r w:rsidRPr="002E4699">
        <w:rPr>
          <w:bCs/>
          <w:i/>
          <w:szCs w:val="24"/>
        </w:rPr>
        <w:t>kontrolowania jakości paliw</w:t>
      </w:r>
      <w:r>
        <w:rPr>
          <w:bCs/>
          <w:szCs w:val="24"/>
        </w:rPr>
        <w:t xml:space="preserve"> </w:t>
      </w:r>
      <w:r w:rsidRPr="002E4699">
        <w:rPr>
          <w:bCs/>
          <w:szCs w:val="24"/>
        </w:rPr>
        <w:t>(Dz. U. z 201</w:t>
      </w:r>
      <w:r>
        <w:rPr>
          <w:bCs/>
          <w:szCs w:val="24"/>
        </w:rPr>
        <w:t>9</w:t>
      </w:r>
      <w:r w:rsidRPr="002E4699">
        <w:rPr>
          <w:bCs/>
          <w:szCs w:val="24"/>
        </w:rPr>
        <w:t xml:space="preserve"> r. poz. </w:t>
      </w:r>
      <w:r>
        <w:rPr>
          <w:bCs/>
          <w:szCs w:val="24"/>
        </w:rPr>
        <w:t>660</w:t>
      </w:r>
      <w:r w:rsidRPr="002E4699">
        <w:rPr>
          <w:bCs/>
          <w:szCs w:val="24"/>
        </w:rPr>
        <w:t>)</w:t>
      </w:r>
      <w:r>
        <w:rPr>
          <w:bCs/>
          <w:szCs w:val="24"/>
        </w:rPr>
        <w:t xml:space="preserve">  – wprowadzające przepisy regulujące obowiązek oznakowania paliw ciekłych.</w:t>
      </w:r>
    </w:p>
    <w:p w14:paraId="54D64B9C" w14:textId="77777777" w:rsidR="00FF5857" w:rsidRDefault="00FF5857" w:rsidP="00FF5857">
      <w:pPr>
        <w:spacing w:before="120"/>
        <w:ind w:left="425" w:hanging="425"/>
        <w:jc w:val="both"/>
        <w:rPr>
          <w:bCs/>
          <w:szCs w:val="24"/>
        </w:rPr>
      </w:pPr>
      <w:r>
        <w:rPr>
          <w:bCs/>
          <w:szCs w:val="24"/>
        </w:rPr>
        <w:lastRenderedPageBreak/>
        <w:t xml:space="preserve">9. Zawiera propozycje zmian do ustawy z dnia 11 stycznia 2019 r. </w:t>
      </w:r>
      <w:r w:rsidRPr="00E15981">
        <w:rPr>
          <w:bCs/>
          <w:i/>
          <w:szCs w:val="24"/>
        </w:rPr>
        <w:t xml:space="preserve">o </w:t>
      </w:r>
      <w:proofErr w:type="spellStart"/>
      <w:r w:rsidRPr="00E15981">
        <w:rPr>
          <w:bCs/>
          <w:i/>
          <w:szCs w:val="24"/>
        </w:rPr>
        <w:t>elektromobilności</w:t>
      </w:r>
      <w:proofErr w:type="spellEnd"/>
      <w:r w:rsidRPr="00E15981">
        <w:rPr>
          <w:bCs/>
          <w:i/>
          <w:szCs w:val="24"/>
        </w:rPr>
        <w:t xml:space="preserve"> i</w:t>
      </w:r>
      <w:r>
        <w:rPr>
          <w:bCs/>
          <w:i/>
          <w:szCs w:val="24"/>
        </w:rPr>
        <w:t> </w:t>
      </w:r>
      <w:r w:rsidRPr="00E15981">
        <w:rPr>
          <w:bCs/>
          <w:i/>
          <w:szCs w:val="24"/>
        </w:rPr>
        <w:t>paliwach alternatywnych</w:t>
      </w:r>
      <w:r>
        <w:rPr>
          <w:bCs/>
          <w:szCs w:val="24"/>
        </w:rPr>
        <w:t xml:space="preserve"> (Dz. U. z 2018 r. poz. 317, 1356 i 2348), m.in. w zakresie zmiany terminów obowiązywania odpowiedniego udziału procentowego pojazdów elektrycznych lub napędzanych gazem ziemnym, terminu wygasania umów na wykonanie zadania publicznego oraz zmiany redakcyjnej przepisów dotyczących oznakowania paliw alternatywnych.</w:t>
      </w:r>
    </w:p>
    <w:p w14:paraId="3C1F801B" w14:textId="77777777" w:rsidR="00FF5857" w:rsidRDefault="00FF5857" w:rsidP="00FF5857">
      <w:pPr>
        <w:spacing w:before="120"/>
        <w:ind w:left="425" w:hanging="425"/>
        <w:jc w:val="both"/>
        <w:rPr>
          <w:bCs/>
          <w:szCs w:val="24"/>
        </w:rPr>
      </w:pPr>
      <w:r>
        <w:rPr>
          <w:bCs/>
          <w:szCs w:val="24"/>
        </w:rPr>
        <w:t>10. Zawiera propozycje z</w:t>
      </w:r>
      <w:r w:rsidRPr="00A87EBB">
        <w:rPr>
          <w:bCs/>
          <w:szCs w:val="24"/>
        </w:rPr>
        <w:t xml:space="preserve">mian w ustawie z dnia 6 czerwca 2018 r. </w:t>
      </w:r>
      <w:r w:rsidRPr="00A87EBB">
        <w:rPr>
          <w:bCs/>
          <w:i/>
          <w:szCs w:val="24"/>
        </w:rPr>
        <w:t>o zmianie ustawy o</w:t>
      </w:r>
      <w:r>
        <w:rPr>
          <w:bCs/>
          <w:i/>
          <w:szCs w:val="24"/>
        </w:rPr>
        <w:t> </w:t>
      </w:r>
      <w:r w:rsidRPr="00A87EBB">
        <w:rPr>
          <w:bCs/>
          <w:i/>
          <w:szCs w:val="24"/>
        </w:rPr>
        <w:t>biokomponentach i biopaliwach ciekłych oraz niektórych innych ustaw</w:t>
      </w:r>
      <w:r w:rsidRPr="00A87EBB">
        <w:rPr>
          <w:bCs/>
          <w:szCs w:val="24"/>
        </w:rPr>
        <w:t xml:space="preserve"> (Dz. U. 2018 r.</w:t>
      </w:r>
      <w:r>
        <w:rPr>
          <w:bCs/>
          <w:szCs w:val="24"/>
        </w:rPr>
        <w:t> </w:t>
      </w:r>
      <w:r w:rsidRPr="00A87EBB">
        <w:rPr>
          <w:bCs/>
          <w:szCs w:val="24"/>
        </w:rPr>
        <w:t>poz. 1356</w:t>
      </w:r>
      <w:r w:rsidRPr="0030538B">
        <w:rPr>
          <w:bCs/>
          <w:szCs w:val="24"/>
        </w:rPr>
        <w:t xml:space="preserve"> </w:t>
      </w:r>
      <w:r>
        <w:rPr>
          <w:bCs/>
          <w:szCs w:val="24"/>
        </w:rPr>
        <w:t>i 2533 oraz z 2019 r. poz. 412</w:t>
      </w:r>
      <w:r w:rsidRPr="00A87EBB">
        <w:rPr>
          <w:bCs/>
          <w:szCs w:val="24"/>
        </w:rPr>
        <w:t>)</w:t>
      </w:r>
      <w:r w:rsidRPr="005E0254">
        <w:rPr>
          <w:bCs/>
          <w:szCs w:val="24"/>
        </w:rPr>
        <w:t xml:space="preserve"> </w:t>
      </w:r>
      <w:r>
        <w:rPr>
          <w:bCs/>
          <w:szCs w:val="24"/>
        </w:rPr>
        <w:t>– określające zasady dotyczące stosowania mechanizmów wsparcia w ramach Funduszu związane z pomocą publiczną</w:t>
      </w:r>
      <w:r w:rsidRPr="00A87EBB">
        <w:rPr>
          <w:bCs/>
          <w:szCs w:val="24"/>
        </w:rPr>
        <w:t>.</w:t>
      </w:r>
    </w:p>
    <w:p w14:paraId="1F825CE2" w14:textId="77777777" w:rsidR="00FF5857" w:rsidRDefault="00FF5857" w:rsidP="00FF5857">
      <w:pPr>
        <w:ind w:left="426" w:hanging="426"/>
        <w:jc w:val="both"/>
        <w:rPr>
          <w:bCs/>
          <w:szCs w:val="24"/>
        </w:rPr>
      </w:pPr>
      <w:r>
        <w:rPr>
          <w:bCs/>
          <w:szCs w:val="24"/>
        </w:rPr>
        <w:t xml:space="preserve">11. </w:t>
      </w:r>
      <w:r w:rsidRPr="006376ED">
        <w:rPr>
          <w:bCs/>
          <w:szCs w:val="24"/>
        </w:rPr>
        <w:t>Zawiera propozycje zmian</w:t>
      </w:r>
      <w:r>
        <w:rPr>
          <w:bCs/>
          <w:szCs w:val="24"/>
        </w:rPr>
        <w:t>y</w:t>
      </w:r>
      <w:r w:rsidRPr="006376ED">
        <w:rPr>
          <w:bCs/>
          <w:szCs w:val="24"/>
        </w:rPr>
        <w:t xml:space="preserve"> </w:t>
      </w:r>
      <w:r w:rsidRPr="00932CF6">
        <w:rPr>
          <w:bCs/>
          <w:szCs w:val="24"/>
        </w:rPr>
        <w:t xml:space="preserve">w ustawie z dnia 24 lipca 2015 r. </w:t>
      </w:r>
      <w:r w:rsidRPr="00932CF6">
        <w:rPr>
          <w:bCs/>
          <w:i/>
          <w:szCs w:val="24"/>
        </w:rPr>
        <w:t>o zmianie ustawy o systemie monitorowania i kontrolowania jakości paliw</w:t>
      </w:r>
      <w:r w:rsidRPr="00932CF6">
        <w:rPr>
          <w:bCs/>
          <w:szCs w:val="24"/>
        </w:rPr>
        <w:t xml:space="preserve"> (Dz. U. poz. 1361)</w:t>
      </w:r>
      <w:r>
        <w:rPr>
          <w:bCs/>
          <w:szCs w:val="24"/>
        </w:rPr>
        <w:t xml:space="preserve"> – terminu wydania rozporządzeń wykonawczych dotyczących innych paliw odnawialnych oraz skroplonego gazu ziemnego (LNG)</w:t>
      </w:r>
      <w:r w:rsidRPr="00932CF6">
        <w:rPr>
          <w:bCs/>
          <w:szCs w:val="24"/>
        </w:rPr>
        <w:t>.</w:t>
      </w:r>
    </w:p>
    <w:p w14:paraId="6732121B" w14:textId="77777777" w:rsidR="00FF5857" w:rsidRPr="00A87EBB" w:rsidRDefault="00FF5857" w:rsidP="00FF5857">
      <w:pPr>
        <w:ind w:left="426" w:hanging="426"/>
        <w:jc w:val="both"/>
        <w:rPr>
          <w:bCs/>
        </w:rPr>
      </w:pPr>
      <w:r>
        <w:rPr>
          <w:bCs/>
          <w:szCs w:val="24"/>
        </w:rPr>
        <w:t>12. Wprowadza z</w:t>
      </w:r>
      <w:r w:rsidRPr="00A87EBB">
        <w:rPr>
          <w:bCs/>
          <w:szCs w:val="24"/>
        </w:rPr>
        <w:t>miany porządkowe i dostosowawcze.</w:t>
      </w:r>
    </w:p>
    <w:p w14:paraId="06ED8502" w14:textId="77777777" w:rsidR="00FF5857" w:rsidRPr="00A87EBB" w:rsidRDefault="00FF5857" w:rsidP="00FF5857">
      <w:pPr>
        <w:ind w:left="426" w:hanging="426"/>
        <w:jc w:val="both"/>
      </w:pPr>
    </w:p>
    <w:p w14:paraId="6114401E" w14:textId="77777777" w:rsidR="00FF5857" w:rsidRPr="007A1E7D" w:rsidRDefault="00FF5857" w:rsidP="00FF5857">
      <w:pPr>
        <w:spacing w:before="120"/>
        <w:ind w:firstLine="708"/>
        <w:jc w:val="both"/>
        <w:rPr>
          <w:color w:val="000000"/>
          <w:szCs w:val="24"/>
        </w:rPr>
      </w:pPr>
      <w:r w:rsidRPr="007A1E7D">
        <w:rPr>
          <w:color w:val="000000"/>
          <w:szCs w:val="24"/>
        </w:rPr>
        <w:t xml:space="preserve">Projekt ustawy stanowi odpowiedź na postulaty branżowe przedkładane Ministrowi Energii przez podmioty zajmujące się </w:t>
      </w:r>
      <w:r>
        <w:rPr>
          <w:color w:val="000000"/>
          <w:szCs w:val="24"/>
        </w:rPr>
        <w:t>produkcją oraz importem/nabyciem wewnątrzwspólnotowym</w:t>
      </w:r>
      <w:r w:rsidRPr="007A1E7D">
        <w:rPr>
          <w:color w:val="000000"/>
          <w:szCs w:val="24"/>
        </w:rPr>
        <w:t xml:space="preserve"> paliw ciekły</w:t>
      </w:r>
      <w:r>
        <w:rPr>
          <w:color w:val="000000"/>
          <w:szCs w:val="24"/>
        </w:rPr>
        <w:t>ch</w:t>
      </w:r>
      <w:r w:rsidRPr="007A1E7D">
        <w:rPr>
          <w:color w:val="000000"/>
          <w:szCs w:val="24"/>
        </w:rPr>
        <w:t xml:space="preserve"> </w:t>
      </w:r>
      <w:r>
        <w:rPr>
          <w:color w:val="000000"/>
          <w:szCs w:val="24"/>
        </w:rPr>
        <w:t>a także</w:t>
      </w:r>
      <w:r w:rsidRPr="007A1E7D">
        <w:rPr>
          <w:color w:val="000000"/>
          <w:szCs w:val="24"/>
        </w:rPr>
        <w:t xml:space="preserve"> wytwarzaniem bio</w:t>
      </w:r>
      <w:r w:rsidRPr="00A43FFC">
        <w:rPr>
          <w:color w:val="000000"/>
          <w:szCs w:val="24"/>
        </w:rPr>
        <w:t xml:space="preserve">komponentów stosowanych do realizacji NCW. Efektem przeprowadzonej analizy sektora jest propozycja </w:t>
      </w:r>
      <w:r w:rsidRPr="0090765C">
        <w:rPr>
          <w:color w:val="000000"/>
          <w:szCs w:val="24"/>
        </w:rPr>
        <w:t xml:space="preserve">nowelizacji ustawy z dnia 25 sierpnia 2006 r. </w:t>
      </w:r>
      <w:r w:rsidRPr="0090765C">
        <w:rPr>
          <w:i/>
          <w:color w:val="000000"/>
          <w:szCs w:val="24"/>
        </w:rPr>
        <w:t xml:space="preserve">o biokomponentach i biopaliwach ciekłych, </w:t>
      </w:r>
      <w:r w:rsidRPr="0090765C">
        <w:rPr>
          <w:color w:val="000000"/>
          <w:szCs w:val="24"/>
        </w:rPr>
        <w:t>która w sposób kompleksowy</w:t>
      </w:r>
      <w:r w:rsidRPr="007A1E7D">
        <w:rPr>
          <w:color w:val="000000"/>
          <w:szCs w:val="24"/>
        </w:rPr>
        <w:t xml:space="preserve"> reguluje kwestie dotyczące charakteru oraz poziomu obowiązków NCW w</w:t>
      </w:r>
      <w:r>
        <w:rPr>
          <w:color w:val="000000"/>
          <w:szCs w:val="24"/>
        </w:rPr>
        <w:t> </w:t>
      </w:r>
      <w:r w:rsidRPr="007A1E7D">
        <w:rPr>
          <w:color w:val="000000"/>
          <w:szCs w:val="24"/>
        </w:rPr>
        <w:t>latach 2020-2024.</w:t>
      </w:r>
    </w:p>
    <w:p w14:paraId="60ECA70C" w14:textId="77777777" w:rsidR="00FF5857" w:rsidRDefault="00FF5857" w:rsidP="00FF5857">
      <w:pPr>
        <w:spacing w:after="120"/>
        <w:ind w:firstLine="708"/>
        <w:jc w:val="both"/>
        <w:rPr>
          <w:szCs w:val="24"/>
        </w:rPr>
      </w:pPr>
      <w:r w:rsidRPr="0090765C">
        <w:rPr>
          <w:szCs w:val="24"/>
        </w:rPr>
        <w:t>Obowiązek NCW</w:t>
      </w:r>
      <w:r>
        <w:rPr>
          <w:szCs w:val="24"/>
        </w:rPr>
        <w:t xml:space="preserve"> jest jednym z kilku instrumentów realizacji celu OZE w transporcie i </w:t>
      </w:r>
      <w:r w:rsidRPr="0090765C">
        <w:rPr>
          <w:szCs w:val="24"/>
        </w:rPr>
        <w:t>obejmuje przede wszystkim konieczność stosowania biokomponentów w paliwach ciekłych i</w:t>
      </w:r>
      <w:r>
        <w:rPr>
          <w:szCs w:val="24"/>
        </w:rPr>
        <w:t> </w:t>
      </w:r>
      <w:r w:rsidRPr="0090765C">
        <w:rPr>
          <w:szCs w:val="24"/>
        </w:rPr>
        <w:t>biopaliwach ciekłych</w:t>
      </w:r>
      <w:r>
        <w:rPr>
          <w:szCs w:val="24"/>
        </w:rPr>
        <w:t xml:space="preserve">. Poza obowiązkiem NCW cel OZE w transporcie, o którym mowa w art. 3 ust. 4 </w:t>
      </w:r>
      <w:r w:rsidRPr="00A87EBB">
        <w:rPr>
          <w:rFonts w:eastAsia="Calibri"/>
          <w:szCs w:val="24"/>
        </w:rPr>
        <w:t>dyrektywy Parlamentu Europejskiego i</w:t>
      </w:r>
      <w:r>
        <w:rPr>
          <w:rFonts w:eastAsia="Calibri"/>
          <w:szCs w:val="24"/>
        </w:rPr>
        <w:t> </w:t>
      </w:r>
      <w:r w:rsidRPr="00A87EBB">
        <w:rPr>
          <w:rFonts w:eastAsia="Calibri"/>
          <w:szCs w:val="24"/>
        </w:rPr>
        <w:t xml:space="preserve">Rady 2009/28/WE z dnia 23 kwietnia 2009 r. </w:t>
      </w:r>
      <w:r w:rsidRPr="00A87EBB">
        <w:rPr>
          <w:rFonts w:eastAsia="Calibri"/>
          <w:i/>
          <w:szCs w:val="24"/>
        </w:rPr>
        <w:t xml:space="preserve">w sprawie promowania stosowania energii ze źródeł odnawialnych zmieniającej i w następstwie uchylającej dyrektywy 2001/77/WE oraz 2003/30/WE </w:t>
      </w:r>
      <w:r w:rsidRPr="00A87EBB">
        <w:rPr>
          <w:rFonts w:eastAsia="Calibri"/>
          <w:szCs w:val="24"/>
        </w:rPr>
        <w:t xml:space="preserve">(dalej „dyrektywa </w:t>
      </w:r>
      <w:r w:rsidRPr="00A87EBB">
        <w:rPr>
          <w:color w:val="000000"/>
          <w:szCs w:val="24"/>
        </w:rPr>
        <w:t>2009/28/WE</w:t>
      </w:r>
      <w:r w:rsidRPr="00A87EBB">
        <w:rPr>
          <w:rFonts w:eastAsia="Calibri"/>
          <w:szCs w:val="24"/>
        </w:rPr>
        <w:t>”)</w:t>
      </w:r>
      <w:r>
        <w:rPr>
          <w:szCs w:val="24"/>
        </w:rPr>
        <w:t xml:space="preserve"> wypełniany jest przez wykorzystanie energii odnawialnej elektrycznej w transportach: drogowym, kolejowym i pozostałych oraz na skutek prowadzenia obróbki statystycznej danych dotyczącej rynku konsumpcji paliw transportowych.</w:t>
      </w:r>
    </w:p>
    <w:p w14:paraId="71D163A1" w14:textId="77777777" w:rsidR="00FF5857" w:rsidRPr="0090765C" w:rsidRDefault="00FF5857" w:rsidP="00FF5857">
      <w:pPr>
        <w:spacing w:after="120"/>
        <w:ind w:firstLine="708"/>
        <w:jc w:val="both"/>
        <w:rPr>
          <w:color w:val="000000"/>
          <w:szCs w:val="24"/>
        </w:rPr>
      </w:pPr>
      <w:r>
        <w:rPr>
          <w:szCs w:val="24"/>
        </w:rPr>
        <w:lastRenderedPageBreak/>
        <w:t>Natomiast jeżeli chodzi o NCW należy mieć na uwadze, że ilość wykorzystania biokomponentów w paliwach ciekłych lub biopaliwach ciekłych jest</w:t>
      </w:r>
      <w:r w:rsidRPr="0090765C">
        <w:rPr>
          <w:szCs w:val="24"/>
        </w:rPr>
        <w:t xml:space="preserve"> </w:t>
      </w:r>
      <w:r>
        <w:rPr>
          <w:szCs w:val="24"/>
        </w:rPr>
        <w:t xml:space="preserve">wprost </w:t>
      </w:r>
      <w:r w:rsidRPr="0090765C">
        <w:rPr>
          <w:szCs w:val="24"/>
        </w:rPr>
        <w:t>uzależnion</w:t>
      </w:r>
      <w:r>
        <w:rPr>
          <w:szCs w:val="24"/>
        </w:rPr>
        <w:t>a</w:t>
      </w:r>
      <w:r w:rsidRPr="0090765C">
        <w:rPr>
          <w:szCs w:val="24"/>
        </w:rPr>
        <w:t xml:space="preserve"> od poziomu konsumpcji paliw transportowych w kraju. W tym zakresie obserwowany jest natomiast od września 2016 r. </w:t>
      </w:r>
      <w:r w:rsidRPr="00A918C2">
        <w:rPr>
          <w:szCs w:val="24"/>
        </w:rPr>
        <w:t xml:space="preserve">dynamiczny wzrost </w:t>
      </w:r>
      <w:r>
        <w:rPr>
          <w:szCs w:val="24"/>
        </w:rPr>
        <w:t xml:space="preserve">konsumpcji paliw </w:t>
      </w:r>
      <w:r w:rsidRPr="0090765C">
        <w:rPr>
          <w:szCs w:val="24"/>
        </w:rPr>
        <w:t xml:space="preserve">będący </w:t>
      </w:r>
      <w:r>
        <w:rPr>
          <w:szCs w:val="24"/>
        </w:rPr>
        <w:t xml:space="preserve">efektem przeprowadzenia skutecznych </w:t>
      </w:r>
      <w:r w:rsidRPr="007A1E7D">
        <w:rPr>
          <w:szCs w:val="24"/>
        </w:rPr>
        <w:t xml:space="preserve">działań </w:t>
      </w:r>
      <w:r>
        <w:rPr>
          <w:szCs w:val="24"/>
        </w:rPr>
        <w:t>R</w:t>
      </w:r>
      <w:r w:rsidRPr="0090765C">
        <w:rPr>
          <w:szCs w:val="24"/>
        </w:rPr>
        <w:t xml:space="preserve">ządu </w:t>
      </w:r>
      <w:r>
        <w:rPr>
          <w:szCs w:val="24"/>
        </w:rPr>
        <w:t xml:space="preserve">RP mających na celu ograniczenie </w:t>
      </w:r>
      <w:r w:rsidRPr="0090765C">
        <w:rPr>
          <w:szCs w:val="24"/>
        </w:rPr>
        <w:t xml:space="preserve">funkcjonowania tzw. </w:t>
      </w:r>
      <w:r w:rsidRPr="0090765C">
        <w:rPr>
          <w:i/>
          <w:szCs w:val="24"/>
        </w:rPr>
        <w:t>szarej strefy</w:t>
      </w:r>
      <w:r w:rsidRPr="0090765C">
        <w:rPr>
          <w:szCs w:val="24"/>
        </w:rPr>
        <w:t xml:space="preserve">. Efektem wprowadzonych regulacji prawnych jest </w:t>
      </w:r>
      <w:r>
        <w:rPr>
          <w:szCs w:val="24"/>
        </w:rPr>
        <w:t xml:space="preserve">m.in. dynamiczny wzrost </w:t>
      </w:r>
      <w:r w:rsidRPr="0090765C">
        <w:rPr>
          <w:szCs w:val="24"/>
        </w:rPr>
        <w:t>konsumpcji oleju napędowego o 49,6% (z 11,5 mln ton w 2015 do 17,2 mln ton w 2018 r.) oraz wzrost importu oleju napędowego, który wyniósł 444% (z 1 mln ton w</w:t>
      </w:r>
      <w:r>
        <w:rPr>
          <w:szCs w:val="24"/>
        </w:rPr>
        <w:t> </w:t>
      </w:r>
      <w:r w:rsidRPr="0090765C">
        <w:rPr>
          <w:szCs w:val="24"/>
        </w:rPr>
        <w:t>2015 r. do 4,7 mln ton w 2018 r.).</w:t>
      </w:r>
      <w:r>
        <w:rPr>
          <w:szCs w:val="24"/>
        </w:rPr>
        <w:t xml:space="preserve"> Kolejnym efektem zmian zachodzących w strukturze rynkowej jest również dynamiczny wzrost importu/nabycia wewnątrzwspólnotowego paliw ciekłych, które przykładowo w odniesieniu do oleju napędowego wzrosło w 2018 r. w porównaniu z 2015 r. o ok. 1,7 mln ton, powodując, że </w:t>
      </w:r>
      <w:r w:rsidRPr="0090765C">
        <w:rPr>
          <w:szCs w:val="24"/>
        </w:rPr>
        <w:t>stabilność sektora paliw</w:t>
      </w:r>
      <w:r>
        <w:rPr>
          <w:szCs w:val="24"/>
        </w:rPr>
        <w:t xml:space="preserve"> transportowych</w:t>
      </w:r>
      <w:r w:rsidRPr="0090765C">
        <w:rPr>
          <w:szCs w:val="24"/>
        </w:rPr>
        <w:t xml:space="preserve"> </w:t>
      </w:r>
      <w:r>
        <w:rPr>
          <w:szCs w:val="24"/>
        </w:rPr>
        <w:t xml:space="preserve">zarówno </w:t>
      </w:r>
      <w:r w:rsidRPr="0090765C">
        <w:rPr>
          <w:szCs w:val="24"/>
        </w:rPr>
        <w:t>obecnie</w:t>
      </w:r>
      <w:r>
        <w:rPr>
          <w:szCs w:val="24"/>
        </w:rPr>
        <w:t xml:space="preserve"> jak</w:t>
      </w:r>
      <w:r w:rsidRPr="0090765C">
        <w:rPr>
          <w:szCs w:val="24"/>
        </w:rPr>
        <w:t xml:space="preserve"> i</w:t>
      </w:r>
      <w:r>
        <w:rPr>
          <w:szCs w:val="24"/>
        </w:rPr>
        <w:t> </w:t>
      </w:r>
      <w:r w:rsidRPr="0090765C">
        <w:rPr>
          <w:szCs w:val="24"/>
        </w:rPr>
        <w:t>w</w:t>
      </w:r>
      <w:r>
        <w:rPr>
          <w:szCs w:val="24"/>
        </w:rPr>
        <w:t> </w:t>
      </w:r>
      <w:r w:rsidRPr="0090765C">
        <w:rPr>
          <w:szCs w:val="24"/>
        </w:rPr>
        <w:t xml:space="preserve">najbliższym czasie, jest </w:t>
      </w:r>
      <w:r>
        <w:rPr>
          <w:szCs w:val="24"/>
        </w:rPr>
        <w:t xml:space="preserve">znacznie bardziej </w:t>
      </w:r>
      <w:r w:rsidRPr="0090765C">
        <w:rPr>
          <w:szCs w:val="24"/>
        </w:rPr>
        <w:t xml:space="preserve">uzależniona od </w:t>
      </w:r>
      <w:r>
        <w:rPr>
          <w:szCs w:val="24"/>
        </w:rPr>
        <w:t xml:space="preserve">potencjału i </w:t>
      </w:r>
      <w:r w:rsidRPr="0090765C">
        <w:rPr>
          <w:szCs w:val="24"/>
        </w:rPr>
        <w:t xml:space="preserve">możliwości </w:t>
      </w:r>
      <w:r>
        <w:rPr>
          <w:szCs w:val="24"/>
        </w:rPr>
        <w:t xml:space="preserve">w zakresie </w:t>
      </w:r>
      <w:r w:rsidRPr="00A918C2">
        <w:rPr>
          <w:szCs w:val="24"/>
        </w:rPr>
        <w:t>sprowadza</w:t>
      </w:r>
      <w:r>
        <w:rPr>
          <w:szCs w:val="24"/>
        </w:rPr>
        <w:t>nia</w:t>
      </w:r>
      <w:r w:rsidRPr="0090765C">
        <w:rPr>
          <w:szCs w:val="24"/>
        </w:rPr>
        <w:t xml:space="preserve"> paliw z</w:t>
      </w:r>
      <w:r>
        <w:rPr>
          <w:szCs w:val="24"/>
        </w:rPr>
        <w:t> </w:t>
      </w:r>
      <w:r w:rsidRPr="0090765C">
        <w:rPr>
          <w:szCs w:val="24"/>
        </w:rPr>
        <w:t>zagranicy</w:t>
      </w:r>
      <w:r>
        <w:rPr>
          <w:szCs w:val="24"/>
        </w:rPr>
        <w:t xml:space="preserve"> niż dotychczas.</w:t>
      </w:r>
    </w:p>
    <w:p w14:paraId="08E80364" w14:textId="77F62F9B" w:rsidR="00FF5857" w:rsidRDefault="00FF5857" w:rsidP="00FF5857">
      <w:pPr>
        <w:spacing w:after="120"/>
        <w:ind w:firstLine="708"/>
        <w:jc w:val="both"/>
        <w:rPr>
          <w:szCs w:val="24"/>
        </w:rPr>
      </w:pPr>
      <w:r w:rsidRPr="0090765C">
        <w:rPr>
          <w:szCs w:val="24"/>
        </w:rPr>
        <w:t xml:space="preserve">Skuteczne ograniczenie tzw. </w:t>
      </w:r>
      <w:r w:rsidRPr="0090765C">
        <w:rPr>
          <w:i/>
          <w:szCs w:val="24"/>
        </w:rPr>
        <w:t xml:space="preserve">szarej strefy </w:t>
      </w:r>
      <w:r w:rsidRPr="0090765C">
        <w:rPr>
          <w:szCs w:val="24"/>
        </w:rPr>
        <w:t xml:space="preserve">w handlu paliwami oznacza </w:t>
      </w:r>
      <w:r>
        <w:rPr>
          <w:szCs w:val="24"/>
        </w:rPr>
        <w:t xml:space="preserve">m.in. </w:t>
      </w:r>
      <w:r w:rsidRPr="0090765C">
        <w:rPr>
          <w:szCs w:val="24"/>
        </w:rPr>
        <w:t xml:space="preserve">znaczące zwiększenie zapotrzebowania na pojemności magazynowe paliw ciekłych </w:t>
      </w:r>
      <w:r>
        <w:rPr>
          <w:szCs w:val="24"/>
        </w:rPr>
        <w:t>n</w:t>
      </w:r>
      <w:r w:rsidRPr="0090765C">
        <w:rPr>
          <w:szCs w:val="24"/>
        </w:rPr>
        <w:t>a potrzeb</w:t>
      </w:r>
      <w:r>
        <w:rPr>
          <w:szCs w:val="24"/>
        </w:rPr>
        <w:t>y</w:t>
      </w:r>
      <w:r w:rsidRPr="0090765C">
        <w:rPr>
          <w:szCs w:val="24"/>
        </w:rPr>
        <w:t xml:space="preserve"> obsługi rynku oraz tworzenia zapasów ropy na</w:t>
      </w:r>
      <w:r w:rsidRPr="007A1E7D">
        <w:rPr>
          <w:szCs w:val="24"/>
        </w:rPr>
        <w:t>ftowej, znacznie przekraczając</w:t>
      </w:r>
      <w:r>
        <w:rPr>
          <w:szCs w:val="24"/>
        </w:rPr>
        <w:t>e</w:t>
      </w:r>
      <w:r w:rsidRPr="0090765C">
        <w:rPr>
          <w:szCs w:val="24"/>
        </w:rPr>
        <w:t xml:space="preserve"> poziom dotychczasowych zdolności. Stąd w ramach </w:t>
      </w:r>
      <w:r w:rsidR="000308F2">
        <w:rPr>
          <w:szCs w:val="24"/>
        </w:rPr>
        <w:t>u</w:t>
      </w:r>
      <w:r w:rsidRPr="0090765C">
        <w:rPr>
          <w:szCs w:val="24"/>
        </w:rPr>
        <w:t xml:space="preserve">chwały </w:t>
      </w:r>
      <w:r>
        <w:rPr>
          <w:szCs w:val="24"/>
        </w:rPr>
        <w:t xml:space="preserve">nr 182/2017 </w:t>
      </w:r>
      <w:r w:rsidRPr="0090765C">
        <w:rPr>
          <w:szCs w:val="24"/>
        </w:rPr>
        <w:t>Rady Ministrów z dnia 28 listopada 2017 r. w sprawie przyjęcia: „</w:t>
      </w:r>
      <w:r w:rsidRPr="0090765C">
        <w:rPr>
          <w:i/>
          <w:szCs w:val="24"/>
        </w:rPr>
        <w:t>Polityki Rządu RP dla infrastruktury logistycznej w</w:t>
      </w:r>
      <w:r>
        <w:rPr>
          <w:i/>
          <w:szCs w:val="24"/>
        </w:rPr>
        <w:t> </w:t>
      </w:r>
      <w:r w:rsidRPr="0090765C">
        <w:rPr>
          <w:i/>
          <w:szCs w:val="24"/>
        </w:rPr>
        <w:t>sektorze naftowym</w:t>
      </w:r>
      <w:r w:rsidRPr="0090765C">
        <w:rPr>
          <w:szCs w:val="24"/>
        </w:rPr>
        <w:t>” za jeden z priorytetów uznano budowę oraz rozbudowę infrastruktury logistycznej paliw zapewniającej możliwość pokrycia bieżącego zapotrzebowania na usługi magazynowania i transpor</w:t>
      </w:r>
      <w:r w:rsidRPr="007A1E7D">
        <w:rPr>
          <w:szCs w:val="24"/>
        </w:rPr>
        <w:t>tu paliw ciekłych. Działania</w:t>
      </w:r>
      <w:r>
        <w:rPr>
          <w:szCs w:val="24"/>
        </w:rPr>
        <w:t xml:space="preserve">, które </w:t>
      </w:r>
      <w:r w:rsidRPr="0090765C">
        <w:rPr>
          <w:szCs w:val="24"/>
        </w:rPr>
        <w:t xml:space="preserve">są obecnie realizowane </w:t>
      </w:r>
      <w:r>
        <w:rPr>
          <w:szCs w:val="24"/>
        </w:rPr>
        <w:t xml:space="preserve">w tym zakresie z uwagi na skalę inwestycji stanowią istotne obciążenie finansowe Spółek Skarbu Państwa zaangażowanych w ten proces - </w:t>
      </w:r>
      <w:r w:rsidRPr="0090765C">
        <w:rPr>
          <w:szCs w:val="24"/>
        </w:rPr>
        <w:t>ale przede wszystkim wymagają czasu niezbędnego na przeprowadzenie</w:t>
      </w:r>
      <w:r>
        <w:rPr>
          <w:szCs w:val="24"/>
        </w:rPr>
        <w:t xml:space="preserve"> samych</w:t>
      </w:r>
      <w:r w:rsidRPr="0090765C">
        <w:rPr>
          <w:szCs w:val="24"/>
        </w:rPr>
        <w:t xml:space="preserve"> inwestycji.</w:t>
      </w:r>
    </w:p>
    <w:p w14:paraId="47D6B605" w14:textId="77777777" w:rsidR="00FF5857" w:rsidRDefault="00FF5857" w:rsidP="00FF5857">
      <w:pPr>
        <w:spacing w:after="120"/>
        <w:ind w:firstLine="708"/>
        <w:jc w:val="both"/>
        <w:rPr>
          <w:szCs w:val="24"/>
        </w:rPr>
      </w:pPr>
      <w:r>
        <w:rPr>
          <w:szCs w:val="24"/>
        </w:rPr>
        <w:t>Należy mieć na uwadze, iż r</w:t>
      </w:r>
      <w:r w:rsidRPr="00A918C2">
        <w:rPr>
          <w:szCs w:val="24"/>
        </w:rPr>
        <w:t>ównolegle</w:t>
      </w:r>
      <w:r w:rsidRPr="0090765C">
        <w:rPr>
          <w:szCs w:val="24"/>
        </w:rPr>
        <w:t xml:space="preserve"> wraz ze wzrostem </w:t>
      </w:r>
      <w:r>
        <w:rPr>
          <w:szCs w:val="24"/>
        </w:rPr>
        <w:t xml:space="preserve">konsumpcji </w:t>
      </w:r>
      <w:r w:rsidRPr="0090765C">
        <w:rPr>
          <w:szCs w:val="24"/>
        </w:rPr>
        <w:t>paliw</w:t>
      </w:r>
      <w:r>
        <w:rPr>
          <w:szCs w:val="24"/>
        </w:rPr>
        <w:t xml:space="preserve"> transportowych</w:t>
      </w:r>
      <w:r w:rsidRPr="0090765C">
        <w:rPr>
          <w:szCs w:val="24"/>
        </w:rPr>
        <w:t xml:space="preserve">, </w:t>
      </w:r>
      <w:r>
        <w:rPr>
          <w:szCs w:val="24"/>
        </w:rPr>
        <w:t>wzrasta wykorzystanie biokomponentów</w:t>
      </w:r>
      <w:r w:rsidRPr="0090765C">
        <w:rPr>
          <w:szCs w:val="24"/>
        </w:rPr>
        <w:t xml:space="preserve"> </w:t>
      </w:r>
      <w:r>
        <w:rPr>
          <w:szCs w:val="24"/>
        </w:rPr>
        <w:t>powodując</w:t>
      </w:r>
      <w:r w:rsidRPr="0090765C">
        <w:rPr>
          <w:szCs w:val="24"/>
        </w:rPr>
        <w:t xml:space="preserve"> konieczność dostosowania obecne</w:t>
      </w:r>
      <w:r w:rsidRPr="00A43FFC">
        <w:rPr>
          <w:szCs w:val="24"/>
        </w:rPr>
        <w:t>j logistyki</w:t>
      </w:r>
      <w:r>
        <w:rPr>
          <w:szCs w:val="24"/>
        </w:rPr>
        <w:t xml:space="preserve"> paliwowej</w:t>
      </w:r>
      <w:r w:rsidRPr="00A43FFC">
        <w:rPr>
          <w:szCs w:val="24"/>
        </w:rPr>
        <w:t xml:space="preserve"> </w:t>
      </w:r>
      <w:r>
        <w:rPr>
          <w:szCs w:val="24"/>
        </w:rPr>
        <w:t>w zakresie zapewnienia</w:t>
      </w:r>
      <w:r w:rsidRPr="0090765C">
        <w:rPr>
          <w:szCs w:val="24"/>
        </w:rPr>
        <w:t xml:space="preserve"> stabilnego dodawania biokomponentów do paliw ciekłych i/lub ich magazynowania w bazach paliw. </w:t>
      </w:r>
      <w:r>
        <w:rPr>
          <w:szCs w:val="24"/>
        </w:rPr>
        <w:t xml:space="preserve">Działania inwestycyjne w tym zakresie obejmują przede wszystkim: wyposażenie baz paliw w instalacje do komponowania biokomponentów, budowę dodatkowych zbiorników dla biokomponentów będące wynikiem powiększania zdolności magazynowych dla paliw ciekłych (rotacja) oraz </w:t>
      </w:r>
      <w:r>
        <w:rPr>
          <w:szCs w:val="24"/>
        </w:rPr>
        <w:lastRenderedPageBreak/>
        <w:t xml:space="preserve">stworzenie możliwości wprowadzania do obrotu dodatkowych rodzajów biokomponentów. Prowadzonym działaniom inwestycyjnym towarzyszą również zmiany w procesach logistycznych mające na celu zapewnienie stabilności i regularności dostaw biokomponentów do baz paliw (zarówno z kraju jak i z zagranicy – droga morska), co jest szczególnie istotne w kontekście prowadzenia konsekwentnej polityki w zakresie stosowania się do obowiązku dodawania biokomponentów do paliw ciekłych – oleju napędowego i benzyn silnikowych. </w:t>
      </w:r>
    </w:p>
    <w:p w14:paraId="1311BB7B" w14:textId="77777777" w:rsidR="00FF5857" w:rsidRDefault="00FF5857" w:rsidP="00FF5857">
      <w:pPr>
        <w:spacing w:after="120"/>
        <w:ind w:firstLine="708"/>
        <w:jc w:val="both"/>
        <w:rPr>
          <w:szCs w:val="24"/>
        </w:rPr>
      </w:pPr>
      <w:r w:rsidRPr="0090765C">
        <w:rPr>
          <w:szCs w:val="24"/>
        </w:rPr>
        <w:t xml:space="preserve">Pomimo, iż działania te są podejmowane od pewnego czasu </w:t>
      </w:r>
      <w:r>
        <w:rPr>
          <w:szCs w:val="24"/>
        </w:rPr>
        <w:t xml:space="preserve">zarówno </w:t>
      </w:r>
      <w:r w:rsidRPr="0090765C">
        <w:rPr>
          <w:szCs w:val="24"/>
        </w:rPr>
        <w:t>przez PERN S.A., P</w:t>
      </w:r>
      <w:r w:rsidRPr="00A918C2">
        <w:rPr>
          <w:szCs w:val="24"/>
        </w:rPr>
        <w:t xml:space="preserve">KN Orlen S.A., Lotos S.A. jak </w:t>
      </w:r>
      <w:r>
        <w:rPr>
          <w:szCs w:val="24"/>
        </w:rPr>
        <w:t xml:space="preserve">również </w:t>
      </w:r>
      <w:r w:rsidRPr="0090765C">
        <w:rPr>
          <w:szCs w:val="24"/>
        </w:rPr>
        <w:t xml:space="preserve">niezależnych operatorów paliwowych, </w:t>
      </w:r>
      <w:r>
        <w:rPr>
          <w:szCs w:val="24"/>
        </w:rPr>
        <w:t xml:space="preserve">z racji czasu potrzebnego na przeprowadzenie inwestycji, </w:t>
      </w:r>
      <w:r w:rsidRPr="0090765C">
        <w:rPr>
          <w:szCs w:val="24"/>
        </w:rPr>
        <w:t xml:space="preserve">efekty podejmowanych działań będą </w:t>
      </w:r>
      <w:r>
        <w:rPr>
          <w:szCs w:val="24"/>
        </w:rPr>
        <w:t xml:space="preserve">w pełni </w:t>
      </w:r>
      <w:r w:rsidRPr="0090765C">
        <w:rPr>
          <w:szCs w:val="24"/>
        </w:rPr>
        <w:t xml:space="preserve">widoczne w latach 2021-2023. </w:t>
      </w:r>
    </w:p>
    <w:p w14:paraId="2A52131C" w14:textId="77777777" w:rsidR="00FF5857" w:rsidRDefault="00FF5857" w:rsidP="00FF5857">
      <w:pPr>
        <w:spacing w:after="120"/>
        <w:ind w:firstLine="708"/>
        <w:jc w:val="both"/>
        <w:rPr>
          <w:szCs w:val="24"/>
        </w:rPr>
      </w:pPr>
      <w:r>
        <w:rPr>
          <w:szCs w:val="24"/>
        </w:rPr>
        <w:t xml:space="preserve">Zgodnie z wykazem prowadzonym przez Prezesa URE, na podstawie przepisów ustawy </w:t>
      </w:r>
      <w:r w:rsidRPr="0080100A">
        <w:rPr>
          <w:i/>
          <w:szCs w:val="24"/>
        </w:rPr>
        <w:t>o biokomponentach i biopaliwach ciekłych</w:t>
      </w:r>
      <w:r>
        <w:rPr>
          <w:szCs w:val="24"/>
        </w:rPr>
        <w:t xml:space="preserve"> w roku 2018 zidentyfikowanych zostało 20 podmiotów zobowiązanych do realizacji NCW (2017 r. – 19 podmiotów, 2016 r. – 25 podmiotów, 2015 – 19 podmiotów). Ponieważ rynek produkcji paliw ciekłych oraz ich importu lub nabycia wewnątrzwspólnotowego charakteryzuje się generalnie dużą koncentracją – znajduje to swoje odzwierciedlenie również w przypadku podmiotów realizujących NCW. Sytuacja ta objawia się m.in. tym, że za realizację NCW w kraju w ok. 85% odpowiadają PKN Orlen oraz Lotos SA. Pozostałe podmioty mają znacznie niższy udział rynkowy, nie przekraczający 3%, w tym co najmniej połowa wszystkich podmiotów realizujących NCW wykazuje się udziałem rynkowym, który nie przekracza jednego procenta rynku.</w:t>
      </w:r>
    </w:p>
    <w:p w14:paraId="29B3E035" w14:textId="77777777" w:rsidR="00FF5857" w:rsidRDefault="00FF5857" w:rsidP="00FF5857">
      <w:pPr>
        <w:spacing w:after="120"/>
        <w:ind w:firstLine="708"/>
        <w:jc w:val="both"/>
        <w:rPr>
          <w:szCs w:val="24"/>
        </w:rPr>
      </w:pPr>
      <w:r>
        <w:rPr>
          <w:szCs w:val="24"/>
        </w:rPr>
        <w:t>Podmioty realizujące NCW zgodnie z danymi Prezesa URE to przede wszystkim prywatne przedsiębiorstwa, z krajowym kapitałem. Tylko kilka z nich to np. przedstawicielstwa dużych sieci paliwowych z Europy Zachodniej, działających w kraju w formie spółek z o.o. lub oddziałów przedsiębiorcy zagranicznego działającego w kraju.</w:t>
      </w:r>
    </w:p>
    <w:p w14:paraId="74AD0C38" w14:textId="77777777" w:rsidR="00FF5857" w:rsidRDefault="00FF5857" w:rsidP="00FF5857">
      <w:pPr>
        <w:spacing w:after="120"/>
        <w:ind w:firstLine="708"/>
        <w:jc w:val="both"/>
        <w:rPr>
          <w:szCs w:val="24"/>
        </w:rPr>
      </w:pPr>
      <w:r>
        <w:rPr>
          <w:szCs w:val="24"/>
        </w:rPr>
        <w:t xml:space="preserve">Co również istotne z punktu widzenia realizacji obowiązków NCW, w szczególności tzw. </w:t>
      </w:r>
      <w:r w:rsidRPr="0080100A">
        <w:rPr>
          <w:i/>
          <w:szCs w:val="24"/>
        </w:rPr>
        <w:t xml:space="preserve">obligatoryjnego </w:t>
      </w:r>
      <w:proofErr w:type="spellStart"/>
      <w:r w:rsidRPr="0080100A">
        <w:rPr>
          <w:i/>
          <w:szCs w:val="24"/>
        </w:rPr>
        <w:t>blendingu</w:t>
      </w:r>
      <w:proofErr w:type="spellEnd"/>
      <w:r>
        <w:rPr>
          <w:szCs w:val="24"/>
        </w:rPr>
        <w:t>, zaledwie kilka z podmiotów realizujących NCW dysponuje aktualnie własną infrastrukturą paliwową w obszarze magazynowania paliw ciekłych, która pozwala działać tym firmom w pełni niezależnie od sektora przedsiębiorców dysponujących koncesjami MPC oferujących usługi magazynowania i/lub przeładunku oleju napędowego i benzyn silnikowych.</w:t>
      </w:r>
    </w:p>
    <w:p w14:paraId="2DBABEAD" w14:textId="77777777" w:rsidR="00FF5857" w:rsidRDefault="00FF5857" w:rsidP="00FF5857">
      <w:pPr>
        <w:spacing w:after="120"/>
        <w:ind w:firstLine="708"/>
        <w:jc w:val="both"/>
        <w:rPr>
          <w:szCs w:val="24"/>
        </w:rPr>
      </w:pPr>
      <w:r>
        <w:rPr>
          <w:szCs w:val="24"/>
        </w:rPr>
        <w:t xml:space="preserve">Również, jeżeli chodzi o dostępność do infrastruktury wytwarzającej biokomponenty, tylko niewielka ilość podmiotów realizujących NCW posiada własne zdolności produkcyjne </w:t>
      </w:r>
      <w:r>
        <w:rPr>
          <w:szCs w:val="24"/>
        </w:rPr>
        <w:lastRenderedPageBreak/>
        <w:t xml:space="preserve">w zakresie wytwarzania estrów lub bioetanolu. Zdolności te jednak nie są wystarczające do pełnego pokrycia zapotrzebowania tych podmiotów. Dodatkowo krajowi producenci paliw (PKN Orlen oraz Lotos SA) dysponują potencjałem możliwym do wykorzystania w zakresie uruchomienia produkcji </w:t>
      </w:r>
      <w:proofErr w:type="spellStart"/>
      <w:r>
        <w:rPr>
          <w:szCs w:val="24"/>
        </w:rPr>
        <w:t>biowęglowodorów</w:t>
      </w:r>
      <w:proofErr w:type="spellEnd"/>
      <w:r>
        <w:rPr>
          <w:szCs w:val="24"/>
        </w:rPr>
        <w:t xml:space="preserve"> ciekłych w oparciu o technologię </w:t>
      </w:r>
      <w:proofErr w:type="spellStart"/>
      <w:r>
        <w:rPr>
          <w:szCs w:val="24"/>
        </w:rPr>
        <w:t>współuwodornienia</w:t>
      </w:r>
      <w:proofErr w:type="spellEnd"/>
      <w:r>
        <w:rPr>
          <w:szCs w:val="24"/>
        </w:rPr>
        <w:t xml:space="preserve">, którą mogą wdrożyć na własnych instalacjach służących do przerobu ropy naftowej. </w:t>
      </w:r>
    </w:p>
    <w:p w14:paraId="7031AFE9" w14:textId="77777777" w:rsidR="00FF5857" w:rsidRDefault="00FF5857" w:rsidP="00FF5857">
      <w:pPr>
        <w:spacing w:after="120"/>
        <w:ind w:firstLine="708"/>
        <w:jc w:val="both"/>
        <w:rPr>
          <w:szCs w:val="24"/>
        </w:rPr>
      </w:pPr>
      <w:r>
        <w:rPr>
          <w:szCs w:val="24"/>
        </w:rPr>
        <w:t xml:space="preserve">Powyższa analiza struktury oraz potencjału podmiotów realizujących NCW wyraźnie wskazuje, że sytuacja w zakresie skali prowadzonej działalności, potencjału finansowego jak również rynkowego oraz dostępności do infrastruktury ułatwiającej realizację NCW (w tym obligatoryjnego </w:t>
      </w:r>
      <w:proofErr w:type="spellStart"/>
      <w:r>
        <w:rPr>
          <w:szCs w:val="24"/>
        </w:rPr>
        <w:t>blendingu</w:t>
      </w:r>
      <w:proofErr w:type="spellEnd"/>
      <w:r>
        <w:rPr>
          <w:szCs w:val="24"/>
        </w:rPr>
        <w:t xml:space="preserve">) tych przedsiębiorców jest mocno zróżnicowana. </w:t>
      </w:r>
    </w:p>
    <w:p w14:paraId="3D367F45" w14:textId="77777777" w:rsidR="00FF5857" w:rsidRPr="00D5668A" w:rsidRDefault="00FF5857" w:rsidP="00FF5857">
      <w:pPr>
        <w:spacing w:after="120"/>
        <w:ind w:firstLine="708"/>
        <w:jc w:val="both"/>
        <w:rPr>
          <w:szCs w:val="24"/>
        </w:rPr>
      </w:pPr>
      <w:r w:rsidRPr="00543708">
        <w:rPr>
          <w:szCs w:val="24"/>
        </w:rPr>
        <w:t>Dynamikę, udział oraz rodzaje biokomponentów wykorzystywanych do realizacji NCW w latach 2008-201</w:t>
      </w:r>
      <w:r>
        <w:rPr>
          <w:szCs w:val="24"/>
        </w:rPr>
        <w:t>8</w:t>
      </w:r>
      <w:r w:rsidRPr="00543708">
        <w:rPr>
          <w:szCs w:val="24"/>
        </w:rPr>
        <w:t xml:space="preserve"> prezentuje poniższa tabela</w:t>
      </w:r>
      <w:r>
        <w:rPr>
          <w:szCs w:val="24"/>
        </w:rPr>
        <w:t xml:space="preserve"> sporządzona w oparciu o dane przekazywane w sprawozdaniach rocznych podmiotów realizujących NCW przekazywanych do Prezesa URE. </w:t>
      </w:r>
    </w:p>
    <w:tbl>
      <w:tblPr>
        <w:tblW w:w="8982" w:type="dxa"/>
        <w:tblInd w:w="80" w:type="dxa"/>
        <w:tblCellMar>
          <w:left w:w="70" w:type="dxa"/>
          <w:right w:w="70" w:type="dxa"/>
        </w:tblCellMar>
        <w:tblLook w:val="04A0" w:firstRow="1" w:lastRow="0" w:firstColumn="1" w:lastColumn="0" w:noHBand="0" w:noVBand="1"/>
      </w:tblPr>
      <w:tblGrid>
        <w:gridCol w:w="960"/>
        <w:gridCol w:w="1413"/>
        <w:gridCol w:w="1535"/>
        <w:gridCol w:w="1052"/>
        <w:gridCol w:w="1544"/>
        <w:gridCol w:w="1132"/>
        <w:gridCol w:w="1346"/>
      </w:tblGrid>
      <w:tr w:rsidR="00FF5857" w:rsidRPr="007C62C8" w14:paraId="1BA100A0" w14:textId="77777777" w:rsidTr="000308F2">
        <w:trPr>
          <w:trHeight w:val="300"/>
        </w:trPr>
        <w:tc>
          <w:tcPr>
            <w:tcW w:w="960" w:type="dxa"/>
            <w:vMerge w:val="restart"/>
            <w:tcBorders>
              <w:top w:val="single" w:sz="8" w:space="0" w:color="auto"/>
              <w:left w:val="single" w:sz="8" w:space="0" w:color="auto"/>
              <w:bottom w:val="nil"/>
              <w:right w:val="single" w:sz="8" w:space="0" w:color="auto"/>
            </w:tcBorders>
            <w:shd w:val="clear" w:color="auto" w:fill="auto"/>
            <w:vAlign w:val="bottom"/>
            <w:hideMark/>
          </w:tcPr>
          <w:p w14:paraId="6EBD5D32" w14:textId="77777777" w:rsidR="00FF5857" w:rsidRPr="00543708" w:rsidRDefault="00FF5857" w:rsidP="000308F2">
            <w:pPr>
              <w:spacing w:line="240" w:lineRule="auto"/>
              <w:jc w:val="center"/>
              <w:rPr>
                <w:sz w:val="20"/>
              </w:rPr>
            </w:pPr>
            <w:r w:rsidRPr="00543708">
              <w:rPr>
                <w:sz w:val="20"/>
              </w:rPr>
              <w:t> </w:t>
            </w:r>
          </w:p>
        </w:tc>
        <w:tc>
          <w:tcPr>
            <w:tcW w:w="8022" w:type="dxa"/>
            <w:gridSpan w:val="6"/>
            <w:tcBorders>
              <w:top w:val="single" w:sz="8" w:space="0" w:color="auto"/>
              <w:left w:val="nil"/>
              <w:bottom w:val="nil"/>
              <w:right w:val="single" w:sz="8" w:space="0" w:color="000000"/>
            </w:tcBorders>
            <w:shd w:val="clear" w:color="auto" w:fill="auto"/>
            <w:noWrap/>
            <w:vAlign w:val="bottom"/>
            <w:hideMark/>
          </w:tcPr>
          <w:p w14:paraId="71AD2CEA" w14:textId="77777777" w:rsidR="00FF5857" w:rsidRPr="00543708" w:rsidRDefault="00FF5857" w:rsidP="000308F2">
            <w:pPr>
              <w:spacing w:line="240" w:lineRule="auto"/>
              <w:jc w:val="center"/>
              <w:rPr>
                <w:sz w:val="20"/>
              </w:rPr>
            </w:pPr>
            <w:r w:rsidRPr="00543708">
              <w:rPr>
                <w:sz w:val="20"/>
              </w:rPr>
              <w:t>zużycie w transporcie [tys. ton]</w:t>
            </w:r>
          </w:p>
        </w:tc>
      </w:tr>
      <w:tr w:rsidR="00FF5857" w:rsidRPr="007C62C8" w14:paraId="0F65C55F" w14:textId="77777777" w:rsidTr="000308F2">
        <w:trPr>
          <w:trHeight w:val="600"/>
        </w:trPr>
        <w:tc>
          <w:tcPr>
            <w:tcW w:w="960" w:type="dxa"/>
            <w:vMerge/>
            <w:tcBorders>
              <w:top w:val="single" w:sz="8" w:space="0" w:color="auto"/>
              <w:left w:val="single" w:sz="8" w:space="0" w:color="auto"/>
              <w:bottom w:val="nil"/>
              <w:right w:val="single" w:sz="8" w:space="0" w:color="auto"/>
            </w:tcBorders>
            <w:vAlign w:val="center"/>
            <w:hideMark/>
          </w:tcPr>
          <w:p w14:paraId="0AA1B818" w14:textId="77777777" w:rsidR="00FF5857" w:rsidRPr="00543708" w:rsidRDefault="00FF5857" w:rsidP="000308F2">
            <w:pPr>
              <w:spacing w:line="240" w:lineRule="auto"/>
              <w:rPr>
                <w:sz w:val="20"/>
              </w:rPr>
            </w:pPr>
          </w:p>
        </w:tc>
        <w:tc>
          <w:tcPr>
            <w:tcW w:w="1413" w:type="dxa"/>
            <w:tcBorders>
              <w:top w:val="single" w:sz="8" w:space="0" w:color="auto"/>
              <w:left w:val="nil"/>
              <w:bottom w:val="single" w:sz="8" w:space="0" w:color="auto"/>
              <w:right w:val="single" w:sz="8" w:space="0" w:color="auto"/>
            </w:tcBorders>
            <w:shd w:val="clear" w:color="auto" w:fill="auto"/>
            <w:vAlign w:val="center"/>
            <w:hideMark/>
          </w:tcPr>
          <w:p w14:paraId="79202C82" w14:textId="77777777" w:rsidR="00FF5857" w:rsidRPr="00543708" w:rsidRDefault="00FF5857" w:rsidP="000308F2">
            <w:pPr>
              <w:spacing w:line="240" w:lineRule="auto"/>
              <w:jc w:val="center"/>
              <w:rPr>
                <w:sz w:val="20"/>
              </w:rPr>
            </w:pPr>
            <w:r w:rsidRPr="00543708">
              <w:rPr>
                <w:sz w:val="20"/>
              </w:rPr>
              <w:t>benzyny silnikowe</w:t>
            </w:r>
          </w:p>
        </w:tc>
        <w:tc>
          <w:tcPr>
            <w:tcW w:w="1535" w:type="dxa"/>
            <w:tcBorders>
              <w:top w:val="single" w:sz="8" w:space="0" w:color="auto"/>
              <w:left w:val="nil"/>
              <w:bottom w:val="single" w:sz="8" w:space="0" w:color="auto"/>
              <w:right w:val="single" w:sz="8" w:space="0" w:color="auto"/>
            </w:tcBorders>
            <w:shd w:val="clear" w:color="auto" w:fill="auto"/>
            <w:vAlign w:val="center"/>
            <w:hideMark/>
          </w:tcPr>
          <w:p w14:paraId="6258757B" w14:textId="77777777" w:rsidR="00FF5857" w:rsidRPr="00543708" w:rsidRDefault="00FF5857" w:rsidP="000308F2">
            <w:pPr>
              <w:spacing w:line="240" w:lineRule="auto"/>
              <w:jc w:val="center"/>
              <w:rPr>
                <w:sz w:val="20"/>
              </w:rPr>
            </w:pPr>
            <w:r w:rsidRPr="00543708">
              <w:rPr>
                <w:sz w:val="20"/>
              </w:rPr>
              <w:t>olej napędowy</w:t>
            </w:r>
          </w:p>
        </w:tc>
        <w:tc>
          <w:tcPr>
            <w:tcW w:w="2596" w:type="dxa"/>
            <w:gridSpan w:val="2"/>
            <w:tcBorders>
              <w:top w:val="single" w:sz="8" w:space="0" w:color="auto"/>
              <w:left w:val="nil"/>
              <w:bottom w:val="nil"/>
              <w:right w:val="single" w:sz="8" w:space="0" w:color="000000"/>
            </w:tcBorders>
            <w:shd w:val="clear" w:color="auto" w:fill="auto"/>
            <w:noWrap/>
            <w:vAlign w:val="center"/>
            <w:hideMark/>
          </w:tcPr>
          <w:p w14:paraId="769FCC11" w14:textId="77777777" w:rsidR="00FF5857" w:rsidRPr="00543708" w:rsidRDefault="00FF5857" w:rsidP="000308F2">
            <w:pPr>
              <w:spacing w:line="240" w:lineRule="auto"/>
              <w:jc w:val="center"/>
              <w:rPr>
                <w:sz w:val="20"/>
              </w:rPr>
            </w:pPr>
            <w:r w:rsidRPr="00543708">
              <w:rPr>
                <w:sz w:val="20"/>
              </w:rPr>
              <w:t>Bioetanol</w:t>
            </w:r>
          </w:p>
        </w:tc>
        <w:tc>
          <w:tcPr>
            <w:tcW w:w="247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B64A6F4" w14:textId="77777777" w:rsidR="00FF5857" w:rsidRPr="00543708" w:rsidRDefault="00FF5857" w:rsidP="000308F2">
            <w:pPr>
              <w:spacing w:line="240" w:lineRule="auto"/>
              <w:jc w:val="center"/>
              <w:rPr>
                <w:sz w:val="20"/>
              </w:rPr>
            </w:pPr>
            <w:r w:rsidRPr="00543708">
              <w:rPr>
                <w:sz w:val="20"/>
              </w:rPr>
              <w:t>estry metylowe</w:t>
            </w:r>
          </w:p>
        </w:tc>
      </w:tr>
      <w:tr w:rsidR="00FF5857" w:rsidRPr="007C62C8" w14:paraId="5B56134B" w14:textId="77777777" w:rsidTr="000308F2">
        <w:trPr>
          <w:trHeight w:val="300"/>
        </w:trPr>
        <w:tc>
          <w:tcPr>
            <w:tcW w:w="960" w:type="dxa"/>
            <w:vMerge/>
            <w:tcBorders>
              <w:top w:val="single" w:sz="8" w:space="0" w:color="auto"/>
              <w:left w:val="single" w:sz="8" w:space="0" w:color="auto"/>
              <w:bottom w:val="nil"/>
              <w:right w:val="single" w:sz="8" w:space="0" w:color="auto"/>
            </w:tcBorders>
            <w:vAlign w:val="center"/>
            <w:hideMark/>
          </w:tcPr>
          <w:p w14:paraId="4E518230" w14:textId="77777777" w:rsidR="00FF5857" w:rsidRPr="00543708" w:rsidRDefault="00FF5857" w:rsidP="000308F2">
            <w:pPr>
              <w:spacing w:line="240" w:lineRule="auto"/>
              <w:rPr>
                <w:sz w:val="20"/>
              </w:rPr>
            </w:pPr>
          </w:p>
        </w:tc>
        <w:tc>
          <w:tcPr>
            <w:tcW w:w="2948" w:type="dxa"/>
            <w:gridSpan w:val="2"/>
            <w:tcBorders>
              <w:top w:val="single" w:sz="8" w:space="0" w:color="auto"/>
              <w:left w:val="nil"/>
              <w:bottom w:val="nil"/>
              <w:right w:val="single" w:sz="8" w:space="0" w:color="000000"/>
            </w:tcBorders>
            <w:shd w:val="clear" w:color="auto" w:fill="auto"/>
            <w:noWrap/>
            <w:vAlign w:val="bottom"/>
            <w:hideMark/>
          </w:tcPr>
          <w:p w14:paraId="27FC3984" w14:textId="77777777" w:rsidR="00FF5857" w:rsidRPr="00543708" w:rsidRDefault="00FF5857" w:rsidP="000308F2">
            <w:pPr>
              <w:spacing w:line="240" w:lineRule="auto"/>
              <w:jc w:val="center"/>
              <w:rPr>
                <w:sz w:val="20"/>
              </w:rPr>
            </w:pPr>
            <w:r w:rsidRPr="00543708">
              <w:rPr>
                <w:sz w:val="20"/>
              </w:rPr>
              <w:t>bez biokomponentu</w:t>
            </w:r>
          </w:p>
        </w:tc>
        <w:tc>
          <w:tcPr>
            <w:tcW w:w="1052" w:type="dxa"/>
            <w:tcBorders>
              <w:top w:val="single" w:sz="8" w:space="0" w:color="auto"/>
              <w:left w:val="nil"/>
              <w:bottom w:val="nil"/>
              <w:right w:val="single" w:sz="8" w:space="0" w:color="auto"/>
            </w:tcBorders>
            <w:shd w:val="clear" w:color="auto" w:fill="auto"/>
            <w:noWrap/>
            <w:vAlign w:val="center"/>
            <w:hideMark/>
          </w:tcPr>
          <w:p w14:paraId="12373AC6" w14:textId="77777777" w:rsidR="00FF5857" w:rsidRPr="00543708" w:rsidRDefault="00FF5857" w:rsidP="000308F2">
            <w:pPr>
              <w:spacing w:line="240" w:lineRule="auto"/>
              <w:rPr>
                <w:sz w:val="20"/>
              </w:rPr>
            </w:pPr>
            <w:r w:rsidRPr="00543708">
              <w:rPr>
                <w:sz w:val="20"/>
              </w:rPr>
              <w:t xml:space="preserve"> [tys. ton]</w:t>
            </w:r>
          </w:p>
        </w:tc>
        <w:tc>
          <w:tcPr>
            <w:tcW w:w="1544" w:type="dxa"/>
            <w:tcBorders>
              <w:top w:val="single" w:sz="8" w:space="0" w:color="auto"/>
              <w:left w:val="nil"/>
              <w:bottom w:val="nil"/>
              <w:right w:val="single" w:sz="8" w:space="0" w:color="auto"/>
            </w:tcBorders>
            <w:shd w:val="clear" w:color="auto" w:fill="auto"/>
            <w:noWrap/>
            <w:vAlign w:val="center"/>
            <w:hideMark/>
          </w:tcPr>
          <w:p w14:paraId="6BD66BC9" w14:textId="77777777" w:rsidR="00FF5857" w:rsidRPr="00543708" w:rsidRDefault="00FF5857" w:rsidP="000308F2">
            <w:pPr>
              <w:spacing w:line="240" w:lineRule="auto"/>
              <w:jc w:val="center"/>
              <w:rPr>
                <w:sz w:val="20"/>
              </w:rPr>
            </w:pPr>
            <w:r w:rsidRPr="00543708">
              <w:rPr>
                <w:sz w:val="20"/>
              </w:rPr>
              <w:t>dynamika [%]</w:t>
            </w:r>
          </w:p>
        </w:tc>
        <w:tc>
          <w:tcPr>
            <w:tcW w:w="1132" w:type="dxa"/>
            <w:tcBorders>
              <w:top w:val="nil"/>
              <w:left w:val="nil"/>
              <w:bottom w:val="nil"/>
              <w:right w:val="single" w:sz="8" w:space="0" w:color="auto"/>
            </w:tcBorders>
            <w:shd w:val="clear" w:color="auto" w:fill="auto"/>
            <w:noWrap/>
            <w:vAlign w:val="center"/>
            <w:hideMark/>
          </w:tcPr>
          <w:p w14:paraId="1BF1DE28" w14:textId="77777777" w:rsidR="00FF5857" w:rsidRPr="00543708" w:rsidRDefault="00FF5857" w:rsidP="000308F2">
            <w:pPr>
              <w:spacing w:line="240" w:lineRule="auto"/>
              <w:rPr>
                <w:sz w:val="20"/>
              </w:rPr>
            </w:pPr>
            <w:r w:rsidRPr="00543708">
              <w:rPr>
                <w:sz w:val="20"/>
              </w:rPr>
              <w:t xml:space="preserve"> [tys. ton]</w:t>
            </w:r>
          </w:p>
        </w:tc>
        <w:tc>
          <w:tcPr>
            <w:tcW w:w="1346" w:type="dxa"/>
            <w:tcBorders>
              <w:top w:val="nil"/>
              <w:left w:val="nil"/>
              <w:bottom w:val="nil"/>
              <w:right w:val="single" w:sz="8" w:space="0" w:color="auto"/>
            </w:tcBorders>
            <w:shd w:val="clear" w:color="auto" w:fill="auto"/>
            <w:noWrap/>
            <w:vAlign w:val="center"/>
            <w:hideMark/>
          </w:tcPr>
          <w:p w14:paraId="28E459CF" w14:textId="77777777" w:rsidR="00FF5857" w:rsidRPr="00543708" w:rsidRDefault="00FF5857" w:rsidP="000308F2">
            <w:pPr>
              <w:spacing w:line="240" w:lineRule="auto"/>
              <w:jc w:val="center"/>
              <w:rPr>
                <w:sz w:val="20"/>
              </w:rPr>
            </w:pPr>
            <w:r w:rsidRPr="00543708">
              <w:rPr>
                <w:sz w:val="20"/>
              </w:rPr>
              <w:t>dynamika [%]</w:t>
            </w:r>
          </w:p>
        </w:tc>
      </w:tr>
      <w:tr w:rsidR="00FF5857" w:rsidRPr="007C62C8" w14:paraId="58B0806E" w14:textId="77777777" w:rsidTr="000308F2">
        <w:trPr>
          <w:trHeight w:val="300"/>
        </w:trPr>
        <w:tc>
          <w:tcPr>
            <w:tcW w:w="960"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102F0DD3" w14:textId="77777777" w:rsidR="00FF5857" w:rsidRPr="00543708" w:rsidRDefault="00FF5857" w:rsidP="000308F2">
            <w:pPr>
              <w:spacing w:line="240" w:lineRule="auto"/>
              <w:jc w:val="center"/>
              <w:rPr>
                <w:sz w:val="20"/>
              </w:rPr>
            </w:pPr>
            <w:r w:rsidRPr="00543708">
              <w:rPr>
                <w:sz w:val="20"/>
              </w:rPr>
              <w:t>2008</w:t>
            </w:r>
          </w:p>
        </w:tc>
        <w:tc>
          <w:tcPr>
            <w:tcW w:w="1413" w:type="dxa"/>
            <w:tcBorders>
              <w:top w:val="single" w:sz="8" w:space="0" w:color="auto"/>
              <w:left w:val="nil"/>
              <w:bottom w:val="single" w:sz="4" w:space="0" w:color="auto"/>
              <w:right w:val="single" w:sz="4" w:space="0" w:color="auto"/>
            </w:tcBorders>
            <w:shd w:val="clear" w:color="auto" w:fill="auto"/>
            <w:noWrap/>
            <w:vAlign w:val="bottom"/>
            <w:hideMark/>
          </w:tcPr>
          <w:p w14:paraId="78320881" w14:textId="77777777" w:rsidR="00FF5857" w:rsidRPr="00543708" w:rsidRDefault="00FF5857" w:rsidP="000308F2">
            <w:pPr>
              <w:spacing w:line="240" w:lineRule="auto"/>
              <w:jc w:val="right"/>
              <w:rPr>
                <w:color w:val="000000"/>
                <w:sz w:val="20"/>
              </w:rPr>
            </w:pPr>
            <w:r w:rsidRPr="00543708">
              <w:rPr>
                <w:color w:val="000000"/>
                <w:sz w:val="20"/>
              </w:rPr>
              <w:t>4 073 847</w:t>
            </w:r>
          </w:p>
        </w:tc>
        <w:tc>
          <w:tcPr>
            <w:tcW w:w="1535" w:type="dxa"/>
            <w:tcBorders>
              <w:top w:val="single" w:sz="8" w:space="0" w:color="auto"/>
              <w:left w:val="nil"/>
              <w:bottom w:val="single" w:sz="4" w:space="0" w:color="auto"/>
              <w:right w:val="nil"/>
            </w:tcBorders>
            <w:shd w:val="clear" w:color="auto" w:fill="auto"/>
            <w:noWrap/>
            <w:vAlign w:val="bottom"/>
            <w:hideMark/>
          </w:tcPr>
          <w:p w14:paraId="327D2730" w14:textId="77777777" w:rsidR="00FF5857" w:rsidRPr="00543708" w:rsidRDefault="00FF5857" w:rsidP="000308F2">
            <w:pPr>
              <w:spacing w:line="240" w:lineRule="auto"/>
              <w:jc w:val="right"/>
              <w:rPr>
                <w:color w:val="000000"/>
                <w:sz w:val="20"/>
              </w:rPr>
            </w:pPr>
            <w:r w:rsidRPr="00543708">
              <w:rPr>
                <w:color w:val="000000"/>
                <w:sz w:val="20"/>
              </w:rPr>
              <w:t>10 059 918</w:t>
            </w:r>
          </w:p>
        </w:tc>
        <w:tc>
          <w:tcPr>
            <w:tcW w:w="105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6552CB1" w14:textId="77777777" w:rsidR="00FF5857" w:rsidRPr="00543708" w:rsidRDefault="00FF5857" w:rsidP="000308F2">
            <w:pPr>
              <w:spacing w:line="240" w:lineRule="auto"/>
              <w:jc w:val="right"/>
              <w:rPr>
                <w:b/>
                <w:bCs/>
                <w:color w:val="000000"/>
                <w:sz w:val="20"/>
              </w:rPr>
            </w:pPr>
            <w:r w:rsidRPr="00543708">
              <w:rPr>
                <w:b/>
                <w:bCs/>
                <w:color w:val="000000"/>
                <w:sz w:val="20"/>
              </w:rPr>
              <w:t>184 647</w:t>
            </w:r>
          </w:p>
        </w:tc>
        <w:tc>
          <w:tcPr>
            <w:tcW w:w="1544" w:type="dxa"/>
            <w:tcBorders>
              <w:top w:val="single" w:sz="8" w:space="0" w:color="auto"/>
              <w:left w:val="nil"/>
              <w:bottom w:val="single" w:sz="4" w:space="0" w:color="auto"/>
              <w:right w:val="single" w:sz="8" w:space="0" w:color="auto"/>
            </w:tcBorders>
            <w:shd w:val="clear" w:color="auto" w:fill="auto"/>
            <w:noWrap/>
            <w:vAlign w:val="bottom"/>
            <w:hideMark/>
          </w:tcPr>
          <w:p w14:paraId="0CA02406" w14:textId="77777777" w:rsidR="00FF5857" w:rsidRPr="00543708" w:rsidRDefault="00FF5857" w:rsidP="000308F2">
            <w:pPr>
              <w:spacing w:line="240" w:lineRule="auto"/>
              <w:rPr>
                <w:color w:val="000000"/>
                <w:sz w:val="20"/>
              </w:rPr>
            </w:pPr>
            <w:r w:rsidRPr="00543708">
              <w:rPr>
                <w:color w:val="000000"/>
                <w:sz w:val="20"/>
              </w:rPr>
              <w:t> </w:t>
            </w:r>
          </w:p>
        </w:tc>
        <w:tc>
          <w:tcPr>
            <w:tcW w:w="1132" w:type="dxa"/>
            <w:tcBorders>
              <w:top w:val="single" w:sz="8" w:space="0" w:color="auto"/>
              <w:left w:val="nil"/>
              <w:bottom w:val="single" w:sz="4" w:space="0" w:color="auto"/>
              <w:right w:val="single" w:sz="4" w:space="0" w:color="auto"/>
            </w:tcBorders>
            <w:shd w:val="clear" w:color="auto" w:fill="auto"/>
            <w:noWrap/>
            <w:vAlign w:val="bottom"/>
            <w:hideMark/>
          </w:tcPr>
          <w:p w14:paraId="7692A39D" w14:textId="77777777" w:rsidR="00FF5857" w:rsidRPr="00543708" w:rsidRDefault="00FF5857" w:rsidP="000308F2">
            <w:pPr>
              <w:spacing w:line="240" w:lineRule="auto"/>
              <w:jc w:val="right"/>
              <w:rPr>
                <w:b/>
                <w:bCs/>
                <w:sz w:val="20"/>
              </w:rPr>
            </w:pPr>
            <w:r w:rsidRPr="00543708">
              <w:rPr>
                <w:b/>
                <w:bCs/>
                <w:sz w:val="20"/>
              </w:rPr>
              <w:t>472 903</w:t>
            </w:r>
          </w:p>
        </w:tc>
        <w:tc>
          <w:tcPr>
            <w:tcW w:w="1346" w:type="dxa"/>
            <w:tcBorders>
              <w:top w:val="single" w:sz="8" w:space="0" w:color="auto"/>
              <w:left w:val="nil"/>
              <w:bottom w:val="single" w:sz="4" w:space="0" w:color="auto"/>
              <w:right w:val="single" w:sz="8" w:space="0" w:color="auto"/>
            </w:tcBorders>
            <w:shd w:val="clear" w:color="auto" w:fill="auto"/>
            <w:noWrap/>
            <w:vAlign w:val="bottom"/>
            <w:hideMark/>
          </w:tcPr>
          <w:p w14:paraId="729BA908" w14:textId="77777777" w:rsidR="00FF5857" w:rsidRPr="00543708" w:rsidRDefault="00FF5857" w:rsidP="000308F2">
            <w:pPr>
              <w:spacing w:line="240" w:lineRule="auto"/>
              <w:rPr>
                <w:color w:val="000000"/>
                <w:sz w:val="20"/>
              </w:rPr>
            </w:pPr>
            <w:r w:rsidRPr="00543708">
              <w:rPr>
                <w:color w:val="000000"/>
                <w:sz w:val="20"/>
              </w:rPr>
              <w:t> </w:t>
            </w:r>
          </w:p>
        </w:tc>
      </w:tr>
      <w:tr w:rsidR="00FF5857" w:rsidRPr="007C62C8" w14:paraId="339212D9"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063BE4CA" w14:textId="77777777" w:rsidR="00FF5857" w:rsidRPr="00543708" w:rsidRDefault="00FF5857" w:rsidP="000308F2">
            <w:pPr>
              <w:spacing w:line="240" w:lineRule="auto"/>
              <w:jc w:val="center"/>
              <w:rPr>
                <w:sz w:val="20"/>
              </w:rPr>
            </w:pPr>
            <w:r w:rsidRPr="00543708">
              <w:rPr>
                <w:sz w:val="20"/>
              </w:rPr>
              <w:t>2009</w:t>
            </w:r>
          </w:p>
        </w:tc>
        <w:tc>
          <w:tcPr>
            <w:tcW w:w="1413" w:type="dxa"/>
            <w:tcBorders>
              <w:top w:val="nil"/>
              <w:left w:val="nil"/>
              <w:bottom w:val="single" w:sz="4" w:space="0" w:color="auto"/>
              <w:right w:val="single" w:sz="4" w:space="0" w:color="auto"/>
            </w:tcBorders>
            <w:shd w:val="clear" w:color="auto" w:fill="auto"/>
            <w:noWrap/>
            <w:vAlign w:val="bottom"/>
            <w:hideMark/>
          </w:tcPr>
          <w:p w14:paraId="42C4D148" w14:textId="77777777" w:rsidR="00FF5857" w:rsidRPr="00543708" w:rsidRDefault="00FF5857" w:rsidP="000308F2">
            <w:pPr>
              <w:spacing w:line="240" w:lineRule="auto"/>
              <w:jc w:val="right"/>
              <w:rPr>
                <w:color w:val="000000"/>
                <w:sz w:val="20"/>
              </w:rPr>
            </w:pPr>
            <w:r w:rsidRPr="00543708">
              <w:rPr>
                <w:color w:val="000000"/>
                <w:sz w:val="20"/>
              </w:rPr>
              <w:t>4 143 332</w:t>
            </w:r>
          </w:p>
        </w:tc>
        <w:tc>
          <w:tcPr>
            <w:tcW w:w="1535" w:type="dxa"/>
            <w:tcBorders>
              <w:top w:val="nil"/>
              <w:left w:val="nil"/>
              <w:bottom w:val="single" w:sz="4" w:space="0" w:color="auto"/>
              <w:right w:val="nil"/>
            </w:tcBorders>
            <w:shd w:val="clear" w:color="auto" w:fill="auto"/>
            <w:noWrap/>
            <w:vAlign w:val="bottom"/>
            <w:hideMark/>
          </w:tcPr>
          <w:p w14:paraId="139D7DF7" w14:textId="77777777" w:rsidR="00FF5857" w:rsidRPr="00543708" w:rsidRDefault="00FF5857" w:rsidP="000308F2">
            <w:pPr>
              <w:spacing w:line="240" w:lineRule="auto"/>
              <w:jc w:val="right"/>
              <w:rPr>
                <w:color w:val="000000"/>
                <w:sz w:val="20"/>
              </w:rPr>
            </w:pPr>
            <w:r w:rsidRPr="00543708">
              <w:rPr>
                <w:color w:val="000000"/>
                <w:sz w:val="20"/>
              </w:rPr>
              <w:t>10 483 094</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1BF63929" w14:textId="77777777" w:rsidR="00FF5857" w:rsidRPr="00543708" w:rsidRDefault="00FF5857" w:rsidP="000308F2">
            <w:pPr>
              <w:spacing w:line="240" w:lineRule="auto"/>
              <w:jc w:val="right"/>
              <w:rPr>
                <w:b/>
                <w:bCs/>
                <w:color w:val="000000"/>
                <w:sz w:val="20"/>
              </w:rPr>
            </w:pPr>
            <w:r w:rsidRPr="00543708">
              <w:rPr>
                <w:b/>
                <w:bCs/>
                <w:color w:val="000000"/>
                <w:sz w:val="20"/>
              </w:rPr>
              <w:t>232 595</w:t>
            </w:r>
          </w:p>
        </w:tc>
        <w:tc>
          <w:tcPr>
            <w:tcW w:w="1544" w:type="dxa"/>
            <w:tcBorders>
              <w:top w:val="nil"/>
              <w:left w:val="nil"/>
              <w:bottom w:val="single" w:sz="4" w:space="0" w:color="auto"/>
              <w:right w:val="single" w:sz="8" w:space="0" w:color="auto"/>
            </w:tcBorders>
            <w:shd w:val="clear" w:color="auto" w:fill="auto"/>
            <w:noWrap/>
            <w:vAlign w:val="bottom"/>
            <w:hideMark/>
          </w:tcPr>
          <w:p w14:paraId="4FFB97DC" w14:textId="77777777" w:rsidR="00FF5857" w:rsidRPr="00543708" w:rsidRDefault="00FF5857" w:rsidP="000308F2">
            <w:pPr>
              <w:spacing w:line="240" w:lineRule="auto"/>
              <w:jc w:val="right"/>
              <w:rPr>
                <w:i/>
                <w:iCs/>
                <w:color w:val="000000"/>
                <w:sz w:val="20"/>
              </w:rPr>
            </w:pPr>
            <w:r w:rsidRPr="00543708">
              <w:rPr>
                <w:i/>
                <w:iCs/>
                <w:color w:val="000000"/>
                <w:sz w:val="20"/>
              </w:rPr>
              <w:t>25,97%</w:t>
            </w:r>
          </w:p>
        </w:tc>
        <w:tc>
          <w:tcPr>
            <w:tcW w:w="1132" w:type="dxa"/>
            <w:tcBorders>
              <w:top w:val="nil"/>
              <w:left w:val="nil"/>
              <w:bottom w:val="single" w:sz="4" w:space="0" w:color="auto"/>
              <w:right w:val="single" w:sz="4" w:space="0" w:color="auto"/>
            </w:tcBorders>
            <w:shd w:val="clear" w:color="auto" w:fill="auto"/>
            <w:noWrap/>
            <w:vAlign w:val="bottom"/>
            <w:hideMark/>
          </w:tcPr>
          <w:p w14:paraId="01FDB515" w14:textId="77777777" w:rsidR="00FF5857" w:rsidRPr="00543708" w:rsidRDefault="00FF5857" w:rsidP="000308F2">
            <w:pPr>
              <w:spacing w:line="240" w:lineRule="auto"/>
              <w:jc w:val="right"/>
              <w:rPr>
                <w:b/>
                <w:bCs/>
                <w:sz w:val="20"/>
              </w:rPr>
            </w:pPr>
            <w:r w:rsidRPr="00543708">
              <w:rPr>
                <w:b/>
                <w:bCs/>
                <w:sz w:val="20"/>
              </w:rPr>
              <w:t>644 489</w:t>
            </w:r>
          </w:p>
        </w:tc>
        <w:tc>
          <w:tcPr>
            <w:tcW w:w="1346" w:type="dxa"/>
            <w:tcBorders>
              <w:top w:val="nil"/>
              <w:left w:val="nil"/>
              <w:bottom w:val="single" w:sz="4" w:space="0" w:color="auto"/>
              <w:right w:val="single" w:sz="8" w:space="0" w:color="auto"/>
            </w:tcBorders>
            <w:shd w:val="clear" w:color="auto" w:fill="auto"/>
            <w:noWrap/>
            <w:vAlign w:val="bottom"/>
            <w:hideMark/>
          </w:tcPr>
          <w:p w14:paraId="7D189827" w14:textId="77777777" w:rsidR="00FF5857" w:rsidRPr="00543708" w:rsidRDefault="00FF5857" w:rsidP="000308F2">
            <w:pPr>
              <w:spacing w:line="240" w:lineRule="auto"/>
              <w:jc w:val="right"/>
              <w:rPr>
                <w:i/>
                <w:iCs/>
                <w:color w:val="000000"/>
                <w:sz w:val="20"/>
              </w:rPr>
            </w:pPr>
            <w:r w:rsidRPr="00543708">
              <w:rPr>
                <w:i/>
                <w:iCs/>
                <w:color w:val="000000"/>
                <w:sz w:val="20"/>
              </w:rPr>
              <w:t>36,28%</w:t>
            </w:r>
          </w:p>
        </w:tc>
      </w:tr>
      <w:tr w:rsidR="00FF5857" w:rsidRPr="007C62C8" w14:paraId="1C934E4B"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05E9D0FF" w14:textId="77777777" w:rsidR="00FF5857" w:rsidRPr="00543708" w:rsidRDefault="00FF5857" w:rsidP="000308F2">
            <w:pPr>
              <w:spacing w:line="240" w:lineRule="auto"/>
              <w:jc w:val="center"/>
              <w:rPr>
                <w:sz w:val="20"/>
              </w:rPr>
            </w:pPr>
            <w:r w:rsidRPr="00543708">
              <w:rPr>
                <w:sz w:val="20"/>
              </w:rPr>
              <w:t>2010</w:t>
            </w:r>
          </w:p>
        </w:tc>
        <w:tc>
          <w:tcPr>
            <w:tcW w:w="1413" w:type="dxa"/>
            <w:tcBorders>
              <w:top w:val="nil"/>
              <w:left w:val="nil"/>
              <w:bottom w:val="single" w:sz="4" w:space="0" w:color="auto"/>
              <w:right w:val="single" w:sz="4" w:space="0" w:color="auto"/>
            </w:tcBorders>
            <w:shd w:val="clear" w:color="auto" w:fill="auto"/>
            <w:noWrap/>
            <w:vAlign w:val="bottom"/>
            <w:hideMark/>
          </w:tcPr>
          <w:p w14:paraId="76038905" w14:textId="77777777" w:rsidR="00FF5857" w:rsidRPr="00543708" w:rsidRDefault="00FF5857" w:rsidP="000308F2">
            <w:pPr>
              <w:spacing w:line="240" w:lineRule="auto"/>
              <w:jc w:val="right"/>
              <w:rPr>
                <w:color w:val="000000"/>
                <w:sz w:val="20"/>
              </w:rPr>
            </w:pPr>
            <w:r w:rsidRPr="00543708">
              <w:rPr>
                <w:color w:val="000000"/>
                <w:sz w:val="20"/>
              </w:rPr>
              <w:t>3 928 306</w:t>
            </w:r>
          </w:p>
        </w:tc>
        <w:tc>
          <w:tcPr>
            <w:tcW w:w="1535" w:type="dxa"/>
            <w:tcBorders>
              <w:top w:val="nil"/>
              <w:left w:val="nil"/>
              <w:bottom w:val="single" w:sz="4" w:space="0" w:color="auto"/>
              <w:right w:val="nil"/>
            </w:tcBorders>
            <w:shd w:val="clear" w:color="auto" w:fill="auto"/>
            <w:noWrap/>
            <w:vAlign w:val="bottom"/>
            <w:hideMark/>
          </w:tcPr>
          <w:p w14:paraId="00AC827A" w14:textId="77777777" w:rsidR="00FF5857" w:rsidRPr="00543708" w:rsidRDefault="00FF5857" w:rsidP="000308F2">
            <w:pPr>
              <w:spacing w:line="240" w:lineRule="auto"/>
              <w:jc w:val="right"/>
              <w:rPr>
                <w:color w:val="000000"/>
                <w:sz w:val="20"/>
              </w:rPr>
            </w:pPr>
            <w:r w:rsidRPr="00543708">
              <w:rPr>
                <w:color w:val="000000"/>
                <w:sz w:val="20"/>
              </w:rPr>
              <w:t>11 069 541</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751626F5" w14:textId="77777777" w:rsidR="00FF5857" w:rsidRPr="00543708" w:rsidRDefault="00FF5857" w:rsidP="000308F2">
            <w:pPr>
              <w:spacing w:line="240" w:lineRule="auto"/>
              <w:jc w:val="right"/>
              <w:rPr>
                <w:b/>
                <w:bCs/>
                <w:color w:val="000000"/>
                <w:sz w:val="20"/>
              </w:rPr>
            </w:pPr>
            <w:r w:rsidRPr="00543708">
              <w:rPr>
                <w:b/>
                <w:bCs/>
                <w:color w:val="000000"/>
                <w:sz w:val="20"/>
              </w:rPr>
              <w:t>240 409</w:t>
            </w:r>
          </w:p>
        </w:tc>
        <w:tc>
          <w:tcPr>
            <w:tcW w:w="1544" w:type="dxa"/>
            <w:tcBorders>
              <w:top w:val="nil"/>
              <w:left w:val="nil"/>
              <w:bottom w:val="single" w:sz="4" w:space="0" w:color="auto"/>
              <w:right w:val="single" w:sz="8" w:space="0" w:color="auto"/>
            </w:tcBorders>
            <w:shd w:val="clear" w:color="auto" w:fill="auto"/>
            <w:noWrap/>
            <w:vAlign w:val="bottom"/>
            <w:hideMark/>
          </w:tcPr>
          <w:p w14:paraId="6DE17E63" w14:textId="77777777" w:rsidR="00FF5857" w:rsidRPr="00543708" w:rsidRDefault="00FF5857" w:rsidP="000308F2">
            <w:pPr>
              <w:spacing w:line="240" w:lineRule="auto"/>
              <w:jc w:val="right"/>
              <w:rPr>
                <w:i/>
                <w:iCs/>
                <w:color w:val="000000"/>
                <w:sz w:val="20"/>
              </w:rPr>
            </w:pPr>
            <w:r w:rsidRPr="00543708">
              <w:rPr>
                <w:i/>
                <w:iCs/>
                <w:color w:val="000000"/>
                <w:sz w:val="20"/>
              </w:rPr>
              <w:t>3,36%</w:t>
            </w:r>
          </w:p>
        </w:tc>
        <w:tc>
          <w:tcPr>
            <w:tcW w:w="1132" w:type="dxa"/>
            <w:tcBorders>
              <w:top w:val="nil"/>
              <w:left w:val="nil"/>
              <w:bottom w:val="single" w:sz="4" w:space="0" w:color="auto"/>
              <w:right w:val="single" w:sz="4" w:space="0" w:color="auto"/>
            </w:tcBorders>
            <w:shd w:val="clear" w:color="auto" w:fill="auto"/>
            <w:noWrap/>
            <w:vAlign w:val="bottom"/>
            <w:hideMark/>
          </w:tcPr>
          <w:p w14:paraId="7EBA8B3B" w14:textId="77777777" w:rsidR="00FF5857" w:rsidRPr="00543708" w:rsidRDefault="00FF5857" w:rsidP="000308F2">
            <w:pPr>
              <w:spacing w:line="240" w:lineRule="auto"/>
              <w:jc w:val="right"/>
              <w:rPr>
                <w:b/>
                <w:bCs/>
                <w:color w:val="000000"/>
                <w:sz w:val="20"/>
              </w:rPr>
            </w:pPr>
            <w:r w:rsidRPr="00543708">
              <w:rPr>
                <w:b/>
                <w:bCs/>
                <w:color w:val="000000"/>
                <w:sz w:val="20"/>
              </w:rPr>
              <w:t>886 827</w:t>
            </w:r>
          </w:p>
        </w:tc>
        <w:tc>
          <w:tcPr>
            <w:tcW w:w="1346" w:type="dxa"/>
            <w:tcBorders>
              <w:top w:val="nil"/>
              <w:left w:val="nil"/>
              <w:bottom w:val="single" w:sz="4" w:space="0" w:color="auto"/>
              <w:right w:val="single" w:sz="8" w:space="0" w:color="auto"/>
            </w:tcBorders>
            <w:shd w:val="clear" w:color="auto" w:fill="auto"/>
            <w:noWrap/>
            <w:vAlign w:val="bottom"/>
            <w:hideMark/>
          </w:tcPr>
          <w:p w14:paraId="557C4C98" w14:textId="77777777" w:rsidR="00FF5857" w:rsidRPr="00543708" w:rsidRDefault="00FF5857" w:rsidP="000308F2">
            <w:pPr>
              <w:spacing w:line="240" w:lineRule="auto"/>
              <w:jc w:val="right"/>
              <w:rPr>
                <w:i/>
                <w:iCs/>
                <w:color w:val="000000"/>
                <w:sz w:val="20"/>
              </w:rPr>
            </w:pPr>
            <w:r w:rsidRPr="00543708">
              <w:rPr>
                <w:i/>
                <w:iCs/>
                <w:color w:val="000000"/>
                <w:sz w:val="20"/>
              </w:rPr>
              <w:t>37,60%</w:t>
            </w:r>
          </w:p>
        </w:tc>
      </w:tr>
      <w:tr w:rsidR="00FF5857" w:rsidRPr="007C62C8" w14:paraId="10D6485D"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5A2F5C60" w14:textId="77777777" w:rsidR="00FF5857" w:rsidRPr="00543708" w:rsidRDefault="00FF5857" w:rsidP="000308F2">
            <w:pPr>
              <w:spacing w:line="240" w:lineRule="auto"/>
              <w:jc w:val="center"/>
              <w:rPr>
                <w:sz w:val="20"/>
              </w:rPr>
            </w:pPr>
            <w:r w:rsidRPr="00543708">
              <w:rPr>
                <w:sz w:val="20"/>
              </w:rPr>
              <w:t>2011</w:t>
            </w:r>
          </w:p>
        </w:tc>
        <w:tc>
          <w:tcPr>
            <w:tcW w:w="1413" w:type="dxa"/>
            <w:tcBorders>
              <w:top w:val="nil"/>
              <w:left w:val="nil"/>
              <w:bottom w:val="single" w:sz="4" w:space="0" w:color="auto"/>
              <w:right w:val="single" w:sz="4" w:space="0" w:color="auto"/>
            </w:tcBorders>
            <w:shd w:val="clear" w:color="auto" w:fill="auto"/>
            <w:noWrap/>
            <w:vAlign w:val="bottom"/>
            <w:hideMark/>
          </w:tcPr>
          <w:p w14:paraId="65F7B380" w14:textId="77777777" w:rsidR="00FF5857" w:rsidRPr="00543708" w:rsidRDefault="00FF5857" w:rsidP="000308F2">
            <w:pPr>
              <w:spacing w:line="240" w:lineRule="auto"/>
              <w:jc w:val="right"/>
              <w:rPr>
                <w:color w:val="000000"/>
                <w:sz w:val="20"/>
              </w:rPr>
            </w:pPr>
            <w:r w:rsidRPr="00543708">
              <w:rPr>
                <w:color w:val="000000"/>
                <w:sz w:val="20"/>
              </w:rPr>
              <w:t>3 728 224</w:t>
            </w:r>
          </w:p>
        </w:tc>
        <w:tc>
          <w:tcPr>
            <w:tcW w:w="1535" w:type="dxa"/>
            <w:tcBorders>
              <w:top w:val="nil"/>
              <w:left w:val="nil"/>
              <w:bottom w:val="single" w:sz="4" w:space="0" w:color="auto"/>
              <w:right w:val="nil"/>
            </w:tcBorders>
            <w:shd w:val="clear" w:color="auto" w:fill="auto"/>
            <w:noWrap/>
            <w:vAlign w:val="bottom"/>
            <w:hideMark/>
          </w:tcPr>
          <w:p w14:paraId="6AAE3387" w14:textId="77777777" w:rsidR="00FF5857" w:rsidRPr="00543708" w:rsidRDefault="00FF5857" w:rsidP="000308F2">
            <w:pPr>
              <w:spacing w:line="240" w:lineRule="auto"/>
              <w:jc w:val="right"/>
              <w:rPr>
                <w:color w:val="000000"/>
                <w:sz w:val="20"/>
              </w:rPr>
            </w:pPr>
            <w:r w:rsidRPr="00543708">
              <w:rPr>
                <w:color w:val="000000"/>
                <w:sz w:val="20"/>
              </w:rPr>
              <w:t>12 353 354</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37FBAFD0" w14:textId="77777777" w:rsidR="00FF5857" w:rsidRPr="00543708" w:rsidRDefault="00FF5857" w:rsidP="000308F2">
            <w:pPr>
              <w:spacing w:line="240" w:lineRule="auto"/>
              <w:jc w:val="right"/>
              <w:rPr>
                <w:b/>
                <w:bCs/>
                <w:color w:val="000000"/>
                <w:sz w:val="20"/>
              </w:rPr>
            </w:pPr>
            <w:r w:rsidRPr="00543708">
              <w:rPr>
                <w:b/>
                <w:bCs/>
                <w:color w:val="000000"/>
                <w:sz w:val="20"/>
              </w:rPr>
              <w:t>247 227</w:t>
            </w:r>
          </w:p>
        </w:tc>
        <w:tc>
          <w:tcPr>
            <w:tcW w:w="1544" w:type="dxa"/>
            <w:tcBorders>
              <w:top w:val="nil"/>
              <w:left w:val="nil"/>
              <w:bottom w:val="single" w:sz="4" w:space="0" w:color="auto"/>
              <w:right w:val="single" w:sz="8" w:space="0" w:color="auto"/>
            </w:tcBorders>
            <w:shd w:val="clear" w:color="auto" w:fill="auto"/>
            <w:noWrap/>
            <w:vAlign w:val="bottom"/>
            <w:hideMark/>
          </w:tcPr>
          <w:p w14:paraId="4D949C5F" w14:textId="77777777" w:rsidR="00FF5857" w:rsidRPr="00543708" w:rsidRDefault="00FF5857" w:rsidP="000308F2">
            <w:pPr>
              <w:spacing w:line="240" w:lineRule="auto"/>
              <w:jc w:val="right"/>
              <w:rPr>
                <w:i/>
                <w:iCs/>
                <w:color w:val="000000"/>
                <w:sz w:val="20"/>
              </w:rPr>
            </w:pPr>
            <w:r w:rsidRPr="00543708">
              <w:rPr>
                <w:i/>
                <w:iCs/>
                <w:color w:val="000000"/>
                <w:sz w:val="20"/>
              </w:rPr>
              <w:t>2,84%</w:t>
            </w:r>
          </w:p>
        </w:tc>
        <w:tc>
          <w:tcPr>
            <w:tcW w:w="1132" w:type="dxa"/>
            <w:tcBorders>
              <w:top w:val="nil"/>
              <w:left w:val="nil"/>
              <w:bottom w:val="single" w:sz="4" w:space="0" w:color="auto"/>
              <w:right w:val="single" w:sz="4" w:space="0" w:color="auto"/>
            </w:tcBorders>
            <w:shd w:val="clear" w:color="auto" w:fill="auto"/>
            <w:noWrap/>
            <w:vAlign w:val="bottom"/>
            <w:hideMark/>
          </w:tcPr>
          <w:p w14:paraId="593FD23C" w14:textId="77777777" w:rsidR="00FF5857" w:rsidRPr="00543708" w:rsidRDefault="00FF5857" w:rsidP="000308F2">
            <w:pPr>
              <w:spacing w:line="240" w:lineRule="auto"/>
              <w:jc w:val="right"/>
              <w:rPr>
                <w:b/>
                <w:bCs/>
                <w:color w:val="000000"/>
                <w:sz w:val="20"/>
              </w:rPr>
            </w:pPr>
            <w:r w:rsidRPr="00543708">
              <w:rPr>
                <w:b/>
                <w:bCs/>
                <w:color w:val="000000"/>
                <w:sz w:val="20"/>
              </w:rPr>
              <w:t>1 042 128</w:t>
            </w:r>
          </w:p>
        </w:tc>
        <w:tc>
          <w:tcPr>
            <w:tcW w:w="1346" w:type="dxa"/>
            <w:tcBorders>
              <w:top w:val="nil"/>
              <w:left w:val="nil"/>
              <w:bottom w:val="single" w:sz="4" w:space="0" w:color="auto"/>
              <w:right w:val="single" w:sz="8" w:space="0" w:color="auto"/>
            </w:tcBorders>
            <w:shd w:val="clear" w:color="auto" w:fill="auto"/>
            <w:noWrap/>
            <w:vAlign w:val="bottom"/>
            <w:hideMark/>
          </w:tcPr>
          <w:p w14:paraId="00712CF4" w14:textId="77777777" w:rsidR="00FF5857" w:rsidRPr="00543708" w:rsidRDefault="00FF5857" w:rsidP="000308F2">
            <w:pPr>
              <w:spacing w:line="240" w:lineRule="auto"/>
              <w:jc w:val="right"/>
              <w:rPr>
                <w:i/>
                <w:iCs/>
                <w:color w:val="000000"/>
                <w:sz w:val="20"/>
              </w:rPr>
            </w:pPr>
            <w:r w:rsidRPr="00543708">
              <w:rPr>
                <w:i/>
                <w:iCs/>
                <w:color w:val="000000"/>
                <w:sz w:val="20"/>
              </w:rPr>
              <w:t>17,51%</w:t>
            </w:r>
          </w:p>
        </w:tc>
      </w:tr>
      <w:tr w:rsidR="00FF5857" w:rsidRPr="007C62C8" w14:paraId="3DD28503"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07A2C259" w14:textId="77777777" w:rsidR="00FF5857" w:rsidRPr="00543708" w:rsidRDefault="00FF5857" w:rsidP="000308F2">
            <w:pPr>
              <w:spacing w:line="240" w:lineRule="auto"/>
              <w:jc w:val="center"/>
              <w:rPr>
                <w:sz w:val="20"/>
              </w:rPr>
            </w:pPr>
            <w:r w:rsidRPr="00543708">
              <w:rPr>
                <w:sz w:val="20"/>
              </w:rPr>
              <w:t>2012</w:t>
            </w:r>
          </w:p>
        </w:tc>
        <w:tc>
          <w:tcPr>
            <w:tcW w:w="1413" w:type="dxa"/>
            <w:tcBorders>
              <w:top w:val="nil"/>
              <w:left w:val="nil"/>
              <w:bottom w:val="single" w:sz="4" w:space="0" w:color="auto"/>
              <w:right w:val="single" w:sz="4" w:space="0" w:color="auto"/>
            </w:tcBorders>
            <w:shd w:val="clear" w:color="auto" w:fill="auto"/>
            <w:noWrap/>
            <w:vAlign w:val="bottom"/>
            <w:hideMark/>
          </w:tcPr>
          <w:p w14:paraId="0A0695E8" w14:textId="77777777" w:rsidR="00FF5857" w:rsidRPr="00543708" w:rsidRDefault="00FF5857" w:rsidP="000308F2">
            <w:pPr>
              <w:spacing w:line="240" w:lineRule="auto"/>
              <w:jc w:val="right"/>
              <w:rPr>
                <w:color w:val="000000"/>
                <w:sz w:val="20"/>
              </w:rPr>
            </w:pPr>
            <w:r w:rsidRPr="00543708">
              <w:rPr>
                <w:color w:val="000000"/>
                <w:sz w:val="20"/>
              </w:rPr>
              <w:t>3 550 223</w:t>
            </w:r>
          </w:p>
        </w:tc>
        <w:tc>
          <w:tcPr>
            <w:tcW w:w="1535" w:type="dxa"/>
            <w:tcBorders>
              <w:top w:val="nil"/>
              <w:left w:val="nil"/>
              <w:bottom w:val="single" w:sz="4" w:space="0" w:color="auto"/>
              <w:right w:val="nil"/>
            </w:tcBorders>
            <w:shd w:val="clear" w:color="auto" w:fill="auto"/>
            <w:noWrap/>
            <w:vAlign w:val="bottom"/>
            <w:hideMark/>
          </w:tcPr>
          <w:p w14:paraId="39B19EA4" w14:textId="77777777" w:rsidR="00FF5857" w:rsidRPr="00543708" w:rsidRDefault="00FF5857" w:rsidP="000308F2">
            <w:pPr>
              <w:spacing w:line="240" w:lineRule="auto"/>
              <w:jc w:val="right"/>
              <w:rPr>
                <w:color w:val="000000"/>
                <w:sz w:val="20"/>
              </w:rPr>
            </w:pPr>
            <w:r w:rsidRPr="00543708">
              <w:rPr>
                <w:color w:val="000000"/>
                <w:sz w:val="20"/>
              </w:rPr>
              <w:t>10 670 480</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6E1FC1FE" w14:textId="77777777" w:rsidR="00FF5857" w:rsidRPr="00543708" w:rsidRDefault="00FF5857" w:rsidP="000308F2">
            <w:pPr>
              <w:spacing w:line="240" w:lineRule="auto"/>
              <w:jc w:val="right"/>
              <w:rPr>
                <w:b/>
                <w:bCs/>
                <w:color w:val="000000"/>
                <w:sz w:val="20"/>
              </w:rPr>
            </w:pPr>
            <w:r w:rsidRPr="00543708">
              <w:rPr>
                <w:b/>
                <w:bCs/>
                <w:color w:val="000000"/>
                <w:sz w:val="20"/>
              </w:rPr>
              <w:t>245 553</w:t>
            </w:r>
          </w:p>
        </w:tc>
        <w:tc>
          <w:tcPr>
            <w:tcW w:w="1544" w:type="dxa"/>
            <w:tcBorders>
              <w:top w:val="nil"/>
              <w:left w:val="nil"/>
              <w:bottom w:val="single" w:sz="4" w:space="0" w:color="auto"/>
              <w:right w:val="single" w:sz="8" w:space="0" w:color="auto"/>
            </w:tcBorders>
            <w:shd w:val="clear" w:color="auto" w:fill="auto"/>
            <w:noWrap/>
            <w:vAlign w:val="bottom"/>
            <w:hideMark/>
          </w:tcPr>
          <w:p w14:paraId="53622FA6" w14:textId="77777777" w:rsidR="00FF5857" w:rsidRPr="00543708" w:rsidRDefault="00FF5857" w:rsidP="000308F2">
            <w:pPr>
              <w:spacing w:line="240" w:lineRule="auto"/>
              <w:jc w:val="right"/>
              <w:rPr>
                <w:i/>
                <w:iCs/>
                <w:color w:val="000000"/>
                <w:sz w:val="20"/>
              </w:rPr>
            </w:pPr>
            <w:r w:rsidRPr="00543708">
              <w:rPr>
                <w:i/>
                <w:iCs/>
                <w:color w:val="000000"/>
                <w:sz w:val="20"/>
              </w:rPr>
              <w:t>-0,68%</w:t>
            </w:r>
          </w:p>
        </w:tc>
        <w:tc>
          <w:tcPr>
            <w:tcW w:w="1132" w:type="dxa"/>
            <w:tcBorders>
              <w:top w:val="nil"/>
              <w:left w:val="nil"/>
              <w:bottom w:val="single" w:sz="4" w:space="0" w:color="auto"/>
              <w:right w:val="single" w:sz="4" w:space="0" w:color="auto"/>
            </w:tcBorders>
            <w:shd w:val="clear" w:color="auto" w:fill="auto"/>
            <w:noWrap/>
            <w:vAlign w:val="bottom"/>
            <w:hideMark/>
          </w:tcPr>
          <w:p w14:paraId="78CACF3D" w14:textId="77777777" w:rsidR="00FF5857" w:rsidRPr="00543708" w:rsidRDefault="00FF5857" w:rsidP="000308F2">
            <w:pPr>
              <w:spacing w:line="240" w:lineRule="auto"/>
              <w:jc w:val="right"/>
              <w:rPr>
                <w:b/>
                <w:bCs/>
                <w:color w:val="000000"/>
                <w:sz w:val="20"/>
              </w:rPr>
            </w:pPr>
            <w:r w:rsidRPr="00543708">
              <w:rPr>
                <w:b/>
                <w:bCs/>
                <w:color w:val="000000"/>
                <w:sz w:val="20"/>
              </w:rPr>
              <w:t>819 905</w:t>
            </w:r>
          </w:p>
        </w:tc>
        <w:tc>
          <w:tcPr>
            <w:tcW w:w="1346" w:type="dxa"/>
            <w:tcBorders>
              <w:top w:val="nil"/>
              <w:left w:val="nil"/>
              <w:bottom w:val="single" w:sz="4" w:space="0" w:color="auto"/>
              <w:right w:val="single" w:sz="8" w:space="0" w:color="auto"/>
            </w:tcBorders>
            <w:shd w:val="clear" w:color="auto" w:fill="auto"/>
            <w:noWrap/>
            <w:vAlign w:val="bottom"/>
            <w:hideMark/>
          </w:tcPr>
          <w:p w14:paraId="177D527F" w14:textId="77777777" w:rsidR="00FF5857" w:rsidRPr="00543708" w:rsidRDefault="00FF5857" w:rsidP="000308F2">
            <w:pPr>
              <w:spacing w:line="240" w:lineRule="auto"/>
              <w:jc w:val="right"/>
              <w:rPr>
                <w:i/>
                <w:iCs/>
                <w:color w:val="000000"/>
                <w:sz w:val="20"/>
              </w:rPr>
            </w:pPr>
            <w:r w:rsidRPr="00543708">
              <w:rPr>
                <w:i/>
                <w:iCs/>
                <w:color w:val="000000"/>
                <w:sz w:val="20"/>
              </w:rPr>
              <w:t>-21,32%</w:t>
            </w:r>
          </w:p>
        </w:tc>
      </w:tr>
      <w:tr w:rsidR="00FF5857" w:rsidRPr="007C62C8" w14:paraId="23DB15C8"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5045AABE" w14:textId="77777777" w:rsidR="00FF5857" w:rsidRPr="00543708" w:rsidRDefault="00FF5857" w:rsidP="000308F2">
            <w:pPr>
              <w:spacing w:line="240" w:lineRule="auto"/>
              <w:jc w:val="center"/>
              <w:rPr>
                <w:sz w:val="20"/>
              </w:rPr>
            </w:pPr>
            <w:r w:rsidRPr="00543708">
              <w:rPr>
                <w:sz w:val="20"/>
              </w:rPr>
              <w:t>2013</w:t>
            </w:r>
          </w:p>
        </w:tc>
        <w:tc>
          <w:tcPr>
            <w:tcW w:w="1413" w:type="dxa"/>
            <w:tcBorders>
              <w:top w:val="nil"/>
              <w:left w:val="nil"/>
              <w:bottom w:val="single" w:sz="4" w:space="0" w:color="auto"/>
              <w:right w:val="single" w:sz="4" w:space="0" w:color="auto"/>
            </w:tcBorders>
            <w:shd w:val="clear" w:color="auto" w:fill="auto"/>
            <w:noWrap/>
            <w:vAlign w:val="bottom"/>
            <w:hideMark/>
          </w:tcPr>
          <w:p w14:paraId="1BB40F05" w14:textId="77777777" w:rsidR="00FF5857" w:rsidRPr="00543708" w:rsidRDefault="00FF5857" w:rsidP="000308F2">
            <w:pPr>
              <w:spacing w:line="240" w:lineRule="auto"/>
              <w:jc w:val="right"/>
              <w:rPr>
                <w:color w:val="000000"/>
                <w:sz w:val="20"/>
              </w:rPr>
            </w:pPr>
            <w:r w:rsidRPr="00543708">
              <w:rPr>
                <w:color w:val="000000"/>
                <w:sz w:val="20"/>
              </w:rPr>
              <w:t>3 375 039</w:t>
            </w:r>
          </w:p>
        </w:tc>
        <w:tc>
          <w:tcPr>
            <w:tcW w:w="1535" w:type="dxa"/>
            <w:tcBorders>
              <w:top w:val="nil"/>
              <w:left w:val="nil"/>
              <w:bottom w:val="single" w:sz="4" w:space="0" w:color="auto"/>
              <w:right w:val="nil"/>
            </w:tcBorders>
            <w:shd w:val="clear" w:color="auto" w:fill="auto"/>
            <w:noWrap/>
            <w:vAlign w:val="bottom"/>
            <w:hideMark/>
          </w:tcPr>
          <w:p w14:paraId="65B0FE0B" w14:textId="77777777" w:rsidR="00FF5857" w:rsidRPr="00543708" w:rsidRDefault="00FF5857" w:rsidP="000308F2">
            <w:pPr>
              <w:spacing w:line="240" w:lineRule="auto"/>
              <w:jc w:val="right"/>
              <w:rPr>
                <w:color w:val="000000"/>
                <w:sz w:val="20"/>
              </w:rPr>
            </w:pPr>
            <w:r w:rsidRPr="00543708">
              <w:rPr>
                <w:color w:val="000000"/>
                <w:sz w:val="20"/>
              </w:rPr>
              <w:t>10 364 652</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520ED3EC" w14:textId="77777777" w:rsidR="00FF5857" w:rsidRPr="00543708" w:rsidRDefault="00FF5857" w:rsidP="000308F2">
            <w:pPr>
              <w:spacing w:line="240" w:lineRule="auto"/>
              <w:jc w:val="right"/>
              <w:rPr>
                <w:b/>
                <w:bCs/>
                <w:color w:val="000000"/>
                <w:sz w:val="20"/>
              </w:rPr>
            </w:pPr>
            <w:r w:rsidRPr="00543708">
              <w:rPr>
                <w:b/>
                <w:bCs/>
                <w:color w:val="000000"/>
                <w:sz w:val="20"/>
              </w:rPr>
              <w:t>245 619</w:t>
            </w:r>
          </w:p>
        </w:tc>
        <w:tc>
          <w:tcPr>
            <w:tcW w:w="1544" w:type="dxa"/>
            <w:tcBorders>
              <w:top w:val="nil"/>
              <w:left w:val="nil"/>
              <w:bottom w:val="single" w:sz="4" w:space="0" w:color="auto"/>
              <w:right w:val="single" w:sz="8" w:space="0" w:color="auto"/>
            </w:tcBorders>
            <w:shd w:val="clear" w:color="auto" w:fill="auto"/>
            <w:noWrap/>
            <w:vAlign w:val="bottom"/>
            <w:hideMark/>
          </w:tcPr>
          <w:p w14:paraId="1DE4DC1A" w14:textId="77777777" w:rsidR="00FF5857" w:rsidRPr="00543708" w:rsidRDefault="00FF5857" w:rsidP="000308F2">
            <w:pPr>
              <w:spacing w:line="240" w:lineRule="auto"/>
              <w:jc w:val="right"/>
              <w:rPr>
                <w:i/>
                <w:iCs/>
                <w:color w:val="000000"/>
                <w:sz w:val="20"/>
              </w:rPr>
            </w:pPr>
            <w:r w:rsidRPr="00543708">
              <w:rPr>
                <w:i/>
                <w:iCs/>
                <w:color w:val="000000"/>
                <w:sz w:val="20"/>
              </w:rPr>
              <w:t>0,03%</w:t>
            </w:r>
          </w:p>
        </w:tc>
        <w:tc>
          <w:tcPr>
            <w:tcW w:w="1132" w:type="dxa"/>
            <w:tcBorders>
              <w:top w:val="nil"/>
              <w:left w:val="nil"/>
              <w:bottom w:val="single" w:sz="4" w:space="0" w:color="auto"/>
              <w:right w:val="single" w:sz="4" w:space="0" w:color="auto"/>
            </w:tcBorders>
            <w:shd w:val="clear" w:color="auto" w:fill="auto"/>
            <w:noWrap/>
            <w:vAlign w:val="bottom"/>
            <w:hideMark/>
          </w:tcPr>
          <w:p w14:paraId="6FDCA357" w14:textId="77777777" w:rsidR="00FF5857" w:rsidRPr="00543708" w:rsidRDefault="00FF5857" w:rsidP="000308F2">
            <w:pPr>
              <w:spacing w:line="240" w:lineRule="auto"/>
              <w:jc w:val="right"/>
              <w:rPr>
                <w:b/>
                <w:bCs/>
                <w:color w:val="000000"/>
                <w:sz w:val="20"/>
              </w:rPr>
            </w:pPr>
            <w:r w:rsidRPr="00543708">
              <w:rPr>
                <w:b/>
                <w:bCs/>
                <w:color w:val="000000"/>
                <w:sz w:val="20"/>
              </w:rPr>
              <w:t>854 227</w:t>
            </w:r>
          </w:p>
        </w:tc>
        <w:tc>
          <w:tcPr>
            <w:tcW w:w="1346" w:type="dxa"/>
            <w:tcBorders>
              <w:top w:val="nil"/>
              <w:left w:val="nil"/>
              <w:bottom w:val="single" w:sz="4" w:space="0" w:color="auto"/>
              <w:right w:val="single" w:sz="8" w:space="0" w:color="auto"/>
            </w:tcBorders>
            <w:shd w:val="clear" w:color="auto" w:fill="auto"/>
            <w:noWrap/>
            <w:vAlign w:val="bottom"/>
            <w:hideMark/>
          </w:tcPr>
          <w:p w14:paraId="7E732EE5" w14:textId="77777777" w:rsidR="00FF5857" w:rsidRPr="00543708" w:rsidRDefault="00FF5857" w:rsidP="000308F2">
            <w:pPr>
              <w:spacing w:line="240" w:lineRule="auto"/>
              <w:jc w:val="right"/>
              <w:rPr>
                <w:i/>
                <w:iCs/>
                <w:color w:val="000000"/>
                <w:sz w:val="20"/>
              </w:rPr>
            </w:pPr>
            <w:r w:rsidRPr="00543708">
              <w:rPr>
                <w:i/>
                <w:iCs/>
                <w:color w:val="000000"/>
                <w:sz w:val="20"/>
              </w:rPr>
              <w:t>4,19%</w:t>
            </w:r>
          </w:p>
        </w:tc>
      </w:tr>
      <w:tr w:rsidR="00FF5857" w:rsidRPr="007C62C8" w14:paraId="26E0A90D"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26DF669C" w14:textId="77777777" w:rsidR="00FF5857" w:rsidRPr="00543708" w:rsidRDefault="00FF5857" w:rsidP="000308F2">
            <w:pPr>
              <w:spacing w:line="240" w:lineRule="auto"/>
              <w:jc w:val="center"/>
              <w:rPr>
                <w:sz w:val="20"/>
              </w:rPr>
            </w:pPr>
            <w:r w:rsidRPr="00543708">
              <w:rPr>
                <w:sz w:val="20"/>
              </w:rPr>
              <w:t>2014</w:t>
            </w:r>
          </w:p>
        </w:tc>
        <w:tc>
          <w:tcPr>
            <w:tcW w:w="1413" w:type="dxa"/>
            <w:tcBorders>
              <w:top w:val="nil"/>
              <w:left w:val="nil"/>
              <w:bottom w:val="single" w:sz="4" w:space="0" w:color="auto"/>
              <w:right w:val="single" w:sz="4" w:space="0" w:color="auto"/>
            </w:tcBorders>
            <w:shd w:val="clear" w:color="auto" w:fill="auto"/>
            <w:noWrap/>
            <w:vAlign w:val="bottom"/>
            <w:hideMark/>
          </w:tcPr>
          <w:p w14:paraId="6370370D" w14:textId="77777777" w:rsidR="00FF5857" w:rsidRPr="00543708" w:rsidRDefault="00FF5857" w:rsidP="000308F2">
            <w:pPr>
              <w:spacing w:line="240" w:lineRule="auto"/>
              <w:jc w:val="right"/>
              <w:rPr>
                <w:color w:val="000000"/>
                <w:sz w:val="20"/>
              </w:rPr>
            </w:pPr>
            <w:r w:rsidRPr="00543708">
              <w:rPr>
                <w:color w:val="000000"/>
                <w:sz w:val="20"/>
              </w:rPr>
              <w:t>3 386 275</w:t>
            </w:r>
          </w:p>
        </w:tc>
        <w:tc>
          <w:tcPr>
            <w:tcW w:w="1535" w:type="dxa"/>
            <w:tcBorders>
              <w:top w:val="nil"/>
              <w:left w:val="nil"/>
              <w:bottom w:val="single" w:sz="4" w:space="0" w:color="auto"/>
              <w:right w:val="nil"/>
            </w:tcBorders>
            <w:shd w:val="clear" w:color="auto" w:fill="auto"/>
            <w:noWrap/>
            <w:vAlign w:val="bottom"/>
            <w:hideMark/>
          </w:tcPr>
          <w:p w14:paraId="62FCD965" w14:textId="77777777" w:rsidR="00FF5857" w:rsidRPr="00543708" w:rsidRDefault="00FF5857" w:rsidP="000308F2">
            <w:pPr>
              <w:spacing w:line="240" w:lineRule="auto"/>
              <w:jc w:val="right"/>
              <w:rPr>
                <w:color w:val="000000"/>
                <w:sz w:val="20"/>
              </w:rPr>
            </w:pPr>
            <w:r w:rsidRPr="00543708">
              <w:rPr>
                <w:color w:val="000000"/>
                <w:sz w:val="20"/>
              </w:rPr>
              <w:t>10 480 617</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192CD235" w14:textId="77777777" w:rsidR="00FF5857" w:rsidRPr="00543708" w:rsidRDefault="00FF5857" w:rsidP="000308F2">
            <w:pPr>
              <w:spacing w:line="240" w:lineRule="auto"/>
              <w:jc w:val="right"/>
              <w:rPr>
                <w:b/>
                <w:bCs/>
                <w:color w:val="000000"/>
                <w:sz w:val="20"/>
              </w:rPr>
            </w:pPr>
            <w:r w:rsidRPr="00543708">
              <w:rPr>
                <w:b/>
                <w:bCs/>
                <w:color w:val="000000"/>
                <w:sz w:val="20"/>
              </w:rPr>
              <w:t>248 108</w:t>
            </w:r>
          </w:p>
        </w:tc>
        <w:tc>
          <w:tcPr>
            <w:tcW w:w="1544" w:type="dxa"/>
            <w:tcBorders>
              <w:top w:val="nil"/>
              <w:left w:val="nil"/>
              <w:bottom w:val="single" w:sz="4" w:space="0" w:color="auto"/>
              <w:right w:val="single" w:sz="8" w:space="0" w:color="auto"/>
            </w:tcBorders>
            <w:shd w:val="clear" w:color="auto" w:fill="auto"/>
            <w:noWrap/>
            <w:vAlign w:val="bottom"/>
            <w:hideMark/>
          </w:tcPr>
          <w:p w14:paraId="6788FEE9" w14:textId="77777777" w:rsidR="00FF5857" w:rsidRPr="00543708" w:rsidRDefault="00FF5857" w:rsidP="000308F2">
            <w:pPr>
              <w:spacing w:line="240" w:lineRule="auto"/>
              <w:jc w:val="right"/>
              <w:rPr>
                <w:i/>
                <w:iCs/>
                <w:color w:val="000000"/>
                <w:sz w:val="20"/>
              </w:rPr>
            </w:pPr>
            <w:r w:rsidRPr="00543708">
              <w:rPr>
                <w:i/>
                <w:iCs/>
                <w:color w:val="000000"/>
                <w:sz w:val="20"/>
              </w:rPr>
              <w:t>1,01%</w:t>
            </w:r>
          </w:p>
        </w:tc>
        <w:tc>
          <w:tcPr>
            <w:tcW w:w="1132" w:type="dxa"/>
            <w:tcBorders>
              <w:top w:val="nil"/>
              <w:left w:val="nil"/>
              <w:bottom w:val="single" w:sz="4" w:space="0" w:color="auto"/>
              <w:right w:val="single" w:sz="4" w:space="0" w:color="auto"/>
            </w:tcBorders>
            <w:shd w:val="clear" w:color="auto" w:fill="auto"/>
            <w:noWrap/>
            <w:vAlign w:val="bottom"/>
            <w:hideMark/>
          </w:tcPr>
          <w:p w14:paraId="0DA831AD" w14:textId="77777777" w:rsidR="00FF5857" w:rsidRPr="00543708" w:rsidRDefault="00FF5857" w:rsidP="000308F2">
            <w:pPr>
              <w:spacing w:line="240" w:lineRule="auto"/>
              <w:jc w:val="right"/>
              <w:rPr>
                <w:b/>
                <w:bCs/>
                <w:color w:val="000000"/>
                <w:sz w:val="20"/>
              </w:rPr>
            </w:pPr>
            <w:r w:rsidRPr="00543708">
              <w:rPr>
                <w:b/>
                <w:bCs/>
                <w:color w:val="000000"/>
                <w:sz w:val="20"/>
              </w:rPr>
              <w:t>866 013</w:t>
            </w:r>
          </w:p>
        </w:tc>
        <w:tc>
          <w:tcPr>
            <w:tcW w:w="1346" w:type="dxa"/>
            <w:tcBorders>
              <w:top w:val="nil"/>
              <w:left w:val="nil"/>
              <w:bottom w:val="single" w:sz="4" w:space="0" w:color="auto"/>
              <w:right w:val="single" w:sz="8" w:space="0" w:color="auto"/>
            </w:tcBorders>
            <w:shd w:val="clear" w:color="auto" w:fill="auto"/>
            <w:noWrap/>
            <w:vAlign w:val="bottom"/>
            <w:hideMark/>
          </w:tcPr>
          <w:p w14:paraId="08866516" w14:textId="77777777" w:rsidR="00FF5857" w:rsidRPr="00543708" w:rsidRDefault="00FF5857" w:rsidP="000308F2">
            <w:pPr>
              <w:spacing w:line="240" w:lineRule="auto"/>
              <w:jc w:val="right"/>
              <w:rPr>
                <w:i/>
                <w:iCs/>
                <w:color w:val="000000"/>
                <w:sz w:val="20"/>
              </w:rPr>
            </w:pPr>
            <w:r w:rsidRPr="00543708">
              <w:rPr>
                <w:i/>
                <w:iCs/>
                <w:color w:val="000000"/>
                <w:sz w:val="20"/>
              </w:rPr>
              <w:t>1,38%</w:t>
            </w:r>
          </w:p>
        </w:tc>
      </w:tr>
      <w:tr w:rsidR="00FF5857" w:rsidRPr="007C62C8" w14:paraId="6C0A21E8"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13C22A12" w14:textId="77777777" w:rsidR="00FF5857" w:rsidRPr="00543708" w:rsidRDefault="00FF5857" w:rsidP="000308F2">
            <w:pPr>
              <w:spacing w:line="240" w:lineRule="auto"/>
              <w:jc w:val="center"/>
              <w:rPr>
                <w:sz w:val="20"/>
              </w:rPr>
            </w:pPr>
            <w:r w:rsidRPr="00543708">
              <w:rPr>
                <w:sz w:val="20"/>
              </w:rPr>
              <w:t>2015</w:t>
            </w:r>
          </w:p>
        </w:tc>
        <w:tc>
          <w:tcPr>
            <w:tcW w:w="1413" w:type="dxa"/>
            <w:tcBorders>
              <w:top w:val="nil"/>
              <w:left w:val="nil"/>
              <w:bottom w:val="single" w:sz="4" w:space="0" w:color="auto"/>
              <w:right w:val="single" w:sz="4" w:space="0" w:color="auto"/>
            </w:tcBorders>
            <w:shd w:val="clear" w:color="auto" w:fill="auto"/>
            <w:noWrap/>
            <w:vAlign w:val="bottom"/>
            <w:hideMark/>
          </w:tcPr>
          <w:p w14:paraId="1AD4BFEB" w14:textId="77777777" w:rsidR="00FF5857" w:rsidRPr="00543708" w:rsidRDefault="00FF5857" w:rsidP="000308F2">
            <w:pPr>
              <w:spacing w:line="240" w:lineRule="auto"/>
              <w:jc w:val="right"/>
              <w:rPr>
                <w:color w:val="000000"/>
                <w:sz w:val="20"/>
              </w:rPr>
            </w:pPr>
            <w:r w:rsidRPr="00543708">
              <w:rPr>
                <w:color w:val="000000"/>
                <w:sz w:val="20"/>
              </w:rPr>
              <w:t>3 461 786</w:t>
            </w:r>
          </w:p>
        </w:tc>
        <w:tc>
          <w:tcPr>
            <w:tcW w:w="1535" w:type="dxa"/>
            <w:tcBorders>
              <w:top w:val="nil"/>
              <w:left w:val="nil"/>
              <w:bottom w:val="single" w:sz="4" w:space="0" w:color="auto"/>
              <w:right w:val="nil"/>
            </w:tcBorders>
            <w:shd w:val="clear" w:color="auto" w:fill="auto"/>
            <w:noWrap/>
            <w:vAlign w:val="bottom"/>
            <w:hideMark/>
          </w:tcPr>
          <w:p w14:paraId="6ED369DE" w14:textId="77777777" w:rsidR="00FF5857" w:rsidRPr="00543708" w:rsidRDefault="00FF5857" w:rsidP="000308F2">
            <w:pPr>
              <w:spacing w:line="240" w:lineRule="auto"/>
              <w:jc w:val="right"/>
              <w:rPr>
                <w:color w:val="000000"/>
                <w:sz w:val="20"/>
              </w:rPr>
            </w:pPr>
            <w:r w:rsidRPr="00543708">
              <w:rPr>
                <w:color w:val="000000"/>
                <w:sz w:val="20"/>
              </w:rPr>
              <w:t>11 228 526</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3F915F23" w14:textId="77777777" w:rsidR="00FF5857" w:rsidRPr="00543708" w:rsidRDefault="00FF5857" w:rsidP="000308F2">
            <w:pPr>
              <w:spacing w:line="240" w:lineRule="auto"/>
              <w:jc w:val="right"/>
              <w:rPr>
                <w:b/>
                <w:bCs/>
                <w:color w:val="000000"/>
                <w:sz w:val="20"/>
              </w:rPr>
            </w:pPr>
            <w:r w:rsidRPr="00543708">
              <w:rPr>
                <w:b/>
                <w:bCs/>
                <w:color w:val="000000"/>
                <w:sz w:val="20"/>
              </w:rPr>
              <w:t>248 548</w:t>
            </w:r>
          </w:p>
        </w:tc>
        <w:tc>
          <w:tcPr>
            <w:tcW w:w="1544" w:type="dxa"/>
            <w:tcBorders>
              <w:top w:val="nil"/>
              <w:left w:val="nil"/>
              <w:bottom w:val="single" w:sz="4" w:space="0" w:color="auto"/>
              <w:right w:val="single" w:sz="8" w:space="0" w:color="auto"/>
            </w:tcBorders>
            <w:shd w:val="clear" w:color="auto" w:fill="auto"/>
            <w:noWrap/>
            <w:vAlign w:val="bottom"/>
            <w:hideMark/>
          </w:tcPr>
          <w:p w14:paraId="46FB945C" w14:textId="77777777" w:rsidR="00FF5857" w:rsidRPr="00543708" w:rsidRDefault="00FF5857" w:rsidP="000308F2">
            <w:pPr>
              <w:spacing w:line="240" w:lineRule="auto"/>
              <w:jc w:val="right"/>
              <w:rPr>
                <w:i/>
                <w:iCs/>
                <w:color w:val="000000"/>
                <w:sz w:val="20"/>
              </w:rPr>
            </w:pPr>
            <w:r w:rsidRPr="00543708">
              <w:rPr>
                <w:i/>
                <w:iCs/>
                <w:color w:val="000000"/>
                <w:sz w:val="20"/>
              </w:rPr>
              <w:t>0,18%</w:t>
            </w:r>
          </w:p>
        </w:tc>
        <w:tc>
          <w:tcPr>
            <w:tcW w:w="1132" w:type="dxa"/>
            <w:tcBorders>
              <w:top w:val="nil"/>
              <w:left w:val="nil"/>
              <w:bottom w:val="single" w:sz="4" w:space="0" w:color="auto"/>
              <w:right w:val="single" w:sz="4" w:space="0" w:color="auto"/>
            </w:tcBorders>
            <w:shd w:val="clear" w:color="auto" w:fill="auto"/>
            <w:noWrap/>
            <w:vAlign w:val="bottom"/>
            <w:hideMark/>
          </w:tcPr>
          <w:p w14:paraId="3C7774AC" w14:textId="77777777" w:rsidR="00FF5857" w:rsidRPr="00543708" w:rsidRDefault="00FF5857" w:rsidP="000308F2">
            <w:pPr>
              <w:spacing w:line="240" w:lineRule="auto"/>
              <w:jc w:val="right"/>
              <w:rPr>
                <w:b/>
                <w:bCs/>
                <w:color w:val="000000"/>
                <w:sz w:val="20"/>
              </w:rPr>
            </w:pPr>
            <w:r w:rsidRPr="00543708">
              <w:rPr>
                <w:b/>
                <w:bCs/>
                <w:color w:val="000000"/>
                <w:sz w:val="20"/>
              </w:rPr>
              <w:t>938 205</w:t>
            </w:r>
          </w:p>
        </w:tc>
        <w:tc>
          <w:tcPr>
            <w:tcW w:w="1346" w:type="dxa"/>
            <w:tcBorders>
              <w:top w:val="nil"/>
              <w:left w:val="nil"/>
              <w:bottom w:val="single" w:sz="4" w:space="0" w:color="auto"/>
              <w:right w:val="single" w:sz="8" w:space="0" w:color="auto"/>
            </w:tcBorders>
            <w:shd w:val="clear" w:color="auto" w:fill="auto"/>
            <w:noWrap/>
            <w:vAlign w:val="bottom"/>
            <w:hideMark/>
          </w:tcPr>
          <w:p w14:paraId="4DC3CFDD" w14:textId="77777777" w:rsidR="00FF5857" w:rsidRPr="00543708" w:rsidRDefault="00FF5857" w:rsidP="000308F2">
            <w:pPr>
              <w:spacing w:line="240" w:lineRule="auto"/>
              <w:jc w:val="right"/>
              <w:rPr>
                <w:i/>
                <w:iCs/>
                <w:color w:val="000000"/>
                <w:sz w:val="20"/>
              </w:rPr>
            </w:pPr>
            <w:r w:rsidRPr="00543708">
              <w:rPr>
                <w:i/>
                <w:iCs/>
                <w:color w:val="000000"/>
                <w:sz w:val="20"/>
              </w:rPr>
              <w:t>8,34%</w:t>
            </w:r>
          </w:p>
        </w:tc>
      </w:tr>
      <w:tr w:rsidR="00FF5857" w:rsidRPr="007C62C8" w14:paraId="26A6E950"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hideMark/>
          </w:tcPr>
          <w:p w14:paraId="5BC3AC34" w14:textId="77777777" w:rsidR="00FF5857" w:rsidRPr="00543708" w:rsidRDefault="00FF5857" w:rsidP="000308F2">
            <w:pPr>
              <w:spacing w:line="240" w:lineRule="auto"/>
              <w:jc w:val="center"/>
              <w:rPr>
                <w:sz w:val="20"/>
              </w:rPr>
            </w:pPr>
            <w:r w:rsidRPr="00543708">
              <w:rPr>
                <w:sz w:val="20"/>
              </w:rPr>
              <w:t>2016</w:t>
            </w:r>
          </w:p>
        </w:tc>
        <w:tc>
          <w:tcPr>
            <w:tcW w:w="1413" w:type="dxa"/>
            <w:tcBorders>
              <w:top w:val="nil"/>
              <w:left w:val="nil"/>
              <w:bottom w:val="single" w:sz="4" w:space="0" w:color="auto"/>
              <w:right w:val="single" w:sz="4" w:space="0" w:color="auto"/>
            </w:tcBorders>
            <w:shd w:val="clear" w:color="auto" w:fill="auto"/>
            <w:noWrap/>
            <w:vAlign w:val="bottom"/>
            <w:hideMark/>
          </w:tcPr>
          <w:p w14:paraId="7CB22885" w14:textId="77777777" w:rsidR="00FF5857" w:rsidRPr="00543708" w:rsidRDefault="00FF5857" w:rsidP="000308F2">
            <w:pPr>
              <w:spacing w:line="240" w:lineRule="auto"/>
              <w:jc w:val="right"/>
              <w:rPr>
                <w:color w:val="000000"/>
                <w:sz w:val="20"/>
              </w:rPr>
            </w:pPr>
            <w:r w:rsidRPr="00543708">
              <w:rPr>
                <w:color w:val="000000"/>
                <w:sz w:val="20"/>
              </w:rPr>
              <w:t>3 792 790</w:t>
            </w:r>
          </w:p>
        </w:tc>
        <w:tc>
          <w:tcPr>
            <w:tcW w:w="1535" w:type="dxa"/>
            <w:tcBorders>
              <w:top w:val="nil"/>
              <w:left w:val="nil"/>
              <w:bottom w:val="single" w:sz="4" w:space="0" w:color="auto"/>
              <w:right w:val="nil"/>
            </w:tcBorders>
            <w:shd w:val="clear" w:color="auto" w:fill="auto"/>
            <w:noWrap/>
            <w:vAlign w:val="bottom"/>
            <w:hideMark/>
          </w:tcPr>
          <w:p w14:paraId="59C96A28" w14:textId="77777777" w:rsidR="00FF5857" w:rsidRPr="00543708" w:rsidRDefault="00FF5857" w:rsidP="000308F2">
            <w:pPr>
              <w:spacing w:line="240" w:lineRule="auto"/>
              <w:jc w:val="right"/>
              <w:rPr>
                <w:color w:val="000000"/>
                <w:sz w:val="20"/>
              </w:rPr>
            </w:pPr>
            <w:r w:rsidRPr="00543708">
              <w:rPr>
                <w:color w:val="000000"/>
                <w:sz w:val="20"/>
              </w:rPr>
              <w:t>13 309 192</w:t>
            </w:r>
          </w:p>
        </w:tc>
        <w:tc>
          <w:tcPr>
            <w:tcW w:w="1052" w:type="dxa"/>
            <w:tcBorders>
              <w:top w:val="nil"/>
              <w:left w:val="single" w:sz="8" w:space="0" w:color="auto"/>
              <w:bottom w:val="single" w:sz="4" w:space="0" w:color="auto"/>
              <w:right w:val="single" w:sz="4" w:space="0" w:color="auto"/>
            </w:tcBorders>
            <w:shd w:val="clear" w:color="auto" w:fill="auto"/>
            <w:noWrap/>
            <w:vAlign w:val="bottom"/>
            <w:hideMark/>
          </w:tcPr>
          <w:p w14:paraId="1EFA537B" w14:textId="77777777" w:rsidR="00FF5857" w:rsidRPr="00543708" w:rsidRDefault="00FF5857" w:rsidP="000308F2">
            <w:pPr>
              <w:spacing w:line="240" w:lineRule="auto"/>
              <w:jc w:val="right"/>
              <w:rPr>
                <w:b/>
                <w:bCs/>
                <w:color w:val="000000"/>
                <w:sz w:val="20"/>
              </w:rPr>
            </w:pPr>
            <w:r w:rsidRPr="00543708">
              <w:rPr>
                <w:b/>
                <w:bCs/>
                <w:color w:val="000000"/>
                <w:sz w:val="20"/>
              </w:rPr>
              <w:t>245 692</w:t>
            </w:r>
          </w:p>
        </w:tc>
        <w:tc>
          <w:tcPr>
            <w:tcW w:w="1544" w:type="dxa"/>
            <w:tcBorders>
              <w:top w:val="nil"/>
              <w:left w:val="nil"/>
              <w:bottom w:val="single" w:sz="4" w:space="0" w:color="auto"/>
              <w:right w:val="single" w:sz="8" w:space="0" w:color="auto"/>
            </w:tcBorders>
            <w:shd w:val="clear" w:color="auto" w:fill="auto"/>
            <w:noWrap/>
            <w:vAlign w:val="bottom"/>
            <w:hideMark/>
          </w:tcPr>
          <w:p w14:paraId="04614C16" w14:textId="77777777" w:rsidR="00FF5857" w:rsidRPr="00543708" w:rsidRDefault="00FF5857" w:rsidP="000308F2">
            <w:pPr>
              <w:spacing w:line="240" w:lineRule="auto"/>
              <w:jc w:val="right"/>
              <w:rPr>
                <w:i/>
                <w:iCs/>
                <w:color w:val="000000"/>
                <w:sz w:val="20"/>
              </w:rPr>
            </w:pPr>
            <w:r w:rsidRPr="00543708">
              <w:rPr>
                <w:i/>
                <w:iCs/>
                <w:color w:val="000000"/>
                <w:sz w:val="20"/>
              </w:rPr>
              <w:t>-1,15%</w:t>
            </w:r>
          </w:p>
        </w:tc>
        <w:tc>
          <w:tcPr>
            <w:tcW w:w="1132" w:type="dxa"/>
            <w:tcBorders>
              <w:top w:val="nil"/>
              <w:left w:val="nil"/>
              <w:bottom w:val="single" w:sz="4" w:space="0" w:color="auto"/>
              <w:right w:val="single" w:sz="4" w:space="0" w:color="auto"/>
            </w:tcBorders>
            <w:shd w:val="clear" w:color="auto" w:fill="auto"/>
            <w:noWrap/>
            <w:vAlign w:val="bottom"/>
            <w:hideMark/>
          </w:tcPr>
          <w:p w14:paraId="23B09686" w14:textId="77777777" w:rsidR="00FF5857" w:rsidRPr="00543708" w:rsidRDefault="00FF5857" w:rsidP="000308F2">
            <w:pPr>
              <w:spacing w:line="240" w:lineRule="auto"/>
              <w:jc w:val="right"/>
              <w:rPr>
                <w:b/>
                <w:bCs/>
                <w:color w:val="000000"/>
                <w:sz w:val="20"/>
              </w:rPr>
            </w:pPr>
            <w:r w:rsidRPr="00543708">
              <w:rPr>
                <w:b/>
                <w:bCs/>
                <w:color w:val="000000"/>
                <w:sz w:val="20"/>
              </w:rPr>
              <w:t>1 131 429</w:t>
            </w:r>
          </w:p>
        </w:tc>
        <w:tc>
          <w:tcPr>
            <w:tcW w:w="1346" w:type="dxa"/>
            <w:tcBorders>
              <w:top w:val="nil"/>
              <w:left w:val="nil"/>
              <w:bottom w:val="single" w:sz="4" w:space="0" w:color="auto"/>
              <w:right w:val="single" w:sz="8" w:space="0" w:color="auto"/>
            </w:tcBorders>
            <w:shd w:val="clear" w:color="auto" w:fill="auto"/>
            <w:noWrap/>
            <w:vAlign w:val="bottom"/>
            <w:hideMark/>
          </w:tcPr>
          <w:p w14:paraId="488B64CD" w14:textId="77777777" w:rsidR="00FF5857" w:rsidRPr="00543708" w:rsidRDefault="00FF5857" w:rsidP="000308F2">
            <w:pPr>
              <w:spacing w:line="240" w:lineRule="auto"/>
              <w:jc w:val="right"/>
              <w:rPr>
                <w:i/>
                <w:iCs/>
                <w:color w:val="000000"/>
                <w:sz w:val="20"/>
              </w:rPr>
            </w:pPr>
            <w:r w:rsidRPr="00543708">
              <w:rPr>
                <w:i/>
                <w:iCs/>
                <w:color w:val="000000"/>
                <w:sz w:val="20"/>
              </w:rPr>
              <w:t>20,60%</w:t>
            </w:r>
          </w:p>
        </w:tc>
      </w:tr>
      <w:tr w:rsidR="00FF5857" w:rsidRPr="007C62C8" w14:paraId="680F478E" w14:textId="77777777" w:rsidTr="000308F2">
        <w:trPr>
          <w:trHeight w:val="288"/>
        </w:trPr>
        <w:tc>
          <w:tcPr>
            <w:tcW w:w="960" w:type="dxa"/>
            <w:tcBorders>
              <w:top w:val="nil"/>
              <w:left w:val="single" w:sz="8" w:space="0" w:color="auto"/>
              <w:bottom w:val="single" w:sz="4" w:space="0" w:color="auto"/>
              <w:right w:val="single" w:sz="8" w:space="0" w:color="auto"/>
            </w:tcBorders>
            <w:shd w:val="clear" w:color="auto" w:fill="auto"/>
            <w:vAlign w:val="bottom"/>
          </w:tcPr>
          <w:p w14:paraId="6C51578F" w14:textId="77777777" w:rsidR="00FF5857" w:rsidRPr="00543708" w:rsidRDefault="00FF5857" w:rsidP="000308F2">
            <w:pPr>
              <w:spacing w:line="240" w:lineRule="auto"/>
              <w:jc w:val="center"/>
              <w:rPr>
                <w:sz w:val="20"/>
              </w:rPr>
            </w:pPr>
            <w:r w:rsidRPr="00543708">
              <w:rPr>
                <w:sz w:val="20"/>
              </w:rPr>
              <w:t>2017</w:t>
            </w:r>
          </w:p>
        </w:tc>
        <w:tc>
          <w:tcPr>
            <w:tcW w:w="1413" w:type="dxa"/>
            <w:tcBorders>
              <w:top w:val="nil"/>
              <w:left w:val="nil"/>
              <w:bottom w:val="single" w:sz="4" w:space="0" w:color="auto"/>
              <w:right w:val="single" w:sz="4" w:space="0" w:color="auto"/>
            </w:tcBorders>
            <w:shd w:val="clear" w:color="auto" w:fill="auto"/>
            <w:noWrap/>
            <w:vAlign w:val="bottom"/>
          </w:tcPr>
          <w:p w14:paraId="0798FD51" w14:textId="77777777" w:rsidR="00FF5857" w:rsidRPr="00543708" w:rsidRDefault="00FF5857" w:rsidP="000308F2">
            <w:pPr>
              <w:spacing w:line="240" w:lineRule="auto"/>
              <w:jc w:val="right"/>
              <w:rPr>
                <w:color w:val="000000"/>
                <w:sz w:val="20"/>
              </w:rPr>
            </w:pPr>
            <w:r w:rsidRPr="00543708">
              <w:rPr>
                <w:color w:val="000000"/>
                <w:sz w:val="20"/>
              </w:rPr>
              <w:t>4 051 939</w:t>
            </w:r>
          </w:p>
        </w:tc>
        <w:tc>
          <w:tcPr>
            <w:tcW w:w="1535" w:type="dxa"/>
            <w:tcBorders>
              <w:top w:val="nil"/>
              <w:left w:val="nil"/>
              <w:bottom w:val="single" w:sz="4" w:space="0" w:color="auto"/>
              <w:right w:val="nil"/>
            </w:tcBorders>
            <w:shd w:val="clear" w:color="auto" w:fill="auto"/>
            <w:noWrap/>
            <w:vAlign w:val="bottom"/>
          </w:tcPr>
          <w:p w14:paraId="133AC35A" w14:textId="77777777" w:rsidR="00FF5857" w:rsidRPr="00543708" w:rsidRDefault="00FF5857" w:rsidP="000308F2">
            <w:pPr>
              <w:spacing w:line="240" w:lineRule="auto"/>
              <w:jc w:val="right"/>
              <w:rPr>
                <w:color w:val="000000"/>
                <w:sz w:val="20"/>
              </w:rPr>
            </w:pPr>
            <w:r w:rsidRPr="00543708">
              <w:rPr>
                <w:color w:val="000000"/>
                <w:sz w:val="20"/>
              </w:rPr>
              <w:t>15 611 047</w:t>
            </w:r>
          </w:p>
        </w:tc>
        <w:tc>
          <w:tcPr>
            <w:tcW w:w="1052" w:type="dxa"/>
            <w:tcBorders>
              <w:top w:val="nil"/>
              <w:left w:val="single" w:sz="8" w:space="0" w:color="auto"/>
              <w:bottom w:val="single" w:sz="4" w:space="0" w:color="auto"/>
              <w:right w:val="single" w:sz="4" w:space="0" w:color="auto"/>
            </w:tcBorders>
            <w:shd w:val="clear" w:color="auto" w:fill="auto"/>
            <w:noWrap/>
            <w:vAlign w:val="bottom"/>
          </w:tcPr>
          <w:p w14:paraId="50650CA4" w14:textId="77777777" w:rsidR="00FF5857" w:rsidRPr="00543708" w:rsidRDefault="00FF5857" w:rsidP="000308F2">
            <w:pPr>
              <w:spacing w:line="240" w:lineRule="auto"/>
              <w:jc w:val="right"/>
              <w:rPr>
                <w:b/>
                <w:bCs/>
                <w:color w:val="000000"/>
                <w:sz w:val="20"/>
              </w:rPr>
            </w:pPr>
            <w:r w:rsidRPr="00543708">
              <w:rPr>
                <w:b/>
                <w:bCs/>
                <w:color w:val="000000"/>
                <w:sz w:val="20"/>
              </w:rPr>
              <w:t>268 980</w:t>
            </w:r>
          </w:p>
        </w:tc>
        <w:tc>
          <w:tcPr>
            <w:tcW w:w="1544" w:type="dxa"/>
            <w:tcBorders>
              <w:top w:val="nil"/>
              <w:left w:val="nil"/>
              <w:bottom w:val="single" w:sz="4" w:space="0" w:color="auto"/>
              <w:right w:val="single" w:sz="8" w:space="0" w:color="auto"/>
            </w:tcBorders>
            <w:shd w:val="clear" w:color="auto" w:fill="auto"/>
            <w:noWrap/>
            <w:vAlign w:val="bottom"/>
          </w:tcPr>
          <w:p w14:paraId="4FA2CB37" w14:textId="77777777" w:rsidR="00FF5857" w:rsidRPr="00543708" w:rsidRDefault="00FF5857" w:rsidP="000308F2">
            <w:pPr>
              <w:spacing w:line="240" w:lineRule="auto"/>
              <w:jc w:val="right"/>
              <w:rPr>
                <w:i/>
                <w:iCs/>
                <w:color w:val="000000"/>
                <w:sz w:val="20"/>
              </w:rPr>
            </w:pPr>
            <w:r w:rsidRPr="00543708">
              <w:rPr>
                <w:i/>
                <w:iCs/>
                <w:color w:val="000000"/>
                <w:sz w:val="20"/>
              </w:rPr>
              <w:t>9,48%</w:t>
            </w:r>
          </w:p>
        </w:tc>
        <w:tc>
          <w:tcPr>
            <w:tcW w:w="1132" w:type="dxa"/>
            <w:tcBorders>
              <w:top w:val="nil"/>
              <w:left w:val="nil"/>
              <w:bottom w:val="single" w:sz="4" w:space="0" w:color="auto"/>
              <w:right w:val="single" w:sz="4" w:space="0" w:color="auto"/>
            </w:tcBorders>
            <w:shd w:val="clear" w:color="auto" w:fill="auto"/>
            <w:noWrap/>
            <w:vAlign w:val="bottom"/>
          </w:tcPr>
          <w:p w14:paraId="335ADC71" w14:textId="77777777" w:rsidR="00FF5857" w:rsidRPr="00543708" w:rsidRDefault="00FF5857" w:rsidP="000308F2">
            <w:pPr>
              <w:spacing w:line="240" w:lineRule="auto"/>
              <w:jc w:val="right"/>
              <w:rPr>
                <w:b/>
                <w:bCs/>
                <w:color w:val="000000"/>
                <w:sz w:val="20"/>
              </w:rPr>
            </w:pPr>
            <w:r w:rsidRPr="00543708">
              <w:rPr>
                <w:b/>
                <w:bCs/>
                <w:color w:val="000000"/>
                <w:sz w:val="20"/>
              </w:rPr>
              <w:t>1 218 894</w:t>
            </w:r>
          </w:p>
        </w:tc>
        <w:tc>
          <w:tcPr>
            <w:tcW w:w="1346" w:type="dxa"/>
            <w:tcBorders>
              <w:top w:val="nil"/>
              <w:left w:val="nil"/>
              <w:bottom w:val="single" w:sz="4" w:space="0" w:color="auto"/>
              <w:right w:val="single" w:sz="8" w:space="0" w:color="auto"/>
            </w:tcBorders>
            <w:shd w:val="clear" w:color="auto" w:fill="auto"/>
            <w:noWrap/>
            <w:vAlign w:val="bottom"/>
          </w:tcPr>
          <w:p w14:paraId="3FC79E43" w14:textId="77777777" w:rsidR="00FF5857" w:rsidRPr="00543708" w:rsidRDefault="00FF5857" w:rsidP="000308F2">
            <w:pPr>
              <w:spacing w:line="240" w:lineRule="auto"/>
              <w:jc w:val="right"/>
              <w:rPr>
                <w:i/>
                <w:iCs/>
                <w:color w:val="000000"/>
                <w:sz w:val="20"/>
              </w:rPr>
            </w:pPr>
            <w:r w:rsidRPr="00543708">
              <w:rPr>
                <w:i/>
                <w:iCs/>
                <w:color w:val="000000"/>
                <w:sz w:val="20"/>
              </w:rPr>
              <w:t>7,73%</w:t>
            </w:r>
          </w:p>
        </w:tc>
      </w:tr>
      <w:tr w:rsidR="00FF5857" w:rsidRPr="007C62C8" w14:paraId="55E3E3F2" w14:textId="77777777" w:rsidTr="000308F2">
        <w:trPr>
          <w:trHeight w:val="300"/>
        </w:trPr>
        <w:tc>
          <w:tcPr>
            <w:tcW w:w="960" w:type="dxa"/>
            <w:tcBorders>
              <w:top w:val="nil"/>
              <w:left w:val="single" w:sz="8" w:space="0" w:color="auto"/>
              <w:bottom w:val="single" w:sz="8" w:space="0" w:color="auto"/>
              <w:right w:val="single" w:sz="8" w:space="0" w:color="auto"/>
            </w:tcBorders>
            <w:shd w:val="clear" w:color="auto" w:fill="auto"/>
            <w:vAlign w:val="bottom"/>
          </w:tcPr>
          <w:p w14:paraId="2D38FCE9" w14:textId="77777777" w:rsidR="00FF5857" w:rsidRPr="00543708" w:rsidRDefault="00FF5857" w:rsidP="000308F2">
            <w:pPr>
              <w:spacing w:line="240" w:lineRule="auto"/>
              <w:jc w:val="center"/>
              <w:rPr>
                <w:sz w:val="20"/>
              </w:rPr>
            </w:pPr>
            <w:r>
              <w:rPr>
                <w:sz w:val="20"/>
              </w:rPr>
              <w:t>2018</w:t>
            </w:r>
          </w:p>
        </w:tc>
        <w:tc>
          <w:tcPr>
            <w:tcW w:w="1413" w:type="dxa"/>
            <w:tcBorders>
              <w:top w:val="nil"/>
              <w:left w:val="nil"/>
              <w:bottom w:val="single" w:sz="8" w:space="0" w:color="auto"/>
              <w:right w:val="single" w:sz="4" w:space="0" w:color="auto"/>
            </w:tcBorders>
            <w:shd w:val="clear" w:color="auto" w:fill="auto"/>
            <w:noWrap/>
            <w:vAlign w:val="bottom"/>
          </w:tcPr>
          <w:p w14:paraId="7E4B46D0" w14:textId="77777777" w:rsidR="00FF5857" w:rsidRPr="00543708" w:rsidRDefault="00FF5857" w:rsidP="000308F2">
            <w:pPr>
              <w:spacing w:line="240" w:lineRule="auto"/>
              <w:jc w:val="right"/>
              <w:rPr>
                <w:color w:val="000000"/>
                <w:sz w:val="20"/>
              </w:rPr>
            </w:pPr>
            <w:r>
              <w:rPr>
                <w:color w:val="000000"/>
                <w:sz w:val="20"/>
              </w:rPr>
              <w:t>4 273 128</w:t>
            </w:r>
          </w:p>
        </w:tc>
        <w:tc>
          <w:tcPr>
            <w:tcW w:w="1535" w:type="dxa"/>
            <w:tcBorders>
              <w:top w:val="nil"/>
              <w:left w:val="nil"/>
              <w:bottom w:val="single" w:sz="8" w:space="0" w:color="auto"/>
              <w:right w:val="nil"/>
            </w:tcBorders>
            <w:shd w:val="clear" w:color="auto" w:fill="auto"/>
            <w:noWrap/>
            <w:vAlign w:val="bottom"/>
          </w:tcPr>
          <w:p w14:paraId="28E8A767" w14:textId="77777777" w:rsidR="00FF5857" w:rsidRPr="00543708" w:rsidRDefault="00FF5857" w:rsidP="000308F2">
            <w:pPr>
              <w:spacing w:line="240" w:lineRule="auto"/>
              <w:jc w:val="right"/>
              <w:rPr>
                <w:color w:val="000000"/>
                <w:sz w:val="20"/>
              </w:rPr>
            </w:pPr>
            <w:r>
              <w:rPr>
                <w:color w:val="000000"/>
                <w:sz w:val="20"/>
              </w:rPr>
              <w:t>16 089 614</w:t>
            </w:r>
          </w:p>
        </w:tc>
        <w:tc>
          <w:tcPr>
            <w:tcW w:w="1052" w:type="dxa"/>
            <w:tcBorders>
              <w:top w:val="nil"/>
              <w:left w:val="single" w:sz="8" w:space="0" w:color="auto"/>
              <w:bottom w:val="single" w:sz="8" w:space="0" w:color="auto"/>
              <w:right w:val="single" w:sz="4" w:space="0" w:color="auto"/>
            </w:tcBorders>
            <w:shd w:val="clear" w:color="auto" w:fill="auto"/>
            <w:noWrap/>
            <w:vAlign w:val="bottom"/>
          </w:tcPr>
          <w:p w14:paraId="006AEE6B" w14:textId="77777777" w:rsidR="00FF5857" w:rsidRPr="00543708" w:rsidRDefault="00FF5857" w:rsidP="000308F2">
            <w:pPr>
              <w:spacing w:line="240" w:lineRule="auto"/>
              <w:jc w:val="right"/>
              <w:rPr>
                <w:b/>
                <w:bCs/>
                <w:color w:val="000000"/>
                <w:sz w:val="20"/>
              </w:rPr>
            </w:pPr>
            <w:r>
              <w:rPr>
                <w:b/>
                <w:bCs/>
                <w:color w:val="000000"/>
                <w:sz w:val="20"/>
              </w:rPr>
              <w:t>264 457</w:t>
            </w:r>
          </w:p>
        </w:tc>
        <w:tc>
          <w:tcPr>
            <w:tcW w:w="1544" w:type="dxa"/>
            <w:tcBorders>
              <w:top w:val="nil"/>
              <w:left w:val="nil"/>
              <w:bottom w:val="single" w:sz="8" w:space="0" w:color="auto"/>
              <w:right w:val="single" w:sz="8" w:space="0" w:color="auto"/>
            </w:tcBorders>
            <w:shd w:val="clear" w:color="auto" w:fill="auto"/>
            <w:noWrap/>
            <w:vAlign w:val="bottom"/>
          </w:tcPr>
          <w:p w14:paraId="214923BD" w14:textId="77777777" w:rsidR="00FF5857" w:rsidRPr="00543708" w:rsidRDefault="00FF5857" w:rsidP="000308F2">
            <w:pPr>
              <w:spacing w:line="240" w:lineRule="auto"/>
              <w:jc w:val="right"/>
              <w:rPr>
                <w:i/>
                <w:iCs/>
                <w:color w:val="000000"/>
                <w:sz w:val="20"/>
              </w:rPr>
            </w:pPr>
            <w:r>
              <w:rPr>
                <w:i/>
                <w:iCs/>
                <w:color w:val="000000"/>
                <w:sz w:val="20"/>
              </w:rPr>
              <w:t>-1,68%</w:t>
            </w:r>
          </w:p>
        </w:tc>
        <w:tc>
          <w:tcPr>
            <w:tcW w:w="1132" w:type="dxa"/>
            <w:tcBorders>
              <w:top w:val="nil"/>
              <w:left w:val="nil"/>
              <w:bottom w:val="single" w:sz="8" w:space="0" w:color="auto"/>
              <w:right w:val="single" w:sz="4" w:space="0" w:color="auto"/>
            </w:tcBorders>
            <w:shd w:val="clear" w:color="auto" w:fill="auto"/>
            <w:noWrap/>
            <w:vAlign w:val="bottom"/>
          </w:tcPr>
          <w:p w14:paraId="0DECCB3A" w14:textId="77777777" w:rsidR="00FF5857" w:rsidRPr="00543708" w:rsidRDefault="00FF5857" w:rsidP="000308F2">
            <w:pPr>
              <w:spacing w:line="240" w:lineRule="auto"/>
              <w:jc w:val="right"/>
              <w:rPr>
                <w:b/>
                <w:bCs/>
                <w:color w:val="000000"/>
                <w:sz w:val="20"/>
              </w:rPr>
            </w:pPr>
            <w:r>
              <w:rPr>
                <w:b/>
                <w:bCs/>
                <w:color w:val="000000"/>
                <w:sz w:val="20"/>
              </w:rPr>
              <w:t>1 192 654</w:t>
            </w:r>
          </w:p>
        </w:tc>
        <w:tc>
          <w:tcPr>
            <w:tcW w:w="1346" w:type="dxa"/>
            <w:tcBorders>
              <w:top w:val="nil"/>
              <w:left w:val="nil"/>
              <w:bottom w:val="single" w:sz="8" w:space="0" w:color="auto"/>
              <w:right w:val="single" w:sz="8" w:space="0" w:color="auto"/>
            </w:tcBorders>
            <w:shd w:val="clear" w:color="auto" w:fill="auto"/>
            <w:noWrap/>
            <w:vAlign w:val="bottom"/>
          </w:tcPr>
          <w:p w14:paraId="503D2C93" w14:textId="77777777" w:rsidR="00FF5857" w:rsidRPr="00543708" w:rsidRDefault="00FF5857" w:rsidP="000308F2">
            <w:pPr>
              <w:spacing w:line="240" w:lineRule="auto"/>
              <w:jc w:val="right"/>
              <w:rPr>
                <w:i/>
                <w:iCs/>
                <w:color w:val="000000"/>
                <w:sz w:val="20"/>
              </w:rPr>
            </w:pPr>
            <w:r>
              <w:rPr>
                <w:i/>
                <w:iCs/>
                <w:color w:val="000000"/>
                <w:sz w:val="20"/>
              </w:rPr>
              <w:t>-2,15%</w:t>
            </w:r>
          </w:p>
        </w:tc>
      </w:tr>
    </w:tbl>
    <w:p w14:paraId="22ACA9A9" w14:textId="77777777" w:rsidR="00FF5857" w:rsidRPr="00543708" w:rsidRDefault="00FF5857" w:rsidP="00FF5857">
      <w:pPr>
        <w:spacing w:before="120"/>
        <w:ind w:firstLine="708"/>
        <w:jc w:val="both"/>
        <w:rPr>
          <w:szCs w:val="24"/>
        </w:rPr>
      </w:pPr>
      <w:r w:rsidRPr="00543708">
        <w:rPr>
          <w:szCs w:val="24"/>
        </w:rPr>
        <w:t>Dane zaprezentowane w powyższej tabeli wskazują na dominującą rolę, jaką w</w:t>
      </w:r>
      <w:r>
        <w:rPr>
          <w:szCs w:val="24"/>
        </w:rPr>
        <w:t> </w:t>
      </w:r>
      <w:r w:rsidRPr="00543708">
        <w:rPr>
          <w:szCs w:val="24"/>
        </w:rPr>
        <w:t xml:space="preserve">realizacji NCW </w:t>
      </w:r>
      <w:r w:rsidRPr="00F175A8">
        <w:rPr>
          <w:szCs w:val="24"/>
        </w:rPr>
        <w:t xml:space="preserve">w kraju </w:t>
      </w:r>
      <w:r w:rsidRPr="00543708">
        <w:rPr>
          <w:szCs w:val="24"/>
        </w:rPr>
        <w:t xml:space="preserve">odgrywają dwa rodzaje biokomponentów, tj. estry metylowe </w:t>
      </w:r>
      <w:r>
        <w:rPr>
          <w:szCs w:val="24"/>
        </w:rPr>
        <w:t xml:space="preserve">(dodawane do oleju napędowego lub występujące w postaci samoistnej) </w:t>
      </w:r>
      <w:r w:rsidRPr="00543708">
        <w:rPr>
          <w:szCs w:val="24"/>
        </w:rPr>
        <w:t>oraz bioetanol</w:t>
      </w:r>
      <w:r>
        <w:rPr>
          <w:szCs w:val="24"/>
        </w:rPr>
        <w:t xml:space="preserve"> (dodawany do benzyn silnikowych)</w:t>
      </w:r>
      <w:r w:rsidRPr="00543708">
        <w:rPr>
          <w:szCs w:val="24"/>
        </w:rPr>
        <w:t xml:space="preserve">. Ponadto w 2017 </w:t>
      </w:r>
      <w:r>
        <w:rPr>
          <w:szCs w:val="24"/>
        </w:rPr>
        <w:t xml:space="preserve">r. </w:t>
      </w:r>
      <w:r w:rsidRPr="00543708">
        <w:rPr>
          <w:szCs w:val="24"/>
        </w:rPr>
        <w:t xml:space="preserve">podmioty realizujące NCW po raz pierwszy wykazały wykorzystanie do realizacji NCW </w:t>
      </w:r>
      <w:proofErr w:type="spellStart"/>
      <w:r w:rsidRPr="00543708">
        <w:rPr>
          <w:szCs w:val="24"/>
        </w:rPr>
        <w:t>biowęglowodorów</w:t>
      </w:r>
      <w:proofErr w:type="spellEnd"/>
      <w:r w:rsidRPr="00543708">
        <w:rPr>
          <w:szCs w:val="24"/>
        </w:rPr>
        <w:t xml:space="preserve"> ciekłych w ilości 11 278 ton.</w:t>
      </w:r>
      <w:r w:rsidRPr="00F175A8">
        <w:rPr>
          <w:szCs w:val="24"/>
        </w:rPr>
        <w:t xml:space="preserve"> </w:t>
      </w:r>
      <w:r w:rsidRPr="00543708">
        <w:rPr>
          <w:szCs w:val="24"/>
        </w:rPr>
        <w:t xml:space="preserve">Wykorzystanie estrów i bioetanolu do komponowania paliw ciekłych jest </w:t>
      </w:r>
      <w:r>
        <w:rPr>
          <w:szCs w:val="24"/>
        </w:rPr>
        <w:t>obecnie</w:t>
      </w:r>
      <w:r w:rsidRPr="00543708">
        <w:rPr>
          <w:szCs w:val="24"/>
        </w:rPr>
        <w:t xml:space="preserve"> najbardziej efektywną i najtańszą metodą realizacji celu OZE w transporcie</w:t>
      </w:r>
      <w:r>
        <w:rPr>
          <w:szCs w:val="24"/>
        </w:rPr>
        <w:t>,</w:t>
      </w:r>
      <w:r w:rsidRPr="00543708">
        <w:rPr>
          <w:szCs w:val="24"/>
        </w:rPr>
        <w:t xml:space="preserve"> co potwierdzają </w:t>
      </w:r>
      <w:r>
        <w:rPr>
          <w:szCs w:val="24"/>
        </w:rPr>
        <w:lastRenderedPageBreak/>
        <w:t xml:space="preserve">również </w:t>
      </w:r>
      <w:r w:rsidRPr="00543708">
        <w:rPr>
          <w:szCs w:val="24"/>
        </w:rPr>
        <w:t xml:space="preserve">doświadczenia pozostałych krajów UE. Powszechna dostępność oraz przystępna cena </w:t>
      </w:r>
      <w:r>
        <w:rPr>
          <w:szCs w:val="24"/>
        </w:rPr>
        <w:t xml:space="preserve">tych biokomponentów </w:t>
      </w:r>
      <w:r w:rsidRPr="00543708">
        <w:rPr>
          <w:szCs w:val="24"/>
        </w:rPr>
        <w:t>powoduje, że to właśnie estry oraz bioetanol są dla znakomitej większości państw Unii Europejskiej podstawowym nośnikiem energii wykorzystywanym do realizacji celu OZE w transporcie.</w:t>
      </w:r>
    </w:p>
    <w:p w14:paraId="54F57DB4" w14:textId="3990BAB3" w:rsidR="00FF5857" w:rsidRPr="00F175A8" w:rsidRDefault="00FF5857" w:rsidP="00FF5857">
      <w:pPr>
        <w:spacing w:before="120"/>
        <w:ind w:firstLine="708"/>
        <w:jc w:val="both"/>
        <w:rPr>
          <w:szCs w:val="24"/>
        </w:rPr>
      </w:pPr>
      <w:r w:rsidRPr="00543708">
        <w:rPr>
          <w:szCs w:val="24"/>
        </w:rPr>
        <w:t xml:space="preserve">Powyższą zależność potwierdzają również </w:t>
      </w:r>
      <w:r>
        <w:rPr>
          <w:szCs w:val="24"/>
        </w:rPr>
        <w:t xml:space="preserve">ogólnodostępne </w:t>
      </w:r>
      <w:r w:rsidRPr="00543708">
        <w:rPr>
          <w:szCs w:val="24"/>
        </w:rPr>
        <w:t>dane statystyczne (w</w:t>
      </w:r>
      <w:r>
        <w:rPr>
          <w:szCs w:val="24"/>
        </w:rPr>
        <w:t> </w:t>
      </w:r>
      <w:r w:rsidRPr="00543708">
        <w:rPr>
          <w:szCs w:val="24"/>
        </w:rPr>
        <w:t xml:space="preserve">oparciu o formularz SHARE, dane za 2016 r.) oraz informacje pochodzące z centrów analitycznych (FO </w:t>
      </w:r>
      <w:proofErr w:type="spellStart"/>
      <w:r w:rsidRPr="00543708">
        <w:rPr>
          <w:szCs w:val="24"/>
        </w:rPr>
        <w:t>Licht</w:t>
      </w:r>
      <w:proofErr w:type="spellEnd"/>
      <w:r w:rsidRPr="00543708">
        <w:rPr>
          <w:szCs w:val="24"/>
        </w:rPr>
        <w:t>), zgodnie z którymi estry oraz bioetanol mają najwyższy udział w</w:t>
      </w:r>
      <w:r>
        <w:rPr>
          <w:szCs w:val="24"/>
        </w:rPr>
        <w:t> </w:t>
      </w:r>
      <w:r w:rsidRPr="00543708">
        <w:rPr>
          <w:szCs w:val="24"/>
        </w:rPr>
        <w:t xml:space="preserve">strukturze wszystkich nośników energii odnawialnej w transporcie w UE, który łącznie wynosi ok. 84%, podczas gdy </w:t>
      </w:r>
      <w:proofErr w:type="spellStart"/>
      <w:r w:rsidRPr="00543708">
        <w:rPr>
          <w:szCs w:val="24"/>
        </w:rPr>
        <w:t>biowęglowodory</w:t>
      </w:r>
      <w:proofErr w:type="spellEnd"/>
      <w:r w:rsidRPr="00543708">
        <w:rPr>
          <w:szCs w:val="24"/>
        </w:rPr>
        <w:t xml:space="preserve"> </w:t>
      </w:r>
      <w:r>
        <w:rPr>
          <w:szCs w:val="24"/>
        </w:rPr>
        <w:t>ciekłe -</w:t>
      </w:r>
      <w:r w:rsidRPr="005C590B">
        <w:rPr>
          <w:szCs w:val="24"/>
        </w:rPr>
        <w:t xml:space="preserve"> 15%,</w:t>
      </w:r>
      <w:r w:rsidRPr="00543708">
        <w:rPr>
          <w:szCs w:val="24"/>
        </w:rPr>
        <w:t xml:space="preserve"> biogaz </w:t>
      </w:r>
      <w:r>
        <w:rPr>
          <w:szCs w:val="24"/>
        </w:rPr>
        <w:t>wykorzystywany do celów transportowych</w:t>
      </w:r>
      <w:r w:rsidRPr="00543708">
        <w:rPr>
          <w:szCs w:val="24"/>
        </w:rPr>
        <w:t xml:space="preserve"> – niespełna 1%</w:t>
      </w:r>
      <w:r w:rsidR="000308F2">
        <w:rPr>
          <w:szCs w:val="24"/>
        </w:rPr>
        <w:t>,</w:t>
      </w:r>
      <w:r>
        <w:rPr>
          <w:szCs w:val="24"/>
        </w:rPr>
        <w:t xml:space="preserve"> a inne paliwa odnawialne – 0%</w:t>
      </w:r>
      <w:r w:rsidRPr="00543708">
        <w:rPr>
          <w:szCs w:val="24"/>
        </w:rPr>
        <w:t xml:space="preserve">. </w:t>
      </w:r>
    </w:p>
    <w:p w14:paraId="68E43CE7" w14:textId="77777777" w:rsidR="00FF5857" w:rsidRPr="00543708" w:rsidRDefault="00FF5857" w:rsidP="00FF5857">
      <w:pPr>
        <w:spacing w:after="120"/>
        <w:ind w:firstLine="708"/>
        <w:jc w:val="both"/>
        <w:rPr>
          <w:szCs w:val="24"/>
        </w:rPr>
      </w:pPr>
      <w:r>
        <w:rPr>
          <w:szCs w:val="24"/>
        </w:rPr>
        <w:t>Jeżeli chodzi o krajowe zdolności produkcyjne to w</w:t>
      </w:r>
      <w:r w:rsidRPr="00543708">
        <w:rPr>
          <w:szCs w:val="24"/>
        </w:rPr>
        <w:t xml:space="preserve"> rejestrze wytwórców prowadzonym przez Dyrektora Generalnego Krajowego Ośrodka Wsparcia Rolnictwa</w:t>
      </w:r>
      <w:r>
        <w:rPr>
          <w:szCs w:val="24"/>
        </w:rPr>
        <w:t>,</w:t>
      </w:r>
      <w:r w:rsidRPr="00543708">
        <w:rPr>
          <w:szCs w:val="24"/>
        </w:rPr>
        <w:t xml:space="preserve"> zarejestrowanych jest 2</w:t>
      </w:r>
      <w:r>
        <w:rPr>
          <w:szCs w:val="24"/>
        </w:rPr>
        <w:t>4</w:t>
      </w:r>
      <w:r w:rsidRPr="00543708">
        <w:rPr>
          <w:szCs w:val="24"/>
        </w:rPr>
        <w:t xml:space="preserve"> przedsiębiorców</w:t>
      </w:r>
      <w:r>
        <w:rPr>
          <w:szCs w:val="24"/>
        </w:rPr>
        <w:t xml:space="preserve"> (w tym dwa podmioty uprawnione są do wytwarzania dwóch rodzajów biokomponentów)</w:t>
      </w:r>
      <w:r w:rsidRPr="00543708">
        <w:rPr>
          <w:szCs w:val="24"/>
        </w:rPr>
        <w:t>, z czego:</w:t>
      </w:r>
    </w:p>
    <w:p w14:paraId="170153F2" w14:textId="77777777" w:rsidR="00FF5857" w:rsidRPr="00543708" w:rsidRDefault="00FF5857" w:rsidP="00FF5857">
      <w:pPr>
        <w:ind w:firstLine="709"/>
        <w:jc w:val="both"/>
        <w:rPr>
          <w:szCs w:val="24"/>
        </w:rPr>
      </w:pPr>
      <w:r w:rsidRPr="00543708">
        <w:rPr>
          <w:szCs w:val="24"/>
        </w:rPr>
        <w:t xml:space="preserve">- 9 podmiotów </w:t>
      </w:r>
      <w:r>
        <w:rPr>
          <w:szCs w:val="24"/>
        </w:rPr>
        <w:t>jest uprawnionych do wytwarzania estrów,</w:t>
      </w:r>
      <w:r w:rsidRPr="00543708">
        <w:rPr>
          <w:szCs w:val="24"/>
        </w:rPr>
        <w:t xml:space="preserve"> moce wytwórcze wynoszą: </w:t>
      </w:r>
      <w:r w:rsidRPr="00543708">
        <w:rPr>
          <w:color w:val="000000"/>
          <w:szCs w:val="24"/>
        </w:rPr>
        <w:t>1,356 mln ton;</w:t>
      </w:r>
    </w:p>
    <w:p w14:paraId="28FE1F37" w14:textId="77777777" w:rsidR="00FF5857" w:rsidRPr="00543708" w:rsidRDefault="00FF5857" w:rsidP="00FF5857">
      <w:pPr>
        <w:ind w:firstLine="709"/>
        <w:jc w:val="both"/>
        <w:rPr>
          <w:szCs w:val="24"/>
        </w:rPr>
      </w:pPr>
      <w:r w:rsidRPr="00543708">
        <w:rPr>
          <w:szCs w:val="24"/>
        </w:rPr>
        <w:t xml:space="preserve">- 14 podmiotów </w:t>
      </w:r>
      <w:r>
        <w:rPr>
          <w:szCs w:val="24"/>
        </w:rPr>
        <w:t>jest uprawnionych do wytwarzania</w:t>
      </w:r>
      <w:r w:rsidRPr="00543708">
        <w:rPr>
          <w:szCs w:val="24"/>
        </w:rPr>
        <w:t xml:space="preserve"> bioetanol</w:t>
      </w:r>
      <w:r>
        <w:rPr>
          <w:szCs w:val="24"/>
        </w:rPr>
        <w:t xml:space="preserve">u, </w:t>
      </w:r>
      <w:r w:rsidRPr="00543708">
        <w:rPr>
          <w:szCs w:val="24"/>
        </w:rPr>
        <w:t xml:space="preserve">moce wytwórcze wynoszą: </w:t>
      </w:r>
      <w:r w:rsidRPr="00543708">
        <w:rPr>
          <w:color w:val="000000"/>
          <w:szCs w:val="24"/>
        </w:rPr>
        <w:t>0,</w:t>
      </w:r>
      <w:r>
        <w:rPr>
          <w:color w:val="000000"/>
          <w:szCs w:val="24"/>
        </w:rPr>
        <w:t>708</w:t>
      </w:r>
      <w:r w:rsidRPr="00543708">
        <w:rPr>
          <w:color w:val="000000"/>
          <w:szCs w:val="24"/>
        </w:rPr>
        <w:t xml:space="preserve"> mln ton;</w:t>
      </w:r>
    </w:p>
    <w:p w14:paraId="38005294" w14:textId="77777777" w:rsidR="00FF5857" w:rsidRDefault="00FF5857" w:rsidP="00FF5857">
      <w:pPr>
        <w:spacing w:after="120"/>
        <w:ind w:firstLine="708"/>
        <w:jc w:val="both"/>
        <w:rPr>
          <w:szCs w:val="24"/>
        </w:rPr>
      </w:pPr>
      <w:r w:rsidRPr="00543708">
        <w:rPr>
          <w:szCs w:val="24"/>
        </w:rPr>
        <w:t xml:space="preserve">- 2 podmioty </w:t>
      </w:r>
      <w:r>
        <w:rPr>
          <w:szCs w:val="24"/>
        </w:rPr>
        <w:t xml:space="preserve">są uprawnione do wytwarzania </w:t>
      </w:r>
      <w:proofErr w:type="spellStart"/>
      <w:r>
        <w:rPr>
          <w:szCs w:val="24"/>
        </w:rPr>
        <w:t>biowęglowodorów</w:t>
      </w:r>
      <w:proofErr w:type="spellEnd"/>
      <w:r>
        <w:rPr>
          <w:szCs w:val="24"/>
        </w:rPr>
        <w:t xml:space="preserve"> ciekłych, </w:t>
      </w:r>
      <w:r w:rsidRPr="00543708">
        <w:rPr>
          <w:szCs w:val="24"/>
        </w:rPr>
        <w:t xml:space="preserve">moce wytwórcze wynoszą: </w:t>
      </w:r>
      <w:r>
        <w:rPr>
          <w:szCs w:val="24"/>
        </w:rPr>
        <w:t>25,12</w:t>
      </w:r>
      <w:r w:rsidRPr="00543708">
        <w:rPr>
          <w:szCs w:val="24"/>
        </w:rPr>
        <w:t xml:space="preserve"> tys. ton</w:t>
      </w:r>
      <w:r>
        <w:rPr>
          <w:szCs w:val="24"/>
        </w:rPr>
        <w:t>;</w:t>
      </w:r>
    </w:p>
    <w:p w14:paraId="7F6CCA2F" w14:textId="77777777" w:rsidR="00FF5857" w:rsidRPr="00543708" w:rsidRDefault="00FF5857" w:rsidP="00FF5857">
      <w:pPr>
        <w:spacing w:after="120"/>
        <w:ind w:firstLine="708"/>
        <w:jc w:val="both"/>
        <w:rPr>
          <w:szCs w:val="24"/>
        </w:rPr>
      </w:pPr>
      <w:r>
        <w:rPr>
          <w:szCs w:val="24"/>
        </w:rPr>
        <w:t xml:space="preserve">- 1 podmiot jest uprawniony do wytwarzania </w:t>
      </w:r>
      <w:proofErr w:type="spellStart"/>
      <w:r>
        <w:rPr>
          <w:szCs w:val="24"/>
        </w:rPr>
        <w:t>bio</w:t>
      </w:r>
      <w:proofErr w:type="spellEnd"/>
      <w:r>
        <w:rPr>
          <w:szCs w:val="24"/>
        </w:rPr>
        <w:t xml:space="preserve"> propan-butanu, moc wytwórcza wynosi 3,50 mln l.</w:t>
      </w:r>
    </w:p>
    <w:p w14:paraId="0B9565CA" w14:textId="77777777" w:rsidR="00FF5857" w:rsidRDefault="00FF5857" w:rsidP="00FF5857">
      <w:pPr>
        <w:spacing w:after="120"/>
        <w:ind w:firstLine="708"/>
        <w:jc w:val="both"/>
        <w:rPr>
          <w:szCs w:val="24"/>
        </w:rPr>
      </w:pPr>
      <w:r w:rsidRPr="00543708">
        <w:rPr>
          <w:szCs w:val="24"/>
        </w:rPr>
        <w:t>Z przedłożonego zestawienia wynika, że moce produkcyjne w zakresie estrów oraz bioetanolu są w kraju na wysokim poziomie, wciąż przekraczającym zapotrzebowanie</w:t>
      </w:r>
      <w:r>
        <w:rPr>
          <w:szCs w:val="24"/>
        </w:rPr>
        <w:t xml:space="preserve">, które jest ograniczone ponieważ </w:t>
      </w:r>
      <w:r w:rsidRPr="00543708">
        <w:rPr>
          <w:szCs w:val="24"/>
        </w:rPr>
        <w:t xml:space="preserve">stosowanie estrów oraz bioetanolu do NCW charakteryzuje się technicznymi </w:t>
      </w:r>
      <w:r>
        <w:rPr>
          <w:szCs w:val="24"/>
        </w:rPr>
        <w:t>barierami</w:t>
      </w:r>
      <w:r w:rsidRPr="00543708">
        <w:rPr>
          <w:szCs w:val="24"/>
        </w:rPr>
        <w:t>. Normy techniczne określane dla paliw ciekłych, a w ślad za nimi krajowe przepisy, ograniczają możliwość stosowania estrów metylowych i bioetanolu w</w:t>
      </w:r>
      <w:r>
        <w:rPr>
          <w:szCs w:val="24"/>
        </w:rPr>
        <w:t> </w:t>
      </w:r>
      <w:r w:rsidRPr="00543708">
        <w:rPr>
          <w:szCs w:val="24"/>
        </w:rPr>
        <w:t>paliwach ciekłych do standardu E5/E10 (PN-EN 228) i B7 (PN-EN 590).</w:t>
      </w:r>
    </w:p>
    <w:p w14:paraId="7D6E9B78" w14:textId="77777777" w:rsidR="00FF5857" w:rsidRDefault="00FF5857" w:rsidP="00FF5857">
      <w:pPr>
        <w:spacing w:after="120"/>
        <w:ind w:firstLine="708"/>
        <w:jc w:val="both"/>
        <w:rPr>
          <w:szCs w:val="24"/>
        </w:rPr>
      </w:pPr>
      <w:r w:rsidRPr="00E625CA">
        <w:rPr>
          <w:szCs w:val="24"/>
        </w:rPr>
        <w:t xml:space="preserve">Powyższe ograniczenia, które określane są jako tzw. </w:t>
      </w:r>
      <w:proofErr w:type="spellStart"/>
      <w:r w:rsidRPr="00E625CA">
        <w:rPr>
          <w:i/>
          <w:szCs w:val="24"/>
        </w:rPr>
        <w:t>blending</w:t>
      </w:r>
      <w:proofErr w:type="spellEnd"/>
      <w:r w:rsidRPr="00E625CA">
        <w:rPr>
          <w:i/>
          <w:szCs w:val="24"/>
        </w:rPr>
        <w:t xml:space="preserve"> </w:t>
      </w:r>
      <w:proofErr w:type="spellStart"/>
      <w:r w:rsidRPr="00E625CA">
        <w:rPr>
          <w:i/>
          <w:szCs w:val="24"/>
        </w:rPr>
        <w:t>wall</w:t>
      </w:r>
      <w:proofErr w:type="spellEnd"/>
      <w:r w:rsidRPr="00E625CA">
        <w:rPr>
          <w:i/>
          <w:szCs w:val="24"/>
        </w:rPr>
        <w:t>,</w:t>
      </w:r>
      <w:r w:rsidRPr="00E625CA">
        <w:rPr>
          <w:szCs w:val="24"/>
        </w:rPr>
        <w:t xml:space="preserve"> powodują, że poziom NCW osiągnięty przy wykorzystaniu tych biokomponentów (w zależności od struktury oleju napędowego i benzyn silnikowych na rynku oraz w przypadku gdy biomasą są surowce spożywcze, zaliczane pojedynczo do realizacji NCW) nie przekracza w najlepszym przypadku </w:t>
      </w:r>
      <w:r w:rsidRPr="00E625CA">
        <w:rPr>
          <w:szCs w:val="24"/>
        </w:rPr>
        <w:lastRenderedPageBreak/>
        <w:t>poziomu 6%.</w:t>
      </w:r>
    </w:p>
    <w:p w14:paraId="174F476D" w14:textId="77777777" w:rsidR="00FF5857" w:rsidRDefault="00FF5857" w:rsidP="00FF5857">
      <w:pPr>
        <w:spacing w:after="120"/>
        <w:ind w:firstLine="708"/>
        <w:jc w:val="both"/>
        <w:rPr>
          <w:szCs w:val="24"/>
        </w:rPr>
      </w:pPr>
      <w:r>
        <w:rPr>
          <w:szCs w:val="24"/>
        </w:rPr>
        <w:t xml:space="preserve">W praktyce gospodarczej, w sytuacji gdy poziom obowiązku przekracza poziom </w:t>
      </w:r>
      <w:proofErr w:type="spellStart"/>
      <w:r w:rsidRPr="002142B2">
        <w:rPr>
          <w:i/>
          <w:szCs w:val="24"/>
        </w:rPr>
        <w:t>blending</w:t>
      </w:r>
      <w:proofErr w:type="spellEnd"/>
      <w:r w:rsidRPr="002142B2">
        <w:rPr>
          <w:i/>
          <w:szCs w:val="24"/>
        </w:rPr>
        <w:t xml:space="preserve"> </w:t>
      </w:r>
      <w:proofErr w:type="spellStart"/>
      <w:r w:rsidRPr="002142B2">
        <w:rPr>
          <w:i/>
          <w:szCs w:val="24"/>
        </w:rPr>
        <w:t>wall</w:t>
      </w:r>
      <w:proofErr w:type="spellEnd"/>
      <w:r>
        <w:rPr>
          <w:szCs w:val="24"/>
        </w:rPr>
        <w:t xml:space="preserve"> pojawia się konieczność poszukiwania alternatywnych sposobów wykorzystania biokomponentów, np. stosowanych w biopaliwach ciekłych, lub innych rodzajów biokomponentów niż estry oraz bioetanol (takich jak: </w:t>
      </w:r>
      <w:proofErr w:type="spellStart"/>
      <w:r>
        <w:rPr>
          <w:szCs w:val="24"/>
        </w:rPr>
        <w:t>biowęglowodory</w:t>
      </w:r>
      <w:proofErr w:type="spellEnd"/>
      <w:r>
        <w:rPr>
          <w:szCs w:val="24"/>
        </w:rPr>
        <w:t xml:space="preserve"> ciekłe, inne paliwa odnawialne, biogaz/</w:t>
      </w:r>
      <w:proofErr w:type="spellStart"/>
      <w:r>
        <w:rPr>
          <w:szCs w:val="24"/>
        </w:rPr>
        <w:t>biometan</w:t>
      </w:r>
      <w:proofErr w:type="spellEnd"/>
      <w:r>
        <w:rPr>
          <w:szCs w:val="24"/>
        </w:rPr>
        <w:t xml:space="preserve"> wykorzystywany do celów transportowych). Przy czym możliwość wykorzystania wskazanych powyżej potencjalnych rozwiązań zależy od wielu czynników, wśród których do najważniejszych należy poziom zapotrzebowania na dany nośnik energii zawarty w paliwach.</w:t>
      </w:r>
    </w:p>
    <w:p w14:paraId="5773EBC0" w14:textId="77777777" w:rsidR="00FF5857" w:rsidRDefault="00FF5857" w:rsidP="00FF5857">
      <w:pPr>
        <w:spacing w:after="120"/>
        <w:ind w:firstLine="708"/>
        <w:jc w:val="both"/>
        <w:rPr>
          <w:szCs w:val="24"/>
        </w:rPr>
      </w:pPr>
      <w:r>
        <w:rPr>
          <w:szCs w:val="24"/>
        </w:rPr>
        <w:t xml:space="preserve">Spośród powyżej wymienionego katalogu potencjalnych rozwiązań, zgodnie z informacjami dotyczącymi struktury wykorzystania poszczególnych rodzajów biokomponentów w Unii Europejskiej, potencjalnie najciekawszą alternatywą wydaje się możliwość wykorzystania </w:t>
      </w:r>
      <w:proofErr w:type="spellStart"/>
      <w:r>
        <w:rPr>
          <w:szCs w:val="24"/>
        </w:rPr>
        <w:t>biowęglowodorów</w:t>
      </w:r>
      <w:proofErr w:type="spellEnd"/>
      <w:r>
        <w:rPr>
          <w:szCs w:val="24"/>
        </w:rPr>
        <w:t xml:space="preserve"> ciekłych (HVO) do realizacji NCW.</w:t>
      </w:r>
    </w:p>
    <w:p w14:paraId="152805B6" w14:textId="77777777" w:rsidR="00FF5857" w:rsidRDefault="00FF5857" w:rsidP="00FF5857">
      <w:pPr>
        <w:spacing w:after="120"/>
        <w:ind w:firstLine="708"/>
        <w:jc w:val="both"/>
        <w:rPr>
          <w:szCs w:val="24"/>
        </w:rPr>
      </w:pPr>
      <w:r>
        <w:rPr>
          <w:szCs w:val="24"/>
        </w:rPr>
        <w:t xml:space="preserve"> Należy mieć jednak na uwadze, iż zgodnie z obecnymi przepisami ustawy z dnia 30 listopada 2016 r. </w:t>
      </w:r>
      <w:r w:rsidRPr="00543708">
        <w:rPr>
          <w:i/>
          <w:szCs w:val="24"/>
        </w:rPr>
        <w:t>o zmianie ustawy – Prawo energetyczne oraz niektórych innych ustaw</w:t>
      </w:r>
      <w:r>
        <w:rPr>
          <w:szCs w:val="24"/>
        </w:rPr>
        <w:t xml:space="preserve"> (Dz.U. z 2016 r. poz. 1986) poziom NCW na rok 2020 wynosi 8,5%. Poziom ten został określony w roku 2016, tj. w okresie, w którym nie były jeszcze znane konsekwencje wprowadzenia w życie pakietu paliwowego i następnie pakietów energetycznego i przewozowego, mających na celu ograniczenie funkcjonowania tzw. </w:t>
      </w:r>
      <w:r w:rsidRPr="00543708">
        <w:rPr>
          <w:i/>
          <w:szCs w:val="24"/>
        </w:rPr>
        <w:t>szarej strefy</w:t>
      </w:r>
      <w:r>
        <w:rPr>
          <w:szCs w:val="24"/>
        </w:rPr>
        <w:t xml:space="preserve">. Zaproponowany wówczas poziom NCW, przy obecnie szacowanej konsumpcji paliw ciekłych oznacza jednakże, że do pełnego wykonania tego celu przy założeniu wykorzystania estrów oraz bioetanolu do poziomu wynikającego z ograniczenia </w:t>
      </w:r>
      <w:proofErr w:type="spellStart"/>
      <w:r w:rsidRPr="00543708">
        <w:rPr>
          <w:i/>
          <w:szCs w:val="24"/>
        </w:rPr>
        <w:t>blending</w:t>
      </w:r>
      <w:proofErr w:type="spellEnd"/>
      <w:r w:rsidRPr="00543708">
        <w:rPr>
          <w:i/>
          <w:szCs w:val="24"/>
        </w:rPr>
        <w:t xml:space="preserve"> </w:t>
      </w:r>
      <w:proofErr w:type="spellStart"/>
      <w:r w:rsidRPr="00543708">
        <w:rPr>
          <w:i/>
          <w:szCs w:val="24"/>
        </w:rPr>
        <w:t>wall</w:t>
      </w:r>
      <w:proofErr w:type="spellEnd"/>
      <w:r>
        <w:rPr>
          <w:szCs w:val="24"/>
        </w:rPr>
        <w:t xml:space="preserve">, potrzebne będzie dodatkowe wykorzystanie ok. 700 tys. ton HVO (przy czym ok. 170 tys. ton tych </w:t>
      </w:r>
      <w:proofErr w:type="spellStart"/>
      <w:r>
        <w:rPr>
          <w:szCs w:val="24"/>
        </w:rPr>
        <w:t>biowęglowodorów</w:t>
      </w:r>
      <w:proofErr w:type="spellEnd"/>
      <w:r>
        <w:rPr>
          <w:szCs w:val="24"/>
        </w:rPr>
        <w:t xml:space="preserve"> ciekłych będzie musiało być wytworzonych z surowców upoważniających do podwójnego naliczenia). W trakcie prac nad poziomami NCW na lata 2017-2020 prowadzonymi w 2016 r. szacowano, że do realizacji NCW, przy aktualnej wówczas konsumpcji paliw, wystarczy jedynie ok. 200 tys. ton </w:t>
      </w:r>
      <w:proofErr w:type="spellStart"/>
      <w:r>
        <w:rPr>
          <w:szCs w:val="24"/>
        </w:rPr>
        <w:t>biowęglowodorów</w:t>
      </w:r>
      <w:proofErr w:type="spellEnd"/>
      <w:r>
        <w:rPr>
          <w:szCs w:val="24"/>
        </w:rPr>
        <w:t xml:space="preserve"> ciekłych.</w:t>
      </w:r>
    </w:p>
    <w:p w14:paraId="3B6FCC3E" w14:textId="77777777" w:rsidR="00FF5857" w:rsidRDefault="00FF5857" w:rsidP="00FF5857">
      <w:pPr>
        <w:spacing w:after="120"/>
        <w:jc w:val="both"/>
        <w:rPr>
          <w:szCs w:val="24"/>
        </w:rPr>
      </w:pPr>
      <w:r>
        <w:rPr>
          <w:szCs w:val="24"/>
        </w:rPr>
        <w:tab/>
        <w:t xml:space="preserve">Przedłożone powyżej dane dotyczące krajowych zdolności produkcyjnych </w:t>
      </w:r>
      <w:proofErr w:type="spellStart"/>
      <w:r>
        <w:rPr>
          <w:szCs w:val="24"/>
        </w:rPr>
        <w:t>biowęglowodorów</w:t>
      </w:r>
      <w:proofErr w:type="spellEnd"/>
      <w:r>
        <w:rPr>
          <w:szCs w:val="24"/>
        </w:rPr>
        <w:t xml:space="preserve"> ciekłych (26 tys. ton) są ewidentnie niewystarczające. Sytuacji w tym zakresie niewiele poprawi fakt uruchomienia na instalacjach PKN Orlen oraz Lotos SA produkcji </w:t>
      </w:r>
      <w:proofErr w:type="spellStart"/>
      <w:r>
        <w:rPr>
          <w:szCs w:val="24"/>
        </w:rPr>
        <w:t>biowęglowodorów</w:t>
      </w:r>
      <w:proofErr w:type="spellEnd"/>
      <w:r>
        <w:rPr>
          <w:szCs w:val="24"/>
        </w:rPr>
        <w:t xml:space="preserve"> ciekłych w technologii </w:t>
      </w:r>
      <w:proofErr w:type="spellStart"/>
      <w:r>
        <w:rPr>
          <w:szCs w:val="24"/>
        </w:rPr>
        <w:t>współuwodornienia</w:t>
      </w:r>
      <w:proofErr w:type="spellEnd"/>
      <w:r>
        <w:rPr>
          <w:szCs w:val="24"/>
        </w:rPr>
        <w:t xml:space="preserve"> (tzw. </w:t>
      </w:r>
      <w:proofErr w:type="spellStart"/>
      <w:r>
        <w:rPr>
          <w:szCs w:val="24"/>
        </w:rPr>
        <w:t>coHVO</w:t>
      </w:r>
      <w:proofErr w:type="spellEnd"/>
      <w:r>
        <w:rPr>
          <w:szCs w:val="24"/>
        </w:rPr>
        <w:t>), która powinna w 2020 r. wytworzyć ok. 30-60 tys. ton tych biokomponentów.</w:t>
      </w:r>
    </w:p>
    <w:p w14:paraId="4AFB380C" w14:textId="77777777" w:rsidR="00FF5857" w:rsidRPr="00543708" w:rsidRDefault="00FF5857" w:rsidP="00FF5857">
      <w:pPr>
        <w:spacing w:after="120"/>
        <w:jc w:val="both"/>
        <w:rPr>
          <w:rStyle w:val="m-3630321746689277748s1"/>
          <w:szCs w:val="24"/>
        </w:rPr>
      </w:pPr>
      <w:r>
        <w:rPr>
          <w:szCs w:val="24"/>
        </w:rPr>
        <w:lastRenderedPageBreak/>
        <w:tab/>
      </w:r>
      <w:r w:rsidRPr="00543708">
        <w:rPr>
          <w:szCs w:val="24"/>
        </w:rPr>
        <w:t xml:space="preserve">Niezbędna jest zatem </w:t>
      </w:r>
      <w:r w:rsidRPr="00543708">
        <w:rPr>
          <w:rStyle w:val="m-3630321746689277748s1"/>
          <w:szCs w:val="24"/>
        </w:rPr>
        <w:t>analiza podaży i popytu HVO w Europie i na świecie w roku 2020 oraz kolejnych i oszacowanie poziomu dostępności tego biokomponentu dla krajowych podmiotów zobowiązanych do realizacji NCW. Zgodnie z posiadanymi informacjami produkcja HVO na świecie charakteryzuje się dużą koncentracją (ponad połowa zdolności produkcyjnych należy do jednego podmiotu) i niewielkimi możliwościami wzrostu tego potencjału w najbliższych latach</w:t>
      </w:r>
      <w:r>
        <w:rPr>
          <w:rStyle w:val="m-3630321746689277748s1"/>
          <w:szCs w:val="24"/>
        </w:rPr>
        <w:t xml:space="preserve"> (prowadzonych jest niewiele projektów inwestycyjnych oraz pojawiają się coraz powszechniejsze bariery w zakresie dostępu do biomasy)</w:t>
      </w:r>
      <w:r w:rsidRPr="00543708">
        <w:rPr>
          <w:rStyle w:val="m-3630321746689277748s1"/>
          <w:szCs w:val="24"/>
        </w:rPr>
        <w:t xml:space="preserve">. </w:t>
      </w:r>
    </w:p>
    <w:p w14:paraId="22A1EFD0" w14:textId="77777777" w:rsidR="00FF5857" w:rsidRPr="00543708" w:rsidRDefault="00FF5857" w:rsidP="00FF5857">
      <w:pPr>
        <w:spacing w:after="120"/>
        <w:jc w:val="both"/>
        <w:rPr>
          <w:szCs w:val="24"/>
        </w:rPr>
      </w:pPr>
      <w:r w:rsidRPr="00543708">
        <w:rPr>
          <w:rStyle w:val="m-3630321746689277748s1"/>
          <w:szCs w:val="24"/>
        </w:rPr>
        <w:tab/>
        <w:t xml:space="preserve">Zgodnie z oficjalnymi danymi producentów HVO w 2018 r. zdolności produkcyjne tego biokomponentu wynosiły </w:t>
      </w:r>
      <w:r>
        <w:rPr>
          <w:rStyle w:val="m-3630321746689277748s1"/>
          <w:szCs w:val="24"/>
        </w:rPr>
        <w:t>nieco ponad</w:t>
      </w:r>
      <w:r w:rsidRPr="00543708">
        <w:rPr>
          <w:rStyle w:val="m-3630321746689277748s1"/>
          <w:szCs w:val="24"/>
        </w:rPr>
        <w:t xml:space="preserve"> 5,0 mln ton oraz realizowane były </w:t>
      </w:r>
      <w:r>
        <w:rPr>
          <w:rStyle w:val="m-3630321746689277748s1"/>
          <w:szCs w:val="24"/>
        </w:rPr>
        <w:t xml:space="preserve">nowe </w:t>
      </w:r>
      <w:r w:rsidRPr="00543708">
        <w:rPr>
          <w:rStyle w:val="m-3630321746689277748s1"/>
          <w:szCs w:val="24"/>
        </w:rPr>
        <w:t>inwestycje (m.in. we Francji, Włoszech oraz Azji), pozwalające na wzrost zdolności produkcyjnych o</w:t>
      </w:r>
      <w:r>
        <w:rPr>
          <w:rStyle w:val="m-3630321746689277748s1"/>
          <w:szCs w:val="24"/>
        </w:rPr>
        <w:t> </w:t>
      </w:r>
      <w:r w:rsidRPr="00543708">
        <w:rPr>
          <w:rStyle w:val="m-3630321746689277748s1"/>
          <w:szCs w:val="24"/>
        </w:rPr>
        <w:t xml:space="preserve">nieco ponad 1 mln ton w perspektywie roku 2020. Równocześnie konsumpcja HVO w 2018 r. (na podstawie FO </w:t>
      </w:r>
      <w:proofErr w:type="spellStart"/>
      <w:r w:rsidRPr="00543708">
        <w:rPr>
          <w:rStyle w:val="m-3630321746689277748s1"/>
          <w:szCs w:val="24"/>
        </w:rPr>
        <w:t>Licht</w:t>
      </w:r>
      <w:proofErr w:type="spellEnd"/>
      <w:r w:rsidRPr="00543708">
        <w:rPr>
          <w:rStyle w:val="m-3630321746689277748s1"/>
          <w:szCs w:val="24"/>
        </w:rPr>
        <w:t xml:space="preserve">) na świecie wynosiła </w:t>
      </w:r>
      <w:r>
        <w:rPr>
          <w:rStyle w:val="m-3630321746689277748s1"/>
          <w:szCs w:val="24"/>
        </w:rPr>
        <w:t xml:space="preserve">w 2018 r. </w:t>
      </w:r>
      <w:r w:rsidRPr="00543708">
        <w:rPr>
          <w:rStyle w:val="m-3630321746689277748s1"/>
          <w:szCs w:val="24"/>
        </w:rPr>
        <w:t>4,7 mln ton, z czego większość</w:t>
      </w:r>
      <w:r>
        <w:rPr>
          <w:rStyle w:val="m-3630321746689277748s1"/>
          <w:szCs w:val="24"/>
        </w:rPr>
        <w:t>,</w:t>
      </w:r>
      <w:r w:rsidRPr="00543708">
        <w:rPr>
          <w:rStyle w:val="m-3630321746689277748s1"/>
          <w:szCs w:val="24"/>
        </w:rPr>
        <w:t xml:space="preserve"> </w:t>
      </w:r>
      <w:r w:rsidRPr="006018F6">
        <w:rPr>
          <w:rStyle w:val="m-3630321746689277748s1"/>
          <w:szCs w:val="24"/>
        </w:rPr>
        <w:t>niemal 3 mln ton</w:t>
      </w:r>
      <w:r>
        <w:rPr>
          <w:rStyle w:val="m-3630321746689277748s1"/>
          <w:szCs w:val="24"/>
        </w:rPr>
        <w:t>,</w:t>
      </w:r>
      <w:r w:rsidRPr="00543708">
        <w:rPr>
          <w:rStyle w:val="m-3630321746689277748s1"/>
          <w:szCs w:val="24"/>
        </w:rPr>
        <w:t xml:space="preserve"> przypadło na Unię Europejską. P</w:t>
      </w:r>
      <w:r>
        <w:rPr>
          <w:rStyle w:val="m-3630321746689277748s1"/>
          <w:szCs w:val="24"/>
        </w:rPr>
        <w:t>omimo wysokiego wykorzystania obecnych zdolności produkcyjnych r</w:t>
      </w:r>
      <w:r w:rsidRPr="00543708">
        <w:rPr>
          <w:rStyle w:val="m-3630321746689277748s1"/>
          <w:szCs w:val="24"/>
        </w:rPr>
        <w:t xml:space="preserve">ynek europejski, w perspektywie roku 2020 </w:t>
      </w:r>
      <w:r>
        <w:rPr>
          <w:rStyle w:val="m-3630321746689277748s1"/>
          <w:szCs w:val="24"/>
        </w:rPr>
        <w:t xml:space="preserve">wymaga dalszego </w:t>
      </w:r>
      <w:r w:rsidRPr="00543708">
        <w:rPr>
          <w:rStyle w:val="m-3630321746689277748s1"/>
          <w:szCs w:val="24"/>
        </w:rPr>
        <w:t>dynamicznego wzrostu. W</w:t>
      </w:r>
      <w:r>
        <w:rPr>
          <w:rStyle w:val="m-3630321746689277748s1"/>
          <w:szCs w:val="24"/>
        </w:rPr>
        <w:t>ynika to z faktu, iż w</w:t>
      </w:r>
      <w:r w:rsidRPr="00543708">
        <w:rPr>
          <w:rStyle w:val="m-3630321746689277748s1"/>
          <w:szCs w:val="24"/>
        </w:rPr>
        <w:t xml:space="preserve"> 2017 r. średni poziom realizacji celu OZE w</w:t>
      </w:r>
      <w:r>
        <w:rPr>
          <w:rStyle w:val="m-3630321746689277748s1"/>
          <w:szCs w:val="24"/>
        </w:rPr>
        <w:t> </w:t>
      </w:r>
      <w:r w:rsidRPr="00543708">
        <w:rPr>
          <w:rStyle w:val="m-3630321746689277748s1"/>
          <w:szCs w:val="24"/>
        </w:rPr>
        <w:t xml:space="preserve">transporcie wyniósł w </w:t>
      </w:r>
      <w:r>
        <w:rPr>
          <w:rStyle w:val="m-3630321746689277748s1"/>
          <w:szCs w:val="24"/>
        </w:rPr>
        <w:t>UE</w:t>
      </w:r>
      <w:r w:rsidRPr="00543708">
        <w:rPr>
          <w:rStyle w:val="m-3630321746689277748s1"/>
          <w:szCs w:val="24"/>
        </w:rPr>
        <w:t xml:space="preserve"> 7,60% co </w:t>
      </w:r>
      <w:r>
        <w:rPr>
          <w:rStyle w:val="m-3630321746689277748s1"/>
          <w:szCs w:val="24"/>
        </w:rPr>
        <w:t xml:space="preserve">jednoznacznie </w:t>
      </w:r>
      <w:r w:rsidRPr="00543708">
        <w:rPr>
          <w:rStyle w:val="m-3630321746689277748s1"/>
          <w:szCs w:val="24"/>
        </w:rPr>
        <w:t>wskazuje na konieczność szerszego wykorzystania HVO. Wzrost tego zapotrz</w:t>
      </w:r>
      <w:r>
        <w:rPr>
          <w:rStyle w:val="m-3630321746689277748s1"/>
          <w:szCs w:val="24"/>
        </w:rPr>
        <w:t>e</w:t>
      </w:r>
      <w:r w:rsidRPr="00543708">
        <w:rPr>
          <w:rStyle w:val="m-3630321746689277748s1"/>
          <w:szCs w:val="24"/>
        </w:rPr>
        <w:t xml:space="preserve">bowania </w:t>
      </w:r>
      <w:r>
        <w:rPr>
          <w:rStyle w:val="m-3630321746689277748s1"/>
          <w:szCs w:val="24"/>
        </w:rPr>
        <w:t>jest przedmiotem oszacowań</w:t>
      </w:r>
      <w:r w:rsidRPr="00543708">
        <w:rPr>
          <w:rStyle w:val="m-3630321746689277748s1"/>
          <w:szCs w:val="24"/>
        </w:rPr>
        <w:t xml:space="preserve">, przykładowo według </w:t>
      </w:r>
      <w:proofErr w:type="spellStart"/>
      <w:r>
        <w:rPr>
          <w:rStyle w:val="m-3630321746689277748s1"/>
          <w:szCs w:val="24"/>
        </w:rPr>
        <w:t>Navigant</w:t>
      </w:r>
      <w:proofErr w:type="spellEnd"/>
      <w:r>
        <w:rPr>
          <w:rStyle w:val="m-3630321746689277748s1"/>
          <w:szCs w:val="24"/>
        </w:rPr>
        <w:t xml:space="preserve"> (dawniej </w:t>
      </w:r>
      <w:r w:rsidRPr="00543708">
        <w:rPr>
          <w:rStyle w:val="m-3630321746689277748s1"/>
          <w:szCs w:val="24"/>
        </w:rPr>
        <w:t>ECOFYS</w:t>
      </w:r>
      <w:r>
        <w:rPr>
          <w:rStyle w:val="m-3630321746689277748s1"/>
          <w:szCs w:val="24"/>
        </w:rPr>
        <w:t>)</w:t>
      </w:r>
      <w:r w:rsidRPr="00543708">
        <w:rPr>
          <w:rStyle w:val="m-3630321746689277748s1"/>
          <w:szCs w:val="24"/>
        </w:rPr>
        <w:t xml:space="preserve">, popyt </w:t>
      </w:r>
      <w:r>
        <w:rPr>
          <w:rStyle w:val="m-3630321746689277748s1"/>
          <w:szCs w:val="24"/>
        </w:rPr>
        <w:t xml:space="preserve">na </w:t>
      </w:r>
      <w:proofErr w:type="spellStart"/>
      <w:r>
        <w:rPr>
          <w:rStyle w:val="m-3630321746689277748s1"/>
          <w:szCs w:val="24"/>
        </w:rPr>
        <w:t>biowęglowodory</w:t>
      </w:r>
      <w:proofErr w:type="spellEnd"/>
      <w:r>
        <w:rPr>
          <w:rStyle w:val="m-3630321746689277748s1"/>
          <w:szCs w:val="24"/>
        </w:rPr>
        <w:t xml:space="preserve"> ciekłe </w:t>
      </w:r>
      <w:r w:rsidRPr="00543708">
        <w:rPr>
          <w:rStyle w:val="m-3630321746689277748s1"/>
          <w:szCs w:val="24"/>
        </w:rPr>
        <w:t xml:space="preserve">w Europie </w:t>
      </w:r>
      <w:r>
        <w:rPr>
          <w:rStyle w:val="m-3630321746689277748s1"/>
          <w:szCs w:val="24"/>
        </w:rPr>
        <w:t xml:space="preserve">pomiędzy 2018 a 2020 r. </w:t>
      </w:r>
      <w:r w:rsidRPr="00543708">
        <w:rPr>
          <w:rStyle w:val="m-3630321746689277748s1"/>
          <w:szCs w:val="24"/>
        </w:rPr>
        <w:t xml:space="preserve">może się niemal podwoić osiągając ok. 6 mln ton natomiast </w:t>
      </w:r>
      <w:r w:rsidRPr="00543708">
        <w:rPr>
          <w:szCs w:val="24"/>
        </w:rPr>
        <w:t xml:space="preserve">szacunki firmy doradczej </w:t>
      </w:r>
      <w:proofErr w:type="spellStart"/>
      <w:r w:rsidRPr="00543708">
        <w:rPr>
          <w:szCs w:val="24"/>
        </w:rPr>
        <w:t>Ernst&amp;Young</w:t>
      </w:r>
      <w:proofErr w:type="spellEnd"/>
      <w:r w:rsidRPr="00543708">
        <w:rPr>
          <w:szCs w:val="24"/>
        </w:rPr>
        <w:t xml:space="preserve"> wskazują zapotrzebowanie na poziomie </w:t>
      </w:r>
      <w:r>
        <w:rPr>
          <w:szCs w:val="24"/>
        </w:rPr>
        <w:t>co najmniej</w:t>
      </w:r>
      <w:r w:rsidRPr="00543708">
        <w:rPr>
          <w:szCs w:val="24"/>
        </w:rPr>
        <w:t xml:space="preserve"> 7,6 mln ton HVO w Europie.</w:t>
      </w:r>
      <w:r>
        <w:rPr>
          <w:szCs w:val="24"/>
        </w:rPr>
        <w:t xml:space="preserve"> </w:t>
      </w:r>
    </w:p>
    <w:p w14:paraId="3979D508" w14:textId="77777777" w:rsidR="00FF5857" w:rsidRPr="00543708" w:rsidRDefault="00FF5857" w:rsidP="00FF5857">
      <w:pPr>
        <w:spacing w:after="120"/>
        <w:jc w:val="both"/>
        <w:rPr>
          <w:rStyle w:val="m-3630321746689277748s1"/>
          <w:szCs w:val="24"/>
        </w:rPr>
      </w:pPr>
      <w:r w:rsidRPr="00543708">
        <w:rPr>
          <w:szCs w:val="24"/>
        </w:rPr>
        <w:tab/>
        <w:t xml:space="preserve">Szacowany wzrost konsumpcji </w:t>
      </w:r>
      <w:proofErr w:type="spellStart"/>
      <w:r>
        <w:rPr>
          <w:szCs w:val="24"/>
        </w:rPr>
        <w:t>biowęglowodorów</w:t>
      </w:r>
      <w:proofErr w:type="spellEnd"/>
      <w:r>
        <w:rPr>
          <w:szCs w:val="24"/>
        </w:rPr>
        <w:t xml:space="preserve"> ciekłych w</w:t>
      </w:r>
      <w:r w:rsidRPr="00543708">
        <w:rPr>
          <w:szCs w:val="24"/>
        </w:rPr>
        <w:t xml:space="preserve"> roku 2020, w stosunku do obecnego </w:t>
      </w:r>
      <w:r>
        <w:rPr>
          <w:szCs w:val="24"/>
        </w:rPr>
        <w:t xml:space="preserve">poziomu </w:t>
      </w:r>
      <w:r w:rsidRPr="00543708">
        <w:rPr>
          <w:szCs w:val="24"/>
        </w:rPr>
        <w:t>wynosi zatem pomiędzy 3</w:t>
      </w:r>
      <w:r>
        <w:rPr>
          <w:szCs w:val="24"/>
        </w:rPr>
        <w:t>,0</w:t>
      </w:r>
      <w:r w:rsidRPr="00543708">
        <w:rPr>
          <w:szCs w:val="24"/>
        </w:rPr>
        <w:t xml:space="preserve"> a 4,6 mln ton, co biorąc pod uwagę obecny poziom zbilansowania rynku</w:t>
      </w:r>
      <w:r>
        <w:rPr>
          <w:szCs w:val="24"/>
        </w:rPr>
        <w:t>, wykorzystywanie istniejących zdolności produkcyjnych w ponad 90%</w:t>
      </w:r>
      <w:r w:rsidRPr="00543708">
        <w:rPr>
          <w:szCs w:val="24"/>
        </w:rPr>
        <w:t xml:space="preserve"> oraz </w:t>
      </w:r>
      <w:r>
        <w:rPr>
          <w:szCs w:val="24"/>
        </w:rPr>
        <w:t xml:space="preserve">niewielką </w:t>
      </w:r>
      <w:r w:rsidRPr="00543708">
        <w:rPr>
          <w:szCs w:val="24"/>
        </w:rPr>
        <w:t xml:space="preserve">skalę realizowanych </w:t>
      </w:r>
      <w:r>
        <w:rPr>
          <w:szCs w:val="24"/>
        </w:rPr>
        <w:t xml:space="preserve">aktualnie </w:t>
      </w:r>
      <w:r w:rsidRPr="00543708">
        <w:rPr>
          <w:szCs w:val="24"/>
        </w:rPr>
        <w:t xml:space="preserve">inwestycji na świecie </w:t>
      </w:r>
      <w:r>
        <w:rPr>
          <w:szCs w:val="24"/>
        </w:rPr>
        <w:t>potwierdza</w:t>
      </w:r>
      <w:r w:rsidRPr="00543708">
        <w:rPr>
          <w:szCs w:val="24"/>
        </w:rPr>
        <w:t>, że takie ilości biokomponentu nie będą dostępne w perspektywie nie tylko roku 2020 ale również kilku kolejnych lat.</w:t>
      </w:r>
    </w:p>
    <w:p w14:paraId="11EE5EEA" w14:textId="77777777" w:rsidR="00FF5857" w:rsidRPr="0090765C" w:rsidRDefault="00FF5857" w:rsidP="00FF5857">
      <w:pPr>
        <w:spacing w:after="120"/>
        <w:ind w:firstLine="708"/>
        <w:jc w:val="both"/>
        <w:rPr>
          <w:szCs w:val="24"/>
        </w:rPr>
      </w:pPr>
      <w:r>
        <w:rPr>
          <w:szCs w:val="24"/>
        </w:rPr>
        <w:t xml:space="preserve">Biorąc powyższe pod uwagę podjęto decyzję o przyjęciu regulacji prawnych </w:t>
      </w:r>
      <w:r w:rsidRPr="0090765C">
        <w:rPr>
          <w:szCs w:val="24"/>
        </w:rPr>
        <w:t xml:space="preserve">mających na celu dostosowanie poziomów </w:t>
      </w:r>
      <w:r>
        <w:rPr>
          <w:szCs w:val="24"/>
        </w:rPr>
        <w:t xml:space="preserve">i zakresu </w:t>
      </w:r>
      <w:r w:rsidRPr="0090765C">
        <w:rPr>
          <w:szCs w:val="24"/>
        </w:rPr>
        <w:t>NCW do aktualnych możliwości sektora paliwowego</w:t>
      </w:r>
      <w:r>
        <w:rPr>
          <w:szCs w:val="24"/>
        </w:rPr>
        <w:t>,</w:t>
      </w:r>
      <w:r w:rsidRPr="0090765C">
        <w:rPr>
          <w:szCs w:val="24"/>
        </w:rPr>
        <w:t xml:space="preserve"> co pozwoli na </w:t>
      </w:r>
      <w:r>
        <w:rPr>
          <w:szCs w:val="24"/>
        </w:rPr>
        <w:t>wyeliminowanie ryzyka wystąpienia</w:t>
      </w:r>
      <w:r w:rsidRPr="0090765C">
        <w:rPr>
          <w:szCs w:val="24"/>
        </w:rPr>
        <w:t xml:space="preserve"> kryzysu paliwowego w roku 2020.</w:t>
      </w:r>
    </w:p>
    <w:p w14:paraId="00BBE3AB" w14:textId="77777777" w:rsidR="00FF5857" w:rsidRDefault="00FF5857" w:rsidP="00FF5857">
      <w:pPr>
        <w:spacing w:after="120"/>
        <w:ind w:firstLine="708"/>
        <w:jc w:val="both"/>
        <w:rPr>
          <w:color w:val="000000"/>
          <w:szCs w:val="24"/>
        </w:rPr>
      </w:pPr>
      <w:r w:rsidRPr="0090765C">
        <w:rPr>
          <w:color w:val="000000"/>
          <w:szCs w:val="24"/>
        </w:rPr>
        <w:t xml:space="preserve">Zaproponowane w projekcie </w:t>
      </w:r>
      <w:r>
        <w:rPr>
          <w:color w:val="000000"/>
          <w:szCs w:val="24"/>
        </w:rPr>
        <w:t>ustawy</w:t>
      </w:r>
      <w:r w:rsidRPr="0090765C">
        <w:rPr>
          <w:color w:val="000000"/>
          <w:szCs w:val="24"/>
        </w:rPr>
        <w:t xml:space="preserve"> rozwiązania dotyczą </w:t>
      </w:r>
      <w:r>
        <w:rPr>
          <w:color w:val="000000"/>
          <w:szCs w:val="24"/>
        </w:rPr>
        <w:t xml:space="preserve">w szczególności </w:t>
      </w:r>
      <w:r w:rsidRPr="0090765C">
        <w:rPr>
          <w:color w:val="000000"/>
          <w:szCs w:val="24"/>
        </w:rPr>
        <w:t xml:space="preserve">określenia </w:t>
      </w:r>
      <w:r w:rsidRPr="0090765C">
        <w:rPr>
          <w:color w:val="000000"/>
          <w:szCs w:val="24"/>
        </w:rPr>
        <w:lastRenderedPageBreak/>
        <w:t xml:space="preserve">na kolejne lata: </w:t>
      </w:r>
      <w:r>
        <w:rPr>
          <w:color w:val="000000"/>
          <w:szCs w:val="24"/>
        </w:rPr>
        <w:t xml:space="preserve">(1) </w:t>
      </w:r>
      <w:r w:rsidRPr="0090765C">
        <w:rPr>
          <w:color w:val="000000"/>
          <w:szCs w:val="24"/>
        </w:rPr>
        <w:t xml:space="preserve">wysokości NCW (do roku 2024), oraz </w:t>
      </w:r>
      <w:r>
        <w:rPr>
          <w:color w:val="000000"/>
          <w:szCs w:val="24"/>
        </w:rPr>
        <w:t xml:space="preserve">(2) </w:t>
      </w:r>
      <w:r w:rsidRPr="0090765C">
        <w:rPr>
          <w:color w:val="000000"/>
          <w:szCs w:val="24"/>
        </w:rPr>
        <w:t xml:space="preserve">wysokości współczynników redukcyjnych i </w:t>
      </w:r>
      <w:r>
        <w:rPr>
          <w:color w:val="000000"/>
          <w:szCs w:val="24"/>
        </w:rPr>
        <w:t xml:space="preserve">(3) </w:t>
      </w:r>
      <w:r w:rsidRPr="0090765C">
        <w:rPr>
          <w:color w:val="000000"/>
          <w:szCs w:val="24"/>
        </w:rPr>
        <w:t xml:space="preserve">poziomów obligatoryjnego </w:t>
      </w:r>
      <w:proofErr w:type="spellStart"/>
      <w:r w:rsidRPr="0090765C">
        <w:rPr>
          <w:color w:val="000000"/>
          <w:szCs w:val="24"/>
        </w:rPr>
        <w:t>blendingu</w:t>
      </w:r>
      <w:proofErr w:type="spellEnd"/>
      <w:r w:rsidRPr="0090765C">
        <w:rPr>
          <w:color w:val="000000"/>
          <w:szCs w:val="24"/>
        </w:rPr>
        <w:t xml:space="preserve"> (na lata 2020-2022), </w:t>
      </w:r>
      <w:r>
        <w:rPr>
          <w:color w:val="000000"/>
          <w:szCs w:val="24"/>
        </w:rPr>
        <w:t>w skali możliwej</w:t>
      </w:r>
      <w:r w:rsidRPr="0090765C">
        <w:rPr>
          <w:color w:val="000000"/>
          <w:szCs w:val="24"/>
        </w:rPr>
        <w:t xml:space="preserve"> do realizacji przez podmioty zobowiązane, co ma fundamentalne znaczenie w kontekście zapewnienia stabilizacji sektora i zapewnienia bezpieczeństwa paliwowego państwa w najbliższych latach.</w:t>
      </w:r>
    </w:p>
    <w:p w14:paraId="4319D47D" w14:textId="77777777" w:rsidR="00FF5857" w:rsidRDefault="00FF5857" w:rsidP="00FF5857">
      <w:pPr>
        <w:spacing w:after="120"/>
        <w:ind w:firstLine="708"/>
        <w:jc w:val="both"/>
        <w:rPr>
          <w:color w:val="000000"/>
          <w:szCs w:val="24"/>
        </w:rPr>
      </w:pPr>
      <w:r w:rsidRPr="0090765C">
        <w:rPr>
          <w:color w:val="000000"/>
          <w:szCs w:val="24"/>
        </w:rPr>
        <w:t xml:space="preserve">Jednocześnie zaproponowane powyżej wartości zostały tak oszacowane, aby zapewnić </w:t>
      </w:r>
      <w:r>
        <w:rPr>
          <w:color w:val="000000"/>
          <w:szCs w:val="24"/>
        </w:rPr>
        <w:t>co najmniej dotychczasowy</w:t>
      </w:r>
      <w:r w:rsidRPr="0090765C">
        <w:rPr>
          <w:color w:val="000000"/>
          <w:szCs w:val="24"/>
        </w:rPr>
        <w:t xml:space="preserve"> </w:t>
      </w:r>
      <w:r>
        <w:rPr>
          <w:color w:val="000000"/>
          <w:szCs w:val="24"/>
        </w:rPr>
        <w:t xml:space="preserve">poziom </w:t>
      </w:r>
      <w:r w:rsidRPr="0090765C">
        <w:rPr>
          <w:color w:val="000000"/>
          <w:szCs w:val="24"/>
        </w:rPr>
        <w:t>konsumpcji biokomponentów w najbliższych latach. Jest to szczególnie istotne z uwagi na zachowanie stabilności krajowego sektora przetwórstwa rolno-spożywczego, który dostarcza większość surowców do wytwarzania biokomponentów w</w:t>
      </w:r>
      <w:r>
        <w:rPr>
          <w:color w:val="000000"/>
          <w:szCs w:val="24"/>
        </w:rPr>
        <w:t> kraju.</w:t>
      </w:r>
    </w:p>
    <w:p w14:paraId="50F9902F" w14:textId="77777777" w:rsidR="00FF5857" w:rsidRDefault="00FF5857" w:rsidP="00FF5857">
      <w:pPr>
        <w:spacing w:before="120"/>
        <w:ind w:firstLine="708"/>
        <w:jc w:val="both"/>
        <w:rPr>
          <w:color w:val="000000"/>
          <w:szCs w:val="24"/>
        </w:rPr>
      </w:pPr>
      <w:r w:rsidRPr="00A87EBB">
        <w:rPr>
          <w:color w:val="000000"/>
          <w:szCs w:val="24"/>
        </w:rPr>
        <w:t xml:space="preserve">Poniżej szczegółowo opisane zostały </w:t>
      </w:r>
      <w:r>
        <w:rPr>
          <w:color w:val="000000"/>
          <w:szCs w:val="24"/>
        </w:rPr>
        <w:t xml:space="preserve">pozostałe </w:t>
      </w:r>
      <w:r w:rsidRPr="00A87EBB">
        <w:rPr>
          <w:color w:val="000000"/>
          <w:szCs w:val="24"/>
        </w:rPr>
        <w:t>zmiany wprowadzone w niniejszym projekcie ustawy.</w:t>
      </w:r>
    </w:p>
    <w:p w14:paraId="111D390A" w14:textId="77777777" w:rsidR="00FF5857" w:rsidRPr="00A87EBB" w:rsidRDefault="00FF5857" w:rsidP="00FF5857">
      <w:pPr>
        <w:spacing w:before="120"/>
        <w:ind w:firstLine="708"/>
        <w:jc w:val="both"/>
        <w:rPr>
          <w:color w:val="000000"/>
          <w:szCs w:val="24"/>
        </w:rPr>
      </w:pPr>
    </w:p>
    <w:p w14:paraId="2921DF92" w14:textId="3A8D37EF" w:rsidR="00FF5857" w:rsidRPr="00A87EBB" w:rsidRDefault="00FF5857" w:rsidP="00FF5857">
      <w:pPr>
        <w:jc w:val="both"/>
        <w:rPr>
          <w:b/>
          <w:color w:val="000000"/>
          <w:szCs w:val="24"/>
        </w:rPr>
      </w:pPr>
      <w:r w:rsidRPr="00A87EBB">
        <w:rPr>
          <w:b/>
          <w:color w:val="000000"/>
          <w:szCs w:val="24"/>
        </w:rPr>
        <w:t xml:space="preserve">1. Wytwarzanie biokomponentów w procesie </w:t>
      </w:r>
      <w:proofErr w:type="spellStart"/>
      <w:r w:rsidRPr="00A87EBB">
        <w:rPr>
          <w:b/>
          <w:color w:val="000000"/>
          <w:szCs w:val="24"/>
        </w:rPr>
        <w:t>współuwodornienia</w:t>
      </w:r>
      <w:proofErr w:type="spellEnd"/>
      <w:r>
        <w:rPr>
          <w:b/>
          <w:color w:val="000000"/>
          <w:szCs w:val="24"/>
        </w:rPr>
        <w:t xml:space="preserve"> oraz </w:t>
      </w:r>
      <w:proofErr w:type="spellStart"/>
      <w:r>
        <w:rPr>
          <w:b/>
          <w:color w:val="000000"/>
          <w:szCs w:val="24"/>
        </w:rPr>
        <w:t>biometanu</w:t>
      </w:r>
      <w:proofErr w:type="spellEnd"/>
      <w:r>
        <w:rPr>
          <w:b/>
          <w:color w:val="000000"/>
          <w:szCs w:val="24"/>
        </w:rPr>
        <w:t xml:space="preserve"> wykorzystywanego do produkcji </w:t>
      </w:r>
      <w:proofErr w:type="spellStart"/>
      <w:r>
        <w:rPr>
          <w:b/>
          <w:color w:val="000000"/>
          <w:szCs w:val="24"/>
        </w:rPr>
        <w:t>biowodoru</w:t>
      </w:r>
      <w:proofErr w:type="spellEnd"/>
    </w:p>
    <w:p w14:paraId="138A9A97" w14:textId="2A818573" w:rsidR="00FF5857" w:rsidRPr="00A87EBB" w:rsidRDefault="00FF5857" w:rsidP="00FF5857">
      <w:pPr>
        <w:ind w:firstLine="708"/>
        <w:jc w:val="both"/>
        <w:rPr>
          <w:color w:val="000000"/>
          <w:szCs w:val="24"/>
        </w:rPr>
      </w:pPr>
      <w:r w:rsidRPr="00A87EBB">
        <w:rPr>
          <w:color w:val="000000"/>
          <w:szCs w:val="24"/>
        </w:rPr>
        <w:t xml:space="preserve">Analiza procesów fizykochemicznych zachodzących w trakcie procesu </w:t>
      </w:r>
      <w:proofErr w:type="spellStart"/>
      <w:r w:rsidRPr="00A87EBB">
        <w:rPr>
          <w:color w:val="000000"/>
          <w:szCs w:val="24"/>
        </w:rPr>
        <w:t>współuwodornienia</w:t>
      </w:r>
      <w:proofErr w:type="spellEnd"/>
      <w:r w:rsidRPr="00A87EBB">
        <w:rPr>
          <w:color w:val="000000"/>
          <w:szCs w:val="24"/>
        </w:rPr>
        <w:t xml:space="preserve"> oraz zestawienie tych informacji z treścią aktualnych przepisów ustawy</w:t>
      </w:r>
      <w:r w:rsidRPr="008E2886">
        <w:rPr>
          <w:rStyle w:val="Kkursywa"/>
          <w:color w:val="000000"/>
          <w:szCs w:val="24"/>
        </w:rPr>
        <w:t xml:space="preserve"> </w:t>
      </w:r>
      <w:r w:rsidRPr="00A87EBB">
        <w:rPr>
          <w:rStyle w:val="Kkursywa"/>
          <w:color w:val="000000"/>
          <w:szCs w:val="24"/>
        </w:rPr>
        <w:t>o</w:t>
      </w:r>
      <w:r>
        <w:rPr>
          <w:rStyle w:val="Kkursywa"/>
          <w:color w:val="000000"/>
          <w:szCs w:val="24"/>
        </w:rPr>
        <w:t> </w:t>
      </w:r>
      <w:r w:rsidRPr="00A87EBB">
        <w:rPr>
          <w:rStyle w:val="Kkursywa"/>
          <w:color w:val="000000"/>
          <w:szCs w:val="24"/>
        </w:rPr>
        <w:t>biokomponentach i biopaliwach ciekłych</w:t>
      </w:r>
      <w:r w:rsidRPr="00A87EBB">
        <w:rPr>
          <w:color w:val="000000"/>
          <w:szCs w:val="24"/>
        </w:rPr>
        <w:t xml:space="preserve"> wskazała na zasadność dokonania nowelizacji </w:t>
      </w:r>
      <w:r>
        <w:rPr>
          <w:color w:val="000000"/>
          <w:szCs w:val="24"/>
        </w:rPr>
        <w:t xml:space="preserve">ww. </w:t>
      </w:r>
      <w:r w:rsidRPr="00A87EBB">
        <w:rPr>
          <w:color w:val="000000"/>
          <w:szCs w:val="24"/>
        </w:rPr>
        <w:t xml:space="preserve">ustawy w tym </w:t>
      </w:r>
      <w:r>
        <w:rPr>
          <w:color w:val="000000"/>
          <w:szCs w:val="24"/>
        </w:rPr>
        <w:t>zakresie</w:t>
      </w:r>
      <w:r w:rsidRPr="00A87EBB">
        <w:rPr>
          <w:color w:val="000000"/>
          <w:szCs w:val="24"/>
        </w:rPr>
        <w:t>. Zmiany dotyczą zarówno nowelizacji pojęć</w:t>
      </w:r>
      <w:r w:rsidR="000308F2">
        <w:rPr>
          <w:color w:val="000000"/>
          <w:szCs w:val="24"/>
        </w:rPr>
        <w:t>,</w:t>
      </w:r>
      <w:r w:rsidRPr="00A87EBB">
        <w:rPr>
          <w:color w:val="000000"/>
          <w:szCs w:val="24"/>
        </w:rPr>
        <w:t xml:space="preserve"> jak również opracowania mechanizmów prawnych</w:t>
      </w:r>
      <w:r>
        <w:rPr>
          <w:color w:val="000000"/>
          <w:szCs w:val="24"/>
        </w:rPr>
        <w:t>,</w:t>
      </w:r>
      <w:r w:rsidRPr="00A87EBB">
        <w:rPr>
          <w:color w:val="000000"/>
          <w:szCs w:val="24"/>
        </w:rPr>
        <w:t xml:space="preserve"> w ramach których uregulowano prowadzenie działalności gospodarczej polegającej na wytwarzaniu biokomponentów w technologii </w:t>
      </w:r>
      <w:proofErr w:type="spellStart"/>
      <w:r w:rsidRPr="00A87EBB">
        <w:rPr>
          <w:color w:val="000000"/>
          <w:szCs w:val="24"/>
        </w:rPr>
        <w:t>współuwodornienia</w:t>
      </w:r>
      <w:proofErr w:type="spellEnd"/>
      <w:r w:rsidRPr="00A87EBB">
        <w:rPr>
          <w:color w:val="000000"/>
          <w:szCs w:val="24"/>
        </w:rPr>
        <w:t>.</w:t>
      </w:r>
    </w:p>
    <w:p w14:paraId="47594F53" w14:textId="77777777" w:rsidR="00FF5857" w:rsidRDefault="00FF5857" w:rsidP="00FF5857">
      <w:pPr>
        <w:ind w:firstLine="708"/>
        <w:jc w:val="both"/>
        <w:rPr>
          <w:szCs w:val="24"/>
        </w:rPr>
      </w:pPr>
      <w:r w:rsidRPr="00A87EBB">
        <w:rPr>
          <w:color w:val="000000"/>
          <w:szCs w:val="24"/>
        </w:rPr>
        <w:t xml:space="preserve">Ponieważ w procesie </w:t>
      </w:r>
      <w:proofErr w:type="spellStart"/>
      <w:r w:rsidRPr="00A87EBB">
        <w:rPr>
          <w:color w:val="000000"/>
          <w:szCs w:val="24"/>
        </w:rPr>
        <w:t>współuwodornienia</w:t>
      </w:r>
      <w:proofErr w:type="spellEnd"/>
      <w:r w:rsidRPr="00A87EBB">
        <w:rPr>
          <w:color w:val="000000"/>
          <w:szCs w:val="24"/>
        </w:rPr>
        <w:t xml:space="preserve">, oprócz </w:t>
      </w:r>
      <w:proofErr w:type="spellStart"/>
      <w:r w:rsidRPr="00A87EBB">
        <w:rPr>
          <w:color w:val="000000"/>
          <w:szCs w:val="24"/>
        </w:rPr>
        <w:t>biowęglowodorów</w:t>
      </w:r>
      <w:proofErr w:type="spellEnd"/>
      <w:r w:rsidRPr="00A87EBB">
        <w:rPr>
          <w:color w:val="000000"/>
          <w:szCs w:val="24"/>
        </w:rPr>
        <w:t xml:space="preserve"> ciekłych, powstaje dodatkowo </w:t>
      </w:r>
      <w:proofErr w:type="spellStart"/>
      <w:r w:rsidRPr="00A87EBB">
        <w:rPr>
          <w:color w:val="000000"/>
          <w:szCs w:val="24"/>
        </w:rPr>
        <w:t>bio</w:t>
      </w:r>
      <w:proofErr w:type="spellEnd"/>
      <w:r w:rsidRPr="00A87EBB">
        <w:rPr>
          <w:color w:val="000000"/>
          <w:szCs w:val="24"/>
        </w:rPr>
        <w:t xml:space="preserve"> propan a nie (jak zostało wskazane w dotychczas brzmiącej definicji) </w:t>
      </w:r>
      <w:proofErr w:type="spellStart"/>
      <w:r w:rsidRPr="00A87EBB">
        <w:rPr>
          <w:color w:val="000000"/>
          <w:szCs w:val="24"/>
        </w:rPr>
        <w:t>bio</w:t>
      </w:r>
      <w:proofErr w:type="spellEnd"/>
      <w:r w:rsidRPr="00A87EBB">
        <w:rPr>
          <w:color w:val="000000"/>
          <w:szCs w:val="24"/>
        </w:rPr>
        <w:t xml:space="preserve"> propan-butan, dokonano zmiany treści definicji pojęcia </w:t>
      </w:r>
      <w:proofErr w:type="spellStart"/>
      <w:r w:rsidRPr="00A87EBB">
        <w:rPr>
          <w:i/>
          <w:color w:val="000000"/>
          <w:szCs w:val="24"/>
        </w:rPr>
        <w:t>współuwodornienie</w:t>
      </w:r>
      <w:proofErr w:type="spellEnd"/>
      <w:r w:rsidRPr="00A87EBB">
        <w:rPr>
          <w:color w:val="000000"/>
          <w:szCs w:val="24"/>
        </w:rPr>
        <w:t xml:space="preserve"> zawartej w</w:t>
      </w:r>
      <w:r>
        <w:rPr>
          <w:color w:val="000000"/>
          <w:szCs w:val="24"/>
        </w:rPr>
        <w:t> </w:t>
      </w:r>
      <w:r w:rsidRPr="00A87EBB">
        <w:rPr>
          <w:color w:val="000000"/>
          <w:szCs w:val="24"/>
        </w:rPr>
        <w:t>art. 2</w:t>
      </w:r>
      <w:r>
        <w:rPr>
          <w:color w:val="000000"/>
          <w:szCs w:val="24"/>
        </w:rPr>
        <w:t> </w:t>
      </w:r>
      <w:r w:rsidRPr="00A87EBB">
        <w:rPr>
          <w:color w:val="000000"/>
          <w:szCs w:val="24"/>
        </w:rPr>
        <w:t>ust. 1 pkt 11d ustawy</w:t>
      </w:r>
      <w:r w:rsidRPr="00A3756F">
        <w:rPr>
          <w:rStyle w:val="Kkursywa"/>
          <w:color w:val="000000"/>
          <w:szCs w:val="24"/>
        </w:rPr>
        <w:t xml:space="preserve"> </w:t>
      </w:r>
      <w:r w:rsidRPr="00A87EBB">
        <w:rPr>
          <w:rStyle w:val="Kkursywa"/>
          <w:color w:val="000000"/>
          <w:szCs w:val="24"/>
        </w:rPr>
        <w:t>o biokomponentach i biopaliwach ciekłych</w:t>
      </w:r>
      <w:r w:rsidRPr="00A87EBB">
        <w:rPr>
          <w:color w:val="000000"/>
          <w:szCs w:val="24"/>
        </w:rPr>
        <w:t xml:space="preserve">. </w:t>
      </w:r>
      <w:r>
        <w:rPr>
          <w:color w:val="000000"/>
          <w:szCs w:val="24"/>
        </w:rPr>
        <w:t xml:space="preserve">Definicja </w:t>
      </w:r>
      <w:proofErr w:type="spellStart"/>
      <w:r>
        <w:rPr>
          <w:color w:val="000000"/>
          <w:szCs w:val="24"/>
        </w:rPr>
        <w:t>współuwodornienia</w:t>
      </w:r>
      <w:proofErr w:type="spellEnd"/>
      <w:r>
        <w:rPr>
          <w:color w:val="000000"/>
          <w:szCs w:val="24"/>
        </w:rPr>
        <w:t xml:space="preserve"> wskazuje w sposób jednoznaczny, że oba wytwarzane w tym procesie biokomponenty, tj. </w:t>
      </w:r>
      <w:proofErr w:type="spellStart"/>
      <w:r>
        <w:rPr>
          <w:color w:val="000000"/>
          <w:szCs w:val="24"/>
        </w:rPr>
        <w:t>biowęglowodory</w:t>
      </w:r>
      <w:proofErr w:type="spellEnd"/>
      <w:r>
        <w:rPr>
          <w:color w:val="000000"/>
          <w:szCs w:val="24"/>
        </w:rPr>
        <w:t xml:space="preserve"> ciekłe oraz </w:t>
      </w:r>
      <w:proofErr w:type="spellStart"/>
      <w:r>
        <w:rPr>
          <w:color w:val="000000"/>
          <w:szCs w:val="24"/>
        </w:rPr>
        <w:t>bio</w:t>
      </w:r>
      <w:proofErr w:type="spellEnd"/>
      <w:r>
        <w:rPr>
          <w:color w:val="000000"/>
          <w:szCs w:val="24"/>
        </w:rPr>
        <w:t xml:space="preserve"> propan, powstają jedynie w mieszaninie z węglowodorami z przerobu ropy naftowej – co oznacza, że biokomponenty te nie występują w formie czystej, pozwalającej na ich fizyczne wyodrębnienie z paliw ciekłych lub mieszanin węglowodorów służących do ich produkcji. Ma to swoje konsekwencje w kontekście braku możliwości określenia parametrów jakościowych dla tych biokomponentów oraz braku fizycznej możliwości dokonania badań, które mogłyby potwierdzić jakość samych </w:t>
      </w:r>
      <w:r>
        <w:rPr>
          <w:color w:val="000000"/>
          <w:szCs w:val="24"/>
        </w:rPr>
        <w:lastRenderedPageBreak/>
        <w:t>biokomponentów.</w:t>
      </w:r>
    </w:p>
    <w:p w14:paraId="4844ED08" w14:textId="77777777" w:rsidR="00FF5857" w:rsidRPr="00A87EBB" w:rsidRDefault="00FF5857" w:rsidP="00FF5857">
      <w:pPr>
        <w:ind w:firstLine="708"/>
        <w:jc w:val="both"/>
        <w:rPr>
          <w:szCs w:val="24"/>
        </w:rPr>
      </w:pPr>
      <w:r>
        <w:rPr>
          <w:szCs w:val="24"/>
        </w:rPr>
        <w:t>Z</w:t>
      </w:r>
      <w:r w:rsidRPr="00543708">
        <w:rPr>
          <w:szCs w:val="24"/>
        </w:rPr>
        <w:t xml:space="preserve">e względu na </w:t>
      </w:r>
      <w:r>
        <w:rPr>
          <w:szCs w:val="24"/>
        </w:rPr>
        <w:t xml:space="preserve">ww. </w:t>
      </w:r>
      <w:r w:rsidRPr="00543708">
        <w:rPr>
          <w:szCs w:val="24"/>
        </w:rPr>
        <w:t xml:space="preserve">specyfikę procesu </w:t>
      </w:r>
      <w:proofErr w:type="spellStart"/>
      <w:r w:rsidRPr="00543708">
        <w:rPr>
          <w:szCs w:val="24"/>
        </w:rPr>
        <w:t>współuwodornienia</w:t>
      </w:r>
      <w:proofErr w:type="spellEnd"/>
      <w:r w:rsidRPr="00543708">
        <w:rPr>
          <w:szCs w:val="24"/>
        </w:rPr>
        <w:t>,</w:t>
      </w:r>
      <w:r w:rsidRPr="00543708" w:rsidDel="00490370">
        <w:rPr>
          <w:szCs w:val="24"/>
        </w:rPr>
        <w:t xml:space="preserve"> </w:t>
      </w:r>
      <w:r w:rsidRPr="00543708">
        <w:rPr>
          <w:szCs w:val="24"/>
        </w:rPr>
        <w:t>dostosowano wybrane przepisy dotyczące regulacji w zakresie wytwarzania biokomponentów.</w:t>
      </w:r>
      <w:r w:rsidRPr="00A87EBB">
        <w:rPr>
          <w:szCs w:val="24"/>
        </w:rPr>
        <w:t xml:space="preserve"> Z art. 22 ust. 1 ustawy </w:t>
      </w:r>
      <w:r w:rsidRPr="0090765C">
        <w:rPr>
          <w:rStyle w:val="Kkursywa"/>
          <w:szCs w:val="24"/>
        </w:rPr>
        <w:t>o biokomponentach i biopaliwach ciekłych</w:t>
      </w:r>
      <w:r w:rsidRPr="00A87EBB">
        <w:rPr>
          <w:szCs w:val="24"/>
        </w:rPr>
        <w:t xml:space="preserve"> wyłączono biokomponenty wytworzone w</w:t>
      </w:r>
      <w:r>
        <w:rPr>
          <w:szCs w:val="24"/>
        </w:rPr>
        <w:t> </w:t>
      </w:r>
      <w:r w:rsidRPr="00A87EBB">
        <w:rPr>
          <w:szCs w:val="24"/>
        </w:rPr>
        <w:t xml:space="preserve">procesie </w:t>
      </w:r>
      <w:proofErr w:type="spellStart"/>
      <w:r w:rsidRPr="00A87EBB">
        <w:rPr>
          <w:szCs w:val="24"/>
        </w:rPr>
        <w:t>współuwodornienia</w:t>
      </w:r>
      <w:proofErr w:type="spellEnd"/>
      <w:r w:rsidRPr="00A87EBB">
        <w:rPr>
          <w:szCs w:val="24"/>
        </w:rPr>
        <w:t xml:space="preserve"> z konieczności spełniania wymagań jakościowych, z uwagi na fakt, iż produkty pochodzące z procesu </w:t>
      </w:r>
      <w:proofErr w:type="spellStart"/>
      <w:r w:rsidRPr="00A87EBB">
        <w:rPr>
          <w:szCs w:val="24"/>
        </w:rPr>
        <w:t>współuwodornienia</w:t>
      </w:r>
      <w:proofErr w:type="spellEnd"/>
      <w:r w:rsidRPr="00A87EBB">
        <w:rPr>
          <w:szCs w:val="24"/>
        </w:rPr>
        <w:t xml:space="preserve"> mają bardzo zbliżony skład fizykochemiczny do frakcji węglowodorowych oraz ulegają one zmieszaniu w procesie produkcyjnym w stopniu uniemożliwiającym ich identyfikację. </w:t>
      </w:r>
    </w:p>
    <w:p w14:paraId="1746297F" w14:textId="77777777" w:rsidR="00FF5857" w:rsidRDefault="00FF5857" w:rsidP="00FF5857">
      <w:pPr>
        <w:pStyle w:val="pakthead1"/>
        <w:spacing w:before="0" w:after="0" w:line="360" w:lineRule="auto"/>
        <w:ind w:firstLine="708"/>
        <w:jc w:val="both"/>
        <w:rPr>
          <w:rFonts w:ascii="Times New Roman" w:hAnsi="Times New Roman" w:cs="Times New Roman"/>
          <w:b w:val="0"/>
          <w:sz w:val="24"/>
          <w:szCs w:val="24"/>
        </w:rPr>
      </w:pPr>
      <w:r>
        <w:rPr>
          <w:rFonts w:ascii="Times New Roman" w:hAnsi="Times New Roman" w:cs="Times New Roman"/>
          <w:b w:val="0"/>
          <w:sz w:val="24"/>
          <w:szCs w:val="24"/>
        </w:rPr>
        <w:t>Wprowadzenie powyższej zmiany wiąże się z koniecznością dokonania zmiany w art. 22 ust. 5 pkt 3 ustawy, określającej delegację do wydania rozporządzenia w sprawie szczegółowych informacji oraz trybu wydawania certyfikatów jakości przez akredytowane laboratoria</w:t>
      </w:r>
      <w:r w:rsidRPr="00A7148A">
        <w:rPr>
          <w:rFonts w:ascii="Times New Roman" w:hAnsi="Times New Roman" w:cs="Times New Roman"/>
          <w:b w:val="0"/>
          <w:sz w:val="24"/>
          <w:szCs w:val="24"/>
        </w:rPr>
        <w:t>. W efekcie niezbędne będzie wydanie nowego rozporządzenia, o którym mowa w</w:t>
      </w:r>
      <w:r>
        <w:rPr>
          <w:rFonts w:ascii="Times New Roman" w:hAnsi="Times New Roman" w:cs="Times New Roman"/>
          <w:b w:val="0"/>
          <w:sz w:val="24"/>
          <w:szCs w:val="24"/>
        </w:rPr>
        <w:t> </w:t>
      </w:r>
      <w:r w:rsidRPr="00A7148A">
        <w:rPr>
          <w:rFonts w:ascii="Times New Roman" w:hAnsi="Times New Roman" w:cs="Times New Roman"/>
          <w:b w:val="0"/>
          <w:sz w:val="24"/>
          <w:szCs w:val="24"/>
        </w:rPr>
        <w:t xml:space="preserve">art. 22 ust. 5 ustawy oraz wprowadzenie przepisów przejściowych </w:t>
      </w:r>
      <w:r>
        <w:rPr>
          <w:rFonts w:ascii="Times New Roman" w:hAnsi="Times New Roman" w:cs="Times New Roman"/>
          <w:b w:val="0"/>
          <w:sz w:val="24"/>
          <w:szCs w:val="24"/>
        </w:rPr>
        <w:t>zachowujących w mocy dotychczasowe rozporządzenie przez okres 12 miesięcy</w:t>
      </w:r>
      <w:r w:rsidRPr="00A7148A">
        <w:rPr>
          <w:rFonts w:ascii="Times New Roman" w:hAnsi="Times New Roman" w:cs="Times New Roman"/>
          <w:b w:val="0"/>
          <w:sz w:val="24"/>
          <w:szCs w:val="24"/>
        </w:rPr>
        <w:t>.</w:t>
      </w:r>
    </w:p>
    <w:p w14:paraId="79B29B97" w14:textId="212D53D8" w:rsidR="00FF5857" w:rsidRDefault="00FF5857" w:rsidP="00FF5857">
      <w:pPr>
        <w:pStyle w:val="pakthead1"/>
        <w:spacing w:before="0" w:after="0" w:line="360" w:lineRule="auto"/>
        <w:ind w:firstLine="708"/>
        <w:jc w:val="both"/>
        <w:rPr>
          <w:rFonts w:ascii="Times New Roman" w:hAnsi="Times New Roman" w:cs="Times New Roman"/>
          <w:b w:val="0"/>
          <w:sz w:val="24"/>
          <w:szCs w:val="24"/>
        </w:rPr>
      </w:pPr>
      <w:r>
        <w:rPr>
          <w:rFonts w:ascii="Times New Roman" w:hAnsi="Times New Roman" w:cs="Times New Roman"/>
          <w:b w:val="0"/>
          <w:sz w:val="24"/>
          <w:szCs w:val="24"/>
        </w:rPr>
        <w:t>Kolejną konsekwencją wprowadzenia do obecnego katalogu, o którym mowa w art. 2 ust. 1 pkt 3 ustawy</w:t>
      </w:r>
      <w:r w:rsidR="000308F2">
        <w:rPr>
          <w:rFonts w:ascii="Times New Roman" w:hAnsi="Times New Roman" w:cs="Times New Roman"/>
          <w:b w:val="0"/>
          <w:sz w:val="24"/>
          <w:szCs w:val="24"/>
        </w:rPr>
        <w:t>,</w:t>
      </w:r>
      <w:r>
        <w:rPr>
          <w:rFonts w:ascii="Times New Roman" w:hAnsi="Times New Roman" w:cs="Times New Roman"/>
          <w:b w:val="0"/>
          <w:sz w:val="24"/>
          <w:szCs w:val="24"/>
        </w:rPr>
        <w:t xml:space="preserve"> nowego rodzaju biokomponentów, które powstają w technologii </w:t>
      </w:r>
      <w:proofErr w:type="spellStart"/>
      <w:r>
        <w:rPr>
          <w:rFonts w:ascii="Times New Roman" w:hAnsi="Times New Roman" w:cs="Times New Roman"/>
          <w:b w:val="0"/>
          <w:sz w:val="24"/>
          <w:szCs w:val="24"/>
        </w:rPr>
        <w:t>współuwodornienia</w:t>
      </w:r>
      <w:proofErr w:type="spellEnd"/>
      <w:r w:rsidR="000308F2">
        <w:rPr>
          <w:rFonts w:ascii="Times New Roman" w:hAnsi="Times New Roman" w:cs="Times New Roman"/>
          <w:b w:val="0"/>
          <w:sz w:val="24"/>
          <w:szCs w:val="24"/>
        </w:rPr>
        <w:t>,</w:t>
      </w:r>
      <w:r>
        <w:rPr>
          <w:rFonts w:ascii="Times New Roman" w:hAnsi="Times New Roman" w:cs="Times New Roman"/>
          <w:b w:val="0"/>
          <w:sz w:val="24"/>
          <w:szCs w:val="24"/>
        </w:rPr>
        <w:t xml:space="preserve"> jest zmiana delegacji w art. 22 ust. 6 ustawy </w:t>
      </w:r>
      <w:r w:rsidRPr="00E15981">
        <w:rPr>
          <w:rFonts w:ascii="Times New Roman" w:hAnsi="Times New Roman" w:cs="Times New Roman"/>
          <w:b w:val="0"/>
          <w:i/>
          <w:sz w:val="24"/>
          <w:szCs w:val="24"/>
        </w:rPr>
        <w:t>o biokomponentach i</w:t>
      </w:r>
      <w:r>
        <w:rPr>
          <w:rFonts w:ascii="Times New Roman" w:hAnsi="Times New Roman" w:cs="Times New Roman"/>
          <w:b w:val="0"/>
          <w:i/>
          <w:sz w:val="24"/>
          <w:szCs w:val="24"/>
        </w:rPr>
        <w:t> </w:t>
      </w:r>
      <w:r w:rsidRPr="00E15981">
        <w:rPr>
          <w:rFonts w:ascii="Times New Roman" w:hAnsi="Times New Roman" w:cs="Times New Roman"/>
          <w:b w:val="0"/>
          <w:i/>
          <w:sz w:val="24"/>
          <w:szCs w:val="24"/>
        </w:rPr>
        <w:t>biopaliwach ciekłych</w:t>
      </w:r>
      <w:r>
        <w:rPr>
          <w:rFonts w:ascii="Times New Roman" w:hAnsi="Times New Roman" w:cs="Times New Roman"/>
          <w:b w:val="0"/>
          <w:sz w:val="24"/>
          <w:szCs w:val="24"/>
        </w:rPr>
        <w:t xml:space="preserve">, wskazująca, że rozporządzenie w sprawie jakości biokomponentów, sposobu poboru próbek biokomponentów oraz metod badań – nie dotyczy biokomponentów powstałych w technologii </w:t>
      </w:r>
      <w:proofErr w:type="spellStart"/>
      <w:r>
        <w:rPr>
          <w:rFonts w:ascii="Times New Roman" w:hAnsi="Times New Roman" w:cs="Times New Roman"/>
          <w:b w:val="0"/>
          <w:sz w:val="24"/>
          <w:szCs w:val="24"/>
        </w:rPr>
        <w:t>współuwodornienia</w:t>
      </w:r>
      <w:proofErr w:type="spellEnd"/>
      <w:r>
        <w:rPr>
          <w:rFonts w:ascii="Times New Roman" w:hAnsi="Times New Roman" w:cs="Times New Roman"/>
          <w:b w:val="0"/>
          <w:sz w:val="24"/>
          <w:szCs w:val="24"/>
        </w:rPr>
        <w:t xml:space="preserve">. </w:t>
      </w:r>
    </w:p>
    <w:p w14:paraId="5407E15F" w14:textId="77777777" w:rsidR="00FF5857" w:rsidRDefault="00FF5857" w:rsidP="00FF5857">
      <w:pPr>
        <w:pStyle w:val="pakthead1"/>
        <w:spacing w:before="0" w:after="0" w:line="360" w:lineRule="auto"/>
        <w:ind w:firstLine="708"/>
        <w:jc w:val="both"/>
        <w:rPr>
          <w:rFonts w:ascii="Times New Roman" w:hAnsi="Times New Roman" w:cs="Times New Roman"/>
          <w:b w:val="0"/>
          <w:sz w:val="24"/>
          <w:szCs w:val="24"/>
        </w:rPr>
      </w:pPr>
      <w:r>
        <w:rPr>
          <w:rFonts w:ascii="Times New Roman" w:hAnsi="Times New Roman" w:cs="Times New Roman"/>
          <w:b w:val="0"/>
          <w:sz w:val="24"/>
          <w:szCs w:val="24"/>
        </w:rPr>
        <w:t xml:space="preserve">Ponieważ wprowadzane w projekcie ustawy przepisy dotyczą tylko i wyłącznie nowych rodzajów biokomponentów, które dotychczas nie były uregulowane, zmiana delegacji nie powoduje merytorycznej konieczności aktualizacji dotychczasowego rozporządzenia wydanego w oparciu o delegację z art. 22 ust. 6 ustawy. Jednocześnie wydane rozporządzenie  z powodów formalnych wygaśnie z dniem 1 stycznia 2020 r. W celu uniknięcia tej sytuacji jak również konieczności pilnego wydania ww. rozporządzenia, które w praktyce polegałoby na ponownym wydaniu tego samego zakresu przepisów, wprowadzono w projekcie ustawy przepis przejściowy zachowujący rozporządzenie Ministra Gospodarki z dnia 17 grudnia 2010 r. </w:t>
      </w:r>
      <w:r w:rsidRPr="00E15981">
        <w:rPr>
          <w:rFonts w:ascii="Times New Roman" w:hAnsi="Times New Roman" w:cs="Times New Roman"/>
          <w:b w:val="0"/>
          <w:i/>
          <w:sz w:val="24"/>
          <w:szCs w:val="24"/>
        </w:rPr>
        <w:t>w sprawie wymagań jakościowych dla biokomponentów, metod badań jakości biokomponentów oraz sposobu pobierania próbek biokomponentów</w:t>
      </w:r>
      <w:r>
        <w:rPr>
          <w:rFonts w:ascii="Times New Roman" w:hAnsi="Times New Roman" w:cs="Times New Roman"/>
          <w:b w:val="0"/>
          <w:sz w:val="24"/>
          <w:szCs w:val="24"/>
        </w:rPr>
        <w:t xml:space="preserve"> (Dz. U z 2017 r. poz. 506 </w:t>
      </w:r>
      <w:proofErr w:type="spellStart"/>
      <w:r>
        <w:rPr>
          <w:rFonts w:ascii="Times New Roman" w:hAnsi="Times New Roman" w:cs="Times New Roman"/>
          <w:b w:val="0"/>
          <w:sz w:val="24"/>
          <w:szCs w:val="24"/>
        </w:rPr>
        <w:t>t.j</w:t>
      </w:r>
      <w:proofErr w:type="spellEnd"/>
      <w:r>
        <w:rPr>
          <w:rFonts w:ascii="Times New Roman" w:hAnsi="Times New Roman" w:cs="Times New Roman"/>
          <w:b w:val="0"/>
          <w:sz w:val="24"/>
          <w:szCs w:val="24"/>
        </w:rPr>
        <w:t>.) przez okres 36 miesięcy od wejścia w życie projektowanej ustawy.</w:t>
      </w:r>
    </w:p>
    <w:p w14:paraId="4D5DDA8B" w14:textId="77777777" w:rsidR="00FF5857" w:rsidRPr="00A87EBB" w:rsidRDefault="00FF5857" w:rsidP="00FF5857">
      <w:pPr>
        <w:pStyle w:val="pakthead1"/>
        <w:spacing w:before="0" w:after="0" w:line="360" w:lineRule="auto"/>
        <w:ind w:firstLine="708"/>
        <w:jc w:val="both"/>
        <w:rPr>
          <w:rFonts w:ascii="Times New Roman" w:hAnsi="Times New Roman" w:cs="Times New Roman"/>
          <w:b w:val="0"/>
          <w:sz w:val="24"/>
          <w:szCs w:val="24"/>
        </w:rPr>
      </w:pPr>
      <w:r w:rsidRPr="00E15981">
        <w:rPr>
          <w:rFonts w:ascii="Times New Roman" w:hAnsi="Times New Roman"/>
          <w:b w:val="0"/>
          <w:sz w:val="24"/>
          <w:szCs w:val="24"/>
        </w:rPr>
        <w:t xml:space="preserve">Jednocześnie, w celu zapewnienia możliwości monitorowania prawidłowości przebiegu wytwarzania biokomponentów w oparciu o proces </w:t>
      </w:r>
      <w:proofErr w:type="spellStart"/>
      <w:r w:rsidRPr="00E15981">
        <w:rPr>
          <w:rFonts w:ascii="Times New Roman" w:hAnsi="Times New Roman"/>
          <w:b w:val="0"/>
          <w:sz w:val="24"/>
          <w:szCs w:val="24"/>
        </w:rPr>
        <w:t>współuwodornienia</w:t>
      </w:r>
      <w:proofErr w:type="spellEnd"/>
      <w:r w:rsidRPr="00E15981">
        <w:rPr>
          <w:rFonts w:ascii="Times New Roman" w:hAnsi="Times New Roman"/>
          <w:b w:val="0"/>
          <w:sz w:val="24"/>
          <w:szCs w:val="24"/>
        </w:rPr>
        <w:t xml:space="preserve">, akredytowane </w:t>
      </w:r>
      <w:r w:rsidRPr="00E15981">
        <w:rPr>
          <w:rFonts w:ascii="Times New Roman" w:hAnsi="Times New Roman"/>
          <w:b w:val="0"/>
          <w:sz w:val="24"/>
          <w:szCs w:val="24"/>
        </w:rPr>
        <w:lastRenderedPageBreak/>
        <w:t xml:space="preserve">laboratoria badawcze będą badały stopień przereagowania biomasy na tej części instalacji rafineryjnej, na której odbywać się będzie proces </w:t>
      </w:r>
      <w:proofErr w:type="spellStart"/>
      <w:r w:rsidRPr="00E15981">
        <w:rPr>
          <w:rFonts w:ascii="Times New Roman" w:hAnsi="Times New Roman"/>
          <w:b w:val="0"/>
          <w:sz w:val="24"/>
          <w:szCs w:val="24"/>
        </w:rPr>
        <w:t>współuwodornienia</w:t>
      </w:r>
      <w:proofErr w:type="spellEnd"/>
      <w:r w:rsidRPr="00E15981">
        <w:rPr>
          <w:rFonts w:ascii="Times New Roman" w:hAnsi="Times New Roman"/>
          <w:b w:val="0"/>
          <w:sz w:val="24"/>
          <w:szCs w:val="24"/>
        </w:rPr>
        <w:t xml:space="preserve"> – w tym celu wprowadzono ust. 1a w art. 22 ustawy </w:t>
      </w:r>
      <w:r w:rsidRPr="00E15981">
        <w:rPr>
          <w:rStyle w:val="Kkursywa"/>
          <w:rFonts w:ascii="Times New Roman" w:eastAsiaTheme="minorEastAsia" w:hAnsi="Times New Roman"/>
          <w:b w:val="0"/>
          <w:sz w:val="24"/>
          <w:szCs w:val="24"/>
        </w:rPr>
        <w:t>o biokomponentach i biopaliwach ciekłych.</w:t>
      </w:r>
      <w:r>
        <w:rPr>
          <w:rStyle w:val="Kkursywa"/>
          <w:rFonts w:ascii="Times New Roman" w:eastAsiaTheme="minorEastAsia" w:hAnsi="Times New Roman"/>
          <w:sz w:val="24"/>
          <w:szCs w:val="24"/>
        </w:rPr>
        <w:t xml:space="preserve"> </w:t>
      </w:r>
      <w:r w:rsidRPr="00A87EBB">
        <w:rPr>
          <w:rFonts w:ascii="Times New Roman" w:hAnsi="Times New Roman" w:cs="Times New Roman"/>
          <w:b w:val="0"/>
          <w:sz w:val="24"/>
          <w:szCs w:val="24"/>
        </w:rPr>
        <w:t xml:space="preserve">Potwierdzeniem osiągnięcia właściwego stopnia przereagowania biomasy w procesie </w:t>
      </w:r>
      <w:proofErr w:type="spellStart"/>
      <w:r w:rsidRPr="00A87EBB">
        <w:rPr>
          <w:rFonts w:ascii="Times New Roman" w:hAnsi="Times New Roman" w:cs="Times New Roman"/>
          <w:b w:val="0"/>
          <w:sz w:val="24"/>
          <w:szCs w:val="24"/>
        </w:rPr>
        <w:t>współuwodornienia</w:t>
      </w:r>
      <w:proofErr w:type="spellEnd"/>
      <w:r w:rsidRPr="00A87EBB">
        <w:rPr>
          <w:rFonts w:ascii="Times New Roman" w:hAnsi="Times New Roman" w:cs="Times New Roman"/>
          <w:b w:val="0"/>
          <w:sz w:val="24"/>
          <w:szCs w:val="24"/>
        </w:rPr>
        <w:t xml:space="preserve"> będzie uzyskanie certyfikatu jakości wydawanego przez akredytowane jednostki certyfikujące. </w:t>
      </w:r>
    </w:p>
    <w:p w14:paraId="2495E8F4" w14:textId="77777777" w:rsidR="00FF5857" w:rsidRDefault="00FF5857" w:rsidP="00FF5857">
      <w:pPr>
        <w:ind w:firstLine="708"/>
        <w:jc w:val="both"/>
        <w:rPr>
          <w:color w:val="000000"/>
          <w:szCs w:val="24"/>
        </w:rPr>
      </w:pPr>
      <w:r w:rsidRPr="00A87EBB">
        <w:rPr>
          <w:color w:val="000000"/>
          <w:szCs w:val="24"/>
        </w:rPr>
        <w:t>W konsekwencji powyższego rozszerzono również katalog biokomponentów wymieniony w art. 2 ust. 1 pkt 3</w:t>
      </w:r>
      <w:r>
        <w:rPr>
          <w:color w:val="000000"/>
          <w:szCs w:val="24"/>
        </w:rPr>
        <w:t xml:space="preserve"> ww. </w:t>
      </w:r>
      <w:r w:rsidRPr="00A87EBB">
        <w:rPr>
          <w:color w:val="000000"/>
          <w:szCs w:val="24"/>
        </w:rPr>
        <w:t>ustawy oraz biopaliw ciekłych wskazany w art. 2 ust. 1</w:t>
      </w:r>
      <w:r>
        <w:rPr>
          <w:color w:val="000000"/>
          <w:szCs w:val="24"/>
        </w:rPr>
        <w:t> </w:t>
      </w:r>
      <w:r w:rsidRPr="00A87EBB">
        <w:rPr>
          <w:color w:val="000000"/>
          <w:szCs w:val="24"/>
        </w:rPr>
        <w:t>pkt 11 lit</w:t>
      </w:r>
      <w:r>
        <w:rPr>
          <w:color w:val="000000"/>
          <w:szCs w:val="24"/>
        </w:rPr>
        <w:t>.</w:t>
      </w:r>
      <w:r w:rsidRPr="00A87EBB">
        <w:rPr>
          <w:color w:val="000000"/>
          <w:szCs w:val="24"/>
        </w:rPr>
        <w:t xml:space="preserve"> c ustawy</w:t>
      </w:r>
      <w:r w:rsidRPr="00A3756F">
        <w:rPr>
          <w:rStyle w:val="Kkursywa"/>
          <w:color w:val="000000"/>
          <w:szCs w:val="24"/>
        </w:rPr>
        <w:t xml:space="preserve"> </w:t>
      </w:r>
      <w:r w:rsidRPr="00A87EBB">
        <w:rPr>
          <w:rStyle w:val="Kkursywa"/>
          <w:color w:val="000000"/>
          <w:szCs w:val="24"/>
        </w:rPr>
        <w:t>o</w:t>
      </w:r>
      <w:r>
        <w:rPr>
          <w:rStyle w:val="Kkursywa"/>
          <w:color w:val="000000"/>
          <w:szCs w:val="24"/>
        </w:rPr>
        <w:t> </w:t>
      </w:r>
      <w:r w:rsidRPr="00A87EBB">
        <w:rPr>
          <w:rStyle w:val="Kkursywa"/>
          <w:color w:val="000000"/>
          <w:szCs w:val="24"/>
        </w:rPr>
        <w:t>biokomponentach i biopaliwach ciekłych</w:t>
      </w:r>
      <w:r w:rsidRPr="00A87EBB">
        <w:rPr>
          <w:color w:val="000000"/>
          <w:szCs w:val="24"/>
        </w:rPr>
        <w:t xml:space="preserve">, wprowadzono również definicję </w:t>
      </w:r>
      <w:proofErr w:type="spellStart"/>
      <w:r w:rsidRPr="00A87EBB">
        <w:rPr>
          <w:color w:val="000000"/>
          <w:szCs w:val="24"/>
        </w:rPr>
        <w:t>bio</w:t>
      </w:r>
      <w:proofErr w:type="spellEnd"/>
      <w:r w:rsidRPr="00A87EBB">
        <w:rPr>
          <w:color w:val="000000"/>
          <w:szCs w:val="24"/>
        </w:rPr>
        <w:t xml:space="preserve"> propanu w</w:t>
      </w:r>
      <w:r>
        <w:rPr>
          <w:color w:val="000000"/>
          <w:szCs w:val="24"/>
        </w:rPr>
        <w:t> </w:t>
      </w:r>
      <w:r w:rsidRPr="00A87EBB">
        <w:rPr>
          <w:color w:val="000000"/>
          <w:szCs w:val="24"/>
        </w:rPr>
        <w:t xml:space="preserve">art. 2 ust. 1 pkt 9e </w:t>
      </w:r>
      <w:r>
        <w:rPr>
          <w:color w:val="000000"/>
          <w:szCs w:val="24"/>
        </w:rPr>
        <w:t xml:space="preserve">ww. </w:t>
      </w:r>
      <w:r w:rsidRPr="00A87EBB">
        <w:rPr>
          <w:color w:val="000000"/>
          <w:szCs w:val="24"/>
        </w:rPr>
        <w:t>ustawy.</w:t>
      </w:r>
    </w:p>
    <w:p w14:paraId="2616A60B" w14:textId="77777777" w:rsidR="00FF5857" w:rsidRPr="00A87EBB" w:rsidRDefault="00FF5857" w:rsidP="00FF5857">
      <w:pPr>
        <w:ind w:firstLine="708"/>
        <w:jc w:val="both"/>
        <w:rPr>
          <w:color w:val="000000"/>
          <w:szCs w:val="24"/>
        </w:rPr>
      </w:pPr>
      <w:r>
        <w:rPr>
          <w:color w:val="000000"/>
          <w:szCs w:val="24"/>
        </w:rPr>
        <w:t xml:space="preserve">W celu jednoznacznego wskazania, że proces </w:t>
      </w:r>
      <w:proofErr w:type="spellStart"/>
      <w:r>
        <w:rPr>
          <w:color w:val="000000"/>
          <w:szCs w:val="24"/>
        </w:rPr>
        <w:t>współuwodornienia</w:t>
      </w:r>
      <w:proofErr w:type="spellEnd"/>
      <w:r>
        <w:rPr>
          <w:color w:val="000000"/>
          <w:szCs w:val="24"/>
        </w:rPr>
        <w:t xml:space="preserve"> mieści się w kategorii wytwarzania biokomponentów, w art. 2 </w:t>
      </w:r>
      <w:r w:rsidRPr="00A87EBB">
        <w:rPr>
          <w:color w:val="000000"/>
          <w:szCs w:val="24"/>
        </w:rPr>
        <w:t>ustawy</w:t>
      </w:r>
      <w:r w:rsidRPr="00A3756F">
        <w:rPr>
          <w:rStyle w:val="Kkursywa"/>
          <w:color w:val="000000"/>
          <w:szCs w:val="24"/>
        </w:rPr>
        <w:t xml:space="preserve"> </w:t>
      </w:r>
      <w:r w:rsidRPr="00A87EBB">
        <w:rPr>
          <w:rStyle w:val="Kkursywa"/>
          <w:color w:val="000000"/>
          <w:szCs w:val="24"/>
        </w:rPr>
        <w:t>o biokomponentach i biopaliwach ciekłych</w:t>
      </w:r>
      <w:r>
        <w:rPr>
          <w:color w:val="000000"/>
          <w:szCs w:val="24"/>
        </w:rPr>
        <w:t xml:space="preserve"> wprowadzono nowy ust. 4, regulujący tę kwestię. </w:t>
      </w:r>
    </w:p>
    <w:p w14:paraId="4DECBFD3" w14:textId="62F653C4" w:rsidR="00FF5857" w:rsidRPr="00A87EBB" w:rsidRDefault="00FF5857" w:rsidP="00FF5857">
      <w:pPr>
        <w:ind w:firstLine="708"/>
        <w:jc w:val="both"/>
        <w:rPr>
          <w:szCs w:val="24"/>
        </w:rPr>
      </w:pPr>
      <w:r w:rsidRPr="00A87EBB">
        <w:rPr>
          <w:color w:val="000000"/>
          <w:szCs w:val="24"/>
        </w:rPr>
        <w:t xml:space="preserve">Zgodnie z treścią </w:t>
      </w:r>
      <w:r>
        <w:rPr>
          <w:color w:val="000000"/>
          <w:szCs w:val="24"/>
        </w:rPr>
        <w:t>projektu</w:t>
      </w:r>
      <w:r w:rsidRPr="00A87EBB">
        <w:rPr>
          <w:color w:val="000000"/>
          <w:szCs w:val="24"/>
        </w:rPr>
        <w:t xml:space="preserve"> ustawy działalność gospodarcza polegająca na wytwarzaniu biokomponentów w procesie </w:t>
      </w:r>
      <w:proofErr w:type="spellStart"/>
      <w:r w:rsidRPr="00A87EBB">
        <w:rPr>
          <w:color w:val="000000"/>
          <w:szCs w:val="24"/>
        </w:rPr>
        <w:t>współuwodornienia</w:t>
      </w:r>
      <w:proofErr w:type="spellEnd"/>
      <w:r w:rsidRPr="00A87EBB">
        <w:rPr>
          <w:color w:val="000000"/>
          <w:szCs w:val="24"/>
        </w:rPr>
        <w:t xml:space="preserve"> będzie podlegała takim samym regulacjom prawnym</w:t>
      </w:r>
      <w:r w:rsidR="000308F2">
        <w:rPr>
          <w:color w:val="000000"/>
          <w:szCs w:val="24"/>
        </w:rPr>
        <w:t>,</w:t>
      </w:r>
      <w:r w:rsidRPr="00A87EBB">
        <w:rPr>
          <w:color w:val="000000"/>
          <w:szCs w:val="24"/>
        </w:rPr>
        <w:t xml:space="preserve"> jakim podlega obecnie działalność gospodarcza polegająca na wytwarzaniu pozostałych biokomponentów. W związku z powyższym producenci paliw, którzy zdecydują się na podjęcie dodatkowej działalności gospodarczej polegającej na wytwarzaniu biokomponentów w procesie </w:t>
      </w:r>
      <w:proofErr w:type="spellStart"/>
      <w:r w:rsidRPr="00A87EBB">
        <w:rPr>
          <w:color w:val="000000"/>
          <w:szCs w:val="24"/>
        </w:rPr>
        <w:t>współuwodornienia</w:t>
      </w:r>
      <w:proofErr w:type="spellEnd"/>
      <w:r w:rsidRPr="00A87EBB">
        <w:rPr>
          <w:color w:val="000000"/>
          <w:szCs w:val="24"/>
        </w:rPr>
        <w:t xml:space="preserve">, zostaną zaklasyfikowani w zakresie tej działalności jako wytwórcy i tym samym będzie na nich spoczywał obowiązek dokonania wpisu do rejestru wytwórców prowadzonego przez Dyrektora Generalnego Krajowego Ośrodka Wsparcia Rolnictwa (dalej: „KOWR”) oraz obowiązki z tym związane. Należy zauważyć, że działalność gospodarcza polegająca na wytwarzaniu biokomponentów w procesie </w:t>
      </w:r>
      <w:proofErr w:type="spellStart"/>
      <w:r w:rsidRPr="00A87EBB">
        <w:rPr>
          <w:color w:val="000000"/>
          <w:szCs w:val="24"/>
        </w:rPr>
        <w:t>współuwodornienia</w:t>
      </w:r>
      <w:proofErr w:type="spellEnd"/>
      <w:r w:rsidRPr="00A87EBB">
        <w:rPr>
          <w:color w:val="000000"/>
          <w:szCs w:val="24"/>
        </w:rPr>
        <w:t xml:space="preserve"> nie będzie w związku z powyższym objęta koncesją w myśl przepisów ustawy </w:t>
      </w:r>
      <w:r w:rsidRPr="00A87EBB">
        <w:rPr>
          <w:szCs w:val="24"/>
        </w:rPr>
        <w:t xml:space="preserve">dnia 10 kwietnia 1997 r. – </w:t>
      </w:r>
      <w:r w:rsidRPr="00A87EBB">
        <w:rPr>
          <w:i/>
          <w:szCs w:val="24"/>
        </w:rPr>
        <w:t>Prawo energetyczne</w:t>
      </w:r>
      <w:r w:rsidRPr="00A87EBB">
        <w:rPr>
          <w:szCs w:val="24"/>
        </w:rPr>
        <w:t xml:space="preserve"> (Dz. U. z 201</w:t>
      </w:r>
      <w:r>
        <w:rPr>
          <w:szCs w:val="24"/>
        </w:rPr>
        <w:t>9</w:t>
      </w:r>
      <w:r w:rsidRPr="00A87EBB">
        <w:rPr>
          <w:szCs w:val="24"/>
        </w:rPr>
        <w:t xml:space="preserve"> r. poz. 755). </w:t>
      </w:r>
    </w:p>
    <w:p w14:paraId="0E87D49A" w14:textId="77777777" w:rsidR="00FF5857" w:rsidRDefault="00FF5857" w:rsidP="00FF5857">
      <w:pPr>
        <w:pStyle w:val="pakthead1"/>
        <w:spacing w:before="0" w:after="0" w:line="360" w:lineRule="auto"/>
        <w:jc w:val="both"/>
        <w:rPr>
          <w:rFonts w:ascii="Times New Roman" w:hAnsi="Times New Roman" w:cs="Times New Roman"/>
          <w:b w:val="0"/>
          <w:sz w:val="24"/>
          <w:szCs w:val="24"/>
        </w:rPr>
      </w:pPr>
      <w:r w:rsidRPr="00A87EBB">
        <w:rPr>
          <w:rFonts w:ascii="Times New Roman" w:hAnsi="Times New Roman"/>
          <w:sz w:val="24"/>
          <w:szCs w:val="24"/>
        </w:rPr>
        <w:tab/>
      </w:r>
      <w:r w:rsidRPr="00A87EBB">
        <w:rPr>
          <w:rFonts w:ascii="Times New Roman" w:hAnsi="Times New Roman" w:cs="Times New Roman"/>
          <w:b w:val="0"/>
          <w:sz w:val="24"/>
          <w:szCs w:val="24"/>
        </w:rPr>
        <w:t xml:space="preserve">W art. 28ea ust. 2 ustawy </w:t>
      </w:r>
      <w:r w:rsidRPr="0090765C">
        <w:rPr>
          <w:rStyle w:val="Kkursywa"/>
          <w:rFonts w:ascii="Times New Roman" w:eastAsiaTheme="minorEastAsia" w:hAnsi="Times New Roman"/>
          <w:b w:val="0"/>
          <w:sz w:val="24"/>
          <w:szCs w:val="24"/>
        </w:rPr>
        <w:t>o biokomponentach i biopaliwach ciekłych</w:t>
      </w:r>
      <w:r w:rsidRPr="00A87EBB">
        <w:rPr>
          <w:rFonts w:ascii="Times New Roman" w:hAnsi="Times New Roman" w:cs="Times New Roman"/>
          <w:b w:val="0"/>
          <w:sz w:val="24"/>
          <w:szCs w:val="24"/>
        </w:rPr>
        <w:t xml:space="preserve"> umożliwiono wytwórcom korzystającym z procesu </w:t>
      </w:r>
      <w:proofErr w:type="spellStart"/>
      <w:r w:rsidRPr="00A87EBB">
        <w:rPr>
          <w:rFonts w:ascii="Times New Roman" w:hAnsi="Times New Roman" w:cs="Times New Roman"/>
          <w:b w:val="0"/>
          <w:sz w:val="24"/>
          <w:szCs w:val="24"/>
        </w:rPr>
        <w:t>współuwodornienia</w:t>
      </w:r>
      <w:proofErr w:type="spellEnd"/>
      <w:r w:rsidRPr="00A87EBB">
        <w:rPr>
          <w:rFonts w:ascii="Times New Roman" w:hAnsi="Times New Roman" w:cs="Times New Roman"/>
          <w:b w:val="0"/>
          <w:sz w:val="24"/>
          <w:szCs w:val="24"/>
        </w:rPr>
        <w:t>, będącym jednocześnie podmiotami realizującymi NCW, wystawianie poświadczeń dla biokomponentów zawartych w paliwach, które zostały wykorzystane przez ten podmiot do realizacji NCW.</w:t>
      </w:r>
    </w:p>
    <w:p w14:paraId="0BF3CE59" w14:textId="77777777" w:rsidR="00FF5857" w:rsidRDefault="00FF5857" w:rsidP="00FF5857">
      <w:pPr>
        <w:pStyle w:val="pakthead1"/>
        <w:spacing w:before="0" w:after="0" w:line="360" w:lineRule="auto"/>
        <w:ind w:firstLine="708"/>
        <w:jc w:val="both"/>
        <w:rPr>
          <w:rFonts w:ascii="Times New Roman" w:hAnsi="Times New Roman" w:cs="Times New Roman"/>
          <w:b w:val="0"/>
          <w:sz w:val="24"/>
          <w:szCs w:val="24"/>
        </w:rPr>
      </w:pPr>
      <w:r>
        <w:rPr>
          <w:rFonts w:ascii="Times New Roman" w:hAnsi="Times New Roman" w:cs="Times New Roman"/>
          <w:b w:val="0"/>
          <w:sz w:val="24"/>
          <w:szCs w:val="24"/>
        </w:rPr>
        <w:t xml:space="preserve">W projekcie ustawy zaproponowano również wprowadzenie przepisu, na podstawie którego minister właściwy do spraw energii może określić metodykę obliczania zawartości </w:t>
      </w:r>
      <w:proofErr w:type="spellStart"/>
      <w:r>
        <w:rPr>
          <w:rFonts w:ascii="Times New Roman" w:hAnsi="Times New Roman" w:cs="Times New Roman"/>
          <w:b w:val="0"/>
          <w:sz w:val="24"/>
          <w:szCs w:val="24"/>
        </w:rPr>
        <w:t>biowodoru</w:t>
      </w:r>
      <w:proofErr w:type="spellEnd"/>
      <w:r>
        <w:rPr>
          <w:rFonts w:ascii="Times New Roman" w:hAnsi="Times New Roman" w:cs="Times New Roman"/>
          <w:b w:val="0"/>
          <w:sz w:val="24"/>
          <w:szCs w:val="24"/>
        </w:rPr>
        <w:t xml:space="preserve"> w paliwach, przy produkcji których podmiot realizujący NCW wykorzystał </w:t>
      </w:r>
      <w:proofErr w:type="spellStart"/>
      <w:r>
        <w:rPr>
          <w:rFonts w:ascii="Times New Roman" w:hAnsi="Times New Roman" w:cs="Times New Roman"/>
          <w:b w:val="0"/>
          <w:sz w:val="24"/>
          <w:szCs w:val="24"/>
        </w:rPr>
        <w:t>biometan</w:t>
      </w:r>
      <w:proofErr w:type="spellEnd"/>
      <w:r>
        <w:rPr>
          <w:rFonts w:ascii="Times New Roman" w:hAnsi="Times New Roman" w:cs="Times New Roman"/>
          <w:b w:val="0"/>
          <w:sz w:val="24"/>
          <w:szCs w:val="24"/>
        </w:rPr>
        <w:t xml:space="preserve"> powstały z oczyszczonego biogazu. Fakultatywna delegacja do wydania ww. </w:t>
      </w:r>
      <w:r>
        <w:rPr>
          <w:rFonts w:ascii="Times New Roman" w:hAnsi="Times New Roman" w:cs="Times New Roman"/>
          <w:b w:val="0"/>
          <w:sz w:val="24"/>
          <w:szCs w:val="24"/>
        </w:rPr>
        <w:lastRenderedPageBreak/>
        <w:t>rozporządzenia wynika z konieczności uprzedniego pozyskania wiedzy technicznej wynikającej z badań tych biokomponentów w paliwach lub doświadczenia w ich stosowaniu.</w:t>
      </w:r>
    </w:p>
    <w:p w14:paraId="233FDADD" w14:textId="77777777" w:rsidR="00FF5857" w:rsidRDefault="00FF5857" w:rsidP="00FF5857">
      <w:pPr>
        <w:pStyle w:val="pakthead1"/>
        <w:spacing w:before="0" w:after="0" w:line="360" w:lineRule="auto"/>
        <w:ind w:firstLine="708"/>
        <w:jc w:val="both"/>
        <w:rPr>
          <w:rFonts w:ascii="Times New Roman" w:hAnsi="Times New Roman" w:cs="Times New Roman"/>
          <w:b w:val="0"/>
          <w:sz w:val="24"/>
          <w:szCs w:val="24"/>
        </w:rPr>
      </w:pPr>
      <w:r>
        <w:rPr>
          <w:rFonts w:ascii="Times New Roman" w:hAnsi="Times New Roman" w:cs="Times New Roman"/>
          <w:b w:val="0"/>
          <w:sz w:val="24"/>
          <w:szCs w:val="24"/>
        </w:rPr>
        <w:t xml:space="preserve">Z danych statystycznych wynika, że aktualnie wykorzystanie </w:t>
      </w:r>
      <w:proofErr w:type="spellStart"/>
      <w:r>
        <w:rPr>
          <w:rFonts w:ascii="Times New Roman" w:hAnsi="Times New Roman" w:cs="Times New Roman"/>
          <w:b w:val="0"/>
          <w:sz w:val="24"/>
          <w:szCs w:val="24"/>
        </w:rPr>
        <w:t>biometanu</w:t>
      </w:r>
      <w:proofErr w:type="spellEnd"/>
      <w:r>
        <w:rPr>
          <w:rFonts w:ascii="Times New Roman" w:hAnsi="Times New Roman" w:cs="Times New Roman"/>
          <w:b w:val="0"/>
          <w:sz w:val="24"/>
          <w:szCs w:val="24"/>
        </w:rPr>
        <w:t xml:space="preserve"> do realizacji celów OZE w transporcie w Unii Europejskiej jest niewielkie (udział nie przekracza 1% wszystkich biokomponentów), jednakże z uwagi na duży potencjał surowców, które znajdują się w zał. IX </w:t>
      </w:r>
      <w:r w:rsidRPr="00735BDA">
        <w:rPr>
          <w:rFonts w:ascii="Times New Roman" w:hAnsi="Times New Roman" w:cs="Times New Roman"/>
          <w:b w:val="0"/>
          <w:sz w:val="24"/>
          <w:szCs w:val="24"/>
        </w:rPr>
        <w:t xml:space="preserve">cz. A </w:t>
      </w:r>
      <w:r>
        <w:rPr>
          <w:rFonts w:ascii="Times New Roman" w:hAnsi="Times New Roman" w:cs="Times New Roman"/>
          <w:b w:val="0"/>
          <w:sz w:val="24"/>
          <w:szCs w:val="24"/>
        </w:rPr>
        <w:t>dyrektywy</w:t>
      </w:r>
      <w:r w:rsidRPr="00543708">
        <w:rPr>
          <w:rFonts w:ascii="Times New Roman" w:hAnsi="Times New Roman" w:cs="Times New Roman"/>
          <w:b w:val="0"/>
          <w:sz w:val="24"/>
          <w:szCs w:val="24"/>
        </w:rPr>
        <w:t xml:space="preserve"> Parlamentu Europejskiego i Rady 2018/2001 z dnia 11 grudnia 2018 r. </w:t>
      </w:r>
      <w:r w:rsidRPr="00543708">
        <w:rPr>
          <w:rFonts w:ascii="Times New Roman" w:hAnsi="Times New Roman" w:cs="Times New Roman"/>
          <w:b w:val="0"/>
          <w:i/>
          <w:sz w:val="24"/>
          <w:szCs w:val="24"/>
        </w:rPr>
        <w:t>w sprawie promowania stosowania energii ze źródeł odnawialnych</w:t>
      </w:r>
      <w:r w:rsidRPr="00735BDA">
        <w:rPr>
          <w:rFonts w:ascii="Times New Roman" w:hAnsi="Times New Roman" w:cs="Times New Roman"/>
          <w:b w:val="0"/>
          <w:sz w:val="24"/>
          <w:szCs w:val="24"/>
        </w:rPr>
        <w:t>, upoważniających</w:t>
      </w:r>
      <w:r>
        <w:rPr>
          <w:rFonts w:ascii="Times New Roman" w:hAnsi="Times New Roman" w:cs="Times New Roman"/>
          <w:b w:val="0"/>
          <w:sz w:val="24"/>
          <w:szCs w:val="24"/>
        </w:rPr>
        <w:t xml:space="preserve"> do podwójnego naliczania oraz umożliwiających wykonanie celu w zakresie minimalnego udziału tzw. </w:t>
      </w:r>
      <w:r w:rsidRPr="00E15981">
        <w:rPr>
          <w:rFonts w:ascii="Times New Roman" w:hAnsi="Times New Roman" w:cs="Times New Roman"/>
          <w:b w:val="0"/>
          <w:i/>
          <w:sz w:val="24"/>
          <w:szCs w:val="24"/>
        </w:rPr>
        <w:t>biopaliw zaawansowanych</w:t>
      </w:r>
      <w:r>
        <w:rPr>
          <w:rFonts w:ascii="Times New Roman" w:hAnsi="Times New Roman" w:cs="Times New Roman"/>
          <w:b w:val="0"/>
          <w:sz w:val="24"/>
          <w:szCs w:val="24"/>
        </w:rPr>
        <w:t xml:space="preserve"> do roku 2030 – jest to bardzo obiecujący kierunek.</w:t>
      </w:r>
    </w:p>
    <w:p w14:paraId="63BC2268" w14:textId="1EF87F4A" w:rsidR="00FF5857" w:rsidRPr="00543708" w:rsidRDefault="00FF5857" w:rsidP="00FF5857">
      <w:pPr>
        <w:spacing w:before="120"/>
        <w:ind w:firstLine="708"/>
        <w:jc w:val="both"/>
        <w:rPr>
          <w:szCs w:val="24"/>
        </w:rPr>
      </w:pPr>
      <w:r w:rsidRPr="00735BDA">
        <w:rPr>
          <w:bCs/>
          <w:color w:val="000000"/>
          <w:szCs w:val="24"/>
        </w:rPr>
        <w:t xml:space="preserve">Zgodnie z analizami zapotrzebowanie na </w:t>
      </w:r>
      <w:proofErr w:type="spellStart"/>
      <w:r w:rsidRPr="00735BDA">
        <w:rPr>
          <w:bCs/>
          <w:color w:val="000000"/>
          <w:szCs w:val="24"/>
        </w:rPr>
        <w:t>biometan</w:t>
      </w:r>
      <w:proofErr w:type="spellEnd"/>
      <w:r w:rsidRPr="00735BDA">
        <w:rPr>
          <w:bCs/>
          <w:color w:val="000000"/>
          <w:szCs w:val="24"/>
        </w:rPr>
        <w:t xml:space="preserve"> wykorzystywany do produkcji </w:t>
      </w:r>
      <w:proofErr w:type="spellStart"/>
      <w:r w:rsidRPr="00735BDA">
        <w:rPr>
          <w:bCs/>
          <w:color w:val="000000"/>
          <w:szCs w:val="24"/>
        </w:rPr>
        <w:t>biowodoru</w:t>
      </w:r>
      <w:proofErr w:type="spellEnd"/>
      <w:r w:rsidRPr="00735BDA">
        <w:rPr>
          <w:bCs/>
          <w:color w:val="000000"/>
          <w:szCs w:val="24"/>
        </w:rPr>
        <w:t xml:space="preserve"> może sięgnąć w kolejnych latach </w:t>
      </w:r>
      <w:r w:rsidRPr="00543708">
        <w:rPr>
          <w:szCs w:val="24"/>
        </w:rPr>
        <w:t>ok. 700 mln m</w:t>
      </w:r>
      <w:r w:rsidRPr="00543708">
        <w:rPr>
          <w:szCs w:val="24"/>
          <w:vertAlign w:val="superscript"/>
        </w:rPr>
        <w:t>3</w:t>
      </w:r>
      <w:r w:rsidRPr="00543708">
        <w:rPr>
          <w:szCs w:val="24"/>
        </w:rPr>
        <w:t>, co stanowi równowartość ok.</w:t>
      </w:r>
      <w:r>
        <w:rPr>
          <w:szCs w:val="24"/>
        </w:rPr>
        <w:t xml:space="preserve"> 350 MW biogazu wytwarzanego w oparciu</w:t>
      </w:r>
      <w:r w:rsidRPr="00543708">
        <w:rPr>
          <w:szCs w:val="24"/>
        </w:rPr>
        <w:t xml:space="preserve"> o surowce odpadowe, pochodzące m.in. z przetwórstwa rolno-spożywczego. Rozwój modelu opartego na realizacji NCW za pomocą </w:t>
      </w:r>
      <w:proofErr w:type="spellStart"/>
      <w:r w:rsidRPr="00543708">
        <w:rPr>
          <w:szCs w:val="24"/>
        </w:rPr>
        <w:t>biometanu</w:t>
      </w:r>
      <w:proofErr w:type="spellEnd"/>
      <w:r w:rsidRPr="00543708">
        <w:rPr>
          <w:szCs w:val="24"/>
        </w:rPr>
        <w:t xml:space="preserve"> stanowi zatem istotny impuls do rozwoju sektora biogazu</w:t>
      </w:r>
      <w:r w:rsidR="000308F2">
        <w:rPr>
          <w:szCs w:val="24"/>
        </w:rPr>
        <w:t>,</w:t>
      </w:r>
      <w:r w:rsidRPr="00543708">
        <w:rPr>
          <w:szCs w:val="24"/>
        </w:rPr>
        <w:t xml:space="preserve"> umożliwiając budowę</w:t>
      </w:r>
      <w:r>
        <w:rPr>
          <w:szCs w:val="24"/>
        </w:rPr>
        <w:t xml:space="preserve"> </w:t>
      </w:r>
      <w:r w:rsidRPr="00543708">
        <w:rPr>
          <w:szCs w:val="24"/>
        </w:rPr>
        <w:t xml:space="preserve">i stabilne funkcjonowanie </w:t>
      </w:r>
      <w:r>
        <w:rPr>
          <w:szCs w:val="24"/>
        </w:rPr>
        <w:t>co najmniej</w:t>
      </w:r>
      <w:r w:rsidRPr="00543708">
        <w:rPr>
          <w:szCs w:val="24"/>
        </w:rPr>
        <w:t xml:space="preserve"> 200 biogazowni – w zależności od przyjętej referencyjnej wielkości dla takiej instalacji.</w:t>
      </w:r>
    </w:p>
    <w:p w14:paraId="4380CC9E" w14:textId="77777777" w:rsidR="00FF5857" w:rsidRDefault="00FF5857" w:rsidP="00FF5857">
      <w:pPr>
        <w:spacing w:before="120"/>
        <w:ind w:firstLine="708"/>
        <w:jc w:val="both"/>
        <w:rPr>
          <w:szCs w:val="24"/>
        </w:rPr>
      </w:pPr>
      <w:r w:rsidRPr="00543708">
        <w:rPr>
          <w:szCs w:val="24"/>
        </w:rPr>
        <w:t xml:space="preserve">Należy mieć na uwadze, iż rozwój </w:t>
      </w:r>
      <w:proofErr w:type="spellStart"/>
      <w:r>
        <w:rPr>
          <w:szCs w:val="24"/>
        </w:rPr>
        <w:t>biometanu</w:t>
      </w:r>
      <w:proofErr w:type="spellEnd"/>
      <w:r w:rsidRPr="00543708">
        <w:rPr>
          <w:szCs w:val="24"/>
        </w:rPr>
        <w:t xml:space="preserve"> w UE dynamicznie postępuje w ostatnim okresie z uwagi na istotne ograniczenia dotyczące dostępności surowców odpadowych możliwych do wykorzystania w technologiach uwodornienia biomasy. Produkcja biogazu z</w:t>
      </w:r>
      <w:r>
        <w:rPr>
          <w:szCs w:val="24"/>
        </w:rPr>
        <w:t> </w:t>
      </w:r>
      <w:r w:rsidRPr="00543708">
        <w:rPr>
          <w:szCs w:val="24"/>
        </w:rPr>
        <w:t>odpadów biodegradowalnych jest w tym kontekście szczególnie perspektywiczna.</w:t>
      </w:r>
    </w:p>
    <w:p w14:paraId="3F36A543" w14:textId="77777777" w:rsidR="00FF5857" w:rsidRPr="00543708" w:rsidRDefault="00FF5857" w:rsidP="00FF5857">
      <w:pPr>
        <w:spacing w:before="120"/>
        <w:ind w:firstLine="708"/>
        <w:jc w:val="both"/>
        <w:rPr>
          <w:b/>
          <w:szCs w:val="24"/>
          <w:u w:val="single"/>
        </w:rPr>
      </w:pPr>
    </w:p>
    <w:p w14:paraId="2E6EC957" w14:textId="56A79195" w:rsidR="00FF5857" w:rsidRPr="00A87EBB" w:rsidRDefault="00FF5857" w:rsidP="00FF5857">
      <w:pPr>
        <w:spacing w:before="120" w:line="240" w:lineRule="auto"/>
        <w:jc w:val="both"/>
        <w:rPr>
          <w:b/>
          <w:color w:val="000000"/>
          <w:szCs w:val="24"/>
        </w:rPr>
      </w:pPr>
      <w:r w:rsidRPr="00A87EBB">
        <w:rPr>
          <w:b/>
          <w:color w:val="000000"/>
          <w:szCs w:val="24"/>
        </w:rPr>
        <w:t>2. Umożliwienie zaliczenia do NCW innych paliw odnawialnych i biokomponentów zawartych w paliwach stosowanych we wszystkich rodzajach transportu</w:t>
      </w:r>
    </w:p>
    <w:p w14:paraId="6B2EEBD0" w14:textId="77777777" w:rsidR="00FF5857" w:rsidRPr="00A87EBB" w:rsidRDefault="00FF5857" w:rsidP="00FF5857">
      <w:pPr>
        <w:spacing w:before="120"/>
        <w:ind w:firstLine="708"/>
        <w:jc w:val="both"/>
        <w:rPr>
          <w:color w:val="000000"/>
          <w:szCs w:val="24"/>
        </w:rPr>
      </w:pPr>
      <w:r w:rsidRPr="00A87EBB">
        <w:rPr>
          <w:color w:val="000000"/>
          <w:szCs w:val="24"/>
        </w:rPr>
        <w:t xml:space="preserve">W projekcie ustawy wprowadzono także zmiany, których celem jest umożliwienie zaliczenia do NCW </w:t>
      </w:r>
      <w:r>
        <w:rPr>
          <w:color w:val="000000"/>
          <w:szCs w:val="24"/>
        </w:rPr>
        <w:t xml:space="preserve">przez podmioty zobowiązane </w:t>
      </w:r>
      <w:r w:rsidRPr="00A87EBB">
        <w:rPr>
          <w:color w:val="000000"/>
          <w:szCs w:val="24"/>
        </w:rPr>
        <w:t>innych paliw odnawialnych i</w:t>
      </w:r>
      <w:r>
        <w:rPr>
          <w:color w:val="000000"/>
          <w:szCs w:val="24"/>
        </w:rPr>
        <w:t> </w:t>
      </w:r>
      <w:r w:rsidRPr="00A87EBB">
        <w:rPr>
          <w:color w:val="000000"/>
          <w:szCs w:val="24"/>
        </w:rPr>
        <w:t xml:space="preserve">biokomponentów zawartych </w:t>
      </w:r>
      <w:r w:rsidRPr="00543708">
        <w:rPr>
          <w:color w:val="000000"/>
          <w:szCs w:val="24"/>
        </w:rPr>
        <w:t>we wszystkich paliwach stosowanych w transporcie</w:t>
      </w:r>
      <w:r w:rsidRPr="00A87EBB">
        <w:rPr>
          <w:color w:val="000000"/>
          <w:szCs w:val="24"/>
        </w:rPr>
        <w:t xml:space="preserve">, zdefiniowanych w art. 2 ust. 1 pkt 10a </w:t>
      </w:r>
      <w:r w:rsidRPr="00A918C2">
        <w:rPr>
          <w:color w:val="000000"/>
          <w:szCs w:val="24"/>
        </w:rPr>
        <w:t>ustawy</w:t>
      </w:r>
      <w:r w:rsidRPr="00F05DE4">
        <w:rPr>
          <w:rStyle w:val="Kkursywa"/>
          <w:color w:val="000000"/>
          <w:szCs w:val="24"/>
        </w:rPr>
        <w:t xml:space="preserve"> o</w:t>
      </w:r>
      <w:r>
        <w:rPr>
          <w:rStyle w:val="Kkursywa"/>
          <w:color w:val="000000"/>
          <w:szCs w:val="24"/>
        </w:rPr>
        <w:t> </w:t>
      </w:r>
      <w:r w:rsidRPr="00F05DE4">
        <w:rPr>
          <w:rStyle w:val="Kkursywa"/>
          <w:color w:val="000000"/>
          <w:szCs w:val="24"/>
        </w:rPr>
        <w:t>biokomponentach i biopaliwach ciekłych</w:t>
      </w:r>
      <w:r w:rsidRPr="00A87EBB">
        <w:rPr>
          <w:color w:val="000000"/>
          <w:szCs w:val="24"/>
        </w:rPr>
        <w:t>, a nie tylko w paliwach ciekłych i biopaliwach ciekłych. Powyższe zmiany wynikają z faktu, że w</w:t>
      </w:r>
      <w:r>
        <w:rPr>
          <w:color w:val="000000"/>
          <w:szCs w:val="24"/>
        </w:rPr>
        <w:t> </w:t>
      </w:r>
      <w:r w:rsidRPr="00A87EBB">
        <w:rPr>
          <w:color w:val="000000"/>
          <w:szCs w:val="24"/>
        </w:rPr>
        <w:t xml:space="preserve">chwili obecnej, z uwagi na nowo powstające technologie, istnieje możliwość dodawania różnego rodzaju biokomponentów do różnych rodzajów paliw – a nie tylko </w:t>
      </w:r>
      <w:r>
        <w:rPr>
          <w:color w:val="000000"/>
          <w:szCs w:val="24"/>
        </w:rPr>
        <w:t xml:space="preserve">do </w:t>
      </w:r>
      <w:r w:rsidRPr="00A87EBB">
        <w:rPr>
          <w:color w:val="000000"/>
          <w:szCs w:val="24"/>
        </w:rPr>
        <w:t>paliw ciekłych i biopaliw ciekłych. Zaproponowana zmiana ma również na celu dostosowanie metodyki obliczania udziału energii odnawialnej w</w:t>
      </w:r>
      <w:r>
        <w:rPr>
          <w:color w:val="000000"/>
          <w:szCs w:val="24"/>
        </w:rPr>
        <w:t> </w:t>
      </w:r>
      <w:r w:rsidRPr="00A87EBB">
        <w:rPr>
          <w:color w:val="000000"/>
          <w:szCs w:val="24"/>
        </w:rPr>
        <w:t xml:space="preserve">transporcie do </w:t>
      </w:r>
      <w:r>
        <w:rPr>
          <w:color w:val="000000"/>
          <w:szCs w:val="24"/>
        </w:rPr>
        <w:t>zasad określonych</w:t>
      </w:r>
      <w:r w:rsidRPr="00A87EBB">
        <w:rPr>
          <w:color w:val="000000"/>
          <w:szCs w:val="24"/>
        </w:rPr>
        <w:t xml:space="preserve"> w art. 3 ust. </w:t>
      </w:r>
      <w:r w:rsidRPr="00A87EBB">
        <w:rPr>
          <w:color w:val="000000"/>
          <w:szCs w:val="24"/>
        </w:rPr>
        <w:lastRenderedPageBreak/>
        <w:t>4</w:t>
      </w:r>
      <w:r>
        <w:rPr>
          <w:color w:val="000000"/>
          <w:szCs w:val="24"/>
        </w:rPr>
        <w:t> dyrektywy 2009/28/WE.</w:t>
      </w:r>
      <w:r w:rsidRPr="00A87EBB">
        <w:rPr>
          <w:color w:val="000000"/>
          <w:szCs w:val="24"/>
        </w:rPr>
        <w:t xml:space="preserve"> </w:t>
      </w:r>
    </w:p>
    <w:p w14:paraId="02198945" w14:textId="77777777" w:rsidR="00FF5857" w:rsidRPr="00A87EBB" w:rsidRDefault="00FF5857" w:rsidP="00FF5857">
      <w:pPr>
        <w:spacing w:before="120"/>
        <w:ind w:firstLine="708"/>
        <w:jc w:val="both"/>
        <w:rPr>
          <w:color w:val="000000"/>
          <w:szCs w:val="24"/>
        </w:rPr>
      </w:pPr>
      <w:r w:rsidRPr="00A87EBB">
        <w:rPr>
          <w:color w:val="000000"/>
          <w:szCs w:val="24"/>
        </w:rPr>
        <w:t xml:space="preserve">Wprowadzana zmiana jest korzystna dla podmiotów realizujących NCW, ponieważ powoduje zwiększenie wartości biokomponentów w liczniku (do celu będą mogły zostać zaliczone biokomponenty zawarte nie tylko w paliwach ciekłych i biopaliwach ciekłych, ale także w innych </w:t>
      </w:r>
      <w:r>
        <w:rPr>
          <w:color w:val="000000"/>
          <w:szCs w:val="24"/>
        </w:rPr>
        <w:t xml:space="preserve">rodzajach </w:t>
      </w:r>
      <w:r w:rsidRPr="00A87EBB">
        <w:rPr>
          <w:color w:val="000000"/>
          <w:szCs w:val="24"/>
        </w:rPr>
        <w:t>paliw), przy niezmienionej wartości mianownika, co w efekcie powoduje osiągnięcie wyższego poziomu obowiązkowego udziału (NCW). Sprzyja to także realizacji przez Polskę krajowego celu w zakresie udziału energii ze źródeł odnawialnych w</w:t>
      </w:r>
      <w:r>
        <w:rPr>
          <w:color w:val="000000"/>
          <w:szCs w:val="24"/>
        </w:rPr>
        <w:t> </w:t>
      </w:r>
      <w:r w:rsidRPr="00A87EBB">
        <w:rPr>
          <w:color w:val="000000"/>
          <w:szCs w:val="24"/>
        </w:rPr>
        <w:t xml:space="preserve">transporcie wynikającego z dyrektywy 2009/28/WE. </w:t>
      </w:r>
    </w:p>
    <w:p w14:paraId="28B3D58A" w14:textId="77777777" w:rsidR="00FF5857" w:rsidRPr="00A87EBB" w:rsidRDefault="00FF5857" w:rsidP="00FF5857">
      <w:pPr>
        <w:spacing w:before="120"/>
        <w:ind w:firstLine="708"/>
        <w:jc w:val="both"/>
        <w:rPr>
          <w:color w:val="000000"/>
          <w:szCs w:val="24"/>
        </w:rPr>
      </w:pPr>
      <w:r w:rsidRPr="00A87EBB">
        <w:rPr>
          <w:color w:val="000000"/>
          <w:szCs w:val="24"/>
        </w:rPr>
        <w:t xml:space="preserve">Powyższe wymaga dokonania zmiany </w:t>
      </w:r>
      <w:r>
        <w:rPr>
          <w:color w:val="000000"/>
          <w:szCs w:val="24"/>
        </w:rPr>
        <w:t xml:space="preserve">treści art. 1 ust. 1a poprzez wskazanie, że w wyniku umożliwienia dodawania na potrzeby realizacji NCW biokomponentów do wszystkich rodzajów paliw, przepisy ustawy stosuje się do paliw a nie tylko do paliw ciekłych. Ponadto niezbędne jest dokonanie zmian w treści </w:t>
      </w:r>
      <w:r w:rsidRPr="00A87EBB">
        <w:rPr>
          <w:color w:val="000000"/>
          <w:szCs w:val="24"/>
        </w:rPr>
        <w:t>definicji NCW zawartej w art. 2 ust. 1 pkt 24 ustawy</w:t>
      </w:r>
      <w:r w:rsidRPr="00A3756F">
        <w:rPr>
          <w:rStyle w:val="Kkursywa"/>
          <w:b/>
          <w:color w:val="000000"/>
          <w:szCs w:val="24"/>
        </w:rPr>
        <w:t xml:space="preserve"> </w:t>
      </w:r>
      <w:r w:rsidRPr="00F05DE4">
        <w:rPr>
          <w:rStyle w:val="Kkursywa"/>
          <w:b/>
          <w:color w:val="000000"/>
          <w:szCs w:val="24"/>
        </w:rPr>
        <w:t>o biokomponentach i biopaliwach ciekłych</w:t>
      </w:r>
      <w:r w:rsidRPr="00A87EBB">
        <w:rPr>
          <w:color w:val="000000"/>
          <w:szCs w:val="24"/>
        </w:rPr>
        <w:t xml:space="preserve">. Zgodnie z nowym brzmieniem tej definicji: </w:t>
      </w:r>
      <w:r w:rsidRPr="00A87EBB">
        <w:rPr>
          <w:i/>
          <w:color w:val="000000"/>
          <w:szCs w:val="24"/>
        </w:rPr>
        <w:t>Narodowy Cel Wskaźnikowy to minimalny udział innych paliw odnawialnych i</w:t>
      </w:r>
      <w:r>
        <w:rPr>
          <w:i/>
          <w:color w:val="000000"/>
          <w:szCs w:val="24"/>
        </w:rPr>
        <w:t> </w:t>
      </w:r>
      <w:r w:rsidRPr="00A87EBB">
        <w:rPr>
          <w:i/>
          <w:color w:val="000000"/>
          <w:szCs w:val="24"/>
        </w:rPr>
        <w:t xml:space="preserve">biokomponentów zawartych </w:t>
      </w:r>
      <w:r w:rsidRPr="00F05DE4">
        <w:rPr>
          <w:i/>
          <w:color w:val="000000"/>
          <w:szCs w:val="24"/>
        </w:rPr>
        <w:t>w paliwach stosowanych we wszystkich rodzajach transportu</w:t>
      </w:r>
      <w:r w:rsidRPr="00A87EBB">
        <w:rPr>
          <w:i/>
          <w:color w:val="000000"/>
          <w:szCs w:val="24"/>
        </w:rPr>
        <w:t xml:space="preserve"> </w:t>
      </w:r>
      <w:r w:rsidRPr="00217639">
        <w:rPr>
          <w:i/>
          <w:color w:val="000000"/>
          <w:szCs w:val="24"/>
          <w:u w:val="single"/>
        </w:rPr>
        <w:t>w ogólnej ilości paliw ciekłych i biopaliw ciekłych</w:t>
      </w:r>
      <w:r w:rsidRPr="00A87EBB">
        <w:rPr>
          <w:i/>
          <w:color w:val="000000"/>
          <w:szCs w:val="24"/>
        </w:rPr>
        <w:t xml:space="preserve"> zużywanych w ciągu roku kalendarzowego w transporcie drogowym i kolejowym, liczony według wartości opałowej</w:t>
      </w:r>
      <w:r w:rsidRPr="00A87EBB">
        <w:rPr>
          <w:color w:val="000000"/>
          <w:szCs w:val="24"/>
        </w:rPr>
        <w:t xml:space="preserve">. </w:t>
      </w:r>
    </w:p>
    <w:p w14:paraId="1613CED4" w14:textId="16FC203F" w:rsidR="00FF5857" w:rsidRDefault="00FF5857" w:rsidP="00FF5857">
      <w:pPr>
        <w:spacing w:before="120"/>
        <w:ind w:firstLine="708"/>
        <w:jc w:val="both"/>
        <w:rPr>
          <w:color w:val="000000"/>
          <w:szCs w:val="24"/>
        </w:rPr>
      </w:pPr>
      <w:r>
        <w:rPr>
          <w:color w:val="000000"/>
          <w:szCs w:val="24"/>
        </w:rPr>
        <w:t>Na uwagę zasługuje fakt, że w kwestii podstawy obowiązku (tj. mianownika), o którym mowa w art. 23 ust. 1 ustawy, ww. definicja nie wprowadza zmian – pozostawiając jako podstawę jedynie paliwa ciekłe i biopaliwa ciekłe. Jest to o tyle istotne, że decyduje o tym, że nie zmienia się zakres podmiotowy NCW, a tylko jego wymiar przedmiotowy. Efektem wprowadzonej powyżej zmiany nie będzie zatem rozszerzenie katalogu podmiotów zobowiązanych do realizacji NCW (nie zmienia się zakres reglamentowanej działalności gospodarczej)</w:t>
      </w:r>
      <w:r w:rsidR="000308F2">
        <w:rPr>
          <w:color w:val="000000"/>
          <w:szCs w:val="24"/>
        </w:rPr>
        <w:t>,</w:t>
      </w:r>
      <w:r>
        <w:rPr>
          <w:color w:val="000000"/>
          <w:szCs w:val="24"/>
        </w:rPr>
        <w:t xml:space="preserve"> a jedynie ułatwienie możliwości realizacji tego obowiązku.</w:t>
      </w:r>
    </w:p>
    <w:p w14:paraId="10F24E45" w14:textId="77777777" w:rsidR="00FF5857" w:rsidRPr="00A87EBB" w:rsidRDefault="00FF5857" w:rsidP="00FF5857">
      <w:pPr>
        <w:spacing w:before="120"/>
        <w:ind w:firstLine="708"/>
        <w:jc w:val="both"/>
        <w:rPr>
          <w:color w:val="000000"/>
          <w:szCs w:val="24"/>
        </w:rPr>
      </w:pPr>
      <w:r w:rsidRPr="00A87EBB">
        <w:rPr>
          <w:color w:val="000000"/>
          <w:szCs w:val="24"/>
        </w:rPr>
        <w:t>W dalszej kolejności wprowadzenie zmiany w definicji NCW powoduje konieczność dostosowania szeregu dotychczasowych przepisów:</w:t>
      </w:r>
    </w:p>
    <w:p w14:paraId="3AB169D5"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t>art. 1 ust. 1a ustawy – zakres stosowania przepisów ustawy,</w:t>
      </w:r>
    </w:p>
    <w:p w14:paraId="4335F622"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t>art. 2 ust. 1 pkt 3 ustawy – definicja biokomponentów,</w:t>
      </w:r>
    </w:p>
    <w:p w14:paraId="08304375" w14:textId="77777777" w:rsidR="00FF5857" w:rsidRPr="00A87EBB" w:rsidRDefault="00FF5857" w:rsidP="007D0B39">
      <w:pPr>
        <w:pStyle w:val="Akapitzlist"/>
        <w:numPr>
          <w:ilvl w:val="0"/>
          <w:numId w:val="1"/>
        </w:numPr>
        <w:spacing w:before="120"/>
        <w:jc w:val="both"/>
        <w:rPr>
          <w:rFonts w:ascii="Times New Roman" w:hAnsi="Times New Roman"/>
          <w:color w:val="000000"/>
          <w:szCs w:val="24"/>
        </w:rPr>
      </w:pPr>
      <w:r w:rsidRPr="00A87EBB">
        <w:rPr>
          <w:rFonts w:ascii="Times New Roman" w:hAnsi="Times New Roman"/>
          <w:color w:val="000000"/>
          <w:szCs w:val="24"/>
        </w:rPr>
        <w:t>art. 2 ust. 1 pkt 10a ustawy – definicja paliw (w celu doprecyzowania przepisu z definicji paliw wyłączono lekki olej opałowy oraz ciężki olej opałowy; powyższe ma na celu wyeliminowanie z definicji paliw, które nie są wykorzystywane w transporcie),</w:t>
      </w:r>
    </w:p>
    <w:p w14:paraId="3E988F75"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lastRenderedPageBreak/>
        <w:t>art. 4 ust. 1 i art. 5 ust. 2 ustawy – przepisy dotyczące działalności gospodarczej prowadzonej przez wytwórcę,</w:t>
      </w:r>
    </w:p>
    <w:p w14:paraId="7DC45EEE"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t>art. 23 ust. 1 ustawy – odniesienie się w liczniku do paliw stosowanych we wszystkich rodzajach transportu, a nie jak dotychczas wyłącznie do paliw ciekłych i biopaliw ciekłych,</w:t>
      </w:r>
    </w:p>
    <w:p w14:paraId="717AD216"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t>art. 23 ust. 6 ustawy – we wzorze na obliczenie wysokości opłaty zastępczej konieczne jest dostosowanie brzmienia litery P,</w:t>
      </w:r>
    </w:p>
    <w:p w14:paraId="0FDA7920"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t>art. 26a ust. 5– zakres kontroli Prezesa URE,</w:t>
      </w:r>
    </w:p>
    <w:p w14:paraId="4B658017" w14:textId="77777777" w:rsidR="00FF5857" w:rsidRPr="00A87EBB" w:rsidRDefault="00FF5857" w:rsidP="007D0B39">
      <w:pPr>
        <w:pStyle w:val="Akapitzlist"/>
        <w:numPr>
          <w:ilvl w:val="0"/>
          <w:numId w:val="1"/>
        </w:numPr>
        <w:spacing w:before="120"/>
        <w:ind w:left="357" w:hanging="357"/>
        <w:jc w:val="both"/>
        <w:rPr>
          <w:rFonts w:ascii="Times New Roman" w:hAnsi="Times New Roman"/>
          <w:color w:val="000000"/>
          <w:szCs w:val="24"/>
        </w:rPr>
      </w:pPr>
      <w:r w:rsidRPr="00A87EBB">
        <w:rPr>
          <w:rFonts w:ascii="Times New Roman" w:hAnsi="Times New Roman"/>
          <w:color w:val="000000"/>
          <w:szCs w:val="24"/>
        </w:rPr>
        <w:t>art. 28g ustawy – przepis dotyczący świadectwa,</w:t>
      </w:r>
    </w:p>
    <w:p w14:paraId="0FEFC66E" w14:textId="77777777" w:rsidR="00FF5857" w:rsidRPr="00A87EBB" w:rsidRDefault="00FF5857" w:rsidP="007D0B39">
      <w:pPr>
        <w:pStyle w:val="Akapitzlist"/>
        <w:numPr>
          <w:ilvl w:val="0"/>
          <w:numId w:val="1"/>
        </w:numPr>
        <w:spacing w:after="160"/>
        <w:ind w:left="357" w:hanging="357"/>
        <w:rPr>
          <w:rFonts w:ascii="Times New Roman" w:hAnsi="Times New Roman"/>
          <w:color w:val="000000"/>
          <w:szCs w:val="24"/>
        </w:rPr>
      </w:pPr>
      <w:r w:rsidRPr="00A87EBB">
        <w:rPr>
          <w:rFonts w:ascii="Times New Roman" w:hAnsi="Times New Roman"/>
          <w:color w:val="000000"/>
          <w:szCs w:val="24"/>
        </w:rPr>
        <w:t xml:space="preserve">art. 30 ust. 2b pkt 1 ustawy – przepis dotyczący sprawozdawczości do KOWR podmiotów realizujących </w:t>
      </w:r>
      <w:r>
        <w:rPr>
          <w:rFonts w:ascii="Times New Roman" w:hAnsi="Times New Roman"/>
          <w:color w:val="000000"/>
          <w:szCs w:val="24"/>
        </w:rPr>
        <w:t>NCW</w:t>
      </w:r>
      <w:r w:rsidRPr="00A87EBB">
        <w:rPr>
          <w:rFonts w:ascii="Times New Roman" w:hAnsi="Times New Roman"/>
          <w:color w:val="000000"/>
          <w:szCs w:val="24"/>
        </w:rPr>
        <w:t>,</w:t>
      </w:r>
    </w:p>
    <w:p w14:paraId="7C9C15CA" w14:textId="77777777" w:rsidR="00FF5857" w:rsidRPr="00A87EBB" w:rsidRDefault="00FF5857" w:rsidP="007D0B39">
      <w:pPr>
        <w:pStyle w:val="Akapitzlist"/>
        <w:numPr>
          <w:ilvl w:val="0"/>
          <w:numId w:val="1"/>
        </w:numPr>
        <w:spacing w:before="120"/>
        <w:jc w:val="both"/>
        <w:rPr>
          <w:rFonts w:ascii="Times New Roman" w:hAnsi="Times New Roman"/>
          <w:color w:val="000000"/>
          <w:szCs w:val="24"/>
        </w:rPr>
      </w:pPr>
      <w:r w:rsidRPr="00A87EBB">
        <w:rPr>
          <w:rFonts w:ascii="Times New Roman" w:hAnsi="Times New Roman"/>
          <w:color w:val="000000"/>
          <w:szCs w:val="24"/>
        </w:rPr>
        <w:t xml:space="preserve">art. 30b ust. 1 pkt 1, 2, 4 i 5 ustawy – przepisy dotyczące sprawozdawczości do URE podmiotów realizujących </w:t>
      </w:r>
      <w:r>
        <w:rPr>
          <w:rFonts w:ascii="Times New Roman" w:hAnsi="Times New Roman"/>
          <w:color w:val="000000"/>
          <w:szCs w:val="24"/>
        </w:rPr>
        <w:t>NCW,</w:t>
      </w:r>
    </w:p>
    <w:p w14:paraId="0AFCF08E" w14:textId="77777777" w:rsidR="00FF5857" w:rsidRPr="00A34254" w:rsidRDefault="00FF5857" w:rsidP="007D0B39">
      <w:pPr>
        <w:pStyle w:val="Akapitzlist"/>
        <w:numPr>
          <w:ilvl w:val="0"/>
          <w:numId w:val="1"/>
        </w:numPr>
        <w:spacing w:before="120"/>
        <w:ind w:left="357" w:hanging="357"/>
        <w:jc w:val="both"/>
        <w:rPr>
          <w:rFonts w:ascii="Times New Roman" w:hAnsi="Times New Roman"/>
          <w:color w:val="000000"/>
          <w:szCs w:val="24"/>
        </w:rPr>
      </w:pPr>
      <w:r w:rsidRPr="00A34254">
        <w:rPr>
          <w:rFonts w:ascii="Times New Roman" w:hAnsi="Times New Roman"/>
          <w:color w:val="000000"/>
          <w:szCs w:val="24"/>
        </w:rPr>
        <w:t xml:space="preserve">art. 33 ust. 1 pkt 4, 6a, 8e, ust. 4, 5, 5d ustawy – przepisy karne. </w:t>
      </w:r>
    </w:p>
    <w:p w14:paraId="24A528F7" w14:textId="77777777" w:rsidR="00FF5857" w:rsidRDefault="00FF5857" w:rsidP="00FF5857">
      <w:pPr>
        <w:pStyle w:val="Akapitzlist"/>
        <w:spacing w:before="120"/>
        <w:ind w:left="0" w:firstLine="357"/>
        <w:jc w:val="both"/>
        <w:rPr>
          <w:rFonts w:ascii="Times New Roman" w:hAnsi="Times New Roman"/>
          <w:color w:val="000000"/>
          <w:szCs w:val="24"/>
        </w:rPr>
      </w:pPr>
      <w:r w:rsidRPr="00A34254">
        <w:rPr>
          <w:rFonts w:ascii="Times New Roman" w:hAnsi="Times New Roman"/>
          <w:color w:val="000000"/>
          <w:szCs w:val="24"/>
        </w:rPr>
        <w:t xml:space="preserve">Jeżeli chodzi o zmiany dotyczące działalności gospodarczej prowadzonej przez wytwórców projekt wprowadza </w:t>
      </w:r>
      <w:r>
        <w:rPr>
          <w:rFonts w:ascii="Times New Roman" w:hAnsi="Times New Roman"/>
          <w:color w:val="000000"/>
          <w:szCs w:val="24"/>
        </w:rPr>
        <w:t>prze</w:t>
      </w:r>
      <w:r w:rsidRPr="00A34254">
        <w:rPr>
          <w:rFonts w:ascii="Times New Roman" w:hAnsi="Times New Roman"/>
          <w:color w:val="000000"/>
          <w:szCs w:val="24"/>
        </w:rPr>
        <w:t>pisy wskazujące na rozszerzenie</w:t>
      </w:r>
      <w:r>
        <w:rPr>
          <w:rFonts w:ascii="Times New Roman" w:hAnsi="Times New Roman"/>
          <w:color w:val="000000"/>
          <w:szCs w:val="24"/>
        </w:rPr>
        <w:t xml:space="preserve"> tej działalności regulowanej o sytuację, w której przedsiębiorca zajmujący się produkowaniem np. estrów lub bioetanolu dodawanego tylko i wyłącznie do np. paliw żeglugowych, który dotychczas nie był ujęty jako wytwórca, po wejściu w życie projektu ustawy stanie się wytwórcą w rozumieniu ustawy </w:t>
      </w:r>
      <w:r w:rsidRPr="0022738B">
        <w:rPr>
          <w:rFonts w:ascii="Times New Roman" w:hAnsi="Times New Roman"/>
          <w:i/>
          <w:color w:val="000000"/>
          <w:szCs w:val="24"/>
        </w:rPr>
        <w:t>o biokomponentach i biopaliwach ciekłych</w:t>
      </w:r>
      <w:r>
        <w:rPr>
          <w:rFonts w:ascii="Times New Roman" w:hAnsi="Times New Roman"/>
          <w:color w:val="000000"/>
          <w:szCs w:val="24"/>
        </w:rPr>
        <w:t>.</w:t>
      </w:r>
    </w:p>
    <w:p w14:paraId="6F215A1A" w14:textId="77777777" w:rsidR="00FF5857" w:rsidRPr="00A87EBB" w:rsidRDefault="00FF5857" w:rsidP="00FF5857">
      <w:pPr>
        <w:pStyle w:val="Akapitzlist"/>
        <w:spacing w:before="120"/>
        <w:ind w:left="357"/>
        <w:jc w:val="both"/>
        <w:rPr>
          <w:rFonts w:ascii="Times New Roman" w:hAnsi="Times New Roman"/>
          <w:color w:val="000000"/>
          <w:szCs w:val="24"/>
        </w:rPr>
      </w:pPr>
    </w:p>
    <w:p w14:paraId="6D8A977F" w14:textId="7588DF16" w:rsidR="00FF5857" w:rsidRPr="00A87EBB" w:rsidRDefault="00FF5857" w:rsidP="00FF5857">
      <w:pPr>
        <w:spacing w:before="120"/>
        <w:jc w:val="both"/>
        <w:rPr>
          <w:color w:val="000000"/>
          <w:szCs w:val="24"/>
        </w:rPr>
      </w:pPr>
      <w:r w:rsidRPr="00A87EBB">
        <w:rPr>
          <w:b/>
          <w:color w:val="000000"/>
          <w:szCs w:val="24"/>
        </w:rPr>
        <w:t>3. Zmiany w zakresie obowiązku dodawania biokomponentów do paliw ciekłych</w:t>
      </w:r>
    </w:p>
    <w:p w14:paraId="78E2CD4F" w14:textId="77777777" w:rsidR="00FF5857" w:rsidRPr="00A87EBB" w:rsidRDefault="00FF5857" w:rsidP="00FF5857">
      <w:pPr>
        <w:spacing w:before="120"/>
        <w:ind w:firstLine="708"/>
        <w:jc w:val="both"/>
        <w:rPr>
          <w:szCs w:val="24"/>
        </w:rPr>
      </w:pPr>
      <w:r w:rsidRPr="00A87EBB">
        <w:rPr>
          <w:szCs w:val="24"/>
        </w:rPr>
        <w:t xml:space="preserve">Z danych statystycznych wynika, iż w </w:t>
      </w:r>
      <w:r>
        <w:rPr>
          <w:szCs w:val="24"/>
        </w:rPr>
        <w:t xml:space="preserve">2017 r. w </w:t>
      </w:r>
      <w:r w:rsidRPr="00A87EBB">
        <w:rPr>
          <w:szCs w:val="24"/>
        </w:rPr>
        <w:t>U</w:t>
      </w:r>
      <w:r>
        <w:rPr>
          <w:szCs w:val="24"/>
        </w:rPr>
        <w:t xml:space="preserve">nii </w:t>
      </w:r>
      <w:r w:rsidRPr="00A87EBB">
        <w:rPr>
          <w:szCs w:val="24"/>
        </w:rPr>
        <w:t>E</w:t>
      </w:r>
      <w:r>
        <w:rPr>
          <w:szCs w:val="24"/>
        </w:rPr>
        <w:t>uropejskiej</w:t>
      </w:r>
      <w:r w:rsidRPr="00A87EBB">
        <w:rPr>
          <w:szCs w:val="24"/>
        </w:rPr>
        <w:t xml:space="preserve"> ok. 8</w:t>
      </w:r>
      <w:r>
        <w:rPr>
          <w:szCs w:val="24"/>
        </w:rPr>
        <w:t>2</w:t>
      </w:r>
      <w:r w:rsidRPr="00A87EBB">
        <w:rPr>
          <w:szCs w:val="24"/>
        </w:rPr>
        <w:t xml:space="preserve">% wszystkich biokomponentów wykorzystywanych do realizacji celów OZE w transporcie stanowią estry metylowe oraz bioetanol dodawany do paliw ciekłych. Jest to wciąż </w:t>
      </w:r>
      <w:r>
        <w:rPr>
          <w:szCs w:val="24"/>
        </w:rPr>
        <w:t>najpowszechniejsza i </w:t>
      </w:r>
      <w:r w:rsidRPr="00A87EBB">
        <w:rPr>
          <w:szCs w:val="24"/>
        </w:rPr>
        <w:t xml:space="preserve">najbardziej efektywna ekonomicznie metoda </w:t>
      </w:r>
      <w:r>
        <w:rPr>
          <w:szCs w:val="24"/>
        </w:rPr>
        <w:t>stosowania</w:t>
      </w:r>
      <w:r w:rsidRPr="00A87EBB">
        <w:rPr>
          <w:szCs w:val="24"/>
        </w:rPr>
        <w:t xml:space="preserve"> odnawialnych źródeł energii w</w:t>
      </w:r>
      <w:r>
        <w:rPr>
          <w:szCs w:val="24"/>
        </w:rPr>
        <w:t> </w:t>
      </w:r>
      <w:r w:rsidRPr="00A87EBB">
        <w:rPr>
          <w:szCs w:val="24"/>
        </w:rPr>
        <w:t xml:space="preserve">transporcie. Natomiast obowiązek dodawania określonych biokomponentów do paliw ciekłych, tzw. </w:t>
      </w:r>
      <w:r w:rsidRPr="00A87EBB">
        <w:rPr>
          <w:i/>
          <w:szCs w:val="24"/>
        </w:rPr>
        <w:t xml:space="preserve">obligatoryjny </w:t>
      </w:r>
      <w:proofErr w:type="spellStart"/>
      <w:r w:rsidRPr="00A87EBB">
        <w:rPr>
          <w:i/>
          <w:szCs w:val="24"/>
        </w:rPr>
        <w:t>blending</w:t>
      </w:r>
      <w:proofErr w:type="spellEnd"/>
      <w:r w:rsidRPr="00A87EBB">
        <w:rPr>
          <w:szCs w:val="24"/>
        </w:rPr>
        <w:t>, jest jednym z powszechniejszych instrumentów służących realizacji tej polityki.</w:t>
      </w:r>
    </w:p>
    <w:p w14:paraId="2FEB3860" w14:textId="77777777" w:rsidR="00FF5857" w:rsidRPr="00A87EBB" w:rsidRDefault="00FF5857" w:rsidP="00FF5857">
      <w:pPr>
        <w:spacing w:before="120"/>
        <w:ind w:firstLine="708"/>
        <w:jc w:val="both"/>
        <w:rPr>
          <w:szCs w:val="24"/>
        </w:rPr>
      </w:pPr>
      <w:r w:rsidRPr="00A87EBB">
        <w:rPr>
          <w:color w:val="000000"/>
          <w:szCs w:val="24"/>
        </w:rPr>
        <w:t xml:space="preserve">W Polsce obligatoryjny </w:t>
      </w:r>
      <w:proofErr w:type="spellStart"/>
      <w:r w:rsidRPr="00A87EBB">
        <w:rPr>
          <w:color w:val="000000"/>
          <w:szCs w:val="24"/>
        </w:rPr>
        <w:t>blending</w:t>
      </w:r>
      <w:proofErr w:type="spellEnd"/>
      <w:r w:rsidRPr="00A87EBB">
        <w:rPr>
          <w:color w:val="000000"/>
          <w:szCs w:val="24"/>
        </w:rPr>
        <w:t xml:space="preserve"> został wprowadzony w przepisach </w:t>
      </w:r>
      <w:r w:rsidRPr="00A87EBB">
        <w:rPr>
          <w:szCs w:val="24"/>
        </w:rPr>
        <w:t xml:space="preserve">ustawy z dnia 24 listopada 2017 r. </w:t>
      </w:r>
      <w:r w:rsidRPr="00A87EBB">
        <w:rPr>
          <w:i/>
          <w:szCs w:val="24"/>
        </w:rPr>
        <w:t>o zmianie ustawy o biokomponentach i biopaliwach ciekłych oraz niektórych innych ustaw</w:t>
      </w:r>
      <w:r w:rsidRPr="00A87EBB">
        <w:rPr>
          <w:szCs w:val="24"/>
        </w:rPr>
        <w:t xml:space="preserve"> (Dz.U. 2017 poz. 2290) i zaczął obowiązywać od dnia 1 stycznia 2018 r. – wprowadzono wówczas kwartalne okresy jego rozliczania. </w:t>
      </w:r>
      <w:r w:rsidRPr="00A87EBB">
        <w:rPr>
          <w:color w:val="000000"/>
          <w:szCs w:val="24"/>
        </w:rPr>
        <w:t xml:space="preserve">Projekt ustawy zawiera zmiany </w:t>
      </w:r>
      <w:r w:rsidRPr="00A87EBB">
        <w:rPr>
          <w:color w:val="000000"/>
          <w:szCs w:val="24"/>
        </w:rPr>
        <w:lastRenderedPageBreak/>
        <w:t>mające na celu modyfikację dotychczasowego mechanizmu obowiązkowego dodawania biokomponentów do paliw ciekłych m.in. poprzez zmianę okresu rozliczania tego obowiązku z systemu kwartalnego na system roczny przy zachowaniu obowiązku kwartalnej sprawozdawczości</w:t>
      </w:r>
      <w:r>
        <w:rPr>
          <w:color w:val="000000"/>
          <w:szCs w:val="24"/>
        </w:rPr>
        <w:t>, stanowiącej m.in. element śródokresowej oceny postępów w realizacji tego obowiązku</w:t>
      </w:r>
    </w:p>
    <w:p w14:paraId="6DDE8B45" w14:textId="77777777" w:rsidR="00FF5857" w:rsidRPr="00A87EBB" w:rsidRDefault="00FF5857" w:rsidP="00FF5857">
      <w:pPr>
        <w:spacing w:before="120"/>
        <w:ind w:firstLine="708"/>
        <w:jc w:val="both"/>
        <w:rPr>
          <w:color w:val="000000"/>
          <w:szCs w:val="24"/>
        </w:rPr>
      </w:pPr>
      <w:r w:rsidRPr="00A87EBB">
        <w:rPr>
          <w:color w:val="000000"/>
          <w:szCs w:val="24"/>
        </w:rPr>
        <w:t>W związku z powyższym wprowadzono zmiany w art. 23b ust. 1 ustawy</w:t>
      </w:r>
      <w:r w:rsidRPr="003904A7">
        <w:rPr>
          <w:color w:val="000000"/>
          <w:szCs w:val="24"/>
        </w:rPr>
        <w:t xml:space="preserve"> </w:t>
      </w:r>
      <w:r w:rsidRPr="00A87EBB">
        <w:rPr>
          <w:rStyle w:val="Kkursywa"/>
          <w:color w:val="000000"/>
          <w:szCs w:val="24"/>
        </w:rPr>
        <w:t>o</w:t>
      </w:r>
      <w:r>
        <w:rPr>
          <w:rStyle w:val="Kkursywa"/>
          <w:color w:val="000000"/>
          <w:szCs w:val="24"/>
        </w:rPr>
        <w:t> </w:t>
      </w:r>
      <w:r w:rsidRPr="00A87EBB">
        <w:rPr>
          <w:rStyle w:val="Kkursywa"/>
          <w:color w:val="000000"/>
          <w:szCs w:val="24"/>
        </w:rPr>
        <w:t>biokomponentach i biopaliwach ciekłych</w:t>
      </w:r>
      <w:r w:rsidRPr="00A87EBB">
        <w:rPr>
          <w:color w:val="000000"/>
          <w:szCs w:val="24"/>
        </w:rPr>
        <w:t xml:space="preserve">, </w:t>
      </w:r>
      <w:r>
        <w:rPr>
          <w:color w:val="000000"/>
          <w:szCs w:val="24"/>
        </w:rPr>
        <w:t>w którym</w:t>
      </w:r>
      <w:r w:rsidRPr="00A87EBB">
        <w:rPr>
          <w:color w:val="000000"/>
          <w:szCs w:val="24"/>
        </w:rPr>
        <w:t xml:space="preserve"> wskazano, że obowiązek zawarty w</w:t>
      </w:r>
      <w:r>
        <w:rPr>
          <w:color w:val="000000"/>
          <w:szCs w:val="24"/>
        </w:rPr>
        <w:t> </w:t>
      </w:r>
      <w:r w:rsidRPr="00A87EBB">
        <w:rPr>
          <w:color w:val="000000"/>
          <w:szCs w:val="24"/>
        </w:rPr>
        <w:t xml:space="preserve">tym przepisie dotyczy roku kalendarzowego. Dokonano także zmiany w art. 23b ust. 3 </w:t>
      </w:r>
      <w:r>
        <w:rPr>
          <w:color w:val="000000"/>
          <w:szCs w:val="24"/>
        </w:rPr>
        <w:t xml:space="preserve">ww. </w:t>
      </w:r>
      <w:r w:rsidRPr="00A87EBB">
        <w:rPr>
          <w:color w:val="000000"/>
          <w:szCs w:val="24"/>
        </w:rPr>
        <w:t>ustawy, w którym określono minimalny udział biokomponentów, który powinien zostać zrealizowany w paliwach ciekłych w celu realizacji obowiązku, o którym mowa w art. 23b ust. 1 ustawy – w</w:t>
      </w:r>
      <w:r>
        <w:rPr>
          <w:color w:val="000000"/>
          <w:szCs w:val="24"/>
        </w:rPr>
        <w:t> </w:t>
      </w:r>
      <w:r w:rsidRPr="00A87EBB">
        <w:rPr>
          <w:color w:val="000000"/>
          <w:szCs w:val="24"/>
        </w:rPr>
        <w:t>ujęciu rocznym. Poziom ten został określony, podobnie jak dotychczas, odrębnie dla benzyn silnikowych i dla oleju napędowego.</w:t>
      </w:r>
    </w:p>
    <w:p w14:paraId="0D91D273" w14:textId="77777777" w:rsidR="00FF5857" w:rsidRPr="00A87EBB" w:rsidRDefault="00FF5857" w:rsidP="00FF5857">
      <w:pPr>
        <w:spacing w:before="120"/>
        <w:ind w:firstLine="708"/>
        <w:jc w:val="both"/>
        <w:rPr>
          <w:color w:val="000000"/>
          <w:szCs w:val="24"/>
        </w:rPr>
      </w:pPr>
      <w:r w:rsidRPr="00A87EBB">
        <w:rPr>
          <w:color w:val="000000"/>
          <w:szCs w:val="24"/>
        </w:rPr>
        <w:t>Ponadto, dokonano zmiany w art. 23 ust. 4 ustawy, w którym zawarto delegację dla ministra właściwego do spraw energii umożliwiającą określenie, w drodze rozporządzenia, niższego niż określony w art. 23b ust. 3</w:t>
      </w:r>
      <w:r>
        <w:rPr>
          <w:color w:val="000000"/>
          <w:szCs w:val="24"/>
        </w:rPr>
        <w:t xml:space="preserve"> ww. ustawy</w:t>
      </w:r>
      <w:r w:rsidRPr="00A87EBB">
        <w:rPr>
          <w:color w:val="000000"/>
          <w:szCs w:val="24"/>
        </w:rPr>
        <w:t>, minimalnego udziału biokomponentów w</w:t>
      </w:r>
      <w:r>
        <w:rPr>
          <w:color w:val="000000"/>
          <w:szCs w:val="24"/>
        </w:rPr>
        <w:t> </w:t>
      </w:r>
      <w:r w:rsidRPr="00A87EBB">
        <w:rPr>
          <w:color w:val="000000"/>
          <w:szCs w:val="24"/>
        </w:rPr>
        <w:t>paliwach ciekłych, biorąc pod uwagę techniczne możliwości branży paliwowej w zakresie dodawania biokomponentów do paliw ciekłych.</w:t>
      </w:r>
    </w:p>
    <w:p w14:paraId="2E434D56" w14:textId="77777777" w:rsidR="00FF5857" w:rsidRPr="00A87EBB" w:rsidRDefault="00FF5857" w:rsidP="00FF5857">
      <w:pPr>
        <w:spacing w:before="120"/>
        <w:ind w:firstLine="708"/>
        <w:jc w:val="both"/>
        <w:rPr>
          <w:color w:val="000000"/>
          <w:szCs w:val="24"/>
        </w:rPr>
      </w:pPr>
      <w:r w:rsidRPr="00A87EBB">
        <w:rPr>
          <w:color w:val="000000"/>
          <w:szCs w:val="24"/>
        </w:rPr>
        <w:t xml:space="preserve">Jednocześnie w przepisach przejściowych projektu ustawy określono wysokość obowiązkowego </w:t>
      </w:r>
      <w:proofErr w:type="spellStart"/>
      <w:r w:rsidRPr="00A87EBB">
        <w:rPr>
          <w:color w:val="000000"/>
          <w:szCs w:val="24"/>
        </w:rPr>
        <w:t>blendingu</w:t>
      </w:r>
      <w:proofErr w:type="spellEnd"/>
      <w:r w:rsidRPr="00A87EBB">
        <w:rPr>
          <w:color w:val="000000"/>
          <w:szCs w:val="24"/>
        </w:rPr>
        <w:t xml:space="preserve"> na lata 2020 – 2022 na poziomie niższym niż w przepisach art. 23b ust. 3 ustawy</w:t>
      </w:r>
      <w:r w:rsidRPr="003904A7">
        <w:rPr>
          <w:color w:val="000000"/>
          <w:szCs w:val="24"/>
        </w:rPr>
        <w:t xml:space="preserve"> </w:t>
      </w:r>
      <w:r w:rsidRPr="00A87EBB">
        <w:rPr>
          <w:rStyle w:val="Kkursywa"/>
          <w:color w:val="000000"/>
          <w:szCs w:val="24"/>
        </w:rPr>
        <w:t>o biokomponentach i biopaliwach ciekłych</w:t>
      </w:r>
      <w:r w:rsidRPr="00A87EBB">
        <w:rPr>
          <w:color w:val="000000"/>
          <w:szCs w:val="24"/>
        </w:rPr>
        <w:t xml:space="preserve">, ponieważ analizy przeprowadzone przez Ministerstwo Energii wykazały, że w ww. okresie nie będzie możliwe osiągnięcie poziomu </w:t>
      </w:r>
      <w:proofErr w:type="spellStart"/>
      <w:r w:rsidRPr="00A87EBB">
        <w:rPr>
          <w:color w:val="000000"/>
          <w:szCs w:val="24"/>
        </w:rPr>
        <w:t>blendingu</w:t>
      </w:r>
      <w:proofErr w:type="spellEnd"/>
      <w:r w:rsidRPr="00A87EBB">
        <w:rPr>
          <w:color w:val="000000"/>
          <w:szCs w:val="24"/>
        </w:rPr>
        <w:t xml:space="preserve"> na docelowym poziomie. </w:t>
      </w:r>
    </w:p>
    <w:p w14:paraId="66FAA1A0" w14:textId="4B2CD44B" w:rsidR="00FF5857" w:rsidRDefault="00FF5857" w:rsidP="00FF5857">
      <w:pPr>
        <w:spacing w:before="120"/>
        <w:ind w:firstLine="708"/>
        <w:jc w:val="both"/>
        <w:rPr>
          <w:color w:val="000000"/>
          <w:szCs w:val="24"/>
        </w:rPr>
      </w:pPr>
      <w:r>
        <w:rPr>
          <w:color w:val="000000"/>
          <w:szCs w:val="24"/>
        </w:rPr>
        <w:t xml:space="preserve">Wyznaczając poziomy obligatoryjnego </w:t>
      </w:r>
      <w:proofErr w:type="spellStart"/>
      <w:r>
        <w:rPr>
          <w:color w:val="000000"/>
          <w:szCs w:val="24"/>
        </w:rPr>
        <w:t>blendingu</w:t>
      </w:r>
      <w:proofErr w:type="spellEnd"/>
      <w:r>
        <w:rPr>
          <w:color w:val="000000"/>
          <w:szCs w:val="24"/>
        </w:rPr>
        <w:t xml:space="preserve"> zaproponowane w projekcie ustawy brano pod uwagę, iż m</w:t>
      </w:r>
      <w:r w:rsidRPr="00A87EBB">
        <w:rPr>
          <w:color w:val="000000"/>
          <w:szCs w:val="24"/>
        </w:rPr>
        <w:t>ożliwość dodawania biokomponentów do paliw ciekłych jest ograniczona nie tylko w</w:t>
      </w:r>
      <w:r>
        <w:rPr>
          <w:color w:val="000000"/>
          <w:szCs w:val="24"/>
        </w:rPr>
        <w:t> </w:t>
      </w:r>
      <w:r w:rsidRPr="00A87EBB">
        <w:rPr>
          <w:color w:val="000000"/>
          <w:szCs w:val="24"/>
        </w:rPr>
        <w:t xml:space="preserve">związku z treścią norm technicznych określających </w:t>
      </w:r>
      <w:r>
        <w:rPr>
          <w:color w:val="000000"/>
          <w:szCs w:val="24"/>
        </w:rPr>
        <w:t>limity</w:t>
      </w:r>
      <w:r w:rsidRPr="00A87EBB">
        <w:rPr>
          <w:color w:val="000000"/>
          <w:szCs w:val="24"/>
        </w:rPr>
        <w:t xml:space="preserve"> stosowania estrów w oleju napędowym (paliwo B7) i bioetanolu w benzynach silnikowych (paliwo E5 lub E10)</w:t>
      </w:r>
      <w:r w:rsidR="000308F2">
        <w:rPr>
          <w:color w:val="000000"/>
          <w:szCs w:val="24"/>
        </w:rPr>
        <w:t>,</w:t>
      </w:r>
      <w:r w:rsidRPr="00A87EBB">
        <w:rPr>
          <w:color w:val="000000"/>
          <w:szCs w:val="24"/>
        </w:rPr>
        <w:t xml:space="preserve"> </w:t>
      </w:r>
      <w:r>
        <w:rPr>
          <w:color w:val="000000"/>
          <w:szCs w:val="24"/>
        </w:rPr>
        <w:t>ale również</w:t>
      </w:r>
      <w:r w:rsidRPr="00A87EBB">
        <w:rPr>
          <w:color w:val="000000"/>
          <w:szCs w:val="24"/>
        </w:rPr>
        <w:t xml:space="preserve"> ograniczonym dostępem do </w:t>
      </w:r>
      <w:proofErr w:type="spellStart"/>
      <w:r w:rsidRPr="00A87EBB">
        <w:rPr>
          <w:color w:val="000000"/>
          <w:szCs w:val="24"/>
        </w:rPr>
        <w:t>biowęglowodorów</w:t>
      </w:r>
      <w:proofErr w:type="spellEnd"/>
      <w:r w:rsidRPr="00A87EBB">
        <w:rPr>
          <w:color w:val="000000"/>
          <w:szCs w:val="24"/>
        </w:rPr>
        <w:t xml:space="preserve"> ciekłych i ich wysokimi cenami. </w:t>
      </w:r>
    </w:p>
    <w:p w14:paraId="3817589C" w14:textId="77777777" w:rsidR="00FF5857" w:rsidRPr="00A87EBB" w:rsidRDefault="00FF5857" w:rsidP="00FF5857">
      <w:pPr>
        <w:spacing w:before="120"/>
        <w:ind w:firstLine="708"/>
        <w:jc w:val="both"/>
        <w:rPr>
          <w:szCs w:val="24"/>
        </w:rPr>
      </w:pPr>
      <w:r w:rsidRPr="00A87EBB">
        <w:rPr>
          <w:color w:val="000000"/>
          <w:szCs w:val="24"/>
        </w:rPr>
        <w:t>W</w:t>
      </w:r>
      <w:r>
        <w:rPr>
          <w:color w:val="000000"/>
          <w:szCs w:val="24"/>
        </w:rPr>
        <w:t> </w:t>
      </w:r>
      <w:r w:rsidRPr="00A87EBB">
        <w:rPr>
          <w:color w:val="000000"/>
          <w:szCs w:val="24"/>
        </w:rPr>
        <w:t xml:space="preserve">warunkach krajowych najistotniejsze bariery w zakresie dodawania biokomponentów do paliw ciekłych są przede wszystkim wynikiem ograniczeń logistycznych. </w:t>
      </w:r>
      <w:r w:rsidRPr="00A87EBB">
        <w:rPr>
          <w:szCs w:val="24"/>
        </w:rPr>
        <w:t xml:space="preserve">Z punktu widzenia możliwości realizacji obligatoryjnego </w:t>
      </w:r>
      <w:proofErr w:type="spellStart"/>
      <w:r w:rsidRPr="00A87EBB">
        <w:rPr>
          <w:szCs w:val="24"/>
        </w:rPr>
        <w:t>blendingu</w:t>
      </w:r>
      <w:proofErr w:type="spellEnd"/>
      <w:r w:rsidRPr="00A87EBB">
        <w:rPr>
          <w:szCs w:val="24"/>
        </w:rPr>
        <w:t xml:space="preserve"> w kraju istotna jest bowiem</w:t>
      </w:r>
      <w:r w:rsidRPr="00A87EBB">
        <w:rPr>
          <w:b/>
          <w:szCs w:val="24"/>
        </w:rPr>
        <w:t xml:space="preserve"> </w:t>
      </w:r>
      <w:r w:rsidRPr="00A87EBB">
        <w:rPr>
          <w:szCs w:val="24"/>
        </w:rPr>
        <w:t xml:space="preserve">zarówno wielkość, jak i przede wszystkim wyposażenie dostępnej w kraju infrastruktury </w:t>
      </w:r>
      <w:r w:rsidRPr="00A87EBB">
        <w:rPr>
          <w:szCs w:val="24"/>
        </w:rPr>
        <w:lastRenderedPageBreak/>
        <w:t>magazynowej paliw ciekłych. W tym celu szczególnie istotne jest zapewnienie nie tylko zbiorników magazynowych o wymaganej pojemności</w:t>
      </w:r>
      <w:r>
        <w:rPr>
          <w:szCs w:val="24"/>
        </w:rPr>
        <w:t>,</w:t>
      </w:r>
      <w:r w:rsidRPr="00A87EBB">
        <w:rPr>
          <w:szCs w:val="24"/>
        </w:rPr>
        <w:t xml:space="preserve"> dostępnej dla wszystkich uczestników rynku, ale również wyposażenia umożliwiającego stabilne dodawanie biokomponentów do paliw ciekłych lub przechowywanie paliw ciekłych z zawartością biokomponentów w bazach paliw.</w:t>
      </w:r>
    </w:p>
    <w:p w14:paraId="72AF1835" w14:textId="77777777" w:rsidR="00FF5857" w:rsidRPr="00A87EBB" w:rsidRDefault="00FF5857" w:rsidP="00FF5857">
      <w:pPr>
        <w:pStyle w:val="m7020199556215851520p1"/>
        <w:spacing w:before="120" w:beforeAutospacing="0" w:after="0" w:afterAutospacing="0" w:line="360" w:lineRule="auto"/>
        <w:ind w:firstLine="708"/>
        <w:jc w:val="both"/>
        <w:rPr>
          <w:rStyle w:val="m7020199556215851520s1"/>
        </w:rPr>
      </w:pPr>
      <w:r w:rsidRPr="00A87EBB">
        <w:t xml:space="preserve">Z przeprowadzonej analizy wynika, że wciąż pewna część z funkcjonujących w kraju baz paliw nie dysponuje możliwością dodawania estrów lub bioetanolu do paliw ciekłych, lub też posiadane zbiorniki na biokomponenty występują w zbyt małej pojemności, powodując wysoką rotację produktu na bazie. Zaistniała sytuacja jest w dużej mierze konsekwencją zmian jakie zaszły na rynku paliw ciekłych w związku z </w:t>
      </w:r>
      <w:r w:rsidRPr="00A87EBB">
        <w:rPr>
          <w:rStyle w:val="m7020199556215851520s1"/>
        </w:rPr>
        <w:t xml:space="preserve">wejściem w życie zapisów tzw. </w:t>
      </w:r>
      <w:r w:rsidRPr="00A87EBB">
        <w:rPr>
          <w:rStyle w:val="m7020199556215851520s1"/>
          <w:i/>
        </w:rPr>
        <w:t>pakietu paliwowego</w:t>
      </w:r>
      <w:r w:rsidRPr="00A87EBB">
        <w:rPr>
          <w:rStyle w:val="m7020199556215851520s1"/>
        </w:rPr>
        <w:t xml:space="preserve">, powodującego wzrost oficjalnej konsumpcji paliw będący efektem ograniczenia funkcjonowania tzw. </w:t>
      </w:r>
      <w:r w:rsidRPr="00A87EBB">
        <w:rPr>
          <w:rStyle w:val="m7020199556215851520s1"/>
          <w:i/>
        </w:rPr>
        <w:t>szarej strefy</w:t>
      </w:r>
      <w:r w:rsidRPr="00A87EBB">
        <w:rPr>
          <w:rStyle w:val="m7020199556215851520s1"/>
        </w:rPr>
        <w:t xml:space="preserve">. W praktyce, w krótkim okresie czasu - od września 2016 r. do grudnia 2017 r. oficjalna konsumpcja oleju napędowego w kraju wzrosła o ok. 40%, do poziomu ponad 16 mln ton (wobec 11,5 mln ton w roku 2015). </w:t>
      </w:r>
    </w:p>
    <w:p w14:paraId="4240AAA8" w14:textId="11D91BEA" w:rsidR="00FF5857" w:rsidRPr="00A87EBB" w:rsidRDefault="00FF5857" w:rsidP="00FF5857">
      <w:pPr>
        <w:spacing w:before="120"/>
        <w:ind w:firstLine="708"/>
        <w:jc w:val="both"/>
        <w:rPr>
          <w:szCs w:val="24"/>
        </w:rPr>
      </w:pPr>
      <w:r w:rsidRPr="00A87EBB">
        <w:rPr>
          <w:szCs w:val="24"/>
        </w:rPr>
        <w:t xml:space="preserve">Na rynku występują obecnie 24 podmioty dysponujące koncesją Prezesa URE obejmującą działalność gospodarczą w zakresie magazynowania i/lub przeładunku oleju napędowego lub paliw ciekłych. Kluczowe znaczenie w zakresie realizacji obligatoryjnego </w:t>
      </w:r>
      <w:proofErr w:type="spellStart"/>
      <w:r w:rsidRPr="00A87EBB">
        <w:rPr>
          <w:szCs w:val="24"/>
        </w:rPr>
        <w:t>blendingu</w:t>
      </w:r>
      <w:proofErr w:type="spellEnd"/>
      <w:r w:rsidRPr="00A87EBB">
        <w:rPr>
          <w:szCs w:val="24"/>
        </w:rPr>
        <w:t xml:space="preserve"> ma jednak infrastruktura występująca na bazach PERN S.A., który jest największym w kraju podmiotem oferującym usługi magazynowania paliw (udział w rynku wynosi ok. 60%). Rola firmy wynika nie tylko z jej wielkości oraz ilości baz magazynowych rozlokowanych na terenie całego kraju</w:t>
      </w:r>
      <w:r w:rsidR="000308F2">
        <w:rPr>
          <w:szCs w:val="24"/>
        </w:rPr>
        <w:t>,</w:t>
      </w:r>
      <w:r w:rsidRPr="00A87EBB">
        <w:rPr>
          <w:szCs w:val="24"/>
        </w:rPr>
        <w:t xml:space="preserve"> ale również faktu, iż jest to w zasadzie jedyny działający na </w:t>
      </w:r>
      <w:r>
        <w:rPr>
          <w:szCs w:val="24"/>
        </w:rPr>
        <w:t xml:space="preserve">tak </w:t>
      </w:r>
      <w:r w:rsidRPr="00A87EBB">
        <w:rPr>
          <w:szCs w:val="24"/>
        </w:rPr>
        <w:t xml:space="preserve">dużą skalę podmiot, który współpracuje </w:t>
      </w:r>
      <w:r>
        <w:rPr>
          <w:szCs w:val="24"/>
        </w:rPr>
        <w:t>z pozostałymi</w:t>
      </w:r>
      <w:r w:rsidRPr="00A87EBB">
        <w:rPr>
          <w:szCs w:val="24"/>
        </w:rPr>
        <w:t xml:space="preserve"> uczestnikami rynku (producentami paliw i</w:t>
      </w:r>
      <w:r>
        <w:rPr>
          <w:szCs w:val="24"/>
        </w:rPr>
        <w:t> </w:t>
      </w:r>
      <w:r w:rsidRPr="00A87EBB">
        <w:rPr>
          <w:szCs w:val="24"/>
        </w:rPr>
        <w:t>importerami). Pozostałe bazy magazynowe działają bądź to na potrzeby pojedynczych firm (PKN Orlen i Lotos), lub mają wyłącznie lokalny charakter (pojedyncze lokalizacje).</w:t>
      </w:r>
    </w:p>
    <w:p w14:paraId="45DFBD2E" w14:textId="77777777" w:rsidR="00FF5857" w:rsidRPr="00A87EBB" w:rsidRDefault="00FF5857" w:rsidP="00FF5857">
      <w:pPr>
        <w:spacing w:before="120"/>
        <w:ind w:firstLine="708"/>
        <w:jc w:val="both"/>
        <w:rPr>
          <w:szCs w:val="24"/>
        </w:rPr>
      </w:pPr>
      <w:r w:rsidRPr="00A87EBB">
        <w:rPr>
          <w:szCs w:val="24"/>
        </w:rPr>
        <w:t xml:space="preserve">Obecnie w kraju realizowane są działania inwestycyjne, zmierzające do rozbudowy infrastruktury magazynowej o instalacje dozowania biokomponentów do paliw ciekłych oraz dedykowane zbiorniki na biokomponenty, co zapewni poprawę jakości infrastruktury umożliwiającej dodawanie biokomponentów do paliw ciekłych. Ponadto podjęte przez przedsiębiorców działania inwestycyjne umożliwią w przyszłości równomierne rozłożenie obowiązków w zakresie dozowania biokomponentów na wszystkich uczestników rynku, tj. wszystkie podmioty realizujące NCW, na terenie całego kraju. Są to istotne działania, ponieważ wobec konieczności </w:t>
      </w:r>
      <w:proofErr w:type="spellStart"/>
      <w:r w:rsidRPr="00A87EBB">
        <w:rPr>
          <w:szCs w:val="24"/>
        </w:rPr>
        <w:t>współprzechowywania</w:t>
      </w:r>
      <w:proofErr w:type="spellEnd"/>
      <w:r w:rsidRPr="00A87EBB">
        <w:rPr>
          <w:szCs w:val="24"/>
        </w:rPr>
        <w:t xml:space="preserve"> paliw ciekłych w bazach paliw zidentyfikowane </w:t>
      </w:r>
      <w:r w:rsidRPr="00A87EBB">
        <w:rPr>
          <w:szCs w:val="24"/>
        </w:rPr>
        <w:lastRenderedPageBreak/>
        <w:t>aktualnie problemy logistyczne dotyczą w zasadzie wszystkich podmiotów realizujących NCW.</w:t>
      </w:r>
    </w:p>
    <w:p w14:paraId="336978DC" w14:textId="77777777" w:rsidR="00FF5857" w:rsidRPr="00A87EBB" w:rsidRDefault="00FF5857" w:rsidP="00FF5857">
      <w:pPr>
        <w:spacing w:before="120"/>
        <w:ind w:firstLine="708"/>
        <w:jc w:val="both"/>
        <w:rPr>
          <w:szCs w:val="24"/>
        </w:rPr>
      </w:pPr>
      <w:r w:rsidRPr="00A87EBB">
        <w:rPr>
          <w:szCs w:val="24"/>
        </w:rPr>
        <w:t xml:space="preserve">Prowadzone obecnie w kraju działania inwestycyjne wymagają jednak czasu i zgodnie z przekazywanymi do resortu energii informacjami zakończą się nie wcześniej </w:t>
      </w:r>
      <w:r>
        <w:rPr>
          <w:szCs w:val="24"/>
        </w:rPr>
        <w:t>niż</w:t>
      </w:r>
      <w:r w:rsidRPr="00A87EBB">
        <w:rPr>
          <w:szCs w:val="24"/>
        </w:rPr>
        <w:t xml:space="preserve"> przed końcem 2021 r. Stąd zasadność wprowadzenia przepisów przejściowych określających obowiązek </w:t>
      </w:r>
      <w:proofErr w:type="spellStart"/>
      <w:r w:rsidRPr="00A87EBB">
        <w:rPr>
          <w:szCs w:val="24"/>
        </w:rPr>
        <w:t>blendingu</w:t>
      </w:r>
      <w:proofErr w:type="spellEnd"/>
      <w:r w:rsidRPr="00A87EBB">
        <w:rPr>
          <w:szCs w:val="24"/>
        </w:rPr>
        <w:t xml:space="preserve"> na poziomie niższym, niż wskazany w art. 23b ust. 3 ustawy</w:t>
      </w:r>
      <w:r w:rsidRPr="003904A7">
        <w:rPr>
          <w:color w:val="000000"/>
          <w:szCs w:val="24"/>
        </w:rPr>
        <w:t xml:space="preserve"> </w:t>
      </w:r>
      <w:r w:rsidRPr="00A87EBB">
        <w:rPr>
          <w:rStyle w:val="Kkursywa"/>
          <w:color w:val="000000"/>
          <w:szCs w:val="24"/>
        </w:rPr>
        <w:t>o</w:t>
      </w:r>
      <w:r>
        <w:rPr>
          <w:rStyle w:val="Kkursywa"/>
          <w:color w:val="000000"/>
          <w:szCs w:val="24"/>
        </w:rPr>
        <w:t> </w:t>
      </w:r>
      <w:r w:rsidRPr="00A87EBB">
        <w:rPr>
          <w:rStyle w:val="Kkursywa"/>
          <w:color w:val="000000"/>
          <w:szCs w:val="24"/>
        </w:rPr>
        <w:t>biokomponentach i biopaliwach ciekłych</w:t>
      </w:r>
      <w:r w:rsidRPr="00A87EBB">
        <w:rPr>
          <w:szCs w:val="24"/>
        </w:rPr>
        <w:t xml:space="preserve">. W kolejnych latach planuje się sukcesywne podnoszenie poziomu obligatoryjnego </w:t>
      </w:r>
      <w:proofErr w:type="spellStart"/>
      <w:r w:rsidRPr="00A87EBB">
        <w:rPr>
          <w:szCs w:val="24"/>
        </w:rPr>
        <w:t>blendingu</w:t>
      </w:r>
      <w:proofErr w:type="spellEnd"/>
      <w:r w:rsidRPr="00A87EBB">
        <w:rPr>
          <w:szCs w:val="24"/>
        </w:rPr>
        <w:t xml:space="preserve"> wraz z poprawą infrastruktury logistycznej na bazach paliw oraz podnoszeniem standardów firm paliwowych dotyczących przygotowywania paliw bazowych do dodawania biokomponentów w okresach zimowych.</w:t>
      </w:r>
    </w:p>
    <w:p w14:paraId="704E6005" w14:textId="4BFD6543" w:rsidR="00FF5857" w:rsidRDefault="00FF5857" w:rsidP="00FF5857">
      <w:pPr>
        <w:spacing w:before="120"/>
        <w:jc w:val="both"/>
        <w:rPr>
          <w:color w:val="000000"/>
          <w:szCs w:val="24"/>
        </w:rPr>
      </w:pPr>
      <w:r>
        <w:rPr>
          <w:b/>
          <w:color w:val="000000"/>
          <w:szCs w:val="24"/>
        </w:rPr>
        <w:tab/>
      </w:r>
      <w:r w:rsidR="000308F2">
        <w:rPr>
          <w:b/>
          <w:color w:val="000000"/>
          <w:szCs w:val="24"/>
        </w:rPr>
        <w:tab/>
      </w:r>
      <w:r w:rsidR="000308F2">
        <w:rPr>
          <w:b/>
          <w:color w:val="000000"/>
          <w:szCs w:val="24"/>
        </w:rPr>
        <w:tab/>
      </w:r>
      <w:r w:rsidR="000308F2">
        <w:rPr>
          <w:b/>
          <w:color w:val="000000"/>
          <w:szCs w:val="24"/>
        </w:rPr>
        <w:tab/>
      </w:r>
      <w:r w:rsidRPr="00B92E65">
        <w:rPr>
          <w:color w:val="000000"/>
          <w:szCs w:val="24"/>
        </w:rPr>
        <w:t xml:space="preserve">Ponieważ </w:t>
      </w:r>
      <w:r>
        <w:rPr>
          <w:color w:val="000000"/>
          <w:szCs w:val="24"/>
        </w:rPr>
        <w:t xml:space="preserve">przepisy projektowanej ustawy wprowadzające możliwość wykorzystania produktów </w:t>
      </w:r>
      <w:proofErr w:type="spellStart"/>
      <w:r>
        <w:rPr>
          <w:color w:val="000000"/>
          <w:szCs w:val="24"/>
        </w:rPr>
        <w:t>współuwodornienia</w:t>
      </w:r>
      <w:proofErr w:type="spellEnd"/>
      <w:r>
        <w:rPr>
          <w:color w:val="000000"/>
          <w:szCs w:val="24"/>
        </w:rPr>
        <w:t xml:space="preserve"> do realizacji NCW mają zastosowanie jedynie do niewielkiej liczby podmiotów realizujących NCW, tj. do takich, które dysponują instalacjami do produkcji paliw ciekłych, w celu ujednolicenia zakresu obowiązku obligatoryjnego </w:t>
      </w:r>
      <w:proofErr w:type="spellStart"/>
      <w:r>
        <w:rPr>
          <w:color w:val="000000"/>
          <w:szCs w:val="24"/>
        </w:rPr>
        <w:t>blendingu</w:t>
      </w:r>
      <w:proofErr w:type="spellEnd"/>
      <w:r>
        <w:rPr>
          <w:color w:val="000000"/>
          <w:szCs w:val="24"/>
        </w:rPr>
        <w:t xml:space="preserve"> w art. 23b </w:t>
      </w:r>
      <w:r w:rsidRPr="00A87EBB">
        <w:rPr>
          <w:color w:val="000000"/>
          <w:szCs w:val="24"/>
        </w:rPr>
        <w:t xml:space="preserve">ustawy </w:t>
      </w:r>
      <w:r w:rsidRPr="00A87EBB">
        <w:rPr>
          <w:rStyle w:val="Kkursywa"/>
          <w:color w:val="000000"/>
          <w:szCs w:val="24"/>
        </w:rPr>
        <w:t xml:space="preserve">o biokomponentach i biopaliwach </w:t>
      </w:r>
      <w:r>
        <w:rPr>
          <w:color w:val="000000"/>
          <w:szCs w:val="24"/>
        </w:rPr>
        <w:t xml:space="preserve">wprowadzono ust. 2a, zgodnie z którym przy rozliczaniu się z obowiązku obligatoryjnego </w:t>
      </w:r>
      <w:proofErr w:type="spellStart"/>
      <w:r>
        <w:rPr>
          <w:color w:val="000000"/>
          <w:szCs w:val="24"/>
        </w:rPr>
        <w:t>blendingu</w:t>
      </w:r>
      <w:proofErr w:type="spellEnd"/>
      <w:r>
        <w:rPr>
          <w:color w:val="000000"/>
          <w:szCs w:val="24"/>
        </w:rPr>
        <w:t xml:space="preserve"> podmioty zobowiązane nie uwzględniają biokomponentów powstałych w wyniku </w:t>
      </w:r>
      <w:proofErr w:type="spellStart"/>
      <w:r>
        <w:rPr>
          <w:color w:val="000000"/>
          <w:szCs w:val="24"/>
        </w:rPr>
        <w:t>współuwodornienia</w:t>
      </w:r>
      <w:proofErr w:type="spellEnd"/>
      <w:r>
        <w:rPr>
          <w:color w:val="000000"/>
          <w:szCs w:val="24"/>
        </w:rPr>
        <w:t>.</w:t>
      </w:r>
    </w:p>
    <w:p w14:paraId="09C68054" w14:textId="77777777" w:rsidR="00FF5857" w:rsidRPr="00B92E65" w:rsidRDefault="00FF5857" w:rsidP="00FF5857">
      <w:pPr>
        <w:spacing w:before="120"/>
        <w:jc w:val="both"/>
        <w:rPr>
          <w:color w:val="000000"/>
          <w:szCs w:val="24"/>
        </w:rPr>
      </w:pPr>
    </w:p>
    <w:p w14:paraId="1F35C832" w14:textId="77777777" w:rsidR="00FF5857" w:rsidRPr="00A87EBB" w:rsidRDefault="00FF5857" w:rsidP="00FF5857">
      <w:pPr>
        <w:spacing w:before="120" w:line="240" w:lineRule="auto"/>
        <w:jc w:val="both"/>
        <w:rPr>
          <w:b/>
          <w:color w:val="000000"/>
          <w:szCs w:val="24"/>
        </w:rPr>
      </w:pPr>
      <w:r w:rsidRPr="00A87EBB">
        <w:rPr>
          <w:b/>
          <w:color w:val="000000"/>
          <w:szCs w:val="24"/>
        </w:rPr>
        <w:t>4. Zmiany mające na celu uszczegółowienie procedur oraz wymagań dotyczących certyfikacji jakościowej biokomponentów</w:t>
      </w:r>
    </w:p>
    <w:p w14:paraId="6D4DEA0C" w14:textId="77777777" w:rsidR="00FF5857" w:rsidRPr="00A87EBB" w:rsidRDefault="00FF5857" w:rsidP="00FF5857">
      <w:pPr>
        <w:spacing w:before="120"/>
        <w:ind w:firstLine="708"/>
        <w:jc w:val="both"/>
        <w:rPr>
          <w:color w:val="000000" w:themeColor="text1"/>
          <w:szCs w:val="24"/>
        </w:rPr>
      </w:pPr>
      <w:r w:rsidRPr="00A87EBB">
        <w:rPr>
          <w:color w:val="000000" w:themeColor="text1"/>
          <w:szCs w:val="24"/>
        </w:rPr>
        <w:t xml:space="preserve">W art. 22 ustawy </w:t>
      </w:r>
      <w:r w:rsidRPr="00A87EBB">
        <w:rPr>
          <w:rStyle w:val="Kkursywa"/>
          <w:color w:val="000000"/>
          <w:szCs w:val="24"/>
        </w:rPr>
        <w:t>o biokomponentach i biopaliwach ciekłych</w:t>
      </w:r>
      <w:r w:rsidRPr="00A87EBB">
        <w:rPr>
          <w:color w:val="000000" w:themeColor="text1"/>
          <w:szCs w:val="24"/>
        </w:rPr>
        <w:t xml:space="preserve"> wprowadzono zmiany wynikające z konsultacji przeprowadzonych z akredytowanymi jednostkami certyfikującymi, mające na celu uszczegółowienie procedur oraz wymagań dotyczących certyfikacji w zakresie spełnienia wymagań jakościowych dla biokomponentów. </w:t>
      </w:r>
    </w:p>
    <w:p w14:paraId="6118BDED" w14:textId="77777777" w:rsidR="00FF5857" w:rsidRPr="00A87EBB" w:rsidRDefault="00FF5857" w:rsidP="00FF5857">
      <w:pPr>
        <w:spacing w:before="120"/>
        <w:ind w:firstLine="708"/>
        <w:jc w:val="both"/>
        <w:rPr>
          <w:color w:val="000000"/>
          <w:szCs w:val="24"/>
        </w:rPr>
      </w:pPr>
      <w:r w:rsidRPr="00A87EBB">
        <w:rPr>
          <w:color w:val="000000" w:themeColor="text1"/>
          <w:szCs w:val="24"/>
        </w:rPr>
        <w:t>W szczególności dokonano zmiany okresu czasu, w jakim powinien zostać wydany certyfikat jakości</w:t>
      </w:r>
      <w:r>
        <w:rPr>
          <w:color w:val="000000" w:themeColor="text1"/>
          <w:szCs w:val="24"/>
        </w:rPr>
        <w:t xml:space="preserve">, </w:t>
      </w:r>
      <w:r w:rsidRPr="00A87EBB">
        <w:rPr>
          <w:color w:val="000000"/>
          <w:szCs w:val="24"/>
        </w:rPr>
        <w:t>rozszerzono warunki umożliwiające cofnięcie certyfikatu jakości</w:t>
      </w:r>
      <w:r>
        <w:rPr>
          <w:color w:val="000000"/>
          <w:szCs w:val="24"/>
        </w:rPr>
        <w:t xml:space="preserve"> oraz doprecyzowano zakres certyfikatu w związku z wprowadzeniem produktów </w:t>
      </w:r>
      <w:proofErr w:type="spellStart"/>
      <w:r>
        <w:rPr>
          <w:color w:val="000000"/>
          <w:szCs w:val="24"/>
        </w:rPr>
        <w:t>współuwodornienia</w:t>
      </w:r>
      <w:proofErr w:type="spellEnd"/>
      <w:r w:rsidRPr="00A87EBB">
        <w:rPr>
          <w:color w:val="000000"/>
          <w:szCs w:val="24"/>
        </w:rPr>
        <w:t>.</w:t>
      </w:r>
    </w:p>
    <w:p w14:paraId="0D3B18C6" w14:textId="77777777" w:rsidR="00FF5857" w:rsidRPr="00EF6D72" w:rsidRDefault="00FF5857" w:rsidP="00FF5857">
      <w:pPr>
        <w:spacing w:before="120"/>
        <w:ind w:firstLine="708"/>
        <w:jc w:val="both"/>
        <w:rPr>
          <w:color w:val="000000"/>
          <w:szCs w:val="24"/>
        </w:rPr>
      </w:pPr>
      <w:r w:rsidRPr="00EF6D72">
        <w:rPr>
          <w:color w:val="000000"/>
          <w:szCs w:val="24"/>
        </w:rPr>
        <w:t xml:space="preserve">W art. 22 </w:t>
      </w:r>
      <w:r>
        <w:rPr>
          <w:color w:val="000000"/>
          <w:szCs w:val="24"/>
        </w:rPr>
        <w:t xml:space="preserve">ustawy </w:t>
      </w:r>
      <w:r w:rsidRPr="00EF6D72">
        <w:rPr>
          <w:color w:val="000000"/>
          <w:szCs w:val="24"/>
        </w:rPr>
        <w:t xml:space="preserve">wprowadzony został </w:t>
      </w:r>
      <w:r>
        <w:rPr>
          <w:color w:val="000000"/>
          <w:szCs w:val="24"/>
        </w:rPr>
        <w:t xml:space="preserve">również </w:t>
      </w:r>
      <w:r w:rsidRPr="00EF6D72">
        <w:rPr>
          <w:color w:val="000000"/>
          <w:szCs w:val="24"/>
        </w:rPr>
        <w:t xml:space="preserve">dodatkowy ust. 2aa na podstawie którego, </w:t>
      </w:r>
      <w:r w:rsidRPr="00EF6D72">
        <w:rPr>
          <w:szCs w:val="24"/>
        </w:rPr>
        <w:t>p</w:t>
      </w:r>
      <w:r w:rsidRPr="00276693">
        <w:rPr>
          <w:szCs w:val="24"/>
        </w:rPr>
        <w:t>rzed wydaniem certyfikatu jakości biokomponentu</w:t>
      </w:r>
      <w:r>
        <w:rPr>
          <w:szCs w:val="24"/>
        </w:rPr>
        <w:t>,</w:t>
      </w:r>
      <w:r w:rsidRPr="00276693">
        <w:rPr>
          <w:szCs w:val="24"/>
        </w:rPr>
        <w:t xml:space="preserve"> upoważniony przedstawiciel akredytowanego laboratorium badawczego może dokonać </w:t>
      </w:r>
      <w:r>
        <w:rPr>
          <w:szCs w:val="24"/>
        </w:rPr>
        <w:t>sprawdzenia</w:t>
      </w:r>
      <w:r w:rsidRPr="00276693">
        <w:rPr>
          <w:szCs w:val="24"/>
        </w:rPr>
        <w:t xml:space="preserve"> </w:t>
      </w:r>
      <w:r w:rsidRPr="00196F76">
        <w:rPr>
          <w:szCs w:val="24"/>
        </w:rPr>
        <w:t>w miejscu wytwarzania biokomponentów</w:t>
      </w:r>
      <w:r>
        <w:rPr>
          <w:szCs w:val="24"/>
        </w:rPr>
        <w:t xml:space="preserve"> wskazanym przez wnioskodawcę</w:t>
      </w:r>
      <w:r w:rsidRPr="00EF6D72">
        <w:rPr>
          <w:szCs w:val="24"/>
        </w:rPr>
        <w:t xml:space="preserve"> </w:t>
      </w:r>
      <w:r w:rsidRPr="00276693">
        <w:rPr>
          <w:szCs w:val="24"/>
        </w:rPr>
        <w:t xml:space="preserve">w celu </w:t>
      </w:r>
      <w:r>
        <w:rPr>
          <w:szCs w:val="24"/>
        </w:rPr>
        <w:t xml:space="preserve">potwierdzenia prawidłowości </w:t>
      </w:r>
      <w:r>
        <w:rPr>
          <w:szCs w:val="24"/>
        </w:rPr>
        <w:lastRenderedPageBreak/>
        <w:t xml:space="preserve">przedłożonych do oceny dokumentów. Wprowadzony przepis umożliwi pełniejsze wykorzystanie potencjału akredytowanych laboratoriów w procesie poprzedzającym wydanie decyzji o wydaniu certyfikatu jakości.  </w:t>
      </w:r>
    </w:p>
    <w:p w14:paraId="2F321815" w14:textId="77777777" w:rsidR="00FF5857" w:rsidRDefault="00FF5857" w:rsidP="00FF5857">
      <w:pPr>
        <w:spacing w:before="120"/>
        <w:ind w:firstLine="708"/>
        <w:jc w:val="both"/>
        <w:rPr>
          <w:color w:val="000000"/>
          <w:szCs w:val="24"/>
        </w:rPr>
      </w:pPr>
      <w:r>
        <w:rPr>
          <w:color w:val="000000"/>
          <w:szCs w:val="24"/>
        </w:rPr>
        <w:t xml:space="preserve">Wprowadzone zostały również zmiany wynikające z regulacji dotyczących procesu </w:t>
      </w:r>
      <w:proofErr w:type="spellStart"/>
      <w:r>
        <w:rPr>
          <w:color w:val="000000"/>
          <w:szCs w:val="24"/>
        </w:rPr>
        <w:t>współuwodornienia</w:t>
      </w:r>
      <w:proofErr w:type="spellEnd"/>
      <w:r>
        <w:rPr>
          <w:color w:val="000000"/>
          <w:szCs w:val="24"/>
        </w:rPr>
        <w:t>, które zostały szczegółowo omówione w pkt 1 uzasadnienia.</w:t>
      </w:r>
    </w:p>
    <w:p w14:paraId="2FD2A14A" w14:textId="77777777" w:rsidR="00FF5857" w:rsidRPr="00A87EBB" w:rsidRDefault="00FF5857" w:rsidP="00FF5857">
      <w:pPr>
        <w:spacing w:before="120"/>
        <w:ind w:firstLine="708"/>
        <w:jc w:val="both"/>
        <w:rPr>
          <w:color w:val="000000"/>
          <w:szCs w:val="24"/>
        </w:rPr>
      </w:pPr>
    </w:p>
    <w:p w14:paraId="3E826E8C" w14:textId="77777777" w:rsidR="00FF5857" w:rsidRPr="00A87EBB" w:rsidRDefault="00FF5857" w:rsidP="00FF5857">
      <w:pPr>
        <w:spacing w:before="120" w:line="240" w:lineRule="auto"/>
        <w:jc w:val="both"/>
        <w:rPr>
          <w:b/>
          <w:szCs w:val="24"/>
        </w:rPr>
      </w:pPr>
      <w:r w:rsidRPr="00A87EBB">
        <w:rPr>
          <w:b/>
          <w:color w:val="000000"/>
          <w:szCs w:val="24"/>
        </w:rPr>
        <w:t xml:space="preserve">5. Uchylenie przepisów dotyczących obowiązku oznakowania dystrybutorów do biopaliw ciekłych </w:t>
      </w:r>
      <w:r w:rsidRPr="00A87EBB">
        <w:rPr>
          <w:b/>
          <w:szCs w:val="24"/>
        </w:rPr>
        <w:t xml:space="preserve">używanych na stacjach paliw </w:t>
      </w:r>
      <w:r w:rsidRPr="00A87EBB">
        <w:rPr>
          <w:b/>
          <w:color w:val="000000"/>
          <w:szCs w:val="24"/>
        </w:rPr>
        <w:t xml:space="preserve">oraz </w:t>
      </w:r>
      <w:r w:rsidRPr="00A87EBB">
        <w:rPr>
          <w:b/>
          <w:szCs w:val="24"/>
        </w:rPr>
        <w:t>obowiązku zamieszczania czytelnych informacji o dostępności biopaliw ciekłych na tych stacjach</w:t>
      </w:r>
    </w:p>
    <w:p w14:paraId="2CD7C275" w14:textId="77777777" w:rsidR="00FF5857" w:rsidRPr="00A87EBB" w:rsidRDefault="00FF5857" w:rsidP="00FF5857">
      <w:pPr>
        <w:ind w:firstLine="708"/>
        <w:jc w:val="both"/>
        <w:rPr>
          <w:szCs w:val="24"/>
        </w:rPr>
      </w:pPr>
      <w:r w:rsidRPr="00A87EBB">
        <w:rPr>
          <w:szCs w:val="24"/>
        </w:rPr>
        <w:t xml:space="preserve">Powyższa zmiana wynika z faktu, że ww. obowiązki zostały w sposób systemowy ujęte w delegacji zawartej w </w:t>
      </w:r>
      <w:r>
        <w:rPr>
          <w:szCs w:val="24"/>
        </w:rPr>
        <w:t xml:space="preserve">art. 41 ust. 6 </w:t>
      </w:r>
      <w:r w:rsidRPr="00A87EBB">
        <w:rPr>
          <w:szCs w:val="24"/>
        </w:rPr>
        <w:t>ustaw</w:t>
      </w:r>
      <w:r>
        <w:rPr>
          <w:szCs w:val="24"/>
        </w:rPr>
        <w:t>y</w:t>
      </w:r>
      <w:r w:rsidRPr="00A87EBB">
        <w:rPr>
          <w:szCs w:val="24"/>
        </w:rPr>
        <w:t xml:space="preserve"> z dnia 11 stycznia 2018 r. </w:t>
      </w:r>
      <w:r w:rsidRPr="00A87EBB">
        <w:rPr>
          <w:i/>
          <w:szCs w:val="24"/>
        </w:rPr>
        <w:t xml:space="preserve">o </w:t>
      </w:r>
      <w:proofErr w:type="spellStart"/>
      <w:r w:rsidRPr="00A87EBB">
        <w:rPr>
          <w:i/>
          <w:szCs w:val="24"/>
        </w:rPr>
        <w:t>elektromobilności</w:t>
      </w:r>
      <w:proofErr w:type="spellEnd"/>
      <w:r w:rsidRPr="00A87EBB">
        <w:rPr>
          <w:i/>
          <w:szCs w:val="24"/>
        </w:rPr>
        <w:t xml:space="preserve"> i</w:t>
      </w:r>
      <w:r>
        <w:rPr>
          <w:i/>
          <w:szCs w:val="24"/>
        </w:rPr>
        <w:t> </w:t>
      </w:r>
      <w:r w:rsidRPr="00A87EBB">
        <w:rPr>
          <w:i/>
          <w:szCs w:val="24"/>
        </w:rPr>
        <w:t>paliwach alternatywnych</w:t>
      </w:r>
      <w:r w:rsidRPr="00A87EBB">
        <w:rPr>
          <w:szCs w:val="24"/>
        </w:rPr>
        <w:t xml:space="preserve"> (Dz. U. poz. 317</w:t>
      </w:r>
      <w:r>
        <w:rPr>
          <w:szCs w:val="24"/>
        </w:rPr>
        <w:t>,</w:t>
      </w:r>
      <w:r w:rsidRPr="00A87EBB">
        <w:rPr>
          <w:szCs w:val="24"/>
        </w:rPr>
        <w:t xml:space="preserve"> z późn. zm.), która obejmuje kwestie etykietowania paliw alternatywnych, w tym biopaliw ciekłych:</w:t>
      </w:r>
    </w:p>
    <w:p w14:paraId="6C4BD4EC" w14:textId="77777777" w:rsidR="00FF5857" w:rsidRPr="00276693" w:rsidRDefault="00FF5857" w:rsidP="007D0B39">
      <w:pPr>
        <w:pStyle w:val="Akapitzlist"/>
        <w:numPr>
          <w:ilvl w:val="0"/>
          <w:numId w:val="5"/>
        </w:numPr>
        <w:autoSpaceDE w:val="0"/>
        <w:autoSpaceDN w:val="0"/>
        <w:adjustRightInd w:val="0"/>
        <w:jc w:val="both"/>
        <w:rPr>
          <w:rFonts w:ascii="Times New Roman" w:hAnsi="Times New Roman"/>
          <w:szCs w:val="24"/>
        </w:rPr>
      </w:pPr>
      <w:r w:rsidRPr="00276693">
        <w:rPr>
          <w:rFonts w:ascii="Times New Roman" w:hAnsi="Times New Roman"/>
          <w:szCs w:val="24"/>
        </w:rPr>
        <w:t>w miejscu tankowania lub ładowania pojazdu samochodowego (pistoletów wydawczych, dystrybutorów)</w:t>
      </w:r>
    </w:p>
    <w:p w14:paraId="34345A72" w14:textId="77777777" w:rsidR="00FF5857" w:rsidRPr="00276693" w:rsidRDefault="00FF5857" w:rsidP="007D0B39">
      <w:pPr>
        <w:pStyle w:val="Akapitzlist"/>
        <w:numPr>
          <w:ilvl w:val="0"/>
          <w:numId w:val="5"/>
        </w:numPr>
        <w:autoSpaceDE w:val="0"/>
        <w:autoSpaceDN w:val="0"/>
        <w:adjustRightInd w:val="0"/>
        <w:jc w:val="both"/>
        <w:rPr>
          <w:rFonts w:ascii="Times New Roman" w:hAnsi="Times New Roman"/>
          <w:szCs w:val="24"/>
        </w:rPr>
      </w:pPr>
      <w:r w:rsidRPr="00276693">
        <w:rPr>
          <w:rFonts w:ascii="Times New Roman" w:hAnsi="Times New Roman"/>
          <w:szCs w:val="24"/>
        </w:rPr>
        <w:t>w instrukcji obsługi pojazdu</w:t>
      </w:r>
      <w:r>
        <w:rPr>
          <w:rFonts w:ascii="Times New Roman" w:hAnsi="Times New Roman"/>
          <w:szCs w:val="24"/>
        </w:rPr>
        <w:t xml:space="preserve"> samochodowego</w:t>
      </w:r>
      <w:r w:rsidRPr="00276693">
        <w:rPr>
          <w:rFonts w:ascii="Times New Roman" w:hAnsi="Times New Roman"/>
          <w:szCs w:val="24"/>
        </w:rPr>
        <w:t>,</w:t>
      </w:r>
    </w:p>
    <w:p w14:paraId="577E92DE" w14:textId="77777777" w:rsidR="00FF5857" w:rsidRPr="00A87EBB" w:rsidRDefault="00FF5857" w:rsidP="00FF5857">
      <w:pPr>
        <w:ind w:left="567"/>
        <w:jc w:val="both"/>
        <w:rPr>
          <w:szCs w:val="24"/>
        </w:rPr>
      </w:pPr>
      <w:r w:rsidRPr="00A87EBB">
        <w:rPr>
          <w:szCs w:val="24"/>
        </w:rPr>
        <w:t>2) na korkach wlewu paliwa lub w pobliżu tych korków,</w:t>
      </w:r>
    </w:p>
    <w:p w14:paraId="2DD5251E" w14:textId="77777777" w:rsidR="00FF5857" w:rsidRPr="00A87EBB" w:rsidRDefault="00FF5857" w:rsidP="00FF5857">
      <w:pPr>
        <w:ind w:left="567"/>
        <w:jc w:val="both"/>
        <w:rPr>
          <w:szCs w:val="24"/>
        </w:rPr>
      </w:pPr>
      <w:r w:rsidRPr="00A87EBB">
        <w:rPr>
          <w:szCs w:val="24"/>
        </w:rPr>
        <w:t>3) na terenie placówki handlowej prowadzącej sprzedaż pojazdów silnikowych.</w:t>
      </w:r>
    </w:p>
    <w:p w14:paraId="64FDBAE6" w14:textId="77777777" w:rsidR="00FF5857" w:rsidRPr="00A87EBB" w:rsidRDefault="00FF5857" w:rsidP="00FF5857">
      <w:pPr>
        <w:ind w:firstLine="708"/>
        <w:jc w:val="both"/>
        <w:rPr>
          <w:szCs w:val="24"/>
        </w:rPr>
      </w:pPr>
      <w:r w:rsidRPr="00A87EBB">
        <w:rPr>
          <w:szCs w:val="24"/>
        </w:rPr>
        <w:t>W celu wyeliminowania dublującego się zakresu merytorycznego obu delegacji ustawowych projekt</w:t>
      </w:r>
      <w:r>
        <w:rPr>
          <w:szCs w:val="24"/>
        </w:rPr>
        <w:t>owana</w:t>
      </w:r>
      <w:r w:rsidRPr="00A87EBB">
        <w:rPr>
          <w:szCs w:val="24"/>
        </w:rPr>
        <w:t xml:space="preserve"> ustaw</w:t>
      </w:r>
      <w:r>
        <w:rPr>
          <w:szCs w:val="24"/>
        </w:rPr>
        <w:t>a</w:t>
      </w:r>
      <w:r w:rsidRPr="00A87EBB">
        <w:rPr>
          <w:szCs w:val="24"/>
        </w:rPr>
        <w:t xml:space="preserve"> uchyla dotychczasowe art. 25 oraz 26 ustawy</w:t>
      </w:r>
      <w:r w:rsidRPr="0092619F">
        <w:rPr>
          <w:color w:val="000000"/>
          <w:szCs w:val="24"/>
        </w:rPr>
        <w:t xml:space="preserve"> </w:t>
      </w:r>
      <w:r w:rsidRPr="00A87EBB">
        <w:rPr>
          <w:rStyle w:val="Kkursywa"/>
          <w:color w:val="000000"/>
          <w:szCs w:val="24"/>
        </w:rPr>
        <w:t>o biokomponentach i biopaliwach ciekłych</w:t>
      </w:r>
      <w:r w:rsidRPr="00A87EBB">
        <w:rPr>
          <w:szCs w:val="24"/>
        </w:rPr>
        <w:t xml:space="preserve">. W konsekwencji powyższego zmniejszono również zakres kontroli wykonywanych przez Inspekcję Handlową o ww. obowiązki (poprzez uchylenie </w:t>
      </w:r>
      <w:r>
        <w:rPr>
          <w:szCs w:val="24"/>
        </w:rPr>
        <w:t xml:space="preserve">obecnych </w:t>
      </w:r>
      <w:r w:rsidRPr="00A87EBB">
        <w:rPr>
          <w:szCs w:val="24"/>
        </w:rPr>
        <w:t>pkt 2 i 3 w</w:t>
      </w:r>
      <w:r>
        <w:rPr>
          <w:szCs w:val="24"/>
        </w:rPr>
        <w:t> </w:t>
      </w:r>
      <w:r w:rsidRPr="00A87EBB">
        <w:rPr>
          <w:szCs w:val="24"/>
        </w:rPr>
        <w:t>art. 27 ust. 1 ustawy</w:t>
      </w:r>
      <w:r w:rsidRPr="0092619F">
        <w:rPr>
          <w:color w:val="000000"/>
          <w:szCs w:val="24"/>
        </w:rPr>
        <w:t xml:space="preserve"> </w:t>
      </w:r>
      <w:r w:rsidRPr="00A87EBB">
        <w:rPr>
          <w:rStyle w:val="Kkursywa"/>
          <w:color w:val="000000"/>
          <w:szCs w:val="24"/>
        </w:rPr>
        <w:t>o biokomponentach i biopaliwach ciekłych</w:t>
      </w:r>
      <w:r w:rsidRPr="00A87EBB">
        <w:rPr>
          <w:szCs w:val="24"/>
        </w:rPr>
        <w:t>) oraz uchylono przepisy dotyczące kar pieniężnych za brak realizacji ww. obowiązków (poprzez uchylenie pkt 6 i 7 w</w:t>
      </w:r>
      <w:r>
        <w:rPr>
          <w:szCs w:val="24"/>
        </w:rPr>
        <w:t> </w:t>
      </w:r>
      <w:r w:rsidRPr="00A87EBB">
        <w:rPr>
          <w:szCs w:val="24"/>
        </w:rPr>
        <w:t>art. 33 ust. 1 ustawy</w:t>
      </w:r>
      <w:r w:rsidRPr="0092619F">
        <w:rPr>
          <w:color w:val="000000"/>
          <w:szCs w:val="24"/>
        </w:rPr>
        <w:t xml:space="preserve"> </w:t>
      </w:r>
      <w:r w:rsidRPr="00A87EBB">
        <w:rPr>
          <w:rStyle w:val="Kkursywa"/>
          <w:color w:val="000000"/>
          <w:szCs w:val="24"/>
        </w:rPr>
        <w:t>o biokomponentach i biopaliwach ciekłych</w:t>
      </w:r>
      <w:r w:rsidRPr="00A87EBB">
        <w:rPr>
          <w:szCs w:val="24"/>
        </w:rPr>
        <w:t xml:space="preserve">). </w:t>
      </w:r>
    </w:p>
    <w:p w14:paraId="74F802F0" w14:textId="77777777" w:rsidR="00FF5857" w:rsidRPr="001D231C" w:rsidRDefault="00FF5857" w:rsidP="00FF5857">
      <w:pPr>
        <w:spacing w:after="80"/>
        <w:ind w:firstLine="709"/>
        <w:jc w:val="both"/>
        <w:rPr>
          <w:i/>
          <w:color w:val="000000"/>
          <w:szCs w:val="24"/>
        </w:rPr>
      </w:pPr>
      <w:r>
        <w:rPr>
          <w:szCs w:val="24"/>
        </w:rPr>
        <w:t xml:space="preserve">Ponadto zaproponowano nowe brzmienie ust. 2 w art. 27, które uwzględnia nie tylko </w:t>
      </w:r>
      <w:r w:rsidRPr="001D231C">
        <w:rPr>
          <w:szCs w:val="24"/>
        </w:rPr>
        <w:t>uchylenie pkt 2 i 3 z ust. 1 (zmniejszenie zakresu kontroli)</w:t>
      </w:r>
      <w:r>
        <w:rPr>
          <w:szCs w:val="24"/>
        </w:rPr>
        <w:t>,</w:t>
      </w:r>
      <w:r w:rsidRPr="001D231C">
        <w:rPr>
          <w:szCs w:val="24"/>
        </w:rPr>
        <w:t xml:space="preserve"> ale również dokonuje zmian w zakresie podstawy prawnej prowadzeni</w:t>
      </w:r>
      <w:r>
        <w:rPr>
          <w:szCs w:val="24"/>
        </w:rPr>
        <w:t>a</w:t>
      </w:r>
      <w:r w:rsidRPr="001D231C">
        <w:rPr>
          <w:szCs w:val="24"/>
        </w:rPr>
        <w:t xml:space="preserve"> kontroli w zakresie jakości biokomponentów wprowadzanych do obrotu lub wykorzystywanych do wytwarzania paliw prowadzonej przez Inspekcję Handlową. Zgodnie z zaproponowanym przez Urząd Ochrony Konkurencji i Konsumentów </w:t>
      </w:r>
      <w:r>
        <w:rPr>
          <w:szCs w:val="24"/>
        </w:rPr>
        <w:t>przepisem</w:t>
      </w:r>
      <w:r w:rsidRPr="001D231C">
        <w:rPr>
          <w:szCs w:val="24"/>
        </w:rPr>
        <w:t xml:space="preserve"> do prowadzenia kontr</w:t>
      </w:r>
      <w:r w:rsidRPr="007B497F">
        <w:rPr>
          <w:szCs w:val="24"/>
        </w:rPr>
        <w:t xml:space="preserve">oli stosowane będą </w:t>
      </w:r>
      <w:r w:rsidRPr="001D231C">
        <w:rPr>
          <w:szCs w:val="24"/>
        </w:rPr>
        <w:t>odpowiedni</w:t>
      </w:r>
      <w:r>
        <w:rPr>
          <w:szCs w:val="24"/>
        </w:rPr>
        <w:t>o</w:t>
      </w:r>
      <w:r w:rsidRPr="001D231C">
        <w:rPr>
          <w:szCs w:val="24"/>
        </w:rPr>
        <w:t xml:space="preserve"> przepisy ustawy </w:t>
      </w:r>
      <w:r w:rsidRPr="001D231C">
        <w:rPr>
          <w:color w:val="000000"/>
          <w:szCs w:val="24"/>
        </w:rPr>
        <w:t xml:space="preserve">z dnia 15 grudnia 2000 r. </w:t>
      </w:r>
      <w:r w:rsidRPr="001D231C">
        <w:rPr>
          <w:i/>
          <w:color w:val="000000"/>
          <w:szCs w:val="24"/>
        </w:rPr>
        <w:t>o Inspekcji Handlowej</w:t>
      </w:r>
      <w:r w:rsidRPr="001D231C">
        <w:rPr>
          <w:color w:val="000000"/>
          <w:szCs w:val="24"/>
        </w:rPr>
        <w:t xml:space="preserve"> (Dz. U. z 2018 r. poz. 1930 i 2227 oraz z 2019 r. poz. 1030), zamiast wskazanych w propozycji przekazanej na KSRM – </w:t>
      </w:r>
      <w:r>
        <w:rPr>
          <w:color w:val="000000"/>
          <w:szCs w:val="24"/>
        </w:rPr>
        <w:t xml:space="preserve">przepisów </w:t>
      </w:r>
      <w:r w:rsidRPr="001D231C">
        <w:rPr>
          <w:color w:val="000000"/>
          <w:szCs w:val="24"/>
        </w:rPr>
        <w:lastRenderedPageBreak/>
        <w:t xml:space="preserve">ustawy z dnia 26 sierpnia 2006 r. </w:t>
      </w:r>
      <w:r w:rsidRPr="001D231C">
        <w:rPr>
          <w:i/>
          <w:color w:val="000000"/>
          <w:szCs w:val="24"/>
        </w:rPr>
        <w:t>o systemie monitorowania i kontrolowania jakości paliw.</w:t>
      </w:r>
    </w:p>
    <w:p w14:paraId="699594EA" w14:textId="77777777" w:rsidR="00FF5857" w:rsidRPr="001D231C" w:rsidRDefault="00FF5857" w:rsidP="00FF5857">
      <w:pPr>
        <w:spacing w:after="80"/>
        <w:ind w:firstLine="709"/>
        <w:jc w:val="both"/>
        <w:rPr>
          <w:color w:val="000000"/>
          <w:szCs w:val="24"/>
        </w:rPr>
      </w:pPr>
      <w:r w:rsidRPr="001D231C">
        <w:rPr>
          <w:color w:val="000000"/>
          <w:szCs w:val="24"/>
        </w:rPr>
        <w:t xml:space="preserve">Wprowadzony </w:t>
      </w:r>
      <w:r>
        <w:rPr>
          <w:color w:val="000000"/>
          <w:szCs w:val="24"/>
        </w:rPr>
        <w:t>prze</w:t>
      </w:r>
      <w:r w:rsidRPr="001D231C">
        <w:rPr>
          <w:color w:val="000000"/>
          <w:szCs w:val="24"/>
        </w:rPr>
        <w:t>pis umożliwi w sposób kompleksowy prowadzenie działań kontrolnych, które w ww. ustawie ujęte są w sposób systemowy</w:t>
      </w:r>
      <w:r>
        <w:rPr>
          <w:color w:val="000000"/>
          <w:szCs w:val="24"/>
        </w:rPr>
        <w:t>,</w:t>
      </w:r>
      <w:r w:rsidRPr="001D231C">
        <w:rPr>
          <w:color w:val="000000"/>
          <w:szCs w:val="24"/>
        </w:rPr>
        <w:t xml:space="preserve"> zaś </w:t>
      </w:r>
      <w:r>
        <w:rPr>
          <w:color w:val="000000"/>
          <w:szCs w:val="24"/>
        </w:rPr>
        <w:t xml:space="preserve">dotychczasowe </w:t>
      </w:r>
      <w:r w:rsidRPr="001D231C">
        <w:rPr>
          <w:color w:val="000000"/>
          <w:szCs w:val="24"/>
        </w:rPr>
        <w:t>ograniczeni</w:t>
      </w:r>
      <w:r>
        <w:rPr>
          <w:color w:val="000000"/>
          <w:szCs w:val="24"/>
        </w:rPr>
        <w:t>e</w:t>
      </w:r>
      <w:r w:rsidRPr="001D231C">
        <w:rPr>
          <w:color w:val="000000"/>
          <w:szCs w:val="24"/>
        </w:rPr>
        <w:t xml:space="preserve"> dotyczące braku możliwości stosowania przepisów kontrolnych do producentów paliw, którzy wykorzystywaliby biokomponenty</w:t>
      </w:r>
      <w:r>
        <w:rPr>
          <w:color w:val="000000"/>
          <w:szCs w:val="24"/>
        </w:rPr>
        <w:t>,</w:t>
      </w:r>
      <w:r w:rsidRPr="001D231C">
        <w:rPr>
          <w:color w:val="000000"/>
          <w:szCs w:val="24"/>
        </w:rPr>
        <w:t xml:space="preserve"> zostało wyeliminowane poprzez wprowadzenie wyłączenia art. 4 pkt 3 ustawy </w:t>
      </w:r>
      <w:r w:rsidRPr="001D231C">
        <w:rPr>
          <w:i/>
          <w:color w:val="000000"/>
          <w:szCs w:val="24"/>
        </w:rPr>
        <w:t>o Inspekcji Handlowej.</w:t>
      </w:r>
    </w:p>
    <w:p w14:paraId="2A7ECC38" w14:textId="77777777" w:rsidR="00FF5857" w:rsidRPr="00A87EBB" w:rsidRDefault="00FF5857" w:rsidP="00FF5857">
      <w:pPr>
        <w:ind w:firstLine="708"/>
        <w:jc w:val="both"/>
        <w:rPr>
          <w:color w:val="000000"/>
          <w:szCs w:val="24"/>
        </w:rPr>
      </w:pPr>
      <w:r w:rsidRPr="00A87EBB">
        <w:rPr>
          <w:szCs w:val="24"/>
        </w:rPr>
        <w:t xml:space="preserve">Jednocześnie, w związku z koniecznością dokonania nowelizacji przepisów wydanych na podstawie art. 41 ust. 6 ustawy </w:t>
      </w:r>
      <w:r w:rsidRPr="00A87EBB">
        <w:rPr>
          <w:i/>
          <w:szCs w:val="24"/>
        </w:rPr>
        <w:t xml:space="preserve">o </w:t>
      </w:r>
      <w:proofErr w:type="spellStart"/>
      <w:r w:rsidRPr="00A87EBB">
        <w:rPr>
          <w:i/>
          <w:szCs w:val="24"/>
        </w:rPr>
        <w:t>elektromobilności</w:t>
      </w:r>
      <w:proofErr w:type="spellEnd"/>
      <w:r w:rsidRPr="00A87EBB">
        <w:rPr>
          <w:i/>
          <w:szCs w:val="24"/>
        </w:rPr>
        <w:t xml:space="preserve"> i paliwach alternatywnych </w:t>
      </w:r>
      <w:r w:rsidRPr="00A87EBB">
        <w:rPr>
          <w:szCs w:val="24"/>
        </w:rPr>
        <w:t xml:space="preserve">o kwestie dotyczące biopaliw ciekłych wprowadzono przepisy przejściowe, które </w:t>
      </w:r>
      <w:r w:rsidRPr="00A87EBB">
        <w:rPr>
          <w:color w:val="000000"/>
          <w:szCs w:val="24"/>
        </w:rPr>
        <w:t xml:space="preserve">stanowią, że dotychczasowe przepisy wykonawcze wydane na podstawie art. 25 ust. 3 ustawy </w:t>
      </w:r>
      <w:r w:rsidRPr="00A87EBB">
        <w:rPr>
          <w:rStyle w:val="Kkursywa"/>
          <w:color w:val="000000"/>
          <w:szCs w:val="24"/>
        </w:rPr>
        <w:t>o</w:t>
      </w:r>
      <w:r>
        <w:rPr>
          <w:rStyle w:val="Kkursywa"/>
          <w:color w:val="000000"/>
          <w:szCs w:val="24"/>
        </w:rPr>
        <w:t> </w:t>
      </w:r>
      <w:r w:rsidRPr="00A87EBB">
        <w:rPr>
          <w:rStyle w:val="Kkursywa"/>
          <w:color w:val="000000"/>
          <w:szCs w:val="24"/>
        </w:rPr>
        <w:t>biokomponentach i biopaliwach ciekłych</w:t>
      </w:r>
      <w:r w:rsidRPr="00A87EBB">
        <w:rPr>
          <w:color w:val="000000"/>
          <w:szCs w:val="24"/>
        </w:rPr>
        <w:t xml:space="preserve"> zachowują moc do dnia wejścia w życie przepisów wykonawczych wydanych na podstawie art. 41 ust. 6 </w:t>
      </w:r>
      <w:r>
        <w:rPr>
          <w:color w:val="000000"/>
          <w:szCs w:val="24"/>
        </w:rPr>
        <w:t xml:space="preserve">ustawy </w:t>
      </w:r>
      <w:r w:rsidRPr="00A87EBB">
        <w:rPr>
          <w:color w:val="000000"/>
          <w:szCs w:val="24"/>
        </w:rPr>
        <w:t xml:space="preserve">z dnia 11 stycznia 2018 r. </w:t>
      </w:r>
      <w:r w:rsidRPr="00A87EBB">
        <w:rPr>
          <w:i/>
          <w:color w:val="000000"/>
          <w:szCs w:val="24"/>
        </w:rPr>
        <w:t>o</w:t>
      </w:r>
      <w:r>
        <w:rPr>
          <w:i/>
          <w:color w:val="000000"/>
          <w:szCs w:val="24"/>
        </w:rPr>
        <w:t> </w:t>
      </w:r>
      <w:proofErr w:type="spellStart"/>
      <w:r w:rsidRPr="00A87EBB">
        <w:rPr>
          <w:i/>
          <w:color w:val="000000"/>
          <w:szCs w:val="24"/>
        </w:rPr>
        <w:t>elektromobilności</w:t>
      </w:r>
      <w:proofErr w:type="spellEnd"/>
      <w:r w:rsidRPr="00A87EBB">
        <w:rPr>
          <w:i/>
          <w:color w:val="000000"/>
          <w:szCs w:val="24"/>
        </w:rPr>
        <w:t xml:space="preserve"> i paliwach alternatywnych </w:t>
      </w:r>
      <w:r w:rsidRPr="00A87EBB">
        <w:rPr>
          <w:color w:val="000000"/>
          <w:szCs w:val="24"/>
        </w:rPr>
        <w:t>(Dz. U. z 2018 r. poz. 317, z późn. zm</w:t>
      </w:r>
      <w:r>
        <w:rPr>
          <w:color w:val="000000"/>
          <w:szCs w:val="24"/>
        </w:rPr>
        <w:t>.</w:t>
      </w:r>
      <w:r w:rsidRPr="00A87EBB">
        <w:rPr>
          <w:color w:val="000000"/>
          <w:szCs w:val="24"/>
        </w:rPr>
        <w:t>), nie dłużej jednak niż przez 18 miesięcy od dnia wejścia w życie projektowanej nowelizacji ustawy, i mogą być w tym czasie zmieniane.</w:t>
      </w:r>
    </w:p>
    <w:p w14:paraId="5D6D59CF" w14:textId="77777777" w:rsidR="00FF5857" w:rsidRPr="00A87EBB" w:rsidRDefault="00FF5857" w:rsidP="00FF5857">
      <w:pPr>
        <w:ind w:firstLine="708"/>
        <w:jc w:val="both"/>
        <w:rPr>
          <w:szCs w:val="24"/>
        </w:rPr>
      </w:pPr>
    </w:p>
    <w:p w14:paraId="471B2F65" w14:textId="77777777" w:rsidR="00FF5857" w:rsidRPr="00F81634" w:rsidRDefault="00FF5857" w:rsidP="00FF5857">
      <w:pPr>
        <w:pStyle w:val="Default"/>
        <w:jc w:val="both"/>
        <w:rPr>
          <w:b/>
          <w:bCs/>
        </w:rPr>
      </w:pPr>
      <w:r w:rsidRPr="00F81634">
        <w:rPr>
          <w:b/>
        </w:rPr>
        <w:t xml:space="preserve">6. </w:t>
      </w:r>
      <w:r w:rsidRPr="00F81634">
        <w:rPr>
          <w:b/>
          <w:bCs/>
        </w:rPr>
        <w:t>Projekt zawiera zmiany zgłoszone przez Dyrektora Generalnego KOWR, dotyczące m.in.:</w:t>
      </w:r>
    </w:p>
    <w:p w14:paraId="78F5FD52" w14:textId="77777777" w:rsidR="00FF5857" w:rsidRPr="00234162" w:rsidRDefault="00FF5857" w:rsidP="00FF5857">
      <w:pPr>
        <w:pStyle w:val="Default"/>
        <w:spacing w:line="360" w:lineRule="auto"/>
        <w:jc w:val="both"/>
        <w:rPr>
          <w:bCs/>
        </w:rPr>
      </w:pPr>
      <w:r w:rsidRPr="00BA3EA0">
        <w:rPr>
          <w:bCs/>
        </w:rPr>
        <w:tab/>
      </w:r>
      <w:r w:rsidRPr="00234162">
        <w:rPr>
          <w:bCs/>
        </w:rPr>
        <w:t xml:space="preserve">a) </w:t>
      </w:r>
      <w:r>
        <w:rPr>
          <w:bCs/>
        </w:rPr>
        <w:t>z</w:t>
      </w:r>
      <w:r w:rsidRPr="00234162">
        <w:rPr>
          <w:bCs/>
        </w:rPr>
        <w:t>mian</w:t>
      </w:r>
      <w:r>
        <w:rPr>
          <w:bCs/>
        </w:rPr>
        <w:t>a</w:t>
      </w:r>
      <w:r w:rsidRPr="00234162">
        <w:rPr>
          <w:bCs/>
        </w:rPr>
        <w:t xml:space="preserve"> treści art. 11 ust. 1 pkt 3 ustawy.</w:t>
      </w:r>
    </w:p>
    <w:p w14:paraId="10042582" w14:textId="77777777" w:rsidR="00FF5857" w:rsidRPr="00CA74C3" w:rsidRDefault="00FF5857" w:rsidP="00FF5857">
      <w:pPr>
        <w:tabs>
          <w:tab w:val="left" w:pos="709"/>
        </w:tabs>
        <w:jc w:val="both"/>
        <w:rPr>
          <w:spacing w:val="-6"/>
          <w:szCs w:val="24"/>
        </w:rPr>
      </w:pPr>
      <w:r>
        <w:rPr>
          <w:spacing w:val="-6"/>
          <w:szCs w:val="24"/>
        </w:rPr>
        <w:tab/>
        <w:t>Zgodnie z informacjami na temat funkcjonowania rynku c</w:t>
      </w:r>
      <w:r w:rsidRPr="00CA74C3">
        <w:rPr>
          <w:spacing w:val="-6"/>
          <w:szCs w:val="24"/>
        </w:rPr>
        <w:t>zęść wytwórców, oprócz działalności związanej z wytwarzaniem biokomponentów, przetwarza biomasę również na cele inne niż paliwowe (np. spożywcze), wykorzystując w tym celu inne zakłady wchodzące w skład swojego przedsiębiorstwa. Odpady lub pozostałości, które powstają w trakcie przerobu</w:t>
      </w:r>
      <w:r>
        <w:rPr>
          <w:spacing w:val="-6"/>
          <w:szCs w:val="24"/>
        </w:rPr>
        <w:t xml:space="preserve"> </w:t>
      </w:r>
      <w:r w:rsidRPr="00CA74C3">
        <w:rPr>
          <w:spacing w:val="-6"/>
          <w:szCs w:val="24"/>
        </w:rPr>
        <w:t xml:space="preserve">ww. biomasy, zgodnie z obecnymi przepisami, nie mogą być zaliczane do parytetu surowcowego, o którym mowa w art. 11 ust. 3 ustawy. </w:t>
      </w:r>
      <w:r>
        <w:rPr>
          <w:spacing w:val="-6"/>
          <w:szCs w:val="24"/>
        </w:rPr>
        <w:t>Stąd propozycja dotycząca rozszerzenia zakresu pkt 3 w art. 11 ust. 1 ustawy oraz dodatkowych zmian będących konsekwencją wprowadzenia ww. rozszerzenia (np. zmiana w art. 23 ust. 4 pkt 3). Zaproponowane rozwiązanie pozwoli efektywniej wykorzystywać biomasę powstałą/przetwarzaną na potrzeby wytwarzania biokomponentów.</w:t>
      </w:r>
    </w:p>
    <w:p w14:paraId="0A1FA34D" w14:textId="77777777" w:rsidR="00FF5857" w:rsidRPr="001F7011" w:rsidRDefault="00FF5857" w:rsidP="00FF5857">
      <w:pPr>
        <w:suppressAutoHyphens/>
        <w:spacing w:before="120"/>
        <w:ind w:firstLine="708"/>
        <w:jc w:val="both"/>
        <w:rPr>
          <w:spacing w:val="-6"/>
          <w:szCs w:val="24"/>
        </w:rPr>
      </w:pPr>
      <w:r>
        <w:rPr>
          <w:color w:val="000000"/>
          <w:szCs w:val="24"/>
        </w:rPr>
        <w:t>b</w:t>
      </w:r>
      <w:r w:rsidRPr="001F7011">
        <w:rPr>
          <w:color w:val="000000"/>
          <w:szCs w:val="24"/>
        </w:rPr>
        <w:t xml:space="preserve">) </w:t>
      </w:r>
      <w:r>
        <w:rPr>
          <w:color w:val="000000"/>
          <w:szCs w:val="24"/>
        </w:rPr>
        <w:t>z</w:t>
      </w:r>
      <w:r w:rsidRPr="001F7011">
        <w:rPr>
          <w:color w:val="000000"/>
          <w:szCs w:val="24"/>
        </w:rPr>
        <w:t>mian</w:t>
      </w:r>
      <w:r>
        <w:rPr>
          <w:color w:val="000000"/>
          <w:szCs w:val="24"/>
        </w:rPr>
        <w:t>a</w:t>
      </w:r>
      <w:r w:rsidRPr="001F7011">
        <w:rPr>
          <w:color w:val="000000"/>
          <w:szCs w:val="24"/>
        </w:rPr>
        <w:t xml:space="preserve"> </w:t>
      </w:r>
      <w:r>
        <w:rPr>
          <w:color w:val="000000"/>
          <w:szCs w:val="24"/>
        </w:rPr>
        <w:t xml:space="preserve">w </w:t>
      </w:r>
      <w:r w:rsidRPr="001F7011">
        <w:rPr>
          <w:spacing w:val="-6"/>
          <w:szCs w:val="24"/>
        </w:rPr>
        <w:t xml:space="preserve">art. 28n ustawy, </w:t>
      </w:r>
      <w:r>
        <w:rPr>
          <w:spacing w:val="-6"/>
          <w:szCs w:val="24"/>
        </w:rPr>
        <w:t xml:space="preserve">mająca na celu dodanie </w:t>
      </w:r>
      <w:r w:rsidRPr="001F7011">
        <w:rPr>
          <w:spacing w:val="-6"/>
          <w:szCs w:val="24"/>
        </w:rPr>
        <w:t>ust. 2</w:t>
      </w:r>
      <w:r>
        <w:rPr>
          <w:spacing w:val="-6"/>
          <w:szCs w:val="24"/>
        </w:rPr>
        <w:t>.</w:t>
      </w:r>
    </w:p>
    <w:p w14:paraId="7AC887DA" w14:textId="77777777" w:rsidR="00FF5857" w:rsidRDefault="00FF5857" w:rsidP="00FF5857">
      <w:pPr>
        <w:tabs>
          <w:tab w:val="left" w:pos="709"/>
        </w:tabs>
        <w:jc w:val="both"/>
        <w:rPr>
          <w:spacing w:val="-6"/>
          <w:szCs w:val="24"/>
        </w:rPr>
      </w:pPr>
      <w:r>
        <w:rPr>
          <w:spacing w:val="-6"/>
          <w:szCs w:val="24"/>
        </w:rPr>
        <w:tab/>
      </w:r>
      <w:r w:rsidRPr="00234162">
        <w:rPr>
          <w:spacing w:val="-6"/>
          <w:szCs w:val="24"/>
        </w:rPr>
        <w:t>Zgodnie z art. 28l ust. 5 pkt 3 ustawy, przedsiębiorca ubiegający się o uzyskanie wpisu w</w:t>
      </w:r>
      <w:r>
        <w:rPr>
          <w:spacing w:val="-6"/>
          <w:szCs w:val="24"/>
        </w:rPr>
        <w:t> </w:t>
      </w:r>
      <w:r w:rsidRPr="00234162">
        <w:rPr>
          <w:spacing w:val="-6"/>
          <w:szCs w:val="24"/>
        </w:rPr>
        <w:t xml:space="preserve">rejestrze administratorów systemów certyfikacji, wraz z wnioskiem o wpis do ww. rejestru, jest zobowiązany do przekazania Dyrektorowi Generalnemu KOWR </w:t>
      </w:r>
      <w:r>
        <w:rPr>
          <w:spacing w:val="-6"/>
          <w:szCs w:val="24"/>
        </w:rPr>
        <w:t xml:space="preserve">przetłumaczonych </w:t>
      </w:r>
      <w:r w:rsidRPr="00234162">
        <w:rPr>
          <w:spacing w:val="-6"/>
          <w:szCs w:val="24"/>
        </w:rPr>
        <w:t xml:space="preserve">dokumentów uznanego systemu certyfikacji, zatwierdzonych przez Komisję Europejską. Dalsze przepisy ustawy </w:t>
      </w:r>
      <w:r w:rsidRPr="00234162">
        <w:rPr>
          <w:spacing w:val="-6"/>
          <w:szCs w:val="24"/>
        </w:rPr>
        <w:lastRenderedPageBreak/>
        <w:t xml:space="preserve">nie zobowiązują jednak administratora systemu certyfikacji do przekazywania do KOWR informacji  </w:t>
      </w:r>
      <w:r>
        <w:rPr>
          <w:spacing w:val="-6"/>
          <w:szCs w:val="24"/>
        </w:rPr>
        <w:t xml:space="preserve">na temat </w:t>
      </w:r>
      <w:r w:rsidRPr="00234162">
        <w:rPr>
          <w:spacing w:val="-6"/>
          <w:szCs w:val="24"/>
        </w:rPr>
        <w:t>zmian wprowadzanych w dokumentacji systemowej</w:t>
      </w:r>
      <w:r>
        <w:rPr>
          <w:spacing w:val="-6"/>
          <w:szCs w:val="24"/>
        </w:rPr>
        <w:t>, które zostały przez Komisję Europejską zaakceptowane.</w:t>
      </w:r>
      <w:r w:rsidRPr="00234162">
        <w:rPr>
          <w:spacing w:val="-6"/>
          <w:szCs w:val="24"/>
        </w:rPr>
        <w:t xml:space="preserve"> W</w:t>
      </w:r>
      <w:r>
        <w:rPr>
          <w:spacing w:val="-6"/>
          <w:szCs w:val="24"/>
        </w:rPr>
        <w:t xml:space="preserve">prowadzony przepis reguluje sytuację, na podstawie której </w:t>
      </w:r>
      <w:r w:rsidRPr="00234162">
        <w:rPr>
          <w:spacing w:val="-6"/>
          <w:szCs w:val="24"/>
        </w:rPr>
        <w:t xml:space="preserve">organ rejestrowy </w:t>
      </w:r>
      <w:r>
        <w:rPr>
          <w:spacing w:val="-6"/>
          <w:szCs w:val="24"/>
        </w:rPr>
        <w:t xml:space="preserve">będzie otrzymywał </w:t>
      </w:r>
      <w:r w:rsidRPr="00234162">
        <w:rPr>
          <w:spacing w:val="-6"/>
          <w:szCs w:val="24"/>
        </w:rPr>
        <w:t>aktualn</w:t>
      </w:r>
      <w:r>
        <w:rPr>
          <w:spacing w:val="-6"/>
          <w:szCs w:val="24"/>
        </w:rPr>
        <w:t>e</w:t>
      </w:r>
      <w:r w:rsidRPr="00234162">
        <w:rPr>
          <w:spacing w:val="-6"/>
          <w:szCs w:val="24"/>
        </w:rPr>
        <w:t xml:space="preserve"> procedur</w:t>
      </w:r>
      <w:r>
        <w:rPr>
          <w:spacing w:val="-6"/>
          <w:szCs w:val="24"/>
        </w:rPr>
        <w:t>y</w:t>
      </w:r>
      <w:r w:rsidRPr="00234162">
        <w:rPr>
          <w:spacing w:val="-6"/>
          <w:szCs w:val="24"/>
        </w:rPr>
        <w:t xml:space="preserve"> uznanego systemu certyfikacji, co </w:t>
      </w:r>
      <w:r>
        <w:rPr>
          <w:spacing w:val="-6"/>
          <w:szCs w:val="24"/>
        </w:rPr>
        <w:t>eliminuje</w:t>
      </w:r>
      <w:r w:rsidRPr="00234162">
        <w:rPr>
          <w:spacing w:val="-6"/>
          <w:szCs w:val="24"/>
        </w:rPr>
        <w:t xml:space="preserve"> wątpliwości</w:t>
      </w:r>
      <w:r>
        <w:rPr>
          <w:spacing w:val="-6"/>
          <w:szCs w:val="24"/>
        </w:rPr>
        <w:t xml:space="preserve"> </w:t>
      </w:r>
      <w:r w:rsidRPr="00234162">
        <w:rPr>
          <w:spacing w:val="-6"/>
          <w:szCs w:val="24"/>
        </w:rPr>
        <w:t>dotycząc</w:t>
      </w:r>
      <w:r>
        <w:rPr>
          <w:spacing w:val="-6"/>
          <w:szCs w:val="24"/>
        </w:rPr>
        <w:t xml:space="preserve">e </w:t>
      </w:r>
      <w:r w:rsidRPr="00234162">
        <w:rPr>
          <w:spacing w:val="-6"/>
          <w:szCs w:val="24"/>
        </w:rPr>
        <w:t xml:space="preserve">możliwości posługiwania się przedmiotowymi dokumentami w trakcie prowadzonych postępowań administracyjnych. </w:t>
      </w:r>
    </w:p>
    <w:p w14:paraId="7A10AFF3" w14:textId="77777777" w:rsidR="00FF5857" w:rsidRPr="00E2310A" w:rsidRDefault="00FF5857" w:rsidP="00FF5857">
      <w:pPr>
        <w:tabs>
          <w:tab w:val="left" w:pos="709"/>
        </w:tabs>
        <w:jc w:val="both"/>
        <w:rPr>
          <w:b/>
          <w:color w:val="000000"/>
          <w:szCs w:val="24"/>
        </w:rPr>
      </w:pPr>
      <w:r>
        <w:rPr>
          <w:spacing w:val="-6"/>
          <w:szCs w:val="24"/>
        </w:rPr>
        <w:tab/>
        <w:t xml:space="preserve">Wprowadzony ust. 2 w art. 28n ustawy zobowiązuje administratorów uznanych systemów certyfikacji do przekazania tłumaczenia aktualnych dokumentów systemowych w </w:t>
      </w:r>
      <w:r w:rsidRPr="00234162">
        <w:rPr>
          <w:spacing w:val="-6"/>
          <w:szCs w:val="24"/>
        </w:rPr>
        <w:t>terminie 30 dni od dnia zatwierdzenia przez Komisję Europejską wprowadzonych zmian, pod rygorem wykreślenia z</w:t>
      </w:r>
      <w:r>
        <w:rPr>
          <w:spacing w:val="-6"/>
          <w:szCs w:val="24"/>
        </w:rPr>
        <w:t> </w:t>
      </w:r>
      <w:r w:rsidRPr="00234162">
        <w:rPr>
          <w:spacing w:val="-6"/>
          <w:szCs w:val="24"/>
        </w:rPr>
        <w:t>rejestru administratorów systemów certyfikacji</w:t>
      </w:r>
      <w:r>
        <w:rPr>
          <w:spacing w:val="-6"/>
          <w:szCs w:val="24"/>
        </w:rPr>
        <w:t>.</w:t>
      </w:r>
    </w:p>
    <w:p w14:paraId="6D3B03EC" w14:textId="77777777" w:rsidR="00FF5857" w:rsidRDefault="00FF5857" w:rsidP="00FF5857">
      <w:pPr>
        <w:suppressAutoHyphens/>
        <w:spacing w:before="120"/>
        <w:jc w:val="both"/>
        <w:rPr>
          <w:spacing w:val="-6"/>
          <w:szCs w:val="24"/>
        </w:rPr>
      </w:pPr>
      <w:r w:rsidRPr="001F7011">
        <w:rPr>
          <w:color w:val="000000"/>
          <w:szCs w:val="24"/>
        </w:rPr>
        <w:tab/>
      </w:r>
      <w:r>
        <w:rPr>
          <w:color w:val="000000"/>
          <w:szCs w:val="24"/>
        </w:rPr>
        <w:t>c</w:t>
      </w:r>
      <w:r w:rsidRPr="001F7011">
        <w:rPr>
          <w:color w:val="000000"/>
          <w:szCs w:val="24"/>
        </w:rPr>
        <w:t>)</w:t>
      </w:r>
      <w:r>
        <w:rPr>
          <w:color w:val="000000"/>
          <w:szCs w:val="24"/>
        </w:rPr>
        <w:t xml:space="preserve"> zmiana art. 30 ust</w:t>
      </w:r>
      <w:r>
        <w:rPr>
          <w:spacing w:val="-6"/>
          <w:szCs w:val="24"/>
        </w:rPr>
        <w:t>. 1 pkt 1 lit. b ustawy określającego zakres sprawozdań wytwórców składanych do KOWR.</w:t>
      </w:r>
    </w:p>
    <w:p w14:paraId="0C125E50" w14:textId="77777777" w:rsidR="00FF5857" w:rsidRDefault="00FF5857" w:rsidP="00FF5857">
      <w:pPr>
        <w:tabs>
          <w:tab w:val="left" w:pos="709"/>
        </w:tabs>
        <w:jc w:val="both"/>
        <w:rPr>
          <w:spacing w:val="-6"/>
          <w:szCs w:val="24"/>
        </w:rPr>
      </w:pPr>
      <w:r>
        <w:rPr>
          <w:spacing w:val="-6"/>
          <w:szCs w:val="24"/>
        </w:rPr>
        <w:tab/>
      </w:r>
      <w:r w:rsidRPr="00854D77">
        <w:rPr>
          <w:spacing w:val="-6"/>
          <w:szCs w:val="24"/>
        </w:rPr>
        <w:t>Zaproponowana zmiana ma na celu ułatwienie wytwórcom biokomponentów wywiązywani</w:t>
      </w:r>
      <w:r>
        <w:rPr>
          <w:spacing w:val="-6"/>
          <w:szCs w:val="24"/>
        </w:rPr>
        <w:t>a</w:t>
      </w:r>
      <w:r w:rsidRPr="00854D77">
        <w:rPr>
          <w:spacing w:val="-6"/>
          <w:szCs w:val="24"/>
        </w:rPr>
        <w:t xml:space="preserve"> się z obowiązku raportowania do KOWR danych dotyczących produkcji biokomponentów oraz dostosowani</w:t>
      </w:r>
      <w:r>
        <w:rPr>
          <w:spacing w:val="-6"/>
          <w:szCs w:val="24"/>
        </w:rPr>
        <w:t>e</w:t>
      </w:r>
      <w:r w:rsidRPr="00854D77">
        <w:rPr>
          <w:spacing w:val="-6"/>
          <w:szCs w:val="24"/>
        </w:rPr>
        <w:t xml:space="preserve"> przepisów do zmian zachodzących na rynku biokomponentów. Obecnie przy wypełnianiu sprawozdań kwartalnych pojawiają się wątpliwości interpretacyjne dotyczące źródła pozyskania surowców rolniczych i biomasy wykorzystanych do produkcji biokomponentów oraz kraju pochodzenia ww. surowców. </w:t>
      </w:r>
    </w:p>
    <w:p w14:paraId="37B8D3FE" w14:textId="77777777" w:rsidR="00FF5857" w:rsidRDefault="00FF5857" w:rsidP="00FF5857">
      <w:pPr>
        <w:tabs>
          <w:tab w:val="left" w:pos="709"/>
        </w:tabs>
        <w:jc w:val="both"/>
        <w:rPr>
          <w:spacing w:val="-6"/>
          <w:szCs w:val="24"/>
        </w:rPr>
      </w:pPr>
      <w:r>
        <w:rPr>
          <w:spacing w:val="-6"/>
          <w:szCs w:val="24"/>
        </w:rPr>
        <w:tab/>
      </w:r>
      <w:r w:rsidRPr="00854D77">
        <w:rPr>
          <w:spacing w:val="-6"/>
          <w:szCs w:val="24"/>
        </w:rPr>
        <w:t>Wprowadzenie zaproponowanych zmian pozwoli na eliminację powyższych wątpliwości</w:t>
      </w:r>
      <w:r>
        <w:rPr>
          <w:spacing w:val="-6"/>
          <w:szCs w:val="24"/>
        </w:rPr>
        <w:t xml:space="preserve">, tj. </w:t>
      </w:r>
      <w:r w:rsidRPr="00854D77">
        <w:rPr>
          <w:spacing w:val="-6"/>
          <w:szCs w:val="24"/>
        </w:rPr>
        <w:t xml:space="preserve">kraj pochodzenia będzie odnosił się do surowców rolniczych wykorzystanych do produkcji biokomponentów lub surowców rolniczych wykorzystanych do wytworzenia biomasy przetworzonej na biokomponent, a w przypadku odpadów lub pozostałości – każdorazowo zostanie wykazany kraj </w:t>
      </w:r>
      <w:r>
        <w:rPr>
          <w:spacing w:val="-6"/>
          <w:szCs w:val="24"/>
        </w:rPr>
        <w:t>ich powstania</w:t>
      </w:r>
      <w:r w:rsidRPr="00854D77">
        <w:rPr>
          <w:spacing w:val="-6"/>
          <w:szCs w:val="24"/>
        </w:rPr>
        <w:t xml:space="preserve">. </w:t>
      </w:r>
    </w:p>
    <w:p w14:paraId="48A98234" w14:textId="77777777" w:rsidR="00FF5857" w:rsidRPr="00854D77" w:rsidRDefault="00FF5857" w:rsidP="00FF5857">
      <w:pPr>
        <w:tabs>
          <w:tab w:val="left" w:pos="709"/>
        </w:tabs>
        <w:jc w:val="both"/>
        <w:rPr>
          <w:color w:val="000000"/>
          <w:szCs w:val="24"/>
        </w:rPr>
      </w:pPr>
      <w:r>
        <w:rPr>
          <w:spacing w:val="-6"/>
          <w:szCs w:val="24"/>
        </w:rPr>
        <w:tab/>
      </w:r>
      <w:r w:rsidRPr="00854D77">
        <w:rPr>
          <w:spacing w:val="-6"/>
          <w:szCs w:val="24"/>
        </w:rPr>
        <w:t>Ponadto, podczas wypełniania sprawozdania kwartalnego najwięcej błędów powstaje w</w:t>
      </w:r>
      <w:r>
        <w:rPr>
          <w:spacing w:val="-6"/>
          <w:szCs w:val="24"/>
        </w:rPr>
        <w:t> </w:t>
      </w:r>
      <w:r w:rsidRPr="00854D77">
        <w:rPr>
          <w:spacing w:val="-6"/>
          <w:szCs w:val="24"/>
        </w:rPr>
        <w:t>związku z obowiązkiem przedstawiania wartości emisji gazów cieplarnianych surowca (surowca rolniczego lub biomasy) wykorzystanego do produkcji biokomponentu. Łańcuch dostaw obejmuje wiele składowych (m.in. etap uprawy, przetwarzania oraz transportu) wyrażonych w różnych jednostkach (w gCO</w:t>
      </w:r>
      <w:r w:rsidRPr="00854D77">
        <w:rPr>
          <w:spacing w:val="-6"/>
          <w:szCs w:val="24"/>
          <w:vertAlign w:val="subscript"/>
        </w:rPr>
        <w:t>2eq</w:t>
      </w:r>
      <w:r w:rsidRPr="00854D77">
        <w:rPr>
          <w:spacing w:val="-6"/>
          <w:szCs w:val="24"/>
        </w:rPr>
        <w:t>/MJ dla biokomponentu lub gCO</w:t>
      </w:r>
      <w:r w:rsidRPr="00854D77">
        <w:rPr>
          <w:spacing w:val="-6"/>
          <w:szCs w:val="24"/>
          <w:vertAlign w:val="subscript"/>
        </w:rPr>
        <w:t>2eq</w:t>
      </w:r>
      <w:r w:rsidRPr="00854D77">
        <w:rPr>
          <w:spacing w:val="-6"/>
          <w:szCs w:val="24"/>
        </w:rPr>
        <w:t xml:space="preserve">/t w przeliczeniu na </w:t>
      </w:r>
      <w:r w:rsidRPr="00F37CDF">
        <w:rPr>
          <w:spacing w:val="-6"/>
          <w:szCs w:val="24"/>
        </w:rPr>
        <w:t xml:space="preserve">suchą masę surowca rolniczego) </w:t>
      </w:r>
      <w:r>
        <w:rPr>
          <w:spacing w:val="-6"/>
          <w:szCs w:val="24"/>
        </w:rPr>
        <w:t xml:space="preserve">– w </w:t>
      </w:r>
      <w:r w:rsidRPr="00854D77">
        <w:rPr>
          <w:spacing w:val="-6"/>
          <w:szCs w:val="24"/>
        </w:rPr>
        <w:t>związku z powyższym pojawiły się trudności związ</w:t>
      </w:r>
      <w:r>
        <w:rPr>
          <w:spacing w:val="-6"/>
          <w:szCs w:val="24"/>
        </w:rPr>
        <w:t xml:space="preserve">ane z wykazywaniem </w:t>
      </w:r>
      <w:r>
        <w:rPr>
          <w:spacing w:val="-6"/>
          <w:szCs w:val="24"/>
        </w:rPr>
        <w:br/>
        <w:t xml:space="preserve">ww. danych  - </w:t>
      </w:r>
      <w:r w:rsidRPr="00854D77">
        <w:rPr>
          <w:spacing w:val="-6"/>
          <w:szCs w:val="24"/>
        </w:rPr>
        <w:t>sumowanie wartości emisji gazów cieplarnianych dla etapu uprawy surowca oraz wartości emisji gazów cieplarnianych okre</w:t>
      </w:r>
      <w:r>
        <w:rPr>
          <w:spacing w:val="-6"/>
          <w:szCs w:val="24"/>
        </w:rPr>
        <w:t>ślonych dla pozostałych etapów</w:t>
      </w:r>
      <w:r w:rsidRPr="00F37CDF">
        <w:rPr>
          <w:spacing w:val="-6"/>
          <w:szCs w:val="24"/>
        </w:rPr>
        <w:t>. W związku z</w:t>
      </w:r>
      <w:r>
        <w:rPr>
          <w:spacing w:val="-6"/>
          <w:szCs w:val="24"/>
        </w:rPr>
        <w:t> </w:t>
      </w:r>
      <w:r w:rsidRPr="00F37CDF">
        <w:rPr>
          <w:spacing w:val="-6"/>
          <w:szCs w:val="24"/>
        </w:rPr>
        <w:t xml:space="preserve">powyższym, oraz z uwagi na znikomą wartość przekazywanych danych na tym etapie </w:t>
      </w:r>
      <w:r>
        <w:rPr>
          <w:spacing w:val="-6"/>
          <w:szCs w:val="24"/>
        </w:rPr>
        <w:t>–</w:t>
      </w:r>
      <w:r w:rsidRPr="00F37CDF">
        <w:rPr>
          <w:spacing w:val="-6"/>
          <w:szCs w:val="24"/>
        </w:rPr>
        <w:t xml:space="preserve"> </w:t>
      </w:r>
      <w:r>
        <w:rPr>
          <w:spacing w:val="-6"/>
          <w:szCs w:val="24"/>
        </w:rPr>
        <w:t xml:space="preserve">usunięto z zakresu sprawozdawczości obowiązek przekazywania danych na temat poziomu emisji gazów </w:t>
      </w:r>
      <w:r>
        <w:rPr>
          <w:spacing w:val="-6"/>
          <w:szCs w:val="24"/>
        </w:rPr>
        <w:lastRenderedPageBreak/>
        <w:t>cieplarnianych dla surowca.</w:t>
      </w:r>
    </w:p>
    <w:p w14:paraId="29F4D0F2" w14:textId="77777777" w:rsidR="00FF5857" w:rsidRDefault="00FF5857" w:rsidP="00FF5857">
      <w:pPr>
        <w:suppressAutoHyphens/>
        <w:spacing w:before="120"/>
        <w:jc w:val="both"/>
        <w:rPr>
          <w:color w:val="000000"/>
          <w:szCs w:val="24"/>
        </w:rPr>
      </w:pPr>
      <w:r w:rsidRPr="001F7011">
        <w:rPr>
          <w:color w:val="000000"/>
          <w:szCs w:val="24"/>
        </w:rPr>
        <w:tab/>
      </w:r>
      <w:r>
        <w:rPr>
          <w:color w:val="000000"/>
          <w:szCs w:val="24"/>
        </w:rPr>
        <w:t>d</w:t>
      </w:r>
      <w:r w:rsidRPr="001F7011">
        <w:rPr>
          <w:color w:val="000000"/>
          <w:szCs w:val="24"/>
        </w:rPr>
        <w:t>)</w:t>
      </w:r>
      <w:r>
        <w:rPr>
          <w:color w:val="000000"/>
          <w:szCs w:val="24"/>
        </w:rPr>
        <w:t xml:space="preserve"> uchylenie art. 30 ust. 1c ustawy.</w:t>
      </w:r>
    </w:p>
    <w:p w14:paraId="30009567" w14:textId="77777777" w:rsidR="00FF5857" w:rsidRPr="003B36F0" w:rsidRDefault="00FF5857" w:rsidP="00FF5857">
      <w:pPr>
        <w:suppressAutoHyphens/>
        <w:spacing w:before="120"/>
        <w:ind w:firstLine="708"/>
        <w:jc w:val="both"/>
        <w:rPr>
          <w:color w:val="000000"/>
          <w:szCs w:val="24"/>
        </w:rPr>
      </w:pPr>
      <w:r w:rsidRPr="003B36F0">
        <w:rPr>
          <w:spacing w:val="-6"/>
          <w:szCs w:val="24"/>
        </w:rPr>
        <w:t xml:space="preserve">Zgodnie z obecnie obowiązującym przepisem art. 28y ustawy, jednostki certyfikujące są zobowiązane do informowania organu rejestrowego o wydaniu lub cofnięciu certyfikatu podmiotowi certyfikowanemu, w terminie 14 dni od dnia jego wydania lub cofnięcia. Mając na uwadze, iż Dyrektor Generalny KOWR, na podstawie ww. informacji, jest w posiadaniu danych o wszystkich wydanych lub cofniętych certyfikatach podmiotom certyfikowanym, w tym również certyfikatach wydanych wytwórcom i podmiotom sprowadzającym, </w:t>
      </w:r>
      <w:r>
        <w:rPr>
          <w:spacing w:val="-6"/>
          <w:szCs w:val="24"/>
        </w:rPr>
        <w:t xml:space="preserve">wprowadzono przepis uchylający obowiązek przekazywania tych danych również przez same </w:t>
      </w:r>
      <w:r w:rsidRPr="003B36F0">
        <w:rPr>
          <w:spacing w:val="-6"/>
          <w:szCs w:val="24"/>
        </w:rPr>
        <w:t xml:space="preserve">podmioty. </w:t>
      </w:r>
    </w:p>
    <w:p w14:paraId="217060D1" w14:textId="77777777" w:rsidR="00FF5857" w:rsidRDefault="00FF5857" w:rsidP="00FF5857">
      <w:pPr>
        <w:suppressAutoHyphens/>
        <w:spacing w:before="120"/>
        <w:jc w:val="both"/>
        <w:rPr>
          <w:color w:val="000000"/>
          <w:szCs w:val="24"/>
        </w:rPr>
      </w:pPr>
      <w:r w:rsidRPr="001F7011">
        <w:rPr>
          <w:color w:val="000000"/>
          <w:szCs w:val="24"/>
        </w:rPr>
        <w:tab/>
      </w:r>
      <w:r>
        <w:rPr>
          <w:color w:val="000000"/>
          <w:szCs w:val="24"/>
        </w:rPr>
        <w:t>e</w:t>
      </w:r>
      <w:r w:rsidRPr="001F7011">
        <w:rPr>
          <w:color w:val="000000"/>
          <w:szCs w:val="24"/>
        </w:rPr>
        <w:t>)</w:t>
      </w:r>
      <w:r>
        <w:rPr>
          <w:color w:val="000000"/>
          <w:szCs w:val="24"/>
        </w:rPr>
        <w:t xml:space="preserve"> </w:t>
      </w:r>
      <w:proofErr w:type="spellStart"/>
      <w:r>
        <w:rPr>
          <w:color w:val="000000"/>
          <w:szCs w:val="24"/>
        </w:rPr>
        <w:t>emiany</w:t>
      </w:r>
      <w:proofErr w:type="spellEnd"/>
      <w:r>
        <w:rPr>
          <w:color w:val="000000"/>
          <w:szCs w:val="24"/>
        </w:rPr>
        <w:t xml:space="preserve"> w zakresie brzmienia art. 30 ust. 1, ust. 1b, ust. 2e ustawy w zakresie sprawozdawczości wytwórców i podmiotów sprowadzających.</w:t>
      </w:r>
    </w:p>
    <w:p w14:paraId="6F3F07F1" w14:textId="77777777" w:rsidR="00FF5857" w:rsidRDefault="00FF5857" w:rsidP="00FF5857">
      <w:pPr>
        <w:suppressAutoHyphens/>
        <w:spacing w:before="120"/>
        <w:ind w:firstLine="708"/>
        <w:jc w:val="both"/>
        <w:rPr>
          <w:spacing w:val="-6"/>
          <w:szCs w:val="24"/>
        </w:rPr>
      </w:pPr>
      <w:r>
        <w:rPr>
          <w:spacing w:val="-6"/>
          <w:szCs w:val="24"/>
        </w:rPr>
        <w:t>Mając na uwadze obszerny</w:t>
      </w:r>
      <w:r w:rsidRPr="008D3E76">
        <w:rPr>
          <w:spacing w:val="-6"/>
          <w:szCs w:val="24"/>
        </w:rPr>
        <w:t xml:space="preserve"> zakres sprawozdań kwartalnych składanych przez wytwórców (art. 30 ust. 1 ustawy) oraz podmioty sprowadzające (art. 30 ust. 1b ustawy), </w:t>
      </w:r>
      <w:r>
        <w:rPr>
          <w:spacing w:val="-6"/>
          <w:szCs w:val="24"/>
        </w:rPr>
        <w:t>uznano za zasadne</w:t>
      </w:r>
      <w:r w:rsidRPr="008D3E76">
        <w:rPr>
          <w:spacing w:val="-6"/>
          <w:szCs w:val="24"/>
        </w:rPr>
        <w:t xml:space="preserve"> wprowadzenie przepisu </w:t>
      </w:r>
      <w:r>
        <w:rPr>
          <w:spacing w:val="-6"/>
          <w:szCs w:val="24"/>
        </w:rPr>
        <w:t>mającego na celu usprawnienie</w:t>
      </w:r>
      <w:r w:rsidRPr="008D3E76">
        <w:rPr>
          <w:spacing w:val="-6"/>
          <w:szCs w:val="24"/>
        </w:rPr>
        <w:t xml:space="preserve"> proces</w:t>
      </w:r>
      <w:r>
        <w:rPr>
          <w:spacing w:val="-6"/>
          <w:szCs w:val="24"/>
        </w:rPr>
        <w:t>u</w:t>
      </w:r>
      <w:r w:rsidRPr="008D3E76">
        <w:rPr>
          <w:spacing w:val="-6"/>
          <w:szCs w:val="24"/>
        </w:rPr>
        <w:t xml:space="preserve"> raportowania danych</w:t>
      </w:r>
      <w:r>
        <w:rPr>
          <w:spacing w:val="-6"/>
          <w:szCs w:val="24"/>
        </w:rPr>
        <w:t xml:space="preserve"> oraz zmniejszenie obciążeń nakładanych w tym zakresie na przedsiębiorców</w:t>
      </w:r>
      <w:r w:rsidRPr="008D3E76">
        <w:rPr>
          <w:spacing w:val="-6"/>
          <w:szCs w:val="24"/>
        </w:rPr>
        <w:t>. Proponowany przepis wprowadza możliwość złożenia krót</w:t>
      </w:r>
      <w:r>
        <w:rPr>
          <w:spacing w:val="-6"/>
          <w:szCs w:val="24"/>
        </w:rPr>
        <w:t>kiego oświadczenia dotyczącego braku prowadzenia</w:t>
      </w:r>
      <w:r w:rsidRPr="008D3E76">
        <w:rPr>
          <w:spacing w:val="-6"/>
          <w:szCs w:val="24"/>
        </w:rPr>
        <w:t xml:space="preserve"> w danym kwartale działalności objętej sprawozdaniem, zamiast </w:t>
      </w:r>
      <w:r>
        <w:rPr>
          <w:spacing w:val="-6"/>
          <w:szCs w:val="24"/>
        </w:rPr>
        <w:t xml:space="preserve">konieczności </w:t>
      </w:r>
      <w:r w:rsidRPr="008D3E76">
        <w:rPr>
          <w:spacing w:val="-6"/>
          <w:szCs w:val="24"/>
        </w:rPr>
        <w:t>wypełniania wielostronicowego dokumentu zawierającego wyłącznie wartości zerowe. Powyższe rozwiązanie ułatwi przedsiębiorcom prowadzenie działalności, a także przyczyni się do zmniejszenia objętości dokumentów gromadzonych przez KOWR.</w:t>
      </w:r>
    </w:p>
    <w:p w14:paraId="60209678" w14:textId="1EE346A8" w:rsidR="00FF5857" w:rsidRDefault="00FF5857" w:rsidP="00FF5857">
      <w:pPr>
        <w:suppressAutoHyphens/>
        <w:spacing w:before="120"/>
        <w:ind w:firstLine="708"/>
        <w:jc w:val="both"/>
        <w:rPr>
          <w:spacing w:val="-6"/>
          <w:szCs w:val="24"/>
        </w:rPr>
      </w:pPr>
      <w:r>
        <w:rPr>
          <w:spacing w:val="-6"/>
          <w:szCs w:val="24"/>
        </w:rPr>
        <w:t xml:space="preserve">f) </w:t>
      </w:r>
      <w:r w:rsidR="00CC5937">
        <w:rPr>
          <w:spacing w:val="-6"/>
          <w:szCs w:val="24"/>
        </w:rPr>
        <w:t>z</w:t>
      </w:r>
      <w:r>
        <w:rPr>
          <w:spacing w:val="-6"/>
          <w:szCs w:val="24"/>
        </w:rPr>
        <w:t>miana art. 31b ustawy.</w:t>
      </w:r>
    </w:p>
    <w:p w14:paraId="5D39656A" w14:textId="77777777" w:rsidR="00FF5857" w:rsidRDefault="00FF5857" w:rsidP="00FF5857">
      <w:pPr>
        <w:suppressAutoHyphens/>
        <w:spacing w:before="120"/>
        <w:ind w:firstLine="708"/>
        <w:jc w:val="both"/>
        <w:rPr>
          <w:spacing w:val="-6"/>
          <w:szCs w:val="24"/>
        </w:rPr>
      </w:pPr>
      <w:r w:rsidRPr="00DC73E6">
        <w:rPr>
          <w:spacing w:val="-6"/>
          <w:szCs w:val="24"/>
        </w:rPr>
        <w:t>Na podstawie obecnie obowiązującego przepisu art. 28y ustawy jednostki certyfikujące są zobowiązane do informowania Dyrektora Generalnego KOWR o wydaniu lub cofnięciu certyfikatu podmiotowi certyfikowanemu, w terminie 14 dni od dnia jego wydania lub cofnięcia. Biorąc pod uwagę liczbę informacji przekazywanych do KOWR (w 2018 r. wpłynęło 361 informacji o</w:t>
      </w:r>
      <w:r>
        <w:rPr>
          <w:spacing w:val="-6"/>
          <w:szCs w:val="24"/>
        </w:rPr>
        <w:t> </w:t>
      </w:r>
      <w:r w:rsidRPr="00DC73E6">
        <w:rPr>
          <w:spacing w:val="-6"/>
          <w:szCs w:val="24"/>
        </w:rPr>
        <w:t xml:space="preserve">wydaniu/cofnięciu certyfikatu wraz z korektami) </w:t>
      </w:r>
      <w:r>
        <w:rPr>
          <w:spacing w:val="-6"/>
          <w:szCs w:val="24"/>
        </w:rPr>
        <w:t xml:space="preserve">dokonano zmian w ustawie mających  na celu </w:t>
      </w:r>
      <w:r w:rsidRPr="00DC73E6">
        <w:rPr>
          <w:spacing w:val="-6"/>
          <w:szCs w:val="24"/>
        </w:rPr>
        <w:t xml:space="preserve">wprowadzenie sprawozdawczości miesięcznej, </w:t>
      </w:r>
      <w:r>
        <w:rPr>
          <w:spacing w:val="-6"/>
          <w:szCs w:val="24"/>
        </w:rPr>
        <w:t>połączonej</w:t>
      </w:r>
      <w:r w:rsidRPr="00DC73E6">
        <w:rPr>
          <w:spacing w:val="-6"/>
          <w:szCs w:val="24"/>
        </w:rPr>
        <w:t xml:space="preserve"> z uchyleniem obowiązku przekazywania przez wytwórców biokomponentów i podmioty sprowadzające biokomponenty informacji o</w:t>
      </w:r>
      <w:r>
        <w:rPr>
          <w:spacing w:val="-6"/>
          <w:szCs w:val="24"/>
        </w:rPr>
        <w:t> </w:t>
      </w:r>
      <w:r w:rsidRPr="00DC73E6">
        <w:rPr>
          <w:spacing w:val="-6"/>
          <w:szCs w:val="24"/>
        </w:rPr>
        <w:t>otrzymaniu certyfikatu</w:t>
      </w:r>
      <w:r>
        <w:rPr>
          <w:spacing w:val="-6"/>
          <w:szCs w:val="24"/>
        </w:rPr>
        <w:t>.</w:t>
      </w:r>
    </w:p>
    <w:p w14:paraId="7DF47BF4" w14:textId="77777777" w:rsidR="00FF5857" w:rsidRDefault="00FF5857" w:rsidP="00FF5857">
      <w:pPr>
        <w:suppressAutoHyphens/>
        <w:spacing w:before="120"/>
        <w:ind w:firstLine="708"/>
        <w:jc w:val="both"/>
        <w:rPr>
          <w:spacing w:val="-6"/>
          <w:szCs w:val="24"/>
        </w:rPr>
      </w:pPr>
      <w:r>
        <w:rPr>
          <w:spacing w:val="-6"/>
          <w:szCs w:val="24"/>
        </w:rPr>
        <w:t>Zaproponowane zmiany</w:t>
      </w:r>
      <w:r w:rsidRPr="00DC73E6">
        <w:rPr>
          <w:spacing w:val="-6"/>
          <w:szCs w:val="24"/>
        </w:rPr>
        <w:t xml:space="preserve"> </w:t>
      </w:r>
      <w:r>
        <w:rPr>
          <w:spacing w:val="-6"/>
          <w:szCs w:val="24"/>
        </w:rPr>
        <w:t>spowodują</w:t>
      </w:r>
      <w:r w:rsidRPr="00DC73E6">
        <w:rPr>
          <w:spacing w:val="-6"/>
          <w:szCs w:val="24"/>
        </w:rPr>
        <w:t xml:space="preserve"> </w:t>
      </w:r>
      <w:r>
        <w:rPr>
          <w:spacing w:val="-6"/>
          <w:szCs w:val="24"/>
        </w:rPr>
        <w:t xml:space="preserve">ułatwienie </w:t>
      </w:r>
      <w:r w:rsidRPr="00DC73E6">
        <w:rPr>
          <w:spacing w:val="-6"/>
          <w:szCs w:val="24"/>
        </w:rPr>
        <w:t>dla przedsiębiorców polegające na zmniejszeniu ilości dokumentów niezbędnych do przygotowania i przesłania do organu rejestrowego</w:t>
      </w:r>
      <w:r>
        <w:rPr>
          <w:spacing w:val="-6"/>
          <w:szCs w:val="24"/>
        </w:rPr>
        <w:t xml:space="preserve">. </w:t>
      </w:r>
      <w:r>
        <w:rPr>
          <w:spacing w:val="-6"/>
          <w:szCs w:val="24"/>
        </w:rPr>
        <w:lastRenderedPageBreak/>
        <w:t xml:space="preserve">Przyczynią się również </w:t>
      </w:r>
      <w:r w:rsidRPr="00DC73E6">
        <w:rPr>
          <w:spacing w:val="-6"/>
          <w:szCs w:val="24"/>
        </w:rPr>
        <w:t>do zmniejszenia obciążeń administracyjnych w KOWR.</w:t>
      </w:r>
    </w:p>
    <w:p w14:paraId="274447CA" w14:textId="77777777" w:rsidR="00FF5857" w:rsidRDefault="00FF5857" w:rsidP="00FF5857">
      <w:pPr>
        <w:suppressAutoHyphens/>
        <w:spacing w:before="120"/>
        <w:ind w:firstLine="708"/>
        <w:jc w:val="both"/>
        <w:rPr>
          <w:spacing w:val="-6"/>
          <w:szCs w:val="24"/>
        </w:rPr>
      </w:pPr>
      <w:r w:rsidRPr="00DC73E6">
        <w:rPr>
          <w:spacing w:val="-6"/>
          <w:szCs w:val="24"/>
        </w:rPr>
        <w:t xml:space="preserve">Ponadto, z uwagi na zmianę częstotliwości składania powyższych sprawozdań miesięcznych oraz możliwość złożenia oświadczenia </w:t>
      </w:r>
      <w:r>
        <w:rPr>
          <w:spacing w:val="-6"/>
          <w:szCs w:val="24"/>
        </w:rPr>
        <w:t xml:space="preserve">w przypadku braku prowadzenia działalności w danym kwartale </w:t>
      </w:r>
      <w:r w:rsidRPr="00DC73E6">
        <w:rPr>
          <w:spacing w:val="-6"/>
          <w:szCs w:val="24"/>
        </w:rPr>
        <w:t xml:space="preserve">(zamiast </w:t>
      </w:r>
      <w:r>
        <w:rPr>
          <w:spacing w:val="-6"/>
          <w:szCs w:val="24"/>
        </w:rPr>
        <w:t xml:space="preserve">obowiązku złożenia </w:t>
      </w:r>
      <w:r w:rsidRPr="00DC73E6">
        <w:rPr>
          <w:spacing w:val="-6"/>
          <w:szCs w:val="24"/>
        </w:rPr>
        <w:t>sprawozdania), obowiązek przekazywania ww. dokumentów przeniesiono z rozdziału 4b „</w:t>
      </w:r>
      <w:r w:rsidRPr="00217639">
        <w:rPr>
          <w:i/>
          <w:spacing w:val="-6"/>
          <w:szCs w:val="24"/>
        </w:rPr>
        <w:t>Zasady wykonywania działalności gospodarczej</w:t>
      </w:r>
      <w:r w:rsidRPr="00DC73E6">
        <w:rPr>
          <w:spacing w:val="-6"/>
          <w:szCs w:val="24"/>
        </w:rPr>
        <w:t xml:space="preserve"> (…)” do rozdziału 6</w:t>
      </w:r>
      <w:r>
        <w:rPr>
          <w:spacing w:val="-6"/>
          <w:szCs w:val="24"/>
        </w:rPr>
        <w:t> </w:t>
      </w:r>
      <w:r w:rsidRPr="00DC73E6">
        <w:rPr>
          <w:spacing w:val="-6"/>
          <w:szCs w:val="24"/>
        </w:rPr>
        <w:t>„</w:t>
      </w:r>
      <w:r w:rsidRPr="00217639">
        <w:rPr>
          <w:i/>
          <w:spacing w:val="-6"/>
          <w:szCs w:val="24"/>
        </w:rPr>
        <w:t>Zasady sporządzania sprawozdawczości i tryb przedkładania sprawozdań</w:t>
      </w:r>
      <w:r w:rsidRPr="00DC73E6">
        <w:rPr>
          <w:spacing w:val="-6"/>
          <w:szCs w:val="24"/>
        </w:rPr>
        <w:t>”.</w:t>
      </w:r>
    </w:p>
    <w:p w14:paraId="0182C583" w14:textId="77777777" w:rsidR="00FF5857" w:rsidRPr="00DC73E6" w:rsidRDefault="00FF5857" w:rsidP="00FF5857">
      <w:pPr>
        <w:suppressAutoHyphens/>
        <w:spacing w:before="120"/>
        <w:ind w:firstLine="708"/>
        <w:jc w:val="both"/>
        <w:rPr>
          <w:spacing w:val="-6"/>
          <w:szCs w:val="24"/>
        </w:rPr>
      </w:pPr>
      <w:r>
        <w:rPr>
          <w:spacing w:val="-6"/>
          <w:szCs w:val="24"/>
        </w:rPr>
        <w:t>Konsekwentnie wprowadzono w przepisach ustawy przepisy dotyczące sankcji karnych z tytułu braku spełnienia wprowadzonych obowiązków (art. 33 ust. 1 pkt 1e) wraz z określeniem wysokości kary (art. 33 ust. 2 ustawy).</w:t>
      </w:r>
    </w:p>
    <w:p w14:paraId="10DFDDC0" w14:textId="77777777" w:rsidR="00FF5857" w:rsidRDefault="00FF5857" w:rsidP="00FF5857">
      <w:pPr>
        <w:suppressAutoHyphens/>
        <w:spacing w:before="120"/>
        <w:jc w:val="both"/>
        <w:rPr>
          <w:b/>
          <w:color w:val="000000"/>
          <w:szCs w:val="24"/>
        </w:rPr>
      </w:pPr>
    </w:p>
    <w:p w14:paraId="774ADA33" w14:textId="77777777" w:rsidR="00FF5857" w:rsidRPr="00A87EBB" w:rsidRDefault="00FF5857" w:rsidP="00FF5857">
      <w:pPr>
        <w:suppressAutoHyphens/>
        <w:spacing w:before="120" w:line="240" w:lineRule="auto"/>
        <w:jc w:val="both"/>
        <w:rPr>
          <w:b/>
          <w:color w:val="000000"/>
          <w:szCs w:val="24"/>
        </w:rPr>
      </w:pPr>
      <w:r>
        <w:rPr>
          <w:b/>
          <w:color w:val="000000"/>
          <w:szCs w:val="24"/>
        </w:rPr>
        <w:t xml:space="preserve">7. </w:t>
      </w:r>
      <w:r w:rsidRPr="00A87EBB">
        <w:rPr>
          <w:b/>
          <w:color w:val="000000"/>
          <w:szCs w:val="24"/>
        </w:rPr>
        <w:t>Zmiany przepisów w zakresie funkcjonowania F</w:t>
      </w:r>
      <w:r>
        <w:rPr>
          <w:b/>
          <w:color w:val="000000"/>
          <w:szCs w:val="24"/>
        </w:rPr>
        <w:t xml:space="preserve">unduszu </w:t>
      </w:r>
      <w:r w:rsidRPr="00A87EBB">
        <w:rPr>
          <w:b/>
          <w:color w:val="000000"/>
          <w:szCs w:val="24"/>
        </w:rPr>
        <w:t>N</w:t>
      </w:r>
      <w:r>
        <w:rPr>
          <w:b/>
          <w:color w:val="000000"/>
          <w:szCs w:val="24"/>
        </w:rPr>
        <w:t xml:space="preserve">iskoemisyjnego </w:t>
      </w:r>
      <w:r w:rsidRPr="00A87EBB">
        <w:rPr>
          <w:b/>
          <w:color w:val="000000"/>
          <w:szCs w:val="24"/>
        </w:rPr>
        <w:t>T</w:t>
      </w:r>
      <w:r>
        <w:rPr>
          <w:b/>
          <w:color w:val="000000"/>
          <w:szCs w:val="24"/>
        </w:rPr>
        <w:t>ransportu (dalej: „Fundusz”)</w:t>
      </w:r>
    </w:p>
    <w:p w14:paraId="0DA1DEDD" w14:textId="77777777" w:rsidR="00FF5857" w:rsidRDefault="00FF5857" w:rsidP="00FF5857">
      <w:pPr>
        <w:pStyle w:val="Default"/>
        <w:spacing w:line="360" w:lineRule="auto"/>
        <w:ind w:firstLine="708"/>
        <w:jc w:val="both"/>
      </w:pPr>
      <w:r w:rsidRPr="00A87EBB">
        <w:t xml:space="preserve">W związku z prowadzonymi w Ministerstwie Energii działaniami mającymi na celu uruchomienie funkcjonowania </w:t>
      </w:r>
      <w:r>
        <w:t>Funduszu</w:t>
      </w:r>
      <w:r w:rsidRPr="00A87EBB">
        <w:t xml:space="preserve">, w ramach prowadzonych działań zidentyfikowano kwestie wymagające doprecyzowania przepisów ustawy regulujących </w:t>
      </w:r>
      <w:r>
        <w:t xml:space="preserve">szczegółowe </w:t>
      </w:r>
      <w:r w:rsidRPr="00A87EBB">
        <w:t>zasady</w:t>
      </w:r>
      <w:r>
        <w:t xml:space="preserve"> jego </w:t>
      </w:r>
      <w:r w:rsidRPr="00A87EBB">
        <w:t>funkcjonowania.</w:t>
      </w:r>
    </w:p>
    <w:p w14:paraId="15EF779D" w14:textId="77777777" w:rsidR="00FF5857" w:rsidRPr="00A87EBB" w:rsidRDefault="00FF5857" w:rsidP="00FF5857">
      <w:pPr>
        <w:pStyle w:val="Default"/>
        <w:spacing w:line="360" w:lineRule="auto"/>
        <w:ind w:firstLine="708"/>
        <w:jc w:val="both"/>
      </w:pPr>
      <w:r>
        <w:t>W art. 28za ustawy uzupełniono uprawnienia dysponenta Funduszu w zakresie możliwości zawierania umów o udzielenie wsparcia w formie przewidzianej w art. 28ze ust. 3 pkt 3 ww. ustawy tj. w formie obejmowania lub nabywania na rzecz Skarbu Państwa akcji, udziałów lub obligacji emitowanych przez podmioty inne niż Skarb Państwa lub jednostki samorządu terytorialnego oraz wypłaty wsparcia udzielonego w ramach takich umów. Ponadto doprecyzowano zasady związane z wydawaniem decyzji dotyczących nieopodatkowanych należności budżetowych stanowiących przychód Funduszu poprzez wyraźne wskazanie, że zadania organu I instancji wykonuje Narodowy Fundusz Ochrony Środowiska i Gospodarki Wodnej (dalej: „NFOŚiGW”), zaś zadania organu odwoławczego wykonuje Minister Energii.</w:t>
      </w:r>
    </w:p>
    <w:p w14:paraId="1ECC85C6" w14:textId="77777777" w:rsidR="00FF5857" w:rsidRPr="00A87EBB" w:rsidRDefault="00FF5857" w:rsidP="00FF5857">
      <w:pPr>
        <w:pStyle w:val="Default"/>
        <w:spacing w:line="360" w:lineRule="auto"/>
        <w:ind w:firstLine="708"/>
        <w:jc w:val="both"/>
      </w:pPr>
      <w:r w:rsidRPr="00A87EBB">
        <w:t>W art. 28zb</w:t>
      </w:r>
      <w:r>
        <w:t xml:space="preserve"> ustawy</w:t>
      </w:r>
      <w:r w:rsidRPr="00A87EBB">
        <w:t xml:space="preserve"> dokonano </w:t>
      </w:r>
      <w:r>
        <w:t>doprecyzowania</w:t>
      </w:r>
      <w:r w:rsidRPr="00A87EBB">
        <w:t xml:space="preserve"> zakresu zadań </w:t>
      </w:r>
      <w:r>
        <w:t>NFOŚiGW</w:t>
      </w:r>
      <w:r w:rsidRPr="00A87EBB" w:rsidDel="00586387">
        <w:t xml:space="preserve"> </w:t>
      </w:r>
      <w:r w:rsidRPr="00A87EBB">
        <w:t xml:space="preserve">w zakresie dotyczącym umożliwienia bieżącego zarządzania </w:t>
      </w:r>
      <w:r>
        <w:t>Funduszem</w:t>
      </w:r>
      <w:r w:rsidRPr="00A87EBB">
        <w:t xml:space="preserve">.   </w:t>
      </w:r>
    </w:p>
    <w:p w14:paraId="2734B833" w14:textId="77777777" w:rsidR="00FF5857" w:rsidRDefault="00FF5857" w:rsidP="00FF5857">
      <w:pPr>
        <w:pStyle w:val="Default"/>
        <w:spacing w:line="360" w:lineRule="auto"/>
        <w:ind w:firstLine="708"/>
        <w:jc w:val="both"/>
      </w:pPr>
      <w:r>
        <w:t xml:space="preserve">W pkt 9 i 10 określono dla NFOŚiGW zadania w zakresie wydawania zaświadczeń o pomocy </w:t>
      </w:r>
      <w:r>
        <w:rPr>
          <w:i/>
        </w:rPr>
        <w:t xml:space="preserve">de </w:t>
      </w:r>
      <w:proofErr w:type="spellStart"/>
      <w:r>
        <w:rPr>
          <w:i/>
        </w:rPr>
        <w:t>minimis</w:t>
      </w:r>
      <w:proofErr w:type="spellEnd"/>
      <w:r>
        <w:rPr>
          <w:i/>
        </w:rPr>
        <w:t>,</w:t>
      </w:r>
      <w:r>
        <w:t xml:space="preserve"> zaświadczeń o pomocy </w:t>
      </w:r>
      <w:r w:rsidRPr="00B276B7">
        <w:rPr>
          <w:i/>
        </w:rPr>
        <w:t xml:space="preserve">de </w:t>
      </w:r>
      <w:proofErr w:type="spellStart"/>
      <w:r w:rsidRPr="00B276B7">
        <w:rPr>
          <w:i/>
        </w:rPr>
        <w:t>minimis</w:t>
      </w:r>
      <w:proofErr w:type="spellEnd"/>
      <w:r>
        <w:t xml:space="preserve"> w rolnictwie lub rybołówstwie oraz zadania sprawozdawcze w zakresie udzielania/nieudzielania pomocy publicznej.</w:t>
      </w:r>
    </w:p>
    <w:p w14:paraId="2C8B4A01" w14:textId="101A51A8" w:rsidR="00FF5857" w:rsidRPr="00A91C77" w:rsidRDefault="00FF5857" w:rsidP="00FF5857">
      <w:pPr>
        <w:ind w:firstLine="708"/>
        <w:jc w:val="both"/>
        <w:rPr>
          <w:rStyle w:val="Normalny1"/>
          <w:szCs w:val="24"/>
        </w:rPr>
      </w:pPr>
      <w:r w:rsidRPr="00A91C77">
        <w:rPr>
          <w:rStyle w:val="Normalny1"/>
          <w:szCs w:val="24"/>
        </w:rPr>
        <w:t xml:space="preserve">Dodano art. 28zba, który wprowadza zmiany do ustawy mające na celu uszczegółowienie kompetencji NFOŚiGW jako Zarządzającego oraz dysponenta Funduszu </w:t>
      </w:r>
      <w:r w:rsidRPr="00A91C77">
        <w:rPr>
          <w:rStyle w:val="Normalny1"/>
          <w:szCs w:val="24"/>
        </w:rPr>
        <w:lastRenderedPageBreak/>
        <w:t>w</w:t>
      </w:r>
      <w:r>
        <w:rPr>
          <w:rStyle w:val="Normalny1"/>
          <w:szCs w:val="24"/>
        </w:rPr>
        <w:t> zakresie przepływów pieniężnych oraz</w:t>
      </w:r>
      <w:r w:rsidRPr="00A91C77">
        <w:rPr>
          <w:rStyle w:val="Normalny1"/>
          <w:szCs w:val="24"/>
        </w:rPr>
        <w:t xml:space="preserve"> zwiększenia kontroli zarządczej dysponenta Funduszu nad realizacją zadań Funduszu. Powyższe zmiany gwarantują zgodność funkcjonowania </w:t>
      </w:r>
      <w:r>
        <w:rPr>
          <w:rStyle w:val="Normalny1"/>
          <w:szCs w:val="24"/>
        </w:rPr>
        <w:t>Funduszu</w:t>
      </w:r>
      <w:r w:rsidRPr="00A91C77">
        <w:rPr>
          <w:rStyle w:val="Normalny1"/>
          <w:szCs w:val="24"/>
        </w:rPr>
        <w:t xml:space="preserve"> z obowiązującymi przepisami prawa. </w:t>
      </w:r>
      <w:r>
        <w:rPr>
          <w:rStyle w:val="Normalny1"/>
          <w:szCs w:val="24"/>
        </w:rPr>
        <w:t xml:space="preserve">Konsekwencją wprowadzenia tych zmian jest również uchylenie ust. 5 w art. 28zr ustawy. </w:t>
      </w:r>
    </w:p>
    <w:p w14:paraId="76A2DB28" w14:textId="1798A87C" w:rsidR="00FF5857" w:rsidRPr="0010000D" w:rsidRDefault="00FF5857" w:rsidP="00FF5857">
      <w:pPr>
        <w:pStyle w:val="Default"/>
        <w:spacing w:line="360" w:lineRule="auto"/>
        <w:ind w:firstLine="708"/>
        <w:jc w:val="both"/>
      </w:pPr>
      <w:r w:rsidRPr="0010000D">
        <w:t xml:space="preserve">Ponadto z uwagi na doprecyzowanie w dodawanym art. 28zba </w:t>
      </w:r>
      <w:r>
        <w:t xml:space="preserve">ustawy </w:t>
      </w:r>
      <w:r w:rsidRPr="0010000D">
        <w:t>uprawnień Dysponenta i Zarządzającego Funduszem w art. 1 pkt 11 lit</w:t>
      </w:r>
      <w:r w:rsidR="00CC5937">
        <w:t>.</w:t>
      </w:r>
      <w:r w:rsidRPr="0010000D">
        <w:t xml:space="preserve"> </w:t>
      </w:r>
      <w:r>
        <w:t>f</w:t>
      </w:r>
      <w:r w:rsidRPr="0010000D">
        <w:t xml:space="preserve"> projektu </w:t>
      </w:r>
      <w:r>
        <w:t xml:space="preserve">ustawy </w:t>
      </w:r>
      <w:r w:rsidRPr="0010000D">
        <w:t>nadano nowe brzmienie art. 23 ust</w:t>
      </w:r>
      <w:r>
        <w:t>.</w:t>
      </w:r>
      <w:r w:rsidRPr="0010000D">
        <w:t xml:space="preserve"> 9 ustawy. Proponowane brzmienie wynika z faktu, że Zarządzający nie będzie posiadał informacji na temat wpłat z tytułu opłat zastępczych, w związku</w:t>
      </w:r>
      <w:r>
        <w:t xml:space="preserve"> z czym</w:t>
      </w:r>
      <w:r w:rsidRPr="0010000D">
        <w:t xml:space="preserve"> informacje na ten temat Prezesowi URE przekazywać będzie minister właściwy ds. energii.</w:t>
      </w:r>
    </w:p>
    <w:p w14:paraId="60BE82B8" w14:textId="77777777" w:rsidR="00FF5857" w:rsidRPr="003F3FDF" w:rsidRDefault="00FF5857" w:rsidP="00FF5857">
      <w:pPr>
        <w:pStyle w:val="Default"/>
        <w:spacing w:line="360" w:lineRule="auto"/>
        <w:ind w:firstLine="708"/>
        <w:jc w:val="both"/>
      </w:pPr>
      <w:r>
        <w:t>Z</w:t>
      </w:r>
      <w:r w:rsidRPr="003F3FDF">
        <w:t>mieniono art. 2</w:t>
      </w:r>
      <w:r>
        <w:t>8</w:t>
      </w:r>
      <w:r w:rsidRPr="003F3FDF">
        <w:t xml:space="preserve">ze </w:t>
      </w:r>
      <w:r>
        <w:t xml:space="preserve">ustawy </w:t>
      </w:r>
      <w:r w:rsidRPr="003F3FDF">
        <w:t>w ust. 1 pkt 6</w:t>
      </w:r>
      <w:r>
        <w:t xml:space="preserve"> w taki sposób, że </w:t>
      </w:r>
      <w:r w:rsidRPr="003F3FDF">
        <w:t>opłata portowa pobierana jest za korzystanie z infrastruktury portowej</w:t>
      </w:r>
      <w:r>
        <w:t xml:space="preserve">. </w:t>
      </w:r>
      <w:r w:rsidRPr="003F3FDF">
        <w:t xml:space="preserve">Propozycja ta </w:t>
      </w:r>
      <w:r>
        <w:t>wynika z procedowanego</w:t>
      </w:r>
      <w:r w:rsidRPr="003F3FDF">
        <w:t xml:space="preserve"> obecnie przez M</w:t>
      </w:r>
      <w:r>
        <w:t xml:space="preserve">inisterstwo </w:t>
      </w:r>
      <w:r w:rsidRPr="003F3FDF">
        <w:t>G</w:t>
      </w:r>
      <w:r>
        <w:t xml:space="preserve">ospodarki </w:t>
      </w:r>
      <w:r w:rsidRPr="003F3FDF">
        <w:t>M</w:t>
      </w:r>
      <w:r>
        <w:t xml:space="preserve">orskiej </w:t>
      </w:r>
      <w:r w:rsidRPr="003F3FDF">
        <w:t>i</w:t>
      </w:r>
      <w:r>
        <w:t> </w:t>
      </w:r>
      <w:r w:rsidRPr="003F3FDF">
        <w:t>Ż</w:t>
      </w:r>
      <w:r>
        <w:t xml:space="preserve">eglugi </w:t>
      </w:r>
      <w:r w:rsidRPr="003F3FDF">
        <w:t>Ś</w:t>
      </w:r>
      <w:r>
        <w:t>ródlądowej</w:t>
      </w:r>
      <w:r w:rsidRPr="003F3FDF">
        <w:t xml:space="preserve"> projek</w:t>
      </w:r>
      <w:r>
        <w:t>tu</w:t>
      </w:r>
      <w:r w:rsidRPr="003F3FDF">
        <w:t xml:space="preserve"> ustawy </w:t>
      </w:r>
      <w:r w:rsidRPr="00E15981">
        <w:rPr>
          <w:i/>
        </w:rPr>
        <w:t>o zmianie ustawy o portach i przystaniach morskich oraz niektórych innych ustaw</w:t>
      </w:r>
      <w:r w:rsidRPr="003F3FDF">
        <w:t xml:space="preserve"> (UC103), a także Rozporządzeni</w:t>
      </w:r>
      <w:r>
        <w:t>a</w:t>
      </w:r>
      <w:r w:rsidRPr="003F3FDF">
        <w:t xml:space="preserve"> Parlamentu Europejskiego i</w:t>
      </w:r>
      <w:r>
        <w:t> </w:t>
      </w:r>
      <w:r w:rsidRPr="003F3FDF">
        <w:t xml:space="preserve">Rady (UE) 2017/352 z dnia 15 lutego 2017 r. </w:t>
      </w:r>
      <w:r w:rsidRPr="00E15981">
        <w:rPr>
          <w:i/>
        </w:rPr>
        <w:t>ustanawiając</w:t>
      </w:r>
      <w:r>
        <w:rPr>
          <w:i/>
        </w:rPr>
        <w:t>ego</w:t>
      </w:r>
      <w:r w:rsidRPr="00E15981">
        <w:rPr>
          <w:i/>
        </w:rPr>
        <w:t xml:space="preserve"> ramy w zakresie świadczenia usług portowych oraz wspólne zasady dotyczące przejrzystości finansowej portów</w:t>
      </w:r>
      <w:r>
        <w:t>.</w:t>
      </w:r>
    </w:p>
    <w:p w14:paraId="07A9A9FC" w14:textId="77777777" w:rsidR="00FF5857" w:rsidRDefault="00FF5857" w:rsidP="00FF5857">
      <w:pPr>
        <w:pStyle w:val="Default"/>
        <w:spacing w:line="360" w:lineRule="auto"/>
        <w:ind w:firstLine="708"/>
        <w:jc w:val="both"/>
      </w:pPr>
      <w:r>
        <w:t xml:space="preserve">W art. 28ze ust. 1 pkt 3 ustawy dokonano zmiany polegającej na doprecyzowaniu, że pomoc będzie mogła być udzielana wyłącznie dla tych przedsiębiorstw energetycznych, które wykonują działalność gospodarczą w zakresie wytwarzania paliw ciekłych, biopaliw ciekłych, innych paliw odnawialnych, sprężonego gazu ziemnego (CNG) lub skroplonego gazu ziemnego (LNG), w tym pochodzącego z </w:t>
      </w:r>
      <w:proofErr w:type="spellStart"/>
      <w:r>
        <w:t>biometanu</w:t>
      </w:r>
      <w:proofErr w:type="spellEnd"/>
      <w:r>
        <w:t>, wykorzystywanych w transporcie.</w:t>
      </w:r>
    </w:p>
    <w:p w14:paraId="12EAD38F" w14:textId="77777777" w:rsidR="00FF5857" w:rsidRPr="00A87EBB" w:rsidRDefault="00FF5857" w:rsidP="00FF5857">
      <w:pPr>
        <w:pStyle w:val="Default"/>
        <w:spacing w:line="360" w:lineRule="auto"/>
        <w:ind w:firstLine="708"/>
        <w:jc w:val="both"/>
      </w:pPr>
      <w:r>
        <w:t>Wprowadzono zmianę w art. 28ze ust. 3 pkt 2 ustawy polegającą na rezygnacji z formy wsparcia w postaci innego zwrotnego wsparcia finansowego. Zgodnie z projektem rozporządzenia w sprawie szczegółowych warunków udzielenia oraz sposobu rozliczenia wsparcia udzielonego ze środków Funduszu, Dysponent nie przewidział tej formy wsparcia, w związku z tym nie ma potrzeby, aby ustawa regulowała szerszy zakres form wsparcia.</w:t>
      </w:r>
    </w:p>
    <w:p w14:paraId="55C2D277" w14:textId="77777777" w:rsidR="00FF5857" w:rsidRPr="00A87EBB" w:rsidRDefault="00FF5857" w:rsidP="00FF5857">
      <w:pPr>
        <w:pStyle w:val="Default"/>
        <w:spacing w:line="360" w:lineRule="auto"/>
        <w:ind w:firstLine="708"/>
        <w:jc w:val="both"/>
        <w:rPr>
          <w:bCs/>
          <w:color w:val="auto"/>
        </w:rPr>
      </w:pPr>
      <w:r w:rsidRPr="00A87EBB">
        <w:rPr>
          <w:bCs/>
          <w:color w:val="auto"/>
        </w:rPr>
        <w:t>W art. 28zf ust. 2 ustawy dokonano m.in. następujących zmian:</w:t>
      </w:r>
    </w:p>
    <w:p w14:paraId="2E10FDF1" w14:textId="77777777" w:rsidR="00FF5857" w:rsidRPr="00A87EBB" w:rsidRDefault="00FF5857" w:rsidP="00FF5857">
      <w:pPr>
        <w:pStyle w:val="Default"/>
        <w:spacing w:line="360" w:lineRule="auto"/>
        <w:ind w:firstLine="708"/>
        <w:jc w:val="both"/>
        <w:rPr>
          <w:bCs/>
          <w:color w:val="auto"/>
        </w:rPr>
      </w:pPr>
      <w:r w:rsidRPr="00A87EBB">
        <w:rPr>
          <w:bCs/>
          <w:color w:val="auto"/>
        </w:rPr>
        <w:t xml:space="preserve">- we wprowadzeniu do wyliczenia wskazanym w ww. ustępie wprowadzono odniesienie do przepisu, w którym wskazane są działania mogące liczyć na wsparcie i do którego odnoszą się punkty wskazane w pkt 1–9 tegoż ust. 2, </w:t>
      </w:r>
    </w:p>
    <w:p w14:paraId="5CEAD0CE" w14:textId="77777777" w:rsidR="00FF5857" w:rsidRPr="00A87EBB" w:rsidRDefault="00FF5857" w:rsidP="00FF5857">
      <w:pPr>
        <w:pStyle w:val="Default"/>
        <w:spacing w:line="360" w:lineRule="auto"/>
        <w:ind w:firstLine="708"/>
        <w:jc w:val="both"/>
      </w:pPr>
      <w:r w:rsidRPr="00A87EBB">
        <w:rPr>
          <w:bCs/>
          <w:color w:val="auto"/>
        </w:rPr>
        <w:t xml:space="preserve">- </w:t>
      </w:r>
      <w:r w:rsidRPr="00A87EBB">
        <w:rPr>
          <w:color w:val="auto"/>
        </w:rPr>
        <w:t xml:space="preserve">w pkt 7 </w:t>
      </w:r>
      <w:r>
        <w:rPr>
          <w:color w:val="auto"/>
        </w:rPr>
        <w:t>dokonano zmian podmiotów uprawnionych do uzyskania wsparcia w związku z uchyleniem ustawy z dnia 30 kwietnia</w:t>
      </w:r>
      <w:r w:rsidRPr="00B276B7">
        <w:rPr>
          <w:i/>
          <w:color w:val="auto"/>
        </w:rPr>
        <w:t xml:space="preserve"> o zasadach finansowania nauki</w:t>
      </w:r>
      <w:r w:rsidRPr="00A87EBB">
        <w:rPr>
          <w:i/>
        </w:rPr>
        <w:t>,</w:t>
      </w:r>
    </w:p>
    <w:p w14:paraId="375948E7" w14:textId="77777777" w:rsidR="00FF5857" w:rsidRPr="00A87EBB" w:rsidRDefault="00FF5857" w:rsidP="00FF5857">
      <w:pPr>
        <w:pStyle w:val="Default"/>
        <w:spacing w:line="360" w:lineRule="auto"/>
        <w:ind w:firstLine="708"/>
        <w:jc w:val="both"/>
      </w:pPr>
      <w:r w:rsidRPr="00A87EBB">
        <w:t>- w pkt 2, 8, 9 zmieniono rodzaje podmiotów, które mogą być objęte wsparciem.</w:t>
      </w:r>
    </w:p>
    <w:p w14:paraId="774E8621" w14:textId="77777777" w:rsidR="00FF5857" w:rsidRPr="00A87EBB" w:rsidRDefault="00FF5857" w:rsidP="00FF5857">
      <w:pPr>
        <w:pStyle w:val="Default"/>
        <w:spacing w:line="360" w:lineRule="auto"/>
        <w:ind w:firstLine="708"/>
        <w:jc w:val="both"/>
        <w:rPr>
          <w:bCs/>
          <w:color w:val="auto"/>
        </w:rPr>
      </w:pPr>
      <w:r w:rsidRPr="00A87EBB">
        <w:rPr>
          <w:bCs/>
          <w:color w:val="auto"/>
        </w:rPr>
        <w:lastRenderedPageBreak/>
        <w:t>W art. 28zf ust. 3 ustawy dokonano zmian w zakresie terminów udzielanego wsparcia</w:t>
      </w:r>
      <w:r w:rsidRPr="00992DC9">
        <w:rPr>
          <w:bCs/>
          <w:color w:val="auto"/>
        </w:rPr>
        <w:t xml:space="preserve"> </w:t>
      </w:r>
      <w:r>
        <w:rPr>
          <w:bCs/>
          <w:color w:val="auto"/>
        </w:rPr>
        <w:t>w przypadku dofinansowania opłat portowych</w:t>
      </w:r>
      <w:r w:rsidRPr="00A87EBB">
        <w:rPr>
          <w:bCs/>
          <w:color w:val="auto"/>
        </w:rPr>
        <w:t>.</w:t>
      </w:r>
    </w:p>
    <w:p w14:paraId="1A7C9361" w14:textId="5CBB5D77" w:rsidR="00FF5857" w:rsidRDefault="00FF5857" w:rsidP="00FF5857">
      <w:pPr>
        <w:pStyle w:val="Default"/>
        <w:spacing w:line="360" w:lineRule="auto"/>
        <w:ind w:firstLine="708"/>
        <w:jc w:val="both"/>
        <w:rPr>
          <w:color w:val="auto"/>
        </w:rPr>
      </w:pPr>
      <w:r>
        <w:rPr>
          <w:color w:val="auto"/>
        </w:rPr>
        <w:t xml:space="preserve">W art. 28zf ust. 5 i art. 28zg ust. 6 </w:t>
      </w:r>
      <w:r w:rsidRPr="00A87EBB">
        <w:rPr>
          <w:bCs/>
          <w:color w:val="auto"/>
        </w:rPr>
        <w:t xml:space="preserve">ustawy </w:t>
      </w:r>
      <w:r>
        <w:rPr>
          <w:color w:val="auto"/>
        </w:rPr>
        <w:t xml:space="preserve">zmieniono zakres podmiotowy delegacji ustawowej przewidzianej w nowelizowanych przepisach ustawy, poprzez wskazanie, że przedmiotowe rozporządzenia będą wydane przez Radę Ministrów. Doprecyzowano również zakres przedmiotowy delegacji tak, aby rozporządzenia wykonawcze określały także </w:t>
      </w:r>
      <w:r>
        <w:t xml:space="preserve">sposób postępowania w zakresie </w:t>
      </w:r>
      <w:r w:rsidRPr="00B436E7">
        <w:t xml:space="preserve">wyboru </w:t>
      </w:r>
      <w:r>
        <w:t xml:space="preserve">projektów do </w:t>
      </w:r>
      <w:r w:rsidRPr="000D2FD9">
        <w:t>wsparcia</w:t>
      </w:r>
      <w:r>
        <w:rPr>
          <w:color w:val="auto"/>
        </w:rPr>
        <w:t xml:space="preserve">. Ponadto, zgodnie z projektowanym brzmieniem ustawy, </w:t>
      </w:r>
      <w:r w:rsidRPr="00F341C1">
        <w:rPr>
          <w:color w:val="auto"/>
        </w:rPr>
        <w:t>warunki rozliczania będą tożsame dla wszystkich  działań.</w:t>
      </w:r>
    </w:p>
    <w:p w14:paraId="382EBF97" w14:textId="77777777" w:rsidR="00FF5857" w:rsidRPr="000C7C53" w:rsidRDefault="00FF5857" w:rsidP="00FF5857">
      <w:pPr>
        <w:pStyle w:val="Default"/>
        <w:spacing w:line="360" w:lineRule="auto"/>
        <w:ind w:firstLine="708"/>
        <w:jc w:val="both"/>
        <w:rPr>
          <w:color w:val="auto"/>
        </w:rPr>
      </w:pPr>
      <w:r>
        <w:rPr>
          <w:color w:val="auto"/>
        </w:rPr>
        <w:t xml:space="preserve">W art. 28zg </w:t>
      </w:r>
      <w:r w:rsidRPr="00A87EBB">
        <w:rPr>
          <w:bCs/>
          <w:color w:val="auto"/>
        </w:rPr>
        <w:t xml:space="preserve">ustawy </w:t>
      </w:r>
      <w:r>
        <w:rPr>
          <w:color w:val="auto"/>
        </w:rPr>
        <w:t xml:space="preserve">został dodany ust. 3a dotyczący osiągnięcia efektu ekologicznego. </w:t>
      </w:r>
      <w:r w:rsidRPr="000C7C53">
        <w:rPr>
          <w:color w:val="auto"/>
        </w:rPr>
        <w:t>Pojęcie efektu ekologicznego nie jest zdefiniowane w ustawie, a więc trudno jednoznacznie ustalić jego znaczenie. Przyjmując, że jest to pozytywna zmiana w środowisku naturalnym, należy uznać, że duża część projektów realizowanych na podstawie ustawy o biokomponentach i</w:t>
      </w:r>
      <w:r>
        <w:rPr>
          <w:color w:val="auto"/>
        </w:rPr>
        <w:t xml:space="preserve"> </w:t>
      </w:r>
      <w:r w:rsidRPr="000C7C53">
        <w:rPr>
          <w:color w:val="auto"/>
        </w:rPr>
        <w:t>biopaliwach ciekłych nie będzie generowała bezpośrednio takiej zmiany. Nawet w przypadku projektów, gdzie będzie powstawał taki efekt, konieczność jego ewidencjonowania, sprawozdawa</w:t>
      </w:r>
      <w:r>
        <w:rPr>
          <w:color w:val="auto"/>
        </w:rPr>
        <w:t>nia i utrzymywania będzie dodat</w:t>
      </w:r>
      <w:r w:rsidRPr="000C7C53">
        <w:rPr>
          <w:color w:val="auto"/>
        </w:rPr>
        <w:t>kowo obciążać odbiorcę wsparcia, w</w:t>
      </w:r>
      <w:r>
        <w:rPr>
          <w:color w:val="auto"/>
        </w:rPr>
        <w:t> </w:t>
      </w:r>
      <w:r w:rsidRPr="000C7C53">
        <w:rPr>
          <w:color w:val="auto"/>
        </w:rPr>
        <w:t>szczególności gdy jest to podmiot mały. Nie wydaje się więc</w:t>
      </w:r>
      <w:r>
        <w:rPr>
          <w:color w:val="auto"/>
        </w:rPr>
        <w:t>,</w:t>
      </w:r>
      <w:r w:rsidRPr="000C7C53">
        <w:rPr>
          <w:color w:val="auto"/>
        </w:rPr>
        <w:t xml:space="preserve"> aby taki obowiązek był konieczny.</w:t>
      </w:r>
    </w:p>
    <w:p w14:paraId="7478C50A" w14:textId="77777777" w:rsidR="00FF5857" w:rsidRDefault="00FF5857" w:rsidP="00FF5857">
      <w:pPr>
        <w:pStyle w:val="Default"/>
        <w:spacing w:line="360" w:lineRule="auto"/>
        <w:ind w:firstLine="708"/>
        <w:jc w:val="both"/>
        <w:rPr>
          <w:color w:val="auto"/>
        </w:rPr>
      </w:pPr>
      <w:r>
        <w:rPr>
          <w:color w:val="auto"/>
        </w:rPr>
        <w:t xml:space="preserve">W art. 28zg ust. 6 </w:t>
      </w:r>
      <w:r w:rsidRPr="00A87EBB">
        <w:rPr>
          <w:bCs/>
          <w:color w:val="auto"/>
        </w:rPr>
        <w:t xml:space="preserve">ustawy </w:t>
      </w:r>
      <w:r>
        <w:rPr>
          <w:color w:val="auto"/>
        </w:rPr>
        <w:t xml:space="preserve">zmieniono delegację ustawową w zakresie szczegółowych kryteriów wyboru projektów, tak aby Rada Ministrów określała kryteria dotyczące określonych działań wspieranych w ramach Funduszu. </w:t>
      </w:r>
    </w:p>
    <w:p w14:paraId="582C11E2" w14:textId="77777777" w:rsidR="00FF5857" w:rsidRDefault="00FF5857" w:rsidP="00FF5857">
      <w:pPr>
        <w:pStyle w:val="Default"/>
        <w:spacing w:line="360" w:lineRule="auto"/>
        <w:ind w:firstLine="708"/>
        <w:jc w:val="both"/>
        <w:rPr>
          <w:color w:val="auto"/>
        </w:rPr>
      </w:pPr>
      <w:r>
        <w:rPr>
          <w:color w:val="auto"/>
        </w:rPr>
        <w:t>A</w:t>
      </w:r>
      <w:r w:rsidRPr="005B60EA">
        <w:rPr>
          <w:color w:val="auto"/>
        </w:rPr>
        <w:t>rt. 28zl ust. 3</w:t>
      </w:r>
      <w:r>
        <w:rPr>
          <w:color w:val="auto"/>
        </w:rPr>
        <w:t xml:space="preserve"> ustawy także zmieniono w taki sposób, że każda infor</w:t>
      </w:r>
      <w:r w:rsidRPr="005B60EA">
        <w:rPr>
          <w:color w:val="auto"/>
        </w:rPr>
        <w:t>macja wydana przez Ko</w:t>
      </w:r>
      <w:r>
        <w:rPr>
          <w:color w:val="auto"/>
        </w:rPr>
        <w:t>misję zawiera pouczenie o możli</w:t>
      </w:r>
      <w:r w:rsidRPr="005B60EA">
        <w:rPr>
          <w:color w:val="auto"/>
        </w:rPr>
        <w:t>wość wniesienia protestu, bez względu na otrzymaną ocenę</w:t>
      </w:r>
      <w:r>
        <w:rPr>
          <w:color w:val="auto"/>
        </w:rPr>
        <w:t>.</w:t>
      </w:r>
    </w:p>
    <w:p w14:paraId="2DB6F1AE" w14:textId="77777777" w:rsidR="00FF5857" w:rsidRDefault="00FF5857" w:rsidP="00FF5857">
      <w:pPr>
        <w:pStyle w:val="Default"/>
        <w:spacing w:line="360" w:lineRule="auto"/>
        <w:ind w:firstLine="708"/>
        <w:jc w:val="both"/>
        <w:rPr>
          <w:color w:val="auto"/>
        </w:rPr>
      </w:pPr>
      <w:r>
        <w:rPr>
          <w:color w:val="auto"/>
        </w:rPr>
        <w:t xml:space="preserve">W art. 28zp </w:t>
      </w:r>
      <w:r w:rsidRPr="00A87EBB">
        <w:rPr>
          <w:bCs/>
          <w:color w:val="auto"/>
        </w:rPr>
        <w:t xml:space="preserve">ustawy </w:t>
      </w:r>
      <w:r>
        <w:rPr>
          <w:color w:val="auto"/>
        </w:rPr>
        <w:t xml:space="preserve">dodano: </w:t>
      </w:r>
    </w:p>
    <w:p w14:paraId="5E626D3C" w14:textId="77777777" w:rsidR="00FF5857" w:rsidRPr="0000389D" w:rsidRDefault="00FF5857" w:rsidP="00FF5857">
      <w:pPr>
        <w:pStyle w:val="Default"/>
        <w:spacing w:line="360" w:lineRule="auto"/>
        <w:ind w:firstLine="708"/>
        <w:jc w:val="both"/>
        <w:rPr>
          <w:color w:val="auto"/>
        </w:rPr>
      </w:pPr>
      <w:r w:rsidRPr="0000389D">
        <w:rPr>
          <w:color w:val="auto"/>
        </w:rPr>
        <w:t>- ust. 4 wprowadzający zasadę, że wypłata wsparcia jest możliwa jedynie w przypadku ustanowienia zabezpieczenia na wypadek ewentualnego zwrotu udzielone wsparcia. Zmiana ta ma celu zapewnienie dbałości o środki publiczne;</w:t>
      </w:r>
    </w:p>
    <w:p w14:paraId="01058C83" w14:textId="0BB17CA9" w:rsidR="00FF5857" w:rsidRDefault="00FF5857" w:rsidP="00FF5857">
      <w:pPr>
        <w:ind w:firstLine="510"/>
        <w:jc w:val="both"/>
      </w:pPr>
      <w:r w:rsidRPr="0000389D">
        <w:rPr>
          <w:szCs w:val="24"/>
        </w:rPr>
        <w:t xml:space="preserve">- ust. 5 </w:t>
      </w:r>
      <w:r w:rsidRPr="0000389D">
        <w:rPr>
          <w:color w:val="000000"/>
          <w:szCs w:val="24"/>
        </w:rPr>
        <w:t>ma</w:t>
      </w:r>
      <w:r>
        <w:rPr>
          <w:color w:val="000000"/>
          <w:szCs w:val="24"/>
        </w:rPr>
        <w:t>jący na</w:t>
      </w:r>
      <w:r w:rsidRPr="0000389D">
        <w:rPr>
          <w:color w:val="000000"/>
          <w:szCs w:val="24"/>
        </w:rPr>
        <w:t xml:space="preserve"> celu uproszczenie procedury naboru wniosków o udzielenie wsparcia poprzez odstąpi</w:t>
      </w:r>
      <w:r>
        <w:rPr>
          <w:color w:val="000000"/>
          <w:szCs w:val="24"/>
        </w:rPr>
        <w:t>enie od zabezpieczeń w przypadkach gdy:</w:t>
      </w:r>
      <w:r w:rsidRPr="0000389D">
        <w:rPr>
          <w:color w:val="000000"/>
          <w:szCs w:val="24"/>
        </w:rPr>
        <w:t xml:space="preserve"> </w:t>
      </w:r>
      <w:r>
        <w:rPr>
          <w:color w:val="000000"/>
          <w:szCs w:val="24"/>
        </w:rPr>
        <w:t xml:space="preserve">(1) </w:t>
      </w:r>
      <w:r w:rsidRPr="0000389D">
        <w:rPr>
          <w:color w:val="000000"/>
          <w:szCs w:val="24"/>
        </w:rPr>
        <w:t>wysokość wsparcia jest niższa niż 100 ty</w:t>
      </w:r>
      <w:r>
        <w:rPr>
          <w:color w:val="000000"/>
          <w:szCs w:val="24"/>
        </w:rPr>
        <w:t>s</w:t>
      </w:r>
      <w:r w:rsidRPr="0000389D">
        <w:rPr>
          <w:color w:val="000000"/>
          <w:szCs w:val="24"/>
        </w:rPr>
        <w:t xml:space="preserve">. zł oraz </w:t>
      </w:r>
      <w:r>
        <w:rPr>
          <w:color w:val="000000"/>
          <w:szCs w:val="24"/>
        </w:rPr>
        <w:t xml:space="preserve">(2) </w:t>
      </w:r>
      <w:r w:rsidRPr="0000389D">
        <w:rPr>
          <w:color w:val="000000"/>
          <w:szCs w:val="24"/>
        </w:rPr>
        <w:t xml:space="preserve">wsparcia </w:t>
      </w:r>
      <w:r w:rsidR="00CC5937">
        <w:rPr>
          <w:color w:val="000000"/>
          <w:szCs w:val="24"/>
        </w:rPr>
        <w:t xml:space="preserve">udziela się </w:t>
      </w:r>
      <w:r w:rsidRPr="0000389D">
        <w:rPr>
          <w:color w:val="000000"/>
          <w:szCs w:val="24"/>
        </w:rPr>
        <w:t>w formie dotacji jednostkom sektora finansów publicznych</w:t>
      </w:r>
      <w:r>
        <w:rPr>
          <w:color w:val="000000"/>
          <w:szCs w:val="24"/>
        </w:rPr>
        <w:t xml:space="preserve"> i</w:t>
      </w:r>
      <w:r w:rsidRPr="0000389D">
        <w:rPr>
          <w:color w:val="000000"/>
          <w:szCs w:val="24"/>
        </w:rPr>
        <w:t xml:space="preserve"> państwowym jednostkom organizacyjnym nieposiadającym osobowości prawnej, działający</w:t>
      </w:r>
      <w:r>
        <w:rPr>
          <w:color w:val="000000"/>
          <w:szCs w:val="24"/>
        </w:rPr>
        <w:t>m</w:t>
      </w:r>
      <w:r w:rsidRPr="0000389D">
        <w:rPr>
          <w:color w:val="000000"/>
          <w:szCs w:val="24"/>
        </w:rPr>
        <w:t xml:space="preserve"> w oparciu o odrębne ustawy.</w:t>
      </w:r>
      <w:r>
        <w:rPr>
          <w:color w:val="000000"/>
          <w:szCs w:val="24"/>
        </w:rPr>
        <w:t xml:space="preserve"> </w:t>
      </w:r>
      <w:r w:rsidRPr="0000389D">
        <w:rPr>
          <w:color w:val="000000"/>
          <w:szCs w:val="24"/>
        </w:rPr>
        <w:t xml:space="preserve">Propozycja eliminuje sytuację, w której środki Skarbu Państwa (tj. środki państwowego funduszu celowego, którego dysponentem jest </w:t>
      </w:r>
      <w:r w:rsidRPr="0000389D">
        <w:rPr>
          <w:color w:val="000000"/>
          <w:szCs w:val="24"/>
        </w:rPr>
        <w:lastRenderedPageBreak/>
        <w:t>minister właściwy do spraw energii) będą wymagały ustanowienia zabezpieczenia przez Skarb Państwa (jeśli beneficjentem będzie państwowa jednostka organizacyjna nie posiadająca osobowości prawnej</w:t>
      </w:r>
      <w:r>
        <w:rPr>
          <w:color w:val="000000"/>
          <w:szCs w:val="24"/>
        </w:rPr>
        <w:t>, która w praktyce</w:t>
      </w:r>
      <w:r w:rsidRPr="0000389D">
        <w:rPr>
          <w:color w:val="000000"/>
          <w:szCs w:val="24"/>
        </w:rPr>
        <w:t xml:space="preserve"> reprezentuj</w:t>
      </w:r>
      <w:r>
        <w:rPr>
          <w:color w:val="000000"/>
          <w:szCs w:val="24"/>
        </w:rPr>
        <w:t>e</w:t>
      </w:r>
      <w:r w:rsidRPr="0000389D">
        <w:rPr>
          <w:color w:val="000000"/>
          <w:szCs w:val="24"/>
        </w:rPr>
        <w:t xml:space="preserve"> Skarb Państwa w zakresie zarządzanego </w:t>
      </w:r>
      <w:r>
        <w:rPr>
          <w:color w:val="000000"/>
          <w:szCs w:val="24"/>
        </w:rPr>
        <w:t xml:space="preserve">przez tę jednostkę </w:t>
      </w:r>
      <w:r w:rsidRPr="0000389D">
        <w:rPr>
          <w:color w:val="000000"/>
          <w:szCs w:val="24"/>
        </w:rPr>
        <w:t>mienia).</w:t>
      </w:r>
    </w:p>
    <w:p w14:paraId="4CEC3EC7" w14:textId="77777777" w:rsidR="00FF5857" w:rsidRDefault="00FF5857" w:rsidP="00FF5857">
      <w:pPr>
        <w:ind w:firstLine="708"/>
        <w:jc w:val="both"/>
        <w:rPr>
          <w:szCs w:val="24"/>
        </w:rPr>
      </w:pPr>
      <w:r>
        <w:rPr>
          <w:szCs w:val="24"/>
        </w:rPr>
        <w:t xml:space="preserve">Dodany został art. 28zs wskazujący Prezesa NFOŚiGW jako organ pierwszej instancji wydający </w:t>
      </w:r>
      <w:r w:rsidRPr="003834BB">
        <w:rPr>
          <w:rFonts w:ascii="Times" w:hAnsi="Times"/>
        </w:rPr>
        <w:t>decyzj</w:t>
      </w:r>
      <w:r>
        <w:rPr>
          <w:rFonts w:ascii="Times" w:hAnsi="Times"/>
        </w:rPr>
        <w:t>e</w:t>
      </w:r>
      <w:r w:rsidRPr="003834BB">
        <w:rPr>
          <w:rFonts w:ascii="Times" w:hAnsi="Times"/>
        </w:rPr>
        <w:t xml:space="preserve"> w odniesieniu do niepodatkowych należności budżetowych stanowiących przychód Funduszu</w:t>
      </w:r>
      <w:r>
        <w:rPr>
          <w:rFonts w:ascii="Times" w:hAnsi="Times"/>
        </w:rPr>
        <w:t xml:space="preserve">. Od decyzji wydanych w pierwszej instancji przysługuje odwołanie do ministra właściwego ds. energii. </w:t>
      </w:r>
    </w:p>
    <w:p w14:paraId="1E31332F" w14:textId="77777777" w:rsidR="00FF5857" w:rsidRPr="007F7F35" w:rsidRDefault="00FF5857" w:rsidP="00FF5857">
      <w:pPr>
        <w:ind w:firstLine="708"/>
        <w:jc w:val="both"/>
        <w:rPr>
          <w:color w:val="000000"/>
          <w:szCs w:val="24"/>
        </w:rPr>
      </w:pPr>
      <w:r w:rsidRPr="00CB5ACB">
        <w:rPr>
          <w:szCs w:val="24"/>
        </w:rPr>
        <w:t xml:space="preserve">Z uwagi na zmianę delegacji ustawowej określonej w art. 28zf i art. 28zg </w:t>
      </w:r>
      <w:r w:rsidRPr="0090765C">
        <w:rPr>
          <w:bCs/>
          <w:szCs w:val="24"/>
        </w:rPr>
        <w:t xml:space="preserve">ustawy </w:t>
      </w:r>
      <w:r w:rsidRPr="00CB5ACB">
        <w:rPr>
          <w:szCs w:val="24"/>
        </w:rPr>
        <w:t xml:space="preserve">wprowadzono przepisy przejściowe </w:t>
      </w:r>
      <w:r>
        <w:rPr>
          <w:szCs w:val="24"/>
        </w:rPr>
        <w:t>stanowiące</w:t>
      </w:r>
      <w:r w:rsidRPr="00CB5ACB">
        <w:rPr>
          <w:color w:val="000000"/>
          <w:szCs w:val="24"/>
        </w:rPr>
        <w:t>, że przepisy wykonawcze wydane na podstawie ww. artykułów</w:t>
      </w:r>
      <w:r w:rsidRPr="004E3F5A">
        <w:rPr>
          <w:color w:val="000000"/>
          <w:szCs w:val="24"/>
        </w:rPr>
        <w:t xml:space="preserve"> </w:t>
      </w:r>
      <w:r w:rsidRPr="007F7F35">
        <w:rPr>
          <w:color w:val="000000"/>
          <w:szCs w:val="24"/>
        </w:rPr>
        <w:t>zachowują moc do dnia wejścia w</w:t>
      </w:r>
      <w:r>
        <w:rPr>
          <w:color w:val="000000"/>
          <w:szCs w:val="24"/>
        </w:rPr>
        <w:t> </w:t>
      </w:r>
      <w:r w:rsidRPr="007F7F35">
        <w:rPr>
          <w:color w:val="000000"/>
          <w:szCs w:val="24"/>
        </w:rPr>
        <w:t xml:space="preserve">życie przepisów wykonawczych wydanych na podstawie nowelizowanych przepisów art. </w:t>
      </w:r>
      <w:r>
        <w:rPr>
          <w:color w:val="000000"/>
          <w:szCs w:val="24"/>
        </w:rPr>
        <w:t>28</w:t>
      </w:r>
      <w:r w:rsidRPr="007F7F35">
        <w:rPr>
          <w:color w:val="000000"/>
          <w:szCs w:val="24"/>
        </w:rPr>
        <w:t>z</w:t>
      </w:r>
      <w:r>
        <w:rPr>
          <w:color w:val="000000"/>
          <w:szCs w:val="24"/>
        </w:rPr>
        <w:t>f</w:t>
      </w:r>
      <w:r w:rsidRPr="007F7F35">
        <w:rPr>
          <w:color w:val="000000"/>
          <w:szCs w:val="24"/>
        </w:rPr>
        <w:t xml:space="preserve"> </w:t>
      </w:r>
      <w:r>
        <w:rPr>
          <w:color w:val="000000"/>
          <w:szCs w:val="24"/>
        </w:rPr>
        <w:t xml:space="preserve">ust. 5 </w:t>
      </w:r>
      <w:r w:rsidRPr="007F7F35">
        <w:rPr>
          <w:color w:val="000000"/>
          <w:szCs w:val="24"/>
        </w:rPr>
        <w:t>oraz 28zg</w:t>
      </w:r>
      <w:r>
        <w:rPr>
          <w:color w:val="000000"/>
          <w:szCs w:val="24"/>
        </w:rPr>
        <w:t xml:space="preserve"> ust. 6 ww. ustawy</w:t>
      </w:r>
      <w:r w:rsidRPr="007F7F35">
        <w:rPr>
          <w:color w:val="000000"/>
          <w:szCs w:val="24"/>
        </w:rPr>
        <w:t>, nie dłużej jednak niż przez 24 miesi</w:t>
      </w:r>
      <w:r>
        <w:rPr>
          <w:color w:val="000000"/>
          <w:szCs w:val="24"/>
        </w:rPr>
        <w:t>ące</w:t>
      </w:r>
      <w:r w:rsidRPr="007F7F35">
        <w:rPr>
          <w:color w:val="000000"/>
          <w:szCs w:val="24"/>
        </w:rPr>
        <w:t xml:space="preserve"> od dnia wejścia w życie projektowanej nowelizacji ustawy, i mogą być w tym czasie zmieniane.</w:t>
      </w:r>
    </w:p>
    <w:p w14:paraId="60855DAD" w14:textId="77777777" w:rsidR="00FF5857" w:rsidRPr="00A87EBB" w:rsidRDefault="00FF5857" w:rsidP="00FF5857">
      <w:pPr>
        <w:pStyle w:val="Default"/>
        <w:spacing w:line="360" w:lineRule="auto"/>
        <w:ind w:firstLine="708"/>
        <w:jc w:val="both"/>
        <w:rPr>
          <w:color w:val="auto"/>
        </w:rPr>
      </w:pPr>
      <w:r w:rsidRPr="00A87EBB">
        <w:rPr>
          <w:color w:val="auto"/>
        </w:rPr>
        <w:t>Pozostałe zmiany w obszarze funkcjonowania F</w:t>
      </w:r>
      <w:r>
        <w:rPr>
          <w:color w:val="auto"/>
        </w:rPr>
        <w:t>unduszu</w:t>
      </w:r>
      <w:r w:rsidRPr="00A87EBB">
        <w:rPr>
          <w:color w:val="auto"/>
        </w:rPr>
        <w:t xml:space="preserve"> mają charakter porządkowy, taki jak ujednolicenie techniki zapisu czy poprawę błędnie zastosowanych form fleksyjnych. </w:t>
      </w:r>
    </w:p>
    <w:p w14:paraId="77679A40" w14:textId="77777777" w:rsidR="00FF5857" w:rsidRDefault="00FF5857" w:rsidP="00FF5857">
      <w:pPr>
        <w:pStyle w:val="Default"/>
        <w:spacing w:line="360" w:lineRule="auto"/>
        <w:ind w:firstLine="708"/>
        <w:jc w:val="both"/>
        <w:rPr>
          <w:bCs/>
          <w:color w:val="auto"/>
        </w:rPr>
      </w:pPr>
    </w:p>
    <w:p w14:paraId="5C95725F" w14:textId="77777777" w:rsidR="00FF5857" w:rsidRPr="00D85F17" w:rsidRDefault="00FF5857" w:rsidP="00FF5857">
      <w:pPr>
        <w:pStyle w:val="Default"/>
        <w:jc w:val="both"/>
        <w:rPr>
          <w:b/>
          <w:bCs/>
          <w:color w:val="auto"/>
        </w:rPr>
      </w:pPr>
      <w:r>
        <w:rPr>
          <w:b/>
          <w:bCs/>
          <w:color w:val="auto"/>
        </w:rPr>
        <w:t>8</w:t>
      </w:r>
      <w:r w:rsidRPr="00D85F17">
        <w:rPr>
          <w:b/>
          <w:bCs/>
          <w:color w:val="auto"/>
        </w:rPr>
        <w:t xml:space="preserve">. Zmiany w ustawie z dnia 25 sierpnia 2006 r. </w:t>
      </w:r>
      <w:r w:rsidRPr="00D85F17">
        <w:rPr>
          <w:b/>
          <w:bCs/>
          <w:i/>
          <w:color w:val="auto"/>
        </w:rPr>
        <w:t>o systemie monitorowania i</w:t>
      </w:r>
      <w:r>
        <w:rPr>
          <w:b/>
          <w:bCs/>
          <w:i/>
          <w:color w:val="auto"/>
        </w:rPr>
        <w:t> </w:t>
      </w:r>
      <w:r w:rsidRPr="00D85F17">
        <w:rPr>
          <w:b/>
          <w:bCs/>
          <w:i/>
          <w:color w:val="auto"/>
        </w:rPr>
        <w:t>kontrolowania jakości paliw</w:t>
      </w:r>
      <w:r w:rsidRPr="00D85F17">
        <w:rPr>
          <w:b/>
          <w:bCs/>
          <w:color w:val="auto"/>
        </w:rPr>
        <w:t xml:space="preserve"> (Dz. U. z 2018 r. poz. 427, 650, 1654, 1669 i 2348)</w:t>
      </w:r>
    </w:p>
    <w:p w14:paraId="6C51A0B8" w14:textId="77777777" w:rsidR="00FF5857" w:rsidRDefault="00FF5857" w:rsidP="00FF5857">
      <w:pPr>
        <w:pStyle w:val="Default"/>
        <w:spacing w:line="360" w:lineRule="auto"/>
        <w:ind w:firstLine="708"/>
        <w:jc w:val="both"/>
        <w:rPr>
          <w:bCs/>
          <w:color w:val="auto"/>
        </w:rPr>
      </w:pPr>
      <w:r>
        <w:rPr>
          <w:bCs/>
          <w:color w:val="auto"/>
        </w:rPr>
        <w:t>W projekcie ustawy zaproponowano zmianę art. 1 ustawy</w:t>
      </w:r>
      <w:r w:rsidRPr="005B0563">
        <w:t xml:space="preserve"> </w:t>
      </w:r>
      <w:r w:rsidRPr="00D85F17">
        <w:rPr>
          <w:bCs/>
          <w:i/>
          <w:color w:val="auto"/>
        </w:rPr>
        <w:t>o systemie monitorowania i</w:t>
      </w:r>
      <w:r>
        <w:rPr>
          <w:bCs/>
          <w:i/>
          <w:color w:val="auto"/>
        </w:rPr>
        <w:t> </w:t>
      </w:r>
      <w:r w:rsidRPr="00D85F17">
        <w:rPr>
          <w:bCs/>
          <w:i/>
          <w:color w:val="auto"/>
        </w:rPr>
        <w:t>kontrolowania jakości paliw</w:t>
      </w:r>
      <w:r>
        <w:rPr>
          <w:bCs/>
          <w:color w:val="auto"/>
        </w:rPr>
        <w:t xml:space="preserve"> polegającą na poszerzeniu zakresu tej ustawy o </w:t>
      </w:r>
      <w:r w:rsidRPr="005B0563">
        <w:rPr>
          <w:bCs/>
          <w:color w:val="auto"/>
        </w:rPr>
        <w:t>wymagania dotyczące oznakowania miejsc tankowania paliwem ciekłym oraz formułowania i</w:t>
      </w:r>
      <w:r>
        <w:rPr>
          <w:bCs/>
          <w:color w:val="auto"/>
        </w:rPr>
        <w:t> </w:t>
      </w:r>
      <w:r w:rsidRPr="005B0563">
        <w:rPr>
          <w:bCs/>
          <w:color w:val="auto"/>
        </w:rPr>
        <w:t>udostępniania informacji o możliwości tankowania pojazdu samochodowego paliwem ciekłym</w:t>
      </w:r>
      <w:r>
        <w:rPr>
          <w:bCs/>
          <w:color w:val="auto"/>
        </w:rPr>
        <w:t xml:space="preserve">. Powyższe ma na celu wprowadzenie do ustawy </w:t>
      </w:r>
      <w:r w:rsidRPr="0032520B">
        <w:rPr>
          <w:bCs/>
          <w:i/>
          <w:color w:val="auto"/>
        </w:rPr>
        <w:t>o systemie monitorowania i</w:t>
      </w:r>
      <w:r>
        <w:rPr>
          <w:bCs/>
          <w:i/>
          <w:color w:val="auto"/>
        </w:rPr>
        <w:t> </w:t>
      </w:r>
      <w:r w:rsidRPr="0032520B">
        <w:rPr>
          <w:bCs/>
          <w:i/>
          <w:color w:val="auto"/>
        </w:rPr>
        <w:t>kontrolowania jakości paliw</w:t>
      </w:r>
      <w:r>
        <w:rPr>
          <w:bCs/>
          <w:color w:val="auto"/>
        </w:rPr>
        <w:t xml:space="preserve"> (proponowany art. 9ca) przepisów obligujących do zamieszczania informacji na temat</w:t>
      </w:r>
      <w:r w:rsidRPr="004C4A21">
        <w:rPr>
          <w:bCs/>
          <w:color w:val="auto"/>
        </w:rPr>
        <w:t xml:space="preserve"> rodzaju </w:t>
      </w:r>
      <w:r>
        <w:rPr>
          <w:bCs/>
          <w:color w:val="auto"/>
        </w:rPr>
        <w:t xml:space="preserve">dostępnego </w:t>
      </w:r>
      <w:r w:rsidRPr="004C4A21">
        <w:rPr>
          <w:bCs/>
          <w:color w:val="auto"/>
        </w:rPr>
        <w:t>paliwa ciekłego wykorzystywanego do napędu pojazdu samochodowego</w:t>
      </w:r>
      <w:r>
        <w:rPr>
          <w:bCs/>
          <w:color w:val="auto"/>
        </w:rPr>
        <w:t>. Przedstawiona propozycja jest podyktowana potrzebą:</w:t>
      </w:r>
    </w:p>
    <w:p w14:paraId="128F9680" w14:textId="77777777" w:rsidR="00FF5857" w:rsidRDefault="00FF5857" w:rsidP="007D0B39">
      <w:pPr>
        <w:pStyle w:val="Default"/>
        <w:numPr>
          <w:ilvl w:val="0"/>
          <w:numId w:val="6"/>
        </w:numPr>
        <w:spacing w:line="360" w:lineRule="auto"/>
        <w:jc w:val="both"/>
        <w:rPr>
          <w:bCs/>
          <w:color w:val="auto"/>
        </w:rPr>
      </w:pPr>
      <w:r>
        <w:rPr>
          <w:bCs/>
          <w:color w:val="auto"/>
        </w:rPr>
        <w:t>zapewnienia łatwej i czytelnej identyfikacji przez konsumenta zgodności pojazdu samochodowego i paliwa ciekłego,</w:t>
      </w:r>
    </w:p>
    <w:p w14:paraId="298D7675" w14:textId="77777777" w:rsidR="00FF5857" w:rsidRPr="008D4254" w:rsidRDefault="00FF5857" w:rsidP="007D0B39">
      <w:pPr>
        <w:pStyle w:val="Default"/>
        <w:numPr>
          <w:ilvl w:val="0"/>
          <w:numId w:val="6"/>
        </w:numPr>
        <w:spacing w:line="360" w:lineRule="auto"/>
        <w:jc w:val="both"/>
        <w:rPr>
          <w:bCs/>
          <w:color w:val="auto"/>
        </w:rPr>
      </w:pPr>
      <w:r>
        <w:rPr>
          <w:bCs/>
          <w:color w:val="auto"/>
        </w:rPr>
        <w:t>u</w:t>
      </w:r>
      <w:r w:rsidRPr="008D4254">
        <w:rPr>
          <w:bCs/>
          <w:color w:val="auto"/>
        </w:rPr>
        <w:t>jednolicenia</w:t>
      </w:r>
      <w:r>
        <w:rPr>
          <w:bCs/>
          <w:color w:val="auto"/>
        </w:rPr>
        <w:t xml:space="preserve"> na rynku polskim</w:t>
      </w:r>
      <w:r w:rsidRPr="008D4254">
        <w:rPr>
          <w:bCs/>
          <w:color w:val="auto"/>
        </w:rPr>
        <w:t xml:space="preserve"> formy oznakowania paliw ciekłych do wprowadzonej ustawą o </w:t>
      </w:r>
      <w:proofErr w:type="spellStart"/>
      <w:r w:rsidRPr="008D4254">
        <w:rPr>
          <w:bCs/>
          <w:color w:val="auto"/>
        </w:rPr>
        <w:t>elektromobilności</w:t>
      </w:r>
      <w:proofErr w:type="spellEnd"/>
      <w:r w:rsidRPr="008D4254">
        <w:rPr>
          <w:bCs/>
          <w:color w:val="auto"/>
        </w:rPr>
        <w:t xml:space="preserve"> i paliwach alternatywnych formy oznakowania paliw alternatywnych,</w:t>
      </w:r>
    </w:p>
    <w:p w14:paraId="330624B2" w14:textId="77777777" w:rsidR="00FF5857" w:rsidRDefault="00FF5857" w:rsidP="007D0B39">
      <w:pPr>
        <w:pStyle w:val="Default"/>
        <w:numPr>
          <w:ilvl w:val="0"/>
          <w:numId w:val="6"/>
        </w:numPr>
        <w:spacing w:line="360" w:lineRule="auto"/>
        <w:jc w:val="both"/>
        <w:rPr>
          <w:bCs/>
          <w:color w:val="auto"/>
        </w:rPr>
      </w:pPr>
      <w:r>
        <w:rPr>
          <w:bCs/>
          <w:color w:val="auto"/>
        </w:rPr>
        <w:t>ujednolicenia formy oznakowania paliw w stosunku do formy stosowanej w innych krajach Unii Europejskiej.</w:t>
      </w:r>
    </w:p>
    <w:p w14:paraId="0DBA915D" w14:textId="77777777" w:rsidR="00FF5857" w:rsidRPr="002A5D6A" w:rsidRDefault="00FF5857" w:rsidP="00FF5857">
      <w:pPr>
        <w:pStyle w:val="Default"/>
        <w:spacing w:line="360" w:lineRule="auto"/>
        <w:ind w:firstLine="708"/>
        <w:jc w:val="both"/>
        <w:rPr>
          <w:bCs/>
          <w:color w:val="auto"/>
        </w:rPr>
      </w:pPr>
      <w:r w:rsidRPr="002A5D6A">
        <w:rPr>
          <w:bCs/>
          <w:color w:val="auto"/>
        </w:rPr>
        <w:lastRenderedPageBreak/>
        <w:t>Zasadniczym celem wprowadzanego obowiązku oznakowania jest uwzględnienie interesów konsumentów paliw, który to interes należy uznać za nadrzędny względem przedsiębiorstw. Obecnie rynek paliwowy w Polsce i Europie podlega znaczącym zmianom polegającym na dywersyfikacji paliw transportowych. W coraz większym wymiarze wprowadzane będą paliwa alternatywne. Oznakowanie pozwalające na łatwe i jednoznaczne określenie przez konsumentów kompatybilności paliwa względem rodzaju napędu stosowanego w danym samochodzie jest więc niezbędne, zwłaszcza, iż producenci samochodów produkują często te same modele samochodów z różnym napędem.</w:t>
      </w:r>
    </w:p>
    <w:p w14:paraId="49676850" w14:textId="77777777" w:rsidR="00FF5857" w:rsidRDefault="00FF5857" w:rsidP="00FF5857">
      <w:pPr>
        <w:pStyle w:val="Default"/>
        <w:spacing w:line="360" w:lineRule="auto"/>
        <w:ind w:firstLine="708"/>
        <w:jc w:val="both"/>
        <w:rPr>
          <w:bCs/>
          <w:color w:val="auto"/>
        </w:rPr>
      </w:pPr>
      <w:r w:rsidRPr="0093515F">
        <w:rPr>
          <w:bCs/>
          <w:color w:val="auto"/>
        </w:rPr>
        <w:t>Za realizację obowiązku umieszczenia stosownego oznakowania w instrukcji obsługi pojazdu oraz na korku lub klapce wlewu paliwa ciekłego będzie odpowiedzialny producent pojazdu samochodowego w rozumieniu</w:t>
      </w:r>
      <w:r>
        <w:rPr>
          <w:bCs/>
          <w:color w:val="auto"/>
        </w:rPr>
        <w:t>:</w:t>
      </w:r>
    </w:p>
    <w:p w14:paraId="1F19A280" w14:textId="77777777" w:rsidR="00FF5857" w:rsidRDefault="00FF5857" w:rsidP="00FF5857">
      <w:pPr>
        <w:pStyle w:val="Default"/>
        <w:spacing w:line="360" w:lineRule="auto"/>
        <w:ind w:firstLine="708"/>
        <w:jc w:val="both"/>
        <w:rPr>
          <w:bCs/>
          <w:color w:val="auto"/>
        </w:rPr>
      </w:pPr>
      <w:r>
        <w:rPr>
          <w:bCs/>
          <w:color w:val="auto"/>
        </w:rPr>
        <w:t>-</w:t>
      </w:r>
      <w:r w:rsidRPr="0093515F">
        <w:rPr>
          <w:bCs/>
          <w:color w:val="auto"/>
        </w:rPr>
        <w:t xml:space="preserve"> rozporządzenia Ministra Transportu, Budownictwa </w:t>
      </w:r>
      <w:r w:rsidRPr="005F0A40">
        <w:rPr>
          <w:bCs/>
          <w:color w:val="auto"/>
        </w:rPr>
        <w:t>i Gospodarki Morskiej z dnia 25 marca 2013 r. w sprawie homologacji typu pojazdów samochodowych i przyczep oraz ich przedmiotów wyposażenia lub części, które wdraża dyrektywę 2007/46/WE Parlamentu Europejskiego i Rady z dnia 5 września 2007 r. ustanawiającą ramy dla homologacji pojazdów silnikowych i ich przyczep oraz układów, części i oddzielnych zespołów technicznych</w:t>
      </w:r>
      <w:r w:rsidRPr="0093515F">
        <w:rPr>
          <w:bCs/>
          <w:color w:val="auto"/>
        </w:rPr>
        <w:t xml:space="preserve"> przeznaczonych do tych pojazdów</w:t>
      </w:r>
      <w:r>
        <w:rPr>
          <w:bCs/>
          <w:color w:val="auto"/>
        </w:rPr>
        <w:t>, albo</w:t>
      </w:r>
    </w:p>
    <w:p w14:paraId="357BCF62" w14:textId="77777777" w:rsidR="00FF5857" w:rsidRPr="002A5D6A" w:rsidRDefault="00FF5857" w:rsidP="00FF5857">
      <w:pPr>
        <w:tabs>
          <w:tab w:val="left" w:pos="709"/>
        </w:tabs>
        <w:ind w:firstLine="708"/>
        <w:jc w:val="both"/>
        <w:rPr>
          <w:rFonts w:eastAsia="Calibri"/>
          <w:bCs/>
          <w:szCs w:val="24"/>
        </w:rPr>
      </w:pPr>
      <w:r>
        <w:rPr>
          <w:rFonts w:eastAsia="Calibri"/>
          <w:bCs/>
          <w:szCs w:val="24"/>
        </w:rPr>
        <w:t xml:space="preserve">- </w:t>
      </w:r>
      <w:r w:rsidRPr="002A5D6A">
        <w:rPr>
          <w:rFonts w:eastAsia="Calibri"/>
          <w:bCs/>
          <w:szCs w:val="24"/>
        </w:rPr>
        <w:t>rozporządzenia Parlamentu Europejskiego i Rady (UE) NR 168/2013 z dnia 15 stycznia 2013 r. w sprawie homologacji i nadzoru rynku pojazdów dwu- lub trzykołowych oraz czterokołowców.</w:t>
      </w:r>
    </w:p>
    <w:p w14:paraId="69CFB5FF" w14:textId="77777777" w:rsidR="00FF5857" w:rsidRPr="002A5D6A" w:rsidRDefault="00FF5857" w:rsidP="00FF5857">
      <w:pPr>
        <w:ind w:firstLine="708"/>
        <w:jc w:val="both"/>
        <w:rPr>
          <w:rFonts w:eastAsia="Calibri"/>
          <w:bCs/>
          <w:szCs w:val="24"/>
        </w:rPr>
      </w:pPr>
      <w:r w:rsidRPr="002A5D6A">
        <w:rPr>
          <w:rFonts w:eastAsia="Calibri"/>
          <w:bCs/>
          <w:szCs w:val="24"/>
        </w:rPr>
        <w:t>Przyjmuje się, że pojazdy samochodowe nabywane wewnątrzwspólnotowo oraz importowane do Polski będą posiadały formę oznakowania zgodną z projektowanymi przepisami. Według posiadanych informacji część krajów UE stosuje już oznakowanie zgodne z normą EN 16942.</w:t>
      </w:r>
    </w:p>
    <w:p w14:paraId="6085D7D8" w14:textId="77777777" w:rsidR="00FF5857" w:rsidRDefault="00FF5857" w:rsidP="00FF5857">
      <w:pPr>
        <w:pStyle w:val="Default"/>
        <w:spacing w:line="360" w:lineRule="auto"/>
        <w:ind w:firstLine="708"/>
        <w:jc w:val="both"/>
        <w:rPr>
          <w:bCs/>
          <w:color w:val="auto"/>
        </w:rPr>
      </w:pPr>
      <w:r w:rsidRPr="0093515F">
        <w:rPr>
          <w:bCs/>
          <w:color w:val="auto"/>
        </w:rPr>
        <w:t>Zgodnie z informacjami pozyskanymi z branży paliwowej planowane oznakowanie miejsc tankowania paliw ciekłych jest już stosowane na rynku przez część podmiotów. Przedsiębiorcy, pomimo braku ustawowego obowiązku oznakowania, zamieszczają oznakowanie zgodne z normą PN-EN 16942.</w:t>
      </w:r>
    </w:p>
    <w:p w14:paraId="09B65C01" w14:textId="77777777" w:rsidR="00FF5857" w:rsidRDefault="00FF5857" w:rsidP="00FF5857">
      <w:pPr>
        <w:pStyle w:val="Default"/>
        <w:spacing w:line="360" w:lineRule="auto"/>
        <w:ind w:firstLine="708"/>
        <w:jc w:val="both"/>
        <w:rPr>
          <w:bCs/>
          <w:color w:val="auto"/>
        </w:rPr>
      </w:pPr>
      <w:r w:rsidRPr="00D672D5">
        <w:rPr>
          <w:bCs/>
          <w:color w:val="auto"/>
        </w:rPr>
        <w:t xml:space="preserve">Praktyka rynku w zakresie informowania klientów o rodzaju stosowanego paliwa ciekłego w instrukcji obsługi pojazdu czy też na terenie placówki handlowej prowadzącej sprzedaż pojazdów silnikowych nie jest jednolita. Określenie przez ministra właściwego do spraw energii, w drodze rozporządzenia, sposobu oznakowania ww. miejsc będzie miało </w:t>
      </w:r>
      <w:r w:rsidRPr="00D672D5">
        <w:rPr>
          <w:bCs/>
          <w:color w:val="auto"/>
        </w:rPr>
        <w:lastRenderedPageBreak/>
        <w:t>pozytywny skutek w postaci jednolitej formy oznakowania tych samych miejsc na terenie całego kraju.</w:t>
      </w:r>
    </w:p>
    <w:p w14:paraId="33F4405F" w14:textId="77777777" w:rsidR="00FF5857" w:rsidRPr="00AF0473" w:rsidRDefault="00FF5857" w:rsidP="00FF5857">
      <w:pPr>
        <w:ind w:firstLine="708"/>
        <w:jc w:val="both"/>
        <w:rPr>
          <w:rFonts w:eastAsia="Calibri"/>
          <w:bCs/>
          <w:szCs w:val="24"/>
        </w:rPr>
      </w:pPr>
      <w:r w:rsidRPr="00871C1F">
        <w:rPr>
          <w:bCs/>
          <w:szCs w:val="24"/>
        </w:rPr>
        <w:t>Projektowane przepisy nie wpłyną na funkcjonowanie mikroprzedsiębiorców, małych,  średnich i dużych przedsiębiorców. Koszty dostosowania rynku do wymagań zawartych w</w:t>
      </w:r>
      <w:r>
        <w:rPr>
          <w:bCs/>
          <w:szCs w:val="24"/>
        </w:rPr>
        <w:t> </w:t>
      </w:r>
      <w:r w:rsidRPr="00871C1F">
        <w:rPr>
          <w:bCs/>
          <w:szCs w:val="24"/>
        </w:rPr>
        <w:t xml:space="preserve">proponowanym art. 9ca </w:t>
      </w:r>
      <w:r>
        <w:rPr>
          <w:bCs/>
          <w:szCs w:val="24"/>
        </w:rPr>
        <w:t xml:space="preserve">ustawy </w:t>
      </w:r>
      <w:r w:rsidRPr="00E15981">
        <w:rPr>
          <w:bCs/>
          <w:i/>
          <w:szCs w:val="24"/>
        </w:rPr>
        <w:t>o systemie monitorowania i kontrolowania jakości paliw</w:t>
      </w:r>
      <w:r>
        <w:rPr>
          <w:bCs/>
          <w:szCs w:val="24"/>
        </w:rPr>
        <w:t xml:space="preserve"> </w:t>
      </w:r>
      <w:r w:rsidRPr="00871C1F">
        <w:rPr>
          <w:bCs/>
          <w:szCs w:val="24"/>
        </w:rPr>
        <w:t>poniosą przedsiębiorcy. Zgodnie z opinią sektora koszty oznakowania są niewielkie, wręcz pomijalne. Z uwagi na ich niską kwotę, nie zostały one uwzględniane w ujęciu pieniężnym w</w:t>
      </w:r>
      <w:r>
        <w:rPr>
          <w:bCs/>
          <w:szCs w:val="24"/>
        </w:rPr>
        <w:t> </w:t>
      </w:r>
      <w:r w:rsidRPr="00871C1F">
        <w:rPr>
          <w:bCs/>
          <w:szCs w:val="24"/>
        </w:rPr>
        <w:t>Ocenie Skutków Regulacji. Uwzględniając powyższe należy przyjąć, iż wprowadzenie obowiązku oznakowania w planowanym zakresie nie będzie obciążeniem dla przedsiębiorców, przy czym jednocześnie pozwoli na zwiększenie przejrzystości informacji kierowanych do konsumentów paliw ciekłych.</w:t>
      </w:r>
    </w:p>
    <w:p w14:paraId="3C564438" w14:textId="77777777" w:rsidR="00FF5857" w:rsidRDefault="00FF5857" w:rsidP="00FF5857">
      <w:pPr>
        <w:ind w:firstLine="708"/>
        <w:jc w:val="both"/>
        <w:rPr>
          <w:rFonts w:eastAsia="Calibri"/>
          <w:bCs/>
          <w:szCs w:val="24"/>
        </w:rPr>
      </w:pPr>
      <w:r w:rsidRPr="00E7605C">
        <w:rPr>
          <w:rFonts w:eastAsia="Calibri"/>
          <w:bCs/>
          <w:szCs w:val="24"/>
        </w:rPr>
        <w:t>Natomiast, w konsekwencji wdrożenia projektowanych przepisów rodzina, obywatele oraz gospodarstwa domowe będą miały dostęp do większej wiedzy na temat dostępności paliw ciekłych.</w:t>
      </w:r>
    </w:p>
    <w:p w14:paraId="5483EBAA" w14:textId="77777777" w:rsidR="00FF5857" w:rsidRPr="00E7605C" w:rsidRDefault="00FF5857" w:rsidP="00FF5857">
      <w:pPr>
        <w:ind w:firstLine="708"/>
        <w:jc w:val="both"/>
        <w:rPr>
          <w:rFonts w:eastAsia="Calibri"/>
          <w:bCs/>
          <w:szCs w:val="24"/>
        </w:rPr>
      </w:pPr>
      <w:r w:rsidRPr="00E7605C">
        <w:rPr>
          <w:rFonts w:eastAsia="Calibri"/>
          <w:bCs/>
          <w:szCs w:val="24"/>
        </w:rPr>
        <w:t xml:space="preserve">Skutkiem wprowadzenia art. 9ca w ustawie </w:t>
      </w:r>
      <w:r w:rsidRPr="00E7605C">
        <w:rPr>
          <w:rFonts w:eastAsia="Calibri"/>
          <w:bCs/>
          <w:i/>
          <w:szCs w:val="24"/>
        </w:rPr>
        <w:t>o systemie monitorowania i kontrolowania jakości paliw</w:t>
      </w:r>
      <w:r w:rsidRPr="00E7605C">
        <w:rPr>
          <w:rFonts w:eastAsia="Calibri"/>
          <w:bCs/>
          <w:szCs w:val="24"/>
        </w:rPr>
        <w:t xml:space="preserve"> będzie rozszerzenie zadań kontrolnych wykonywanych przez Inspekcję Handlową. Inspektorzy Inspekcji Handlowej zostaną upoważnieni do przeprowadzania kontroli wykonania obowiązków, o których mowa w art. 9ca ust. 1-3 nowelizowanej ustawy</w:t>
      </w:r>
      <w:r w:rsidRPr="002A5D6A">
        <w:rPr>
          <w:rFonts w:eastAsia="Calibri"/>
          <w:bCs/>
          <w:i/>
          <w:szCs w:val="24"/>
        </w:rPr>
        <w:t xml:space="preserve"> </w:t>
      </w:r>
      <w:r w:rsidRPr="00E05DE9">
        <w:rPr>
          <w:rFonts w:eastAsia="Calibri"/>
          <w:bCs/>
          <w:i/>
          <w:szCs w:val="24"/>
        </w:rPr>
        <w:t>o systemie monitorowania i kontrolowania jakości paliw</w:t>
      </w:r>
      <w:r w:rsidRPr="00E7605C">
        <w:rPr>
          <w:rFonts w:eastAsia="Calibri"/>
          <w:bCs/>
          <w:szCs w:val="24"/>
        </w:rPr>
        <w:t>.</w:t>
      </w:r>
    </w:p>
    <w:p w14:paraId="63F4B1FF" w14:textId="77777777" w:rsidR="00FF5857" w:rsidRDefault="00FF5857" w:rsidP="00FF5857">
      <w:pPr>
        <w:pStyle w:val="Default"/>
        <w:spacing w:line="360" w:lineRule="auto"/>
        <w:ind w:firstLine="708"/>
        <w:jc w:val="both"/>
        <w:rPr>
          <w:bCs/>
          <w:color w:val="auto"/>
        </w:rPr>
      </w:pPr>
      <w:r>
        <w:rPr>
          <w:bCs/>
          <w:color w:val="auto"/>
        </w:rPr>
        <w:t>Zaproponowano także wprowadzenie delegacji ustawowej dla ministra właściwego do spraw energii do określenia, w drodze rozporządzenia, sposobu:</w:t>
      </w:r>
    </w:p>
    <w:p w14:paraId="3D5D6A4A" w14:textId="77777777" w:rsidR="00FF5857" w:rsidRDefault="00FF5857" w:rsidP="007D0B39">
      <w:pPr>
        <w:pStyle w:val="Default"/>
        <w:numPr>
          <w:ilvl w:val="0"/>
          <w:numId w:val="4"/>
        </w:numPr>
        <w:spacing w:line="360" w:lineRule="auto"/>
        <w:ind w:left="567" w:hanging="283"/>
        <w:jc w:val="both"/>
        <w:rPr>
          <w:bCs/>
          <w:color w:val="auto"/>
        </w:rPr>
      </w:pPr>
      <w:r w:rsidRPr="00B26F86">
        <w:rPr>
          <w:bCs/>
          <w:color w:val="auto"/>
        </w:rPr>
        <w:t>oznakowania pistoletów wydaw</w:t>
      </w:r>
      <w:r>
        <w:rPr>
          <w:bCs/>
          <w:color w:val="auto"/>
        </w:rPr>
        <w:t>czych i dystrybutorów wskazującego</w:t>
      </w:r>
      <w:r w:rsidRPr="00B26F86">
        <w:rPr>
          <w:bCs/>
          <w:color w:val="auto"/>
        </w:rPr>
        <w:t xml:space="preserve"> na ro</w:t>
      </w:r>
      <w:r>
        <w:rPr>
          <w:bCs/>
          <w:color w:val="auto"/>
        </w:rPr>
        <w:t>dzaj wydawanego paliwa ciekłego,</w:t>
      </w:r>
    </w:p>
    <w:p w14:paraId="43C36CE1" w14:textId="77777777" w:rsidR="00FF5857" w:rsidRPr="00B26F86" w:rsidRDefault="00FF5857" w:rsidP="007D0B39">
      <w:pPr>
        <w:pStyle w:val="Default"/>
        <w:numPr>
          <w:ilvl w:val="0"/>
          <w:numId w:val="4"/>
        </w:numPr>
        <w:spacing w:line="360" w:lineRule="auto"/>
        <w:ind w:left="567" w:hanging="283"/>
        <w:jc w:val="both"/>
        <w:rPr>
          <w:bCs/>
          <w:color w:val="auto"/>
        </w:rPr>
      </w:pPr>
      <w:r w:rsidRPr="00B26F86">
        <w:rPr>
          <w:bCs/>
          <w:color w:val="auto"/>
        </w:rPr>
        <w:t>formułowania i udostępniania informacji</w:t>
      </w:r>
      <w:r>
        <w:rPr>
          <w:bCs/>
          <w:color w:val="auto"/>
        </w:rPr>
        <w:t>,</w:t>
      </w:r>
      <w:r w:rsidRPr="00B26F86">
        <w:rPr>
          <w:bCs/>
          <w:color w:val="auto"/>
        </w:rPr>
        <w:t xml:space="preserve"> o </w:t>
      </w:r>
      <w:r>
        <w:rPr>
          <w:bCs/>
          <w:color w:val="auto"/>
        </w:rPr>
        <w:t>których mowa we wprowadzanym do ustawy art. 9ca ust. 2</w:t>
      </w:r>
      <w:r w:rsidRPr="00B26F86">
        <w:rPr>
          <w:bCs/>
          <w:color w:val="auto"/>
        </w:rPr>
        <w:t>.</w:t>
      </w:r>
    </w:p>
    <w:p w14:paraId="3B34BEF8" w14:textId="77777777" w:rsidR="00FF5857" w:rsidRDefault="00FF5857" w:rsidP="00FF5857">
      <w:pPr>
        <w:pStyle w:val="Default"/>
        <w:spacing w:line="360" w:lineRule="auto"/>
        <w:ind w:firstLine="708"/>
        <w:jc w:val="both"/>
        <w:rPr>
          <w:bCs/>
          <w:color w:val="auto"/>
        </w:rPr>
      </w:pPr>
      <w:r>
        <w:rPr>
          <w:bCs/>
          <w:color w:val="auto"/>
        </w:rPr>
        <w:t>Powyższa delegacja ustawowa zostanie zrealizowana w oparciu o obowiązującą normę</w:t>
      </w:r>
      <w:r w:rsidRPr="00286F28">
        <w:t xml:space="preserve"> </w:t>
      </w:r>
      <w:r w:rsidRPr="00286F28">
        <w:rPr>
          <w:bCs/>
          <w:color w:val="auto"/>
        </w:rPr>
        <w:t>PN-EN 16942</w:t>
      </w:r>
      <w:r>
        <w:rPr>
          <w:bCs/>
          <w:color w:val="auto"/>
        </w:rPr>
        <w:t xml:space="preserve"> </w:t>
      </w:r>
      <w:r w:rsidRPr="0032520B">
        <w:rPr>
          <w:bCs/>
          <w:i/>
          <w:color w:val="auto"/>
        </w:rPr>
        <w:t>Paliwa -- Identyfikacja zgodności pojazdu -- Graficzna forma informacji dla konsumenta</w:t>
      </w:r>
      <w:r>
        <w:rPr>
          <w:bCs/>
          <w:color w:val="auto"/>
        </w:rPr>
        <w:t xml:space="preserve"> i tym samym przyczyni się to do ujednolicenia formy oznakowania stosowanej w innych krajach Unii Europejskiej.</w:t>
      </w:r>
    </w:p>
    <w:p w14:paraId="718EF1A7" w14:textId="77777777" w:rsidR="00FF5857" w:rsidRPr="00E7605C" w:rsidRDefault="00FF5857" w:rsidP="00FF5857">
      <w:pPr>
        <w:ind w:firstLine="708"/>
        <w:jc w:val="both"/>
        <w:rPr>
          <w:rFonts w:eastAsia="Calibri"/>
          <w:bCs/>
          <w:szCs w:val="24"/>
        </w:rPr>
      </w:pPr>
      <w:r w:rsidRPr="00E7605C">
        <w:rPr>
          <w:rFonts w:eastAsia="Calibri"/>
          <w:bCs/>
          <w:szCs w:val="24"/>
        </w:rPr>
        <w:t>Po wprowadzeniu nowego art. 9ca ust. 1</w:t>
      </w:r>
      <w:r w:rsidRPr="00E7605C">
        <w:rPr>
          <w:bCs/>
        </w:rPr>
        <w:t xml:space="preserve"> </w:t>
      </w:r>
      <w:r w:rsidRPr="00E7605C">
        <w:rPr>
          <w:rFonts w:eastAsia="Calibri"/>
          <w:bCs/>
          <w:szCs w:val="24"/>
        </w:rPr>
        <w:t xml:space="preserve">do ustawy </w:t>
      </w:r>
      <w:r w:rsidRPr="00E7605C">
        <w:rPr>
          <w:rFonts w:eastAsia="Calibri"/>
          <w:bCs/>
          <w:i/>
          <w:szCs w:val="24"/>
        </w:rPr>
        <w:t>o systemie monitorowania i kontrolowania jakości paliw</w:t>
      </w:r>
      <w:r w:rsidRPr="00E7605C">
        <w:rPr>
          <w:rFonts w:eastAsia="Calibri"/>
          <w:bCs/>
          <w:szCs w:val="24"/>
        </w:rPr>
        <w:t xml:space="preserve">, który nakłada obowiązek oznakowania na stacjach paliwowych oraz na stacjach zakładowych pistoletów wydawczych i dystrybutorów w sposób określający rodzaj wydawanego paliwa ciekłego, należy uchylić dotychczasowy przepis art. 9a ww. </w:t>
      </w:r>
      <w:r w:rsidRPr="00E7605C">
        <w:rPr>
          <w:rFonts w:eastAsia="Calibri"/>
          <w:bCs/>
          <w:szCs w:val="24"/>
        </w:rPr>
        <w:lastRenderedPageBreak/>
        <w:t>ustawy. Uzasadnieniem powyższego jest fakt, iż nowy obowiązek oznakowania (proponowany art. 9ca ust. 1</w:t>
      </w:r>
      <w:r>
        <w:rPr>
          <w:rFonts w:eastAsia="Calibri"/>
          <w:bCs/>
          <w:szCs w:val="24"/>
        </w:rPr>
        <w:t xml:space="preserve"> ustawy </w:t>
      </w:r>
      <w:r w:rsidRPr="00E7605C">
        <w:rPr>
          <w:rFonts w:eastAsia="Calibri"/>
          <w:bCs/>
          <w:i/>
          <w:szCs w:val="24"/>
        </w:rPr>
        <w:t>o systemie monitorowania i kontrolowania jakości paliw</w:t>
      </w:r>
      <w:r w:rsidRPr="00E7605C">
        <w:rPr>
          <w:rFonts w:eastAsia="Calibri"/>
          <w:bCs/>
          <w:szCs w:val="24"/>
        </w:rPr>
        <w:t xml:space="preserve">) </w:t>
      </w:r>
      <w:r>
        <w:rPr>
          <w:rFonts w:eastAsia="Calibri"/>
          <w:bCs/>
          <w:szCs w:val="24"/>
        </w:rPr>
        <w:t>zastąpi</w:t>
      </w:r>
      <w:r w:rsidRPr="00E7605C">
        <w:rPr>
          <w:rFonts w:eastAsia="Calibri"/>
          <w:bCs/>
          <w:szCs w:val="24"/>
        </w:rPr>
        <w:t xml:space="preserve"> dotychczasowy obowiązek zamieszczania na stacjach paliwowych i stacjach zakładowych czytelnych informacji dotyczących zawartości biokomponentów w paliwach ciekłych wprowadzanych do obrotu na tych stacjach. Uchylając art. 9a ww. ustawy wprowadzono jednocześnie w dalszej części ustawy stosowne zmiany w przepisach dotyczących kontroli i kar. Wprowadzono także przepis</w:t>
      </w:r>
      <w:r>
        <w:rPr>
          <w:rFonts w:eastAsia="Calibri"/>
          <w:bCs/>
          <w:szCs w:val="24"/>
        </w:rPr>
        <w:t>y</w:t>
      </w:r>
      <w:r w:rsidRPr="00E7605C">
        <w:rPr>
          <w:rFonts w:eastAsia="Calibri"/>
          <w:bCs/>
          <w:szCs w:val="24"/>
        </w:rPr>
        <w:t xml:space="preserve"> przejściow</w:t>
      </w:r>
      <w:r>
        <w:rPr>
          <w:rFonts w:eastAsia="Calibri"/>
          <w:bCs/>
          <w:szCs w:val="24"/>
        </w:rPr>
        <w:t>e</w:t>
      </w:r>
      <w:r w:rsidRPr="00E7605C">
        <w:rPr>
          <w:rFonts w:eastAsia="Calibri"/>
          <w:bCs/>
          <w:szCs w:val="24"/>
        </w:rPr>
        <w:t xml:space="preserve"> związan</w:t>
      </w:r>
      <w:r>
        <w:rPr>
          <w:rFonts w:eastAsia="Calibri"/>
          <w:bCs/>
          <w:szCs w:val="24"/>
        </w:rPr>
        <w:t>e</w:t>
      </w:r>
      <w:r w:rsidRPr="00E7605C">
        <w:rPr>
          <w:rFonts w:eastAsia="Calibri"/>
          <w:bCs/>
          <w:szCs w:val="24"/>
        </w:rPr>
        <w:t xml:space="preserve"> z uchyleniem art. 9a</w:t>
      </w:r>
      <w:r>
        <w:rPr>
          <w:rFonts w:eastAsia="Calibri"/>
          <w:bCs/>
          <w:szCs w:val="24"/>
        </w:rPr>
        <w:t xml:space="preserve"> ustawy</w:t>
      </w:r>
      <w:r w:rsidRPr="005F0A40">
        <w:rPr>
          <w:rFonts w:eastAsia="Calibri"/>
          <w:bCs/>
          <w:i/>
          <w:szCs w:val="24"/>
        </w:rPr>
        <w:t xml:space="preserve"> </w:t>
      </w:r>
      <w:r w:rsidRPr="00E7605C">
        <w:rPr>
          <w:rFonts w:eastAsia="Calibri"/>
          <w:bCs/>
          <w:i/>
          <w:szCs w:val="24"/>
        </w:rPr>
        <w:t>o systemie monitorowania i kontrolowania jakości paliw</w:t>
      </w:r>
      <w:r w:rsidRPr="00E7605C">
        <w:rPr>
          <w:rFonts w:eastAsia="Calibri"/>
          <w:bCs/>
          <w:szCs w:val="24"/>
        </w:rPr>
        <w:t>.</w:t>
      </w:r>
    </w:p>
    <w:p w14:paraId="13D99167" w14:textId="77777777" w:rsidR="00FF5857" w:rsidRPr="00E7605C" w:rsidRDefault="00FF5857" w:rsidP="00FF5857">
      <w:pPr>
        <w:ind w:firstLine="708"/>
        <w:jc w:val="both"/>
        <w:rPr>
          <w:rFonts w:eastAsia="Calibri"/>
          <w:bCs/>
          <w:szCs w:val="24"/>
        </w:rPr>
      </w:pPr>
      <w:r w:rsidRPr="00E7605C">
        <w:rPr>
          <w:rFonts w:eastAsia="Calibri"/>
          <w:bCs/>
          <w:szCs w:val="24"/>
        </w:rPr>
        <w:t>W celu informowania użytkowników pojazdów o dostępności na stacjach paliwowych i stacjach zakładowych benzyn silnikowych zarówno z zawartością do 5% biokomponentów (E5) jak również od 5% do 10% biokomponentów (E10) pozostawiono w ustawie</w:t>
      </w:r>
      <w:r w:rsidRPr="00E7605C">
        <w:rPr>
          <w:rFonts w:eastAsia="Calibri"/>
          <w:color w:val="000000"/>
          <w:szCs w:val="24"/>
        </w:rPr>
        <w:t xml:space="preserve"> </w:t>
      </w:r>
      <w:r w:rsidRPr="00E7605C">
        <w:rPr>
          <w:rFonts w:eastAsia="Calibri"/>
          <w:bCs/>
          <w:i/>
          <w:szCs w:val="24"/>
        </w:rPr>
        <w:t>o systemie monitorowania i kontrolowania jakości paliw</w:t>
      </w:r>
      <w:r w:rsidRPr="00E7605C">
        <w:rPr>
          <w:rFonts w:eastAsia="Calibri"/>
          <w:bCs/>
          <w:szCs w:val="24"/>
        </w:rPr>
        <w:t xml:space="preserve"> przepis art. 9b. Obowiązek dostępności na stacji równocześnie dystrybutora z paliwem E5 </w:t>
      </w:r>
      <w:r>
        <w:rPr>
          <w:rFonts w:eastAsia="Calibri"/>
          <w:bCs/>
          <w:szCs w:val="24"/>
        </w:rPr>
        <w:t xml:space="preserve">w przypadku oferowania benzyn silnikowych E10 </w:t>
      </w:r>
      <w:r w:rsidRPr="00E7605C">
        <w:rPr>
          <w:rFonts w:eastAsia="Calibri"/>
          <w:bCs/>
          <w:szCs w:val="24"/>
        </w:rPr>
        <w:t>obowiązuje do dnia 31 grudnia 2020 r. (tzw. okres przejściowy), w celu zapewnienia dostępu do tankowania E5 właścicielom pojazdów nieprzystosowanych do tankowania E10. Po upływie tego okresu przepis zostanie uchylony lub znowelizowany.</w:t>
      </w:r>
    </w:p>
    <w:p w14:paraId="1CABC81B" w14:textId="77777777" w:rsidR="00FF5857" w:rsidRPr="00E7605C" w:rsidRDefault="00FF5857" w:rsidP="00FF5857">
      <w:pPr>
        <w:ind w:firstLine="708"/>
        <w:jc w:val="both"/>
        <w:rPr>
          <w:rFonts w:eastAsia="Calibri"/>
          <w:bCs/>
          <w:szCs w:val="24"/>
        </w:rPr>
      </w:pPr>
      <w:r w:rsidRPr="00E7605C">
        <w:rPr>
          <w:rFonts w:eastAsia="Calibri"/>
          <w:bCs/>
          <w:szCs w:val="24"/>
        </w:rPr>
        <w:t>Bez zmian pozostanie w ustawie</w:t>
      </w:r>
      <w:r w:rsidRPr="00E7605C">
        <w:rPr>
          <w:rFonts w:eastAsia="Calibri"/>
          <w:bCs/>
          <w:i/>
          <w:szCs w:val="24"/>
        </w:rPr>
        <w:t xml:space="preserve"> o systemie monitorowania i kontrolowania jakości paliw</w:t>
      </w:r>
      <w:r w:rsidRPr="00E7605C">
        <w:rPr>
          <w:rFonts w:eastAsia="Calibri"/>
          <w:bCs/>
          <w:szCs w:val="24"/>
        </w:rPr>
        <w:t xml:space="preserve">  przepis art. 9c, który nakłada obowiązek oznakowania dystrybutorów używanych na stacjach paliwowych do paliw ciekłych zawierających dodatki metaliczne. Przedmiotowy obowiązek nie pokrywa się z obowiązkami wynikającymi z dodawanego w tej ustawie art. 9ca.</w:t>
      </w:r>
    </w:p>
    <w:p w14:paraId="05286351" w14:textId="77777777" w:rsidR="00FF5857" w:rsidRDefault="00FF5857" w:rsidP="00FF5857">
      <w:pPr>
        <w:pStyle w:val="Default"/>
        <w:spacing w:line="360" w:lineRule="auto"/>
        <w:ind w:firstLine="708"/>
        <w:jc w:val="both"/>
        <w:rPr>
          <w:bCs/>
          <w:color w:val="auto"/>
        </w:rPr>
      </w:pPr>
      <w:r>
        <w:rPr>
          <w:bCs/>
          <w:color w:val="auto"/>
        </w:rPr>
        <w:t>Ponadto, w projekcie uwzględniono także kwestię przeprowadzania kontroli przez Inspekcję Handlową w zakresie wykonania wprowadzanych obowiązków informacyjnych oraz kar pieniężnych za brak wykonania tych obowiązków.</w:t>
      </w:r>
    </w:p>
    <w:p w14:paraId="7976D40B" w14:textId="77777777" w:rsidR="00FF5857" w:rsidRPr="00A87EBB" w:rsidRDefault="00FF5857" w:rsidP="00FF5857">
      <w:pPr>
        <w:pStyle w:val="Default"/>
        <w:spacing w:line="360" w:lineRule="auto"/>
        <w:ind w:firstLine="708"/>
        <w:jc w:val="both"/>
        <w:rPr>
          <w:bCs/>
          <w:color w:val="auto"/>
        </w:rPr>
      </w:pPr>
    </w:p>
    <w:p w14:paraId="5EB19DFC" w14:textId="77777777" w:rsidR="00FF5857" w:rsidRDefault="00FF5857" w:rsidP="00FF5857">
      <w:pPr>
        <w:pStyle w:val="Default"/>
        <w:jc w:val="both"/>
        <w:rPr>
          <w:b/>
          <w:bCs/>
        </w:rPr>
      </w:pPr>
      <w:r>
        <w:rPr>
          <w:b/>
          <w:bCs/>
        </w:rPr>
        <w:t>9</w:t>
      </w:r>
      <w:r w:rsidRPr="00A87EBB">
        <w:rPr>
          <w:b/>
          <w:bCs/>
        </w:rPr>
        <w:t xml:space="preserve">. </w:t>
      </w:r>
      <w:r w:rsidRPr="006A5478">
        <w:rPr>
          <w:b/>
          <w:bCs/>
        </w:rPr>
        <w:t>Zmiany</w:t>
      </w:r>
      <w:r>
        <w:rPr>
          <w:b/>
          <w:bCs/>
        </w:rPr>
        <w:t xml:space="preserve"> w ustawie</w:t>
      </w:r>
      <w:r w:rsidRPr="006A5478">
        <w:rPr>
          <w:b/>
          <w:bCs/>
        </w:rPr>
        <w:t xml:space="preserve"> z dnia 11 stycznia 2019 r. </w:t>
      </w:r>
      <w:r w:rsidRPr="006A5478">
        <w:rPr>
          <w:b/>
          <w:bCs/>
          <w:i/>
        </w:rPr>
        <w:t xml:space="preserve">o </w:t>
      </w:r>
      <w:proofErr w:type="spellStart"/>
      <w:r w:rsidRPr="006A5478">
        <w:rPr>
          <w:b/>
          <w:bCs/>
          <w:i/>
        </w:rPr>
        <w:t>elektromobilności</w:t>
      </w:r>
      <w:proofErr w:type="spellEnd"/>
      <w:r w:rsidRPr="006A5478">
        <w:rPr>
          <w:b/>
          <w:bCs/>
          <w:i/>
        </w:rPr>
        <w:t xml:space="preserve"> i paliwach alternatywnych</w:t>
      </w:r>
      <w:r w:rsidRPr="006A5478">
        <w:rPr>
          <w:b/>
          <w:bCs/>
        </w:rPr>
        <w:t xml:space="preserve"> (Dz. U. z 2018 r. poz. 317, 1356 i 2348)</w:t>
      </w:r>
    </w:p>
    <w:p w14:paraId="5F06AD47" w14:textId="77777777" w:rsidR="00FF5857" w:rsidRPr="006C3578" w:rsidRDefault="00FF5857" w:rsidP="00FF5857">
      <w:pPr>
        <w:pStyle w:val="Default"/>
        <w:spacing w:line="360" w:lineRule="auto"/>
        <w:ind w:firstLine="708"/>
        <w:jc w:val="both"/>
        <w:rPr>
          <w:bCs/>
        </w:rPr>
      </w:pPr>
      <w:r w:rsidRPr="006C3578">
        <w:rPr>
          <w:bCs/>
        </w:rPr>
        <w:t xml:space="preserve">Zmiana w art. 35 ust. 2 </w:t>
      </w:r>
      <w:r>
        <w:rPr>
          <w:bCs/>
        </w:rPr>
        <w:t xml:space="preserve">ustawy </w:t>
      </w:r>
      <w:r w:rsidRPr="00E15981">
        <w:rPr>
          <w:bCs/>
          <w:i/>
        </w:rPr>
        <w:t xml:space="preserve">o </w:t>
      </w:r>
      <w:proofErr w:type="spellStart"/>
      <w:r w:rsidRPr="00E15981">
        <w:rPr>
          <w:bCs/>
          <w:i/>
        </w:rPr>
        <w:t>elektromobilności</w:t>
      </w:r>
      <w:proofErr w:type="spellEnd"/>
      <w:r w:rsidRPr="00E15981">
        <w:rPr>
          <w:bCs/>
          <w:i/>
        </w:rPr>
        <w:t xml:space="preserve"> i paliwach alternatywnych</w:t>
      </w:r>
      <w:r>
        <w:rPr>
          <w:bCs/>
        </w:rPr>
        <w:t xml:space="preserve"> </w:t>
      </w:r>
      <w:r w:rsidRPr="006C3578">
        <w:rPr>
          <w:bCs/>
        </w:rPr>
        <w:t>ma za zadanie rozwiązać problem sformułowania katalogu zadań samorządu terytorialnego, wobec których ustawa ustanawia obowiązki użytkowania pojazdów elektrycznych lub pojazdów napędzanych gazem ziemnym. Należy uznać, iż odrębne ustanowienie takiego katalogu w</w:t>
      </w:r>
      <w:r>
        <w:rPr>
          <w:bCs/>
        </w:rPr>
        <w:t> </w:t>
      </w:r>
      <w:r w:rsidRPr="006C3578">
        <w:rPr>
          <w:bCs/>
        </w:rPr>
        <w:t>ustawie nie jest celowe, wobec katalogu ustawy o samorządzie gminnym, ustawy o</w:t>
      </w:r>
      <w:r>
        <w:rPr>
          <w:bCs/>
        </w:rPr>
        <w:t> </w:t>
      </w:r>
      <w:r w:rsidRPr="006C3578">
        <w:rPr>
          <w:bCs/>
        </w:rPr>
        <w:t>samorządzie powiatowym czy ustawy o samorządzie województwa. Takie rozwiązanie wydaje się praktyczne i prawidłowo legislacyjnie, gdzie dla odrębnych regulacji powinno się używać pojęć zdefiniowanych już systemowo.</w:t>
      </w:r>
    </w:p>
    <w:p w14:paraId="1E3269BE" w14:textId="77777777" w:rsidR="00FF5857" w:rsidRDefault="00FF5857" w:rsidP="00FF5857">
      <w:pPr>
        <w:pStyle w:val="Default"/>
        <w:spacing w:line="360" w:lineRule="auto"/>
        <w:ind w:firstLine="708"/>
        <w:jc w:val="both"/>
        <w:rPr>
          <w:bCs/>
        </w:rPr>
      </w:pPr>
      <w:r w:rsidRPr="006C3578">
        <w:rPr>
          <w:bCs/>
        </w:rPr>
        <w:lastRenderedPageBreak/>
        <w:t xml:space="preserve">Proponuje się dodanie w art. 35 ust. 3 </w:t>
      </w:r>
      <w:r>
        <w:rPr>
          <w:bCs/>
        </w:rPr>
        <w:t xml:space="preserve">ustawy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Pr>
          <w:bCs/>
        </w:rPr>
        <w:t xml:space="preserve"> </w:t>
      </w:r>
      <w:r w:rsidRPr="006C3578">
        <w:rPr>
          <w:bCs/>
        </w:rPr>
        <w:t xml:space="preserve">przez uwzględnienie tzw. progu bagatelności przyjętego w ustawie z dnia 29 stycznia 2004 r. </w:t>
      </w:r>
      <w:r w:rsidRPr="00E15981">
        <w:rPr>
          <w:bCs/>
          <w:i/>
        </w:rPr>
        <w:t>Prawo Zamówień Publicznych</w:t>
      </w:r>
      <w:r w:rsidRPr="006C3578">
        <w:rPr>
          <w:bCs/>
        </w:rPr>
        <w:t xml:space="preserve"> (Dz. U. z 2018 r., poz. 1986</w:t>
      </w:r>
      <w:r>
        <w:rPr>
          <w:bCs/>
        </w:rPr>
        <w:t>,</w:t>
      </w:r>
      <w:r w:rsidRPr="006C3578">
        <w:rPr>
          <w:bCs/>
        </w:rPr>
        <w:t xml:space="preserve"> z </w:t>
      </w:r>
      <w:r>
        <w:rPr>
          <w:bCs/>
        </w:rPr>
        <w:t xml:space="preserve">późn. </w:t>
      </w:r>
      <w:r w:rsidRPr="006C3578">
        <w:rPr>
          <w:bCs/>
        </w:rPr>
        <w:t xml:space="preserve">zm.), jako uruchamiającego obowiązek zachowania rygorów ustawy </w:t>
      </w:r>
      <w:r w:rsidRPr="006C3578">
        <w:rPr>
          <w:bCs/>
          <w:i/>
        </w:rPr>
        <w:t>Prawo Zamówień Publicznych</w:t>
      </w:r>
      <w:r w:rsidRPr="006C3578">
        <w:rPr>
          <w:bCs/>
        </w:rPr>
        <w:t xml:space="preserve"> w</w:t>
      </w:r>
      <w:r>
        <w:rPr>
          <w:bCs/>
        </w:rPr>
        <w:t> </w:t>
      </w:r>
      <w:r w:rsidRPr="006C3578">
        <w:rPr>
          <w:bCs/>
        </w:rPr>
        <w:t xml:space="preserve">procesie powierzania realizacji zadania publicznego pozwoli uchronić rynek drobnych wykonawców </w:t>
      </w:r>
      <w:proofErr w:type="spellStart"/>
      <w:r w:rsidRPr="006C3578">
        <w:rPr>
          <w:bCs/>
        </w:rPr>
        <w:t>niskokosztowych</w:t>
      </w:r>
      <w:proofErr w:type="spellEnd"/>
      <w:r w:rsidRPr="006C3578">
        <w:rPr>
          <w:bCs/>
        </w:rPr>
        <w:t xml:space="preserve"> zadań typu: przewóz mebli, obsługi wyborów, konwojowania gotówki etc</w:t>
      </w:r>
      <w:r>
        <w:rPr>
          <w:bCs/>
        </w:rPr>
        <w:t>.,</w:t>
      </w:r>
      <w:r w:rsidRPr="006C3578">
        <w:rPr>
          <w:bCs/>
        </w:rPr>
        <w:t xml:space="preserve"> operacyjnie niezbędnych w działalności administracyjnej </w:t>
      </w:r>
      <w:r>
        <w:rPr>
          <w:bCs/>
        </w:rPr>
        <w:t>jednostek samorządu terytorialnego</w:t>
      </w:r>
      <w:r w:rsidRPr="006C3578">
        <w:rPr>
          <w:bCs/>
        </w:rPr>
        <w:t xml:space="preserve">, </w:t>
      </w:r>
      <w:r>
        <w:rPr>
          <w:bCs/>
        </w:rPr>
        <w:t>objętych</w:t>
      </w:r>
      <w:r w:rsidRPr="006C3578">
        <w:rPr>
          <w:bCs/>
        </w:rPr>
        <w:t xml:space="preserve"> reżimem ustawy. Należy wskazać, iż ustawodawca na potrzeby systemu zamówień publicznych wprowadził próg zamówień "bagatelnych", do których ustawa</w:t>
      </w:r>
      <w:r w:rsidRPr="00861BC9">
        <w:rPr>
          <w:bCs/>
          <w:i/>
        </w:rPr>
        <w:t xml:space="preserve">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sidRPr="006C3578">
        <w:rPr>
          <w:bCs/>
        </w:rPr>
        <w:t xml:space="preserve"> nie musi być stosowana, z uwagi na cele współmierności procedur i skali kosztów.</w:t>
      </w:r>
    </w:p>
    <w:p w14:paraId="0F0F558C" w14:textId="77777777" w:rsidR="00FF5857" w:rsidRDefault="00FF5857" w:rsidP="00FF5857">
      <w:pPr>
        <w:pStyle w:val="Default"/>
        <w:spacing w:line="360" w:lineRule="auto"/>
        <w:ind w:firstLine="708"/>
        <w:jc w:val="both"/>
        <w:rPr>
          <w:bCs/>
        </w:rPr>
      </w:pPr>
      <w:r w:rsidRPr="006C3578">
        <w:rPr>
          <w:bCs/>
        </w:rPr>
        <w:t>Ta sama reguła winna być zastosowana (przy tym samym ustawowym progu) dla drobniejszych zadań, masowo wykonywanych przez drobnych wykonawców. Firmy te nie będą miały zdolności do pozyskania pojazdów elektrycznych lub napędzanych gazem ziemnym, biorąc pod uwagę ich wysokie ceny. Takie rozwiązanie nie wyeliminuje szerokiej rzeszy przedsiębiorców, posiadających jeden lub kilka pojazdów, wykonujących niewielkie zlecenia na rzecz samorządów terytorialnych. Reguła współmierności regulacji z istotnością materii regulowanej, winna pozwalać na proponowaną zmianę regulacji.</w:t>
      </w:r>
    </w:p>
    <w:p w14:paraId="5A51A630" w14:textId="77777777" w:rsidR="00FF5857" w:rsidRDefault="00FF5857" w:rsidP="00FF5857">
      <w:pPr>
        <w:pStyle w:val="Default"/>
        <w:spacing w:line="360" w:lineRule="auto"/>
        <w:ind w:firstLine="708"/>
        <w:jc w:val="both"/>
        <w:rPr>
          <w:b/>
          <w:bCs/>
        </w:rPr>
      </w:pPr>
      <w:r w:rsidRPr="006C3578">
        <w:rPr>
          <w:bCs/>
        </w:rPr>
        <w:t xml:space="preserve">Dodatkowo proponowane brzmienie pozwoli na ujednolicenie przepisów ustawy </w:t>
      </w:r>
      <w:r w:rsidRPr="006C3578">
        <w:rPr>
          <w:bCs/>
          <w:i/>
        </w:rPr>
        <w:t>o</w:t>
      </w:r>
      <w:r>
        <w:rPr>
          <w:bCs/>
          <w:i/>
        </w:rPr>
        <w:t> </w:t>
      </w:r>
      <w:proofErr w:type="spellStart"/>
      <w:r w:rsidRPr="006C3578">
        <w:rPr>
          <w:bCs/>
          <w:i/>
        </w:rPr>
        <w:t>elektromobilności</w:t>
      </w:r>
      <w:proofErr w:type="spellEnd"/>
      <w:r w:rsidRPr="006C3578">
        <w:rPr>
          <w:bCs/>
          <w:i/>
        </w:rPr>
        <w:t xml:space="preserve"> i paliwach alternatywnych</w:t>
      </w:r>
      <w:r>
        <w:rPr>
          <w:bCs/>
        </w:rPr>
        <w:t xml:space="preserve"> </w:t>
      </w:r>
      <w:r w:rsidRPr="006C3578">
        <w:rPr>
          <w:bCs/>
        </w:rPr>
        <w:t xml:space="preserve">z ustawą </w:t>
      </w:r>
      <w:r w:rsidRPr="00861BC9">
        <w:rPr>
          <w:bCs/>
          <w:i/>
        </w:rPr>
        <w:t>Prawo Zamówień Publicznych</w:t>
      </w:r>
      <w:r w:rsidRPr="006C3578">
        <w:rPr>
          <w:bCs/>
        </w:rPr>
        <w:t xml:space="preserve"> z uwagi na to, że w obecnej formie możliwe jest wykluczenie mikro i małych przedsiębiorstw z</w:t>
      </w:r>
      <w:r>
        <w:rPr>
          <w:bCs/>
        </w:rPr>
        <w:t> </w:t>
      </w:r>
      <w:r w:rsidRPr="006C3578">
        <w:rPr>
          <w:bCs/>
        </w:rPr>
        <w:t>możliwości udzielania zamówień publicznych ze względu na wymagania posiadania pojazdu elektrycznego lub napędzanego gazem ziemnym. Taka sytuacja w wypadku mikroprzedsiębiorstw może wiązać się z koniecznością wymiany całej floty, która przeważnie składa się z jednego pojazdu</w:t>
      </w:r>
      <w:r w:rsidRPr="00FA76F3">
        <w:rPr>
          <w:b/>
          <w:bCs/>
        </w:rPr>
        <w:t>.</w:t>
      </w:r>
    </w:p>
    <w:p w14:paraId="09616079" w14:textId="77777777" w:rsidR="00FF5857" w:rsidRDefault="00FF5857" w:rsidP="00FF5857">
      <w:pPr>
        <w:pStyle w:val="Default"/>
        <w:spacing w:line="360" w:lineRule="auto"/>
        <w:ind w:firstLine="709"/>
        <w:jc w:val="both"/>
        <w:rPr>
          <w:bCs/>
        </w:rPr>
      </w:pPr>
      <w:r>
        <w:rPr>
          <w:bCs/>
        </w:rPr>
        <w:t xml:space="preserve">Zmiany dokonane w art. 41 ustawy </w:t>
      </w:r>
      <w:r w:rsidRPr="006C3578">
        <w:rPr>
          <w:bCs/>
          <w:i/>
        </w:rPr>
        <w:t>o</w:t>
      </w:r>
      <w:r>
        <w:rPr>
          <w:bCs/>
          <w:i/>
        </w:rPr>
        <w:t> </w:t>
      </w:r>
      <w:proofErr w:type="spellStart"/>
      <w:r w:rsidRPr="006C3578">
        <w:rPr>
          <w:bCs/>
          <w:i/>
        </w:rPr>
        <w:t>elektromobilności</w:t>
      </w:r>
      <w:proofErr w:type="spellEnd"/>
      <w:r w:rsidRPr="006C3578">
        <w:rPr>
          <w:bCs/>
          <w:i/>
        </w:rPr>
        <w:t xml:space="preserve"> i paliwach alternatywnych</w:t>
      </w:r>
      <w:r>
        <w:rPr>
          <w:bCs/>
        </w:rPr>
        <w:t xml:space="preserve"> mają na celu wprowadzenie jasnych i czytelnych przepisów w zakresie oznakowania paliw alternatywnych, a także wyeliminowanie wątpliwości interpretacyjnych, czy dotychczasowe brzmienie art. 41 ust. 6 ww. ustawy w sposób jednoznaczny upoważnia Ministra Energii do wydania aktu wykonawczego w zakresie  wskazanym w tym przepisie.</w:t>
      </w:r>
    </w:p>
    <w:p w14:paraId="77BEBE0C" w14:textId="77777777" w:rsidR="00FF5857" w:rsidRPr="00D636F5" w:rsidRDefault="00FF5857" w:rsidP="00FF5857">
      <w:pPr>
        <w:pStyle w:val="Default"/>
        <w:spacing w:line="360" w:lineRule="auto"/>
        <w:ind w:firstLine="709"/>
        <w:jc w:val="both"/>
        <w:rPr>
          <w:bCs/>
        </w:rPr>
      </w:pPr>
      <w:r>
        <w:rPr>
          <w:bCs/>
        </w:rPr>
        <w:t>Jednocześnie, dokonano zmiany w art. 41 ust. 1 pkt 3</w:t>
      </w:r>
      <w:r w:rsidRPr="007F107C">
        <w:rPr>
          <w:bCs/>
        </w:rPr>
        <w:t xml:space="preserve"> ustawy </w:t>
      </w:r>
      <w:r w:rsidRPr="007F107C">
        <w:rPr>
          <w:bCs/>
          <w:i/>
        </w:rPr>
        <w:t xml:space="preserve">o </w:t>
      </w:r>
      <w:proofErr w:type="spellStart"/>
      <w:r w:rsidRPr="007F107C">
        <w:rPr>
          <w:bCs/>
          <w:i/>
        </w:rPr>
        <w:t>elektromobilności</w:t>
      </w:r>
      <w:proofErr w:type="spellEnd"/>
      <w:r w:rsidRPr="007F107C">
        <w:rPr>
          <w:bCs/>
          <w:i/>
        </w:rPr>
        <w:t xml:space="preserve"> i</w:t>
      </w:r>
      <w:r>
        <w:rPr>
          <w:bCs/>
          <w:i/>
        </w:rPr>
        <w:t> </w:t>
      </w:r>
      <w:r w:rsidRPr="007F107C">
        <w:rPr>
          <w:bCs/>
          <w:i/>
        </w:rPr>
        <w:t>paliwach alternatywnych</w:t>
      </w:r>
      <w:r>
        <w:rPr>
          <w:bCs/>
        </w:rPr>
        <w:t xml:space="preserve">. Przedmiotowa zmiana polega na wskazaniu przedsiębiorcy wykonującego działalność gospodarczą w zakresie sprzedaży pojazdów silnikowych jako </w:t>
      </w:r>
      <w:r>
        <w:rPr>
          <w:bCs/>
        </w:rPr>
        <w:lastRenderedPageBreak/>
        <w:t>podmiotu odpowiedzialnego za umieszczenie informacji na temat rodzaju paliwa alternatywnego wykorzystywanego do napędu pojazdu samochodowego na terenie placówki handlowej prowadzącej ww. działalność. Zmiana jest podyktowana koniecznością nałożenia obowiązku oznakowania na przedsiębiorcę prowadzącego działalność gospodarczą w zakresie sprzedaży pojazdów silnikowych, a nie na właściciela takiej placówki handlowej – nie zawsze właściciel placówki będzie prowadził w niej ww. działalność.</w:t>
      </w:r>
    </w:p>
    <w:p w14:paraId="6B8DC61F" w14:textId="77777777" w:rsidR="00FF5857" w:rsidRDefault="00FF5857" w:rsidP="00FF5857">
      <w:pPr>
        <w:pStyle w:val="Default"/>
        <w:spacing w:line="360" w:lineRule="auto"/>
        <w:ind w:firstLine="708"/>
        <w:jc w:val="both"/>
        <w:rPr>
          <w:bCs/>
          <w:color w:val="auto"/>
        </w:rPr>
      </w:pPr>
      <w:r w:rsidRPr="006A5478">
        <w:rPr>
          <w:bCs/>
          <w:color w:val="auto"/>
        </w:rPr>
        <w:t>Zmiana w</w:t>
      </w:r>
      <w:r>
        <w:rPr>
          <w:bCs/>
          <w:color w:val="auto"/>
        </w:rPr>
        <w:t xml:space="preserve"> art.</w:t>
      </w:r>
      <w:r w:rsidRPr="006A5478">
        <w:rPr>
          <w:bCs/>
          <w:color w:val="auto"/>
        </w:rPr>
        <w:t xml:space="preserve"> 68 us</w:t>
      </w:r>
      <w:r>
        <w:rPr>
          <w:bCs/>
          <w:color w:val="auto"/>
        </w:rPr>
        <w:t xml:space="preserve">t. 1-3 ustawy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Pr>
          <w:bCs/>
          <w:color w:val="auto"/>
        </w:rPr>
        <w:t xml:space="preserve"> polega</w:t>
      </w:r>
      <w:r w:rsidRPr="006A5478">
        <w:rPr>
          <w:bCs/>
          <w:color w:val="auto"/>
        </w:rPr>
        <w:t xml:space="preserve"> na przesunięciu terminu obowiązku </w:t>
      </w:r>
      <w:r>
        <w:rPr>
          <w:bCs/>
          <w:color w:val="auto"/>
        </w:rPr>
        <w:t>posiadania:</w:t>
      </w:r>
    </w:p>
    <w:p w14:paraId="38F68587" w14:textId="77777777" w:rsidR="00FF5857" w:rsidRDefault="00FF5857" w:rsidP="00FF5857">
      <w:pPr>
        <w:pStyle w:val="Default"/>
        <w:spacing w:line="360" w:lineRule="auto"/>
        <w:ind w:firstLine="708"/>
        <w:jc w:val="both"/>
        <w:rPr>
          <w:bCs/>
          <w:color w:val="auto"/>
        </w:rPr>
      </w:pPr>
      <w:r>
        <w:rPr>
          <w:bCs/>
          <w:color w:val="auto"/>
        </w:rPr>
        <w:t xml:space="preserve">- co najmniej 10 % pojazdów elektrycznych we flocie pojazdów użytkowanych do obsługi urzędu przez naczelne lub centralne organy administracji państwowej oraz jednostki samorządu terytorialnego, których </w:t>
      </w:r>
      <w:r w:rsidRPr="004627D9">
        <w:rPr>
          <w:bCs/>
          <w:color w:val="auto"/>
        </w:rPr>
        <w:t>liczba mieszkańców przekracza 50 000</w:t>
      </w:r>
      <w:r>
        <w:rPr>
          <w:bCs/>
          <w:color w:val="auto"/>
        </w:rPr>
        <w:t>, a także</w:t>
      </w:r>
    </w:p>
    <w:p w14:paraId="646D6608" w14:textId="77777777" w:rsidR="00FF5857" w:rsidRPr="006A5478" w:rsidRDefault="00FF5857" w:rsidP="00FF5857">
      <w:pPr>
        <w:pStyle w:val="Default"/>
        <w:spacing w:line="360" w:lineRule="auto"/>
        <w:ind w:firstLine="708"/>
        <w:jc w:val="both"/>
        <w:rPr>
          <w:bCs/>
          <w:color w:val="auto"/>
        </w:rPr>
      </w:pPr>
      <w:r>
        <w:rPr>
          <w:bCs/>
          <w:color w:val="auto"/>
        </w:rPr>
        <w:t xml:space="preserve">- co najmniej 10 % pojazdów elektrycznych lub napędzanych gazem ziemnym we flocie pojazdów służących do </w:t>
      </w:r>
      <w:r w:rsidRPr="006A5478">
        <w:rPr>
          <w:bCs/>
          <w:color w:val="auto"/>
        </w:rPr>
        <w:t xml:space="preserve">wykonywania zadań publicznych przez jednostki samorządu terytorialnego, których liczba mieszkańców przekracza 50 000, lub zlecania wykonywania tych zadań podmiotom zewnętrznym, przy użyciu pojazdów elektrycznych lub pojazdów napędzanych gazem ziemnym.  </w:t>
      </w:r>
    </w:p>
    <w:p w14:paraId="53F02084" w14:textId="77777777" w:rsidR="00FF5857" w:rsidRDefault="00FF5857" w:rsidP="00FF5857">
      <w:pPr>
        <w:pStyle w:val="Default"/>
        <w:spacing w:line="360" w:lineRule="auto"/>
        <w:ind w:firstLine="708"/>
        <w:jc w:val="both"/>
        <w:rPr>
          <w:bCs/>
          <w:color w:val="auto"/>
        </w:rPr>
      </w:pPr>
      <w:r w:rsidRPr="006A5478">
        <w:rPr>
          <w:bCs/>
          <w:color w:val="auto"/>
        </w:rPr>
        <w:t>Przesunięcie terminu, od którego będzie obowiązywał wymóg dotyczący floty użytkowanych pojazdów, tj. 1 stycznia 202</w:t>
      </w:r>
      <w:r>
        <w:rPr>
          <w:bCs/>
          <w:color w:val="auto"/>
        </w:rPr>
        <w:t xml:space="preserve">2 </w:t>
      </w:r>
      <w:r w:rsidRPr="006A5478">
        <w:rPr>
          <w:bCs/>
          <w:color w:val="auto"/>
        </w:rPr>
        <w:t xml:space="preserve">r., </w:t>
      </w:r>
      <w:r>
        <w:rPr>
          <w:bCs/>
          <w:color w:val="auto"/>
        </w:rPr>
        <w:t xml:space="preserve">spowodowane jest koniecznością dostosowania </w:t>
      </w:r>
      <w:r w:rsidRPr="006A5478">
        <w:rPr>
          <w:bCs/>
          <w:color w:val="auto"/>
        </w:rPr>
        <w:t xml:space="preserve">przepisów ustawy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Pr>
          <w:bCs/>
        </w:rPr>
        <w:t xml:space="preserve"> </w:t>
      </w:r>
      <w:r w:rsidRPr="006A5478">
        <w:rPr>
          <w:bCs/>
          <w:color w:val="auto"/>
        </w:rPr>
        <w:t xml:space="preserve">dotyczących obowiązku wprowadzenia infrastruktury do ładowania i tankowania pojazdów. Art. 60 ustawy </w:t>
      </w:r>
      <w:r w:rsidRPr="006C3578">
        <w:rPr>
          <w:bCs/>
          <w:i/>
        </w:rPr>
        <w:t>o</w:t>
      </w:r>
      <w:r>
        <w:rPr>
          <w:bCs/>
          <w:i/>
        </w:rPr>
        <w:t> </w:t>
      </w:r>
      <w:proofErr w:type="spellStart"/>
      <w:r w:rsidRPr="006C3578">
        <w:rPr>
          <w:bCs/>
          <w:i/>
        </w:rPr>
        <w:t>elektromobilności</w:t>
      </w:r>
      <w:proofErr w:type="spellEnd"/>
      <w:r w:rsidRPr="006C3578">
        <w:rPr>
          <w:bCs/>
          <w:i/>
        </w:rPr>
        <w:t xml:space="preserve"> i paliwach alternatywnych</w:t>
      </w:r>
      <w:r>
        <w:rPr>
          <w:bCs/>
        </w:rPr>
        <w:t xml:space="preserve"> </w:t>
      </w:r>
      <w:r w:rsidRPr="006A5478">
        <w:rPr>
          <w:bCs/>
          <w:color w:val="auto"/>
        </w:rPr>
        <w:t>wskazuje na minimalną liczbę punktów ładowania oraz punktów tankowania sprężonego gazu ziemnego (CNG), które mają być zlokalizowane w gminach do dnia 31 grudnia 2020 r.  W związku powyższym, aby zapewnić spójność przepisów należy przesunąć termin obowiązku wykonywania zadań publicznych przy użyciu pojazdów elektrycznych lub pojazdów napędzanych gazem ziemnym.</w:t>
      </w:r>
      <w:r>
        <w:rPr>
          <w:bCs/>
          <w:color w:val="auto"/>
        </w:rPr>
        <w:t xml:space="preserve"> </w:t>
      </w:r>
    </w:p>
    <w:p w14:paraId="3E1C391A" w14:textId="77777777" w:rsidR="00FF5857" w:rsidRPr="006A5478" w:rsidRDefault="00FF5857" w:rsidP="00FF5857">
      <w:pPr>
        <w:pStyle w:val="Default"/>
        <w:spacing w:line="360" w:lineRule="auto"/>
        <w:ind w:firstLine="708"/>
        <w:jc w:val="both"/>
        <w:rPr>
          <w:bCs/>
          <w:color w:val="auto"/>
        </w:rPr>
      </w:pPr>
      <w:r w:rsidRPr="006A5478">
        <w:rPr>
          <w:bCs/>
          <w:color w:val="auto"/>
        </w:rPr>
        <w:t xml:space="preserve">Zmiana w art. 76 ustawy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Pr>
          <w:bCs/>
          <w:color w:val="auto"/>
        </w:rPr>
        <w:t xml:space="preserve"> </w:t>
      </w:r>
      <w:r w:rsidRPr="006A5478">
        <w:rPr>
          <w:bCs/>
          <w:color w:val="auto"/>
        </w:rPr>
        <w:t>jest konsekwencją nowelizacji zaproponowanej dla art. 68 ust.</w:t>
      </w:r>
      <w:r>
        <w:rPr>
          <w:bCs/>
          <w:color w:val="auto"/>
        </w:rPr>
        <w:t xml:space="preserve"> 1-</w:t>
      </w:r>
      <w:r w:rsidRPr="006A5478">
        <w:rPr>
          <w:bCs/>
          <w:color w:val="auto"/>
        </w:rPr>
        <w:t>3</w:t>
      </w:r>
      <w:r>
        <w:rPr>
          <w:bCs/>
          <w:color w:val="auto"/>
        </w:rPr>
        <w:t xml:space="preserve"> ww. ustawy</w:t>
      </w:r>
      <w:r w:rsidRPr="006A5478">
        <w:rPr>
          <w:bCs/>
          <w:color w:val="auto"/>
        </w:rPr>
        <w:t>. Jeśli art. 76</w:t>
      </w:r>
      <w:r>
        <w:rPr>
          <w:bCs/>
          <w:color w:val="auto"/>
        </w:rPr>
        <w:t xml:space="preserve"> ustawy</w:t>
      </w:r>
      <w:r w:rsidRPr="006A5478">
        <w:rPr>
          <w:bCs/>
          <w:color w:val="auto"/>
        </w:rPr>
        <w:t xml:space="preserve">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Pr>
          <w:bCs/>
        </w:rPr>
        <w:t xml:space="preserve"> </w:t>
      </w:r>
      <w:r w:rsidRPr="006A5478">
        <w:rPr>
          <w:bCs/>
          <w:color w:val="auto"/>
        </w:rPr>
        <w:t xml:space="preserve">nie zostanie zaktualizowany, </w:t>
      </w:r>
      <w:r>
        <w:rPr>
          <w:bCs/>
          <w:color w:val="auto"/>
        </w:rPr>
        <w:t>umowy  zawarte przez</w:t>
      </w:r>
      <w:r w:rsidRPr="006F6957">
        <w:rPr>
          <w:bCs/>
          <w:color w:val="auto"/>
        </w:rPr>
        <w:t xml:space="preserve"> naczelny i</w:t>
      </w:r>
      <w:r>
        <w:rPr>
          <w:bCs/>
          <w:color w:val="auto"/>
        </w:rPr>
        <w:t xml:space="preserve"> </w:t>
      </w:r>
      <w:r w:rsidRPr="006F6957">
        <w:rPr>
          <w:bCs/>
          <w:color w:val="auto"/>
        </w:rPr>
        <w:t>centralny organ administracji państwowej</w:t>
      </w:r>
      <w:r>
        <w:rPr>
          <w:bCs/>
          <w:color w:val="auto"/>
        </w:rPr>
        <w:t xml:space="preserve"> </w:t>
      </w:r>
      <w:r w:rsidRPr="006F6957">
        <w:rPr>
          <w:bCs/>
          <w:color w:val="auto"/>
        </w:rPr>
        <w:t>z</w:t>
      </w:r>
      <w:r>
        <w:rPr>
          <w:bCs/>
          <w:color w:val="auto"/>
        </w:rPr>
        <w:t xml:space="preserve"> </w:t>
      </w:r>
      <w:r w:rsidRPr="006F6957">
        <w:rPr>
          <w:bCs/>
          <w:color w:val="auto"/>
        </w:rPr>
        <w:t>podmiotem zapewniającym obsługę gospodarczą w</w:t>
      </w:r>
      <w:r>
        <w:rPr>
          <w:bCs/>
          <w:color w:val="auto"/>
        </w:rPr>
        <w:t xml:space="preserve"> </w:t>
      </w:r>
      <w:r w:rsidRPr="006F6957">
        <w:rPr>
          <w:bCs/>
          <w:color w:val="auto"/>
        </w:rPr>
        <w:t>zakresie transportu</w:t>
      </w:r>
      <w:r>
        <w:rPr>
          <w:bCs/>
          <w:color w:val="auto"/>
        </w:rPr>
        <w:t xml:space="preserve"> oraz </w:t>
      </w:r>
      <w:r w:rsidRPr="006A5478">
        <w:rPr>
          <w:bCs/>
          <w:color w:val="auto"/>
        </w:rPr>
        <w:t>umowa na wykonanie zadania publicznego</w:t>
      </w:r>
      <w:r>
        <w:rPr>
          <w:bCs/>
          <w:color w:val="auto"/>
        </w:rPr>
        <w:t xml:space="preserve"> wygasną z dniem 31 grudnia 2019 </w:t>
      </w:r>
      <w:r w:rsidRPr="006A5478">
        <w:rPr>
          <w:bCs/>
          <w:color w:val="auto"/>
        </w:rPr>
        <w:t>r., w przypadku niezapewnienia wykorzystania pojazdów elektrycznych lub pojazdów napędzanych gazem ziemnym na poziomie określonym w art. 68 ust.</w:t>
      </w:r>
      <w:r>
        <w:rPr>
          <w:bCs/>
          <w:color w:val="auto"/>
        </w:rPr>
        <w:t xml:space="preserve"> 1-</w:t>
      </w:r>
      <w:r w:rsidRPr="006A5478">
        <w:rPr>
          <w:bCs/>
          <w:color w:val="auto"/>
        </w:rPr>
        <w:t xml:space="preserve"> 3</w:t>
      </w:r>
      <w:r>
        <w:rPr>
          <w:bCs/>
          <w:color w:val="auto"/>
        </w:rPr>
        <w:t xml:space="preserve"> ustawy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sidRPr="006A5478">
        <w:rPr>
          <w:bCs/>
          <w:color w:val="auto"/>
        </w:rPr>
        <w:t xml:space="preserve">. </w:t>
      </w:r>
    </w:p>
    <w:p w14:paraId="5BC7696B" w14:textId="77777777" w:rsidR="00FF5857" w:rsidRDefault="00FF5857" w:rsidP="00FF5857">
      <w:pPr>
        <w:pStyle w:val="Default"/>
        <w:spacing w:line="360" w:lineRule="auto"/>
        <w:ind w:firstLine="708"/>
        <w:jc w:val="both"/>
        <w:rPr>
          <w:bCs/>
          <w:color w:val="auto"/>
        </w:rPr>
      </w:pPr>
      <w:r>
        <w:rPr>
          <w:bCs/>
          <w:color w:val="auto"/>
        </w:rPr>
        <w:lastRenderedPageBreak/>
        <w:t xml:space="preserve">Ponadto, zmiana w art. 76 ustawy </w:t>
      </w:r>
      <w:r w:rsidRPr="006C3578">
        <w:rPr>
          <w:bCs/>
          <w:i/>
        </w:rPr>
        <w:t xml:space="preserve">o </w:t>
      </w:r>
      <w:proofErr w:type="spellStart"/>
      <w:r w:rsidRPr="006C3578">
        <w:rPr>
          <w:bCs/>
          <w:i/>
        </w:rPr>
        <w:t>elektromobilności</w:t>
      </w:r>
      <w:proofErr w:type="spellEnd"/>
      <w:r w:rsidRPr="006C3578">
        <w:rPr>
          <w:bCs/>
          <w:i/>
        </w:rPr>
        <w:t xml:space="preserve"> i paliwach alternatywnych</w:t>
      </w:r>
      <w:r>
        <w:rPr>
          <w:bCs/>
        </w:rPr>
        <w:t xml:space="preserve"> </w:t>
      </w:r>
      <w:r>
        <w:rPr>
          <w:bCs/>
          <w:color w:val="auto"/>
        </w:rPr>
        <w:t>polega również na dostosowaniu przepisu do art. 68 ust. 3 ww. ustawy, tj. spowodowaniu wygaśnięcia umów o wykonanie zadania publicznego w przypadku niezapewnienia odpowiedniego udziału procentowego pojazdów elektrycznych lub napędzanych gazem ziemnym.</w:t>
      </w:r>
    </w:p>
    <w:p w14:paraId="0C2418F2" w14:textId="77777777" w:rsidR="00FF5857" w:rsidRDefault="00FF5857" w:rsidP="00FF5857">
      <w:pPr>
        <w:pStyle w:val="Default"/>
        <w:spacing w:line="360" w:lineRule="auto"/>
        <w:ind w:firstLine="708"/>
        <w:jc w:val="both"/>
        <w:rPr>
          <w:bCs/>
          <w:color w:val="auto"/>
        </w:rPr>
      </w:pPr>
    </w:p>
    <w:p w14:paraId="5FDDC50B" w14:textId="77777777" w:rsidR="00FF5857" w:rsidRDefault="00FF5857" w:rsidP="00FF5857">
      <w:pPr>
        <w:pStyle w:val="Default"/>
        <w:spacing w:line="360" w:lineRule="auto"/>
        <w:jc w:val="both"/>
        <w:rPr>
          <w:b/>
          <w:bCs/>
        </w:rPr>
      </w:pPr>
    </w:p>
    <w:p w14:paraId="59DD1BA0" w14:textId="77777777" w:rsidR="00FF5857" w:rsidRPr="00A87EBB" w:rsidRDefault="00FF5857" w:rsidP="00FF5857">
      <w:pPr>
        <w:pStyle w:val="Default"/>
        <w:jc w:val="both"/>
        <w:rPr>
          <w:b/>
          <w:bCs/>
        </w:rPr>
      </w:pPr>
      <w:r>
        <w:rPr>
          <w:b/>
          <w:bCs/>
        </w:rPr>
        <w:t xml:space="preserve">10. </w:t>
      </w:r>
      <w:r w:rsidRPr="00A87EBB">
        <w:rPr>
          <w:b/>
          <w:bCs/>
        </w:rPr>
        <w:t xml:space="preserve">Zmiany w ustawie z dnia 6 czerwca 2018 r. </w:t>
      </w:r>
      <w:r w:rsidRPr="00A87EBB">
        <w:rPr>
          <w:b/>
          <w:bCs/>
          <w:i/>
        </w:rPr>
        <w:t>o zmianie ustawy o</w:t>
      </w:r>
      <w:r>
        <w:rPr>
          <w:b/>
          <w:bCs/>
          <w:i/>
        </w:rPr>
        <w:t> </w:t>
      </w:r>
      <w:r w:rsidRPr="00A87EBB">
        <w:rPr>
          <w:b/>
          <w:bCs/>
          <w:i/>
        </w:rPr>
        <w:t>biokomponentach i</w:t>
      </w:r>
      <w:r>
        <w:rPr>
          <w:b/>
          <w:bCs/>
          <w:i/>
        </w:rPr>
        <w:t> </w:t>
      </w:r>
      <w:r w:rsidRPr="00A87EBB">
        <w:rPr>
          <w:b/>
          <w:bCs/>
          <w:i/>
        </w:rPr>
        <w:t>biopaliwach ciekłych oraz niektórych innych ustaw</w:t>
      </w:r>
      <w:r w:rsidRPr="00A87EBB">
        <w:rPr>
          <w:b/>
          <w:bCs/>
        </w:rPr>
        <w:t xml:space="preserve"> (Dz. U. 2018 r. poz. 1356)</w:t>
      </w:r>
    </w:p>
    <w:p w14:paraId="1279A0CB" w14:textId="77777777" w:rsidR="00FF5857" w:rsidRPr="00A91C77" w:rsidRDefault="00FF5857" w:rsidP="00FF5857">
      <w:pPr>
        <w:ind w:firstLine="708"/>
        <w:jc w:val="both"/>
        <w:rPr>
          <w:color w:val="000000"/>
          <w:szCs w:val="24"/>
        </w:rPr>
      </w:pPr>
      <w:r w:rsidRPr="00A91C77">
        <w:rPr>
          <w:color w:val="000000"/>
          <w:szCs w:val="24"/>
        </w:rPr>
        <w:t xml:space="preserve">Obowiązująca w art. 15 ustawy z dnia 6 czerwca 2018 r. </w:t>
      </w:r>
      <w:r w:rsidRPr="005F495A">
        <w:rPr>
          <w:i/>
          <w:color w:val="000000"/>
          <w:szCs w:val="24"/>
        </w:rPr>
        <w:t>o zmianie ustawy o</w:t>
      </w:r>
      <w:r>
        <w:rPr>
          <w:i/>
          <w:color w:val="000000"/>
          <w:szCs w:val="24"/>
        </w:rPr>
        <w:t> </w:t>
      </w:r>
      <w:r w:rsidRPr="005F495A">
        <w:rPr>
          <w:i/>
          <w:color w:val="000000"/>
          <w:szCs w:val="24"/>
        </w:rPr>
        <w:t>biokomponentach i biopaliwach ciekłych oraz niektórych innych</w:t>
      </w:r>
      <w:r w:rsidRPr="00A91C77">
        <w:rPr>
          <w:color w:val="000000"/>
          <w:szCs w:val="24"/>
        </w:rPr>
        <w:t xml:space="preserve"> </w:t>
      </w:r>
      <w:r w:rsidRPr="00C97FA9">
        <w:rPr>
          <w:rStyle w:val="Kkursywa"/>
        </w:rPr>
        <w:t>ustaw</w:t>
      </w:r>
      <w:r w:rsidRPr="00A91C77">
        <w:rPr>
          <w:color w:val="000000"/>
          <w:szCs w:val="24"/>
        </w:rPr>
        <w:t xml:space="preserve"> tzw. klauzula zawieszająca, ma za zadanie powodować, że przepisy </w:t>
      </w:r>
      <w:r>
        <w:rPr>
          <w:color w:val="000000"/>
          <w:szCs w:val="24"/>
        </w:rPr>
        <w:t xml:space="preserve">ww. </w:t>
      </w:r>
      <w:r w:rsidRPr="00A91C77">
        <w:rPr>
          <w:color w:val="000000"/>
          <w:szCs w:val="24"/>
        </w:rPr>
        <w:t xml:space="preserve">ustawy, których stosowanie jest związane z zastosowaniem przez Polskę pomocy publicznej będą stosowane od dnia ogłoszenia pozytywnej decyzji Komisji Europejskiej o zgodności tej pomocy ze wspólnym rynkiem bądź od dnia stwierdzenia, że dane działanie nie stanowi pomocy publicznej, z zastrzeżeniem sytuacji gdy zastosowanie ma pomoc </w:t>
      </w:r>
      <w:r w:rsidRPr="005F495A">
        <w:rPr>
          <w:i/>
          <w:color w:val="000000"/>
          <w:szCs w:val="24"/>
        </w:rPr>
        <w:t xml:space="preserve">de </w:t>
      </w:r>
      <w:proofErr w:type="spellStart"/>
      <w:r w:rsidRPr="005F495A">
        <w:rPr>
          <w:i/>
          <w:color w:val="000000"/>
          <w:szCs w:val="24"/>
        </w:rPr>
        <w:t>minimis</w:t>
      </w:r>
      <w:proofErr w:type="spellEnd"/>
      <w:r w:rsidRPr="00A91C77">
        <w:rPr>
          <w:color w:val="000000"/>
          <w:szCs w:val="24"/>
        </w:rPr>
        <w:t xml:space="preserve"> lub tzw. wyłączenia grupowe (GBER) . </w:t>
      </w:r>
    </w:p>
    <w:p w14:paraId="5F1A5327" w14:textId="77777777" w:rsidR="00FF5857" w:rsidRPr="00A91C77" w:rsidRDefault="00FF5857" w:rsidP="00FF5857">
      <w:pPr>
        <w:ind w:firstLine="708"/>
        <w:jc w:val="both"/>
        <w:rPr>
          <w:color w:val="000000"/>
          <w:szCs w:val="24"/>
        </w:rPr>
      </w:pPr>
      <w:r w:rsidRPr="00A91C77">
        <w:rPr>
          <w:color w:val="000000"/>
          <w:szCs w:val="24"/>
        </w:rPr>
        <w:t xml:space="preserve">Biorąc pod uwagę aktualny stan wiedzy nt. planowanych warunków wsparcia dla poszczególnych obszarów określonych w art. 28ze ust. 1 ustawy, należy stwierdzić, że obecne brzmienie art. 15 ustawy z dnia 6 czerwca 2018 r. </w:t>
      </w:r>
      <w:r w:rsidRPr="005F495A">
        <w:rPr>
          <w:i/>
          <w:color w:val="000000"/>
          <w:szCs w:val="24"/>
        </w:rPr>
        <w:t>o zmianie ustawy o biokomponentach i</w:t>
      </w:r>
      <w:r>
        <w:rPr>
          <w:i/>
          <w:color w:val="000000"/>
          <w:szCs w:val="24"/>
        </w:rPr>
        <w:t> </w:t>
      </w:r>
      <w:r w:rsidRPr="005F495A">
        <w:rPr>
          <w:i/>
          <w:color w:val="000000"/>
          <w:szCs w:val="24"/>
        </w:rPr>
        <w:t>biopaliwach ciekłych oraz niektórych innych</w:t>
      </w:r>
      <w:r>
        <w:rPr>
          <w:i/>
          <w:color w:val="000000"/>
          <w:szCs w:val="24"/>
        </w:rPr>
        <w:t xml:space="preserve"> ustaw</w:t>
      </w:r>
      <w:r w:rsidRPr="00A91C77">
        <w:rPr>
          <w:color w:val="000000"/>
          <w:szCs w:val="24"/>
        </w:rPr>
        <w:t xml:space="preserve"> nie zapewnia sprawnego wdrożenia wsparcia ze środków Funduszu.</w:t>
      </w:r>
      <w:r>
        <w:rPr>
          <w:color w:val="000000"/>
          <w:szCs w:val="24"/>
        </w:rPr>
        <w:t xml:space="preserve"> </w:t>
      </w:r>
      <w:r w:rsidRPr="00A91C77">
        <w:rPr>
          <w:color w:val="000000"/>
          <w:szCs w:val="24"/>
        </w:rPr>
        <w:t>W</w:t>
      </w:r>
      <w:r>
        <w:rPr>
          <w:color w:val="000000"/>
          <w:szCs w:val="24"/>
        </w:rPr>
        <w:t> </w:t>
      </w:r>
      <w:r w:rsidRPr="00A91C77">
        <w:rPr>
          <w:color w:val="000000"/>
          <w:szCs w:val="24"/>
        </w:rPr>
        <w:t>szczególności:</w:t>
      </w:r>
    </w:p>
    <w:p w14:paraId="0FF4DCFB" w14:textId="78827D55" w:rsidR="00FF5857" w:rsidRPr="00A91C77" w:rsidRDefault="00FF5857" w:rsidP="00FF5857">
      <w:pPr>
        <w:ind w:firstLine="708"/>
        <w:jc w:val="both"/>
        <w:rPr>
          <w:color w:val="000000"/>
          <w:szCs w:val="24"/>
        </w:rPr>
      </w:pPr>
      <w:r w:rsidRPr="00A91C77">
        <w:rPr>
          <w:color w:val="000000"/>
          <w:szCs w:val="24"/>
        </w:rPr>
        <w:t xml:space="preserve">- Ministerstwo Energii planuje, aby wsparcie było udzielane również z zastosowaniem przepisów prawa UE innych niż wskazana w art. 15 ust. 2 ustawy z dnia 6 czerwca 2018 r. </w:t>
      </w:r>
      <w:r w:rsidRPr="005F495A">
        <w:rPr>
          <w:i/>
          <w:color w:val="000000"/>
          <w:szCs w:val="24"/>
        </w:rPr>
        <w:t>o</w:t>
      </w:r>
      <w:r>
        <w:rPr>
          <w:i/>
          <w:color w:val="000000"/>
          <w:szCs w:val="24"/>
        </w:rPr>
        <w:t> </w:t>
      </w:r>
      <w:r w:rsidRPr="005F495A">
        <w:rPr>
          <w:i/>
          <w:color w:val="000000"/>
          <w:szCs w:val="24"/>
        </w:rPr>
        <w:t>zmianie ustawy o biokomponentach i biopaliwach ciekłych oraz niektórych innych</w:t>
      </w:r>
      <w:r w:rsidRPr="00A91C77">
        <w:rPr>
          <w:color w:val="000000"/>
          <w:szCs w:val="24"/>
        </w:rPr>
        <w:t xml:space="preserve"> </w:t>
      </w:r>
      <w:r w:rsidR="00B11625" w:rsidRPr="00C97FA9">
        <w:rPr>
          <w:rStyle w:val="Kkursywa"/>
        </w:rPr>
        <w:t>ustaw</w:t>
      </w:r>
      <w:r w:rsidR="00B11625">
        <w:rPr>
          <w:color w:val="000000"/>
          <w:szCs w:val="24"/>
        </w:rPr>
        <w:t xml:space="preserve"> </w:t>
      </w:r>
      <w:r w:rsidRPr="00A91C77">
        <w:rPr>
          <w:color w:val="000000"/>
          <w:szCs w:val="24"/>
        </w:rPr>
        <w:t xml:space="preserve">pomoc </w:t>
      </w:r>
      <w:r w:rsidRPr="005F495A">
        <w:rPr>
          <w:i/>
          <w:color w:val="000000"/>
          <w:szCs w:val="24"/>
        </w:rPr>
        <w:t xml:space="preserve">de </w:t>
      </w:r>
      <w:proofErr w:type="spellStart"/>
      <w:r w:rsidRPr="005F495A">
        <w:rPr>
          <w:i/>
          <w:color w:val="000000"/>
          <w:szCs w:val="24"/>
        </w:rPr>
        <w:t>minimis</w:t>
      </w:r>
      <w:proofErr w:type="spellEnd"/>
      <w:r w:rsidRPr="00A91C77">
        <w:rPr>
          <w:color w:val="000000"/>
          <w:szCs w:val="24"/>
        </w:rPr>
        <w:t xml:space="preserve"> oraz tzw. wyłączenia grupowe. Stosowanie tych przepisów nie wymaga notyfikacji Komisji Europejskiej (o której mowa w art. 15 ust. 1</w:t>
      </w:r>
      <w:r>
        <w:rPr>
          <w:color w:val="000000"/>
          <w:szCs w:val="24"/>
        </w:rPr>
        <w:t xml:space="preserve"> ustawy</w:t>
      </w:r>
      <w:r w:rsidRPr="000232E6">
        <w:rPr>
          <w:color w:val="000000"/>
          <w:szCs w:val="24"/>
        </w:rPr>
        <w:t xml:space="preserve"> </w:t>
      </w:r>
      <w:r w:rsidRPr="00A91C77">
        <w:rPr>
          <w:color w:val="000000"/>
          <w:szCs w:val="24"/>
        </w:rPr>
        <w:t xml:space="preserve">z dnia 6 czerwca 2018 r. </w:t>
      </w:r>
      <w:r w:rsidRPr="005F495A">
        <w:rPr>
          <w:i/>
          <w:color w:val="000000"/>
          <w:szCs w:val="24"/>
        </w:rPr>
        <w:t>o zmianie ustawy o biokomponentach i biopaliwach ciekłych oraz niektórych innych</w:t>
      </w:r>
      <w:r w:rsidRPr="00A91C77">
        <w:rPr>
          <w:color w:val="000000"/>
          <w:szCs w:val="24"/>
        </w:rPr>
        <w:t xml:space="preserve">). W przypadku zastosowania tych przepisów Komisja Europejska nie wydaje decyzji o zgodności pomocy publicznej ze wspólnym rynkiem. Państwo członkowskie jest natomiast zobowiązane zapewnić, że zasady udzielania pomocy w takich przypadkach </w:t>
      </w:r>
      <w:r>
        <w:rPr>
          <w:color w:val="000000"/>
          <w:szCs w:val="24"/>
        </w:rPr>
        <w:t xml:space="preserve">są </w:t>
      </w:r>
      <w:r w:rsidRPr="00A91C77">
        <w:rPr>
          <w:color w:val="000000"/>
          <w:szCs w:val="24"/>
        </w:rPr>
        <w:t xml:space="preserve">zgodne z przepisami wymienionymi we właściwych przepisach prawa UE. </w:t>
      </w:r>
    </w:p>
    <w:p w14:paraId="3FCE4C8B" w14:textId="77777777" w:rsidR="00FF5857" w:rsidRPr="00A91C77" w:rsidRDefault="00FF5857" w:rsidP="00FF5857">
      <w:pPr>
        <w:ind w:firstLine="708"/>
        <w:jc w:val="both"/>
        <w:rPr>
          <w:color w:val="000000"/>
          <w:szCs w:val="24"/>
        </w:rPr>
      </w:pPr>
      <w:r w:rsidRPr="00A91C77">
        <w:rPr>
          <w:color w:val="000000"/>
          <w:szCs w:val="24"/>
        </w:rPr>
        <w:t>- Nie każdy przypadek wsparcia, który nie stanowi pomocy publicznej wymaga uzyskania decyzji Komisji Europejskiej stwierdzającej brak pomocy (o której mowa w art. 15 ust. 1</w:t>
      </w:r>
      <w:r>
        <w:rPr>
          <w:color w:val="000000"/>
          <w:szCs w:val="24"/>
        </w:rPr>
        <w:t xml:space="preserve"> </w:t>
      </w:r>
      <w:r w:rsidRPr="00A91C77">
        <w:rPr>
          <w:color w:val="000000"/>
          <w:szCs w:val="24"/>
        </w:rPr>
        <w:t xml:space="preserve">ustawy z dnia 6 czerwca 2018 r. </w:t>
      </w:r>
      <w:r w:rsidRPr="005F495A">
        <w:rPr>
          <w:i/>
          <w:color w:val="000000"/>
          <w:szCs w:val="24"/>
        </w:rPr>
        <w:t xml:space="preserve">o zmianie ustawy o biokomponentach i biopaliwach </w:t>
      </w:r>
      <w:r w:rsidRPr="005F495A">
        <w:rPr>
          <w:i/>
          <w:color w:val="000000"/>
          <w:szCs w:val="24"/>
        </w:rPr>
        <w:lastRenderedPageBreak/>
        <w:t>ciekłych oraz niektórych innych</w:t>
      </w:r>
      <w:r>
        <w:rPr>
          <w:i/>
          <w:color w:val="000000"/>
          <w:szCs w:val="24"/>
        </w:rPr>
        <w:t xml:space="preserve"> ustaw</w:t>
      </w:r>
      <w:r w:rsidRPr="00A91C77">
        <w:rPr>
          <w:color w:val="000000"/>
          <w:szCs w:val="24"/>
        </w:rPr>
        <w:t>), tj. decyzji mającej na celu uzyskanie pewności prawnej, że pomoc publiczna nie wystąpi dla danego przypadku wsparcia. Wystarczającym jest, aby ocena w zakresie występowania pomocy publicznej pozostawiona została w takich przypadkach na etapie wnioskowania o wsparcie przez Komisję Oceny Projektów, o której mowa w ustawie.</w:t>
      </w:r>
    </w:p>
    <w:p w14:paraId="685B55A6" w14:textId="77777777" w:rsidR="00FF5857" w:rsidRPr="00A91C77" w:rsidRDefault="00FF5857" w:rsidP="00FF5857">
      <w:pPr>
        <w:ind w:firstLine="708"/>
        <w:jc w:val="both"/>
        <w:rPr>
          <w:color w:val="000000"/>
          <w:szCs w:val="24"/>
        </w:rPr>
      </w:pPr>
      <w:r w:rsidRPr="00A91C77">
        <w:rPr>
          <w:color w:val="000000"/>
          <w:szCs w:val="24"/>
        </w:rPr>
        <w:t>-  W przypadku gdy warunki udzielania wsparcia planowane do wprowadzenia w</w:t>
      </w:r>
      <w:r>
        <w:rPr>
          <w:color w:val="000000"/>
          <w:szCs w:val="24"/>
        </w:rPr>
        <w:t> </w:t>
      </w:r>
      <w:r w:rsidRPr="00A91C77">
        <w:rPr>
          <w:color w:val="000000"/>
          <w:szCs w:val="24"/>
        </w:rPr>
        <w:t xml:space="preserve">projekcie rozporządzenia </w:t>
      </w:r>
      <w:r w:rsidRPr="005F495A">
        <w:rPr>
          <w:i/>
          <w:color w:val="000000"/>
          <w:szCs w:val="24"/>
        </w:rPr>
        <w:t>w sprawie szczegółowych warunków udzielania oraz sposobu rozliczania wsparcia udzielonego ze środków Funduszu Niskoemisyjnego Transportu</w:t>
      </w:r>
      <w:r w:rsidRPr="00A91C77">
        <w:rPr>
          <w:color w:val="000000"/>
          <w:szCs w:val="24"/>
        </w:rPr>
        <w:t xml:space="preserve"> będą wymagały notyfikowania Komisji Europejskiej, wymóg jej dokonania wynika bezpośrednio z</w:t>
      </w:r>
      <w:r>
        <w:rPr>
          <w:color w:val="000000"/>
          <w:szCs w:val="24"/>
        </w:rPr>
        <w:t> </w:t>
      </w:r>
      <w:r w:rsidRPr="00A91C77">
        <w:rPr>
          <w:color w:val="000000"/>
          <w:szCs w:val="24"/>
        </w:rPr>
        <w:t xml:space="preserve">przepisów prawa powszechnie obowiązującego – przepisów ustawy z dnia 30 kwietnia 2004 r. </w:t>
      </w:r>
      <w:r w:rsidRPr="005F495A">
        <w:rPr>
          <w:i/>
          <w:color w:val="000000"/>
          <w:szCs w:val="24"/>
        </w:rPr>
        <w:t>o postępowaniu w sprawach dotyczących pomocy publicznej</w:t>
      </w:r>
      <w:r w:rsidRPr="00A91C77">
        <w:rPr>
          <w:color w:val="000000"/>
          <w:szCs w:val="24"/>
        </w:rPr>
        <w:t xml:space="preserve">. </w:t>
      </w:r>
    </w:p>
    <w:p w14:paraId="12F1A364" w14:textId="77777777" w:rsidR="00FF5857" w:rsidRDefault="00FF5857" w:rsidP="00FF5857">
      <w:pPr>
        <w:ind w:firstLine="708"/>
        <w:jc w:val="both"/>
        <w:rPr>
          <w:color w:val="000000"/>
          <w:szCs w:val="24"/>
        </w:rPr>
      </w:pPr>
      <w:r w:rsidRPr="00A91C77">
        <w:rPr>
          <w:color w:val="000000"/>
          <w:szCs w:val="24"/>
        </w:rPr>
        <w:t>W związku z powyższym proponuje się uchylenie ww. art. 15</w:t>
      </w:r>
      <w:r w:rsidRPr="005F495A">
        <w:rPr>
          <w:color w:val="000000"/>
          <w:szCs w:val="24"/>
        </w:rPr>
        <w:t xml:space="preserve"> </w:t>
      </w:r>
      <w:r w:rsidRPr="00A91C77">
        <w:rPr>
          <w:color w:val="000000"/>
          <w:szCs w:val="24"/>
        </w:rPr>
        <w:t xml:space="preserve">ustawy z dnia 6 czerwca 2018 r. </w:t>
      </w:r>
      <w:r w:rsidRPr="005F495A">
        <w:rPr>
          <w:i/>
          <w:color w:val="000000"/>
          <w:szCs w:val="24"/>
        </w:rPr>
        <w:t>o zmianie ustawy o biokomponentach i biopaliwach ciekłych oraz niektórych innych</w:t>
      </w:r>
      <w:r>
        <w:rPr>
          <w:i/>
          <w:color w:val="000000"/>
          <w:szCs w:val="24"/>
        </w:rPr>
        <w:t xml:space="preserve"> ustaw</w:t>
      </w:r>
      <w:r w:rsidRPr="00A91C77">
        <w:rPr>
          <w:color w:val="000000"/>
          <w:szCs w:val="24"/>
        </w:rPr>
        <w:t>, co umożliwi wydatkowanie środków Funduszu w odniesieniu do większości planowanych działań. W przypadku działań</w:t>
      </w:r>
      <w:r>
        <w:rPr>
          <w:color w:val="000000"/>
          <w:szCs w:val="24"/>
        </w:rPr>
        <w:t>,</w:t>
      </w:r>
      <w:r w:rsidRPr="00A91C77">
        <w:rPr>
          <w:color w:val="000000"/>
          <w:szCs w:val="24"/>
        </w:rPr>
        <w:t xml:space="preserve"> które wymagają notyfikacji pomocy Komisji Europejskiej odpowiednia klauzula zawieszająca zostanie zawarta w przepisach wykonawczych.</w:t>
      </w:r>
    </w:p>
    <w:p w14:paraId="5B15DDE3" w14:textId="77777777" w:rsidR="00FF5857" w:rsidRDefault="00FF5857" w:rsidP="00FF5857">
      <w:pPr>
        <w:pStyle w:val="Default"/>
        <w:spacing w:line="360" w:lineRule="auto"/>
        <w:ind w:firstLine="708"/>
        <w:jc w:val="both"/>
      </w:pPr>
    </w:p>
    <w:p w14:paraId="70EE2DE5" w14:textId="77777777" w:rsidR="00FF5857" w:rsidRPr="00E7605C" w:rsidRDefault="00FF5857" w:rsidP="00FF5857">
      <w:pPr>
        <w:pStyle w:val="Default"/>
        <w:jc w:val="both"/>
        <w:rPr>
          <w:b/>
          <w:bCs/>
        </w:rPr>
      </w:pPr>
      <w:r>
        <w:rPr>
          <w:b/>
          <w:bCs/>
        </w:rPr>
        <w:t xml:space="preserve">11. </w:t>
      </w:r>
      <w:r w:rsidRPr="00E7605C">
        <w:rPr>
          <w:b/>
          <w:bCs/>
        </w:rPr>
        <w:t xml:space="preserve">Zmiany w ustawie z dnia 24 lipca 2015 r. </w:t>
      </w:r>
      <w:r w:rsidRPr="00E7605C">
        <w:rPr>
          <w:b/>
          <w:bCs/>
          <w:i/>
        </w:rPr>
        <w:t>o zmianie ustawy o systemie monitorowania i</w:t>
      </w:r>
      <w:r>
        <w:rPr>
          <w:b/>
          <w:bCs/>
          <w:i/>
        </w:rPr>
        <w:t> </w:t>
      </w:r>
      <w:r w:rsidRPr="00E7605C">
        <w:rPr>
          <w:b/>
          <w:bCs/>
          <w:i/>
        </w:rPr>
        <w:t>kontrolowania jakości paliw</w:t>
      </w:r>
      <w:r w:rsidRPr="00E7605C">
        <w:rPr>
          <w:b/>
          <w:bCs/>
        </w:rPr>
        <w:t xml:space="preserve"> (Dz. U. poz. 1361)</w:t>
      </w:r>
    </w:p>
    <w:p w14:paraId="7C63A1A0" w14:textId="77777777" w:rsidR="00FF5857" w:rsidRPr="00E7605C" w:rsidRDefault="00FF5857" w:rsidP="00FF5857">
      <w:pPr>
        <w:jc w:val="both"/>
        <w:rPr>
          <w:rFonts w:eastAsia="Calibri"/>
          <w:bCs/>
          <w:color w:val="000000"/>
          <w:szCs w:val="24"/>
        </w:rPr>
      </w:pPr>
      <w:r w:rsidRPr="00E7605C">
        <w:rPr>
          <w:rFonts w:eastAsia="Calibri"/>
          <w:bCs/>
          <w:color w:val="000000"/>
          <w:szCs w:val="24"/>
        </w:rPr>
        <w:tab/>
        <w:t xml:space="preserve">Obowiązujący art. 3 ustawy z dnia 24 lipca 2015 r. </w:t>
      </w:r>
      <w:r w:rsidRPr="00E7605C">
        <w:rPr>
          <w:rFonts w:eastAsia="Calibri"/>
          <w:bCs/>
          <w:i/>
          <w:color w:val="000000"/>
          <w:szCs w:val="24"/>
        </w:rPr>
        <w:t>o zmianie ustawy o systemie monitorowania i kontrolowania jakości paliw</w:t>
      </w:r>
      <w:r w:rsidRPr="00E7605C">
        <w:rPr>
          <w:rFonts w:eastAsia="Calibri"/>
          <w:bCs/>
          <w:color w:val="000000"/>
          <w:szCs w:val="24"/>
        </w:rPr>
        <w:t xml:space="preserve"> przewiduje wydanie przez ministra właściwego do spraw energii rozporządzeń, w ramach których zostaną określone:</w:t>
      </w:r>
    </w:p>
    <w:p w14:paraId="153C65A6" w14:textId="77777777" w:rsidR="00FF5857" w:rsidRPr="00E7605C" w:rsidRDefault="00FF5857" w:rsidP="007D0B39">
      <w:pPr>
        <w:widowControl/>
        <w:numPr>
          <w:ilvl w:val="0"/>
          <w:numId w:val="7"/>
        </w:numPr>
        <w:jc w:val="both"/>
        <w:rPr>
          <w:rFonts w:eastAsia="Calibri"/>
          <w:bCs/>
          <w:color w:val="000000"/>
          <w:szCs w:val="24"/>
        </w:rPr>
      </w:pPr>
      <w:r w:rsidRPr="00E7605C">
        <w:rPr>
          <w:rFonts w:eastAsia="Calibri"/>
          <w:bCs/>
          <w:color w:val="000000"/>
          <w:szCs w:val="24"/>
        </w:rPr>
        <w:t>wymagania jakościowe,</w:t>
      </w:r>
    </w:p>
    <w:p w14:paraId="491441C8" w14:textId="77777777" w:rsidR="00FF5857" w:rsidRPr="00E7605C" w:rsidRDefault="00FF5857" w:rsidP="007D0B39">
      <w:pPr>
        <w:widowControl/>
        <w:numPr>
          <w:ilvl w:val="0"/>
          <w:numId w:val="7"/>
        </w:numPr>
        <w:jc w:val="both"/>
        <w:rPr>
          <w:rFonts w:eastAsia="Calibri"/>
          <w:bCs/>
          <w:color w:val="000000"/>
          <w:szCs w:val="24"/>
        </w:rPr>
      </w:pPr>
      <w:r w:rsidRPr="00E7605C">
        <w:rPr>
          <w:rFonts w:eastAsia="Calibri"/>
          <w:bCs/>
          <w:color w:val="000000"/>
          <w:szCs w:val="24"/>
        </w:rPr>
        <w:t>sposób pobierania próbek,</w:t>
      </w:r>
    </w:p>
    <w:p w14:paraId="292C8381" w14:textId="77777777" w:rsidR="00FF5857" w:rsidRPr="00E7605C" w:rsidRDefault="00FF5857" w:rsidP="007D0B39">
      <w:pPr>
        <w:widowControl/>
        <w:numPr>
          <w:ilvl w:val="0"/>
          <w:numId w:val="7"/>
        </w:numPr>
        <w:jc w:val="both"/>
        <w:rPr>
          <w:rFonts w:eastAsia="Calibri"/>
          <w:bCs/>
          <w:color w:val="000000"/>
          <w:szCs w:val="24"/>
        </w:rPr>
      </w:pPr>
      <w:r w:rsidRPr="00E7605C">
        <w:rPr>
          <w:rFonts w:eastAsia="Calibri"/>
          <w:bCs/>
          <w:color w:val="000000"/>
          <w:szCs w:val="24"/>
        </w:rPr>
        <w:t>metody badania jakości</w:t>
      </w:r>
    </w:p>
    <w:p w14:paraId="2BBDAA48" w14:textId="77777777" w:rsidR="00FF5857" w:rsidRPr="00E7605C" w:rsidRDefault="00FF5857" w:rsidP="00FF5857">
      <w:pPr>
        <w:jc w:val="both"/>
        <w:rPr>
          <w:bCs/>
          <w:szCs w:val="24"/>
        </w:rPr>
      </w:pPr>
      <w:r w:rsidRPr="00E7605C">
        <w:rPr>
          <w:bCs/>
          <w:szCs w:val="24"/>
        </w:rPr>
        <w:t xml:space="preserve">odrębnie dla skroplonego gazu ziemnego (LNG) oraz innych paliw odnawialnych, w terminie </w:t>
      </w:r>
      <w:r w:rsidRPr="00E7605C">
        <w:rPr>
          <w:szCs w:val="24"/>
        </w:rPr>
        <w:t>do dnia 30 czerwca 2017 r.</w:t>
      </w:r>
    </w:p>
    <w:p w14:paraId="263A4B66" w14:textId="77777777" w:rsidR="00FF5857" w:rsidRPr="00E7605C" w:rsidRDefault="00FF5857" w:rsidP="00FF5857">
      <w:pPr>
        <w:ind w:firstLine="708"/>
        <w:jc w:val="both"/>
        <w:rPr>
          <w:rFonts w:eastAsia="Calibri"/>
          <w:bCs/>
          <w:color w:val="000000"/>
          <w:szCs w:val="24"/>
        </w:rPr>
      </w:pPr>
      <w:r w:rsidRPr="00E7605C">
        <w:rPr>
          <w:rFonts w:eastAsia="Calibri"/>
          <w:bCs/>
          <w:color w:val="000000"/>
          <w:szCs w:val="24"/>
        </w:rPr>
        <w:t>Z uwagi na okoliczność, iż ww. delegacje ustawowe nie zostały zrealizowane w</w:t>
      </w:r>
      <w:r>
        <w:rPr>
          <w:rFonts w:eastAsia="Calibri"/>
          <w:bCs/>
          <w:color w:val="000000"/>
          <w:szCs w:val="24"/>
        </w:rPr>
        <w:t> </w:t>
      </w:r>
      <w:r w:rsidRPr="00E7605C">
        <w:rPr>
          <w:rFonts w:eastAsia="Calibri"/>
          <w:bCs/>
          <w:color w:val="000000"/>
          <w:szCs w:val="24"/>
        </w:rPr>
        <w:t xml:space="preserve">wyznaczonym ustawowo terminie zaistniała potrzeba zmiany terminu ich wydania. </w:t>
      </w:r>
    </w:p>
    <w:p w14:paraId="256B4739" w14:textId="77777777" w:rsidR="00FF5857" w:rsidRPr="00E7605C" w:rsidRDefault="00FF5857" w:rsidP="00FF5857">
      <w:pPr>
        <w:ind w:firstLine="708"/>
        <w:jc w:val="both"/>
        <w:rPr>
          <w:rFonts w:eastAsia="Calibri"/>
          <w:bCs/>
          <w:color w:val="000000"/>
          <w:szCs w:val="24"/>
        </w:rPr>
      </w:pPr>
      <w:r w:rsidRPr="00E7605C">
        <w:rPr>
          <w:rFonts w:eastAsia="Calibri"/>
          <w:bCs/>
          <w:color w:val="000000"/>
          <w:szCs w:val="24"/>
        </w:rPr>
        <w:t>W przypadku skroplonego gazu ziemnego (LNG) brak realizacji delegacji ustawowych jest spowodowany brakiem wiedzy technicznej oraz obowiązujących polskich lub europejskich norm w zakresie LNG.</w:t>
      </w:r>
    </w:p>
    <w:p w14:paraId="1F980DE8" w14:textId="77777777" w:rsidR="00FF5857" w:rsidRDefault="00FF5857" w:rsidP="00FF5857">
      <w:pPr>
        <w:ind w:firstLine="708"/>
        <w:jc w:val="both"/>
        <w:rPr>
          <w:rFonts w:eastAsia="Calibri"/>
          <w:bCs/>
          <w:color w:val="000000"/>
          <w:szCs w:val="24"/>
        </w:rPr>
      </w:pPr>
      <w:r w:rsidRPr="00E7605C">
        <w:rPr>
          <w:rFonts w:eastAsia="Calibri"/>
          <w:bCs/>
          <w:color w:val="000000"/>
          <w:szCs w:val="24"/>
        </w:rPr>
        <w:t xml:space="preserve">Uwzględniając postępujący rozwój wykorzystania gazu ziemnego w postaci LNG </w:t>
      </w:r>
      <w:r w:rsidRPr="00E7605C">
        <w:rPr>
          <w:rFonts w:eastAsia="Calibri"/>
          <w:bCs/>
          <w:color w:val="000000"/>
          <w:szCs w:val="24"/>
        </w:rPr>
        <w:lastRenderedPageBreak/>
        <w:t>w</w:t>
      </w:r>
      <w:r>
        <w:rPr>
          <w:rFonts w:eastAsia="Calibri"/>
          <w:bCs/>
          <w:color w:val="000000"/>
          <w:szCs w:val="24"/>
        </w:rPr>
        <w:t> </w:t>
      </w:r>
      <w:r w:rsidRPr="00E7605C">
        <w:rPr>
          <w:rFonts w:eastAsia="Calibri"/>
          <w:bCs/>
          <w:color w:val="000000"/>
          <w:szCs w:val="24"/>
        </w:rPr>
        <w:t>transporcie w ostatnich latach zaproponowano przesunięcie terminu wydania przedmiotowych rozporządzeń do dnia 31 grudnia 2022 r. Przyjęto, iż wraz z rozwojem rynku LNG dostępne normy i większa wiedza techniczna pozwoli na opracowanie rozporządzeń w</w:t>
      </w:r>
      <w:r>
        <w:rPr>
          <w:rFonts w:eastAsia="Calibri"/>
          <w:bCs/>
          <w:color w:val="000000"/>
          <w:szCs w:val="24"/>
        </w:rPr>
        <w:t> </w:t>
      </w:r>
      <w:r w:rsidRPr="00E7605C">
        <w:rPr>
          <w:rFonts w:eastAsia="Calibri"/>
          <w:bCs/>
          <w:color w:val="000000"/>
          <w:szCs w:val="24"/>
        </w:rPr>
        <w:t>wymaganym zakresie.</w:t>
      </w:r>
    </w:p>
    <w:p w14:paraId="275A399A" w14:textId="77777777" w:rsidR="00FF5857" w:rsidRDefault="00FF5857" w:rsidP="00FF5857">
      <w:pPr>
        <w:ind w:firstLine="708"/>
        <w:jc w:val="both"/>
        <w:rPr>
          <w:rFonts w:eastAsia="Calibri"/>
          <w:bCs/>
          <w:color w:val="000000"/>
          <w:szCs w:val="24"/>
        </w:rPr>
      </w:pPr>
      <w:r>
        <w:rPr>
          <w:rFonts w:eastAsia="Calibri"/>
          <w:bCs/>
          <w:color w:val="000000"/>
          <w:szCs w:val="24"/>
        </w:rPr>
        <w:t xml:space="preserve">Jeżeli chodzi o uzasadnienie przesunięcia terminu wydania aktów wykonawczych, o których mowa w art. 3 ust. 2 pkt 6, art. 19a pkt 1 oraz art. 26a pkt 1 dotyczących kwestii jakości innych paliw odnawialnych, to należy mieć na uwadze, że ww. paliwa zostały zdefiniowane w ustawie </w:t>
      </w:r>
      <w:r w:rsidRPr="00F60D48">
        <w:rPr>
          <w:rFonts w:eastAsia="Calibri"/>
          <w:bCs/>
          <w:i/>
          <w:color w:val="000000"/>
          <w:szCs w:val="24"/>
        </w:rPr>
        <w:t>o biokomponentach i biopaliwach ciekłych</w:t>
      </w:r>
      <w:r>
        <w:rPr>
          <w:rFonts w:eastAsia="Calibri"/>
          <w:bCs/>
          <w:color w:val="000000"/>
          <w:szCs w:val="24"/>
        </w:rPr>
        <w:t xml:space="preserve"> (art. 2 ust. 1 pkt 25) w związku z obowiązkiem wdrożenia przepisów dyrektywy </w:t>
      </w:r>
      <w:r w:rsidRPr="00A87EBB">
        <w:rPr>
          <w:color w:val="000000"/>
          <w:szCs w:val="24"/>
        </w:rPr>
        <w:t>2009/28/WE</w:t>
      </w:r>
      <w:r>
        <w:rPr>
          <w:color w:val="000000"/>
          <w:szCs w:val="24"/>
        </w:rPr>
        <w:t>, która definiuje ten rodzaj paliw</w:t>
      </w:r>
      <w:r>
        <w:rPr>
          <w:rFonts w:eastAsia="Calibri"/>
          <w:bCs/>
          <w:color w:val="000000"/>
          <w:szCs w:val="24"/>
        </w:rPr>
        <w:t xml:space="preserve">. </w:t>
      </w:r>
    </w:p>
    <w:p w14:paraId="4B6084E3" w14:textId="77777777" w:rsidR="00FF5857" w:rsidRDefault="00FF5857" w:rsidP="00FF5857">
      <w:pPr>
        <w:ind w:firstLine="708"/>
        <w:jc w:val="both"/>
        <w:rPr>
          <w:szCs w:val="24"/>
        </w:rPr>
      </w:pPr>
      <w:r>
        <w:rPr>
          <w:rFonts w:eastAsia="Calibri"/>
          <w:bCs/>
          <w:color w:val="000000"/>
          <w:szCs w:val="24"/>
        </w:rPr>
        <w:t xml:space="preserve">Zdefiniowanie nowego katalogu paliw nakłada również obowiązek określenia, podobnie jak dla wszystkich pozostałych kategorii </w:t>
      </w:r>
      <w:r w:rsidRPr="00F60D48">
        <w:rPr>
          <w:rFonts w:eastAsia="Calibri"/>
          <w:bCs/>
          <w:color w:val="000000"/>
          <w:szCs w:val="24"/>
        </w:rPr>
        <w:t>paliw transportowych, parametrów jakościowych dla innych paliw odnawialnych, biorąc pod uwagę w</w:t>
      </w:r>
      <w:r w:rsidRPr="00F60D48">
        <w:rPr>
          <w:szCs w:val="24"/>
        </w:rPr>
        <w:t>artości parametrów jakościowych określone w odpowiednich normach w tym zakresie, stan wiedzy technicznej w</w:t>
      </w:r>
      <w:r>
        <w:rPr>
          <w:szCs w:val="24"/>
        </w:rPr>
        <w:t> </w:t>
      </w:r>
      <w:r w:rsidRPr="00F60D48">
        <w:rPr>
          <w:szCs w:val="24"/>
        </w:rPr>
        <w:t>tym zakresie wynikający z badań tych paliw lub doświadczenie w ich stosowaniu</w:t>
      </w:r>
      <w:r>
        <w:rPr>
          <w:szCs w:val="24"/>
        </w:rPr>
        <w:t>.</w:t>
      </w:r>
    </w:p>
    <w:p w14:paraId="50D6DE4B" w14:textId="77777777" w:rsidR="00FF5857" w:rsidRPr="00F60D48" w:rsidRDefault="00FF5857" w:rsidP="00FF5857">
      <w:pPr>
        <w:ind w:firstLine="708"/>
        <w:jc w:val="both"/>
        <w:rPr>
          <w:b/>
          <w:bCs/>
          <w:szCs w:val="24"/>
        </w:rPr>
      </w:pPr>
      <w:r>
        <w:rPr>
          <w:szCs w:val="24"/>
        </w:rPr>
        <w:t>Zgodnie z posiadanymi obecnie informacjami, zweryfikowanymi w oparciu o dane statystyczne dotyczące wykorzystania energii odnawialnej w transporcie w Unii Europejskiej oraz po zasięgnięciu opinii krajowych instytutów naukowych, obecnie w Europie nie stosuje się a tym samym brak jest doświadczeń w praktycznym wykorzystaniu ww. paliw w transporcie, w związku z czym brak jest podstaw formalnych do wydania przedmiotowych aktów wykonawczych – co uzasadnia wydłużenie okresu na ich opracowanie i wydanie do dnia 31 grudnia 2022 r.</w:t>
      </w:r>
    </w:p>
    <w:p w14:paraId="5E1AB750" w14:textId="77777777" w:rsidR="00FF5857" w:rsidRDefault="00FF5857" w:rsidP="00FF5857">
      <w:pPr>
        <w:pStyle w:val="Default"/>
        <w:spacing w:line="360" w:lineRule="auto"/>
        <w:jc w:val="both"/>
        <w:rPr>
          <w:b/>
          <w:bCs/>
        </w:rPr>
      </w:pPr>
    </w:p>
    <w:p w14:paraId="41F7709F" w14:textId="77777777" w:rsidR="00FF5857" w:rsidRPr="00A87EBB" w:rsidRDefault="00FF5857" w:rsidP="00FF5857">
      <w:pPr>
        <w:pStyle w:val="Default"/>
        <w:spacing w:line="360" w:lineRule="auto"/>
        <w:jc w:val="both"/>
        <w:rPr>
          <w:b/>
          <w:bCs/>
        </w:rPr>
      </w:pPr>
      <w:r>
        <w:rPr>
          <w:b/>
          <w:bCs/>
        </w:rPr>
        <w:t xml:space="preserve">12. </w:t>
      </w:r>
      <w:r w:rsidRPr="00A87EBB">
        <w:rPr>
          <w:b/>
          <w:bCs/>
        </w:rPr>
        <w:t>Zmiany porządkowe i dostosowawcze</w:t>
      </w:r>
    </w:p>
    <w:p w14:paraId="4CA86791" w14:textId="77777777" w:rsidR="00FF5857" w:rsidRDefault="00FF5857" w:rsidP="00FF5857">
      <w:pPr>
        <w:pStyle w:val="Default"/>
        <w:spacing w:line="360" w:lineRule="auto"/>
        <w:ind w:firstLine="708"/>
        <w:jc w:val="both"/>
      </w:pPr>
      <w:r w:rsidRPr="00A87EBB">
        <w:rPr>
          <w:bCs/>
        </w:rPr>
        <w:t>Projekt nowelizacji ustawy wprowadza również zmiany porządkowe i dostosowawcze, takie jak m.in.</w:t>
      </w:r>
      <w:r>
        <w:rPr>
          <w:bCs/>
        </w:rPr>
        <w:t>:</w:t>
      </w:r>
      <w:r w:rsidRPr="00A87EBB">
        <w:rPr>
          <w:bCs/>
        </w:rPr>
        <w:t xml:space="preserve"> </w:t>
      </w:r>
      <w:r>
        <w:rPr>
          <w:bCs/>
        </w:rPr>
        <w:t xml:space="preserve">(1) </w:t>
      </w:r>
      <w:r w:rsidRPr="00A87EBB">
        <w:rPr>
          <w:bCs/>
        </w:rPr>
        <w:t xml:space="preserve">uchylenie nieaktualnych przepisów dotyczących </w:t>
      </w:r>
      <w:r w:rsidRPr="00A87EBB">
        <w:rPr>
          <w:i/>
        </w:rPr>
        <w:t xml:space="preserve">Wieloletniego programu promocji biopaliw lub innych paliw odnawialnych na lata 2008–2014 </w:t>
      </w:r>
      <w:r w:rsidRPr="00A87EBB">
        <w:t xml:space="preserve">(art. 37 i 37a ustawy),  </w:t>
      </w:r>
      <w:r>
        <w:t xml:space="preserve">(2) </w:t>
      </w:r>
      <w:r w:rsidRPr="00A87EBB">
        <w:t>wprowadzenie definicji przedsiębiorcy</w:t>
      </w:r>
      <w:r>
        <w:t>, (3) wprowadzenie pojęcia „trwałe wyzbycie się” w przepisach dotyczących działalności regulowanej nadzorowanej przez KOWR oraz (4) dostosowanie przepisów dotyczących terminów uiszczania opłaty zastępczej do terminów sprawozdań rocznych podmiotów realizujących NCW</w:t>
      </w:r>
      <w:r w:rsidRPr="00A87EBB">
        <w:t>.</w:t>
      </w:r>
    </w:p>
    <w:p w14:paraId="7399FD6A" w14:textId="77777777" w:rsidR="00FF5857" w:rsidRDefault="00FF5857" w:rsidP="00FF5857">
      <w:pPr>
        <w:pStyle w:val="Default"/>
        <w:spacing w:line="360" w:lineRule="auto"/>
        <w:ind w:firstLine="708"/>
        <w:jc w:val="both"/>
      </w:pPr>
      <w:r>
        <w:t xml:space="preserve">Uchylenie art. 37 i 37a ustawy ma charakter jedynie formalny, ponieważ wraz z wprowadzeniem przepisów dot. Funduszu Niskoemisyjnego Transportu, przejął on rolę </w:t>
      </w:r>
      <w:r>
        <w:lastRenderedPageBreak/>
        <w:t xml:space="preserve">instrumentu finansującego inwestycje w obszarze ograniczania emisji w transporcie. Jednocześnie, z uwagi na fakt, że obecnie nie są realizowane, jak również rozliczane, żadne działania finansowe prowadzone na podstawie uchylanych artykułów nie ma podstaw do konieczności określania przepisów szczegółowych w tym zakresie.  </w:t>
      </w:r>
    </w:p>
    <w:p w14:paraId="759BC03E" w14:textId="77777777" w:rsidR="00FF5857" w:rsidRDefault="00FF5857" w:rsidP="00FF5857">
      <w:pPr>
        <w:pStyle w:val="Default"/>
        <w:spacing w:line="360" w:lineRule="auto"/>
        <w:ind w:firstLine="708"/>
        <w:jc w:val="both"/>
      </w:pPr>
      <w:r>
        <w:t xml:space="preserve">Doprecyzowanie przepisów dotyczących zakresu działalności regulowanej prowadzonej przez wytwórców oraz podmioty sprowadzające, mające na celu wprowadzenie terminu „trwałe wyzbycie się” stanowi konsekwencję dotychczasowych zmian w tym obszarze dotyczącym działalności podmiotów realizujących NCW nadzorowanych przez URE. Przepis ma jedynie charakter doprecyzowujący, ale z uwagi na fakt, że działalność w obszarze wytwarzania biokomponentów oraz ich sprowadzania wymaga wpisu do rejestru prowadzonego przez Dyrektora Generalnego KOWR, wprowadzono przepisy, które umożliwią organowi rejestrowemu na dokonanie aktualizacji z urzędu w prowadzonych rejestrach wobec podmiotów, które uzyskały wpis przed dniem 1 stycznia 2020 r. </w:t>
      </w:r>
    </w:p>
    <w:p w14:paraId="732B0AB9" w14:textId="77777777" w:rsidR="00FF5857" w:rsidRDefault="00FF5857" w:rsidP="00FF5857">
      <w:pPr>
        <w:pStyle w:val="Default"/>
        <w:spacing w:line="360" w:lineRule="auto"/>
        <w:ind w:firstLine="708"/>
        <w:jc w:val="both"/>
      </w:pPr>
      <w:r>
        <w:t>Pozwoli to uniknąć konieczności dokonywania kolejnego wpisu, który byłby czynnością jedynie formalną, ale jednocześnie kłopotliwą z punktu widzenia samych przedsiębiorców, jak również funkcjonowania organu rejestrowego. Z uwagi na konieczność skoordynowania terminów uiszczania opłaty zastępczej, o której mowa w art. 23 ust. 8 z terminem przekazywania sprawozdania rocznego przez podmiot realizujący NCW, o którym mowa w art. 30b ust. 1, wydłużono okres na uiszczenie ww. opłaty do 60 dni po zakończeniu roku, którego dotyczył obowiązek. Zaproponowany termin obecnie pokrywa się z terminem złożenia sprawozdania przez podmiot realizujący NCW, co pozwala na bardziej precyzyjne wyznaczenie opłaty, wynikającej m.in. z treści sprawozdania, o którym mowa w art. 30b ust. 1 ustawy.  </w:t>
      </w:r>
    </w:p>
    <w:p w14:paraId="55475351" w14:textId="77777777" w:rsidR="00FF5857" w:rsidRDefault="00FF5857" w:rsidP="00FF5857">
      <w:pPr>
        <w:ind w:firstLine="708"/>
        <w:jc w:val="both"/>
        <w:rPr>
          <w:rFonts w:eastAsia="Calibri"/>
          <w:color w:val="000000"/>
          <w:szCs w:val="24"/>
        </w:rPr>
      </w:pPr>
      <w:r w:rsidRPr="002A5D6A">
        <w:rPr>
          <w:rFonts w:eastAsia="Calibri"/>
          <w:color w:val="000000"/>
          <w:szCs w:val="24"/>
        </w:rPr>
        <w:t xml:space="preserve">Obowiązki wynikające z uchylanego art. 9a ustawy </w:t>
      </w:r>
      <w:r w:rsidRPr="002A5D6A">
        <w:rPr>
          <w:rFonts w:eastAsia="Calibri"/>
          <w:i/>
          <w:color w:val="000000"/>
          <w:szCs w:val="24"/>
        </w:rPr>
        <w:t>o systemie monitorowania i kontrolowania jakości paliw</w:t>
      </w:r>
      <w:r w:rsidRPr="002A5D6A">
        <w:rPr>
          <w:rFonts w:eastAsia="Calibri"/>
          <w:color w:val="000000"/>
          <w:szCs w:val="24"/>
        </w:rPr>
        <w:t xml:space="preserve"> zostały uwzględnione w projektowanym art. 9ca ustawy </w:t>
      </w:r>
      <w:r w:rsidRPr="002A5D6A">
        <w:rPr>
          <w:rFonts w:eastAsia="Calibri"/>
          <w:i/>
          <w:color w:val="000000"/>
          <w:szCs w:val="24"/>
        </w:rPr>
        <w:t>o systemie monitorowania i kontrolowania jakości paliw</w:t>
      </w:r>
      <w:r w:rsidRPr="002A5D6A">
        <w:rPr>
          <w:rFonts w:eastAsia="Calibri"/>
          <w:color w:val="000000"/>
          <w:szCs w:val="24"/>
        </w:rPr>
        <w:t>. Biorąc pod uwagę fakt, że zarówno uchylany jak i wprowadzany zakres obowiązków jest tożsamy oraz że przewidziana wysokość kar pieniężnych za niedopełnienie obowiązków jest również tożsama (5 000 zł), wprowadzane przepisy przejściowe w art. 1</w:t>
      </w:r>
      <w:r>
        <w:rPr>
          <w:rFonts w:eastAsia="Calibri"/>
          <w:color w:val="000000"/>
          <w:szCs w:val="24"/>
        </w:rPr>
        <w:t>8</w:t>
      </w:r>
      <w:r w:rsidRPr="002A5D6A">
        <w:rPr>
          <w:rFonts w:eastAsia="Calibri"/>
          <w:color w:val="000000"/>
          <w:szCs w:val="24"/>
        </w:rPr>
        <w:t xml:space="preserve"> ust. 2 oraz art. 2</w:t>
      </w:r>
      <w:r>
        <w:rPr>
          <w:rFonts w:eastAsia="Calibri"/>
          <w:color w:val="000000"/>
          <w:szCs w:val="24"/>
        </w:rPr>
        <w:t>5</w:t>
      </w:r>
      <w:r w:rsidRPr="002A5D6A">
        <w:rPr>
          <w:rFonts w:eastAsia="Calibri"/>
          <w:color w:val="000000"/>
          <w:szCs w:val="24"/>
        </w:rPr>
        <w:t xml:space="preserve"> ust. 2 projektu ustawy nie naruszają zasady wyrażonej w art. 189c </w:t>
      </w:r>
      <w:r w:rsidRPr="002A5D6A">
        <w:rPr>
          <w:rFonts w:eastAsia="Calibri"/>
          <w:i/>
          <w:color w:val="000000"/>
          <w:szCs w:val="24"/>
        </w:rPr>
        <w:t>Kodeksu postępowania administracyjnego</w:t>
      </w:r>
      <w:r w:rsidRPr="002A5D6A">
        <w:rPr>
          <w:rFonts w:eastAsia="Calibri"/>
          <w:color w:val="000000"/>
          <w:szCs w:val="24"/>
        </w:rPr>
        <w:t>. Powyższe przepisy przejściowe mają na celu wyeliminowanie ewentualnych wątpliwości interpretacyjnych w przyszłości, dotyczących obowiązujących w odniesieniu do spraw rozpoczętych przed wejściem w życie nowych przepisów.</w:t>
      </w:r>
    </w:p>
    <w:p w14:paraId="2C542ADC" w14:textId="77777777" w:rsidR="00FF5857" w:rsidRPr="00EA4BBC" w:rsidRDefault="00FF5857" w:rsidP="00FF5857">
      <w:pPr>
        <w:ind w:firstLine="851"/>
        <w:jc w:val="both"/>
        <w:rPr>
          <w:rFonts w:eastAsiaTheme="minorHAnsi"/>
          <w:szCs w:val="24"/>
        </w:rPr>
      </w:pPr>
      <w:r w:rsidRPr="00EA4BBC">
        <w:rPr>
          <w:rFonts w:eastAsia="Calibri"/>
          <w:color w:val="000000"/>
          <w:szCs w:val="24"/>
        </w:rPr>
        <w:lastRenderedPageBreak/>
        <w:t xml:space="preserve">Projekt ustawy uchyla również obowiązki nakładane na przedsiębiorców dotyczące informowania Dyrektora Generalnego KOWR (art. 30 ust. 1a ustawy) oraz Prezesa URE (art. 30 ust. 2a ustawy) w zakresie infrastruktury energetycznej służącej do wytwarzania biokomponentów i biopaliw ciekłych o wydajności powyżej 50 tys. ton/rok. </w:t>
      </w:r>
      <w:r w:rsidRPr="00EA4BBC">
        <w:rPr>
          <w:rFonts w:eastAsiaTheme="minorHAnsi"/>
          <w:szCs w:val="24"/>
        </w:rPr>
        <w:t xml:space="preserve">W treści przywołanych powyżej przepisów znajduje się bezpośrednie odesłanie do rozporządzenia Parlamentu Europejskiego i Rady (UE) nr 256/2014 z dnia 26 lutego 2014 r. </w:t>
      </w:r>
      <w:r w:rsidRPr="00EA4BBC">
        <w:rPr>
          <w:rFonts w:eastAsiaTheme="minorHAnsi"/>
          <w:i/>
          <w:szCs w:val="24"/>
        </w:rPr>
        <w:t>w sprawie zgłaszania Komisji projektów inwestycyjnych dotyczących infrastruktury energetycznej w Unii Europejskiej</w:t>
      </w:r>
      <w:r w:rsidRPr="00EA4BBC">
        <w:rPr>
          <w:rFonts w:eastAsiaTheme="minorHAnsi"/>
          <w:szCs w:val="24"/>
        </w:rPr>
        <w:t xml:space="preserve">, zastępującego rozporządzenie Rady (UE, EURATOM) nr 617/2010 oraz uchylającego rozporządzenie Rady (WE) nr 736/96 (Dz. Urz. UE L 84 z 20.03.2014, str. 61), które z dniem 4 listopada 2018 r. zostało uchylone </w:t>
      </w:r>
      <w:r>
        <w:rPr>
          <w:rFonts w:eastAsiaTheme="minorHAnsi"/>
          <w:szCs w:val="24"/>
        </w:rPr>
        <w:t>r</w:t>
      </w:r>
      <w:r w:rsidRPr="00EA4BBC">
        <w:rPr>
          <w:rFonts w:eastAsiaTheme="minorHAnsi"/>
          <w:szCs w:val="24"/>
        </w:rPr>
        <w:t xml:space="preserve">ozporządzeniem Parlamentu Europejskiego i Rady (UE) 2018/1504 z dnia 2 października 2018 r. </w:t>
      </w:r>
    </w:p>
    <w:p w14:paraId="33FD0AFF" w14:textId="77777777" w:rsidR="00FF5857" w:rsidRPr="00EA4BBC" w:rsidRDefault="00FF5857" w:rsidP="00FF5857">
      <w:pPr>
        <w:ind w:firstLine="851"/>
        <w:jc w:val="both"/>
        <w:rPr>
          <w:rFonts w:eastAsiaTheme="minorHAnsi"/>
          <w:szCs w:val="24"/>
        </w:rPr>
      </w:pPr>
      <w:r w:rsidRPr="00EA4BBC">
        <w:rPr>
          <w:rFonts w:eastAsiaTheme="minorHAnsi"/>
          <w:szCs w:val="24"/>
        </w:rPr>
        <w:t xml:space="preserve">Mając powyższe na uwadze, a także ocenę Komisji Europejskiej, która uznała, że jakość i adekwatność otrzymywanych danych była niewystarczająca oraz że uzyskała ona już dostęp do tych informacji za pośrednictwem innych źródeł, uzasadnione jest niezwłoczne uchylenie obu ww. ustępów w </w:t>
      </w:r>
      <w:r w:rsidRPr="00EA4BBC">
        <w:rPr>
          <w:szCs w:val="24"/>
        </w:rPr>
        <w:t xml:space="preserve">art. 30 ust. 1a ustawy. </w:t>
      </w:r>
    </w:p>
    <w:p w14:paraId="0D9BA0A5" w14:textId="33080A54" w:rsidR="00FF5857" w:rsidRDefault="00FF5857" w:rsidP="00FF5857">
      <w:pPr>
        <w:pStyle w:val="NIEARTTEKSTtekstnieartykuowanynppodstprawnarozplubpreambua"/>
        <w:ind w:firstLine="708"/>
        <w:rPr>
          <w:rFonts w:ascii="Times New Roman" w:hAnsi="Times New Roman" w:cs="Times New Roman"/>
          <w:szCs w:val="24"/>
        </w:rPr>
      </w:pPr>
      <w:r>
        <w:rPr>
          <w:rFonts w:ascii="Times New Roman" w:hAnsi="Times New Roman" w:cs="Times New Roman"/>
          <w:szCs w:val="24"/>
        </w:rPr>
        <w:t xml:space="preserve">W przepisach przejściowych projektu uregulowano kwestie dotyczące zasad postępowania w kontekście naruszenia dotychczasowych obowiązków przez podmioty oraz zasad wymierzania kar z tytułu ich niedopełnienia. Generalnie z uwagi na zachowanie kar administracyjnych na niezmienionym poziomie, zastosowano przepisy, zgodnie z którymi </w:t>
      </w:r>
      <w:r>
        <w:t xml:space="preserve">do kar pieniężnych z tytułu niezrealizowania określonych obowiązków, </w:t>
      </w:r>
      <w:r w:rsidRPr="00800B6F">
        <w:t>stosuje się przepisy dotychczasowe</w:t>
      </w:r>
      <w:r>
        <w:t>, również po wejściu w życie projektu ustawy. Zasada ta dotyczy m.in. art. 16, art. 18 ust. 2, art. 21, art. 22 pkt 2 oraz art. 25 ust. 2 projektu ustawy. Jedynie w przypadku całkowitego wygaśnięcia obowiązku, biorąc pod uwagę zasadę zastosowania przepisu względniejszego dla strony, wynikając</w:t>
      </w:r>
      <w:r w:rsidR="00B11625">
        <w:t>ą</w:t>
      </w:r>
      <w:r>
        <w:t xml:space="preserve"> z art. 189c Kodeksu postępowania administracyjnego, nie uregulowano kwestii dotyczącej nałożenia kary pieniężnej w takim przypadku. Dotyczy to art. 19 oraz art. 22 pkt 1 projektu ustawy.</w:t>
      </w:r>
    </w:p>
    <w:p w14:paraId="266EA2C6" w14:textId="77777777" w:rsidR="00FF5857" w:rsidRPr="00A87EBB" w:rsidRDefault="00FF5857" w:rsidP="00FF5857">
      <w:pPr>
        <w:pStyle w:val="NIEARTTEKSTtekstnieartykuowanynppodstprawnarozplubpreambua"/>
        <w:ind w:firstLine="708"/>
        <w:rPr>
          <w:rFonts w:ascii="Times New Roman" w:hAnsi="Times New Roman" w:cs="Times New Roman"/>
          <w:szCs w:val="24"/>
        </w:rPr>
      </w:pPr>
      <w:r w:rsidRPr="007C7F12">
        <w:rPr>
          <w:rFonts w:ascii="Times New Roman" w:hAnsi="Times New Roman" w:cs="Times New Roman"/>
          <w:szCs w:val="24"/>
        </w:rPr>
        <w:t>Projekt ustawy zgodnie z § 4 ust. 1</w:t>
      </w:r>
      <w:r w:rsidRPr="00A87EBB">
        <w:rPr>
          <w:rFonts w:ascii="Times New Roman" w:hAnsi="Times New Roman" w:cs="Times New Roman"/>
          <w:szCs w:val="24"/>
        </w:rPr>
        <w:t xml:space="preserve"> pkt 1 rozporządzenia Rady Ministrów z dnia 23 grudnia 2002 r. </w:t>
      </w:r>
      <w:r w:rsidRPr="00A87EBB">
        <w:rPr>
          <w:rFonts w:ascii="Times New Roman" w:hAnsi="Times New Roman" w:cs="Times New Roman"/>
          <w:i/>
          <w:szCs w:val="24"/>
        </w:rPr>
        <w:t>w sprawie sposobu funkcjonowania krajowego systemu notyfikacji norm i</w:t>
      </w:r>
      <w:r>
        <w:rPr>
          <w:rFonts w:ascii="Times New Roman" w:hAnsi="Times New Roman" w:cs="Times New Roman"/>
          <w:i/>
          <w:szCs w:val="24"/>
        </w:rPr>
        <w:t> </w:t>
      </w:r>
      <w:r w:rsidRPr="00A87EBB">
        <w:rPr>
          <w:rFonts w:ascii="Times New Roman" w:hAnsi="Times New Roman" w:cs="Times New Roman"/>
          <w:i/>
          <w:szCs w:val="24"/>
        </w:rPr>
        <w:t>aktów prawnych</w:t>
      </w:r>
      <w:r w:rsidRPr="00A87EBB">
        <w:rPr>
          <w:rFonts w:ascii="Times New Roman" w:hAnsi="Times New Roman" w:cs="Times New Roman"/>
          <w:szCs w:val="24"/>
        </w:rPr>
        <w:t xml:space="preserve"> (Dz. U. poz. 2039 oraz z 2004 r. poz. 597) jest zwolnion</w:t>
      </w:r>
      <w:r>
        <w:rPr>
          <w:rFonts w:ascii="Times New Roman" w:hAnsi="Times New Roman" w:cs="Times New Roman"/>
          <w:szCs w:val="24"/>
        </w:rPr>
        <w:t>y</w:t>
      </w:r>
      <w:r w:rsidRPr="00A87EBB">
        <w:rPr>
          <w:rFonts w:ascii="Times New Roman" w:hAnsi="Times New Roman" w:cs="Times New Roman"/>
          <w:szCs w:val="24"/>
        </w:rPr>
        <w:t xml:space="preserve"> z procedury notyfikacji. </w:t>
      </w:r>
    </w:p>
    <w:p w14:paraId="7D674EAE" w14:textId="77777777" w:rsidR="00FF5857" w:rsidRPr="002A5D6A" w:rsidRDefault="00FF5857" w:rsidP="00FF5857">
      <w:pPr>
        <w:suppressAutoHyphens/>
        <w:ind w:firstLine="510"/>
        <w:jc w:val="both"/>
        <w:rPr>
          <w:rFonts w:ascii="Times" w:hAnsi="Times"/>
        </w:rPr>
      </w:pPr>
      <w:r w:rsidRPr="002A5D6A">
        <w:rPr>
          <w:rFonts w:ascii="Times" w:hAnsi="Times"/>
        </w:rPr>
        <w:t xml:space="preserve">W terminie późniejszym notyfikacji technicznej będzie podlegało rozporządzenie wykonawcze wydane na podstawie projektowanego art. 9ca ust. 4 ustawy </w:t>
      </w:r>
      <w:r w:rsidRPr="002A5D6A">
        <w:rPr>
          <w:rFonts w:ascii="Times" w:hAnsi="Times"/>
          <w:i/>
        </w:rPr>
        <w:t xml:space="preserve">o systemie </w:t>
      </w:r>
      <w:r w:rsidRPr="002A5D6A">
        <w:rPr>
          <w:rFonts w:ascii="Times" w:hAnsi="Times"/>
          <w:i/>
        </w:rPr>
        <w:lastRenderedPageBreak/>
        <w:t>monitorowania i kontrolowania jakości paliw</w:t>
      </w:r>
      <w:r w:rsidRPr="002A5D6A">
        <w:rPr>
          <w:rFonts w:ascii="Times" w:hAnsi="Times"/>
        </w:rPr>
        <w:t>. Fakt ten został przewidziany w projekcie przedmiotowego rozporządzenia poprzez wprowadzenie w jego treści przypisu mówiącego o</w:t>
      </w:r>
      <w:r>
        <w:rPr>
          <w:rFonts w:ascii="Times" w:hAnsi="Times"/>
        </w:rPr>
        <w:t> </w:t>
      </w:r>
      <w:r w:rsidRPr="002A5D6A">
        <w:rPr>
          <w:rFonts w:ascii="Times" w:hAnsi="Times"/>
        </w:rPr>
        <w:t>szczegółach planowanej notyfikacji.</w:t>
      </w:r>
    </w:p>
    <w:p w14:paraId="7F4277B9" w14:textId="77777777" w:rsidR="00FF5857" w:rsidRPr="00A87EBB" w:rsidRDefault="00FF5857" w:rsidP="00FF5857">
      <w:pPr>
        <w:pStyle w:val="USTustnpkodeksu"/>
        <w:ind w:firstLine="708"/>
        <w:rPr>
          <w:rFonts w:ascii="Times New Roman" w:hAnsi="Times New Roman" w:cs="Times New Roman"/>
          <w:szCs w:val="24"/>
        </w:rPr>
      </w:pPr>
      <w:r w:rsidRPr="00A87EBB">
        <w:rPr>
          <w:rFonts w:ascii="Times New Roman" w:hAnsi="Times New Roman" w:cs="Times New Roman"/>
          <w:szCs w:val="24"/>
        </w:rPr>
        <w:t xml:space="preserve">Projektowana ustawa nie wymaga notyfikacji programu pomocowego, zgodnie </w:t>
      </w:r>
      <w:r w:rsidRPr="00A87EBB">
        <w:rPr>
          <w:rFonts w:ascii="Times New Roman" w:hAnsi="Times New Roman" w:cs="Times New Roman"/>
          <w:szCs w:val="24"/>
        </w:rPr>
        <w:br/>
        <w:t xml:space="preserve">z przepisami ustawy z dnia 30 kwietnia 2004 r. </w:t>
      </w:r>
      <w:r w:rsidRPr="00A87EBB">
        <w:rPr>
          <w:rFonts w:ascii="Times New Roman" w:hAnsi="Times New Roman" w:cs="Times New Roman"/>
          <w:i/>
          <w:szCs w:val="24"/>
        </w:rPr>
        <w:t>o postępowaniu w sprawach dotyczących pomocy publicznej</w:t>
      </w:r>
      <w:r w:rsidRPr="00A87EBB">
        <w:rPr>
          <w:rFonts w:ascii="Times New Roman" w:hAnsi="Times New Roman" w:cs="Times New Roman"/>
          <w:szCs w:val="24"/>
        </w:rPr>
        <w:t xml:space="preserve"> (Dz. U. z 2016 r., poz. 1808, z późn. zm.). </w:t>
      </w:r>
    </w:p>
    <w:p w14:paraId="33F7E0A1" w14:textId="68AC91CE" w:rsidR="00FF5857" w:rsidRPr="00A87EBB" w:rsidRDefault="00FF5857" w:rsidP="00FF5857">
      <w:pPr>
        <w:pStyle w:val="NIEARTTEKSTtekstnieartykuowanynppodstprawnarozplubpreambua"/>
        <w:ind w:firstLine="708"/>
        <w:rPr>
          <w:rFonts w:ascii="Times New Roman" w:hAnsi="Times New Roman" w:cs="Times New Roman"/>
        </w:rPr>
      </w:pPr>
      <w:r w:rsidRPr="00A87EBB">
        <w:rPr>
          <w:rFonts w:ascii="Times New Roman" w:hAnsi="Times New Roman" w:cs="Times New Roman"/>
        </w:rPr>
        <w:t>Projektowana ustawa zosta</w:t>
      </w:r>
      <w:r>
        <w:rPr>
          <w:rFonts w:ascii="Times New Roman" w:hAnsi="Times New Roman" w:cs="Times New Roman"/>
        </w:rPr>
        <w:t>ła</w:t>
      </w:r>
      <w:r w:rsidRPr="00A87EBB">
        <w:rPr>
          <w:rFonts w:ascii="Times New Roman" w:hAnsi="Times New Roman" w:cs="Times New Roman"/>
        </w:rPr>
        <w:t xml:space="preserve"> udostępniona w Biuletynie Informacji Publicznej Rządowego Centrum Legislacji, zgodnie z § 52 uchwały </w:t>
      </w:r>
      <w:r w:rsidR="00F95D50">
        <w:rPr>
          <w:rFonts w:ascii="Times New Roman" w:hAnsi="Times New Roman" w:cs="Times New Roman"/>
        </w:rPr>
        <w:t>n</w:t>
      </w:r>
      <w:r w:rsidRPr="00A87EBB">
        <w:rPr>
          <w:rFonts w:ascii="Times New Roman" w:hAnsi="Times New Roman" w:cs="Times New Roman"/>
        </w:rPr>
        <w:t xml:space="preserve">r 190 Rady Ministrów z dnia </w:t>
      </w:r>
      <w:r w:rsidR="00F95D50">
        <w:rPr>
          <w:rFonts w:ascii="Times New Roman" w:hAnsi="Times New Roman" w:cs="Times New Roman"/>
        </w:rPr>
        <w:t>29 </w:t>
      </w:r>
      <w:r w:rsidRPr="00A87EBB">
        <w:rPr>
          <w:rFonts w:ascii="Times New Roman" w:hAnsi="Times New Roman" w:cs="Times New Roman"/>
        </w:rPr>
        <w:t xml:space="preserve">października 2013 r. – </w:t>
      </w:r>
      <w:r w:rsidRPr="0090765C">
        <w:rPr>
          <w:rFonts w:ascii="Times New Roman" w:hAnsi="Times New Roman" w:cs="Times New Roman"/>
          <w:i/>
        </w:rPr>
        <w:t>Regulamin pracy Rady Ministrów</w:t>
      </w:r>
      <w:r w:rsidRPr="00A87EBB">
        <w:rPr>
          <w:rFonts w:ascii="Times New Roman" w:hAnsi="Times New Roman" w:cs="Times New Roman"/>
        </w:rPr>
        <w:t xml:space="preserve"> (M.P. </w:t>
      </w:r>
      <w:r>
        <w:rPr>
          <w:rFonts w:ascii="Times New Roman" w:hAnsi="Times New Roman" w:cs="Times New Roman"/>
        </w:rPr>
        <w:t xml:space="preserve">z 2016 r. </w:t>
      </w:r>
      <w:r w:rsidRPr="00A87EBB">
        <w:rPr>
          <w:rFonts w:ascii="Times New Roman" w:hAnsi="Times New Roman" w:cs="Times New Roman"/>
        </w:rPr>
        <w:t xml:space="preserve">poz. </w:t>
      </w:r>
      <w:r>
        <w:rPr>
          <w:rFonts w:ascii="Times New Roman" w:hAnsi="Times New Roman" w:cs="Times New Roman"/>
        </w:rPr>
        <w:t>1006</w:t>
      </w:r>
      <w:r w:rsidR="00F95D50">
        <w:rPr>
          <w:rFonts w:ascii="Times New Roman" w:hAnsi="Times New Roman" w:cs="Times New Roman"/>
        </w:rPr>
        <w:t>,</w:t>
      </w:r>
      <w:r>
        <w:rPr>
          <w:rFonts w:ascii="Times New Roman" w:hAnsi="Times New Roman" w:cs="Times New Roman"/>
        </w:rPr>
        <w:t xml:space="preserve"> z późn. zm.</w:t>
      </w:r>
      <w:r w:rsidRPr="00A87EBB">
        <w:rPr>
          <w:rFonts w:ascii="Times New Roman" w:hAnsi="Times New Roman" w:cs="Times New Roman"/>
        </w:rPr>
        <w:t xml:space="preserve">) oraz zgodnie z przepisami ustawy z dnia 7 lipca 2005 r. </w:t>
      </w:r>
      <w:r w:rsidRPr="0090765C">
        <w:rPr>
          <w:rFonts w:ascii="Times New Roman" w:hAnsi="Times New Roman" w:cs="Times New Roman"/>
          <w:i/>
        </w:rPr>
        <w:t>o działalności lobbingowej w procesie stanowienia prawa</w:t>
      </w:r>
      <w:r w:rsidRPr="00A87EBB">
        <w:rPr>
          <w:rFonts w:ascii="Times New Roman" w:hAnsi="Times New Roman" w:cs="Times New Roman"/>
        </w:rPr>
        <w:t xml:space="preserve"> (Dz. U. </w:t>
      </w:r>
      <w:r>
        <w:rPr>
          <w:rFonts w:ascii="Times New Roman" w:hAnsi="Times New Roman" w:cs="Times New Roman"/>
        </w:rPr>
        <w:t>z 2017 r. poz. 248)</w:t>
      </w:r>
      <w:r w:rsidRPr="00A87EBB">
        <w:rPr>
          <w:rFonts w:ascii="Times New Roman" w:hAnsi="Times New Roman" w:cs="Times New Roman"/>
        </w:rPr>
        <w:t>. W Biuletynie Informacji Publicznej Rządowego Centrum Legislacji zamieszczone zosta</w:t>
      </w:r>
      <w:r>
        <w:rPr>
          <w:rFonts w:ascii="Times New Roman" w:hAnsi="Times New Roman" w:cs="Times New Roman"/>
        </w:rPr>
        <w:t>ły</w:t>
      </w:r>
      <w:r w:rsidRPr="00A87EBB">
        <w:rPr>
          <w:rFonts w:ascii="Times New Roman" w:hAnsi="Times New Roman" w:cs="Times New Roman"/>
        </w:rPr>
        <w:t xml:space="preserve"> także zgłoszenia zainteresowania pracami nad projektem ustawy.</w:t>
      </w:r>
    </w:p>
    <w:p w14:paraId="47715408" w14:textId="77777777" w:rsidR="00FF5857" w:rsidRPr="00A87EBB" w:rsidRDefault="00FF5857" w:rsidP="00FF5857">
      <w:pPr>
        <w:pStyle w:val="USTustnpkodeksu"/>
        <w:ind w:left="340" w:firstLine="368"/>
        <w:rPr>
          <w:rFonts w:ascii="Times New Roman" w:hAnsi="Times New Roman" w:cs="Times New Roman"/>
          <w:szCs w:val="24"/>
        </w:rPr>
      </w:pPr>
      <w:r w:rsidRPr="00A87EBB">
        <w:rPr>
          <w:rFonts w:ascii="Times New Roman" w:hAnsi="Times New Roman" w:cs="Times New Roman"/>
          <w:szCs w:val="24"/>
        </w:rPr>
        <w:t>Projektowana ustawa jest zgo</w:t>
      </w:r>
      <w:r>
        <w:rPr>
          <w:rFonts w:ascii="Times New Roman" w:hAnsi="Times New Roman" w:cs="Times New Roman"/>
          <w:szCs w:val="24"/>
        </w:rPr>
        <w:t>dna z prawem Unii Europejskiej.</w:t>
      </w:r>
    </w:p>
    <w:p w14:paraId="61B1A50D" w14:textId="77777777" w:rsidR="00FF5857" w:rsidRDefault="00FF5857" w:rsidP="00FF5857">
      <w:pPr>
        <w:pStyle w:val="USTustnpkodeksu"/>
        <w:ind w:firstLine="708"/>
        <w:rPr>
          <w:rFonts w:ascii="Times New Roman" w:hAnsi="Times New Roman"/>
          <w:szCs w:val="24"/>
        </w:rPr>
      </w:pPr>
      <w:r w:rsidRPr="00A87EBB">
        <w:rPr>
          <w:rFonts w:ascii="Times New Roman" w:eastAsia="Calibri" w:hAnsi="Times New Roman" w:cs="Times New Roman"/>
          <w:bCs w:val="0"/>
          <w:szCs w:val="24"/>
        </w:rPr>
        <w:t>Nie przewiduje się znaczącego wpływu projektowanej regulacji na sektor mikro-, małych i średnich przedsiębiorstw. Ustawa nie wprowadza nowych</w:t>
      </w:r>
      <w:r>
        <w:rPr>
          <w:rFonts w:ascii="Times New Roman" w:eastAsia="Calibri" w:hAnsi="Times New Roman" w:cs="Times New Roman"/>
          <w:bCs w:val="0"/>
          <w:szCs w:val="24"/>
        </w:rPr>
        <w:t>,</w:t>
      </w:r>
      <w:r w:rsidRPr="00A87EBB">
        <w:rPr>
          <w:rFonts w:ascii="Times New Roman" w:eastAsia="Calibri" w:hAnsi="Times New Roman" w:cs="Times New Roman"/>
          <w:bCs w:val="0"/>
          <w:szCs w:val="24"/>
        </w:rPr>
        <w:t xml:space="preserve"> dodatkowych obowiązków na tego typu przedsiębiorstwa</w:t>
      </w:r>
      <w:r>
        <w:rPr>
          <w:rFonts w:ascii="Times New Roman" w:eastAsia="Calibri" w:hAnsi="Times New Roman" w:cs="Times New Roman"/>
          <w:bCs w:val="0"/>
          <w:szCs w:val="24"/>
        </w:rPr>
        <w:t xml:space="preserve"> poza obowiązkami już istniejącymi</w:t>
      </w:r>
      <w:r w:rsidRPr="00A87EBB">
        <w:rPr>
          <w:rFonts w:ascii="Times New Roman" w:eastAsia="Calibri" w:hAnsi="Times New Roman" w:cs="Times New Roman"/>
          <w:bCs w:val="0"/>
          <w:szCs w:val="24"/>
        </w:rPr>
        <w:t xml:space="preserve">. </w:t>
      </w:r>
    </w:p>
    <w:p w14:paraId="373B509F" w14:textId="30004C35" w:rsidR="004D0657" w:rsidRPr="00F95D50" w:rsidRDefault="00FF5857" w:rsidP="00F95D50">
      <w:pPr>
        <w:pStyle w:val="USTustnpkodeksu"/>
        <w:ind w:firstLine="708"/>
        <w:rPr>
          <w:rFonts w:ascii="Times New Roman" w:eastAsia="Calibri" w:hAnsi="Times New Roman"/>
          <w:szCs w:val="24"/>
        </w:rPr>
      </w:pPr>
      <w:r w:rsidRPr="00A87EBB">
        <w:rPr>
          <w:rFonts w:ascii="Times New Roman" w:hAnsi="Times New Roman"/>
          <w:szCs w:val="24"/>
        </w:rPr>
        <w:t xml:space="preserve">Ustawa wejdzie w życie z dniem 1 stycznia 2020 r., </w:t>
      </w:r>
      <w:r w:rsidRPr="002B2D6D">
        <w:rPr>
          <w:rFonts w:ascii="Times New Roman" w:hAnsi="Times New Roman"/>
          <w:szCs w:val="24"/>
        </w:rPr>
        <w:t>z wyjątkiem</w:t>
      </w:r>
      <w:r>
        <w:rPr>
          <w:rFonts w:ascii="Times New Roman" w:hAnsi="Times New Roman"/>
          <w:szCs w:val="24"/>
        </w:rPr>
        <w:t>: (1)</w:t>
      </w:r>
      <w:r w:rsidRPr="002B2D6D">
        <w:rPr>
          <w:rFonts w:ascii="Times New Roman" w:hAnsi="Times New Roman"/>
          <w:szCs w:val="24"/>
        </w:rPr>
        <w:t xml:space="preserve"> </w:t>
      </w:r>
      <w:r w:rsidRPr="0095015A">
        <w:rPr>
          <w:rFonts w:ascii="Times New Roman" w:hAnsi="Times New Roman"/>
          <w:szCs w:val="24"/>
        </w:rPr>
        <w:t>art. 2</w:t>
      </w:r>
      <w:r>
        <w:rPr>
          <w:rFonts w:ascii="Times New Roman" w:hAnsi="Times New Roman"/>
          <w:szCs w:val="24"/>
        </w:rPr>
        <w:t>8</w:t>
      </w:r>
      <w:r w:rsidRPr="0095015A">
        <w:rPr>
          <w:rFonts w:ascii="Times New Roman" w:hAnsi="Times New Roman"/>
          <w:szCs w:val="24"/>
        </w:rPr>
        <w:t>, który wchodzi w życie z dniem następującym po dniu ogłoszenia</w:t>
      </w:r>
      <w:r>
        <w:rPr>
          <w:rFonts w:ascii="Times New Roman" w:hAnsi="Times New Roman"/>
          <w:szCs w:val="24"/>
        </w:rPr>
        <w:t xml:space="preserve">, (2) </w:t>
      </w:r>
      <w:r w:rsidRPr="002B2D6D">
        <w:rPr>
          <w:rFonts w:ascii="Times New Roman" w:hAnsi="Times New Roman"/>
          <w:szCs w:val="24"/>
        </w:rPr>
        <w:t xml:space="preserve">art. </w:t>
      </w:r>
      <w:r w:rsidRPr="00E15981">
        <w:rPr>
          <w:rFonts w:ascii="Times New Roman" w:hAnsi="Times New Roman"/>
          <w:szCs w:val="24"/>
        </w:rPr>
        <w:t>3</w:t>
      </w:r>
      <w:r w:rsidRPr="002B2D6D">
        <w:rPr>
          <w:rFonts w:ascii="Times New Roman" w:hAnsi="Times New Roman"/>
          <w:szCs w:val="24"/>
        </w:rPr>
        <w:t>, który wejdzie w</w:t>
      </w:r>
      <w:r w:rsidRPr="00E15981">
        <w:rPr>
          <w:rFonts w:ascii="Times New Roman" w:hAnsi="Times New Roman"/>
          <w:szCs w:val="24"/>
        </w:rPr>
        <w:t> </w:t>
      </w:r>
      <w:r>
        <w:rPr>
          <w:rFonts w:ascii="Times New Roman" w:hAnsi="Times New Roman"/>
          <w:szCs w:val="24"/>
        </w:rPr>
        <w:t>życie z dniem 1 lipca</w:t>
      </w:r>
      <w:r w:rsidRPr="002B2D6D">
        <w:rPr>
          <w:rFonts w:ascii="Times New Roman" w:hAnsi="Times New Roman"/>
          <w:szCs w:val="24"/>
        </w:rPr>
        <w:t xml:space="preserve"> 202</w:t>
      </w:r>
      <w:r>
        <w:rPr>
          <w:rFonts w:ascii="Times New Roman" w:hAnsi="Times New Roman"/>
          <w:szCs w:val="24"/>
        </w:rPr>
        <w:t>0 r.</w:t>
      </w:r>
      <w:r w:rsidRPr="00A87EBB">
        <w:rPr>
          <w:rFonts w:ascii="Times New Roman" w:hAnsi="Times New Roman"/>
          <w:szCs w:val="24"/>
        </w:rPr>
        <w:t>,</w:t>
      </w:r>
      <w:r>
        <w:rPr>
          <w:rFonts w:ascii="Times New Roman" w:hAnsi="Times New Roman"/>
          <w:szCs w:val="24"/>
        </w:rPr>
        <w:t xml:space="preserve"> (3) oraz </w:t>
      </w:r>
      <w:r w:rsidRPr="001C793A">
        <w:t>art. 1 pkt 2</w:t>
      </w:r>
      <w:r>
        <w:t>4</w:t>
      </w:r>
      <w:r w:rsidRPr="001C793A">
        <w:t>-2</w:t>
      </w:r>
      <w:r>
        <w:t>6</w:t>
      </w:r>
      <w:r w:rsidRPr="001C793A">
        <w:t xml:space="preserve">, 36, 37 i </w:t>
      </w:r>
      <w:r w:rsidR="00B11625">
        <w:t>pkt</w:t>
      </w:r>
      <w:r>
        <w:t xml:space="preserve"> </w:t>
      </w:r>
      <w:r w:rsidRPr="001C793A">
        <w:t>38 lit. b i e,</w:t>
      </w:r>
      <w:r w:rsidRPr="001C793A">
        <w:rPr>
          <w:rFonts w:ascii="Times New Roman" w:hAnsi="Times New Roman"/>
          <w:szCs w:val="24"/>
        </w:rPr>
        <w:t xml:space="preserve"> art. 6 </w:t>
      </w:r>
      <w:r>
        <w:rPr>
          <w:rFonts w:ascii="Times New Roman" w:hAnsi="Times New Roman"/>
          <w:szCs w:val="24"/>
        </w:rPr>
        <w:t>pkt 1, 3 i 4 oraz</w:t>
      </w:r>
      <w:r w:rsidRPr="001C793A">
        <w:rPr>
          <w:rFonts w:ascii="Times New Roman" w:hAnsi="Times New Roman"/>
          <w:szCs w:val="24"/>
        </w:rPr>
        <w:t xml:space="preserve"> art. 7,</w:t>
      </w:r>
      <w:r>
        <w:rPr>
          <w:rFonts w:ascii="Times New Roman" w:hAnsi="Times New Roman"/>
          <w:szCs w:val="24"/>
        </w:rPr>
        <w:t xml:space="preserve"> które wchodzą w życie po upływie 14 dni od dnia ogłoszenia ustawy w Dzienniku Ustaw, </w:t>
      </w:r>
      <w:r w:rsidRPr="00A87EBB">
        <w:rPr>
          <w:rFonts w:ascii="Times New Roman" w:hAnsi="Times New Roman"/>
          <w:szCs w:val="24"/>
        </w:rPr>
        <w:t>co jest zgodne z przepisami ustawy z</w:t>
      </w:r>
      <w:r>
        <w:rPr>
          <w:rFonts w:ascii="Times New Roman" w:hAnsi="Times New Roman"/>
          <w:szCs w:val="24"/>
        </w:rPr>
        <w:t> </w:t>
      </w:r>
      <w:r w:rsidRPr="00A87EBB">
        <w:rPr>
          <w:rFonts w:ascii="Times New Roman" w:hAnsi="Times New Roman"/>
          <w:szCs w:val="24"/>
        </w:rPr>
        <w:t xml:space="preserve">dnia 20 lipca 2000 r. </w:t>
      </w:r>
      <w:r w:rsidRPr="00A87EBB">
        <w:rPr>
          <w:rFonts w:ascii="Times New Roman" w:hAnsi="Times New Roman"/>
          <w:i/>
          <w:szCs w:val="24"/>
        </w:rPr>
        <w:t>o</w:t>
      </w:r>
      <w:r>
        <w:rPr>
          <w:rFonts w:ascii="Times New Roman" w:hAnsi="Times New Roman"/>
          <w:i/>
          <w:szCs w:val="24"/>
        </w:rPr>
        <w:t> </w:t>
      </w:r>
      <w:r w:rsidRPr="00A87EBB">
        <w:rPr>
          <w:rFonts w:ascii="Times New Roman" w:hAnsi="Times New Roman"/>
          <w:i/>
          <w:szCs w:val="24"/>
        </w:rPr>
        <w:t>ogłaszaniu aktów normatywnych i</w:t>
      </w:r>
      <w:r>
        <w:rPr>
          <w:rFonts w:ascii="Times New Roman" w:hAnsi="Times New Roman"/>
          <w:i/>
          <w:szCs w:val="24"/>
        </w:rPr>
        <w:t> </w:t>
      </w:r>
      <w:r w:rsidRPr="00A87EBB">
        <w:rPr>
          <w:rFonts w:ascii="Times New Roman" w:hAnsi="Times New Roman"/>
          <w:i/>
          <w:szCs w:val="24"/>
        </w:rPr>
        <w:t>niektórych innych aktów prawnych</w:t>
      </w:r>
      <w:r w:rsidRPr="00A87EBB">
        <w:rPr>
          <w:rFonts w:ascii="Times New Roman" w:hAnsi="Times New Roman"/>
          <w:szCs w:val="24"/>
        </w:rPr>
        <w:t xml:space="preserve"> (Dz. U. z 201</w:t>
      </w:r>
      <w:r>
        <w:rPr>
          <w:rFonts w:ascii="Times New Roman" w:hAnsi="Times New Roman"/>
          <w:szCs w:val="24"/>
        </w:rPr>
        <w:t>7</w:t>
      </w:r>
      <w:r w:rsidRPr="00A87EBB">
        <w:rPr>
          <w:rFonts w:ascii="Times New Roman" w:hAnsi="Times New Roman"/>
          <w:szCs w:val="24"/>
        </w:rPr>
        <w:t xml:space="preserve"> r. poz. </w:t>
      </w:r>
      <w:r>
        <w:rPr>
          <w:rFonts w:ascii="Times New Roman" w:hAnsi="Times New Roman"/>
          <w:szCs w:val="24"/>
        </w:rPr>
        <w:t>1523</w:t>
      </w:r>
      <w:r w:rsidRPr="00A87EBB">
        <w:rPr>
          <w:rFonts w:ascii="Times New Roman" w:hAnsi="Times New Roman"/>
          <w:szCs w:val="24"/>
        </w:rPr>
        <w:t xml:space="preserve">, z późn. zm.), jak również z przepisami uchwały </w:t>
      </w:r>
      <w:r w:rsidR="00F95D50">
        <w:rPr>
          <w:rFonts w:ascii="Times New Roman" w:hAnsi="Times New Roman"/>
          <w:szCs w:val="24"/>
        </w:rPr>
        <w:t>n</w:t>
      </w:r>
      <w:r w:rsidRPr="00A87EBB">
        <w:rPr>
          <w:rFonts w:ascii="Times New Roman" w:hAnsi="Times New Roman"/>
          <w:szCs w:val="24"/>
        </w:rPr>
        <w:t xml:space="preserve">r 20 Rady Ministrów z dnia 18 lutego 2014 r. </w:t>
      </w:r>
      <w:r w:rsidRPr="00A87EBB">
        <w:rPr>
          <w:rFonts w:ascii="Times New Roman" w:hAnsi="Times New Roman"/>
          <w:i/>
          <w:szCs w:val="24"/>
        </w:rPr>
        <w:t>w sprawie zaleceń ujednolicenia terminów wejścia w życie niektórych aktów normatywnych</w:t>
      </w:r>
      <w:r w:rsidRPr="00A87EBB">
        <w:rPr>
          <w:rFonts w:ascii="Times New Roman" w:hAnsi="Times New Roman"/>
          <w:szCs w:val="24"/>
        </w:rPr>
        <w:t xml:space="preserve"> (M.</w:t>
      </w:r>
      <w:bookmarkStart w:id="0" w:name="_GoBack"/>
      <w:bookmarkEnd w:id="0"/>
      <w:r w:rsidRPr="00A87EBB">
        <w:rPr>
          <w:rFonts w:ascii="Times New Roman" w:hAnsi="Times New Roman"/>
          <w:szCs w:val="24"/>
        </w:rPr>
        <w:t>P. poz. 205).</w:t>
      </w:r>
      <w:bookmarkStart w:id="1" w:name="Wybór1"/>
      <w:bookmarkEnd w:id="1"/>
    </w:p>
    <w:sectPr w:rsidR="004D0657" w:rsidRPr="00F95D50" w:rsidSect="004D0657">
      <w:headerReference w:type="default" r:id="rId9"/>
      <w:foot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805E0" w14:textId="77777777" w:rsidR="00AF2DAF" w:rsidRDefault="00AF2DAF">
      <w:pPr>
        <w:spacing w:line="240" w:lineRule="auto"/>
      </w:pPr>
      <w:r>
        <w:separator/>
      </w:r>
    </w:p>
  </w:endnote>
  <w:endnote w:type="continuationSeparator" w:id="0">
    <w:p w14:paraId="5F197703" w14:textId="77777777" w:rsidR="00AF2DAF" w:rsidRDefault="00AF2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5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133765"/>
      <w:docPartObj>
        <w:docPartGallery w:val="Page Numbers (Bottom of Page)"/>
        <w:docPartUnique/>
      </w:docPartObj>
    </w:sdtPr>
    <w:sdtEndPr/>
    <w:sdtContent>
      <w:p w14:paraId="3EB475EC" w14:textId="73B8F391" w:rsidR="00F95D50" w:rsidRDefault="00F95D50" w:rsidP="00F95D50">
        <w:pPr>
          <w:pStyle w:val="Stopka"/>
          <w:jc w:val="center"/>
        </w:pPr>
        <w:r>
          <w:fldChar w:fldCharType="begin"/>
        </w:r>
        <w:r>
          <w:instrText>PAGE   \* MERGEFORMAT</w:instrText>
        </w:r>
        <w:r>
          <w:fldChar w:fldCharType="separate"/>
        </w:r>
        <w:r w:rsidR="008D0FC9">
          <w:rPr>
            <w:noProof/>
          </w:rPr>
          <w:t>34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96547" w14:textId="77777777" w:rsidR="00AF2DAF" w:rsidRDefault="00AF2DAF">
      <w:r>
        <w:separator/>
      </w:r>
    </w:p>
  </w:footnote>
  <w:footnote w:type="continuationSeparator" w:id="0">
    <w:p w14:paraId="73EE43A8" w14:textId="77777777" w:rsidR="00AF2DAF" w:rsidRDefault="00AF2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2F61" w14:textId="76A54D12" w:rsidR="000308F2" w:rsidRPr="00B371CC" w:rsidRDefault="000308F2" w:rsidP="004D065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A5790"/>
    <w:multiLevelType w:val="hybridMultilevel"/>
    <w:tmpl w:val="EDB24896"/>
    <w:lvl w:ilvl="0" w:tplc="B832F12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C2862FE"/>
    <w:multiLevelType w:val="hybridMultilevel"/>
    <w:tmpl w:val="D17C04E8"/>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35D56E18"/>
    <w:multiLevelType w:val="hybridMultilevel"/>
    <w:tmpl w:val="9A147408"/>
    <w:lvl w:ilvl="0" w:tplc="C302D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6715337"/>
    <w:multiLevelType w:val="hybridMultilevel"/>
    <w:tmpl w:val="0AE8A964"/>
    <w:lvl w:ilvl="0" w:tplc="94864A34">
      <w:start w:val="1"/>
      <w:numFmt w:val="decimal"/>
      <w:lvlText w:val="%1)"/>
      <w:lvlJc w:val="left"/>
      <w:pPr>
        <w:ind w:left="957" w:hanging="39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380A0891"/>
    <w:multiLevelType w:val="hybridMultilevel"/>
    <w:tmpl w:val="503EE022"/>
    <w:lvl w:ilvl="0" w:tplc="7AA0A84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F750FA1"/>
    <w:multiLevelType w:val="hybridMultilevel"/>
    <w:tmpl w:val="88A25356"/>
    <w:lvl w:ilvl="0" w:tplc="04150017">
      <w:start w:val="1"/>
      <w:numFmt w:val="lowerLetter"/>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6"/>
  </w:num>
  <w:num w:numId="2">
    <w:abstractNumId w:val="5"/>
  </w:num>
  <w:num w:numId="3">
    <w:abstractNumId w:val="0"/>
  </w:num>
  <w:num w:numId="4">
    <w:abstractNumId w:val="1"/>
  </w:num>
  <w:num w:numId="5">
    <w:abstractNumId w:val="3"/>
  </w:num>
  <w:num w:numId="6">
    <w:abstractNumId w:val="4"/>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594"/>
    <w:rsid w:val="00001694"/>
    <w:rsid w:val="000051FA"/>
    <w:rsid w:val="00007959"/>
    <w:rsid w:val="00007E99"/>
    <w:rsid w:val="0001043E"/>
    <w:rsid w:val="00011E2F"/>
    <w:rsid w:val="0001285C"/>
    <w:rsid w:val="00014105"/>
    <w:rsid w:val="00014449"/>
    <w:rsid w:val="00015D59"/>
    <w:rsid w:val="000165F4"/>
    <w:rsid w:val="00016D50"/>
    <w:rsid w:val="00017139"/>
    <w:rsid w:val="00020D4F"/>
    <w:rsid w:val="00021C3B"/>
    <w:rsid w:val="00021E88"/>
    <w:rsid w:val="00024328"/>
    <w:rsid w:val="00024A70"/>
    <w:rsid w:val="000308F2"/>
    <w:rsid w:val="0003150D"/>
    <w:rsid w:val="000335AC"/>
    <w:rsid w:val="00036883"/>
    <w:rsid w:val="0003746B"/>
    <w:rsid w:val="000450CC"/>
    <w:rsid w:val="00047817"/>
    <w:rsid w:val="000501FA"/>
    <w:rsid w:val="00050AB7"/>
    <w:rsid w:val="0005104F"/>
    <w:rsid w:val="00051243"/>
    <w:rsid w:val="0005173A"/>
    <w:rsid w:val="000549BF"/>
    <w:rsid w:val="000550A2"/>
    <w:rsid w:val="000555F0"/>
    <w:rsid w:val="00062597"/>
    <w:rsid w:val="0006772C"/>
    <w:rsid w:val="00067B1F"/>
    <w:rsid w:val="00071244"/>
    <w:rsid w:val="00071684"/>
    <w:rsid w:val="00071FEC"/>
    <w:rsid w:val="00072907"/>
    <w:rsid w:val="00082119"/>
    <w:rsid w:val="000837A7"/>
    <w:rsid w:val="00084976"/>
    <w:rsid w:val="00085430"/>
    <w:rsid w:val="00085885"/>
    <w:rsid w:val="000863DF"/>
    <w:rsid w:val="00086B02"/>
    <w:rsid w:val="00086C11"/>
    <w:rsid w:val="00092BC8"/>
    <w:rsid w:val="00092D86"/>
    <w:rsid w:val="0009377F"/>
    <w:rsid w:val="0009395D"/>
    <w:rsid w:val="0009614D"/>
    <w:rsid w:val="00097109"/>
    <w:rsid w:val="000A41BA"/>
    <w:rsid w:val="000A4D78"/>
    <w:rsid w:val="000B1D40"/>
    <w:rsid w:val="000B2B2E"/>
    <w:rsid w:val="000B2C5A"/>
    <w:rsid w:val="000B38A1"/>
    <w:rsid w:val="000B69A2"/>
    <w:rsid w:val="000B76FC"/>
    <w:rsid w:val="000B7FEC"/>
    <w:rsid w:val="000C0D81"/>
    <w:rsid w:val="000C1E45"/>
    <w:rsid w:val="000D0049"/>
    <w:rsid w:val="000D02A3"/>
    <w:rsid w:val="000D10F0"/>
    <w:rsid w:val="000D286B"/>
    <w:rsid w:val="000D7515"/>
    <w:rsid w:val="000D7AA8"/>
    <w:rsid w:val="000E0719"/>
    <w:rsid w:val="000E0E0F"/>
    <w:rsid w:val="000E1761"/>
    <w:rsid w:val="000E2AFF"/>
    <w:rsid w:val="000E2BC3"/>
    <w:rsid w:val="000E3FE5"/>
    <w:rsid w:val="000F1F95"/>
    <w:rsid w:val="000F5EB2"/>
    <w:rsid w:val="000F73AB"/>
    <w:rsid w:val="001008E4"/>
    <w:rsid w:val="00102463"/>
    <w:rsid w:val="0010347F"/>
    <w:rsid w:val="0010370A"/>
    <w:rsid w:val="00103F33"/>
    <w:rsid w:val="00105270"/>
    <w:rsid w:val="00115452"/>
    <w:rsid w:val="00115653"/>
    <w:rsid w:val="00116D78"/>
    <w:rsid w:val="001229E6"/>
    <w:rsid w:val="00131EF2"/>
    <w:rsid w:val="00132639"/>
    <w:rsid w:val="00134B00"/>
    <w:rsid w:val="0013635C"/>
    <w:rsid w:val="001405E8"/>
    <w:rsid w:val="00141A8C"/>
    <w:rsid w:val="0014285C"/>
    <w:rsid w:val="00142B62"/>
    <w:rsid w:val="001449F2"/>
    <w:rsid w:val="00147C3B"/>
    <w:rsid w:val="001536B9"/>
    <w:rsid w:val="00156CCD"/>
    <w:rsid w:val="00160E0D"/>
    <w:rsid w:val="001677F4"/>
    <w:rsid w:val="001678E0"/>
    <w:rsid w:val="0017117F"/>
    <w:rsid w:val="00174AB2"/>
    <w:rsid w:val="00181E9C"/>
    <w:rsid w:val="00182663"/>
    <w:rsid w:val="001852B0"/>
    <w:rsid w:val="00186404"/>
    <w:rsid w:val="001867D8"/>
    <w:rsid w:val="001869B9"/>
    <w:rsid w:val="001901BE"/>
    <w:rsid w:val="00191F3B"/>
    <w:rsid w:val="00194503"/>
    <w:rsid w:val="001976E9"/>
    <w:rsid w:val="001A47D6"/>
    <w:rsid w:val="001A49B2"/>
    <w:rsid w:val="001B1F0E"/>
    <w:rsid w:val="001B2584"/>
    <w:rsid w:val="001B5907"/>
    <w:rsid w:val="001B59A0"/>
    <w:rsid w:val="001B5C71"/>
    <w:rsid w:val="001C0485"/>
    <w:rsid w:val="001C1C74"/>
    <w:rsid w:val="001C5532"/>
    <w:rsid w:val="001C6CFC"/>
    <w:rsid w:val="001C7BCC"/>
    <w:rsid w:val="001D1DC3"/>
    <w:rsid w:val="001D4FC4"/>
    <w:rsid w:val="001D5E71"/>
    <w:rsid w:val="001D6399"/>
    <w:rsid w:val="001D773E"/>
    <w:rsid w:val="001E508F"/>
    <w:rsid w:val="001E7283"/>
    <w:rsid w:val="001E743C"/>
    <w:rsid w:val="001F7FFB"/>
    <w:rsid w:val="002006BD"/>
    <w:rsid w:val="002009BB"/>
    <w:rsid w:val="00204937"/>
    <w:rsid w:val="00204EF4"/>
    <w:rsid w:val="0020504B"/>
    <w:rsid w:val="00205F43"/>
    <w:rsid w:val="00207104"/>
    <w:rsid w:val="002137E8"/>
    <w:rsid w:val="00213801"/>
    <w:rsid w:val="00215090"/>
    <w:rsid w:val="0022243D"/>
    <w:rsid w:val="002342E8"/>
    <w:rsid w:val="002343BC"/>
    <w:rsid w:val="00235500"/>
    <w:rsid w:val="00235AA0"/>
    <w:rsid w:val="00236E8A"/>
    <w:rsid w:val="0024260C"/>
    <w:rsid w:val="002431C3"/>
    <w:rsid w:val="0024370A"/>
    <w:rsid w:val="00243A3E"/>
    <w:rsid w:val="00245DEF"/>
    <w:rsid w:val="00245E1B"/>
    <w:rsid w:val="00245EEF"/>
    <w:rsid w:val="00246E77"/>
    <w:rsid w:val="00250125"/>
    <w:rsid w:val="00250464"/>
    <w:rsid w:val="00251587"/>
    <w:rsid w:val="00251988"/>
    <w:rsid w:val="00251ABF"/>
    <w:rsid w:val="002552CF"/>
    <w:rsid w:val="00256C06"/>
    <w:rsid w:val="002579DC"/>
    <w:rsid w:val="002612CB"/>
    <w:rsid w:val="002629E9"/>
    <w:rsid w:val="00263901"/>
    <w:rsid w:val="00263E2B"/>
    <w:rsid w:val="00264024"/>
    <w:rsid w:val="00264D90"/>
    <w:rsid w:val="00265C6C"/>
    <w:rsid w:val="00265CED"/>
    <w:rsid w:val="002673E3"/>
    <w:rsid w:val="002719B9"/>
    <w:rsid w:val="00275AA7"/>
    <w:rsid w:val="002760F5"/>
    <w:rsid w:val="002803CB"/>
    <w:rsid w:val="00286115"/>
    <w:rsid w:val="002878D5"/>
    <w:rsid w:val="00287E94"/>
    <w:rsid w:val="0029194E"/>
    <w:rsid w:val="00295030"/>
    <w:rsid w:val="0029569C"/>
    <w:rsid w:val="00295E8B"/>
    <w:rsid w:val="002968DE"/>
    <w:rsid w:val="002A075D"/>
    <w:rsid w:val="002A23B4"/>
    <w:rsid w:val="002A2EAB"/>
    <w:rsid w:val="002B0AB1"/>
    <w:rsid w:val="002B2522"/>
    <w:rsid w:val="002B685C"/>
    <w:rsid w:val="002B6CEF"/>
    <w:rsid w:val="002B7610"/>
    <w:rsid w:val="002C4D7A"/>
    <w:rsid w:val="002C4DC9"/>
    <w:rsid w:val="002C7A5D"/>
    <w:rsid w:val="002D071A"/>
    <w:rsid w:val="002D54FF"/>
    <w:rsid w:val="002D629A"/>
    <w:rsid w:val="002D67E2"/>
    <w:rsid w:val="002D7447"/>
    <w:rsid w:val="002E03EE"/>
    <w:rsid w:val="002E1ACE"/>
    <w:rsid w:val="002E2704"/>
    <w:rsid w:val="002E461B"/>
    <w:rsid w:val="002E56F0"/>
    <w:rsid w:val="002E63C3"/>
    <w:rsid w:val="002E7FC5"/>
    <w:rsid w:val="002F16B3"/>
    <w:rsid w:val="002F1E69"/>
    <w:rsid w:val="002F2BAF"/>
    <w:rsid w:val="002F6E4B"/>
    <w:rsid w:val="002F796B"/>
    <w:rsid w:val="003000F3"/>
    <w:rsid w:val="00304170"/>
    <w:rsid w:val="00307C86"/>
    <w:rsid w:val="00307F9F"/>
    <w:rsid w:val="00311564"/>
    <w:rsid w:val="0031370F"/>
    <w:rsid w:val="00314AC3"/>
    <w:rsid w:val="00315054"/>
    <w:rsid w:val="00316EC0"/>
    <w:rsid w:val="0032123E"/>
    <w:rsid w:val="00325993"/>
    <w:rsid w:val="003308A0"/>
    <w:rsid w:val="00332A0C"/>
    <w:rsid w:val="00332ECA"/>
    <w:rsid w:val="00333384"/>
    <w:rsid w:val="003340F6"/>
    <w:rsid w:val="00334ECB"/>
    <w:rsid w:val="00336FF7"/>
    <w:rsid w:val="00337727"/>
    <w:rsid w:val="00337752"/>
    <w:rsid w:val="0034041C"/>
    <w:rsid w:val="0034060B"/>
    <w:rsid w:val="003415DC"/>
    <w:rsid w:val="0034175A"/>
    <w:rsid w:val="00341E39"/>
    <w:rsid w:val="0034341A"/>
    <w:rsid w:val="0034577F"/>
    <w:rsid w:val="00346C4F"/>
    <w:rsid w:val="00346EA7"/>
    <w:rsid w:val="0034720E"/>
    <w:rsid w:val="003477F8"/>
    <w:rsid w:val="00350820"/>
    <w:rsid w:val="003511FC"/>
    <w:rsid w:val="00352903"/>
    <w:rsid w:val="0035353B"/>
    <w:rsid w:val="00353761"/>
    <w:rsid w:val="0035382F"/>
    <w:rsid w:val="003559DD"/>
    <w:rsid w:val="00355FF3"/>
    <w:rsid w:val="003569BA"/>
    <w:rsid w:val="00360601"/>
    <w:rsid w:val="00361E2C"/>
    <w:rsid w:val="00362FED"/>
    <w:rsid w:val="00364BBF"/>
    <w:rsid w:val="00364CFA"/>
    <w:rsid w:val="0037253E"/>
    <w:rsid w:val="003739A0"/>
    <w:rsid w:val="003806BE"/>
    <w:rsid w:val="00380970"/>
    <w:rsid w:val="00380973"/>
    <w:rsid w:val="003810FF"/>
    <w:rsid w:val="00381940"/>
    <w:rsid w:val="00382AC6"/>
    <w:rsid w:val="00383DDB"/>
    <w:rsid w:val="003905BE"/>
    <w:rsid w:val="0039370F"/>
    <w:rsid w:val="00394211"/>
    <w:rsid w:val="003943B2"/>
    <w:rsid w:val="00395206"/>
    <w:rsid w:val="00395A61"/>
    <w:rsid w:val="00396E96"/>
    <w:rsid w:val="00397D43"/>
    <w:rsid w:val="003A50C3"/>
    <w:rsid w:val="003A69F9"/>
    <w:rsid w:val="003A78AC"/>
    <w:rsid w:val="003B14E3"/>
    <w:rsid w:val="003B1B6F"/>
    <w:rsid w:val="003B6243"/>
    <w:rsid w:val="003C09A9"/>
    <w:rsid w:val="003C1F63"/>
    <w:rsid w:val="003C3C75"/>
    <w:rsid w:val="003C4410"/>
    <w:rsid w:val="003C4C05"/>
    <w:rsid w:val="003C5642"/>
    <w:rsid w:val="003C5F99"/>
    <w:rsid w:val="003D1E6D"/>
    <w:rsid w:val="003D3340"/>
    <w:rsid w:val="003D7BE4"/>
    <w:rsid w:val="003E102B"/>
    <w:rsid w:val="003E5D3C"/>
    <w:rsid w:val="003E5D90"/>
    <w:rsid w:val="003E6747"/>
    <w:rsid w:val="003E6E86"/>
    <w:rsid w:val="003E720F"/>
    <w:rsid w:val="003F011E"/>
    <w:rsid w:val="003F2688"/>
    <w:rsid w:val="003F70E1"/>
    <w:rsid w:val="003F77DA"/>
    <w:rsid w:val="00402BFD"/>
    <w:rsid w:val="00404364"/>
    <w:rsid w:val="00406271"/>
    <w:rsid w:val="00407920"/>
    <w:rsid w:val="004127E8"/>
    <w:rsid w:val="0041335B"/>
    <w:rsid w:val="00415C93"/>
    <w:rsid w:val="0041632D"/>
    <w:rsid w:val="0041794C"/>
    <w:rsid w:val="00421387"/>
    <w:rsid w:val="0042142C"/>
    <w:rsid w:val="0042288D"/>
    <w:rsid w:val="00425540"/>
    <w:rsid w:val="004259E8"/>
    <w:rsid w:val="00426E65"/>
    <w:rsid w:val="00427480"/>
    <w:rsid w:val="004311D8"/>
    <w:rsid w:val="00431F4E"/>
    <w:rsid w:val="004335E7"/>
    <w:rsid w:val="0044014F"/>
    <w:rsid w:val="0044150C"/>
    <w:rsid w:val="00441A30"/>
    <w:rsid w:val="00443C71"/>
    <w:rsid w:val="00443D69"/>
    <w:rsid w:val="00443EC3"/>
    <w:rsid w:val="00444ECA"/>
    <w:rsid w:val="00445AC7"/>
    <w:rsid w:val="004466A9"/>
    <w:rsid w:val="004469E0"/>
    <w:rsid w:val="00450FCA"/>
    <w:rsid w:val="00451611"/>
    <w:rsid w:val="00453531"/>
    <w:rsid w:val="004549A9"/>
    <w:rsid w:val="00454F2D"/>
    <w:rsid w:val="00456819"/>
    <w:rsid w:val="00456EED"/>
    <w:rsid w:val="00457A47"/>
    <w:rsid w:val="00457DF7"/>
    <w:rsid w:val="004624F1"/>
    <w:rsid w:val="004625E6"/>
    <w:rsid w:val="004642FA"/>
    <w:rsid w:val="00465548"/>
    <w:rsid w:val="004667B4"/>
    <w:rsid w:val="004675D9"/>
    <w:rsid w:val="00474AAF"/>
    <w:rsid w:val="00475EFC"/>
    <w:rsid w:val="00476A30"/>
    <w:rsid w:val="00477A70"/>
    <w:rsid w:val="004825A4"/>
    <w:rsid w:val="00483684"/>
    <w:rsid w:val="004847F1"/>
    <w:rsid w:val="00485131"/>
    <w:rsid w:val="004871E3"/>
    <w:rsid w:val="0049017E"/>
    <w:rsid w:val="004901B5"/>
    <w:rsid w:val="004904D5"/>
    <w:rsid w:val="00492A59"/>
    <w:rsid w:val="00495407"/>
    <w:rsid w:val="00495BF4"/>
    <w:rsid w:val="004A22B6"/>
    <w:rsid w:val="004A3E2D"/>
    <w:rsid w:val="004A52C9"/>
    <w:rsid w:val="004B0220"/>
    <w:rsid w:val="004B1537"/>
    <w:rsid w:val="004B1724"/>
    <w:rsid w:val="004B3BC2"/>
    <w:rsid w:val="004B4CE1"/>
    <w:rsid w:val="004B5D31"/>
    <w:rsid w:val="004B6102"/>
    <w:rsid w:val="004C7CFB"/>
    <w:rsid w:val="004D0657"/>
    <w:rsid w:val="004D20D5"/>
    <w:rsid w:val="004D7248"/>
    <w:rsid w:val="004E2EE2"/>
    <w:rsid w:val="004E3DFA"/>
    <w:rsid w:val="004E5990"/>
    <w:rsid w:val="004E713E"/>
    <w:rsid w:val="004F053A"/>
    <w:rsid w:val="004F145E"/>
    <w:rsid w:val="004F3D82"/>
    <w:rsid w:val="004F4A53"/>
    <w:rsid w:val="004F691B"/>
    <w:rsid w:val="004F7DCA"/>
    <w:rsid w:val="005110FF"/>
    <w:rsid w:val="00511109"/>
    <w:rsid w:val="0051281E"/>
    <w:rsid w:val="00515343"/>
    <w:rsid w:val="005223CB"/>
    <w:rsid w:val="00525C32"/>
    <w:rsid w:val="00526254"/>
    <w:rsid w:val="00526269"/>
    <w:rsid w:val="00526EAB"/>
    <w:rsid w:val="00537561"/>
    <w:rsid w:val="00537EE1"/>
    <w:rsid w:val="005419B3"/>
    <w:rsid w:val="00543578"/>
    <w:rsid w:val="005457BE"/>
    <w:rsid w:val="005468A1"/>
    <w:rsid w:val="0055030D"/>
    <w:rsid w:val="00552B76"/>
    <w:rsid w:val="00556ED5"/>
    <w:rsid w:val="00560851"/>
    <w:rsid w:val="005625FB"/>
    <w:rsid w:val="00562DCB"/>
    <w:rsid w:val="00565F9D"/>
    <w:rsid w:val="00567112"/>
    <w:rsid w:val="00567A5F"/>
    <w:rsid w:val="0057076D"/>
    <w:rsid w:val="00570851"/>
    <w:rsid w:val="005735E2"/>
    <w:rsid w:val="00573F80"/>
    <w:rsid w:val="005740DC"/>
    <w:rsid w:val="00574611"/>
    <w:rsid w:val="00574DEB"/>
    <w:rsid w:val="00574F70"/>
    <w:rsid w:val="00575447"/>
    <w:rsid w:val="00575836"/>
    <w:rsid w:val="00576C73"/>
    <w:rsid w:val="00581726"/>
    <w:rsid w:val="00581B4D"/>
    <w:rsid w:val="005830C5"/>
    <w:rsid w:val="005833F7"/>
    <w:rsid w:val="005844C3"/>
    <w:rsid w:val="0058642F"/>
    <w:rsid w:val="005901FE"/>
    <w:rsid w:val="005925D5"/>
    <w:rsid w:val="00595CE1"/>
    <w:rsid w:val="005968D7"/>
    <w:rsid w:val="005A3057"/>
    <w:rsid w:val="005A3FF9"/>
    <w:rsid w:val="005A5DB9"/>
    <w:rsid w:val="005A77A9"/>
    <w:rsid w:val="005A7A94"/>
    <w:rsid w:val="005B15AE"/>
    <w:rsid w:val="005B3F81"/>
    <w:rsid w:val="005B5693"/>
    <w:rsid w:val="005B64CE"/>
    <w:rsid w:val="005B66BF"/>
    <w:rsid w:val="005B66D7"/>
    <w:rsid w:val="005C0FF1"/>
    <w:rsid w:val="005C290C"/>
    <w:rsid w:val="005C2DD7"/>
    <w:rsid w:val="005C4729"/>
    <w:rsid w:val="005C4FF2"/>
    <w:rsid w:val="005C59EF"/>
    <w:rsid w:val="005C61CA"/>
    <w:rsid w:val="005C6242"/>
    <w:rsid w:val="005C71CE"/>
    <w:rsid w:val="005D00FD"/>
    <w:rsid w:val="005D0A47"/>
    <w:rsid w:val="005D101E"/>
    <w:rsid w:val="005D7DC0"/>
    <w:rsid w:val="005E364D"/>
    <w:rsid w:val="005E3A00"/>
    <w:rsid w:val="005E5230"/>
    <w:rsid w:val="005E6AD1"/>
    <w:rsid w:val="005E6B80"/>
    <w:rsid w:val="005F02A9"/>
    <w:rsid w:val="005F1515"/>
    <w:rsid w:val="005F3031"/>
    <w:rsid w:val="005F74CF"/>
    <w:rsid w:val="00600F55"/>
    <w:rsid w:val="006016A8"/>
    <w:rsid w:val="0060211C"/>
    <w:rsid w:val="0060435F"/>
    <w:rsid w:val="00610FCF"/>
    <w:rsid w:val="00611A3F"/>
    <w:rsid w:val="0061205F"/>
    <w:rsid w:val="0061486D"/>
    <w:rsid w:val="00620A4D"/>
    <w:rsid w:val="006227AF"/>
    <w:rsid w:val="00626DA8"/>
    <w:rsid w:val="00630057"/>
    <w:rsid w:val="006375B6"/>
    <w:rsid w:val="00637D8D"/>
    <w:rsid w:val="0064038A"/>
    <w:rsid w:val="00643A6E"/>
    <w:rsid w:val="006443CD"/>
    <w:rsid w:val="0064681D"/>
    <w:rsid w:val="00651336"/>
    <w:rsid w:val="00652F83"/>
    <w:rsid w:val="00655923"/>
    <w:rsid w:val="00660235"/>
    <w:rsid w:val="006608DE"/>
    <w:rsid w:val="00663AB7"/>
    <w:rsid w:val="00672A88"/>
    <w:rsid w:val="00673761"/>
    <w:rsid w:val="00675726"/>
    <w:rsid w:val="00677181"/>
    <w:rsid w:val="00677E5D"/>
    <w:rsid w:val="00680366"/>
    <w:rsid w:val="00683469"/>
    <w:rsid w:val="006928F7"/>
    <w:rsid w:val="006967F9"/>
    <w:rsid w:val="00697A39"/>
    <w:rsid w:val="006A1224"/>
    <w:rsid w:val="006A4F07"/>
    <w:rsid w:val="006A4FAE"/>
    <w:rsid w:val="006B1FC7"/>
    <w:rsid w:val="006B2C87"/>
    <w:rsid w:val="006B2EBA"/>
    <w:rsid w:val="006C3D4C"/>
    <w:rsid w:val="006C4AE2"/>
    <w:rsid w:val="006C7F64"/>
    <w:rsid w:val="006D109D"/>
    <w:rsid w:val="006D1666"/>
    <w:rsid w:val="006D4E0B"/>
    <w:rsid w:val="006D51C6"/>
    <w:rsid w:val="006D7B99"/>
    <w:rsid w:val="006E15B9"/>
    <w:rsid w:val="006E1D56"/>
    <w:rsid w:val="006E251B"/>
    <w:rsid w:val="006E2EA7"/>
    <w:rsid w:val="006E3183"/>
    <w:rsid w:val="006E542D"/>
    <w:rsid w:val="006E5E2E"/>
    <w:rsid w:val="006E5F97"/>
    <w:rsid w:val="006E65E3"/>
    <w:rsid w:val="006F262B"/>
    <w:rsid w:val="006F2837"/>
    <w:rsid w:val="006F2A15"/>
    <w:rsid w:val="006F543B"/>
    <w:rsid w:val="00700F44"/>
    <w:rsid w:val="00701221"/>
    <w:rsid w:val="0070142D"/>
    <w:rsid w:val="0070165A"/>
    <w:rsid w:val="007044F4"/>
    <w:rsid w:val="00705CCF"/>
    <w:rsid w:val="00706502"/>
    <w:rsid w:val="00706FE2"/>
    <w:rsid w:val="00707FBD"/>
    <w:rsid w:val="00710B09"/>
    <w:rsid w:val="007118D1"/>
    <w:rsid w:val="00714E31"/>
    <w:rsid w:val="007177C4"/>
    <w:rsid w:val="007210DC"/>
    <w:rsid w:val="007225CE"/>
    <w:rsid w:val="007250B6"/>
    <w:rsid w:val="007266C7"/>
    <w:rsid w:val="007356C2"/>
    <w:rsid w:val="00736113"/>
    <w:rsid w:val="00737791"/>
    <w:rsid w:val="00740774"/>
    <w:rsid w:val="007409D5"/>
    <w:rsid w:val="00742B2E"/>
    <w:rsid w:val="00742CE6"/>
    <w:rsid w:val="007432B3"/>
    <w:rsid w:val="007459E3"/>
    <w:rsid w:val="00746687"/>
    <w:rsid w:val="00746EE7"/>
    <w:rsid w:val="0075297A"/>
    <w:rsid w:val="00753527"/>
    <w:rsid w:val="00756853"/>
    <w:rsid w:val="007625FE"/>
    <w:rsid w:val="00763898"/>
    <w:rsid w:val="00764B93"/>
    <w:rsid w:val="007650C5"/>
    <w:rsid w:val="00765693"/>
    <w:rsid w:val="00771459"/>
    <w:rsid w:val="00772389"/>
    <w:rsid w:val="00773847"/>
    <w:rsid w:val="007754B9"/>
    <w:rsid w:val="00776069"/>
    <w:rsid w:val="00776362"/>
    <w:rsid w:val="00777365"/>
    <w:rsid w:val="00783290"/>
    <w:rsid w:val="00783A9F"/>
    <w:rsid w:val="007844EC"/>
    <w:rsid w:val="0078495B"/>
    <w:rsid w:val="0078522E"/>
    <w:rsid w:val="00785935"/>
    <w:rsid w:val="00787AF2"/>
    <w:rsid w:val="00792CE6"/>
    <w:rsid w:val="00792FAD"/>
    <w:rsid w:val="00793A7F"/>
    <w:rsid w:val="007968C1"/>
    <w:rsid w:val="00796CCC"/>
    <w:rsid w:val="007A0311"/>
    <w:rsid w:val="007A1408"/>
    <w:rsid w:val="007A1718"/>
    <w:rsid w:val="007A24A1"/>
    <w:rsid w:val="007A2755"/>
    <w:rsid w:val="007A35E1"/>
    <w:rsid w:val="007A4D1D"/>
    <w:rsid w:val="007A4DFF"/>
    <w:rsid w:val="007A5401"/>
    <w:rsid w:val="007A7606"/>
    <w:rsid w:val="007B1029"/>
    <w:rsid w:val="007B15A5"/>
    <w:rsid w:val="007B3F95"/>
    <w:rsid w:val="007B59A7"/>
    <w:rsid w:val="007B6BAA"/>
    <w:rsid w:val="007B70EB"/>
    <w:rsid w:val="007B7816"/>
    <w:rsid w:val="007C2A32"/>
    <w:rsid w:val="007C3E68"/>
    <w:rsid w:val="007C3E6B"/>
    <w:rsid w:val="007C6216"/>
    <w:rsid w:val="007C6C5C"/>
    <w:rsid w:val="007C7472"/>
    <w:rsid w:val="007C78BC"/>
    <w:rsid w:val="007D0B39"/>
    <w:rsid w:val="007D44D6"/>
    <w:rsid w:val="007D4819"/>
    <w:rsid w:val="007D5BC9"/>
    <w:rsid w:val="007E561E"/>
    <w:rsid w:val="007E5D45"/>
    <w:rsid w:val="007F0545"/>
    <w:rsid w:val="007F3569"/>
    <w:rsid w:val="007F415D"/>
    <w:rsid w:val="007F442D"/>
    <w:rsid w:val="007F78F6"/>
    <w:rsid w:val="008015AF"/>
    <w:rsid w:val="00802080"/>
    <w:rsid w:val="008024F4"/>
    <w:rsid w:val="00803760"/>
    <w:rsid w:val="00803963"/>
    <w:rsid w:val="0080588F"/>
    <w:rsid w:val="00806AD1"/>
    <w:rsid w:val="00810400"/>
    <w:rsid w:val="0081236C"/>
    <w:rsid w:val="00825E72"/>
    <w:rsid w:val="00833857"/>
    <w:rsid w:val="008360B3"/>
    <w:rsid w:val="0083625C"/>
    <w:rsid w:val="0083651B"/>
    <w:rsid w:val="0083680C"/>
    <w:rsid w:val="00836DA8"/>
    <w:rsid w:val="00841A7A"/>
    <w:rsid w:val="00843A4A"/>
    <w:rsid w:val="00846D0E"/>
    <w:rsid w:val="008505B8"/>
    <w:rsid w:val="00855CA3"/>
    <w:rsid w:val="0085663A"/>
    <w:rsid w:val="00861813"/>
    <w:rsid w:val="00862D6B"/>
    <w:rsid w:val="00867852"/>
    <w:rsid w:val="0087096E"/>
    <w:rsid w:val="00871461"/>
    <w:rsid w:val="008716F6"/>
    <w:rsid w:val="00871E32"/>
    <w:rsid w:val="008736CB"/>
    <w:rsid w:val="008752C1"/>
    <w:rsid w:val="00876FCF"/>
    <w:rsid w:val="00877409"/>
    <w:rsid w:val="00882BED"/>
    <w:rsid w:val="00885DC1"/>
    <w:rsid w:val="00886084"/>
    <w:rsid w:val="00886DAE"/>
    <w:rsid w:val="00891391"/>
    <w:rsid w:val="008925F4"/>
    <w:rsid w:val="00894AC4"/>
    <w:rsid w:val="008967A8"/>
    <w:rsid w:val="00896872"/>
    <w:rsid w:val="0089748C"/>
    <w:rsid w:val="008A036D"/>
    <w:rsid w:val="008A0613"/>
    <w:rsid w:val="008A0980"/>
    <w:rsid w:val="008A1A35"/>
    <w:rsid w:val="008A3056"/>
    <w:rsid w:val="008A461F"/>
    <w:rsid w:val="008A6C50"/>
    <w:rsid w:val="008B6819"/>
    <w:rsid w:val="008B6E6E"/>
    <w:rsid w:val="008B6E98"/>
    <w:rsid w:val="008C04E8"/>
    <w:rsid w:val="008C11BD"/>
    <w:rsid w:val="008C14F4"/>
    <w:rsid w:val="008C1BBF"/>
    <w:rsid w:val="008C593F"/>
    <w:rsid w:val="008C6363"/>
    <w:rsid w:val="008C64DD"/>
    <w:rsid w:val="008C66BB"/>
    <w:rsid w:val="008D0FC9"/>
    <w:rsid w:val="008D22C5"/>
    <w:rsid w:val="008D3F64"/>
    <w:rsid w:val="008D4B0B"/>
    <w:rsid w:val="008E4419"/>
    <w:rsid w:val="008E50C6"/>
    <w:rsid w:val="008E7317"/>
    <w:rsid w:val="008F0DA8"/>
    <w:rsid w:val="008F2F10"/>
    <w:rsid w:val="008F475A"/>
    <w:rsid w:val="008F4DF5"/>
    <w:rsid w:val="008F51DC"/>
    <w:rsid w:val="008F57A2"/>
    <w:rsid w:val="008F5A79"/>
    <w:rsid w:val="008F6996"/>
    <w:rsid w:val="008F6A12"/>
    <w:rsid w:val="009024C0"/>
    <w:rsid w:val="009028A9"/>
    <w:rsid w:val="0090343D"/>
    <w:rsid w:val="009034BA"/>
    <w:rsid w:val="00904455"/>
    <w:rsid w:val="00910446"/>
    <w:rsid w:val="00911279"/>
    <w:rsid w:val="00916825"/>
    <w:rsid w:val="0091757B"/>
    <w:rsid w:val="00922BC2"/>
    <w:rsid w:val="0092326C"/>
    <w:rsid w:val="009239DB"/>
    <w:rsid w:val="009241B3"/>
    <w:rsid w:val="009246B1"/>
    <w:rsid w:val="00924BE3"/>
    <w:rsid w:val="00925662"/>
    <w:rsid w:val="00926477"/>
    <w:rsid w:val="00932407"/>
    <w:rsid w:val="009333DD"/>
    <w:rsid w:val="009335CD"/>
    <w:rsid w:val="0093490E"/>
    <w:rsid w:val="00934A35"/>
    <w:rsid w:val="00934C17"/>
    <w:rsid w:val="00937383"/>
    <w:rsid w:val="00940F8A"/>
    <w:rsid w:val="0094245C"/>
    <w:rsid w:val="00947E81"/>
    <w:rsid w:val="00951CEA"/>
    <w:rsid w:val="009533C6"/>
    <w:rsid w:val="00953EDC"/>
    <w:rsid w:val="0095583B"/>
    <w:rsid w:val="009576BE"/>
    <w:rsid w:val="00962FF0"/>
    <w:rsid w:val="009635FC"/>
    <w:rsid w:val="00963D73"/>
    <w:rsid w:val="009661B6"/>
    <w:rsid w:val="00966276"/>
    <w:rsid w:val="00971C1F"/>
    <w:rsid w:val="00977378"/>
    <w:rsid w:val="00977527"/>
    <w:rsid w:val="0097760E"/>
    <w:rsid w:val="0098025A"/>
    <w:rsid w:val="00980849"/>
    <w:rsid w:val="00981B83"/>
    <w:rsid w:val="00983504"/>
    <w:rsid w:val="00983DA3"/>
    <w:rsid w:val="009853A5"/>
    <w:rsid w:val="00986A0A"/>
    <w:rsid w:val="00997E3D"/>
    <w:rsid w:val="009A07AB"/>
    <w:rsid w:val="009A48AC"/>
    <w:rsid w:val="009A63CF"/>
    <w:rsid w:val="009A7EA4"/>
    <w:rsid w:val="009B05D2"/>
    <w:rsid w:val="009B1530"/>
    <w:rsid w:val="009B2DB1"/>
    <w:rsid w:val="009B2DFA"/>
    <w:rsid w:val="009B3502"/>
    <w:rsid w:val="009B4DE3"/>
    <w:rsid w:val="009C0ADF"/>
    <w:rsid w:val="009C3355"/>
    <w:rsid w:val="009D0D35"/>
    <w:rsid w:val="009D3019"/>
    <w:rsid w:val="009D472A"/>
    <w:rsid w:val="009D4888"/>
    <w:rsid w:val="009E1AA2"/>
    <w:rsid w:val="009E21E1"/>
    <w:rsid w:val="009E5581"/>
    <w:rsid w:val="009E6493"/>
    <w:rsid w:val="009F029E"/>
    <w:rsid w:val="009F0519"/>
    <w:rsid w:val="009F19EA"/>
    <w:rsid w:val="009F28D2"/>
    <w:rsid w:val="009F2B2C"/>
    <w:rsid w:val="009F2D44"/>
    <w:rsid w:val="009F58BD"/>
    <w:rsid w:val="009F7CAB"/>
    <w:rsid w:val="00A011C0"/>
    <w:rsid w:val="00A012F0"/>
    <w:rsid w:val="00A01792"/>
    <w:rsid w:val="00A01D8F"/>
    <w:rsid w:val="00A0779B"/>
    <w:rsid w:val="00A07B63"/>
    <w:rsid w:val="00A1710D"/>
    <w:rsid w:val="00A204E3"/>
    <w:rsid w:val="00A25C8A"/>
    <w:rsid w:val="00A25F5E"/>
    <w:rsid w:val="00A2727C"/>
    <w:rsid w:val="00A312C2"/>
    <w:rsid w:val="00A314A0"/>
    <w:rsid w:val="00A32FDC"/>
    <w:rsid w:val="00A341FA"/>
    <w:rsid w:val="00A36997"/>
    <w:rsid w:val="00A401AA"/>
    <w:rsid w:val="00A4429F"/>
    <w:rsid w:val="00A461EE"/>
    <w:rsid w:val="00A50398"/>
    <w:rsid w:val="00A5200E"/>
    <w:rsid w:val="00A5227C"/>
    <w:rsid w:val="00A53D62"/>
    <w:rsid w:val="00A53FD2"/>
    <w:rsid w:val="00A55B8D"/>
    <w:rsid w:val="00A6106F"/>
    <w:rsid w:val="00A610A0"/>
    <w:rsid w:val="00A62CBF"/>
    <w:rsid w:val="00A638B7"/>
    <w:rsid w:val="00A657BF"/>
    <w:rsid w:val="00A669D7"/>
    <w:rsid w:val="00A67DC3"/>
    <w:rsid w:val="00A71770"/>
    <w:rsid w:val="00A7366E"/>
    <w:rsid w:val="00A75817"/>
    <w:rsid w:val="00A820EE"/>
    <w:rsid w:val="00A842B3"/>
    <w:rsid w:val="00A858FF"/>
    <w:rsid w:val="00A870D5"/>
    <w:rsid w:val="00A87ECE"/>
    <w:rsid w:val="00A9155A"/>
    <w:rsid w:val="00A92228"/>
    <w:rsid w:val="00A925DB"/>
    <w:rsid w:val="00A94F79"/>
    <w:rsid w:val="00A966EF"/>
    <w:rsid w:val="00A97EAE"/>
    <w:rsid w:val="00AA12DE"/>
    <w:rsid w:val="00AA31DE"/>
    <w:rsid w:val="00AA58B5"/>
    <w:rsid w:val="00AB0C8A"/>
    <w:rsid w:val="00AB1622"/>
    <w:rsid w:val="00AB35B6"/>
    <w:rsid w:val="00AB3B5B"/>
    <w:rsid w:val="00AB4E7F"/>
    <w:rsid w:val="00AB5A26"/>
    <w:rsid w:val="00AB5A61"/>
    <w:rsid w:val="00AB5ECB"/>
    <w:rsid w:val="00AB63E5"/>
    <w:rsid w:val="00AC288F"/>
    <w:rsid w:val="00AC46E2"/>
    <w:rsid w:val="00AD09D4"/>
    <w:rsid w:val="00AD24D9"/>
    <w:rsid w:val="00AD7FAB"/>
    <w:rsid w:val="00AE3094"/>
    <w:rsid w:val="00AE518C"/>
    <w:rsid w:val="00AE59FC"/>
    <w:rsid w:val="00AF0F13"/>
    <w:rsid w:val="00AF1287"/>
    <w:rsid w:val="00AF2366"/>
    <w:rsid w:val="00AF2DAF"/>
    <w:rsid w:val="00AF3A90"/>
    <w:rsid w:val="00AF70E5"/>
    <w:rsid w:val="00AF7C90"/>
    <w:rsid w:val="00B0075D"/>
    <w:rsid w:val="00B00EA1"/>
    <w:rsid w:val="00B016E0"/>
    <w:rsid w:val="00B04C38"/>
    <w:rsid w:val="00B04FA6"/>
    <w:rsid w:val="00B051F8"/>
    <w:rsid w:val="00B056D8"/>
    <w:rsid w:val="00B05E3F"/>
    <w:rsid w:val="00B064ED"/>
    <w:rsid w:val="00B11625"/>
    <w:rsid w:val="00B11E36"/>
    <w:rsid w:val="00B1615A"/>
    <w:rsid w:val="00B2098B"/>
    <w:rsid w:val="00B20D98"/>
    <w:rsid w:val="00B21A98"/>
    <w:rsid w:val="00B25FD3"/>
    <w:rsid w:val="00B26FDE"/>
    <w:rsid w:val="00B358F0"/>
    <w:rsid w:val="00B431BF"/>
    <w:rsid w:val="00B44197"/>
    <w:rsid w:val="00B457DD"/>
    <w:rsid w:val="00B4685A"/>
    <w:rsid w:val="00B50980"/>
    <w:rsid w:val="00B5290E"/>
    <w:rsid w:val="00B53DAB"/>
    <w:rsid w:val="00B54B5C"/>
    <w:rsid w:val="00B5687D"/>
    <w:rsid w:val="00B56E21"/>
    <w:rsid w:val="00B57024"/>
    <w:rsid w:val="00B578C2"/>
    <w:rsid w:val="00B60FBA"/>
    <w:rsid w:val="00B634D6"/>
    <w:rsid w:val="00B6402B"/>
    <w:rsid w:val="00B66BAA"/>
    <w:rsid w:val="00B6707B"/>
    <w:rsid w:val="00B673A9"/>
    <w:rsid w:val="00B67B73"/>
    <w:rsid w:val="00B72FFF"/>
    <w:rsid w:val="00B7304F"/>
    <w:rsid w:val="00B73219"/>
    <w:rsid w:val="00B7392E"/>
    <w:rsid w:val="00B73F45"/>
    <w:rsid w:val="00B76462"/>
    <w:rsid w:val="00B77D8C"/>
    <w:rsid w:val="00B83EA7"/>
    <w:rsid w:val="00B854A7"/>
    <w:rsid w:val="00B8591C"/>
    <w:rsid w:val="00B85E0E"/>
    <w:rsid w:val="00B93BDB"/>
    <w:rsid w:val="00B941E5"/>
    <w:rsid w:val="00B964C1"/>
    <w:rsid w:val="00B97167"/>
    <w:rsid w:val="00BA349A"/>
    <w:rsid w:val="00BA70AD"/>
    <w:rsid w:val="00BB0D54"/>
    <w:rsid w:val="00BB3898"/>
    <w:rsid w:val="00BB3BB4"/>
    <w:rsid w:val="00BB5494"/>
    <w:rsid w:val="00BB7B90"/>
    <w:rsid w:val="00BC0358"/>
    <w:rsid w:val="00BC4710"/>
    <w:rsid w:val="00BC4D17"/>
    <w:rsid w:val="00BC682F"/>
    <w:rsid w:val="00BC7586"/>
    <w:rsid w:val="00BD069C"/>
    <w:rsid w:val="00BD207A"/>
    <w:rsid w:val="00BD25F5"/>
    <w:rsid w:val="00BD2F06"/>
    <w:rsid w:val="00BE0700"/>
    <w:rsid w:val="00BE0F4B"/>
    <w:rsid w:val="00BE16BA"/>
    <w:rsid w:val="00BE2A6C"/>
    <w:rsid w:val="00BE2D09"/>
    <w:rsid w:val="00BE35E9"/>
    <w:rsid w:val="00BE53B2"/>
    <w:rsid w:val="00BE5AE3"/>
    <w:rsid w:val="00BE6C8C"/>
    <w:rsid w:val="00BF21F7"/>
    <w:rsid w:val="00BF3C8E"/>
    <w:rsid w:val="00BF3DCB"/>
    <w:rsid w:val="00BF7105"/>
    <w:rsid w:val="00C01ABD"/>
    <w:rsid w:val="00C035C7"/>
    <w:rsid w:val="00C04DC8"/>
    <w:rsid w:val="00C0665A"/>
    <w:rsid w:val="00C10FCF"/>
    <w:rsid w:val="00C116D3"/>
    <w:rsid w:val="00C123BA"/>
    <w:rsid w:val="00C125FB"/>
    <w:rsid w:val="00C128A4"/>
    <w:rsid w:val="00C12AF2"/>
    <w:rsid w:val="00C1450E"/>
    <w:rsid w:val="00C14B9D"/>
    <w:rsid w:val="00C237D6"/>
    <w:rsid w:val="00C25576"/>
    <w:rsid w:val="00C2708A"/>
    <w:rsid w:val="00C3037C"/>
    <w:rsid w:val="00C31A47"/>
    <w:rsid w:val="00C31F81"/>
    <w:rsid w:val="00C31FDB"/>
    <w:rsid w:val="00C35E31"/>
    <w:rsid w:val="00C35EC1"/>
    <w:rsid w:val="00C35F5A"/>
    <w:rsid w:val="00C366DB"/>
    <w:rsid w:val="00C36DA4"/>
    <w:rsid w:val="00C43275"/>
    <w:rsid w:val="00C43C1A"/>
    <w:rsid w:val="00C44A5E"/>
    <w:rsid w:val="00C45350"/>
    <w:rsid w:val="00C505ED"/>
    <w:rsid w:val="00C52848"/>
    <w:rsid w:val="00C52F13"/>
    <w:rsid w:val="00C5308E"/>
    <w:rsid w:val="00C531C8"/>
    <w:rsid w:val="00C54E3E"/>
    <w:rsid w:val="00C6477B"/>
    <w:rsid w:val="00C71904"/>
    <w:rsid w:val="00C71A49"/>
    <w:rsid w:val="00C825FB"/>
    <w:rsid w:val="00C84D4E"/>
    <w:rsid w:val="00C901FB"/>
    <w:rsid w:val="00C905E8"/>
    <w:rsid w:val="00C93730"/>
    <w:rsid w:val="00C9456F"/>
    <w:rsid w:val="00C97FA9"/>
    <w:rsid w:val="00CA1499"/>
    <w:rsid w:val="00CA37CD"/>
    <w:rsid w:val="00CA62E6"/>
    <w:rsid w:val="00CA65F8"/>
    <w:rsid w:val="00CA7266"/>
    <w:rsid w:val="00CA7CD9"/>
    <w:rsid w:val="00CB2D5C"/>
    <w:rsid w:val="00CB33A7"/>
    <w:rsid w:val="00CB3F9A"/>
    <w:rsid w:val="00CB667F"/>
    <w:rsid w:val="00CB7163"/>
    <w:rsid w:val="00CB7D1B"/>
    <w:rsid w:val="00CC0E28"/>
    <w:rsid w:val="00CC1D22"/>
    <w:rsid w:val="00CC325A"/>
    <w:rsid w:val="00CC500B"/>
    <w:rsid w:val="00CC5937"/>
    <w:rsid w:val="00CC7BB1"/>
    <w:rsid w:val="00CD3AAD"/>
    <w:rsid w:val="00CD4AB6"/>
    <w:rsid w:val="00CD576B"/>
    <w:rsid w:val="00CD5D23"/>
    <w:rsid w:val="00CE0739"/>
    <w:rsid w:val="00CE129F"/>
    <w:rsid w:val="00CE18F8"/>
    <w:rsid w:val="00CE2A7F"/>
    <w:rsid w:val="00CE7AB8"/>
    <w:rsid w:val="00CF06B8"/>
    <w:rsid w:val="00CF3E05"/>
    <w:rsid w:val="00CF4272"/>
    <w:rsid w:val="00CF5447"/>
    <w:rsid w:val="00CF673B"/>
    <w:rsid w:val="00CF7282"/>
    <w:rsid w:val="00D026C9"/>
    <w:rsid w:val="00D03456"/>
    <w:rsid w:val="00D04CE7"/>
    <w:rsid w:val="00D1160A"/>
    <w:rsid w:val="00D175DE"/>
    <w:rsid w:val="00D17DEC"/>
    <w:rsid w:val="00D255CF"/>
    <w:rsid w:val="00D25F3D"/>
    <w:rsid w:val="00D26CFB"/>
    <w:rsid w:val="00D27F67"/>
    <w:rsid w:val="00D30CEF"/>
    <w:rsid w:val="00D31315"/>
    <w:rsid w:val="00D31440"/>
    <w:rsid w:val="00D35A71"/>
    <w:rsid w:val="00D435CA"/>
    <w:rsid w:val="00D4774C"/>
    <w:rsid w:val="00D5107A"/>
    <w:rsid w:val="00D531E1"/>
    <w:rsid w:val="00D54921"/>
    <w:rsid w:val="00D57A6D"/>
    <w:rsid w:val="00D637AA"/>
    <w:rsid w:val="00D657A6"/>
    <w:rsid w:val="00D66688"/>
    <w:rsid w:val="00D67B50"/>
    <w:rsid w:val="00D71BDC"/>
    <w:rsid w:val="00D732FD"/>
    <w:rsid w:val="00D8070E"/>
    <w:rsid w:val="00D834F2"/>
    <w:rsid w:val="00D837C2"/>
    <w:rsid w:val="00D84333"/>
    <w:rsid w:val="00D84BEA"/>
    <w:rsid w:val="00D863FD"/>
    <w:rsid w:val="00D90302"/>
    <w:rsid w:val="00D9086B"/>
    <w:rsid w:val="00D90B96"/>
    <w:rsid w:val="00D9138C"/>
    <w:rsid w:val="00D93B31"/>
    <w:rsid w:val="00D942FB"/>
    <w:rsid w:val="00D97359"/>
    <w:rsid w:val="00DA1B18"/>
    <w:rsid w:val="00DA22E4"/>
    <w:rsid w:val="00DA2FE3"/>
    <w:rsid w:val="00DA3EC2"/>
    <w:rsid w:val="00DA6880"/>
    <w:rsid w:val="00DA6A51"/>
    <w:rsid w:val="00DA77FB"/>
    <w:rsid w:val="00DB02DA"/>
    <w:rsid w:val="00DB11FC"/>
    <w:rsid w:val="00DB1C63"/>
    <w:rsid w:val="00DB32A3"/>
    <w:rsid w:val="00DB451F"/>
    <w:rsid w:val="00DB4BC5"/>
    <w:rsid w:val="00DC3B2F"/>
    <w:rsid w:val="00DC4FEC"/>
    <w:rsid w:val="00DC6709"/>
    <w:rsid w:val="00DD21A7"/>
    <w:rsid w:val="00DD22C7"/>
    <w:rsid w:val="00DD75A6"/>
    <w:rsid w:val="00DE3354"/>
    <w:rsid w:val="00DE3AB5"/>
    <w:rsid w:val="00DE4319"/>
    <w:rsid w:val="00DE561D"/>
    <w:rsid w:val="00DE66CF"/>
    <w:rsid w:val="00DE69A5"/>
    <w:rsid w:val="00DF13C1"/>
    <w:rsid w:val="00DF476C"/>
    <w:rsid w:val="00DF5B7A"/>
    <w:rsid w:val="00DF6AD3"/>
    <w:rsid w:val="00DF6E81"/>
    <w:rsid w:val="00E01B9C"/>
    <w:rsid w:val="00E05E51"/>
    <w:rsid w:val="00E065A2"/>
    <w:rsid w:val="00E10D15"/>
    <w:rsid w:val="00E10F0B"/>
    <w:rsid w:val="00E13CD8"/>
    <w:rsid w:val="00E14A54"/>
    <w:rsid w:val="00E20264"/>
    <w:rsid w:val="00E20646"/>
    <w:rsid w:val="00E22088"/>
    <w:rsid w:val="00E22695"/>
    <w:rsid w:val="00E23DF4"/>
    <w:rsid w:val="00E247DE"/>
    <w:rsid w:val="00E24ADF"/>
    <w:rsid w:val="00E25B5F"/>
    <w:rsid w:val="00E272BA"/>
    <w:rsid w:val="00E3022B"/>
    <w:rsid w:val="00E306BD"/>
    <w:rsid w:val="00E316A0"/>
    <w:rsid w:val="00E3219C"/>
    <w:rsid w:val="00E32B26"/>
    <w:rsid w:val="00E32F80"/>
    <w:rsid w:val="00E3342C"/>
    <w:rsid w:val="00E354E8"/>
    <w:rsid w:val="00E36AE5"/>
    <w:rsid w:val="00E37309"/>
    <w:rsid w:val="00E4056D"/>
    <w:rsid w:val="00E4676F"/>
    <w:rsid w:val="00E509E1"/>
    <w:rsid w:val="00E5410C"/>
    <w:rsid w:val="00E563B2"/>
    <w:rsid w:val="00E57B0E"/>
    <w:rsid w:val="00E655DE"/>
    <w:rsid w:val="00E65B94"/>
    <w:rsid w:val="00E72B02"/>
    <w:rsid w:val="00E72D4E"/>
    <w:rsid w:val="00E72F5C"/>
    <w:rsid w:val="00E7357F"/>
    <w:rsid w:val="00E774EB"/>
    <w:rsid w:val="00E82BC1"/>
    <w:rsid w:val="00E83F6C"/>
    <w:rsid w:val="00E85ABD"/>
    <w:rsid w:val="00E86DCE"/>
    <w:rsid w:val="00E87043"/>
    <w:rsid w:val="00E906A0"/>
    <w:rsid w:val="00E921CA"/>
    <w:rsid w:val="00E9368D"/>
    <w:rsid w:val="00E93EF6"/>
    <w:rsid w:val="00E94D65"/>
    <w:rsid w:val="00EA0DB4"/>
    <w:rsid w:val="00EA1BE9"/>
    <w:rsid w:val="00EA6787"/>
    <w:rsid w:val="00EA7B06"/>
    <w:rsid w:val="00EB2671"/>
    <w:rsid w:val="00EB3491"/>
    <w:rsid w:val="00EB59AB"/>
    <w:rsid w:val="00EB6BA4"/>
    <w:rsid w:val="00EB74A8"/>
    <w:rsid w:val="00EC38F7"/>
    <w:rsid w:val="00EC55E3"/>
    <w:rsid w:val="00ED0971"/>
    <w:rsid w:val="00ED0FA6"/>
    <w:rsid w:val="00ED17C9"/>
    <w:rsid w:val="00ED1AC8"/>
    <w:rsid w:val="00ED2652"/>
    <w:rsid w:val="00ED66A6"/>
    <w:rsid w:val="00ED6D4F"/>
    <w:rsid w:val="00EE55FA"/>
    <w:rsid w:val="00EF3D0D"/>
    <w:rsid w:val="00EF4F10"/>
    <w:rsid w:val="00EF5135"/>
    <w:rsid w:val="00EF757F"/>
    <w:rsid w:val="00F00826"/>
    <w:rsid w:val="00F00FD1"/>
    <w:rsid w:val="00F03076"/>
    <w:rsid w:val="00F036C2"/>
    <w:rsid w:val="00F03B88"/>
    <w:rsid w:val="00F04D93"/>
    <w:rsid w:val="00F07A0F"/>
    <w:rsid w:val="00F1179C"/>
    <w:rsid w:val="00F11B5D"/>
    <w:rsid w:val="00F15DB5"/>
    <w:rsid w:val="00F15EC3"/>
    <w:rsid w:val="00F20A93"/>
    <w:rsid w:val="00F25FE8"/>
    <w:rsid w:val="00F26E72"/>
    <w:rsid w:val="00F30647"/>
    <w:rsid w:val="00F317A4"/>
    <w:rsid w:val="00F32C70"/>
    <w:rsid w:val="00F364F0"/>
    <w:rsid w:val="00F37C4C"/>
    <w:rsid w:val="00F40AD5"/>
    <w:rsid w:val="00F4133C"/>
    <w:rsid w:val="00F41AFD"/>
    <w:rsid w:val="00F42EEF"/>
    <w:rsid w:val="00F43EFB"/>
    <w:rsid w:val="00F4557B"/>
    <w:rsid w:val="00F51FE5"/>
    <w:rsid w:val="00F544CF"/>
    <w:rsid w:val="00F5596F"/>
    <w:rsid w:val="00F6509F"/>
    <w:rsid w:val="00F66B84"/>
    <w:rsid w:val="00F67915"/>
    <w:rsid w:val="00F71490"/>
    <w:rsid w:val="00F73E55"/>
    <w:rsid w:val="00F74D9D"/>
    <w:rsid w:val="00F77DE0"/>
    <w:rsid w:val="00F80AEC"/>
    <w:rsid w:val="00F84998"/>
    <w:rsid w:val="00F873E2"/>
    <w:rsid w:val="00F928AA"/>
    <w:rsid w:val="00F9344F"/>
    <w:rsid w:val="00F943F7"/>
    <w:rsid w:val="00F95D50"/>
    <w:rsid w:val="00FA35A1"/>
    <w:rsid w:val="00FA64F4"/>
    <w:rsid w:val="00FB3112"/>
    <w:rsid w:val="00FB3479"/>
    <w:rsid w:val="00FB460C"/>
    <w:rsid w:val="00FB7F23"/>
    <w:rsid w:val="00FC08E2"/>
    <w:rsid w:val="00FC0B75"/>
    <w:rsid w:val="00FC4795"/>
    <w:rsid w:val="00FC6F4C"/>
    <w:rsid w:val="00FD1C76"/>
    <w:rsid w:val="00FD2594"/>
    <w:rsid w:val="00FD27E4"/>
    <w:rsid w:val="00FD3AD7"/>
    <w:rsid w:val="00FD417C"/>
    <w:rsid w:val="00FD4911"/>
    <w:rsid w:val="00FD6ADA"/>
    <w:rsid w:val="00FD75CC"/>
    <w:rsid w:val="00FE2067"/>
    <w:rsid w:val="00FE5AF6"/>
    <w:rsid w:val="00FE5C22"/>
    <w:rsid w:val="00FE5CCB"/>
    <w:rsid w:val="00FF193B"/>
    <w:rsid w:val="00FF3D57"/>
    <w:rsid w:val="00FF4CC7"/>
    <w:rsid w:val="00FF5857"/>
    <w:rsid w:val="00FF5FE3"/>
    <w:rsid w:val="00FF63A3"/>
    <w:rsid w:val="00FF670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D2AA8"/>
  <w15:docId w15:val="{AB80B00F-A20C-4F23-9196-0867C420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92D8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FF5857"/>
    <w:pPr>
      <w:keepNext/>
      <w:widowControl/>
      <w:autoSpaceDE/>
      <w:autoSpaceDN/>
      <w:adjustRightInd/>
      <w:spacing w:before="240" w:after="60" w:line="240" w:lineRule="auto"/>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99"/>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uiPriority w:val="9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customStyle="1" w:styleId="Siatkatabelijasna1">
    <w:name w:val="Siatka tabeli — jasna1"/>
    <w:basedOn w:val="Standardowy"/>
    <w:uiPriority w:val="40"/>
    <w:rsid w:val="00E01C5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basedOn w:val="Domylnaczcionkaakapitu"/>
    <w:uiPriority w:val="99"/>
    <w:unhideWhenUsed/>
    <w:rsid w:val="00E01C5D"/>
    <w:rPr>
      <w:color w:val="0000FF" w:themeColor="hyperlink"/>
      <w:u w:val="single"/>
    </w:rPr>
  </w:style>
  <w:style w:type="character" w:styleId="Odwoanieprzypisukocowego">
    <w:name w:val="endnote reference"/>
    <w:uiPriority w:val="99"/>
    <w:rsid w:val="00F4133C"/>
    <w:rPr>
      <w:vertAlign w:val="superscript"/>
    </w:rPr>
  </w:style>
  <w:style w:type="paragraph" w:styleId="Akapitzlist">
    <w:name w:val="List Paragraph"/>
    <w:basedOn w:val="Normalny"/>
    <w:uiPriority w:val="34"/>
    <w:qFormat/>
    <w:rsid w:val="008A0980"/>
    <w:pPr>
      <w:widowControl/>
      <w:autoSpaceDE/>
      <w:autoSpaceDN/>
      <w:adjustRightInd/>
      <w:ind w:left="720" w:firstLine="567"/>
      <w:contextualSpacing/>
    </w:pPr>
    <w:rPr>
      <w:rFonts w:ascii="Arial" w:eastAsia="Times New Roman" w:hAnsi="Arial" w:cs="Times New Roman"/>
    </w:rPr>
  </w:style>
  <w:style w:type="paragraph" w:customStyle="1" w:styleId="Default">
    <w:name w:val="Default"/>
    <w:rsid w:val="00DE4319"/>
    <w:pPr>
      <w:autoSpaceDE w:val="0"/>
      <w:autoSpaceDN w:val="0"/>
      <w:adjustRightInd w:val="0"/>
      <w:spacing w:line="240" w:lineRule="auto"/>
    </w:pPr>
    <w:rPr>
      <w:rFonts w:ascii="Times New Roman" w:hAnsi="Times New Roman"/>
      <w:color w:val="000000"/>
    </w:rPr>
  </w:style>
  <w:style w:type="paragraph" w:styleId="Poprawka">
    <w:name w:val="Revision"/>
    <w:hidden/>
    <w:uiPriority w:val="99"/>
    <w:semiHidden/>
    <w:rsid w:val="006B2C87"/>
    <w:pPr>
      <w:spacing w:line="240" w:lineRule="auto"/>
    </w:pPr>
    <w:rPr>
      <w:rFonts w:ascii="Times New Roman" w:eastAsiaTheme="minorEastAsia" w:hAnsi="Times New Roman" w:cs="Arial"/>
      <w:szCs w:val="20"/>
    </w:rPr>
  </w:style>
  <w:style w:type="paragraph" w:customStyle="1" w:styleId="ppkt">
    <w:name w:val="p.pkt"/>
    <w:uiPriority w:val="99"/>
    <w:rsid w:val="00097109"/>
    <w:pPr>
      <w:widowControl w:val="0"/>
      <w:autoSpaceDE w:val="0"/>
      <w:autoSpaceDN w:val="0"/>
      <w:adjustRightInd w:val="0"/>
      <w:spacing w:line="40" w:lineRule="atLeast"/>
      <w:ind w:left="240"/>
      <w:jc w:val="both"/>
    </w:pPr>
    <w:rPr>
      <w:rFonts w:ascii="Helvetica" w:eastAsiaTheme="minorEastAsia" w:hAnsi="Helvetica" w:cs="Helvetica"/>
      <w:color w:val="000000"/>
      <w:sz w:val="18"/>
      <w:szCs w:val="18"/>
    </w:rPr>
  </w:style>
  <w:style w:type="paragraph" w:customStyle="1" w:styleId="p">
    <w:name w:val="p"/>
    <w:uiPriority w:val="99"/>
    <w:rsid w:val="00097109"/>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rPr>
  </w:style>
  <w:style w:type="character" w:customStyle="1" w:styleId="Nagwek3Znak">
    <w:name w:val="Nagłówek 3 Znak"/>
    <w:basedOn w:val="Domylnaczcionkaakapitu"/>
    <w:link w:val="Nagwek3"/>
    <w:rsid w:val="00FF5857"/>
    <w:rPr>
      <w:rFonts w:ascii="Arial" w:hAnsi="Arial" w:cs="Arial"/>
      <w:b/>
      <w:bCs/>
      <w:sz w:val="26"/>
      <w:szCs w:val="26"/>
    </w:rPr>
  </w:style>
  <w:style w:type="paragraph" w:customStyle="1" w:styleId="changed">
    <w:name w:val="changed"/>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Tekstkomentarza1">
    <w:name w:val="Tekst komentarza1"/>
    <w:basedOn w:val="Normalny"/>
    <w:next w:val="Tekstkomentarza"/>
    <w:uiPriority w:val="99"/>
    <w:semiHidden/>
    <w:unhideWhenUsed/>
    <w:rsid w:val="00FF5857"/>
    <w:pPr>
      <w:spacing w:line="40" w:lineRule="atLeast"/>
      <w:jc w:val="both"/>
    </w:pPr>
    <w:rPr>
      <w:rFonts w:ascii="Helvetica" w:eastAsia="Times New Roman" w:hAnsi="Helvetica" w:cs="Helvetica"/>
      <w:color w:val="000000"/>
      <w:sz w:val="20"/>
      <w:lang w:eastAsia="en-US"/>
    </w:rPr>
  </w:style>
  <w:style w:type="character" w:customStyle="1" w:styleId="TekstkomentarzaZnak1">
    <w:name w:val="Tekst komentarza Znak1"/>
    <w:uiPriority w:val="99"/>
    <w:locked/>
    <w:rsid w:val="00FF5857"/>
    <w:rPr>
      <w:sz w:val="20"/>
    </w:rPr>
  </w:style>
  <w:style w:type="paragraph" w:customStyle="1" w:styleId="ashowhidebox">
    <w:name w:val="a.showhidebox"/>
    <w:uiPriority w:val="99"/>
    <w:rsid w:val="00FF5857"/>
    <w:pPr>
      <w:widowControl w:val="0"/>
      <w:autoSpaceDE w:val="0"/>
      <w:autoSpaceDN w:val="0"/>
      <w:adjustRightInd w:val="0"/>
      <w:spacing w:line="40" w:lineRule="atLeast"/>
      <w:jc w:val="both"/>
    </w:pPr>
    <w:rPr>
      <w:rFonts w:ascii="Helvetica" w:hAnsi="Helvetica" w:cs="Helvetica"/>
      <w:color w:val="800000"/>
      <w:sz w:val="18"/>
      <w:szCs w:val="18"/>
    </w:rPr>
  </w:style>
  <w:style w:type="paragraph" w:customStyle="1" w:styleId="pakthead1">
    <w:name w:val="p.akthead1"/>
    <w:uiPriority w:val="99"/>
    <w:rsid w:val="00FF5857"/>
    <w:pPr>
      <w:widowControl w:val="0"/>
      <w:autoSpaceDE w:val="0"/>
      <w:autoSpaceDN w:val="0"/>
      <w:adjustRightInd w:val="0"/>
      <w:spacing w:before="120" w:after="120" w:line="40" w:lineRule="atLeast"/>
      <w:jc w:val="center"/>
    </w:pPr>
    <w:rPr>
      <w:rFonts w:ascii="Helvetica" w:hAnsi="Helvetica" w:cs="Helvetica"/>
      <w:b/>
      <w:bCs/>
      <w:color w:val="000000"/>
      <w:sz w:val="20"/>
      <w:szCs w:val="20"/>
    </w:rPr>
  </w:style>
  <w:style w:type="paragraph" w:customStyle="1" w:styleId="divpkt">
    <w:name w:val="div.pkt"/>
    <w:uiPriority w:val="99"/>
    <w:rsid w:val="00FF5857"/>
    <w:pPr>
      <w:widowControl w:val="0"/>
      <w:autoSpaceDE w:val="0"/>
      <w:autoSpaceDN w:val="0"/>
      <w:adjustRightInd w:val="0"/>
      <w:spacing w:line="40" w:lineRule="atLeast"/>
      <w:ind w:left="460"/>
      <w:jc w:val="both"/>
    </w:pPr>
    <w:rPr>
      <w:rFonts w:ascii="Helvetica" w:hAnsi="Helvetica" w:cs="Helvetica"/>
      <w:color w:val="000000"/>
      <w:sz w:val="18"/>
      <w:szCs w:val="18"/>
    </w:rPr>
  </w:style>
  <w:style w:type="paragraph" w:customStyle="1" w:styleId="divquotblock">
    <w:name w:val="div.quotblock"/>
    <w:uiPriority w:val="99"/>
    <w:rsid w:val="00FF5857"/>
    <w:pPr>
      <w:widowControl w:val="0"/>
      <w:autoSpaceDE w:val="0"/>
      <w:autoSpaceDN w:val="0"/>
      <w:adjustRightInd w:val="0"/>
      <w:spacing w:before="180" w:after="180" w:line="40" w:lineRule="atLeast"/>
      <w:ind w:left="180" w:right="180"/>
      <w:jc w:val="both"/>
    </w:pPr>
    <w:rPr>
      <w:rFonts w:ascii="Helvetica" w:hAnsi="Helvetica" w:cs="Helvetica"/>
      <w:color w:val="00FF00"/>
      <w:sz w:val="18"/>
      <w:szCs w:val="18"/>
    </w:rPr>
  </w:style>
  <w:style w:type="paragraph" w:styleId="NormalnyWeb">
    <w:name w:val="Normal (Web)"/>
    <w:basedOn w:val="Normalny"/>
    <w:uiPriority w:val="99"/>
    <w:semiHidden/>
    <w:unhideWhenUsed/>
    <w:rsid w:val="00FF5857"/>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pchangedpkt">
    <w:name w:val="p.changedpkt"/>
    <w:uiPriority w:val="99"/>
    <w:rsid w:val="00FF5857"/>
    <w:pPr>
      <w:widowControl w:val="0"/>
      <w:autoSpaceDE w:val="0"/>
      <w:autoSpaceDN w:val="0"/>
      <w:adjustRightInd w:val="0"/>
      <w:spacing w:line="40" w:lineRule="atLeast"/>
      <w:ind w:left="240"/>
      <w:jc w:val="both"/>
    </w:pPr>
    <w:rPr>
      <w:rFonts w:ascii="Helvetica" w:eastAsiaTheme="minorEastAsia" w:hAnsi="Helvetica" w:cs="Helvetica"/>
      <w:color w:val="FF0000"/>
      <w:sz w:val="18"/>
      <w:szCs w:val="18"/>
    </w:rPr>
  </w:style>
  <w:style w:type="numbering" w:customStyle="1" w:styleId="Bezlisty1">
    <w:name w:val="Bez listy1"/>
    <w:next w:val="Bezlisty"/>
    <w:uiPriority w:val="99"/>
    <w:semiHidden/>
    <w:unhideWhenUsed/>
    <w:rsid w:val="00FF5857"/>
  </w:style>
  <w:style w:type="paragraph" w:styleId="Tekstprzypisukocowego">
    <w:name w:val="endnote text"/>
    <w:basedOn w:val="Normalny"/>
    <w:link w:val="TekstprzypisukocowegoZnak"/>
    <w:uiPriority w:val="99"/>
    <w:semiHidden/>
    <w:unhideWhenUsed/>
    <w:rsid w:val="00FF5857"/>
    <w:pPr>
      <w:widowControl/>
      <w:autoSpaceDE/>
      <w:autoSpaceDN/>
      <w:adjustRightInd/>
      <w:spacing w:line="240" w:lineRule="auto"/>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FF5857"/>
    <w:rPr>
      <w:rFonts w:ascii="Calibri" w:eastAsia="Calibri" w:hAnsi="Calibri"/>
      <w:sz w:val="20"/>
      <w:szCs w:val="20"/>
      <w:lang w:eastAsia="en-US"/>
    </w:rPr>
  </w:style>
  <w:style w:type="character" w:styleId="UyteHipercze">
    <w:name w:val="FollowedHyperlink"/>
    <w:uiPriority w:val="99"/>
    <w:semiHidden/>
    <w:unhideWhenUsed/>
    <w:rsid w:val="00FF5857"/>
    <w:rPr>
      <w:color w:val="800080"/>
      <w:u w:val="single"/>
    </w:rPr>
  </w:style>
  <w:style w:type="paragraph" w:customStyle="1" w:styleId="m7020199556215851520p1">
    <w:name w:val="m_7020199556215851520p1"/>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m7020199556215851520s1">
    <w:name w:val="m_7020199556215851520s1"/>
    <w:basedOn w:val="Domylnaczcionkaakapitu"/>
    <w:rsid w:val="00FF5857"/>
  </w:style>
  <w:style w:type="paragraph" w:customStyle="1" w:styleId="m-3630321746689277748p2">
    <w:name w:val="m_-3630321746689277748p2"/>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m-3630321746689277748s1">
    <w:name w:val="m_-3630321746689277748s1"/>
    <w:basedOn w:val="Domylnaczcionkaakapitu"/>
    <w:rsid w:val="00FF5857"/>
  </w:style>
  <w:style w:type="paragraph" w:customStyle="1" w:styleId="ppub">
    <w:name w:val="p.pub"/>
    <w:uiPriority w:val="99"/>
    <w:rsid w:val="00FF5857"/>
    <w:pPr>
      <w:widowControl w:val="0"/>
      <w:autoSpaceDE w:val="0"/>
      <w:autoSpaceDN w:val="0"/>
      <w:adjustRightInd w:val="0"/>
      <w:spacing w:before="120" w:after="120" w:line="40" w:lineRule="atLeast"/>
      <w:jc w:val="center"/>
    </w:pPr>
    <w:rPr>
      <w:rFonts w:ascii="Helvetica" w:eastAsiaTheme="minorEastAsia" w:hAnsi="Helvetica" w:cs="Helvetica"/>
      <w:b/>
      <w:bCs/>
      <w:color w:val="000000"/>
      <w:sz w:val="18"/>
      <w:szCs w:val="18"/>
    </w:rPr>
  </w:style>
  <w:style w:type="paragraph" w:customStyle="1" w:styleId="ptytaktniesam">
    <w:name w:val="p.tytaktniesam"/>
    <w:uiPriority w:val="99"/>
    <w:rsid w:val="00FF5857"/>
    <w:pPr>
      <w:widowControl w:val="0"/>
      <w:autoSpaceDE w:val="0"/>
      <w:autoSpaceDN w:val="0"/>
      <w:adjustRightInd w:val="0"/>
      <w:spacing w:before="120" w:after="120" w:line="40" w:lineRule="atLeast"/>
      <w:jc w:val="center"/>
    </w:pPr>
    <w:rPr>
      <w:rFonts w:ascii="Helvetica" w:eastAsiaTheme="minorEastAsia" w:hAnsi="Helvetica" w:cs="Helvetica"/>
      <w:b/>
      <w:bCs/>
      <w:color w:val="6E6E6E"/>
      <w:sz w:val="22"/>
      <w:szCs w:val="22"/>
    </w:rPr>
  </w:style>
  <w:style w:type="paragraph" w:customStyle="1" w:styleId="tytakt">
    <w:name w:val="tytakt"/>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ny1">
    <w:name w:val="Normalny1"/>
    <w:basedOn w:val="Domylnaczcionkaakapitu"/>
    <w:rsid w:val="00FF5857"/>
  </w:style>
  <w:style w:type="paragraph" w:customStyle="1" w:styleId="pub">
    <w:name w:val="pub"/>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ny-smallZnak">
    <w:name w:val="Normalny-small Znak"/>
    <w:basedOn w:val="Domylnaczcionkaakapitu"/>
    <w:link w:val="Normalny-small"/>
    <w:locked/>
    <w:rsid w:val="00FF5857"/>
    <w:rPr>
      <w:rFonts w:ascii="Arial" w:hAnsi="Arial" w:cs="Arial"/>
      <w:sz w:val="16"/>
    </w:rPr>
  </w:style>
  <w:style w:type="paragraph" w:customStyle="1" w:styleId="Normalny-small">
    <w:name w:val="Normalny-small"/>
    <w:basedOn w:val="Normalny"/>
    <w:link w:val="Normalny-smallZnak"/>
    <w:qFormat/>
    <w:rsid w:val="00FF5857"/>
    <w:pPr>
      <w:widowControl/>
      <w:autoSpaceDE/>
      <w:autoSpaceDN/>
      <w:adjustRightInd/>
      <w:spacing w:line="240" w:lineRule="auto"/>
      <w:jc w:val="both"/>
    </w:pPr>
    <w:rPr>
      <w:rFonts w:ascii="Arial" w:eastAsia="Times New Roman" w:hAnsi="Arial"/>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784100">
      <w:bodyDiv w:val="1"/>
      <w:marLeft w:val="0"/>
      <w:marRight w:val="0"/>
      <w:marTop w:val="0"/>
      <w:marBottom w:val="0"/>
      <w:divBdr>
        <w:top w:val="none" w:sz="0" w:space="0" w:color="auto"/>
        <w:left w:val="none" w:sz="0" w:space="0" w:color="auto"/>
        <w:bottom w:val="none" w:sz="0" w:space="0" w:color="auto"/>
        <w:right w:val="none" w:sz="0" w:space="0" w:color="auto"/>
      </w:divBdr>
    </w:div>
    <w:div w:id="88984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B8B884-C92C-4939-A5DA-9337D6D46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36</Pages>
  <Words>11791</Words>
  <Characters>76479</Characters>
  <Application>Microsoft Office Word</Application>
  <DocSecurity>0</DocSecurity>
  <Lines>637</Lines>
  <Paragraphs>176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Smieszek Kamil</dc:creator>
  <cp:lastModifiedBy>Binkowska Joanna</cp:lastModifiedBy>
  <cp:revision>2</cp:revision>
  <cp:lastPrinted>2019-06-24T06:02:00Z</cp:lastPrinted>
  <dcterms:created xsi:type="dcterms:W3CDTF">2019-07-12T13:41:00Z</dcterms:created>
  <dcterms:modified xsi:type="dcterms:W3CDTF">2019-07-12T13:41:00Z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ogłoszenia">
    <vt:lpwstr>&lt;data ogłoszenia&gt;</vt:lpwstr>
  </property>
  <property fmtid="{D5CDD505-2E9C-101B-9397-08002B2CF9AE}" pid="3" name="Data wydania obwieszczenia">
    <vt:lpwstr>&lt;data wydania obwieszczenia&gt;</vt:lpwstr>
  </property>
</Properties>
</file>