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25FE9" w14:textId="28762DDC" w:rsidR="0076462C" w:rsidRPr="0076462C" w:rsidRDefault="0076462C" w:rsidP="0076462C">
      <w:pPr>
        <w:autoSpaceDE w:val="0"/>
        <w:autoSpaceDN w:val="0"/>
        <w:adjustRightInd w:val="0"/>
        <w:spacing w:before="240" w:after="0"/>
        <w:jc w:val="right"/>
        <w:rPr>
          <w:rFonts w:ascii="Times New Roman" w:hAnsi="Times New Roman" w:cs="Times New Roman"/>
          <w:bCs/>
          <w:i/>
        </w:rPr>
      </w:pPr>
      <w:bookmarkStart w:id="0" w:name="_GoBack"/>
      <w:bookmarkEnd w:id="0"/>
      <w:r w:rsidRPr="0076462C">
        <w:rPr>
          <w:rFonts w:ascii="Times New Roman" w:hAnsi="Times New Roman" w:cs="Times New Roman"/>
          <w:bCs/>
          <w:i/>
        </w:rPr>
        <w:t>Projekt</w:t>
      </w:r>
    </w:p>
    <w:p w14:paraId="0798DDA1" w14:textId="77777777" w:rsidR="002D14A3" w:rsidRPr="0023005B" w:rsidRDefault="002D14A3" w:rsidP="0023005B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</w:rPr>
      </w:pPr>
      <w:r w:rsidRPr="0023005B">
        <w:rPr>
          <w:rFonts w:ascii="Times New Roman" w:hAnsi="Times New Roman" w:cs="Times New Roman"/>
          <w:b/>
          <w:bCs/>
        </w:rPr>
        <w:t>USTAWA</w:t>
      </w:r>
    </w:p>
    <w:p w14:paraId="0E7B2343" w14:textId="77777777" w:rsidR="002D14A3" w:rsidRPr="0023005B" w:rsidRDefault="002D14A3" w:rsidP="0023005B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</w:rPr>
      </w:pPr>
      <w:r w:rsidRPr="0023005B">
        <w:rPr>
          <w:rFonts w:ascii="Times New Roman" w:hAnsi="Times New Roman" w:cs="Times New Roman"/>
        </w:rPr>
        <w:t>z dnia ...................... 2016 r.</w:t>
      </w:r>
    </w:p>
    <w:p w14:paraId="1CEC88EB" w14:textId="3BF30458" w:rsidR="008538E0" w:rsidRDefault="002D14A3" w:rsidP="00793CC4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23005B">
        <w:rPr>
          <w:rFonts w:ascii="Times New Roman" w:hAnsi="Times New Roman" w:cs="Times New Roman"/>
          <w:b/>
          <w:bCs/>
        </w:rPr>
        <w:t>o zmianie ustawy - Prawo geologiczne i górnicze oraz ustawy o zmianie ustawy – Prawo geologiczne i górnicze oraz niektórych innych ustaw</w:t>
      </w:r>
    </w:p>
    <w:p w14:paraId="0F08833A" w14:textId="4682CE1C" w:rsidR="008538E0" w:rsidRPr="009F00F8" w:rsidRDefault="008538E0" w:rsidP="009F00F8">
      <w:pPr>
        <w:autoSpaceDE w:val="0"/>
        <w:autoSpaceDN w:val="0"/>
        <w:adjustRightInd w:val="0"/>
        <w:spacing w:before="240" w:after="0"/>
        <w:ind w:firstLine="431"/>
        <w:jc w:val="both"/>
        <w:rPr>
          <w:rFonts w:ascii="Times New Roman" w:hAnsi="Times New Roman" w:cs="Times New Roman"/>
        </w:rPr>
      </w:pPr>
      <w:r w:rsidRPr="0023005B">
        <w:rPr>
          <w:rFonts w:ascii="Times New Roman" w:hAnsi="Times New Roman" w:cs="Times New Roman"/>
          <w:b/>
          <w:bCs/>
        </w:rPr>
        <w:t>Art. 1.</w:t>
      </w:r>
      <w:r w:rsidRPr="0023005B">
        <w:rPr>
          <w:rFonts w:ascii="Times New Roman" w:hAnsi="Times New Roman" w:cs="Times New Roman"/>
        </w:rPr>
        <w:t xml:space="preserve"> W ustawie z dnia 9 czerwca 2011 r. Prawo geologiczne i górnicze (Dz. U. z 2015 r., poz. 196 z późn. zm.) </w:t>
      </w:r>
      <w:r w:rsidRPr="009F00F8">
        <w:rPr>
          <w:rFonts w:ascii="Times New Roman" w:hAnsi="Times New Roman" w:cs="Times New Roman"/>
          <w:color w:val="000000" w:themeColor="text1"/>
        </w:rPr>
        <w:t>w art. 34 ust. 1 otrzymuje brzmienie:</w:t>
      </w:r>
    </w:p>
    <w:p w14:paraId="08F45F14" w14:textId="578458CB" w:rsidR="008538E0" w:rsidRDefault="008538E0" w:rsidP="00AD44D9">
      <w:pPr>
        <w:spacing w:before="240"/>
        <w:ind w:left="851"/>
        <w:jc w:val="both"/>
        <w:rPr>
          <w:rFonts w:ascii="Times New Roman" w:hAnsi="Times New Roman" w:cs="Times New Roman"/>
          <w:i/>
          <w:color w:val="000000" w:themeColor="text1"/>
        </w:rPr>
      </w:pPr>
      <w:r w:rsidRPr="00AD44D9">
        <w:rPr>
          <w:rFonts w:ascii="Times New Roman" w:hAnsi="Times New Roman" w:cs="Times New Roman"/>
          <w:i/>
          <w:color w:val="000000" w:themeColor="text1"/>
        </w:rPr>
        <w:t>„1. Organ koncesyjny, na wniosek przedsiębiorcy, któremu została udzielona koncesja może dokonać jej zmiany. Do zmiany koncesji stosuje się odpowiednio przepisy o jej udzieleniu. Współdziałanie z organami określonymi ustawą dotyczy wówczas tylko tych spraw, które są przedmiotem zamierzonej zmiany, w szczególności w zakresie zgodności z przeznaczeniem lub sposobem korzystania z nieruchomości określonym w sposób przewidziany w art. 7. Przepisu art. 155 Kodeksu postępowania administracyjnego nie stosuje się.”</w:t>
      </w:r>
      <w:r w:rsidR="009F00F8" w:rsidRPr="00AD44D9">
        <w:rPr>
          <w:rFonts w:ascii="Times New Roman" w:hAnsi="Times New Roman" w:cs="Times New Roman"/>
          <w:i/>
          <w:color w:val="000000" w:themeColor="text1"/>
        </w:rPr>
        <w:t>.</w:t>
      </w:r>
    </w:p>
    <w:p w14:paraId="1E1F33BD" w14:textId="77777777" w:rsidR="008E0BC8" w:rsidRPr="009573BE" w:rsidRDefault="008E0BC8" w:rsidP="00AD44D9">
      <w:pPr>
        <w:spacing w:before="240"/>
        <w:ind w:left="851"/>
        <w:jc w:val="both"/>
        <w:rPr>
          <w:rFonts w:ascii="Times New Roman" w:hAnsi="Times New Roman" w:cs="Times New Roman"/>
          <w:color w:val="000000" w:themeColor="text1"/>
        </w:rPr>
      </w:pPr>
    </w:p>
    <w:p w14:paraId="2E248F3F" w14:textId="2FCDF9B4" w:rsidR="002D14A3" w:rsidRPr="0023005B" w:rsidRDefault="00373705" w:rsidP="008538E0">
      <w:pPr>
        <w:autoSpaceDE w:val="0"/>
        <w:autoSpaceDN w:val="0"/>
        <w:adjustRightInd w:val="0"/>
        <w:spacing w:before="120" w:after="120"/>
        <w:ind w:firstLine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Art. </w:t>
      </w:r>
      <w:r w:rsidR="008538E0">
        <w:rPr>
          <w:rFonts w:ascii="Times New Roman" w:eastAsia="Calibri" w:hAnsi="Times New Roman" w:cs="Times New Roman"/>
          <w:b/>
        </w:rPr>
        <w:t>2</w:t>
      </w:r>
      <w:r w:rsidR="002D14A3" w:rsidRPr="0023005B">
        <w:rPr>
          <w:rFonts w:ascii="Times New Roman" w:eastAsia="Calibri" w:hAnsi="Times New Roman" w:cs="Times New Roman"/>
          <w:b/>
        </w:rPr>
        <w:t>.</w:t>
      </w:r>
      <w:r w:rsidR="002D14A3" w:rsidRPr="0023005B">
        <w:rPr>
          <w:rFonts w:ascii="Times New Roman" w:eastAsia="Calibri" w:hAnsi="Times New Roman" w:cs="Times New Roman"/>
        </w:rPr>
        <w:t xml:space="preserve"> W ustawie z dnia 11 lipca 2014 r. – o zmianie ustawy - Prawo geologiczne i górnicze oraz niektórych innych ustaw (Dz.U. z 2014 r. poz. 1133) wprowadza się następujące zmiany:   </w:t>
      </w:r>
    </w:p>
    <w:p w14:paraId="4B983E8D" w14:textId="77777777" w:rsidR="002D14A3" w:rsidRPr="0023005B" w:rsidRDefault="002D14A3" w:rsidP="0023005B">
      <w:pPr>
        <w:numPr>
          <w:ilvl w:val="0"/>
          <w:numId w:val="5"/>
        </w:numPr>
        <w:suppressAutoHyphens/>
        <w:spacing w:before="120" w:after="120"/>
        <w:jc w:val="both"/>
        <w:rPr>
          <w:rFonts w:ascii="Times New Roman" w:eastAsia="Calibri" w:hAnsi="Times New Roman" w:cs="Times New Roman"/>
        </w:rPr>
      </w:pPr>
      <w:r w:rsidRPr="0023005B">
        <w:rPr>
          <w:rFonts w:ascii="Times New Roman" w:eastAsia="Calibri" w:hAnsi="Times New Roman" w:cs="Times New Roman"/>
        </w:rPr>
        <w:t>w art. 8 ust. 1 otrzymuje brzmienie:</w:t>
      </w:r>
    </w:p>
    <w:p w14:paraId="2AA478D2" w14:textId="77777777" w:rsidR="002D14A3" w:rsidRPr="00AD44D9" w:rsidRDefault="002D14A3" w:rsidP="00AD44D9">
      <w:pPr>
        <w:spacing w:before="120" w:after="120"/>
        <w:ind w:left="851"/>
        <w:jc w:val="both"/>
        <w:rPr>
          <w:rFonts w:ascii="Times New Roman" w:eastAsia="Calibri" w:hAnsi="Times New Roman" w:cs="Times New Roman"/>
          <w:i/>
        </w:rPr>
      </w:pPr>
      <w:r w:rsidRPr="00AD44D9">
        <w:rPr>
          <w:rFonts w:ascii="Times New Roman" w:eastAsia="Calibri" w:hAnsi="Times New Roman" w:cs="Times New Roman"/>
          <w:i/>
        </w:rPr>
        <w:t>„1. Koncesje na poszukiwanie lub rozpoznawanie złóż węglowodorów, udzielone na podstawie przepisów dotychczasowych, zachowują ważność do dnia upływu terminu, na który zostały udzielone, z zastrzeżeniem art. 9 i art. 10.”</w:t>
      </w:r>
    </w:p>
    <w:p w14:paraId="02BBE2B7" w14:textId="77777777" w:rsidR="002D14A3" w:rsidRPr="0023005B" w:rsidRDefault="002D14A3" w:rsidP="0023005B">
      <w:pPr>
        <w:numPr>
          <w:ilvl w:val="0"/>
          <w:numId w:val="5"/>
        </w:numPr>
        <w:suppressAutoHyphens/>
        <w:spacing w:before="120" w:after="120"/>
        <w:jc w:val="both"/>
        <w:rPr>
          <w:rFonts w:ascii="Times New Roman" w:eastAsia="Calibri" w:hAnsi="Times New Roman" w:cs="Times New Roman"/>
        </w:rPr>
      </w:pPr>
      <w:r w:rsidRPr="0023005B">
        <w:rPr>
          <w:rFonts w:ascii="Times New Roman" w:eastAsia="Calibri" w:hAnsi="Times New Roman" w:cs="Times New Roman"/>
        </w:rPr>
        <w:t>w art. 8 ust. 3 otrzymuje brzmienie:</w:t>
      </w:r>
    </w:p>
    <w:p w14:paraId="7CF53276" w14:textId="77777777" w:rsidR="002D14A3" w:rsidRPr="00AD44D9" w:rsidRDefault="002D14A3" w:rsidP="00AD44D9">
      <w:pPr>
        <w:spacing w:before="120" w:after="120"/>
        <w:ind w:left="851"/>
        <w:jc w:val="both"/>
        <w:rPr>
          <w:rFonts w:ascii="Times New Roman" w:eastAsia="Calibri" w:hAnsi="Times New Roman" w:cs="Times New Roman"/>
          <w:i/>
        </w:rPr>
      </w:pPr>
      <w:r w:rsidRPr="00AD44D9">
        <w:rPr>
          <w:rFonts w:ascii="Times New Roman" w:eastAsia="Calibri" w:hAnsi="Times New Roman" w:cs="Times New Roman"/>
          <w:i/>
        </w:rPr>
        <w:t>„3. Koncesje na wydobywanie węglowodorów ze złóż, udzielone na podstawie przepisów dotychczasowych, zachowują ważność do dnia upływu terminu, na który zostały udzielone.”</w:t>
      </w:r>
    </w:p>
    <w:p w14:paraId="09D2AFF9" w14:textId="77777777" w:rsidR="002D14A3" w:rsidRPr="0023005B" w:rsidRDefault="002D14A3" w:rsidP="0023005B">
      <w:pPr>
        <w:numPr>
          <w:ilvl w:val="0"/>
          <w:numId w:val="5"/>
        </w:numPr>
        <w:suppressAutoHyphens/>
        <w:spacing w:before="120" w:after="120"/>
        <w:jc w:val="both"/>
        <w:rPr>
          <w:rFonts w:ascii="Times New Roman" w:eastAsia="Calibri" w:hAnsi="Times New Roman" w:cs="Times New Roman"/>
        </w:rPr>
      </w:pPr>
      <w:r w:rsidRPr="0023005B">
        <w:rPr>
          <w:rFonts w:ascii="Times New Roman" w:eastAsia="Calibri" w:hAnsi="Times New Roman" w:cs="Times New Roman"/>
        </w:rPr>
        <w:t>w art. 12 ust. 1 otrzymuje brzmienie:</w:t>
      </w:r>
    </w:p>
    <w:p w14:paraId="72B5A4A4" w14:textId="77777777" w:rsidR="002D14A3" w:rsidRPr="00AD44D9" w:rsidRDefault="002D14A3" w:rsidP="00AD44D9">
      <w:pPr>
        <w:spacing w:before="120" w:after="120"/>
        <w:ind w:left="851"/>
        <w:jc w:val="both"/>
        <w:rPr>
          <w:rFonts w:ascii="Times New Roman" w:eastAsia="Calibri" w:hAnsi="Times New Roman" w:cs="Times New Roman"/>
          <w:i/>
        </w:rPr>
      </w:pPr>
      <w:r w:rsidRPr="00AD44D9">
        <w:rPr>
          <w:rFonts w:ascii="Times New Roman" w:eastAsia="Calibri" w:hAnsi="Times New Roman" w:cs="Times New Roman"/>
          <w:i/>
        </w:rPr>
        <w:t>„1. Do postępowań w sprawie udzielenia lub zmiany koncesji na wydobywanie węglowodorów ze złoża wszczętych i niezakończonych przed dniem wejścia w życie niniejszej ustawy stosuje się przepisy dotychczasowe.”</w:t>
      </w:r>
    </w:p>
    <w:p w14:paraId="3D7A28D4" w14:textId="77777777" w:rsidR="002D14A3" w:rsidRPr="0023005B" w:rsidRDefault="002D14A3" w:rsidP="0023005B">
      <w:pPr>
        <w:numPr>
          <w:ilvl w:val="0"/>
          <w:numId w:val="5"/>
        </w:numPr>
        <w:suppressAutoHyphens/>
        <w:spacing w:before="120" w:after="120"/>
        <w:jc w:val="both"/>
        <w:rPr>
          <w:rFonts w:ascii="Times New Roman" w:eastAsia="Calibri" w:hAnsi="Times New Roman" w:cs="Times New Roman"/>
        </w:rPr>
      </w:pPr>
      <w:r w:rsidRPr="0023005B">
        <w:rPr>
          <w:rFonts w:ascii="Times New Roman" w:eastAsia="Calibri" w:hAnsi="Times New Roman" w:cs="Times New Roman"/>
        </w:rPr>
        <w:t>w art. 12 po ust. 13 dodaje się ust. 14:</w:t>
      </w:r>
    </w:p>
    <w:p w14:paraId="127D3398" w14:textId="281B6ED0" w:rsidR="002D14A3" w:rsidRPr="00AD44D9" w:rsidRDefault="002D14A3" w:rsidP="00AD44D9">
      <w:pPr>
        <w:spacing w:before="120" w:after="120"/>
        <w:ind w:left="851"/>
        <w:jc w:val="both"/>
        <w:rPr>
          <w:rFonts w:ascii="Times New Roman" w:eastAsia="Calibri" w:hAnsi="Times New Roman" w:cs="Times New Roman"/>
          <w:i/>
        </w:rPr>
      </w:pPr>
      <w:r w:rsidRPr="00AD44D9">
        <w:rPr>
          <w:rFonts w:ascii="Times New Roman" w:eastAsia="Calibri" w:hAnsi="Times New Roman" w:cs="Times New Roman"/>
          <w:i/>
        </w:rPr>
        <w:t>„14. Do postępowań w sprawie zmiany koncesji na wydobywanie węglowodorów ze złoża wszczętych i niezakończonych przed dniem wejścia w życie niniejszej ustawy przepisy ust. 1-13 stosuje się odpowiednio.”</w:t>
      </w:r>
      <w:r w:rsidR="009F00F8" w:rsidRPr="00AD44D9">
        <w:rPr>
          <w:rFonts w:ascii="Times New Roman" w:eastAsia="Calibri" w:hAnsi="Times New Roman" w:cs="Times New Roman"/>
          <w:i/>
        </w:rPr>
        <w:t>.</w:t>
      </w:r>
    </w:p>
    <w:p w14:paraId="0D0F8985" w14:textId="77777777" w:rsidR="009F00F8" w:rsidRPr="0023005B" w:rsidRDefault="009F00F8" w:rsidP="0023005B">
      <w:pPr>
        <w:spacing w:before="120" w:after="120"/>
        <w:jc w:val="both"/>
        <w:rPr>
          <w:rFonts w:ascii="Times New Roman" w:eastAsia="Calibri" w:hAnsi="Times New Roman" w:cs="Times New Roman"/>
        </w:rPr>
      </w:pPr>
    </w:p>
    <w:p w14:paraId="1A0739BA" w14:textId="17AAC335" w:rsidR="00211521" w:rsidRPr="0023005B" w:rsidRDefault="009F00F8" w:rsidP="009F00F8">
      <w:pPr>
        <w:ind w:firstLine="426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>Art. 3</w:t>
      </w:r>
      <w:r w:rsidRPr="0023005B">
        <w:rPr>
          <w:rFonts w:ascii="Times New Roman" w:eastAsia="Calibri" w:hAnsi="Times New Roman" w:cs="Times New Roman"/>
          <w:b/>
        </w:rPr>
        <w:t>.</w:t>
      </w:r>
      <w:r w:rsidRPr="0023005B">
        <w:rPr>
          <w:rFonts w:ascii="Times New Roman" w:eastAsia="Calibri" w:hAnsi="Times New Roman" w:cs="Times New Roman"/>
        </w:rPr>
        <w:t xml:space="preserve"> </w:t>
      </w:r>
      <w:r w:rsidR="00373705">
        <w:rPr>
          <w:rFonts w:ascii="Times New Roman" w:hAnsi="Times New Roman" w:cs="Times New Roman"/>
        </w:rPr>
        <w:t xml:space="preserve">Ustawa wchodzi w życie </w:t>
      </w:r>
      <w:r w:rsidR="008538E0">
        <w:rPr>
          <w:rFonts w:ascii="Times New Roman" w:hAnsi="Times New Roman" w:cs="Times New Roman"/>
        </w:rPr>
        <w:t xml:space="preserve">po upływie 14 dni od </w:t>
      </w:r>
      <w:r w:rsidR="00373705">
        <w:rPr>
          <w:rFonts w:ascii="Times New Roman" w:hAnsi="Times New Roman" w:cs="Times New Roman"/>
        </w:rPr>
        <w:t>ogłoszenia.</w:t>
      </w:r>
    </w:p>
    <w:p w14:paraId="7DBAC786" w14:textId="77777777" w:rsidR="00841D70" w:rsidRDefault="00841D70" w:rsidP="0023005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52DF8C49" w14:textId="77777777" w:rsidR="002D14A3" w:rsidRPr="00C05F18" w:rsidRDefault="002D14A3" w:rsidP="0023005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C05F18">
        <w:rPr>
          <w:rFonts w:ascii="Times New Roman" w:eastAsia="Calibri" w:hAnsi="Times New Roman" w:cs="Times New Roman"/>
          <w:b/>
          <w:sz w:val="24"/>
        </w:rPr>
        <w:t>Uzasadnienie</w:t>
      </w:r>
    </w:p>
    <w:p w14:paraId="0A820A43" w14:textId="77777777" w:rsidR="002D14A3" w:rsidRPr="0023005B" w:rsidRDefault="002D14A3" w:rsidP="0023005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39D05E18" w14:textId="005BA80A" w:rsidR="002D14A3" w:rsidRPr="008538E0" w:rsidRDefault="002D14A3" w:rsidP="00C25F7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lang w:eastAsia="pl-PL"/>
        </w:rPr>
      </w:pPr>
      <w:r w:rsidRPr="008538E0">
        <w:rPr>
          <w:rFonts w:ascii="Times New Roman" w:eastAsia="Calibri" w:hAnsi="Times New Roman" w:cs="Times New Roman"/>
          <w:color w:val="000000" w:themeColor="text1"/>
        </w:rPr>
        <w:t xml:space="preserve">W związku z prawie rocznym doświadczeniem w stosowaniu znowelizowanej w 2014 roku </w:t>
      </w:r>
      <w:r w:rsidRPr="008538E0">
        <w:rPr>
          <w:rFonts w:ascii="Times New Roman" w:eastAsia="Calibri" w:hAnsi="Times New Roman" w:cs="Times New Roman"/>
          <w:bCs/>
          <w:color w:val="000000" w:themeColor="text1"/>
          <w:lang w:eastAsia="pl-PL"/>
        </w:rPr>
        <w:t>ustawy Prawo geologiczne i górnicze pojawiły się problemy w jej prawidłowym interpretowaniu, a niekiedy błędy uniemożliwiające prawidłowe prowadzenie postępowań w odniesieniu do działalności</w:t>
      </w:r>
      <w:r w:rsidR="00C25F77">
        <w:rPr>
          <w:rFonts w:ascii="Times New Roman" w:eastAsia="Calibri" w:hAnsi="Times New Roman" w:cs="Times New Roman"/>
          <w:bCs/>
          <w:color w:val="000000" w:themeColor="text1"/>
          <w:lang w:eastAsia="pl-PL"/>
        </w:rPr>
        <w:t>,</w:t>
      </w:r>
      <w:r w:rsidRPr="008538E0">
        <w:rPr>
          <w:rFonts w:ascii="Times New Roman" w:eastAsia="Calibri" w:hAnsi="Times New Roman" w:cs="Times New Roman"/>
          <w:bCs/>
          <w:color w:val="000000" w:themeColor="text1"/>
          <w:lang w:eastAsia="pl-PL"/>
        </w:rPr>
        <w:t xml:space="preserve"> polegającej na poszukiwaniu, rozpoznawaniu i wydobywaniu węglowodorów. </w:t>
      </w:r>
      <w:r w:rsidR="008538E0" w:rsidRPr="008538E0">
        <w:rPr>
          <w:rFonts w:ascii="Times New Roman" w:eastAsia="Calibri" w:hAnsi="Times New Roman" w:cs="Times New Roman"/>
          <w:bCs/>
          <w:color w:val="000000" w:themeColor="text1"/>
          <w:lang w:eastAsia="pl-PL"/>
        </w:rPr>
        <w:t>Koniecznym staje się wprowadzenie samoistnej podstawy prawnej w przypadku zmiany koncesji oraz</w:t>
      </w:r>
      <w:r w:rsidRPr="008538E0">
        <w:rPr>
          <w:rFonts w:ascii="Times New Roman" w:eastAsia="Calibri" w:hAnsi="Times New Roman" w:cs="Times New Roman"/>
          <w:bCs/>
          <w:color w:val="000000" w:themeColor="text1"/>
          <w:lang w:eastAsia="pl-PL"/>
        </w:rPr>
        <w:t xml:space="preserve"> </w:t>
      </w:r>
      <w:r w:rsidR="008538E0" w:rsidRPr="008538E0">
        <w:rPr>
          <w:rFonts w:ascii="Times New Roman" w:eastAsia="Calibri" w:hAnsi="Times New Roman" w:cs="Times New Roman"/>
          <w:bCs/>
          <w:color w:val="000000" w:themeColor="text1"/>
          <w:lang w:eastAsia="pl-PL"/>
        </w:rPr>
        <w:t>korekty</w:t>
      </w:r>
      <w:r w:rsidRPr="008538E0">
        <w:rPr>
          <w:rFonts w:ascii="Times New Roman" w:eastAsia="Calibri" w:hAnsi="Times New Roman" w:cs="Times New Roman"/>
          <w:bCs/>
          <w:color w:val="000000" w:themeColor="text1"/>
          <w:lang w:eastAsia="pl-PL"/>
        </w:rPr>
        <w:t xml:space="preserve"> przepisów przejściowych</w:t>
      </w:r>
      <w:r w:rsidR="00C25F77">
        <w:rPr>
          <w:rFonts w:ascii="Times New Roman" w:eastAsia="Calibri" w:hAnsi="Times New Roman" w:cs="Times New Roman"/>
          <w:bCs/>
          <w:color w:val="000000" w:themeColor="text1"/>
          <w:lang w:eastAsia="pl-PL"/>
        </w:rPr>
        <w:t>,</w:t>
      </w:r>
      <w:r w:rsidRPr="008538E0">
        <w:rPr>
          <w:rFonts w:ascii="Times New Roman" w:eastAsia="Calibri" w:hAnsi="Times New Roman" w:cs="Times New Roman"/>
          <w:bCs/>
          <w:color w:val="000000" w:themeColor="text1"/>
          <w:lang w:eastAsia="pl-PL"/>
        </w:rPr>
        <w:t xml:space="preserve"> regulujących kwestie koncesji udzielonych na podstawie przepisów sprzed wejścia w życie ww. nowelizacji, w tym spraw dotyczących niezwykle ważnych praw nabytych takich jak prawo podmiotu, który odkrył i udokumentował złoże do uzyskania koncesji na wydobywanie węglowodorów z tego złoża.</w:t>
      </w:r>
    </w:p>
    <w:p w14:paraId="3A63A43F" w14:textId="72198730" w:rsidR="008538E0" w:rsidRPr="008538E0" w:rsidRDefault="008538E0" w:rsidP="00C25F7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538E0">
        <w:rPr>
          <w:rFonts w:ascii="Times New Roman" w:eastAsia="Calibri" w:hAnsi="Times New Roman" w:cs="Times New Roman"/>
          <w:color w:val="000000" w:themeColor="text1"/>
          <w:lang w:eastAsia="pl-PL"/>
        </w:rPr>
        <w:t>Zmiana art. 34 ust. 1 ma na celu doprecyzowanie materialnej podstawy prawnej zmiany koncesji na wniosek przedsiębiorcy, którym jest cytowany przepis oraz wyeliminowanie istniejących wątpliwości co do tego,  czy art. 34 ust. 1 stanowi samodzielną regulację instytucji zmiany koncesji, czy też wymagane jest jej dokonanie również na podstawie art. 155 K.p.a</w:t>
      </w:r>
      <w:r w:rsidR="00DE348E">
        <w:rPr>
          <w:rFonts w:ascii="Times New Roman" w:eastAsia="Calibri" w:hAnsi="Times New Roman" w:cs="Times New Roman"/>
          <w:color w:val="000000" w:themeColor="text1"/>
          <w:lang w:eastAsia="pl-PL"/>
        </w:rPr>
        <w:t>.</w:t>
      </w:r>
    </w:p>
    <w:p w14:paraId="7456D20B" w14:textId="1CE0B776" w:rsidR="002D14A3" w:rsidRPr="008538E0" w:rsidRDefault="002D14A3" w:rsidP="00C25F7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lang w:eastAsia="pl-PL"/>
        </w:rPr>
      </w:pPr>
      <w:r w:rsidRPr="008538E0">
        <w:rPr>
          <w:rFonts w:ascii="Times New Roman" w:eastAsia="Calibri" w:hAnsi="Times New Roman" w:cs="Times New Roman"/>
          <w:bCs/>
          <w:color w:val="000000" w:themeColor="text1"/>
          <w:lang w:eastAsia="pl-PL"/>
        </w:rPr>
        <w:t>Szczegółowe uzasadnienie dla zaproponowanych zmian w ustawie z 2014 roku nowelizującej Prawo geologiczne i górnicze:</w:t>
      </w:r>
    </w:p>
    <w:p w14:paraId="41C4EA6E" w14:textId="08FC6EE7" w:rsidR="002D14A3" w:rsidRPr="0023005B" w:rsidRDefault="008A6B57" w:rsidP="00C25F7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-</w:t>
      </w:r>
      <w:r w:rsidR="00C25F77">
        <w:rPr>
          <w:rFonts w:ascii="Times New Roman" w:eastAsia="Calibri" w:hAnsi="Times New Roman" w:cs="Times New Roman"/>
          <w:lang w:eastAsia="pl-PL"/>
        </w:rPr>
        <w:t>z</w:t>
      </w:r>
      <w:r w:rsidR="002D14A3" w:rsidRPr="0023005B">
        <w:rPr>
          <w:rFonts w:ascii="Times New Roman" w:eastAsia="Calibri" w:hAnsi="Times New Roman" w:cs="Times New Roman"/>
          <w:lang w:eastAsia="pl-PL"/>
        </w:rPr>
        <w:t>miana w art. 8 ustępu 1 i 3 oraz art. 13 ust. 1 i 3 usuwa błąd ustawy</w:t>
      </w:r>
      <w:r w:rsidR="00C25F77">
        <w:rPr>
          <w:rFonts w:ascii="Times New Roman" w:eastAsia="Calibri" w:hAnsi="Times New Roman" w:cs="Times New Roman"/>
          <w:lang w:eastAsia="pl-PL"/>
        </w:rPr>
        <w:t>,</w:t>
      </w:r>
      <w:r w:rsidR="002D14A3" w:rsidRPr="0023005B">
        <w:rPr>
          <w:rFonts w:ascii="Times New Roman" w:eastAsia="Calibri" w:hAnsi="Times New Roman" w:cs="Times New Roman"/>
          <w:lang w:eastAsia="pl-PL"/>
        </w:rPr>
        <w:t xml:space="preserve"> polegający na nie uwzględnieniu koncesji wydanych po wejściu w życie ustawy zmieniającej ustawę Prawo geologiczne i górnicze</w:t>
      </w:r>
      <w:r w:rsidR="00C25F77">
        <w:rPr>
          <w:rFonts w:ascii="Times New Roman" w:eastAsia="Calibri" w:hAnsi="Times New Roman" w:cs="Times New Roman"/>
          <w:lang w:eastAsia="pl-PL"/>
        </w:rPr>
        <w:t>,</w:t>
      </w:r>
      <w:r w:rsidR="002D14A3" w:rsidRPr="0023005B">
        <w:rPr>
          <w:rFonts w:ascii="Times New Roman" w:eastAsia="Calibri" w:hAnsi="Times New Roman" w:cs="Times New Roman"/>
          <w:lang w:eastAsia="pl-PL"/>
        </w:rPr>
        <w:t xml:space="preserve"> ale na podstawie przepisów sprzed jej wejścia w życie. W praktyce oznacza to, że koncesje wydane po 1 stycznia 2015 roku nie istnieją w świetle przepisów przejściowych i nie ma u</w:t>
      </w:r>
      <w:r w:rsidR="00C25F77">
        <w:rPr>
          <w:rFonts w:ascii="Times New Roman" w:eastAsia="Calibri" w:hAnsi="Times New Roman" w:cs="Times New Roman"/>
          <w:lang w:eastAsia="pl-PL"/>
        </w:rPr>
        <w:t>regulowań co do ich wykonywania;</w:t>
      </w:r>
    </w:p>
    <w:p w14:paraId="2C766AE1" w14:textId="20CCF415" w:rsidR="008A6B57" w:rsidRDefault="008A6B57" w:rsidP="00533C0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-</w:t>
      </w:r>
      <w:r w:rsidR="00C25F77">
        <w:rPr>
          <w:rFonts w:ascii="Times New Roman" w:eastAsia="Calibri" w:hAnsi="Times New Roman" w:cs="Times New Roman"/>
          <w:lang w:eastAsia="pl-PL"/>
        </w:rPr>
        <w:t>z</w:t>
      </w:r>
      <w:r w:rsidR="002D14A3" w:rsidRPr="0023005B">
        <w:rPr>
          <w:rFonts w:ascii="Times New Roman" w:eastAsia="Calibri" w:hAnsi="Times New Roman" w:cs="Times New Roman"/>
          <w:lang w:eastAsia="pl-PL"/>
        </w:rPr>
        <w:t xml:space="preserve">miana w art. 12 ust. 1 i dodanie ust. 14 </w:t>
      </w:r>
      <w:r w:rsidR="00C25F77">
        <w:rPr>
          <w:rFonts w:ascii="Times New Roman" w:eastAsia="Calibri" w:hAnsi="Times New Roman" w:cs="Times New Roman"/>
          <w:lang w:eastAsia="pl-PL"/>
        </w:rPr>
        <w:t>ma na celu</w:t>
      </w:r>
      <w:r w:rsidR="002D14A3" w:rsidRPr="0023005B">
        <w:rPr>
          <w:rFonts w:ascii="Times New Roman" w:eastAsia="Calibri" w:hAnsi="Times New Roman" w:cs="Times New Roman"/>
          <w:lang w:eastAsia="pl-PL"/>
        </w:rPr>
        <w:t xml:space="preserve"> naprawieni</w:t>
      </w:r>
      <w:r w:rsidR="00C25F77">
        <w:rPr>
          <w:rFonts w:ascii="Times New Roman" w:eastAsia="Calibri" w:hAnsi="Times New Roman" w:cs="Times New Roman"/>
          <w:lang w:eastAsia="pl-PL"/>
        </w:rPr>
        <w:t>e</w:t>
      </w:r>
      <w:r w:rsidR="002D14A3" w:rsidRPr="0023005B">
        <w:rPr>
          <w:rFonts w:ascii="Times New Roman" w:eastAsia="Calibri" w:hAnsi="Times New Roman" w:cs="Times New Roman"/>
          <w:lang w:eastAsia="pl-PL"/>
        </w:rPr>
        <w:t xml:space="preserve"> błędu ustawy</w:t>
      </w:r>
      <w:r w:rsidR="00C25F77">
        <w:rPr>
          <w:rFonts w:ascii="Times New Roman" w:eastAsia="Calibri" w:hAnsi="Times New Roman" w:cs="Times New Roman"/>
          <w:lang w:eastAsia="pl-PL"/>
        </w:rPr>
        <w:t>,</w:t>
      </w:r>
      <w:r w:rsidR="002D14A3" w:rsidRPr="0023005B">
        <w:rPr>
          <w:rFonts w:ascii="Times New Roman" w:eastAsia="Calibri" w:hAnsi="Times New Roman" w:cs="Times New Roman"/>
          <w:lang w:eastAsia="pl-PL"/>
        </w:rPr>
        <w:t xml:space="preserve"> polegającym na nieuwzględnieniu postępowań w sprawie zmiany koncesji na wydobywanie węglowodorów ze złoża wszczętych i niezakończonych przed dniem wejścia w życie ustawy. W przypadku koncesji na poszukiwanie i rozpoznawanie złóż węglowodorów taki przepis został zawarty w art. 11</w:t>
      </w:r>
      <w:r w:rsidR="00C25F77">
        <w:rPr>
          <w:rFonts w:ascii="Times New Roman" w:eastAsia="Calibri" w:hAnsi="Times New Roman" w:cs="Times New Roman"/>
          <w:lang w:eastAsia="pl-PL"/>
        </w:rPr>
        <w:t>,</w:t>
      </w:r>
      <w:r w:rsidR="002D14A3" w:rsidRPr="0023005B">
        <w:rPr>
          <w:rFonts w:ascii="Times New Roman" w:eastAsia="Calibri" w:hAnsi="Times New Roman" w:cs="Times New Roman"/>
          <w:lang w:eastAsia="pl-PL"/>
        </w:rPr>
        <w:t xml:space="preserve"> a w odniesieniu do koncesji na wydobywanie węglowodorów ze złóż</w:t>
      </w:r>
      <w:r w:rsidR="00C25F77">
        <w:rPr>
          <w:rFonts w:ascii="Times New Roman" w:eastAsia="Calibri" w:hAnsi="Times New Roman" w:cs="Times New Roman"/>
          <w:lang w:eastAsia="pl-PL"/>
        </w:rPr>
        <w:t>,</w:t>
      </w:r>
      <w:r w:rsidR="002D14A3" w:rsidRPr="0023005B">
        <w:rPr>
          <w:rFonts w:ascii="Times New Roman" w:eastAsia="Calibri" w:hAnsi="Times New Roman" w:cs="Times New Roman"/>
          <w:lang w:eastAsia="pl-PL"/>
        </w:rPr>
        <w:t xml:space="preserve"> </w:t>
      </w:r>
      <w:r w:rsidR="00C25F77" w:rsidRPr="0023005B">
        <w:rPr>
          <w:rFonts w:ascii="Times New Roman" w:eastAsia="Calibri" w:hAnsi="Times New Roman" w:cs="Times New Roman"/>
          <w:lang w:eastAsia="pl-PL"/>
        </w:rPr>
        <w:t xml:space="preserve">zostało to </w:t>
      </w:r>
      <w:r w:rsidR="002D14A3" w:rsidRPr="0023005B">
        <w:rPr>
          <w:rFonts w:ascii="Times New Roman" w:eastAsia="Calibri" w:hAnsi="Times New Roman" w:cs="Times New Roman"/>
          <w:lang w:eastAsia="pl-PL"/>
        </w:rPr>
        <w:t>omyłkowo pominięte.</w:t>
      </w:r>
    </w:p>
    <w:p w14:paraId="7429E984" w14:textId="23798AC3" w:rsidR="00A763F4" w:rsidRDefault="00533C07" w:rsidP="00A763F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Wnioskodawcy nie dopatrzyli się skutków społecznych projektowanej regulacji. Skutkiem gospodarczym będzie </w:t>
      </w:r>
      <w:r w:rsidR="00885B2B">
        <w:rPr>
          <w:rFonts w:ascii="Times New Roman" w:eastAsia="Calibri" w:hAnsi="Times New Roman" w:cs="Times New Roman"/>
          <w:lang w:eastAsia="pl-PL"/>
        </w:rPr>
        <w:t>możliwość dokonania zmiany udzielonej koncesji przez organ koncesyjny. Projektowana regulacja nie pociąga za sobą skutków finansowych, tj. nie stanowi dodatkowego obciążenia dla budżetu pa</w:t>
      </w:r>
      <w:r w:rsidR="001E237E">
        <w:rPr>
          <w:rFonts w:ascii="Times New Roman" w:eastAsia="Calibri" w:hAnsi="Times New Roman" w:cs="Times New Roman"/>
          <w:lang w:eastAsia="pl-PL"/>
        </w:rPr>
        <w:t>ń</w:t>
      </w:r>
      <w:r w:rsidR="00885B2B">
        <w:rPr>
          <w:rFonts w:ascii="Times New Roman" w:eastAsia="Calibri" w:hAnsi="Times New Roman" w:cs="Times New Roman"/>
          <w:lang w:eastAsia="pl-PL"/>
        </w:rPr>
        <w:t>stwa lub budżetów jednostek samorządu terytorialnego. Skutkiem prawnym przedmiotowej zmiany będzie uprawnienie nadane organowi koncesyjnemu do zmiany udzielonej koncesji i wyłączenie stosowania art. 155 Kodeksu postępowania administracyjnego w tym postępowaniu.</w:t>
      </w:r>
      <w:r w:rsidR="00A763F4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6B57FC23" w14:textId="06F05E8C" w:rsidR="00885B2B" w:rsidRDefault="00885B2B" w:rsidP="00A763F4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Projekt nie wymaga wydania aktów wykonawczych.</w:t>
      </w:r>
    </w:p>
    <w:p w14:paraId="185F2325" w14:textId="625A0243" w:rsidR="00885B2B" w:rsidRPr="0023005B" w:rsidRDefault="00885B2B" w:rsidP="00A763F4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lastRenderedPageBreak/>
        <w:t xml:space="preserve">Projekt jest zgodny z prawem Unii Europejskiej. </w:t>
      </w:r>
    </w:p>
    <w:sectPr w:rsidR="00885B2B" w:rsidRPr="0023005B" w:rsidSect="00913F20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82516" w14:textId="77777777" w:rsidR="00960AD4" w:rsidRDefault="00960AD4" w:rsidP="002D14A3">
      <w:pPr>
        <w:spacing w:after="0" w:line="240" w:lineRule="auto"/>
      </w:pPr>
      <w:r>
        <w:separator/>
      </w:r>
    </w:p>
  </w:endnote>
  <w:endnote w:type="continuationSeparator" w:id="0">
    <w:p w14:paraId="52A683A4" w14:textId="77777777" w:rsidR="00960AD4" w:rsidRDefault="00960AD4" w:rsidP="002D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15225"/>
      <w:docPartObj>
        <w:docPartGallery w:val="Page Numbers (Bottom of Page)"/>
        <w:docPartUnique/>
      </w:docPartObj>
    </w:sdtPr>
    <w:sdtEndPr/>
    <w:sdtContent>
      <w:p w14:paraId="0002D535" w14:textId="59FB5C49" w:rsidR="003A7DE5" w:rsidRDefault="003A7D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4CA">
          <w:rPr>
            <w:noProof/>
          </w:rPr>
          <w:t>1</w:t>
        </w:r>
        <w:r>
          <w:fldChar w:fldCharType="end"/>
        </w:r>
      </w:p>
    </w:sdtContent>
  </w:sdt>
  <w:p w14:paraId="07BA135F" w14:textId="77777777" w:rsidR="003A7DE5" w:rsidRDefault="003A7D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3BAFE" w14:textId="77777777" w:rsidR="00960AD4" w:rsidRDefault="00960AD4" w:rsidP="002D14A3">
      <w:pPr>
        <w:spacing w:after="0" w:line="240" w:lineRule="auto"/>
      </w:pPr>
      <w:r>
        <w:separator/>
      </w:r>
    </w:p>
  </w:footnote>
  <w:footnote w:type="continuationSeparator" w:id="0">
    <w:p w14:paraId="5D3A64B5" w14:textId="77777777" w:rsidR="00960AD4" w:rsidRDefault="00960AD4" w:rsidP="002D1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4B2"/>
    <w:multiLevelType w:val="hybridMultilevel"/>
    <w:tmpl w:val="526C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82A90"/>
    <w:multiLevelType w:val="hybridMultilevel"/>
    <w:tmpl w:val="36908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9465E"/>
    <w:multiLevelType w:val="hybridMultilevel"/>
    <w:tmpl w:val="E2D81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B2541"/>
    <w:multiLevelType w:val="hybridMultilevel"/>
    <w:tmpl w:val="F866EB24"/>
    <w:lvl w:ilvl="0" w:tplc="26BA281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AA0EEB"/>
    <w:multiLevelType w:val="hybridMultilevel"/>
    <w:tmpl w:val="41AE0398"/>
    <w:lvl w:ilvl="0" w:tplc="E9DA00D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C4615F6"/>
    <w:multiLevelType w:val="hybridMultilevel"/>
    <w:tmpl w:val="AB0A3AD0"/>
    <w:lvl w:ilvl="0" w:tplc="4E84814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0ED06961"/>
    <w:multiLevelType w:val="hybridMultilevel"/>
    <w:tmpl w:val="EF82D598"/>
    <w:lvl w:ilvl="0" w:tplc="0B7620E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11397715"/>
    <w:multiLevelType w:val="hybridMultilevel"/>
    <w:tmpl w:val="895C33BC"/>
    <w:lvl w:ilvl="0" w:tplc="04150011">
      <w:start w:val="6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A40DA"/>
    <w:multiLevelType w:val="hybridMultilevel"/>
    <w:tmpl w:val="BA803F58"/>
    <w:lvl w:ilvl="0" w:tplc="39EEF1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2F01EF"/>
    <w:multiLevelType w:val="hybridMultilevel"/>
    <w:tmpl w:val="51BE5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12781"/>
    <w:multiLevelType w:val="hybridMultilevel"/>
    <w:tmpl w:val="8CEE0406"/>
    <w:lvl w:ilvl="0" w:tplc="A3DE04E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C1090"/>
    <w:multiLevelType w:val="hybridMultilevel"/>
    <w:tmpl w:val="91143DB2"/>
    <w:lvl w:ilvl="0" w:tplc="0415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E4974"/>
    <w:multiLevelType w:val="hybridMultilevel"/>
    <w:tmpl w:val="22A0A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F3B77"/>
    <w:multiLevelType w:val="hybridMultilevel"/>
    <w:tmpl w:val="02CC92C4"/>
    <w:lvl w:ilvl="0" w:tplc="660AF70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>
    <w:nsid w:val="263C0C90"/>
    <w:multiLevelType w:val="hybridMultilevel"/>
    <w:tmpl w:val="22A0A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95A0F"/>
    <w:multiLevelType w:val="hybridMultilevel"/>
    <w:tmpl w:val="BE9E48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A1D73"/>
    <w:multiLevelType w:val="hybridMultilevel"/>
    <w:tmpl w:val="3E6C09DA"/>
    <w:lvl w:ilvl="0" w:tplc="0415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C220D8"/>
    <w:multiLevelType w:val="hybridMultilevel"/>
    <w:tmpl w:val="4514A45A"/>
    <w:lvl w:ilvl="0" w:tplc="0F0CAA72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>
    <w:nsid w:val="2BC1461F"/>
    <w:multiLevelType w:val="hybridMultilevel"/>
    <w:tmpl w:val="97DEAED8"/>
    <w:lvl w:ilvl="0" w:tplc="A4C6C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DE323DC"/>
    <w:multiLevelType w:val="hybridMultilevel"/>
    <w:tmpl w:val="036CC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17CB1"/>
    <w:multiLevelType w:val="hybridMultilevel"/>
    <w:tmpl w:val="231C4788"/>
    <w:lvl w:ilvl="0" w:tplc="12A6C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84147A"/>
    <w:multiLevelType w:val="hybridMultilevel"/>
    <w:tmpl w:val="9222A760"/>
    <w:lvl w:ilvl="0" w:tplc="DA70AEF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4F2007"/>
    <w:multiLevelType w:val="hybridMultilevel"/>
    <w:tmpl w:val="83503A2C"/>
    <w:lvl w:ilvl="0" w:tplc="D2D0182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3A952881"/>
    <w:multiLevelType w:val="hybridMultilevel"/>
    <w:tmpl w:val="335E257C"/>
    <w:lvl w:ilvl="0" w:tplc="330A8ACC">
      <w:start w:val="1"/>
      <w:numFmt w:val="decimal"/>
      <w:lvlText w:val="%1)"/>
      <w:lvlJc w:val="left"/>
      <w:pPr>
        <w:ind w:left="720" w:hanging="360"/>
      </w:pPr>
      <w:rPr>
        <w:rFonts w:ascii="Times" w:hAnsi="Times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43339"/>
    <w:multiLevelType w:val="hybridMultilevel"/>
    <w:tmpl w:val="9EC69E46"/>
    <w:lvl w:ilvl="0" w:tplc="F6FE0F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BB54019"/>
    <w:multiLevelType w:val="hybridMultilevel"/>
    <w:tmpl w:val="46BADED0"/>
    <w:lvl w:ilvl="0" w:tplc="330A8ACC">
      <w:start w:val="1"/>
      <w:numFmt w:val="decimal"/>
      <w:lvlText w:val="%1)"/>
      <w:lvlJc w:val="left"/>
      <w:pPr>
        <w:ind w:left="720" w:hanging="360"/>
      </w:pPr>
      <w:rPr>
        <w:rFonts w:ascii="Times" w:hAnsi="Times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8C036A"/>
    <w:multiLevelType w:val="hybridMultilevel"/>
    <w:tmpl w:val="BC2EB0BC"/>
    <w:lvl w:ilvl="0" w:tplc="021A1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074DDA"/>
    <w:multiLevelType w:val="hybridMultilevel"/>
    <w:tmpl w:val="29423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9B3035"/>
    <w:multiLevelType w:val="hybridMultilevel"/>
    <w:tmpl w:val="8B0CB28E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933F2A"/>
    <w:multiLevelType w:val="hybridMultilevel"/>
    <w:tmpl w:val="9E4C5A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904E8A"/>
    <w:multiLevelType w:val="hybridMultilevel"/>
    <w:tmpl w:val="4F8062AE"/>
    <w:lvl w:ilvl="0" w:tplc="8364328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>
    <w:nsid w:val="4DDB0FA2"/>
    <w:multiLevelType w:val="hybridMultilevel"/>
    <w:tmpl w:val="DBEEF74A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AF62D7"/>
    <w:multiLevelType w:val="hybridMultilevel"/>
    <w:tmpl w:val="D206C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05494F"/>
    <w:multiLevelType w:val="hybridMultilevel"/>
    <w:tmpl w:val="A01CDED2"/>
    <w:lvl w:ilvl="0" w:tplc="1CE4D8F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>
    <w:nsid w:val="51240BF9"/>
    <w:multiLevelType w:val="hybridMultilevel"/>
    <w:tmpl w:val="82D830D6"/>
    <w:lvl w:ilvl="0" w:tplc="6630C03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>
    <w:nsid w:val="51B26D18"/>
    <w:multiLevelType w:val="hybridMultilevel"/>
    <w:tmpl w:val="9D7C13BC"/>
    <w:lvl w:ilvl="0" w:tplc="04150011">
      <w:start w:val="6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4E51D9"/>
    <w:multiLevelType w:val="hybridMultilevel"/>
    <w:tmpl w:val="2B78DEAE"/>
    <w:lvl w:ilvl="0" w:tplc="2CE0047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7">
    <w:nsid w:val="56BB7C24"/>
    <w:multiLevelType w:val="hybridMultilevel"/>
    <w:tmpl w:val="4628F9D0"/>
    <w:lvl w:ilvl="0" w:tplc="6398404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8">
    <w:nsid w:val="5D6659A5"/>
    <w:multiLevelType w:val="hybridMultilevel"/>
    <w:tmpl w:val="004CB2D2"/>
    <w:lvl w:ilvl="0" w:tplc="C2167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4B711BB"/>
    <w:multiLevelType w:val="hybridMultilevel"/>
    <w:tmpl w:val="E70EA24A"/>
    <w:lvl w:ilvl="0" w:tplc="24F2E45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95C2A59"/>
    <w:multiLevelType w:val="hybridMultilevel"/>
    <w:tmpl w:val="7BFE3BBA"/>
    <w:lvl w:ilvl="0" w:tplc="65E0B4C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1">
    <w:nsid w:val="6F4E4018"/>
    <w:multiLevelType w:val="hybridMultilevel"/>
    <w:tmpl w:val="03E261A8"/>
    <w:lvl w:ilvl="0" w:tplc="FEF002F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C65523"/>
    <w:multiLevelType w:val="hybridMultilevel"/>
    <w:tmpl w:val="700CEA88"/>
    <w:lvl w:ilvl="0" w:tplc="04150011">
      <w:start w:val="3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E04A37"/>
    <w:multiLevelType w:val="hybridMultilevel"/>
    <w:tmpl w:val="44469EBE"/>
    <w:lvl w:ilvl="0" w:tplc="04150011">
      <w:start w:val="2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8F0098"/>
    <w:multiLevelType w:val="hybridMultilevel"/>
    <w:tmpl w:val="F3F49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38"/>
  </w:num>
  <w:num w:numId="4">
    <w:abstractNumId w:val="26"/>
  </w:num>
  <w:num w:numId="5">
    <w:abstractNumId w:val="44"/>
  </w:num>
  <w:num w:numId="6">
    <w:abstractNumId w:val="34"/>
  </w:num>
  <w:num w:numId="7">
    <w:abstractNumId w:val="22"/>
  </w:num>
  <w:num w:numId="8">
    <w:abstractNumId w:val="5"/>
  </w:num>
  <w:num w:numId="9">
    <w:abstractNumId w:val="30"/>
  </w:num>
  <w:num w:numId="10">
    <w:abstractNumId w:val="33"/>
  </w:num>
  <w:num w:numId="11">
    <w:abstractNumId w:val="37"/>
  </w:num>
  <w:num w:numId="12">
    <w:abstractNumId w:val="36"/>
  </w:num>
  <w:num w:numId="13">
    <w:abstractNumId w:val="6"/>
  </w:num>
  <w:num w:numId="14">
    <w:abstractNumId w:val="4"/>
  </w:num>
  <w:num w:numId="15">
    <w:abstractNumId w:val="17"/>
  </w:num>
  <w:num w:numId="16">
    <w:abstractNumId w:val="40"/>
  </w:num>
  <w:num w:numId="17">
    <w:abstractNumId w:val="3"/>
  </w:num>
  <w:num w:numId="18">
    <w:abstractNumId w:val="7"/>
  </w:num>
  <w:num w:numId="19">
    <w:abstractNumId w:val="42"/>
  </w:num>
  <w:num w:numId="20">
    <w:abstractNumId w:val="27"/>
  </w:num>
  <w:num w:numId="21">
    <w:abstractNumId w:val="9"/>
  </w:num>
  <w:num w:numId="22">
    <w:abstractNumId w:val="29"/>
  </w:num>
  <w:num w:numId="23">
    <w:abstractNumId w:val="19"/>
  </w:num>
  <w:num w:numId="24">
    <w:abstractNumId w:val="24"/>
  </w:num>
  <w:num w:numId="25">
    <w:abstractNumId w:val="13"/>
  </w:num>
  <w:num w:numId="26">
    <w:abstractNumId w:val="25"/>
  </w:num>
  <w:num w:numId="27">
    <w:abstractNumId w:val="0"/>
  </w:num>
  <w:num w:numId="28">
    <w:abstractNumId w:val="43"/>
  </w:num>
  <w:num w:numId="29">
    <w:abstractNumId w:val="32"/>
  </w:num>
  <w:num w:numId="30">
    <w:abstractNumId w:val="35"/>
  </w:num>
  <w:num w:numId="31">
    <w:abstractNumId w:val="23"/>
  </w:num>
  <w:num w:numId="32">
    <w:abstractNumId w:val="28"/>
  </w:num>
  <w:num w:numId="33">
    <w:abstractNumId w:val="11"/>
  </w:num>
  <w:num w:numId="34">
    <w:abstractNumId w:val="16"/>
  </w:num>
  <w:num w:numId="35">
    <w:abstractNumId w:val="41"/>
  </w:num>
  <w:num w:numId="36">
    <w:abstractNumId w:val="10"/>
  </w:num>
  <w:num w:numId="37">
    <w:abstractNumId w:val="20"/>
  </w:num>
  <w:num w:numId="38">
    <w:abstractNumId w:val="14"/>
  </w:num>
  <w:num w:numId="39">
    <w:abstractNumId w:val="21"/>
  </w:num>
  <w:num w:numId="40">
    <w:abstractNumId w:val="8"/>
  </w:num>
  <w:num w:numId="41">
    <w:abstractNumId w:val="18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15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A3"/>
    <w:rsid w:val="00002FB7"/>
    <w:rsid w:val="00006AFE"/>
    <w:rsid w:val="00013090"/>
    <w:rsid w:val="00025EDC"/>
    <w:rsid w:val="00051462"/>
    <w:rsid w:val="00055998"/>
    <w:rsid w:val="000827C7"/>
    <w:rsid w:val="000848DD"/>
    <w:rsid w:val="000D5ABD"/>
    <w:rsid w:val="000D776A"/>
    <w:rsid w:val="0010122B"/>
    <w:rsid w:val="00146872"/>
    <w:rsid w:val="00163980"/>
    <w:rsid w:val="0016444B"/>
    <w:rsid w:val="00171F13"/>
    <w:rsid w:val="00182291"/>
    <w:rsid w:val="001972DD"/>
    <w:rsid w:val="001A2FEE"/>
    <w:rsid w:val="001B15B8"/>
    <w:rsid w:val="001B229E"/>
    <w:rsid w:val="001B5AFC"/>
    <w:rsid w:val="001C43B3"/>
    <w:rsid w:val="001C7D5D"/>
    <w:rsid w:val="001D0DFD"/>
    <w:rsid w:val="001D2875"/>
    <w:rsid w:val="001D696F"/>
    <w:rsid w:val="001E237E"/>
    <w:rsid w:val="0020114E"/>
    <w:rsid w:val="00211521"/>
    <w:rsid w:val="002170EC"/>
    <w:rsid w:val="002229BB"/>
    <w:rsid w:val="00226DC0"/>
    <w:rsid w:val="0023005B"/>
    <w:rsid w:val="002305EF"/>
    <w:rsid w:val="00234444"/>
    <w:rsid w:val="00236964"/>
    <w:rsid w:val="00236EAA"/>
    <w:rsid w:val="002511A7"/>
    <w:rsid w:val="0025647F"/>
    <w:rsid w:val="00260786"/>
    <w:rsid w:val="00273921"/>
    <w:rsid w:val="0029756B"/>
    <w:rsid w:val="002A322B"/>
    <w:rsid w:val="002D14A3"/>
    <w:rsid w:val="002D43B0"/>
    <w:rsid w:val="002F0D8D"/>
    <w:rsid w:val="002F4E24"/>
    <w:rsid w:val="00303066"/>
    <w:rsid w:val="003245AC"/>
    <w:rsid w:val="00334AE5"/>
    <w:rsid w:val="00341D4D"/>
    <w:rsid w:val="003479E1"/>
    <w:rsid w:val="00351CB8"/>
    <w:rsid w:val="00356655"/>
    <w:rsid w:val="00373705"/>
    <w:rsid w:val="00375933"/>
    <w:rsid w:val="00382632"/>
    <w:rsid w:val="00392155"/>
    <w:rsid w:val="00394C4E"/>
    <w:rsid w:val="003A0AAC"/>
    <w:rsid w:val="003A5886"/>
    <w:rsid w:val="003A7DE5"/>
    <w:rsid w:val="003C1BAA"/>
    <w:rsid w:val="003C570B"/>
    <w:rsid w:val="003E21BC"/>
    <w:rsid w:val="003E5A05"/>
    <w:rsid w:val="004402A7"/>
    <w:rsid w:val="00443770"/>
    <w:rsid w:val="00456D5C"/>
    <w:rsid w:val="00457F7E"/>
    <w:rsid w:val="00481B6F"/>
    <w:rsid w:val="00486CEB"/>
    <w:rsid w:val="00492899"/>
    <w:rsid w:val="004A496F"/>
    <w:rsid w:val="004A6C08"/>
    <w:rsid w:val="004D573B"/>
    <w:rsid w:val="004D7ACB"/>
    <w:rsid w:val="004E5E97"/>
    <w:rsid w:val="004F1EA6"/>
    <w:rsid w:val="004F2722"/>
    <w:rsid w:val="00530224"/>
    <w:rsid w:val="00533C07"/>
    <w:rsid w:val="00543CD1"/>
    <w:rsid w:val="00544564"/>
    <w:rsid w:val="00546BCA"/>
    <w:rsid w:val="00547510"/>
    <w:rsid w:val="005A6161"/>
    <w:rsid w:val="005B0494"/>
    <w:rsid w:val="005B3463"/>
    <w:rsid w:val="005E7B5D"/>
    <w:rsid w:val="00612B86"/>
    <w:rsid w:val="00621114"/>
    <w:rsid w:val="00623716"/>
    <w:rsid w:val="00636B40"/>
    <w:rsid w:val="00637180"/>
    <w:rsid w:val="00645D61"/>
    <w:rsid w:val="00645F5A"/>
    <w:rsid w:val="00650A6A"/>
    <w:rsid w:val="00654433"/>
    <w:rsid w:val="00663F9D"/>
    <w:rsid w:val="006671D6"/>
    <w:rsid w:val="0067129C"/>
    <w:rsid w:val="00674AEF"/>
    <w:rsid w:val="0068160A"/>
    <w:rsid w:val="006833FE"/>
    <w:rsid w:val="00683DBD"/>
    <w:rsid w:val="00686B0A"/>
    <w:rsid w:val="006E0F14"/>
    <w:rsid w:val="0070173A"/>
    <w:rsid w:val="0070327B"/>
    <w:rsid w:val="00706D40"/>
    <w:rsid w:val="00741DE4"/>
    <w:rsid w:val="0074431A"/>
    <w:rsid w:val="00762F8F"/>
    <w:rsid w:val="0076462C"/>
    <w:rsid w:val="00773C1B"/>
    <w:rsid w:val="00787E22"/>
    <w:rsid w:val="00792518"/>
    <w:rsid w:val="00793CC4"/>
    <w:rsid w:val="007B72FA"/>
    <w:rsid w:val="007B7F21"/>
    <w:rsid w:val="007D6B1A"/>
    <w:rsid w:val="007E52DC"/>
    <w:rsid w:val="007E7ADB"/>
    <w:rsid w:val="008230EB"/>
    <w:rsid w:val="00837F48"/>
    <w:rsid w:val="00840402"/>
    <w:rsid w:val="00841D70"/>
    <w:rsid w:val="00845C49"/>
    <w:rsid w:val="008538E0"/>
    <w:rsid w:val="00856910"/>
    <w:rsid w:val="00865E38"/>
    <w:rsid w:val="00865FB9"/>
    <w:rsid w:val="008700C4"/>
    <w:rsid w:val="00885B2B"/>
    <w:rsid w:val="00897D2D"/>
    <w:rsid w:val="00897FAB"/>
    <w:rsid w:val="008A5287"/>
    <w:rsid w:val="008A6B57"/>
    <w:rsid w:val="008C25A9"/>
    <w:rsid w:val="008C3E9D"/>
    <w:rsid w:val="008D17EB"/>
    <w:rsid w:val="008D6EAA"/>
    <w:rsid w:val="008D7A44"/>
    <w:rsid w:val="008D7EC1"/>
    <w:rsid w:val="008E0BC8"/>
    <w:rsid w:val="008E390C"/>
    <w:rsid w:val="008F0069"/>
    <w:rsid w:val="00913F20"/>
    <w:rsid w:val="00932C77"/>
    <w:rsid w:val="00954762"/>
    <w:rsid w:val="009573BE"/>
    <w:rsid w:val="00960AD4"/>
    <w:rsid w:val="00963CD4"/>
    <w:rsid w:val="00967CFC"/>
    <w:rsid w:val="0098408E"/>
    <w:rsid w:val="009A0FCD"/>
    <w:rsid w:val="009A7742"/>
    <w:rsid w:val="009C2EBB"/>
    <w:rsid w:val="009C79A6"/>
    <w:rsid w:val="009F00F8"/>
    <w:rsid w:val="009F0CB9"/>
    <w:rsid w:val="009F3E52"/>
    <w:rsid w:val="00A03290"/>
    <w:rsid w:val="00A07F88"/>
    <w:rsid w:val="00A133BD"/>
    <w:rsid w:val="00A17482"/>
    <w:rsid w:val="00A34E30"/>
    <w:rsid w:val="00A4308F"/>
    <w:rsid w:val="00A579D7"/>
    <w:rsid w:val="00A70F73"/>
    <w:rsid w:val="00A763F4"/>
    <w:rsid w:val="00A9655F"/>
    <w:rsid w:val="00AA24CA"/>
    <w:rsid w:val="00AD44D9"/>
    <w:rsid w:val="00AE1E5A"/>
    <w:rsid w:val="00AE2C5F"/>
    <w:rsid w:val="00AF3012"/>
    <w:rsid w:val="00AF3335"/>
    <w:rsid w:val="00AF72A2"/>
    <w:rsid w:val="00B10816"/>
    <w:rsid w:val="00B204C1"/>
    <w:rsid w:val="00B452AD"/>
    <w:rsid w:val="00B46DE9"/>
    <w:rsid w:val="00B50F61"/>
    <w:rsid w:val="00B53EB6"/>
    <w:rsid w:val="00B55B33"/>
    <w:rsid w:val="00B5633F"/>
    <w:rsid w:val="00B64548"/>
    <w:rsid w:val="00B823A1"/>
    <w:rsid w:val="00B8307D"/>
    <w:rsid w:val="00B966D0"/>
    <w:rsid w:val="00BB1248"/>
    <w:rsid w:val="00BB1D1E"/>
    <w:rsid w:val="00BB7271"/>
    <w:rsid w:val="00BC5718"/>
    <w:rsid w:val="00BD062E"/>
    <w:rsid w:val="00BE68DD"/>
    <w:rsid w:val="00C05F18"/>
    <w:rsid w:val="00C20A59"/>
    <w:rsid w:val="00C25F77"/>
    <w:rsid w:val="00C46027"/>
    <w:rsid w:val="00C56EC2"/>
    <w:rsid w:val="00C62265"/>
    <w:rsid w:val="00C66813"/>
    <w:rsid w:val="00C71761"/>
    <w:rsid w:val="00C931CB"/>
    <w:rsid w:val="00C97B00"/>
    <w:rsid w:val="00CA0981"/>
    <w:rsid w:val="00CB0B61"/>
    <w:rsid w:val="00CB6C93"/>
    <w:rsid w:val="00CB7C6C"/>
    <w:rsid w:val="00CE3BAC"/>
    <w:rsid w:val="00CE3CC1"/>
    <w:rsid w:val="00CE6F48"/>
    <w:rsid w:val="00CF5A6E"/>
    <w:rsid w:val="00D049CD"/>
    <w:rsid w:val="00D13606"/>
    <w:rsid w:val="00D243B4"/>
    <w:rsid w:val="00D36CC7"/>
    <w:rsid w:val="00D531A5"/>
    <w:rsid w:val="00D53543"/>
    <w:rsid w:val="00D650A4"/>
    <w:rsid w:val="00D80DCC"/>
    <w:rsid w:val="00D81D86"/>
    <w:rsid w:val="00D91127"/>
    <w:rsid w:val="00DA757A"/>
    <w:rsid w:val="00DC072C"/>
    <w:rsid w:val="00DC07B8"/>
    <w:rsid w:val="00DC11EA"/>
    <w:rsid w:val="00DC16DD"/>
    <w:rsid w:val="00DC701A"/>
    <w:rsid w:val="00DD5162"/>
    <w:rsid w:val="00DE348E"/>
    <w:rsid w:val="00DE787D"/>
    <w:rsid w:val="00DF517B"/>
    <w:rsid w:val="00E01405"/>
    <w:rsid w:val="00E10868"/>
    <w:rsid w:val="00E147AD"/>
    <w:rsid w:val="00E165BD"/>
    <w:rsid w:val="00E215C2"/>
    <w:rsid w:val="00E31D89"/>
    <w:rsid w:val="00E31EA3"/>
    <w:rsid w:val="00E41C4E"/>
    <w:rsid w:val="00E44723"/>
    <w:rsid w:val="00E44A19"/>
    <w:rsid w:val="00E51416"/>
    <w:rsid w:val="00E57C36"/>
    <w:rsid w:val="00E57E29"/>
    <w:rsid w:val="00E80130"/>
    <w:rsid w:val="00EA6602"/>
    <w:rsid w:val="00ED3726"/>
    <w:rsid w:val="00EE24CF"/>
    <w:rsid w:val="00EE495F"/>
    <w:rsid w:val="00EF6DD9"/>
    <w:rsid w:val="00EF6E6E"/>
    <w:rsid w:val="00F15312"/>
    <w:rsid w:val="00F52D28"/>
    <w:rsid w:val="00F608F7"/>
    <w:rsid w:val="00F66269"/>
    <w:rsid w:val="00F717CB"/>
    <w:rsid w:val="00F93950"/>
    <w:rsid w:val="00F96A7F"/>
    <w:rsid w:val="00FC07D4"/>
    <w:rsid w:val="00FC56CB"/>
    <w:rsid w:val="00FD2DED"/>
    <w:rsid w:val="00FD5173"/>
    <w:rsid w:val="00FD5C43"/>
    <w:rsid w:val="00FD7303"/>
    <w:rsid w:val="00FF2D64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27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4A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4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4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4A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CB9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omylnaczcionkaakapitu"/>
    <w:rsid w:val="00AF72A2"/>
  </w:style>
  <w:style w:type="paragraph" w:styleId="Nagwek">
    <w:name w:val="header"/>
    <w:basedOn w:val="Normalny"/>
    <w:link w:val="NagwekZnak"/>
    <w:uiPriority w:val="99"/>
    <w:unhideWhenUsed/>
    <w:rsid w:val="003A7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DE5"/>
  </w:style>
  <w:style w:type="paragraph" w:styleId="Stopka">
    <w:name w:val="footer"/>
    <w:basedOn w:val="Normalny"/>
    <w:link w:val="StopkaZnak"/>
    <w:uiPriority w:val="99"/>
    <w:unhideWhenUsed/>
    <w:rsid w:val="003A7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DE5"/>
  </w:style>
  <w:style w:type="character" w:styleId="Odwoaniedokomentarza">
    <w:name w:val="annotation reference"/>
    <w:basedOn w:val="Domylnaczcionkaakapitu"/>
    <w:uiPriority w:val="99"/>
    <w:semiHidden/>
    <w:unhideWhenUsed/>
    <w:rsid w:val="00D531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7C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7C3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4A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4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4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4A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CB9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omylnaczcionkaakapitu"/>
    <w:rsid w:val="00AF72A2"/>
  </w:style>
  <w:style w:type="paragraph" w:styleId="Nagwek">
    <w:name w:val="header"/>
    <w:basedOn w:val="Normalny"/>
    <w:link w:val="NagwekZnak"/>
    <w:uiPriority w:val="99"/>
    <w:unhideWhenUsed/>
    <w:rsid w:val="003A7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DE5"/>
  </w:style>
  <w:style w:type="paragraph" w:styleId="Stopka">
    <w:name w:val="footer"/>
    <w:basedOn w:val="Normalny"/>
    <w:link w:val="StopkaZnak"/>
    <w:uiPriority w:val="99"/>
    <w:unhideWhenUsed/>
    <w:rsid w:val="003A7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DE5"/>
  </w:style>
  <w:style w:type="character" w:styleId="Odwoaniedokomentarza">
    <w:name w:val="annotation reference"/>
    <w:basedOn w:val="Domylnaczcionkaakapitu"/>
    <w:uiPriority w:val="99"/>
    <w:semiHidden/>
    <w:unhideWhenUsed/>
    <w:rsid w:val="00D531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7C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7C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2100-5D6D-4967-B558-F0D257E3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PiS</dc:creator>
  <cp:lastModifiedBy>Ewa A. Genert</cp:lastModifiedBy>
  <cp:revision>2</cp:revision>
  <cp:lastPrinted>2016-02-18T19:00:00Z</cp:lastPrinted>
  <dcterms:created xsi:type="dcterms:W3CDTF">2016-03-23T11:55:00Z</dcterms:created>
  <dcterms:modified xsi:type="dcterms:W3CDTF">2016-03-23T11:55:00Z</dcterms:modified>
</cp:coreProperties>
</file>