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90" w:rsidRDefault="00473C90" w:rsidP="00473C90">
      <w:pPr>
        <w:pStyle w:val="OZNPROJEKTUwskazaniedatylubwersjiprojektu"/>
      </w:pPr>
      <w:bookmarkStart w:id="0" w:name="_GoBack"/>
      <w:bookmarkEnd w:id="0"/>
      <w:r>
        <w:t>Projekt</w:t>
      </w:r>
    </w:p>
    <w:p w:rsidR="00473C90" w:rsidRPr="00EA4287" w:rsidRDefault="00473C90" w:rsidP="00473C90">
      <w:pPr>
        <w:pStyle w:val="OZNRODZAKTUtznustawalubrozporzdzenieiorganwydajcy"/>
      </w:pPr>
      <w:r w:rsidRPr="00EA4287">
        <w:t>Ustawa</w:t>
      </w:r>
    </w:p>
    <w:p w:rsidR="00473C90" w:rsidRPr="00EA4287" w:rsidRDefault="00A70535" w:rsidP="00473C90">
      <w:pPr>
        <w:pStyle w:val="DATAAKTUdatauchwalenialubwydaniaaktu"/>
      </w:pPr>
      <w:r>
        <w:t>z dnia</w:t>
      </w:r>
    </w:p>
    <w:p w:rsidR="00473C90" w:rsidRPr="00EA4287" w:rsidRDefault="00473C90" w:rsidP="00473C90">
      <w:pPr>
        <w:pStyle w:val="TYTUAKTUprzedmiotregulacjiustawylubrozporzdzenia"/>
      </w:pPr>
      <w:r w:rsidRPr="00EA4287">
        <w:t>o zmianie ustawy – Prawo farmaceutyczne</w:t>
      </w:r>
    </w:p>
    <w:p w:rsidR="00473C90" w:rsidRDefault="00473C90" w:rsidP="00473C90">
      <w:pPr>
        <w:pStyle w:val="ARTartustawynprozporzdzenia"/>
      </w:pPr>
      <w:r w:rsidRPr="00EA4287">
        <w:rPr>
          <w:rStyle w:val="Ppogrubienie"/>
        </w:rPr>
        <w:t>Art.</w:t>
      </w:r>
      <w:r w:rsidR="00A70535">
        <w:rPr>
          <w:rStyle w:val="Ppogrubienie"/>
        </w:rPr>
        <w:t> </w:t>
      </w:r>
      <w:r w:rsidRPr="00EA4287">
        <w:rPr>
          <w:rStyle w:val="Ppogrubienie"/>
        </w:rPr>
        <w:t>1.</w:t>
      </w:r>
      <w:r w:rsidR="00A70535">
        <w:t> </w:t>
      </w:r>
      <w:r w:rsidRPr="00EA4287">
        <w:t>W ustawie z dnia 6 września 2001 r. – Prawo farmaceutyczne (Dz. U. z 201</w:t>
      </w:r>
      <w:r>
        <w:t>9</w:t>
      </w:r>
      <w:r w:rsidRPr="00EA4287">
        <w:t xml:space="preserve"> r. poz. </w:t>
      </w:r>
      <w:r>
        <w:t>499, 399 i 959) w art. 86a:</w:t>
      </w:r>
    </w:p>
    <w:p w:rsidR="00473C90" w:rsidRDefault="00473C90" w:rsidP="00473C90">
      <w:pPr>
        <w:pStyle w:val="PKTpunkt"/>
      </w:pPr>
      <w:r>
        <w:t>1)</w:t>
      </w:r>
      <w:r>
        <w:tab/>
        <w:t>w ust. 1 pkt 4 otrzymuje brzmienie:</w:t>
      </w:r>
    </w:p>
    <w:p w:rsidR="00473C90" w:rsidRDefault="00473C90" w:rsidP="00473C90">
      <w:pPr>
        <w:pStyle w:val="ZPKTzmpktartykuempunktem"/>
      </w:pPr>
      <w:r>
        <w:t>„4)</w:t>
      </w:r>
      <w:r>
        <w:tab/>
        <w:t xml:space="preserve">w celu zaopatrzenia podmiotów innych niż wymienione w pkt 1 i 2, niebędących podmiotami uprawnionymi do obrotu produktami leczniczymi, w produkty lecznicze o kategorii dostępności, o której </w:t>
      </w:r>
      <w:r w:rsidR="00A70535">
        <w:t>mowa w art. 23a ust. 1 pkt 1, z </w:t>
      </w:r>
      <w:r>
        <w:t>wyłączeniem produktów leczniczych zawierających w składzie subst</w:t>
      </w:r>
      <w:r w:rsidR="00A70535">
        <w:t>ancje o </w:t>
      </w:r>
      <w:r>
        <w:t>działaniu psychoaktywnym, określone w przepisach wydanych na podstawie art. 71a ust. 5.”;</w:t>
      </w:r>
    </w:p>
    <w:p w:rsidR="00473C90" w:rsidRDefault="00473C90" w:rsidP="00473C90">
      <w:pPr>
        <w:pStyle w:val="PKTpunkt"/>
      </w:pPr>
      <w:r>
        <w:t>2)</w:t>
      </w:r>
      <w:r>
        <w:tab/>
        <w:t>po ust. 1 dodaje się ust. 1a w brzmieniu:</w:t>
      </w:r>
    </w:p>
    <w:p w:rsidR="00473C90" w:rsidRDefault="00473C90" w:rsidP="00473C90">
      <w:pPr>
        <w:pStyle w:val="ZUSTzmustartykuempunktem"/>
      </w:pPr>
      <w:r>
        <w:t>„1a. Zbycie produktów leczniczych, o którym mowa w ust. 1 pkt 4, może podlegać ograniczeniu także ze względu na zawartość w nich su</w:t>
      </w:r>
      <w:r w:rsidR="00A70535">
        <w:t>bstancji czynnych określonych w </w:t>
      </w:r>
      <w:r>
        <w:t>przepisach wydanych na podstawie ust. 6, które z uwagi na dawkowanie lub możliwość wystąpienia działań niepożądanych mogą negatywnie wpłynąć na bezpieczeństwo lub skuteczność stosowania produktów leczniczych.”;</w:t>
      </w:r>
    </w:p>
    <w:p w:rsidR="00473C90" w:rsidRDefault="00473C90" w:rsidP="00473C90">
      <w:pPr>
        <w:pStyle w:val="PKTpunkt"/>
      </w:pPr>
      <w:r>
        <w:t>3)</w:t>
      </w:r>
      <w:r>
        <w:tab/>
        <w:t>dodaje się ust. 6 w brzmieniu:</w:t>
      </w:r>
    </w:p>
    <w:p w:rsidR="00473C90" w:rsidRPr="00A13DA2" w:rsidRDefault="00473C90" w:rsidP="00473C90">
      <w:pPr>
        <w:pStyle w:val="ZUSTzmustartykuempunktem"/>
      </w:pPr>
      <w:r w:rsidRPr="00A13DA2">
        <w:t>„6. Minister właściwy do spraw zdrowia może określić, w drodze rozporządzenia, wykaz substancji czynnych w produktach leczniczych o kategorii dostępności, o której mowa w art. 23a ust. 1 pkt 1, które nie mogą być zbywane w celu zaopatrzenia podmiotów innych niż wymienione w ust. 1 pkt 1 i 2, niebędących podmiotami uprawnionymi do obrotu produktami leczniczymi, mając na względzie ochronę zdrowia publicznego.”.</w:t>
      </w:r>
    </w:p>
    <w:p w:rsidR="00473C90" w:rsidRPr="00473C90" w:rsidRDefault="00473C90" w:rsidP="00473C90">
      <w:pPr>
        <w:pStyle w:val="ARTartustawynprozporzdzenia"/>
      </w:pPr>
      <w:r w:rsidRPr="00A70535">
        <w:rPr>
          <w:rStyle w:val="Ppogrubienie"/>
        </w:rPr>
        <w:t>Art.</w:t>
      </w:r>
      <w:r w:rsidR="00A70535">
        <w:rPr>
          <w:rStyle w:val="Ppogrubienie"/>
        </w:rPr>
        <w:t> </w:t>
      </w:r>
      <w:r w:rsidRPr="00A70535">
        <w:rPr>
          <w:rStyle w:val="Ppogrubienie"/>
        </w:rPr>
        <w:t>2.</w:t>
      </w:r>
      <w:r w:rsidR="00A70535">
        <w:t> </w:t>
      </w:r>
      <w:r w:rsidRPr="00473C90">
        <w:t>Ustawa wchodzi w życie z dniem następującym po dniu ogłoszenia.</w:t>
      </w:r>
    </w:p>
    <w:sectPr w:rsidR="00473C90" w:rsidRPr="00473C9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6C8" w:rsidRDefault="00FB46C8">
      <w:r>
        <w:separator/>
      </w:r>
    </w:p>
  </w:endnote>
  <w:endnote w:type="continuationSeparator" w:id="0">
    <w:p w:rsidR="00FB46C8" w:rsidRDefault="00FB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6C8" w:rsidRDefault="00FB46C8">
      <w:r>
        <w:separator/>
      </w:r>
    </w:p>
  </w:footnote>
  <w:footnote w:type="continuationSeparator" w:id="0">
    <w:p w:rsidR="00FB46C8" w:rsidRDefault="00FB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73C90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9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0EEE"/>
    <w:rsid w:val="00271013"/>
    <w:rsid w:val="00273CF7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C90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2884"/>
    <w:rsid w:val="005B713E"/>
    <w:rsid w:val="005C03B6"/>
    <w:rsid w:val="005C348E"/>
    <w:rsid w:val="005C68E1"/>
    <w:rsid w:val="005D3763"/>
    <w:rsid w:val="005D55E1"/>
    <w:rsid w:val="005E19F7"/>
    <w:rsid w:val="005E319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535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0772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46C8"/>
    <w:rsid w:val="00FC2E3D"/>
    <w:rsid w:val="00FC3BDE"/>
    <w:rsid w:val="00FD1DBE"/>
    <w:rsid w:val="00FD25A7"/>
    <w:rsid w:val="00FD27B6"/>
    <w:rsid w:val="00FD3689"/>
    <w:rsid w:val="00FD42A3"/>
    <w:rsid w:val="00FD4C8A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7464B6-B749-4240-B554-89E80A9C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AD46FE-3CC0-48DB-989A-5199F0C0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Zesławska Barbara</dc:creator>
  <cp:lastModifiedBy>Wójcik Aleksandra</cp:lastModifiedBy>
  <cp:revision>2</cp:revision>
  <cp:lastPrinted>2012-04-23T06:39:00Z</cp:lastPrinted>
  <dcterms:created xsi:type="dcterms:W3CDTF">2019-07-10T09:09:00Z</dcterms:created>
  <dcterms:modified xsi:type="dcterms:W3CDTF">2019-07-10T09:09:00Z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