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7999D7" w14:textId="77777777" w:rsidR="00641FBF" w:rsidRPr="002F7DB6" w:rsidRDefault="00641FBF" w:rsidP="002F7DB6">
      <w:pPr>
        <w:jc w:val="center"/>
        <w:rPr>
          <w:rStyle w:val="Ppogrubienie"/>
          <w:b w:val="0"/>
          <w:caps/>
        </w:rPr>
      </w:pPr>
      <w:r w:rsidRPr="002F7DB6">
        <w:rPr>
          <w:rStyle w:val="Ppogrubienie"/>
          <w:b w:val="0"/>
          <w:caps/>
        </w:rPr>
        <w:t>Uzasadnienie</w:t>
      </w:r>
    </w:p>
    <w:p w14:paraId="570FACCA" w14:textId="77777777" w:rsidR="00641FBF" w:rsidRPr="00115E9D" w:rsidRDefault="00641FBF" w:rsidP="00641FBF">
      <w:pPr>
        <w:keepNext/>
        <w:keepLines/>
        <w:suppressAutoHyphens/>
        <w:autoSpaceDE/>
        <w:autoSpaceDN/>
        <w:adjustRightInd/>
        <w:spacing w:before="240"/>
        <w:outlineLvl w:val="0"/>
        <w:rPr>
          <w:rFonts w:eastAsia="Times New Roman" w:cs="Times New Roman"/>
          <w:b/>
          <w:bCs/>
          <w:color w:val="000000"/>
          <w:kern w:val="1"/>
          <w:szCs w:val="24"/>
          <w:lang w:eastAsia="ar-SA"/>
        </w:rPr>
      </w:pPr>
      <w:r w:rsidRPr="00115E9D">
        <w:rPr>
          <w:rFonts w:eastAsia="Times New Roman" w:cs="Times New Roman"/>
          <w:b/>
          <w:bCs/>
          <w:color w:val="000000"/>
          <w:kern w:val="1"/>
          <w:szCs w:val="24"/>
          <w:lang w:eastAsia="ar-SA"/>
        </w:rPr>
        <w:t>Potrzeba i cel wydania ustawy</w:t>
      </w:r>
    </w:p>
    <w:p w14:paraId="0F649980" w14:textId="77777777" w:rsidR="00641FBF" w:rsidRPr="00115E9D" w:rsidRDefault="00641FBF" w:rsidP="00641FBF">
      <w:pPr>
        <w:spacing w:before="240"/>
        <w:jc w:val="both"/>
        <w:rPr>
          <w:rFonts w:eastAsia="Times New Roman" w:cs="Times New Roman"/>
          <w:szCs w:val="24"/>
        </w:rPr>
      </w:pPr>
      <w:r w:rsidRPr="00115E9D">
        <w:rPr>
          <w:rFonts w:eastAsia="Times New Roman" w:cs="Times New Roman"/>
          <w:color w:val="000000"/>
          <w:szCs w:val="24"/>
        </w:rPr>
        <w:t>Celem niniejszego projektu (nr w wykazie prac legislacyjnych i programowych Rady Ministrów UD477) jest realizacja dodatkowych działań zmierzających do osiągnięcia celu 15% udziału energii ze źródeł odnawialnych w końcowym zużyciu energii brutto do 2020 r.</w:t>
      </w:r>
    </w:p>
    <w:p w14:paraId="21618E5B" w14:textId="77777777" w:rsidR="00641FBF" w:rsidRPr="00115E9D" w:rsidRDefault="00641FBF" w:rsidP="00641FBF">
      <w:pPr>
        <w:spacing w:before="240"/>
        <w:jc w:val="both"/>
        <w:rPr>
          <w:rFonts w:eastAsia="Times New Roman" w:cs="Times New Roman"/>
          <w:szCs w:val="24"/>
        </w:rPr>
      </w:pPr>
      <w:r w:rsidRPr="00115E9D">
        <w:rPr>
          <w:rFonts w:eastAsia="Times New Roman" w:cs="Times New Roman"/>
          <w:szCs w:val="24"/>
        </w:rPr>
        <w:t>Celem proponowanych rozwiązań jest również zwiększenie bezpieczeństwa energetycznego, czego skutkiem powinno być w perspektywie długofalowej zapewnienie stałego dostępu do energii dla odbiorców końcowych, przy jednoczesnym utrzymaniu się cen energii na możliwie niskim poziomie.</w:t>
      </w:r>
    </w:p>
    <w:p w14:paraId="369EFE25" w14:textId="6EDAFE90" w:rsidR="00641FBF" w:rsidRPr="00115E9D" w:rsidRDefault="00641FBF" w:rsidP="00641FBF">
      <w:pPr>
        <w:spacing w:before="240"/>
        <w:jc w:val="both"/>
        <w:rPr>
          <w:rFonts w:eastAsia="Times New Roman" w:cs="Times New Roman"/>
          <w:color w:val="000000"/>
          <w:szCs w:val="24"/>
        </w:rPr>
      </w:pPr>
      <w:r w:rsidRPr="00115E9D">
        <w:rPr>
          <w:rFonts w:eastAsia="Times New Roman" w:cs="Times New Roman"/>
          <w:color w:val="000000"/>
          <w:szCs w:val="24"/>
        </w:rPr>
        <w:t>Jednocześnie nowelizacja umożliwi przeprowadzenie aukcji na zakup energii elektrycznej z</w:t>
      </w:r>
      <w:r w:rsidR="00FF69ED">
        <w:rPr>
          <w:rFonts w:eastAsia="Times New Roman" w:cs="Times New Roman"/>
          <w:color w:val="000000"/>
          <w:szCs w:val="24"/>
        </w:rPr>
        <w:t> </w:t>
      </w:r>
      <w:r w:rsidRPr="00115E9D">
        <w:rPr>
          <w:rFonts w:eastAsia="Times New Roman" w:cs="Times New Roman"/>
          <w:color w:val="000000"/>
          <w:szCs w:val="24"/>
        </w:rPr>
        <w:t>odnawialnych źródeł energii (OZE), będącej przedmiotem sprzedaży w aukcjach w 2019 r</w:t>
      </w:r>
      <w:r w:rsidR="00662396">
        <w:rPr>
          <w:rFonts w:eastAsia="Times New Roman" w:cs="Times New Roman"/>
          <w:color w:val="000000"/>
          <w:szCs w:val="24"/>
        </w:rPr>
        <w:t>.</w:t>
      </w:r>
      <w:r w:rsidRPr="00115E9D">
        <w:rPr>
          <w:rFonts w:eastAsia="Times New Roman" w:cs="Times New Roman"/>
          <w:color w:val="000000"/>
          <w:szCs w:val="24"/>
        </w:rPr>
        <w:t>, poprzez wskazanie w przepisach przejściowych jej maksymalnych ilości i wartości.</w:t>
      </w:r>
    </w:p>
    <w:p w14:paraId="0C88970E" w14:textId="2ED86879" w:rsidR="00641FBF" w:rsidRPr="00115E9D" w:rsidRDefault="00641FBF" w:rsidP="00641FBF">
      <w:pPr>
        <w:spacing w:before="240"/>
        <w:jc w:val="both"/>
        <w:rPr>
          <w:rFonts w:eastAsia="Times New Roman" w:cs="Times New Roman"/>
          <w:color w:val="000000"/>
          <w:szCs w:val="24"/>
        </w:rPr>
      </w:pPr>
      <w:r w:rsidRPr="00115E9D">
        <w:rPr>
          <w:rFonts w:eastAsia="Times New Roman" w:cs="Times New Roman"/>
          <w:color w:val="000000"/>
          <w:szCs w:val="24"/>
        </w:rPr>
        <w:t>Przygotowane zmiany w treści nowelizacji ustawy</w:t>
      </w:r>
      <w:r w:rsidRPr="00115E9D">
        <w:rPr>
          <w:rFonts w:eastAsia="Times New Roman" w:cs="Times New Roman"/>
          <w:szCs w:val="24"/>
        </w:rPr>
        <w:t xml:space="preserve"> </w:t>
      </w:r>
      <w:r w:rsidRPr="00115E9D">
        <w:rPr>
          <w:rFonts w:eastAsia="Times New Roman" w:cs="Times New Roman"/>
          <w:color w:val="000000"/>
          <w:szCs w:val="24"/>
        </w:rPr>
        <w:t>z dnia 20 lutego 2015 r. o odnawialnych źródłach energii (Dz. U. z 2018 r. poz. 2389 i 2245 oraz z 2019 r. poz. 42, 60 i 730) (</w:t>
      </w:r>
      <w:r w:rsidR="00662396">
        <w:rPr>
          <w:rFonts w:eastAsia="Times New Roman" w:cs="Times New Roman"/>
          <w:color w:val="000000"/>
          <w:szCs w:val="24"/>
        </w:rPr>
        <w:t>dalej: „</w:t>
      </w:r>
      <w:r w:rsidRPr="00115E9D">
        <w:rPr>
          <w:rFonts w:eastAsia="Times New Roman" w:cs="Times New Roman"/>
          <w:color w:val="000000"/>
          <w:szCs w:val="24"/>
        </w:rPr>
        <w:t>ustawa OZE</w:t>
      </w:r>
      <w:r w:rsidR="00662396">
        <w:rPr>
          <w:rFonts w:eastAsia="Times New Roman" w:cs="Times New Roman"/>
          <w:color w:val="000000"/>
          <w:szCs w:val="24"/>
        </w:rPr>
        <w:t>”</w:t>
      </w:r>
      <w:r w:rsidRPr="00115E9D">
        <w:rPr>
          <w:rFonts w:eastAsia="Times New Roman" w:cs="Times New Roman"/>
          <w:color w:val="000000"/>
          <w:szCs w:val="24"/>
        </w:rPr>
        <w:t>) wychodzą naprzeciw oczekiwaniom społecznym oraz oczekiwaniom przedsiębiorców, które kierowane były do Ministerstwa Energii w związku ze wzrostem cen energii elektrycznej.</w:t>
      </w:r>
    </w:p>
    <w:p w14:paraId="6F179DBE" w14:textId="77777777" w:rsidR="00641FBF" w:rsidRPr="00115E9D" w:rsidRDefault="00641FBF" w:rsidP="00641FBF">
      <w:pPr>
        <w:spacing w:before="240"/>
        <w:jc w:val="both"/>
        <w:rPr>
          <w:rFonts w:eastAsia="Times New Roman" w:cs="Times New Roman"/>
          <w:color w:val="000000"/>
          <w:szCs w:val="24"/>
        </w:rPr>
      </w:pPr>
      <w:r w:rsidRPr="00115E9D">
        <w:rPr>
          <w:rFonts w:eastAsia="Times New Roman" w:cs="Times New Roman"/>
          <w:color w:val="000000"/>
          <w:szCs w:val="24"/>
        </w:rPr>
        <w:t>Należy podkreślić, iż przedstawione zmiany doprecyzowują przepisy ustawy OZE w zakresie instrumentów rynkowych takich jak aukcje czy procedury przetargowe zgodne z zasadami konkurencji otwartej dla wszystkich producentów wytwarzających energię elektryczną z OZE, konkurujących ze sobą na równych warunkach, które powinny zasadniczo zapewnić ograniczenie uzyskanej dotacji do minimum.</w:t>
      </w:r>
    </w:p>
    <w:p w14:paraId="780B81EC" w14:textId="64B6FAA6" w:rsidR="00641FBF" w:rsidRPr="00115E9D" w:rsidRDefault="00641FBF" w:rsidP="002F7DB6">
      <w:pPr>
        <w:spacing w:before="240"/>
        <w:jc w:val="both"/>
        <w:rPr>
          <w:rFonts w:eastAsia="Times New Roman" w:cs="Times New Roman"/>
          <w:color w:val="000000"/>
          <w:szCs w:val="24"/>
        </w:rPr>
      </w:pPr>
      <w:r w:rsidRPr="00115E9D">
        <w:rPr>
          <w:rFonts w:eastAsia="Times New Roman" w:cs="Times New Roman"/>
          <w:szCs w:val="24"/>
        </w:rPr>
        <w:t xml:space="preserve">Projekt umożliwia realizację celów </w:t>
      </w:r>
      <w:r w:rsidR="00662396">
        <w:rPr>
          <w:rFonts w:eastAsia="Times New Roman" w:cs="Times New Roman"/>
          <w:i/>
          <w:szCs w:val="22"/>
        </w:rPr>
        <w:t>d</w:t>
      </w:r>
      <w:r w:rsidRPr="00115E9D">
        <w:rPr>
          <w:rFonts w:eastAsia="Times New Roman" w:cs="Times New Roman"/>
          <w:i/>
          <w:szCs w:val="22"/>
        </w:rPr>
        <w:t>yrektywy Parlamentu Europejskiego i Rady (UE) 2018/2001 z dnia 11 grudnia 2018 r. w sprawie promowania stosowania energii ze źródeł odnawialnych</w:t>
      </w:r>
      <w:r w:rsidRPr="00115E9D">
        <w:rPr>
          <w:rFonts w:eastAsia="Times New Roman" w:cs="Times New Roman"/>
          <w:szCs w:val="24"/>
        </w:rPr>
        <w:t xml:space="preserve">. </w:t>
      </w:r>
      <w:r w:rsidRPr="00115E9D">
        <w:rPr>
          <w:rFonts w:eastAsia="Times New Roman" w:cs="Times New Roman"/>
          <w:color w:val="000000"/>
          <w:szCs w:val="24"/>
        </w:rPr>
        <w:t>Ponadto przyjęcie przepisów projektu spowoduje usunięcie pojawiających się wątpliwości interpretacyjnych prawnych i redakcyjnych w różnych obszarach ustawy OZE. Zamierzeniem przedmiotowego projektu jest między innymi:</w:t>
      </w:r>
    </w:p>
    <w:p w14:paraId="6C843D55" w14:textId="2D089AFC" w:rsidR="00641FBF" w:rsidRPr="00115E9D" w:rsidRDefault="00641FBF" w:rsidP="002F7DB6">
      <w:pPr>
        <w:widowControl/>
        <w:numPr>
          <w:ilvl w:val="0"/>
          <w:numId w:val="1"/>
        </w:numPr>
        <w:autoSpaceDE/>
        <w:autoSpaceDN/>
        <w:adjustRightInd/>
        <w:spacing w:before="240" w:after="200"/>
        <w:contextualSpacing/>
        <w:jc w:val="both"/>
        <w:rPr>
          <w:rFonts w:eastAsia="Times New Roman" w:cs="Times New Roman"/>
          <w:color w:val="000000"/>
          <w:szCs w:val="24"/>
        </w:rPr>
      </w:pPr>
      <w:r w:rsidRPr="00115E9D">
        <w:rPr>
          <w:rFonts w:eastAsia="Times New Roman" w:cs="Times New Roman"/>
          <w:color w:val="000000"/>
          <w:szCs w:val="24"/>
        </w:rPr>
        <w:t xml:space="preserve">doprecyzowanie przepisów z uwagi na </w:t>
      </w:r>
      <w:r w:rsidRPr="00115E9D">
        <w:rPr>
          <w:rFonts w:eastAsia="Calibri" w:cs="Times New Roman"/>
          <w:color w:val="000000"/>
          <w:szCs w:val="24"/>
          <w:lang w:eastAsia="en-US"/>
        </w:rPr>
        <w:t xml:space="preserve">wnioski jakie zostały zgłoszone po przeprowadzeniu pierwszej, tak szerokiej technologicznie aukcji dla OZE w 2018 r. </w:t>
      </w:r>
      <w:r w:rsidRPr="00115E9D">
        <w:rPr>
          <w:rFonts w:eastAsia="Calibri" w:cs="Times New Roman"/>
          <w:color w:val="000000"/>
          <w:szCs w:val="24"/>
          <w:lang w:eastAsia="en-US"/>
        </w:rPr>
        <w:lastRenderedPageBreak/>
        <w:t xml:space="preserve">Celem przedmiotowej interwencji regulacyjnej jest też dookreślenie wybranych zagadnień ustawy OZE oraz </w:t>
      </w:r>
      <w:r w:rsidRPr="00115E9D">
        <w:rPr>
          <w:rFonts w:eastAsia="Times New Roman" w:cs="Times New Roman"/>
          <w:color w:val="000000"/>
          <w:szCs w:val="24"/>
        </w:rPr>
        <w:t>elementów rozliczenia ujemnego oraz dodatniego salda z</w:t>
      </w:r>
      <w:r w:rsidR="00FF69ED">
        <w:rPr>
          <w:rFonts w:eastAsia="Times New Roman" w:cs="Times New Roman"/>
          <w:color w:val="000000"/>
          <w:szCs w:val="24"/>
        </w:rPr>
        <w:t> </w:t>
      </w:r>
      <w:r w:rsidRPr="00115E9D">
        <w:rPr>
          <w:rFonts w:eastAsia="Times New Roman" w:cs="Times New Roman"/>
          <w:color w:val="000000"/>
          <w:szCs w:val="24"/>
        </w:rPr>
        <w:t>operatorem rozliczeń. Przewidywanym efektem jest wyeliminowanie niepewności po stronie przedsiębiorców uczestniczących w systemie aukcyjnym,</w:t>
      </w:r>
    </w:p>
    <w:p w14:paraId="2831D6CC" w14:textId="2F135450" w:rsidR="00641FBF" w:rsidRPr="00115E9D" w:rsidRDefault="00641FBF" w:rsidP="002F7DB6">
      <w:pPr>
        <w:widowControl/>
        <w:numPr>
          <w:ilvl w:val="0"/>
          <w:numId w:val="1"/>
        </w:numPr>
        <w:autoSpaceDE/>
        <w:autoSpaceDN/>
        <w:adjustRightInd/>
        <w:spacing w:before="240" w:after="200"/>
        <w:contextualSpacing/>
        <w:jc w:val="both"/>
        <w:rPr>
          <w:rFonts w:eastAsia="Times New Roman" w:cs="Times New Roman"/>
          <w:color w:val="000000"/>
          <w:szCs w:val="24"/>
        </w:rPr>
      </w:pPr>
      <w:r w:rsidRPr="00115E9D">
        <w:rPr>
          <w:rFonts w:eastAsia="Times New Roman" w:cs="Times New Roman"/>
          <w:color w:val="000000"/>
          <w:szCs w:val="24"/>
        </w:rPr>
        <w:t>wprowadzenie przepisów wzmacniających mechanizm gwarancji pochodzenia z uwagi na występujące obecnie zjawisko ograniczeń w odniesieniu do możliwości prowadzenia obrotu gwarancjami pochodzenia na rynku międzynarodowym oraz potrzebę uszczelnienia procedur w zakresie umarzania gwarancji pochodzenia przedkładanych odbiorcom końcowym. Przewidywanym rezultatem jest wzmocnienie wiarygodności polskich gwarancji pochodzenia i ich uznawanie na zasadzie wzajemności w obrocie z</w:t>
      </w:r>
      <w:r w:rsidR="00FF69ED">
        <w:rPr>
          <w:rFonts w:eastAsia="Times New Roman" w:cs="Times New Roman"/>
          <w:color w:val="000000"/>
          <w:szCs w:val="24"/>
        </w:rPr>
        <w:t> </w:t>
      </w:r>
      <w:r w:rsidRPr="00115E9D">
        <w:rPr>
          <w:rFonts w:eastAsia="Times New Roman" w:cs="Times New Roman"/>
          <w:color w:val="000000"/>
          <w:szCs w:val="24"/>
        </w:rPr>
        <w:t xml:space="preserve">innymi państwami </w:t>
      </w:r>
      <w:r w:rsidRPr="00115E9D">
        <w:rPr>
          <w:rFonts w:eastAsia="Calibri" w:cs="Times New Roman"/>
          <w:szCs w:val="24"/>
          <w:lang w:eastAsia="en-US"/>
        </w:rPr>
        <w:t xml:space="preserve">członkowskimi Unii Europejskiej, Konfederacji Szwajcarskiej, państwami członkowskimi Europejskiego Porozumienia o Wolnym Handlu (EFTA) </w:t>
      </w:r>
      <w:r w:rsidR="00FF69ED">
        <w:rPr>
          <w:rFonts w:eastAsia="Calibri" w:cs="Times New Roman"/>
          <w:szCs w:val="24"/>
          <w:lang w:eastAsia="en-US"/>
        </w:rPr>
        <w:t>–</w:t>
      </w:r>
      <w:r w:rsidRPr="00115E9D">
        <w:rPr>
          <w:rFonts w:eastAsia="Calibri" w:cs="Times New Roman"/>
          <w:szCs w:val="24"/>
          <w:lang w:eastAsia="en-US"/>
        </w:rPr>
        <w:t xml:space="preserve"> stronami umowy o Europejskim Obszarze Gospodarczym lub państwami członkowskim Wspólnoty Energetycznej,</w:t>
      </w:r>
    </w:p>
    <w:p w14:paraId="1B0A1FC3" w14:textId="77777777" w:rsidR="00641FBF" w:rsidRPr="00115E9D" w:rsidRDefault="00641FBF" w:rsidP="002F7DB6">
      <w:pPr>
        <w:widowControl/>
        <w:numPr>
          <w:ilvl w:val="0"/>
          <w:numId w:val="1"/>
        </w:numPr>
        <w:autoSpaceDE/>
        <w:autoSpaceDN/>
        <w:adjustRightInd/>
        <w:spacing w:before="240" w:after="200"/>
        <w:contextualSpacing/>
        <w:jc w:val="both"/>
        <w:rPr>
          <w:rFonts w:eastAsia="Times New Roman" w:cs="Times New Roman"/>
          <w:color w:val="000000"/>
          <w:szCs w:val="24"/>
        </w:rPr>
      </w:pPr>
      <w:r w:rsidRPr="00115E9D">
        <w:rPr>
          <w:rFonts w:eastAsia="Times New Roman" w:cs="Times New Roman"/>
          <w:color w:val="000000"/>
          <w:szCs w:val="24"/>
        </w:rPr>
        <w:t xml:space="preserve">konieczne jest dokonanie technicznych zmian usprawniających działanie systemu aukcyjnego w odniesieniu między innymi do procesów realizowanych po złożeniu ofert aukcyjnych, w tym możliwości modyfikowania ofert, czy określenia terminu obligującego Prezesa Urzędu Regulacji Energetyki („URE”) do ogłoszenia wyników przeprowadzonych aukcji. Wybrane zmiany umożliwią bardziej precyzyjne określenie daty pierwszej sprzedaży energii elektrycznej do sieci w ramach systemu aukcyjnego, a co za tym idzie, precyzyjne określenie poziomu opłaty OZE w danym roku kalendarzowym, </w:t>
      </w:r>
    </w:p>
    <w:p w14:paraId="6E713289" w14:textId="77777777" w:rsidR="00641FBF" w:rsidRPr="00115E9D" w:rsidRDefault="00641FBF" w:rsidP="002F7DB6">
      <w:pPr>
        <w:widowControl/>
        <w:numPr>
          <w:ilvl w:val="0"/>
          <w:numId w:val="1"/>
        </w:numPr>
        <w:autoSpaceDE/>
        <w:autoSpaceDN/>
        <w:adjustRightInd/>
        <w:spacing w:before="240" w:after="200"/>
        <w:contextualSpacing/>
        <w:jc w:val="both"/>
        <w:rPr>
          <w:rFonts w:eastAsia="Times New Roman" w:cs="Times New Roman"/>
          <w:color w:val="000000"/>
          <w:szCs w:val="24"/>
        </w:rPr>
      </w:pPr>
      <w:r w:rsidRPr="00115E9D">
        <w:rPr>
          <w:rFonts w:eastAsia="Times New Roman" w:cs="Times New Roman"/>
          <w:color w:val="000000"/>
          <w:szCs w:val="24"/>
        </w:rPr>
        <w:t>likwidacja wątpliwości interpretacyjnych wynikających z procedury dopuszczenia do aukcji instalacji wytwarzających energię przed dniem ogłoszenia aukcji</w:t>
      </w:r>
      <w:r w:rsidRPr="00115E9D">
        <w:rPr>
          <w:rFonts w:eastAsia="Times New Roman" w:cs="Times New Roman"/>
          <w:color w:val="000000"/>
          <w:szCs w:val="24"/>
          <w:lang w:eastAsia="en-US"/>
        </w:rPr>
        <w:t>,</w:t>
      </w:r>
    </w:p>
    <w:p w14:paraId="07ACA28A" w14:textId="5EE4B987" w:rsidR="00641FBF" w:rsidRPr="00115E9D" w:rsidRDefault="00641FBF" w:rsidP="002F7DB6">
      <w:pPr>
        <w:widowControl/>
        <w:numPr>
          <w:ilvl w:val="0"/>
          <w:numId w:val="1"/>
        </w:numPr>
        <w:autoSpaceDE/>
        <w:autoSpaceDN/>
        <w:adjustRightInd/>
        <w:spacing w:before="240" w:after="200"/>
        <w:contextualSpacing/>
        <w:jc w:val="both"/>
        <w:rPr>
          <w:rFonts w:eastAsia="Times New Roman" w:cs="Times New Roman"/>
          <w:color w:val="000000"/>
          <w:szCs w:val="24"/>
          <w:lang w:eastAsia="en-US"/>
        </w:rPr>
      </w:pPr>
      <w:r w:rsidRPr="00115E9D">
        <w:rPr>
          <w:rFonts w:eastAsia="Times New Roman" w:cs="Times New Roman"/>
          <w:color w:val="000000"/>
          <w:szCs w:val="24"/>
          <w:lang w:eastAsia="en-US"/>
        </w:rPr>
        <w:t>rozwiązanie problemu zbyt krótkiego okresu obowiązywania umów przyłączeniowych, determinujących krąg podmiotów dopuszczonych do udziału w aukcji, a tym samym ryzyko braku zaistnienia warunków konkurencyjności we wszystkich koszykach aukcyjnych.</w:t>
      </w:r>
      <w:r w:rsidRPr="00115E9D">
        <w:rPr>
          <w:rFonts w:eastAsia="Calibri" w:cs="Times New Roman"/>
          <w:color w:val="000000"/>
          <w:spacing w:val="-2"/>
          <w:szCs w:val="24"/>
          <w:lang w:eastAsia="en-US"/>
        </w:rPr>
        <w:t xml:space="preserve"> </w:t>
      </w:r>
      <w:r w:rsidRPr="00115E9D">
        <w:rPr>
          <w:rFonts w:eastAsia="Times New Roman" w:cs="Times New Roman"/>
          <w:color w:val="000000"/>
          <w:szCs w:val="24"/>
        </w:rPr>
        <w:t>Interwencja legislacyjna ma na celu</w:t>
      </w:r>
      <w:r w:rsidRPr="00115E9D">
        <w:rPr>
          <w:rFonts w:eastAsia="Calibri" w:cs="Times New Roman"/>
          <w:color w:val="000000"/>
          <w:spacing w:val="-2"/>
          <w:szCs w:val="24"/>
          <w:lang w:eastAsia="en-US"/>
        </w:rPr>
        <w:t xml:space="preserve"> umożliwienie przedłużenia obowiązywania umów przyłączeniowych dla istniejących projektów OZE</w:t>
      </w:r>
      <w:r w:rsidR="00950F96">
        <w:rPr>
          <w:rFonts w:eastAsia="Calibri" w:cs="Times New Roman"/>
          <w:color w:val="000000"/>
          <w:spacing w:val="-2"/>
          <w:szCs w:val="24"/>
          <w:lang w:eastAsia="en-US"/>
        </w:rPr>
        <w:t>,</w:t>
      </w:r>
    </w:p>
    <w:p w14:paraId="04E449D9" w14:textId="45E387F8" w:rsidR="00641FBF" w:rsidRPr="00115E9D" w:rsidRDefault="00641FBF" w:rsidP="002F7DB6">
      <w:pPr>
        <w:widowControl/>
        <w:numPr>
          <w:ilvl w:val="0"/>
          <w:numId w:val="1"/>
        </w:numPr>
        <w:autoSpaceDE/>
        <w:autoSpaceDN/>
        <w:adjustRightInd/>
        <w:spacing w:before="60" w:after="60"/>
        <w:contextualSpacing/>
        <w:jc w:val="both"/>
        <w:rPr>
          <w:rFonts w:eastAsia="Calibri" w:cs="Times New Roman"/>
          <w:color w:val="000000"/>
          <w:spacing w:val="-2"/>
          <w:szCs w:val="24"/>
          <w:lang w:eastAsia="en-US"/>
        </w:rPr>
      </w:pPr>
      <w:r w:rsidRPr="00115E9D">
        <w:rPr>
          <w:rFonts w:eastAsia="Calibri" w:cs="Times New Roman"/>
          <w:color w:val="000000"/>
          <w:spacing w:val="-2"/>
          <w:szCs w:val="24"/>
          <w:lang w:eastAsia="en-US"/>
        </w:rPr>
        <w:t xml:space="preserve">wprowadzenie w przepisie przejściowym przepisów określających maksymalną ilość </w:t>
      </w:r>
      <w:r w:rsidRPr="00115E9D">
        <w:rPr>
          <w:rFonts w:eastAsia="Calibri" w:cs="Times New Roman"/>
          <w:color w:val="000000"/>
          <w:spacing w:val="-2"/>
          <w:szCs w:val="24"/>
          <w:lang w:eastAsia="en-US"/>
        </w:rPr>
        <w:br/>
        <w:t xml:space="preserve">i wartość energii elektrycznej, materializując podstawę do przeprowadzenia aukcji </w:t>
      </w:r>
      <w:r w:rsidRPr="00115E9D">
        <w:rPr>
          <w:rFonts w:eastAsia="Calibri" w:cs="Times New Roman"/>
          <w:color w:val="000000"/>
          <w:spacing w:val="-2"/>
          <w:szCs w:val="24"/>
          <w:lang w:eastAsia="en-US"/>
        </w:rPr>
        <w:br/>
        <w:t>w 2019 r</w:t>
      </w:r>
      <w:r w:rsidR="00950F96">
        <w:rPr>
          <w:rFonts w:eastAsia="Calibri" w:cs="Times New Roman"/>
          <w:color w:val="000000"/>
          <w:spacing w:val="-2"/>
          <w:szCs w:val="24"/>
          <w:lang w:eastAsia="en-US"/>
        </w:rPr>
        <w:t>.</w:t>
      </w:r>
      <w:r w:rsidRPr="00115E9D">
        <w:rPr>
          <w:rFonts w:eastAsia="Calibri" w:cs="Times New Roman"/>
          <w:color w:val="000000"/>
          <w:spacing w:val="-2"/>
          <w:szCs w:val="24"/>
          <w:lang w:eastAsia="en-US"/>
        </w:rPr>
        <w:t>,</w:t>
      </w:r>
    </w:p>
    <w:p w14:paraId="44F1C8C6" w14:textId="77777777" w:rsidR="00641FBF" w:rsidRPr="00115E9D" w:rsidRDefault="00641FBF" w:rsidP="002F7DB6">
      <w:pPr>
        <w:widowControl/>
        <w:numPr>
          <w:ilvl w:val="0"/>
          <w:numId w:val="1"/>
        </w:numPr>
        <w:autoSpaceDE/>
        <w:autoSpaceDN/>
        <w:adjustRightInd/>
        <w:spacing w:before="60" w:after="60"/>
        <w:contextualSpacing/>
        <w:jc w:val="both"/>
        <w:rPr>
          <w:rFonts w:eastAsia="Calibri" w:cs="Times New Roman"/>
          <w:color w:val="000000"/>
          <w:spacing w:val="-2"/>
          <w:szCs w:val="24"/>
          <w:lang w:eastAsia="en-US"/>
        </w:rPr>
      </w:pPr>
      <w:r w:rsidRPr="00115E9D">
        <w:rPr>
          <w:rFonts w:eastAsia="Calibri" w:cs="Times New Roman"/>
          <w:color w:val="000000"/>
          <w:spacing w:val="-2"/>
          <w:szCs w:val="24"/>
          <w:lang w:eastAsia="en-US"/>
        </w:rPr>
        <w:lastRenderedPageBreak/>
        <w:t xml:space="preserve">wprowadzenie przepisów wspierających rozwój </w:t>
      </w:r>
      <w:proofErr w:type="spellStart"/>
      <w:r w:rsidRPr="00115E9D">
        <w:rPr>
          <w:rFonts w:eastAsia="Calibri" w:cs="Times New Roman"/>
          <w:color w:val="000000"/>
          <w:spacing w:val="-2"/>
          <w:szCs w:val="24"/>
          <w:lang w:eastAsia="en-US"/>
        </w:rPr>
        <w:t>prosumenckiego</w:t>
      </w:r>
      <w:proofErr w:type="spellEnd"/>
      <w:r w:rsidRPr="00115E9D">
        <w:rPr>
          <w:rFonts w:eastAsia="Calibri" w:cs="Times New Roman"/>
          <w:color w:val="000000"/>
          <w:spacing w:val="-2"/>
          <w:szCs w:val="24"/>
          <w:lang w:eastAsia="en-US"/>
        </w:rPr>
        <w:t xml:space="preserve"> wytwarzania energii elektrycznej. </w:t>
      </w:r>
    </w:p>
    <w:p w14:paraId="0AB01D96" w14:textId="77777777" w:rsidR="00641FBF" w:rsidRPr="00115E9D" w:rsidRDefault="00641FBF" w:rsidP="00641FBF">
      <w:pPr>
        <w:widowControl/>
        <w:autoSpaceDE/>
        <w:autoSpaceDN/>
        <w:adjustRightInd/>
        <w:spacing w:before="240" w:after="60"/>
        <w:ind w:left="720"/>
        <w:contextualSpacing/>
        <w:jc w:val="both"/>
        <w:rPr>
          <w:rFonts w:eastAsia="Times New Roman" w:cs="Times New Roman"/>
          <w:color w:val="000000"/>
          <w:szCs w:val="24"/>
          <w:lang w:eastAsia="en-US"/>
        </w:rPr>
      </w:pPr>
    </w:p>
    <w:p w14:paraId="216BCC2D" w14:textId="35883043" w:rsidR="00641FBF" w:rsidRPr="00115E9D" w:rsidRDefault="00641FBF" w:rsidP="00641FBF">
      <w:pPr>
        <w:widowControl/>
        <w:autoSpaceDE/>
        <w:autoSpaceDN/>
        <w:adjustRightInd/>
        <w:contextualSpacing/>
        <w:jc w:val="both"/>
        <w:rPr>
          <w:rFonts w:eastAsia="Calibri" w:cs="Times New Roman"/>
          <w:color w:val="000000"/>
          <w:spacing w:val="-2"/>
          <w:szCs w:val="24"/>
          <w:lang w:eastAsia="en-US"/>
        </w:rPr>
      </w:pPr>
      <w:r w:rsidRPr="00115E9D">
        <w:rPr>
          <w:rFonts w:eastAsia="Calibri" w:cs="Times New Roman"/>
          <w:color w:val="000000"/>
          <w:szCs w:val="24"/>
          <w:lang w:eastAsia="en-US"/>
        </w:rPr>
        <w:t xml:space="preserve">Zaproponowane zmiany wychodzą naprzeciw oczekiwaniom społecznym oraz oczekiwaniom mikro i małych przedsiębiorców, stanowiąc istotne rozwiązania </w:t>
      </w:r>
      <w:r w:rsidRPr="00115E9D">
        <w:rPr>
          <w:rFonts w:eastAsia="Calibri" w:cs="Times New Roman"/>
          <w:color w:val="000000"/>
          <w:spacing w:val="-2"/>
          <w:szCs w:val="24"/>
          <w:lang w:eastAsia="en-US"/>
        </w:rPr>
        <w:t>w szczególności dla wytwórców energii z OZE, oraz całej branży działającej na rzecz rozwoju instalacji OZE – producen</w:t>
      </w:r>
      <w:r w:rsidR="00950F96">
        <w:rPr>
          <w:rFonts w:eastAsia="Calibri" w:cs="Times New Roman"/>
          <w:color w:val="000000"/>
          <w:spacing w:val="-2"/>
          <w:szCs w:val="24"/>
          <w:lang w:eastAsia="en-US"/>
        </w:rPr>
        <w:t>tów</w:t>
      </w:r>
      <w:r w:rsidRPr="00115E9D">
        <w:rPr>
          <w:rFonts w:eastAsia="Calibri" w:cs="Times New Roman"/>
          <w:color w:val="000000"/>
          <w:spacing w:val="-2"/>
          <w:szCs w:val="24"/>
          <w:lang w:eastAsia="en-US"/>
        </w:rPr>
        <w:t xml:space="preserve"> urządzeń, projektan</w:t>
      </w:r>
      <w:r w:rsidR="00950F96">
        <w:rPr>
          <w:rFonts w:eastAsia="Calibri" w:cs="Times New Roman"/>
          <w:color w:val="000000"/>
          <w:spacing w:val="-2"/>
          <w:szCs w:val="24"/>
          <w:lang w:eastAsia="en-US"/>
        </w:rPr>
        <w:t>tów</w:t>
      </w:r>
      <w:r w:rsidRPr="00115E9D">
        <w:rPr>
          <w:rFonts w:eastAsia="Calibri" w:cs="Times New Roman"/>
          <w:color w:val="000000"/>
          <w:spacing w:val="-2"/>
          <w:szCs w:val="24"/>
          <w:lang w:eastAsia="en-US"/>
        </w:rPr>
        <w:t xml:space="preserve"> i instalator</w:t>
      </w:r>
      <w:r w:rsidR="00950F96">
        <w:rPr>
          <w:rFonts w:eastAsia="Calibri" w:cs="Times New Roman"/>
          <w:color w:val="000000"/>
          <w:spacing w:val="-2"/>
          <w:szCs w:val="24"/>
          <w:lang w:eastAsia="en-US"/>
        </w:rPr>
        <w:t>ów</w:t>
      </w:r>
      <w:r w:rsidR="002E218A">
        <w:rPr>
          <w:rFonts w:eastAsia="Calibri" w:cs="Times New Roman"/>
          <w:color w:val="000000"/>
          <w:spacing w:val="-2"/>
          <w:szCs w:val="24"/>
          <w:lang w:eastAsia="en-US"/>
        </w:rPr>
        <w:t xml:space="preserve"> oraz </w:t>
      </w:r>
      <w:r w:rsidRPr="00115E9D">
        <w:rPr>
          <w:rFonts w:eastAsia="Calibri" w:cs="Times New Roman"/>
          <w:color w:val="000000"/>
          <w:spacing w:val="-2"/>
          <w:szCs w:val="24"/>
          <w:lang w:eastAsia="en-US"/>
        </w:rPr>
        <w:t xml:space="preserve"> podmiot</w:t>
      </w:r>
      <w:r w:rsidR="00950F96">
        <w:rPr>
          <w:rFonts w:eastAsia="Calibri" w:cs="Times New Roman"/>
          <w:color w:val="000000"/>
          <w:spacing w:val="-2"/>
          <w:szCs w:val="24"/>
          <w:lang w:eastAsia="en-US"/>
        </w:rPr>
        <w:t>ów</w:t>
      </w:r>
      <w:r w:rsidRPr="00115E9D">
        <w:rPr>
          <w:rFonts w:eastAsia="Calibri" w:cs="Times New Roman"/>
          <w:color w:val="000000"/>
          <w:spacing w:val="-2"/>
          <w:szCs w:val="24"/>
          <w:lang w:eastAsia="en-US"/>
        </w:rPr>
        <w:t xml:space="preserve"> finansując</w:t>
      </w:r>
      <w:r w:rsidR="00950F96">
        <w:rPr>
          <w:rFonts w:eastAsia="Calibri" w:cs="Times New Roman"/>
          <w:color w:val="000000"/>
          <w:spacing w:val="-2"/>
          <w:szCs w:val="24"/>
          <w:lang w:eastAsia="en-US"/>
        </w:rPr>
        <w:t>ych</w:t>
      </w:r>
      <w:r w:rsidRPr="00115E9D">
        <w:rPr>
          <w:rFonts w:eastAsia="Calibri" w:cs="Times New Roman"/>
          <w:color w:val="000000"/>
          <w:spacing w:val="-2"/>
          <w:szCs w:val="24"/>
          <w:lang w:eastAsia="en-US"/>
        </w:rPr>
        <w:t xml:space="preserve"> przedmiotowe inwestycje.</w:t>
      </w:r>
    </w:p>
    <w:p w14:paraId="3F84952B" w14:textId="77777777" w:rsidR="00641FBF" w:rsidRPr="00115E9D" w:rsidRDefault="00641FBF" w:rsidP="00641FBF">
      <w:pPr>
        <w:widowControl/>
        <w:autoSpaceDE/>
        <w:autoSpaceDN/>
        <w:adjustRightInd/>
        <w:ind w:left="295"/>
        <w:contextualSpacing/>
        <w:jc w:val="both"/>
        <w:rPr>
          <w:rFonts w:eastAsia="Calibri" w:cs="Times New Roman"/>
          <w:color w:val="000000"/>
          <w:spacing w:val="-2"/>
          <w:szCs w:val="24"/>
          <w:lang w:eastAsia="en-US"/>
        </w:rPr>
      </w:pPr>
    </w:p>
    <w:p w14:paraId="5C5B5CA6" w14:textId="44B04AD0" w:rsidR="00641FBF" w:rsidRPr="00115E9D" w:rsidRDefault="00641FBF" w:rsidP="00641FBF">
      <w:pPr>
        <w:jc w:val="both"/>
        <w:rPr>
          <w:rFonts w:eastAsia="Times New Roman" w:cs="Times New Roman"/>
          <w:szCs w:val="24"/>
        </w:rPr>
      </w:pPr>
      <w:r w:rsidRPr="00115E9D">
        <w:rPr>
          <w:rFonts w:eastAsia="Times New Roman" w:cs="Times New Roman"/>
          <w:szCs w:val="24"/>
        </w:rPr>
        <w:t xml:space="preserve">Jak wynika z opublikowanego przez Najwyższą Izbę Kontroli (dalej: „NIK”) raportu pn. </w:t>
      </w:r>
      <w:r w:rsidRPr="00115E9D">
        <w:rPr>
          <w:rFonts w:eastAsia="Times New Roman" w:cs="Times New Roman"/>
          <w:i/>
          <w:szCs w:val="24"/>
        </w:rPr>
        <w:t xml:space="preserve">Rozwój sektora odnawialnych źródeł energii </w:t>
      </w:r>
      <w:r w:rsidRPr="00115E9D">
        <w:rPr>
          <w:rFonts w:eastAsia="Times New Roman" w:cs="Times New Roman"/>
          <w:szCs w:val="24"/>
        </w:rPr>
        <w:t xml:space="preserve">(dalej: „raport NIK”), w przypadku niezrealizowania do 2020 r. obowiązkowego minimalnego udziału energii z OZE </w:t>
      </w:r>
      <w:r w:rsidRPr="00115E9D">
        <w:rPr>
          <w:rFonts w:eastAsia="Times New Roman" w:cs="Times New Roman"/>
          <w:szCs w:val="24"/>
        </w:rPr>
        <w:br/>
        <w:t>w całkowitym zużyciu energii brutto na poziomie 15%, Polska stanęłaby przed koniecznością dokonania statystycznego transferu energii z OZE z państw członkowskich Unii Europejskiej dysponujących nadwyżką tej energii. Jak wskazuje NIK, koszty tego transferu mogą wynieść nawet 8 m</w:t>
      </w:r>
      <w:r w:rsidR="00950F96">
        <w:rPr>
          <w:rFonts w:eastAsia="Times New Roman" w:cs="Times New Roman"/>
          <w:szCs w:val="24"/>
        </w:rPr>
        <w:t xml:space="preserve">ld </w:t>
      </w:r>
      <w:r w:rsidRPr="00115E9D">
        <w:rPr>
          <w:rFonts w:eastAsia="Times New Roman" w:cs="Times New Roman"/>
          <w:szCs w:val="24"/>
        </w:rPr>
        <w:t xml:space="preserve">zł. </w:t>
      </w:r>
    </w:p>
    <w:p w14:paraId="37FE37D4" w14:textId="4E5CE6A8" w:rsidR="00641FBF" w:rsidRPr="00115E9D" w:rsidRDefault="00641FBF" w:rsidP="00641FBF">
      <w:pPr>
        <w:widowControl/>
        <w:autoSpaceDE/>
        <w:autoSpaceDN/>
        <w:adjustRightInd/>
        <w:spacing w:after="160"/>
        <w:contextualSpacing/>
        <w:jc w:val="both"/>
        <w:rPr>
          <w:rFonts w:eastAsia="Calibri" w:cs="Times New Roman"/>
          <w:szCs w:val="24"/>
          <w:lang w:eastAsia="en-US"/>
        </w:rPr>
      </w:pPr>
      <w:r w:rsidRPr="00115E9D">
        <w:rPr>
          <w:rFonts w:eastAsia="Calibri" w:cs="Times New Roman"/>
          <w:szCs w:val="24"/>
          <w:lang w:eastAsia="en-US"/>
        </w:rPr>
        <w:t xml:space="preserve">Realizacja aukcji w bieżącym roku kalendarzowym zakładająca przyrost nowych mocy wytwórczych w wymiarze sumarycznym 3 414 MW różnych rodzajów OZE (z przeważającym udziałem lądowej energetyki wiatrowej oraz instalacji PV), pozwoli uzyskać roczną produkcję energii elektrycznej w wysokości 9,176 </w:t>
      </w:r>
      <w:proofErr w:type="spellStart"/>
      <w:r w:rsidRPr="00115E9D">
        <w:rPr>
          <w:rFonts w:eastAsia="Calibri" w:cs="Times New Roman"/>
          <w:szCs w:val="24"/>
          <w:lang w:eastAsia="en-US"/>
        </w:rPr>
        <w:t>TWh</w:t>
      </w:r>
      <w:proofErr w:type="spellEnd"/>
      <w:r w:rsidRPr="00115E9D">
        <w:rPr>
          <w:rFonts w:eastAsia="Calibri" w:cs="Times New Roman"/>
          <w:szCs w:val="24"/>
          <w:lang w:eastAsia="en-US"/>
        </w:rPr>
        <w:t>. Istniejące moce wytwórcze z OZE, prognozowana produkcja z instalacji</w:t>
      </w:r>
      <w:r w:rsidR="00950F96">
        <w:rPr>
          <w:rFonts w:eastAsia="Calibri" w:cs="Times New Roman"/>
          <w:szCs w:val="24"/>
          <w:lang w:eastAsia="en-US"/>
        </w:rPr>
        <w:t>,</w:t>
      </w:r>
      <w:r w:rsidRPr="00115E9D">
        <w:rPr>
          <w:rFonts w:eastAsia="Calibri" w:cs="Times New Roman"/>
          <w:szCs w:val="24"/>
          <w:lang w:eastAsia="en-US"/>
        </w:rPr>
        <w:t xml:space="preserve"> które wygrały przeprowadzone dotychczas aukcje oraz planowane wolumeny dla aukcji</w:t>
      </w:r>
      <w:r w:rsidR="00950F96">
        <w:rPr>
          <w:rFonts w:eastAsia="Calibri" w:cs="Times New Roman"/>
          <w:szCs w:val="24"/>
          <w:lang w:eastAsia="en-US"/>
        </w:rPr>
        <w:t>,</w:t>
      </w:r>
      <w:r w:rsidRPr="00115E9D">
        <w:rPr>
          <w:rFonts w:eastAsia="Calibri" w:cs="Times New Roman"/>
          <w:szCs w:val="24"/>
          <w:lang w:eastAsia="en-US"/>
        </w:rPr>
        <w:t xml:space="preserve"> jakie zostaną przeprowadzone w bieżącym roku, dadzą wynik o łącznej mocy instalacji na poziomie 13 657 MW z odnawialnych źródeł energii. Źródła te pozwolą na zabezpieczenie jeszcze w 2019 r</w:t>
      </w:r>
      <w:r w:rsidR="00950F96">
        <w:rPr>
          <w:rFonts w:eastAsia="Calibri" w:cs="Times New Roman"/>
          <w:szCs w:val="24"/>
          <w:lang w:eastAsia="en-US"/>
        </w:rPr>
        <w:t>.</w:t>
      </w:r>
      <w:r w:rsidRPr="00115E9D">
        <w:rPr>
          <w:rFonts w:eastAsia="Calibri" w:cs="Times New Roman"/>
          <w:szCs w:val="24"/>
          <w:lang w:eastAsia="en-US"/>
        </w:rPr>
        <w:t xml:space="preserve"> docelowej sumarycznej produkcji rocznej na poziomie 35,339 </w:t>
      </w:r>
      <w:proofErr w:type="spellStart"/>
      <w:r w:rsidRPr="00115E9D">
        <w:rPr>
          <w:rFonts w:eastAsia="Calibri" w:cs="Times New Roman"/>
          <w:szCs w:val="24"/>
          <w:lang w:eastAsia="en-US"/>
        </w:rPr>
        <w:t>TWh</w:t>
      </w:r>
      <w:proofErr w:type="spellEnd"/>
      <w:r w:rsidRPr="00115E9D">
        <w:rPr>
          <w:rFonts w:eastAsia="Calibri" w:cs="Times New Roman"/>
          <w:szCs w:val="24"/>
          <w:lang w:eastAsia="en-US"/>
        </w:rPr>
        <w:t>. Powyższe w przewidywanym wymiarze rocznej konsumpcji energii elektrycznej w 2020 r</w:t>
      </w:r>
      <w:r w:rsidR="00950F96">
        <w:rPr>
          <w:rFonts w:eastAsia="Calibri" w:cs="Times New Roman"/>
          <w:szCs w:val="24"/>
          <w:lang w:eastAsia="en-US"/>
        </w:rPr>
        <w:t>.</w:t>
      </w:r>
      <w:r w:rsidRPr="00115E9D">
        <w:rPr>
          <w:rFonts w:eastAsia="Calibri" w:cs="Times New Roman"/>
          <w:szCs w:val="24"/>
          <w:lang w:eastAsia="en-US"/>
        </w:rPr>
        <w:t xml:space="preserve"> na poziomie 183,730 </w:t>
      </w:r>
      <w:proofErr w:type="spellStart"/>
      <w:r w:rsidRPr="00115E9D">
        <w:rPr>
          <w:rFonts w:eastAsia="Calibri" w:cs="Times New Roman"/>
          <w:szCs w:val="24"/>
          <w:lang w:eastAsia="en-US"/>
        </w:rPr>
        <w:t>TWh</w:t>
      </w:r>
      <w:proofErr w:type="spellEnd"/>
      <w:r w:rsidRPr="00115E9D">
        <w:rPr>
          <w:rFonts w:eastAsia="Calibri" w:cs="Times New Roman"/>
          <w:szCs w:val="24"/>
          <w:lang w:eastAsia="en-US"/>
        </w:rPr>
        <w:t>, daje udział OZE na poziomie 19,23%, wobec wymaganego poziomu 19,1%.</w:t>
      </w:r>
    </w:p>
    <w:p w14:paraId="2EB08C98" w14:textId="3C65E36E" w:rsidR="00641FBF" w:rsidRPr="00115E9D" w:rsidRDefault="00641FBF" w:rsidP="00641FBF">
      <w:pPr>
        <w:jc w:val="both"/>
        <w:rPr>
          <w:rFonts w:eastAsia="Times New Roman" w:cs="Times New Roman"/>
          <w:szCs w:val="24"/>
        </w:rPr>
      </w:pPr>
      <w:r w:rsidRPr="00115E9D">
        <w:rPr>
          <w:rFonts w:eastAsia="Times New Roman" w:cs="Times New Roman"/>
          <w:szCs w:val="24"/>
        </w:rPr>
        <w:t xml:space="preserve">Przedmiotowy projekt ustawy wpisuje się we wnioski przedstawione w raporcie NIK, zgodnie z którymi stosowane rozwiązania prawne i organizacyjne powinny przyczyniać się do zwiększania bezpieczeństwa i przewidywalności zasad realizacji inwestycji. Projekt znajduje pozytywne przełożenie na rozwój odnawialnych źródeł energii w Polsce, usprawniając oraz programując istniejące instrumenty oraz systemy wsparcia. Przyczynia się do tworzenia stabilnego otoczenia prawnego, stanowiąc podstawę, w oparciu o którą potencjalni inwestorzy </w:t>
      </w:r>
      <w:r w:rsidRPr="00115E9D">
        <w:rPr>
          <w:rFonts w:eastAsia="Times New Roman" w:cs="Times New Roman"/>
          <w:szCs w:val="24"/>
        </w:rPr>
        <w:lastRenderedPageBreak/>
        <w:t>z odpowiednim wyprzedzeniem i dysponując kompletną wiedzą mogą warunkować uczestnictwo w aukcyjnym systemie wsparcia. Projekt przewiduje również rozwiązania mające na celu zwiększenie elastyczności systemu oraz</w:t>
      </w:r>
      <w:r w:rsidR="00950F96">
        <w:rPr>
          <w:rFonts w:eastAsia="Times New Roman" w:cs="Times New Roman"/>
          <w:szCs w:val="24"/>
        </w:rPr>
        <w:t>,</w:t>
      </w:r>
      <w:r w:rsidRPr="00115E9D">
        <w:rPr>
          <w:rFonts w:eastAsia="Times New Roman" w:cs="Times New Roman"/>
          <w:szCs w:val="24"/>
        </w:rPr>
        <w:t xml:space="preserve"> co istotne, alokację wolumenów obejmującą poszczególne technologie realizowane w oparciu o występuj</w:t>
      </w:r>
      <w:r w:rsidR="00B609DA">
        <w:rPr>
          <w:rFonts w:eastAsia="Times New Roman" w:cs="Times New Roman"/>
          <w:szCs w:val="24"/>
        </w:rPr>
        <w:t xml:space="preserve">ące na rynku trendy, korelując </w:t>
      </w:r>
      <w:r w:rsidR="000070F3">
        <w:rPr>
          <w:rFonts w:eastAsia="Times New Roman" w:cs="Times New Roman"/>
          <w:szCs w:val="24"/>
        </w:rPr>
        <w:t xml:space="preserve">ją </w:t>
      </w:r>
      <w:r w:rsidRPr="00115E9D">
        <w:rPr>
          <w:rFonts w:eastAsia="Times New Roman" w:cs="Times New Roman"/>
          <w:szCs w:val="24"/>
        </w:rPr>
        <w:t>z faktycznym potencjałem i zapotrzebowaniem jego uczestników. Projekt przyczyniając się do dalszej harmonizacji otoczenia prawnego i rynku OZE stanowi silny bodziec do jego rozwoju, tym samym mitygując potencjalne negatywn</w:t>
      </w:r>
      <w:r w:rsidR="00950F96">
        <w:rPr>
          <w:rFonts w:eastAsia="Times New Roman" w:cs="Times New Roman"/>
          <w:szCs w:val="24"/>
        </w:rPr>
        <w:t>e</w:t>
      </w:r>
      <w:r w:rsidRPr="00115E9D">
        <w:rPr>
          <w:rFonts w:eastAsia="Times New Roman" w:cs="Times New Roman"/>
          <w:szCs w:val="24"/>
        </w:rPr>
        <w:t xml:space="preserve"> skutki niezrealizowania celu OZE.</w:t>
      </w:r>
    </w:p>
    <w:p w14:paraId="0F72B335" w14:textId="77777777" w:rsidR="00641FBF" w:rsidRPr="00115E9D" w:rsidRDefault="00641FBF" w:rsidP="00641FBF">
      <w:pPr>
        <w:jc w:val="both"/>
        <w:rPr>
          <w:rFonts w:eastAsia="Times New Roman" w:cs="Times New Roman"/>
          <w:szCs w:val="24"/>
        </w:rPr>
      </w:pPr>
    </w:p>
    <w:p w14:paraId="32C9D22D" w14:textId="77777777" w:rsidR="00641FBF" w:rsidRPr="00115E9D" w:rsidRDefault="00641FBF" w:rsidP="00641FBF">
      <w:pPr>
        <w:jc w:val="both"/>
        <w:rPr>
          <w:rFonts w:eastAsia="Times New Roman" w:cs="Times New Roman"/>
          <w:szCs w:val="24"/>
        </w:rPr>
      </w:pPr>
      <w:r w:rsidRPr="00115E9D">
        <w:rPr>
          <w:rFonts w:eastAsia="Times New Roman" w:cs="Times New Roman"/>
          <w:szCs w:val="24"/>
        </w:rPr>
        <w:t>Przyrost mocy w OZE po aukcji w 2019 r.</w:t>
      </w:r>
    </w:p>
    <w:p w14:paraId="0390E0FE" w14:textId="77777777" w:rsidR="00641FBF" w:rsidRPr="00115E9D" w:rsidRDefault="00641FBF" w:rsidP="00641FBF">
      <w:pPr>
        <w:jc w:val="both"/>
        <w:rPr>
          <w:rFonts w:eastAsia="Times New Roman" w:cs="Times New Roman"/>
          <w:szCs w:val="24"/>
        </w:rPr>
      </w:pPr>
      <w:r w:rsidRPr="00115E9D">
        <w:rPr>
          <w:rFonts w:eastAsia="Times New Roman" w:cs="Times New Roman"/>
          <w:noProof/>
          <w:szCs w:val="22"/>
        </w:rPr>
        <w:drawing>
          <wp:inline distT="0" distB="0" distL="0" distR="0" wp14:anchorId="7B19BC2E" wp14:editId="25552EE4">
            <wp:extent cx="6035907" cy="1682261"/>
            <wp:effectExtent l="0" t="0" r="3175"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9013" cy="1694275"/>
                    </a:xfrm>
                    <a:prstGeom prst="rect">
                      <a:avLst/>
                    </a:prstGeom>
                    <a:noFill/>
                    <a:ln>
                      <a:noFill/>
                    </a:ln>
                  </pic:spPr>
                </pic:pic>
              </a:graphicData>
            </a:graphic>
          </wp:inline>
        </w:drawing>
      </w:r>
      <w:r w:rsidRPr="00115E9D" w:rsidDel="00447078">
        <w:rPr>
          <w:rFonts w:eastAsia="Times New Roman" w:cs="Times New Roman"/>
          <w:szCs w:val="22"/>
        </w:rPr>
        <w:t xml:space="preserve"> </w:t>
      </w:r>
    </w:p>
    <w:p w14:paraId="68141F2D" w14:textId="77777777" w:rsidR="00641FBF" w:rsidRPr="00115E9D" w:rsidRDefault="00641FBF" w:rsidP="00641FBF">
      <w:pPr>
        <w:jc w:val="both"/>
        <w:rPr>
          <w:rFonts w:eastAsia="Times New Roman" w:cs="Times New Roman"/>
          <w:szCs w:val="24"/>
        </w:rPr>
      </w:pPr>
      <w:r w:rsidRPr="00115E9D">
        <w:rPr>
          <w:rFonts w:eastAsia="Times New Roman" w:cs="Times New Roman"/>
          <w:szCs w:val="24"/>
        </w:rPr>
        <w:t>Przyrost energii w OZE po aukcji w 2019 r.</w:t>
      </w:r>
    </w:p>
    <w:p w14:paraId="66FCF64F" w14:textId="77777777" w:rsidR="00641FBF" w:rsidRPr="00115E9D" w:rsidRDefault="00641FBF" w:rsidP="00641FBF">
      <w:pPr>
        <w:jc w:val="both"/>
        <w:rPr>
          <w:rFonts w:eastAsia="Times New Roman" w:cs="Times New Roman"/>
          <w:szCs w:val="24"/>
        </w:rPr>
      </w:pPr>
      <w:r w:rsidRPr="00115E9D" w:rsidDel="00665A34">
        <w:rPr>
          <w:rFonts w:eastAsia="Times New Roman" w:cs="Times New Roman"/>
          <w:szCs w:val="22"/>
        </w:rPr>
        <w:t xml:space="preserve"> </w:t>
      </w:r>
      <w:r w:rsidRPr="00115E9D">
        <w:rPr>
          <w:rFonts w:eastAsia="Times New Roman" w:cs="Times New Roman"/>
          <w:noProof/>
          <w:szCs w:val="22"/>
        </w:rPr>
        <w:drawing>
          <wp:inline distT="0" distB="0" distL="0" distR="0" wp14:anchorId="4FF4B62C" wp14:editId="79FD8B8D">
            <wp:extent cx="6065599" cy="1365738"/>
            <wp:effectExtent l="0" t="0" r="0" b="635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2028" cy="1378444"/>
                    </a:xfrm>
                    <a:prstGeom prst="rect">
                      <a:avLst/>
                    </a:prstGeom>
                    <a:noFill/>
                    <a:ln>
                      <a:noFill/>
                    </a:ln>
                  </pic:spPr>
                </pic:pic>
              </a:graphicData>
            </a:graphic>
          </wp:inline>
        </w:drawing>
      </w:r>
      <w:r w:rsidRPr="00115E9D" w:rsidDel="00665A34">
        <w:rPr>
          <w:rFonts w:eastAsia="Times New Roman" w:cs="Times New Roman"/>
          <w:szCs w:val="22"/>
        </w:rPr>
        <w:t xml:space="preserve"> </w:t>
      </w:r>
    </w:p>
    <w:p w14:paraId="1182234C" w14:textId="77777777" w:rsidR="00641FBF" w:rsidRPr="00115E9D" w:rsidRDefault="00641FBF" w:rsidP="00641FBF">
      <w:pPr>
        <w:jc w:val="both"/>
        <w:rPr>
          <w:rFonts w:eastAsia="Times New Roman" w:cs="Times New Roman"/>
          <w:szCs w:val="24"/>
        </w:rPr>
      </w:pPr>
    </w:p>
    <w:p w14:paraId="4890D1FB" w14:textId="77777777" w:rsidR="00641FBF" w:rsidRPr="00115E9D" w:rsidRDefault="00641FBF" w:rsidP="00641FBF">
      <w:pPr>
        <w:jc w:val="both"/>
        <w:rPr>
          <w:rFonts w:eastAsia="Times New Roman" w:cs="Times New Roman"/>
          <w:b/>
          <w:szCs w:val="24"/>
        </w:rPr>
      </w:pPr>
      <w:r w:rsidRPr="00115E9D">
        <w:rPr>
          <w:rFonts w:eastAsia="Times New Roman" w:cs="Times New Roman"/>
          <w:b/>
          <w:szCs w:val="24"/>
        </w:rPr>
        <w:t xml:space="preserve">Prognozowane oddziaływanie na poszczególne grupy interesariuszy </w:t>
      </w:r>
    </w:p>
    <w:p w14:paraId="76D46CF0" w14:textId="77777777" w:rsidR="00641FBF" w:rsidRPr="00115E9D" w:rsidRDefault="00641FBF" w:rsidP="00641FBF">
      <w:pPr>
        <w:keepNext/>
        <w:keepLines/>
        <w:suppressAutoHyphens/>
        <w:autoSpaceDE/>
        <w:autoSpaceDN/>
        <w:adjustRightInd/>
        <w:jc w:val="both"/>
        <w:outlineLvl w:val="0"/>
        <w:rPr>
          <w:rFonts w:eastAsia="Times New Roman" w:cs="Times New Roman"/>
          <w:b/>
          <w:bCs/>
          <w:kern w:val="1"/>
          <w:szCs w:val="24"/>
          <w:lang w:eastAsia="ar-SA"/>
        </w:rPr>
      </w:pPr>
      <w:r w:rsidRPr="00115E9D">
        <w:rPr>
          <w:rFonts w:eastAsia="Times New Roman" w:cs="Times New Roman"/>
          <w:szCs w:val="24"/>
        </w:rPr>
        <w:t xml:space="preserve">Na potrzeby niniejszego projektu </w:t>
      </w:r>
      <w:r w:rsidRPr="00115E9D">
        <w:rPr>
          <w:rFonts w:eastAsia="Times New Roman" w:cs="Times New Roman"/>
          <w:bCs/>
          <w:kern w:val="1"/>
          <w:szCs w:val="24"/>
          <w:lang w:eastAsia="ar-SA"/>
        </w:rPr>
        <w:t xml:space="preserve">interesariusze to osoby, instytucje lub ich grupy, które są </w:t>
      </w:r>
      <w:r w:rsidRPr="00115E9D">
        <w:rPr>
          <w:rFonts w:eastAsia="Times New Roman" w:cs="Times New Roman"/>
          <w:bCs/>
          <w:kern w:val="1"/>
          <w:szCs w:val="24"/>
          <w:lang w:eastAsia="ar-SA"/>
        </w:rPr>
        <w:br/>
        <w:t>w strefie bezpośredniego lub pośredniego oddziaływania projektu lub które mogą mieć udział w projekcie i wpływać, pozytywnie lub negatywnie, na jego rezultaty.</w:t>
      </w:r>
    </w:p>
    <w:p w14:paraId="4E641C76" w14:textId="77777777" w:rsidR="00641FBF" w:rsidRPr="00115E9D" w:rsidRDefault="00641FBF" w:rsidP="00641FBF">
      <w:pPr>
        <w:rPr>
          <w:rFonts w:eastAsia="Times New Roman" w:cs="Times New Roman"/>
          <w:szCs w:val="24"/>
          <w:lang w:eastAsia="ar-SA"/>
        </w:rPr>
      </w:pPr>
    </w:p>
    <w:p w14:paraId="71A4BCA5" w14:textId="77777777" w:rsidR="00641FBF" w:rsidRPr="00115E9D" w:rsidRDefault="00641FBF" w:rsidP="002F7DB6">
      <w:pPr>
        <w:keepNext/>
        <w:keepLines/>
        <w:suppressAutoHyphens/>
        <w:autoSpaceDE/>
        <w:autoSpaceDN/>
        <w:adjustRightInd/>
        <w:jc w:val="both"/>
        <w:outlineLvl w:val="0"/>
        <w:rPr>
          <w:rFonts w:eastAsia="Times New Roman" w:cs="Times New Roman"/>
          <w:color w:val="000000"/>
          <w:szCs w:val="24"/>
        </w:rPr>
      </w:pPr>
      <w:r w:rsidRPr="00115E9D">
        <w:rPr>
          <w:rFonts w:eastAsia="Times New Roman" w:cs="Times New Roman"/>
          <w:color w:val="000000"/>
          <w:szCs w:val="24"/>
        </w:rPr>
        <w:t>Przewidywane skutki wprowadzenia regulacji w podziale na grupy interesariuszy:</w:t>
      </w:r>
    </w:p>
    <w:p w14:paraId="57E607B7" w14:textId="77777777" w:rsidR="00641FBF" w:rsidRPr="00115E9D" w:rsidRDefault="00641FBF" w:rsidP="002F7DB6">
      <w:pPr>
        <w:widowControl/>
        <w:numPr>
          <w:ilvl w:val="0"/>
          <w:numId w:val="2"/>
        </w:numPr>
        <w:autoSpaceDE/>
        <w:autoSpaceDN/>
        <w:adjustRightInd/>
        <w:spacing w:after="200"/>
        <w:jc w:val="both"/>
        <w:rPr>
          <w:rFonts w:eastAsia="Times New Roman" w:cs="Times New Roman"/>
          <w:color w:val="000000"/>
          <w:szCs w:val="24"/>
        </w:rPr>
      </w:pPr>
      <w:r w:rsidRPr="00115E9D">
        <w:rPr>
          <w:rFonts w:eastAsia="Times New Roman" w:cs="Times New Roman"/>
          <w:color w:val="000000"/>
          <w:szCs w:val="24"/>
        </w:rPr>
        <w:t>społeczne – w związku z licznymi wątpliwościami w zakresie zmienianych przepisów prawnych, wejście w życie proponowanej regulacji spowoduje podniesienie stopnia zaufania obywateli do państwa;</w:t>
      </w:r>
    </w:p>
    <w:p w14:paraId="2EC2E866" w14:textId="77777777" w:rsidR="00641FBF" w:rsidRPr="00115E9D" w:rsidRDefault="00641FBF" w:rsidP="002F7DB6">
      <w:pPr>
        <w:widowControl/>
        <w:numPr>
          <w:ilvl w:val="0"/>
          <w:numId w:val="2"/>
        </w:numPr>
        <w:autoSpaceDE/>
        <w:autoSpaceDN/>
        <w:adjustRightInd/>
        <w:spacing w:after="200"/>
        <w:jc w:val="both"/>
        <w:rPr>
          <w:rFonts w:eastAsia="Times New Roman" w:cs="Times New Roman"/>
          <w:color w:val="000000"/>
          <w:szCs w:val="24"/>
        </w:rPr>
      </w:pPr>
      <w:r w:rsidRPr="00115E9D">
        <w:rPr>
          <w:rFonts w:eastAsia="Times New Roman" w:cs="Times New Roman"/>
          <w:color w:val="000000"/>
          <w:szCs w:val="24"/>
        </w:rPr>
        <w:lastRenderedPageBreak/>
        <w:t>gospodarcze – wejście w życie projektowanej regulacji przyczyni się do utwierdzenia przedsiębiorców w zakresie proponowanych stabilnych i jasnych mechanizmów wsparcia energii z OZE;</w:t>
      </w:r>
    </w:p>
    <w:p w14:paraId="065A60A2" w14:textId="77777777" w:rsidR="00641FBF" w:rsidRPr="00115E9D" w:rsidRDefault="00641FBF" w:rsidP="002F7DB6">
      <w:pPr>
        <w:widowControl/>
        <w:numPr>
          <w:ilvl w:val="0"/>
          <w:numId w:val="2"/>
        </w:numPr>
        <w:autoSpaceDE/>
        <w:autoSpaceDN/>
        <w:adjustRightInd/>
        <w:spacing w:after="200"/>
        <w:jc w:val="both"/>
        <w:rPr>
          <w:rFonts w:eastAsia="Times New Roman" w:cs="Times New Roman"/>
          <w:color w:val="000000"/>
          <w:szCs w:val="24"/>
        </w:rPr>
      </w:pPr>
      <w:r w:rsidRPr="00115E9D">
        <w:rPr>
          <w:rFonts w:eastAsia="Times New Roman" w:cs="Times New Roman"/>
          <w:color w:val="000000"/>
          <w:szCs w:val="24"/>
        </w:rPr>
        <w:t>finansowe – wejście w życie projektowanej regulacji powodować będzie konieczność poniesienia wydatków z budżetu państwa w zakresie wydatków przeznaczonych na wykonywanie zadań Prezesa URE w obszarze rozwoju Internetowej Platformy Aukcyjnej. Wejście w życie projektowanej regulacji nie będzie powodować konieczności poniesienia wydatków z budżetu jednostek samorządu terytorialnego;</w:t>
      </w:r>
    </w:p>
    <w:p w14:paraId="5439D694" w14:textId="10072BE2" w:rsidR="00641FBF" w:rsidRPr="00115E9D" w:rsidRDefault="00641FBF" w:rsidP="002F7DB6">
      <w:pPr>
        <w:widowControl/>
        <w:ind w:left="720"/>
        <w:jc w:val="both"/>
        <w:rPr>
          <w:rFonts w:eastAsia="Times New Roman" w:cs="Times New Roman"/>
          <w:color w:val="000000"/>
          <w:szCs w:val="24"/>
        </w:rPr>
      </w:pPr>
      <w:r w:rsidRPr="00115E9D">
        <w:rPr>
          <w:rFonts w:eastAsia="Calibri" w:cs="Times New Roman"/>
          <w:color w:val="000000"/>
          <w:szCs w:val="24"/>
          <w:lang w:eastAsia="en-US"/>
        </w:rPr>
        <w:t>Poza wyżej wymienionym wydatkiem, przedkładana regulacja nie nakłada ani na jednostki samorządu terytorialnego</w:t>
      </w:r>
      <w:r w:rsidR="00950F96">
        <w:rPr>
          <w:rFonts w:eastAsia="Calibri" w:cs="Times New Roman"/>
          <w:color w:val="000000"/>
          <w:szCs w:val="24"/>
          <w:lang w:eastAsia="en-US"/>
        </w:rPr>
        <w:t>,</w:t>
      </w:r>
      <w:r w:rsidRPr="00115E9D">
        <w:rPr>
          <w:rFonts w:eastAsia="Calibri" w:cs="Times New Roman"/>
          <w:color w:val="000000"/>
          <w:szCs w:val="24"/>
          <w:lang w:eastAsia="en-US"/>
        </w:rPr>
        <w:t xml:space="preserve"> ani na budżet państwa innych dodatkowych zobowiązań finansowych, jednakże dodatkowe możliwości rozwoju gospodarczego i aktywizacji lokalnych społeczności mogą przyczynić się do wzrostu gospodarczego i zwiększenia dochodów do budżetu państwa z tytułu nowych inwestycji;</w:t>
      </w:r>
    </w:p>
    <w:p w14:paraId="49E9E0A7" w14:textId="77777777" w:rsidR="00641FBF" w:rsidRPr="00115E9D" w:rsidRDefault="00641FBF" w:rsidP="002F7DB6">
      <w:pPr>
        <w:widowControl/>
        <w:numPr>
          <w:ilvl w:val="0"/>
          <w:numId w:val="2"/>
        </w:numPr>
        <w:autoSpaceDE/>
        <w:autoSpaceDN/>
        <w:adjustRightInd/>
        <w:spacing w:after="200"/>
        <w:jc w:val="both"/>
        <w:rPr>
          <w:rFonts w:eastAsia="Times New Roman" w:cs="Times New Roman"/>
          <w:color w:val="000000"/>
          <w:szCs w:val="24"/>
        </w:rPr>
      </w:pPr>
      <w:r w:rsidRPr="00115E9D">
        <w:rPr>
          <w:rFonts w:eastAsia="Times New Roman" w:cs="Times New Roman"/>
          <w:color w:val="000000"/>
          <w:szCs w:val="24"/>
        </w:rPr>
        <w:t xml:space="preserve">prawne – wejście w życie projektowanej regulacji nie wprowadza nowych obowiązków prawnych w zakresie koncesji. </w:t>
      </w:r>
    </w:p>
    <w:p w14:paraId="2C5C4E4C" w14:textId="77777777" w:rsidR="00641FBF" w:rsidRPr="00115E9D" w:rsidRDefault="00641FBF" w:rsidP="00641FBF">
      <w:pPr>
        <w:widowControl/>
        <w:ind w:left="720"/>
        <w:jc w:val="both"/>
        <w:rPr>
          <w:rFonts w:eastAsia="Times New Roman" w:cs="Times New Roman"/>
          <w:color w:val="000000"/>
          <w:szCs w:val="24"/>
        </w:rPr>
      </w:pPr>
    </w:p>
    <w:p w14:paraId="6C34751A" w14:textId="77777777" w:rsidR="00641FBF" w:rsidRPr="00115E9D" w:rsidRDefault="00641FBF" w:rsidP="00641FBF">
      <w:pPr>
        <w:jc w:val="both"/>
        <w:rPr>
          <w:rFonts w:eastAsia="Times New Roman" w:cs="Times New Roman"/>
          <w:szCs w:val="24"/>
        </w:rPr>
      </w:pPr>
      <w:r w:rsidRPr="00115E9D">
        <w:rPr>
          <w:rFonts w:eastAsia="Times New Roman" w:cs="Times New Roman"/>
          <w:szCs w:val="24"/>
        </w:rPr>
        <w:t>Wszystkie podmioty w ramach systemu aukcyjnego, działające w sektorze wytwarzania energii ze źródeł odnawialnych, będą musiały dostosować się do nowych zasad systemu aukcyjnego, który promować będzie przede wszystkim inwestycje w mniejsze instalacje odnawialnych źródeł energii, wykorzystujących lokalnie dostępne surowce energetyczne.</w:t>
      </w:r>
    </w:p>
    <w:p w14:paraId="337D48D4" w14:textId="77777777" w:rsidR="00641FBF" w:rsidRPr="00115E9D" w:rsidRDefault="00641FBF" w:rsidP="00641FBF">
      <w:pPr>
        <w:jc w:val="both"/>
        <w:rPr>
          <w:rFonts w:eastAsia="Times New Roman" w:cs="Times New Roman"/>
          <w:szCs w:val="24"/>
        </w:rPr>
      </w:pPr>
    </w:p>
    <w:p w14:paraId="685FB385" w14:textId="77777777" w:rsidR="00641FBF" w:rsidRPr="00115E9D" w:rsidRDefault="00641FBF" w:rsidP="002F7DB6">
      <w:pPr>
        <w:jc w:val="both"/>
        <w:rPr>
          <w:rFonts w:eastAsia="Times New Roman" w:cs="Times New Roman"/>
          <w:szCs w:val="24"/>
        </w:rPr>
      </w:pPr>
      <w:r w:rsidRPr="00115E9D">
        <w:rPr>
          <w:rFonts w:eastAsia="Times New Roman" w:cs="Times New Roman"/>
          <w:szCs w:val="24"/>
        </w:rPr>
        <w:t>Projekt oddziałuje na następujące grupy społeczne:</w:t>
      </w:r>
    </w:p>
    <w:p w14:paraId="3A76F299" w14:textId="77777777" w:rsidR="00641FBF" w:rsidRPr="00115E9D" w:rsidRDefault="00641FBF" w:rsidP="002F7DB6">
      <w:pPr>
        <w:widowControl/>
        <w:numPr>
          <w:ilvl w:val="0"/>
          <w:numId w:val="4"/>
        </w:numPr>
        <w:autoSpaceDE/>
        <w:autoSpaceDN/>
        <w:adjustRightInd/>
        <w:spacing w:after="160"/>
        <w:ind w:left="0" w:hanging="284"/>
        <w:contextualSpacing/>
        <w:jc w:val="both"/>
        <w:rPr>
          <w:rFonts w:eastAsia="Calibri" w:cs="Times New Roman"/>
          <w:szCs w:val="24"/>
          <w:lang w:eastAsia="en-US"/>
        </w:rPr>
      </w:pPr>
      <w:r w:rsidRPr="00115E9D">
        <w:rPr>
          <w:rFonts w:eastAsia="Calibri" w:cs="Times New Roman"/>
          <w:szCs w:val="24"/>
          <w:lang w:eastAsia="en-US"/>
        </w:rPr>
        <w:t xml:space="preserve">małe i średnie przedsiębiorstwa: proponowane rozwiązania sprzyjać będą głównie sektorowi MŚP, który z uwagi na lokalny charakter oddziaływania, prawdopodobnie lepiej będzie się mógł zaadaptować do nowego systemu aukcyjnego. </w:t>
      </w:r>
      <w:r w:rsidRPr="00115E9D">
        <w:rPr>
          <w:rFonts w:eastAsia="Calibri" w:cs="Times New Roman"/>
          <w:color w:val="000000"/>
          <w:szCs w:val="24"/>
          <w:lang w:eastAsia="en-US"/>
        </w:rPr>
        <w:t xml:space="preserve">Projektowana regulacja zakłada rozwój inwestycji OZE przez małych i średnich przedsiębiorców. Przyjmując za kryterium identyfikacyjne skalę realizowanej inwestycji, założyć można, iż planowane do przeprowadzenia w 2019 roku aukcje OZE w koszykach do 1 MW przeznaczone będą dla inwestycji realizowanych przez te podmioty. Mając na uwadze powyższe, zgodnie </w:t>
      </w:r>
      <w:r w:rsidRPr="00115E9D">
        <w:rPr>
          <w:rFonts w:eastAsia="Calibri" w:cs="Times New Roman"/>
          <w:color w:val="000000"/>
          <w:szCs w:val="24"/>
          <w:lang w:eastAsia="en-US"/>
        </w:rPr>
        <w:br/>
        <w:t>z przyjętymi założeniami, planowane jest przeznaczenie następujących ilości i wartości:</w:t>
      </w:r>
    </w:p>
    <w:tbl>
      <w:tblPr>
        <w:tblpPr w:leftFromText="141" w:rightFromText="141" w:vertAnchor="text" w:horzAnchor="margin" w:tblpXSpec="center" w:tblpY="387"/>
        <w:tblW w:w="7230" w:type="dxa"/>
        <w:tblCellMar>
          <w:left w:w="70" w:type="dxa"/>
          <w:right w:w="70" w:type="dxa"/>
        </w:tblCellMar>
        <w:tblLook w:val="04A0" w:firstRow="1" w:lastRow="0" w:firstColumn="1" w:lastColumn="0" w:noHBand="0" w:noVBand="1"/>
      </w:tblPr>
      <w:tblGrid>
        <w:gridCol w:w="4421"/>
        <w:gridCol w:w="2809"/>
      </w:tblGrid>
      <w:tr w:rsidR="00641FBF" w:rsidRPr="00115E9D" w14:paraId="024EB74C" w14:textId="77777777" w:rsidTr="00AE5430">
        <w:trPr>
          <w:trHeight w:val="300"/>
        </w:trPr>
        <w:tc>
          <w:tcPr>
            <w:tcW w:w="4421" w:type="dxa"/>
            <w:tcBorders>
              <w:top w:val="single" w:sz="8" w:space="0" w:color="auto"/>
              <w:left w:val="single" w:sz="8" w:space="0" w:color="auto"/>
              <w:bottom w:val="single" w:sz="4" w:space="0" w:color="auto"/>
              <w:right w:val="single" w:sz="4" w:space="0" w:color="auto"/>
            </w:tcBorders>
            <w:shd w:val="clear" w:color="auto" w:fill="auto"/>
            <w:vAlign w:val="bottom"/>
            <w:hideMark/>
          </w:tcPr>
          <w:p w14:paraId="0045A609" w14:textId="77777777" w:rsidR="00641FBF" w:rsidRPr="00115E9D" w:rsidRDefault="00641FBF" w:rsidP="00641FBF">
            <w:pPr>
              <w:widowControl/>
              <w:autoSpaceDE/>
              <w:autoSpaceDN/>
              <w:adjustRightInd/>
              <w:rPr>
                <w:rFonts w:eastAsia="Times New Roman" w:cs="Times New Roman"/>
                <w:color w:val="000000"/>
                <w:szCs w:val="24"/>
              </w:rPr>
            </w:pPr>
            <w:r w:rsidRPr="00115E9D">
              <w:rPr>
                <w:rFonts w:eastAsia="Times New Roman" w:cs="Times New Roman"/>
                <w:color w:val="000000"/>
                <w:szCs w:val="24"/>
              </w:rPr>
              <w:lastRenderedPageBreak/>
              <w:t>Sumaryczna ilość energii w MWh</w:t>
            </w:r>
          </w:p>
        </w:tc>
        <w:tc>
          <w:tcPr>
            <w:tcW w:w="2809" w:type="dxa"/>
            <w:tcBorders>
              <w:top w:val="single" w:sz="8" w:space="0" w:color="auto"/>
              <w:left w:val="nil"/>
              <w:bottom w:val="single" w:sz="4" w:space="0" w:color="auto"/>
              <w:right w:val="single" w:sz="8" w:space="0" w:color="auto"/>
            </w:tcBorders>
            <w:shd w:val="clear" w:color="auto" w:fill="auto"/>
            <w:noWrap/>
            <w:vAlign w:val="center"/>
            <w:hideMark/>
          </w:tcPr>
          <w:p w14:paraId="0AFF6191" w14:textId="77777777" w:rsidR="00641FBF" w:rsidRPr="00115E9D" w:rsidRDefault="00641FBF" w:rsidP="00641FBF">
            <w:pPr>
              <w:widowControl/>
              <w:autoSpaceDE/>
              <w:autoSpaceDN/>
              <w:adjustRightInd/>
              <w:jc w:val="right"/>
              <w:rPr>
                <w:rFonts w:eastAsia="Times New Roman" w:cs="Times New Roman"/>
                <w:color w:val="000000"/>
                <w:szCs w:val="24"/>
              </w:rPr>
            </w:pPr>
            <w:r w:rsidRPr="00115E9D">
              <w:rPr>
                <w:rFonts w:eastAsia="Times New Roman" w:cs="Times New Roman"/>
                <w:color w:val="000000"/>
                <w:szCs w:val="24"/>
              </w:rPr>
              <w:t xml:space="preserve">             15 104 400,00    </w:t>
            </w:r>
          </w:p>
        </w:tc>
      </w:tr>
      <w:tr w:rsidR="00641FBF" w:rsidRPr="00115E9D" w14:paraId="79E380FD" w14:textId="77777777" w:rsidTr="00AE5430">
        <w:trPr>
          <w:trHeight w:val="315"/>
        </w:trPr>
        <w:tc>
          <w:tcPr>
            <w:tcW w:w="4421" w:type="dxa"/>
            <w:tcBorders>
              <w:top w:val="nil"/>
              <w:left w:val="single" w:sz="8" w:space="0" w:color="auto"/>
              <w:bottom w:val="single" w:sz="4" w:space="0" w:color="auto"/>
              <w:right w:val="single" w:sz="4" w:space="0" w:color="auto"/>
            </w:tcBorders>
            <w:shd w:val="clear" w:color="auto" w:fill="auto"/>
            <w:vAlign w:val="bottom"/>
            <w:hideMark/>
          </w:tcPr>
          <w:p w14:paraId="20DA8245" w14:textId="77777777" w:rsidR="00641FBF" w:rsidRPr="00115E9D" w:rsidRDefault="00641FBF" w:rsidP="00641FBF">
            <w:pPr>
              <w:widowControl/>
              <w:autoSpaceDE/>
              <w:autoSpaceDN/>
              <w:adjustRightInd/>
              <w:rPr>
                <w:rFonts w:eastAsia="Times New Roman" w:cs="Times New Roman"/>
                <w:color w:val="000000"/>
                <w:szCs w:val="24"/>
              </w:rPr>
            </w:pPr>
            <w:r w:rsidRPr="00115E9D">
              <w:rPr>
                <w:rFonts w:eastAsia="Times New Roman" w:cs="Times New Roman"/>
                <w:color w:val="000000"/>
                <w:szCs w:val="24"/>
              </w:rPr>
              <w:t>Sumaryczna wartość energii w PLN</w:t>
            </w:r>
          </w:p>
        </w:tc>
        <w:tc>
          <w:tcPr>
            <w:tcW w:w="2809" w:type="dxa"/>
            <w:tcBorders>
              <w:top w:val="nil"/>
              <w:left w:val="nil"/>
              <w:bottom w:val="single" w:sz="4" w:space="0" w:color="auto"/>
              <w:right w:val="single" w:sz="8" w:space="0" w:color="auto"/>
            </w:tcBorders>
            <w:shd w:val="clear" w:color="auto" w:fill="auto"/>
            <w:noWrap/>
            <w:vAlign w:val="center"/>
            <w:hideMark/>
          </w:tcPr>
          <w:p w14:paraId="79C446F8" w14:textId="77777777" w:rsidR="00641FBF" w:rsidRPr="00115E9D" w:rsidRDefault="00641FBF" w:rsidP="00641FBF">
            <w:pPr>
              <w:widowControl/>
              <w:autoSpaceDE/>
              <w:autoSpaceDN/>
              <w:adjustRightInd/>
              <w:jc w:val="right"/>
              <w:rPr>
                <w:rFonts w:eastAsia="Times New Roman" w:cs="Times New Roman"/>
                <w:color w:val="000000"/>
                <w:szCs w:val="24"/>
              </w:rPr>
            </w:pPr>
            <w:r w:rsidRPr="00115E9D">
              <w:rPr>
                <w:rFonts w:eastAsia="Times New Roman" w:cs="Times New Roman"/>
                <w:color w:val="000000"/>
                <w:szCs w:val="24"/>
              </w:rPr>
              <w:t xml:space="preserve">       6 487 230 000,00    </w:t>
            </w:r>
          </w:p>
        </w:tc>
      </w:tr>
      <w:tr w:rsidR="00641FBF" w:rsidRPr="00115E9D" w14:paraId="1B8C05E6" w14:textId="77777777" w:rsidTr="00AE5430">
        <w:trPr>
          <w:trHeight w:val="615"/>
        </w:trPr>
        <w:tc>
          <w:tcPr>
            <w:tcW w:w="4421" w:type="dxa"/>
            <w:tcBorders>
              <w:top w:val="nil"/>
              <w:left w:val="single" w:sz="8" w:space="0" w:color="auto"/>
              <w:bottom w:val="single" w:sz="8" w:space="0" w:color="auto"/>
              <w:right w:val="single" w:sz="4" w:space="0" w:color="auto"/>
            </w:tcBorders>
            <w:shd w:val="clear" w:color="auto" w:fill="auto"/>
            <w:vAlign w:val="bottom"/>
            <w:hideMark/>
          </w:tcPr>
          <w:p w14:paraId="27D87581" w14:textId="77777777" w:rsidR="00641FBF" w:rsidRPr="00115E9D" w:rsidRDefault="00641FBF" w:rsidP="00641FBF">
            <w:pPr>
              <w:widowControl/>
              <w:autoSpaceDE/>
              <w:autoSpaceDN/>
              <w:adjustRightInd/>
              <w:rPr>
                <w:rFonts w:eastAsia="Times New Roman" w:cs="Times New Roman"/>
                <w:color w:val="000000"/>
                <w:szCs w:val="24"/>
              </w:rPr>
            </w:pPr>
            <w:r w:rsidRPr="00115E9D">
              <w:rPr>
                <w:rFonts w:eastAsia="Times New Roman" w:cs="Times New Roman"/>
                <w:color w:val="000000"/>
                <w:szCs w:val="24"/>
              </w:rPr>
              <w:t>Sumaryczna wartość pomocy publicznej w PLN</w:t>
            </w:r>
          </w:p>
        </w:tc>
        <w:tc>
          <w:tcPr>
            <w:tcW w:w="2809" w:type="dxa"/>
            <w:tcBorders>
              <w:top w:val="nil"/>
              <w:left w:val="nil"/>
              <w:bottom w:val="single" w:sz="8" w:space="0" w:color="auto"/>
              <w:right w:val="single" w:sz="8" w:space="0" w:color="auto"/>
            </w:tcBorders>
            <w:shd w:val="clear" w:color="auto" w:fill="auto"/>
            <w:noWrap/>
            <w:vAlign w:val="center"/>
            <w:hideMark/>
          </w:tcPr>
          <w:p w14:paraId="362098A0" w14:textId="77777777" w:rsidR="00641FBF" w:rsidRPr="00115E9D" w:rsidRDefault="00641FBF" w:rsidP="00641FBF">
            <w:pPr>
              <w:widowControl/>
              <w:autoSpaceDE/>
              <w:autoSpaceDN/>
              <w:adjustRightInd/>
              <w:jc w:val="right"/>
              <w:rPr>
                <w:rFonts w:eastAsia="Times New Roman" w:cs="Times New Roman"/>
                <w:color w:val="000000"/>
                <w:szCs w:val="24"/>
              </w:rPr>
            </w:pPr>
            <w:r w:rsidRPr="00115E9D">
              <w:rPr>
                <w:rFonts w:eastAsia="Times New Roman" w:cs="Times New Roman"/>
                <w:color w:val="000000"/>
                <w:szCs w:val="24"/>
              </w:rPr>
              <w:t xml:space="preserve">       3 194 470 800,00    </w:t>
            </w:r>
          </w:p>
        </w:tc>
      </w:tr>
    </w:tbl>
    <w:p w14:paraId="65CAFEE0" w14:textId="77777777" w:rsidR="00641FBF" w:rsidRPr="00115E9D" w:rsidRDefault="00641FBF" w:rsidP="00641FBF">
      <w:pPr>
        <w:widowControl/>
        <w:autoSpaceDE/>
        <w:autoSpaceDN/>
        <w:adjustRightInd/>
        <w:spacing w:after="160"/>
        <w:ind w:left="720"/>
        <w:contextualSpacing/>
        <w:jc w:val="both"/>
        <w:rPr>
          <w:rFonts w:eastAsia="Calibri" w:cs="Times New Roman"/>
          <w:color w:val="000000"/>
          <w:szCs w:val="24"/>
          <w:lang w:eastAsia="en-US"/>
        </w:rPr>
      </w:pPr>
    </w:p>
    <w:p w14:paraId="37A0CBAA" w14:textId="77777777" w:rsidR="00641FBF" w:rsidRPr="00115E9D" w:rsidRDefault="00641FBF" w:rsidP="00641FBF">
      <w:pPr>
        <w:widowControl/>
        <w:autoSpaceDE/>
        <w:autoSpaceDN/>
        <w:adjustRightInd/>
        <w:spacing w:after="160"/>
        <w:ind w:left="720"/>
        <w:contextualSpacing/>
        <w:jc w:val="both"/>
        <w:rPr>
          <w:rFonts w:eastAsia="Calibri" w:cs="Times New Roman"/>
          <w:color w:val="000000"/>
          <w:szCs w:val="24"/>
          <w:lang w:eastAsia="en-US"/>
        </w:rPr>
      </w:pPr>
    </w:p>
    <w:p w14:paraId="2EB20F00" w14:textId="77777777" w:rsidR="00641FBF" w:rsidRPr="00115E9D" w:rsidRDefault="00641FBF" w:rsidP="00641FBF">
      <w:pPr>
        <w:widowControl/>
        <w:autoSpaceDE/>
        <w:autoSpaceDN/>
        <w:adjustRightInd/>
        <w:spacing w:after="160"/>
        <w:ind w:left="720"/>
        <w:contextualSpacing/>
        <w:jc w:val="both"/>
        <w:rPr>
          <w:rFonts w:eastAsia="Calibri" w:cs="Times New Roman"/>
          <w:color w:val="000000"/>
          <w:szCs w:val="24"/>
          <w:lang w:eastAsia="en-US"/>
        </w:rPr>
      </w:pPr>
    </w:p>
    <w:p w14:paraId="7FF64F75" w14:textId="77777777" w:rsidR="00641FBF" w:rsidRPr="00115E9D" w:rsidRDefault="00641FBF" w:rsidP="00641FBF">
      <w:pPr>
        <w:widowControl/>
        <w:autoSpaceDE/>
        <w:autoSpaceDN/>
        <w:adjustRightInd/>
        <w:spacing w:after="160"/>
        <w:ind w:left="720"/>
        <w:contextualSpacing/>
        <w:jc w:val="both"/>
        <w:rPr>
          <w:rFonts w:eastAsia="Calibri" w:cs="Times New Roman"/>
          <w:color w:val="000000"/>
          <w:szCs w:val="24"/>
          <w:lang w:eastAsia="en-US"/>
        </w:rPr>
      </w:pPr>
    </w:p>
    <w:p w14:paraId="27534141" w14:textId="77777777" w:rsidR="00641FBF" w:rsidRPr="00115E9D" w:rsidRDefault="00641FBF" w:rsidP="00641FBF">
      <w:pPr>
        <w:widowControl/>
        <w:autoSpaceDE/>
        <w:autoSpaceDN/>
        <w:adjustRightInd/>
        <w:spacing w:after="160"/>
        <w:ind w:left="720"/>
        <w:contextualSpacing/>
        <w:jc w:val="both"/>
        <w:rPr>
          <w:rFonts w:eastAsia="Calibri" w:cs="Times New Roman"/>
          <w:color w:val="000000"/>
          <w:szCs w:val="24"/>
          <w:lang w:eastAsia="en-US"/>
        </w:rPr>
      </w:pPr>
    </w:p>
    <w:p w14:paraId="3FFB16EE" w14:textId="34B9D7CB" w:rsidR="00641FBF" w:rsidRPr="00115E9D" w:rsidRDefault="00641FBF" w:rsidP="002F7DB6">
      <w:pPr>
        <w:widowControl/>
        <w:numPr>
          <w:ilvl w:val="0"/>
          <w:numId w:val="4"/>
        </w:numPr>
        <w:autoSpaceDE/>
        <w:autoSpaceDN/>
        <w:adjustRightInd/>
        <w:spacing w:after="160"/>
        <w:ind w:left="284"/>
        <w:contextualSpacing/>
        <w:jc w:val="both"/>
        <w:rPr>
          <w:rFonts w:eastAsia="Calibri" w:cs="Times New Roman"/>
          <w:szCs w:val="24"/>
          <w:lang w:eastAsia="en-US"/>
        </w:rPr>
      </w:pPr>
      <w:r w:rsidRPr="00115E9D">
        <w:rPr>
          <w:rFonts w:eastAsia="Calibri" w:cs="Times New Roman"/>
          <w:szCs w:val="24"/>
          <w:lang w:eastAsia="en-US"/>
        </w:rPr>
        <w:t xml:space="preserve">odbiorcy końcowi energii elektrycznej: partycypują w opłacie OZE stanowiącej pozycję na ich rachunkach za konsumpcję energii elektrycznej. Konieczne jest w tym miejscu wskazanie, iż w bieżącym roku kalendarzowym, podobnie jak w roku 2018, poziom tej opłaty ustalany przez Prezesa URE utrzymuje się na poziomie 0 zł. Istniejący stan wynika </w:t>
      </w:r>
      <w:r w:rsidRPr="00115E9D">
        <w:rPr>
          <w:rFonts w:eastAsia="Calibri" w:cs="Times New Roman"/>
          <w:szCs w:val="24"/>
          <w:lang w:eastAsia="en-US"/>
        </w:rPr>
        <w:br/>
        <w:t xml:space="preserve">z konieczności konsumpcji środków zgromadzonych w latach ubiegłych. Przedstawiony poniżej efektywny system dystrybucji pomocy publicznej umożliwi utrzymanie obciążeń odbiorów końcowych na minimalnym poziomie, niezbędnym dla osiągnięcia wymaganego udziału OZE w </w:t>
      </w:r>
      <w:proofErr w:type="spellStart"/>
      <w:r w:rsidRPr="00115E9D">
        <w:rPr>
          <w:rFonts w:eastAsia="Calibri" w:cs="Times New Roman"/>
          <w:szCs w:val="24"/>
          <w:lang w:eastAsia="en-US"/>
        </w:rPr>
        <w:t>miksie</w:t>
      </w:r>
      <w:proofErr w:type="spellEnd"/>
      <w:r w:rsidRPr="00115E9D">
        <w:rPr>
          <w:rFonts w:eastAsia="Calibri" w:cs="Times New Roman"/>
          <w:szCs w:val="24"/>
          <w:lang w:eastAsia="en-US"/>
        </w:rPr>
        <w:t xml:space="preserve"> energetycznym. Co istotne, w perspektywie cen osiągniętych na aukcjach OZE w 2018 r</w:t>
      </w:r>
      <w:r w:rsidR="00950F96">
        <w:rPr>
          <w:rFonts w:eastAsia="Calibri" w:cs="Times New Roman"/>
          <w:szCs w:val="24"/>
          <w:lang w:eastAsia="en-US"/>
        </w:rPr>
        <w:t>.</w:t>
      </w:r>
      <w:r w:rsidRPr="00115E9D">
        <w:rPr>
          <w:rFonts w:eastAsia="Calibri" w:cs="Times New Roman"/>
          <w:szCs w:val="24"/>
          <w:lang w:eastAsia="en-US"/>
        </w:rPr>
        <w:t xml:space="preserve"> oraz średniej rocznej ceny sprzedaży energii elektrycznej na rynku konkurencyjnym w poprzednim roku ogłaszanej przez Prezesa URE (194,30 zł/MWh</w:t>
      </w:r>
      <w:r w:rsidRPr="00115E9D">
        <w:rPr>
          <w:rFonts w:eastAsia="Calibri" w:cs="Times New Roman"/>
          <w:szCs w:val="22"/>
          <w:vertAlign w:val="superscript"/>
          <w:lang w:eastAsia="en-US"/>
        </w:rPr>
        <w:footnoteReference w:id="1"/>
      </w:r>
      <w:r w:rsidRPr="00115E9D">
        <w:rPr>
          <w:rFonts w:eastAsia="Calibri" w:cs="Times New Roman"/>
          <w:szCs w:val="24"/>
          <w:vertAlign w:val="superscript"/>
          <w:lang w:eastAsia="en-US"/>
        </w:rPr>
        <w:t>)</w:t>
      </w:r>
      <w:r w:rsidRPr="00115E9D">
        <w:rPr>
          <w:rFonts w:eastAsia="Calibri" w:cs="Times New Roman"/>
          <w:szCs w:val="24"/>
          <w:lang w:eastAsia="en-US"/>
        </w:rPr>
        <w:t>) obciążenie dla odbiorów końcowych z tytułu opłaty OZE będzie utrzymywało tendencję spadkową w nadchodzących latach, </w:t>
      </w:r>
    </w:p>
    <w:p w14:paraId="1EAB8AC5" w14:textId="7CAB65C3" w:rsidR="00641FBF" w:rsidRPr="00115E9D" w:rsidRDefault="00641FBF" w:rsidP="002F7DB6">
      <w:pPr>
        <w:widowControl/>
        <w:numPr>
          <w:ilvl w:val="0"/>
          <w:numId w:val="4"/>
        </w:numPr>
        <w:autoSpaceDE/>
        <w:autoSpaceDN/>
        <w:adjustRightInd/>
        <w:spacing w:after="160"/>
        <w:ind w:left="284" w:hanging="284"/>
        <w:contextualSpacing/>
        <w:jc w:val="both"/>
        <w:rPr>
          <w:rFonts w:eastAsia="Calibri" w:cs="Times New Roman"/>
          <w:szCs w:val="24"/>
          <w:lang w:eastAsia="en-US"/>
        </w:rPr>
      </w:pPr>
      <w:r w:rsidRPr="00115E9D">
        <w:rPr>
          <w:rFonts w:eastAsia="Calibri" w:cs="Times New Roman"/>
          <w:szCs w:val="24"/>
          <w:lang w:eastAsia="en-US"/>
        </w:rPr>
        <w:t>operatorzy systemów dystrybucyjnych oraz systemu przesyłowego: podmioty te będą zobligowane, na wniosek inwestora</w:t>
      </w:r>
      <w:r w:rsidR="000A0A4E">
        <w:rPr>
          <w:rFonts w:eastAsia="Calibri" w:cs="Times New Roman"/>
          <w:szCs w:val="24"/>
          <w:lang w:eastAsia="en-US"/>
        </w:rPr>
        <w:t>,</w:t>
      </w:r>
      <w:r w:rsidRPr="00115E9D">
        <w:rPr>
          <w:rFonts w:eastAsia="Calibri" w:cs="Times New Roman"/>
          <w:szCs w:val="24"/>
          <w:lang w:eastAsia="en-US"/>
        </w:rPr>
        <w:t xml:space="preserve"> do przeprowadzenia procedur aneksowania umów przyłączeniowych w zakresie obowiązujących harmonogramów inwestycyjnych na okres nie dłuższy niż wskazany w projekcie ustawy, oraz okresu maksymalnego, po którym następuję prawo do wypowiedzenia umowy przez operatora,</w:t>
      </w:r>
    </w:p>
    <w:p w14:paraId="35F76708" w14:textId="76657CE5" w:rsidR="00641FBF" w:rsidRPr="00115E9D" w:rsidRDefault="00641FBF" w:rsidP="002F7DB6">
      <w:pPr>
        <w:widowControl/>
        <w:numPr>
          <w:ilvl w:val="0"/>
          <w:numId w:val="4"/>
        </w:numPr>
        <w:autoSpaceDE/>
        <w:autoSpaceDN/>
        <w:adjustRightInd/>
        <w:spacing w:after="160"/>
        <w:ind w:left="284" w:hanging="284"/>
        <w:contextualSpacing/>
        <w:jc w:val="both"/>
        <w:rPr>
          <w:rFonts w:eastAsia="Calibri" w:cs="Times New Roman"/>
          <w:szCs w:val="24"/>
          <w:lang w:eastAsia="en-US"/>
        </w:rPr>
      </w:pPr>
      <w:r w:rsidRPr="00115E9D">
        <w:rPr>
          <w:rFonts w:eastAsia="Calibri" w:cs="Times New Roman"/>
          <w:szCs w:val="24"/>
          <w:lang w:eastAsia="en-US"/>
        </w:rPr>
        <w:t>przedsiębiorcy</w:t>
      </w:r>
      <w:r w:rsidR="000A0A4E">
        <w:rPr>
          <w:rFonts w:eastAsia="Calibri" w:cs="Times New Roman"/>
          <w:szCs w:val="24"/>
          <w:lang w:eastAsia="en-US"/>
        </w:rPr>
        <w:t xml:space="preserve">: </w:t>
      </w:r>
      <w:r w:rsidRPr="00115E9D">
        <w:rPr>
          <w:rFonts w:eastAsia="Calibri" w:cs="Times New Roman"/>
          <w:szCs w:val="24"/>
          <w:lang w:eastAsia="en-US"/>
        </w:rPr>
        <w:t>producenci urządzeń, projektanci i instalatorzy, podmioty finansujące przedmiotowe inwestycje. Istotne, w szczególności dla wytwórców energii z OZE, oraz całej branży działającej na rzecz rozwoju instalacji OZE,</w:t>
      </w:r>
    </w:p>
    <w:p w14:paraId="6F3871F9" w14:textId="2E754545" w:rsidR="00641FBF" w:rsidRPr="00115E9D" w:rsidRDefault="00641FBF" w:rsidP="002F7DB6">
      <w:pPr>
        <w:widowControl/>
        <w:numPr>
          <w:ilvl w:val="0"/>
          <w:numId w:val="4"/>
        </w:numPr>
        <w:autoSpaceDE/>
        <w:autoSpaceDN/>
        <w:adjustRightInd/>
        <w:spacing w:after="160"/>
        <w:ind w:left="284" w:hanging="284"/>
        <w:contextualSpacing/>
        <w:jc w:val="both"/>
        <w:rPr>
          <w:rFonts w:eastAsia="Calibri" w:cs="Times New Roman"/>
          <w:szCs w:val="24"/>
          <w:lang w:eastAsia="en-US"/>
        </w:rPr>
      </w:pPr>
      <w:r w:rsidRPr="00115E9D">
        <w:rPr>
          <w:rFonts w:eastAsia="Calibri" w:cs="Times New Roman"/>
          <w:szCs w:val="24"/>
          <w:lang w:eastAsia="en-US"/>
        </w:rPr>
        <w:t>rolnicy</w:t>
      </w:r>
      <w:r w:rsidR="000A0A4E">
        <w:rPr>
          <w:rFonts w:eastAsia="Calibri" w:cs="Times New Roman"/>
          <w:szCs w:val="24"/>
          <w:lang w:eastAsia="en-US"/>
        </w:rPr>
        <w:t>:</w:t>
      </w:r>
      <w:r w:rsidRPr="00115E9D">
        <w:rPr>
          <w:rFonts w:eastAsia="Calibri" w:cs="Times New Roman"/>
          <w:szCs w:val="24"/>
          <w:lang w:eastAsia="en-US"/>
        </w:rPr>
        <w:t xml:space="preserve"> przewidywany wolumen w koszyku dla instalacji wytwarzający energię elektryczną z biogazu rolniczego, pozwala prognozować zwiększony popyt na substraty pochodzące z przemysłu rolnego oraz rolno</w:t>
      </w:r>
      <w:r w:rsidR="000A0A4E">
        <w:rPr>
          <w:rFonts w:eastAsia="Calibri" w:cs="Times New Roman"/>
          <w:szCs w:val="24"/>
          <w:lang w:eastAsia="en-US"/>
        </w:rPr>
        <w:t>-</w:t>
      </w:r>
      <w:r w:rsidRPr="00115E9D">
        <w:rPr>
          <w:rFonts w:eastAsia="Calibri" w:cs="Times New Roman"/>
          <w:szCs w:val="24"/>
          <w:lang w:eastAsia="en-US"/>
        </w:rPr>
        <w:t xml:space="preserve"> spożywczego. Szacowane zapotrzebowanie na biomasę pochodzenia rolniczego (słoma) wynosić będzie 3- 5 mln ton rocznie.</w:t>
      </w:r>
    </w:p>
    <w:p w14:paraId="63795604" w14:textId="77777777" w:rsidR="00641FBF" w:rsidRPr="00115E9D" w:rsidRDefault="00641FBF" w:rsidP="002F7DB6">
      <w:pPr>
        <w:jc w:val="both"/>
        <w:rPr>
          <w:rFonts w:eastAsia="Times New Roman" w:cs="Times New Roman"/>
          <w:color w:val="000000"/>
          <w:szCs w:val="24"/>
        </w:rPr>
      </w:pPr>
      <w:r w:rsidRPr="00115E9D">
        <w:rPr>
          <w:rFonts w:eastAsia="Times New Roman" w:cs="Times New Roman"/>
          <w:color w:val="000000"/>
          <w:szCs w:val="24"/>
        </w:rPr>
        <w:lastRenderedPageBreak/>
        <w:t xml:space="preserve">Zestawienie i analiza porównawcza nakładów inwestycyjnych w rozwój generacji z OZE na podstawie historycznej i planowanej sprzedaży energii elektrycznej w aukcjach, przed i po wprowadzeniu projektowanej regulacji. </w:t>
      </w:r>
    </w:p>
    <w:p w14:paraId="40E5BB55" w14:textId="77777777" w:rsidR="00641FBF" w:rsidRPr="00115E9D" w:rsidRDefault="00641FBF" w:rsidP="00641FBF">
      <w:pPr>
        <w:spacing w:line="240" w:lineRule="auto"/>
        <w:rPr>
          <w:rFonts w:eastAsia="Times New Roman" w:cs="Times New Roman"/>
          <w:szCs w:val="24"/>
        </w:rPr>
      </w:pPr>
    </w:p>
    <w:tbl>
      <w:tblPr>
        <w:tblpPr w:leftFromText="141" w:rightFromText="141" w:vertAnchor="text" w:horzAnchor="margin" w:tblpY="100"/>
        <w:tblOverlap w:val="never"/>
        <w:tblW w:w="7787" w:type="dxa"/>
        <w:shd w:val="clear" w:color="auto" w:fill="FFFFFF"/>
        <w:tblLayout w:type="fixed"/>
        <w:tblCellMar>
          <w:left w:w="70" w:type="dxa"/>
          <w:right w:w="70" w:type="dxa"/>
        </w:tblCellMar>
        <w:tblLook w:val="04A0" w:firstRow="1" w:lastRow="0" w:firstColumn="1" w:lastColumn="0" w:noHBand="0" w:noVBand="1"/>
      </w:tblPr>
      <w:tblGrid>
        <w:gridCol w:w="388"/>
        <w:gridCol w:w="1587"/>
        <w:gridCol w:w="1905"/>
        <w:gridCol w:w="1922"/>
        <w:gridCol w:w="1985"/>
      </w:tblGrid>
      <w:tr w:rsidR="00641FBF" w:rsidRPr="00115E9D" w14:paraId="6F24BD23" w14:textId="77777777" w:rsidTr="00AE5430">
        <w:trPr>
          <w:trHeight w:val="296"/>
        </w:trPr>
        <w:tc>
          <w:tcPr>
            <w:tcW w:w="388" w:type="dxa"/>
            <w:tcBorders>
              <w:top w:val="single" w:sz="8" w:space="0" w:color="auto"/>
              <w:left w:val="single" w:sz="8" w:space="0" w:color="auto"/>
              <w:bottom w:val="single" w:sz="4" w:space="0" w:color="auto"/>
              <w:right w:val="single" w:sz="4" w:space="0" w:color="auto"/>
            </w:tcBorders>
            <w:shd w:val="clear" w:color="auto" w:fill="FFFFFF"/>
          </w:tcPr>
          <w:p w14:paraId="48508A97" w14:textId="77777777" w:rsidR="00641FBF" w:rsidRPr="00115E9D" w:rsidRDefault="00641FBF" w:rsidP="00641FBF">
            <w:pPr>
              <w:rPr>
                <w:rFonts w:eastAsia="Times New Roman" w:cs="Times New Roman"/>
                <w:color w:val="000000"/>
                <w:szCs w:val="24"/>
              </w:rPr>
            </w:pPr>
          </w:p>
        </w:tc>
        <w:tc>
          <w:tcPr>
            <w:tcW w:w="1587" w:type="dxa"/>
            <w:tcBorders>
              <w:top w:val="single" w:sz="8" w:space="0" w:color="auto"/>
              <w:left w:val="single" w:sz="8" w:space="0" w:color="auto"/>
              <w:bottom w:val="single" w:sz="4" w:space="0" w:color="auto"/>
              <w:right w:val="single" w:sz="4" w:space="0" w:color="auto"/>
            </w:tcBorders>
            <w:shd w:val="clear" w:color="auto" w:fill="FFFFFF"/>
            <w:noWrap/>
            <w:vAlign w:val="bottom"/>
            <w:hideMark/>
          </w:tcPr>
          <w:p w14:paraId="54E18D1C" w14:textId="77777777" w:rsidR="00641FBF" w:rsidRPr="00115E9D" w:rsidRDefault="00641FBF" w:rsidP="00641FBF">
            <w:pPr>
              <w:rPr>
                <w:rFonts w:eastAsia="Times New Roman" w:cs="Times New Roman"/>
                <w:color w:val="000000"/>
                <w:szCs w:val="24"/>
              </w:rPr>
            </w:pPr>
          </w:p>
        </w:tc>
        <w:tc>
          <w:tcPr>
            <w:tcW w:w="1905" w:type="dxa"/>
            <w:tcBorders>
              <w:top w:val="single" w:sz="8" w:space="0" w:color="auto"/>
              <w:left w:val="nil"/>
              <w:bottom w:val="single" w:sz="4" w:space="0" w:color="auto"/>
              <w:right w:val="single" w:sz="4" w:space="0" w:color="auto"/>
            </w:tcBorders>
            <w:shd w:val="clear" w:color="auto" w:fill="FFFFFF"/>
            <w:noWrap/>
            <w:vAlign w:val="center"/>
            <w:hideMark/>
          </w:tcPr>
          <w:p w14:paraId="6BEF453C" w14:textId="77777777" w:rsidR="00641FBF" w:rsidRPr="00115E9D" w:rsidRDefault="00641FBF" w:rsidP="00641FBF">
            <w:pPr>
              <w:jc w:val="center"/>
              <w:rPr>
                <w:rFonts w:eastAsia="Times New Roman" w:cs="Times New Roman"/>
                <w:color w:val="000000"/>
                <w:szCs w:val="24"/>
              </w:rPr>
            </w:pPr>
            <w:r w:rsidRPr="00115E9D">
              <w:rPr>
                <w:rFonts w:eastAsia="Times New Roman" w:cs="Times New Roman"/>
                <w:color w:val="000000"/>
                <w:szCs w:val="24"/>
              </w:rPr>
              <w:t>2019</w:t>
            </w:r>
          </w:p>
        </w:tc>
        <w:tc>
          <w:tcPr>
            <w:tcW w:w="1922" w:type="dxa"/>
            <w:tcBorders>
              <w:top w:val="single" w:sz="8" w:space="0" w:color="auto"/>
              <w:left w:val="nil"/>
              <w:bottom w:val="single" w:sz="4" w:space="0" w:color="auto"/>
              <w:right w:val="single" w:sz="4" w:space="0" w:color="auto"/>
            </w:tcBorders>
            <w:shd w:val="clear" w:color="auto" w:fill="FFFFFF"/>
            <w:noWrap/>
            <w:vAlign w:val="center"/>
            <w:hideMark/>
          </w:tcPr>
          <w:p w14:paraId="553FF55F" w14:textId="77777777" w:rsidR="00641FBF" w:rsidRPr="00115E9D" w:rsidRDefault="00641FBF" w:rsidP="00641FBF">
            <w:pPr>
              <w:jc w:val="center"/>
              <w:rPr>
                <w:rFonts w:eastAsia="Times New Roman" w:cs="Times New Roman"/>
                <w:color w:val="000000"/>
                <w:szCs w:val="24"/>
              </w:rPr>
            </w:pPr>
            <w:r w:rsidRPr="00115E9D">
              <w:rPr>
                <w:rFonts w:eastAsia="Times New Roman" w:cs="Times New Roman"/>
                <w:color w:val="000000"/>
                <w:szCs w:val="24"/>
              </w:rPr>
              <w:t>2018</w:t>
            </w:r>
          </w:p>
        </w:tc>
        <w:tc>
          <w:tcPr>
            <w:tcW w:w="1985" w:type="dxa"/>
            <w:tcBorders>
              <w:top w:val="single" w:sz="8" w:space="0" w:color="auto"/>
              <w:left w:val="nil"/>
              <w:bottom w:val="single" w:sz="4" w:space="0" w:color="auto"/>
              <w:right w:val="single" w:sz="8" w:space="0" w:color="auto"/>
            </w:tcBorders>
            <w:shd w:val="clear" w:color="auto" w:fill="FFFFFF"/>
            <w:noWrap/>
            <w:vAlign w:val="center"/>
            <w:hideMark/>
          </w:tcPr>
          <w:p w14:paraId="11B530FB" w14:textId="77777777" w:rsidR="00641FBF" w:rsidRPr="00115E9D" w:rsidRDefault="00641FBF" w:rsidP="00641FBF">
            <w:pPr>
              <w:jc w:val="center"/>
              <w:rPr>
                <w:rFonts w:eastAsia="Times New Roman" w:cs="Times New Roman"/>
                <w:color w:val="000000"/>
                <w:szCs w:val="24"/>
              </w:rPr>
            </w:pPr>
            <w:r w:rsidRPr="00115E9D">
              <w:rPr>
                <w:rFonts w:eastAsia="Times New Roman" w:cs="Times New Roman"/>
                <w:color w:val="000000"/>
                <w:szCs w:val="24"/>
              </w:rPr>
              <w:t>Różnica 2019/2018</w:t>
            </w:r>
          </w:p>
        </w:tc>
      </w:tr>
      <w:tr w:rsidR="00641FBF" w:rsidRPr="00115E9D" w14:paraId="17DE0911" w14:textId="77777777" w:rsidTr="00AE5430">
        <w:trPr>
          <w:trHeight w:val="592"/>
        </w:trPr>
        <w:tc>
          <w:tcPr>
            <w:tcW w:w="388" w:type="dxa"/>
            <w:tcBorders>
              <w:top w:val="nil"/>
              <w:left w:val="single" w:sz="8" w:space="0" w:color="auto"/>
              <w:bottom w:val="single" w:sz="4" w:space="0" w:color="auto"/>
              <w:right w:val="single" w:sz="4" w:space="0" w:color="auto"/>
            </w:tcBorders>
            <w:shd w:val="clear" w:color="auto" w:fill="FFFFFF"/>
          </w:tcPr>
          <w:p w14:paraId="6F78CB24" w14:textId="77777777" w:rsidR="00641FBF" w:rsidRPr="00115E9D" w:rsidRDefault="00641FBF" w:rsidP="00641FBF">
            <w:pPr>
              <w:rPr>
                <w:rFonts w:eastAsia="Times New Roman" w:cs="Times New Roman"/>
                <w:color w:val="000000"/>
                <w:szCs w:val="24"/>
              </w:rPr>
            </w:pPr>
            <w:r w:rsidRPr="00115E9D">
              <w:rPr>
                <w:rFonts w:eastAsia="Times New Roman" w:cs="Times New Roman"/>
                <w:color w:val="000000"/>
                <w:szCs w:val="24"/>
              </w:rPr>
              <w:t>1.</w:t>
            </w:r>
          </w:p>
        </w:tc>
        <w:tc>
          <w:tcPr>
            <w:tcW w:w="1587" w:type="dxa"/>
            <w:tcBorders>
              <w:top w:val="nil"/>
              <w:left w:val="single" w:sz="8" w:space="0" w:color="auto"/>
              <w:bottom w:val="single" w:sz="4" w:space="0" w:color="auto"/>
              <w:right w:val="single" w:sz="4" w:space="0" w:color="auto"/>
            </w:tcBorders>
            <w:shd w:val="clear" w:color="auto" w:fill="FFFFFF"/>
            <w:vAlign w:val="center"/>
            <w:hideMark/>
          </w:tcPr>
          <w:p w14:paraId="081625C8" w14:textId="77777777" w:rsidR="00641FBF" w:rsidRPr="00115E9D" w:rsidRDefault="00641FBF" w:rsidP="00641FBF">
            <w:pPr>
              <w:spacing w:line="240" w:lineRule="auto"/>
              <w:rPr>
                <w:rFonts w:eastAsia="Times New Roman" w:cs="Times New Roman"/>
                <w:szCs w:val="24"/>
              </w:rPr>
            </w:pPr>
            <w:r w:rsidRPr="00115E9D">
              <w:rPr>
                <w:rFonts w:eastAsia="Times New Roman" w:cs="Times New Roman"/>
                <w:szCs w:val="24"/>
              </w:rPr>
              <w:t>Maksymalna ilość energii do sprzedaży (MWh)</w:t>
            </w:r>
          </w:p>
        </w:tc>
        <w:tc>
          <w:tcPr>
            <w:tcW w:w="1905" w:type="dxa"/>
            <w:tcBorders>
              <w:top w:val="nil"/>
              <w:left w:val="nil"/>
              <w:bottom w:val="single" w:sz="4" w:space="0" w:color="auto"/>
              <w:right w:val="single" w:sz="4" w:space="0" w:color="auto"/>
            </w:tcBorders>
            <w:shd w:val="clear" w:color="auto" w:fill="FFFFFF"/>
            <w:noWrap/>
            <w:vAlign w:val="center"/>
            <w:hideMark/>
          </w:tcPr>
          <w:p w14:paraId="54B42D51" w14:textId="77777777" w:rsidR="00641FBF" w:rsidRPr="00115E9D" w:rsidRDefault="00641FBF" w:rsidP="00641FBF">
            <w:pPr>
              <w:rPr>
                <w:rFonts w:eastAsia="Times New Roman" w:cs="Times New Roman"/>
                <w:color w:val="000000"/>
                <w:szCs w:val="24"/>
              </w:rPr>
            </w:pPr>
            <w:r w:rsidRPr="00115E9D">
              <w:rPr>
                <w:rFonts w:eastAsia="Times New Roman" w:cs="Times New Roman"/>
                <w:color w:val="000000"/>
                <w:szCs w:val="24"/>
              </w:rPr>
              <w:t xml:space="preserve">145 748 400    </w:t>
            </w:r>
          </w:p>
        </w:tc>
        <w:tc>
          <w:tcPr>
            <w:tcW w:w="1922" w:type="dxa"/>
            <w:tcBorders>
              <w:top w:val="nil"/>
              <w:left w:val="nil"/>
              <w:bottom w:val="single" w:sz="4" w:space="0" w:color="auto"/>
              <w:right w:val="single" w:sz="4" w:space="0" w:color="auto"/>
            </w:tcBorders>
            <w:shd w:val="clear" w:color="auto" w:fill="FFFFFF"/>
            <w:noWrap/>
            <w:vAlign w:val="center"/>
            <w:hideMark/>
          </w:tcPr>
          <w:p w14:paraId="1F3B5717" w14:textId="77777777" w:rsidR="00641FBF" w:rsidRPr="00115E9D" w:rsidRDefault="00641FBF" w:rsidP="00641FBF">
            <w:pPr>
              <w:rPr>
                <w:rFonts w:eastAsia="Times New Roman" w:cs="Times New Roman"/>
                <w:color w:val="000000"/>
                <w:szCs w:val="24"/>
              </w:rPr>
            </w:pPr>
            <w:r w:rsidRPr="00115E9D">
              <w:rPr>
                <w:rFonts w:eastAsia="Times New Roman" w:cs="Times New Roman"/>
                <w:color w:val="000000"/>
                <w:szCs w:val="24"/>
              </w:rPr>
              <w:t> 131 136 000   </w:t>
            </w:r>
          </w:p>
        </w:tc>
        <w:tc>
          <w:tcPr>
            <w:tcW w:w="1985" w:type="dxa"/>
            <w:tcBorders>
              <w:top w:val="nil"/>
              <w:left w:val="nil"/>
              <w:bottom w:val="single" w:sz="4" w:space="0" w:color="auto"/>
              <w:right w:val="single" w:sz="8" w:space="0" w:color="auto"/>
            </w:tcBorders>
            <w:shd w:val="clear" w:color="auto" w:fill="FFFFFF"/>
            <w:noWrap/>
            <w:vAlign w:val="center"/>
            <w:hideMark/>
          </w:tcPr>
          <w:p w14:paraId="4288DEF4" w14:textId="77777777" w:rsidR="00641FBF" w:rsidRPr="00115E9D" w:rsidRDefault="00641FBF" w:rsidP="00641FBF">
            <w:pPr>
              <w:rPr>
                <w:rFonts w:eastAsia="Times New Roman" w:cs="Times New Roman"/>
                <w:color w:val="000000"/>
                <w:szCs w:val="24"/>
              </w:rPr>
            </w:pPr>
            <w:r w:rsidRPr="00115E9D">
              <w:rPr>
                <w:rFonts w:eastAsia="Times New Roman" w:cs="Times New Roman"/>
                <w:color w:val="000000"/>
                <w:szCs w:val="24"/>
              </w:rPr>
              <w:t xml:space="preserve">14 612 400    </w:t>
            </w:r>
          </w:p>
        </w:tc>
      </w:tr>
      <w:tr w:rsidR="00641FBF" w:rsidRPr="00115E9D" w14:paraId="3FAD9D42" w14:textId="77777777" w:rsidTr="00AE5430">
        <w:trPr>
          <w:trHeight w:val="1184"/>
        </w:trPr>
        <w:tc>
          <w:tcPr>
            <w:tcW w:w="388" w:type="dxa"/>
            <w:tcBorders>
              <w:top w:val="nil"/>
              <w:left w:val="single" w:sz="8" w:space="0" w:color="auto"/>
              <w:bottom w:val="single" w:sz="4" w:space="0" w:color="auto"/>
              <w:right w:val="single" w:sz="4" w:space="0" w:color="auto"/>
            </w:tcBorders>
            <w:shd w:val="clear" w:color="auto" w:fill="FFFFFF"/>
          </w:tcPr>
          <w:p w14:paraId="3C0E7D29" w14:textId="77777777" w:rsidR="00641FBF" w:rsidRPr="00115E9D" w:rsidRDefault="00641FBF" w:rsidP="00641FBF">
            <w:pPr>
              <w:rPr>
                <w:rFonts w:eastAsia="Times New Roman" w:cs="Times New Roman"/>
                <w:color w:val="000000"/>
                <w:szCs w:val="24"/>
              </w:rPr>
            </w:pPr>
            <w:r w:rsidRPr="00115E9D">
              <w:rPr>
                <w:rFonts w:eastAsia="Times New Roman" w:cs="Times New Roman"/>
                <w:color w:val="000000"/>
                <w:szCs w:val="24"/>
              </w:rPr>
              <w:t>2.</w:t>
            </w:r>
          </w:p>
        </w:tc>
        <w:tc>
          <w:tcPr>
            <w:tcW w:w="1587" w:type="dxa"/>
            <w:tcBorders>
              <w:top w:val="nil"/>
              <w:left w:val="single" w:sz="8" w:space="0" w:color="auto"/>
              <w:bottom w:val="single" w:sz="4" w:space="0" w:color="auto"/>
              <w:right w:val="single" w:sz="4" w:space="0" w:color="auto"/>
            </w:tcBorders>
            <w:shd w:val="clear" w:color="auto" w:fill="FFFFFF"/>
            <w:vAlign w:val="center"/>
            <w:hideMark/>
          </w:tcPr>
          <w:p w14:paraId="12E45947" w14:textId="77777777" w:rsidR="00641FBF" w:rsidRPr="00115E9D" w:rsidRDefault="00641FBF" w:rsidP="00641FBF">
            <w:pPr>
              <w:spacing w:line="240" w:lineRule="auto"/>
              <w:rPr>
                <w:rFonts w:eastAsia="Times New Roman" w:cs="Times New Roman"/>
                <w:szCs w:val="24"/>
              </w:rPr>
            </w:pPr>
            <w:r w:rsidRPr="00115E9D">
              <w:rPr>
                <w:rFonts w:eastAsia="Times New Roman" w:cs="Times New Roman"/>
                <w:szCs w:val="24"/>
              </w:rPr>
              <w:t>Maksymalna wartość sprzedaży</w:t>
            </w:r>
          </w:p>
          <w:p w14:paraId="5D41A1ED" w14:textId="77777777" w:rsidR="00641FBF" w:rsidRPr="00115E9D" w:rsidRDefault="00641FBF" w:rsidP="00641FBF">
            <w:pPr>
              <w:spacing w:line="240" w:lineRule="auto"/>
              <w:rPr>
                <w:rFonts w:eastAsia="Times New Roman" w:cs="Times New Roman"/>
                <w:szCs w:val="24"/>
              </w:rPr>
            </w:pPr>
            <w:r w:rsidRPr="00115E9D">
              <w:rPr>
                <w:rFonts w:eastAsia="Times New Roman" w:cs="Times New Roman"/>
                <w:szCs w:val="24"/>
              </w:rPr>
              <w:t>(PLN)</w:t>
            </w:r>
          </w:p>
        </w:tc>
        <w:tc>
          <w:tcPr>
            <w:tcW w:w="1905" w:type="dxa"/>
            <w:tcBorders>
              <w:top w:val="nil"/>
              <w:left w:val="nil"/>
              <w:bottom w:val="single" w:sz="4" w:space="0" w:color="auto"/>
              <w:right w:val="single" w:sz="4" w:space="0" w:color="auto"/>
            </w:tcBorders>
            <w:shd w:val="clear" w:color="auto" w:fill="FFFFFF"/>
            <w:noWrap/>
            <w:vAlign w:val="center"/>
            <w:hideMark/>
          </w:tcPr>
          <w:p w14:paraId="39EDF696" w14:textId="77777777" w:rsidR="00641FBF" w:rsidRPr="00115E9D" w:rsidRDefault="00641FBF" w:rsidP="00641FBF">
            <w:pPr>
              <w:rPr>
                <w:rFonts w:eastAsia="Times New Roman" w:cs="Times New Roman"/>
                <w:color w:val="000000"/>
                <w:szCs w:val="24"/>
              </w:rPr>
            </w:pPr>
            <w:r w:rsidRPr="00115E9D">
              <w:rPr>
                <w:rFonts w:eastAsia="Times New Roman" w:cs="Times New Roman"/>
                <w:color w:val="000000"/>
                <w:szCs w:val="24"/>
              </w:rPr>
              <w:t xml:space="preserve">45 605 550 000    </w:t>
            </w:r>
          </w:p>
        </w:tc>
        <w:tc>
          <w:tcPr>
            <w:tcW w:w="1922" w:type="dxa"/>
            <w:tcBorders>
              <w:top w:val="nil"/>
              <w:left w:val="nil"/>
              <w:bottom w:val="single" w:sz="4" w:space="0" w:color="auto"/>
              <w:right w:val="single" w:sz="4" w:space="0" w:color="auto"/>
            </w:tcBorders>
            <w:shd w:val="clear" w:color="auto" w:fill="FFFFFF"/>
            <w:noWrap/>
            <w:vAlign w:val="center"/>
            <w:hideMark/>
          </w:tcPr>
          <w:p w14:paraId="7919AB23" w14:textId="77777777" w:rsidR="00641FBF" w:rsidRPr="00115E9D" w:rsidRDefault="00641FBF" w:rsidP="00641FBF">
            <w:pPr>
              <w:rPr>
                <w:rFonts w:eastAsia="Times New Roman" w:cs="Times New Roman"/>
                <w:color w:val="000000"/>
                <w:szCs w:val="24"/>
              </w:rPr>
            </w:pPr>
            <w:r w:rsidRPr="00115E9D">
              <w:rPr>
                <w:rFonts w:eastAsia="Times New Roman" w:cs="Times New Roman"/>
                <w:color w:val="000000"/>
                <w:szCs w:val="24"/>
              </w:rPr>
              <w:t>53 529 135 000   </w:t>
            </w:r>
          </w:p>
        </w:tc>
        <w:tc>
          <w:tcPr>
            <w:tcW w:w="1985" w:type="dxa"/>
            <w:tcBorders>
              <w:top w:val="nil"/>
              <w:left w:val="nil"/>
              <w:bottom w:val="single" w:sz="4" w:space="0" w:color="auto"/>
              <w:right w:val="single" w:sz="8" w:space="0" w:color="auto"/>
            </w:tcBorders>
            <w:shd w:val="clear" w:color="auto" w:fill="FFFFFF"/>
            <w:noWrap/>
            <w:vAlign w:val="center"/>
            <w:hideMark/>
          </w:tcPr>
          <w:p w14:paraId="68C744F7" w14:textId="77777777" w:rsidR="00641FBF" w:rsidRPr="00115E9D" w:rsidRDefault="00641FBF" w:rsidP="00641FBF">
            <w:pPr>
              <w:rPr>
                <w:rFonts w:eastAsia="Times New Roman" w:cs="Times New Roman"/>
                <w:color w:val="000000"/>
                <w:szCs w:val="24"/>
              </w:rPr>
            </w:pPr>
            <w:r w:rsidRPr="00115E9D">
              <w:rPr>
                <w:rFonts w:eastAsia="Times New Roman" w:cs="Times New Roman"/>
                <w:color w:val="000000"/>
                <w:szCs w:val="24"/>
              </w:rPr>
              <w:t xml:space="preserve"> -7 923 585 000    </w:t>
            </w:r>
          </w:p>
        </w:tc>
      </w:tr>
      <w:tr w:rsidR="00641FBF" w:rsidRPr="00115E9D" w14:paraId="21FCF409" w14:textId="77777777" w:rsidTr="00AE5430">
        <w:trPr>
          <w:trHeight w:val="1184"/>
        </w:trPr>
        <w:tc>
          <w:tcPr>
            <w:tcW w:w="388" w:type="dxa"/>
            <w:tcBorders>
              <w:top w:val="nil"/>
              <w:left w:val="single" w:sz="8" w:space="0" w:color="auto"/>
              <w:bottom w:val="single" w:sz="8" w:space="0" w:color="auto"/>
              <w:right w:val="single" w:sz="4" w:space="0" w:color="auto"/>
            </w:tcBorders>
            <w:shd w:val="clear" w:color="auto" w:fill="FFFFFF"/>
          </w:tcPr>
          <w:p w14:paraId="0276CB8A" w14:textId="77777777" w:rsidR="00641FBF" w:rsidRPr="00115E9D" w:rsidRDefault="00641FBF" w:rsidP="00641FBF">
            <w:pPr>
              <w:rPr>
                <w:rFonts w:eastAsia="Times New Roman" w:cs="Times New Roman"/>
                <w:color w:val="000000"/>
                <w:szCs w:val="24"/>
              </w:rPr>
            </w:pPr>
            <w:r w:rsidRPr="00115E9D">
              <w:rPr>
                <w:rFonts w:eastAsia="Times New Roman" w:cs="Times New Roman"/>
                <w:color w:val="000000"/>
                <w:szCs w:val="24"/>
              </w:rPr>
              <w:t>3.</w:t>
            </w:r>
          </w:p>
        </w:tc>
        <w:tc>
          <w:tcPr>
            <w:tcW w:w="1587" w:type="dxa"/>
            <w:tcBorders>
              <w:top w:val="nil"/>
              <w:left w:val="single" w:sz="8" w:space="0" w:color="auto"/>
              <w:bottom w:val="single" w:sz="8" w:space="0" w:color="auto"/>
              <w:right w:val="single" w:sz="4" w:space="0" w:color="auto"/>
            </w:tcBorders>
            <w:shd w:val="clear" w:color="auto" w:fill="FFFFFF"/>
            <w:vAlign w:val="center"/>
            <w:hideMark/>
          </w:tcPr>
          <w:p w14:paraId="226B2974" w14:textId="77777777" w:rsidR="00641FBF" w:rsidRPr="00115E9D" w:rsidRDefault="00641FBF" w:rsidP="00641FBF">
            <w:pPr>
              <w:spacing w:line="240" w:lineRule="auto"/>
              <w:rPr>
                <w:rFonts w:eastAsia="Times New Roman" w:cs="Times New Roman"/>
                <w:szCs w:val="24"/>
              </w:rPr>
            </w:pPr>
            <w:r w:rsidRPr="00115E9D">
              <w:rPr>
                <w:rFonts w:eastAsia="Times New Roman" w:cs="Times New Roman"/>
                <w:szCs w:val="24"/>
              </w:rPr>
              <w:t>Maksymalna wartość pomocy publicznej (PLN)</w:t>
            </w:r>
          </w:p>
        </w:tc>
        <w:tc>
          <w:tcPr>
            <w:tcW w:w="1905" w:type="dxa"/>
            <w:tcBorders>
              <w:top w:val="nil"/>
              <w:left w:val="nil"/>
              <w:bottom w:val="single" w:sz="8" w:space="0" w:color="auto"/>
              <w:right w:val="single" w:sz="4" w:space="0" w:color="auto"/>
            </w:tcBorders>
            <w:shd w:val="clear" w:color="auto" w:fill="FFFFFF"/>
            <w:noWrap/>
            <w:vAlign w:val="center"/>
            <w:hideMark/>
          </w:tcPr>
          <w:p w14:paraId="04220317" w14:textId="77777777" w:rsidR="00641FBF" w:rsidRPr="00115E9D" w:rsidRDefault="00641FBF" w:rsidP="00641FBF">
            <w:pPr>
              <w:rPr>
                <w:rFonts w:eastAsia="Times New Roman" w:cs="Times New Roman"/>
                <w:color w:val="000000"/>
                <w:szCs w:val="24"/>
              </w:rPr>
            </w:pPr>
            <w:r w:rsidRPr="00115E9D">
              <w:rPr>
                <w:rFonts w:eastAsia="Times New Roman" w:cs="Times New Roman"/>
                <w:color w:val="000000"/>
                <w:szCs w:val="24"/>
              </w:rPr>
              <w:t>13 832 398 800   </w:t>
            </w:r>
          </w:p>
        </w:tc>
        <w:tc>
          <w:tcPr>
            <w:tcW w:w="1922" w:type="dxa"/>
            <w:tcBorders>
              <w:top w:val="nil"/>
              <w:left w:val="nil"/>
              <w:bottom w:val="single" w:sz="8" w:space="0" w:color="auto"/>
              <w:right w:val="single" w:sz="4" w:space="0" w:color="auto"/>
            </w:tcBorders>
            <w:shd w:val="clear" w:color="auto" w:fill="FFFFFF"/>
            <w:noWrap/>
            <w:vAlign w:val="center"/>
            <w:hideMark/>
          </w:tcPr>
          <w:p w14:paraId="27DD3976" w14:textId="77777777" w:rsidR="00641FBF" w:rsidRPr="00115E9D" w:rsidRDefault="00641FBF" w:rsidP="00641FBF">
            <w:pPr>
              <w:rPr>
                <w:rFonts w:eastAsia="Times New Roman" w:cs="Times New Roman"/>
                <w:color w:val="000000"/>
                <w:szCs w:val="24"/>
              </w:rPr>
            </w:pPr>
            <w:r w:rsidRPr="00115E9D">
              <w:rPr>
                <w:rFonts w:eastAsia="Times New Roman" w:cs="Times New Roman"/>
                <w:color w:val="000000"/>
                <w:szCs w:val="24"/>
              </w:rPr>
              <w:t>31 275 355 800   </w:t>
            </w:r>
          </w:p>
        </w:tc>
        <w:tc>
          <w:tcPr>
            <w:tcW w:w="1985" w:type="dxa"/>
            <w:tcBorders>
              <w:top w:val="nil"/>
              <w:left w:val="nil"/>
              <w:bottom w:val="single" w:sz="8" w:space="0" w:color="auto"/>
              <w:right w:val="single" w:sz="8" w:space="0" w:color="auto"/>
            </w:tcBorders>
            <w:shd w:val="clear" w:color="auto" w:fill="FFFFFF"/>
            <w:noWrap/>
            <w:vAlign w:val="center"/>
            <w:hideMark/>
          </w:tcPr>
          <w:p w14:paraId="6CF22EDE" w14:textId="77777777" w:rsidR="00641FBF" w:rsidRPr="00115E9D" w:rsidRDefault="00641FBF" w:rsidP="00641FBF">
            <w:pPr>
              <w:rPr>
                <w:rFonts w:eastAsia="Times New Roman" w:cs="Times New Roman"/>
                <w:color w:val="000000"/>
                <w:szCs w:val="24"/>
              </w:rPr>
            </w:pPr>
            <w:r w:rsidRPr="00115E9D">
              <w:rPr>
                <w:rFonts w:eastAsia="Times New Roman" w:cs="Times New Roman"/>
                <w:color w:val="000000"/>
                <w:szCs w:val="24"/>
              </w:rPr>
              <w:t xml:space="preserve"> -17 442 957 000    </w:t>
            </w:r>
          </w:p>
        </w:tc>
      </w:tr>
    </w:tbl>
    <w:p w14:paraId="002ABAA4" w14:textId="77777777" w:rsidR="00641FBF" w:rsidRPr="00115E9D" w:rsidRDefault="00641FBF" w:rsidP="00641FBF">
      <w:pPr>
        <w:spacing w:after="160"/>
        <w:jc w:val="both"/>
        <w:rPr>
          <w:rFonts w:eastAsia="Times New Roman" w:cs="Times New Roman"/>
          <w:szCs w:val="24"/>
        </w:rPr>
      </w:pPr>
    </w:p>
    <w:p w14:paraId="0246CFFE" w14:textId="77777777" w:rsidR="00641FBF" w:rsidRPr="00115E9D" w:rsidRDefault="00641FBF" w:rsidP="00641FBF">
      <w:pPr>
        <w:spacing w:after="160"/>
        <w:jc w:val="both"/>
        <w:rPr>
          <w:rFonts w:eastAsia="Times New Roman" w:cs="Times New Roman"/>
          <w:szCs w:val="24"/>
        </w:rPr>
      </w:pPr>
    </w:p>
    <w:p w14:paraId="71A5EF68" w14:textId="77777777" w:rsidR="00641FBF" w:rsidRPr="00115E9D" w:rsidRDefault="00641FBF" w:rsidP="00641FBF">
      <w:pPr>
        <w:spacing w:after="160"/>
        <w:jc w:val="both"/>
        <w:rPr>
          <w:rFonts w:eastAsia="Times New Roman" w:cs="Times New Roman"/>
          <w:szCs w:val="24"/>
        </w:rPr>
      </w:pPr>
    </w:p>
    <w:p w14:paraId="05DE5079" w14:textId="77777777" w:rsidR="00641FBF" w:rsidRPr="00115E9D" w:rsidRDefault="00641FBF" w:rsidP="00641FBF">
      <w:pPr>
        <w:spacing w:after="160"/>
        <w:jc w:val="both"/>
        <w:rPr>
          <w:rFonts w:eastAsia="Times New Roman" w:cs="Times New Roman"/>
          <w:szCs w:val="24"/>
        </w:rPr>
      </w:pPr>
    </w:p>
    <w:p w14:paraId="3CC1F492" w14:textId="77777777" w:rsidR="00641FBF" w:rsidRPr="00115E9D" w:rsidRDefault="00641FBF" w:rsidP="00641FBF">
      <w:pPr>
        <w:spacing w:after="160"/>
        <w:jc w:val="both"/>
        <w:rPr>
          <w:rFonts w:eastAsia="Times New Roman" w:cs="Times New Roman"/>
          <w:szCs w:val="24"/>
        </w:rPr>
      </w:pPr>
    </w:p>
    <w:p w14:paraId="77D04ADF" w14:textId="77777777" w:rsidR="00641FBF" w:rsidRPr="00115E9D" w:rsidRDefault="00641FBF" w:rsidP="00641FBF">
      <w:pPr>
        <w:spacing w:after="160"/>
        <w:jc w:val="both"/>
        <w:rPr>
          <w:rFonts w:eastAsia="Times New Roman" w:cs="Times New Roman"/>
          <w:szCs w:val="24"/>
        </w:rPr>
      </w:pPr>
    </w:p>
    <w:p w14:paraId="0CD531F2" w14:textId="77777777" w:rsidR="00641FBF" w:rsidRPr="00115E9D" w:rsidRDefault="00641FBF" w:rsidP="00641FBF">
      <w:pPr>
        <w:spacing w:after="160"/>
        <w:jc w:val="both"/>
        <w:rPr>
          <w:rFonts w:eastAsia="Times New Roman" w:cs="Times New Roman"/>
          <w:szCs w:val="24"/>
        </w:rPr>
      </w:pPr>
    </w:p>
    <w:p w14:paraId="69E9B7CD" w14:textId="77777777" w:rsidR="00641FBF" w:rsidRPr="00115E9D" w:rsidRDefault="00641FBF" w:rsidP="00641FBF">
      <w:pPr>
        <w:spacing w:after="160"/>
        <w:jc w:val="both"/>
        <w:rPr>
          <w:rFonts w:eastAsia="Times New Roman" w:cs="Times New Roman"/>
          <w:szCs w:val="24"/>
        </w:rPr>
      </w:pPr>
    </w:p>
    <w:p w14:paraId="143283CA" w14:textId="77777777" w:rsidR="002F7DB6" w:rsidRDefault="002F7DB6" w:rsidP="00641FBF">
      <w:pPr>
        <w:spacing w:after="160"/>
        <w:jc w:val="both"/>
        <w:rPr>
          <w:rFonts w:eastAsia="Times New Roman" w:cs="Times New Roman"/>
          <w:szCs w:val="24"/>
        </w:rPr>
      </w:pPr>
    </w:p>
    <w:p w14:paraId="463D17BA" w14:textId="26544BAA" w:rsidR="00641FBF" w:rsidRPr="00115E9D" w:rsidRDefault="00641FBF" w:rsidP="00641FBF">
      <w:pPr>
        <w:spacing w:after="160"/>
        <w:jc w:val="both"/>
        <w:rPr>
          <w:rFonts w:eastAsia="Times New Roman" w:cs="Times New Roman"/>
          <w:szCs w:val="24"/>
        </w:rPr>
      </w:pPr>
      <w:r w:rsidRPr="00115E9D">
        <w:rPr>
          <w:rFonts w:eastAsia="Times New Roman" w:cs="Times New Roman"/>
          <w:szCs w:val="24"/>
        </w:rPr>
        <w:t>Powyższe dane wskazują na jednoznaczne zwiększenie efektywności wykorzystania budżetu aukcyjnego w 2019 r</w:t>
      </w:r>
      <w:r w:rsidR="000A0A4E">
        <w:rPr>
          <w:rFonts w:eastAsia="Times New Roman" w:cs="Times New Roman"/>
          <w:szCs w:val="24"/>
        </w:rPr>
        <w:t>.</w:t>
      </w:r>
      <w:r w:rsidRPr="00115E9D">
        <w:rPr>
          <w:rFonts w:eastAsia="Times New Roman" w:cs="Times New Roman"/>
          <w:szCs w:val="24"/>
        </w:rPr>
        <w:t xml:space="preserve"> względem roku poprzedniego. Na uwagę zasługuje fakt, że w 2019</w:t>
      </w:r>
      <w:r w:rsidR="000A0A4E">
        <w:rPr>
          <w:rFonts w:eastAsia="Times New Roman" w:cs="Times New Roman"/>
          <w:szCs w:val="24"/>
        </w:rPr>
        <w:t xml:space="preserve"> r.</w:t>
      </w:r>
      <w:r w:rsidRPr="00115E9D">
        <w:rPr>
          <w:rFonts w:eastAsia="Times New Roman" w:cs="Times New Roman"/>
          <w:szCs w:val="24"/>
        </w:rPr>
        <w:t>, w stosunku do roku poprzedniego planuje się dokonanie zakupu wyraźnie wyższej ilości energii przy jednoczesnym znacznym zmniejszeniu przeznaczonej na ten cel wartości pomocy publicznej. Jednocześnie należy wyjaśnić, iż przewidywane w powyższej tabeli nakłady na rozwój nowych mocy wytwórczych OZE, nie obciążają Sk</w:t>
      </w:r>
      <w:r w:rsidR="00F8111D">
        <w:rPr>
          <w:rFonts w:eastAsia="Times New Roman" w:cs="Times New Roman"/>
          <w:szCs w:val="24"/>
        </w:rPr>
        <w:t xml:space="preserve">arbu Państwa, ponieważ zgodnie </w:t>
      </w:r>
      <w:r w:rsidRPr="00115E9D">
        <w:rPr>
          <w:rFonts w:eastAsia="Times New Roman" w:cs="Times New Roman"/>
          <w:szCs w:val="24"/>
        </w:rPr>
        <w:t>z założeniami zawartymi w przepisach statuujących funkcjonowanie systemu aukcyjnego, środki na pokrycie tych wydatków pochodzą z funduszy zgromadzonych na rachunkach Zarządcy Rozliczeń, które zasilane są z opłaty OZE stanowiącej pozycję na rachunkach za konsumpcję energii elektrycznej przez odbiorców końcowych. Konieczne jest w tym miejscu ponowne podkreślenie, iż w bieżącym roku kalendarzowym, podobnie jak w 2018</w:t>
      </w:r>
      <w:r w:rsidR="000A0A4E">
        <w:rPr>
          <w:rFonts w:eastAsia="Times New Roman" w:cs="Times New Roman"/>
          <w:szCs w:val="24"/>
        </w:rPr>
        <w:t xml:space="preserve"> r.</w:t>
      </w:r>
      <w:r w:rsidRPr="00115E9D">
        <w:rPr>
          <w:rFonts w:eastAsia="Times New Roman" w:cs="Times New Roman"/>
          <w:szCs w:val="24"/>
        </w:rPr>
        <w:t xml:space="preserve">, poziom tej opłaty ustalany przez Prezesa URE utrzymuje się na poziomie 0 zł. Istniejący stan wynika z konieczności konsumpcji środków zgromadzonych w latach ubiegłych. </w:t>
      </w:r>
    </w:p>
    <w:p w14:paraId="30C415C2" w14:textId="77777777" w:rsidR="00641FBF" w:rsidRPr="00115E9D" w:rsidRDefault="00641FBF" w:rsidP="00641FBF">
      <w:pPr>
        <w:jc w:val="both"/>
        <w:rPr>
          <w:rFonts w:eastAsia="Times New Roman" w:cs="Times New Roman"/>
          <w:b/>
          <w:color w:val="000000"/>
          <w:szCs w:val="24"/>
        </w:rPr>
      </w:pPr>
      <w:r w:rsidRPr="00115E9D">
        <w:rPr>
          <w:rFonts w:eastAsia="Calibri" w:cs="Times New Roman"/>
          <w:color w:val="000000"/>
          <w:szCs w:val="24"/>
          <w:lang w:eastAsia="en-US"/>
        </w:rPr>
        <w:t xml:space="preserve">Projektowana regulacja niesie za sobą konieczność przeprojektowania systemu Internetowej Platformy Aukcyjnej (IPA) pod kątem funkcjonujących danych. </w:t>
      </w:r>
    </w:p>
    <w:p w14:paraId="6D838F7C" w14:textId="77777777" w:rsidR="00641FBF" w:rsidRPr="00115E9D" w:rsidRDefault="00641FBF" w:rsidP="002F7DB6">
      <w:pPr>
        <w:keepNext/>
        <w:keepLines/>
        <w:widowControl/>
        <w:autoSpaceDE/>
        <w:autoSpaceDN/>
        <w:adjustRightInd/>
        <w:spacing w:before="240"/>
        <w:jc w:val="both"/>
        <w:rPr>
          <w:rFonts w:eastAsia="Times New Roman" w:cs="Times New Roman"/>
          <w:color w:val="000000"/>
          <w:szCs w:val="24"/>
        </w:rPr>
      </w:pPr>
      <w:r w:rsidRPr="00115E9D">
        <w:rPr>
          <w:rFonts w:eastAsia="Times New Roman" w:cs="Times New Roman"/>
          <w:b/>
          <w:color w:val="000000"/>
          <w:szCs w:val="24"/>
        </w:rPr>
        <w:lastRenderedPageBreak/>
        <w:t>W art. 1</w:t>
      </w:r>
      <w:r w:rsidRPr="00115E9D">
        <w:rPr>
          <w:rFonts w:eastAsia="Times New Roman" w:cs="Times New Roman"/>
          <w:color w:val="000000"/>
          <w:szCs w:val="24"/>
        </w:rPr>
        <w:t>, w szczególności:</w:t>
      </w:r>
    </w:p>
    <w:p w14:paraId="6B248A58" w14:textId="77777777"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 xml:space="preserve">W pkt 1 wprowadzono zmianę </w:t>
      </w:r>
      <w:r w:rsidRPr="00115E9D">
        <w:rPr>
          <w:rFonts w:eastAsia="Calibri" w:cs="Times New Roman"/>
          <w:szCs w:val="24"/>
          <w:lang w:eastAsia="en-US"/>
        </w:rPr>
        <w:t xml:space="preserve">w zakresie definicji biogazu rolniczego poprzez doprecyzowanie, że wyłączony z tej definicji jest również biogaz pozyskany z surowców pochodzących z zakładowych oczyszczani ścieków. </w:t>
      </w:r>
      <w:r w:rsidRPr="00115E9D">
        <w:rPr>
          <w:rFonts w:eastAsia="Times New Roman" w:cs="Times New Roman"/>
          <w:color w:val="000000"/>
          <w:szCs w:val="24"/>
        </w:rPr>
        <w:t>W zakresie definicji hydroenergii doprecyzowano, iż jest to energia mechaniczna wód.</w:t>
      </w:r>
      <w:r w:rsidRPr="00115E9D">
        <w:rPr>
          <w:rFonts w:eastAsia="Calibri" w:cs="Times New Roman"/>
          <w:szCs w:val="24"/>
          <w:lang w:eastAsia="en-US"/>
        </w:rPr>
        <w:t xml:space="preserve"> </w:t>
      </w:r>
      <w:r w:rsidRPr="00115E9D">
        <w:rPr>
          <w:rFonts w:eastAsia="Times New Roman" w:cs="Times New Roman"/>
          <w:color w:val="000000"/>
          <w:szCs w:val="24"/>
        </w:rPr>
        <w:t>Wprowadzono również definicję prosumenta energii odnawialnej.</w:t>
      </w:r>
    </w:p>
    <w:p w14:paraId="73DC4D5F" w14:textId="77777777"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W pkt 2 doprecyzowano, że ilekroć w ustawie jest mowa o cenie zakupu energii elektrycznej, stałej cenie zakupu, cenie skorygowanej, cenie wynikającej z oferty lub cenie referencyjnej, należy przez to rozumieć ceny netto, tj. niezawierające kwoty podatku od towarów i usług.</w:t>
      </w:r>
    </w:p>
    <w:p w14:paraId="65913C02" w14:textId="56871AB5"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W pkt 3</w:t>
      </w:r>
      <w:r w:rsidR="002F7DB6">
        <w:rPr>
          <w:rFonts w:eastAsia="Times New Roman" w:cs="Times New Roman"/>
          <w:color w:val="000000"/>
          <w:szCs w:val="24"/>
        </w:rPr>
        <w:t>–</w:t>
      </w:r>
      <w:r w:rsidRPr="00115E9D">
        <w:rPr>
          <w:rFonts w:eastAsia="Times New Roman" w:cs="Times New Roman"/>
          <w:color w:val="000000"/>
          <w:szCs w:val="24"/>
        </w:rPr>
        <w:t>6 zmodyfikowano zasady stosowania podstawowego instrumentu wsparcia dedykowanego prosumentom energii odnawialnej, regulując kwestię rozliczania energii zużywanej na własne potrzeby z możliwością częściowego „zmagazynowania” wprowadzonych do sieci nadwyżek energii elektrycznej oraz modyfikując cykle, w których rozliczanie następuje.</w:t>
      </w:r>
    </w:p>
    <w:p w14:paraId="0FB7F45E" w14:textId="2A65871C"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 xml:space="preserve">W pkt 7 dotyczącym zmiany w art. 22 ust. 1 wprowadzono zmianę zakresu sprawozdań kwartalnych przekazywanych przez operatorów systemu dystrybucyjnego elektroenergetycznego oraz operatorów systemu dystrybucyjnego gazowego do Dyrektora Generalnego KOWR. Zmiana stanowi konsekwencję wejścia w życie ustawy z dnia 22 czerwca 2016 r. o zmianie ustawy o odnawialnych źródłach energii oraz niektórych innych ustaw i zniesienia obowiązku informowania operatorów przez wytwórców energii elektrycznej z biogazu rolniczego w </w:t>
      </w:r>
      <w:proofErr w:type="spellStart"/>
      <w:r w:rsidRPr="00115E9D">
        <w:rPr>
          <w:rFonts w:eastAsia="Times New Roman" w:cs="Times New Roman"/>
          <w:color w:val="000000"/>
          <w:szCs w:val="24"/>
        </w:rPr>
        <w:t>mikroinstalacji</w:t>
      </w:r>
      <w:proofErr w:type="spellEnd"/>
      <w:r w:rsidRPr="00115E9D">
        <w:rPr>
          <w:rFonts w:eastAsia="Times New Roman" w:cs="Times New Roman"/>
          <w:color w:val="000000"/>
          <w:szCs w:val="24"/>
        </w:rPr>
        <w:t xml:space="preserve"> i wytwórców biogazu rolniczego w </w:t>
      </w:r>
      <w:proofErr w:type="spellStart"/>
      <w:r w:rsidRPr="00115E9D">
        <w:rPr>
          <w:rFonts w:eastAsia="Times New Roman" w:cs="Times New Roman"/>
          <w:color w:val="000000"/>
          <w:szCs w:val="24"/>
        </w:rPr>
        <w:t>mikroinstalacji</w:t>
      </w:r>
      <w:proofErr w:type="spellEnd"/>
      <w:r w:rsidRPr="00115E9D">
        <w:rPr>
          <w:rFonts w:eastAsia="Times New Roman" w:cs="Times New Roman"/>
          <w:color w:val="000000"/>
          <w:szCs w:val="24"/>
        </w:rPr>
        <w:t xml:space="preserve"> biogazu rolniczego o danych ujętych w art. 22 ust. 1 ustawy OZE.</w:t>
      </w:r>
    </w:p>
    <w:p w14:paraId="1F26733F" w14:textId="77777777"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Zmiana w pkt 8 jest konsekwencją zmiany w pkt 1 w zakresie dodania definicji prosumenta energii odnawialnej.</w:t>
      </w:r>
    </w:p>
    <w:p w14:paraId="211FFB1A" w14:textId="46EEE09B"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Zmiana w pkt 9 w zakresie uchylenia art. 24 ust. 3 stanowi konsekwencję wejścia w życie Rozporządzenia Parlamentu Europejskiego i Rady (UE) 2018/</w:t>
      </w:r>
      <w:r w:rsidR="002F7DB6">
        <w:rPr>
          <w:rFonts w:eastAsia="Times New Roman" w:cs="Times New Roman"/>
          <w:color w:val="000000"/>
          <w:szCs w:val="24"/>
        </w:rPr>
        <w:t>1504 z dnia 2 października 2018 </w:t>
      </w:r>
      <w:r w:rsidRPr="00115E9D">
        <w:rPr>
          <w:rFonts w:eastAsia="Times New Roman" w:cs="Times New Roman"/>
          <w:color w:val="000000"/>
          <w:szCs w:val="24"/>
        </w:rPr>
        <w:t>r. uchylającego rozporządzenie (UE) nr 256/2014 w sprawie zgłaszania Komisji projektów inwestycyjnych dotyczących infrastruktury energetycznej w Unii Europejskiej.</w:t>
      </w:r>
    </w:p>
    <w:p w14:paraId="62F0C54C" w14:textId="26404728"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lastRenderedPageBreak/>
        <w:t>W pkt 10 dotyczącym zmiany w art. 31 ust. 3 doprecyzowano, że Dyrektor Generalny KOWR informuje sprzedawcę zobowiązanego o wykreśleniu wytwórcy wykonującego działalność gospodarczą w zakresie biogazu rolniczego z rejestru wytwórców biogazu rolniczego w terminie 14 dni od dnia wykreślenia wytwórcy z tego rejestru. W dodanym art. 31 ust. 4 doprecyzowano, że instalacja odnawialnego źródła energii służąca do wykonywania działalności gospodarczej objętej decyzją, o której mowa w art. 30 ust. 1, może ponownie służyć wykonywaniu działalności gospodarczej w zakresie biogazu rolniczego nie wcześniej niż po upływie 3 lat od dnia wydania tej decyzji.</w:t>
      </w:r>
    </w:p>
    <w:p w14:paraId="49CDDEEF" w14:textId="2ECD1464"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W pkt 1</w:t>
      </w:r>
      <w:r w:rsidR="000A0A4E">
        <w:rPr>
          <w:rFonts w:eastAsia="Times New Roman" w:cs="Times New Roman"/>
          <w:color w:val="000000"/>
          <w:szCs w:val="24"/>
        </w:rPr>
        <w:t>4</w:t>
      </w:r>
      <w:r w:rsidRPr="00115E9D">
        <w:rPr>
          <w:rFonts w:eastAsia="Times New Roman" w:cs="Times New Roman"/>
          <w:color w:val="000000"/>
          <w:szCs w:val="24"/>
        </w:rPr>
        <w:t xml:space="preserve"> i 1</w:t>
      </w:r>
      <w:r w:rsidR="000A0A4E">
        <w:rPr>
          <w:rFonts w:eastAsia="Times New Roman" w:cs="Times New Roman"/>
          <w:color w:val="000000"/>
          <w:szCs w:val="24"/>
        </w:rPr>
        <w:t>5</w:t>
      </w:r>
      <w:r w:rsidRPr="00115E9D">
        <w:rPr>
          <w:rFonts w:eastAsia="Times New Roman" w:cs="Times New Roman"/>
          <w:color w:val="000000"/>
          <w:szCs w:val="24"/>
        </w:rPr>
        <w:t xml:space="preserve"> dotyczących zmiany art. 39 oraz art. 39a, doprecyzowano</w:t>
      </w:r>
      <w:r w:rsidR="000A0A4E">
        <w:rPr>
          <w:rFonts w:eastAsia="Times New Roman" w:cs="Times New Roman"/>
          <w:color w:val="000000"/>
          <w:szCs w:val="24"/>
        </w:rPr>
        <w:t>,</w:t>
      </w:r>
      <w:r w:rsidRPr="00115E9D">
        <w:rPr>
          <w:rFonts w:eastAsia="Times New Roman" w:cs="Times New Roman"/>
          <w:color w:val="000000"/>
          <w:szCs w:val="24"/>
        </w:rPr>
        <w:t xml:space="preserve"> iż zwaloryzowana wartość pomocy inwestycyjnej dotyczy pomocy udzielonej od dnia 1 października 2005 r. zgodnie z systematyką zastosowaną w całym dokumencie ustawy zmienianej. </w:t>
      </w:r>
    </w:p>
    <w:p w14:paraId="79EE46FF" w14:textId="0C93FB60"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W zakresie pkt 1</w:t>
      </w:r>
      <w:r w:rsidR="000A0A4E">
        <w:rPr>
          <w:rFonts w:eastAsia="Times New Roman" w:cs="Times New Roman"/>
          <w:color w:val="000000"/>
          <w:szCs w:val="24"/>
        </w:rPr>
        <w:t>6</w:t>
      </w:r>
      <w:r w:rsidRPr="00115E9D">
        <w:rPr>
          <w:rFonts w:eastAsia="Times New Roman" w:cs="Times New Roman"/>
          <w:color w:val="000000"/>
          <w:szCs w:val="24"/>
        </w:rPr>
        <w:t xml:space="preserve"> dotyczącego zmiany art. 40, wydłużono okres obowiązywania systemu wsparcia o niezbędny okres od wygrania aukcji do realizacji projektu, ujednolicając okres wsparcia dla instalacji do 30 czerwca 2039 r. Doprecyzowano również, że sprzedawcą dokonującym rozliczenia na podstawie umowy kompleksowej, wybranym przez prosumenta energii odnawialnej może być także sprzedawca zobowiązany.</w:t>
      </w:r>
    </w:p>
    <w:p w14:paraId="45268C1D" w14:textId="1B06A622"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W zakresie zaproponowanej zmiany w pkt 1</w:t>
      </w:r>
      <w:r w:rsidR="000A0A4E">
        <w:rPr>
          <w:rFonts w:eastAsia="Times New Roman" w:cs="Times New Roman"/>
          <w:color w:val="000000"/>
          <w:szCs w:val="24"/>
        </w:rPr>
        <w:t>7</w:t>
      </w:r>
      <w:r w:rsidRPr="00115E9D">
        <w:rPr>
          <w:rFonts w:eastAsia="Times New Roman" w:cs="Times New Roman"/>
          <w:color w:val="000000"/>
          <w:szCs w:val="24"/>
        </w:rPr>
        <w:t xml:space="preserve"> dotyczącej art. 41 doprecyzowano, że mechanizm przewidziany w ust 1 dotyczy przedsiębiorców niekorzystający</w:t>
      </w:r>
      <w:r w:rsidR="002F7DB6">
        <w:rPr>
          <w:rFonts w:eastAsia="Times New Roman" w:cs="Times New Roman"/>
          <w:color w:val="000000"/>
          <w:szCs w:val="24"/>
        </w:rPr>
        <w:t>ch z rozliczenia zgodnie z art. </w:t>
      </w:r>
      <w:r w:rsidRPr="00115E9D">
        <w:rPr>
          <w:rFonts w:eastAsia="Times New Roman" w:cs="Times New Roman"/>
          <w:color w:val="000000"/>
          <w:szCs w:val="24"/>
        </w:rPr>
        <w:t xml:space="preserve">4 ust. 1. W dodawanych art. 41 </w:t>
      </w:r>
      <w:r w:rsidR="000A0A4E">
        <w:rPr>
          <w:rFonts w:eastAsia="Times New Roman" w:cs="Times New Roman"/>
          <w:color w:val="000000"/>
          <w:szCs w:val="24"/>
        </w:rPr>
        <w:t xml:space="preserve">ust. </w:t>
      </w:r>
      <w:r w:rsidRPr="00115E9D">
        <w:rPr>
          <w:rFonts w:eastAsia="Times New Roman" w:cs="Times New Roman"/>
          <w:color w:val="000000"/>
          <w:szCs w:val="24"/>
        </w:rPr>
        <w:t>1a i 1b wskazano, że sprzedawca zobowiązany ma obowiązek zakupu energii elektrycznej, o której mowa w art. 41 ust. 1</w:t>
      </w:r>
      <w:r w:rsidR="002147EF">
        <w:rPr>
          <w:rFonts w:eastAsia="Times New Roman" w:cs="Times New Roman"/>
          <w:color w:val="000000"/>
          <w:szCs w:val="24"/>
        </w:rPr>
        <w:t>,</w:t>
      </w:r>
      <w:r w:rsidRPr="00115E9D">
        <w:rPr>
          <w:rFonts w:eastAsia="Times New Roman" w:cs="Times New Roman"/>
          <w:color w:val="000000"/>
          <w:szCs w:val="24"/>
        </w:rPr>
        <w:t xml:space="preserve"> chyba, że zakupu dokonuje sprzedawcę wybrany przez podmiot wskazany w </w:t>
      </w:r>
      <w:r w:rsidR="002147EF">
        <w:rPr>
          <w:rFonts w:eastAsia="Times New Roman" w:cs="Times New Roman"/>
          <w:color w:val="000000"/>
          <w:szCs w:val="24"/>
        </w:rPr>
        <w:t xml:space="preserve">art. 41 </w:t>
      </w:r>
      <w:r w:rsidRPr="00115E9D">
        <w:rPr>
          <w:rFonts w:eastAsia="Times New Roman" w:cs="Times New Roman"/>
          <w:color w:val="000000"/>
          <w:szCs w:val="24"/>
        </w:rPr>
        <w:t xml:space="preserve">ust. 1. Dodatkowo, w zakresie art. 41 ust. 7 pkt 1, skorygowano i ujednolicono graniczny poziom mocy zainstalowanej </w:t>
      </w:r>
      <w:proofErr w:type="spellStart"/>
      <w:r w:rsidRPr="00115E9D">
        <w:rPr>
          <w:rFonts w:eastAsia="Times New Roman" w:cs="Times New Roman"/>
          <w:color w:val="000000"/>
          <w:szCs w:val="24"/>
        </w:rPr>
        <w:t>mikroinstalacji</w:t>
      </w:r>
      <w:proofErr w:type="spellEnd"/>
      <w:r w:rsidRPr="00115E9D">
        <w:rPr>
          <w:rFonts w:eastAsia="Times New Roman" w:cs="Times New Roman"/>
          <w:color w:val="000000"/>
          <w:szCs w:val="24"/>
        </w:rPr>
        <w:t xml:space="preserve">, który nie może zostać przekroczony w przypadku przeprowadzenia modernizacji takiej instalacji. Zmiana w zakresie dodawanego ust. 19a reguluje kwestie zawierania umów o świadczeniu usług dystrybucji lub zmiany umów już zawartych, pomiędzy operatorami systemów dystrybucyjnych elektroenergetycznych a wybranym sprzedawcą, o którym mowa w art. 41 ust. 1a. </w:t>
      </w:r>
    </w:p>
    <w:p w14:paraId="72DA0887" w14:textId="3A6B3426"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W zakresie pkt 1</w:t>
      </w:r>
      <w:r w:rsidR="000A0A4E">
        <w:rPr>
          <w:rFonts w:eastAsia="Times New Roman" w:cs="Times New Roman"/>
          <w:color w:val="000000"/>
          <w:szCs w:val="24"/>
        </w:rPr>
        <w:t>8</w:t>
      </w:r>
      <w:r w:rsidRPr="00115E9D">
        <w:rPr>
          <w:rFonts w:eastAsia="Times New Roman" w:cs="Times New Roman"/>
          <w:color w:val="000000"/>
          <w:szCs w:val="24"/>
        </w:rPr>
        <w:t xml:space="preserve"> dotyczącego zmiany art. 42, wydłużono okres obowiązywania systemu wsparcia, ujednolicając okres wsparcia dla instalacji do 30 czerwca 2039 r. </w:t>
      </w:r>
    </w:p>
    <w:p w14:paraId="318614A3" w14:textId="7D9306F6"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lastRenderedPageBreak/>
        <w:t xml:space="preserve">W pkt </w:t>
      </w:r>
      <w:r w:rsidR="000A0A4E">
        <w:rPr>
          <w:rFonts w:eastAsia="Times New Roman" w:cs="Times New Roman"/>
          <w:color w:val="000000"/>
          <w:szCs w:val="24"/>
        </w:rPr>
        <w:t>19</w:t>
      </w:r>
      <w:r w:rsidRPr="00115E9D">
        <w:rPr>
          <w:rFonts w:eastAsia="Times New Roman" w:cs="Times New Roman"/>
          <w:color w:val="000000"/>
          <w:szCs w:val="24"/>
        </w:rPr>
        <w:t xml:space="preserve">, dotyczącym art. 60, zmieniono zakres delegacji ustawowej udzielonej </w:t>
      </w:r>
      <w:r w:rsidR="000A0A4E">
        <w:rPr>
          <w:rFonts w:eastAsia="Times New Roman" w:cs="Times New Roman"/>
          <w:color w:val="000000"/>
          <w:szCs w:val="24"/>
        </w:rPr>
        <w:t>m</w:t>
      </w:r>
      <w:r w:rsidRPr="00115E9D">
        <w:rPr>
          <w:rFonts w:eastAsia="Times New Roman" w:cs="Times New Roman"/>
          <w:color w:val="000000"/>
          <w:szCs w:val="24"/>
        </w:rPr>
        <w:t xml:space="preserve">inistrowi właściwemu do spraw energii, wskazując, iż wielkość udziału obowiązku, o którym mowa </w:t>
      </w:r>
      <w:r w:rsidRPr="00115E9D">
        <w:rPr>
          <w:rFonts w:eastAsia="Times New Roman" w:cs="Times New Roman"/>
          <w:color w:val="000000"/>
          <w:szCs w:val="24"/>
        </w:rPr>
        <w:br/>
        <w:t>w art. 59 pkt 1 lub 2, może zostać zmieniona w drodze rozporządzenia na kolejny rok lub lata kalendarzowe. Wprowadzana zmiana pozwoli na precyzyjne dostosowywanie poziomu obowiązku do bieżącego poziomu podaży świadectw pochodzenia.</w:t>
      </w:r>
    </w:p>
    <w:p w14:paraId="7FD272C6" w14:textId="0C7EF88B"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 xml:space="preserve">W pkt </w:t>
      </w:r>
      <w:r w:rsidR="00A750D8" w:rsidRPr="00115E9D">
        <w:rPr>
          <w:rFonts w:eastAsia="Times New Roman" w:cs="Times New Roman"/>
          <w:color w:val="000000"/>
          <w:szCs w:val="24"/>
        </w:rPr>
        <w:t>2</w:t>
      </w:r>
      <w:r w:rsidR="000A0A4E">
        <w:rPr>
          <w:rFonts w:eastAsia="Times New Roman" w:cs="Times New Roman"/>
          <w:color w:val="000000"/>
          <w:szCs w:val="24"/>
        </w:rPr>
        <w:t>0</w:t>
      </w:r>
      <w:r w:rsidRPr="00115E9D">
        <w:rPr>
          <w:rFonts w:eastAsia="Times New Roman" w:cs="Times New Roman"/>
          <w:color w:val="000000"/>
          <w:szCs w:val="24"/>
        </w:rPr>
        <w:t xml:space="preserve">, dotyczącym art. 60a, w dodawanym ust. 2a uregulowano sytuację prawną sektora leśno-drzewnego utrzymując na poziomie ustawy uprawnienie do wykorzystywania odpadów i pozostałości powstających podczas produkcji do celu wytwarzania energii w miejscu powstania tych odpadów i pozostałości. </w:t>
      </w:r>
    </w:p>
    <w:p w14:paraId="478A13A9" w14:textId="77777777"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W art. 60a ust. 3 zmieniono termin, do którego minister właściwy do spraw energii może określić, poziom udziału biomasy pochodzenia rozlicznego w łącznej masie spalanej w instalacjach spalania wielopaliwowego, dedykowanych instalacjach spalania wielopaliwowego, układach hybrydowych oraz dedykowanych instalacjach spalania biomasy, jak również doprecyzowano, iż wielkość udziału zostaje określona na kolejny rok.</w:t>
      </w:r>
    </w:p>
    <w:p w14:paraId="17210C72" w14:textId="7E1192A2"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 xml:space="preserve">W pkt </w:t>
      </w:r>
      <w:r w:rsidR="00A750D8" w:rsidRPr="00115E9D">
        <w:rPr>
          <w:rFonts w:eastAsia="Times New Roman" w:cs="Times New Roman"/>
          <w:color w:val="000000"/>
          <w:szCs w:val="24"/>
        </w:rPr>
        <w:t>2</w:t>
      </w:r>
      <w:r w:rsidR="000A0A4E">
        <w:rPr>
          <w:rFonts w:eastAsia="Times New Roman" w:cs="Times New Roman"/>
          <w:color w:val="000000"/>
          <w:szCs w:val="24"/>
        </w:rPr>
        <w:t>2</w:t>
      </w:r>
      <w:r w:rsidRPr="00115E9D">
        <w:rPr>
          <w:rFonts w:eastAsia="Times New Roman" w:cs="Times New Roman"/>
          <w:color w:val="000000"/>
          <w:szCs w:val="24"/>
        </w:rPr>
        <w:t xml:space="preserve"> dotyczącym zmian w art. 70a, doprecyzowano formułę sprzedaży energii elektrycznej </w:t>
      </w:r>
      <w:r w:rsidRPr="00115E9D">
        <w:rPr>
          <w:rFonts w:eastAsia="Calibri" w:cs="Times New Roman"/>
          <w:color w:val="000000"/>
          <w:szCs w:val="24"/>
          <w:lang w:eastAsia="en-US"/>
        </w:rPr>
        <w:t xml:space="preserve">po stałej cenie poprzez wskazanie, iż sprzedaż może być dokonana na rzecz sprzedawcy zobowiązanego albo wybranemu podmiotowi. Jednocześnie, rozszerzono katalog technologii o instalacje wykorzystujące biomasę do wytwarzania energii elektrycznej w instalacji odnawialnego źródła energii, jako instalacje które mogą korzystać z systemu sprzedaży </w:t>
      </w:r>
      <w:r w:rsidRPr="00115E9D">
        <w:rPr>
          <w:rFonts w:eastAsia="Times New Roman" w:cs="Times New Roman"/>
          <w:color w:val="000000"/>
          <w:szCs w:val="24"/>
        </w:rPr>
        <w:t xml:space="preserve">energii elektrycznej </w:t>
      </w:r>
      <w:r w:rsidRPr="00115E9D">
        <w:rPr>
          <w:rFonts w:eastAsia="Calibri" w:cs="Times New Roman"/>
          <w:color w:val="000000"/>
          <w:szCs w:val="24"/>
          <w:lang w:eastAsia="en-US"/>
        </w:rPr>
        <w:t xml:space="preserve">po stałej cenie zakupu. W dodanym ust. 2a doprecyzowano, że wybranym podmiotem, o którym mowa w ust. 1 i 2 może być także sprzedawca zobowiązany </w:t>
      </w:r>
      <w:r w:rsidRPr="00115E9D">
        <w:rPr>
          <w:rFonts w:eastAsia="Times New Roman" w:cs="Times New Roman"/>
          <w:szCs w:val="22"/>
        </w:rPr>
        <w:t xml:space="preserve">pod warunkiem że dokonuje zakupu energii elektrycznej na zasadach innych niż określone w art. 70c ust. 1-5. W ust. 4 na wniosek Urzędu Ochrony Konkurencji i Konsumenta w przypadku systemu </w:t>
      </w:r>
      <w:proofErr w:type="spellStart"/>
      <w:r w:rsidRPr="00115E9D">
        <w:rPr>
          <w:rFonts w:eastAsia="Times New Roman" w:cs="Times New Roman"/>
          <w:szCs w:val="22"/>
        </w:rPr>
        <w:t>FiT</w:t>
      </w:r>
      <w:proofErr w:type="spellEnd"/>
      <w:r w:rsidRPr="00115E9D">
        <w:rPr>
          <w:rFonts w:eastAsia="Times New Roman" w:cs="Times New Roman"/>
          <w:szCs w:val="22"/>
        </w:rPr>
        <w:t xml:space="preserve"> oraz </w:t>
      </w:r>
      <w:proofErr w:type="spellStart"/>
      <w:r w:rsidRPr="00115E9D">
        <w:rPr>
          <w:rFonts w:eastAsia="Times New Roman" w:cs="Times New Roman"/>
          <w:szCs w:val="22"/>
        </w:rPr>
        <w:t>FiP</w:t>
      </w:r>
      <w:proofErr w:type="spellEnd"/>
      <w:r w:rsidRPr="00115E9D">
        <w:rPr>
          <w:rFonts w:eastAsia="Times New Roman" w:cs="Times New Roman"/>
          <w:szCs w:val="22"/>
        </w:rPr>
        <w:t>, przyjęto przepis wyłączający przedsiębiorstwa będące w trudnej sytuacji finansowej, przy uwzględnieniu klauzuli zawieszającej.</w:t>
      </w:r>
    </w:p>
    <w:p w14:paraId="69E720EB" w14:textId="5CF5F65D"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 xml:space="preserve">W pkt </w:t>
      </w:r>
      <w:r w:rsidR="00727AF0" w:rsidRPr="00115E9D">
        <w:rPr>
          <w:rFonts w:eastAsia="Times New Roman" w:cs="Times New Roman"/>
          <w:color w:val="000000"/>
          <w:szCs w:val="24"/>
        </w:rPr>
        <w:t>2</w:t>
      </w:r>
      <w:r w:rsidR="00F25B97">
        <w:rPr>
          <w:rFonts w:eastAsia="Times New Roman" w:cs="Times New Roman"/>
          <w:color w:val="000000"/>
          <w:szCs w:val="24"/>
        </w:rPr>
        <w:t>3</w:t>
      </w:r>
      <w:r w:rsidRPr="00115E9D">
        <w:rPr>
          <w:rFonts w:eastAsia="Times New Roman" w:cs="Times New Roman"/>
          <w:color w:val="000000"/>
          <w:szCs w:val="24"/>
        </w:rPr>
        <w:t xml:space="preserve">, zmieniającym </w:t>
      </w:r>
      <w:r w:rsidR="00F25B97">
        <w:rPr>
          <w:rFonts w:eastAsia="Times New Roman" w:cs="Times New Roman"/>
          <w:color w:val="000000"/>
          <w:szCs w:val="24"/>
        </w:rPr>
        <w:t>prze</w:t>
      </w:r>
      <w:r w:rsidRPr="00115E9D">
        <w:rPr>
          <w:rFonts w:eastAsia="Times New Roman" w:cs="Times New Roman"/>
          <w:color w:val="000000"/>
          <w:szCs w:val="24"/>
        </w:rPr>
        <w:t>pis art. 70b, określającym zasady sprzedaży niewykorzystanej energii elektrycznej po stałej cenie zakupu, wprowadzono analogiczną zmianę jak w pkt 1</w:t>
      </w:r>
      <w:r w:rsidR="00F25B97">
        <w:rPr>
          <w:rFonts w:eastAsia="Times New Roman" w:cs="Times New Roman"/>
          <w:color w:val="000000"/>
          <w:szCs w:val="24"/>
        </w:rPr>
        <w:t>7</w:t>
      </w:r>
      <w:r w:rsidRPr="00115E9D">
        <w:rPr>
          <w:rFonts w:eastAsia="Times New Roman" w:cs="Times New Roman"/>
          <w:color w:val="000000"/>
          <w:szCs w:val="24"/>
        </w:rPr>
        <w:t xml:space="preserve"> ustawy zmieniającej. Dodatkowo doprecyzowano zakres dokumentacji składanej wraz </w:t>
      </w:r>
      <w:r w:rsidRPr="00115E9D">
        <w:rPr>
          <w:rFonts w:eastAsia="Times New Roman" w:cs="Times New Roman"/>
          <w:color w:val="000000"/>
          <w:szCs w:val="24"/>
        </w:rPr>
        <w:br/>
        <w:t>z deklaracją wskazując</w:t>
      </w:r>
      <w:r w:rsidR="00F25B97">
        <w:rPr>
          <w:rFonts w:eastAsia="Times New Roman" w:cs="Times New Roman"/>
          <w:color w:val="000000"/>
          <w:szCs w:val="24"/>
        </w:rPr>
        <w:t>,</w:t>
      </w:r>
      <w:r w:rsidR="002E218A">
        <w:rPr>
          <w:rFonts w:eastAsia="Times New Roman" w:cs="Times New Roman"/>
          <w:color w:val="000000"/>
          <w:szCs w:val="24"/>
        </w:rPr>
        <w:t xml:space="preserve"> </w:t>
      </w:r>
      <w:r w:rsidRPr="00115E9D">
        <w:rPr>
          <w:rFonts w:eastAsia="Times New Roman" w:cs="Times New Roman"/>
          <w:color w:val="000000"/>
          <w:szCs w:val="24"/>
        </w:rPr>
        <w:t xml:space="preserve">iż w przypadku instalacji planowanej do uruchomienia obowiązek dołączenia oryginału lub poświadczonej kopii prawomocnego pozwolenia na budowę występuje jedynie w przypadku gdy jest ono wymagane na podstawie przepisów prawa </w:t>
      </w:r>
      <w:r w:rsidRPr="00115E9D">
        <w:rPr>
          <w:rFonts w:eastAsia="Times New Roman" w:cs="Times New Roman"/>
          <w:color w:val="000000"/>
          <w:szCs w:val="24"/>
        </w:rPr>
        <w:lastRenderedPageBreak/>
        <w:t>budowlanego. Wprowadzono również zmianę w zakresie ust. 10 pkt 2 wskazując</w:t>
      </w:r>
      <w:r w:rsidR="00F25B97">
        <w:rPr>
          <w:rFonts w:eastAsia="Times New Roman" w:cs="Times New Roman"/>
          <w:color w:val="000000"/>
          <w:szCs w:val="24"/>
        </w:rPr>
        <w:t>,</w:t>
      </w:r>
      <w:r w:rsidRPr="00115E9D">
        <w:rPr>
          <w:rFonts w:eastAsia="Times New Roman" w:cs="Times New Roman"/>
          <w:color w:val="000000"/>
          <w:szCs w:val="24"/>
        </w:rPr>
        <w:t xml:space="preserve"> iż wytwórca może modyfikować deklarację w zakresie mocy zainstalowanej instalacji oraz ilości energii elektrycznej. W dodawanym ust. 12a wskazano Prezesa URE jako podmiot, na rzecz którego następuje przepadek zabezpieczenia ustanowionego zgodnie z art. 70b ust.</w:t>
      </w:r>
      <w:r w:rsidR="00F25B97">
        <w:rPr>
          <w:rFonts w:eastAsia="Times New Roman" w:cs="Times New Roman"/>
          <w:color w:val="000000"/>
          <w:szCs w:val="24"/>
        </w:rPr>
        <w:t xml:space="preserve"> </w:t>
      </w:r>
      <w:r w:rsidRPr="00115E9D">
        <w:rPr>
          <w:rFonts w:eastAsia="Times New Roman" w:cs="Times New Roman"/>
          <w:color w:val="000000"/>
          <w:szCs w:val="24"/>
        </w:rPr>
        <w:t>6.</w:t>
      </w:r>
    </w:p>
    <w:p w14:paraId="62E6B75A" w14:textId="62F938C8"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Proponowany pkt 2</w:t>
      </w:r>
      <w:r w:rsidR="00F25B97">
        <w:rPr>
          <w:rFonts w:eastAsia="Times New Roman" w:cs="Times New Roman"/>
          <w:color w:val="000000"/>
          <w:szCs w:val="24"/>
        </w:rPr>
        <w:t>4</w:t>
      </w:r>
      <w:r w:rsidRPr="00115E9D">
        <w:rPr>
          <w:rFonts w:eastAsia="Times New Roman" w:cs="Times New Roman"/>
          <w:color w:val="000000"/>
          <w:szCs w:val="24"/>
        </w:rPr>
        <w:t xml:space="preserve"> dotyczący zmian w art. 70c stanowi zmianę redakcyjną.</w:t>
      </w:r>
    </w:p>
    <w:p w14:paraId="4814EBAF" w14:textId="5E8FAFD2"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W pkt 2</w:t>
      </w:r>
      <w:r w:rsidR="00F25B97">
        <w:rPr>
          <w:rFonts w:eastAsia="Times New Roman" w:cs="Times New Roman"/>
          <w:color w:val="000000"/>
          <w:szCs w:val="24"/>
        </w:rPr>
        <w:t>5</w:t>
      </w:r>
      <w:r w:rsidRPr="00115E9D">
        <w:rPr>
          <w:rFonts w:eastAsia="Times New Roman" w:cs="Times New Roman"/>
          <w:color w:val="000000"/>
          <w:szCs w:val="24"/>
        </w:rPr>
        <w:t xml:space="preserve"> wprowadzono zmianę w odpowiedzi na potrzeby zintensyfikowania rozwoju małych biogazowni rolniczych na obszarach wiejskich. W tym celu uzgodniono nowe brzmienie art. 70e ust. 1</w:t>
      </w:r>
      <w:r w:rsidR="00F25B97">
        <w:rPr>
          <w:rFonts w:eastAsia="Times New Roman" w:cs="Times New Roman"/>
          <w:color w:val="000000"/>
          <w:szCs w:val="24"/>
        </w:rPr>
        <w:t>, zgodnie z którym</w:t>
      </w:r>
      <w:r w:rsidRPr="00115E9D">
        <w:rPr>
          <w:rFonts w:eastAsia="Times New Roman" w:cs="Times New Roman"/>
          <w:color w:val="000000"/>
          <w:szCs w:val="24"/>
        </w:rPr>
        <w:t xml:space="preserve"> zwiększ</w:t>
      </w:r>
      <w:r w:rsidR="00F25B97">
        <w:rPr>
          <w:rFonts w:eastAsia="Times New Roman" w:cs="Times New Roman"/>
          <w:color w:val="000000"/>
          <w:szCs w:val="24"/>
        </w:rPr>
        <w:t xml:space="preserve">ono </w:t>
      </w:r>
      <w:r w:rsidRPr="00115E9D">
        <w:rPr>
          <w:rFonts w:eastAsia="Times New Roman" w:cs="Times New Roman"/>
          <w:color w:val="000000"/>
          <w:szCs w:val="24"/>
        </w:rPr>
        <w:t xml:space="preserve"> poziom ceny referencyjnej do 95% </w:t>
      </w:r>
      <w:r w:rsidR="00F25B97">
        <w:rPr>
          <w:rFonts w:eastAsia="Times New Roman" w:cs="Times New Roman"/>
          <w:color w:val="000000"/>
          <w:szCs w:val="24"/>
        </w:rPr>
        <w:t xml:space="preserve">dla </w:t>
      </w:r>
      <w:r w:rsidRPr="00115E9D">
        <w:rPr>
          <w:rFonts w:eastAsia="Times New Roman" w:cs="Times New Roman"/>
          <w:color w:val="000000"/>
          <w:szCs w:val="24"/>
        </w:rPr>
        <w:t>mikro i małych instalacji, co odpowiada aktualnym potrzebom sektora rolnego w zakresie zagospodarowania wszelkiego rodzaju produktów ubocznych. Zmiana w zakresie art. 70e ust. 2 stanowi zmianę redakcyjną.</w:t>
      </w:r>
    </w:p>
    <w:p w14:paraId="65A2794E" w14:textId="4958FDB4"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W pkt 2</w:t>
      </w:r>
      <w:r w:rsidR="00F25B97">
        <w:rPr>
          <w:rFonts w:eastAsia="Times New Roman" w:cs="Times New Roman"/>
          <w:color w:val="000000"/>
          <w:szCs w:val="24"/>
        </w:rPr>
        <w:t>6</w:t>
      </w:r>
      <w:r w:rsidRPr="00115E9D">
        <w:rPr>
          <w:rFonts w:eastAsia="Times New Roman" w:cs="Times New Roman"/>
          <w:color w:val="000000"/>
          <w:szCs w:val="24"/>
        </w:rPr>
        <w:t xml:space="preserve"> wprowadzono zmianę terminu obowiązku zakupu niewykorzystanej energii elektrycznej lub prawo do pokrycia ujemnego salda, wskazując datę 30 czerwca 2039 r. jako datę graniczną.</w:t>
      </w:r>
    </w:p>
    <w:p w14:paraId="25149249" w14:textId="7609CA3D"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W pkt 2</w:t>
      </w:r>
      <w:r w:rsidR="00F25B97">
        <w:rPr>
          <w:rFonts w:eastAsia="Times New Roman" w:cs="Times New Roman"/>
          <w:color w:val="000000"/>
          <w:szCs w:val="24"/>
        </w:rPr>
        <w:t>7</w:t>
      </w:r>
      <w:r w:rsidRPr="00115E9D">
        <w:rPr>
          <w:rFonts w:eastAsia="Times New Roman" w:cs="Times New Roman"/>
          <w:color w:val="000000"/>
          <w:szCs w:val="24"/>
        </w:rPr>
        <w:t xml:space="preserve">, w związku z postulatami, jakie pojawiły się ze strony Prezesa URE oraz Ministerstwa Rolnictwa i Rozwoju Wsi, doprecyzowano brzmienie art. 72a tak, by nie budziło ono wątpliwości interpretacyjnych oraz jednoznacznie określało, że dyspozycja przedmiotowej normy nie obejmuje podmiotów innych niż te, które po rozpoczęciu wytwarzania energii elektrycznej zamierzają przystąpić do aukcji na zasadach jak dla tzw. „nowych instalacji”. </w:t>
      </w:r>
    </w:p>
    <w:p w14:paraId="213CB20B" w14:textId="6FF6E7EF"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W pkt 2</w:t>
      </w:r>
      <w:r w:rsidR="004B712D">
        <w:rPr>
          <w:rFonts w:eastAsia="Times New Roman" w:cs="Times New Roman"/>
          <w:color w:val="000000"/>
          <w:szCs w:val="24"/>
        </w:rPr>
        <w:t>8</w:t>
      </w:r>
      <w:r w:rsidRPr="00115E9D">
        <w:rPr>
          <w:rFonts w:eastAsia="Times New Roman" w:cs="Times New Roman"/>
          <w:color w:val="000000"/>
          <w:szCs w:val="24"/>
        </w:rPr>
        <w:t xml:space="preserve"> wydłużono możliwy wiek urządzeń montowanych w instalacjach OZE uczestniczących w aukcjach „dla nowych instalacji” z okresu 36 do 42 miesięcy. W przypadku instalacji wykorzystujących energię promieniowania słon</w:t>
      </w:r>
      <w:r w:rsidR="002F7DB6">
        <w:rPr>
          <w:rFonts w:eastAsia="Times New Roman" w:cs="Times New Roman"/>
          <w:color w:val="000000"/>
          <w:szCs w:val="24"/>
        </w:rPr>
        <w:t>ecznego wiek ten wydłużono z 18 </w:t>
      </w:r>
      <w:r w:rsidRPr="00115E9D">
        <w:rPr>
          <w:rFonts w:eastAsia="Times New Roman" w:cs="Times New Roman"/>
          <w:color w:val="000000"/>
          <w:szCs w:val="24"/>
        </w:rPr>
        <w:t>miesięcy do 24 miesięcy, a w przypadku instalacji wykorzystujących energię wiatru na lądzie z 24 miesięcy do 33 miesięcy. Zmiana jest konsekwencją wydłużenia okresu realizacji inwestycji, określonego w pkt 2</w:t>
      </w:r>
      <w:r w:rsidR="004B712D">
        <w:rPr>
          <w:rFonts w:eastAsia="Times New Roman" w:cs="Times New Roman"/>
          <w:color w:val="000000"/>
          <w:szCs w:val="24"/>
        </w:rPr>
        <w:t>7</w:t>
      </w:r>
      <w:r w:rsidRPr="00115E9D">
        <w:rPr>
          <w:rFonts w:eastAsia="Times New Roman" w:cs="Times New Roman"/>
          <w:color w:val="000000"/>
          <w:szCs w:val="24"/>
        </w:rPr>
        <w:t xml:space="preserve"> projektu.</w:t>
      </w:r>
    </w:p>
    <w:p w14:paraId="30871A54" w14:textId="3ADEB0F1"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 xml:space="preserve">W pkt </w:t>
      </w:r>
      <w:r w:rsidR="004B712D">
        <w:rPr>
          <w:rFonts w:eastAsia="Times New Roman" w:cs="Times New Roman"/>
          <w:color w:val="000000"/>
          <w:szCs w:val="24"/>
        </w:rPr>
        <w:t>29</w:t>
      </w:r>
      <w:r w:rsidRPr="00115E9D">
        <w:rPr>
          <w:rFonts w:eastAsia="Times New Roman" w:cs="Times New Roman"/>
          <w:color w:val="000000"/>
          <w:szCs w:val="24"/>
        </w:rPr>
        <w:t xml:space="preserve"> w katalogu koniecznych do przedłożenia dokumentów w ramach procedury poprzedzającej wydanie przez Prezesa URE zaświadczenia o dopuszczeniu do udziału w aukcji nowych źródeł wytwórczych OZE, uchylono punkt wymagający dodatkowo przedłożenia decyzji o środowiskowych uwarunkowaniach, jak również przedłożenia dokumentów </w:t>
      </w:r>
      <w:r w:rsidRPr="00115E9D">
        <w:rPr>
          <w:rFonts w:eastAsia="Times New Roman" w:cs="Times New Roman"/>
          <w:color w:val="000000"/>
          <w:szCs w:val="24"/>
        </w:rPr>
        <w:lastRenderedPageBreak/>
        <w:t xml:space="preserve">lokalizacyjnych planowanej instalacji. Zgodnie z przepisami ustawy - Prawo budowlane, decyzja środowiskowa o ile jest wymagana na gruncie </w:t>
      </w:r>
      <w:hyperlink r:id="rId11" w:anchor="/document/17497783?cm=DOCUMENT" w:history="1">
        <w:r w:rsidRPr="00115E9D">
          <w:rPr>
            <w:rFonts w:eastAsia="Times New Roman" w:cs="Times New Roman"/>
            <w:color w:val="000000"/>
            <w:szCs w:val="24"/>
          </w:rPr>
          <w:t>ustawy</w:t>
        </w:r>
      </w:hyperlink>
      <w:r w:rsidR="00464CFC">
        <w:rPr>
          <w:rFonts w:eastAsia="Times New Roman" w:cs="Times New Roman"/>
          <w:color w:val="000000"/>
          <w:szCs w:val="24"/>
        </w:rPr>
        <w:t xml:space="preserve"> z dnia 3 października 2008 r. </w:t>
      </w:r>
      <w:r w:rsidRPr="00115E9D">
        <w:rPr>
          <w:rFonts w:eastAsia="Times New Roman" w:cs="Times New Roman"/>
          <w:color w:val="000000"/>
          <w:szCs w:val="24"/>
        </w:rPr>
        <w:t xml:space="preserve">o udostępnianiu informacji o środowisku i jego ochronie, udziale społeczeństwa w ochronie środowiska oraz o ocenach oddziaływania na środowisko, stanowi niezbędny załącznik do wydania decyzji o pozwoleniu na budowę. Decyzja ta weryfikowania jest więc w toku odrębnego postępowania administracyjnego przez właściwe organy. Dlatego też, wystarczające jest przedłożenie prawomocnego pozwolenia </w:t>
      </w:r>
      <w:r w:rsidR="004B712D">
        <w:rPr>
          <w:rFonts w:eastAsia="Times New Roman" w:cs="Times New Roman"/>
          <w:color w:val="000000"/>
          <w:szCs w:val="24"/>
        </w:rPr>
        <w:t xml:space="preserve">na </w:t>
      </w:r>
      <w:r w:rsidRPr="00115E9D">
        <w:rPr>
          <w:rFonts w:eastAsia="Times New Roman" w:cs="Times New Roman"/>
          <w:color w:val="000000"/>
          <w:szCs w:val="24"/>
        </w:rPr>
        <w:t>budow</w:t>
      </w:r>
      <w:r w:rsidR="004B712D">
        <w:rPr>
          <w:rFonts w:eastAsia="Times New Roman" w:cs="Times New Roman"/>
          <w:color w:val="000000"/>
          <w:szCs w:val="24"/>
        </w:rPr>
        <w:t>ę</w:t>
      </w:r>
      <w:r w:rsidRPr="00115E9D">
        <w:rPr>
          <w:rFonts w:eastAsia="Times New Roman" w:cs="Times New Roman"/>
          <w:color w:val="000000"/>
          <w:szCs w:val="24"/>
        </w:rPr>
        <w:t xml:space="preserve"> w procesie oceny zaawansowania przedsięwzięcia inwestycyjnego, jako warunku dopuszczenia </w:t>
      </w:r>
      <w:r w:rsidR="004B712D" w:rsidRPr="00115E9D">
        <w:rPr>
          <w:rFonts w:eastAsia="Times New Roman" w:cs="Times New Roman"/>
          <w:color w:val="000000"/>
          <w:szCs w:val="24"/>
        </w:rPr>
        <w:t xml:space="preserve">danej instalacji </w:t>
      </w:r>
      <w:r w:rsidRPr="00115E9D">
        <w:rPr>
          <w:rFonts w:eastAsia="Times New Roman" w:cs="Times New Roman"/>
          <w:color w:val="000000"/>
          <w:szCs w:val="24"/>
        </w:rPr>
        <w:t xml:space="preserve">do aukcji. </w:t>
      </w:r>
    </w:p>
    <w:p w14:paraId="4A09C32F" w14:textId="77777777"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 xml:space="preserve">Ponadto projektowana zmiana przyczyni się do rozszerzenia kręgu podmiotów </w:t>
      </w:r>
      <w:r w:rsidRPr="00115E9D">
        <w:rPr>
          <w:rFonts w:eastAsia="Times New Roman" w:cs="Times New Roman"/>
          <w:color w:val="000000"/>
          <w:szCs w:val="24"/>
        </w:rPr>
        <w:br/>
        <w:t xml:space="preserve">mogących wziąć udział w aukcjach OZE, o podmioty legitymujące się prawomocną decyzją </w:t>
      </w:r>
      <w:r w:rsidRPr="00115E9D">
        <w:rPr>
          <w:rFonts w:eastAsia="Times New Roman" w:cs="Times New Roman"/>
          <w:color w:val="000000"/>
          <w:szCs w:val="24"/>
        </w:rPr>
        <w:br/>
        <w:t xml:space="preserve">o pozwoleniu na budowę, oraz ostatecznym w trybie administracyjnym pozwoleniem środowiskowym, a tym samym zapewnienia maksymalnego poziomu konkurencyjności </w:t>
      </w:r>
      <w:r w:rsidRPr="00115E9D">
        <w:rPr>
          <w:rFonts w:eastAsia="Times New Roman" w:cs="Times New Roman"/>
          <w:color w:val="000000"/>
          <w:szCs w:val="24"/>
        </w:rPr>
        <w:br/>
        <w:t>w poszczególnych koszykach aukcyjnych.</w:t>
      </w:r>
    </w:p>
    <w:p w14:paraId="7391C487" w14:textId="77777777"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 xml:space="preserve">Dodatkowo, usunięto nadmiarowy wymóg przedstawienia dokumentów potwierdzających wypis i </w:t>
      </w:r>
      <w:proofErr w:type="spellStart"/>
      <w:r w:rsidRPr="00115E9D">
        <w:rPr>
          <w:rFonts w:eastAsia="Times New Roman" w:cs="Times New Roman"/>
          <w:color w:val="000000"/>
          <w:szCs w:val="24"/>
        </w:rPr>
        <w:t>wyrys</w:t>
      </w:r>
      <w:proofErr w:type="spellEnd"/>
      <w:r w:rsidRPr="00115E9D">
        <w:rPr>
          <w:rFonts w:eastAsia="Times New Roman" w:cs="Times New Roman"/>
          <w:color w:val="000000"/>
          <w:szCs w:val="24"/>
        </w:rPr>
        <w:t xml:space="preserve"> z miejscowego planu zagospodarowania przestrzennego, na podstawie których lokalizowana będzie projektowana instalacja. Należy wskazać, iż pozwolenie na budowę oraz dokumenty przyłączeniowe stanowią wystarczającą przesłankę do przeprowadzenia przez Prezesa URE oceny formalnej przygotowania wytwórców do realizacji inwestycji. </w:t>
      </w:r>
    </w:p>
    <w:p w14:paraId="3A2D62CF" w14:textId="212F91A2"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 xml:space="preserve">W pkt </w:t>
      </w:r>
      <w:r w:rsidR="00D76DE2" w:rsidRPr="00115E9D">
        <w:rPr>
          <w:rFonts w:eastAsia="Times New Roman" w:cs="Times New Roman"/>
          <w:color w:val="000000"/>
          <w:szCs w:val="24"/>
        </w:rPr>
        <w:t>3</w:t>
      </w:r>
      <w:r w:rsidR="004B712D">
        <w:rPr>
          <w:rFonts w:eastAsia="Times New Roman" w:cs="Times New Roman"/>
          <w:color w:val="000000"/>
          <w:szCs w:val="24"/>
        </w:rPr>
        <w:t>0</w:t>
      </w:r>
      <w:r w:rsidRPr="00115E9D">
        <w:rPr>
          <w:rFonts w:eastAsia="Times New Roman" w:cs="Times New Roman"/>
          <w:color w:val="000000"/>
          <w:szCs w:val="24"/>
        </w:rPr>
        <w:t xml:space="preserve"> doprecyzowano art. 77, wskazując iż okres, w którym przysługuje obowiązek zakupu może zostać ograniczony przez ministra właściwego do spraw energii w drodze rozporządzenia </w:t>
      </w:r>
      <w:r w:rsidR="004B712D">
        <w:rPr>
          <w:rFonts w:eastAsia="Times New Roman" w:cs="Times New Roman"/>
          <w:color w:val="000000"/>
          <w:szCs w:val="24"/>
        </w:rPr>
        <w:t xml:space="preserve">wydanego na podstawie </w:t>
      </w:r>
      <w:r w:rsidRPr="00115E9D">
        <w:rPr>
          <w:rFonts w:eastAsia="Times New Roman" w:cs="Times New Roman"/>
          <w:color w:val="000000"/>
          <w:szCs w:val="24"/>
        </w:rPr>
        <w:t>art. 77 ust. 3.</w:t>
      </w:r>
    </w:p>
    <w:p w14:paraId="7A346B19" w14:textId="521AFB64"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 xml:space="preserve">W pkt </w:t>
      </w:r>
      <w:r w:rsidR="00D76DE2" w:rsidRPr="00115E9D">
        <w:rPr>
          <w:rFonts w:eastAsia="Times New Roman" w:cs="Times New Roman"/>
          <w:color w:val="000000"/>
          <w:szCs w:val="24"/>
        </w:rPr>
        <w:t>3</w:t>
      </w:r>
      <w:r w:rsidR="004B712D">
        <w:rPr>
          <w:rFonts w:eastAsia="Times New Roman" w:cs="Times New Roman"/>
          <w:color w:val="000000"/>
          <w:szCs w:val="24"/>
        </w:rPr>
        <w:t>1</w:t>
      </w:r>
      <w:r w:rsidRPr="00115E9D">
        <w:rPr>
          <w:rFonts w:eastAsia="Times New Roman" w:cs="Times New Roman"/>
          <w:color w:val="000000"/>
          <w:szCs w:val="24"/>
        </w:rPr>
        <w:t xml:space="preserve"> dodano art. 77a ustanawiający obowiązek uzgodnienia z ministrem właściwym do spraw energii planowanego terminu przeprowadzenia aukcji oraz ilości i wartości oferowanej energii w danej aukcji. Dodatkowo doprecyzowano, że w przypadku nie przedstawienia uwag przez </w:t>
      </w:r>
      <w:r w:rsidR="004B712D">
        <w:rPr>
          <w:rFonts w:eastAsia="Times New Roman" w:cs="Times New Roman"/>
          <w:color w:val="000000"/>
          <w:szCs w:val="24"/>
        </w:rPr>
        <w:t>m</w:t>
      </w:r>
      <w:r w:rsidRPr="00115E9D">
        <w:rPr>
          <w:rFonts w:eastAsia="Times New Roman" w:cs="Times New Roman"/>
          <w:color w:val="000000"/>
          <w:szCs w:val="24"/>
        </w:rPr>
        <w:t>inistra w terminie 14 dnia od dnia przekazania harmonogramu, uznaje się go za uzgodniony, tak aby wykluczyć ewentualną zwłokę w procedurze ogłoszenia i przeprowadzenia aukcji.</w:t>
      </w:r>
    </w:p>
    <w:p w14:paraId="47FD9E5C" w14:textId="702B0DB5"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 xml:space="preserve">W pkt </w:t>
      </w:r>
      <w:r w:rsidR="00D76DE2" w:rsidRPr="00115E9D">
        <w:rPr>
          <w:rFonts w:eastAsia="Times New Roman" w:cs="Times New Roman"/>
          <w:color w:val="000000"/>
          <w:szCs w:val="24"/>
        </w:rPr>
        <w:t>3</w:t>
      </w:r>
      <w:r w:rsidR="004B712D">
        <w:rPr>
          <w:rFonts w:eastAsia="Times New Roman" w:cs="Times New Roman"/>
          <w:color w:val="000000"/>
          <w:szCs w:val="24"/>
        </w:rPr>
        <w:t>2</w:t>
      </w:r>
      <w:r w:rsidRPr="00115E9D">
        <w:rPr>
          <w:rFonts w:eastAsia="Times New Roman" w:cs="Times New Roman"/>
          <w:color w:val="000000"/>
          <w:szCs w:val="24"/>
        </w:rPr>
        <w:t xml:space="preserve"> zaproponowano zmianę w zakresie składanej oferty przez uczestnika aukcji, zobowiązując uczestnika do wskazania planowanej daty rozpoczęcia okresu, w którym wytwórca będzie korzystać z aukcyjnego systemu wsparcia, jak również planowanej ilości </w:t>
      </w:r>
      <w:r w:rsidRPr="00115E9D">
        <w:rPr>
          <w:rFonts w:eastAsia="Times New Roman" w:cs="Times New Roman"/>
          <w:color w:val="000000"/>
          <w:szCs w:val="24"/>
        </w:rPr>
        <w:lastRenderedPageBreak/>
        <w:t>energii do sprzedaży w ramach systemu aukcyjnego. Ze względu na złożony proces inwestycyjny realizacji instalacji odnawialnego źródła energii, zasadnym jest wskazanie przez uczestnika aukcji planowanej daty rozpoczęcia korzystania z systemu. Jednocześnie ze względu na zmienny charakter produkcji energii elektrycznej niektórych źródeł, uczestnik winien wskazać planowaną ilość energii elektrycznej, jako że w niektórych przypadkach poziom produkcji będzie od niego niezależny. Dodatkowo, proponuje się wprowadzić zmiany, poprzez dodanie nowych ust. 9-12, wprowadzających przepisy umożliwiające uczestnikowi aukcji na przeprowadzenie aktualizacji oferty w zakresie dotyczącym planowanej daty rozpoczęcia okresu korzystania z aukcyjnego systemu wsparcia lub alokacji energii do poszczególnych lat wskazanych w ofercie oraz mocy zainstalowanej instalacji. Proponowane zmiany wynikają również ze złożonego procesu inwestycyjnego, dla którego określenie precyzyjnej daty zakończenia inwestycji na etapie składania oferty jest niemożliwe. Tym samym, pozwala się uczestnikom modyfikować ofertę na dalszym etapie w taki sposób, aby wskazanie daty przystąpienia do systemu było bardziej precyzyjne.</w:t>
      </w:r>
    </w:p>
    <w:p w14:paraId="67B1080F" w14:textId="494CB5D3"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 xml:space="preserve">W pkt </w:t>
      </w:r>
      <w:r w:rsidR="00D76DE2" w:rsidRPr="00115E9D">
        <w:rPr>
          <w:rFonts w:eastAsia="Times New Roman" w:cs="Times New Roman"/>
          <w:color w:val="000000"/>
          <w:szCs w:val="24"/>
        </w:rPr>
        <w:t>3</w:t>
      </w:r>
      <w:r w:rsidR="004B712D">
        <w:rPr>
          <w:rFonts w:eastAsia="Times New Roman" w:cs="Times New Roman"/>
          <w:color w:val="000000"/>
          <w:szCs w:val="24"/>
        </w:rPr>
        <w:t>3</w:t>
      </w:r>
      <w:r w:rsidRPr="00115E9D">
        <w:rPr>
          <w:rFonts w:eastAsia="Times New Roman" w:cs="Times New Roman"/>
          <w:color w:val="000000"/>
          <w:szCs w:val="24"/>
        </w:rPr>
        <w:t xml:space="preserve"> proponuje się doprecyzować okres wskazany w art. 81 ust. 2, w którym Prezes URE zobligowany jest do publikacji informacji o wynikach aukcji lub jej unieważnieniu, określając</w:t>
      </w:r>
      <w:r w:rsidR="004B712D">
        <w:rPr>
          <w:rFonts w:eastAsia="Times New Roman" w:cs="Times New Roman"/>
          <w:color w:val="000000"/>
          <w:szCs w:val="24"/>
        </w:rPr>
        <w:t xml:space="preserve">,  że wynosi on </w:t>
      </w:r>
      <w:r w:rsidRPr="00115E9D">
        <w:rPr>
          <w:rFonts w:eastAsia="Times New Roman" w:cs="Times New Roman"/>
          <w:color w:val="000000"/>
          <w:szCs w:val="24"/>
        </w:rPr>
        <w:t>21 dni.</w:t>
      </w:r>
    </w:p>
    <w:p w14:paraId="0D8F2316" w14:textId="302DFB1E"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 xml:space="preserve">W pkt </w:t>
      </w:r>
      <w:r w:rsidR="00D76DE2" w:rsidRPr="00115E9D">
        <w:rPr>
          <w:rFonts w:eastAsia="Times New Roman" w:cs="Times New Roman"/>
          <w:color w:val="000000"/>
          <w:szCs w:val="24"/>
        </w:rPr>
        <w:t>3</w:t>
      </w:r>
      <w:r w:rsidR="004B712D">
        <w:rPr>
          <w:rFonts w:eastAsia="Times New Roman" w:cs="Times New Roman"/>
          <w:color w:val="000000"/>
          <w:szCs w:val="24"/>
        </w:rPr>
        <w:t>4</w:t>
      </w:r>
      <w:r w:rsidRPr="00115E9D">
        <w:rPr>
          <w:rFonts w:eastAsia="Times New Roman" w:cs="Times New Roman"/>
          <w:color w:val="000000"/>
          <w:szCs w:val="24"/>
        </w:rPr>
        <w:t xml:space="preserve"> proponuje się uchylić </w:t>
      </w:r>
      <w:r w:rsidR="004B712D">
        <w:rPr>
          <w:rFonts w:eastAsia="Times New Roman" w:cs="Times New Roman"/>
          <w:color w:val="000000"/>
          <w:szCs w:val="24"/>
        </w:rPr>
        <w:t xml:space="preserve">w art. 83 w </w:t>
      </w:r>
      <w:r w:rsidRPr="00115E9D">
        <w:rPr>
          <w:rFonts w:eastAsia="Times New Roman" w:cs="Times New Roman"/>
          <w:color w:val="000000"/>
          <w:szCs w:val="24"/>
        </w:rPr>
        <w:t xml:space="preserve">ust. 1 pkt 1 dotyczący obowiązku </w:t>
      </w:r>
      <w:r w:rsidR="004B712D">
        <w:rPr>
          <w:rFonts w:eastAsia="Times New Roman" w:cs="Times New Roman"/>
          <w:color w:val="000000"/>
          <w:szCs w:val="24"/>
        </w:rPr>
        <w:t>(</w:t>
      </w:r>
      <w:r w:rsidRPr="00115E9D">
        <w:rPr>
          <w:rFonts w:eastAsia="Times New Roman" w:cs="Times New Roman"/>
          <w:color w:val="000000"/>
          <w:szCs w:val="24"/>
        </w:rPr>
        <w:t>nałożonego na wytwórców, których oferta wygrała aukcję</w:t>
      </w:r>
      <w:r w:rsidR="004B712D">
        <w:rPr>
          <w:rFonts w:eastAsia="Times New Roman" w:cs="Times New Roman"/>
          <w:color w:val="000000"/>
          <w:szCs w:val="24"/>
        </w:rPr>
        <w:t>)</w:t>
      </w:r>
      <w:r w:rsidRPr="00115E9D">
        <w:rPr>
          <w:rFonts w:eastAsia="Times New Roman" w:cs="Times New Roman"/>
          <w:color w:val="000000"/>
          <w:szCs w:val="24"/>
        </w:rPr>
        <w:t xml:space="preserve"> przekazywania Prezesowi URE informacji o stanie realizacji harmonogramu. Należy wskazać, że z praktyki organu (Prezes URE) wynika, iż przedstawianie informacji o stanie realizacji harmonogramu, stanowi nadmiarowy obowiązek nałożony na wytwórców. Dodatkowo w ust. 2 doprecyzowano, że rozliczenie obowiązku sprzedaży w ramach systemu aukcyjnego przez wytwórcę, który wygrał aukcję</w:t>
      </w:r>
      <w:r w:rsidR="004B712D">
        <w:rPr>
          <w:rFonts w:eastAsia="Times New Roman" w:cs="Times New Roman"/>
          <w:color w:val="000000"/>
          <w:szCs w:val="24"/>
        </w:rPr>
        <w:t>,</w:t>
      </w:r>
      <w:r w:rsidRPr="00115E9D">
        <w:rPr>
          <w:rFonts w:eastAsia="Times New Roman" w:cs="Times New Roman"/>
          <w:color w:val="000000"/>
          <w:szCs w:val="24"/>
        </w:rPr>
        <w:t xml:space="preserve"> dokonywane jest w oparciu o ilość energii elektrycznej sprzedanej w ramach systemu aukcyjnego określonej w sprawozdaniach miesięcznych składanych zgodnie z art. 93 ust. 1 pkt 4 oraz ust. 2 pkt 3</w:t>
      </w:r>
      <w:r w:rsidR="002F7DB6">
        <w:rPr>
          <w:rFonts w:eastAsia="Times New Roman" w:cs="Times New Roman"/>
          <w:color w:val="000000"/>
          <w:szCs w:val="24"/>
        </w:rPr>
        <w:t>.</w:t>
      </w:r>
    </w:p>
    <w:p w14:paraId="4741AB3B" w14:textId="6E9BBD02"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W pkt 3</w:t>
      </w:r>
      <w:r w:rsidR="004B712D">
        <w:rPr>
          <w:rFonts w:eastAsia="Times New Roman" w:cs="Times New Roman"/>
          <w:color w:val="000000"/>
          <w:szCs w:val="24"/>
        </w:rPr>
        <w:t>5</w:t>
      </w:r>
      <w:r w:rsidRPr="00115E9D">
        <w:rPr>
          <w:rFonts w:eastAsia="Times New Roman" w:cs="Times New Roman"/>
          <w:color w:val="000000"/>
          <w:szCs w:val="24"/>
        </w:rPr>
        <w:t xml:space="preserve"> rozszerza się w art. 84 zakres kontroli zgodności ze stanem faktycznym przekazanych informacji i złożonych oświadczeń przez Prezesa URE o oświadczenia składane na podstawie art. 72a ust. 2. Ponadto doprecyzowano, że kontrola oświadcz</w:t>
      </w:r>
      <w:r w:rsidR="002F7DB6">
        <w:rPr>
          <w:rFonts w:eastAsia="Times New Roman" w:cs="Times New Roman"/>
          <w:color w:val="000000"/>
          <w:szCs w:val="24"/>
        </w:rPr>
        <w:t>eń składanych na podstawie art. </w:t>
      </w:r>
      <w:r w:rsidRPr="00115E9D">
        <w:rPr>
          <w:rFonts w:eastAsia="Times New Roman" w:cs="Times New Roman"/>
          <w:color w:val="000000"/>
          <w:szCs w:val="24"/>
        </w:rPr>
        <w:t>72a ust. 2 może zostać przeprowadzona nie później niż 30 dni przed dniem rozpoczęcia sesji aukcji.</w:t>
      </w:r>
    </w:p>
    <w:p w14:paraId="3D52BEAA" w14:textId="402380A6"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lastRenderedPageBreak/>
        <w:t>W pkt 3</w:t>
      </w:r>
      <w:r w:rsidR="004B712D">
        <w:rPr>
          <w:rFonts w:eastAsia="Times New Roman" w:cs="Times New Roman"/>
          <w:color w:val="000000"/>
          <w:szCs w:val="24"/>
        </w:rPr>
        <w:t>6</w:t>
      </w:r>
      <w:r w:rsidRPr="00115E9D">
        <w:rPr>
          <w:rFonts w:eastAsia="Times New Roman" w:cs="Times New Roman"/>
          <w:color w:val="000000"/>
          <w:szCs w:val="24"/>
        </w:rPr>
        <w:t xml:space="preserve"> proponuje się zmianę terminu obowiązku zakupu energii przez sprzedawcę zobowiązanego, wskazując datę 30 czerwca 2039 r. jako datę graniczną, jak również wprowadzenie korekty redakcyjnej w art. 92, rozszerzając zakres dyspozycji zawartej w ust. 6a o ust. 1-6 tego artykułu. Należy wskazać, iż poprzednie brzmienie ust. 6a stanowiło sankcję jedynie w zakresie realizacji obowiązku zakupu z ust. 6.</w:t>
      </w:r>
    </w:p>
    <w:p w14:paraId="2A695D7F" w14:textId="710BADAF" w:rsidR="00641FBF" w:rsidRPr="00115E9D" w:rsidRDefault="00641FBF" w:rsidP="00641FBF">
      <w:pPr>
        <w:widowControl/>
        <w:autoSpaceDE/>
        <w:autoSpaceDN/>
        <w:adjustRightInd/>
        <w:spacing w:before="240"/>
        <w:jc w:val="both"/>
        <w:rPr>
          <w:rFonts w:eastAsia="Times New Roman" w:cs="Times New Roman"/>
          <w:color w:val="000000"/>
          <w:szCs w:val="24"/>
        </w:rPr>
      </w:pPr>
      <w:r w:rsidRPr="00115E9D">
        <w:rPr>
          <w:rFonts w:eastAsia="Times New Roman" w:cs="Times New Roman"/>
          <w:color w:val="000000"/>
          <w:szCs w:val="24"/>
        </w:rPr>
        <w:t>W pkt 3</w:t>
      </w:r>
      <w:r w:rsidR="007842B8">
        <w:rPr>
          <w:rFonts w:eastAsia="Times New Roman" w:cs="Times New Roman"/>
          <w:color w:val="000000"/>
          <w:szCs w:val="24"/>
        </w:rPr>
        <w:t>7</w:t>
      </w:r>
      <w:r w:rsidRPr="00115E9D">
        <w:rPr>
          <w:rFonts w:eastAsia="Times New Roman" w:cs="Times New Roman"/>
          <w:color w:val="000000"/>
          <w:szCs w:val="24"/>
        </w:rPr>
        <w:t>, zgodnie z wnioskiem Zarządcy Rozliczeń SA z dnia 3 października 2018</w:t>
      </w:r>
      <w:r w:rsidR="007842B8">
        <w:rPr>
          <w:rFonts w:eastAsia="Times New Roman" w:cs="Times New Roman"/>
          <w:color w:val="000000"/>
          <w:szCs w:val="24"/>
        </w:rPr>
        <w:t xml:space="preserve"> </w:t>
      </w:r>
      <w:r w:rsidRPr="00115E9D">
        <w:rPr>
          <w:rFonts w:eastAsia="Times New Roman" w:cs="Times New Roman"/>
          <w:color w:val="000000"/>
          <w:szCs w:val="24"/>
        </w:rPr>
        <w:t>r., zaproponowano zmianę brzmienia art. 93, poprzez modyfikację zasady rozliczenia dodatniego salda wskazując</w:t>
      </w:r>
      <w:r w:rsidR="007842B8">
        <w:rPr>
          <w:rFonts w:eastAsia="Times New Roman" w:cs="Times New Roman"/>
          <w:color w:val="000000"/>
          <w:szCs w:val="24"/>
        </w:rPr>
        <w:t>,</w:t>
      </w:r>
      <w:r w:rsidRPr="00115E9D">
        <w:rPr>
          <w:rFonts w:eastAsia="Times New Roman" w:cs="Times New Roman"/>
          <w:color w:val="000000"/>
          <w:szCs w:val="24"/>
        </w:rPr>
        <w:t xml:space="preserve"> iż zwrot dodatniego salda nie powinien przekroczyć wysokości wypłaconego ujemnego salda wytwórcy. Należy zaznaczyć, iż wprowadzenie niniejszej zmiany jest kluczowe, ze względu na kwestię rozliczania pomocy publicznej, która to pomoc udzielona wytwórcom, nie może stanowić przychodu operatora rozliczeń. </w:t>
      </w:r>
    </w:p>
    <w:p w14:paraId="27348D88" w14:textId="1537CD9F"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W pkt 3</w:t>
      </w:r>
      <w:r w:rsidR="007842B8">
        <w:rPr>
          <w:rFonts w:eastAsia="Calibri" w:cs="Times New Roman"/>
          <w:bCs/>
          <w:color w:val="000000"/>
          <w:szCs w:val="24"/>
          <w:lang w:eastAsia="en-US"/>
        </w:rPr>
        <w:t>8</w:t>
      </w:r>
      <w:r w:rsidRPr="00115E9D">
        <w:rPr>
          <w:rFonts w:eastAsia="Calibri" w:cs="Times New Roman"/>
          <w:bCs/>
          <w:color w:val="000000"/>
          <w:szCs w:val="24"/>
          <w:lang w:eastAsia="en-US"/>
        </w:rPr>
        <w:t xml:space="preserve"> proponowane zmiany mają na celu uzupełnienie rozwiązań wprowadzonych do ustawy OZE przez ustawę o promowaniu energii elektrycznej z wysokosprawnej kogeneracji. Propozycja doprecyzowuje konsekwencje ewentualnego uznania, że dana instalacja nie była </w:t>
      </w:r>
      <w:r w:rsidRPr="00115E9D">
        <w:rPr>
          <w:rFonts w:eastAsia="Calibri" w:cs="Times New Roman"/>
          <w:bCs/>
          <w:color w:val="000000"/>
          <w:szCs w:val="24"/>
          <w:lang w:eastAsia="en-US"/>
        </w:rPr>
        <w:br/>
        <w:t>w poprzednim roku rozliczeniowym w rzeczywistości instalacj</w:t>
      </w:r>
      <w:r w:rsidR="002F7DB6">
        <w:rPr>
          <w:rFonts w:eastAsia="Calibri" w:cs="Times New Roman"/>
          <w:bCs/>
          <w:color w:val="000000"/>
          <w:szCs w:val="24"/>
          <w:lang w:eastAsia="en-US"/>
        </w:rPr>
        <w:t>ą, o której mowa w art. 77 ust. </w:t>
      </w:r>
      <w:r w:rsidRPr="00115E9D">
        <w:rPr>
          <w:rFonts w:eastAsia="Calibri" w:cs="Times New Roman"/>
          <w:bCs/>
          <w:color w:val="000000"/>
          <w:szCs w:val="24"/>
          <w:lang w:eastAsia="en-US"/>
        </w:rPr>
        <w:t>5 pkt 1a, 2a, 3a, 4a, 6a, 7a, 8a, 9a lub 10a ustawy OZE. W przypadku niespełnienia wymogu pełnej wysokosprawnej kogeneracji ma następować zwrot tylko nadmiaru pomocy publicznej za energię wytworzoną poza procesami wysokosprawnej kogeneracji. Kwotę podlegającą zwrotowi oblicza się poprzez porównanie skorygowanych cen zakupu energii elektrycznej obliczonych dla przypadków, w których dana instalacja stanowiłaby oraz nie stanowiłaby instalacji wytwarzającej energię elektryczną w wysokosprawnej kogeneracji. Pozostałe zmiany, w tym zmiany w ust. 4 i 5, doprecyzowują zasady postępowania i wyliczania ewentualnej nadmiarowej pomocy publicznej podlegającej potrąceniu lub zwrotowi.</w:t>
      </w:r>
    </w:p>
    <w:p w14:paraId="26265D52" w14:textId="3B32172A"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W pkt </w:t>
      </w:r>
      <w:r w:rsidR="007842B8">
        <w:rPr>
          <w:rFonts w:eastAsia="Calibri" w:cs="Times New Roman"/>
          <w:bCs/>
          <w:color w:val="000000"/>
          <w:szCs w:val="24"/>
          <w:lang w:eastAsia="en-US"/>
        </w:rPr>
        <w:t>39</w:t>
      </w:r>
      <w:r w:rsidRPr="00115E9D">
        <w:rPr>
          <w:rFonts w:eastAsia="Calibri" w:cs="Times New Roman"/>
          <w:bCs/>
          <w:color w:val="000000"/>
          <w:szCs w:val="24"/>
          <w:lang w:eastAsia="en-US"/>
        </w:rPr>
        <w:t xml:space="preserve"> proponuje się dodać art. 93b wprowadzający regulacje umożliwiającą rozliczanie ujemnego salda  za pośrednictwem formularza elektronicznego.</w:t>
      </w:r>
    </w:p>
    <w:p w14:paraId="28D6CE22" w14:textId="0C0F93FB"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W pkt </w:t>
      </w:r>
      <w:r w:rsidR="00D76DE2" w:rsidRPr="00115E9D">
        <w:rPr>
          <w:rFonts w:eastAsia="Calibri" w:cs="Times New Roman"/>
          <w:bCs/>
          <w:color w:val="000000"/>
          <w:szCs w:val="24"/>
          <w:lang w:eastAsia="en-US"/>
        </w:rPr>
        <w:t>4</w:t>
      </w:r>
      <w:r w:rsidR="007842B8">
        <w:rPr>
          <w:rFonts w:eastAsia="Calibri" w:cs="Times New Roman"/>
          <w:bCs/>
          <w:color w:val="000000"/>
          <w:szCs w:val="24"/>
          <w:lang w:eastAsia="en-US"/>
        </w:rPr>
        <w:t>0</w:t>
      </w:r>
      <w:r w:rsidR="002F7DB6">
        <w:rPr>
          <w:rFonts w:eastAsia="Calibri" w:cs="Times New Roman"/>
          <w:bCs/>
          <w:color w:val="000000"/>
          <w:szCs w:val="24"/>
          <w:lang w:eastAsia="en-US"/>
        </w:rPr>
        <w:t>–</w:t>
      </w:r>
      <w:r w:rsidRPr="00115E9D">
        <w:rPr>
          <w:rFonts w:eastAsia="Calibri" w:cs="Times New Roman"/>
          <w:bCs/>
          <w:color w:val="000000"/>
          <w:szCs w:val="24"/>
          <w:lang w:eastAsia="en-US"/>
        </w:rPr>
        <w:t>4</w:t>
      </w:r>
      <w:r w:rsidR="007842B8">
        <w:rPr>
          <w:rFonts w:eastAsia="Calibri" w:cs="Times New Roman"/>
          <w:bCs/>
          <w:color w:val="000000"/>
          <w:szCs w:val="24"/>
          <w:lang w:eastAsia="en-US"/>
        </w:rPr>
        <w:t>5</w:t>
      </w:r>
      <w:r w:rsidRPr="00115E9D">
        <w:rPr>
          <w:rFonts w:eastAsia="Calibri" w:cs="Times New Roman"/>
          <w:bCs/>
          <w:color w:val="000000"/>
          <w:szCs w:val="24"/>
          <w:lang w:eastAsia="en-US"/>
        </w:rPr>
        <w:t xml:space="preserve"> wprowadza się przepisy pozwalające usprawnić obrót gwarancjami pochodzenia, zarówno na rynku lokalnym jak i międzynarodowym. Proponowane zmiany wprowadzają przepisy zapewniające zgodność gwarancji pochodzenia z normami obowiązującymi w ramach państw zrzeszonych w ramach Unii Europejskiej, Konfederacji Szwajcarskiej, państwie członkowskim Europejskiego Porozumienia o Wolny</w:t>
      </w:r>
      <w:r w:rsidR="00771A87">
        <w:rPr>
          <w:rFonts w:eastAsia="Calibri" w:cs="Times New Roman"/>
          <w:bCs/>
          <w:color w:val="000000"/>
          <w:szCs w:val="24"/>
          <w:lang w:eastAsia="en-US"/>
        </w:rPr>
        <w:t xml:space="preserve">m Handlu (EFTA), stronie umowy </w:t>
      </w:r>
      <w:r w:rsidRPr="00115E9D">
        <w:rPr>
          <w:rFonts w:eastAsia="Calibri" w:cs="Times New Roman"/>
          <w:bCs/>
          <w:color w:val="000000"/>
          <w:szCs w:val="24"/>
          <w:lang w:eastAsia="en-US"/>
        </w:rPr>
        <w:t xml:space="preserve">o Europejskim Obszarze Gospodarczym lub państwie członkowskim Wspólnoty Energetycznej. </w:t>
      </w:r>
      <w:r w:rsidRPr="00115E9D">
        <w:rPr>
          <w:rFonts w:eastAsia="Calibri" w:cs="Times New Roman"/>
          <w:bCs/>
          <w:color w:val="000000"/>
          <w:szCs w:val="24"/>
          <w:lang w:eastAsia="en-US"/>
        </w:rPr>
        <w:lastRenderedPageBreak/>
        <w:t>Wzmocnienie narzędzi gwarancji pochodzenia oraz umożliwienie obrotu tymi gwarancjami na arenie międzynarodowej pozwoli na optymalizacje przychodów wytwórców, bazując na dobrowolnym wsparciu energii elektrycznej wytworzonej w instalacjach OZE przez odbiorców energii.</w:t>
      </w:r>
    </w:p>
    <w:p w14:paraId="53AEC2CB" w14:textId="64C7FD97" w:rsidR="00641FBF" w:rsidRPr="00115E9D" w:rsidRDefault="00641FBF" w:rsidP="00641FBF">
      <w:pPr>
        <w:spacing w:before="240"/>
        <w:jc w:val="both"/>
        <w:rPr>
          <w:rFonts w:eastAsia="Times New Roman" w:cs="Times New Roman"/>
          <w:bCs/>
          <w:color w:val="000000"/>
          <w:szCs w:val="24"/>
        </w:rPr>
      </w:pPr>
      <w:r w:rsidRPr="00115E9D">
        <w:rPr>
          <w:rFonts w:eastAsia="Times New Roman" w:cs="Times New Roman"/>
          <w:bCs/>
          <w:color w:val="000000"/>
          <w:szCs w:val="24"/>
        </w:rPr>
        <w:t xml:space="preserve">W art. 120 ust. 1 doprecyzowano definicję gwarancji pochodzenia tak, by uwzględniała, że gwarancje pochodzenia przekazywane są przez Prezesa URE do systemu teleinformatycznego prowadzonego przez Towarową Giełdę Energii jedynie w formie elektronicznej. Drugim dodanym elementem w ramach definicji jest określenie gwarancji pochodzenia jako jedynego dokumentu poświadczającego odbiorcy końcowemu wartości środowiskowe </w:t>
      </w:r>
      <w:r w:rsidRPr="00115E9D">
        <w:rPr>
          <w:rFonts w:eastAsia="Times New Roman" w:cs="Times New Roman"/>
          <w:szCs w:val="22"/>
        </w:rPr>
        <w:t>wynikające z unikniętej emisji gazów cieplarnianych</w:t>
      </w:r>
      <w:r w:rsidRPr="00115E9D">
        <w:rPr>
          <w:rFonts w:eastAsia="Times New Roman" w:cs="Times New Roman"/>
          <w:bCs/>
          <w:color w:val="000000"/>
          <w:szCs w:val="24"/>
        </w:rPr>
        <w:t>. Celem tej zmiany jest uwzględnienie w krajowym porządku prawnym statusu nadawanego gwarancjom pochodzenia przez dyrektywę Parlamentu Europejskiego i Rady 2018/2001 z dnia 11 grudnia 2018 r. w sprawie promowania stosowania energii ze źródeł odnawialnych (dalej: „Dyrektywa RED II”) oraz podkreślenie dodatkowych wartości i korzyści środowiskowych, wynikających z wykorzystywania energii z odnawialnych źródeł energii. Powyższa zmiana ma na celu uwypuklenie różnic pomiędzy gwarancjami pochodzenia i świadectwami pochodzenia oraz jednoznaczne odróżnienie gwarancji pochodzenia od stosowanych w systemach wsparcia tzw. zielonych certyfikatów.</w:t>
      </w:r>
    </w:p>
    <w:p w14:paraId="7273DAC8" w14:textId="77777777" w:rsidR="00641FBF" w:rsidRPr="00115E9D" w:rsidRDefault="00641FBF" w:rsidP="00641FBF">
      <w:pPr>
        <w:spacing w:before="240"/>
        <w:jc w:val="both"/>
        <w:rPr>
          <w:rFonts w:eastAsia="Times New Roman" w:cs="Times New Roman"/>
          <w:bCs/>
          <w:color w:val="000000"/>
          <w:szCs w:val="24"/>
        </w:rPr>
      </w:pPr>
      <w:r w:rsidRPr="00115E9D">
        <w:rPr>
          <w:rFonts w:eastAsia="Times New Roman" w:cs="Times New Roman"/>
          <w:bCs/>
          <w:color w:val="000000"/>
          <w:szCs w:val="24"/>
        </w:rPr>
        <w:t>Zmiana w art. 120 ust. 3 ma na celu wprowadzenie określenia, które we właściwy sposób oddawałoby zasady obrotu gwarancjami pochodzenia. Jednocześnie warto odnotować, że wcześniejsza propozycja, jaką był „obrót” została odrzucona po uwzględnieniu uwagi złożonej przez Urząd Regulacji Energetyki, odwołującej się do Regulaminu rejestru gwarancji pochodzenia z odnawialnych źródeł energii (dalej: „Regulamin TGE”), zgodnie z którym obrót gwarancjami pochodzenia ma charakter pozagiełdowy i co za tym idzie nie może być uznany za obrót w rozumieniu ustawy z dnia 26 października 2000 r. o giełdach towarowych. W oparciu o powyższe stwierdzono, że najbardziej adekwatnym terminem będzie „zbycie”, które koresponduje z treścią Regulaminu TGE, zgodnie z którym gwarancje pochodzenia stanowią przedmiot umów sprzedaży.</w:t>
      </w:r>
    </w:p>
    <w:p w14:paraId="619D2038" w14:textId="77777777" w:rsidR="00641FBF" w:rsidRPr="00115E9D" w:rsidRDefault="00641FBF" w:rsidP="00641FBF">
      <w:pPr>
        <w:spacing w:before="240"/>
        <w:jc w:val="both"/>
        <w:rPr>
          <w:rFonts w:eastAsia="Times New Roman" w:cs="Times New Roman"/>
          <w:bCs/>
          <w:color w:val="000000"/>
          <w:szCs w:val="24"/>
        </w:rPr>
      </w:pPr>
      <w:r w:rsidRPr="00115E9D">
        <w:rPr>
          <w:rFonts w:eastAsia="Times New Roman" w:cs="Times New Roman"/>
          <w:bCs/>
          <w:color w:val="000000"/>
          <w:szCs w:val="24"/>
        </w:rPr>
        <w:t>Zmiana w art. 121 ust. 3 jest konsekwencją zmiany definicji gwarancji pochodzenia.</w:t>
      </w:r>
    </w:p>
    <w:p w14:paraId="63E9DE08" w14:textId="77777777" w:rsidR="00641FBF" w:rsidRPr="00115E9D" w:rsidRDefault="00641FBF" w:rsidP="00641FBF">
      <w:pPr>
        <w:spacing w:before="240"/>
        <w:jc w:val="both"/>
        <w:rPr>
          <w:rFonts w:eastAsia="Times New Roman" w:cs="Times New Roman"/>
          <w:bCs/>
          <w:color w:val="000000"/>
          <w:szCs w:val="24"/>
        </w:rPr>
      </w:pPr>
      <w:r w:rsidRPr="00115E9D">
        <w:rPr>
          <w:rFonts w:eastAsia="Times New Roman" w:cs="Times New Roman"/>
          <w:bCs/>
          <w:color w:val="000000"/>
          <w:szCs w:val="24"/>
        </w:rPr>
        <w:t>Uchylenie art. 122 ust. 6 jest konsekwencją zmian wprowadzonych do art. 124 w zakresie uchylenia ust. 4 i uregulowania kwestii umarzania gwarancji pochodzenia w art. 124a.</w:t>
      </w:r>
    </w:p>
    <w:p w14:paraId="1DF7C302" w14:textId="70557D06" w:rsidR="00641FBF" w:rsidRPr="00115E9D" w:rsidRDefault="00641FBF" w:rsidP="00641FBF">
      <w:pPr>
        <w:spacing w:before="240"/>
        <w:jc w:val="both"/>
        <w:rPr>
          <w:rFonts w:eastAsia="Times New Roman" w:cs="Times New Roman"/>
          <w:bCs/>
          <w:color w:val="000000"/>
          <w:szCs w:val="24"/>
        </w:rPr>
      </w:pPr>
      <w:r w:rsidRPr="00115E9D">
        <w:rPr>
          <w:rFonts w:eastAsia="Times New Roman" w:cs="Times New Roman"/>
          <w:bCs/>
          <w:color w:val="000000"/>
          <w:szCs w:val="24"/>
        </w:rPr>
        <w:lastRenderedPageBreak/>
        <w:t xml:space="preserve">W art. 123 ust. 1 dokonano poszerzenia katalogu państw, w których wydane gwarancje pochodzenia mogą zostać uznane przez Prezesa URE o państwa członkowskie Wspólnoty Energetycznej, która zgodnie z Decyzją Rady 2006/500/WE z dnia 29 maja 2006 r. w sprawie zawarcia przez Wspólnotę Europejską Traktatu o Wspólnocie Energetycznej służyć ma tworzeniu zintegrowanego rynku energii elektrycznej i gazu, między innymi poprzez stworzenie jednolitej przestrzeni regulacyjnej dla wymiany energii sieciowej. Rekomendowane rozwiązanie wpisuje się również w </w:t>
      </w:r>
      <w:r w:rsidR="007842B8">
        <w:rPr>
          <w:rFonts w:eastAsia="Times New Roman" w:cs="Times New Roman"/>
          <w:bCs/>
          <w:color w:val="000000"/>
          <w:szCs w:val="24"/>
        </w:rPr>
        <w:t>prze</w:t>
      </w:r>
      <w:r w:rsidRPr="00115E9D">
        <w:rPr>
          <w:rFonts w:eastAsia="Times New Roman" w:cs="Times New Roman"/>
          <w:bCs/>
          <w:color w:val="000000"/>
          <w:szCs w:val="24"/>
        </w:rPr>
        <w:t xml:space="preserve">pisy Dyrektywy RED II, zgodnie z artykułem 11 dotyczącym zacieśniania współpracy z państwami trzecimi, w tym Wspólnotą Energetyczną. </w:t>
      </w:r>
    </w:p>
    <w:p w14:paraId="4500DEFF" w14:textId="77777777" w:rsidR="00641FBF" w:rsidRPr="00115E9D" w:rsidRDefault="00641FBF" w:rsidP="00641FBF">
      <w:pPr>
        <w:spacing w:before="240"/>
        <w:jc w:val="both"/>
        <w:rPr>
          <w:rFonts w:eastAsia="Times New Roman" w:cs="Times New Roman"/>
          <w:bCs/>
          <w:color w:val="000000"/>
          <w:szCs w:val="24"/>
        </w:rPr>
      </w:pPr>
      <w:r w:rsidRPr="00115E9D">
        <w:rPr>
          <w:rFonts w:eastAsia="Times New Roman" w:cs="Times New Roman"/>
          <w:bCs/>
          <w:color w:val="000000"/>
          <w:szCs w:val="24"/>
        </w:rPr>
        <w:t>Zmiana w art. 124 ust. 2 pkt 2 jest konsekwencją przyjęcia zmiany opisanej powyżej.</w:t>
      </w:r>
    </w:p>
    <w:p w14:paraId="4D77AA1D" w14:textId="6BBBA8A6" w:rsidR="00641FBF" w:rsidRPr="00115E9D" w:rsidRDefault="00641FBF" w:rsidP="00641FBF">
      <w:pPr>
        <w:spacing w:before="240"/>
        <w:jc w:val="both"/>
        <w:rPr>
          <w:rFonts w:eastAsia="Times New Roman" w:cs="Times New Roman"/>
          <w:bCs/>
          <w:color w:val="000000"/>
          <w:szCs w:val="24"/>
        </w:rPr>
      </w:pPr>
      <w:r w:rsidRPr="00115E9D">
        <w:rPr>
          <w:rFonts w:eastAsia="Times New Roman" w:cs="Times New Roman"/>
          <w:bCs/>
          <w:color w:val="000000"/>
          <w:szCs w:val="24"/>
        </w:rPr>
        <w:t xml:space="preserve">Uchylenie art. 124 ust. 4 wynika z dookreślenia trybu potwierdzania umorzenia gwarancji pochodzenia w dodanym art. 124a. Zmiana w zakresie </w:t>
      </w:r>
      <w:r w:rsidR="007842B8">
        <w:rPr>
          <w:rFonts w:eastAsia="Times New Roman" w:cs="Times New Roman"/>
          <w:bCs/>
          <w:color w:val="000000"/>
          <w:szCs w:val="24"/>
        </w:rPr>
        <w:t>uchy</w:t>
      </w:r>
      <w:r w:rsidRPr="00115E9D">
        <w:rPr>
          <w:rFonts w:eastAsia="Times New Roman" w:cs="Times New Roman"/>
          <w:bCs/>
          <w:color w:val="000000"/>
          <w:szCs w:val="24"/>
        </w:rPr>
        <w:t>lenia art. 124 ust. 5</w:t>
      </w:r>
      <w:r w:rsidR="00FF69ED">
        <w:rPr>
          <w:rFonts w:eastAsia="Times New Roman" w:cs="Times New Roman"/>
          <w:bCs/>
          <w:color w:val="000000"/>
          <w:szCs w:val="24"/>
        </w:rPr>
        <w:t>–</w:t>
      </w:r>
      <w:r w:rsidRPr="00115E9D">
        <w:rPr>
          <w:rFonts w:eastAsia="Times New Roman" w:cs="Times New Roman"/>
          <w:bCs/>
          <w:color w:val="000000"/>
          <w:szCs w:val="24"/>
        </w:rPr>
        <w:t xml:space="preserve">6 ma na celu dostosowanie istniejących przepisów do stanu faktycznego, zgodnie z którym fakt przekazywania gwarancji pochodzenia jest odnotowany w rejestrze z chwilą przekazania i nie wymaga dodatkowych obciążeń nakładanych na wytwórców i podmioty posiadające konto </w:t>
      </w:r>
      <w:r w:rsidRPr="00115E9D">
        <w:rPr>
          <w:rFonts w:eastAsia="Times New Roman" w:cs="Times New Roman"/>
          <w:bCs/>
          <w:color w:val="000000"/>
          <w:szCs w:val="24"/>
        </w:rPr>
        <w:br/>
        <w:t xml:space="preserve">w rejestrze. </w:t>
      </w:r>
    </w:p>
    <w:p w14:paraId="02C5ED56" w14:textId="77777777" w:rsidR="00641FBF" w:rsidRPr="00115E9D" w:rsidRDefault="00641FBF" w:rsidP="00641FBF">
      <w:pPr>
        <w:spacing w:before="240"/>
        <w:jc w:val="both"/>
        <w:rPr>
          <w:rFonts w:eastAsia="Times New Roman" w:cs="Times New Roman"/>
          <w:bCs/>
          <w:color w:val="000000"/>
          <w:szCs w:val="24"/>
        </w:rPr>
      </w:pPr>
      <w:r w:rsidRPr="00115E9D">
        <w:rPr>
          <w:rFonts w:eastAsia="Times New Roman" w:cs="Times New Roman"/>
          <w:bCs/>
          <w:color w:val="000000"/>
          <w:szCs w:val="24"/>
        </w:rPr>
        <w:t>W dodanym art. 124a wprowadzone zostały przepisy dookreślające przebieg procesu kończącego się umorzeniem gwarancji pochodzenia oraz potwierdzania tego faktu przez podmiot prowadzący rejestr gwarancji pochodzenia na wniosek podmiotu, który dokonuje umorzenia. Wprowadza się również możliwość dobrowolnego określenia przyczyny dokonywanego umorzenia. Co więcej, jednoznacznie wskazano, że poinformowanie odbiorcy końcowego o pochodzeniu energii elektrycznej dla której wydano gwarancję pochodzenia możliwe jest jedynie po jej uprzednim umorzeniu i uzyskaniu potwierdzenia tego umorzenia. Zmiany przewidziane w art. 124a mają na celu uszczelnienie systemu i zwiększenie jego przejrzystości doprecyzowując kluczową dla całego systemu kwestię umorzenia gwarancji pochodzenia.</w:t>
      </w:r>
    </w:p>
    <w:p w14:paraId="7E2EA4B3" w14:textId="0EF41F8C" w:rsidR="00641FBF" w:rsidRPr="00115E9D" w:rsidRDefault="00641FBF" w:rsidP="00641FBF">
      <w:pPr>
        <w:spacing w:before="240"/>
        <w:jc w:val="both"/>
        <w:rPr>
          <w:rFonts w:eastAsia="Times New Roman" w:cs="Times New Roman"/>
          <w:bCs/>
          <w:color w:val="000000"/>
          <w:szCs w:val="24"/>
        </w:rPr>
      </w:pPr>
      <w:r w:rsidRPr="00115E9D">
        <w:rPr>
          <w:rFonts w:eastAsia="Times New Roman" w:cs="Times New Roman"/>
          <w:bCs/>
          <w:color w:val="000000"/>
          <w:szCs w:val="24"/>
        </w:rPr>
        <w:t>W pkt 4</w:t>
      </w:r>
      <w:r w:rsidR="007842B8">
        <w:rPr>
          <w:rFonts w:eastAsia="Times New Roman" w:cs="Times New Roman"/>
          <w:bCs/>
          <w:color w:val="000000"/>
          <w:szCs w:val="24"/>
        </w:rPr>
        <w:t>6</w:t>
      </w:r>
      <w:r w:rsidRPr="00115E9D">
        <w:rPr>
          <w:rFonts w:eastAsia="Times New Roman" w:cs="Times New Roman"/>
          <w:bCs/>
          <w:color w:val="000000"/>
          <w:szCs w:val="24"/>
        </w:rPr>
        <w:t xml:space="preserve"> dotyczącym zmiany w art. 128, wprowadzono zmiany dostosowując zakres zadań do właściwości wynikających z ustawy z dnia 7 września 1997 r. o działach administracji rządowej.</w:t>
      </w:r>
    </w:p>
    <w:p w14:paraId="5E716A87" w14:textId="466AF335"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Proponowana zmiana w pkt 4</w:t>
      </w:r>
      <w:r w:rsidR="007842B8">
        <w:rPr>
          <w:rFonts w:eastAsia="Calibri" w:cs="Times New Roman"/>
          <w:bCs/>
          <w:color w:val="000000"/>
          <w:szCs w:val="24"/>
          <w:lang w:eastAsia="en-US"/>
        </w:rPr>
        <w:t>7</w:t>
      </w:r>
      <w:r w:rsidRPr="00115E9D">
        <w:rPr>
          <w:rFonts w:eastAsia="Calibri" w:cs="Times New Roman"/>
          <w:bCs/>
          <w:color w:val="000000"/>
          <w:szCs w:val="24"/>
          <w:lang w:eastAsia="en-US"/>
        </w:rPr>
        <w:t>, w odniesieniu do art. 135, ma na celu ujednolicenie nazewnictwa obowiązującego w ustawie zmienianej w art. 1 w zakresie hydroenergii.</w:t>
      </w:r>
    </w:p>
    <w:p w14:paraId="4010A56B" w14:textId="10011EAF"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lastRenderedPageBreak/>
        <w:t>W zakresie proponowanej zmiany w pkt 4</w:t>
      </w:r>
      <w:r w:rsidR="007842B8">
        <w:rPr>
          <w:rFonts w:eastAsia="Calibri" w:cs="Times New Roman"/>
          <w:bCs/>
          <w:color w:val="000000"/>
          <w:szCs w:val="24"/>
          <w:lang w:eastAsia="en-US"/>
        </w:rPr>
        <w:t>8</w:t>
      </w:r>
      <w:r w:rsidRPr="00115E9D">
        <w:rPr>
          <w:rFonts w:eastAsia="Calibri" w:cs="Times New Roman"/>
          <w:bCs/>
          <w:color w:val="000000"/>
          <w:szCs w:val="24"/>
          <w:lang w:eastAsia="en-US"/>
        </w:rPr>
        <w:t xml:space="preserve">, dotyczącej art. 136 ust. 4 pkt 2, rozszerza się katalog kierunków i specjalności ukończenia studiów wyższych o kierunek „energetyka”, pozwalający uzyskać certyfikat instalatora instalacji odnawialnego źródła energii, bez konieczności zdania dodatkowego egzaminu.  </w:t>
      </w:r>
    </w:p>
    <w:p w14:paraId="59A6D4AF" w14:textId="0724F75A"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W pkt </w:t>
      </w:r>
      <w:r w:rsidR="007842B8">
        <w:rPr>
          <w:rFonts w:eastAsia="Calibri" w:cs="Times New Roman"/>
          <w:bCs/>
          <w:color w:val="000000"/>
          <w:szCs w:val="24"/>
          <w:lang w:eastAsia="en-US"/>
        </w:rPr>
        <w:t>49</w:t>
      </w:r>
      <w:r w:rsidRPr="00115E9D">
        <w:rPr>
          <w:rFonts w:eastAsia="Calibri" w:cs="Times New Roman"/>
          <w:bCs/>
          <w:color w:val="000000"/>
          <w:szCs w:val="24"/>
          <w:lang w:eastAsia="en-US"/>
        </w:rPr>
        <w:t xml:space="preserve"> proponuje się doprecyzować </w:t>
      </w:r>
      <w:r w:rsidR="007842B8">
        <w:rPr>
          <w:rFonts w:eastAsia="Calibri" w:cs="Times New Roman"/>
          <w:bCs/>
          <w:color w:val="000000"/>
          <w:szCs w:val="24"/>
          <w:lang w:eastAsia="en-US"/>
        </w:rPr>
        <w:t>prze</w:t>
      </w:r>
      <w:r w:rsidRPr="00115E9D">
        <w:rPr>
          <w:rFonts w:eastAsia="Calibri" w:cs="Times New Roman"/>
          <w:bCs/>
          <w:color w:val="000000"/>
          <w:szCs w:val="24"/>
          <w:lang w:eastAsia="en-US"/>
        </w:rPr>
        <w:t xml:space="preserve">pisy art. 168 pkt 15, dotyczącego wyłączenia </w:t>
      </w:r>
      <w:r w:rsidRPr="00115E9D">
        <w:rPr>
          <w:rFonts w:eastAsia="Calibri" w:cs="Times New Roman"/>
          <w:bCs/>
          <w:color w:val="000000"/>
          <w:szCs w:val="24"/>
          <w:lang w:eastAsia="en-US"/>
        </w:rPr>
        <w:br/>
        <w:t>z przepisów sankcyjnych sytuacji, w których wytwórca wytworzył energię elektryczną w ilości mniejszej niż 85% wolumenu zgłoszonego w ofercie aukcyjnej, na skutek wystąpienia okoliczności określonych w art. 83 ust. 3b ustawy zmienianej w art. 1. Jednocześnie, proponuje się uchylenie pkt 26 tego artykułu.</w:t>
      </w:r>
    </w:p>
    <w:p w14:paraId="703A1D1B" w14:textId="5F0F3D81"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W pkt </w:t>
      </w:r>
      <w:r w:rsidR="00D76DE2" w:rsidRPr="00115E9D">
        <w:rPr>
          <w:rFonts w:eastAsia="Calibri" w:cs="Times New Roman"/>
          <w:bCs/>
          <w:color w:val="000000"/>
          <w:szCs w:val="24"/>
          <w:lang w:eastAsia="en-US"/>
        </w:rPr>
        <w:t>5</w:t>
      </w:r>
      <w:r w:rsidR="007842B8">
        <w:rPr>
          <w:rFonts w:eastAsia="Calibri" w:cs="Times New Roman"/>
          <w:bCs/>
          <w:color w:val="000000"/>
          <w:szCs w:val="24"/>
          <w:lang w:eastAsia="en-US"/>
        </w:rPr>
        <w:t>0</w:t>
      </w:r>
      <w:r w:rsidRPr="00115E9D">
        <w:rPr>
          <w:rFonts w:eastAsia="Calibri" w:cs="Times New Roman"/>
          <w:bCs/>
          <w:color w:val="000000"/>
          <w:szCs w:val="24"/>
          <w:lang w:eastAsia="en-US"/>
        </w:rPr>
        <w:t xml:space="preserve"> proponuje się rozszerzenie katalogu przypadków, w których zostaje wymierzona wysokość kary pieniężnej o art. 168 pkt 9a oraz uchylenie w art. 170 ust. 4 pkt 3, jako konsekwencję wprowadzonej zmiany opisanej w pkt</w:t>
      </w:r>
      <w:r w:rsidR="007842B8">
        <w:rPr>
          <w:rFonts w:eastAsia="Calibri" w:cs="Times New Roman"/>
          <w:bCs/>
          <w:color w:val="000000"/>
          <w:szCs w:val="24"/>
          <w:lang w:eastAsia="en-US"/>
        </w:rPr>
        <w:t>49</w:t>
      </w:r>
      <w:r w:rsidRPr="00115E9D">
        <w:rPr>
          <w:rFonts w:eastAsia="Calibri" w:cs="Times New Roman"/>
          <w:bCs/>
          <w:color w:val="000000"/>
          <w:szCs w:val="24"/>
          <w:lang w:eastAsia="en-US"/>
        </w:rPr>
        <w:t>.</w:t>
      </w:r>
    </w:p>
    <w:p w14:paraId="007B855B" w14:textId="34A140FA"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W pkt </w:t>
      </w:r>
      <w:r w:rsidR="00D76DE2" w:rsidRPr="00115E9D">
        <w:rPr>
          <w:rFonts w:eastAsia="Calibri" w:cs="Times New Roman"/>
          <w:bCs/>
          <w:color w:val="000000"/>
          <w:szCs w:val="24"/>
          <w:lang w:eastAsia="en-US"/>
        </w:rPr>
        <w:t>5</w:t>
      </w:r>
      <w:r w:rsidR="007842B8">
        <w:rPr>
          <w:rFonts w:eastAsia="Calibri" w:cs="Times New Roman"/>
          <w:bCs/>
          <w:color w:val="000000"/>
          <w:szCs w:val="24"/>
          <w:lang w:eastAsia="en-US"/>
        </w:rPr>
        <w:t>1</w:t>
      </w:r>
      <w:r w:rsidRPr="00115E9D">
        <w:rPr>
          <w:rFonts w:eastAsia="Calibri" w:cs="Times New Roman"/>
          <w:bCs/>
          <w:color w:val="000000"/>
          <w:szCs w:val="24"/>
          <w:lang w:eastAsia="en-US"/>
        </w:rPr>
        <w:t xml:space="preserve"> proponuje się dodać art. 184d pozwalając</w:t>
      </w:r>
      <w:r w:rsidR="007842B8">
        <w:rPr>
          <w:rFonts w:eastAsia="Calibri" w:cs="Times New Roman"/>
          <w:bCs/>
          <w:color w:val="000000"/>
          <w:szCs w:val="24"/>
          <w:lang w:eastAsia="en-US"/>
        </w:rPr>
        <w:t>y</w:t>
      </w:r>
      <w:r w:rsidRPr="00115E9D">
        <w:rPr>
          <w:rFonts w:eastAsia="Calibri" w:cs="Times New Roman"/>
          <w:bCs/>
          <w:color w:val="000000"/>
          <w:szCs w:val="24"/>
          <w:lang w:eastAsia="en-US"/>
        </w:rPr>
        <w:t xml:space="preserve"> wytwórcom planującym udział w aukcji w 2019 r</w:t>
      </w:r>
      <w:r w:rsidR="007842B8">
        <w:rPr>
          <w:rFonts w:eastAsia="Calibri" w:cs="Times New Roman"/>
          <w:bCs/>
          <w:color w:val="000000"/>
          <w:szCs w:val="24"/>
          <w:lang w:eastAsia="en-US"/>
        </w:rPr>
        <w:t>.</w:t>
      </w:r>
      <w:r w:rsidRPr="00115E9D">
        <w:rPr>
          <w:rFonts w:eastAsia="Calibri" w:cs="Times New Roman"/>
          <w:bCs/>
          <w:color w:val="000000"/>
          <w:szCs w:val="24"/>
          <w:lang w:eastAsia="en-US"/>
        </w:rPr>
        <w:t xml:space="preserve"> przedłużyć termin dostarczenia do sieci po raz pierwszy energii elektrycznej przed dniem 30 czerwca 2021 r. Uzasadnieniem proponowanej zmiany jest konieczność zapewnienia możliwości realizacji inwestycji mogących wziąć udział w tegorocznych i przyszłorocznych aukcjach.  </w:t>
      </w:r>
    </w:p>
    <w:p w14:paraId="1DB7A0F1" w14:textId="77777777"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Dodatkowo należy stwierdzić, że projekt zawiera zmiany, które są wynikiem prac Międzyresortowego Zespołu do spraw Ułatwienia Inwestycji w </w:t>
      </w:r>
      <w:proofErr w:type="spellStart"/>
      <w:r w:rsidRPr="00115E9D">
        <w:rPr>
          <w:rFonts w:eastAsia="Calibri" w:cs="Times New Roman"/>
          <w:bCs/>
          <w:color w:val="000000"/>
          <w:szCs w:val="24"/>
          <w:lang w:eastAsia="en-US"/>
        </w:rPr>
        <w:t>Prosumenckie</w:t>
      </w:r>
      <w:proofErr w:type="spellEnd"/>
      <w:r w:rsidRPr="00115E9D">
        <w:rPr>
          <w:rFonts w:eastAsia="Calibri" w:cs="Times New Roman"/>
          <w:bCs/>
          <w:color w:val="000000"/>
          <w:szCs w:val="24"/>
          <w:lang w:eastAsia="en-US"/>
        </w:rPr>
        <w:t xml:space="preserve"> Instalacje Odnawialnych Źródeł Energii, powołanego Zarządzeniem nr 16 Prezesa Rady Ministrów z dnia 6 lutego 2019 r., a pracującego pod przewodnictwem Ministra Przedsiębiorczości i Technologii. </w:t>
      </w:r>
    </w:p>
    <w:p w14:paraId="28A60FD3" w14:textId="77777777"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Celem pracy ww. Zespołu oraz proponowanych przepisów jest m.in. identyfikacja i eliminacja barier i obciążeń prawnych utrudniających rozwój </w:t>
      </w:r>
      <w:proofErr w:type="spellStart"/>
      <w:r w:rsidRPr="00115E9D">
        <w:rPr>
          <w:rFonts w:eastAsia="Calibri" w:cs="Times New Roman"/>
          <w:bCs/>
          <w:color w:val="000000"/>
          <w:szCs w:val="24"/>
          <w:lang w:eastAsia="en-US"/>
        </w:rPr>
        <w:t>prosumenckiego</w:t>
      </w:r>
      <w:proofErr w:type="spellEnd"/>
      <w:r w:rsidRPr="00115E9D">
        <w:rPr>
          <w:rFonts w:eastAsia="Calibri" w:cs="Times New Roman"/>
          <w:bCs/>
          <w:color w:val="000000"/>
          <w:szCs w:val="24"/>
          <w:lang w:eastAsia="en-US"/>
        </w:rPr>
        <w:t xml:space="preserve"> modelu produkcji energii elektrycznej z odnawialnych źródeł energii, czego efektem jest proponowany pierwszy pakiet propozycji zmian legislacyjnych. </w:t>
      </w:r>
    </w:p>
    <w:p w14:paraId="05B9E191" w14:textId="1132E7B7"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Celem przedmiotowych zmian jest usunięcie zidentyfikowanych barier oraz obciążeń regulacyjnych w szczególności dla rozwoju wykorzystywania odnawialnych źródeł energii przez sektor mikro-, małych i średnich przedsiębiorców oraz przez gospodarstwa domowe, ze </w:t>
      </w:r>
      <w:r w:rsidRPr="00115E9D">
        <w:rPr>
          <w:rFonts w:eastAsia="Calibri" w:cs="Times New Roman"/>
          <w:bCs/>
          <w:color w:val="000000"/>
          <w:szCs w:val="24"/>
          <w:lang w:eastAsia="en-US"/>
        </w:rPr>
        <w:lastRenderedPageBreak/>
        <w:t xml:space="preserve">szczególnym uwzględnieniem eliminacji formalno-prawnych barier dla rozwoju wykorzystywania </w:t>
      </w:r>
      <w:proofErr w:type="spellStart"/>
      <w:r w:rsidRPr="00115E9D">
        <w:rPr>
          <w:rFonts w:eastAsia="Calibri" w:cs="Times New Roman"/>
          <w:bCs/>
          <w:color w:val="000000"/>
          <w:szCs w:val="24"/>
          <w:lang w:eastAsia="en-US"/>
        </w:rPr>
        <w:t>mikroinstalacji</w:t>
      </w:r>
      <w:proofErr w:type="spellEnd"/>
      <w:r w:rsidRPr="00115E9D">
        <w:rPr>
          <w:rFonts w:eastAsia="Calibri" w:cs="Times New Roman"/>
          <w:bCs/>
          <w:color w:val="000000"/>
          <w:szCs w:val="24"/>
          <w:lang w:eastAsia="en-US"/>
        </w:rPr>
        <w:t xml:space="preserve"> w rozumieniu ustawy z dnia 20 lutego 2015 r. o odnawialnych źródłach energii, które to rozwiązania wspierają rozwój </w:t>
      </w:r>
      <w:proofErr w:type="spellStart"/>
      <w:r w:rsidRPr="00115E9D">
        <w:rPr>
          <w:rFonts w:eastAsia="Calibri" w:cs="Times New Roman"/>
          <w:bCs/>
          <w:color w:val="000000"/>
          <w:szCs w:val="24"/>
          <w:lang w:eastAsia="en-US"/>
        </w:rPr>
        <w:t>prosumenckeigo</w:t>
      </w:r>
      <w:proofErr w:type="spellEnd"/>
      <w:r w:rsidRPr="00115E9D">
        <w:rPr>
          <w:rFonts w:eastAsia="Calibri" w:cs="Times New Roman"/>
          <w:bCs/>
          <w:color w:val="000000"/>
          <w:szCs w:val="24"/>
          <w:lang w:eastAsia="en-US"/>
        </w:rPr>
        <w:t xml:space="preserve"> wytwarzania energii elektrycznej. </w:t>
      </w:r>
    </w:p>
    <w:p w14:paraId="470F3395" w14:textId="77777777"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Zamierzeniem przedmiotowego projektu ustawy jest w szczególności:</w:t>
      </w:r>
    </w:p>
    <w:p w14:paraId="2D3AAA4B" w14:textId="7004169A" w:rsidR="00641FBF" w:rsidRPr="002F7DB6" w:rsidRDefault="00641FBF" w:rsidP="002F7DB6">
      <w:pPr>
        <w:pStyle w:val="Akapitzlist"/>
        <w:widowControl/>
        <w:numPr>
          <w:ilvl w:val="0"/>
          <w:numId w:val="12"/>
        </w:numPr>
        <w:spacing w:line="360" w:lineRule="auto"/>
        <w:ind w:left="567" w:hanging="498"/>
        <w:jc w:val="both"/>
        <w:rPr>
          <w:rFonts w:eastAsia="Calibri"/>
          <w:bCs/>
          <w:color w:val="000000"/>
          <w:sz w:val="24"/>
          <w:szCs w:val="24"/>
          <w:lang w:eastAsia="en-US"/>
        </w:rPr>
      </w:pPr>
      <w:r w:rsidRPr="002F7DB6">
        <w:rPr>
          <w:rFonts w:eastAsia="Calibri"/>
          <w:bCs/>
          <w:color w:val="000000"/>
          <w:sz w:val="24"/>
          <w:szCs w:val="24"/>
          <w:lang w:eastAsia="en-US"/>
        </w:rPr>
        <w:t xml:space="preserve">rozszerzenie definicji prosumenta energii odnawialnej tak, aby możliwe było wykorzystanie potencjału małych i średnich przedsiębiorstw w zakresie produkcji energii z </w:t>
      </w:r>
      <w:proofErr w:type="spellStart"/>
      <w:r w:rsidRPr="002F7DB6">
        <w:rPr>
          <w:rFonts w:eastAsia="Calibri"/>
          <w:bCs/>
          <w:color w:val="000000"/>
          <w:sz w:val="24"/>
          <w:szCs w:val="24"/>
          <w:lang w:eastAsia="en-US"/>
        </w:rPr>
        <w:t>mikroinstalacji</w:t>
      </w:r>
      <w:proofErr w:type="spellEnd"/>
      <w:r w:rsidRPr="002F7DB6">
        <w:rPr>
          <w:rFonts w:eastAsia="Calibri"/>
          <w:bCs/>
          <w:color w:val="000000"/>
          <w:sz w:val="24"/>
          <w:szCs w:val="24"/>
          <w:lang w:eastAsia="en-US"/>
        </w:rPr>
        <w:t>;</w:t>
      </w:r>
    </w:p>
    <w:p w14:paraId="2B5F3A1C" w14:textId="7419DCBD" w:rsidR="00641FBF" w:rsidRPr="002F7DB6" w:rsidRDefault="00641FBF" w:rsidP="002F7DB6">
      <w:pPr>
        <w:pStyle w:val="Akapitzlist"/>
        <w:widowControl/>
        <w:numPr>
          <w:ilvl w:val="0"/>
          <w:numId w:val="12"/>
        </w:numPr>
        <w:spacing w:before="240" w:line="360" w:lineRule="auto"/>
        <w:ind w:left="567" w:hanging="498"/>
        <w:jc w:val="both"/>
        <w:rPr>
          <w:rFonts w:eastAsia="Calibri"/>
          <w:bCs/>
          <w:color w:val="000000"/>
          <w:sz w:val="24"/>
          <w:szCs w:val="24"/>
          <w:lang w:eastAsia="en-US"/>
        </w:rPr>
      </w:pPr>
      <w:r w:rsidRPr="002F7DB6">
        <w:rPr>
          <w:rFonts w:eastAsia="Calibri"/>
          <w:bCs/>
          <w:color w:val="000000"/>
          <w:sz w:val="24"/>
          <w:szCs w:val="24"/>
          <w:lang w:eastAsia="en-US"/>
        </w:rPr>
        <w:t>doprecyzowanie zasad stosowania tzw. instrumentu „opustów” w tym w szczególności objęcie tym instrumentem prosumentów energii odnawialnej będących przedsiębiorcami;</w:t>
      </w:r>
    </w:p>
    <w:p w14:paraId="7F45147E" w14:textId="0DC5FF4A" w:rsidR="00641FBF" w:rsidRPr="002F7DB6" w:rsidRDefault="00641FBF" w:rsidP="002F7DB6">
      <w:pPr>
        <w:pStyle w:val="Akapitzlist"/>
        <w:widowControl/>
        <w:numPr>
          <w:ilvl w:val="0"/>
          <w:numId w:val="12"/>
        </w:numPr>
        <w:spacing w:before="240" w:line="360" w:lineRule="auto"/>
        <w:ind w:left="567" w:hanging="498"/>
        <w:jc w:val="both"/>
        <w:rPr>
          <w:rFonts w:eastAsia="Calibri"/>
          <w:bCs/>
          <w:color w:val="000000"/>
          <w:sz w:val="24"/>
          <w:szCs w:val="24"/>
          <w:lang w:eastAsia="en-US"/>
        </w:rPr>
      </w:pPr>
      <w:r w:rsidRPr="002F7DB6">
        <w:rPr>
          <w:rFonts w:eastAsia="Calibri"/>
          <w:bCs/>
          <w:color w:val="000000"/>
          <w:sz w:val="24"/>
          <w:szCs w:val="24"/>
          <w:lang w:eastAsia="en-US"/>
        </w:rPr>
        <w:t xml:space="preserve">wprowadzenie możliwości sprzedaży energii elektrycznej przez wytwórców dysponujących </w:t>
      </w:r>
      <w:proofErr w:type="spellStart"/>
      <w:r w:rsidRPr="002F7DB6">
        <w:rPr>
          <w:rFonts w:eastAsia="Calibri"/>
          <w:bCs/>
          <w:color w:val="000000"/>
          <w:sz w:val="24"/>
          <w:szCs w:val="24"/>
          <w:lang w:eastAsia="en-US"/>
        </w:rPr>
        <w:t>mikroinstalacjami</w:t>
      </w:r>
      <w:proofErr w:type="spellEnd"/>
      <w:r w:rsidRPr="002F7DB6">
        <w:rPr>
          <w:rFonts w:eastAsia="Calibri"/>
          <w:bCs/>
          <w:color w:val="000000"/>
          <w:sz w:val="24"/>
          <w:szCs w:val="24"/>
          <w:lang w:eastAsia="en-US"/>
        </w:rPr>
        <w:t xml:space="preserve"> na zasadach innych niż sprzedawca zobowiązany;</w:t>
      </w:r>
    </w:p>
    <w:p w14:paraId="088FCC32" w14:textId="5FE653EA" w:rsidR="00641FBF" w:rsidRPr="002F7DB6" w:rsidRDefault="00641FBF" w:rsidP="002F7DB6">
      <w:pPr>
        <w:pStyle w:val="Akapitzlist"/>
        <w:widowControl/>
        <w:numPr>
          <w:ilvl w:val="0"/>
          <w:numId w:val="12"/>
        </w:numPr>
        <w:spacing w:before="240" w:line="360" w:lineRule="auto"/>
        <w:ind w:left="567" w:hanging="498"/>
        <w:jc w:val="both"/>
        <w:rPr>
          <w:rFonts w:eastAsia="Calibri"/>
          <w:bCs/>
          <w:color w:val="000000"/>
          <w:sz w:val="24"/>
          <w:szCs w:val="24"/>
          <w:lang w:eastAsia="en-US"/>
        </w:rPr>
      </w:pPr>
      <w:r w:rsidRPr="002F7DB6">
        <w:rPr>
          <w:rFonts w:eastAsia="Calibri"/>
          <w:bCs/>
          <w:color w:val="000000"/>
          <w:sz w:val="24"/>
          <w:szCs w:val="24"/>
          <w:lang w:eastAsia="en-US"/>
        </w:rPr>
        <w:t xml:space="preserve">doprecyzowania zasad przełączania </w:t>
      </w:r>
      <w:proofErr w:type="spellStart"/>
      <w:r w:rsidRPr="002F7DB6">
        <w:rPr>
          <w:rFonts w:eastAsia="Calibri"/>
          <w:bCs/>
          <w:color w:val="000000"/>
          <w:sz w:val="24"/>
          <w:szCs w:val="24"/>
          <w:lang w:eastAsia="en-US"/>
        </w:rPr>
        <w:t>mikroinstalacji</w:t>
      </w:r>
      <w:proofErr w:type="spellEnd"/>
      <w:r w:rsidRPr="002F7DB6">
        <w:rPr>
          <w:rFonts w:eastAsia="Calibri"/>
          <w:bCs/>
          <w:color w:val="000000"/>
          <w:sz w:val="24"/>
          <w:szCs w:val="24"/>
          <w:lang w:eastAsia="en-US"/>
        </w:rPr>
        <w:t xml:space="preserve"> na podstawie zgłoszenia, w tym wprowadzenie upoważnienia ustawowego do wydania w tym zakresie rozporządzenia;</w:t>
      </w:r>
    </w:p>
    <w:p w14:paraId="0F993FC8" w14:textId="3CB4F950" w:rsidR="00641FBF" w:rsidRPr="002F7DB6" w:rsidRDefault="00641FBF" w:rsidP="002F7DB6">
      <w:pPr>
        <w:pStyle w:val="Akapitzlist"/>
        <w:widowControl/>
        <w:numPr>
          <w:ilvl w:val="0"/>
          <w:numId w:val="12"/>
        </w:numPr>
        <w:spacing w:before="240" w:line="360" w:lineRule="auto"/>
        <w:ind w:left="567" w:hanging="498"/>
        <w:jc w:val="both"/>
        <w:rPr>
          <w:rFonts w:eastAsia="Calibri"/>
          <w:bCs/>
          <w:color w:val="000000"/>
          <w:sz w:val="24"/>
          <w:szCs w:val="24"/>
          <w:lang w:eastAsia="en-US"/>
        </w:rPr>
      </w:pPr>
      <w:r w:rsidRPr="002F7DB6">
        <w:rPr>
          <w:rFonts w:eastAsia="Calibri"/>
          <w:bCs/>
          <w:color w:val="000000"/>
          <w:sz w:val="24"/>
          <w:szCs w:val="24"/>
          <w:lang w:eastAsia="en-US"/>
        </w:rPr>
        <w:t xml:space="preserve">doprecyzowanie zasad umożliwiających budowę </w:t>
      </w:r>
      <w:proofErr w:type="spellStart"/>
      <w:r w:rsidRPr="002F7DB6">
        <w:rPr>
          <w:rFonts w:eastAsia="Calibri"/>
          <w:bCs/>
          <w:color w:val="000000"/>
          <w:sz w:val="24"/>
          <w:szCs w:val="24"/>
          <w:lang w:eastAsia="en-US"/>
        </w:rPr>
        <w:t>mikroinstalacji</w:t>
      </w:r>
      <w:proofErr w:type="spellEnd"/>
      <w:r w:rsidRPr="002F7DB6">
        <w:rPr>
          <w:rFonts w:eastAsia="Calibri"/>
          <w:bCs/>
          <w:color w:val="000000"/>
          <w:sz w:val="24"/>
          <w:szCs w:val="24"/>
          <w:lang w:eastAsia="en-US"/>
        </w:rPr>
        <w:t>, dla których nie będzie potrzebne uzyskiwanie decyzji o pozwolenia na budowę dla instalacji do 50</w:t>
      </w:r>
      <w:r w:rsidR="00E70189" w:rsidRPr="002F7DB6">
        <w:rPr>
          <w:rFonts w:eastAsia="Calibri"/>
          <w:bCs/>
          <w:color w:val="000000"/>
          <w:sz w:val="24"/>
          <w:szCs w:val="24"/>
          <w:lang w:eastAsia="en-US"/>
        </w:rPr>
        <w:t xml:space="preserve"> </w:t>
      </w:r>
      <w:proofErr w:type="spellStart"/>
      <w:r w:rsidRPr="002F7DB6">
        <w:rPr>
          <w:rFonts w:eastAsia="Calibri"/>
          <w:bCs/>
          <w:color w:val="000000"/>
          <w:sz w:val="24"/>
          <w:szCs w:val="24"/>
          <w:lang w:eastAsia="en-US"/>
        </w:rPr>
        <w:t>kW.</w:t>
      </w:r>
      <w:proofErr w:type="spellEnd"/>
    </w:p>
    <w:p w14:paraId="0530962E" w14:textId="77777777"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1. Definicja prosumenta energii odnawialnej</w:t>
      </w:r>
    </w:p>
    <w:p w14:paraId="33FE10DE" w14:textId="5C6E6693"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Dostrzegając konieczność rozwoju </w:t>
      </w:r>
      <w:proofErr w:type="spellStart"/>
      <w:r w:rsidRPr="00115E9D">
        <w:rPr>
          <w:rFonts w:eastAsia="Calibri" w:cs="Times New Roman"/>
          <w:bCs/>
          <w:color w:val="000000"/>
          <w:szCs w:val="24"/>
          <w:lang w:eastAsia="en-US"/>
        </w:rPr>
        <w:t>prosumenckiego</w:t>
      </w:r>
      <w:proofErr w:type="spellEnd"/>
      <w:r w:rsidRPr="00115E9D">
        <w:rPr>
          <w:rFonts w:eastAsia="Calibri" w:cs="Times New Roman"/>
          <w:bCs/>
          <w:color w:val="000000"/>
          <w:szCs w:val="24"/>
          <w:lang w:eastAsia="en-US"/>
        </w:rPr>
        <w:t xml:space="preserve"> wytwarzania energii elektrycznej w ramach przedstawionego projektu zmian art. 2 ustawy OZE dokonuje się ujednolicenia siatki pojęciowej wskazującej jakie podmioty mogą być traktowane jako prosumenci energii odnawialnej będący odbiorcami końcowymi, który dodatkowo wytwarzają energię elektryczną na własne potrzeby. W ramach niniejszej ustawy przewiduje się objęcie pojęciem prosumenta energii odnawialnej nowych kategorii odbiorców końcowych w tym w szczególności przedsiębiorców, dla których wytwarzanie energii elektrycznej jako prosument energii odnawialnej nie stanowi przedmiotu ich przeważającej działalności gospodarczej regulowanej przepisami wydanymi na podstawie art. 40 ust. 2 ustawy z dnia 29 czerwca 1995 r. o statystyce publicznej (Dz. U. z 2019</w:t>
      </w:r>
      <w:r w:rsidR="00EA2A1A">
        <w:rPr>
          <w:rFonts w:eastAsia="Calibri" w:cs="Times New Roman"/>
          <w:bCs/>
          <w:color w:val="000000"/>
          <w:szCs w:val="24"/>
          <w:lang w:eastAsia="en-US"/>
        </w:rPr>
        <w:t xml:space="preserve"> </w:t>
      </w:r>
      <w:r w:rsidR="00E70189">
        <w:rPr>
          <w:rFonts w:eastAsia="Calibri" w:cs="Times New Roman"/>
          <w:bCs/>
          <w:color w:val="000000"/>
          <w:szCs w:val="24"/>
          <w:lang w:eastAsia="en-US"/>
        </w:rPr>
        <w:t xml:space="preserve">r. </w:t>
      </w:r>
      <w:r w:rsidRPr="00115E9D">
        <w:rPr>
          <w:rFonts w:eastAsia="Calibri" w:cs="Times New Roman"/>
          <w:bCs/>
          <w:color w:val="000000"/>
          <w:szCs w:val="24"/>
          <w:lang w:eastAsia="en-US"/>
        </w:rPr>
        <w:t xml:space="preserve"> poz. 649 i 730</w:t>
      </w:r>
      <w:r w:rsidR="00E70189">
        <w:rPr>
          <w:rFonts w:eastAsia="Calibri" w:cs="Times New Roman"/>
          <w:bCs/>
          <w:color w:val="000000"/>
          <w:szCs w:val="24"/>
          <w:lang w:eastAsia="en-US"/>
        </w:rPr>
        <w:t>)</w:t>
      </w:r>
      <w:r w:rsidRPr="00115E9D">
        <w:rPr>
          <w:rFonts w:eastAsia="Calibri" w:cs="Times New Roman"/>
          <w:bCs/>
          <w:color w:val="000000"/>
          <w:szCs w:val="24"/>
          <w:lang w:eastAsia="en-US"/>
        </w:rPr>
        <w:t>.</w:t>
      </w:r>
    </w:p>
    <w:p w14:paraId="34D9EA4B" w14:textId="16ACF6E2"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W tym kontekście zmiany wymagała zarówno sama definicja prosumenta energii odnawialnej</w:t>
      </w:r>
      <w:r w:rsidR="00E70189">
        <w:rPr>
          <w:rFonts w:eastAsia="Calibri" w:cs="Times New Roman"/>
          <w:bCs/>
          <w:color w:val="000000"/>
          <w:szCs w:val="24"/>
          <w:lang w:eastAsia="en-US"/>
        </w:rPr>
        <w:t xml:space="preserve"> zawarta</w:t>
      </w:r>
      <w:r w:rsidRPr="00115E9D">
        <w:rPr>
          <w:rFonts w:eastAsia="Calibri" w:cs="Times New Roman"/>
          <w:bCs/>
          <w:color w:val="000000"/>
          <w:szCs w:val="24"/>
          <w:lang w:eastAsia="en-US"/>
        </w:rPr>
        <w:t xml:space="preserve"> w art. 2 pkt 27a ustawy OZE, jak też sposób wykorzystania tego pojęcia na potrzeby unormowań zawartych w ustawie z dnia 10 kwietnia 1997 r. – Prawo energetyczne (Dz. U. z </w:t>
      </w:r>
      <w:r w:rsidRPr="00115E9D">
        <w:rPr>
          <w:rFonts w:eastAsia="Calibri" w:cs="Times New Roman"/>
          <w:bCs/>
          <w:color w:val="000000"/>
          <w:szCs w:val="24"/>
          <w:lang w:eastAsia="en-US"/>
        </w:rPr>
        <w:lastRenderedPageBreak/>
        <w:t>2019 r. poz. 755</w:t>
      </w:r>
      <w:r w:rsidR="00E70189">
        <w:rPr>
          <w:rFonts w:eastAsia="Calibri" w:cs="Times New Roman"/>
          <w:bCs/>
          <w:color w:val="000000"/>
          <w:szCs w:val="24"/>
          <w:lang w:eastAsia="en-US"/>
        </w:rPr>
        <w:t xml:space="preserve"> i 730</w:t>
      </w:r>
      <w:r w:rsidRPr="00115E9D">
        <w:rPr>
          <w:rFonts w:eastAsia="Calibri" w:cs="Times New Roman"/>
          <w:bCs/>
          <w:color w:val="000000"/>
          <w:szCs w:val="24"/>
          <w:lang w:eastAsia="en-US"/>
        </w:rPr>
        <w:t xml:space="preserve">). W tym zakresie dokonano też przeglądu ustawodawstwa pod kątem konieczności dostosowania poszczególnych unormowań do nowej treści niniejszej definicji. </w:t>
      </w:r>
    </w:p>
    <w:p w14:paraId="26FE0A53" w14:textId="77777777"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2. Zasady stosowania tzw. instrumentu „opustów” dla prosumentów energii odnawialnej</w:t>
      </w:r>
    </w:p>
    <w:p w14:paraId="7ADEEC23" w14:textId="77777777"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Projekt ustawy zakłada kontynuację realizacji podstawowego instrumentu wsparcia dedykowanego dla prosumentów energii odnawialnej, choć w niezbędnym zakresie wprowadza zmiany umożliwiające objęcie tym instrumentem przedsiębiorców, a także doprecyzowuje szereg zidentyfikowanych obciążeń regulacyjnych oraz faktycznych negatywnie wpływających na wykorzystywanie tego instrumentu.</w:t>
      </w:r>
    </w:p>
    <w:p w14:paraId="551600B0" w14:textId="77777777"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Przede wszystkim z instrumentu „opustów” będą mogli skorzystać przedsiębiorcy,  którzy będą mieli status prosumentów energii odnawialnej, a więc będą wytwarzać energię elektryczną w celu jej zużycia na własne potrzeby z możliwością częściowego „zmagazynowania” wprowadzonych nadwyżek energii elektrycznej poprzez dokonanie odpowiedniego rozliczenia przez sprzedawcę energii. W tym kontekście rozliczenie ilości energii elektrycznej wprowadzonej do sieci elektroenergetycznej wobec ilości energii elektrycznej pobranej z tej sieci w celu jej zużycia na potrzeby własne przez prosumenta energii odnawialnej, będącego przedsiębiorcą w rozumieniu ustawy - Prawo przedsiębiorców, wytwarzającego energię elektryczną w </w:t>
      </w:r>
      <w:proofErr w:type="spellStart"/>
      <w:r w:rsidRPr="00115E9D">
        <w:rPr>
          <w:rFonts w:eastAsia="Calibri" w:cs="Times New Roman"/>
          <w:bCs/>
          <w:color w:val="000000"/>
          <w:szCs w:val="24"/>
          <w:lang w:eastAsia="en-US"/>
        </w:rPr>
        <w:t>mikroinstalacji</w:t>
      </w:r>
      <w:proofErr w:type="spellEnd"/>
      <w:r w:rsidRPr="00115E9D">
        <w:rPr>
          <w:rFonts w:eastAsia="Calibri" w:cs="Times New Roman"/>
          <w:bCs/>
          <w:color w:val="000000"/>
          <w:szCs w:val="24"/>
          <w:lang w:eastAsia="en-US"/>
        </w:rPr>
        <w:t xml:space="preserve"> następować będzie w stosunku ilościowym 1 do 0,7, natomiast w </w:t>
      </w:r>
      <w:proofErr w:type="spellStart"/>
      <w:r w:rsidRPr="00115E9D">
        <w:rPr>
          <w:rFonts w:eastAsia="Calibri" w:cs="Times New Roman"/>
          <w:bCs/>
          <w:color w:val="000000"/>
          <w:szCs w:val="24"/>
          <w:lang w:eastAsia="en-US"/>
        </w:rPr>
        <w:t>mikroinstalacji</w:t>
      </w:r>
      <w:proofErr w:type="spellEnd"/>
      <w:r w:rsidRPr="00115E9D">
        <w:rPr>
          <w:rFonts w:eastAsia="Calibri" w:cs="Times New Roman"/>
          <w:bCs/>
          <w:color w:val="000000"/>
          <w:szCs w:val="24"/>
          <w:lang w:eastAsia="en-US"/>
        </w:rPr>
        <w:t xml:space="preserve"> o mocy zainstalowanej do 10 kW w stosunku ilościowym 1 do 0,8. Pozostająca w dyspozycji sprzedawcy energii nadwyżka ma na celu pokrycie kosztów związanych z dokonywaniem rozliczeń w tym w szczególności koszty dystrybucji energii elektrycznej przerzuconych na tych sprzedawców. Wprowadzone rozróżnienie motywowane jest wielkością wykorzystywanych instalacji OZE, z których prosumenci energii odnawialnej będą mogli wykorzystywać wyłącznie </w:t>
      </w:r>
      <w:proofErr w:type="spellStart"/>
      <w:r w:rsidRPr="00115E9D">
        <w:rPr>
          <w:rFonts w:eastAsia="Calibri" w:cs="Times New Roman"/>
          <w:bCs/>
          <w:color w:val="000000"/>
          <w:szCs w:val="24"/>
          <w:lang w:eastAsia="en-US"/>
        </w:rPr>
        <w:t>mikroinstalacje</w:t>
      </w:r>
      <w:proofErr w:type="spellEnd"/>
      <w:r w:rsidRPr="00115E9D">
        <w:rPr>
          <w:rFonts w:eastAsia="Calibri" w:cs="Times New Roman"/>
          <w:bCs/>
          <w:color w:val="000000"/>
          <w:szCs w:val="24"/>
          <w:lang w:eastAsia="en-US"/>
        </w:rPr>
        <w:t>, które przynoszą mniejszy efekt ekonomiczny po stronie odbiorcy końcowego. W związku z powyższym, aby zachować ekwiwalentność świadczeń ponoszonych przez prosumentów energii odnawialnej oraz sprzedawców energii elektrycznej zaproponowano rozróżnienie wielkości tzw. opustu.</w:t>
      </w:r>
    </w:p>
    <w:p w14:paraId="48253116" w14:textId="04880130"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Dla zintensyfikowania unormowań zachęcających do wytwarzania energii elektrycznej przez prosumentów energii odnawialnej doprecyzowano, że zgromadzon</w:t>
      </w:r>
      <w:r w:rsidR="00E70189">
        <w:rPr>
          <w:rFonts w:eastAsia="Calibri" w:cs="Times New Roman"/>
          <w:bCs/>
          <w:color w:val="000000"/>
          <w:szCs w:val="24"/>
          <w:lang w:eastAsia="en-US"/>
        </w:rPr>
        <w:t>a</w:t>
      </w:r>
      <w:r w:rsidRPr="00115E9D">
        <w:rPr>
          <w:rFonts w:eastAsia="Calibri" w:cs="Times New Roman"/>
          <w:bCs/>
          <w:color w:val="000000"/>
          <w:szCs w:val="24"/>
          <w:lang w:eastAsia="en-US"/>
        </w:rPr>
        <w:t xml:space="preserve"> przez danego prosumenta nadwyżka z danego okresu rozliczeniowego przechodzi na kolejne okresy, co uniemożliwi stosowanie nagannych praktyk dotyczących instalacji fotowoltaicznych zakładających wprowadzanie krótkich okresów rozliczeniowych uniemożliwiających rozliczenie nadwyżek </w:t>
      </w:r>
      <w:r w:rsidRPr="00115E9D">
        <w:rPr>
          <w:rFonts w:eastAsia="Calibri" w:cs="Times New Roman"/>
          <w:bCs/>
          <w:color w:val="000000"/>
          <w:szCs w:val="24"/>
          <w:lang w:eastAsia="en-US"/>
        </w:rPr>
        <w:lastRenderedPageBreak/>
        <w:t xml:space="preserve">zgromadzonych w okresie letnim na potrzeby deficytu przypadającego na okres zimowy, co powinno być istotą instrumentu „opustów”. </w:t>
      </w:r>
    </w:p>
    <w:p w14:paraId="55D8E7F7" w14:textId="77777777"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W projekcie ustawy pozostawiono obowiązek stosowania umów kompleksowych przez sprzedawców dokonujących „opustu”, celem ułatwienia dokonywania wzajemnych rozliczeń, ale wprowadzono unormowania zakładające obowiązek zawarcia odpowiednich umów między operatorami systemów dystrybucyjnych, a wybranym przez prosumenta energii odnawialnej sprzedawcą energii, które maja umożliwić dokonywanie przez tego sprzedawcę rozliczenia energii elektrycznej w ramach instrumentu „opustu”. </w:t>
      </w:r>
    </w:p>
    <w:p w14:paraId="7D47D9CD" w14:textId="77777777"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3. Zasady sprzedaży niewykorzystanej energii elektrycznej w </w:t>
      </w:r>
      <w:proofErr w:type="spellStart"/>
      <w:r w:rsidRPr="00115E9D">
        <w:rPr>
          <w:rFonts w:eastAsia="Calibri" w:cs="Times New Roman"/>
          <w:bCs/>
          <w:color w:val="000000"/>
          <w:szCs w:val="24"/>
          <w:lang w:eastAsia="en-US"/>
        </w:rPr>
        <w:t>mikroinstalacji</w:t>
      </w:r>
      <w:proofErr w:type="spellEnd"/>
    </w:p>
    <w:p w14:paraId="4475F45C" w14:textId="1E7F2063"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Dotychczasowy obowiązek dokonywania zakupu energii elektrycznej wytworzonej w </w:t>
      </w:r>
      <w:proofErr w:type="spellStart"/>
      <w:r w:rsidRPr="00115E9D">
        <w:rPr>
          <w:rFonts w:eastAsia="Calibri" w:cs="Times New Roman"/>
          <w:bCs/>
          <w:color w:val="000000"/>
          <w:szCs w:val="24"/>
          <w:lang w:eastAsia="en-US"/>
        </w:rPr>
        <w:t>mikroinstalacji</w:t>
      </w:r>
      <w:proofErr w:type="spellEnd"/>
      <w:r w:rsidRPr="00115E9D">
        <w:rPr>
          <w:rFonts w:eastAsia="Calibri" w:cs="Times New Roman"/>
          <w:bCs/>
          <w:color w:val="000000"/>
          <w:szCs w:val="24"/>
          <w:lang w:eastAsia="en-US"/>
        </w:rPr>
        <w:t xml:space="preserve"> nadal będzie spoczywał wyłącznie na sprzedawcy zobowiązanym, niemniej w projektowanym art. 41 ust. 1a zaproponowano rozwiązanie umożliwiające sprzedaż energii elektrycznej z </w:t>
      </w:r>
      <w:proofErr w:type="spellStart"/>
      <w:r w:rsidRPr="00115E9D">
        <w:rPr>
          <w:rFonts w:eastAsia="Calibri" w:cs="Times New Roman"/>
          <w:bCs/>
          <w:color w:val="000000"/>
          <w:szCs w:val="24"/>
          <w:lang w:eastAsia="en-US"/>
        </w:rPr>
        <w:t>mikroinstalacji</w:t>
      </w:r>
      <w:proofErr w:type="spellEnd"/>
      <w:r w:rsidRPr="00115E9D">
        <w:rPr>
          <w:rFonts w:eastAsia="Calibri" w:cs="Times New Roman"/>
          <w:bCs/>
          <w:color w:val="000000"/>
          <w:szCs w:val="24"/>
          <w:lang w:eastAsia="en-US"/>
        </w:rPr>
        <w:t xml:space="preserve"> wybranemu przez wytwórcę podmiotowi innemu niż sprzedawca zobowiązany. Podmioty te będą mogły sprzedawać tę energię albo jej nadwyżki na zasadach innych niż obowiązek sprzedawcy zobowiązanego, a więc po ustalonej cenie, wybierając jednocześnie podmiot (sprzedawcę energii), który będzie dokonywał zakupu tych nadwyżek. W związku z powyższym sprzedaż energii elektrycznej przez wytwórcę z </w:t>
      </w:r>
      <w:proofErr w:type="spellStart"/>
      <w:r w:rsidRPr="00115E9D">
        <w:rPr>
          <w:rFonts w:eastAsia="Calibri" w:cs="Times New Roman"/>
          <w:bCs/>
          <w:color w:val="000000"/>
          <w:szCs w:val="24"/>
          <w:lang w:eastAsia="en-US"/>
        </w:rPr>
        <w:t>mikroinstalacji</w:t>
      </w:r>
      <w:proofErr w:type="spellEnd"/>
      <w:r w:rsidRPr="00115E9D">
        <w:rPr>
          <w:rFonts w:eastAsia="Calibri" w:cs="Times New Roman"/>
          <w:bCs/>
          <w:color w:val="000000"/>
          <w:szCs w:val="24"/>
          <w:lang w:eastAsia="en-US"/>
        </w:rPr>
        <w:t xml:space="preserve"> albo wytwórcę, o którym mowa w art. 19 ust. 1 ustawy OZE</w:t>
      </w:r>
      <w:r w:rsidR="00E70189">
        <w:rPr>
          <w:rFonts w:eastAsia="Calibri" w:cs="Times New Roman"/>
          <w:bCs/>
          <w:color w:val="000000"/>
          <w:szCs w:val="24"/>
          <w:lang w:eastAsia="en-US"/>
        </w:rPr>
        <w:t>,</w:t>
      </w:r>
      <w:r w:rsidRPr="00115E9D">
        <w:rPr>
          <w:rFonts w:eastAsia="Calibri" w:cs="Times New Roman"/>
          <w:bCs/>
          <w:color w:val="000000"/>
          <w:szCs w:val="24"/>
          <w:lang w:eastAsia="en-US"/>
        </w:rPr>
        <w:t xml:space="preserve"> będzie odbywała się na zasadach rynkowych. </w:t>
      </w:r>
    </w:p>
    <w:p w14:paraId="7C2C4516" w14:textId="55B7E58F"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Jeżeli wybrany sprzedawca nie będzie chciał zgodzić się na zakup energii z </w:t>
      </w:r>
      <w:proofErr w:type="spellStart"/>
      <w:r w:rsidRPr="00115E9D">
        <w:rPr>
          <w:rFonts w:eastAsia="Calibri" w:cs="Times New Roman"/>
          <w:bCs/>
          <w:color w:val="000000"/>
          <w:szCs w:val="24"/>
          <w:lang w:eastAsia="en-US"/>
        </w:rPr>
        <w:t>mikroinstalacji</w:t>
      </w:r>
      <w:proofErr w:type="spellEnd"/>
      <w:r w:rsidRPr="00115E9D">
        <w:rPr>
          <w:rFonts w:eastAsia="Calibri" w:cs="Times New Roman"/>
          <w:bCs/>
          <w:color w:val="000000"/>
          <w:szCs w:val="24"/>
          <w:lang w:eastAsia="en-US"/>
        </w:rPr>
        <w:t xml:space="preserve"> po rynkowych cenach wtedy aktualizuje się obowiązek sprzedawcy zobowiązanego, który nie może odmówić świadczenia takich usług polegających na za</w:t>
      </w:r>
      <w:r w:rsidR="002F7DB6">
        <w:rPr>
          <w:rFonts w:eastAsia="Calibri" w:cs="Times New Roman"/>
          <w:bCs/>
          <w:color w:val="000000"/>
          <w:szCs w:val="24"/>
          <w:lang w:eastAsia="en-US"/>
        </w:rPr>
        <w:t>kupie po cenie wskazanej w art. </w:t>
      </w:r>
      <w:r w:rsidRPr="00115E9D">
        <w:rPr>
          <w:rFonts w:eastAsia="Calibri" w:cs="Times New Roman"/>
          <w:bCs/>
          <w:color w:val="000000"/>
          <w:szCs w:val="24"/>
          <w:lang w:eastAsia="en-US"/>
        </w:rPr>
        <w:t>41 ust. 8 ustawy OZE. Podobnie jak w przypadku instrumentu „opustów” wprowadzono również unormowania zakładające obowiązek zawarcia odpowiednich umów między operatorami systemów dystrybucyjnych, a wybranym przez wytwórcę sprzedawcą energii, które maja umożliwić dokonywanie zakupu nadwyżek energii elektrycznej na zasadach określonych w projektowanym art. 41 ust. 1b ustawy OZE.</w:t>
      </w:r>
    </w:p>
    <w:p w14:paraId="49634AC3" w14:textId="77777777" w:rsidR="00641FBF" w:rsidRPr="00115E9D" w:rsidRDefault="00641FBF" w:rsidP="002F7DB6">
      <w:pPr>
        <w:keepNext/>
        <w:keepLines/>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lastRenderedPageBreak/>
        <w:t xml:space="preserve">4. Doprecyzowanie zasad przyłączania do sieci elektroenergetycznej </w:t>
      </w:r>
      <w:proofErr w:type="spellStart"/>
      <w:r w:rsidRPr="00115E9D">
        <w:rPr>
          <w:rFonts w:eastAsia="Calibri" w:cs="Times New Roman"/>
          <w:bCs/>
          <w:color w:val="000000"/>
          <w:szCs w:val="24"/>
          <w:lang w:eastAsia="en-US"/>
        </w:rPr>
        <w:t>mikroinstalacji</w:t>
      </w:r>
      <w:proofErr w:type="spellEnd"/>
      <w:r w:rsidRPr="00115E9D">
        <w:rPr>
          <w:rFonts w:eastAsia="Calibri" w:cs="Times New Roman"/>
          <w:bCs/>
          <w:color w:val="000000"/>
          <w:szCs w:val="24"/>
          <w:lang w:eastAsia="en-US"/>
        </w:rPr>
        <w:t xml:space="preserve"> </w:t>
      </w:r>
    </w:p>
    <w:p w14:paraId="0137F8BB" w14:textId="77777777"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W zakresie zasad przyłączania do sieci elektroenergetycznej zaproponowano zmiany polegające na konieczności wprowadzenia zamkniętego katalogu elementów wchodzących w skład zgłoszenia, co ustandaryzuje praktyki stosowane w tym zakresie przez poszczególnych operatorów systemu dystrybucyjnego. Natomiast szczegółowe zasady przyłączania </w:t>
      </w:r>
      <w:proofErr w:type="spellStart"/>
      <w:r w:rsidRPr="00115E9D">
        <w:rPr>
          <w:rFonts w:eastAsia="Calibri" w:cs="Times New Roman"/>
          <w:bCs/>
          <w:color w:val="000000"/>
          <w:szCs w:val="24"/>
          <w:lang w:eastAsia="en-US"/>
        </w:rPr>
        <w:t>mikroinstalacji</w:t>
      </w:r>
      <w:proofErr w:type="spellEnd"/>
      <w:r w:rsidRPr="00115E9D">
        <w:rPr>
          <w:rFonts w:eastAsia="Calibri" w:cs="Times New Roman"/>
          <w:bCs/>
          <w:color w:val="000000"/>
          <w:szCs w:val="24"/>
          <w:lang w:eastAsia="en-US"/>
        </w:rPr>
        <w:t xml:space="preserve"> do sieci elektroenergetycznej będą określane w rozporządzeniu wydawanym przez ministra właściwego do spraw energii w porozumieniu z ministrem właściwym do spraw gospodarki. </w:t>
      </w:r>
    </w:p>
    <w:p w14:paraId="5B4DC1E6" w14:textId="77777777"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5. Zliberalizowanie zasad budowy małych instalacji oraz </w:t>
      </w:r>
      <w:proofErr w:type="spellStart"/>
      <w:r w:rsidRPr="00115E9D">
        <w:rPr>
          <w:rFonts w:eastAsia="Calibri" w:cs="Times New Roman"/>
          <w:bCs/>
          <w:color w:val="000000"/>
          <w:szCs w:val="24"/>
          <w:lang w:eastAsia="en-US"/>
        </w:rPr>
        <w:t>mikroinstalacji</w:t>
      </w:r>
      <w:proofErr w:type="spellEnd"/>
      <w:r w:rsidRPr="00115E9D">
        <w:rPr>
          <w:rFonts w:eastAsia="Calibri" w:cs="Times New Roman"/>
          <w:bCs/>
          <w:color w:val="000000"/>
          <w:szCs w:val="24"/>
          <w:lang w:eastAsia="en-US"/>
        </w:rPr>
        <w:t xml:space="preserve"> OZE</w:t>
      </w:r>
    </w:p>
    <w:p w14:paraId="51147596" w14:textId="4FBC1F19"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W zakresie zasad zagospodarowania przestrzennego doprecyzowano dotychczasową zasadę dotyczącą planu zagospodarowania przestrzennego, który umożliwiając lokalizację budynków powinien umożliwi</w:t>
      </w:r>
      <w:r w:rsidR="00B16496" w:rsidRPr="00115E9D">
        <w:rPr>
          <w:rFonts w:eastAsia="Calibri" w:cs="Times New Roman"/>
          <w:bCs/>
          <w:color w:val="000000"/>
          <w:szCs w:val="24"/>
          <w:lang w:eastAsia="en-US"/>
        </w:rPr>
        <w:t>ć</w:t>
      </w:r>
      <w:r w:rsidRPr="00115E9D">
        <w:rPr>
          <w:rFonts w:eastAsia="Calibri" w:cs="Times New Roman"/>
          <w:bCs/>
          <w:color w:val="000000"/>
          <w:szCs w:val="24"/>
          <w:lang w:eastAsia="en-US"/>
        </w:rPr>
        <w:t xml:space="preserve"> również lokalizowanie na nich </w:t>
      </w:r>
      <w:proofErr w:type="spellStart"/>
      <w:r w:rsidRPr="00115E9D">
        <w:rPr>
          <w:rFonts w:eastAsia="Calibri" w:cs="Times New Roman"/>
          <w:bCs/>
          <w:color w:val="000000"/>
          <w:szCs w:val="24"/>
          <w:lang w:eastAsia="en-US"/>
        </w:rPr>
        <w:t>mikroinstalacji</w:t>
      </w:r>
      <w:proofErr w:type="spellEnd"/>
      <w:r w:rsidRPr="00115E9D">
        <w:rPr>
          <w:rFonts w:eastAsia="Calibri" w:cs="Times New Roman"/>
          <w:bCs/>
          <w:color w:val="000000"/>
          <w:szCs w:val="24"/>
          <w:lang w:eastAsia="en-US"/>
        </w:rPr>
        <w:t xml:space="preserve"> wykorzystujących nie tylko technologię wiatrową, ale w szczególności fotowoltaiczną, którą najprościej zintegrować z budynkami mieszkalnymi.</w:t>
      </w:r>
    </w:p>
    <w:p w14:paraId="28392E02" w14:textId="6F797747" w:rsidR="00694BCC" w:rsidRPr="00115E9D" w:rsidRDefault="00641FBF" w:rsidP="00694BCC">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Ze względu na rozbieżności judykatury, interwencji ustawodawcy wymagała również kwestia kwalifikowania budowy urządzeń wytwarzających energię ze źródeł odnawialnych do kategorii urządzeń infrastruktury technicznej w rozumieniu art. 61 ust. 3 ustaw</w:t>
      </w:r>
      <w:r w:rsidR="00E70189">
        <w:rPr>
          <w:rFonts w:eastAsia="Calibri" w:cs="Times New Roman"/>
          <w:bCs/>
          <w:color w:val="000000"/>
          <w:szCs w:val="24"/>
          <w:lang w:eastAsia="en-US"/>
        </w:rPr>
        <w:t>y</w:t>
      </w:r>
      <w:r w:rsidR="002F7DB6">
        <w:rPr>
          <w:rFonts w:eastAsia="Calibri" w:cs="Times New Roman"/>
          <w:bCs/>
          <w:color w:val="000000"/>
          <w:szCs w:val="24"/>
          <w:lang w:eastAsia="en-US"/>
        </w:rPr>
        <w:t xml:space="preserve"> z dnia 27 </w:t>
      </w:r>
      <w:r w:rsidRPr="00115E9D">
        <w:rPr>
          <w:rFonts w:eastAsia="Calibri" w:cs="Times New Roman"/>
          <w:bCs/>
          <w:color w:val="000000"/>
          <w:szCs w:val="24"/>
          <w:lang w:eastAsia="en-US"/>
        </w:rPr>
        <w:t>marca 2003 r. o planowaniu i zagospodarowaniu przestrzennym. Unormowania te przesądzają lub nie o wymaganiu, przy ustalaniu warunków zabudowy dla tych urządzeń infrastruktury technicznej spełnienia zasady dobrego sąsiedztwa oraz warunku dostępu do drogi publicznej. Rozbieżność ta wynika z braku zdefiniowania pojęcia urządzenia infrastruktury technicznej, co powoduje konieczność odwołania się do przepisów innych ustaw i stosowania ich wykładni. Z jednej strony prezentowany jest pogląd, według którego urządzenia wytwarzające energię ze źródeł odnawialnych energii stanowią urządzenia infrastruktury technicznej, a tym samym nie wymaga się przy ustalaniu warunków zabudowy realizacji zasady dobrego sąsiedztwa (wyrok NSA z 2017-09-27 II OSK 158/16, wyrok NSA z 2017-06-21 II OSK 2637/15, wyrok NSA z 2012-11-13 II OSK 762/12). Natomiast stosownie do poglądu przeciwnego, urządzenia służące wytwarzaniu energii elektrycznej nie mogą być zakwalifikowane do urządzeń infrastruktury technicznej w rozumieniu art. 61 ust. 3 ustawy (wyrok NSA z 2015-05-29 II OSK 2657/13, wyrok WSA w Szczecinie z 2017-09-07 II SA/</w:t>
      </w:r>
      <w:proofErr w:type="spellStart"/>
      <w:r w:rsidRPr="00115E9D">
        <w:rPr>
          <w:rFonts w:eastAsia="Calibri" w:cs="Times New Roman"/>
          <w:bCs/>
          <w:color w:val="000000"/>
          <w:szCs w:val="24"/>
          <w:lang w:eastAsia="en-US"/>
        </w:rPr>
        <w:t>Sz</w:t>
      </w:r>
      <w:proofErr w:type="spellEnd"/>
      <w:r w:rsidRPr="00115E9D">
        <w:rPr>
          <w:rFonts w:eastAsia="Calibri" w:cs="Times New Roman"/>
          <w:bCs/>
          <w:color w:val="000000"/>
          <w:szCs w:val="24"/>
          <w:lang w:eastAsia="en-US"/>
        </w:rPr>
        <w:t xml:space="preserve"> 678/17, wyrok WSA w Olsztynie z 2017-06-27 II SA/Ol 381/17). </w:t>
      </w:r>
      <w:r w:rsidR="00694BCC" w:rsidRPr="00115E9D">
        <w:rPr>
          <w:rFonts w:eastAsia="Calibri" w:cs="Times New Roman"/>
          <w:bCs/>
          <w:color w:val="000000"/>
          <w:szCs w:val="24"/>
          <w:lang w:eastAsia="en-US"/>
        </w:rPr>
        <w:t xml:space="preserve">Istotą pojęcia „urządzenie </w:t>
      </w:r>
      <w:r w:rsidR="00694BCC" w:rsidRPr="00115E9D">
        <w:rPr>
          <w:rFonts w:eastAsia="Calibri" w:cs="Times New Roman"/>
          <w:bCs/>
          <w:color w:val="000000"/>
          <w:szCs w:val="24"/>
          <w:lang w:eastAsia="en-US"/>
        </w:rPr>
        <w:lastRenderedPageBreak/>
        <w:t>infrastruktury technicznej” jest to, że powstaje ono zawsze dla obsługi określonych jednostek przestrzenno-gospodarczych. Infrastruktura wspiera działalność produkcyjną, służy rozwojowi produkcji i konsumpcji, ale sama nie bierze bezpośredniego udziału w produkcji. Urządzenia te z założenia nie naruszają zastanej funkcji w zakresie zabudowy i zagospodarowania terenu. Natomiast obiekty wytwarzające energię z odnawialnych źródeł, w tym np. elektrownie słoneczne, z reguły wprowadzają nowy sposób zagospodarowania terenu. Ponadto należy podkreślić, że urządzenia wytwarzające energię ze źródeł odnawialnych służą działalności produkcyjnej, natomiast urządzenia infrastruktury technicznej s</w:t>
      </w:r>
      <w:r w:rsidR="00FF69ED">
        <w:rPr>
          <w:rFonts w:eastAsia="Calibri" w:cs="Times New Roman"/>
          <w:bCs/>
          <w:color w:val="000000"/>
          <w:szCs w:val="24"/>
          <w:lang w:eastAsia="en-US"/>
        </w:rPr>
        <w:t xml:space="preserve">ą urządzeniami do przesyłania. </w:t>
      </w:r>
      <w:r w:rsidR="00694BCC" w:rsidRPr="00115E9D">
        <w:rPr>
          <w:rFonts w:eastAsia="Calibri" w:cs="Times New Roman"/>
          <w:bCs/>
          <w:color w:val="000000"/>
          <w:szCs w:val="24"/>
          <w:lang w:eastAsia="en-US"/>
        </w:rPr>
        <w:t>W związku z rozbieżnością orzeczniczą,  z punktu widzenia potrzeb procesu inwestycyjnego w branży odnawialnych źródeł energii przeżywającej dynamiczny rozwój, zaproponowano rozszerzenie art. 61 ust. 3 ustawy o planowaniu i zagospodarowaniu przestrzennym o instalacje odnawialnego źródła energii. Przy ustalaniu warunków zabudowy dla tych instalacji nie będzie wymagane spełnienia zasady dobrego sąsiedztwa oraz warunku dostępu do drogi publicznej. Tym samym zapis potwierdza, że urządzenia wytwarzające energię z odnawialnych źródeł nie stanowią urządzeń infrastruktury technicznej.</w:t>
      </w:r>
    </w:p>
    <w:p w14:paraId="46DA4CE4" w14:textId="77777777"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6. Efekty i koszty wejścia w życie przepisów</w:t>
      </w:r>
    </w:p>
    <w:p w14:paraId="3FC4A84F" w14:textId="77777777"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Według aktualnych danych, na koniec I kw. 2019 r.,  przyłączonych zostało łącznie ok 65 tys. </w:t>
      </w:r>
      <w:proofErr w:type="spellStart"/>
      <w:r w:rsidRPr="00115E9D">
        <w:rPr>
          <w:rFonts w:eastAsia="Calibri" w:cs="Times New Roman"/>
          <w:bCs/>
          <w:color w:val="000000"/>
          <w:szCs w:val="24"/>
          <w:lang w:eastAsia="en-US"/>
        </w:rPr>
        <w:t>mikroinstalacji</w:t>
      </w:r>
      <w:proofErr w:type="spellEnd"/>
      <w:r w:rsidRPr="00115E9D">
        <w:rPr>
          <w:rFonts w:eastAsia="Calibri" w:cs="Times New Roman"/>
          <w:bCs/>
          <w:color w:val="000000"/>
          <w:szCs w:val="24"/>
          <w:lang w:eastAsia="en-US"/>
        </w:rPr>
        <w:t xml:space="preserve">, z czego w samym I kw. 2019 r. przyłączonych do sieci zostało ok. 11 tys. takich instalacji, co pokazuje trend w zakresie powstawania instalacji tego typu. </w:t>
      </w:r>
    </w:p>
    <w:p w14:paraId="7679C499" w14:textId="17D3F549"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Po wejściu w życie przepisów przewidzianych niniejszą ustawą, w tym w szczególności objęcie opustami przedsiębiorców, co polepszy ekonomikę inwestycji w </w:t>
      </w:r>
      <w:proofErr w:type="spellStart"/>
      <w:r w:rsidRPr="00115E9D">
        <w:rPr>
          <w:rFonts w:eastAsia="Calibri" w:cs="Times New Roman"/>
          <w:bCs/>
          <w:color w:val="000000"/>
          <w:szCs w:val="24"/>
          <w:lang w:eastAsia="en-US"/>
        </w:rPr>
        <w:t>mikroinstalac</w:t>
      </w:r>
      <w:r w:rsidR="002F7DB6">
        <w:rPr>
          <w:rFonts w:eastAsia="Calibri" w:cs="Times New Roman"/>
          <w:bCs/>
          <w:color w:val="000000"/>
          <w:szCs w:val="24"/>
          <w:lang w:eastAsia="en-US"/>
        </w:rPr>
        <w:t>je</w:t>
      </w:r>
      <w:proofErr w:type="spellEnd"/>
      <w:r w:rsidR="002F7DB6">
        <w:rPr>
          <w:rFonts w:eastAsia="Calibri" w:cs="Times New Roman"/>
          <w:bCs/>
          <w:color w:val="000000"/>
          <w:szCs w:val="24"/>
          <w:lang w:eastAsia="en-US"/>
        </w:rPr>
        <w:t xml:space="preserve"> OZE, </w:t>
      </w:r>
      <w:r w:rsidRPr="00115E9D">
        <w:rPr>
          <w:rFonts w:eastAsia="Calibri" w:cs="Times New Roman"/>
          <w:bCs/>
          <w:color w:val="000000"/>
          <w:szCs w:val="24"/>
          <w:lang w:eastAsia="en-US"/>
        </w:rPr>
        <w:t xml:space="preserve">prognozuje się, że w 2019 r., z uwagi na termin wejścia w życie przepisów, przyłączonych zostanie ok. 3000 </w:t>
      </w:r>
      <w:proofErr w:type="spellStart"/>
      <w:r w:rsidRPr="00115E9D">
        <w:rPr>
          <w:rFonts w:eastAsia="Calibri" w:cs="Times New Roman"/>
          <w:bCs/>
          <w:color w:val="000000"/>
          <w:szCs w:val="24"/>
          <w:lang w:eastAsia="en-US"/>
        </w:rPr>
        <w:t>mikroinstalacji</w:t>
      </w:r>
      <w:proofErr w:type="spellEnd"/>
      <w:r w:rsidRPr="00115E9D">
        <w:rPr>
          <w:rFonts w:eastAsia="Calibri" w:cs="Times New Roman"/>
          <w:bCs/>
          <w:color w:val="000000"/>
          <w:szCs w:val="24"/>
          <w:lang w:eastAsia="en-US"/>
        </w:rPr>
        <w:t xml:space="preserve"> o łącznej mocy 50</w:t>
      </w:r>
      <w:r w:rsidR="002F7DB6">
        <w:rPr>
          <w:rFonts w:eastAsia="Calibri" w:cs="Times New Roman"/>
          <w:bCs/>
          <w:color w:val="000000"/>
          <w:szCs w:val="24"/>
          <w:lang w:eastAsia="en-US"/>
        </w:rPr>
        <w:t>–</w:t>
      </w:r>
      <w:r w:rsidRPr="00115E9D">
        <w:rPr>
          <w:rFonts w:eastAsia="Calibri" w:cs="Times New Roman"/>
          <w:bCs/>
          <w:color w:val="000000"/>
          <w:szCs w:val="24"/>
          <w:lang w:eastAsia="en-US"/>
        </w:rPr>
        <w:t xml:space="preserve">100 MW. </w:t>
      </w:r>
    </w:p>
    <w:p w14:paraId="387822FC" w14:textId="77777777"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 xml:space="preserve">W kolejnych latach szacuje się, że rocznie powstawać będzie ok. 10 000 nowych </w:t>
      </w:r>
      <w:proofErr w:type="spellStart"/>
      <w:r w:rsidRPr="00115E9D">
        <w:rPr>
          <w:rFonts w:eastAsia="Calibri" w:cs="Times New Roman"/>
          <w:bCs/>
          <w:color w:val="000000"/>
          <w:szCs w:val="24"/>
          <w:lang w:eastAsia="en-US"/>
        </w:rPr>
        <w:t>mikroinstalacji</w:t>
      </w:r>
      <w:proofErr w:type="spellEnd"/>
      <w:r w:rsidRPr="00115E9D">
        <w:rPr>
          <w:rFonts w:eastAsia="Calibri" w:cs="Times New Roman"/>
          <w:bCs/>
          <w:color w:val="000000"/>
          <w:szCs w:val="24"/>
          <w:lang w:eastAsia="en-US"/>
        </w:rPr>
        <w:t xml:space="preserve">, a łączna moc przyłączonych </w:t>
      </w:r>
      <w:proofErr w:type="spellStart"/>
      <w:r w:rsidRPr="00115E9D">
        <w:rPr>
          <w:rFonts w:eastAsia="Calibri" w:cs="Times New Roman"/>
          <w:bCs/>
          <w:color w:val="000000"/>
          <w:szCs w:val="24"/>
          <w:lang w:eastAsia="en-US"/>
        </w:rPr>
        <w:t>mikroinstalacji</w:t>
      </w:r>
      <w:proofErr w:type="spellEnd"/>
      <w:r w:rsidRPr="00115E9D">
        <w:rPr>
          <w:rFonts w:eastAsia="Calibri" w:cs="Times New Roman"/>
          <w:bCs/>
          <w:color w:val="000000"/>
          <w:szCs w:val="24"/>
          <w:lang w:eastAsia="en-US"/>
        </w:rPr>
        <w:t xml:space="preserve"> może wynieść ok. 250 MW.</w:t>
      </w:r>
    </w:p>
    <w:p w14:paraId="73E2EBB2" w14:textId="5568A3F6" w:rsidR="00641FBF" w:rsidRPr="00115E9D" w:rsidRDefault="00641FBF" w:rsidP="00641FBF">
      <w:pPr>
        <w:widowControl/>
        <w:autoSpaceDE/>
        <w:autoSpaceDN/>
        <w:adjustRightInd/>
        <w:spacing w:before="240"/>
        <w:jc w:val="both"/>
        <w:rPr>
          <w:rFonts w:eastAsia="Calibri" w:cs="Times New Roman"/>
          <w:bCs/>
          <w:color w:val="000000"/>
          <w:szCs w:val="24"/>
          <w:lang w:eastAsia="en-US"/>
        </w:rPr>
      </w:pPr>
      <w:r w:rsidRPr="00115E9D">
        <w:rPr>
          <w:rFonts w:eastAsia="Calibri" w:cs="Times New Roman"/>
          <w:bCs/>
          <w:color w:val="000000"/>
          <w:szCs w:val="24"/>
          <w:lang w:eastAsia="en-US"/>
        </w:rPr>
        <w:t>W proponowanych rozwiązaniach stawki w systemie op</w:t>
      </w:r>
      <w:r w:rsidR="002F7DB6">
        <w:rPr>
          <w:rFonts w:eastAsia="Calibri" w:cs="Times New Roman"/>
          <w:bCs/>
          <w:color w:val="000000"/>
          <w:szCs w:val="24"/>
          <w:lang w:eastAsia="en-US"/>
        </w:rPr>
        <w:t xml:space="preserve">ustów pozostają niezmienione w </w:t>
      </w:r>
      <w:r w:rsidRPr="00115E9D">
        <w:rPr>
          <w:rFonts w:eastAsia="Calibri" w:cs="Times New Roman"/>
          <w:bCs/>
          <w:color w:val="000000"/>
          <w:szCs w:val="24"/>
          <w:lang w:eastAsia="en-US"/>
        </w:rPr>
        <w:t>konsekwencji system opustów jest neutralny z punktu widzenia pomocy publicznej. Podobnie w zakresie sprzedaży energii elektrycznej, ponieważ cena kształtowana jest rynkowo, zatem mechanizm sprzedaży pozostaję także neutralny.</w:t>
      </w:r>
    </w:p>
    <w:p w14:paraId="6378F6CF" w14:textId="73E1C388" w:rsidR="00641FBF" w:rsidRPr="00115E9D" w:rsidRDefault="00641FBF" w:rsidP="00641FBF">
      <w:pPr>
        <w:widowControl/>
        <w:autoSpaceDE/>
        <w:autoSpaceDN/>
        <w:adjustRightInd/>
        <w:spacing w:before="240"/>
        <w:jc w:val="both"/>
        <w:rPr>
          <w:rFonts w:eastAsia="Arial Unicode MS" w:cs="Times New Roman"/>
          <w:bCs/>
          <w:szCs w:val="22"/>
        </w:rPr>
      </w:pPr>
      <w:r w:rsidRPr="00115E9D">
        <w:rPr>
          <w:rFonts w:eastAsia="Calibri" w:cs="Times New Roman"/>
          <w:bCs/>
          <w:color w:val="000000"/>
          <w:szCs w:val="24"/>
          <w:lang w:eastAsia="en-US"/>
        </w:rPr>
        <w:lastRenderedPageBreak/>
        <w:t xml:space="preserve">Należy również wyjaśnić, iż dla </w:t>
      </w:r>
      <w:r w:rsidRPr="00115E9D">
        <w:rPr>
          <w:rFonts w:eastAsia="Arial Unicode MS" w:cs="Times New Roman"/>
          <w:bCs/>
          <w:szCs w:val="22"/>
        </w:rPr>
        <w:t>istniejących system</w:t>
      </w:r>
      <w:r w:rsidR="00E70189">
        <w:rPr>
          <w:rFonts w:eastAsia="Arial Unicode MS" w:cs="Times New Roman"/>
          <w:bCs/>
          <w:szCs w:val="22"/>
        </w:rPr>
        <w:t>ów</w:t>
      </w:r>
      <w:r w:rsidRPr="00115E9D">
        <w:rPr>
          <w:rFonts w:eastAsia="Arial Unicode MS" w:cs="Times New Roman"/>
          <w:bCs/>
          <w:szCs w:val="22"/>
        </w:rPr>
        <w:t xml:space="preserve"> wsparcia, oprócz systemu świadectw pochodzenia, przedłużono  do dnia 31 grudnia 2039 r. maksymalny termin, w jakim możliwe będzie, przez okres 15 lat, uzyskiwanie przez wytwórców wsparcia na podstawie ustawy OZE. Taki krąg adresatów ww. zmiany umożliwi zachować ciągłość uzyskiwanego systemu wparcia przez pełny okres 15 lat, niezależnie od daty „wejścia” do tych systemów. System świadectw pochodzenia został zamknięty z dniem 1 lipca 2016 r., stąd aktualna data 31 grudnia 2035 r. jest wystarczająca i nie wymaga interwencji ustawowej.</w:t>
      </w:r>
    </w:p>
    <w:p w14:paraId="57AC4F67" w14:textId="7819C5FB" w:rsidR="00653635" w:rsidRPr="00115E9D" w:rsidRDefault="00653635" w:rsidP="00653635">
      <w:pPr>
        <w:widowControl/>
        <w:autoSpaceDE/>
        <w:autoSpaceDN/>
        <w:adjustRightInd/>
        <w:spacing w:before="240"/>
        <w:jc w:val="both"/>
        <w:rPr>
          <w:rFonts w:eastAsia="Arial Unicode MS" w:cs="Times New Roman"/>
          <w:bCs/>
          <w:szCs w:val="22"/>
        </w:rPr>
      </w:pPr>
      <w:r w:rsidRPr="00115E9D">
        <w:rPr>
          <w:rFonts w:eastAsia="Calibri" w:cs="Times New Roman"/>
          <w:bCs/>
          <w:color w:val="000000"/>
          <w:szCs w:val="24"/>
          <w:lang w:eastAsia="en-US"/>
        </w:rPr>
        <w:t>7. Definicja</w:t>
      </w:r>
      <w:r w:rsidRPr="00115E9D">
        <w:rPr>
          <w:rFonts w:eastAsia="Arial Unicode MS" w:cs="Times New Roman"/>
          <w:bCs/>
          <w:szCs w:val="22"/>
        </w:rPr>
        <w:t xml:space="preserve"> spółdzielni energetycznej</w:t>
      </w:r>
    </w:p>
    <w:p w14:paraId="5D5B8A7A" w14:textId="17130D1F" w:rsidR="00D76DE2" w:rsidRPr="00115E9D" w:rsidRDefault="00D76DE2" w:rsidP="00653635">
      <w:pPr>
        <w:widowControl/>
        <w:autoSpaceDE/>
        <w:autoSpaceDN/>
        <w:adjustRightInd/>
        <w:spacing w:before="240"/>
        <w:jc w:val="both"/>
        <w:rPr>
          <w:rFonts w:eastAsia="Arial Unicode MS" w:cs="Times New Roman"/>
          <w:bCs/>
          <w:szCs w:val="22"/>
        </w:rPr>
      </w:pPr>
      <w:r w:rsidRPr="00115E9D">
        <w:rPr>
          <w:rFonts w:eastAsia="Calibri" w:cs="Times New Roman"/>
          <w:bCs/>
          <w:color w:val="000000"/>
          <w:szCs w:val="24"/>
          <w:lang w:eastAsia="en-US"/>
        </w:rPr>
        <w:t xml:space="preserve">Zmiany w zakresie </w:t>
      </w:r>
      <w:r w:rsidRPr="00115E9D">
        <w:rPr>
          <w:rFonts w:eastAsia="Arial Unicode MS" w:cs="Times New Roman"/>
          <w:bCs/>
          <w:szCs w:val="22"/>
        </w:rPr>
        <w:t>spółdzielni energetycznej</w:t>
      </w:r>
      <w:r w:rsidRPr="00115E9D">
        <w:rPr>
          <w:rFonts w:eastAsia="Calibri" w:cs="Times New Roman"/>
          <w:bCs/>
          <w:color w:val="000000"/>
          <w:szCs w:val="24"/>
          <w:lang w:eastAsia="en-US"/>
        </w:rPr>
        <w:t xml:space="preserve"> są również wynikiem prac Międzyresortowego Zespołu do spraw Ułatwienia Inwestycji w </w:t>
      </w:r>
      <w:proofErr w:type="spellStart"/>
      <w:r w:rsidRPr="00115E9D">
        <w:rPr>
          <w:rFonts w:eastAsia="Calibri" w:cs="Times New Roman"/>
          <w:bCs/>
          <w:color w:val="000000"/>
          <w:szCs w:val="24"/>
          <w:lang w:eastAsia="en-US"/>
        </w:rPr>
        <w:t>Prosumenckie</w:t>
      </w:r>
      <w:proofErr w:type="spellEnd"/>
      <w:r w:rsidRPr="00115E9D">
        <w:rPr>
          <w:rFonts w:eastAsia="Calibri" w:cs="Times New Roman"/>
          <w:bCs/>
          <w:color w:val="000000"/>
          <w:szCs w:val="24"/>
          <w:lang w:eastAsia="en-US"/>
        </w:rPr>
        <w:t xml:space="preserve"> Instalacje Odnawialnych Źródeł Energii.</w:t>
      </w:r>
    </w:p>
    <w:p w14:paraId="086F09AC" w14:textId="6500737E" w:rsidR="00653635" w:rsidRPr="00115E9D" w:rsidRDefault="00653635" w:rsidP="00653635">
      <w:pPr>
        <w:widowControl/>
        <w:autoSpaceDE/>
        <w:autoSpaceDN/>
        <w:adjustRightInd/>
        <w:spacing w:before="240"/>
        <w:jc w:val="both"/>
        <w:rPr>
          <w:rFonts w:eastAsia="Arial Unicode MS" w:cs="Times New Roman"/>
          <w:bCs/>
          <w:szCs w:val="22"/>
        </w:rPr>
      </w:pPr>
      <w:r w:rsidRPr="00115E9D">
        <w:rPr>
          <w:rFonts w:eastAsia="Arial Unicode MS" w:cs="Times New Roman"/>
          <w:bCs/>
          <w:szCs w:val="22"/>
        </w:rPr>
        <w:t>Dostrzegając konieczność rozwoju spółdzielni energetycznych w ramach przedstawionego projektu zmian art. 2 ustawy OZE dokonuje się ujednolicenia siatki pojęciowej wskazującej jakie podmioty mogą być traktowane jako spółdzielnie energetyczne  i członkowie tych spółdzielni.</w:t>
      </w:r>
    </w:p>
    <w:p w14:paraId="7FAF611F" w14:textId="590128B0" w:rsidR="00653635" w:rsidRPr="00115E9D" w:rsidRDefault="00653635" w:rsidP="00653635">
      <w:pPr>
        <w:widowControl/>
        <w:autoSpaceDE/>
        <w:autoSpaceDN/>
        <w:adjustRightInd/>
        <w:spacing w:before="240"/>
        <w:jc w:val="both"/>
        <w:rPr>
          <w:rFonts w:eastAsia="Arial Unicode MS" w:cs="Times New Roman"/>
          <w:bCs/>
          <w:szCs w:val="22"/>
        </w:rPr>
      </w:pPr>
      <w:r w:rsidRPr="00115E9D">
        <w:rPr>
          <w:rFonts w:eastAsia="Arial Unicode MS" w:cs="Times New Roman"/>
          <w:bCs/>
          <w:szCs w:val="22"/>
        </w:rPr>
        <w:t>8. Zasady stosowania tzw. instrumentu „opustów” wobec spółdzielni energetycznych</w:t>
      </w:r>
    </w:p>
    <w:p w14:paraId="062DCD30" w14:textId="67EE096C" w:rsidR="00653635" w:rsidRPr="00115E9D" w:rsidRDefault="00653635" w:rsidP="00653635">
      <w:pPr>
        <w:widowControl/>
        <w:autoSpaceDE/>
        <w:autoSpaceDN/>
        <w:adjustRightInd/>
        <w:spacing w:before="240"/>
        <w:jc w:val="both"/>
        <w:rPr>
          <w:rFonts w:eastAsia="Arial Unicode MS" w:cs="Times New Roman"/>
          <w:bCs/>
          <w:szCs w:val="22"/>
        </w:rPr>
      </w:pPr>
      <w:r w:rsidRPr="00115E9D">
        <w:rPr>
          <w:rFonts w:eastAsia="Arial Unicode MS" w:cs="Times New Roman"/>
          <w:bCs/>
          <w:szCs w:val="22"/>
        </w:rPr>
        <w:t>Projekt ustawy zakłada rozszerzenie realizacji podstawowego instrumentu wsparcia dedykowanego dotychczas tylko dla prosumentów energii odnawialnej.</w:t>
      </w:r>
    </w:p>
    <w:p w14:paraId="262565B5" w14:textId="6C6D829E" w:rsidR="00653635" w:rsidRPr="00115E9D" w:rsidRDefault="00653635" w:rsidP="00653635">
      <w:pPr>
        <w:widowControl/>
        <w:autoSpaceDE/>
        <w:autoSpaceDN/>
        <w:adjustRightInd/>
        <w:spacing w:before="240"/>
        <w:jc w:val="both"/>
        <w:rPr>
          <w:rFonts w:eastAsia="Arial Unicode MS" w:cs="Times New Roman"/>
          <w:bCs/>
          <w:szCs w:val="22"/>
        </w:rPr>
      </w:pPr>
      <w:r w:rsidRPr="00115E9D">
        <w:rPr>
          <w:rFonts w:eastAsia="Arial Unicode MS" w:cs="Times New Roman"/>
          <w:bCs/>
          <w:szCs w:val="22"/>
        </w:rPr>
        <w:t xml:space="preserve">Przede wszystkim z instrumentu „opustów” będą mogły korzystać również spółdzielnie energetyczne,  które będą wytwarzać energię elektryczną w celu jej zużycia na własne potrzeby z możliwością częściowego „zmagazynowania” wprowadzonych nadwyżek energii elektrycznej poprzez dokonanie odpowiedniego rozliczenia przez sprzedawcę energii. W tym kontekście rozliczenie ilości energii elektrycznej wprowadzonej do sieci elektroenergetycznej wobec ilości energii elektrycznej pobranej z tej sieci w celu jej zużycia na potrzeby własne przez spółdzielnię energetyczną następować będzie w stosunku ilościowym 1 do 0,6. Pozostająca w dyspozycji sprzedawcy energii nadwyżka ma na celu pokrycie kosztów związanych z dokonywaniem rozliczeń w tym w szczególności koszty dystrybucji energii elektrycznej przerzuconych na tych sprzedawców. </w:t>
      </w:r>
    </w:p>
    <w:p w14:paraId="03BB9E3C" w14:textId="511CD80B" w:rsidR="00653635" w:rsidRPr="00115E9D" w:rsidRDefault="00653635" w:rsidP="00653635">
      <w:pPr>
        <w:widowControl/>
        <w:autoSpaceDE/>
        <w:autoSpaceDN/>
        <w:adjustRightInd/>
        <w:spacing w:before="240"/>
        <w:jc w:val="both"/>
        <w:rPr>
          <w:rFonts w:eastAsia="Arial Unicode MS" w:cs="Times New Roman"/>
          <w:bCs/>
          <w:szCs w:val="22"/>
        </w:rPr>
      </w:pPr>
      <w:r w:rsidRPr="00115E9D">
        <w:rPr>
          <w:rFonts w:eastAsia="Arial Unicode MS" w:cs="Times New Roman"/>
          <w:bCs/>
          <w:szCs w:val="22"/>
        </w:rPr>
        <w:lastRenderedPageBreak/>
        <w:t>Dla zintensyfikowania unormowań zachęcających do wytwarzania energii elektrycznej przez spółdzielnie energetyczne unormowano, że zgromadzono przez daną spółdzielnię nadwyżka z danego okresu rozliczeniowego przechodzi na kolejne okresy rozliczeniowe,</w:t>
      </w:r>
      <w:r w:rsidRPr="00115E9D">
        <w:rPr>
          <w:rFonts w:eastAsia="Times New Roman" w:cs="Times New Roman"/>
          <w:sz w:val="22"/>
          <w:szCs w:val="22"/>
        </w:rPr>
        <w:t xml:space="preserve"> </w:t>
      </w:r>
      <w:r w:rsidRPr="00115E9D">
        <w:rPr>
          <w:rFonts w:eastAsia="Arial Unicode MS" w:cs="Times New Roman"/>
          <w:bCs/>
          <w:szCs w:val="22"/>
        </w:rPr>
        <w:t>jednak nie dłużej niż na kolejne 12 miesięcy od daty wprowadzenia tej energii do sieci.</w:t>
      </w:r>
    </w:p>
    <w:p w14:paraId="4FB2103B" w14:textId="5BCE4664" w:rsidR="00653635" w:rsidRPr="00115E9D" w:rsidRDefault="00653635" w:rsidP="00653635">
      <w:pPr>
        <w:widowControl/>
        <w:autoSpaceDE/>
        <w:autoSpaceDN/>
        <w:adjustRightInd/>
        <w:spacing w:before="240"/>
        <w:jc w:val="both"/>
        <w:rPr>
          <w:rFonts w:eastAsia="Arial Unicode MS" w:cs="Times New Roman"/>
          <w:bCs/>
          <w:szCs w:val="22"/>
        </w:rPr>
      </w:pPr>
      <w:r w:rsidRPr="00115E9D">
        <w:rPr>
          <w:rFonts w:eastAsia="Arial Unicode MS" w:cs="Times New Roman"/>
          <w:bCs/>
          <w:szCs w:val="22"/>
        </w:rPr>
        <w:t>W projekcie ustawy pozostawiono obowiązek stosowania umów kompleksowych przez sprzedawców dokonujących „opustu”, celem ułatwienia dokonywania wzajemnych rozliczeń.</w:t>
      </w:r>
    </w:p>
    <w:p w14:paraId="32A159D0" w14:textId="77777777" w:rsidR="00641FBF" w:rsidRPr="00115E9D" w:rsidRDefault="00641FBF" w:rsidP="00641FBF">
      <w:pPr>
        <w:widowControl/>
        <w:suppressAutoHyphens/>
        <w:spacing w:before="240"/>
        <w:jc w:val="both"/>
        <w:rPr>
          <w:rFonts w:eastAsia="Times New Roman" w:cs="Times New Roman"/>
          <w:b/>
          <w:color w:val="000000"/>
          <w:szCs w:val="24"/>
        </w:rPr>
      </w:pPr>
      <w:r w:rsidRPr="00115E9D">
        <w:rPr>
          <w:rFonts w:eastAsia="Times New Roman" w:cs="Times New Roman"/>
          <w:b/>
          <w:color w:val="000000"/>
          <w:szCs w:val="24"/>
        </w:rPr>
        <w:t>Art. 2</w:t>
      </w:r>
    </w:p>
    <w:p w14:paraId="72FF48A4" w14:textId="77777777" w:rsidR="00641FBF" w:rsidRPr="00115E9D" w:rsidRDefault="00641FBF" w:rsidP="00641FBF">
      <w:pPr>
        <w:widowControl/>
        <w:autoSpaceDE/>
        <w:autoSpaceDN/>
        <w:adjustRightInd/>
        <w:spacing w:before="240"/>
        <w:jc w:val="both"/>
        <w:textAlignment w:val="baseline"/>
        <w:rPr>
          <w:rFonts w:eastAsia="Times New Roman" w:cs="Times New Roman"/>
          <w:color w:val="000000"/>
          <w:szCs w:val="24"/>
        </w:rPr>
      </w:pPr>
      <w:r w:rsidRPr="00115E9D">
        <w:rPr>
          <w:rFonts w:eastAsia="Times New Roman" w:cs="Times New Roman"/>
          <w:color w:val="000000"/>
          <w:szCs w:val="24"/>
        </w:rPr>
        <w:t xml:space="preserve">Zmiana proponowana w art. 2 pkt 1 projektu, dotyczy zmiany brzmienia art. 5 ust. 2a ustawy – Prawo budowlane i rozszerza przedmiot zalecenia dotyczącego budynków użytkowanych przez jednostki sektora finansowego o stosowanie urządzeń </w:t>
      </w:r>
      <w:r w:rsidRPr="00115E9D">
        <w:rPr>
          <w:rFonts w:eastAsia="Times New Roman" w:cs="Times New Roman"/>
          <w:szCs w:val="22"/>
        </w:rPr>
        <w:t>umożliwiających wytwarzanie energii z odnawialnych źródeł energii. W zakresie</w:t>
      </w:r>
      <w:r w:rsidRPr="00115E9D">
        <w:rPr>
          <w:rFonts w:eastAsia="Times New Roman" w:cs="Times New Roman"/>
          <w:color w:val="000000"/>
          <w:szCs w:val="24"/>
        </w:rPr>
        <w:t xml:space="preserve"> przepisu art. 29 ust. 2 pkt 16 ustawy – Prawo budowlane, proponowana korekta została uzgodniona z Ministerstwem Spraw Wewnętrznych i Administracji i sprowadza się do doprecyzowania, że obowiązek uzgadniania projektu budowlanego pod kątem przepisów przeciwpożarowych oraz zawiadomienia organów Państwowej Straży Pożarnej dotyczy instalacji fotowoltaicznych (PV) o mocy zainstalowanej elektrycznej większej niż 6,5 </w:t>
      </w:r>
      <w:proofErr w:type="spellStart"/>
      <w:r w:rsidRPr="00115E9D">
        <w:rPr>
          <w:rFonts w:eastAsia="Times New Roman" w:cs="Times New Roman"/>
          <w:color w:val="000000"/>
          <w:szCs w:val="24"/>
        </w:rPr>
        <w:t>kW.</w:t>
      </w:r>
      <w:proofErr w:type="spellEnd"/>
    </w:p>
    <w:p w14:paraId="4692B1BD" w14:textId="77777777" w:rsidR="00641FBF" w:rsidRPr="00115E9D" w:rsidRDefault="00641FBF" w:rsidP="00641FBF">
      <w:pPr>
        <w:widowControl/>
        <w:autoSpaceDE/>
        <w:autoSpaceDN/>
        <w:adjustRightInd/>
        <w:spacing w:before="240"/>
        <w:jc w:val="both"/>
        <w:textAlignment w:val="baseline"/>
        <w:rPr>
          <w:rFonts w:eastAsia="Times New Roman" w:cs="Times New Roman"/>
          <w:color w:val="000000"/>
          <w:szCs w:val="24"/>
        </w:rPr>
      </w:pPr>
      <w:r w:rsidRPr="00115E9D">
        <w:rPr>
          <w:rFonts w:eastAsia="Times New Roman" w:cs="Times New Roman"/>
          <w:color w:val="000000"/>
          <w:szCs w:val="24"/>
        </w:rPr>
        <w:t xml:space="preserve">Jednocześnie trzeba zaznaczyć, iż instalacje PV same w sobie nie przyczyniają się do zwiększenia ryzyka pożaru, a mogą jedynie stanowić przeszkodę w jego efektywnym gaszeniu. Z danych uzyskanych z Polskiego Stowarzyszenie Energetyki Słonecznej opracowanych przez TÜV </w:t>
      </w:r>
      <w:proofErr w:type="spellStart"/>
      <w:r w:rsidRPr="00115E9D">
        <w:rPr>
          <w:rFonts w:eastAsia="Times New Roman" w:cs="Times New Roman"/>
          <w:color w:val="000000"/>
          <w:szCs w:val="24"/>
        </w:rPr>
        <w:t>Rheinland</w:t>
      </w:r>
      <w:proofErr w:type="spellEnd"/>
      <w:r w:rsidRPr="00115E9D">
        <w:rPr>
          <w:rFonts w:eastAsia="Times New Roman" w:cs="Times New Roman"/>
          <w:color w:val="000000"/>
          <w:szCs w:val="24"/>
        </w:rPr>
        <w:t xml:space="preserve"> we współpracy z instytutem Systemów Energetyki Słonecznej im. Fraunhofera, wynika, iż instalacja PV była powodem pożaru jedynie w 0,016% ogółu instalacji PV w Niemczech (badania prowadzone w 2015 r, na grupie 1,3 milionów instalacji PV).</w:t>
      </w:r>
    </w:p>
    <w:p w14:paraId="04B98ABD" w14:textId="45EC66B3" w:rsidR="00641FBF" w:rsidRPr="00115E9D" w:rsidRDefault="00641FBF" w:rsidP="00641FBF">
      <w:pPr>
        <w:widowControl/>
        <w:autoSpaceDE/>
        <w:autoSpaceDN/>
        <w:adjustRightInd/>
        <w:spacing w:before="240"/>
        <w:jc w:val="both"/>
        <w:textAlignment w:val="baseline"/>
        <w:rPr>
          <w:rFonts w:eastAsia="Times New Roman" w:cs="Times New Roman"/>
          <w:color w:val="000000"/>
          <w:szCs w:val="24"/>
        </w:rPr>
      </w:pPr>
      <w:r w:rsidRPr="00115E9D">
        <w:rPr>
          <w:rFonts w:eastAsia="Times New Roman" w:cs="Times New Roman"/>
          <w:color w:val="000000"/>
          <w:szCs w:val="24"/>
        </w:rPr>
        <w:t xml:space="preserve">Z drugiej strony należy stwierdzić, iż rozwiązania w innych krajach, w tym w Niemczech </w:t>
      </w:r>
      <w:r w:rsidR="00FF69ED">
        <w:rPr>
          <w:rFonts w:eastAsia="Times New Roman" w:cs="Times New Roman"/>
          <w:color w:val="000000"/>
          <w:szCs w:val="24"/>
        </w:rPr>
        <w:t>–</w:t>
      </w:r>
      <w:r w:rsidRPr="00115E9D">
        <w:rPr>
          <w:rFonts w:eastAsia="Times New Roman" w:cs="Times New Roman"/>
          <w:color w:val="000000"/>
          <w:szCs w:val="24"/>
        </w:rPr>
        <w:t xml:space="preserve"> jednym z największych rynków fotowoltaicznych i </w:t>
      </w:r>
      <w:proofErr w:type="spellStart"/>
      <w:r w:rsidRPr="00115E9D">
        <w:rPr>
          <w:rFonts w:eastAsia="Times New Roman" w:cs="Times New Roman"/>
          <w:color w:val="000000"/>
          <w:szCs w:val="24"/>
        </w:rPr>
        <w:t>prosumenckich</w:t>
      </w:r>
      <w:proofErr w:type="spellEnd"/>
      <w:r w:rsidRPr="00115E9D">
        <w:rPr>
          <w:rFonts w:eastAsia="Times New Roman" w:cs="Times New Roman"/>
          <w:color w:val="000000"/>
          <w:szCs w:val="24"/>
        </w:rPr>
        <w:t xml:space="preserve"> na świecie </w:t>
      </w:r>
      <w:r w:rsidR="00FF69ED">
        <w:rPr>
          <w:rFonts w:eastAsia="Times New Roman" w:cs="Times New Roman"/>
          <w:color w:val="000000"/>
          <w:szCs w:val="24"/>
        </w:rPr>
        <w:t>–</w:t>
      </w:r>
      <w:bookmarkStart w:id="0" w:name="_GoBack"/>
      <w:bookmarkEnd w:id="0"/>
      <w:r w:rsidRPr="00115E9D">
        <w:rPr>
          <w:rFonts w:eastAsia="Times New Roman" w:cs="Times New Roman"/>
          <w:color w:val="000000"/>
          <w:szCs w:val="24"/>
        </w:rPr>
        <w:t xml:space="preserve"> kwestia zapewnienia bezpieczeństwa przeciwpożarowego (w tym bezpieczeństwa strażaków) oparta jest na zasadzie ograniczonego zaufania. W jednym z badań branżowych (Fraunhofer ISE 2017) przeprowadzonym na terenie tego kraju stwierdzono, że systemy fotowoltaiczne nie stanowią szczególnego zagrożenia dla strażaków, o ile strażacy przestrzegają zasad bezpieczeństwa. Systemy PV mogą być obsługiwane w taki sam sposób jak inne urządzenia pod napięciem. Zgodnie z wynikami prac badawczych przeprowadzonych przez BRE </w:t>
      </w:r>
      <w:proofErr w:type="spellStart"/>
      <w:r w:rsidRPr="00115E9D">
        <w:rPr>
          <w:rFonts w:eastAsia="Times New Roman" w:cs="Times New Roman"/>
          <w:color w:val="000000"/>
          <w:szCs w:val="24"/>
        </w:rPr>
        <w:t>Nationa</w:t>
      </w:r>
      <w:r w:rsidR="007750B1">
        <w:rPr>
          <w:rFonts w:eastAsia="Times New Roman" w:cs="Times New Roman"/>
          <w:color w:val="000000"/>
          <w:szCs w:val="24"/>
        </w:rPr>
        <w:t>l</w:t>
      </w:r>
      <w:proofErr w:type="spellEnd"/>
      <w:r w:rsidRPr="00115E9D">
        <w:rPr>
          <w:rFonts w:eastAsia="Times New Roman" w:cs="Times New Roman"/>
          <w:color w:val="000000"/>
          <w:szCs w:val="24"/>
        </w:rPr>
        <w:t xml:space="preserve"> </w:t>
      </w:r>
      <w:r w:rsidRPr="00115E9D">
        <w:rPr>
          <w:rFonts w:eastAsia="Times New Roman" w:cs="Times New Roman"/>
          <w:color w:val="000000"/>
          <w:szCs w:val="24"/>
        </w:rPr>
        <w:lastRenderedPageBreak/>
        <w:t xml:space="preserve">Solar Center (BRE 2017b), wyłączniki systemów PV w obwodzie DC są nadal postrzegane jako niesprawdzona technologia. Instalacja takich urządzeń może zapewnić strażakom fałszywe poczucie bezpieczeństwa, co może prowadzić do wypadków, urazów lub pogorszenia, ponieważ uszkodzony układ fotowoltaiczny może nadal być zasilany energią. Zalecenia dla niemieckich strażaków i służb ratowniczych w przypadku incydentu, który może spowodować ryzyko kontaktu z elektrycznymi instalacjami pod napięciem, mają również zastosowanie do systemów PV. Niemiecka norma VDE 0132:2008 „Gaszenie pożarów w instalacjach elektrycznych lub w ich pobliżu", określa odległości bezpieczeństwa dla służb ratowniczych, które powinny pomóc im uniknąć ryzyka porażenia prądem, gdy znajdują się blisko części pod napięciem podczas gaszenia pożaru, w tym potencjalnie uszkodzonego systemu fotowoltaicznego. W przypadku instalacji fotowoltaicznej o maksymalnym napięciu do 1,5 </w:t>
      </w:r>
      <w:proofErr w:type="spellStart"/>
      <w:r w:rsidRPr="00115E9D">
        <w:rPr>
          <w:rFonts w:eastAsia="Times New Roman" w:cs="Times New Roman"/>
          <w:color w:val="000000"/>
          <w:szCs w:val="24"/>
        </w:rPr>
        <w:t>kV</w:t>
      </w:r>
      <w:proofErr w:type="spellEnd"/>
      <w:r w:rsidRPr="00115E9D">
        <w:rPr>
          <w:rFonts w:eastAsia="Times New Roman" w:cs="Times New Roman"/>
          <w:color w:val="000000"/>
          <w:szCs w:val="24"/>
        </w:rPr>
        <w:t xml:space="preserve">, VDE 0132:2008 zaleca minimalną bezpieczną odległość 1 m, jeśli gasi się pożar za pomocą rozpylonego strumienia wody i 5 m przy użyciu ciągłego strumienia wody. Podobne rozwiązania stosowane są m.in. w Austrii. Ostatecznie projektodawca stoi na stanowisku, iż wprowadzenie jakichkolwiek nowych rozwiązań w kwestii ochrony przeciwpożarowej dla </w:t>
      </w:r>
      <w:proofErr w:type="spellStart"/>
      <w:r w:rsidRPr="00115E9D">
        <w:rPr>
          <w:rFonts w:eastAsia="Times New Roman" w:cs="Times New Roman"/>
          <w:color w:val="000000"/>
          <w:szCs w:val="24"/>
        </w:rPr>
        <w:t>mikroinstalacji</w:t>
      </w:r>
      <w:proofErr w:type="spellEnd"/>
      <w:r w:rsidRPr="00115E9D">
        <w:rPr>
          <w:rFonts w:eastAsia="Times New Roman" w:cs="Times New Roman"/>
          <w:color w:val="000000"/>
          <w:szCs w:val="24"/>
        </w:rPr>
        <w:t xml:space="preserve"> PV</w:t>
      </w:r>
      <w:r w:rsidRPr="00115E9D">
        <w:rPr>
          <w:rFonts w:eastAsia="Times New Roman" w:cs="Times New Roman"/>
          <w:szCs w:val="24"/>
        </w:rPr>
        <w:t xml:space="preserve"> </w:t>
      </w:r>
      <w:r w:rsidRPr="00115E9D">
        <w:rPr>
          <w:rFonts w:eastAsia="Times New Roman" w:cs="Times New Roman"/>
          <w:color w:val="000000"/>
          <w:szCs w:val="24"/>
        </w:rPr>
        <w:t>należałoby odsunąć do czasu przeprowadzenia szczegółowej analizy jak ww. problem został rozwiązany w innych krajach, w szczególności krajach członkowskich OECD/UE.</w:t>
      </w:r>
    </w:p>
    <w:p w14:paraId="5D0C176D" w14:textId="77777777" w:rsidR="00641FBF" w:rsidRPr="00115E9D" w:rsidRDefault="00641FBF" w:rsidP="00641FBF">
      <w:pPr>
        <w:widowControl/>
        <w:suppressAutoHyphens/>
        <w:spacing w:before="240"/>
        <w:jc w:val="both"/>
        <w:rPr>
          <w:rFonts w:eastAsia="Times New Roman" w:cs="Times New Roman"/>
          <w:b/>
          <w:color w:val="000000"/>
          <w:szCs w:val="24"/>
        </w:rPr>
      </w:pPr>
      <w:r w:rsidRPr="00115E9D">
        <w:rPr>
          <w:rFonts w:eastAsia="Times New Roman" w:cs="Times New Roman"/>
          <w:b/>
          <w:color w:val="000000"/>
          <w:szCs w:val="24"/>
        </w:rPr>
        <w:t>Art. 3</w:t>
      </w:r>
    </w:p>
    <w:p w14:paraId="33EB953A" w14:textId="77777777" w:rsidR="00641FBF" w:rsidRPr="00115E9D" w:rsidRDefault="00641FBF" w:rsidP="00641FBF">
      <w:pPr>
        <w:widowControl/>
        <w:suppressAutoHyphens/>
        <w:spacing w:before="240"/>
        <w:jc w:val="both"/>
        <w:rPr>
          <w:rFonts w:eastAsia="Times New Roman" w:cs="Times New Roman"/>
          <w:color w:val="000000"/>
          <w:szCs w:val="24"/>
        </w:rPr>
      </w:pPr>
      <w:r w:rsidRPr="00115E9D">
        <w:rPr>
          <w:rFonts w:eastAsia="Times New Roman" w:cs="Times New Roman"/>
          <w:color w:val="000000"/>
          <w:szCs w:val="24"/>
        </w:rPr>
        <w:t xml:space="preserve">W art. 3 wprowadza się zmianę dotyczącą zwiększenia kompetencji Prezesa URE w zakresie rozstrzygania kwestii spornych, związanych z obowiązkiem przedsiębiorstw energetycznych wykonujących działalność gospodarczą w zakresie przesyłania i dystrybucji energii, </w:t>
      </w:r>
      <w:r w:rsidRPr="00115E9D">
        <w:rPr>
          <w:rFonts w:eastAsia="Times New Roman" w:cs="Times New Roman"/>
          <w:color w:val="000000"/>
          <w:szCs w:val="24"/>
        </w:rPr>
        <w:br/>
        <w:t>w przypadku odmowy dostosowania terminu dostarczenia po raz pierwszy do sieci energii elektrycznej.</w:t>
      </w:r>
    </w:p>
    <w:p w14:paraId="6FC8A9BC" w14:textId="77777777" w:rsidR="00641FBF" w:rsidRPr="00115E9D" w:rsidRDefault="00641FBF" w:rsidP="00641FBF">
      <w:pPr>
        <w:widowControl/>
        <w:suppressAutoHyphens/>
        <w:spacing w:before="240"/>
        <w:jc w:val="both"/>
        <w:rPr>
          <w:rFonts w:eastAsia="Times New Roman" w:cs="Times New Roman"/>
          <w:color w:val="000000"/>
          <w:szCs w:val="24"/>
        </w:rPr>
      </w:pPr>
      <w:r w:rsidRPr="00115E9D">
        <w:rPr>
          <w:rFonts w:eastAsia="Times New Roman" w:cs="Times New Roman"/>
          <w:color w:val="000000"/>
          <w:szCs w:val="24"/>
        </w:rPr>
        <w:t xml:space="preserve">Ponadto zaproponowano aby koncesje na prowadzenie działalności w zakresie wytwarzania energii przez instalacje odnawialnego źródła energii, wydawane były po raz pierwszy dla danej instalacji wyłącznie w przypadku, gdy urządzenia wchodzące w skład tej instalacji, służące do wytwarzania tej energii: </w:t>
      </w:r>
    </w:p>
    <w:p w14:paraId="2BC2FDF3" w14:textId="77777777" w:rsidR="002F7DB6" w:rsidRDefault="00641FBF" w:rsidP="002F7DB6">
      <w:pPr>
        <w:widowControl/>
        <w:numPr>
          <w:ilvl w:val="0"/>
          <w:numId w:val="5"/>
        </w:numPr>
        <w:suppressAutoHyphens/>
        <w:autoSpaceDE/>
        <w:autoSpaceDN/>
        <w:adjustRightInd/>
        <w:ind w:left="357" w:hanging="357"/>
        <w:jc w:val="both"/>
        <w:rPr>
          <w:rFonts w:eastAsia="Times New Roman" w:cs="Times New Roman"/>
          <w:color w:val="000000"/>
          <w:szCs w:val="24"/>
        </w:rPr>
      </w:pPr>
      <w:r w:rsidRPr="00115E9D">
        <w:rPr>
          <w:rFonts w:eastAsia="Times New Roman" w:cs="Times New Roman"/>
          <w:color w:val="000000"/>
          <w:szCs w:val="24"/>
        </w:rPr>
        <w:t xml:space="preserve">spełniają wymagania </w:t>
      </w:r>
      <w:r w:rsidR="002E218A">
        <w:rPr>
          <w:rFonts w:eastAsia="Times New Roman" w:cs="Times New Roman"/>
          <w:color w:val="000000"/>
          <w:szCs w:val="24"/>
        </w:rPr>
        <w:t xml:space="preserve">określone w </w:t>
      </w:r>
      <w:r w:rsidRPr="00115E9D">
        <w:rPr>
          <w:rFonts w:eastAsia="Times New Roman" w:cs="Times New Roman"/>
          <w:color w:val="000000"/>
          <w:szCs w:val="24"/>
        </w:rPr>
        <w:t>art. 74 ust. 1 ustawy z dnia 20 lutego 2015</w:t>
      </w:r>
      <w:r w:rsidR="002E218A">
        <w:rPr>
          <w:rFonts w:eastAsia="Times New Roman" w:cs="Times New Roman"/>
          <w:color w:val="000000"/>
          <w:szCs w:val="24"/>
        </w:rPr>
        <w:t xml:space="preserve"> </w:t>
      </w:r>
      <w:r w:rsidRPr="00115E9D">
        <w:rPr>
          <w:rFonts w:eastAsia="Times New Roman" w:cs="Times New Roman"/>
          <w:color w:val="000000"/>
          <w:szCs w:val="24"/>
        </w:rPr>
        <w:t>r. o odnawialnych źródłach energii albo</w:t>
      </w:r>
    </w:p>
    <w:p w14:paraId="08CF6926" w14:textId="17943507" w:rsidR="00641FBF" w:rsidRPr="002F7DB6" w:rsidRDefault="00641FBF" w:rsidP="002F7DB6">
      <w:pPr>
        <w:widowControl/>
        <w:numPr>
          <w:ilvl w:val="0"/>
          <w:numId w:val="5"/>
        </w:numPr>
        <w:suppressAutoHyphens/>
        <w:autoSpaceDE/>
        <w:autoSpaceDN/>
        <w:adjustRightInd/>
        <w:spacing w:after="200"/>
        <w:ind w:left="357" w:hanging="357"/>
        <w:jc w:val="both"/>
        <w:rPr>
          <w:rFonts w:eastAsia="Times New Roman" w:cs="Times New Roman"/>
          <w:color w:val="000000"/>
          <w:szCs w:val="24"/>
        </w:rPr>
      </w:pPr>
      <w:r w:rsidRPr="002F7DB6">
        <w:rPr>
          <w:rFonts w:eastAsia="Times New Roman" w:cs="Times New Roman"/>
          <w:color w:val="000000"/>
          <w:szCs w:val="24"/>
        </w:rPr>
        <w:lastRenderedPageBreak/>
        <w:t xml:space="preserve">posiadają ważne potwierdzenie zgodności z certyfikowanym typem urządzenia lub deklarację zgodności z właściwymi normami wystawione przez ich producenta </w:t>
      </w:r>
      <w:r w:rsidRPr="002F7DB6">
        <w:rPr>
          <w:rFonts w:eastAsia="Times New Roman" w:cs="Times New Roman"/>
          <w:szCs w:val="22"/>
        </w:rPr>
        <w:t>dla danej lokalizacji instalacji odnawialnego źródła energii</w:t>
      </w:r>
      <w:r w:rsidR="0005130C" w:rsidRPr="002F7DB6">
        <w:rPr>
          <w:rFonts w:eastAsia="Times New Roman" w:cs="Times New Roman"/>
          <w:color w:val="000000"/>
          <w:szCs w:val="24"/>
        </w:rPr>
        <w:t xml:space="preserve"> oraz </w:t>
      </w:r>
      <w:r w:rsidRPr="002F7DB6">
        <w:rPr>
          <w:rFonts w:eastAsia="Times New Roman" w:cs="Times New Roman"/>
          <w:color w:val="000000"/>
          <w:szCs w:val="24"/>
        </w:rPr>
        <w:t>zostały wyprodukowane nie wcześniej niż 72 miesiące przed dniem wytworzenia po raz pierwszy energii elektrycznej w tej instalacji.</w:t>
      </w:r>
    </w:p>
    <w:p w14:paraId="1801797B" w14:textId="06EBEEC6" w:rsidR="00641FBF" w:rsidRPr="00115E9D" w:rsidRDefault="00641FBF" w:rsidP="002F7DB6">
      <w:pPr>
        <w:widowControl/>
        <w:suppressAutoHyphens/>
        <w:autoSpaceDE/>
        <w:autoSpaceDN/>
        <w:adjustRightInd/>
        <w:spacing w:before="240" w:after="200"/>
        <w:jc w:val="both"/>
        <w:rPr>
          <w:rFonts w:eastAsia="Times New Roman" w:cs="Times New Roman"/>
          <w:color w:val="000000"/>
          <w:szCs w:val="24"/>
        </w:rPr>
      </w:pPr>
      <w:r w:rsidRPr="00115E9D">
        <w:rPr>
          <w:rFonts w:eastAsia="Times New Roman" w:cs="Times New Roman"/>
          <w:color w:val="000000"/>
          <w:szCs w:val="24"/>
        </w:rPr>
        <w:t xml:space="preserve">Dodatkowo proponuje się zmianę w art. 47 ust. 3 ustawy – Prawo energetyczne, w wyniku konieczności dostosowania przepisów do zmian dokonanych w tej ustawie w związku </w:t>
      </w:r>
      <w:r w:rsidRPr="00115E9D">
        <w:rPr>
          <w:rFonts w:eastAsia="Times New Roman" w:cs="Times New Roman"/>
          <w:color w:val="000000"/>
          <w:szCs w:val="24"/>
        </w:rPr>
        <w:br/>
        <w:t>z wejściem w życie ustawy z dnia 14 grudnia 2018 r. o promowaniu energii elektrycznej z wysokosprawnej kogeneracji (Dz.U. z 2019 r. poz. 42 i 214).</w:t>
      </w:r>
    </w:p>
    <w:p w14:paraId="0B9E22D5" w14:textId="77777777" w:rsidR="00641FBF" w:rsidRPr="00115E9D" w:rsidRDefault="00641FBF" w:rsidP="00641FBF">
      <w:pPr>
        <w:widowControl/>
        <w:suppressAutoHyphens/>
        <w:spacing w:before="240"/>
        <w:jc w:val="both"/>
        <w:rPr>
          <w:rFonts w:eastAsia="Times New Roman" w:cs="Times New Roman"/>
          <w:b/>
          <w:color w:val="000000"/>
          <w:szCs w:val="24"/>
        </w:rPr>
      </w:pPr>
      <w:r w:rsidRPr="00115E9D">
        <w:rPr>
          <w:rFonts w:eastAsia="Times New Roman" w:cs="Times New Roman"/>
          <w:b/>
          <w:color w:val="000000"/>
          <w:szCs w:val="24"/>
        </w:rPr>
        <w:t>Art. 4</w:t>
      </w:r>
    </w:p>
    <w:p w14:paraId="4CAB056C" w14:textId="40109AD5" w:rsidR="00641FBF" w:rsidRPr="00115E9D" w:rsidRDefault="00641FBF" w:rsidP="00641FBF">
      <w:pPr>
        <w:widowControl/>
        <w:suppressAutoHyphens/>
        <w:spacing w:before="240"/>
        <w:jc w:val="both"/>
        <w:rPr>
          <w:rFonts w:eastAsia="Times New Roman" w:cs="Times New Roman"/>
          <w:color w:val="000000"/>
          <w:szCs w:val="24"/>
        </w:rPr>
      </w:pPr>
      <w:r w:rsidRPr="00115E9D">
        <w:rPr>
          <w:rFonts w:eastAsia="Times New Roman" w:cs="Times New Roman"/>
          <w:color w:val="000000"/>
          <w:szCs w:val="24"/>
        </w:rPr>
        <w:t>W art. 4 wprowadzono zmiany do ustawy z dnia 27 marca 2003 r. o planowaniu i zagospodarowaniu</w:t>
      </w:r>
      <w:r w:rsidR="002147EF">
        <w:rPr>
          <w:rFonts w:eastAsia="Times New Roman" w:cs="Times New Roman"/>
          <w:color w:val="000000"/>
          <w:szCs w:val="24"/>
        </w:rPr>
        <w:t xml:space="preserve"> przestrzennym</w:t>
      </w:r>
      <w:r w:rsidRPr="00115E9D">
        <w:rPr>
          <w:rFonts w:eastAsia="Times New Roman" w:cs="Times New Roman"/>
          <w:color w:val="000000"/>
          <w:szCs w:val="24"/>
        </w:rPr>
        <w:t xml:space="preserve">, modyfikując dotychczasową zasadę dotyczącą planu zagospodarowania przestrzennego i lokalizacji budynków, umożliwiając lokalizowanie na nich </w:t>
      </w:r>
      <w:proofErr w:type="spellStart"/>
      <w:r w:rsidRPr="00115E9D">
        <w:rPr>
          <w:rFonts w:eastAsia="Times New Roman" w:cs="Times New Roman"/>
          <w:color w:val="000000"/>
          <w:szCs w:val="24"/>
        </w:rPr>
        <w:t>mikroinstalacji</w:t>
      </w:r>
      <w:proofErr w:type="spellEnd"/>
      <w:r w:rsidRPr="00115E9D">
        <w:rPr>
          <w:rFonts w:eastAsia="Times New Roman" w:cs="Times New Roman"/>
          <w:color w:val="000000"/>
          <w:szCs w:val="24"/>
        </w:rPr>
        <w:t xml:space="preserve"> wykorzystujących nie tylko technologię wiatrową, ale w szczególności fotowoltaiczną.</w:t>
      </w:r>
    </w:p>
    <w:p w14:paraId="57FBED89" w14:textId="77777777" w:rsidR="00641FBF" w:rsidRPr="00115E9D" w:rsidRDefault="00641FBF" w:rsidP="00641FBF">
      <w:pPr>
        <w:widowControl/>
        <w:suppressAutoHyphens/>
        <w:spacing w:before="240"/>
        <w:jc w:val="both"/>
        <w:rPr>
          <w:rFonts w:eastAsia="Times New Roman" w:cs="Times New Roman"/>
          <w:b/>
          <w:color w:val="000000"/>
          <w:szCs w:val="24"/>
        </w:rPr>
      </w:pPr>
      <w:r w:rsidRPr="00115E9D">
        <w:rPr>
          <w:rFonts w:eastAsia="Times New Roman" w:cs="Times New Roman"/>
          <w:b/>
          <w:color w:val="000000"/>
          <w:szCs w:val="24"/>
        </w:rPr>
        <w:t>Art. 5</w:t>
      </w:r>
    </w:p>
    <w:p w14:paraId="76D482FF" w14:textId="0A88C9E7" w:rsidR="00641FBF" w:rsidRPr="00115E9D" w:rsidRDefault="00641FBF" w:rsidP="00641FBF">
      <w:pPr>
        <w:widowControl/>
        <w:suppressAutoHyphens/>
        <w:spacing w:before="240"/>
        <w:jc w:val="both"/>
        <w:rPr>
          <w:rFonts w:eastAsia="Times New Roman" w:cs="Times New Roman"/>
          <w:b/>
          <w:color w:val="000000"/>
          <w:szCs w:val="24"/>
        </w:rPr>
      </w:pPr>
      <w:r w:rsidRPr="00115E9D">
        <w:rPr>
          <w:rFonts w:eastAsia="Times New Roman" w:cs="Times New Roman"/>
          <w:color w:val="000000"/>
          <w:szCs w:val="24"/>
        </w:rPr>
        <w:t>W art. 5 wprowadzono zmianę do ustawy z dnia 20 maja 2016 r</w:t>
      </w:r>
      <w:r w:rsidR="002147EF">
        <w:rPr>
          <w:rFonts w:eastAsia="Times New Roman" w:cs="Times New Roman"/>
          <w:color w:val="000000"/>
          <w:szCs w:val="24"/>
        </w:rPr>
        <w:t>.</w:t>
      </w:r>
      <w:r w:rsidRPr="00115E9D">
        <w:rPr>
          <w:rFonts w:eastAsia="Times New Roman" w:cs="Times New Roman"/>
          <w:color w:val="000000"/>
          <w:szCs w:val="24"/>
        </w:rPr>
        <w:t xml:space="preserve"> o inwestycjach w zakresie elektrow</w:t>
      </w:r>
      <w:r w:rsidR="002147EF">
        <w:rPr>
          <w:rFonts w:eastAsia="Times New Roman" w:cs="Times New Roman"/>
          <w:color w:val="000000"/>
          <w:szCs w:val="24"/>
        </w:rPr>
        <w:t>n</w:t>
      </w:r>
      <w:r w:rsidRPr="00115E9D">
        <w:rPr>
          <w:rFonts w:eastAsia="Times New Roman" w:cs="Times New Roman"/>
          <w:color w:val="000000"/>
          <w:szCs w:val="24"/>
        </w:rPr>
        <w:t xml:space="preserve">i wiatrowych mającą na celu usunięcie kolizji art. 13 ust. 2 tej ustawy z art. 79 ust. 3 pkt 8 lit. a </w:t>
      </w:r>
      <w:proofErr w:type="spellStart"/>
      <w:r w:rsidRPr="00115E9D">
        <w:rPr>
          <w:rFonts w:eastAsia="Times New Roman" w:cs="Times New Roman"/>
          <w:color w:val="000000"/>
          <w:szCs w:val="24"/>
        </w:rPr>
        <w:t>tiret</w:t>
      </w:r>
      <w:proofErr w:type="spellEnd"/>
      <w:r w:rsidRPr="00115E9D">
        <w:rPr>
          <w:rFonts w:eastAsia="Times New Roman" w:cs="Times New Roman"/>
          <w:color w:val="000000"/>
          <w:szCs w:val="24"/>
        </w:rPr>
        <w:t xml:space="preserve"> drugie ustawy OZE. Proponowana zmiana ustawy o inwestycjach w zakresie elektrowni wiatrowych przewiduje, że do pozwoleń na budowę dotyczących elektrowni wiatrowych, dla których nie wydano decyzji o pozwolenie na użytkowanie w terminie, o którym mowa w art. 13 ust. 2, stosuje się przepis art. 37 ust. 2 ustawy z dnia 7 lipca 1994 r. – Prawo budowlane, przyjmując, że terminy w nim określone liczy się od dnia upływu terminu, o którym mowa w </w:t>
      </w:r>
      <w:r w:rsidR="007750B1">
        <w:rPr>
          <w:rFonts w:eastAsia="Times New Roman" w:cs="Times New Roman"/>
          <w:color w:val="000000"/>
          <w:szCs w:val="24"/>
        </w:rPr>
        <w:t xml:space="preserve">art. 13 </w:t>
      </w:r>
      <w:r w:rsidRPr="00115E9D">
        <w:rPr>
          <w:rFonts w:eastAsia="Times New Roman" w:cs="Times New Roman"/>
          <w:color w:val="000000"/>
          <w:szCs w:val="24"/>
        </w:rPr>
        <w:t>ust. 2. W przypadku aukcji dla odnawialnych źródeł energii planowanych do przeprowadzenia w 2019 r</w:t>
      </w:r>
      <w:r w:rsidR="007750B1">
        <w:rPr>
          <w:rFonts w:eastAsia="Times New Roman" w:cs="Times New Roman"/>
          <w:color w:val="000000"/>
          <w:szCs w:val="24"/>
        </w:rPr>
        <w:t>.</w:t>
      </w:r>
      <w:r w:rsidRPr="00115E9D">
        <w:rPr>
          <w:rFonts w:eastAsia="Times New Roman" w:cs="Times New Roman"/>
          <w:color w:val="000000"/>
          <w:szCs w:val="24"/>
        </w:rPr>
        <w:t xml:space="preserve"> termin ustawowy na sprzedaż </w:t>
      </w:r>
      <w:r w:rsidR="007750B1">
        <w:rPr>
          <w:rFonts w:eastAsia="Times New Roman" w:cs="Times New Roman"/>
          <w:color w:val="000000"/>
          <w:szCs w:val="24"/>
        </w:rPr>
        <w:t xml:space="preserve">po raz </w:t>
      </w:r>
      <w:r w:rsidRPr="00115E9D">
        <w:rPr>
          <w:rFonts w:eastAsia="Times New Roman" w:cs="Times New Roman"/>
          <w:color w:val="000000"/>
          <w:szCs w:val="24"/>
        </w:rPr>
        <w:t>pierwsz</w:t>
      </w:r>
      <w:r w:rsidR="007750B1">
        <w:rPr>
          <w:rFonts w:eastAsia="Times New Roman" w:cs="Times New Roman"/>
          <w:color w:val="000000"/>
          <w:szCs w:val="24"/>
        </w:rPr>
        <w:t>y</w:t>
      </w:r>
      <w:r w:rsidRPr="00115E9D">
        <w:rPr>
          <w:rFonts w:eastAsia="Times New Roman" w:cs="Times New Roman"/>
          <w:color w:val="000000"/>
          <w:szCs w:val="24"/>
        </w:rPr>
        <w:t xml:space="preserve"> energii do sieci w ramach kontraktu aukcyjnego, określony w niniejszym projekcie dla instalacji elektrowni wiatrowych na 33 miesiące, nie będzie mógł zostać w pełni wykorzystany, z uwagi na wcześniejszy upływ terminu na uzyskanie pozwolenia na użytkowanie (skutkującego utratą pozwolenia budowlanego). Przedmiotowa zmiana ma kluczowe znaczenie dla zapewnienia pewności obrotu gospodarczego, w tym uczestników aukcji w ramach </w:t>
      </w:r>
      <w:r w:rsidRPr="00115E9D">
        <w:rPr>
          <w:rFonts w:eastAsia="Times New Roman" w:cs="Times New Roman"/>
          <w:color w:val="000000"/>
          <w:szCs w:val="24"/>
        </w:rPr>
        <w:lastRenderedPageBreak/>
        <w:t xml:space="preserve">dedykowanego dla tej technologii koszyka aukcyjnego. Jednocześnie zniesienie opisywanej kolizji przyczyni się do podniesienia poziomu zaufania uczestników rynku do </w:t>
      </w:r>
      <w:r w:rsidR="007750B1">
        <w:rPr>
          <w:rFonts w:eastAsia="Times New Roman" w:cs="Times New Roman"/>
          <w:color w:val="000000"/>
          <w:szCs w:val="24"/>
        </w:rPr>
        <w:t>p</w:t>
      </w:r>
      <w:r w:rsidRPr="00115E9D">
        <w:rPr>
          <w:rFonts w:eastAsia="Times New Roman" w:cs="Times New Roman"/>
          <w:color w:val="000000"/>
          <w:szCs w:val="24"/>
        </w:rPr>
        <w:t xml:space="preserve">aństwa i stanowionego </w:t>
      </w:r>
      <w:r w:rsidR="007750B1">
        <w:rPr>
          <w:rFonts w:eastAsia="Times New Roman" w:cs="Times New Roman"/>
          <w:color w:val="000000"/>
          <w:szCs w:val="24"/>
        </w:rPr>
        <w:t xml:space="preserve">przez nie </w:t>
      </w:r>
      <w:r w:rsidRPr="00115E9D">
        <w:rPr>
          <w:rFonts w:eastAsia="Times New Roman" w:cs="Times New Roman"/>
          <w:color w:val="000000"/>
          <w:szCs w:val="24"/>
        </w:rPr>
        <w:t xml:space="preserve">prawa. Zmiana sprzyjała będzie obniżeniu poziomu indywidualnego ryzyka inwestycyjnego przedsiębiorców w kontekście poszukiwania finansowania na realizację instalacji odnawialnego źródła energii, po wygranej aukcji. Tym samym, opisywana zmiana jest również niezbędna z punktu widzenia potrzeby zapewnienia możliwie wysokiego poziomu konkurencyjności wśród uczestników aukcji w 2019 r. Brak projektowanej zmiany skutkować może niższym zainteresowaniem inwestorów udziałem w aukcji, a w konsekwencji zagrożeniem realizacji celu OZE na 2020 rok. </w:t>
      </w:r>
    </w:p>
    <w:p w14:paraId="51B275DC" w14:textId="5A43300B" w:rsidR="00641FBF" w:rsidRPr="00115E9D" w:rsidRDefault="00641FBF" w:rsidP="00641FBF">
      <w:pPr>
        <w:widowControl/>
        <w:suppressAutoHyphens/>
        <w:spacing w:before="240"/>
        <w:jc w:val="both"/>
        <w:rPr>
          <w:rFonts w:eastAsia="Times New Roman" w:cs="Times New Roman"/>
          <w:color w:val="000000"/>
          <w:szCs w:val="24"/>
        </w:rPr>
      </w:pPr>
      <w:r w:rsidRPr="00115E9D">
        <w:rPr>
          <w:rFonts w:eastAsia="Times New Roman" w:cs="Times New Roman"/>
          <w:color w:val="000000"/>
          <w:szCs w:val="24"/>
        </w:rPr>
        <w:t>W art. 6–9 zawarto przepisy przejściowe i dostosowujące.</w:t>
      </w:r>
    </w:p>
    <w:p w14:paraId="46605143" w14:textId="7640FE77" w:rsidR="00641FBF" w:rsidRPr="00115E9D" w:rsidRDefault="00641FBF" w:rsidP="00641FBF">
      <w:pPr>
        <w:widowControl/>
        <w:suppressAutoHyphens/>
        <w:spacing w:before="240"/>
        <w:jc w:val="both"/>
        <w:rPr>
          <w:rFonts w:eastAsia="Times New Roman" w:cs="Times New Roman"/>
          <w:color w:val="000000"/>
          <w:szCs w:val="24"/>
        </w:rPr>
      </w:pPr>
      <w:r w:rsidRPr="00115E9D">
        <w:rPr>
          <w:rFonts w:eastAsia="Times New Roman" w:cs="Times New Roman"/>
          <w:color w:val="000000"/>
          <w:szCs w:val="24"/>
        </w:rPr>
        <w:t>W art. 10 ustawy proponuje się określić poziomy obowiązku, o którym mowa w art. 59 ustawy zmienianej w art. 1, na rok 2020. Celem określenia poziomu na rok 2020 jest wykazanie krótkoterminowej perspektywy kształtowania się obowiązku umarzania świadectw pochodzenia. Dzięki zastosowaniu tego mechanizmu, podmioty zobowiązane mogą planować zakup świadectw pochodzenia już na lata następne po cenach konkurencyjnych, co spowoduje efektywne obniżenie kosztów obciążenia systemem wsparcia odbiorców końcowych.</w:t>
      </w:r>
    </w:p>
    <w:p w14:paraId="781A5718" w14:textId="1666EE05" w:rsidR="00641FBF" w:rsidRPr="00115E9D" w:rsidRDefault="00641FBF" w:rsidP="00641FBF">
      <w:pPr>
        <w:widowControl/>
        <w:suppressAutoHyphens/>
        <w:spacing w:before="240"/>
        <w:jc w:val="both"/>
        <w:rPr>
          <w:rFonts w:eastAsia="Times New Roman" w:cs="Times New Roman"/>
          <w:color w:val="000000"/>
          <w:szCs w:val="24"/>
        </w:rPr>
      </w:pPr>
      <w:r w:rsidRPr="00115E9D">
        <w:rPr>
          <w:rFonts w:eastAsia="Times New Roman" w:cs="Times New Roman"/>
          <w:color w:val="000000"/>
          <w:szCs w:val="24"/>
        </w:rPr>
        <w:t xml:space="preserve">W art. 11 zawarto przepis przejściowy dotyczący art. 70e ust. 1, który stosuje się do instalacji, dla których </w:t>
      </w:r>
      <w:r w:rsidR="007750B1">
        <w:rPr>
          <w:rFonts w:eastAsia="Times New Roman" w:cs="Times New Roman"/>
          <w:color w:val="000000"/>
          <w:szCs w:val="24"/>
        </w:rPr>
        <w:t xml:space="preserve">do dnia wejścia  życie projektowanej ustawy </w:t>
      </w:r>
      <w:r w:rsidRPr="00115E9D">
        <w:rPr>
          <w:rFonts w:eastAsia="Times New Roman" w:cs="Times New Roman"/>
          <w:color w:val="000000"/>
          <w:szCs w:val="24"/>
        </w:rPr>
        <w:t>zostały złożone deklaracje, o których mowa w art. 70b ust. 1.</w:t>
      </w:r>
    </w:p>
    <w:p w14:paraId="258C392B" w14:textId="77777777" w:rsidR="00641FBF" w:rsidRPr="00115E9D" w:rsidRDefault="00641FBF" w:rsidP="00641FBF">
      <w:pPr>
        <w:widowControl/>
        <w:suppressAutoHyphens/>
        <w:spacing w:before="240"/>
        <w:jc w:val="both"/>
        <w:rPr>
          <w:rFonts w:eastAsia="Times New Roman" w:cs="Times New Roman"/>
          <w:color w:val="000000"/>
          <w:szCs w:val="24"/>
        </w:rPr>
      </w:pPr>
      <w:r w:rsidRPr="00115E9D">
        <w:rPr>
          <w:rFonts w:eastAsia="Times New Roman" w:cs="Times New Roman"/>
          <w:color w:val="000000"/>
          <w:szCs w:val="24"/>
        </w:rPr>
        <w:t>W art. 12 określono maksymalną ilość energii elektrycznej i jej wartość przeznaczoną do sprzedaży w aukcjach na 2019 r.</w:t>
      </w:r>
    </w:p>
    <w:p w14:paraId="0F79ED6E" w14:textId="77777777" w:rsidR="00641FBF" w:rsidRPr="00115E9D" w:rsidRDefault="00641FBF" w:rsidP="00641FBF">
      <w:pPr>
        <w:widowControl/>
        <w:suppressAutoHyphens/>
        <w:spacing w:before="240"/>
        <w:jc w:val="both"/>
        <w:rPr>
          <w:rFonts w:eastAsia="Times New Roman" w:cs="Times New Roman"/>
          <w:color w:val="000000"/>
          <w:szCs w:val="24"/>
        </w:rPr>
      </w:pPr>
      <w:r w:rsidRPr="00115E9D">
        <w:rPr>
          <w:rFonts w:eastAsia="Times New Roman" w:cs="Times New Roman"/>
          <w:color w:val="000000"/>
          <w:szCs w:val="24"/>
        </w:rPr>
        <w:t xml:space="preserve">W art. 13 proponuje się określić warunki na jakich w 2019 roku zostaną przeprowadzone aukcje na zakup energii z instalacji odnawialnych źródeł energii. Proponowane przepisy definiują zasady przeprowadzenia aukcji przez Prezesa URE. </w:t>
      </w:r>
    </w:p>
    <w:p w14:paraId="53966163" w14:textId="5E150355" w:rsidR="00641FBF" w:rsidRPr="00115E9D" w:rsidRDefault="00641FBF" w:rsidP="00641FBF">
      <w:pPr>
        <w:widowControl/>
        <w:suppressAutoHyphens/>
        <w:spacing w:before="240"/>
        <w:jc w:val="both"/>
        <w:rPr>
          <w:rFonts w:eastAsia="Times New Roman" w:cs="Times New Roman"/>
          <w:color w:val="000000"/>
          <w:szCs w:val="24"/>
        </w:rPr>
      </w:pPr>
      <w:r w:rsidRPr="00115E9D">
        <w:rPr>
          <w:rFonts w:eastAsia="Times New Roman" w:cs="Times New Roman"/>
          <w:color w:val="000000"/>
          <w:szCs w:val="24"/>
        </w:rPr>
        <w:t>Uzasadnieniem proponowanych zapisów jest stymulacja rozwoju odnawialnych źródeł energii przy założeniu konkurencyjnych warunków cenowych. Należy wskazać, że w perspektywie rosnących cen energii elektrycznej oraz rozstrzygnięć aukcji w 2018</w:t>
      </w:r>
      <w:r w:rsidR="007750B1">
        <w:rPr>
          <w:rFonts w:eastAsia="Times New Roman" w:cs="Times New Roman"/>
          <w:color w:val="000000"/>
          <w:szCs w:val="24"/>
        </w:rPr>
        <w:t xml:space="preserve"> r.</w:t>
      </w:r>
      <w:r w:rsidRPr="00115E9D">
        <w:rPr>
          <w:rFonts w:eastAsia="Times New Roman" w:cs="Times New Roman"/>
          <w:color w:val="000000"/>
          <w:szCs w:val="24"/>
        </w:rPr>
        <w:t xml:space="preserve">, zakontraktowane poziomy cenowe na podstawie składanych ofert, pozostają na bardzo konkurencyjnym poziomie w stosunku do cen energii na rynku hurtowym. Tym samym stymulacja rozwoju </w:t>
      </w:r>
      <w:r w:rsidRPr="00115E9D">
        <w:rPr>
          <w:rFonts w:eastAsia="Times New Roman" w:cs="Times New Roman"/>
          <w:color w:val="000000"/>
          <w:szCs w:val="24"/>
        </w:rPr>
        <w:lastRenderedPageBreak/>
        <w:t xml:space="preserve">odnawialnych źródeł energii przyczyni się co najmniej do spowolnienia lub nawet obniżenia cen energii dla odbiorców końcowych. Dodatkowo intensyfikacja rozwoju odnawialnych źródeł energii pozwoli na zwiększenie udziału produkcji energii elektrycznej z OZE, co stanowi ważny argument w perspektywie osiągania celów </w:t>
      </w:r>
      <w:r w:rsidR="007750B1">
        <w:rPr>
          <w:rFonts w:eastAsia="Times New Roman" w:cs="Times New Roman"/>
          <w:color w:val="000000"/>
          <w:szCs w:val="24"/>
        </w:rPr>
        <w:t xml:space="preserve">w </w:t>
      </w:r>
      <w:r w:rsidRPr="00115E9D">
        <w:rPr>
          <w:rFonts w:eastAsia="Times New Roman" w:cs="Times New Roman"/>
          <w:color w:val="000000"/>
          <w:szCs w:val="24"/>
        </w:rPr>
        <w:t>2020</w:t>
      </w:r>
      <w:r w:rsidR="007750B1">
        <w:rPr>
          <w:rFonts w:eastAsia="Times New Roman" w:cs="Times New Roman"/>
          <w:color w:val="000000"/>
          <w:szCs w:val="24"/>
        </w:rPr>
        <w:t xml:space="preserve"> r</w:t>
      </w:r>
      <w:r w:rsidRPr="00115E9D">
        <w:rPr>
          <w:rFonts w:eastAsia="Times New Roman" w:cs="Times New Roman"/>
          <w:color w:val="000000"/>
          <w:szCs w:val="24"/>
        </w:rPr>
        <w:t>.</w:t>
      </w:r>
    </w:p>
    <w:p w14:paraId="4B22F74B" w14:textId="33D21A5A" w:rsidR="00641FBF" w:rsidRPr="00115E9D" w:rsidRDefault="00641FBF" w:rsidP="00641FBF">
      <w:pPr>
        <w:widowControl/>
        <w:suppressAutoHyphens/>
        <w:spacing w:before="240"/>
        <w:jc w:val="both"/>
        <w:rPr>
          <w:rFonts w:eastAsia="Times New Roman" w:cs="Times New Roman"/>
          <w:color w:val="000000"/>
          <w:szCs w:val="24"/>
        </w:rPr>
      </w:pPr>
      <w:r w:rsidRPr="00115E9D">
        <w:rPr>
          <w:rFonts w:eastAsia="Times New Roman" w:cs="Times New Roman"/>
          <w:color w:val="000000"/>
          <w:szCs w:val="24"/>
        </w:rPr>
        <w:t>W art. 14–25 zawarto przepisy przejściowe i dostosowujące.</w:t>
      </w:r>
    </w:p>
    <w:p w14:paraId="1775DA68" w14:textId="2B5B140C" w:rsidR="00641FBF" w:rsidRPr="00115E9D" w:rsidRDefault="00641FBF" w:rsidP="00641FBF">
      <w:pPr>
        <w:widowControl/>
        <w:suppressAutoHyphens/>
        <w:spacing w:before="240"/>
        <w:jc w:val="both"/>
        <w:rPr>
          <w:rFonts w:eastAsia="Times New Roman" w:cs="Times New Roman"/>
          <w:color w:val="000000"/>
          <w:szCs w:val="24"/>
        </w:rPr>
      </w:pPr>
      <w:r w:rsidRPr="00115E9D">
        <w:rPr>
          <w:rFonts w:eastAsia="Times New Roman" w:cs="Times New Roman"/>
          <w:color w:val="000000"/>
          <w:szCs w:val="24"/>
        </w:rPr>
        <w:t>W art. 26 określono klauzulę zawieszającą obowiązywanie niektórych przepisów (</w:t>
      </w:r>
      <w:r w:rsidR="00A33FD7">
        <w:rPr>
          <w:rFonts w:eastAsia="Times New Roman" w:cs="Times New Roman"/>
          <w:szCs w:val="22"/>
        </w:rPr>
        <w:t>art. 39 ust. </w:t>
      </w:r>
      <w:r w:rsidRPr="00115E9D">
        <w:rPr>
          <w:rFonts w:eastAsia="Times New Roman" w:cs="Times New Roman"/>
          <w:szCs w:val="22"/>
        </w:rPr>
        <w:t>4, art. 39a ust. 4, art. 70a ust. 2 i 4, art. 70f ust. 1,</w:t>
      </w:r>
      <w:r w:rsidRPr="00115E9D">
        <w:rPr>
          <w:rFonts w:eastAsia="Times New Roman" w:cs="Times New Roman"/>
          <w:szCs w:val="22"/>
        </w:rPr>
        <w:tab/>
        <w:t>art. 72a ust. 7, art. 74 ust. 1, art. 79 ust. 9</w:t>
      </w:r>
      <w:r w:rsidR="00A33FD7">
        <w:rPr>
          <w:rFonts w:eastAsia="Times New Roman" w:cs="Times New Roman"/>
          <w:szCs w:val="22"/>
        </w:rPr>
        <w:t>–</w:t>
      </w:r>
      <w:r w:rsidRPr="00115E9D">
        <w:rPr>
          <w:rFonts w:eastAsia="Times New Roman" w:cs="Times New Roman"/>
          <w:szCs w:val="22"/>
        </w:rPr>
        <w:t>12, art. 92 ust. 6 i 6a oraz art. 93a ustawy zmienianej w art. 1</w:t>
      </w:r>
      <w:r w:rsidRPr="00115E9D">
        <w:rPr>
          <w:rFonts w:eastAsia="Times New Roman" w:cs="Times New Roman"/>
          <w:color w:val="000000"/>
          <w:szCs w:val="24"/>
        </w:rPr>
        <w:t>) do dnia wydania pozytywnej decyzji Komisji Europejskiej o ich zgodności z rynkiem wewnętrznym, albo uznania przez Komisję, że zmiany przewidziane w niniejszej ustawie nie stanowią nowej pomocy publicznej.</w:t>
      </w:r>
    </w:p>
    <w:p w14:paraId="1F487950" w14:textId="77777777" w:rsidR="00641FBF" w:rsidRPr="00115E9D" w:rsidRDefault="00641FBF" w:rsidP="00641FBF">
      <w:pPr>
        <w:widowControl/>
        <w:autoSpaceDE/>
        <w:autoSpaceDN/>
        <w:adjustRightInd/>
        <w:jc w:val="both"/>
        <w:textAlignment w:val="baseline"/>
        <w:rPr>
          <w:rFonts w:eastAsia="Times New Roman" w:cs="Times New Roman"/>
          <w:color w:val="000000"/>
          <w:szCs w:val="24"/>
        </w:rPr>
      </w:pPr>
    </w:p>
    <w:p w14:paraId="3A62A803" w14:textId="77777777" w:rsidR="00641FBF" w:rsidRPr="00115E9D" w:rsidRDefault="00641FBF" w:rsidP="00641FBF">
      <w:pPr>
        <w:widowControl/>
        <w:autoSpaceDE/>
        <w:autoSpaceDN/>
        <w:adjustRightInd/>
        <w:jc w:val="both"/>
        <w:textAlignment w:val="baseline"/>
        <w:rPr>
          <w:rFonts w:eastAsia="Times New Roman" w:cs="Times New Roman"/>
          <w:color w:val="000000"/>
          <w:szCs w:val="24"/>
        </w:rPr>
      </w:pPr>
      <w:r w:rsidRPr="00115E9D">
        <w:rPr>
          <w:rFonts w:eastAsia="Times New Roman" w:cs="Times New Roman"/>
          <w:color w:val="000000"/>
          <w:szCs w:val="24"/>
        </w:rPr>
        <w:t>Projektowany w art. 27 przepis przewiduje zabezpieczenie środków niezbędnych do sfinansowania działań dostosowawczych w obszarze Internetowej Platformy Aukcyjnej.</w:t>
      </w:r>
    </w:p>
    <w:p w14:paraId="75D44C89" w14:textId="77777777" w:rsidR="00641FBF" w:rsidRPr="00115E9D" w:rsidRDefault="00641FBF" w:rsidP="00641FBF">
      <w:pPr>
        <w:widowControl/>
        <w:autoSpaceDE/>
        <w:autoSpaceDN/>
        <w:adjustRightInd/>
        <w:jc w:val="both"/>
        <w:textAlignment w:val="baseline"/>
        <w:rPr>
          <w:rFonts w:eastAsia="Times New Roman" w:cs="Times New Roman"/>
          <w:color w:val="000000"/>
          <w:szCs w:val="24"/>
        </w:rPr>
      </w:pPr>
    </w:p>
    <w:p w14:paraId="6C890E9D" w14:textId="77777777" w:rsidR="00641FBF" w:rsidRPr="00115E9D" w:rsidRDefault="00641FBF" w:rsidP="00641FBF">
      <w:pPr>
        <w:widowControl/>
        <w:autoSpaceDE/>
        <w:autoSpaceDN/>
        <w:adjustRightInd/>
        <w:jc w:val="both"/>
        <w:textAlignment w:val="baseline"/>
        <w:rPr>
          <w:rFonts w:eastAsia="Times New Roman" w:cs="Times New Roman"/>
          <w:color w:val="000000"/>
          <w:szCs w:val="24"/>
        </w:rPr>
      </w:pPr>
      <w:r w:rsidRPr="00115E9D">
        <w:rPr>
          <w:rFonts w:eastAsia="Times New Roman" w:cs="Times New Roman"/>
          <w:color w:val="000000"/>
          <w:szCs w:val="24"/>
        </w:rPr>
        <w:t xml:space="preserve">System IPA jest nowoczesnym narzędziem służącym nie tylko do przeprowadzania aukcji, ale także realizuje szereg funkcji umożliwiających kompleksową i intuicyjną obsługę wytwórców: od złożenia wniosku/deklaracji, przez złożenie oferty, zagwarantowanie bezpiecznego </w:t>
      </w:r>
      <w:r w:rsidRPr="00115E9D">
        <w:rPr>
          <w:rFonts w:eastAsia="Times New Roman" w:cs="Times New Roman"/>
          <w:color w:val="000000"/>
          <w:szCs w:val="24"/>
        </w:rPr>
        <w:br/>
        <w:t>i szybkiego rozstrzygania aukcji, po funkcjonalności umożliwiające składanie corocznych sprawozdań i rozliczanie wytwórców z ilości wytwarzanej energii w systemie aukcyjnym. Po rozstrzygnięciu aukcji dane systemowe są eksportowane do systemów operatora rozliczeń energii odnawialnej i sprzedawców zobowiązanych a także umożliwiają szybkie przygotowanie raportów dla ministra właściwego ds. energii.</w:t>
      </w:r>
    </w:p>
    <w:p w14:paraId="61029E23" w14:textId="77777777" w:rsidR="00641FBF" w:rsidRPr="00115E9D" w:rsidRDefault="00641FBF" w:rsidP="00641FBF">
      <w:pPr>
        <w:widowControl/>
        <w:autoSpaceDE/>
        <w:autoSpaceDN/>
        <w:adjustRightInd/>
        <w:jc w:val="both"/>
        <w:textAlignment w:val="baseline"/>
        <w:rPr>
          <w:rFonts w:eastAsia="Times New Roman" w:cs="Times New Roman"/>
          <w:color w:val="000000"/>
          <w:szCs w:val="24"/>
        </w:rPr>
      </w:pPr>
    </w:p>
    <w:p w14:paraId="3C797D5B" w14:textId="77777777" w:rsidR="00641FBF" w:rsidRPr="00115E9D" w:rsidRDefault="00641FBF" w:rsidP="00641FBF">
      <w:pPr>
        <w:widowControl/>
        <w:autoSpaceDE/>
        <w:autoSpaceDN/>
        <w:adjustRightInd/>
        <w:jc w:val="both"/>
        <w:textAlignment w:val="baseline"/>
        <w:rPr>
          <w:rFonts w:eastAsia="Times New Roman" w:cs="Times New Roman"/>
          <w:color w:val="000000"/>
          <w:szCs w:val="24"/>
        </w:rPr>
      </w:pPr>
      <w:r w:rsidRPr="00115E9D">
        <w:rPr>
          <w:rFonts w:eastAsia="Times New Roman" w:cs="Times New Roman"/>
          <w:color w:val="000000"/>
          <w:szCs w:val="24"/>
        </w:rPr>
        <w:t xml:space="preserve">Dzięki zaprojektowanym środkom finansowym, możliwe będzie przeprowadzanie </w:t>
      </w:r>
      <w:r w:rsidRPr="00115E9D">
        <w:rPr>
          <w:rFonts w:eastAsia="Times New Roman" w:cs="Times New Roman"/>
          <w:color w:val="000000"/>
          <w:szCs w:val="24"/>
        </w:rPr>
        <w:br/>
        <w:t xml:space="preserve">i rozstrzyganie aukcji, a także obsługa wytwórców aplikujących o wsparcie FIT i FIP. </w:t>
      </w:r>
    </w:p>
    <w:p w14:paraId="1BCAE154" w14:textId="77777777" w:rsidR="00641FBF" w:rsidRPr="00115E9D" w:rsidRDefault="00641FBF" w:rsidP="00641FBF">
      <w:pPr>
        <w:widowControl/>
        <w:autoSpaceDE/>
        <w:autoSpaceDN/>
        <w:adjustRightInd/>
        <w:jc w:val="both"/>
        <w:textAlignment w:val="baseline"/>
        <w:rPr>
          <w:rFonts w:eastAsia="Times New Roman" w:cs="Times New Roman"/>
          <w:color w:val="000000"/>
          <w:szCs w:val="24"/>
        </w:rPr>
      </w:pPr>
      <w:r w:rsidRPr="00115E9D">
        <w:rPr>
          <w:rFonts w:eastAsia="Times New Roman" w:cs="Times New Roman"/>
          <w:color w:val="000000"/>
          <w:szCs w:val="24"/>
        </w:rPr>
        <w:t xml:space="preserve">W pierwszej kolejności niezbędne jest objęcie sytemu wsparciem utrzymaniowym. Kwota </w:t>
      </w:r>
      <w:r w:rsidRPr="00115E9D">
        <w:rPr>
          <w:rFonts w:eastAsia="Times New Roman" w:cs="Times New Roman"/>
          <w:color w:val="000000"/>
          <w:szCs w:val="24"/>
        </w:rPr>
        <w:br/>
        <w:t xml:space="preserve">2 500 000 zł przewidywana jest do pełnego przeprowadzenia zamówienia w zakresie wynikającym z nowelizacji. Środki finansowe przewidziane na lata 2021-2028 umożliwią przeprowadzenie niezbędnych działań rozwojowych, w tym zabezpieczających utrzymanie </w:t>
      </w:r>
      <w:r w:rsidRPr="00115E9D">
        <w:rPr>
          <w:rFonts w:eastAsia="Times New Roman" w:cs="Times New Roman"/>
          <w:color w:val="000000"/>
          <w:szCs w:val="24"/>
        </w:rPr>
        <w:br/>
        <w:t>i prawidłowe funkcjonowanie systemu IPA w przyszłości, gwarantując bezpieczeństwo zgromadzonych danych oraz rozliczalność wytwórców, którzy będą funkcjonować w systemie aukcyjnym oraz FIT/FIP.</w:t>
      </w:r>
    </w:p>
    <w:p w14:paraId="5133221D" w14:textId="77777777" w:rsidR="00641FBF" w:rsidRPr="00115E9D" w:rsidRDefault="00641FBF" w:rsidP="00641FBF">
      <w:pPr>
        <w:widowControl/>
        <w:autoSpaceDE/>
        <w:autoSpaceDN/>
        <w:adjustRightInd/>
        <w:jc w:val="both"/>
        <w:textAlignment w:val="baseline"/>
        <w:rPr>
          <w:rFonts w:eastAsia="Times New Roman" w:cs="Times New Roman"/>
          <w:color w:val="000000"/>
          <w:szCs w:val="24"/>
        </w:rPr>
      </w:pPr>
    </w:p>
    <w:p w14:paraId="31B0A121" w14:textId="1511FEC9" w:rsidR="00641FBF" w:rsidRPr="00115E9D" w:rsidRDefault="00641FBF" w:rsidP="00641FBF">
      <w:pPr>
        <w:widowControl/>
        <w:autoSpaceDE/>
        <w:autoSpaceDN/>
        <w:adjustRightInd/>
        <w:jc w:val="both"/>
        <w:textAlignment w:val="baseline"/>
        <w:rPr>
          <w:rFonts w:eastAsia="Times New Roman" w:cs="Times New Roman"/>
          <w:color w:val="000000"/>
          <w:szCs w:val="24"/>
        </w:rPr>
      </w:pPr>
      <w:r w:rsidRPr="00115E9D">
        <w:rPr>
          <w:rFonts w:eastAsia="Times New Roman" w:cs="Times New Roman"/>
          <w:color w:val="000000"/>
          <w:szCs w:val="24"/>
        </w:rPr>
        <w:t>W art. 28 projektu wskazano, że ustawa wchodzi w życie po upływie 14 dni od dnia ogłoszenia</w:t>
      </w:r>
      <w:r w:rsidRPr="00115E9D">
        <w:rPr>
          <w:rFonts w:eastAsia="Times New Roman" w:cs="Times New Roman"/>
          <w:i/>
          <w:color w:val="000000"/>
          <w:szCs w:val="24"/>
        </w:rPr>
        <w:t xml:space="preserve">, </w:t>
      </w:r>
      <w:r w:rsidRPr="00115E9D">
        <w:rPr>
          <w:rFonts w:eastAsia="Times New Roman" w:cs="Times New Roman"/>
          <w:color w:val="000000"/>
          <w:szCs w:val="24"/>
        </w:rPr>
        <w:t>z wyjątkiem art.1 pkt 1 lit. a, pkt 10 lit. b oraz pkt 29 lit. a i art. 3 pkt 11, które wchodzą w życie z dniem 1 stycznia 2020 r. oraz art. 1 pkt 3 lit. e w zakresie dodawa</w:t>
      </w:r>
      <w:r w:rsidR="00A33FD7">
        <w:rPr>
          <w:rFonts w:eastAsia="Times New Roman" w:cs="Times New Roman"/>
          <w:color w:val="000000"/>
          <w:szCs w:val="24"/>
        </w:rPr>
        <w:t>nego art. 4 ust. 14, art. 3 pkt </w:t>
      </w:r>
      <w:r w:rsidRPr="00115E9D">
        <w:rPr>
          <w:rFonts w:eastAsia="Times New Roman" w:cs="Times New Roman"/>
          <w:color w:val="000000"/>
          <w:szCs w:val="24"/>
        </w:rPr>
        <w:t>5 oraz art. 2</w:t>
      </w:r>
      <w:r w:rsidR="00753FA8">
        <w:rPr>
          <w:rFonts w:eastAsia="Times New Roman" w:cs="Times New Roman"/>
          <w:color w:val="000000"/>
          <w:szCs w:val="24"/>
        </w:rPr>
        <w:t>2</w:t>
      </w:r>
      <w:r w:rsidRPr="00115E9D">
        <w:rPr>
          <w:rFonts w:eastAsia="Times New Roman" w:cs="Times New Roman"/>
          <w:color w:val="000000"/>
          <w:szCs w:val="24"/>
        </w:rPr>
        <w:t>, które wchodzą w życie po upływie 6 miesięcy od dnia ogłoszenia.</w:t>
      </w:r>
    </w:p>
    <w:p w14:paraId="60224CB9" w14:textId="77777777" w:rsidR="00641FBF" w:rsidRPr="00115E9D" w:rsidRDefault="00641FBF" w:rsidP="00641FBF">
      <w:pPr>
        <w:widowControl/>
        <w:autoSpaceDE/>
        <w:autoSpaceDN/>
        <w:adjustRightInd/>
        <w:jc w:val="both"/>
        <w:textAlignment w:val="baseline"/>
        <w:rPr>
          <w:rFonts w:eastAsia="Times New Roman" w:cs="Times New Roman"/>
          <w:color w:val="000000"/>
          <w:szCs w:val="24"/>
        </w:rPr>
      </w:pPr>
    </w:p>
    <w:p w14:paraId="1EE637F7" w14:textId="77777777" w:rsidR="00641FBF" w:rsidRPr="00115E9D" w:rsidRDefault="00641FBF" w:rsidP="00641FBF">
      <w:pPr>
        <w:widowControl/>
        <w:autoSpaceDE/>
        <w:autoSpaceDN/>
        <w:adjustRightInd/>
        <w:jc w:val="both"/>
        <w:textAlignment w:val="baseline"/>
        <w:rPr>
          <w:rFonts w:eastAsia="Times New Roman" w:cs="Times New Roman"/>
          <w:color w:val="000000"/>
          <w:szCs w:val="24"/>
        </w:rPr>
      </w:pPr>
      <w:r w:rsidRPr="00115E9D">
        <w:rPr>
          <w:rFonts w:eastAsia="Times New Roman" w:cs="Times New Roman"/>
          <w:color w:val="000000"/>
          <w:szCs w:val="24"/>
        </w:rPr>
        <w:t>Proponowany terminy wejścia w życie ustawy umożliwi przeprowadzenie przez Prezesa URE zaplanowanych w 2019 r. aukcji wg znowelizowanych przepisów.</w:t>
      </w:r>
    </w:p>
    <w:p w14:paraId="00FDC1A5" w14:textId="77777777" w:rsidR="00641FBF" w:rsidRPr="00115E9D" w:rsidRDefault="00641FBF" w:rsidP="00641FBF">
      <w:pPr>
        <w:widowControl/>
        <w:suppressAutoHyphens/>
        <w:jc w:val="both"/>
        <w:rPr>
          <w:rFonts w:eastAsia="Times New Roman" w:cs="Times New Roman"/>
          <w:color w:val="000000"/>
          <w:szCs w:val="24"/>
        </w:rPr>
      </w:pPr>
    </w:p>
    <w:p w14:paraId="21FA9249" w14:textId="1EA4B3DF" w:rsidR="00641FBF" w:rsidRPr="00115E9D" w:rsidRDefault="00641FBF" w:rsidP="00641FBF">
      <w:pPr>
        <w:widowControl/>
        <w:suppressAutoHyphens/>
        <w:jc w:val="both"/>
        <w:rPr>
          <w:rFonts w:eastAsia="Times New Roman" w:cs="Times New Roman"/>
          <w:color w:val="000000"/>
          <w:szCs w:val="24"/>
        </w:rPr>
      </w:pPr>
      <w:r w:rsidRPr="00115E9D">
        <w:rPr>
          <w:rFonts w:eastAsia="Times New Roman" w:cs="Times New Roman"/>
          <w:color w:val="000000"/>
          <w:szCs w:val="24"/>
        </w:rPr>
        <w:t xml:space="preserve">Projekt z chwilą przekazania do uzgodnień międzyresortowych oraz konsultacji publicznych został udostępniony w Biuletynie Informacji Publicznej na stronie podmiotowej Rządowego Centrum Legislacji, w serwisie Rządowy Proces Legislacyjny, zgodnie z ustawą z dnia 7 lipca 2005 o działalności lobbingowej w procesie stosowania prawa (Dz. U. z 2017 r. poz. 248) oraz § 52 uchwały </w:t>
      </w:r>
      <w:r w:rsidR="00A33FD7">
        <w:rPr>
          <w:rFonts w:eastAsia="Times New Roman" w:cs="Times New Roman"/>
          <w:color w:val="000000"/>
          <w:szCs w:val="24"/>
        </w:rPr>
        <w:t>n</w:t>
      </w:r>
      <w:r w:rsidRPr="00115E9D">
        <w:rPr>
          <w:rFonts w:eastAsia="Times New Roman" w:cs="Times New Roman"/>
          <w:color w:val="000000"/>
          <w:szCs w:val="24"/>
        </w:rPr>
        <w:t>r 190 Rady Ministrów z dnia 29 października 2013 r. – Regulamin pracy Rady Ministrów (M.P. z 2016 r. poz. 1006, z późn.zm.).</w:t>
      </w:r>
    </w:p>
    <w:p w14:paraId="24CACEF8" w14:textId="77777777" w:rsidR="00641FBF" w:rsidRPr="00115E9D" w:rsidRDefault="00641FBF" w:rsidP="00641FBF">
      <w:pPr>
        <w:widowControl/>
        <w:suppressAutoHyphens/>
        <w:jc w:val="both"/>
        <w:rPr>
          <w:rFonts w:eastAsia="Times New Roman" w:cs="Times New Roman"/>
          <w:color w:val="000000"/>
          <w:szCs w:val="24"/>
        </w:rPr>
      </w:pPr>
    </w:p>
    <w:p w14:paraId="1372B3E9" w14:textId="77777777" w:rsidR="00641FBF" w:rsidRPr="00115E9D" w:rsidRDefault="00641FBF" w:rsidP="00641FBF">
      <w:pPr>
        <w:spacing w:after="120"/>
        <w:jc w:val="both"/>
        <w:rPr>
          <w:rFonts w:eastAsia="Times New Roman" w:cs="Times New Roman"/>
          <w:b/>
          <w:color w:val="000000"/>
          <w:szCs w:val="24"/>
        </w:rPr>
      </w:pPr>
      <w:r w:rsidRPr="00115E9D">
        <w:rPr>
          <w:rFonts w:eastAsia="Times New Roman" w:cs="Times New Roman"/>
          <w:b/>
          <w:color w:val="000000"/>
          <w:szCs w:val="24"/>
        </w:rPr>
        <w:t>Ocena przewidywanego wpływu regulacji na działalność mikro, małych i średnich przedsiębiorców</w:t>
      </w:r>
    </w:p>
    <w:p w14:paraId="326CA921" w14:textId="77777777" w:rsidR="00641FBF" w:rsidRPr="00115E9D" w:rsidRDefault="00641FBF" w:rsidP="00641FBF">
      <w:pPr>
        <w:widowControl/>
        <w:autoSpaceDE/>
        <w:autoSpaceDN/>
        <w:adjustRightInd/>
        <w:spacing w:after="120"/>
        <w:jc w:val="both"/>
        <w:rPr>
          <w:rFonts w:eastAsia="Calibri" w:cs="Times New Roman"/>
          <w:color w:val="000000"/>
          <w:szCs w:val="24"/>
        </w:rPr>
      </w:pPr>
      <w:r w:rsidRPr="00115E9D">
        <w:rPr>
          <w:rFonts w:eastAsia="Calibri" w:cs="Times New Roman"/>
          <w:color w:val="000000"/>
          <w:szCs w:val="24"/>
        </w:rPr>
        <w:t>W zakresie wpływu regulacji na funkcjonowanie mikro, małych i średnich przedsiębiorstw wyjaśnienia wymaga, iż prezentowane rozwiązania legislacyjne</w:t>
      </w:r>
      <w:r w:rsidRPr="00115E9D">
        <w:rPr>
          <w:rFonts w:eastAsia="Calibri" w:cs="Times New Roman"/>
          <w:szCs w:val="24"/>
        </w:rPr>
        <w:t xml:space="preserve"> wychodzą naprzeciw oczekiwaniom społecznym oraz oczekiwaniom lokalnych przedsiębiorców, które kierowane były do Ministerstwa Energii.</w:t>
      </w:r>
      <w:r w:rsidRPr="00115E9D">
        <w:rPr>
          <w:rFonts w:eastAsia="Calibri" w:cs="Times New Roman"/>
          <w:color w:val="000000"/>
          <w:szCs w:val="24"/>
        </w:rPr>
        <w:t xml:space="preserve"> Powyższy wniosek wynika z faktu wprowadzenia zróżnicowanych mechanizmów wsparcia, dedykowanych podmiotom o różnej skali działalności. Poziom skomplikowania przepisów prawnych, których adresatami są przedsiębiorcy, jak również nadmiar obowiązków administracyjno-formalnych oddziałuje na mikro, małe i średnie przedsiębiorstwa w znacznie większym stopniu, niż na przedsiębiorstwa duże. Jako rozwiązanie powyższego, przygotowano uproszczone mechanizmy dystrybucji pomocy publicznej, adresowane do podmiotów eksploatujących mikro i małe instalacje odnawialnych źródeł energii. </w:t>
      </w:r>
    </w:p>
    <w:p w14:paraId="0DA13105" w14:textId="77777777" w:rsidR="00641FBF" w:rsidRPr="00115E9D" w:rsidRDefault="00641FBF" w:rsidP="00641FBF">
      <w:pPr>
        <w:widowControl/>
        <w:autoSpaceDE/>
        <w:autoSpaceDN/>
        <w:adjustRightInd/>
        <w:spacing w:after="120"/>
        <w:jc w:val="both"/>
        <w:rPr>
          <w:rFonts w:eastAsia="Calibri" w:cs="Times New Roman"/>
          <w:color w:val="000000"/>
          <w:szCs w:val="24"/>
        </w:rPr>
      </w:pPr>
      <w:r w:rsidRPr="00115E9D">
        <w:rPr>
          <w:rFonts w:eastAsia="Calibri" w:cs="Times New Roman"/>
          <w:color w:val="000000"/>
          <w:szCs w:val="24"/>
        </w:rPr>
        <w:t xml:space="preserve">Zakres wprowadzanych w ramach niniejszej nowelizacji zmian, przewiduje następujące obciążenia administracyjne: </w:t>
      </w:r>
    </w:p>
    <w:p w14:paraId="7BE2365C" w14:textId="5FBE8E62" w:rsidR="00641FBF" w:rsidRPr="00115E9D" w:rsidRDefault="00641FBF" w:rsidP="00A33FD7">
      <w:pPr>
        <w:widowControl/>
        <w:numPr>
          <w:ilvl w:val="0"/>
          <w:numId w:val="3"/>
        </w:numPr>
        <w:autoSpaceDE/>
        <w:autoSpaceDN/>
        <w:adjustRightInd/>
        <w:ind w:left="284" w:hanging="284"/>
        <w:jc w:val="both"/>
        <w:rPr>
          <w:rFonts w:eastAsia="Calibri" w:cs="Times New Roman"/>
          <w:color w:val="000000"/>
          <w:szCs w:val="24"/>
        </w:rPr>
      </w:pPr>
      <w:r w:rsidRPr="00115E9D">
        <w:rPr>
          <w:rFonts w:eastAsia="Calibri" w:cs="Times New Roman"/>
          <w:color w:val="000000"/>
          <w:szCs w:val="24"/>
        </w:rPr>
        <w:lastRenderedPageBreak/>
        <w:t>zmniejszenie obciążeń administracyjnych organów Państwowej Straży Pożarnej, w zakresie wyłączenia obowiązku zatwierdzania projektów budowlanych urządzeń fotowoltaicznych o mocy zainstalowanej elektrycznej nie większej niż 50 kW, dla możliwości skorzystania ze zwolnienia z obowiązku uzyskania pozwolenia na budowę,</w:t>
      </w:r>
    </w:p>
    <w:p w14:paraId="304C700E" w14:textId="2C692F8D" w:rsidR="00641FBF" w:rsidRPr="00115E9D" w:rsidRDefault="00641FBF" w:rsidP="00A33FD7">
      <w:pPr>
        <w:widowControl/>
        <w:numPr>
          <w:ilvl w:val="0"/>
          <w:numId w:val="3"/>
        </w:numPr>
        <w:autoSpaceDE/>
        <w:autoSpaceDN/>
        <w:adjustRightInd/>
        <w:spacing w:after="120"/>
        <w:ind w:left="284" w:hanging="284"/>
        <w:jc w:val="both"/>
        <w:rPr>
          <w:rFonts w:eastAsia="Calibri" w:cs="Times New Roman"/>
          <w:color w:val="000000"/>
          <w:szCs w:val="24"/>
        </w:rPr>
      </w:pPr>
      <w:r w:rsidRPr="00115E9D">
        <w:rPr>
          <w:rFonts w:eastAsia="Calibri" w:cs="Times New Roman"/>
          <w:color w:val="000000"/>
          <w:szCs w:val="24"/>
        </w:rPr>
        <w:t>zmniejszenie obciążeń administracyjnych w zakresie kontroli spełnienia warunków niezbędnych dla wydania przez Prezesa URE zaświadczenia o dopuszczeniu do aukcji nowych instalacji OZE, poprzez wykreślenie obowiązku przedłożenia prawomocnej decyzji o środowiskowych uwarunkowaniach</w:t>
      </w:r>
      <w:r w:rsidR="00753FA8">
        <w:rPr>
          <w:rFonts w:eastAsia="Calibri" w:cs="Times New Roman"/>
          <w:color w:val="000000"/>
          <w:szCs w:val="24"/>
        </w:rPr>
        <w:t>.</w:t>
      </w:r>
    </w:p>
    <w:p w14:paraId="7F739848" w14:textId="77777777" w:rsidR="00641FBF" w:rsidRPr="00115E9D" w:rsidRDefault="00641FBF" w:rsidP="00641FBF">
      <w:pPr>
        <w:widowControl/>
        <w:suppressAutoHyphens/>
        <w:jc w:val="both"/>
        <w:rPr>
          <w:rFonts w:eastAsia="Times New Roman" w:cs="Times New Roman"/>
          <w:color w:val="000000"/>
          <w:szCs w:val="24"/>
        </w:rPr>
      </w:pPr>
      <w:r w:rsidRPr="00115E9D">
        <w:rPr>
          <w:rFonts w:eastAsia="Times New Roman" w:cs="Times New Roman"/>
          <w:color w:val="000000"/>
          <w:szCs w:val="24"/>
        </w:rPr>
        <w:t xml:space="preserve">Projekt nie podlega przedstawieniu właściwym organom i instytucjom Unii Europejskiej, </w:t>
      </w:r>
      <w:r w:rsidRPr="00115E9D">
        <w:rPr>
          <w:rFonts w:eastAsia="Times New Roman" w:cs="Times New Roman"/>
          <w:color w:val="000000"/>
          <w:szCs w:val="24"/>
        </w:rPr>
        <w:br/>
        <w:t>w tym Europejskiemu Bankowi Centralnemu, w celu uzyskania opinii, dokonania powiadomienia, konsultacji albo uzgodnienia.</w:t>
      </w:r>
    </w:p>
    <w:p w14:paraId="10A60223" w14:textId="5A5207EB" w:rsidR="00641FBF" w:rsidRPr="00115E9D" w:rsidRDefault="00641FBF" w:rsidP="00641FBF">
      <w:pPr>
        <w:jc w:val="both"/>
        <w:rPr>
          <w:rFonts w:eastAsia="Times New Roman" w:cs="Times New Roman"/>
          <w:color w:val="000000"/>
          <w:szCs w:val="24"/>
        </w:rPr>
      </w:pPr>
      <w:r w:rsidRPr="00115E9D">
        <w:rPr>
          <w:rFonts w:eastAsia="Times New Roman" w:cs="Times New Roman"/>
          <w:color w:val="000000"/>
          <w:szCs w:val="24"/>
        </w:rPr>
        <w:t>Projekt nie zawiera przepisów technicznych, a tym samym nie wymaga notyfikowania Komisji Europejskiej, zgodnie z § 4 rozporządzenia Rady Ministrów z dnia 23 grudnia 2002 r. w sprawie sposobu funkcjonowania krajowego systemu notyfikacji norm i aktów prawnych (Dz. U. poz. 2039 oraz z 2004 r. poz. 597).</w:t>
      </w:r>
    </w:p>
    <w:p w14:paraId="4BACB57B" w14:textId="77777777" w:rsidR="00641FBF" w:rsidRPr="00115E9D" w:rsidRDefault="00641FBF" w:rsidP="00641FBF">
      <w:pPr>
        <w:jc w:val="both"/>
        <w:rPr>
          <w:rFonts w:eastAsia="Times New Roman" w:cs="Times New Roman"/>
          <w:color w:val="000000"/>
          <w:szCs w:val="24"/>
        </w:rPr>
      </w:pPr>
    </w:p>
    <w:p w14:paraId="3BBB1570" w14:textId="2F954782" w:rsidR="00641FBF" w:rsidRPr="00115E9D" w:rsidRDefault="00641FBF" w:rsidP="00641FBF">
      <w:pPr>
        <w:widowControl/>
        <w:suppressAutoHyphens/>
        <w:spacing w:before="120"/>
        <w:jc w:val="both"/>
        <w:rPr>
          <w:rFonts w:eastAsia="Times New Roman" w:cs="Times New Roman"/>
          <w:szCs w:val="24"/>
        </w:rPr>
      </w:pPr>
      <w:r w:rsidRPr="00115E9D">
        <w:rPr>
          <w:rFonts w:eastAsia="Calibri" w:cs="Times New Roman"/>
          <w:szCs w:val="24"/>
          <w:lang w:eastAsia="en-US"/>
        </w:rPr>
        <w:t>W art. 28 projektu wskazano, że ustawa wchodzi w życie po upływie 14 dni od dnia ogłoszenia, z wyjątkiem art. 1 pkt 1 lit. a, pkt 10 lit. b oraz pkt 29 lit. a i art. 3 pkt 11, które wchodzą w życie z dniem 1 stycznia 2020 r. oraz art. 1 pkt 3 lit. e w zakresie dodawanego art. 4 ust. 14, art. 3 pkt 5 oraz art. 2</w:t>
      </w:r>
      <w:r w:rsidR="00753FA8">
        <w:rPr>
          <w:rFonts w:eastAsia="Calibri" w:cs="Times New Roman"/>
          <w:szCs w:val="24"/>
          <w:lang w:eastAsia="en-US"/>
        </w:rPr>
        <w:t>2</w:t>
      </w:r>
      <w:r w:rsidRPr="00115E9D">
        <w:rPr>
          <w:rFonts w:eastAsia="Calibri" w:cs="Times New Roman"/>
          <w:szCs w:val="24"/>
          <w:lang w:eastAsia="en-US"/>
        </w:rPr>
        <w:t>, które wchodzą w życie po upływie 6 miesięcy od dnia ogłoszenia</w:t>
      </w:r>
      <w:r w:rsidRPr="00115E9D">
        <w:rPr>
          <w:rFonts w:eastAsia="Times New Roman" w:cs="Times New Roman"/>
          <w:szCs w:val="24"/>
        </w:rPr>
        <w:t xml:space="preserve">, </w:t>
      </w:r>
      <w:r w:rsidRPr="00115E9D">
        <w:rPr>
          <w:rFonts w:eastAsia="Calibri" w:cs="Times New Roman"/>
          <w:szCs w:val="24"/>
          <w:lang w:eastAsia="en-US"/>
        </w:rPr>
        <w:t xml:space="preserve">co odbiega od terminów wskazanych w § 1 ust. 1 uchwały Rady Ministrów </w:t>
      </w:r>
      <w:r w:rsidR="00A33FD7">
        <w:rPr>
          <w:rFonts w:eastAsia="Calibri" w:cs="Times New Roman"/>
          <w:szCs w:val="24"/>
          <w:lang w:eastAsia="en-US"/>
        </w:rPr>
        <w:t>n</w:t>
      </w:r>
      <w:r w:rsidRPr="00115E9D">
        <w:rPr>
          <w:rFonts w:eastAsia="Calibri" w:cs="Times New Roman"/>
          <w:szCs w:val="24"/>
          <w:lang w:eastAsia="en-US"/>
        </w:rPr>
        <w:t xml:space="preserve">r 20 z dnia 18 lutego 2014 r. w sprawie zaleceń ujednolicenia terminów wejścia w życie niektórych aktów normatywnych (M.P. poz. 205). </w:t>
      </w:r>
    </w:p>
    <w:p w14:paraId="133236CB" w14:textId="0B753D82" w:rsidR="00641FBF" w:rsidRPr="00115E9D" w:rsidRDefault="00641FBF" w:rsidP="00641FBF">
      <w:pPr>
        <w:widowControl/>
        <w:jc w:val="both"/>
        <w:rPr>
          <w:rFonts w:eastAsia="Calibri" w:cs="Times New Roman"/>
          <w:b/>
          <w:szCs w:val="24"/>
          <w:lang w:eastAsia="en-US"/>
        </w:rPr>
      </w:pPr>
      <w:r w:rsidRPr="00115E9D">
        <w:rPr>
          <w:rFonts w:eastAsia="Calibri" w:cs="Times New Roman"/>
          <w:szCs w:val="24"/>
          <w:lang w:eastAsia="en-US"/>
        </w:rPr>
        <w:t>Powyższe odstąpienie od ww. terminów nastąpiło zgodnie z § 1 ust. 2 przedmiotowej uchwały. Należy bowiem zauważyć, iż termin wejścia w życie projektowanych przepisów powinien nastąpić przed upływem terminu wynikającego z art. 192 ust. 1 ustawy o OZE. Ponadto projektowany termin umożliwi przeprowadzenie przez Prezesa URE zaplanowanych w</w:t>
      </w:r>
      <w:r w:rsidRPr="00115E9D">
        <w:rPr>
          <w:rFonts w:eastAsia="Calibri" w:cs="Times New Roman"/>
          <w:b/>
          <w:szCs w:val="24"/>
          <w:lang w:eastAsia="en-US"/>
        </w:rPr>
        <w:t xml:space="preserve"> </w:t>
      </w:r>
      <w:r w:rsidRPr="00115E9D">
        <w:rPr>
          <w:rFonts w:eastAsia="Calibri" w:cs="Times New Roman"/>
          <w:szCs w:val="24"/>
          <w:lang w:eastAsia="en-US"/>
        </w:rPr>
        <w:t xml:space="preserve">2019 r. aukcji, </w:t>
      </w:r>
      <w:r w:rsidR="00753FA8">
        <w:rPr>
          <w:rFonts w:eastAsia="Calibri" w:cs="Times New Roman"/>
          <w:szCs w:val="24"/>
          <w:lang w:eastAsia="en-US"/>
        </w:rPr>
        <w:t xml:space="preserve">zgodnie z nowymi </w:t>
      </w:r>
      <w:r w:rsidRPr="00115E9D">
        <w:rPr>
          <w:rFonts w:eastAsia="Calibri" w:cs="Times New Roman"/>
          <w:szCs w:val="24"/>
          <w:lang w:eastAsia="en-US"/>
        </w:rPr>
        <w:t>przepis</w:t>
      </w:r>
      <w:r w:rsidR="00753FA8">
        <w:rPr>
          <w:rFonts w:eastAsia="Calibri" w:cs="Times New Roman"/>
          <w:szCs w:val="24"/>
          <w:lang w:eastAsia="en-US"/>
        </w:rPr>
        <w:t>ami</w:t>
      </w:r>
      <w:r w:rsidRPr="00115E9D">
        <w:rPr>
          <w:rFonts w:eastAsia="Calibri" w:cs="Times New Roman"/>
          <w:szCs w:val="24"/>
          <w:lang w:eastAsia="en-US"/>
        </w:rPr>
        <w:t>.</w:t>
      </w:r>
    </w:p>
    <w:p w14:paraId="086CB9B4" w14:textId="77777777" w:rsidR="00641FBF" w:rsidRPr="00115E9D" w:rsidRDefault="00641FBF" w:rsidP="00641FBF">
      <w:pPr>
        <w:spacing w:line="240" w:lineRule="auto"/>
        <w:rPr>
          <w:rFonts w:eastAsia="Times New Roman" w:cs="Times New Roman"/>
          <w:szCs w:val="24"/>
          <w:lang w:eastAsia="ar-SA"/>
        </w:rPr>
      </w:pPr>
    </w:p>
    <w:p w14:paraId="4E1CEB75" w14:textId="77777777" w:rsidR="00641FBF" w:rsidRPr="00115E9D" w:rsidRDefault="00641FBF" w:rsidP="00641FBF">
      <w:pPr>
        <w:keepNext/>
        <w:keepLines/>
        <w:suppressAutoHyphens/>
        <w:autoSpaceDE/>
        <w:autoSpaceDN/>
        <w:adjustRightInd/>
        <w:jc w:val="both"/>
        <w:outlineLvl w:val="0"/>
        <w:rPr>
          <w:rFonts w:eastAsia="Times New Roman" w:cs="Times New Roman"/>
          <w:b/>
          <w:bCs/>
          <w:color w:val="000000"/>
          <w:kern w:val="1"/>
          <w:szCs w:val="24"/>
          <w:lang w:eastAsia="ar-SA"/>
        </w:rPr>
      </w:pPr>
      <w:r w:rsidRPr="00115E9D">
        <w:rPr>
          <w:rFonts w:eastAsia="Times New Roman" w:cs="Times New Roman"/>
          <w:b/>
          <w:bCs/>
          <w:color w:val="000000"/>
          <w:kern w:val="1"/>
          <w:szCs w:val="24"/>
          <w:lang w:eastAsia="ar-SA"/>
        </w:rPr>
        <w:t>Zgodność z prawem Unii Europejskiej</w:t>
      </w:r>
    </w:p>
    <w:p w14:paraId="609A3B0F" w14:textId="6A7718B6" w:rsidR="00641FBF" w:rsidRPr="00671F12" w:rsidRDefault="00641FBF" w:rsidP="00671F12">
      <w:pPr>
        <w:widowControl/>
        <w:suppressAutoHyphens/>
        <w:jc w:val="both"/>
        <w:rPr>
          <w:rFonts w:ascii="Times" w:hAnsi="Times"/>
        </w:rPr>
      </w:pPr>
      <w:r w:rsidRPr="00115E9D">
        <w:rPr>
          <w:rFonts w:eastAsia="Times New Roman" w:cs="Times New Roman"/>
          <w:color w:val="000000"/>
          <w:szCs w:val="24"/>
        </w:rPr>
        <w:t xml:space="preserve">Projektowana regulacja jest zgodna z prawem Unii Europejskiej. </w:t>
      </w:r>
    </w:p>
    <w:sectPr w:rsidR="00641FBF" w:rsidRPr="00671F12" w:rsidSect="00C930F4">
      <w:footerReference w:type="default" r:id="rId12"/>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3F8FA6" w14:textId="77777777" w:rsidR="00FA4B33" w:rsidRDefault="00FA4B33">
      <w:r>
        <w:separator/>
      </w:r>
    </w:p>
  </w:endnote>
  <w:endnote w:type="continuationSeparator" w:id="0">
    <w:p w14:paraId="5588D4CD" w14:textId="77777777" w:rsidR="00FA4B33" w:rsidRDefault="00FA4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1710038"/>
      <w:docPartObj>
        <w:docPartGallery w:val="Page Numbers (Bottom of Page)"/>
        <w:docPartUnique/>
      </w:docPartObj>
    </w:sdtPr>
    <w:sdtEndPr/>
    <w:sdtContent>
      <w:p w14:paraId="13E3396F" w14:textId="609F6CE8" w:rsidR="002F7DB6" w:rsidRDefault="002F7DB6" w:rsidP="002F7DB6">
        <w:pPr>
          <w:pStyle w:val="Stopka"/>
          <w:jc w:val="center"/>
        </w:pPr>
        <w:r>
          <w:fldChar w:fldCharType="begin"/>
        </w:r>
        <w:r>
          <w:instrText>PAGE   \* MERGEFORMAT</w:instrText>
        </w:r>
        <w:r>
          <w:fldChar w:fldCharType="separate"/>
        </w:r>
        <w:r w:rsidR="00FF69ED">
          <w:rPr>
            <w:noProof/>
          </w:rPr>
          <w:t>29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CAC9EE" w14:textId="77777777" w:rsidR="00FA4B33" w:rsidRDefault="00FA4B33">
      <w:r>
        <w:separator/>
      </w:r>
    </w:p>
  </w:footnote>
  <w:footnote w:type="continuationSeparator" w:id="0">
    <w:p w14:paraId="04E78C6B" w14:textId="77777777" w:rsidR="00FA4B33" w:rsidRDefault="00FA4B33">
      <w:r>
        <w:continuationSeparator/>
      </w:r>
    </w:p>
  </w:footnote>
  <w:footnote w:id="1">
    <w:p w14:paraId="0EDF8AB3" w14:textId="77777777" w:rsidR="00E53D1B" w:rsidRPr="002D37C1" w:rsidRDefault="00E53D1B" w:rsidP="00641FBF">
      <w:pPr>
        <w:pStyle w:val="ODNONIKtreodnonika"/>
      </w:pPr>
      <w:r>
        <w:rPr>
          <w:rStyle w:val="Odwoanieprzypisudolnego"/>
        </w:rPr>
        <w:footnoteRef/>
      </w:r>
      <w:r>
        <w:rPr>
          <w:vertAlign w:val="superscript"/>
        </w:rPr>
        <w:t>)</w:t>
      </w:r>
      <w:r>
        <w:t xml:space="preserve"> </w:t>
      </w:r>
      <w:r w:rsidRPr="00FD7D4A">
        <w:t>Informacja Prezesa Urz</w:t>
      </w:r>
      <w:r w:rsidRPr="00FD7D4A">
        <w:rPr>
          <w:rFonts w:ascii="Cambria" w:hAnsi="Cambria" w:cs="Cambria"/>
        </w:rPr>
        <w:t>ę</w:t>
      </w:r>
      <w:r w:rsidRPr="00FD7D4A">
        <w:t xml:space="preserve">du Regulacji Energetyki </w:t>
      </w:r>
      <w:r>
        <w:t xml:space="preserve">z 27 marca 2019 r. </w:t>
      </w:r>
      <w:r w:rsidRPr="00FD7D4A">
        <w:t xml:space="preserve">(nr 20/2019) w sprawie </w:t>
      </w:r>
      <w:r w:rsidRPr="00FD7D4A">
        <w:rPr>
          <w:rFonts w:ascii="Cambria" w:hAnsi="Cambria" w:cs="Cambria"/>
        </w:rPr>
        <w:t>ś</w:t>
      </w:r>
      <w:r w:rsidRPr="00FD7D4A">
        <w:t>redniej ceny sprzeda</w:t>
      </w:r>
      <w:r w:rsidRPr="00FD7D4A">
        <w:rPr>
          <w:rFonts w:ascii="Cambria" w:hAnsi="Cambria" w:cs="Cambria"/>
        </w:rPr>
        <w:t>ż</w:t>
      </w:r>
      <w:r w:rsidRPr="00FD7D4A">
        <w:t>y energii elektrycznej na rynku konkurencyjnym za rok 2018</w:t>
      </w:r>
      <w:r>
        <w:t xml:space="preserve">, </w:t>
      </w:r>
      <w:r w:rsidRPr="006F5AE5">
        <w:t>https://www.ure.gov.pl/pl/urzad/informacje-ogolne/komunikaty-prezesa-ure/8160,Informacja-nr-202019.html</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E472E"/>
    <w:multiLevelType w:val="hybridMultilevel"/>
    <w:tmpl w:val="70AE4376"/>
    <w:lvl w:ilvl="0" w:tplc="04150011">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F0273EC"/>
    <w:multiLevelType w:val="hybridMultilevel"/>
    <w:tmpl w:val="B896EA56"/>
    <w:lvl w:ilvl="0" w:tplc="5D8A0F62">
      <w:start w:val="1"/>
      <w:numFmt w:val="decimal"/>
      <w:lvlText w:val="%1)"/>
      <w:lvlJc w:val="left"/>
      <w:pPr>
        <w:ind w:left="720" w:hanging="360"/>
      </w:pPr>
      <w:rPr>
        <w:rFonts w:ascii="Times New Roman" w:eastAsiaTheme="minorEastAsia" w:hAnsi="Times New Roman" w:cs="Times New Roman"/>
      </w:rPr>
    </w:lvl>
    <w:lvl w:ilvl="1" w:tplc="04150017">
      <w:start w:val="1"/>
      <w:numFmt w:val="lowerLetter"/>
      <w:lvlText w:val="%2)"/>
      <w:lvlJc w:val="left"/>
      <w:pPr>
        <w:ind w:left="1440" w:hanging="360"/>
      </w:pPr>
      <w:rPr>
        <w:rFonts w:hint="default"/>
        <w:b w:val="0"/>
        <w:i w:val="0"/>
        <w:sz w:val="24"/>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5E226D"/>
    <w:multiLevelType w:val="hybridMultilevel"/>
    <w:tmpl w:val="C31477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B5A0307"/>
    <w:multiLevelType w:val="hybridMultilevel"/>
    <w:tmpl w:val="A3AC969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24754C59"/>
    <w:multiLevelType w:val="hybridMultilevel"/>
    <w:tmpl w:val="542439F6"/>
    <w:lvl w:ilvl="0" w:tplc="3C3659C6">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5" w15:restartNumberingAfterBreak="0">
    <w:nsid w:val="330052F4"/>
    <w:multiLevelType w:val="hybridMultilevel"/>
    <w:tmpl w:val="B896EA56"/>
    <w:lvl w:ilvl="0" w:tplc="5D8A0F62">
      <w:start w:val="1"/>
      <w:numFmt w:val="decimal"/>
      <w:lvlText w:val="%1)"/>
      <w:lvlJc w:val="left"/>
      <w:pPr>
        <w:ind w:left="720" w:hanging="360"/>
      </w:pPr>
      <w:rPr>
        <w:rFonts w:ascii="Times New Roman" w:eastAsiaTheme="minorEastAsia" w:hAnsi="Times New Roman" w:cs="Times New Roman"/>
      </w:rPr>
    </w:lvl>
    <w:lvl w:ilvl="1" w:tplc="04150017">
      <w:start w:val="1"/>
      <w:numFmt w:val="lowerLetter"/>
      <w:lvlText w:val="%2)"/>
      <w:lvlJc w:val="left"/>
      <w:pPr>
        <w:ind w:left="1440" w:hanging="360"/>
      </w:pPr>
      <w:rPr>
        <w:rFonts w:hint="default"/>
        <w:b w:val="0"/>
        <w:i w:val="0"/>
        <w:sz w:val="24"/>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4223485"/>
    <w:multiLevelType w:val="hybridMultilevel"/>
    <w:tmpl w:val="C068FC1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34B3885"/>
    <w:multiLevelType w:val="hybridMultilevel"/>
    <w:tmpl w:val="30A45812"/>
    <w:lvl w:ilvl="0" w:tplc="2E166814">
      <w:start w:val="1"/>
      <w:numFmt w:val="decimal"/>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9" w15:restartNumberingAfterBreak="0">
    <w:nsid w:val="61584111"/>
    <w:multiLevelType w:val="hybridMultilevel"/>
    <w:tmpl w:val="7410E6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199019E"/>
    <w:multiLevelType w:val="hybridMultilevel"/>
    <w:tmpl w:val="88602E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7E33020"/>
    <w:multiLevelType w:val="hybridMultilevel"/>
    <w:tmpl w:val="46105C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ADA3D22"/>
    <w:multiLevelType w:val="hybridMultilevel"/>
    <w:tmpl w:val="A96033AA"/>
    <w:lvl w:ilvl="0" w:tplc="5D8A0F62">
      <w:start w:val="1"/>
      <w:numFmt w:val="decimal"/>
      <w:lvlText w:val="%1)"/>
      <w:lvlJc w:val="left"/>
      <w:pPr>
        <w:ind w:left="502" w:hanging="360"/>
      </w:pPr>
      <w:rPr>
        <w:rFonts w:ascii="Times New Roman" w:eastAsiaTheme="minorEastAsia" w:hAnsi="Times New Roman" w:cs="Times New Roman"/>
      </w:rPr>
    </w:lvl>
    <w:lvl w:ilvl="1" w:tplc="04150017">
      <w:start w:val="1"/>
      <w:numFmt w:val="lowerLetter"/>
      <w:lvlText w:val="%2)"/>
      <w:lvlJc w:val="left"/>
      <w:pPr>
        <w:ind w:left="1440" w:hanging="360"/>
      </w:pPr>
      <w:rPr>
        <w:rFonts w:hint="default"/>
        <w:b w:val="0"/>
        <w:i w:val="0"/>
        <w:sz w:val="24"/>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
  </w:num>
  <w:num w:numId="2">
    <w:abstractNumId w:val="0"/>
  </w:num>
  <w:num w:numId="3">
    <w:abstractNumId w:val="6"/>
  </w:num>
  <w:num w:numId="4">
    <w:abstractNumId w:val="9"/>
  </w:num>
  <w:num w:numId="5">
    <w:abstractNumId w:val="3"/>
  </w:num>
  <w:num w:numId="6">
    <w:abstractNumId w:val="7"/>
  </w:num>
  <w:num w:numId="7">
    <w:abstractNumId w:val="10"/>
  </w:num>
  <w:num w:numId="8">
    <w:abstractNumId w:val="1"/>
  </w:num>
  <w:num w:numId="9">
    <w:abstractNumId w:val="5"/>
  </w:num>
  <w:num w:numId="10">
    <w:abstractNumId w:val="4"/>
  </w:num>
  <w:num w:numId="11">
    <w:abstractNumId w:val="8"/>
  </w:num>
  <w:num w:numId="12">
    <w:abstractNumId w:val="2"/>
  </w:num>
  <w:num w:numId="1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78A"/>
    <w:rsid w:val="000012DA"/>
    <w:rsid w:val="0000246E"/>
    <w:rsid w:val="00003862"/>
    <w:rsid w:val="000045D7"/>
    <w:rsid w:val="00005C75"/>
    <w:rsid w:val="000070F3"/>
    <w:rsid w:val="000078E8"/>
    <w:rsid w:val="000121D4"/>
    <w:rsid w:val="00012A35"/>
    <w:rsid w:val="00013C6A"/>
    <w:rsid w:val="00016099"/>
    <w:rsid w:val="00017550"/>
    <w:rsid w:val="000176A0"/>
    <w:rsid w:val="00017DC2"/>
    <w:rsid w:val="00020807"/>
    <w:rsid w:val="00021522"/>
    <w:rsid w:val="000221BE"/>
    <w:rsid w:val="00023471"/>
    <w:rsid w:val="00023F13"/>
    <w:rsid w:val="00023F2D"/>
    <w:rsid w:val="0002576F"/>
    <w:rsid w:val="00030634"/>
    <w:rsid w:val="000319C1"/>
    <w:rsid w:val="00031A8B"/>
    <w:rsid w:val="00031BCA"/>
    <w:rsid w:val="00031E44"/>
    <w:rsid w:val="000320FF"/>
    <w:rsid w:val="00032A5E"/>
    <w:rsid w:val="000330FA"/>
    <w:rsid w:val="00033147"/>
    <w:rsid w:val="0003362F"/>
    <w:rsid w:val="00036B63"/>
    <w:rsid w:val="00037E1A"/>
    <w:rsid w:val="00042778"/>
    <w:rsid w:val="00043495"/>
    <w:rsid w:val="00043EB5"/>
    <w:rsid w:val="00045BA9"/>
    <w:rsid w:val="00046A75"/>
    <w:rsid w:val="00046ACF"/>
    <w:rsid w:val="00047312"/>
    <w:rsid w:val="00050566"/>
    <w:rsid w:val="000508BD"/>
    <w:rsid w:val="0005130C"/>
    <w:rsid w:val="000517AB"/>
    <w:rsid w:val="0005339C"/>
    <w:rsid w:val="0005571B"/>
    <w:rsid w:val="00057AB3"/>
    <w:rsid w:val="00060076"/>
    <w:rsid w:val="00060432"/>
    <w:rsid w:val="00060606"/>
    <w:rsid w:val="000606D8"/>
    <w:rsid w:val="00060D87"/>
    <w:rsid w:val="00060EEB"/>
    <w:rsid w:val="000615A5"/>
    <w:rsid w:val="00061B78"/>
    <w:rsid w:val="000621C5"/>
    <w:rsid w:val="00062EDB"/>
    <w:rsid w:val="00064E4C"/>
    <w:rsid w:val="00066900"/>
    <w:rsid w:val="00066901"/>
    <w:rsid w:val="00066D4B"/>
    <w:rsid w:val="0006715C"/>
    <w:rsid w:val="0007005E"/>
    <w:rsid w:val="00071BEE"/>
    <w:rsid w:val="000724A8"/>
    <w:rsid w:val="000736CD"/>
    <w:rsid w:val="0007372F"/>
    <w:rsid w:val="0007381B"/>
    <w:rsid w:val="00074BC3"/>
    <w:rsid w:val="0007533B"/>
    <w:rsid w:val="0007545D"/>
    <w:rsid w:val="000760BF"/>
    <w:rsid w:val="0007613E"/>
    <w:rsid w:val="00076BFC"/>
    <w:rsid w:val="000814A7"/>
    <w:rsid w:val="00084434"/>
    <w:rsid w:val="0008523F"/>
    <w:rsid w:val="0008557B"/>
    <w:rsid w:val="00085CE7"/>
    <w:rsid w:val="00085F4B"/>
    <w:rsid w:val="000867C2"/>
    <w:rsid w:val="00087EA7"/>
    <w:rsid w:val="000906EE"/>
    <w:rsid w:val="0009074E"/>
    <w:rsid w:val="00091BA2"/>
    <w:rsid w:val="00093ED2"/>
    <w:rsid w:val="000944EF"/>
    <w:rsid w:val="00096CFB"/>
    <w:rsid w:val="0009732D"/>
    <w:rsid w:val="000973F0"/>
    <w:rsid w:val="000A0480"/>
    <w:rsid w:val="000A0A4E"/>
    <w:rsid w:val="000A1296"/>
    <w:rsid w:val="000A1C22"/>
    <w:rsid w:val="000A1C27"/>
    <w:rsid w:val="000A1C34"/>
    <w:rsid w:val="000A1DAD"/>
    <w:rsid w:val="000A2649"/>
    <w:rsid w:val="000A323B"/>
    <w:rsid w:val="000A3BFC"/>
    <w:rsid w:val="000B216D"/>
    <w:rsid w:val="000B219E"/>
    <w:rsid w:val="000B298D"/>
    <w:rsid w:val="000B4E70"/>
    <w:rsid w:val="000B527C"/>
    <w:rsid w:val="000B5932"/>
    <w:rsid w:val="000B5AA4"/>
    <w:rsid w:val="000B5B2D"/>
    <w:rsid w:val="000B5DCE"/>
    <w:rsid w:val="000B5FFD"/>
    <w:rsid w:val="000B6FC5"/>
    <w:rsid w:val="000C05BA"/>
    <w:rsid w:val="000C0E8F"/>
    <w:rsid w:val="000C2FE5"/>
    <w:rsid w:val="000C436C"/>
    <w:rsid w:val="000C43E7"/>
    <w:rsid w:val="000C4BC4"/>
    <w:rsid w:val="000C755A"/>
    <w:rsid w:val="000C772F"/>
    <w:rsid w:val="000D0110"/>
    <w:rsid w:val="000D033E"/>
    <w:rsid w:val="000D2468"/>
    <w:rsid w:val="000D316A"/>
    <w:rsid w:val="000D318A"/>
    <w:rsid w:val="000D3324"/>
    <w:rsid w:val="000D5DA0"/>
    <w:rsid w:val="000D5DC1"/>
    <w:rsid w:val="000D6173"/>
    <w:rsid w:val="000D6F83"/>
    <w:rsid w:val="000D7CFC"/>
    <w:rsid w:val="000E18DC"/>
    <w:rsid w:val="000E25CC"/>
    <w:rsid w:val="000E2D25"/>
    <w:rsid w:val="000E3694"/>
    <w:rsid w:val="000E3BDF"/>
    <w:rsid w:val="000E490F"/>
    <w:rsid w:val="000E494A"/>
    <w:rsid w:val="000E4B11"/>
    <w:rsid w:val="000E531C"/>
    <w:rsid w:val="000E6241"/>
    <w:rsid w:val="000E6C3D"/>
    <w:rsid w:val="000E7BD3"/>
    <w:rsid w:val="000F1F08"/>
    <w:rsid w:val="000F2BE3"/>
    <w:rsid w:val="000F3D0D"/>
    <w:rsid w:val="000F424E"/>
    <w:rsid w:val="000F48A1"/>
    <w:rsid w:val="000F5726"/>
    <w:rsid w:val="000F6ED4"/>
    <w:rsid w:val="000F76E1"/>
    <w:rsid w:val="000F7A6E"/>
    <w:rsid w:val="001006EF"/>
    <w:rsid w:val="0010196D"/>
    <w:rsid w:val="00103A4F"/>
    <w:rsid w:val="001042BA"/>
    <w:rsid w:val="00104823"/>
    <w:rsid w:val="00104F9F"/>
    <w:rsid w:val="00105CBA"/>
    <w:rsid w:val="00106D03"/>
    <w:rsid w:val="00110465"/>
    <w:rsid w:val="00110628"/>
    <w:rsid w:val="0011245A"/>
    <w:rsid w:val="0011297D"/>
    <w:rsid w:val="00112A0C"/>
    <w:rsid w:val="0011493E"/>
    <w:rsid w:val="00115B31"/>
    <w:rsid w:val="00115B72"/>
    <w:rsid w:val="00115E9D"/>
    <w:rsid w:val="00117B5A"/>
    <w:rsid w:val="001209EC"/>
    <w:rsid w:val="00120A9E"/>
    <w:rsid w:val="00120D98"/>
    <w:rsid w:val="00121F50"/>
    <w:rsid w:val="00125084"/>
    <w:rsid w:val="00125A9C"/>
    <w:rsid w:val="001263E9"/>
    <w:rsid w:val="001270A2"/>
    <w:rsid w:val="00127795"/>
    <w:rsid w:val="00127E6F"/>
    <w:rsid w:val="00127FF5"/>
    <w:rsid w:val="0013016F"/>
    <w:rsid w:val="00131237"/>
    <w:rsid w:val="00131E87"/>
    <w:rsid w:val="0013229B"/>
    <w:rsid w:val="001329AC"/>
    <w:rsid w:val="00133172"/>
    <w:rsid w:val="00134CA0"/>
    <w:rsid w:val="001358D2"/>
    <w:rsid w:val="00135AB8"/>
    <w:rsid w:val="00137FBA"/>
    <w:rsid w:val="0014026F"/>
    <w:rsid w:val="001448E5"/>
    <w:rsid w:val="00146B5C"/>
    <w:rsid w:val="00147411"/>
    <w:rsid w:val="00147A47"/>
    <w:rsid w:val="00147AA1"/>
    <w:rsid w:val="00150321"/>
    <w:rsid w:val="0015036C"/>
    <w:rsid w:val="00150C9B"/>
    <w:rsid w:val="001520CF"/>
    <w:rsid w:val="00154497"/>
    <w:rsid w:val="00155038"/>
    <w:rsid w:val="0015667C"/>
    <w:rsid w:val="00157110"/>
    <w:rsid w:val="001571A2"/>
    <w:rsid w:val="0015742A"/>
    <w:rsid w:val="00157DA1"/>
    <w:rsid w:val="00163147"/>
    <w:rsid w:val="001642C0"/>
    <w:rsid w:val="00164C57"/>
    <w:rsid w:val="00164C9D"/>
    <w:rsid w:val="001655AE"/>
    <w:rsid w:val="0016755A"/>
    <w:rsid w:val="00172F7A"/>
    <w:rsid w:val="00173150"/>
    <w:rsid w:val="00173390"/>
    <w:rsid w:val="001736F0"/>
    <w:rsid w:val="00173794"/>
    <w:rsid w:val="00173BB3"/>
    <w:rsid w:val="00173E27"/>
    <w:rsid w:val="001740D0"/>
    <w:rsid w:val="0017454C"/>
    <w:rsid w:val="00174DA0"/>
    <w:rsid w:val="00174F2C"/>
    <w:rsid w:val="00176F3D"/>
    <w:rsid w:val="001773F2"/>
    <w:rsid w:val="001774D9"/>
    <w:rsid w:val="00180D30"/>
    <w:rsid w:val="00180F2A"/>
    <w:rsid w:val="00181843"/>
    <w:rsid w:val="0018329A"/>
    <w:rsid w:val="00183775"/>
    <w:rsid w:val="00184B91"/>
    <w:rsid w:val="00184D4A"/>
    <w:rsid w:val="001859ED"/>
    <w:rsid w:val="00185B3E"/>
    <w:rsid w:val="00186EC1"/>
    <w:rsid w:val="00187C5B"/>
    <w:rsid w:val="00191E1F"/>
    <w:rsid w:val="00192E52"/>
    <w:rsid w:val="00193F96"/>
    <w:rsid w:val="0019473B"/>
    <w:rsid w:val="00194956"/>
    <w:rsid w:val="001952B1"/>
    <w:rsid w:val="00196E39"/>
    <w:rsid w:val="00197649"/>
    <w:rsid w:val="0019796C"/>
    <w:rsid w:val="001A01FB"/>
    <w:rsid w:val="001A10E9"/>
    <w:rsid w:val="001A1592"/>
    <w:rsid w:val="001A183D"/>
    <w:rsid w:val="001A1843"/>
    <w:rsid w:val="001A1DC3"/>
    <w:rsid w:val="001A2B65"/>
    <w:rsid w:val="001A3CD3"/>
    <w:rsid w:val="001A5BEF"/>
    <w:rsid w:val="001A682D"/>
    <w:rsid w:val="001A6890"/>
    <w:rsid w:val="001A7EE8"/>
    <w:rsid w:val="001A7F15"/>
    <w:rsid w:val="001B342E"/>
    <w:rsid w:val="001C037F"/>
    <w:rsid w:val="001C0E84"/>
    <w:rsid w:val="001C1832"/>
    <w:rsid w:val="001C188C"/>
    <w:rsid w:val="001C3A42"/>
    <w:rsid w:val="001C6906"/>
    <w:rsid w:val="001D1692"/>
    <w:rsid w:val="001D1783"/>
    <w:rsid w:val="001D208E"/>
    <w:rsid w:val="001D4021"/>
    <w:rsid w:val="001D4C28"/>
    <w:rsid w:val="001D53CD"/>
    <w:rsid w:val="001D5407"/>
    <w:rsid w:val="001D55A3"/>
    <w:rsid w:val="001D5AF5"/>
    <w:rsid w:val="001D6FE3"/>
    <w:rsid w:val="001D7EAA"/>
    <w:rsid w:val="001E0669"/>
    <w:rsid w:val="001E09AC"/>
    <w:rsid w:val="001E1B0D"/>
    <w:rsid w:val="001E1E73"/>
    <w:rsid w:val="001E2009"/>
    <w:rsid w:val="001E22CC"/>
    <w:rsid w:val="001E238F"/>
    <w:rsid w:val="001E40EE"/>
    <w:rsid w:val="001E4E0C"/>
    <w:rsid w:val="001E526D"/>
    <w:rsid w:val="001E5655"/>
    <w:rsid w:val="001E7AE6"/>
    <w:rsid w:val="001F1832"/>
    <w:rsid w:val="001F220F"/>
    <w:rsid w:val="001F25B3"/>
    <w:rsid w:val="001F3A8E"/>
    <w:rsid w:val="001F6616"/>
    <w:rsid w:val="001F6785"/>
    <w:rsid w:val="002010B5"/>
    <w:rsid w:val="00202BD4"/>
    <w:rsid w:val="00203BAB"/>
    <w:rsid w:val="00204A3E"/>
    <w:rsid w:val="00204A97"/>
    <w:rsid w:val="0020506F"/>
    <w:rsid w:val="00205E55"/>
    <w:rsid w:val="00207540"/>
    <w:rsid w:val="00207B87"/>
    <w:rsid w:val="002114EF"/>
    <w:rsid w:val="002115D6"/>
    <w:rsid w:val="002147EF"/>
    <w:rsid w:val="002149BB"/>
    <w:rsid w:val="00215A69"/>
    <w:rsid w:val="002166AD"/>
    <w:rsid w:val="00216B9D"/>
    <w:rsid w:val="00217871"/>
    <w:rsid w:val="002214B8"/>
    <w:rsid w:val="00221ED8"/>
    <w:rsid w:val="002231EA"/>
    <w:rsid w:val="00223FDF"/>
    <w:rsid w:val="00225C97"/>
    <w:rsid w:val="002270B6"/>
    <w:rsid w:val="002279C0"/>
    <w:rsid w:val="00227C25"/>
    <w:rsid w:val="002303ED"/>
    <w:rsid w:val="00231B04"/>
    <w:rsid w:val="002325E3"/>
    <w:rsid w:val="0023520A"/>
    <w:rsid w:val="0023727E"/>
    <w:rsid w:val="0023728A"/>
    <w:rsid w:val="002405B1"/>
    <w:rsid w:val="0024199E"/>
    <w:rsid w:val="00242004"/>
    <w:rsid w:val="00242081"/>
    <w:rsid w:val="00242479"/>
    <w:rsid w:val="00243551"/>
    <w:rsid w:val="00243777"/>
    <w:rsid w:val="00243D77"/>
    <w:rsid w:val="002441CD"/>
    <w:rsid w:val="00246D0C"/>
    <w:rsid w:val="00247F01"/>
    <w:rsid w:val="0025010F"/>
    <w:rsid w:val="002501A3"/>
    <w:rsid w:val="0025085B"/>
    <w:rsid w:val="00250D17"/>
    <w:rsid w:val="0025166C"/>
    <w:rsid w:val="002530B5"/>
    <w:rsid w:val="002536D2"/>
    <w:rsid w:val="002551E0"/>
    <w:rsid w:val="002555D4"/>
    <w:rsid w:val="0025766D"/>
    <w:rsid w:val="00261A16"/>
    <w:rsid w:val="00261A53"/>
    <w:rsid w:val="0026224F"/>
    <w:rsid w:val="00263522"/>
    <w:rsid w:val="00263DD7"/>
    <w:rsid w:val="00264EC6"/>
    <w:rsid w:val="00266B4C"/>
    <w:rsid w:val="00266D18"/>
    <w:rsid w:val="00267AE8"/>
    <w:rsid w:val="00270A4E"/>
    <w:rsid w:val="00271013"/>
    <w:rsid w:val="0027303E"/>
    <w:rsid w:val="0027361E"/>
    <w:rsid w:val="00273FE4"/>
    <w:rsid w:val="002740EE"/>
    <w:rsid w:val="002765B4"/>
    <w:rsid w:val="00276A94"/>
    <w:rsid w:val="00284701"/>
    <w:rsid w:val="00284B7F"/>
    <w:rsid w:val="00287685"/>
    <w:rsid w:val="00290458"/>
    <w:rsid w:val="00290521"/>
    <w:rsid w:val="00290726"/>
    <w:rsid w:val="0029405D"/>
    <w:rsid w:val="00294A84"/>
    <w:rsid w:val="00294FA6"/>
    <w:rsid w:val="00295A6F"/>
    <w:rsid w:val="002A20C4"/>
    <w:rsid w:val="002A47B0"/>
    <w:rsid w:val="002A570F"/>
    <w:rsid w:val="002A60F1"/>
    <w:rsid w:val="002A6466"/>
    <w:rsid w:val="002A7292"/>
    <w:rsid w:val="002A7358"/>
    <w:rsid w:val="002A7902"/>
    <w:rsid w:val="002B0F6B"/>
    <w:rsid w:val="002B23B8"/>
    <w:rsid w:val="002B4429"/>
    <w:rsid w:val="002B5706"/>
    <w:rsid w:val="002B6379"/>
    <w:rsid w:val="002B68A6"/>
    <w:rsid w:val="002B7FAF"/>
    <w:rsid w:val="002C0CE9"/>
    <w:rsid w:val="002C4BF0"/>
    <w:rsid w:val="002C55E4"/>
    <w:rsid w:val="002C575D"/>
    <w:rsid w:val="002C5D3B"/>
    <w:rsid w:val="002C6352"/>
    <w:rsid w:val="002C6458"/>
    <w:rsid w:val="002C67D8"/>
    <w:rsid w:val="002D0C4F"/>
    <w:rsid w:val="002D1364"/>
    <w:rsid w:val="002D33BF"/>
    <w:rsid w:val="002D4D30"/>
    <w:rsid w:val="002D5000"/>
    <w:rsid w:val="002D598D"/>
    <w:rsid w:val="002D6DD5"/>
    <w:rsid w:val="002D7188"/>
    <w:rsid w:val="002E1DE3"/>
    <w:rsid w:val="002E218A"/>
    <w:rsid w:val="002E2757"/>
    <w:rsid w:val="002E28A5"/>
    <w:rsid w:val="002E2AB6"/>
    <w:rsid w:val="002E3F34"/>
    <w:rsid w:val="002E5F79"/>
    <w:rsid w:val="002E64FA"/>
    <w:rsid w:val="002E7F61"/>
    <w:rsid w:val="002F0A00"/>
    <w:rsid w:val="002F0CFA"/>
    <w:rsid w:val="002F17FD"/>
    <w:rsid w:val="002F2BD8"/>
    <w:rsid w:val="002F669F"/>
    <w:rsid w:val="002F7DB6"/>
    <w:rsid w:val="00301C97"/>
    <w:rsid w:val="00301D0A"/>
    <w:rsid w:val="003028E3"/>
    <w:rsid w:val="00305F3E"/>
    <w:rsid w:val="003062E5"/>
    <w:rsid w:val="00306AF0"/>
    <w:rsid w:val="003072E1"/>
    <w:rsid w:val="00307FD5"/>
    <w:rsid w:val="0031004C"/>
    <w:rsid w:val="003105F6"/>
    <w:rsid w:val="00311297"/>
    <w:rsid w:val="003113BE"/>
    <w:rsid w:val="003122CA"/>
    <w:rsid w:val="003122E3"/>
    <w:rsid w:val="0031370D"/>
    <w:rsid w:val="003148D0"/>
    <w:rsid w:val="003148FD"/>
    <w:rsid w:val="00315C0A"/>
    <w:rsid w:val="0031641A"/>
    <w:rsid w:val="00317BF4"/>
    <w:rsid w:val="0032074C"/>
    <w:rsid w:val="00320AE2"/>
    <w:rsid w:val="00321080"/>
    <w:rsid w:val="00321E87"/>
    <w:rsid w:val="0032229C"/>
    <w:rsid w:val="00322D45"/>
    <w:rsid w:val="003233B3"/>
    <w:rsid w:val="00323BE4"/>
    <w:rsid w:val="003241AF"/>
    <w:rsid w:val="0032569A"/>
    <w:rsid w:val="00325A1F"/>
    <w:rsid w:val="003268F9"/>
    <w:rsid w:val="003269A6"/>
    <w:rsid w:val="003269B3"/>
    <w:rsid w:val="00330BAF"/>
    <w:rsid w:val="003337DF"/>
    <w:rsid w:val="00334E3A"/>
    <w:rsid w:val="00335164"/>
    <w:rsid w:val="00335A37"/>
    <w:rsid w:val="00335DA6"/>
    <w:rsid w:val="00335EE8"/>
    <w:rsid w:val="003361DD"/>
    <w:rsid w:val="003366A4"/>
    <w:rsid w:val="00336DD1"/>
    <w:rsid w:val="00337B77"/>
    <w:rsid w:val="003415C1"/>
    <w:rsid w:val="00341957"/>
    <w:rsid w:val="00341A6A"/>
    <w:rsid w:val="00341D35"/>
    <w:rsid w:val="003434EA"/>
    <w:rsid w:val="003451CB"/>
    <w:rsid w:val="0034526A"/>
    <w:rsid w:val="00345B9C"/>
    <w:rsid w:val="00352DAE"/>
    <w:rsid w:val="00354EB9"/>
    <w:rsid w:val="00356DC3"/>
    <w:rsid w:val="00357A67"/>
    <w:rsid w:val="003602AE"/>
    <w:rsid w:val="00360929"/>
    <w:rsid w:val="003647D5"/>
    <w:rsid w:val="00365E73"/>
    <w:rsid w:val="00366FA1"/>
    <w:rsid w:val="003674B0"/>
    <w:rsid w:val="00371124"/>
    <w:rsid w:val="00371AEF"/>
    <w:rsid w:val="00374BD9"/>
    <w:rsid w:val="0037633D"/>
    <w:rsid w:val="0037727C"/>
    <w:rsid w:val="003772B1"/>
    <w:rsid w:val="00377E70"/>
    <w:rsid w:val="00380904"/>
    <w:rsid w:val="003823EE"/>
    <w:rsid w:val="00382960"/>
    <w:rsid w:val="00382F59"/>
    <w:rsid w:val="003833C6"/>
    <w:rsid w:val="00384061"/>
    <w:rsid w:val="003846F7"/>
    <w:rsid w:val="003851ED"/>
    <w:rsid w:val="00385B39"/>
    <w:rsid w:val="00386785"/>
    <w:rsid w:val="003879CB"/>
    <w:rsid w:val="00390E89"/>
    <w:rsid w:val="00391B1A"/>
    <w:rsid w:val="00394423"/>
    <w:rsid w:val="00394F56"/>
    <w:rsid w:val="00395EF0"/>
    <w:rsid w:val="00396942"/>
    <w:rsid w:val="00396B49"/>
    <w:rsid w:val="00396E3E"/>
    <w:rsid w:val="003978ED"/>
    <w:rsid w:val="003A0915"/>
    <w:rsid w:val="003A0AC1"/>
    <w:rsid w:val="003A306E"/>
    <w:rsid w:val="003A5BFE"/>
    <w:rsid w:val="003A60DC"/>
    <w:rsid w:val="003A6A46"/>
    <w:rsid w:val="003A7A63"/>
    <w:rsid w:val="003B000C"/>
    <w:rsid w:val="003B0F1D"/>
    <w:rsid w:val="003B11AB"/>
    <w:rsid w:val="003B1BF3"/>
    <w:rsid w:val="003B1CF3"/>
    <w:rsid w:val="003B4A57"/>
    <w:rsid w:val="003B7B42"/>
    <w:rsid w:val="003C0AD9"/>
    <w:rsid w:val="003C0ED0"/>
    <w:rsid w:val="003C17D7"/>
    <w:rsid w:val="003C1D49"/>
    <w:rsid w:val="003C21D5"/>
    <w:rsid w:val="003C2CB6"/>
    <w:rsid w:val="003C31F9"/>
    <w:rsid w:val="003C35C4"/>
    <w:rsid w:val="003C54ED"/>
    <w:rsid w:val="003C6813"/>
    <w:rsid w:val="003C76FB"/>
    <w:rsid w:val="003D12C2"/>
    <w:rsid w:val="003D1791"/>
    <w:rsid w:val="003D2238"/>
    <w:rsid w:val="003D31B9"/>
    <w:rsid w:val="003D3867"/>
    <w:rsid w:val="003D41A7"/>
    <w:rsid w:val="003D6483"/>
    <w:rsid w:val="003E00B2"/>
    <w:rsid w:val="003E06EF"/>
    <w:rsid w:val="003E0D1A"/>
    <w:rsid w:val="003E19A4"/>
    <w:rsid w:val="003E20B9"/>
    <w:rsid w:val="003E20DF"/>
    <w:rsid w:val="003E2DA3"/>
    <w:rsid w:val="003E42DD"/>
    <w:rsid w:val="003E661D"/>
    <w:rsid w:val="003E6E89"/>
    <w:rsid w:val="003E6EDA"/>
    <w:rsid w:val="003F020D"/>
    <w:rsid w:val="003F03D9"/>
    <w:rsid w:val="003F13F3"/>
    <w:rsid w:val="003F1DBD"/>
    <w:rsid w:val="003F2629"/>
    <w:rsid w:val="003F2FBE"/>
    <w:rsid w:val="003F318D"/>
    <w:rsid w:val="003F3493"/>
    <w:rsid w:val="003F38DD"/>
    <w:rsid w:val="003F48DC"/>
    <w:rsid w:val="003F5BAE"/>
    <w:rsid w:val="003F6ED7"/>
    <w:rsid w:val="003F7360"/>
    <w:rsid w:val="00400A6B"/>
    <w:rsid w:val="00401C84"/>
    <w:rsid w:val="00403210"/>
    <w:rsid w:val="00403234"/>
    <w:rsid w:val="004035BB"/>
    <w:rsid w:val="004035EB"/>
    <w:rsid w:val="004059B7"/>
    <w:rsid w:val="00407332"/>
    <w:rsid w:val="00407828"/>
    <w:rsid w:val="00407FB6"/>
    <w:rsid w:val="00411B7F"/>
    <w:rsid w:val="00412C25"/>
    <w:rsid w:val="00413D8E"/>
    <w:rsid w:val="004140F2"/>
    <w:rsid w:val="00415AF2"/>
    <w:rsid w:val="00417B22"/>
    <w:rsid w:val="00421085"/>
    <w:rsid w:val="004217FF"/>
    <w:rsid w:val="00423385"/>
    <w:rsid w:val="004238F4"/>
    <w:rsid w:val="0042465E"/>
    <w:rsid w:val="00424DF7"/>
    <w:rsid w:val="004252B5"/>
    <w:rsid w:val="00425A96"/>
    <w:rsid w:val="00432B76"/>
    <w:rsid w:val="00434AE5"/>
    <w:rsid w:val="00434D01"/>
    <w:rsid w:val="00435D26"/>
    <w:rsid w:val="00440C99"/>
    <w:rsid w:val="0044175C"/>
    <w:rsid w:val="00443079"/>
    <w:rsid w:val="00445F4D"/>
    <w:rsid w:val="004504C0"/>
    <w:rsid w:val="0045104F"/>
    <w:rsid w:val="004514BF"/>
    <w:rsid w:val="00451761"/>
    <w:rsid w:val="004549BB"/>
    <w:rsid w:val="004550FB"/>
    <w:rsid w:val="004555F1"/>
    <w:rsid w:val="00460B33"/>
    <w:rsid w:val="00460DF6"/>
    <w:rsid w:val="0046111A"/>
    <w:rsid w:val="00461C46"/>
    <w:rsid w:val="00461E5F"/>
    <w:rsid w:val="00462946"/>
    <w:rsid w:val="00463F43"/>
    <w:rsid w:val="00464B94"/>
    <w:rsid w:val="00464CFC"/>
    <w:rsid w:val="004653A8"/>
    <w:rsid w:val="00465A0B"/>
    <w:rsid w:val="0047077C"/>
    <w:rsid w:val="00470B05"/>
    <w:rsid w:val="00471B3B"/>
    <w:rsid w:val="0047207C"/>
    <w:rsid w:val="00472183"/>
    <w:rsid w:val="00472AFB"/>
    <w:rsid w:val="00472CD6"/>
    <w:rsid w:val="004739F5"/>
    <w:rsid w:val="00474E3C"/>
    <w:rsid w:val="00475C96"/>
    <w:rsid w:val="00480A58"/>
    <w:rsid w:val="00482151"/>
    <w:rsid w:val="00484CA4"/>
    <w:rsid w:val="004852A1"/>
    <w:rsid w:val="00485FAD"/>
    <w:rsid w:val="00487AED"/>
    <w:rsid w:val="00490262"/>
    <w:rsid w:val="00491EDF"/>
    <w:rsid w:val="004921C5"/>
    <w:rsid w:val="00492A3F"/>
    <w:rsid w:val="00493023"/>
    <w:rsid w:val="00494F62"/>
    <w:rsid w:val="00496094"/>
    <w:rsid w:val="00496BB7"/>
    <w:rsid w:val="004972DE"/>
    <w:rsid w:val="004976E7"/>
    <w:rsid w:val="004A2001"/>
    <w:rsid w:val="004A2325"/>
    <w:rsid w:val="004A3590"/>
    <w:rsid w:val="004A51F9"/>
    <w:rsid w:val="004A72CB"/>
    <w:rsid w:val="004B00A7"/>
    <w:rsid w:val="004B151A"/>
    <w:rsid w:val="004B16F0"/>
    <w:rsid w:val="004B25E2"/>
    <w:rsid w:val="004B34D7"/>
    <w:rsid w:val="004B5037"/>
    <w:rsid w:val="004B56D4"/>
    <w:rsid w:val="004B5B2F"/>
    <w:rsid w:val="004B626A"/>
    <w:rsid w:val="004B660E"/>
    <w:rsid w:val="004B712D"/>
    <w:rsid w:val="004C05BD"/>
    <w:rsid w:val="004C0D85"/>
    <w:rsid w:val="004C1F6D"/>
    <w:rsid w:val="004C3B06"/>
    <w:rsid w:val="004C3F97"/>
    <w:rsid w:val="004C7186"/>
    <w:rsid w:val="004C7676"/>
    <w:rsid w:val="004C7EE7"/>
    <w:rsid w:val="004D1A66"/>
    <w:rsid w:val="004D2DEE"/>
    <w:rsid w:val="004D2E1F"/>
    <w:rsid w:val="004D4275"/>
    <w:rsid w:val="004D5F80"/>
    <w:rsid w:val="004D7FD9"/>
    <w:rsid w:val="004E1324"/>
    <w:rsid w:val="004E19A5"/>
    <w:rsid w:val="004E1DFF"/>
    <w:rsid w:val="004E37E5"/>
    <w:rsid w:val="004E3FDB"/>
    <w:rsid w:val="004E547C"/>
    <w:rsid w:val="004E5930"/>
    <w:rsid w:val="004F001F"/>
    <w:rsid w:val="004F1F4A"/>
    <w:rsid w:val="004F296D"/>
    <w:rsid w:val="004F4F92"/>
    <w:rsid w:val="004F508B"/>
    <w:rsid w:val="004F695F"/>
    <w:rsid w:val="004F6CA4"/>
    <w:rsid w:val="005005C5"/>
    <w:rsid w:val="00500752"/>
    <w:rsid w:val="00501A50"/>
    <w:rsid w:val="0050222D"/>
    <w:rsid w:val="00503AF3"/>
    <w:rsid w:val="00505A86"/>
    <w:rsid w:val="005067F4"/>
    <w:rsid w:val="0050696D"/>
    <w:rsid w:val="00507142"/>
    <w:rsid w:val="00507E67"/>
    <w:rsid w:val="0051094B"/>
    <w:rsid w:val="005110A3"/>
    <w:rsid w:val="005110D7"/>
    <w:rsid w:val="0051157E"/>
    <w:rsid w:val="00511CE5"/>
    <w:rsid w:val="00511D99"/>
    <w:rsid w:val="005128D3"/>
    <w:rsid w:val="005147E8"/>
    <w:rsid w:val="00514C3C"/>
    <w:rsid w:val="005158F2"/>
    <w:rsid w:val="00516512"/>
    <w:rsid w:val="0052421C"/>
    <w:rsid w:val="005242FD"/>
    <w:rsid w:val="00526A0F"/>
    <w:rsid w:val="00526DFC"/>
    <w:rsid w:val="00526F43"/>
    <w:rsid w:val="00527651"/>
    <w:rsid w:val="005278A6"/>
    <w:rsid w:val="005363AB"/>
    <w:rsid w:val="00537101"/>
    <w:rsid w:val="005405AF"/>
    <w:rsid w:val="00540C28"/>
    <w:rsid w:val="00542A18"/>
    <w:rsid w:val="0054442B"/>
    <w:rsid w:val="00544EF4"/>
    <w:rsid w:val="0054590C"/>
    <w:rsid w:val="00545E53"/>
    <w:rsid w:val="00546382"/>
    <w:rsid w:val="0054717E"/>
    <w:rsid w:val="005479D9"/>
    <w:rsid w:val="00550DAA"/>
    <w:rsid w:val="0055200A"/>
    <w:rsid w:val="00555CEF"/>
    <w:rsid w:val="005572BD"/>
    <w:rsid w:val="00557A12"/>
    <w:rsid w:val="005606C3"/>
    <w:rsid w:val="00560AC7"/>
    <w:rsid w:val="00561755"/>
    <w:rsid w:val="0056175E"/>
    <w:rsid w:val="00561AFB"/>
    <w:rsid w:val="00561FA8"/>
    <w:rsid w:val="00561FCB"/>
    <w:rsid w:val="005635ED"/>
    <w:rsid w:val="005646F1"/>
    <w:rsid w:val="00565253"/>
    <w:rsid w:val="00565617"/>
    <w:rsid w:val="00567606"/>
    <w:rsid w:val="00570191"/>
    <w:rsid w:val="00570570"/>
    <w:rsid w:val="00571CE1"/>
    <w:rsid w:val="00572512"/>
    <w:rsid w:val="00573EE6"/>
    <w:rsid w:val="0057547F"/>
    <w:rsid w:val="005754EE"/>
    <w:rsid w:val="0057617E"/>
    <w:rsid w:val="00576497"/>
    <w:rsid w:val="005769B8"/>
    <w:rsid w:val="00580622"/>
    <w:rsid w:val="00580D45"/>
    <w:rsid w:val="005835E7"/>
    <w:rsid w:val="0058397F"/>
    <w:rsid w:val="00583BF8"/>
    <w:rsid w:val="005844A7"/>
    <w:rsid w:val="005846C6"/>
    <w:rsid w:val="00585F33"/>
    <w:rsid w:val="00587D99"/>
    <w:rsid w:val="00591124"/>
    <w:rsid w:val="00592F79"/>
    <w:rsid w:val="00593ED1"/>
    <w:rsid w:val="00595531"/>
    <w:rsid w:val="0059587A"/>
    <w:rsid w:val="00596CFF"/>
    <w:rsid w:val="00597024"/>
    <w:rsid w:val="005A0274"/>
    <w:rsid w:val="005A095C"/>
    <w:rsid w:val="005A2066"/>
    <w:rsid w:val="005A2151"/>
    <w:rsid w:val="005A248D"/>
    <w:rsid w:val="005A3AC8"/>
    <w:rsid w:val="005A41C6"/>
    <w:rsid w:val="005A44CA"/>
    <w:rsid w:val="005A5CA2"/>
    <w:rsid w:val="005A669D"/>
    <w:rsid w:val="005A75D8"/>
    <w:rsid w:val="005B0FB4"/>
    <w:rsid w:val="005B2949"/>
    <w:rsid w:val="005B713E"/>
    <w:rsid w:val="005B7489"/>
    <w:rsid w:val="005C03B6"/>
    <w:rsid w:val="005C0645"/>
    <w:rsid w:val="005C22C4"/>
    <w:rsid w:val="005C3180"/>
    <w:rsid w:val="005C348E"/>
    <w:rsid w:val="005C5809"/>
    <w:rsid w:val="005C68E1"/>
    <w:rsid w:val="005C6D8B"/>
    <w:rsid w:val="005D35F4"/>
    <w:rsid w:val="005D3763"/>
    <w:rsid w:val="005D55E1"/>
    <w:rsid w:val="005D5EC9"/>
    <w:rsid w:val="005D6748"/>
    <w:rsid w:val="005E031F"/>
    <w:rsid w:val="005E0C6A"/>
    <w:rsid w:val="005E19F7"/>
    <w:rsid w:val="005E38F1"/>
    <w:rsid w:val="005E4F04"/>
    <w:rsid w:val="005E584C"/>
    <w:rsid w:val="005E62C2"/>
    <w:rsid w:val="005E6C71"/>
    <w:rsid w:val="005F0963"/>
    <w:rsid w:val="005F2824"/>
    <w:rsid w:val="005F2EBA"/>
    <w:rsid w:val="005F35ED"/>
    <w:rsid w:val="005F41C5"/>
    <w:rsid w:val="005F7812"/>
    <w:rsid w:val="005F7A88"/>
    <w:rsid w:val="00602585"/>
    <w:rsid w:val="006029B4"/>
    <w:rsid w:val="00603A1A"/>
    <w:rsid w:val="00604119"/>
    <w:rsid w:val="0060465E"/>
    <w:rsid w:val="006046D5"/>
    <w:rsid w:val="00604B7C"/>
    <w:rsid w:val="00607A93"/>
    <w:rsid w:val="00610607"/>
    <w:rsid w:val="00610855"/>
    <w:rsid w:val="00610C08"/>
    <w:rsid w:val="00610DB4"/>
    <w:rsid w:val="00611F74"/>
    <w:rsid w:val="00615007"/>
    <w:rsid w:val="00615772"/>
    <w:rsid w:val="00617BAA"/>
    <w:rsid w:val="00620187"/>
    <w:rsid w:val="00621256"/>
    <w:rsid w:val="00621FCC"/>
    <w:rsid w:val="006228CC"/>
    <w:rsid w:val="0062292B"/>
    <w:rsid w:val="00622E4B"/>
    <w:rsid w:val="00623A31"/>
    <w:rsid w:val="00623FD4"/>
    <w:rsid w:val="00624771"/>
    <w:rsid w:val="00624CA1"/>
    <w:rsid w:val="00625F42"/>
    <w:rsid w:val="00627F99"/>
    <w:rsid w:val="006331AA"/>
    <w:rsid w:val="006333DA"/>
    <w:rsid w:val="00634C2E"/>
    <w:rsid w:val="00634E40"/>
    <w:rsid w:val="00635134"/>
    <w:rsid w:val="00635180"/>
    <w:rsid w:val="006356E2"/>
    <w:rsid w:val="00636EC4"/>
    <w:rsid w:val="00641F6E"/>
    <w:rsid w:val="00641FBF"/>
    <w:rsid w:val="00642A65"/>
    <w:rsid w:val="006434D9"/>
    <w:rsid w:val="00645DCE"/>
    <w:rsid w:val="006465AC"/>
    <w:rsid w:val="006465BF"/>
    <w:rsid w:val="00652AC2"/>
    <w:rsid w:val="00652FC1"/>
    <w:rsid w:val="00653635"/>
    <w:rsid w:val="0065376A"/>
    <w:rsid w:val="00653B22"/>
    <w:rsid w:val="00654D08"/>
    <w:rsid w:val="006556F0"/>
    <w:rsid w:val="00656E9D"/>
    <w:rsid w:val="00657BF4"/>
    <w:rsid w:val="006603FB"/>
    <w:rsid w:val="006608DF"/>
    <w:rsid w:val="00662396"/>
    <w:rsid w:val="006623AC"/>
    <w:rsid w:val="006678AF"/>
    <w:rsid w:val="006701EF"/>
    <w:rsid w:val="00671F12"/>
    <w:rsid w:val="00673BA5"/>
    <w:rsid w:val="00673C8B"/>
    <w:rsid w:val="00680058"/>
    <w:rsid w:val="00681F9F"/>
    <w:rsid w:val="00683E22"/>
    <w:rsid w:val="006840EA"/>
    <w:rsid w:val="006844E2"/>
    <w:rsid w:val="006850C5"/>
    <w:rsid w:val="00685267"/>
    <w:rsid w:val="00685FBC"/>
    <w:rsid w:val="006872AE"/>
    <w:rsid w:val="00687DB2"/>
    <w:rsid w:val="00690082"/>
    <w:rsid w:val="00690252"/>
    <w:rsid w:val="00692482"/>
    <w:rsid w:val="00692906"/>
    <w:rsid w:val="00693F4E"/>
    <w:rsid w:val="006946BB"/>
    <w:rsid w:val="00694BCC"/>
    <w:rsid w:val="00695D34"/>
    <w:rsid w:val="006969FA"/>
    <w:rsid w:val="006A35D5"/>
    <w:rsid w:val="006A5696"/>
    <w:rsid w:val="006A66BC"/>
    <w:rsid w:val="006A748A"/>
    <w:rsid w:val="006A7A69"/>
    <w:rsid w:val="006B1E5F"/>
    <w:rsid w:val="006B2972"/>
    <w:rsid w:val="006B39AA"/>
    <w:rsid w:val="006B7ABD"/>
    <w:rsid w:val="006C1F0E"/>
    <w:rsid w:val="006C2DA9"/>
    <w:rsid w:val="006C2FB1"/>
    <w:rsid w:val="006C4130"/>
    <w:rsid w:val="006C419E"/>
    <w:rsid w:val="006C4A31"/>
    <w:rsid w:val="006C5A45"/>
    <w:rsid w:val="006C5AC2"/>
    <w:rsid w:val="006C6720"/>
    <w:rsid w:val="006C6AFB"/>
    <w:rsid w:val="006D2735"/>
    <w:rsid w:val="006D45B2"/>
    <w:rsid w:val="006D49F3"/>
    <w:rsid w:val="006D5EEA"/>
    <w:rsid w:val="006D6D8E"/>
    <w:rsid w:val="006E0FCC"/>
    <w:rsid w:val="006E1E96"/>
    <w:rsid w:val="006E4AF8"/>
    <w:rsid w:val="006E5254"/>
    <w:rsid w:val="006E5E21"/>
    <w:rsid w:val="006F2648"/>
    <w:rsid w:val="006F2F10"/>
    <w:rsid w:val="006F39C3"/>
    <w:rsid w:val="006F457A"/>
    <w:rsid w:val="006F482B"/>
    <w:rsid w:val="006F6311"/>
    <w:rsid w:val="006F7277"/>
    <w:rsid w:val="007004B1"/>
    <w:rsid w:val="00700C26"/>
    <w:rsid w:val="00701952"/>
    <w:rsid w:val="00702556"/>
    <w:rsid w:val="0070277E"/>
    <w:rsid w:val="00704156"/>
    <w:rsid w:val="007045AC"/>
    <w:rsid w:val="00705171"/>
    <w:rsid w:val="007051CA"/>
    <w:rsid w:val="007055B1"/>
    <w:rsid w:val="007058C2"/>
    <w:rsid w:val="00705F5C"/>
    <w:rsid w:val="007069FC"/>
    <w:rsid w:val="00707905"/>
    <w:rsid w:val="007108AC"/>
    <w:rsid w:val="00711221"/>
    <w:rsid w:val="00711563"/>
    <w:rsid w:val="00712675"/>
    <w:rsid w:val="007137CB"/>
    <w:rsid w:val="00713808"/>
    <w:rsid w:val="007151B6"/>
    <w:rsid w:val="0071520D"/>
    <w:rsid w:val="00715EDB"/>
    <w:rsid w:val="007160D5"/>
    <w:rsid w:val="007163FB"/>
    <w:rsid w:val="00716FF4"/>
    <w:rsid w:val="00717C2E"/>
    <w:rsid w:val="007204FA"/>
    <w:rsid w:val="0072080C"/>
    <w:rsid w:val="0072134B"/>
    <w:rsid w:val="007213B3"/>
    <w:rsid w:val="007223B7"/>
    <w:rsid w:val="00723469"/>
    <w:rsid w:val="0072457F"/>
    <w:rsid w:val="00724940"/>
    <w:rsid w:val="00725406"/>
    <w:rsid w:val="0072621B"/>
    <w:rsid w:val="00727AF0"/>
    <w:rsid w:val="00730555"/>
    <w:rsid w:val="007312CC"/>
    <w:rsid w:val="00736A64"/>
    <w:rsid w:val="00737F6A"/>
    <w:rsid w:val="007410B6"/>
    <w:rsid w:val="00743147"/>
    <w:rsid w:val="00744C6F"/>
    <w:rsid w:val="00744F2E"/>
    <w:rsid w:val="007457F6"/>
    <w:rsid w:val="00745ABB"/>
    <w:rsid w:val="00746E38"/>
    <w:rsid w:val="00747CD5"/>
    <w:rsid w:val="00753B51"/>
    <w:rsid w:val="00753FA8"/>
    <w:rsid w:val="00754BA6"/>
    <w:rsid w:val="007553D7"/>
    <w:rsid w:val="007559A1"/>
    <w:rsid w:val="00756629"/>
    <w:rsid w:val="007575D2"/>
    <w:rsid w:val="00757B4F"/>
    <w:rsid w:val="00757B6A"/>
    <w:rsid w:val="007610E0"/>
    <w:rsid w:val="0076111E"/>
    <w:rsid w:val="007621AA"/>
    <w:rsid w:val="0076260A"/>
    <w:rsid w:val="007629C4"/>
    <w:rsid w:val="00764A67"/>
    <w:rsid w:val="00770F6B"/>
    <w:rsid w:val="00771883"/>
    <w:rsid w:val="00771A87"/>
    <w:rsid w:val="0077209C"/>
    <w:rsid w:val="007721E4"/>
    <w:rsid w:val="00774462"/>
    <w:rsid w:val="00774E0C"/>
    <w:rsid w:val="007750B1"/>
    <w:rsid w:val="00775EE0"/>
    <w:rsid w:val="00776DC2"/>
    <w:rsid w:val="00780122"/>
    <w:rsid w:val="0078214B"/>
    <w:rsid w:val="00783CA4"/>
    <w:rsid w:val="007842B8"/>
    <w:rsid w:val="0078498A"/>
    <w:rsid w:val="007849B7"/>
    <w:rsid w:val="007878FE"/>
    <w:rsid w:val="00792207"/>
    <w:rsid w:val="00792B64"/>
    <w:rsid w:val="00792E29"/>
    <w:rsid w:val="007936AB"/>
    <w:rsid w:val="0079379A"/>
    <w:rsid w:val="00794953"/>
    <w:rsid w:val="00795A30"/>
    <w:rsid w:val="007A1F2F"/>
    <w:rsid w:val="007A2592"/>
    <w:rsid w:val="007A2A5C"/>
    <w:rsid w:val="007A2CD2"/>
    <w:rsid w:val="007A3210"/>
    <w:rsid w:val="007A5150"/>
    <w:rsid w:val="007A5373"/>
    <w:rsid w:val="007A5F36"/>
    <w:rsid w:val="007A6431"/>
    <w:rsid w:val="007A6B3B"/>
    <w:rsid w:val="007A789F"/>
    <w:rsid w:val="007A7F80"/>
    <w:rsid w:val="007B0583"/>
    <w:rsid w:val="007B75BC"/>
    <w:rsid w:val="007B7966"/>
    <w:rsid w:val="007B7B10"/>
    <w:rsid w:val="007C0BD6"/>
    <w:rsid w:val="007C18A8"/>
    <w:rsid w:val="007C2B4E"/>
    <w:rsid w:val="007C3806"/>
    <w:rsid w:val="007C3B21"/>
    <w:rsid w:val="007C5B5B"/>
    <w:rsid w:val="007C5BB7"/>
    <w:rsid w:val="007C63EE"/>
    <w:rsid w:val="007D07D5"/>
    <w:rsid w:val="007D08C7"/>
    <w:rsid w:val="007D1696"/>
    <w:rsid w:val="007D17EC"/>
    <w:rsid w:val="007D1C64"/>
    <w:rsid w:val="007D2021"/>
    <w:rsid w:val="007D32DD"/>
    <w:rsid w:val="007D42A5"/>
    <w:rsid w:val="007D5A36"/>
    <w:rsid w:val="007D6DCE"/>
    <w:rsid w:val="007D72C4"/>
    <w:rsid w:val="007E1C61"/>
    <w:rsid w:val="007E2CFE"/>
    <w:rsid w:val="007E4A5B"/>
    <w:rsid w:val="007E59C9"/>
    <w:rsid w:val="007E6BA3"/>
    <w:rsid w:val="007F0072"/>
    <w:rsid w:val="007F2EB6"/>
    <w:rsid w:val="007F4486"/>
    <w:rsid w:val="007F4E1A"/>
    <w:rsid w:val="007F54C3"/>
    <w:rsid w:val="007F55FE"/>
    <w:rsid w:val="00802949"/>
    <w:rsid w:val="0080301E"/>
    <w:rsid w:val="0080365F"/>
    <w:rsid w:val="00803ACC"/>
    <w:rsid w:val="00804EA2"/>
    <w:rsid w:val="00805CFF"/>
    <w:rsid w:val="00806418"/>
    <w:rsid w:val="00810D79"/>
    <w:rsid w:val="008124A2"/>
    <w:rsid w:val="00812BE5"/>
    <w:rsid w:val="00814BB5"/>
    <w:rsid w:val="00817429"/>
    <w:rsid w:val="008202BD"/>
    <w:rsid w:val="0082081B"/>
    <w:rsid w:val="00820A1A"/>
    <w:rsid w:val="00821514"/>
    <w:rsid w:val="00821E35"/>
    <w:rsid w:val="00823356"/>
    <w:rsid w:val="00823EDD"/>
    <w:rsid w:val="00824591"/>
    <w:rsid w:val="00824AED"/>
    <w:rsid w:val="00825C77"/>
    <w:rsid w:val="008274A5"/>
    <w:rsid w:val="00827820"/>
    <w:rsid w:val="00831B8B"/>
    <w:rsid w:val="00832EE4"/>
    <w:rsid w:val="008335F4"/>
    <w:rsid w:val="0083405D"/>
    <w:rsid w:val="008352D4"/>
    <w:rsid w:val="00836DB9"/>
    <w:rsid w:val="00837C67"/>
    <w:rsid w:val="008415B0"/>
    <w:rsid w:val="00841D4E"/>
    <w:rsid w:val="00842028"/>
    <w:rsid w:val="00843383"/>
    <w:rsid w:val="008436B8"/>
    <w:rsid w:val="008460B6"/>
    <w:rsid w:val="00850C9D"/>
    <w:rsid w:val="00852B59"/>
    <w:rsid w:val="00853EF8"/>
    <w:rsid w:val="00854CA2"/>
    <w:rsid w:val="00856272"/>
    <w:rsid w:val="008563FF"/>
    <w:rsid w:val="0086018B"/>
    <w:rsid w:val="00860479"/>
    <w:rsid w:val="008611DD"/>
    <w:rsid w:val="008620DE"/>
    <w:rsid w:val="00862444"/>
    <w:rsid w:val="00862E53"/>
    <w:rsid w:val="00863A82"/>
    <w:rsid w:val="00864335"/>
    <w:rsid w:val="008656D6"/>
    <w:rsid w:val="0086595E"/>
    <w:rsid w:val="00866867"/>
    <w:rsid w:val="00870C87"/>
    <w:rsid w:val="0087184E"/>
    <w:rsid w:val="00872257"/>
    <w:rsid w:val="00872AA6"/>
    <w:rsid w:val="00872C57"/>
    <w:rsid w:val="00873EFF"/>
    <w:rsid w:val="008753E6"/>
    <w:rsid w:val="0087738C"/>
    <w:rsid w:val="008802AF"/>
    <w:rsid w:val="008802E0"/>
    <w:rsid w:val="00881926"/>
    <w:rsid w:val="00881C97"/>
    <w:rsid w:val="00883088"/>
    <w:rsid w:val="0088318F"/>
    <w:rsid w:val="0088331D"/>
    <w:rsid w:val="00883D96"/>
    <w:rsid w:val="00884247"/>
    <w:rsid w:val="00884BC0"/>
    <w:rsid w:val="00884C98"/>
    <w:rsid w:val="00884F0E"/>
    <w:rsid w:val="00885288"/>
    <w:rsid w:val="008852B0"/>
    <w:rsid w:val="00885AE7"/>
    <w:rsid w:val="00886797"/>
    <w:rsid w:val="00886B60"/>
    <w:rsid w:val="00887889"/>
    <w:rsid w:val="008920FF"/>
    <w:rsid w:val="008926E8"/>
    <w:rsid w:val="00892E29"/>
    <w:rsid w:val="00894E01"/>
    <w:rsid w:val="00894F19"/>
    <w:rsid w:val="00895256"/>
    <w:rsid w:val="00896A10"/>
    <w:rsid w:val="008971B5"/>
    <w:rsid w:val="008A525E"/>
    <w:rsid w:val="008A5D26"/>
    <w:rsid w:val="008A6B13"/>
    <w:rsid w:val="008A6BC5"/>
    <w:rsid w:val="008A6ECB"/>
    <w:rsid w:val="008B0BF9"/>
    <w:rsid w:val="008B2866"/>
    <w:rsid w:val="008B2925"/>
    <w:rsid w:val="008B369E"/>
    <w:rsid w:val="008B3859"/>
    <w:rsid w:val="008B436D"/>
    <w:rsid w:val="008B4E49"/>
    <w:rsid w:val="008B6899"/>
    <w:rsid w:val="008B7162"/>
    <w:rsid w:val="008B7712"/>
    <w:rsid w:val="008B786A"/>
    <w:rsid w:val="008B7B26"/>
    <w:rsid w:val="008C3524"/>
    <w:rsid w:val="008C4061"/>
    <w:rsid w:val="008C4229"/>
    <w:rsid w:val="008C458D"/>
    <w:rsid w:val="008C48C0"/>
    <w:rsid w:val="008C5840"/>
    <w:rsid w:val="008C5BE0"/>
    <w:rsid w:val="008C6E7D"/>
    <w:rsid w:val="008C7233"/>
    <w:rsid w:val="008C7DFB"/>
    <w:rsid w:val="008D2434"/>
    <w:rsid w:val="008D7EB8"/>
    <w:rsid w:val="008E060F"/>
    <w:rsid w:val="008E0E7F"/>
    <w:rsid w:val="008E11F0"/>
    <w:rsid w:val="008E171D"/>
    <w:rsid w:val="008E2785"/>
    <w:rsid w:val="008E76EA"/>
    <w:rsid w:val="008E78A3"/>
    <w:rsid w:val="008F0654"/>
    <w:rsid w:val="008F06CB"/>
    <w:rsid w:val="008F0AA5"/>
    <w:rsid w:val="008F0AB2"/>
    <w:rsid w:val="008F2A29"/>
    <w:rsid w:val="008F2E83"/>
    <w:rsid w:val="008F3E9C"/>
    <w:rsid w:val="008F42EC"/>
    <w:rsid w:val="008F4E68"/>
    <w:rsid w:val="008F612A"/>
    <w:rsid w:val="00900FD6"/>
    <w:rsid w:val="0090293D"/>
    <w:rsid w:val="00902A97"/>
    <w:rsid w:val="009034DE"/>
    <w:rsid w:val="00905396"/>
    <w:rsid w:val="0090605D"/>
    <w:rsid w:val="00906419"/>
    <w:rsid w:val="00906B34"/>
    <w:rsid w:val="00910D5C"/>
    <w:rsid w:val="00911D62"/>
    <w:rsid w:val="0091200F"/>
    <w:rsid w:val="009120AB"/>
    <w:rsid w:val="009127C7"/>
    <w:rsid w:val="00912889"/>
    <w:rsid w:val="00913A42"/>
    <w:rsid w:val="00914167"/>
    <w:rsid w:val="009143DB"/>
    <w:rsid w:val="00915065"/>
    <w:rsid w:val="0091544B"/>
    <w:rsid w:val="00917B89"/>
    <w:rsid w:val="00917CE5"/>
    <w:rsid w:val="00920CDC"/>
    <w:rsid w:val="009217C0"/>
    <w:rsid w:val="0092262D"/>
    <w:rsid w:val="00922B41"/>
    <w:rsid w:val="00925241"/>
    <w:rsid w:val="00925CEC"/>
    <w:rsid w:val="00926A3F"/>
    <w:rsid w:val="0092703C"/>
    <w:rsid w:val="0092794E"/>
    <w:rsid w:val="00930D30"/>
    <w:rsid w:val="009332A2"/>
    <w:rsid w:val="00933C7E"/>
    <w:rsid w:val="00934586"/>
    <w:rsid w:val="00935D63"/>
    <w:rsid w:val="00937598"/>
    <w:rsid w:val="0093790B"/>
    <w:rsid w:val="00943740"/>
    <w:rsid w:val="00943751"/>
    <w:rsid w:val="009442EB"/>
    <w:rsid w:val="00944881"/>
    <w:rsid w:val="00946C2A"/>
    <w:rsid w:val="00946DD0"/>
    <w:rsid w:val="00947F62"/>
    <w:rsid w:val="009509E6"/>
    <w:rsid w:val="00950F96"/>
    <w:rsid w:val="0095179A"/>
    <w:rsid w:val="00952018"/>
    <w:rsid w:val="00952800"/>
    <w:rsid w:val="0095284B"/>
    <w:rsid w:val="0095300D"/>
    <w:rsid w:val="009535DE"/>
    <w:rsid w:val="009541D8"/>
    <w:rsid w:val="00954E42"/>
    <w:rsid w:val="00955E25"/>
    <w:rsid w:val="00956812"/>
    <w:rsid w:val="0095719A"/>
    <w:rsid w:val="00960866"/>
    <w:rsid w:val="009623E9"/>
    <w:rsid w:val="00963241"/>
    <w:rsid w:val="00963EEB"/>
    <w:rsid w:val="009648BC"/>
    <w:rsid w:val="00964C2F"/>
    <w:rsid w:val="00965EA8"/>
    <w:rsid w:val="00965F88"/>
    <w:rsid w:val="00966FBB"/>
    <w:rsid w:val="00974BB5"/>
    <w:rsid w:val="00974C4B"/>
    <w:rsid w:val="00975CE8"/>
    <w:rsid w:val="009844C2"/>
    <w:rsid w:val="009846F8"/>
    <w:rsid w:val="00984E03"/>
    <w:rsid w:val="00985736"/>
    <w:rsid w:val="009876D9"/>
    <w:rsid w:val="00987A13"/>
    <w:rsid w:val="00987E85"/>
    <w:rsid w:val="009918D3"/>
    <w:rsid w:val="009953C7"/>
    <w:rsid w:val="009965E9"/>
    <w:rsid w:val="00996B92"/>
    <w:rsid w:val="009A0D12"/>
    <w:rsid w:val="009A151D"/>
    <w:rsid w:val="009A1987"/>
    <w:rsid w:val="009A2BEE"/>
    <w:rsid w:val="009A309A"/>
    <w:rsid w:val="009A310D"/>
    <w:rsid w:val="009A34D9"/>
    <w:rsid w:val="009A5289"/>
    <w:rsid w:val="009A7078"/>
    <w:rsid w:val="009A7A53"/>
    <w:rsid w:val="009B0402"/>
    <w:rsid w:val="009B0555"/>
    <w:rsid w:val="009B0A76"/>
    <w:rsid w:val="009B0B75"/>
    <w:rsid w:val="009B0DE5"/>
    <w:rsid w:val="009B16DF"/>
    <w:rsid w:val="009B1FDB"/>
    <w:rsid w:val="009B2B16"/>
    <w:rsid w:val="009B4CB2"/>
    <w:rsid w:val="009B6701"/>
    <w:rsid w:val="009B6EF7"/>
    <w:rsid w:val="009B7000"/>
    <w:rsid w:val="009B739C"/>
    <w:rsid w:val="009C04EC"/>
    <w:rsid w:val="009C08B9"/>
    <w:rsid w:val="009C2B96"/>
    <w:rsid w:val="009C328C"/>
    <w:rsid w:val="009C4444"/>
    <w:rsid w:val="009C50FC"/>
    <w:rsid w:val="009C54C6"/>
    <w:rsid w:val="009C79AD"/>
    <w:rsid w:val="009C7CA6"/>
    <w:rsid w:val="009C7E16"/>
    <w:rsid w:val="009D3316"/>
    <w:rsid w:val="009D4377"/>
    <w:rsid w:val="009D4E98"/>
    <w:rsid w:val="009D4F93"/>
    <w:rsid w:val="009D55AA"/>
    <w:rsid w:val="009D6FFE"/>
    <w:rsid w:val="009E124A"/>
    <w:rsid w:val="009E15AB"/>
    <w:rsid w:val="009E1CD5"/>
    <w:rsid w:val="009E3CA8"/>
    <w:rsid w:val="009E3E77"/>
    <w:rsid w:val="009E3FAB"/>
    <w:rsid w:val="009E5B3F"/>
    <w:rsid w:val="009E6C7F"/>
    <w:rsid w:val="009E7B84"/>
    <w:rsid w:val="009E7D90"/>
    <w:rsid w:val="009F0E43"/>
    <w:rsid w:val="009F1AB0"/>
    <w:rsid w:val="009F1FB3"/>
    <w:rsid w:val="009F3722"/>
    <w:rsid w:val="009F501D"/>
    <w:rsid w:val="009F5220"/>
    <w:rsid w:val="009F5BC1"/>
    <w:rsid w:val="009F7C5E"/>
    <w:rsid w:val="009F7E01"/>
    <w:rsid w:val="00A00789"/>
    <w:rsid w:val="00A00E61"/>
    <w:rsid w:val="00A039D5"/>
    <w:rsid w:val="00A03AF2"/>
    <w:rsid w:val="00A0422C"/>
    <w:rsid w:val="00A046AD"/>
    <w:rsid w:val="00A06A9F"/>
    <w:rsid w:val="00A079C1"/>
    <w:rsid w:val="00A11CCA"/>
    <w:rsid w:val="00A12520"/>
    <w:rsid w:val="00A130FD"/>
    <w:rsid w:val="00A139CB"/>
    <w:rsid w:val="00A13D6D"/>
    <w:rsid w:val="00A14769"/>
    <w:rsid w:val="00A14E7E"/>
    <w:rsid w:val="00A16151"/>
    <w:rsid w:val="00A166D8"/>
    <w:rsid w:val="00A16EC6"/>
    <w:rsid w:val="00A17C06"/>
    <w:rsid w:val="00A2126E"/>
    <w:rsid w:val="00A21706"/>
    <w:rsid w:val="00A24009"/>
    <w:rsid w:val="00A24FCC"/>
    <w:rsid w:val="00A250DC"/>
    <w:rsid w:val="00A261E2"/>
    <w:rsid w:val="00A26A90"/>
    <w:rsid w:val="00A26B27"/>
    <w:rsid w:val="00A30221"/>
    <w:rsid w:val="00A30E4F"/>
    <w:rsid w:val="00A31599"/>
    <w:rsid w:val="00A32253"/>
    <w:rsid w:val="00A3310E"/>
    <w:rsid w:val="00A333A0"/>
    <w:rsid w:val="00A3369E"/>
    <w:rsid w:val="00A33F1A"/>
    <w:rsid w:val="00A33FD7"/>
    <w:rsid w:val="00A34238"/>
    <w:rsid w:val="00A34FD7"/>
    <w:rsid w:val="00A35811"/>
    <w:rsid w:val="00A35902"/>
    <w:rsid w:val="00A37E70"/>
    <w:rsid w:val="00A4002E"/>
    <w:rsid w:val="00A408A7"/>
    <w:rsid w:val="00A437E1"/>
    <w:rsid w:val="00A4489B"/>
    <w:rsid w:val="00A4685E"/>
    <w:rsid w:val="00A47BB9"/>
    <w:rsid w:val="00A50A07"/>
    <w:rsid w:val="00A50CD4"/>
    <w:rsid w:val="00A51191"/>
    <w:rsid w:val="00A53EBB"/>
    <w:rsid w:val="00A5407C"/>
    <w:rsid w:val="00A56D62"/>
    <w:rsid w:val="00A56F07"/>
    <w:rsid w:val="00A5762C"/>
    <w:rsid w:val="00A600FC"/>
    <w:rsid w:val="00A60BCA"/>
    <w:rsid w:val="00A6291C"/>
    <w:rsid w:val="00A638DA"/>
    <w:rsid w:val="00A65B41"/>
    <w:rsid w:val="00A65E00"/>
    <w:rsid w:val="00A66061"/>
    <w:rsid w:val="00A66A78"/>
    <w:rsid w:val="00A671B2"/>
    <w:rsid w:val="00A70884"/>
    <w:rsid w:val="00A708FA"/>
    <w:rsid w:val="00A7436E"/>
    <w:rsid w:val="00A74E96"/>
    <w:rsid w:val="00A750D8"/>
    <w:rsid w:val="00A7541E"/>
    <w:rsid w:val="00A75A8E"/>
    <w:rsid w:val="00A77156"/>
    <w:rsid w:val="00A824DD"/>
    <w:rsid w:val="00A8280D"/>
    <w:rsid w:val="00A83676"/>
    <w:rsid w:val="00A83B7B"/>
    <w:rsid w:val="00A84274"/>
    <w:rsid w:val="00A850F3"/>
    <w:rsid w:val="00A864E3"/>
    <w:rsid w:val="00A93811"/>
    <w:rsid w:val="00A94574"/>
    <w:rsid w:val="00A9592C"/>
    <w:rsid w:val="00A95936"/>
    <w:rsid w:val="00A96265"/>
    <w:rsid w:val="00A96D3A"/>
    <w:rsid w:val="00A97084"/>
    <w:rsid w:val="00AA1095"/>
    <w:rsid w:val="00AA1C2C"/>
    <w:rsid w:val="00AA25BA"/>
    <w:rsid w:val="00AA35F6"/>
    <w:rsid w:val="00AA4831"/>
    <w:rsid w:val="00AA667C"/>
    <w:rsid w:val="00AA6E91"/>
    <w:rsid w:val="00AA7439"/>
    <w:rsid w:val="00AB047E"/>
    <w:rsid w:val="00AB0B0A"/>
    <w:rsid w:val="00AB0BB7"/>
    <w:rsid w:val="00AB103B"/>
    <w:rsid w:val="00AB22C6"/>
    <w:rsid w:val="00AB2982"/>
    <w:rsid w:val="00AB2AD0"/>
    <w:rsid w:val="00AB3067"/>
    <w:rsid w:val="00AB4383"/>
    <w:rsid w:val="00AB657B"/>
    <w:rsid w:val="00AB67FC"/>
    <w:rsid w:val="00AB6C97"/>
    <w:rsid w:val="00AC00F2"/>
    <w:rsid w:val="00AC1949"/>
    <w:rsid w:val="00AC1D66"/>
    <w:rsid w:val="00AC31B5"/>
    <w:rsid w:val="00AC4EA1"/>
    <w:rsid w:val="00AC5381"/>
    <w:rsid w:val="00AC5920"/>
    <w:rsid w:val="00AC666D"/>
    <w:rsid w:val="00AC67C4"/>
    <w:rsid w:val="00AC6EB5"/>
    <w:rsid w:val="00AC7AB3"/>
    <w:rsid w:val="00AD0BC9"/>
    <w:rsid w:val="00AD0E65"/>
    <w:rsid w:val="00AD175C"/>
    <w:rsid w:val="00AD1E48"/>
    <w:rsid w:val="00AD2BF2"/>
    <w:rsid w:val="00AD4E90"/>
    <w:rsid w:val="00AD5422"/>
    <w:rsid w:val="00AD6A05"/>
    <w:rsid w:val="00AE4179"/>
    <w:rsid w:val="00AE4425"/>
    <w:rsid w:val="00AE47C6"/>
    <w:rsid w:val="00AE4FBE"/>
    <w:rsid w:val="00AE5071"/>
    <w:rsid w:val="00AE5430"/>
    <w:rsid w:val="00AE650F"/>
    <w:rsid w:val="00AE6555"/>
    <w:rsid w:val="00AE7D16"/>
    <w:rsid w:val="00AF354A"/>
    <w:rsid w:val="00AF4CAA"/>
    <w:rsid w:val="00AF571A"/>
    <w:rsid w:val="00AF60A0"/>
    <w:rsid w:val="00AF67FC"/>
    <w:rsid w:val="00AF7633"/>
    <w:rsid w:val="00AF7DF5"/>
    <w:rsid w:val="00B006E5"/>
    <w:rsid w:val="00B00AE3"/>
    <w:rsid w:val="00B024C2"/>
    <w:rsid w:val="00B02CE6"/>
    <w:rsid w:val="00B0394C"/>
    <w:rsid w:val="00B04FAD"/>
    <w:rsid w:val="00B07700"/>
    <w:rsid w:val="00B13921"/>
    <w:rsid w:val="00B1528C"/>
    <w:rsid w:val="00B16496"/>
    <w:rsid w:val="00B16ACD"/>
    <w:rsid w:val="00B2024F"/>
    <w:rsid w:val="00B211AD"/>
    <w:rsid w:val="00B21487"/>
    <w:rsid w:val="00B229C7"/>
    <w:rsid w:val="00B232D1"/>
    <w:rsid w:val="00B23D0E"/>
    <w:rsid w:val="00B241A4"/>
    <w:rsid w:val="00B24DB5"/>
    <w:rsid w:val="00B3014C"/>
    <w:rsid w:val="00B31915"/>
    <w:rsid w:val="00B31F9E"/>
    <w:rsid w:val="00B3268F"/>
    <w:rsid w:val="00B32C2C"/>
    <w:rsid w:val="00B33A1A"/>
    <w:rsid w:val="00B33E6C"/>
    <w:rsid w:val="00B3403D"/>
    <w:rsid w:val="00B371CC"/>
    <w:rsid w:val="00B37E60"/>
    <w:rsid w:val="00B4048F"/>
    <w:rsid w:val="00B41CD9"/>
    <w:rsid w:val="00B427E6"/>
    <w:rsid w:val="00B428A6"/>
    <w:rsid w:val="00B43E1F"/>
    <w:rsid w:val="00B44927"/>
    <w:rsid w:val="00B45FBC"/>
    <w:rsid w:val="00B5066E"/>
    <w:rsid w:val="00B51A7D"/>
    <w:rsid w:val="00B52350"/>
    <w:rsid w:val="00B535C2"/>
    <w:rsid w:val="00B53A24"/>
    <w:rsid w:val="00B55544"/>
    <w:rsid w:val="00B55967"/>
    <w:rsid w:val="00B55A70"/>
    <w:rsid w:val="00B55B3A"/>
    <w:rsid w:val="00B606F6"/>
    <w:rsid w:val="00B609DA"/>
    <w:rsid w:val="00B617FB"/>
    <w:rsid w:val="00B642FC"/>
    <w:rsid w:val="00B64D26"/>
    <w:rsid w:val="00B64FBB"/>
    <w:rsid w:val="00B70E22"/>
    <w:rsid w:val="00B774CB"/>
    <w:rsid w:val="00B77607"/>
    <w:rsid w:val="00B7761D"/>
    <w:rsid w:val="00B80402"/>
    <w:rsid w:val="00B80B9A"/>
    <w:rsid w:val="00B830B7"/>
    <w:rsid w:val="00B83A6B"/>
    <w:rsid w:val="00B848EA"/>
    <w:rsid w:val="00B84B2B"/>
    <w:rsid w:val="00B90500"/>
    <w:rsid w:val="00B9176C"/>
    <w:rsid w:val="00B935A4"/>
    <w:rsid w:val="00B94191"/>
    <w:rsid w:val="00B96E10"/>
    <w:rsid w:val="00B9763D"/>
    <w:rsid w:val="00BA3064"/>
    <w:rsid w:val="00BA5494"/>
    <w:rsid w:val="00BA561A"/>
    <w:rsid w:val="00BB0DC6"/>
    <w:rsid w:val="00BB0E00"/>
    <w:rsid w:val="00BB15E4"/>
    <w:rsid w:val="00BB1E19"/>
    <w:rsid w:val="00BB21D1"/>
    <w:rsid w:val="00BB32F2"/>
    <w:rsid w:val="00BB4338"/>
    <w:rsid w:val="00BB6C0E"/>
    <w:rsid w:val="00BB6E4F"/>
    <w:rsid w:val="00BB6F41"/>
    <w:rsid w:val="00BB7B38"/>
    <w:rsid w:val="00BC0C91"/>
    <w:rsid w:val="00BC0DEA"/>
    <w:rsid w:val="00BC11E5"/>
    <w:rsid w:val="00BC4BC6"/>
    <w:rsid w:val="00BC52FD"/>
    <w:rsid w:val="00BC6E62"/>
    <w:rsid w:val="00BC7443"/>
    <w:rsid w:val="00BD0648"/>
    <w:rsid w:val="00BD1040"/>
    <w:rsid w:val="00BD34AA"/>
    <w:rsid w:val="00BD3D44"/>
    <w:rsid w:val="00BD3DE8"/>
    <w:rsid w:val="00BD59CC"/>
    <w:rsid w:val="00BD5B2F"/>
    <w:rsid w:val="00BE0C44"/>
    <w:rsid w:val="00BE1B8B"/>
    <w:rsid w:val="00BE2A18"/>
    <w:rsid w:val="00BE2C01"/>
    <w:rsid w:val="00BE3503"/>
    <w:rsid w:val="00BE41EC"/>
    <w:rsid w:val="00BE56FB"/>
    <w:rsid w:val="00BE6362"/>
    <w:rsid w:val="00BE76EE"/>
    <w:rsid w:val="00BF051F"/>
    <w:rsid w:val="00BF1C9C"/>
    <w:rsid w:val="00BF3DDE"/>
    <w:rsid w:val="00BF416C"/>
    <w:rsid w:val="00BF5A2C"/>
    <w:rsid w:val="00BF6589"/>
    <w:rsid w:val="00BF6ED1"/>
    <w:rsid w:val="00BF6F7F"/>
    <w:rsid w:val="00BF74E6"/>
    <w:rsid w:val="00C00198"/>
    <w:rsid w:val="00C00647"/>
    <w:rsid w:val="00C02764"/>
    <w:rsid w:val="00C04290"/>
    <w:rsid w:val="00C04CEF"/>
    <w:rsid w:val="00C0662F"/>
    <w:rsid w:val="00C10540"/>
    <w:rsid w:val="00C10A30"/>
    <w:rsid w:val="00C11943"/>
    <w:rsid w:val="00C12E96"/>
    <w:rsid w:val="00C13563"/>
    <w:rsid w:val="00C14763"/>
    <w:rsid w:val="00C14CBD"/>
    <w:rsid w:val="00C14DC2"/>
    <w:rsid w:val="00C15339"/>
    <w:rsid w:val="00C16141"/>
    <w:rsid w:val="00C2169D"/>
    <w:rsid w:val="00C2363F"/>
    <w:rsid w:val="00C236C8"/>
    <w:rsid w:val="00C25B04"/>
    <w:rsid w:val="00C260B1"/>
    <w:rsid w:val="00C26E56"/>
    <w:rsid w:val="00C273C5"/>
    <w:rsid w:val="00C2745E"/>
    <w:rsid w:val="00C30353"/>
    <w:rsid w:val="00C31406"/>
    <w:rsid w:val="00C35B99"/>
    <w:rsid w:val="00C37194"/>
    <w:rsid w:val="00C40637"/>
    <w:rsid w:val="00C40F6C"/>
    <w:rsid w:val="00C41907"/>
    <w:rsid w:val="00C41E6C"/>
    <w:rsid w:val="00C44426"/>
    <w:rsid w:val="00C445F3"/>
    <w:rsid w:val="00C451F4"/>
    <w:rsid w:val="00C45AD2"/>
    <w:rsid w:val="00C45C51"/>
    <w:rsid w:val="00C45EB1"/>
    <w:rsid w:val="00C4603E"/>
    <w:rsid w:val="00C460EB"/>
    <w:rsid w:val="00C465DC"/>
    <w:rsid w:val="00C47577"/>
    <w:rsid w:val="00C50F8D"/>
    <w:rsid w:val="00C53B37"/>
    <w:rsid w:val="00C54A3A"/>
    <w:rsid w:val="00C55566"/>
    <w:rsid w:val="00C56448"/>
    <w:rsid w:val="00C603AF"/>
    <w:rsid w:val="00C6678A"/>
    <w:rsid w:val="00C667BE"/>
    <w:rsid w:val="00C6766B"/>
    <w:rsid w:val="00C67FBB"/>
    <w:rsid w:val="00C70E81"/>
    <w:rsid w:val="00C72223"/>
    <w:rsid w:val="00C76417"/>
    <w:rsid w:val="00C7719E"/>
    <w:rsid w:val="00C7726F"/>
    <w:rsid w:val="00C80127"/>
    <w:rsid w:val="00C823DA"/>
    <w:rsid w:val="00C8259F"/>
    <w:rsid w:val="00C82746"/>
    <w:rsid w:val="00C8312F"/>
    <w:rsid w:val="00C847AC"/>
    <w:rsid w:val="00C849F9"/>
    <w:rsid w:val="00C84C47"/>
    <w:rsid w:val="00C858A4"/>
    <w:rsid w:val="00C859C1"/>
    <w:rsid w:val="00C86AFA"/>
    <w:rsid w:val="00C87170"/>
    <w:rsid w:val="00C90992"/>
    <w:rsid w:val="00C9295D"/>
    <w:rsid w:val="00C930F4"/>
    <w:rsid w:val="00C93EA6"/>
    <w:rsid w:val="00C9445E"/>
    <w:rsid w:val="00CA0ACC"/>
    <w:rsid w:val="00CA57FB"/>
    <w:rsid w:val="00CA77A8"/>
    <w:rsid w:val="00CA7BA7"/>
    <w:rsid w:val="00CA7C95"/>
    <w:rsid w:val="00CB18D0"/>
    <w:rsid w:val="00CB1C8A"/>
    <w:rsid w:val="00CB24F5"/>
    <w:rsid w:val="00CB2663"/>
    <w:rsid w:val="00CB3BBE"/>
    <w:rsid w:val="00CB59E9"/>
    <w:rsid w:val="00CB6F16"/>
    <w:rsid w:val="00CB7C9E"/>
    <w:rsid w:val="00CC0814"/>
    <w:rsid w:val="00CC0D6A"/>
    <w:rsid w:val="00CC3831"/>
    <w:rsid w:val="00CC3E3D"/>
    <w:rsid w:val="00CC519B"/>
    <w:rsid w:val="00CC5C7C"/>
    <w:rsid w:val="00CC7E44"/>
    <w:rsid w:val="00CC7F36"/>
    <w:rsid w:val="00CD12C1"/>
    <w:rsid w:val="00CD1483"/>
    <w:rsid w:val="00CD1B5D"/>
    <w:rsid w:val="00CD214E"/>
    <w:rsid w:val="00CD46FA"/>
    <w:rsid w:val="00CD5973"/>
    <w:rsid w:val="00CD65A2"/>
    <w:rsid w:val="00CD7B20"/>
    <w:rsid w:val="00CE2D7B"/>
    <w:rsid w:val="00CE31A6"/>
    <w:rsid w:val="00CE3724"/>
    <w:rsid w:val="00CF09AA"/>
    <w:rsid w:val="00CF18B1"/>
    <w:rsid w:val="00CF210C"/>
    <w:rsid w:val="00CF2300"/>
    <w:rsid w:val="00CF2F8C"/>
    <w:rsid w:val="00CF3D25"/>
    <w:rsid w:val="00CF4813"/>
    <w:rsid w:val="00CF5233"/>
    <w:rsid w:val="00CF5A4A"/>
    <w:rsid w:val="00CF6893"/>
    <w:rsid w:val="00CF6F5D"/>
    <w:rsid w:val="00CF769D"/>
    <w:rsid w:val="00D007DA"/>
    <w:rsid w:val="00D018BE"/>
    <w:rsid w:val="00D0204F"/>
    <w:rsid w:val="00D029B8"/>
    <w:rsid w:val="00D02F60"/>
    <w:rsid w:val="00D038E0"/>
    <w:rsid w:val="00D0464E"/>
    <w:rsid w:val="00D04A96"/>
    <w:rsid w:val="00D06DE1"/>
    <w:rsid w:val="00D07A7B"/>
    <w:rsid w:val="00D10E06"/>
    <w:rsid w:val="00D1292F"/>
    <w:rsid w:val="00D14954"/>
    <w:rsid w:val="00D15197"/>
    <w:rsid w:val="00D167B1"/>
    <w:rsid w:val="00D16820"/>
    <w:rsid w:val="00D169C8"/>
    <w:rsid w:val="00D1793F"/>
    <w:rsid w:val="00D20B54"/>
    <w:rsid w:val="00D2186B"/>
    <w:rsid w:val="00D22001"/>
    <w:rsid w:val="00D221C0"/>
    <w:rsid w:val="00D222A1"/>
    <w:rsid w:val="00D22AF5"/>
    <w:rsid w:val="00D235EA"/>
    <w:rsid w:val="00D247A9"/>
    <w:rsid w:val="00D24852"/>
    <w:rsid w:val="00D2693F"/>
    <w:rsid w:val="00D32721"/>
    <w:rsid w:val="00D327BD"/>
    <w:rsid w:val="00D328DC"/>
    <w:rsid w:val="00D33387"/>
    <w:rsid w:val="00D34C6B"/>
    <w:rsid w:val="00D35A5B"/>
    <w:rsid w:val="00D36B53"/>
    <w:rsid w:val="00D36F0B"/>
    <w:rsid w:val="00D402FB"/>
    <w:rsid w:val="00D416B5"/>
    <w:rsid w:val="00D41A1B"/>
    <w:rsid w:val="00D41ED6"/>
    <w:rsid w:val="00D4418C"/>
    <w:rsid w:val="00D451E3"/>
    <w:rsid w:val="00D47D7A"/>
    <w:rsid w:val="00D47EBD"/>
    <w:rsid w:val="00D47ED4"/>
    <w:rsid w:val="00D50ABD"/>
    <w:rsid w:val="00D510EC"/>
    <w:rsid w:val="00D52274"/>
    <w:rsid w:val="00D55290"/>
    <w:rsid w:val="00D55F48"/>
    <w:rsid w:val="00D57791"/>
    <w:rsid w:val="00D57BA8"/>
    <w:rsid w:val="00D6046A"/>
    <w:rsid w:val="00D6084E"/>
    <w:rsid w:val="00D62870"/>
    <w:rsid w:val="00D62A4B"/>
    <w:rsid w:val="00D64AED"/>
    <w:rsid w:val="00D651DE"/>
    <w:rsid w:val="00D655D9"/>
    <w:rsid w:val="00D65872"/>
    <w:rsid w:val="00D66A4E"/>
    <w:rsid w:val="00D66AC8"/>
    <w:rsid w:val="00D676F3"/>
    <w:rsid w:val="00D67C5F"/>
    <w:rsid w:val="00D67FDA"/>
    <w:rsid w:val="00D70EF5"/>
    <w:rsid w:val="00D71024"/>
    <w:rsid w:val="00D71A25"/>
    <w:rsid w:val="00D71FCF"/>
    <w:rsid w:val="00D71FD1"/>
    <w:rsid w:val="00D7292D"/>
    <w:rsid w:val="00D72A54"/>
    <w:rsid w:val="00D72CC1"/>
    <w:rsid w:val="00D72E8B"/>
    <w:rsid w:val="00D72FF9"/>
    <w:rsid w:val="00D75AF8"/>
    <w:rsid w:val="00D76DE2"/>
    <w:rsid w:val="00D76EC9"/>
    <w:rsid w:val="00D802C7"/>
    <w:rsid w:val="00D80B66"/>
    <w:rsid w:val="00D80E7D"/>
    <w:rsid w:val="00D81299"/>
    <w:rsid w:val="00D81397"/>
    <w:rsid w:val="00D82009"/>
    <w:rsid w:val="00D820F1"/>
    <w:rsid w:val="00D8287E"/>
    <w:rsid w:val="00D84455"/>
    <w:rsid w:val="00D848B9"/>
    <w:rsid w:val="00D867F2"/>
    <w:rsid w:val="00D908A1"/>
    <w:rsid w:val="00D90B14"/>
    <w:rsid w:val="00D90E69"/>
    <w:rsid w:val="00D91368"/>
    <w:rsid w:val="00D91B00"/>
    <w:rsid w:val="00D91F50"/>
    <w:rsid w:val="00D91FF6"/>
    <w:rsid w:val="00D92394"/>
    <w:rsid w:val="00D93106"/>
    <w:rsid w:val="00D933E9"/>
    <w:rsid w:val="00D9505D"/>
    <w:rsid w:val="00D953D0"/>
    <w:rsid w:val="00D959E6"/>
    <w:rsid w:val="00D959F5"/>
    <w:rsid w:val="00D963F9"/>
    <w:rsid w:val="00D96564"/>
    <w:rsid w:val="00D96884"/>
    <w:rsid w:val="00D97AAD"/>
    <w:rsid w:val="00DA00F7"/>
    <w:rsid w:val="00DA09B8"/>
    <w:rsid w:val="00DA0EEB"/>
    <w:rsid w:val="00DA27D6"/>
    <w:rsid w:val="00DA3F31"/>
    <w:rsid w:val="00DA3FDD"/>
    <w:rsid w:val="00DA5BFF"/>
    <w:rsid w:val="00DA6B4E"/>
    <w:rsid w:val="00DA7017"/>
    <w:rsid w:val="00DA7028"/>
    <w:rsid w:val="00DB1AD2"/>
    <w:rsid w:val="00DB2B58"/>
    <w:rsid w:val="00DB5206"/>
    <w:rsid w:val="00DB5C51"/>
    <w:rsid w:val="00DB6276"/>
    <w:rsid w:val="00DB63F5"/>
    <w:rsid w:val="00DB701B"/>
    <w:rsid w:val="00DC1C6B"/>
    <w:rsid w:val="00DC2C2E"/>
    <w:rsid w:val="00DC4AF0"/>
    <w:rsid w:val="00DC5FC8"/>
    <w:rsid w:val="00DC6946"/>
    <w:rsid w:val="00DC6A29"/>
    <w:rsid w:val="00DC7886"/>
    <w:rsid w:val="00DD0CF2"/>
    <w:rsid w:val="00DD4EB8"/>
    <w:rsid w:val="00DD6773"/>
    <w:rsid w:val="00DE0945"/>
    <w:rsid w:val="00DE1554"/>
    <w:rsid w:val="00DE16BA"/>
    <w:rsid w:val="00DE2901"/>
    <w:rsid w:val="00DE590F"/>
    <w:rsid w:val="00DE704D"/>
    <w:rsid w:val="00DE7581"/>
    <w:rsid w:val="00DE7DC1"/>
    <w:rsid w:val="00DF3F7E"/>
    <w:rsid w:val="00DF471E"/>
    <w:rsid w:val="00DF51C6"/>
    <w:rsid w:val="00DF55A4"/>
    <w:rsid w:val="00DF7648"/>
    <w:rsid w:val="00E00E29"/>
    <w:rsid w:val="00E025F7"/>
    <w:rsid w:val="00E02BAB"/>
    <w:rsid w:val="00E0343E"/>
    <w:rsid w:val="00E04175"/>
    <w:rsid w:val="00E042F8"/>
    <w:rsid w:val="00E04CEB"/>
    <w:rsid w:val="00E060BC"/>
    <w:rsid w:val="00E10FAF"/>
    <w:rsid w:val="00E11420"/>
    <w:rsid w:val="00E13014"/>
    <w:rsid w:val="00E132FB"/>
    <w:rsid w:val="00E1503A"/>
    <w:rsid w:val="00E170B7"/>
    <w:rsid w:val="00E177DD"/>
    <w:rsid w:val="00E20021"/>
    <w:rsid w:val="00E20900"/>
    <w:rsid w:val="00E20C7F"/>
    <w:rsid w:val="00E22A56"/>
    <w:rsid w:val="00E2396E"/>
    <w:rsid w:val="00E24728"/>
    <w:rsid w:val="00E269C3"/>
    <w:rsid w:val="00E276AC"/>
    <w:rsid w:val="00E27BEE"/>
    <w:rsid w:val="00E31035"/>
    <w:rsid w:val="00E322B6"/>
    <w:rsid w:val="00E32C8D"/>
    <w:rsid w:val="00E33D99"/>
    <w:rsid w:val="00E3492F"/>
    <w:rsid w:val="00E34A35"/>
    <w:rsid w:val="00E37C2F"/>
    <w:rsid w:val="00E40B53"/>
    <w:rsid w:val="00E40D8A"/>
    <w:rsid w:val="00E41B2D"/>
    <w:rsid w:val="00E41C28"/>
    <w:rsid w:val="00E42608"/>
    <w:rsid w:val="00E42E32"/>
    <w:rsid w:val="00E447CC"/>
    <w:rsid w:val="00E4537B"/>
    <w:rsid w:val="00E45B69"/>
    <w:rsid w:val="00E45D67"/>
    <w:rsid w:val="00E46308"/>
    <w:rsid w:val="00E51E17"/>
    <w:rsid w:val="00E5294F"/>
    <w:rsid w:val="00E52DAB"/>
    <w:rsid w:val="00E52F64"/>
    <w:rsid w:val="00E539B0"/>
    <w:rsid w:val="00E53D1B"/>
    <w:rsid w:val="00E53DCD"/>
    <w:rsid w:val="00E55994"/>
    <w:rsid w:val="00E55BEB"/>
    <w:rsid w:val="00E60606"/>
    <w:rsid w:val="00E60C66"/>
    <w:rsid w:val="00E6164D"/>
    <w:rsid w:val="00E618C9"/>
    <w:rsid w:val="00E62774"/>
    <w:rsid w:val="00E6307C"/>
    <w:rsid w:val="00E636FA"/>
    <w:rsid w:val="00E647ED"/>
    <w:rsid w:val="00E647FB"/>
    <w:rsid w:val="00E66C50"/>
    <w:rsid w:val="00E6703F"/>
    <w:rsid w:val="00E679D3"/>
    <w:rsid w:val="00E70189"/>
    <w:rsid w:val="00E71208"/>
    <w:rsid w:val="00E71444"/>
    <w:rsid w:val="00E7196C"/>
    <w:rsid w:val="00E71C91"/>
    <w:rsid w:val="00E720A1"/>
    <w:rsid w:val="00E72A3D"/>
    <w:rsid w:val="00E732DC"/>
    <w:rsid w:val="00E758B0"/>
    <w:rsid w:val="00E75DDA"/>
    <w:rsid w:val="00E773E8"/>
    <w:rsid w:val="00E814CF"/>
    <w:rsid w:val="00E83ADD"/>
    <w:rsid w:val="00E844F6"/>
    <w:rsid w:val="00E84F38"/>
    <w:rsid w:val="00E85623"/>
    <w:rsid w:val="00E87441"/>
    <w:rsid w:val="00E90189"/>
    <w:rsid w:val="00E911DA"/>
    <w:rsid w:val="00E91666"/>
    <w:rsid w:val="00E91FAE"/>
    <w:rsid w:val="00E926FB"/>
    <w:rsid w:val="00E92F5B"/>
    <w:rsid w:val="00E94BAC"/>
    <w:rsid w:val="00E96E3F"/>
    <w:rsid w:val="00EA270C"/>
    <w:rsid w:val="00EA2A1A"/>
    <w:rsid w:val="00EA2C35"/>
    <w:rsid w:val="00EA4974"/>
    <w:rsid w:val="00EA4E7D"/>
    <w:rsid w:val="00EA532E"/>
    <w:rsid w:val="00EA695B"/>
    <w:rsid w:val="00EB06D9"/>
    <w:rsid w:val="00EB192B"/>
    <w:rsid w:val="00EB19ED"/>
    <w:rsid w:val="00EB1CAB"/>
    <w:rsid w:val="00EB3AAA"/>
    <w:rsid w:val="00EB673E"/>
    <w:rsid w:val="00EB7560"/>
    <w:rsid w:val="00EB7CAA"/>
    <w:rsid w:val="00EC0847"/>
    <w:rsid w:val="00EC0F5A"/>
    <w:rsid w:val="00EC26AF"/>
    <w:rsid w:val="00EC4265"/>
    <w:rsid w:val="00EC4CEB"/>
    <w:rsid w:val="00EC659E"/>
    <w:rsid w:val="00EC6791"/>
    <w:rsid w:val="00ED2072"/>
    <w:rsid w:val="00ED2AE0"/>
    <w:rsid w:val="00ED5456"/>
    <w:rsid w:val="00ED5553"/>
    <w:rsid w:val="00ED5E36"/>
    <w:rsid w:val="00ED6961"/>
    <w:rsid w:val="00ED6AFC"/>
    <w:rsid w:val="00EE0B05"/>
    <w:rsid w:val="00EE4CE4"/>
    <w:rsid w:val="00EE6EE9"/>
    <w:rsid w:val="00EF0B96"/>
    <w:rsid w:val="00EF0F40"/>
    <w:rsid w:val="00EF175C"/>
    <w:rsid w:val="00EF17BE"/>
    <w:rsid w:val="00EF3486"/>
    <w:rsid w:val="00EF47AF"/>
    <w:rsid w:val="00EF53B6"/>
    <w:rsid w:val="00EF5F7B"/>
    <w:rsid w:val="00EF7C6C"/>
    <w:rsid w:val="00F00B73"/>
    <w:rsid w:val="00F02034"/>
    <w:rsid w:val="00F03574"/>
    <w:rsid w:val="00F115CA"/>
    <w:rsid w:val="00F11CBE"/>
    <w:rsid w:val="00F12FD0"/>
    <w:rsid w:val="00F130C8"/>
    <w:rsid w:val="00F14817"/>
    <w:rsid w:val="00F148FA"/>
    <w:rsid w:val="00F14EBA"/>
    <w:rsid w:val="00F1510F"/>
    <w:rsid w:val="00F1533A"/>
    <w:rsid w:val="00F15E5A"/>
    <w:rsid w:val="00F17F0A"/>
    <w:rsid w:val="00F202D2"/>
    <w:rsid w:val="00F20B3B"/>
    <w:rsid w:val="00F21A84"/>
    <w:rsid w:val="00F22109"/>
    <w:rsid w:val="00F23CF8"/>
    <w:rsid w:val="00F24398"/>
    <w:rsid w:val="00F25B97"/>
    <w:rsid w:val="00F2668F"/>
    <w:rsid w:val="00F26D4E"/>
    <w:rsid w:val="00F2742F"/>
    <w:rsid w:val="00F2753B"/>
    <w:rsid w:val="00F33F8B"/>
    <w:rsid w:val="00F340B2"/>
    <w:rsid w:val="00F379EC"/>
    <w:rsid w:val="00F41978"/>
    <w:rsid w:val="00F43390"/>
    <w:rsid w:val="00F443B2"/>
    <w:rsid w:val="00F458D8"/>
    <w:rsid w:val="00F50237"/>
    <w:rsid w:val="00F5157C"/>
    <w:rsid w:val="00F52C40"/>
    <w:rsid w:val="00F52F0D"/>
    <w:rsid w:val="00F53596"/>
    <w:rsid w:val="00F53C7F"/>
    <w:rsid w:val="00F55BA8"/>
    <w:rsid w:val="00F55DB1"/>
    <w:rsid w:val="00F56ACA"/>
    <w:rsid w:val="00F5716C"/>
    <w:rsid w:val="00F600FE"/>
    <w:rsid w:val="00F62E4D"/>
    <w:rsid w:val="00F6690E"/>
    <w:rsid w:val="00F66AEC"/>
    <w:rsid w:val="00F66B34"/>
    <w:rsid w:val="00F675B9"/>
    <w:rsid w:val="00F709B6"/>
    <w:rsid w:val="00F711C9"/>
    <w:rsid w:val="00F74C59"/>
    <w:rsid w:val="00F75C3A"/>
    <w:rsid w:val="00F76C23"/>
    <w:rsid w:val="00F77B31"/>
    <w:rsid w:val="00F8111D"/>
    <w:rsid w:val="00F829CB"/>
    <w:rsid w:val="00F82E30"/>
    <w:rsid w:val="00F831CB"/>
    <w:rsid w:val="00F83724"/>
    <w:rsid w:val="00F840ED"/>
    <w:rsid w:val="00F848A3"/>
    <w:rsid w:val="00F84ACF"/>
    <w:rsid w:val="00F85742"/>
    <w:rsid w:val="00F8585B"/>
    <w:rsid w:val="00F85BF8"/>
    <w:rsid w:val="00F864AD"/>
    <w:rsid w:val="00F871CE"/>
    <w:rsid w:val="00F87802"/>
    <w:rsid w:val="00F87CD5"/>
    <w:rsid w:val="00F912A1"/>
    <w:rsid w:val="00F91F35"/>
    <w:rsid w:val="00F92793"/>
    <w:rsid w:val="00F92C0A"/>
    <w:rsid w:val="00F935A4"/>
    <w:rsid w:val="00F9415B"/>
    <w:rsid w:val="00F958B0"/>
    <w:rsid w:val="00F95E11"/>
    <w:rsid w:val="00FA13C2"/>
    <w:rsid w:val="00FA1CCF"/>
    <w:rsid w:val="00FA2042"/>
    <w:rsid w:val="00FA36C2"/>
    <w:rsid w:val="00FA440A"/>
    <w:rsid w:val="00FA4B33"/>
    <w:rsid w:val="00FA6197"/>
    <w:rsid w:val="00FA72FA"/>
    <w:rsid w:val="00FA799F"/>
    <w:rsid w:val="00FA7F91"/>
    <w:rsid w:val="00FB093E"/>
    <w:rsid w:val="00FB121C"/>
    <w:rsid w:val="00FB1CDD"/>
    <w:rsid w:val="00FB233C"/>
    <w:rsid w:val="00FB2C2F"/>
    <w:rsid w:val="00FB305C"/>
    <w:rsid w:val="00FB5E08"/>
    <w:rsid w:val="00FC02FD"/>
    <w:rsid w:val="00FC0945"/>
    <w:rsid w:val="00FC22EB"/>
    <w:rsid w:val="00FC2E3D"/>
    <w:rsid w:val="00FC3BDE"/>
    <w:rsid w:val="00FC4761"/>
    <w:rsid w:val="00FC61E3"/>
    <w:rsid w:val="00FD12E5"/>
    <w:rsid w:val="00FD14C9"/>
    <w:rsid w:val="00FD1DBE"/>
    <w:rsid w:val="00FD25A7"/>
    <w:rsid w:val="00FD27B6"/>
    <w:rsid w:val="00FD3689"/>
    <w:rsid w:val="00FD36E7"/>
    <w:rsid w:val="00FD42A3"/>
    <w:rsid w:val="00FD7468"/>
    <w:rsid w:val="00FD776B"/>
    <w:rsid w:val="00FD7A5D"/>
    <w:rsid w:val="00FD7CE0"/>
    <w:rsid w:val="00FD7D57"/>
    <w:rsid w:val="00FE00EC"/>
    <w:rsid w:val="00FE0B3B"/>
    <w:rsid w:val="00FE1BE2"/>
    <w:rsid w:val="00FE3E53"/>
    <w:rsid w:val="00FE537B"/>
    <w:rsid w:val="00FE5B19"/>
    <w:rsid w:val="00FE730A"/>
    <w:rsid w:val="00FF1DD7"/>
    <w:rsid w:val="00FF4453"/>
    <w:rsid w:val="00FF69ED"/>
    <w:rsid w:val="00FF7AC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F91BD5"/>
  <w15:docId w15:val="{0CCD6709-E721-470C-9C38-934A5C509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934586"/>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3F7360"/>
    <w:pPr>
      <w:autoSpaceDE/>
      <w:autoSpaceDN/>
      <w:adjustRightInd/>
      <w:spacing w:line="240" w:lineRule="auto"/>
      <w:ind w:left="720"/>
      <w:contextualSpacing/>
    </w:pPr>
    <w:rPr>
      <w:rFonts w:eastAsia="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86207">
      <w:bodyDiv w:val="1"/>
      <w:marLeft w:val="0"/>
      <w:marRight w:val="0"/>
      <w:marTop w:val="0"/>
      <w:marBottom w:val="0"/>
      <w:divBdr>
        <w:top w:val="none" w:sz="0" w:space="0" w:color="auto"/>
        <w:left w:val="none" w:sz="0" w:space="0" w:color="auto"/>
        <w:bottom w:val="none" w:sz="0" w:space="0" w:color="auto"/>
        <w:right w:val="none" w:sz="0" w:space="0" w:color="auto"/>
      </w:divBdr>
    </w:div>
    <w:div w:id="576403910">
      <w:bodyDiv w:val="1"/>
      <w:marLeft w:val="0"/>
      <w:marRight w:val="0"/>
      <w:marTop w:val="0"/>
      <w:marBottom w:val="0"/>
      <w:divBdr>
        <w:top w:val="none" w:sz="0" w:space="0" w:color="auto"/>
        <w:left w:val="none" w:sz="0" w:space="0" w:color="auto"/>
        <w:bottom w:val="none" w:sz="0" w:space="0" w:color="auto"/>
        <w:right w:val="none" w:sz="0" w:space="0" w:color="auto"/>
      </w:divBdr>
    </w:div>
    <w:div w:id="208505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x.pl/" TargetMode="External"/><Relationship Id="rId5" Type="http://schemas.openxmlformats.org/officeDocument/2006/relationships/settings" Target="settings.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02F7A2-547C-459E-86D6-BE42BE852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5</TotalTime>
  <Pages>30</Pages>
  <Words>8886</Words>
  <Characters>58981</Characters>
  <Application>Microsoft Office Word</Application>
  <DocSecurity>0</DocSecurity>
  <Lines>491</Lines>
  <Paragraphs>135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67732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Piech Roksana</dc:creator>
  <cp:lastModifiedBy>Binkowska Joanna</cp:lastModifiedBy>
  <cp:revision>3</cp:revision>
  <cp:lastPrinted>2019-07-03T06:54:00Z</cp:lastPrinted>
  <dcterms:created xsi:type="dcterms:W3CDTF">2019-07-04T09:06:00Z</dcterms:created>
  <dcterms:modified xsi:type="dcterms:W3CDTF">2019-07-04T09:10:00Z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