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413"/>
        <w:gridCol w:w="175"/>
        <w:gridCol w:w="529"/>
        <w:gridCol w:w="116"/>
        <w:gridCol w:w="425"/>
        <w:gridCol w:w="168"/>
        <w:gridCol w:w="577"/>
        <w:gridCol w:w="138"/>
        <w:gridCol w:w="708"/>
        <w:gridCol w:w="146"/>
        <w:gridCol w:w="563"/>
        <w:gridCol w:w="143"/>
        <w:gridCol w:w="428"/>
        <w:gridCol w:w="142"/>
        <w:gridCol w:w="709"/>
        <w:gridCol w:w="141"/>
        <w:gridCol w:w="100"/>
        <w:gridCol w:w="496"/>
        <w:gridCol w:w="111"/>
        <w:gridCol w:w="423"/>
        <w:gridCol w:w="146"/>
        <w:gridCol w:w="157"/>
        <w:gridCol w:w="552"/>
        <w:gridCol w:w="279"/>
        <w:gridCol w:w="430"/>
        <w:gridCol w:w="708"/>
        <w:gridCol w:w="989"/>
        <w:gridCol w:w="25"/>
      </w:tblGrid>
      <w:tr w:rsidR="007F27C4" w:rsidRPr="001974CC" w:rsidTr="001974CC">
        <w:trPr>
          <w:trHeight w:val="1611"/>
        </w:trPr>
        <w:tc>
          <w:tcPr>
            <w:tcW w:w="6621" w:type="dxa"/>
            <w:gridSpan w:val="17"/>
          </w:tcPr>
          <w:p w:rsidR="007F27C4" w:rsidRPr="001974CC" w:rsidRDefault="007F27C4" w:rsidP="00616511">
            <w:pPr>
              <w:spacing w:before="120" w:line="240" w:lineRule="auto"/>
              <w:ind w:hanging="45"/>
              <w:rPr>
                <w:rFonts w:ascii="Times New Roman" w:hAnsi="Times New Roman"/>
              </w:rPr>
            </w:pPr>
            <w:bookmarkStart w:id="0" w:name="t1"/>
            <w:bookmarkStart w:id="1" w:name="_GoBack"/>
            <w:bookmarkEnd w:id="1"/>
            <w:r w:rsidRPr="001974CC">
              <w:rPr>
                <w:rFonts w:ascii="Times New Roman" w:hAnsi="Times New Roman"/>
                <w:b/>
              </w:rPr>
              <w:t>Nazwa projektu</w:t>
            </w:r>
          </w:p>
          <w:p w:rsidR="007F27C4" w:rsidRPr="001974CC" w:rsidRDefault="007F27C4" w:rsidP="00A52ADB">
            <w:pPr>
              <w:spacing w:line="240" w:lineRule="auto"/>
              <w:ind w:hanging="34"/>
              <w:rPr>
                <w:rFonts w:ascii="Times New Roman" w:hAnsi="Times New Roman"/>
              </w:rPr>
            </w:pPr>
            <w:r w:rsidRPr="001974CC">
              <w:rPr>
                <w:rFonts w:ascii="Times New Roman" w:hAnsi="Times New Roman"/>
              </w:rPr>
              <w:t>Projekt ustawy o zmianie ustawy – Pr</w:t>
            </w:r>
            <w:r w:rsidR="00507552">
              <w:rPr>
                <w:rFonts w:ascii="Times New Roman" w:hAnsi="Times New Roman"/>
              </w:rPr>
              <w:t>awo zamówień publicznych oraz o </w:t>
            </w:r>
            <w:r w:rsidRPr="001974CC">
              <w:rPr>
                <w:rFonts w:ascii="Times New Roman" w:hAnsi="Times New Roman"/>
              </w:rPr>
              <w:t>zmianie niektórych innych ustaw</w:t>
            </w:r>
          </w:p>
          <w:p w:rsidR="007F27C4" w:rsidRPr="001974CC" w:rsidRDefault="007F27C4" w:rsidP="00616511">
            <w:pPr>
              <w:spacing w:before="120" w:line="240" w:lineRule="auto"/>
              <w:ind w:hanging="45"/>
              <w:rPr>
                <w:rFonts w:ascii="Times New Roman" w:hAnsi="Times New Roman"/>
                <w:b/>
              </w:rPr>
            </w:pPr>
            <w:r w:rsidRPr="001974CC">
              <w:rPr>
                <w:rFonts w:ascii="Times New Roman" w:hAnsi="Times New Roman"/>
                <w:b/>
              </w:rPr>
              <w:t>Ministerstwo wiodące i ministerstwa współpracujące</w:t>
            </w:r>
          </w:p>
          <w:bookmarkEnd w:id="0"/>
          <w:p w:rsidR="007F27C4" w:rsidRPr="001974CC" w:rsidRDefault="007F27C4" w:rsidP="00A52ADB">
            <w:pPr>
              <w:spacing w:line="240" w:lineRule="auto"/>
              <w:ind w:hanging="34"/>
              <w:rPr>
                <w:rFonts w:ascii="Times New Roman" w:hAnsi="Times New Roman"/>
              </w:rPr>
            </w:pPr>
            <w:r w:rsidRPr="001974CC">
              <w:rPr>
                <w:rFonts w:ascii="Times New Roman" w:hAnsi="Times New Roman"/>
              </w:rPr>
              <w:t xml:space="preserve">Ministerstwo Rozwoju we współpracy z Urzędem Zamówień Publicznych </w:t>
            </w:r>
          </w:p>
          <w:p w:rsidR="007F27C4" w:rsidRPr="001974CC" w:rsidRDefault="007F27C4" w:rsidP="001B3460">
            <w:pPr>
              <w:spacing w:line="240" w:lineRule="auto"/>
              <w:rPr>
                <w:rFonts w:ascii="Times New Roman" w:hAnsi="Times New Roman"/>
                <w:b/>
              </w:rPr>
            </w:pPr>
            <w:r w:rsidRPr="001974CC">
              <w:rPr>
                <w:rFonts w:ascii="Times New Roman" w:hAnsi="Times New Roman"/>
                <w:b/>
              </w:rPr>
              <w:t xml:space="preserve">Osoba odpowiedzialna za projekt w randze Ministra, Sekretarza Stanu lub Podsekretarza Stanu </w:t>
            </w:r>
          </w:p>
          <w:p w:rsidR="007F27C4" w:rsidRPr="001974CC" w:rsidRDefault="007F27C4" w:rsidP="001B3460">
            <w:pPr>
              <w:spacing w:line="240" w:lineRule="auto"/>
              <w:rPr>
                <w:rFonts w:ascii="Times New Roman" w:hAnsi="Times New Roman"/>
              </w:rPr>
            </w:pPr>
            <w:r w:rsidRPr="001974CC">
              <w:rPr>
                <w:rFonts w:ascii="Times New Roman" w:hAnsi="Times New Roman"/>
              </w:rPr>
              <w:t>Mariusz Haładyj – podsekretarz stanu</w:t>
            </w:r>
          </w:p>
          <w:p w:rsidR="007F27C4" w:rsidRPr="001974CC" w:rsidRDefault="007F27C4" w:rsidP="00616511">
            <w:pPr>
              <w:spacing w:before="120" w:line="240" w:lineRule="auto"/>
              <w:ind w:hanging="45"/>
              <w:rPr>
                <w:rFonts w:ascii="Times New Roman" w:hAnsi="Times New Roman"/>
                <w:b/>
              </w:rPr>
            </w:pPr>
            <w:r w:rsidRPr="001974CC">
              <w:rPr>
                <w:rFonts w:ascii="Times New Roman" w:hAnsi="Times New Roman"/>
                <w:b/>
              </w:rPr>
              <w:t>Kontakt do opiekuna merytorycznego projektu</w:t>
            </w:r>
          </w:p>
          <w:p w:rsidR="007F27C4" w:rsidRPr="001974CC" w:rsidRDefault="007F27C4" w:rsidP="00A17CB2">
            <w:pPr>
              <w:spacing w:line="240" w:lineRule="auto"/>
              <w:ind w:hanging="34"/>
              <w:rPr>
                <w:rFonts w:ascii="Times New Roman" w:hAnsi="Times New Roman"/>
              </w:rPr>
            </w:pPr>
            <w:r w:rsidRPr="001974CC">
              <w:rPr>
                <w:rFonts w:ascii="Times New Roman" w:hAnsi="Times New Roman"/>
              </w:rPr>
              <w:t>Grzegorz Lang – Dyrektor Departamentu Doskonalenia Regulacji Gospodarczych, tel. 22 693 5935, e-mail: grzegorz.lang@mr.gov.pl</w:t>
            </w:r>
          </w:p>
          <w:p w:rsidR="007A42E6" w:rsidRPr="001974CC" w:rsidRDefault="007A42E6" w:rsidP="00A17CB2">
            <w:pPr>
              <w:spacing w:line="240" w:lineRule="auto"/>
              <w:ind w:hanging="34"/>
              <w:rPr>
                <w:rFonts w:ascii="Times New Roman" w:hAnsi="Times New Roman"/>
              </w:rPr>
            </w:pPr>
          </w:p>
          <w:p w:rsidR="007F27C4" w:rsidRPr="001974CC" w:rsidRDefault="007F27C4" w:rsidP="00A17CB2">
            <w:pPr>
              <w:spacing w:line="240" w:lineRule="auto"/>
              <w:ind w:hanging="34"/>
              <w:rPr>
                <w:rFonts w:ascii="Times New Roman" w:hAnsi="Times New Roman"/>
              </w:rPr>
            </w:pPr>
            <w:r w:rsidRPr="001974CC">
              <w:rPr>
                <w:rFonts w:ascii="Times New Roman" w:hAnsi="Times New Roman"/>
              </w:rPr>
              <w:t>Maja Janicka – Główny specjalista ds. legislacji, tel. 22 693 50</w:t>
            </w:r>
            <w:r w:rsidR="00271180">
              <w:rPr>
                <w:rFonts w:ascii="Times New Roman" w:hAnsi="Times New Roman"/>
              </w:rPr>
              <w:t xml:space="preserve"> </w:t>
            </w:r>
            <w:r w:rsidRPr="001974CC">
              <w:rPr>
                <w:rFonts w:ascii="Times New Roman" w:hAnsi="Times New Roman"/>
              </w:rPr>
              <w:t xml:space="preserve">04, </w:t>
            </w:r>
            <w:r w:rsidR="00CF0ACB">
              <w:rPr>
                <w:rFonts w:ascii="Times New Roman" w:hAnsi="Times New Roman"/>
              </w:rPr>
              <w:br/>
            </w:r>
            <w:r w:rsidRPr="001974CC">
              <w:rPr>
                <w:rFonts w:ascii="Times New Roman" w:hAnsi="Times New Roman"/>
              </w:rPr>
              <w:t>e-mail: maja.janicka@mr.gov.pl</w:t>
            </w:r>
          </w:p>
          <w:p w:rsidR="007F27C4" w:rsidRPr="001974CC" w:rsidRDefault="007F27C4" w:rsidP="00A17CB2">
            <w:pPr>
              <w:spacing w:line="240" w:lineRule="auto"/>
              <w:ind w:hanging="34"/>
              <w:rPr>
                <w:rFonts w:ascii="Times New Roman" w:hAnsi="Times New Roman"/>
              </w:rPr>
            </w:pPr>
          </w:p>
        </w:tc>
        <w:tc>
          <w:tcPr>
            <w:tcW w:w="4316" w:type="dxa"/>
            <w:gridSpan w:val="11"/>
            <w:shd w:val="clear" w:color="auto" w:fill="FFFFFF"/>
          </w:tcPr>
          <w:p w:rsidR="007F27C4" w:rsidRPr="001974CC" w:rsidRDefault="007F27C4" w:rsidP="001B3460">
            <w:pPr>
              <w:spacing w:line="240" w:lineRule="auto"/>
              <w:rPr>
                <w:rFonts w:ascii="Times New Roman" w:hAnsi="Times New Roman"/>
                <w:b/>
              </w:rPr>
            </w:pPr>
            <w:r w:rsidRPr="001974CC">
              <w:rPr>
                <w:rFonts w:ascii="Times New Roman" w:hAnsi="Times New Roman"/>
                <w:b/>
              </w:rPr>
              <w:t>Data sporządzenia</w:t>
            </w:r>
            <w:r w:rsidRPr="001974CC">
              <w:rPr>
                <w:rFonts w:ascii="Times New Roman" w:hAnsi="Times New Roman"/>
                <w:b/>
              </w:rPr>
              <w:br/>
            </w:r>
            <w:r w:rsidR="005D4CA3" w:rsidRPr="001974CC">
              <w:rPr>
                <w:rFonts w:ascii="Times New Roman" w:hAnsi="Times New Roman"/>
              </w:rPr>
              <w:t>17</w:t>
            </w:r>
            <w:r w:rsidR="001B7279" w:rsidRPr="001974CC">
              <w:rPr>
                <w:rFonts w:ascii="Times New Roman" w:hAnsi="Times New Roman"/>
              </w:rPr>
              <w:t xml:space="preserve"> marca</w:t>
            </w:r>
            <w:r w:rsidRPr="001974CC">
              <w:rPr>
                <w:rFonts w:ascii="Times New Roman" w:hAnsi="Times New Roman"/>
              </w:rPr>
              <w:t xml:space="preserve"> 2016 r.</w:t>
            </w:r>
            <w:r w:rsidRPr="001974CC">
              <w:rPr>
                <w:rFonts w:ascii="Times New Roman" w:hAnsi="Times New Roman"/>
                <w:b/>
              </w:rPr>
              <w:t xml:space="preserve"> </w:t>
            </w:r>
          </w:p>
          <w:p w:rsidR="007F27C4" w:rsidRPr="001974CC" w:rsidRDefault="007F27C4" w:rsidP="00616511">
            <w:pPr>
              <w:spacing w:before="120" w:line="240" w:lineRule="auto"/>
              <w:rPr>
                <w:rFonts w:ascii="Times New Roman" w:hAnsi="Times New Roman"/>
                <w:b/>
              </w:rPr>
            </w:pPr>
            <w:r w:rsidRPr="001974CC">
              <w:rPr>
                <w:rFonts w:ascii="Times New Roman" w:hAnsi="Times New Roman"/>
                <w:b/>
              </w:rPr>
              <w:t xml:space="preserve">Źródło: </w:t>
            </w:r>
            <w:bookmarkStart w:id="2" w:name="Lista1"/>
          </w:p>
          <w:bookmarkEnd w:id="2"/>
          <w:p w:rsidR="007F27C4" w:rsidRPr="001974CC" w:rsidRDefault="007F27C4" w:rsidP="00C00976">
            <w:pPr>
              <w:spacing w:line="240" w:lineRule="auto"/>
              <w:jc w:val="both"/>
              <w:rPr>
                <w:rFonts w:ascii="Times New Roman" w:hAnsi="Times New Roman"/>
              </w:rPr>
            </w:pPr>
            <w:r w:rsidRPr="001974CC">
              <w:rPr>
                <w:rFonts w:ascii="Times New Roman" w:hAnsi="Times New Roman"/>
              </w:rPr>
              <w:t xml:space="preserve">Dyrektywa Parlamentu Europejskiego i Rady </w:t>
            </w:r>
            <w:r w:rsidR="00CF0ACB" w:rsidRPr="001974CC">
              <w:rPr>
                <w:rFonts w:ascii="Times New Roman" w:hAnsi="Times New Roman"/>
              </w:rPr>
              <w:t xml:space="preserve">2014/24/UE </w:t>
            </w:r>
            <w:r w:rsidRPr="001974CC">
              <w:rPr>
                <w:rFonts w:ascii="Times New Roman" w:hAnsi="Times New Roman"/>
              </w:rPr>
              <w:t>z dnia 26 lut</w:t>
            </w:r>
            <w:r w:rsidR="00CF0ACB">
              <w:rPr>
                <w:rFonts w:ascii="Times New Roman" w:hAnsi="Times New Roman"/>
              </w:rPr>
              <w:t>ego 2014 r. w </w:t>
            </w:r>
            <w:r w:rsidRPr="001974CC">
              <w:rPr>
                <w:rFonts w:ascii="Times New Roman" w:hAnsi="Times New Roman"/>
              </w:rPr>
              <w:t>sprawie zamówień publicznych, uchylająca dyrektywę</w:t>
            </w:r>
            <w:r w:rsidR="00CF0ACB">
              <w:rPr>
                <w:rFonts w:ascii="Times New Roman" w:hAnsi="Times New Roman"/>
              </w:rPr>
              <w:t xml:space="preserve"> 2004/18/WE (Dz. Urz. UE L 94 z </w:t>
            </w:r>
            <w:r w:rsidRPr="001974CC">
              <w:rPr>
                <w:rFonts w:ascii="Times New Roman" w:hAnsi="Times New Roman"/>
              </w:rPr>
              <w:t>28.03.2014, str. 65</w:t>
            </w:r>
            <w:r w:rsidR="00CF0ACB">
              <w:rPr>
                <w:rFonts w:ascii="Times New Roman" w:hAnsi="Times New Roman"/>
              </w:rPr>
              <w:t>, z późn. zm.</w:t>
            </w:r>
            <w:r w:rsidRPr="001974CC">
              <w:rPr>
                <w:rFonts w:ascii="Times New Roman" w:hAnsi="Times New Roman"/>
              </w:rPr>
              <w:t>)</w:t>
            </w:r>
          </w:p>
          <w:p w:rsidR="007F27C4" w:rsidRPr="001974CC" w:rsidRDefault="007F27C4" w:rsidP="00C00976">
            <w:pPr>
              <w:spacing w:line="240" w:lineRule="auto"/>
              <w:jc w:val="both"/>
              <w:rPr>
                <w:rFonts w:ascii="Times New Roman" w:hAnsi="Times New Roman"/>
              </w:rPr>
            </w:pPr>
          </w:p>
          <w:p w:rsidR="007F27C4" w:rsidRPr="001974CC" w:rsidRDefault="007F27C4" w:rsidP="00C00976">
            <w:pPr>
              <w:spacing w:line="240" w:lineRule="auto"/>
              <w:jc w:val="both"/>
              <w:rPr>
                <w:rFonts w:ascii="Times New Roman" w:hAnsi="Times New Roman"/>
              </w:rPr>
            </w:pPr>
            <w:r w:rsidRPr="001974CC">
              <w:rPr>
                <w:rFonts w:ascii="Times New Roman" w:hAnsi="Times New Roman"/>
              </w:rPr>
              <w:t xml:space="preserve">Dyrektywa </w:t>
            </w:r>
            <w:r w:rsidR="00C00976" w:rsidRPr="001974CC">
              <w:rPr>
                <w:rFonts w:ascii="Times New Roman" w:hAnsi="Times New Roman"/>
              </w:rPr>
              <w:t>P</w:t>
            </w:r>
            <w:r w:rsidRPr="001974CC">
              <w:rPr>
                <w:rFonts w:ascii="Times New Roman" w:hAnsi="Times New Roman"/>
              </w:rPr>
              <w:t xml:space="preserve">arlamentu Europejskiego i Rady </w:t>
            </w:r>
            <w:r w:rsidR="00CF0ACB" w:rsidRPr="001974CC">
              <w:rPr>
                <w:rFonts w:ascii="Times New Roman" w:hAnsi="Times New Roman"/>
              </w:rPr>
              <w:t xml:space="preserve">2014/25/UE </w:t>
            </w:r>
            <w:r w:rsidR="00CF0ACB">
              <w:rPr>
                <w:rFonts w:ascii="Times New Roman" w:hAnsi="Times New Roman"/>
              </w:rPr>
              <w:t>z dnia 26 lutego 2014 r. w </w:t>
            </w:r>
            <w:r w:rsidRPr="001974CC">
              <w:rPr>
                <w:rFonts w:ascii="Times New Roman" w:hAnsi="Times New Roman"/>
              </w:rPr>
              <w:t>sprawie udzielania zamówień przez podmioty działające w sektorach gospodarki wodnej, energetyki, transportu i usług pocztowych, uchylająca dyrektywę 2004/17/WE (Dz. Urz. UE L 94 z 28.03.2014, str. 243</w:t>
            </w:r>
            <w:r w:rsidR="00CF0ACB">
              <w:rPr>
                <w:rFonts w:ascii="Times New Roman" w:hAnsi="Times New Roman"/>
              </w:rPr>
              <w:t>, z późn. zm.</w:t>
            </w:r>
            <w:r w:rsidRPr="001974CC">
              <w:rPr>
                <w:rFonts w:ascii="Times New Roman" w:hAnsi="Times New Roman"/>
              </w:rPr>
              <w:t>)</w:t>
            </w:r>
          </w:p>
          <w:p w:rsidR="00C00976" w:rsidRPr="001974CC" w:rsidRDefault="00C00976" w:rsidP="00A17CB2">
            <w:pPr>
              <w:spacing w:line="240" w:lineRule="auto"/>
              <w:rPr>
                <w:rFonts w:ascii="Times New Roman" w:hAnsi="Times New Roman"/>
              </w:rPr>
            </w:pPr>
          </w:p>
          <w:p w:rsidR="007F27C4" w:rsidRPr="001974CC" w:rsidRDefault="007F27C4" w:rsidP="00C00976">
            <w:pPr>
              <w:spacing w:line="240" w:lineRule="auto"/>
              <w:rPr>
                <w:rFonts w:ascii="Times New Roman" w:hAnsi="Times New Roman"/>
              </w:rPr>
            </w:pPr>
            <w:r w:rsidRPr="001974CC">
              <w:rPr>
                <w:rFonts w:ascii="Times New Roman" w:hAnsi="Times New Roman"/>
                <w:b/>
              </w:rPr>
              <w:t xml:space="preserve">Nr w wykazie prac </w:t>
            </w:r>
            <w:r w:rsidR="00C00976" w:rsidRPr="001974CC">
              <w:rPr>
                <w:rFonts w:ascii="Times New Roman" w:hAnsi="Times New Roman"/>
              </w:rPr>
              <w:t>UC44</w:t>
            </w:r>
          </w:p>
        </w:tc>
      </w:tr>
      <w:tr w:rsidR="007F27C4" w:rsidRPr="001974CC" w:rsidTr="00D41C64">
        <w:trPr>
          <w:trHeight w:val="142"/>
        </w:trPr>
        <w:tc>
          <w:tcPr>
            <w:tcW w:w="10937" w:type="dxa"/>
            <w:gridSpan w:val="28"/>
            <w:shd w:val="clear" w:color="auto" w:fill="99CCFF"/>
          </w:tcPr>
          <w:p w:rsidR="007F27C4" w:rsidRPr="001974CC" w:rsidRDefault="007F27C4" w:rsidP="001B4CA1">
            <w:pPr>
              <w:spacing w:line="240" w:lineRule="auto"/>
              <w:ind w:left="57"/>
              <w:jc w:val="center"/>
              <w:rPr>
                <w:rFonts w:ascii="Times New Roman" w:hAnsi="Times New Roman"/>
                <w:b/>
              </w:rPr>
            </w:pPr>
            <w:r w:rsidRPr="001974CC">
              <w:rPr>
                <w:rFonts w:ascii="Times New Roman" w:hAnsi="Times New Roman"/>
                <w:b/>
              </w:rPr>
              <w:t>OCENA SKUTKÓW REGULACJI</w:t>
            </w:r>
          </w:p>
        </w:tc>
      </w:tr>
      <w:tr w:rsidR="007F27C4" w:rsidRPr="001974CC" w:rsidTr="00D41C64">
        <w:trPr>
          <w:trHeight w:val="333"/>
        </w:trPr>
        <w:tc>
          <w:tcPr>
            <w:tcW w:w="10937" w:type="dxa"/>
            <w:gridSpan w:val="28"/>
            <w:shd w:val="clear" w:color="auto" w:fill="99CCFF"/>
            <w:vAlign w:val="center"/>
          </w:tcPr>
          <w:p w:rsidR="007F27C4" w:rsidRPr="001974CC" w:rsidRDefault="007F27C4" w:rsidP="006A701A">
            <w:pPr>
              <w:numPr>
                <w:ilvl w:val="0"/>
                <w:numId w:val="3"/>
              </w:numPr>
              <w:spacing w:before="60" w:after="60" w:line="240" w:lineRule="auto"/>
              <w:ind w:left="318" w:hanging="284"/>
              <w:jc w:val="both"/>
              <w:rPr>
                <w:rFonts w:ascii="Times New Roman" w:hAnsi="Times New Roman"/>
                <w:b/>
              </w:rPr>
            </w:pPr>
            <w:r w:rsidRPr="001974CC">
              <w:rPr>
                <w:rFonts w:ascii="Times New Roman" w:hAnsi="Times New Roman"/>
                <w:b/>
              </w:rPr>
              <w:t>Jaki problem jest rozwiązywany?</w:t>
            </w:r>
            <w:bookmarkStart w:id="3" w:name="Wybór1"/>
            <w:bookmarkEnd w:id="3"/>
          </w:p>
        </w:tc>
      </w:tr>
      <w:tr w:rsidR="007F27C4" w:rsidRPr="001974CC" w:rsidTr="00D41C64">
        <w:trPr>
          <w:trHeight w:val="1639"/>
        </w:trPr>
        <w:tc>
          <w:tcPr>
            <w:tcW w:w="10937" w:type="dxa"/>
            <w:gridSpan w:val="28"/>
            <w:shd w:val="clear" w:color="auto" w:fill="FFFFFF"/>
          </w:tcPr>
          <w:p w:rsidR="007F27C4" w:rsidRPr="001974CC" w:rsidRDefault="007F27C4" w:rsidP="00DA3678">
            <w:pPr>
              <w:spacing w:before="120" w:line="240" w:lineRule="auto"/>
              <w:jc w:val="both"/>
              <w:rPr>
                <w:rFonts w:ascii="Times New Roman" w:hAnsi="Times New Roman"/>
              </w:rPr>
            </w:pPr>
            <w:r w:rsidRPr="001974CC">
              <w:rPr>
                <w:rFonts w:ascii="Times New Roman" w:hAnsi="Times New Roman"/>
              </w:rPr>
              <w:t>Główne problemy w obszarze zamówień publicznych, których rozwiązanie zakłada projekt ustawy:</w:t>
            </w:r>
          </w:p>
          <w:p w:rsidR="007F27C4" w:rsidRPr="001974CC" w:rsidRDefault="007F27C4" w:rsidP="00380ED5">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nadmierne stosowanie kryterium ceny jako jedynego kryterium oceny ofert oraz brak podstawy prawnej wyboru oferty w oparciu o kryterium oferty najkorzystniejszej z wykorzystaniem rachunków kosztów cyklu życia (obejmującego koszty związane z: nabyciem, użytkowaniem, wycofaniem z eksploatacji, kosztem ekologicznym związanym z cyklem życia produktu, usługi lub roboty budowl</w:t>
            </w:r>
            <w:r w:rsidR="00BF6B09">
              <w:rPr>
                <w:rFonts w:ascii="Times New Roman" w:hAnsi="Times New Roman"/>
              </w:rPr>
              <w:t>a</w:t>
            </w:r>
            <w:r w:rsidRPr="001974CC">
              <w:rPr>
                <w:rFonts w:ascii="Times New Roman" w:hAnsi="Times New Roman"/>
              </w:rPr>
              <w:t>ne);</w:t>
            </w:r>
          </w:p>
          <w:p w:rsidR="007F27C4" w:rsidRPr="001974CC" w:rsidRDefault="007F27C4" w:rsidP="004004F8">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zbyt sztywne przesłanki stosowania trybów negocjacyjnych poprzedzonyc</w:t>
            </w:r>
            <w:r w:rsidR="001C797A">
              <w:rPr>
                <w:rFonts w:ascii="Times New Roman" w:hAnsi="Times New Roman"/>
              </w:rPr>
              <w:t>h ogłoszeniem o zamówieniu, tj. </w:t>
            </w:r>
            <w:r w:rsidRPr="001974CC">
              <w:rPr>
                <w:rFonts w:ascii="Times New Roman" w:hAnsi="Times New Roman"/>
              </w:rPr>
              <w:t xml:space="preserve">negocjacji z ogłoszeniem i dialogu konkurencyjnego, zapewniających możliwość wyboru rozwiązań lepiej wpisujących się w ich oczekiwania, bardziej ekonomicznych, innowacyjnych, dostosowanych do potrzeb zamawiającego i użytkowników przedmiotu zamówienia; </w:t>
            </w:r>
          </w:p>
          <w:p w:rsidR="007F27C4" w:rsidRPr="001974CC" w:rsidRDefault="007F27C4" w:rsidP="004004F8">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nadmiernie zbiurokratyzowane procedury (projekt przewiduje odejście od konieczności przedkładania przez wszystkich wykonawców dokumentów potwierdzających spełnianie wa</w:t>
            </w:r>
            <w:r w:rsidR="001C797A">
              <w:rPr>
                <w:rFonts w:ascii="Times New Roman" w:hAnsi="Times New Roman"/>
              </w:rPr>
              <w:t>runków udziału w postępowaniu i </w:t>
            </w:r>
            <w:r w:rsidRPr="001974CC">
              <w:rPr>
                <w:rFonts w:ascii="Times New Roman" w:hAnsi="Times New Roman"/>
              </w:rPr>
              <w:t>warunków odnoszących się do kryteriów podmiotowych stawianych przez zamawiających);</w:t>
            </w:r>
          </w:p>
          <w:p w:rsidR="007F27C4" w:rsidRPr="001974CC" w:rsidRDefault="007F27C4" w:rsidP="004004F8">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pozorne powoływanie się na zasoby podmiotów trzecich (tzw. handel referencjami) – zamawiający w szerszym zakresie będzie mógł żądać, aby podmiot wykazujący potencjał uczestniczył w realizacji zamówienia;</w:t>
            </w:r>
          </w:p>
          <w:p w:rsidR="007F27C4" w:rsidRPr="001974CC" w:rsidRDefault="007F27C4" w:rsidP="004004F8">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niewystarczająco jednoznaczne warunki dopuszczalnej zmiany umowy o zamówienie publiczne;</w:t>
            </w:r>
          </w:p>
          <w:p w:rsidR="007F27C4" w:rsidRPr="001974CC" w:rsidRDefault="007F27C4" w:rsidP="00DA3678">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niewystarczająco jednoznaczne uregulowanie wyłączeń z zakresu stosowania ustawy – Prawo zamówień publicznych (PZP) dotyczących współpracy pomiędzy zamawiającymi z sektora publicznego oraz udzielania przez zamawiających (organy założycielskie, jednostki samorządu terytorialnego) zamówień podmiotom kontrolowanym, do których należy przede wszystkim zaliczyć: instytucje gospodarki budżetowej oraz spółki komunalne;</w:t>
            </w:r>
          </w:p>
          <w:p w:rsidR="007F27C4" w:rsidRPr="001974CC" w:rsidRDefault="007F27C4" w:rsidP="00DA3678">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brak możliwości udzielania zamówień w celu prowadzenia działalności sektorowej przez wszystkie kategorie zamawiających (obecnie tzw. zamówień sektorowych w bardziej elastycznych procedurach mogą udzielać wyłącznie podmioty prawa publicznego, przedsiębiorstwa publiczne oraz zamawiający działający na podstawie praw szczególnych lub wyłącznych);</w:t>
            </w:r>
          </w:p>
          <w:p w:rsidR="007F27C4" w:rsidRPr="001974CC" w:rsidRDefault="007F27C4" w:rsidP="00380ED5">
            <w:pPr>
              <w:pStyle w:val="Akapitzlist"/>
              <w:numPr>
                <w:ilvl w:val="0"/>
                <w:numId w:val="26"/>
              </w:numPr>
              <w:spacing w:before="120" w:line="240" w:lineRule="auto"/>
              <w:ind w:left="460"/>
              <w:contextualSpacing w:val="0"/>
              <w:jc w:val="both"/>
              <w:rPr>
                <w:rFonts w:ascii="Times New Roman" w:hAnsi="Times New Roman"/>
              </w:rPr>
            </w:pPr>
            <w:r w:rsidRPr="001974CC">
              <w:rPr>
                <w:rFonts w:ascii="Times New Roman" w:hAnsi="Times New Roman"/>
              </w:rPr>
              <w:t xml:space="preserve">brak możliwości wnoszenia odwołań w postępowaniach o udzielenie zamówień publicznych poniżej progów unijnych na niektóre podstawowe czynności podejmowane przez zamawiających: (1) opis przedmiotu zamówienia, (2) wybór oferty najkorzystniejszej oraz (3) unieważnienie postępowania o udzielenie zamówienia publicznego; </w:t>
            </w:r>
          </w:p>
          <w:p w:rsidR="007F27C4" w:rsidRPr="001974CC" w:rsidRDefault="007F27C4" w:rsidP="00DA3678">
            <w:pPr>
              <w:spacing w:before="120" w:line="240" w:lineRule="auto"/>
              <w:jc w:val="both"/>
              <w:rPr>
                <w:rFonts w:ascii="Times New Roman" w:hAnsi="Times New Roman"/>
              </w:rPr>
            </w:pPr>
            <w:r w:rsidRPr="001974CC">
              <w:rPr>
                <w:rFonts w:ascii="Times New Roman" w:hAnsi="Times New Roman"/>
              </w:rPr>
              <w:t>Projekt ustawy wdroży do polskiego porządku prawnego dwie dyrektywy Parlamentu Europejskiego i Rady:</w:t>
            </w:r>
          </w:p>
          <w:p w:rsidR="007F27C4" w:rsidRPr="001974CC" w:rsidRDefault="001974CC" w:rsidP="00DA3678">
            <w:pPr>
              <w:spacing w:before="120" w:line="240" w:lineRule="auto"/>
              <w:jc w:val="both"/>
              <w:rPr>
                <w:rFonts w:ascii="Times New Roman" w:hAnsi="Times New Roman"/>
              </w:rPr>
            </w:pPr>
            <w:r>
              <w:rPr>
                <w:rFonts w:ascii="Times New Roman" w:hAnsi="Times New Roman"/>
              </w:rPr>
              <w:t>–</w:t>
            </w:r>
            <w:r w:rsidR="007F27C4" w:rsidRPr="001974CC">
              <w:rPr>
                <w:rFonts w:ascii="Times New Roman" w:hAnsi="Times New Roman"/>
              </w:rPr>
              <w:t xml:space="preserve"> 2014/24/UE z dnia 26 lutego 2014 r. w sprawie zamówień publicznych, uchylając</w:t>
            </w:r>
            <w:r w:rsidR="00BF6B09">
              <w:rPr>
                <w:rFonts w:ascii="Times New Roman" w:hAnsi="Times New Roman"/>
              </w:rPr>
              <w:t>ą</w:t>
            </w:r>
            <w:r w:rsidR="007F27C4" w:rsidRPr="001974CC">
              <w:rPr>
                <w:rFonts w:ascii="Times New Roman" w:hAnsi="Times New Roman"/>
              </w:rPr>
              <w:t xml:space="preserve"> dyrektywę 2004/18/WE (Dz. Urz. UE L 94 z 28.03.2014 r. str. 65</w:t>
            </w:r>
            <w:r w:rsidR="008841DA">
              <w:rPr>
                <w:rFonts w:ascii="Times New Roman" w:hAnsi="Times New Roman"/>
              </w:rPr>
              <w:t>, z późn. zm.</w:t>
            </w:r>
            <w:r w:rsidR="007F27C4" w:rsidRPr="001974CC">
              <w:rPr>
                <w:rFonts w:ascii="Times New Roman" w:hAnsi="Times New Roman"/>
              </w:rPr>
              <w:t>), dalej „dyrektywa klasyczna 2014/24/UE”</w:t>
            </w:r>
            <w:r w:rsidR="00EF2B5E">
              <w:rPr>
                <w:rFonts w:ascii="Times New Roman" w:hAnsi="Times New Roman"/>
              </w:rPr>
              <w:t>,</w:t>
            </w:r>
            <w:r w:rsidR="007F27C4" w:rsidRPr="001974CC">
              <w:rPr>
                <w:rFonts w:ascii="Times New Roman" w:hAnsi="Times New Roman"/>
              </w:rPr>
              <w:t xml:space="preserve"> oraz</w:t>
            </w:r>
          </w:p>
          <w:p w:rsidR="007F27C4" w:rsidRPr="001974CC" w:rsidRDefault="001974CC" w:rsidP="00DA3678">
            <w:pPr>
              <w:spacing w:before="120" w:line="240" w:lineRule="auto"/>
              <w:jc w:val="both"/>
              <w:rPr>
                <w:rFonts w:ascii="Times New Roman" w:hAnsi="Times New Roman"/>
              </w:rPr>
            </w:pPr>
            <w:r>
              <w:rPr>
                <w:rFonts w:ascii="Times New Roman" w:hAnsi="Times New Roman"/>
              </w:rPr>
              <w:t>–</w:t>
            </w:r>
            <w:r w:rsidR="007F27C4" w:rsidRPr="001974CC">
              <w:rPr>
                <w:rFonts w:ascii="Times New Roman" w:hAnsi="Times New Roman"/>
              </w:rPr>
              <w:t xml:space="preserve"> 2014/25/UE z dnia 26 lutego 2014 r. w sprawie udzielania zamówień przez podmioty działające w sektorach gospodarki wodnej, energetyki, transportu i usług pocztowych, uchylając</w:t>
            </w:r>
            <w:r w:rsidR="00BF6B09">
              <w:rPr>
                <w:rFonts w:ascii="Times New Roman" w:hAnsi="Times New Roman"/>
              </w:rPr>
              <w:t>ą</w:t>
            </w:r>
            <w:r w:rsidR="007F27C4" w:rsidRPr="001974CC">
              <w:rPr>
                <w:rFonts w:ascii="Times New Roman" w:hAnsi="Times New Roman"/>
              </w:rPr>
              <w:t xml:space="preserve"> dyrektywę 2004/17/WE (Dz. Urz. UE L 94 </w:t>
            </w:r>
            <w:r w:rsidR="007F27C4" w:rsidRPr="001974CC">
              <w:rPr>
                <w:rFonts w:ascii="Times New Roman" w:hAnsi="Times New Roman"/>
              </w:rPr>
              <w:lastRenderedPageBreak/>
              <w:t>z</w:t>
            </w:r>
            <w:r w:rsidR="001C797A">
              <w:rPr>
                <w:rFonts w:ascii="Times New Roman" w:hAnsi="Times New Roman"/>
              </w:rPr>
              <w:t> </w:t>
            </w:r>
            <w:r w:rsidR="007F27C4" w:rsidRPr="001974CC">
              <w:rPr>
                <w:rFonts w:ascii="Times New Roman" w:hAnsi="Times New Roman"/>
              </w:rPr>
              <w:t>28.03.2014 r. str. 243</w:t>
            </w:r>
            <w:r w:rsidR="008841DA">
              <w:rPr>
                <w:rFonts w:ascii="Times New Roman" w:hAnsi="Times New Roman"/>
              </w:rPr>
              <w:t>, z późn. zm.</w:t>
            </w:r>
            <w:r w:rsidR="007F27C4" w:rsidRPr="001974CC">
              <w:rPr>
                <w:rFonts w:ascii="Times New Roman" w:hAnsi="Times New Roman"/>
              </w:rPr>
              <w:t>), dalej „dyrektywa sektorowa 2014/25/UE”.</w:t>
            </w:r>
          </w:p>
          <w:p w:rsidR="007F27C4" w:rsidRPr="001974CC" w:rsidRDefault="007F27C4" w:rsidP="00DA3678">
            <w:pPr>
              <w:spacing w:before="120" w:line="240" w:lineRule="auto"/>
              <w:jc w:val="both"/>
              <w:rPr>
                <w:rFonts w:ascii="Times New Roman" w:hAnsi="Times New Roman"/>
              </w:rPr>
            </w:pPr>
            <w:r w:rsidRPr="001974CC">
              <w:rPr>
                <w:rFonts w:ascii="Times New Roman" w:hAnsi="Times New Roman"/>
              </w:rPr>
              <w:t xml:space="preserve">Zgodnie z art. 90 ust. 1 dyrektywy klasycznej 2014/24/UE oraz art. 106 ust. 1 dyrektywy sektorowej 2014/25/UE terminy implementacji obu dyrektyw do porządków prawnych państw członkowskich UE są tożsame i upływają </w:t>
            </w:r>
            <w:r w:rsidR="008841DA">
              <w:rPr>
                <w:rFonts w:ascii="Times New Roman" w:hAnsi="Times New Roman"/>
              </w:rPr>
              <w:t>w dniu</w:t>
            </w:r>
            <w:r w:rsidRPr="001974CC">
              <w:rPr>
                <w:rFonts w:ascii="Times New Roman" w:hAnsi="Times New Roman"/>
              </w:rPr>
              <w:t xml:space="preserve"> 18</w:t>
            </w:r>
            <w:r w:rsidR="001974CC">
              <w:rPr>
                <w:rFonts w:ascii="Times New Roman" w:hAnsi="Times New Roman"/>
              </w:rPr>
              <w:t> </w:t>
            </w:r>
            <w:r w:rsidRPr="001974CC">
              <w:rPr>
                <w:rFonts w:ascii="Times New Roman" w:hAnsi="Times New Roman"/>
              </w:rPr>
              <w:t>kwietnia 2016 r.</w:t>
            </w:r>
          </w:p>
          <w:p w:rsidR="007F27C4" w:rsidRPr="001974CC" w:rsidRDefault="007F27C4" w:rsidP="008841DA">
            <w:pPr>
              <w:spacing w:before="120" w:line="240" w:lineRule="auto"/>
              <w:jc w:val="both"/>
              <w:rPr>
                <w:rFonts w:ascii="Times New Roman" w:hAnsi="Times New Roman"/>
              </w:rPr>
            </w:pPr>
            <w:r w:rsidRPr="001974CC">
              <w:rPr>
                <w:rFonts w:ascii="Times New Roman" w:hAnsi="Times New Roman"/>
              </w:rPr>
              <w:t xml:space="preserve">Uchwalenie nowelizacji </w:t>
            </w:r>
            <w:r w:rsidR="008841DA">
              <w:rPr>
                <w:rFonts w:ascii="Times New Roman" w:hAnsi="Times New Roman"/>
              </w:rPr>
              <w:t>ustawy z dnia 29 stycznia 2004 r. – Prawo zamówień publicznych, zwanej dalej „PZP”,</w:t>
            </w:r>
            <w:r w:rsidRPr="001974CC">
              <w:rPr>
                <w:rFonts w:ascii="Times New Roman" w:hAnsi="Times New Roman"/>
              </w:rPr>
              <w:t xml:space="preserve"> jest wystarczające do wdrożenia dyrektyw, a z uwagi na niedługi okres pozostający do upływu tego</w:t>
            </w:r>
            <w:r w:rsidR="001974CC">
              <w:rPr>
                <w:rFonts w:ascii="Times New Roman" w:hAnsi="Times New Roman"/>
              </w:rPr>
              <w:t xml:space="preserve"> </w:t>
            </w:r>
            <w:r w:rsidRPr="001974CC">
              <w:rPr>
                <w:rFonts w:ascii="Times New Roman" w:hAnsi="Times New Roman"/>
              </w:rPr>
              <w:t xml:space="preserve">terminu (niedługie </w:t>
            </w:r>
            <w:r w:rsidRPr="001974CC">
              <w:rPr>
                <w:rFonts w:ascii="Times New Roman" w:hAnsi="Times New Roman"/>
                <w:i/>
              </w:rPr>
              <w:t>vacatio legis</w:t>
            </w:r>
            <w:r w:rsidRPr="001974CC">
              <w:rPr>
                <w:rFonts w:ascii="Times New Roman" w:hAnsi="Times New Roman"/>
              </w:rPr>
              <w:t>), przyjęcie nowelizacji – czyli pozostawienie w mocy większości obecnych przepisów – przyczyni się do większej stabilności prawa.</w:t>
            </w:r>
          </w:p>
        </w:tc>
      </w:tr>
      <w:tr w:rsidR="007F27C4" w:rsidRPr="001974CC" w:rsidTr="00D41C64">
        <w:trPr>
          <w:trHeight w:val="142"/>
        </w:trPr>
        <w:tc>
          <w:tcPr>
            <w:tcW w:w="10937" w:type="dxa"/>
            <w:gridSpan w:val="28"/>
            <w:shd w:val="clear" w:color="auto" w:fill="99CCFF"/>
            <w:vAlign w:val="center"/>
          </w:tcPr>
          <w:p w:rsidR="007F27C4" w:rsidRPr="001974CC" w:rsidRDefault="007F27C4" w:rsidP="00C53F26">
            <w:pPr>
              <w:numPr>
                <w:ilvl w:val="0"/>
                <w:numId w:val="3"/>
              </w:numPr>
              <w:spacing w:before="60" w:after="60" w:line="240" w:lineRule="auto"/>
              <w:ind w:left="318" w:hanging="284"/>
              <w:jc w:val="both"/>
              <w:rPr>
                <w:rFonts w:ascii="Times New Roman" w:hAnsi="Times New Roman"/>
                <w:b/>
              </w:rPr>
            </w:pPr>
            <w:r w:rsidRPr="001974CC">
              <w:rPr>
                <w:rFonts w:ascii="Times New Roman" w:hAnsi="Times New Roman"/>
                <w:b/>
              </w:rPr>
              <w:lastRenderedPageBreak/>
              <w:t>Rekomendowane rozwiązanie, w tym planowane narzędzia interwencji, i oczekiwany efekt</w:t>
            </w:r>
          </w:p>
        </w:tc>
      </w:tr>
      <w:tr w:rsidR="007F27C4" w:rsidRPr="001974CC" w:rsidTr="00D41C64">
        <w:trPr>
          <w:trHeight w:val="142"/>
        </w:trPr>
        <w:tc>
          <w:tcPr>
            <w:tcW w:w="10937" w:type="dxa"/>
            <w:gridSpan w:val="28"/>
          </w:tcPr>
          <w:p w:rsidR="007F27C4" w:rsidRPr="001974CC" w:rsidRDefault="007F27C4" w:rsidP="00DA3678">
            <w:pPr>
              <w:spacing w:before="120" w:line="240" w:lineRule="auto"/>
              <w:jc w:val="both"/>
              <w:rPr>
                <w:rFonts w:ascii="Times New Roman" w:hAnsi="Times New Roman"/>
              </w:rPr>
            </w:pPr>
            <w:r w:rsidRPr="001974CC">
              <w:rPr>
                <w:rFonts w:ascii="Times New Roman" w:hAnsi="Times New Roman"/>
              </w:rPr>
              <w:t>Najważniejsze rekomendowane rozwiązania w projekcie:</w:t>
            </w:r>
          </w:p>
          <w:p w:rsidR="007F27C4" w:rsidRPr="001974CC" w:rsidRDefault="007F27C4" w:rsidP="00A52868">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uproszczenie procedur udzielania zamówień publicznych i ich uelastycznienie, co przyniesie korzyści zarówno zamawiającym</w:t>
            </w:r>
            <w:r w:rsidR="008841DA">
              <w:rPr>
                <w:rFonts w:ascii="Times New Roman" w:hAnsi="Times New Roman"/>
              </w:rPr>
              <w:t>,</w:t>
            </w:r>
            <w:r w:rsidRPr="001974CC">
              <w:rPr>
                <w:rFonts w:ascii="Times New Roman" w:hAnsi="Times New Roman"/>
              </w:rPr>
              <w:t xml:space="preserve"> jak i wykonawcom, szczególnie ma</w:t>
            </w:r>
            <w:r w:rsidR="008841DA">
              <w:rPr>
                <w:rFonts w:ascii="Times New Roman" w:hAnsi="Times New Roman"/>
              </w:rPr>
              <w:t xml:space="preserve">łym i średnim przedsiębiorcom </w:t>
            </w:r>
            <w:r w:rsidRPr="001974CC">
              <w:rPr>
                <w:rFonts w:ascii="Times New Roman" w:hAnsi="Times New Roman"/>
              </w:rPr>
              <w:t>przez:</w:t>
            </w:r>
          </w:p>
          <w:p w:rsidR="007F27C4" w:rsidRPr="001974CC" w:rsidRDefault="007F27C4" w:rsidP="00054872">
            <w:pPr>
              <w:pStyle w:val="Akapitzlist"/>
              <w:numPr>
                <w:ilvl w:val="2"/>
                <w:numId w:val="27"/>
              </w:numPr>
              <w:spacing w:before="120" w:line="240" w:lineRule="auto"/>
              <w:ind w:left="885"/>
              <w:contextualSpacing w:val="0"/>
              <w:jc w:val="both"/>
              <w:rPr>
                <w:rFonts w:ascii="Times New Roman" w:hAnsi="Times New Roman"/>
              </w:rPr>
            </w:pPr>
            <w:r w:rsidRPr="001974CC">
              <w:rPr>
                <w:rFonts w:ascii="Times New Roman" w:hAnsi="Times New Roman"/>
              </w:rPr>
              <w:t>lepsze wykorzystanie negocjacji jako sposobu doprecyzowania warunków umów z wykonawcami w celu uzyskania usługi, która najlepiej odpowiada potrzebom zamawiającego,</w:t>
            </w:r>
          </w:p>
          <w:p w:rsidR="007F27C4" w:rsidRPr="001974CC" w:rsidRDefault="007F27C4" w:rsidP="00A52868">
            <w:pPr>
              <w:pStyle w:val="Akapitzlist"/>
              <w:numPr>
                <w:ilvl w:val="2"/>
                <w:numId w:val="27"/>
              </w:numPr>
              <w:spacing w:before="120" w:line="240" w:lineRule="auto"/>
              <w:ind w:left="885"/>
              <w:contextualSpacing w:val="0"/>
              <w:jc w:val="both"/>
              <w:rPr>
                <w:rFonts w:ascii="Times New Roman" w:hAnsi="Times New Roman"/>
              </w:rPr>
            </w:pPr>
            <w:r w:rsidRPr="001974CC">
              <w:rPr>
                <w:rFonts w:ascii="Times New Roman" w:hAnsi="Times New Roman"/>
              </w:rPr>
              <w:t>zmniejszenie obowiązków formalnych na etapie ubiega</w:t>
            </w:r>
            <w:r w:rsidR="008841DA">
              <w:rPr>
                <w:rFonts w:ascii="Times New Roman" w:hAnsi="Times New Roman"/>
              </w:rPr>
              <w:t>nia się o udzielenie zamówienia:</w:t>
            </w:r>
            <w:r w:rsidRPr="001974CC">
              <w:rPr>
                <w:rFonts w:ascii="Times New Roman" w:hAnsi="Times New Roman"/>
              </w:rPr>
              <w:t xml:space="preserve"> </w:t>
            </w:r>
          </w:p>
          <w:p w:rsidR="007F27C4" w:rsidRPr="001974CC" w:rsidRDefault="007F27C4" w:rsidP="00164027">
            <w:pPr>
              <w:pStyle w:val="Akapitzlist"/>
              <w:numPr>
                <w:ilvl w:val="0"/>
                <w:numId w:val="28"/>
              </w:numPr>
              <w:spacing w:before="120" w:line="240" w:lineRule="auto"/>
              <w:ind w:left="1310"/>
              <w:contextualSpacing w:val="0"/>
              <w:jc w:val="both"/>
              <w:rPr>
                <w:rFonts w:ascii="Times New Roman" w:hAnsi="Times New Roman"/>
              </w:rPr>
            </w:pPr>
            <w:r w:rsidRPr="001974CC">
              <w:rPr>
                <w:rFonts w:ascii="Times New Roman" w:hAnsi="Times New Roman"/>
              </w:rPr>
              <w:t xml:space="preserve">ograniczenie podstawowych obowiązków wykonawców do składania oświadczenia o spełnianiu warunków w formie ustandaryzowanego tzw. jednolitego europejskiego dokumentu zamówienia (potwierdzającego spełnianie kryterium warunków udziału w postępowaniu, brak podstaw do wykluczenia wykonawcy, kryteriów selekcji także w odniesieniu do podmiotów trzecich i podwykonawców) oraz </w:t>
            </w:r>
          </w:p>
          <w:p w:rsidR="007F27C4" w:rsidRPr="001974CC" w:rsidRDefault="007F27C4" w:rsidP="00164027">
            <w:pPr>
              <w:pStyle w:val="Akapitzlist"/>
              <w:numPr>
                <w:ilvl w:val="0"/>
                <w:numId w:val="28"/>
              </w:numPr>
              <w:spacing w:before="120" w:line="240" w:lineRule="auto"/>
              <w:ind w:left="1310"/>
              <w:contextualSpacing w:val="0"/>
              <w:jc w:val="both"/>
              <w:rPr>
                <w:rFonts w:ascii="Times New Roman" w:hAnsi="Times New Roman"/>
              </w:rPr>
            </w:pPr>
            <w:r w:rsidRPr="001974CC">
              <w:rPr>
                <w:rFonts w:ascii="Times New Roman" w:hAnsi="Times New Roman"/>
              </w:rPr>
              <w:t>ograniczenie, co do zasady, żądania dokumentów wyłącznie od wykonawcy, którego oferta została wybrana jako najkorzystniejsza</w:t>
            </w:r>
            <w:r w:rsidR="008841DA">
              <w:rPr>
                <w:rFonts w:ascii="Times New Roman" w:hAnsi="Times New Roman"/>
              </w:rPr>
              <w:t>,</w:t>
            </w:r>
            <w:r w:rsidRPr="001974CC">
              <w:rPr>
                <w:rFonts w:ascii="Times New Roman" w:hAnsi="Times New Roman"/>
              </w:rPr>
              <w:t xml:space="preserve"> </w:t>
            </w:r>
          </w:p>
          <w:p w:rsidR="007F27C4" w:rsidRPr="001974CC" w:rsidRDefault="007F27C4" w:rsidP="00164027">
            <w:pPr>
              <w:pStyle w:val="Akapitzlist"/>
              <w:numPr>
                <w:ilvl w:val="0"/>
                <w:numId w:val="28"/>
              </w:numPr>
              <w:spacing w:before="120" w:line="240" w:lineRule="auto"/>
              <w:ind w:left="1310"/>
              <w:contextualSpacing w:val="0"/>
              <w:jc w:val="both"/>
              <w:rPr>
                <w:rFonts w:ascii="Times New Roman" w:hAnsi="Times New Roman"/>
              </w:rPr>
            </w:pPr>
            <w:r w:rsidRPr="001974CC">
              <w:rPr>
                <w:rFonts w:ascii="Times New Roman" w:hAnsi="Times New Roman"/>
              </w:rPr>
              <w:t>zakaz żądania dokumentów, którymi zamawiający dysponuje, lub które może pobrać z ogólnie dostępnych i bezpłatnych baz danych, obowiązek posługiwania się systemem e-Certis;</w:t>
            </w:r>
          </w:p>
          <w:p w:rsidR="007F27C4" w:rsidRPr="001974CC" w:rsidRDefault="007F27C4" w:rsidP="00A52868">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elektronizacja istotnej części procesu udzielania zamówień publicznych</w:t>
            </w:r>
            <w:r w:rsidR="00C00976" w:rsidRPr="001974CC">
              <w:rPr>
                <w:rFonts w:ascii="Times New Roman" w:hAnsi="Times New Roman"/>
              </w:rPr>
              <w:t xml:space="preserve"> (powszechnie – od </w:t>
            </w:r>
            <w:r w:rsidR="008841DA">
              <w:rPr>
                <w:rFonts w:ascii="Times New Roman" w:hAnsi="Times New Roman"/>
              </w:rPr>
              <w:t xml:space="preserve">połowy </w:t>
            </w:r>
            <w:r w:rsidR="00C00976" w:rsidRPr="001974CC">
              <w:rPr>
                <w:rFonts w:ascii="Times New Roman" w:hAnsi="Times New Roman"/>
              </w:rPr>
              <w:t>2018 r.)</w:t>
            </w:r>
            <w:r w:rsidRPr="001974CC">
              <w:rPr>
                <w:rFonts w:ascii="Times New Roman" w:hAnsi="Times New Roman"/>
              </w:rPr>
              <w:t xml:space="preserve">; </w:t>
            </w:r>
          </w:p>
          <w:p w:rsidR="007F27C4" w:rsidRPr="001974CC" w:rsidRDefault="007F27C4" w:rsidP="00A52868">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promowanie i realne wykorzystywanie pozaekonomicznych celów zamówień publicznych takich jak ochrona środowiska, integracja społeczna czy wspieranie innowacyjności:</w:t>
            </w:r>
          </w:p>
          <w:p w:rsidR="007F27C4" w:rsidRPr="001974CC" w:rsidRDefault="007F27C4" w:rsidP="00A52868">
            <w:pPr>
              <w:pStyle w:val="Akapitzlist"/>
              <w:numPr>
                <w:ilvl w:val="2"/>
                <w:numId w:val="27"/>
              </w:numPr>
              <w:spacing w:before="120" w:line="240" w:lineRule="auto"/>
              <w:ind w:left="885"/>
              <w:contextualSpacing w:val="0"/>
              <w:jc w:val="both"/>
              <w:rPr>
                <w:rFonts w:ascii="Times New Roman" w:hAnsi="Times New Roman"/>
              </w:rPr>
            </w:pPr>
            <w:r w:rsidRPr="001974CC">
              <w:rPr>
                <w:rFonts w:ascii="Times New Roman" w:hAnsi="Times New Roman"/>
              </w:rPr>
              <w:t>położenie nacisku na wybór oferty najkorzystniejszej, czyli opartej na efektywności kosztowej, jak również uwzględniającej inne aspekty niż cena lub koszt, tj. kryteria jakościowe, społeczne</w:t>
            </w:r>
            <w:r w:rsidR="008841DA">
              <w:rPr>
                <w:rFonts w:ascii="Times New Roman" w:hAnsi="Times New Roman"/>
              </w:rPr>
              <w:t>, ś</w:t>
            </w:r>
            <w:r w:rsidR="001C797A">
              <w:rPr>
                <w:rFonts w:ascii="Times New Roman" w:hAnsi="Times New Roman"/>
              </w:rPr>
              <w:t>rodowiskowe i </w:t>
            </w:r>
            <w:r w:rsidR="008841DA">
              <w:rPr>
                <w:rFonts w:ascii="Times New Roman" w:hAnsi="Times New Roman"/>
              </w:rPr>
              <w:t xml:space="preserve">innowacyjne, </w:t>
            </w:r>
            <w:r w:rsidRPr="001974CC">
              <w:rPr>
                <w:rFonts w:ascii="Times New Roman" w:hAnsi="Times New Roman"/>
              </w:rPr>
              <w:t xml:space="preserve">przez: (1) uwzględnienie w kryteriach oceny ofert relacji jakości do ceny lub kosztu, przez zawężenie stosowania kryterium ceny jako jedynego kryterium oceny ofert, (2) dopuszczenie stosowania kryteriów podmiotowych, jeżeli mogą mieć znaczący wpływ na poziom wykonania zamówienia publicznego, (3) wykorzystanie w ramach kryterium kosztu podejścia opartego na efektywności kosztowej, takiego jak rachunek kosztów cyklu życia, </w:t>
            </w:r>
          </w:p>
          <w:p w:rsidR="007F27C4" w:rsidRPr="001974CC" w:rsidRDefault="007F27C4" w:rsidP="00327E61">
            <w:pPr>
              <w:pStyle w:val="Akapitzlist"/>
              <w:numPr>
                <w:ilvl w:val="2"/>
                <w:numId w:val="27"/>
              </w:numPr>
              <w:spacing w:before="120" w:line="240" w:lineRule="auto"/>
              <w:ind w:left="885" w:hanging="357"/>
              <w:contextualSpacing w:val="0"/>
              <w:jc w:val="both"/>
              <w:rPr>
                <w:rFonts w:ascii="Times New Roman" w:hAnsi="Times New Roman"/>
              </w:rPr>
            </w:pPr>
            <w:r w:rsidRPr="001974CC">
              <w:rPr>
                <w:rFonts w:ascii="Times New Roman" w:hAnsi="Times New Roman"/>
              </w:rPr>
              <w:t>wprowadzenie nowej procedury – partnerstwa innowacyjnego, przeznac</w:t>
            </w:r>
            <w:r w:rsidR="001C797A">
              <w:rPr>
                <w:rFonts w:ascii="Times New Roman" w:hAnsi="Times New Roman"/>
              </w:rPr>
              <w:t>zonej dla nabywania produktów i </w:t>
            </w:r>
            <w:r w:rsidRPr="001974CC">
              <w:rPr>
                <w:rFonts w:ascii="Times New Roman" w:hAnsi="Times New Roman"/>
              </w:rPr>
              <w:t>usług, które nie są jeszcze dostępne na rynku,</w:t>
            </w:r>
          </w:p>
          <w:p w:rsidR="007F27C4" w:rsidRPr="001974CC" w:rsidRDefault="007F27C4" w:rsidP="00327E61">
            <w:pPr>
              <w:pStyle w:val="Akapitzlist"/>
              <w:numPr>
                <w:ilvl w:val="2"/>
                <w:numId w:val="27"/>
              </w:numPr>
              <w:spacing w:before="120" w:line="240" w:lineRule="auto"/>
              <w:ind w:left="885" w:hanging="357"/>
              <w:contextualSpacing w:val="0"/>
              <w:jc w:val="both"/>
              <w:rPr>
                <w:rFonts w:ascii="Times New Roman" w:hAnsi="Times New Roman"/>
              </w:rPr>
            </w:pPr>
            <w:r w:rsidRPr="001974CC">
              <w:rPr>
                <w:rFonts w:ascii="Times New Roman" w:hAnsi="Times New Roman"/>
              </w:rPr>
              <w:t>promowanie zatrudn</w:t>
            </w:r>
            <w:r w:rsidR="008841DA">
              <w:rPr>
                <w:rFonts w:ascii="Times New Roman" w:hAnsi="Times New Roman"/>
              </w:rPr>
              <w:t>ienia na podstawie umowy o pracę</w:t>
            </w:r>
            <w:r w:rsidRPr="001974CC">
              <w:rPr>
                <w:rFonts w:ascii="Times New Roman" w:hAnsi="Times New Roman"/>
              </w:rPr>
              <w:t xml:space="preserve"> oraz zatrudnienia osób niepełnosprawnych or</w:t>
            </w:r>
            <w:r w:rsidR="008841DA">
              <w:rPr>
                <w:rFonts w:ascii="Times New Roman" w:hAnsi="Times New Roman"/>
              </w:rPr>
              <w:t>az innych osób defaworyzowanych;</w:t>
            </w:r>
          </w:p>
          <w:p w:rsidR="007F27C4" w:rsidRPr="001974CC" w:rsidRDefault="007F27C4" w:rsidP="00327E61">
            <w:pPr>
              <w:pStyle w:val="Akapitzlist"/>
              <w:numPr>
                <w:ilvl w:val="0"/>
                <w:numId w:val="27"/>
              </w:numPr>
              <w:spacing w:before="120" w:line="240" w:lineRule="auto"/>
              <w:ind w:left="460" w:hanging="357"/>
              <w:contextualSpacing w:val="0"/>
              <w:jc w:val="both"/>
              <w:rPr>
                <w:rFonts w:ascii="Times New Roman" w:hAnsi="Times New Roman"/>
              </w:rPr>
            </w:pPr>
            <w:r w:rsidRPr="001974CC">
              <w:rPr>
                <w:rFonts w:ascii="Times New Roman" w:hAnsi="Times New Roman"/>
              </w:rPr>
              <w:t>zapewnienie lepszego dostępu do rynku małym i średnim przedsiębiorcom dzięki ograniczeniu żądań spełniania wygórowanych warunków udziału w postępowaniu w zakresie zdolnoś</w:t>
            </w:r>
            <w:r w:rsidR="00110A55">
              <w:rPr>
                <w:rFonts w:ascii="Times New Roman" w:hAnsi="Times New Roman"/>
              </w:rPr>
              <w:t>ci ekonomicznej (średni roczny przychód</w:t>
            </w:r>
            <w:r w:rsidRPr="001974CC">
              <w:rPr>
                <w:rFonts w:ascii="Times New Roman" w:hAnsi="Times New Roman"/>
              </w:rPr>
              <w:t xml:space="preserve"> </w:t>
            </w:r>
            <w:r w:rsidR="001974CC">
              <w:rPr>
                <w:rFonts w:ascii="Times New Roman" w:hAnsi="Times New Roman"/>
              </w:rPr>
              <w:t>–</w:t>
            </w:r>
            <w:r w:rsidRPr="001974CC">
              <w:rPr>
                <w:rFonts w:ascii="Times New Roman" w:hAnsi="Times New Roman"/>
              </w:rPr>
              <w:t xml:space="preserve"> maksymalnie dwukrotność szacunkowej wartości zamówienia);</w:t>
            </w:r>
          </w:p>
          <w:p w:rsidR="007F27C4" w:rsidRPr="001974CC" w:rsidRDefault="007F27C4" w:rsidP="00A52868">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uproszczenie procedur przy udzielaniu zamówień społecznych oraz niektórych innych usług np. prawnych, hotelarskich, gastronomicznych, k</w:t>
            </w:r>
            <w:r w:rsidR="00110A55">
              <w:rPr>
                <w:rFonts w:ascii="Times New Roman" w:hAnsi="Times New Roman"/>
              </w:rPr>
              <w:t xml:space="preserve">ulturalnych, zdrowotnych itp. </w:t>
            </w:r>
            <w:r w:rsidRPr="001974CC">
              <w:rPr>
                <w:rFonts w:ascii="Times New Roman" w:hAnsi="Times New Roman"/>
              </w:rPr>
              <w:t>przez:</w:t>
            </w:r>
          </w:p>
          <w:p w:rsidR="007F27C4" w:rsidRPr="001974CC" w:rsidRDefault="007F27C4" w:rsidP="00C61E5B">
            <w:pPr>
              <w:pStyle w:val="Akapitzlist"/>
              <w:numPr>
                <w:ilvl w:val="2"/>
                <w:numId w:val="27"/>
              </w:numPr>
              <w:spacing w:before="120" w:line="240" w:lineRule="auto"/>
              <w:ind w:left="885"/>
              <w:contextualSpacing w:val="0"/>
              <w:jc w:val="both"/>
              <w:rPr>
                <w:rFonts w:ascii="Times New Roman" w:hAnsi="Times New Roman"/>
              </w:rPr>
            </w:pPr>
            <w:r w:rsidRPr="001974CC">
              <w:rPr>
                <w:rFonts w:ascii="Times New Roman" w:hAnsi="Times New Roman"/>
              </w:rPr>
              <w:t>podwyższenie progu kwotowego, od którego istnieje obowiązek przestrzegania przepisów ustawy,</w:t>
            </w:r>
          </w:p>
          <w:p w:rsidR="007F27C4" w:rsidRPr="001974CC" w:rsidRDefault="007F27C4" w:rsidP="00C61E5B">
            <w:pPr>
              <w:pStyle w:val="Akapitzlist"/>
              <w:numPr>
                <w:ilvl w:val="2"/>
                <w:numId w:val="27"/>
              </w:numPr>
              <w:spacing w:before="120" w:line="240" w:lineRule="auto"/>
              <w:ind w:left="885"/>
              <w:contextualSpacing w:val="0"/>
              <w:jc w:val="both"/>
              <w:rPr>
                <w:rFonts w:ascii="Times New Roman" w:hAnsi="Times New Roman"/>
              </w:rPr>
            </w:pPr>
            <w:r w:rsidRPr="001974CC">
              <w:rPr>
                <w:rFonts w:ascii="Times New Roman" w:hAnsi="Times New Roman"/>
              </w:rPr>
              <w:t>umożliwienie zastosowania kryteriów jakościowych takich jak dostępność, ciągłość i trwałość oferowanych kluczowych usług;</w:t>
            </w:r>
          </w:p>
          <w:p w:rsidR="007F27C4" w:rsidRPr="001974CC" w:rsidRDefault="007F27C4" w:rsidP="00211EDA">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większe wykorzystanie zamówień publicznych w działaniach na rzecz integracji społ</w:t>
            </w:r>
            <w:r w:rsidR="00110A55">
              <w:rPr>
                <w:rFonts w:ascii="Times New Roman" w:hAnsi="Times New Roman"/>
              </w:rPr>
              <w:t xml:space="preserve">ecznej osób defaworyzowanych, </w:t>
            </w:r>
            <w:r w:rsidRPr="001974CC">
              <w:rPr>
                <w:rFonts w:ascii="Times New Roman" w:hAnsi="Times New Roman"/>
              </w:rPr>
              <w:t>przez wprowadzenie klauzul społecznych i nowych zasad zastrzegania zamówień publicznych dla wykonawców będących zakładami pracy chronionej i wykonawców, których celem działania jest integracja społeczna;</w:t>
            </w:r>
          </w:p>
          <w:p w:rsidR="007F27C4" w:rsidRPr="001974CC" w:rsidRDefault="007F27C4" w:rsidP="00211EDA">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lastRenderedPageBreak/>
              <w:t>uwzględnianie w zamówieniach publicznych zagadnień związanych z przestrzeganiem prawa pracy o</w:t>
            </w:r>
            <w:r w:rsidR="00110A55">
              <w:rPr>
                <w:rFonts w:ascii="Times New Roman" w:hAnsi="Times New Roman"/>
              </w:rPr>
              <w:t xml:space="preserve">raz zabezpieczenia społecznego </w:t>
            </w:r>
            <w:r w:rsidRPr="001974CC">
              <w:rPr>
                <w:rFonts w:ascii="Times New Roman" w:hAnsi="Times New Roman"/>
              </w:rPr>
              <w:t xml:space="preserve">przez wyraźne dopuszczenie stosownych postanowień w umowach o zamówienie publiczne, </w:t>
            </w:r>
          </w:p>
          <w:p w:rsidR="007F27C4" w:rsidRPr="001974CC" w:rsidRDefault="007F27C4" w:rsidP="00A52868">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zapewnienie realnego udziału w wykonaniu zamówienia podmiotów trzecich, na których zasoby powołuje się wykonawca;</w:t>
            </w:r>
          </w:p>
          <w:p w:rsidR="007F27C4" w:rsidRPr="001974CC" w:rsidRDefault="007F27C4" w:rsidP="00A52868">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zwiększenie pewności prawnej w zakresie dopuszczalnej zmiany umowy, co powinno służyć większej elastyczności i dostosowaniu do zmiennych okoliczności faktycznych i prawnych realizacji zamówień publicznych;</w:t>
            </w:r>
          </w:p>
          <w:p w:rsidR="007F27C4" w:rsidRPr="001974CC" w:rsidRDefault="007F27C4" w:rsidP="00C172C1">
            <w:pPr>
              <w:pStyle w:val="Akapitzlist"/>
              <w:numPr>
                <w:ilvl w:val="0"/>
                <w:numId w:val="27"/>
              </w:numPr>
              <w:spacing w:before="120" w:line="240" w:lineRule="auto"/>
              <w:ind w:left="460"/>
              <w:contextualSpacing w:val="0"/>
              <w:jc w:val="both"/>
              <w:rPr>
                <w:rFonts w:ascii="Times New Roman" w:hAnsi="Times New Roman"/>
              </w:rPr>
            </w:pPr>
            <w:r w:rsidRPr="001974CC">
              <w:rPr>
                <w:rFonts w:ascii="Times New Roman" w:hAnsi="Times New Roman"/>
              </w:rPr>
              <w:t>zwiększenie ochrony prawnej w postępowaniach o udzielenie zamówień publicz</w:t>
            </w:r>
            <w:r w:rsidR="00110A55">
              <w:rPr>
                <w:rFonts w:ascii="Times New Roman" w:hAnsi="Times New Roman"/>
              </w:rPr>
              <w:t xml:space="preserve">nych poniżej progów unijnych </w:t>
            </w:r>
            <w:r w:rsidRPr="001974CC">
              <w:rPr>
                <w:rFonts w:ascii="Times New Roman" w:hAnsi="Times New Roman"/>
              </w:rPr>
              <w:t>przez umożliwienie wnoszenia odwołań na czynności zamawiającego dotyczące: opisu przedmiotu zamówienia, wyboru oferty najkorzystniejszej oraz unieważnienia postępowania o udzielenie zamówienia publicznego.</w:t>
            </w:r>
          </w:p>
        </w:tc>
      </w:tr>
      <w:tr w:rsidR="007F27C4" w:rsidRPr="001974CC" w:rsidTr="00D41C64">
        <w:trPr>
          <w:trHeight w:val="307"/>
        </w:trPr>
        <w:tc>
          <w:tcPr>
            <w:tcW w:w="10937" w:type="dxa"/>
            <w:gridSpan w:val="28"/>
            <w:shd w:val="clear" w:color="auto" w:fill="99CCFF"/>
            <w:vAlign w:val="center"/>
          </w:tcPr>
          <w:p w:rsidR="007F27C4" w:rsidRPr="001974CC" w:rsidRDefault="007F27C4" w:rsidP="007D2192">
            <w:pPr>
              <w:numPr>
                <w:ilvl w:val="0"/>
                <w:numId w:val="3"/>
              </w:numPr>
              <w:spacing w:before="60" w:after="60" w:line="240" w:lineRule="auto"/>
              <w:ind w:left="318" w:hanging="284"/>
              <w:jc w:val="both"/>
              <w:rPr>
                <w:rFonts w:ascii="Times New Roman" w:hAnsi="Times New Roman"/>
                <w:b/>
              </w:rPr>
            </w:pPr>
            <w:r w:rsidRPr="001974CC">
              <w:rPr>
                <w:rFonts w:ascii="Times New Roman" w:hAnsi="Times New Roman"/>
                <w:b/>
              </w:rPr>
              <w:lastRenderedPageBreak/>
              <w:t>Jak problem został rozwiązany w innych krajach, w szczególności krajach członkowskich OECD/UE?</w:t>
            </w:r>
            <w:r w:rsidRPr="001974CC">
              <w:rPr>
                <w:rFonts w:ascii="Times New Roman" w:hAnsi="Times New Roman"/>
                <w:i/>
              </w:rPr>
              <w:t xml:space="preserve"> </w:t>
            </w:r>
          </w:p>
        </w:tc>
      </w:tr>
      <w:tr w:rsidR="007F27C4" w:rsidRPr="001974CC" w:rsidTr="00D41C64">
        <w:trPr>
          <w:trHeight w:val="142"/>
        </w:trPr>
        <w:tc>
          <w:tcPr>
            <w:tcW w:w="10937" w:type="dxa"/>
            <w:gridSpan w:val="28"/>
          </w:tcPr>
          <w:p w:rsidR="007F27C4" w:rsidRPr="001974CC" w:rsidRDefault="007F27C4" w:rsidP="00110A55">
            <w:pPr>
              <w:spacing w:line="240" w:lineRule="auto"/>
              <w:jc w:val="both"/>
              <w:rPr>
                <w:rFonts w:ascii="Times New Roman" w:hAnsi="Times New Roman"/>
              </w:rPr>
            </w:pPr>
            <w:r w:rsidRPr="001974CC">
              <w:rPr>
                <w:rFonts w:ascii="Times New Roman" w:hAnsi="Times New Roman"/>
              </w:rPr>
              <w:t xml:space="preserve">Zgodnie z art. 90 ust. 1 dyrektywy klasycznej 2014/24/UE oraz art. 106 ust. 1 dyrektywy sektorowej 2014/25/UE terminy implementacji obu dyrektyw do porządków prawnych państw członkowskich UE są tożsame i upływają </w:t>
            </w:r>
            <w:r w:rsidR="00110A55">
              <w:rPr>
                <w:rFonts w:ascii="Times New Roman" w:hAnsi="Times New Roman"/>
              </w:rPr>
              <w:t xml:space="preserve">w </w:t>
            </w:r>
            <w:r w:rsidRPr="001974CC">
              <w:rPr>
                <w:rFonts w:ascii="Times New Roman" w:hAnsi="Times New Roman"/>
              </w:rPr>
              <w:t>dni</w:t>
            </w:r>
            <w:r w:rsidR="00110A55">
              <w:rPr>
                <w:rFonts w:ascii="Times New Roman" w:hAnsi="Times New Roman"/>
              </w:rPr>
              <w:t>u</w:t>
            </w:r>
            <w:r w:rsidRPr="001974CC">
              <w:rPr>
                <w:rFonts w:ascii="Times New Roman" w:hAnsi="Times New Roman"/>
              </w:rPr>
              <w:t xml:space="preserve"> 18</w:t>
            </w:r>
            <w:r w:rsidR="001974CC">
              <w:rPr>
                <w:rFonts w:ascii="Times New Roman" w:hAnsi="Times New Roman"/>
              </w:rPr>
              <w:t> </w:t>
            </w:r>
            <w:r w:rsidRPr="001974CC">
              <w:rPr>
                <w:rFonts w:ascii="Times New Roman" w:hAnsi="Times New Roman"/>
              </w:rPr>
              <w:t>kwietnia 2016 r., w związku z tym państwa członkowskie są w trakcie wdrażania dyrek</w:t>
            </w:r>
            <w:r w:rsidR="00110A55">
              <w:rPr>
                <w:rFonts w:ascii="Times New Roman" w:hAnsi="Times New Roman"/>
              </w:rPr>
              <w:t>tyw. Niektóre kraje unijne (np. </w:t>
            </w:r>
            <w:r w:rsidRPr="001974CC">
              <w:rPr>
                <w:rFonts w:ascii="Times New Roman" w:hAnsi="Times New Roman"/>
              </w:rPr>
              <w:t>UK) otwarcie deklarują przepisanie bez zmian przepisów dyrektyw („copy out”). Kraje OECD spoza UE (EOG) nie są zobowiązane do wdrażania unijnych dyrektyw.</w:t>
            </w:r>
          </w:p>
        </w:tc>
      </w:tr>
      <w:tr w:rsidR="007F27C4" w:rsidRPr="001974CC" w:rsidTr="00D41C64">
        <w:trPr>
          <w:trHeight w:val="359"/>
        </w:trPr>
        <w:tc>
          <w:tcPr>
            <w:tcW w:w="10937" w:type="dxa"/>
            <w:gridSpan w:val="28"/>
            <w:shd w:val="clear" w:color="auto" w:fill="99CCFF"/>
            <w:vAlign w:val="center"/>
          </w:tcPr>
          <w:p w:rsidR="007F27C4" w:rsidRPr="001974CC" w:rsidRDefault="007F27C4" w:rsidP="00213EFD">
            <w:pPr>
              <w:numPr>
                <w:ilvl w:val="0"/>
                <w:numId w:val="3"/>
              </w:numPr>
              <w:spacing w:before="60" w:after="60" w:line="240" w:lineRule="auto"/>
              <w:ind w:left="318" w:hanging="284"/>
              <w:jc w:val="both"/>
              <w:rPr>
                <w:rFonts w:ascii="Times New Roman" w:hAnsi="Times New Roman"/>
                <w:b/>
              </w:rPr>
            </w:pPr>
            <w:r w:rsidRPr="001974CC">
              <w:rPr>
                <w:rFonts w:ascii="Times New Roman" w:hAnsi="Times New Roman"/>
                <w:b/>
              </w:rPr>
              <w:t>Podmioty, na które oddziałuje projekt</w:t>
            </w:r>
          </w:p>
        </w:tc>
      </w:tr>
      <w:tr w:rsidR="007F27C4" w:rsidRPr="001974CC" w:rsidTr="001974CC">
        <w:trPr>
          <w:trHeight w:val="142"/>
        </w:trPr>
        <w:tc>
          <w:tcPr>
            <w:tcW w:w="2658" w:type="dxa"/>
            <w:gridSpan w:val="5"/>
          </w:tcPr>
          <w:p w:rsidR="007F27C4" w:rsidRPr="001974CC" w:rsidRDefault="007F27C4" w:rsidP="00DA3678">
            <w:pPr>
              <w:spacing w:before="40" w:line="240" w:lineRule="auto"/>
              <w:rPr>
                <w:rFonts w:ascii="Times New Roman" w:hAnsi="Times New Roman"/>
              </w:rPr>
            </w:pPr>
            <w:r w:rsidRPr="001974CC">
              <w:rPr>
                <w:rFonts w:ascii="Times New Roman" w:hAnsi="Times New Roman"/>
              </w:rPr>
              <w:t>Grupa</w:t>
            </w:r>
          </w:p>
        </w:tc>
        <w:tc>
          <w:tcPr>
            <w:tcW w:w="2300" w:type="dxa"/>
            <w:gridSpan w:val="6"/>
          </w:tcPr>
          <w:p w:rsidR="007F27C4" w:rsidRPr="001974CC" w:rsidRDefault="007F27C4" w:rsidP="00DA3678">
            <w:pPr>
              <w:spacing w:before="40" w:line="240" w:lineRule="auto"/>
              <w:rPr>
                <w:rFonts w:ascii="Times New Roman" w:hAnsi="Times New Roman"/>
              </w:rPr>
            </w:pPr>
            <w:r w:rsidRPr="001974CC">
              <w:rPr>
                <w:rFonts w:ascii="Times New Roman" w:hAnsi="Times New Roman"/>
              </w:rPr>
              <w:t>Wielkość</w:t>
            </w:r>
          </w:p>
        </w:tc>
        <w:tc>
          <w:tcPr>
            <w:tcW w:w="2996" w:type="dxa"/>
            <w:gridSpan w:val="11"/>
          </w:tcPr>
          <w:p w:rsidR="007F27C4" w:rsidRPr="001974CC" w:rsidRDefault="007F27C4" w:rsidP="00DA3678">
            <w:pPr>
              <w:spacing w:before="40" w:line="240" w:lineRule="auto"/>
              <w:rPr>
                <w:rFonts w:ascii="Times New Roman" w:hAnsi="Times New Roman"/>
              </w:rPr>
            </w:pPr>
            <w:r w:rsidRPr="001974CC">
              <w:rPr>
                <w:rFonts w:ascii="Times New Roman" w:hAnsi="Times New Roman"/>
              </w:rPr>
              <w:t>Źródło danych</w:t>
            </w:r>
            <w:r w:rsidRPr="001974CC" w:rsidDel="00260F33">
              <w:rPr>
                <w:rFonts w:ascii="Times New Roman" w:hAnsi="Times New Roman"/>
              </w:rPr>
              <w:t xml:space="preserve"> </w:t>
            </w:r>
          </w:p>
        </w:tc>
        <w:tc>
          <w:tcPr>
            <w:tcW w:w="2983" w:type="dxa"/>
            <w:gridSpan w:val="6"/>
          </w:tcPr>
          <w:p w:rsidR="007F27C4" w:rsidRPr="001974CC" w:rsidRDefault="007F27C4" w:rsidP="00DA3678">
            <w:pPr>
              <w:spacing w:before="40" w:line="240" w:lineRule="auto"/>
              <w:rPr>
                <w:rFonts w:ascii="Times New Roman" w:hAnsi="Times New Roman"/>
              </w:rPr>
            </w:pPr>
            <w:r w:rsidRPr="001974CC">
              <w:rPr>
                <w:rFonts w:ascii="Times New Roman" w:hAnsi="Times New Roman"/>
              </w:rPr>
              <w:t>Oddziaływanie</w:t>
            </w:r>
          </w:p>
        </w:tc>
      </w:tr>
      <w:tr w:rsidR="007F27C4" w:rsidRPr="001974CC" w:rsidTr="001974CC">
        <w:trPr>
          <w:trHeight w:val="142"/>
        </w:trPr>
        <w:tc>
          <w:tcPr>
            <w:tcW w:w="2658" w:type="dxa"/>
            <w:gridSpan w:val="5"/>
          </w:tcPr>
          <w:p w:rsidR="007F27C4" w:rsidRPr="001974CC" w:rsidRDefault="007F27C4" w:rsidP="00DA3678">
            <w:pPr>
              <w:spacing w:line="240" w:lineRule="auto"/>
              <w:rPr>
                <w:rFonts w:ascii="Times New Roman" w:hAnsi="Times New Roman"/>
              </w:rPr>
            </w:pPr>
            <w:r w:rsidRPr="001974CC">
              <w:rPr>
                <w:rFonts w:ascii="Times New Roman" w:hAnsi="Times New Roman"/>
              </w:rPr>
              <w:t>Prezes Urzędu Zamówień Publicznych</w:t>
            </w:r>
          </w:p>
        </w:tc>
        <w:tc>
          <w:tcPr>
            <w:tcW w:w="2300" w:type="dxa"/>
            <w:gridSpan w:val="6"/>
          </w:tcPr>
          <w:p w:rsidR="007F27C4" w:rsidRPr="001974CC" w:rsidRDefault="007F27C4" w:rsidP="00DA3678">
            <w:pPr>
              <w:spacing w:line="240" w:lineRule="auto"/>
              <w:rPr>
                <w:rFonts w:ascii="Times New Roman" w:hAnsi="Times New Roman"/>
              </w:rPr>
            </w:pPr>
            <w:r w:rsidRPr="001974CC">
              <w:rPr>
                <w:rFonts w:ascii="Times New Roman" w:hAnsi="Times New Roman"/>
              </w:rPr>
              <w:t>1</w:t>
            </w:r>
          </w:p>
        </w:tc>
        <w:tc>
          <w:tcPr>
            <w:tcW w:w="2996" w:type="dxa"/>
            <w:gridSpan w:val="11"/>
          </w:tcPr>
          <w:p w:rsidR="007F27C4" w:rsidRPr="001974CC" w:rsidRDefault="007F27C4" w:rsidP="00DA3678">
            <w:pPr>
              <w:spacing w:line="240" w:lineRule="auto"/>
              <w:rPr>
                <w:rFonts w:ascii="Times New Roman" w:hAnsi="Times New Roman"/>
              </w:rPr>
            </w:pPr>
            <w:r w:rsidRPr="001974CC">
              <w:rPr>
                <w:rFonts w:ascii="Times New Roman" w:hAnsi="Times New Roman"/>
              </w:rPr>
              <w:t>Akt normatywny</w:t>
            </w:r>
          </w:p>
        </w:tc>
        <w:tc>
          <w:tcPr>
            <w:tcW w:w="2983" w:type="dxa"/>
            <w:gridSpan w:val="6"/>
          </w:tcPr>
          <w:p w:rsidR="007F27C4" w:rsidRPr="001974CC" w:rsidRDefault="007F27C4" w:rsidP="00DA3678">
            <w:pPr>
              <w:spacing w:line="240" w:lineRule="auto"/>
              <w:rPr>
                <w:rFonts w:ascii="Times New Roman" w:hAnsi="Times New Roman"/>
              </w:rPr>
            </w:pPr>
            <w:r w:rsidRPr="001974CC">
              <w:rPr>
                <w:rFonts w:ascii="Times New Roman" w:hAnsi="Times New Roman"/>
              </w:rPr>
              <w:t>Projekt reguluje kompetencje oraz zadania organu administracji publicznej</w:t>
            </w:r>
          </w:p>
        </w:tc>
      </w:tr>
      <w:tr w:rsidR="007F27C4" w:rsidRPr="001974CC" w:rsidTr="001974CC">
        <w:trPr>
          <w:trHeight w:val="142"/>
        </w:trPr>
        <w:tc>
          <w:tcPr>
            <w:tcW w:w="2658" w:type="dxa"/>
            <w:gridSpan w:val="5"/>
          </w:tcPr>
          <w:p w:rsidR="007F27C4" w:rsidRPr="001974CC" w:rsidRDefault="007F27C4" w:rsidP="00DA3678">
            <w:pPr>
              <w:spacing w:line="240" w:lineRule="auto"/>
              <w:rPr>
                <w:rFonts w:ascii="Times New Roman" w:hAnsi="Times New Roman"/>
              </w:rPr>
            </w:pPr>
            <w:r w:rsidRPr="001974CC">
              <w:rPr>
                <w:rFonts w:ascii="Times New Roman" w:hAnsi="Times New Roman"/>
              </w:rPr>
              <w:t>Krajowa Izba Odwoławcza</w:t>
            </w:r>
          </w:p>
        </w:tc>
        <w:tc>
          <w:tcPr>
            <w:tcW w:w="2300" w:type="dxa"/>
            <w:gridSpan w:val="6"/>
          </w:tcPr>
          <w:p w:rsidR="007F27C4" w:rsidRPr="001974CC" w:rsidRDefault="007F27C4" w:rsidP="00DA3678">
            <w:pPr>
              <w:spacing w:line="240" w:lineRule="auto"/>
              <w:rPr>
                <w:rFonts w:ascii="Times New Roman" w:hAnsi="Times New Roman"/>
              </w:rPr>
            </w:pPr>
            <w:r w:rsidRPr="001974CC">
              <w:rPr>
                <w:rFonts w:ascii="Times New Roman" w:hAnsi="Times New Roman"/>
              </w:rPr>
              <w:t>1</w:t>
            </w:r>
          </w:p>
        </w:tc>
        <w:tc>
          <w:tcPr>
            <w:tcW w:w="2996" w:type="dxa"/>
            <w:gridSpan w:val="11"/>
          </w:tcPr>
          <w:p w:rsidR="007F27C4" w:rsidRPr="001974CC" w:rsidRDefault="007F27C4" w:rsidP="00DA3678">
            <w:pPr>
              <w:spacing w:line="240" w:lineRule="auto"/>
              <w:rPr>
                <w:rFonts w:ascii="Times New Roman" w:hAnsi="Times New Roman"/>
              </w:rPr>
            </w:pPr>
            <w:r w:rsidRPr="001974CC">
              <w:rPr>
                <w:rFonts w:ascii="Times New Roman" w:hAnsi="Times New Roman"/>
              </w:rPr>
              <w:t>Akt normatywny</w:t>
            </w:r>
          </w:p>
        </w:tc>
        <w:tc>
          <w:tcPr>
            <w:tcW w:w="2983" w:type="dxa"/>
            <w:gridSpan w:val="6"/>
          </w:tcPr>
          <w:p w:rsidR="007F27C4" w:rsidRPr="001974CC" w:rsidRDefault="007F27C4" w:rsidP="00DA3678">
            <w:pPr>
              <w:spacing w:line="240" w:lineRule="auto"/>
              <w:rPr>
                <w:rFonts w:ascii="Times New Roman" w:hAnsi="Times New Roman"/>
              </w:rPr>
            </w:pPr>
            <w:r w:rsidRPr="001974CC">
              <w:rPr>
                <w:rFonts w:ascii="Times New Roman" w:hAnsi="Times New Roman"/>
              </w:rPr>
              <w:t>Projekt rozszerza kogni</w:t>
            </w:r>
            <w:r w:rsidR="00110A55">
              <w:rPr>
                <w:rFonts w:ascii="Times New Roman" w:hAnsi="Times New Roman"/>
              </w:rPr>
              <w:t>cję Krajowej Izby Odwoławczej w </w:t>
            </w:r>
            <w:r w:rsidRPr="001974CC">
              <w:rPr>
                <w:rFonts w:ascii="Times New Roman" w:hAnsi="Times New Roman"/>
              </w:rPr>
              <w:t>zakresie zamówień poniżej progów unijnych</w:t>
            </w:r>
          </w:p>
        </w:tc>
      </w:tr>
      <w:tr w:rsidR="007F27C4" w:rsidRPr="001974CC" w:rsidTr="001974CC">
        <w:trPr>
          <w:trHeight w:val="552"/>
        </w:trPr>
        <w:tc>
          <w:tcPr>
            <w:tcW w:w="2658" w:type="dxa"/>
            <w:gridSpan w:val="5"/>
            <w:vMerge w:val="restart"/>
          </w:tcPr>
          <w:p w:rsidR="007F27C4" w:rsidRPr="001974CC" w:rsidRDefault="007F27C4" w:rsidP="00DA3678">
            <w:pPr>
              <w:spacing w:line="240" w:lineRule="auto"/>
              <w:rPr>
                <w:rFonts w:ascii="Times New Roman" w:hAnsi="Times New Roman"/>
              </w:rPr>
            </w:pPr>
            <w:r w:rsidRPr="001974CC">
              <w:rPr>
                <w:rFonts w:ascii="Times New Roman" w:hAnsi="Times New Roman"/>
              </w:rPr>
              <w:t>Zamawiający: jednostki sektora finansów publicznych, państwowe jednostki organizacyjne nieposiadające osobowości prawnej, podmioty prawa publicznego, związki tych jednostek lub podmiotów oraz przedsiębiorstwa działające w sektorach gospodarki w</w:t>
            </w:r>
            <w:r w:rsidR="00110A55">
              <w:rPr>
                <w:rFonts w:ascii="Times New Roman" w:hAnsi="Times New Roman"/>
              </w:rPr>
              <w:t>odnej, energetyki, transportu i </w:t>
            </w:r>
            <w:r w:rsidRPr="001974CC">
              <w:rPr>
                <w:rFonts w:ascii="Times New Roman" w:hAnsi="Times New Roman"/>
              </w:rPr>
              <w:t>usług pocztowych</w:t>
            </w:r>
          </w:p>
        </w:tc>
        <w:tc>
          <w:tcPr>
            <w:tcW w:w="2300" w:type="dxa"/>
            <w:gridSpan w:val="6"/>
          </w:tcPr>
          <w:p w:rsidR="007F27C4" w:rsidRPr="001974CC" w:rsidRDefault="007F27C4" w:rsidP="00DA3678">
            <w:pPr>
              <w:spacing w:line="240" w:lineRule="auto"/>
              <w:rPr>
                <w:rFonts w:ascii="Times New Roman" w:hAnsi="Times New Roman"/>
              </w:rPr>
            </w:pPr>
            <w:r w:rsidRPr="001974CC">
              <w:rPr>
                <w:rFonts w:ascii="Times New Roman" w:hAnsi="Times New Roman"/>
              </w:rPr>
              <w:t>ogółem: ok. 37 000</w:t>
            </w:r>
          </w:p>
        </w:tc>
        <w:tc>
          <w:tcPr>
            <w:tcW w:w="2996" w:type="dxa"/>
            <w:gridSpan w:val="11"/>
            <w:vMerge w:val="restart"/>
          </w:tcPr>
          <w:p w:rsidR="007F27C4" w:rsidRPr="001974CC" w:rsidRDefault="007F27C4" w:rsidP="001974CC">
            <w:pPr>
              <w:spacing w:line="240" w:lineRule="auto"/>
              <w:rPr>
                <w:rFonts w:ascii="Times New Roman" w:hAnsi="Times New Roman"/>
              </w:rPr>
            </w:pPr>
            <w:r w:rsidRPr="001974CC">
              <w:rPr>
                <w:rFonts w:ascii="Times New Roman" w:hAnsi="Times New Roman"/>
              </w:rPr>
              <w:t xml:space="preserve">Sprawozdanie Prezesa Urzędu Zamówień Publicznych o funkcjonowaniu systemu zamówień publicznych </w:t>
            </w:r>
            <w:r w:rsidR="003B0063">
              <w:rPr>
                <w:rFonts w:ascii="Times New Roman" w:hAnsi="Times New Roman"/>
              </w:rPr>
              <w:br/>
            </w:r>
            <w:r w:rsidRPr="001974CC">
              <w:rPr>
                <w:rFonts w:ascii="Times New Roman" w:hAnsi="Times New Roman"/>
              </w:rPr>
              <w:t>w 2014</w:t>
            </w:r>
            <w:r w:rsidR="001974CC">
              <w:rPr>
                <w:rFonts w:ascii="Times New Roman" w:hAnsi="Times New Roman"/>
              </w:rPr>
              <w:t> </w:t>
            </w:r>
            <w:r w:rsidRPr="001974CC">
              <w:rPr>
                <w:rFonts w:ascii="Times New Roman" w:hAnsi="Times New Roman"/>
              </w:rPr>
              <w:t xml:space="preserve">r. </w:t>
            </w:r>
          </w:p>
        </w:tc>
        <w:tc>
          <w:tcPr>
            <w:tcW w:w="2983" w:type="dxa"/>
            <w:gridSpan w:val="6"/>
            <w:vMerge w:val="restart"/>
          </w:tcPr>
          <w:p w:rsidR="007F27C4" w:rsidRPr="001974CC" w:rsidRDefault="007F27C4" w:rsidP="00DA3678">
            <w:pPr>
              <w:spacing w:line="240" w:lineRule="auto"/>
              <w:rPr>
                <w:rFonts w:ascii="Times New Roman" w:hAnsi="Times New Roman"/>
              </w:rPr>
            </w:pPr>
            <w:r w:rsidRPr="001974CC">
              <w:rPr>
                <w:rFonts w:ascii="Times New Roman" w:hAnsi="Times New Roman"/>
              </w:rPr>
              <w:t>Projekt kreuje pr</w:t>
            </w:r>
            <w:r w:rsidR="00110A55">
              <w:rPr>
                <w:rFonts w:ascii="Times New Roman" w:hAnsi="Times New Roman"/>
              </w:rPr>
              <w:t>awa i obowiązki zamawiających w </w:t>
            </w:r>
            <w:r w:rsidRPr="001974CC">
              <w:rPr>
                <w:rFonts w:ascii="Times New Roman" w:hAnsi="Times New Roman"/>
              </w:rPr>
              <w:t>zakresie wydatkowania środków finansowych na usługi dostawy i roboty budowlane</w:t>
            </w:r>
          </w:p>
        </w:tc>
      </w:tr>
      <w:tr w:rsidR="007F27C4" w:rsidRPr="001974CC" w:rsidTr="001974CC">
        <w:trPr>
          <w:trHeight w:val="1286"/>
        </w:trPr>
        <w:tc>
          <w:tcPr>
            <w:tcW w:w="2658" w:type="dxa"/>
            <w:gridSpan w:val="5"/>
            <w:vMerge/>
          </w:tcPr>
          <w:p w:rsidR="007F27C4" w:rsidRPr="001974CC" w:rsidRDefault="007F27C4" w:rsidP="00DA3678">
            <w:pPr>
              <w:spacing w:line="240" w:lineRule="auto"/>
              <w:rPr>
                <w:rFonts w:ascii="Times New Roman" w:hAnsi="Times New Roman"/>
              </w:rPr>
            </w:pPr>
          </w:p>
        </w:tc>
        <w:tc>
          <w:tcPr>
            <w:tcW w:w="2300" w:type="dxa"/>
            <w:gridSpan w:val="6"/>
          </w:tcPr>
          <w:p w:rsidR="007F27C4" w:rsidRPr="001974CC" w:rsidRDefault="007F27C4" w:rsidP="001974CC">
            <w:pPr>
              <w:spacing w:line="240" w:lineRule="auto"/>
              <w:rPr>
                <w:rFonts w:ascii="Times New Roman" w:hAnsi="Times New Roman"/>
              </w:rPr>
            </w:pPr>
            <w:r w:rsidRPr="001974CC">
              <w:rPr>
                <w:rFonts w:ascii="Times New Roman" w:hAnsi="Times New Roman"/>
              </w:rPr>
              <w:t>zamawiający, którzy udzielali</w:t>
            </w:r>
            <w:r w:rsidR="00110A55">
              <w:rPr>
                <w:rFonts w:ascii="Times New Roman" w:hAnsi="Times New Roman"/>
              </w:rPr>
              <w:t xml:space="preserve"> zamówień na podstawie PZP: ok. </w:t>
            </w:r>
            <w:r w:rsidRPr="001974CC">
              <w:rPr>
                <w:rFonts w:ascii="Times New Roman" w:hAnsi="Times New Roman"/>
              </w:rPr>
              <w:t>16</w:t>
            </w:r>
            <w:r w:rsidR="001974CC">
              <w:rPr>
                <w:rFonts w:ascii="Times New Roman" w:hAnsi="Times New Roman"/>
              </w:rPr>
              <w:t> </w:t>
            </w:r>
            <w:r w:rsidRPr="001974CC">
              <w:rPr>
                <w:rFonts w:ascii="Times New Roman" w:hAnsi="Times New Roman"/>
              </w:rPr>
              <w:t>100</w:t>
            </w:r>
          </w:p>
        </w:tc>
        <w:tc>
          <w:tcPr>
            <w:tcW w:w="2996" w:type="dxa"/>
            <w:gridSpan w:val="11"/>
            <w:vMerge/>
          </w:tcPr>
          <w:p w:rsidR="007F27C4" w:rsidRPr="001974CC" w:rsidRDefault="007F27C4" w:rsidP="00DA3678">
            <w:pPr>
              <w:spacing w:line="240" w:lineRule="auto"/>
              <w:rPr>
                <w:rFonts w:ascii="Times New Roman" w:hAnsi="Times New Roman"/>
              </w:rPr>
            </w:pPr>
          </w:p>
        </w:tc>
        <w:tc>
          <w:tcPr>
            <w:tcW w:w="2983" w:type="dxa"/>
            <w:gridSpan w:val="6"/>
            <w:vMerge/>
          </w:tcPr>
          <w:p w:rsidR="007F27C4" w:rsidRPr="001974CC" w:rsidRDefault="007F27C4" w:rsidP="00DA3678">
            <w:pPr>
              <w:spacing w:line="240" w:lineRule="auto"/>
              <w:rPr>
                <w:rFonts w:ascii="Times New Roman" w:hAnsi="Times New Roman"/>
              </w:rPr>
            </w:pPr>
          </w:p>
        </w:tc>
      </w:tr>
      <w:tr w:rsidR="007F27C4" w:rsidRPr="001974CC" w:rsidTr="001974CC">
        <w:trPr>
          <w:trHeight w:val="1290"/>
        </w:trPr>
        <w:tc>
          <w:tcPr>
            <w:tcW w:w="2658" w:type="dxa"/>
            <w:gridSpan w:val="5"/>
            <w:vMerge/>
          </w:tcPr>
          <w:p w:rsidR="007F27C4" w:rsidRPr="001974CC" w:rsidRDefault="007F27C4" w:rsidP="00DA3678">
            <w:pPr>
              <w:spacing w:line="240" w:lineRule="auto"/>
              <w:rPr>
                <w:rFonts w:ascii="Times New Roman" w:hAnsi="Times New Roman"/>
              </w:rPr>
            </w:pPr>
          </w:p>
        </w:tc>
        <w:tc>
          <w:tcPr>
            <w:tcW w:w="2300" w:type="dxa"/>
            <w:gridSpan w:val="6"/>
          </w:tcPr>
          <w:p w:rsidR="007F27C4" w:rsidRPr="001974CC" w:rsidRDefault="007F27C4" w:rsidP="00211EDA">
            <w:pPr>
              <w:spacing w:line="240" w:lineRule="auto"/>
              <w:rPr>
                <w:rFonts w:ascii="Times New Roman" w:hAnsi="Times New Roman"/>
              </w:rPr>
            </w:pPr>
            <w:r w:rsidRPr="001974CC">
              <w:rPr>
                <w:rFonts w:ascii="Times New Roman" w:hAnsi="Times New Roman"/>
              </w:rPr>
              <w:t xml:space="preserve">zamawiający, którzy udzielali zamówień na podstawie wyłączeń </w:t>
            </w:r>
            <w:r w:rsidR="00110A55">
              <w:rPr>
                <w:rFonts w:ascii="Times New Roman" w:hAnsi="Times New Roman"/>
              </w:rPr>
              <w:t>stosowania PZP: ok. </w:t>
            </w:r>
            <w:r w:rsidR="001974CC">
              <w:rPr>
                <w:rFonts w:ascii="Times New Roman" w:hAnsi="Times New Roman"/>
              </w:rPr>
              <w:t>20 </w:t>
            </w:r>
            <w:r w:rsidRPr="001974CC">
              <w:rPr>
                <w:rFonts w:ascii="Times New Roman" w:hAnsi="Times New Roman"/>
              </w:rPr>
              <w:t>700</w:t>
            </w:r>
          </w:p>
        </w:tc>
        <w:tc>
          <w:tcPr>
            <w:tcW w:w="2996" w:type="dxa"/>
            <w:gridSpan w:val="11"/>
            <w:vMerge/>
          </w:tcPr>
          <w:p w:rsidR="007F27C4" w:rsidRPr="001974CC" w:rsidRDefault="007F27C4" w:rsidP="00DA3678">
            <w:pPr>
              <w:spacing w:line="240" w:lineRule="auto"/>
              <w:rPr>
                <w:rFonts w:ascii="Times New Roman" w:hAnsi="Times New Roman"/>
              </w:rPr>
            </w:pPr>
          </w:p>
        </w:tc>
        <w:tc>
          <w:tcPr>
            <w:tcW w:w="2983" w:type="dxa"/>
            <w:gridSpan w:val="6"/>
            <w:vMerge/>
          </w:tcPr>
          <w:p w:rsidR="007F27C4" w:rsidRPr="001974CC" w:rsidRDefault="007F27C4" w:rsidP="00DA3678">
            <w:pPr>
              <w:spacing w:line="240" w:lineRule="auto"/>
              <w:rPr>
                <w:rFonts w:ascii="Times New Roman" w:hAnsi="Times New Roman"/>
              </w:rPr>
            </w:pPr>
          </w:p>
        </w:tc>
      </w:tr>
      <w:tr w:rsidR="007F27C4" w:rsidRPr="001974CC" w:rsidTr="001974CC">
        <w:trPr>
          <w:trHeight w:val="142"/>
        </w:trPr>
        <w:tc>
          <w:tcPr>
            <w:tcW w:w="2658" w:type="dxa"/>
            <w:gridSpan w:val="5"/>
          </w:tcPr>
          <w:p w:rsidR="007F27C4" w:rsidRPr="001974CC" w:rsidRDefault="007F27C4" w:rsidP="00DA3678">
            <w:pPr>
              <w:tabs>
                <w:tab w:val="left" w:pos="1560"/>
              </w:tabs>
              <w:spacing w:line="240" w:lineRule="auto"/>
              <w:rPr>
                <w:rFonts w:ascii="Times New Roman" w:hAnsi="Times New Roman"/>
              </w:rPr>
            </w:pPr>
            <w:r w:rsidRPr="001974CC">
              <w:rPr>
                <w:rFonts w:ascii="Times New Roman" w:hAnsi="Times New Roman"/>
              </w:rPr>
              <w:t>Wykonawcy: osoby prawne lub jednostki nieposiadające osobowości prawnej, osoby fizyczne</w:t>
            </w:r>
          </w:p>
        </w:tc>
        <w:tc>
          <w:tcPr>
            <w:tcW w:w="2300" w:type="dxa"/>
            <w:gridSpan w:val="6"/>
          </w:tcPr>
          <w:p w:rsidR="007F27C4" w:rsidRPr="001974CC" w:rsidRDefault="007F27C4" w:rsidP="00DA3678">
            <w:pPr>
              <w:spacing w:line="240" w:lineRule="auto"/>
              <w:rPr>
                <w:rFonts w:ascii="Times New Roman" w:hAnsi="Times New Roman"/>
              </w:rPr>
            </w:pPr>
            <w:r w:rsidRPr="001974CC">
              <w:rPr>
                <w:rFonts w:ascii="Times New Roman" w:hAnsi="Times New Roman"/>
              </w:rPr>
              <w:t xml:space="preserve">Około 200 tysięcy potencjalnych wykonawców zamówień publicznych, w tym </w:t>
            </w:r>
            <w:r w:rsidR="001974CC">
              <w:rPr>
                <w:rFonts w:ascii="Times New Roman" w:hAnsi="Times New Roman"/>
              </w:rPr>
              <w:t>małe i średnie przedsiębiorstwa</w:t>
            </w:r>
          </w:p>
        </w:tc>
        <w:tc>
          <w:tcPr>
            <w:tcW w:w="2996" w:type="dxa"/>
            <w:gridSpan w:val="11"/>
          </w:tcPr>
          <w:p w:rsidR="007F27C4" w:rsidRPr="001974CC" w:rsidRDefault="007F27C4" w:rsidP="00561982">
            <w:pPr>
              <w:spacing w:line="240" w:lineRule="auto"/>
              <w:rPr>
                <w:rFonts w:ascii="Times New Roman" w:hAnsi="Times New Roman"/>
              </w:rPr>
            </w:pPr>
            <w:r w:rsidRPr="001974CC">
              <w:rPr>
                <w:rFonts w:ascii="Times New Roman" w:hAnsi="Times New Roman"/>
              </w:rPr>
              <w:t>Dane REGON GUS.</w:t>
            </w:r>
          </w:p>
        </w:tc>
        <w:tc>
          <w:tcPr>
            <w:tcW w:w="2983" w:type="dxa"/>
            <w:gridSpan w:val="6"/>
          </w:tcPr>
          <w:p w:rsidR="007F27C4" w:rsidRPr="001974CC" w:rsidRDefault="007F27C4" w:rsidP="00561982">
            <w:pPr>
              <w:spacing w:line="240" w:lineRule="auto"/>
              <w:rPr>
                <w:rFonts w:ascii="Times New Roman" w:hAnsi="Times New Roman"/>
              </w:rPr>
            </w:pPr>
            <w:r w:rsidRPr="001974CC">
              <w:rPr>
                <w:rFonts w:ascii="Times New Roman" w:hAnsi="Times New Roman"/>
              </w:rPr>
              <w:t xml:space="preserve">Projekt reguluje warunki udziału wykonawców w postępowaniu o udzielenie zamówienia publicznego i ich prawa i obowiązki w postępowaniu </w:t>
            </w:r>
            <w:r w:rsidR="001974CC">
              <w:rPr>
                <w:rFonts w:ascii="Times New Roman" w:hAnsi="Times New Roman"/>
              </w:rPr>
              <w:t>oraz w trakcie realizacji umowy</w:t>
            </w:r>
          </w:p>
        </w:tc>
      </w:tr>
      <w:tr w:rsidR="007F27C4" w:rsidRPr="001974CC" w:rsidTr="00D41C64">
        <w:trPr>
          <w:trHeight w:val="302"/>
        </w:trPr>
        <w:tc>
          <w:tcPr>
            <w:tcW w:w="10937" w:type="dxa"/>
            <w:gridSpan w:val="28"/>
            <w:shd w:val="clear" w:color="auto" w:fill="99CCFF"/>
            <w:vAlign w:val="center"/>
          </w:tcPr>
          <w:p w:rsidR="007F27C4" w:rsidRPr="001974CC" w:rsidRDefault="007F27C4" w:rsidP="00213EFD">
            <w:pPr>
              <w:numPr>
                <w:ilvl w:val="0"/>
                <w:numId w:val="3"/>
              </w:numPr>
              <w:spacing w:before="60" w:after="60" w:line="240" w:lineRule="auto"/>
              <w:ind w:left="318" w:hanging="284"/>
              <w:jc w:val="both"/>
              <w:rPr>
                <w:rFonts w:ascii="Times New Roman" w:hAnsi="Times New Roman"/>
                <w:b/>
              </w:rPr>
            </w:pPr>
            <w:r w:rsidRPr="001974CC">
              <w:rPr>
                <w:rFonts w:ascii="Times New Roman" w:hAnsi="Times New Roman"/>
                <w:b/>
              </w:rPr>
              <w:t>Informacje na temat zakresu, czasu trwania i podsumowanie wyników konsultacji</w:t>
            </w:r>
          </w:p>
        </w:tc>
      </w:tr>
      <w:tr w:rsidR="007F27C4" w:rsidRPr="001974CC" w:rsidTr="00D41C64">
        <w:trPr>
          <w:trHeight w:val="342"/>
        </w:trPr>
        <w:tc>
          <w:tcPr>
            <w:tcW w:w="10937" w:type="dxa"/>
            <w:gridSpan w:val="28"/>
            <w:shd w:val="clear" w:color="auto" w:fill="FFFFFF"/>
          </w:tcPr>
          <w:p w:rsidR="007F27C4" w:rsidRPr="001974CC" w:rsidRDefault="007F27C4" w:rsidP="003304C3">
            <w:pPr>
              <w:spacing w:before="120" w:line="240" w:lineRule="auto"/>
              <w:jc w:val="both"/>
              <w:rPr>
                <w:rFonts w:ascii="Times New Roman" w:hAnsi="Times New Roman"/>
              </w:rPr>
            </w:pPr>
            <w:r w:rsidRPr="001974CC">
              <w:rPr>
                <w:rFonts w:ascii="Times New Roman" w:hAnsi="Times New Roman"/>
              </w:rPr>
              <w:t>Przeprowadzone zostały konsultacje publiczne projektu ustawy. Przy piśmie z dnia 19 stycznia 2016 r. projekt został przekazany do opinii pięćdziesięciu podmiotom, w tym organizacjom związków zawodowych (Forum Związków Z</w:t>
            </w:r>
            <w:r w:rsidR="00110A55">
              <w:rPr>
                <w:rFonts w:ascii="Times New Roman" w:hAnsi="Times New Roman"/>
              </w:rPr>
              <w:t>awodowych, Niezależnemu</w:t>
            </w:r>
            <w:r w:rsidRPr="001974CC">
              <w:rPr>
                <w:rFonts w:ascii="Times New Roman" w:hAnsi="Times New Roman"/>
              </w:rPr>
              <w:t xml:space="preserve"> Samorządn</w:t>
            </w:r>
            <w:r w:rsidR="00110A55">
              <w:rPr>
                <w:rFonts w:ascii="Times New Roman" w:hAnsi="Times New Roman"/>
              </w:rPr>
              <w:t>emu</w:t>
            </w:r>
            <w:r w:rsidRPr="001974CC">
              <w:rPr>
                <w:rFonts w:ascii="Times New Roman" w:hAnsi="Times New Roman"/>
              </w:rPr>
              <w:t xml:space="preserve"> Związ</w:t>
            </w:r>
            <w:r w:rsidR="00110A55">
              <w:rPr>
                <w:rFonts w:ascii="Times New Roman" w:hAnsi="Times New Roman"/>
              </w:rPr>
              <w:t>kowi Zawodowemu</w:t>
            </w:r>
            <w:r w:rsidRPr="001974CC">
              <w:rPr>
                <w:rFonts w:ascii="Times New Roman" w:hAnsi="Times New Roman"/>
              </w:rPr>
              <w:t xml:space="preserve"> „Solidarność”, Ogólnopolskie</w:t>
            </w:r>
            <w:r w:rsidR="00110A55">
              <w:rPr>
                <w:rFonts w:ascii="Times New Roman" w:hAnsi="Times New Roman"/>
              </w:rPr>
              <w:t>mu Porozumieniu</w:t>
            </w:r>
            <w:r w:rsidRPr="001974CC">
              <w:rPr>
                <w:rFonts w:ascii="Times New Roman" w:hAnsi="Times New Roman"/>
              </w:rPr>
              <w:t xml:space="preserve"> Związków Zawodowych), organizacjom reprezentującym pracodawców i przedsiębiorców (Bu</w:t>
            </w:r>
            <w:r w:rsidR="00110A55">
              <w:rPr>
                <w:rFonts w:ascii="Times New Roman" w:hAnsi="Times New Roman"/>
              </w:rPr>
              <w:t>siness Centre Club, Konfederacji Pracodawców Prywatnych</w:t>
            </w:r>
            <w:r w:rsidRPr="001974CC">
              <w:rPr>
                <w:rFonts w:ascii="Times New Roman" w:hAnsi="Times New Roman"/>
              </w:rPr>
              <w:t xml:space="preserve"> Lewiatan, Krajow</w:t>
            </w:r>
            <w:r w:rsidR="00110A55">
              <w:rPr>
                <w:rFonts w:ascii="Times New Roman" w:hAnsi="Times New Roman"/>
              </w:rPr>
              <w:t>ej</w:t>
            </w:r>
            <w:r w:rsidRPr="001974CC">
              <w:rPr>
                <w:rFonts w:ascii="Times New Roman" w:hAnsi="Times New Roman"/>
              </w:rPr>
              <w:t xml:space="preserve"> Izb</w:t>
            </w:r>
            <w:r w:rsidR="00110A55">
              <w:rPr>
                <w:rFonts w:ascii="Times New Roman" w:hAnsi="Times New Roman"/>
              </w:rPr>
              <w:t>ie Gospodarczej „</w:t>
            </w:r>
            <w:r w:rsidRPr="001974CC">
              <w:rPr>
                <w:rFonts w:ascii="Times New Roman" w:hAnsi="Times New Roman"/>
              </w:rPr>
              <w:t>Pracodawcy RP</w:t>
            </w:r>
            <w:r w:rsidR="00110A55">
              <w:rPr>
                <w:rFonts w:ascii="Times New Roman" w:hAnsi="Times New Roman"/>
              </w:rPr>
              <w:t>”</w:t>
            </w:r>
            <w:r w:rsidRPr="001974CC">
              <w:rPr>
                <w:rFonts w:ascii="Times New Roman" w:hAnsi="Times New Roman"/>
              </w:rPr>
              <w:t>, Związ</w:t>
            </w:r>
            <w:r w:rsidR="00110A55">
              <w:rPr>
                <w:rFonts w:ascii="Times New Roman" w:hAnsi="Times New Roman"/>
              </w:rPr>
              <w:t>kowi</w:t>
            </w:r>
            <w:r w:rsidRPr="001974CC">
              <w:rPr>
                <w:rFonts w:ascii="Times New Roman" w:hAnsi="Times New Roman"/>
              </w:rPr>
              <w:t xml:space="preserve"> </w:t>
            </w:r>
            <w:r w:rsidRPr="001974CC">
              <w:rPr>
                <w:rFonts w:ascii="Times New Roman" w:hAnsi="Times New Roman"/>
              </w:rPr>
              <w:lastRenderedPageBreak/>
              <w:t>Rzemiosła Polskiego, Związ</w:t>
            </w:r>
            <w:r w:rsidR="00110A55">
              <w:rPr>
                <w:rFonts w:ascii="Times New Roman" w:hAnsi="Times New Roman"/>
              </w:rPr>
              <w:t>kowi</w:t>
            </w:r>
            <w:r w:rsidRPr="001974CC">
              <w:rPr>
                <w:rFonts w:ascii="Times New Roman" w:hAnsi="Times New Roman"/>
              </w:rPr>
              <w:t xml:space="preserve"> Przedsiębiorców i Pracodawców), organizacjom branżowym, instytutom naukowym oraz organizacjom reprezentującym jednostk</w:t>
            </w:r>
            <w:r w:rsidR="00110A55">
              <w:rPr>
                <w:rFonts w:ascii="Times New Roman" w:hAnsi="Times New Roman"/>
              </w:rPr>
              <w:t>i samorządu terytorialnego (Unii Metropolii Polskich, Unii</w:t>
            </w:r>
            <w:r w:rsidRPr="001974CC">
              <w:rPr>
                <w:rFonts w:ascii="Times New Roman" w:hAnsi="Times New Roman"/>
              </w:rPr>
              <w:t xml:space="preserve"> Miasteczek Polskich). Konsultacje publiczne trwały do 2</w:t>
            </w:r>
            <w:r w:rsidR="001974CC">
              <w:rPr>
                <w:rFonts w:ascii="Times New Roman" w:hAnsi="Times New Roman"/>
              </w:rPr>
              <w:t> </w:t>
            </w:r>
            <w:r w:rsidRPr="001974CC">
              <w:rPr>
                <w:rFonts w:ascii="Times New Roman" w:hAnsi="Times New Roman"/>
              </w:rPr>
              <w:t xml:space="preserve">lutego </w:t>
            </w:r>
            <w:r w:rsidR="00110A55">
              <w:rPr>
                <w:rFonts w:ascii="Times New Roman" w:hAnsi="Times New Roman"/>
              </w:rPr>
              <w:t xml:space="preserve">2016 </w:t>
            </w:r>
            <w:r w:rsidRPr="001974CC">
              <w:rPr>
                <w:rFonts w:ascii="Times New Roman" w:hAnsi="Times New Roman"/>
              </w:rPr>
              <w:t xml:space="preserve">r. Ponadto projekt ustawy został opublikowany na stronie BIP Rządowego Centrum Legislacji w ramach Rządowego Procesu Legislacyjnego oraz na platformie konsultacyjnej www.konsultacje.gov.pl. </w:t>
            </w:r>
          </w:p>
          <w:p w:rsidR="007F27C4" w:rsidRPr="001974CC" w:rsidRDefault="007F27C4" w:rsidP="009D3DA7">
            <w:pPr>
              <w:spacing w:line="240" w:lineRule="auto"/>
              <w:jc w:val="both"/>
              <w:rPr>
                <w:rFonts w:ascii="Times New Roman" w:hAnsi="Times New Roman"/>
              </w:rPr>
            </w:pPr>
            <w:r w:rsidRPr="001974CC">
              <w:rPr>
                <w:rFonts w:ascii="Times New Roman" w:hAnsi="Times New Roman"/>
              </w:rPr>
              <w:t>W dniach 11</w:t>
            </w:r>
            <w:r w:rsidR="001974CC">
              <w:rPr>
                <w:rFonts w:ascii="Times New Roman" w:hAnsi="Times New Roman"/>
              </w:rPr>
              <w:t>–</w:t>
            </w:r>
            <w:r w:rsidRPr="001974CC">
              <w:rPr>
                <w:rFonts w:ascii="Times New Roman" w:hAnsi="Times New Roman"/>
              </w:rPr>
              <w:t xml:space="preserve">12 lutego </w:t>
            </w:r>
            <w:r w:rsidR="00110A55">
              <w:rPr>
                <w:rFonts w:ascii="Times New Roman" w:hAnsi="Times New Roman"/>
              </w:rPr>
              <w:t xml:space="preserve">2016 </w:t>
            </w:r>
            <w:r w:rsidRPr="001974CC">
              <w:rPr>
                <w:rFonts w:ascii="Times New Roman" w:hAnsi="Times New Roman"/>
              </w:rPr>
              <w:t>r. została zorganizowana konferencja uzgodnieniowa z pod</w:t>
            </w:r>
            <w:r w:rsidR="00110A55">
              <w:rPr>
                <w:rFonts w:ascii="Times New Roman" w:hAnsi="Times New Roman"/>
              </w:rPr>
              <w:t>miotami, które zgłosiły uwagi w </w:t>
            </w:r>
            <w:r w:rsidRPr="001974CC">
              <w:rPr>
                <w:rFonts w:ascii="Times New Roman" w:hAnsi="Times New Roman"/>
              </w:rPr>
              <w:t>ramach uzgodnień międzyresortowych i konsultacji publicznych.</w:t>
            </w:r>
            <w:r w:rsidR="001974CC">
              <w:rPr>
                <w:rFonts w:ascii="Times New Roman" w:hAnsi="Times New Roman"/>
              </w:rPr>
              <w:t xml:space="preserve"> </w:t>
            </w:r>
          </w:p>
          <w:p w:rsidR="007F27C4" w:rsidRPr="001974CC" w:rsidRDefault="007F27C4" w:rsidP="009D3DA7">
            <w:pPr>
              <w:spacing w:line="240" w:lineRule="auto"/>
              <w:jc w:val="both"/>
              <w:rPr>
                <w:rFonts w:ascii="Times New Roman" w:hAnsi="Times New Roman"/>
              </w:rPr>
            </w:pPr>
            <w:r w:rsidRPr="001974CC">
              <w:rPr>
                <w:rFonts w:ascii="Times New Roman" w:hAnsi="Times New Roman"/>
              </w:rPr>
              <w:t xml:space="preserve">Szczegółowe informacje nt. wyników konsultacji zostały zawarte w Raporcie z konsultacji. </w:t>
            </w:r>
          </w:p>
          <w:p w:rsidR="007F27C4" w:rsidRPr="001974CC" w:rsidRDefault="007F27C4" w:rsidP="009D3DA7">
            <w:pPr>
              <w:spacing w:line="240" w:lineRule="auto"/>
              <w:jc w:val="both"/>
              <w:rPr>
                <w:rFonts w:ascii="Times New Roman" w:hAnsi="Times New Roman"/>
              </w:rPr>
            </w:pPr>
            <w:r w:rsidRPr="001974CC">
              <w:rPr>
                <w:rFonts w:ascii="Times New Roman" w:hAnsi="Times New Roman"/>
              </w:rPr>
              <w:t xml:space="preserve">Jednocześnie, po zakończeniu uzgodnień międzyresortowych i konsultacji publicznych projekt został skierowany do opiniowania Komisji Wspólnej Rządu i Samorządu Terytorialnego. </w:t>
            </w:r>
          </w:p>
        </w:tc>
      </w:tr>
      <w:tr w:rsidR="007F27C4" w:rsidRPr="001974CC" w:rsidTr="00D41C64">
        <w:trPr>
          <w:trHeight w:val="363"/>
        </w:trPr>
        <w:tc>
          <w:tcPr>
            <w:tcW w:w="10937" w:type="dxa"/>
            <w:gridSpan w:val="28"/>
            <w:shd w:val="clear" w:color="auto" w:fill="99CCFF"/>
            <w:vAlign w:val="center"/>
          </w:tcPr>
          <w:p w:rsidR="007F27C4" w:rsidRPr="001974CC" w:rsidRDefault="007F27C4" w:rsidP="0072636A">
            <w:pPr>
              <w:numPr>
                <w:ilvl w:val="0"/>
                <w:numId w:val="3"/>
              </w:numPr>
              <w:spacing w:before="60" w:after="60" w:line="240" w:lineRule="auto"/>
              <w:ind w:left="318" w:hanging="284"/>
              <w:jc w:val="both"/>
              <w:rPr>
                <w:rFonts w:ascii="Times New Roman" w:hAnsi="Times New Roman"/>
                <w:b/>
              </w:rPr>
            </w:pPr>
            <w:r w:rsidRPr="001974CC">
              <w:rPr>
                <w:rFonts w:ascii="Times New Roman" w:hAnsi="Times New Roman"/>
                <w:b/>
              </w:rPr>
              <w:lastRenderedPageBreak/>
              <w:t xml:space="preserve"> Wpływ na sektor finansów publicznych</w:t>
            </w:r>
          </w:p>
        </w:tc>
      </w:tr>
      <w:tr w:rsidR="007F27C4" w:rsidRPr="001974CC" w:rsidTr="001974CC">
        <w:trPr>
          <w:trHeight w:val="142"/>
        </w:trPr>
        <w:tc>
          <w:tcPr>
            <w:tcW w:w="2117" w:type="dxa"/>
            <w:gridSpan w:val="3"/>
            <w:vMerge w:val="restart"/>
            <w:shd w:val="clear" w:color="auto" w:fill="FFFFFF"/>
          </w:tcPr>
          <w:p w:rsidR="007F27C4" w:rsidRPr="001974CC" w:rsidRDefault="007F27C4" w:rsidP="0049382A">
            <w:pPr>
              <w:spacing w:before="40" w:after="40"/>
              <w:rPr>
                <w:rFonts w:ascii="Times New Roman" w:hAnsi="Times New Roman"/>
                <w:i/>
              </w:rPr>
            </w:pPr>
            <w:r w:rsidRPr="001974CC">
              <w:rPr>
                <w:rFonts w:ascii="Times New Roman" w:hAnsi="Times New Roman"/>
              </w:rPr>
              <w:t>(ceny stałe z 2015 r.)</w:t>
            </w:r>
          </w:p>
        </w:tc>
        <w:tc>
          <w:tcPr>
            <w:tcW w:w="8820" w:type="dxa"/>
            <w:gridSpan w:val="25"/>
            <w:shd w:val="clear" w:color="auto" w:fill="FFFFFF"/>
          </w:tcPr>
          <w:p w:rsidR="007F27C4" w:rsidRPr="001974CC" w:rsidRDefault="007F27C4" w:rsidP="00260F33">
            <w:pPr>
              <w:spacing w:before="40" w:after="40" w:line="240" w:lineRule="auto"/>
              <w:jc w:val="center"/>
              <w:rPr>
                <w:rFonts w:ascii="Times New Roman" w:hAnsi="Times New Roman"/>
                <w:i/>
              </w:rPr>
            </w:pPr>
            <w:r w:rsidRPr="001974CC">
              <w:rPr>
                <w:rFonts w:ascii="Times New Roman" w:hAnsi="Times New Roman"/>
              </w:rPr>
              <w:t>Skutki w okresie 10 lat od wejścia w życie zmian [mln zł]</w:t>
            </w:r>
          </w:p>
        </w:tc>
      </w:tr>
      <w:tr w:rsidR="001974CC" w:rsidRPr="001974CC" w:rsidTr="001974CC">
        <w:trPr>
          <w:trHeight w:val="142"/>
        </w:trPr>
        <w:tc>
          <w:tcPr>
            <w:tcW w:w="2117" w:type="dxa"/>
            <w:gridSpan w:val="3"/>
            <w:vMerge/>
            <w:shd w:val="clear" w:color="auto" w:fill="FFFFFF"/>
          </w:tcPr>
          <w:p w:rsidR="007F27C4" w:rsidRPr="001974CC" w:rsidRDefault="007F27C4" w:rsidP="00A52ADB">
            <w:pPr>
              <w:spacing w:before="40" w:after="40" w:line="240" w:lineRule="auto"/>
              <w:rPr>
                <w:rFonts w:ascii="Times New Roman" w:hAnsi="Times New Roman"/>
                <w:i/>
              </w:rPr>
            </w:pPr>
          </w:p>
        </w:tc>
        <w:tc>
          <w:tcPr>
            <w:tcW w:w="709" w:type="dxa"/>
            <w:gridSpan w:val="3"/>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0</w:t>
            </w:r>
          </w:p>
        </w:tc>
        <w:tc>
          <w:tcPr>
            <w:tcW w:w="715" w:type="dxa"/>
            <w:gridSpan w:val="2"/>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1</w:t>
            </w:r>
          </w:p>
        </w:tc>
        <w:tc>
          <w:tcPr>
            <w:tcW w:w="708" w:type="dxa"/>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2</w:t>
            </w:r>
          </w:p>
        </w:tc>
        <w:tc>
          <w:tcPr>
            <w:tcW w:w="709" w:type="dxa"/>
            <w:gridSpan w:val="2"/>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3</w:t>
            </w:r>
          </w:p>
        </w:tc>
        <w:tc>
          <w:tcPr>
            <w:tcW w:w="713" w:type="dxa"/>
            <w:gridSpan w:val="3"/>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4</w:t>
            </w:r>
          </w:p>
        </w:tc>
        <w:tc>
          <w:tcPr>
            <w:tcW w:w="709" w:type="dxa"/>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5</w:t>
            </w:r>
          </w:p>
        </w:tc>
        <w:tc>
          <w:tcPr>
            <w:tcW w:w="737" w:type="dxa"/>
            <w:gridSpan w:val="3"/>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6</w:t>
            </w:r>
          </w:p>
        </w:tc>
        <w:tc>
          <w:tcPr>
            <w:tcW w:w="680" w:type="dxa"/>
            <w:gridSpan w:val="3"/>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7</w:t>
            </w:r>
          </w:p>
        </w:tc>
        <w:tc>
          <w:tcPr>
            <w:tcW w:w="709" w:type="dxa"/>
            <w:gridSpan w:val="2"/>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8</w:t>
            </w:r>
          </w:p>
        </w:tc>
        <w:tc>
          <w:tcPr>
            <w:tcW w:w="709" w:type="dxa"/>
            <w:gridSpan w:val="2"/>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9</w:t>
            </w:r>
          </w:p>
        </w:tc>
        <w:tc>
          <w:tcPr>
            <w:tcW w:w="708" w:type="dxa"/>
            <w:shd w:val="clear" w:color="auto" w:fill="FFFFFF"/>
          </w:tcPr>
          <w:p w:rsidR="007F27C4" w:rsidRPr="001974CC" w:rsidRDefault="007F27C4" w:rsidP="00B5768A">
            <w:pPr>
              <w:spacing w:line="240" w:lineRule="auto"/>
              <w:jc w:val="center"/>
              <w:rPr>
                <w:rFonts w:ascii="Times New Roman" w:hAnsi="Times New Roman"/>
              </w:rPr>
            </w:pPr>
            <w:r w:rsidRPr="001974CC">
              <w:rPr>
                <w:rFonts w:ascii="Times New Roman" w:hAnsi="Times New Roman"/>
              </w:rPr>
              <w:t>10</w:t>
            </w:r>
          </w:p>
        </w:tc>
        <w:tc>
          <w:tcPr>
            <w:tcW w:w="1014" w:type="dxa"/>
            <w:gridSpan w:val="2"/>
            <w:shd w:val="clear" w:color="auto" w:fill="FFFFFF"/>
          </w:tcPr>
          <w:p w:rsidR="007F27C4" w:rsidRPr="001974CC" w:rsidRDefault="007F27C4" w:rsidP="00B5768A">
            <w:pPr>
              <w:spacing w:line="240" w:lineRule="auto"/>
              <w:jc w:val="center"/>
              <w:rPr>
                <w:rFonts w:ascii="Times New Roman" w:hAnsi="Times New Roman"/>
                <w:i/>
              </w:rPr>
            </w:pPr>
            <w:r w:rsidRPr="001974CC">
              <w:rPr>
                <w:rFonts w:ascii="Times New Roman" w:hAnsi="Times New Roman"/>
                <w:i/>
              </w:rPr>
              <w:t>Łącznie (0</w:t>
            </w:r>
            <w:r w:rsidR="001974CC">
              <w:rPr>
                <w:rFonts w:ascii="Times New Roman" w:hAnsi="Times New Roman"/>
                <w:i/>
              </w:rPr>
              <w:t>–</w:t>
            </w:r>
            <w:r w:rsidRPr="001974CC">
              <w:rPr>
                <w:rFonts w:ascii="Times New Roman" w:hAnsi="Times New Roman"/>
                <w:i/>
              </w:rPr>
              <w:t>10)</w:t>
            </w:r>
          </w:p>
        </w:tc>
      </w:tr>
      <w:tr w:rsidR="001974CC" w:rsidRPr="001974CC" w:rsidTr="001974CC">
        <w:trPr>
          <w:gridAfter w:val="1"/>
          <w:wAfter w:w="25" w:type="dxa"/>
          <w:trHeight w:val="321"/>
        </w:trPr>
        <w:tc>
          <w:tcPr>
            <w:tcW w:w="2117" w:type="dxa"/>
            <w:gridSpan w:val="3"/>
            <w:shd w:val="clear" w:color="auto" w:fill="FFFFFF"/>
            <w:vAlign w:val="center"/>
          </w:tcPr>
          <w:p w:rsidR="007F27C4" w:rsidRPr="001974CC" w:rsidRDefault="007F27C4" w:rsidP="00C53F26">
            <w:pPr>
              <w:spacing w:line="240" w:lineRule="auto"/>
              <w:rPr>
                <w:rFonts w:ascii="Times New Roman" w:hAnsi="Times New Roman"/>
              </w:rPr>
            </w:pPr>
            <w:r w:rsidRPr="001974CC">
              <w:rPr>
                <w:rFonts w:ascii="Times New Roman" w:hAnsi="Times New Roman"/>
                <w:b/>
              </w:rPr>
              <w:t>Dochody ogółem</w:t>
            </w:r>
          </w:p>
        </w:tc>
        <w:tc>
          <w:tcPr>
            <w:tcW w:w="709" w:type="dxa"/>
            <w:gridSpan w:val="3"/>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15" w:type="dxa"/>
            <w:gridSpan w:val="2"/>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08" w:type="dxa"/>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09" w:type="dxa"/>
            <w:gridSpan w:val="2"/>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13" w:type="dxa"/>
            <w:gridSpan w:val="3"/>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09" w:type="dxa"/>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37" w:type="dxa"/>
            <w:gridSpan w:val="3"/>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680" w:type="dxa"/>
            <w:gridSpan w:val="3"/>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09" w:type="dxa"/>
            <w:gridSpan w:val="2"/>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09" w:type="dxa"/>
            <w:gridSpan w:val="2"/>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708" w:type="dxa"/>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4,8</w:t>
            </w:r>
          </w:p>
        </w:tc>
        <w:tc>
          <w:tcPr>
            <w:tcW w:w="989" w:type="dxa"/>
            <w:shd w:val="clear" w:color="auto" w:fill="FFFFFF"/>
          </w:tcPr>
          <w:p w:rsidR="007F27C4" w:rsidRPr="001974CC" w:rsidRDefault="007F27C4" w:rsidP="009107FD">
            <w:pPr>
              <w:spacing w:line="240" w:lineRule="auto"/>
              <w:rPr>
                <w:rFonts w:ascii="Times New Roman" w:hAnsi="Times New Roman"/>
                <w:b/>
                <w:sz w:val="18"/>
                <w:szCs w:val="18"/>
              </w:rPr>
            </w:pPr>
            <w:r w:rsidRPr="001974CC">
              <w:rPr>
                <w:rFonts w:ascii="Times New Roman" w:hAnsi="Times New Roman"/>
                <w:b/>
                <w:sz w:val="18"/>
                <w:szCs w:val="18"/>
              </w:rPr>
              <w:t>52,8</w:t>
            </w:r>
          </w:p>
        </w:tc>
      </w:tr>
      <w:tr w:rsidR="001974CC" w:rsidRPr="001974CC" w:rsidTr="001974CC">
        <w:trPr>
          <w:gridAfter w:val="1"/>
          <w:wAfter w:w="25" w:type="dxa"/>
          <w:trHeight w:val="321"/>
        </w:trPr>
        <w:tc>
          <w:tcPr>
            <w:tcW w:w="2117" w:type="dxa"/>
            <w:gridSpan w:val="3"/>
            <w:shd w:val="clear" w:color="auto" w:fill="FFFFFF"/>
            <w:vAlign w:val="center"/>
          </w:tcPr>
          <w:p w:rsidR="007F27C4" w:rsidRPr="001974CC" w:rsidRDefault="007F27C4" w:rsidP="00C53F26">
            <w:pPr>
              <w:spacing w:line="240" w:lineRule="auto"/>
              <w:rPr>
                <w:rFonts w:ascii="Times New Roman" w:hAnsi="Times New Roman"/>
              </w:rPr>
            </w:pPr>
            <w:r w:rsidRPr="001974CC">
              <w:rPr>
                <w:rFonts w:ascii="Times New Roman" w:hAnsi="Times New Roman"/>
              </w:rPr>
              <w:t>budżet państwa</w:t>
            </w:r>
          </w:p>
        </w:tc>
        <w:tc>
          <w:tcPr>
            <w:tcW w:w="709" w:type="dxa"/>
            <w:gridSpan w:val="3"/>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15" w:type="dxa"/>
            <w:gridSpan w:val="2"/>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08" w:type="dxa"/>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09" w:type="dxa"/>
            <w:gridSpan w:val="2"/>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13" w:type="dxa"/>
            <w:gridSpan w:val="3"/>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09" w:type="dxa"/>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37" w:type="dxa"/>
            <w:gridSpan w:val="3"/>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680" w:type="dxa"/>
            <w:gridSpan w:val="3"/>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09" w:type="dxa"/>
            <w:gridSpan w:val="2"/>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09" w:type="dxa"/>
            <w:gridSpan w:val="2"/>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708" w:type="dxa"/>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4,8</w:t>
            </w:r>
          </w:p>
        </w:tc>
        <w:tc>
          <w:tcPr>
            <w:tcW w:w="989" w:type="dxa"/>
            <w:shd w:val="clear" w:color="auto" w:fill="FFFFFF"/>
          </w:tcPr>
          <w:p w:rsidR="007F27C4" w:rsidRPr="001974CC" w:rsidRDefault="007F27C4" w:rsidP="00530939">
            <w:pPr>
              <w:spacing w:line="240" w:lineRule="auto"/>
              <w:rPr>
                <w:rFonts w:ascii="Times New Roman" w:hAnsi="Times New Roman"/>
                <w:sz w:val="18"/>
                <w:szCs w:val="18"/>
              </w:rPr>
            </w:pPr>
            <w:r w:rsidRPr="001974CC">
              <w:rPr>
                <w:rFonts w:ascii="Times New Roman" w:hAnsi="Times New Roman"/>
                <w:sz w:val="18"/>
                <w:szCs w:val="18"/>
              </w:rPr>
              <w:t>52,8</w:t>
            </w:r>
          </w:p>
        </w:tc>
      </w:tr>
      <w:tr w:rsidR="001974CC" w:rsidRPr="001974CC" w:rsidTr="001974CC">
        <w:trPr>
          <w:gridAfter w:val="1"/>
          <w:wAfter w:w="25" w:type="dxa"/>
          <w:trHeight w:val="344"/>
        </w:trPr>
        <w:tc>
          <w:tcPr>
            <w:tcW w:w="2117" w:type="dxa"/>
            <w:gridSpan w:val="3"/>
            <w:shd w:val="clear" w:color="auto" w:fill="FFFFFF"/>
            <w:vAlign w:val="center"/>
          </w:tcPr>
          <w:p w:rsidR="007F27C4" w:rsidRPr="001974CC" w:rsidRDefault="007F27C4" w:rsidP="00C53F26">
            <w:pPr>
              <w:spacing w:line="240" w:lineRule="auto"/>
              <w:rPr>
                <w:rFonts w:ascii="Times New Roman" w:hAnsi="Times New Roman"/>
              </w:rPr>
            </w:pPr>
            <w:r w:rsidRPr="001974CC">
              <w:rPr>
                <w:rFonts w:ascii="Times New Roman" w:hAnsi="Times New Roman"/>
              </w:rPr>
              <w:t>JST</w:t>
            </w:r>
          </w:p>
        </w:tc>
        <w:tc>
          <w:tcPr>
            <w:tcW w:w="709"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715"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08" w:type="dxa"/>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13"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shd w:val="clear" w:color="auto" w:fill="FFFFFF"/>
          </w:tcPr>
          <w:p w:rsidR="007F27C4" w:rsidRPr="001974CC" w:rsidRDefault="007F27C4" w:rsidP="000B54FB">
            <w:pPr>
              <w:spacing w:line="240" w:lineRule="auto"/>
              <w:rPr>
                <w:rFonts w:ascii="Times New Roman" w:hAnsi="Times New Roman"/>
                <w:sz w:val="18"/>
                <w:szCs w:val="18"/>
              </w:rPr>
            </w:pPr>
          </w:p>
        </w:tc>
        <w:tc>
          <w:tcPr>
            <w:tcW w:w="737"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680"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08" w:type="dxa"/>
            <w:shd w:val="clear" w:color="auto" w:fill="FFFFFF"/>
          </w:tcPr>
          <w:p w:rsidR="007F27C4" w:rsidRPr="001974CC" w:rsidRDefault="007F27C4" w:rsidP="000B54FB">
            <w:pPr>
              <w:spacing w:line="240" w:lineRule="auto"/>
              <w:rPr>
                <w:rFonts w:ascii="Times New Roman" w:hAnsi="Times New Roman"/>
                <w:sz w:val="18"/>
                <w:szCs w:val="18"/>
              </w:rPr>
            </w:pPr>
          </w:p>
        </w:tc>
        <w:tc>
          <w:tcPr>
            <w:tcW w:w="989" w:type="dxa"/>
            <w:shd w:val="clear" w:color="auto" w:fill="FFFFFF"/>
          </w:tcPr>
          <w:p w:rsidR="007F27C4" w:rsidRPr="001974CC" w:rsidRDefault="007F27C4" w:rsidP="000B54FB">
            <w:pPr>
              <w:spacing w:line="240" w:lineRule="auto"/>
              <w:rPr>
                <w:rFonts w:ascii="Times New Roman" w:hAnsi="Times New Roman"/>
                <w:sz w:val="18"/>
                <w:szCs w:val="18"/>
              </w:rPr>
            </w:pPr>
          </w:p>
        </w:tc>
      </w:tr>
      <w:tr w:rsidR="001974CC" w:rsidRPr="001974CC" w:rsidTr="001974CC">
        <w:trPr>
          <w:gridAfter w:val="1"/>
          <w:wAfter w:w="25" w:type="dxa"/>
          <w:trHeight w:val="344"/>
        </w:trPr>
        <w:tc>
          <w:tcPr>
            <w:tcW w:w="2117" w:type="dxa"/>
            <w:gridSpan w:val="3"/>
            <w:shd w:val="clear" w:color="auto" w:fill="FFFFFF"/>
            <w:vAlign w:val="center"/>
          </w:tcPr>
          <w:p w:rsidR="007F27C4" w:rsidRPr="001974CC" w:rsidRDefault="007F27C4" w:rsidP="00C53F26">
            <w:pPr>
              <w:spacing w:line="240" w:lineRule="auto"/>
              <w:rPr>
                <w:rFonts w:ascii="Times New Roman" w:hAnsi="Times New Roman"/>
              </w:rPr>
            </w:pPr>
            <w:r w:rsidRPr="001974CC">
              <w:rPr>
                <w:rFonts w:ascii="Times New Roman" w:hAnsi="Times New Roman"/>
              </w:rPr>
              <w:t>pozostałe jednostki (oddzielnie)</w:t>
            </w:r>
          </w:p>
        </w:tc>
        <w:tc>
          <w:tcPr>
            <w:tcW w:w="709"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715"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08" w:type="dxa"/>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13"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shd w:val="clear" w:color="auto" w:fill="FFFFFF"/>
          </w:tcPr>
          <w:p w:rsidR="007F27C4" w:rsidRPr="001974CC" w:rsidRDefault="007F27C4" w:rsidP="000B54FB">
            <w:pPr>
              <w:spacing w:line="240" w:lineRule="auto"/>
              <w:rPr>
                <w:rFonts w:ascii="Times New Roman" w:hAnsi="Times New Roman"/>
                <w:sz w:val="18"/>
                <w:szCs w:val="18"/>
              </w:rPr>
            </w:pPr>
          </w:p>
        </w:tc>
        <w:tc>
          <w:tcPr>
            <w:tcW w:w="737"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680" w:type="dxa"/>
            <w:gridSpan w:val="3"/>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0B54FB">
            <w:pPr>
              <w:spacing w:line="240" w:lineRule="auto"/>
              <w:rPr>
                <w:rFonts w:ascii="Times New Roman" w:hAnsi="Times New Roman"/>
                <w:sz w:val="18"/>
                <w:szCs w:val="18"/>
              </w:rPr>
            </w:pPr>
          </w:p>
        </w:tc>
        <w:tc>
          <w:tcPr>
            <w:tcW w:w="708" w:type="dxa"/>
            <w:shd w:val="clear" w:color="auto" w:fill="FFFFFF"/>
          </w:tcPr>
          <w:p w:rsidR="007F27C4" w:rsidRPr="001974CC" w:rsidRDefault="007F27C4" w:rsidP="000B54FB">
            <w:pPr>
              <w:spacing w:line="240" w:lineRule="auto"/>
              <w:rPr>
                <w:rFonts w:ascii="Times New Roman" w:hAnsi="Times New Roman"/>
                <w:sz w:val="18"/>
                <w:szCs w:val="18"/>
              </w:rPr>
            </w:pPr>
          </w:p>
        </w:tc>
        <w:tc>
          <w:tcPr>
            <w:tcW w:w="989" w:type="dxa"/>
            <w:shd w:val="clear" w:color="auto" w:fill="FFFFFF"/>
          </w:tcPr>
          <w:p w:rsidR="007F27C4" w:rsidRPr="001974CC" w:rsidRDefault="007F27C4" w:rsidP="000B54FB">
            <w:pPr>
              <w:spacing w:line="240" w:lineRule="auto"/>
              <w:rPr>
                <w:rFonts w:ascii="Times New Roman" w:hAnsi="Times New Roman"/>
                <w:sz w:val="18"/>
                <w:szCs w:val="18"/>
              </w:rPr>
            </w:pPr>
          </w:p>
        </w:tc>
      </w:tr>
      <w:tr w:rsidR="001974CC" w:rsidRPr="001974CC" w:rsidTr="001974CC">
        <w:trPr>
          <w:gridAfter w:val="1"/>
          <w:wAfter w:w="25" w:type="dxa"/>
          <w:trHeight w:val="330"/>
        </w:trPr>
        <w:tc>
          <w:tcPr>
            <w:tcW w:w="2117" w:type="dxa"/>
            <w:gridSpan w:val="3"/>
            <w:shd w:val="clear" w:color="auto" w:fill="FFFFFF"/>
            <w:vAlign w:val="center"/>
          </w:tcPr>
          <w:p w:rsidR="007F27C4" w:rsidRPr="001974CC" w:rsidRDefault="007F27C4" w:rsidP="00C53F26">
            <w:pPr>
              <w:spacing w:line="240" w:lineRule="auto"/>
              <w:rPr>
                <w:rFonts w:ascii="Times New Roman" w:hAnsi="Times New Roman"/>
              </w:rPr>
            </w:pPr>
            <w:r w:rsidRPr="001974CC">
              <w:rPr>
                <w:rFonts w:ascii="Times New Roman" w:hAnsi="Times New Roman"/>
                <w:b/>
              </w:rPr>
              <w:t>Wydatki ogółem</w:t>
            </w:r>
          </w:p>
        </w:tc>
        <w:tc>
          <w:tcPr>
            <w:tcW w:w="709" w:type="dxa"/>
            <w:gridSpan w:val="3"/>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1,2</w:t>
            </w:r>
            <w:r w:rsidR="00494866" w:rsidRPr="001974CC">
              <w:rPr>
                <w:rFonts w:ascii="Times New Roman" w:hAnsi="Times New Roman"/>
                <w:b/>
                <w:sz w:val="18"/>
                <w:szCs w:val="18"/>
              </w:rPr>
              <w:t>39</w:t>
            </w:r>
          </w:p>
        </w:tc>
        <w:tc>
          <w:tcPr>
            <w:tcW w:w="715" w:type="dxa"/>
            <w:gridSpan w:val="2"/>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6</w:t>
            </w:r>
          </w:p>
        </w:tc>
        <w:tc>
          <w:tcPr>
            <w:tcW w:w="708" w:type="dxa"/>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709" w:type="dxa"/>
            <w:gridSpan w:val="2"/>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713" w:type="dxa"/>
            <w:gridSpan w:val="3"/>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709" w:type="dxa"/>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737" w:type="dxa"/>
            <w:gridSpan w:val="3"/>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680" w:type="dxa"/>
            <w:gridSpan w:val="3"/>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709" w:type="dxa"/>
            <w:gridSpan w:val="2"/>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709" w:type="dxa"/>
            <w:gridSpan w:val="2"/>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708" w:type="dxa"/>
            <w:shd w:val="clear" w:color="auto" w:fill="FFFFFF"/>
          </w:tcPr>
          <w:p w:rsidR="007F27C4" w:rsidRPr="001974CC" w:rsidRDefault="007F27C4" w:rsidP="00494866">
            <w:pPr>
              <w:spacing w:line="240" w:lineRule="auto"/>
              <w:rPr>
                <w:rFonts w:ascii="Times New Roman" w:hAnsi="Times New Roman"/>
                <w:b/>
                <w:sz w:val="18"/>
                <w:szCs w:val="18"/>
              </w:rPr>
            </w:pPr>
            <w:r w:rsidRPr="001974CC">
              <w:rPr>
                <w:rFonts w:ascii="Times New Roman" w:hAnsi="Times New Roman"/>
                <w:b/>
                <w:sz w:val="18"/>
                <w:szCs w:val="18"/>
              </w:rPr>
              <w:t>2,</w:t>
            </w:r>
            <w:r w:rsidR="00494866" w:rsidRPr="001974CC">
              <w:rPr>
                <w:rFonts w:ascii="Times New Roman" w:hAnsi="Times New Roman"/>
                <w:b/>
                <w:sz w:val="18"/>
                <w:szCs w:val="18"/>
              </w:rPr>
              <w:t>733</w:t>
            </w:r>
          </w:p>
        </w:tc>
        <w:tc>
          <w:tcPr>
            <w:tcW w:w="989" w:type="dxa"/>
            <w:shd w:val="clear" w:color="auto" w:fill="FFFFFF"/>
          </w:tcPr>
          <w:p w:rsidR="007F27C4" w:rsidRPr="001974CC" w:rsidRDefault="00494866" w:rsidP="009107FD">
            <w:pPr>
              <w:spacing w:line="240" w:lineRule="auto"/>
              <w:rPr>
                <w:rFonts w:ascii="Times New Roman" w:hAnsi="Times New Roman"/>
                <w:b/>
                <w:sz w:val="18"/>
                <w:szCs w:val="18"/>
              </w:rPr>
            </w:pPr>
            <w:r w:rsidRPr="001974CC">
              <w:rPr>
                <w:rFonts w:ascii="Times New Roman" w:hAnsi="Times New Roman"/>
                <w:b/>
                <w:sz w:val="18"/>
                <w:szCs w:val="18"/>
              </w:rPr>
              <w:t>28,436</w:t>
            </w:r>
          </w:p>
        </w:tc>
      </w:tr>
      <w:tr w:rsidR="001974CC" w:rsidRPr="001974CC" w:rsidTr="001974CC">
        <w:trPr>
          <w:gridAfter w:val="1"/>
          <w:wAfter w:w="25" w:type="dxa"/>
          <w:trHeight w:val="4023"/>
        </w:trPr>
        <w:tc>
          <w:tcPr>
            <w:tcW w:w="2117" w:type="dxa"/>
            <w:gridSpan w:val="3"/>
            <w:shd w:val="clear" w:color="auto" w:fill="FFFFFF"/>
            <w:vAlign w:val="center"/>
          </w:tcPr>
          <w:p w:rsidR="007F27C4" w:rsidRPr="001974CC" w:rsidRDefault="007F27C4" w:rsidP="00F17841">
            <w:pPr>
              <w:spacing w:line="240" w:lineRule="auto"/>
              <w:rPr>
                <w:rFonts w:ascii="Times New Roman" w:hAnsi="Times New Roman"/>
              </w:rPr>
            </w:pPr>
            <w:r w:rsidRPr="001974CC">
              <w:rPr>
                <w:rFonts w:ascii="Times New Roman" w:hAnsi="Times New Roman"/>
              </w:rPr>
              <w:t>budżet państwa</w:t>
            </w:r>
          </w:p>
          <w:p w:rsidR="007F27C4" w:rsidRPr="001974CC" w:rsidRDefault="007F27C4" w:rsidP="00F17841">
            <w:pPr>
              <w:spacing w:line="240" w:lineRule="auto"/>
              <w:rPr>
                <w:rFonts w:ascii="Times New Roman" w:hAnsi="Times New Roman"/>
              </w:rPr>
            </w:pPr>
          </w:p>
          <w:p w:rsidR="007F27C4" w:rsidRPr="001974CC" w:rsidRDefault="007F27C4" w:rsidP="00F17841">
            <w:pPr>
              <w:spacing w:line="240" w:lineRule="auto"/>
              <w:rPr>
                <w:rFonts w:ascii="Times New Roman" w:hAnsi="Times New Roman"/>
                <w:i/>
              </w:rPr>
            </w:pPr>
          </w:p>
          <w:p w:rsidR="007F27C4" w:rsidRPr="001974CC" w:rsidRDefault="007F27C4" w:rsidP="00F17841">
            <w:pPr>
              <w:spacing w:line="240" w:lineRule="auto"/>
              <w:rPr>
                <w:rFonts w:ascii="Times New Roman" w:hAnsi="Times New Roman"/>
                <w:i/>
              </w:rPr>
            </w:pPr>
            <w:r w:rsidRPr="001974CC">
              <w:rPr>
                <w:rFonts w:ascii="Times New Roman" w:hAnsi="Times New Roman"/>
                <w:i/>
              </w:rPr>
              <w:t>przygotowanie nowego formularza sprawozdań rocznych za lata 2016</w:t>
            </w:r>
            <w:r w:rsidR="001974CC">
              <w:rPr>
                <w:rFonts w:ascii="Times New Roman" w:hAnsi="Times New Roman"/>
                <w:i/>
              </w:rPr>
              <w:t>–</w:t>
            </w:r>
            <w:r w:rsidRPr="001974CC">
              <w:rPr>
                <w:rFonts w:ascii="Times New Roman" w:hAnsi="Times New Roman"/>
                <w:i/>
              </w:rPr>
              <w:t>2018</w:t>
            </w:r>
          </w:p>
          <w:p w:rsidR="007F27C4" w:rsidRPr="001974CC" w:rsidRDefault="007F27C4" w:rsidP="00F17841">
            <w:pPr>
              <w:spacing w:line="240" w:lineRule="auto"/>
              <w:rPr>
                <w:rFonts w:ascii="Times New Roman" w:hAnsi="Times New Roman"/>
                <w:i/>
              </w:rPr>
            </w:pPr>
          </w:p>
          <w:p w:rsidR="007F27C4" w:rsidRPr="001974CC" w:rsidRDefault="007F27C4" w:rsidP="00F17841">
            <w:pPr>
              <w:spacing w:line="240" w:lineRule="auto"/>
              <w:rPr>
                <w:rFonts w:ascii="Times New Roman" w:hAnsi="Times New Roman"/>
                <w:i/>
              </w:rPr>
            </w:pPr>
            <w:r w:rsidRPr="001974CC">
              <w:rPr>
                <w:rFonts w:ascii="Times New Roman" w:hAnsi="Times New Roman"/>
                <w:i/>
              </w:rPr>
              <w:t xml:space="preserve">modyfikacje formularzy do publikacji ogłoszeń w Biuletynie Zamówień Publicznych </w:t>
            </w:r>
          </w:p>
          <w:p w:rsidR="007F27C4" w:rsidRPr="001974CC" w:rsidRDefault="007F27C4" w:rsidP="00F17841">
            <w:pPr>
              <w:spacing w:line="240" w:lineRule="auto"/>
              <w:rPr>
                <w:rFonts w:ascii="Times New Roman" w:hAnsi="Times New Roman"/>
                <w:i/>
              </w:rPr>
            </w:pPr>
          </w:p>
          <w:p w:rsidR="007F27C4" w:rsidRPr="001974CC" w:rsidRDefault="007F27C4" w:rsidP="00494866">
            <w:pPr>
              <w:spacing w:line="240" w:lineRule="auto"/>
              <w:rPr>
                <w:rFonts w:ascii="Times New Roman" w:hAnsi="Times New Roman"/>
                <w:i/>
              </w:rPr>
            </w:pPr>
            <w:r w:rsidRPr="001974CC">
              <w:rPr>
                <w:rFonts w:ascii="Times New Roman" w:hAnsi="Times New Roman"/>
                <w:i/>
              </w:rPr>
              <w:t>zwiększenie zatrudnienia w KIO i w DO UZP łącznie z wydatkami rzeczowymi</w:t>
            </w:r>
          </w:p>
        </w:tc>
        <w:tc>
          <w:tcPr>
            <w:tcW w:w="709" w:type="dxa"/>
            <w:gridSpan w:val="3"/>
            <w:shd w:val="clear" w:color="auto" w:fill="FFFFFF"/>
          </w:tcPr>
          <w:p w:rsidR="007F27C4" w:rsidRPr="001974CC" w:rsidRDefault="00494866" w:rsidP="00F17841">
            <w:pPr>
              <w:spacing w:line="240" w:lineRule="auto"/>
              <w:rPr>
                <w:rFonts w:ascii="Times New Roman" w:hAnsi="Times New Roman"/>
                <w:sz w:val="18"/>
                <w:szCs w:val="18"/>
              </w:rPr>
            </w:pPr>
            <w:r w:rsidRPr="001974CC">
              <w:rPr>
                <w:rFonts w:ascii="Times New Roman" w:hAnsi="Times New Roman"/>
                <w:sz w:val="18"/>
                <w:szCs w:val="18"/>
              </w:rPr>
              <w:t>1,239</w:t>
            </w: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0,15</w:t>
            </w: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0,</w:t>
            </w:r>
            <w:r w:rsidR="00494866" w:rsidRPr="001974CC">
              <w:rPr>
                <w:rFonts w:ascii="Times New Roman" w:hAnsi="Times New Roman"/>
                <w:sz w:val="18"/>
                <w:szCs w:val="18"/>
              </w:rPr>
              <w:t>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0,789</w:t>
            </w:r>
          </w:p>
          <w:p w:rsidR="007F27C4" w:rsidRPr="001974CC" w:rsidRDefault="007F27C4" w:rsidP="00F17841">
            <w:pPr>
              <w:spacing w:line="240" w:lineRule="auto"/>
              <w:rPr>
                <w:rFonts w:ascii="Times New Roman" w:hAnsi="Times New Roman"/>
                <w:sz w:val="18"/>
                <w:szCs w:val="18"/>
              </w:rPr>
            </w:pPr>
          </w:p>
          <w:p w:rsidR="009D3DA7" w:rsidRPr="001974CC" w:rsidRDefault="009D3DA7"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15" w:type="dxa"/>
            <w:gridSpan w:val="2"/>
            <w:shd w:val="clear" w:color="auto" w:fill="FFFFFF"/>
          </w:tcPr>
          <w:p w:rsidR="007F27C4" w:rsidRPr="001974CC" w:rsidRDefault="00494866" w:rsidP="00F17841">
            <w:pPr>
              <w:spacing w:line="240" w:lineRule="auto"/>
              <w:rPr>
                <w:rFonts w:ascii="Times New Roman" w:hAnsi="Times New Roman"/>
                <w:sz w:val="18"/>
                <w:szCs w:val="18"/>
              </w:rPr>
            </w:pPr>
            <w:r w:rsidRPr="001974CC">
              <w:rPr>
                <w:rFonts w:ascii="Times New Roman" w:hAnsi="Times New Roman"/>
                <w:sz w:val="18"/>
                <w:szCs w:val="18"/>
              </w:rPr>
              <w:t>2,6</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9D3DA7" w:rsidRDefault="009D3DA7"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2,6</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08" w:type="dxa"/>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13" w:type="dxa"/>
            <w:gridSpan w:val="3"/>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09" w:type="dxa"/>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37" w:type="dxa"/>
            <w:gridSpan w:val="3"/>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680" w:type="dxa"/>
            <w:gridSpan w:val="3"/>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09" w:type="dxa"/>
            <w:gridSpan w:val="2"/>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708" w:type="dxa"/>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w:t>
            </w:r>
            <w:r w:rsidR="00494866" w:rsidRPr="001974CC">
              <w:rPr>
                <w:rFonts w:ascii="Times New Roman" w:hAnsi="Times New Roman"/>
                <w:sz w:val="18"/>
                <w:szCs w:val="18"/>
              </w:rPr>
              <w:t>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2,733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c>
          <w:tcPr>
            <w:tcW w:w="989" w:type="dxa"/>
            <w:shd w:val="clear" w:color="auto" w:fill="FFFFFF"/>
          </w:tcPr>
          <w:p w:rsidR="007F27C4" w:rsidRPr="001974CC" w:rsidRDefault="00494866" w:rsidP="00F17841">
            <w:pPr>
              <w:spacing w:line="240" w:lineRule="auto"/>
              <w:rPr>
                <w:rFonts w:ascii="Times New Roman" w:hAnsi="Times New Roman"/>
                <w:sz w:val="18"/>
                <w:szCs w:val="18"/>
              </w:rPr>
            </w:pPr>
            <w:r w:rsidRPr="001974CC">
              <w:rPr>
                <w:rFonts w:ascii="Times New Roman" w:hAnsi="Times New Roman"/>
                <w:sz w:val="18"/>
                <w:szCs w:val="18"/>
              </w:rPr>
              <w:t>28,436</w:t>
            </w: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0,15</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494866" w:rsidP="00F17841">
            <w:pPr>
              <w:spacing w:line="240" w:lineRule="auto"/>
              <w:rPr>
                <w:rFonts w:ascii="Times New Roman" w:hAnsi="Times New Roman"/>
                <w:sz w:val="18"/>
                <w:szCs w:val="18"/>
              </w:rPr>
            </w:pPr>
            <w:r w:rsidRPr="001974CC">
              <w:rPr>
                <w:rFonts w:ascii="Times New Roman" w:hAnsi="Times New Roman"/>
                <w:sz w:val="18"/>
                <w:szCs w:val="18"/>
              </w:rPr>
              <w:t>0,3</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Default="007F27C4"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Default="001974CC" w:rsidP="00F17841">
            <w:pPr>
              <w:spacing w:line="240" w:lineRule="auto"/>
              <w:rPr>
                <w:rFonts w:ascii="Times New Roman" w:hAnsi="Times New Roman"/>
                <w:sz w:val="18"/>
                <w:szCs w:val="18"/>
              </w:rPr>
            </w:pPr>
          </w:p>
          <w:p w:rsidR="001974CC" w:rsidRPr="001974CC" w:rsidRDefault="001974CC"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27,986</w:t>
            </w: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p w:rsidR="007F27C4" w:rsidRPr="001974CC" w:rsidRDefault="007F27C4" w:rsidP="00F17841">
            <w:pPr>
              <w:spacing w:line="240" w:lineRule="auto"/>
              <w:rPr>
                <w:rFonts w:ascii="Times New Roman" w:hAnsi="Times New Roman"/>
                <w:sz w:val="18"/>
                <w:szCs w:val="18"/>
              </w:rPr>
            </w:pPr>
          </w:p>
        </w:tc>
      </w:tr>
      <w:tr w:rsidR="001974CC" w:rsidRPr="001974CC" w:rsidTr="001974CC">
        <w:trPr>
          <w:gridAfter w:val="1"/>
          <w:wAfter w:w="25" w:type="dxa"/>
          <w:trHeight w:val="351"/>
        </w:trPr>
        <w:tc>
          <w:tcPr>
            <w:tcW w:w="2117" w:type="dxa"/>
            <w:gridSpan w:val="3"/>
            <w:shd w:val="clear" w:color="auto" w:fill="FFFFFF"/>
            <w:vAlign w:val="center"/>
          </w:tcPr>
          <w:p w:rsidR="007F27C4" w:rsidRPr="001974CC" w:rsidRDefault="007F27C4" w:rsidP="00F17841">
            <w:pPr>
              <w:spacing w:line="240" w:lineRule="auto"/>
              <w:rPr>
                <w:rFonts w:ascii="Times New Roman" w:hAnsi="Times New Roman"/>
              </w:rPr>
            </w:pPr>
            <w:r w:rsidRPr="001974CC">
              <w:rPr>
                <w:rFonts w:ascii="Times New Roman" w:hAnsi="Times New Roman"/>
              </w:rPr>
              <w:t>JST</w:t>
            </w:r>
          </w:p>
        </w:tc>
        <w:tc>
          <w:tcPr>
            <w:tcW w:w="709"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15"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8" w:type="dxa"/>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13"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37"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680"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8" w:type="dxa"/>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989" w:type="dxa"/>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r>
      <w:tr w:rsidR="001974CC" w:rsidRPr="001974CC" w:rsidTr="001974CC">
        <w:trPr>
          <w:gridAfter w:val="1"/>
          <w:wAfter w:w="25" w:type="dxa"/>
          <w:trHeight w:val="351"/>
        </w:trPr>
        <w:tc>
          <w:tcPr>
            <w:tcW w:w="2117" w:type="dxa"/>
            <w:gridSpan w:val="3"/>
            <w:shd w:val="clear" w:color="auto" w:fill="FFFFFF"/>
            <w:vAlign w:val="center"/>
          </w:tcPr>
          <w:p w:rsidR="007F27C4" w:rsidRPr="001974CC" w:rsidRDefault="007F27C4" w:rsidP="00F17841">
            <w:pPr>
              <w:spacing w:line="240" w:lineRule="auto"/>
              <w:rPr>
                <w:rFonts w:ascii="Times New Roman" w:hAnsi="Times New Roman"/>
              </w:rPr>
            </w:pPr>
            <w:r w:rsidRPr="001974CC">
              <w:rPr>
                <w:rFonts w:ascii="Times New Roman" w:hAnsi="Times New Roman"/>
              </w:rPr>
              <w:t>pozostałe jednostki (oddzielnie)</w:t>
            </w:r>
          </w:p>
        </w:tc>
        <w:tc>
          <w:tcPr>
            <w:tcW w:w="709"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15"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8" w:type="dxa"/>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13"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37"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680" w:type="dxa"/>
            <w:gridSpan w:val="3"/>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9" w:type="dxa"/>
            <w:gridSpan w:val="2"/>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c>
          <w:tcPr>
            <w:tcW w:w="708" w:type="dxa"/>
            <w:shd w:val="clear" w:color="auto" w:fill="FFFFFF"/>
          </w:tcPr>
          <w:p w:rsidR="007F27C4" w:rsidRPr="001974CC" w:rsidRDefault="007F27C4" w:rsidP="00F17841">
            <w:pPr>
              <w:spacing w:line="240" w:lineRule="auto"/>
              <w:rPr>
                <w:rFonts w:ascii="Times New Roman" w:hAnsi="Times New Roman"/>
                <w:sz w:val="18"/>
                <w:szCs w:val="18"/>
              </w:rPr>
            </w:pPr>
          </w:p>
        </w:tc>
        <w:tc>
          <w:tcPr>
            <w:tcW w:w="989" w:type="dxa"/>
            <w:shd w:val="clear" w:color="auto" w:fill="FFFFFF"/>
          </w:tcPr>
          <w:p w:rsidR="007F27C4" w:rsidRPr="001974CC" w:rsidRDefault="000C4806" w:rsidP="00F17841">
            <w:pPr>
              <w:spacing w:line="240" w:lineRule="auto"/>
              <w:rPr>
                <w:rFonts w:ascii="Times New Roman" w:hAnsi="Times New Roman"/>
                <w:sz w:val="18"/>
                <w:szCs w:val="18"/>
              </w:rPr>
            </w:pPr>
            <w:r w:rsidRPr="001974CC">
              <w:rPr>
                <w:rFonts w:ascii="Times New Roman" w:hAnsi="Times New Roman"/>
                <w:sz w:val="18"/>
                <w:szCs w:val="18"/>
              </w:rPr>
              <w:t>-</w:t>
            </w:r>
          </w:p>
        </w:tc>
      </w:tr>
      <w:tr w:rsidR="001974CC" w:rsidRPr="001974CC" w:rsidTr="001974CC">
        <w:trPr>
          <w:gridAfter w:val="1"/>
          <w:wAfter w:w="25" w:type="dxa"/>
          <w:trHeight w:val="360"/>
        </w:trPr>
        <w:tc>
          <w:tcPr>
            <w:tcW w:w="2117" w:type="dxa"/>
            <w:gridSpan w:val="3"/>
            <w:shd w:val="clear" w:color="auto" w:fill="FFFFFF"/>
            <w:vAlign w:val="center"/>
          </w:tcPr>
          <w:p w:rsidR="00494866" w:rsidRPr="001974CC" w:rsidRDefault="00494866" w:rsidP="00F17841">
            <w:pPr>
              <w:spacing w:line="240" w:lineRule="auto"/>
              <w:rPr>
                <w:rFonts w:ascii="Times New Roman" w:hAnsi="Times New Roman"/>
              </w:rPr>
            </w:pPr>
            <w:r w:rsidRPr="001974CC">
              <w:rPr>
                <w:rFonts w:ascii="Times New Roman" w:hAnsi="Times New Roman"/>
                <w:b/>
              </w:rPr>
              <w:t>Saldo ogółem</w:t>
            </w:r>
          </w:p>
        </w:tc>
        <w:tc>
          <w:tcPr>
            <w:tcW w:w="709" w:type="dxa"/>
            <w:gridSpan w:val="3"/>
            <w:shd w:val="clear" w:color="auto" w:fill="FFFFFF"/>
          </w:tcPr>
          <w:p w:rsidR="00494866" w:rsidRPr="001974CC" w:rsidRDefault="00494866" w:rsidP="00494866">
            <w:pPr>
              <w:spacing w:line="240" w:lineRule="auto"/>
              <w:rPr>
                <w:rFonts w:ascii="Times New Roman" w:hAnsi="Times New Roman"/>
                <w:b/>
                <w:sz w:val="18"/>
                <w:szCs w:val="18"/>
              </w:rPr>
            </w:pPr>
            <w:r w:rsidRPr="001974CC">
              <w:rPr>
                <w:rFonts w:ascii="Times New Roman" w:hAnsi="Times New Roman"/>
                <w:b/>
                <w:sz w:val="18"/>
                <w:szCs w:val="18"/>
              </w:rPr>
              <w:t>3,561</w:t>
            </w:r>
          </w:p>
        </w:tc>
        <w:tc>
          <w:tcPr>
            <w:tcW w:w="715" w:type="dxa"/>
            <w:gridSpan w:val="2"/>
            <w:shd w:val="clear" w:color="auto" w:fill="FFFFFF"/>
          </w:tcPr>
          <w:p w:rsidR="00494866" w:rsidRPr="001974CC" w:rsidRDefault="00494866" w:rsidP="00F17841">
            <w:pPr>
              <w:spacing w:line="240" w:lineRule="auto"/>
              <w:rPr>
                <w:rFonts w:ascii="Times New Roman" w:hAnsi="Times New Roman"/>
                <w:b/>
                <w:sz w:val="18"/>
                <w:szCs w:val="18"/>
              </w:rPr>
            </w:pPr>
            <w:r w:rsidRPr="001974CC">
              <w:rPr>
                <w:rFonts w:ascii="Times New Roman" w:hAnsi="Times New Roman"/>
                <w:b/>
                <w:sz w:val="18"/>
                <w:szCs w:val="18"/>
              </w:rPr>
              <w:t>2,2</w:t>
            </w:r>
          </w:p>
        </w:tc>
        <w:tc>
          <w:tcPr>
            <w:tcW w:w="708" w:type="dxa"/>
            <w:shd w:val="clear" w:color="auto" w:fill="FFFFFF"/>
          </w:tcPr>
          <w:p w:rsidR="00494866" w:rsidRPr="001974CC" w:rsidRDefault="00494866" w:rsidP="00F17841">
            <w:pPr>
              <w:spacing w:line="240" w:lineRule="auto"/>
              <w:rPr>
                <w:rFonts w:ascii="Times New Roman" w:hAnsi="Times New Roman"/>
                <w:b/>
                <w:sz w:val="18"/>
                <w:szCs w:val="18"/>
              </w:rPr>
            </w:pPr>
            <w:r w:rsidRPr="001974CC">
              <w:rPr>
                <w:rFonts w:ascii="Times New Roman" w:hAnsi="Times New Roman"/>
                <w:b/>
                <w:sz w:val="18"/>
                <w:szCs w:val="18"/>
              </w:rPr>
              <w:t>2,067</w:t>
            </w:r>
          </w:p>
        </w:tc>
        <w:tc>
          <w:tcPr>
            <w:tcW w:w="709" w:type="dxa"/>
            <w:gridSpan w:val="2"/>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713" w:type="dxa"/>
            <w:gridSpan w:val="3"/>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709" w:type="dxa"/>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737" w:type="dxa"/>
            <w:gridSpan w:val="3"/>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680" w:type="dxa"/>
            <w:gridSpan w:val="3"/>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709" w:type="dxa"/>
            <w:gridSpan w:val="2"/>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709" w:type="dxa"/>
            <w:gridSpan w:val="2"/>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708" w:type="dxa"/>
            <w:shd w:val="clear" w:color="auto" w:fill="FFFFFF"/>
          </w:tcPr>
          <w:p w:rsidR="00494866" w:rsidRPr="001974CC" w:rsidRDefault="00494866">
            <w:pPr>
              <w:rPr>
                <w:sz w:val="18"/>
                <w:szCs w:val="18"/>
              </w:rPr>
            </w:pPr>
            <w:r w:rsidRPr="001974CC">
              <w:rPr>
                <w:rFonts w:ascii="Times New Roman" w:hAnsi="Times New Roman"/>
                <w:b/>
                <w:sz w:val="18"/>
                <w:szCs w:val="18"/>
              </w:rPr>
              <w:t>2,067</w:t>
            </w:r>
          </w:p>
        </w:tc>
        <w:tc>
          <w:tcPr>
            <w:tcW w:w="989" w:type="dxa"/>
            <w:shd w:val="clear" w:color="auto" w:fill="FFFFFF"/>
          </w:tcPr>
          <w:p w:rsidR="00494866" w:rsidRPr="001974CC" w:rsidRDefault="00494866" w:rsidP="00F17841">
            <w:pPr>
              <w:spacing w:line="240" w:lineRule="auto"/>
              <w:rPr>
                <w:rFonts w:ascii="Times New Roman" w:hAnsi="Times New Roman"/>
                <w:b/>
                <w:sz w:val="18"/>
                <w:szCs w:val="18"/>
              </w:rPr>
            </w:pPr>
            <w:r w:rsidRPr="001974CC">
              <w:rPr>
                <w:rFonts w:ascii="Times New Roman" w:hAnsi="Times New Roman"/>
                <w:b/>
                <w:sz w:val="18"/>
                <w:szCs w:val="18"/>
              </w:rPr>
              <w:t>24,364</w:t>
            </w:r>
          </w:p>
        </w:tc>
      </w:tr>
      <w:tr w:rsidR="001974CC" w:rsidRPr="001974CC" w:rsidTr="001974CC">
        <w:trPr>
          <w:gridAfter w:val="1"/>
          <w:wAfter w:w="25" w:type="dxa"/>
          <w:trHeight w:val="360"/>
        </w:trPr>
        <w:tc>
          <w:tcPr>
            <w:tcW w:w="2117" w:type="dxa"/>
            <w:gridSpan w:val="3"/>
            <w:shd w:val="clear" w:color="auto" w:fill="FFFFFF"/>
            <w:vAlign w:val="center"/>
          </w:tcPr>
          <w:p w:rsidR="007F27C4" w:rsidRPr="001974CC" w:rsidRDefault="007F27C4" w:rsidP="00F17841">
            <w:pPr>
              <w:spacing w:line="240" w:lineRule="auto"/>
              <w:rPr>
                <w:rFonts w:ascii="Times New Roman" w:hAnsi="Times New Roman"/>
              </w:rPr>
            </w:pPr>
            <w:r w:rsidRPr="001974CC">
              <w:rPr>
                <w:rFonts w:ascii="Times New Roman" w:hAnsi="Times New Roman"/>
              </w:rPr>
              <w:t>Budżet państwa</w:t>
            </w:r>
          </w:p>
        </w:tc>
        <w:tc>
          <w:tcPr>
            <w:tcW w:w="709" w:type="dxa"/>
            <w:gridSpan w:val="3"/>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3,118</w:t>
            </w:r>
          </w:p>
        </w:tc>
        <w:tc>
          <w:tcPr>
            <w:tcW w:w="715" w:type="dxa"/>
            <w:gridSpan w:val="2"/>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1,987</w:t>
            </w:r>
          </w:p>
        </w:tc>
        <w:tc>
          <w:tcPr>
            <w:tcW w:w="708" w:type="dxa"/>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709" w:type="dxa"/>
            <w:gridSpan w:val="2"/>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713" w:type="dxa"/>
            <w:gridSpan w:val="3"/>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709" w:type="dxa"/>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737" w:type="dxa"/>
            <w:gridSpan w:val="3"/>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680" w:type="dxa"/>
            <w:gridSpan w:val="3"/>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709" w:type="dxa"/>
            <w:gridSpan w:val="2"/>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709" w:type="dxa"/>
            <w:gridSpan w:val="2"/>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708" w:type="dxa"/>
            <w:shd w:val="clear" w:color="auto" w:fill="FFFFFF"/>
          </w:tcPr>
          <w:p w:rsidR="007F27C4" w:rsidRPr="001974CC" w:rsidRDefault="007F27C4" w:rsidP="00F17841">
            <w:pPr>
              <w:spacing w:line="240" w:lineRule="auto"/>
              <w:rPr>
                <w:rFonts w:ascii="Times New Roman" w:hAnsi="Times New Roman"/>
                <w:sz w:val="18"/>
                <w:szCs w:val="18"/>
              </w:rPr>
            </w:pPr>
            <w:r w:rsidRPr="001974CC">
              <w:rPr>
                <w:rFonts w:ascii="Times New Roman" w:hAnsi="Times New Roman"/>
                <w:sz w:val="18"/>
                <w:szCs w:val="18"/>
              </w:rPr>
              <w:t>1,854</w:t>
            </w:r>
          </w:p>
        </w:tc>
        <w:tc>
          <w:tcPr>
            <w:tcW w:w="989" w:type="dxa"/>
            <w:shd w:val="clear" w:color="auto" w:fill="FFFFFF"/>
          </w:tcPr>
          <w:p w:rsidR="007F27C4" w:rsidRPr="001974CC" w:rsidRDefault="00494866" w:rsidP="00F17841">
            <w:pPr>
              <w:spacing w:line="240" w:lineRule="auto"/>
              <w:rPr>
                <w:rFonts w:ascii="Times New Roman" w:hAnsi="Times New Roman"/>
                <w:sz w:val="18"/>
                <w:szCs w:val="18"/>
              </w:rPr>
            </w:pPr>
            <w:r w:rsidRPr="001974CC">
              <w:rPr>
                <w:rFonts w:ascii="Times New Roman" w:hAnsi="Times New Roman"/>
                <w:sz w:val="18"/>
                <w:szCs w:val="18"/>
              </w:rPr>
              <w:t>24,364</w:t>
            </w:r>
          </w:p>
        </w:tc>
      </w:tr>
      <w:tr w:rsidR="001974CC" w:rsidRPr="001974CC" w:rsidTr="001974CC">
        <w:trPr>
          <w:gridAfter w:val="1"/>
          <w:wAfter w:w="25" w:type="dxa"/>
          <w:trHeight w:val="357"/>
        </w:trPr>
        <w:tc>
          <w:tcPr>
            <w:tcW w:w="2117" w:type="dxa"/>
            <w:gridSpan w:val="3"/>
            <w:shd w:val="clear" w:color="auto" w:fill="FFFFFF"/>
            <w:vAlign w:val="center"/>
          </w:tcPr>
          <w:p w:rsidR="000C4806" w:rsidRPr="001974CC" w:rsidRDefault="000C4806" w:rsidP="00F17841">
            <w:pPr>
              <w:spacing w:line="240" w:lineRule="auto"/>
              <w:rPr>
                <w:rFonts w:ascii="Times New Roman" w:hAnsi="Times New Roman"/>
              </w:rPr>
            </w:pPr>
            <w:r w:rsidRPr="001974CC">
              <w:rPr>
                <w:rFonts w:ascii="Times New Roman" w:hAnsi="Times New Roman"/>
              </w:rPr>
              <w:t>JST</w:t>
            </w:r>
          </w:p>
        </w:tc>
        <w:tc>
          <w:tcPr>
            <w:tcW w:w="709" w:type="dxa"/>
            <w:gridSpan w:val="3"/>
            <w:shd w:val="clear" w:color="auto" w:fill="FFFFFF"/>
          </w:tcPr>
          <w:p w:rsidR="000C4806" w:rsidRPr="001974CC" w:rsidRDefault="000C4806" w:rsidP="00494866">
            <w:pPr>
              <w:rPr>
                <w:sz w:val="18"/>
                <w:szCs w:val="18"/>
              </w:rPr>
            </w:pPr>
            <w:r w:rsidRPr="001974CC">
              <w:rPr>
                <w:sz w:val="18"/>
                <w:szCs w:val="18"/>
              </w:rPr>
              <w:t>-</w:t>
            </w:r>
          </w:p>
        </w:tc>
        <w:tc>
          <w:tcPr>
            <w:tcW w:w="715" w:type="dxa"/>
            <w:gridSpan w:val="2"/>
            <w:shd w:val="clear" w:color="auto" w:fill="FFFFFF"/>
          </w:tcPr>
          <w:p w:rsidR="000C4806" w:rsidRPr="001974CC" w:rsidRDefault="000C4806" w:rsidP="00494866">
            <w:pPr>
              <w:rPr>
                <w:sz w:val="18"/>
                <w:szCs w:val="18"/>
              </w:rPr>
            </w:pPr>
            <w:r w:rsidRPr="001974CC">
              <w:rPr>
                <w:sz w:val="18"/>
                <w:szCs w:val="18"/>
              </w:rPr>
              <w:t>-</w:t>
            </w:r>
          </w:p>
        </w:tc>
        <w:tc>
          <w:tcPr>
            <w:tcW w:w="708" w:type="dxa"/>
            <w:shd w:val="clear" w:color="auto" w:fill="FFFFFF"/>
          </w:tcPr>
          <w:p w:rsidR="000C4806" w:rsidRPr="001974CC" w:rsidRDefault="000C4806" w:rsidP="00494866">
            <w:pPr>
              <w:rPr>
                <w:sz w:val="18"/>
                <w:szCs w:val="18"/>
              </w:rPr>
            </w:pPr>
            <w:r w:rsidRPr="001974CC">
              <w:rPr>
                <w:sz w:val="18"/>
                <w:szCs w:val="18"/>
              </w:rPr>
              <w:t>-</w:t>
            </w:r>
          </w:p>
        </w:tc>
        <w:tc>
          <w:tcPr>
            <w:tcW w:w="709" w:type="dxa"/>
            <w:gridSpan w:val="2"/>
            <w:shd w:val="clear" w:color="auto" w:fill="FFFFFF"/>
          </w:tcPr>
          <w:p w:rsidR="000C4806" w:rsidRPr="001974CC" w:rsidRDefault="000C4806" w:rsidP="00494866">
            <w:pPr>
              <w:rPr>
                <w:sz w:val="18"/>
                <w:szCs w:val="18"/>
              </w:rPr>
            </w:pPr>
            <w:r w:rsidRPr="001974CC">
              <w:rPr>
                <w:sz w:val="18"/>
                <w:szCs w:val="18"/>
              </w:rPr>
              <w:t>-</w:t>
            </w:r>
          </w:p>
        </w:tc>
        <w:tc>
          <w:tcPr>
            <w:tcW w:w="713" w:type="dxa"/>
            <w:gridSpan w:val="3"/>
            <w:shd w:val="clear" w:color="auto" w:fill="FFFFFF"/>
          </w:tcPr>
          <w:p w:rsidR="000C4806" w:rsidRPr="001974CC" w:rsidRDefault="000C4806" w:rsidP="00494866">
            <w:pPr>
              <w:rPr>
                <w:sz w:val="18"/>
                <w:szCs w:val="18"/>
              </w:rPr>
            </w:pPr>
            <w:r w:rsidRPr="001974CC">
              <w:rPr>
                <w:sz w:val="18"/>
                <w:szCs w:val="18"/>
              </w:rPr>
              <w:t>-</w:t>
            </w:r>
          </w:p>
        </w:tc>
        <w:tc>
          <w:tcPr>
            <w:tcW w:w="709" w:type="dxa"/>
            <w:shd w:val="clear" w:color="auto" w:fill="FFFFFF"/>
          </w:tcPr>
          <w:p w:rsidR="000C4806" w:rsidRPr="001974CC" w:rsidRDefault="000C4806" w:rsidP="00494866">
            <w:pPr>
              <w:rPr>
                <w:sz w:val="18"/>
                <w:szCs w:val="18"/>
              </w:rPr>
            </w:pPr>
            <w:r w:rsidRPr="001974CC">
              <w:rPr>
                <w:sz w:val="18"/>
                <w:szCs w:val="18"/>
              </w:rPr>
              <w:t>-</w:t>
            </w:r>
          </w:p>
        </w:tc>
        <w:tc>
          <w:tcPr>
            <w:tcW w:w="737" w:type="dxa"/>
            <w:gridSpan w:val="3"/>
            <w:shd w:val="clear" w:color="auto" w:fill="FFFFFF"/>
          </w:tcPr>
          <w:p w:rsidR="000C4806" w:rsidRPr="001974CC" w:rsidRDefault="000C4806" w:rsidP="00494866">
            <w:pPr>
              <w:rPr>
                <w:sz w:val="18"/>
                <w:szCs w:val="18"/>
              </w:rPr>
            </w:pPr>
            <w:r w:rsidRPr="001974CC">
              <w:rPr>
                <w:sz w:val="18"/>
                <w:szCs w:val="18"/>
              </w:rPr>
              <w:t>-</w:t>
            </w:r>
          </w:p>
        </w:tc>
        <w:tc>
          <w:tcPr>
            <w:tcW w:w="680" w:type="dxa"/>
            <w:gridSpan w:val="3"/>
            <w:shd w:val="clear" w:color="auto" w:fill="FFFFFF"/>
          </w:tcPr>
          <w:p w:rsidR="000C4806" w:rsidRPr="001974CC" w:rsidRDefault="000C4806" w:rsidP="00494866">
            <w:pPr>
              <w:rPr>
                <w:sz w:val="18"/>
                <w:szCs w:val="18"/>
              </w:rPr>
            </w:pPr>
            <w:r w:rsidRPr="001974CC">
              <w:rPr>
                <w:sz w:val="18"/>
                <w:szCs w:val="18"/>
              </w:rPr>
              <w:t>-</w:t>
            </w:r>
          </w:p>
        </w:tc>
        <w:tc>
          <w:tcPr>
            <w:tcW w:w="709" w:type="dxa"/>
            <w:gridSpan w:val="2"/>
            <w:shd w:val="clear" w:color="auto" w:fill="FFFFFF"/>
          </w:tcPr>
          <w:p w:rsidR="000C4806" w:rsidRPr="001974CC" w:rsidRDefault="000C4806" w:rsidP="00494866">
            <w:pPr>
              <w:rPr>
                <w:sz w:val="18"/>
                <w:szCs w:val="18"/>
              </w:rPr>
            </w:pPr>
            <w:r w:rsidRPr="001974CC">
              <w:rPr>
                <w:sz w:val="18"/>
                <w:szCs w:val="18"/>
              </w:rPr>
              <w:t>-</w:t>
            </w:r>
          </w:p>
        </w:tc>
        <w:tc>
          <w:tcPr>
            <w:tcW w:w="709" w:type="dxa"/>
            <w:gridSpan w:val="2"/>
            <w:shd w:val="clear" w:color="auto" w:fill="FFFFFF"/>
          </w:tcPr>
          <w:p w:rsidR="000C4806" w:rsidRPr="001974CC" w:rsidRDefault="000C4806" w:rsidP="00494866">
            <w:pPr>
              <w:rPr>
                <w:sz w:val="18"/>
                <w:szCs w:val="18"/>
              </w:rPr>
            </w:pPr>
            <w:r w:rsidRPr="001974CC">
              <w:rPr>
                <w:sz w:val="18"/>
                <w:szCs w:val="18"/>
              </w:rPr>
              <w:t>-</w:t>
            </w:r>
          </w:p>
        </w:tc>
        <w:tc>
          <w:tcPr>
            <w:tcW w:w="708" w:type="dxa"/>
            <w:shd w:val="clear" w:color="auto" w:fill="FFFFFF"/>
          </w:tcPr>
          <w:p w:rsidR="000C4806" w:rsidRPr="001974CC" w:rsidRDefault="000C4806" w:rsidP="00494866">
            <w:pPr>
              <w:rPr>
                <w:sz w:val="18"/>
                <w:szCs w:val="18"/>
              </w:rPr>
            </w:pPr>
            <w:r w:rsidRPr="001974CC">
              <w:rPr>
                <w:sz w:val="18"/>
                <w:szCs w:val="18"/>
              </w:rPr>
              <w:t>-</w:t>
            </w:r>
          </w:p>
        </w:tc>
        <w:tc>
          <w:tcPr>
            <w:tcW w:w="989" w:type="dxa"/>
            <w:shd w:val="clear" w:color="auto" w:fill="FFFFFF"/>
          </w:tcPr>
          <w:p w:rsidR="000C4806" w:rsidRPr="001974CC" w:rsidRDefault="000C4806" w:rsidP="00494866">
            <w:pPr>
              <w:rPr>
                <w:sz w:val="18"/>
                <w:szCs w:val="18"/>
              </w:rPr>
            </w:pPr>
            <w:r w:rsidRPr="001974CC">
              <w:rPr>
                <w:sz w:val="18"/>
                <w:szCs w:val="18"/>
              </w:rPr>
              <w:t>-</w:t>
            </w:r>
          </w:p>
        </w:tc>
      </w:tr>
      <w:tr w:rsidR="001974CC" w:rsidRPr="001974CC" w:rsidTr="001974CC">
        <w:trPr>
          <w:gridAfter w:val="1"/>
          <w:wAfter w:w="25" w:type="dxa"/>
          <w:trHeight w:val="357"/>
        </w:trPr>
        <w:tc>
          <w:tcPr>
            <w:tcW w:w="2117" w:type="dxa"/>
            <w:gridSpan w:val="3"/>
            <w:shd w:val="clear" w:color="auto" w:fill="FFFFFF"/>
            <w:vAlign w:val="center"/>
          </w:tcPr>
          <w:p w:rsidR="000C4806" w:rsidRPr="001974CC" w:rsidRDefault="000C4806" w:rsidP="00F17841">
            <w:pPr>
              <w:spacing w:line="240" w:lineRule="auto"/>
              <w:rPr>
                <w:rFonts w:ascii="Times New Roman" w:hAnsi="Times New Roman"/>
              </w:rPr>
            </w:pPr>
            <w:r w:rsidRPr="001974CC">
              <w:rPr>
                <w:rFonts w:ascii="Times New Roman" w:hAnsi="Times New Roman"/>
              </w:rPr>
              <w:t>pozostałe jednostki (oddzielnie)</w:t>
            </w:r>
          </w:p>
        </w:tc>
        <w:tc>
          <w:tcPr>
            <w:tcW w:w="709" w:type="dxa"/>
            <w:gridSpan w:val="3"/>
            <w:shd w:val="clear" w:color="auto" w:fill="FFFFFF"/>
          </w:tcPr>
          <w:p w:rsidR="000C4806" w:rsidRPr="001974CC" w:rsidRDefault="000C4806" w:rsidP="00494866">
            <w:pPr>
              <w:rPr>
                <w:sz w:val="18"/>
                <w:szCs w:val="18"/>
              </w:rPr>
            </w:pPr>
            <w:r w:rsidRPr="001974CC">
              <w:rPr>
                <w:sz w:val="18"/>
                <w:szCs w:val="18"/>
              </w:rPr>
              <w:t>-</w:t>
            </w:r>
          </w:p>
        </w:tc>
        <w:tc>
          <w:tcPr>
            <w:tcW w:w="715" w:type="dxa"/>
            <w:gridSpan w:val="2"/>
            <w:shd w:val="clear" w:color="auto" w:fill="FFFFFF"/>
          </w:tcPr>
          <w:p w:rsidR="000C4806" w:rsidRPr="001974CC" w:rsidRDefault="000C4806" w:rsidP="00494866">
            <w:pPr>
              <w:rPr>
                <w:sz w:val="18"/>
                <w:szCs w:val="18"/>
              </w:rPr>
            </w:pPr>
            <w:r w:rsidRPr="001974CC">
              <w:rPr>
                <w:sz w:val="18"/>
                <w:szCs w:val="18"/>
              </w:rPr>
              <w:t>-</w:t>
            </w:r>
          </w:p>
        </w:tc>
        <w:tc>
          <w:tcPr>
            <w:tcW w:w="708" w:type="dxa"/>
            <w:shd w:val="clear" w:color="auto" w:fill="FFFFFF"/>
          </w:tcPr>
          <w:p w:rsidR="000C4806" w:rsidRPr="001974CC" w:rsidRDefault="000C4806" w:rsidP="00494866">
            <w:pPr>
              <w:rPr>
                <w:sz w:val="18"/>
                <w:szCs w:val="18"/>
              </w:rPr>
            </w:pPr>
            <w:r w:rsidRPr="001974CC">
              <w:rPr>
                <w:sz w:val="18"/>
                <w:szCs w:val="18"/>
              </w:rPr>
              <w:t>-</w:t>
            </w:r>
          </w:p>
        </w:tc>
        <w:tc>
          <w:tcPr>
            <w:tcW w:w="709" w:type="dxa"/>
            <w:gridSpan w:val="2"/>
            <w:shd w:val="clear" w:color="auto" w:fill="FFFFFF"/>
          </w:tcPr>
          <w:p w:rsidR="000C4806" w:rsidRPr="001974CC" w:rsidRDefault="000C4806" w:rsidP="00494866">
            <w:pPr>
              <w:rPr>
                <w:sz w:val="18"/>
                <w:szCs w:val="18"/>
              </w:rPr>
            </w:pPr>
            <w:r w:rsidRPr="001974CC">
              <w:rPr>
                <w:sz w:val="18"/>
                <w:szCs w:val="18"/>
              </w:rPr>
              <w:t>-</w:t>
            </w:r>
          </w:p>
        </w:tc>
        <w:tc>
          <w:tcPr>
            <w:tcW w:w="713" w:type="dxa"/>
            <w:gridSpan w:val="3"/>
            <w:shd w:val="clear" w:color="auto" w:fill="FFFFFF"/>
          </w:tcPr>
          <w:p w:rsidR="000C4806" w:rsidRPr="001974CC" w:rsidRDefault="000C4806" w:rsidP="00494866">
            <w:pPr>
              <w:rPr>
                <w:sz w:val="18"/>
                <w:szCs w:val="18"/>
              </w:rPr>
            </w:pPr>
            <w:r w:rsidRPr="001974CC">
              <w:rPr>
                <w:sz w:val="18"/>
                <w:szCs w:val="18"/>
              </w:rPr>
              <w:t>-</w:t>
            </w:r>
          </w:p>
        </w:tc>
        <w:tc>
          <w:tcPr>
            <w:tcW w:w="709" w:type="dxa"/>
            <w:shd w:val="clear" w:color="auto" w:fill="FFFFFF"/>
          </w:tcPr>
          <w:p w:rsidR="000C4806" w:rsidRPr="001974CC" w:rsidRDefault="000C4806" w:rsidP="00494866">
            <w:pPr>
              <w:rPr>
                <w:sz w:val="18"/>
                <w:szCs w:val="18"/>
              </w:rPr>
            </w:pPr>
            <w:r w:rsidRPr="001974CC">
              <w:rPr>
                <w:sz w:val="18"/>
                <w:szCs w:val="18"/>
              </w:rPr>
              <w:t>-</w:t>
            </w:r>
          </w:p>
        </w:tc>
        <w:tc>
          <w:tcPr>
            <w:tcW w:w="737" w:type="dxa"/>
            <w:gridSpan w:val="3"/>
            <w:shd w:val="clear" w:color="auto" w:fill="FFFFFF"/>
          </w:tcPr>
          <w:p w:rsidR="000C4806" w:rsidRPr="001974CC" w:rsidRDefault="000C4806" w:rsidP="00494866">
            <w:pPr>
              <w:rPr>
                <w:sz w:val="18"/>
                <w:szCs w:val="18"/>
              </w:rPr>
            </w:pPr>
            <w:r w:rsidRPr="001974CC">
              <w:rPr>
                <w:sz w:val="18"/>
                <w:szCs w:val="18"/>
              </w:rPr>
              <w:t>-</w:t>
            </w:r>
          </w:p>
        </w:tc>
        <w:tc>
          <w:tcPr>
            <w:tcW w:w="680" w:type="dxa"/>
            <w:gridSpan w:val="3"/>
            <w:shd w:val="clear" w:color="auto" w:fill="FFFFFF"/>
          </w:tcPr>
          <w:p w:rsidR="000C4806" w:rsidRPr="001974CC" w:rsidRDefault="000C4806" w:rsidP="00494866">
            <w:pPr>
              <w:rPr>
                <w:sz w:val="18"/>
                <w:szCs w:val="18"/>
              </w:rPr>
            </w:pPr>
            <w:r w:rsidRPr="001974CC">
              <w:rPr>
                <w:sz w:val="18"/>
                <w:szCs w:val="18"/>
              </w:rPr>
              <w:t>-</w:t>
            </w:r>
          </w:p>
        </w:tc>
        <w:tc>
          <w:tcPr>
            <w:tcW w:w="709" w:type="dxa"/>
            <w:gridSpan w:val="2"/>
            <w:shd w:val="clear" w:color="auto" w:fill="FFFFFF"/>
          </w:tcPr>
          <w:p w:rsidR="000C4806" w:rsidRPr="001974CC" w:rsidRDefault="000C4806" w:rsidP="00494866">
            <w:pPr>
              <w:rPr>
                <w:sz w:val="18"/>
                <w:szCs w:val="18"/>
              </w:rPr>
            </w:pPr>
            <w:r w:rsidRPr="001974CC">
              <w:rPr>
                <w:sz w:val="18"/>
                <w:szCs w:val="18"/>
              </w:rPr>
              <w:t>-</w:t>
            </w:r>
          </w:p>
        </w:tc>
        <w:tc>
          <w:tcPr>
            <w:tcW w:w="709" w:type="dxa"/>
            <w:gridSpan w:val="2"/>
            <w:shd w:val="clear" w:color="auto" w:fill="FFFFFF"/>
          </w:tcPr>
          <w:p w:rsidR="000C4806" w:rsidRPr="001974CC" w:rsidRDefault="000C4806" w:rsidP="00494866">
            <w:pPr>
              <w:rPr>
                <w:sz w:val="18"/>
                <w:szCs w:val="18"/>
              </w:rPr>
            </w:pPr>
            <w:r w:rsidRPr="001974CC">
              <w:rPr>
                <w:sz w:val="18"/>
                <w:szCs w:val="18"/>
              </w:rPr>
              <w:t>-</w:t>
            </w:r>
          </w:p>
        </w:tc>
        <w:tc>
          <w:tcPr>
            <w:tcW w:w="708" w:type="dxa"/>
            <w:shd w:val="clear" w:color="auto" w:fill="FFFFFF"/>
          </w:tcPr>
          <w:p w:rsidR="000C4806" w:rsidRPr="001974CC" w:rsidRDefault="000C4806" w:rsidP="00494866">
            <w:pPr>
              <w:rPr>
                <w:sz w:val="18"/>
                <w:szCs w:val="18"/>
              </w:rPr>
            </w:pPr>
          </w:p>
        </w:tc>
        <w:tc>
          <w:tcPr>
            <w:tcW w:w="989" w:type="dxa"/>
            <w:shd w:val="clear" w:color="auto" w:fill="FFFFFF"/>
          </w:tcPr>
          <w:p w:rsidR="000C4806" w:rsidRPr="001974CC" w:rsidRDefault="000C4806" w:rsidP="00494866">
            <w:pPr>
              <w:rPr>
                <w:sz w:val="18"/>
                <w:szCs w:val="18"/>
              </w:rPr>
            </w:pPr>
            <w:r w:rsidRPr="001974CC">
              <w:rPr>
                <w:sz w:val="18"/>
                <w:szCs w:val="18"/>
              </w:rPr>
              <w:t>-</w:t>
            </w:r>
          </w:p>
        </w:tc>
      </w:tr>
      <w:tr w:rsidR="007F27C4" w:rsidRPr="001974CC" w:rsidTr="001974CC">
        <w:trPr>
          <w:trHeight w:val="1867"/>
        </w:trPr>
        <w:tc>
          <w:tcPr>
            <w:tcW w:w="1413" w:type="dxa"/>
            <w:shd w:val="clear" w:color="auto" w:fill="FFFFFF"/>
            <w:vAlign w:val="center"/>
          </w:tcPr>
          <w:p w:rsidR="007F27C4" w:rsidRPr="001974CC" w:rsidRDefault="007F27C4" w:rsidP="00F17841">
            <w:pPr>
              <w:spacing w:line="240" w:lineRule="auto"/>
              <w:rPr>
                <w:rFonts w:ascii="Times New Roman" w:hAnsi="Times New Roman"/>
              </w:rPr>
            </w:pPr>
            <w:r w:rsidRPr="001974CC">
              <w:rPr>
                <w:rFonts w:ascii="Times New Roman" w:hAnsi="Times New Roman"/>
              </w:rPr>
              <w:lastRenderedPageBreak/>
              <w:t xml:space="preserve">Źródła finansowania </w:t>
            </w:r>
          </w:p>
        </w:tc>
        <w:tc>
          <w:tcPr>
            <w:tcW w:w="9524" w:type="dxa"/>
            <w:gridSpan w:val="27"/>
            <w:shd w:val="clear" w:color="auto" w:fill="FFFFFF"/>
            <w:vAlign w:val="center"/>
          </w:tcPr>
          <w:p w:rsidR="007F27C4" w:rsidRPr="001974CC" w:rsidRDefault="007F27C4" w:rsidP="00C5065C">
            <w:pPr>
              <w:spacing w:line="240" w:lineRule="auto"/>
              <w:jc w:val="both"/>
              <w:rPr>
                <w:rFonts w:ascii="Times New Roman" w:hAnsi="Times New Roman"/>
              </w:rPr>
            </w:pPr>
            <w:r w:rsidRPr="001974CC">
              <w:rPr>
                <w:rFonts w:ascii="Times New Roman" w:hAnsi="Times New Roman"/>
              </w:rPr>
              <w:t>Środki na sfinansowanie wydatków</w:t>
            </w:r>
            <w:r w:rsidR="00E0651D">
              <w:rPr>
                <w:rFonts w:ascii="Times New Roman" w:hAnsi="Times New Roman"/>
              </w:rPr>
              <w:t>,</w:t>
            </w:r>
            <w:r w:rsidRPr="001974CC">
              <w:rPr>
                <w:rFonts w:ascii="Times New Roman" w:hAnsi="Times New Roman"/>
              </w:rPr>
              <w:t xml:space="preserve"> tj. kosztów modyfikacji i opracowanie nowych formularzy ogłoszeń, formularza sprawozdań rocznych, wynagrodzeń członków KIO, pracowników Departamentu Odwołań, wynajmu i wyposażenia dodatkowych pomieszczeń </w:t>
            </w:r>
            <w:r w:rsidR="00E0651D">
              <w:rPr>
                <w:rFonts w:ascii="Times New Roman" w:hAnsi="Times New Roman"/>
              </w:rPr>
              <w:t>w łącznej kwocie 28,436</w:t>
            </w:r>
            <w:r w:rsidRPr="001974CC">
              <w:rPr>
                <w:rFonts w:ascii="Times New Roman" w:hAnsi="Times New Roman"/>
              </w:rPr>
              <w:t xml:space="preserve"> mln zł, zostaną sfinansowane z budżetu państwa przez zwiększe</w:t>
            </w:r>
            <w:r w:rsidR="001C797A">
              <w:rPr>
                <w:rFonts w:ascii="Times New Roman" w:hAnsi="Times New Roman"/>
              </w:rPr>
              <w:t>nie limitu wydatków z</w:t>
            </w:r>
            <w:r w:rsidRPr="001974CC">
              <w:rPr>
                <w:rFonts w:ascii="Times New Roman" w:hAnsi="Times New Roman"/>
              </w:rPr>
              <w:t xml:space="preserve"> części 49 – Urząd Zamówień Publicznych.</w:t>
            </w:r>
            <w:r w:rsidR="001974CC">
              <w:rPr>
                <w:rFonts w:ascii="Times New Roman" w:hAnsi="Times New Roman"/>
              </w:rPr>
              <w:t xml:space="preserve"> </w:t>
            </w:r>
          </w:p>
        </w:tc>
      </w:tr>
      <w:tr w:rsidR="007F27C4" w:rsidRPr="001974CC" w:rsidTr="001974CC">
        <w:trPr>
          <w:trHeight w:val="1285"/>
        </w:trPr>
        <w:tc>
          <w:tcPr>
            <w:tcW w:w="1413" w:type="dxa"/>
            <w:shd w:val="clear" w:color="auto" w:fill="FFFFFF"/>
          </w:tcPr>
          <w:p w:rsidR="007F27C4" w:rsidRPr="001974CC" w:rsidRDefault="007F27C4" w:rsidP="00F17841">
            <w:pPr>
              <w:spacing w:before="120" w:line="240" w:lineRule="auto"/>
              <w:rPr>
                <w:rFonts w:ascii="Times New Roman" w:hAnsi="Times New Roman"/>
              </w:rPr>
            </w:pPr>
            <w:r w:rsidRPr="001974CC">
              <w:rPr>
                <w:rFonts w:ascii="Times New Roman" w:hAnsi="Times New Roman"/>
              </w:rPr>
              <w:t>Dodatkowe informacje, w tym wskazanie źródeł danych i przyjętych do obliczeń założeń</w:t>
            </w:r>
          </w:p>
        </w:tc>
        <w:tc>
          <w:tcPr>
            <w:tcW w:w="9524" w:type="dxa"/>
            <w:gridSpan w:val="27"/>
            <w:shd w:val="clear" w:color="auto" w:fill="FFFFFF"/>
          </w:tcPr>
          <w:p w:rsidR="00C369C6" w:rsidRPr="001974CC" w:rsidRDefault="00C369C6" w:rsidP="00F17841">
            <w:pPr>
              <w:spacing w:line="240" w:lineRule="auto"/>
              <w:jc w:val="both"/>
              <w:rPr>
                <w:rFonts w:ascii="Times New Roman" w:hAnsi="Times New Roman"/>
                <w:i/>
              </w:rPr>
            </w:pPr>
            <w:r w:rsidRPr="001974CC">
              <w:rPr>
                <w:rFonts w:ascii="Times New Roman" w:hAnsi="Times New Roman"/>
                <w:i/>
              </w:rPr>
              <w:t>Poniższe dane i informacje zostały przekazane przez Urząd Zamówień Publicznych.</w:t>
            </w:r>
          </w:p>
          <w:p w:rsidR="00C369C6" w:rsidRPr="001974CC" w:rsidRDefault="00C369C6" w:rsidP="00F17841">
            <w:pPr>
              <w:spacing w:line="240" w:lineRule="auto"/>
              <w:jc w:val="both"/>
              <w:rPr>
                <w:rFonts w:ascii="Times New Roman" w:hAnsi="Times New Roman"/>
                <w:b/>
              </w:rPr>
            </w:pPr>
          </w:p>
          <w:p w:rsidR="007F27C4" w:rsidRPr="001974CC" w:rsidRDefault="007F27C4" w:rsidP="00F17841">
            <w:pPr>
              <w:spacing w:line="240" w:lineRule="auto"/>
              <w:jc w:val="both"/>
              <w:rPr>
                <w:rFonts w:ascii="Times New Roman" w:hAnsi="Times New Roman"/>
                <w:b/>
              </w:rPr>
            </w:pPr>
            <w:r w:rsidRPr="001974CC">
              <w:rPr>
                <w:rFonts w:ascii="Times New Roman" w:hAnsi="Times New Roman"/>
                <w:b/>
              </w:rPr>
              <w:t>1. Konieczność przygotowania nowego formularza sprawozdań rocznych za lata 2016</w:t>
            </w:r>
            <w:r w:rsidR="001974CC">
              <w:rPr>
                <w:rFonts w:ascii="Times New Roman" w:hAnsi="Times New Roman"/>
                <w:b/>
              </w:rPr>
              <w:t>–</w:t>
            </w:r>
            <w:r w:rsidRPr="001974CC">
              <w:rPr>
                <w:rFonts w:ascii="Times New Roman" w:hAnsi="Times New Roman"/>
                <w:b/>
              </w:rPr>
              <w:t>2018</w:t>
            </w:r>
          </w:p>
          <w:p w:rsidR="007F27C4" w:rsidRPr="001974CC" w:rsidRDefault="007F27C4" w:rsidP="00F17841">
            <w:pPr>
              <w:spacing w:line="240" w:lineRule="auto"/>
              <w:jc w:val="both"/>
              <w:rPr>
                <w:rFonts w:ascii="Times New Roman" w:hAnsi="Times New Roman"/>
              </w:rPr>
            </w:pPr>
            <w:r w:rsidRPr="001974CC">
              <w:rPr>
                <w:rFonts w:ascii="Times New Roman" w:hAnsi="Times New Roman"/>
              </w:rPr>
              <w:t>Szacowany koszt wynosi około 150 000 zł.</w:t>
            </w:r>
          </w:p>
          <w:p w:rsidR="007F27C4" w:rsidRPr="001974CC" w:rsidRDefault="007F27C4" w:rsidP="00F17841">
            <w:pPr>
              <w:spacing w:line="240" w:lineRule="auto"/>
              <w:jc w:val="both"/>
              <w:rPr>
                <w:rFonts w:ascii="Times New Roman" w:hAnsi="Times New Roman"/>
              </w:rPr>
            </w:pPr>
            <w:r w:rsidRPr="001974CC">
              <w:rPr>
                <w:rFonts w:ascii="Times New Roman" w:hAnsi="Times New Roman"/>
              </w:rPr>
              <w:t xml:space="preserve">Planowane zmiany będą dot. części II (Zamówienia udzielone z wyłączeniem procedur określonych przepisami ustawy, część IV i część V w zakresie trybów, część VI w </w:t>
            </w:r>
            <w:r w:rsidR="001C797A">
              <w:rPr>
                <w:rFonts w:ascii="Times New Roman" w:hAnsi="Times New Roman"/>
              </w:rPr>
              <w:t>zakresie zamówień dodatkowych i </w:t>
            </w:r>
            <w:r w:rsidRPr="001974CC">
              <w:rPr>
                <w:rFonts w:ascii="Times New Roman" w:hAnsi="Times New Roman"/>
              </w:rPr>
              <w:t>zmian umowy) obecnie stosowanego formularza stanowiącego załącznik do rozporządzenia Prezesa Rady Ministrów z dnia 12 grudnia 2013 r. w sprawie zakresu informacji zawartych w rocznym sprawozdaniu o udzielonych zamówieniach, jego wzoru oraz sposobu przekazywania (Dz.</w:t>
            </w:r>
            <w:r w:rsidR="001974CC">
              <w:rPr>
                <w:rFonts w:ascii="Times New Roman" w:hAnsi="Times New Roman"/>
              </w:rPr>
              <w:t xml:space="preserve"> </w:t>
            </w:r>
            <w:r w:rsidRPr="001974CC">
              <w:rPr>
                <w:rFonts w:ascii="Times New Roman" w:hAnsi="Times New Roman"/>
              </w:rPr>
              <w:t>U. poz. 1530).</w:t>
            </w:r>
          </w:p>
          <w:p w:rsidR="007F27C4" w:rsidRPr="001974CC" w:rsidRDefault="007F27C4" w:rsidP="00F17841">
            <w:pPr>
              <w:spacing w:line="240" w:lineRule="auto"/>
              <w:jc w:val="both"/>
              <w:rPr>
                <w:rFonts w:ascii="Times New Roman" w:hAnsi="Times New Roman"/>
              </w:rPr>
            </w:pPr>
            <w:r w:rsidRPr="001974CC">
              <w:rPr>
                <w:rFonts w:ascii="Times New Roman" w:hAnsi="Times New Roman"/>
              </w:rPr>
              <w:t xml:space="preserve">Koszt został oszacowany przez UZP na podstawie dotychczas ponoszonych kosztów przy tego typu działaniach. </w:t>
            </w:r>
          </w:p>
          <w:p w:rsidR="007F27C4" w:rsidRPr="001974CC" w:rsidRDefault="007F27C4" w:rsidP="00F17841">
            <w:pPr>
              <w:spacing w:line="240" w:lineRule="auto"/>
              <w:jc w:val="both"/>
              <w:rPr>
                <w:rFonts w:ascii="Times New Roman" w:hAnsi="Times New Roman"/>
              </w:rPr>
            </w:pPr>
          </w:p>
          <w:p w:rsidR="007F27C4" w:rsidRPr="001974CC" w:rsidRDefault="007F27C4" w:rsidP="00F17841">
            <w:pPr>
              <w:rPr>
                <w:rFonts w:ascii="Times New Roman" w:hAnsi="Times New Roman"/>
                <w:b/>
                <w:bCs/>
                <w:lang w:eastAsia="pl-PL"/>
              </w:rPr>
            </w:pPr>
            <w:r w:rsidRPr="001974CC">
              <w:rPr>
                <w:rFonts w:ascii="Times New Roman" w:hAnsi="Times New Roman"/>
                <w:b/>
              </w:rPr>
              <w:t>2.</w:t>
            </w:r>
            <w:r w:rsidRPr="001974CC">
              <w:rPr>
                <w:rFonts w:ascii="Times New Roman" w:hAnsi="Times New Roman"/>
              </w:rPr>
              <w:t xml:space="preserve"> </w:t>
            </w:r>
            <w:r w:rsidRPr="001974CC">
              <w:rPr>
                <w:rFonts w:ascii="Times New Roman" w:hAnsi="Times New Roman"/>
                <w:b/>
                <w:bCs/>
                <w:lang w:eastAsia="pl-PL"/>
              </w:rPr>
              <w:t>Konieczność modyfikacji formularzy do publikacji w BZP</w:t>
            </w:r>
          </w:p>
          <w:p w:rsidR="007F27C4" w:rsidRPr="001974CC" w:rsidRDefault="00494866" w:rsidP="009862E2">
            <w:pPr>
              <w:spacing w:line="240" w:lineRule="auto"/>
              <w:jc w:val="both"/>
              <w:rPr>
                <w:rFonts w:ascii="Times New Roman" w:hAnsi="Times New Roman"/>
              </w:rPr>
            </w:pPr>
            <w:r w:rsidRPr="001974CC">
              <w:rPr>
                <w:rFonts w:ascii="Times New Roman" w:hAnsi="Times New Roman"/>
              </w:rPr>
              <w:t>Szacowany koszt wynosi około 3</w:t>
            </w:r>
            <w:r w:rsidR="007F27C4" w:rsidRPr="001974CC">
              <w:rPr>
                <w:rFonts w:ascii="Times New Roman" w:hAnsi="Times New Roman"/>
                <w:bCs/>
              </w:rPr>
              <w:t>00 000 zł</w:t>
            </w:r>
            <w:r w:rsidR="007F27C4" w:rsidRPr="001974CC">
              <w:rPr>
                <w:rFonts w:ascii="Times New Roman" w:hAnsi="Times New Roman"/>
              </w:rPr>
              <w:t>.</w:t>
            </w:r>
          </w:p>
          <w:p w:rsidR="007F27C4" w:rsidRPr="001974CC" w:rsidRDefault="007F27C4" w:rsidP="00F17841">
            <w:pPr>
              <w:rPr>
                <w:rFonts w:ascii="Times New Roman" w:hAnsi="Times New Roman"/>
                <w:bCs/>
                <w:lang w:eastAsia="pl-PL"/>
              </w:rPr>
            </w:pPr>
            <w:r w:rsidRPr="001974CC">
              <w:rPr>
                <w:rFonts w:ascii="Times New Roman" w:hAnsi="Times New Roman"/>
              </w:rPr>
              <w:t>W związku z planowanymi zmianami zachodzi konieczność modyfikacji formularzy do publikacji ogłoszeń w Biuletynie Zamówień Publicznych jak również przewidzenie co najmniej kilku nowych formularzy</w:t>
            </w:r>
            <w:r w:rsidRPr="001974CC">
              <w:rPr>
                <w:rFonts w:ascii="Times New Roman" w:hAnsi="Times New Roman"/>
                <w:bCs/>
                <w:lang w:eastAsia="pl-PL"/>
              </w:rPr>
              <w:t>.</w:t>
            </w:r>
          </w:p>
          <w:p w:rsidR="007F27C4" w:rsidRPr="001974CC" w:rsidRDefault="007F27C4" w:rsidP="00F17841">
            <w:pPr>
              <w:spacing w:line="240" w:lineRule="auto"/>
              <w:jc w:val="both"/>
              <w:rPr>
                <w:rFonts w:ascii="Times New Roman" w:hAnsi="Times New Roman"/>
              </w:rPr>
            </w:pPr>
            <w:r w:rsidRPr="001974CC">
              <w:rPr>
                <w:rFonts w:ascii="Times New Roman" w:hAnsi="Times New Roman"/>
              </w:rPr>
              <w:t>Koszt został oszacowany na podstawie dotychczas ponoszonych kosztów przy tego typu modyfikacjach oraz informacji uzyskanych od wykonawców świadczących tego typu usługi dla UZP.</w:t>
            </w:r>
          </w:p>
          <w:p w:rsidR="007F27C4" w:rsidRPr="001974CC" w:rsidRDefault="007F27C4" w:rsidP="00F17841">
            <w:pPr>
              <w:spacing w:line="240" w:lineRule="auto"/>
              <w:jc w:val="both"/>
              <w:rPr>
                <w:rFonts w:ascii="Times New Roman" w:hAnsi="Times New Roman"/>
              </w:rPr>
            </w:pPr>
          </w:p>
          <w:p w:rsidR="007F27C4" w:rsidRPr="001974CC" w:rsidRDefault="007F27C4" w:rsidP="00F17841">
            <w:pPr>
              <w:spacing w:line="240" w:lineRule="auto"/>
              <w:jc w:val="both"/>
              <w:rPr>
                <w:rFonts w:ascii="Times New Roman" w:hAnsi="Times New Roman"/>
                <w:b/>
              </w:rPr>
            </w:pPr>
            <w:r w:rsidRPr="001974CC">
              <w:rPr>
                <w:rFonts w:ascii="Times New Roman" w:hAnsi="Times New Roman"/>
                <w:b/>
              </w:rPr>
              <w:t>3. Zmiana w zakresie przedkładania dokumentów podmiotowych w postępowaniach o udzielenie zamówienia publicznego:</w:t>
            </w:r>
          </w:p>
          <w:p w:rsidR="007F27C4" w:rsidRPr="001974CC" w:rsidRDefault="007F27C4" w:rsidP="00F17841">
            <w:pPr>
              <w:spacing w:line="240" w:lineRule="auto"/>
              <w:jc w:val="both"/>
              <w:rPr>
                <w:rFonts w:ascii="Times New Roman" w:hAnsi="Times New Roman"/>
              </w:rPr>
            </w:pPr>
            <w:r w:rsidRPr="001974CC">
              <w:rPr>
                <w:rFonts w:ascii="Times New Roman" w:hAnsi="Times New Roman"/>
              </w:rPr>
              <w:t>Przewidywane w projekcie ograniczenie żądania dokumentów podmiotowych od wykonawców (oparcie postępowań na oświadczeniach wykonawców, żądanie dokumentów wyłącznie od wykonawcy, którego oferta została wybrana jako najkorzystniejsza, a tylko w niektórych przypadkach od pozostałych wykonawców) może spowodować zmniejszenie przychodów sektora fi</w:t>
            </w:r>
            <w:r w:rsidR="001C797A">
              <w:rPr>
                <w:rFonts w:ascii="Times New Roman" w:hAnsi="Times New Roman"/>
              </w:rPr>
              <w:t>nansów publicznych związanych z </w:t>
            </w:r>
            <w:r w:rsidRPr="001974CC">
              <w:rPr>
                <w:rFonts w:ascii="Times New Roman" w:hAnsi="Times New Roman"/>
              </w:rPr>
              <w:t>ograniczeniem wpływów z tytułu wystawiania wykonawcom zaświadczeń (opłaty za wystawienie zaświadczeń: zaświadczenie z urzędu skarbowego o niezaleganiu z podatkami – 21 zł, opłata za zaświadczenie o niezaleganiu z ZUS / KRUS – 0 zł, aktualny od</w:t>
            </w:r>
            <w:r w:rsidR="001C797A">
              <w:rPr>
                <w:rFonts w:ascii="Times New Roman" w:hAnsi="Times New Roman"/>
              </w:rPr>
              <w:t>pis z KRS – 30 zł, informacja o </w:t>
            </w:r>
            <w:r w:rsidRPr="001974CC">
              <w:rPr>
                <w:rFonts w:ascii="Times New Roman" w:hAnsi="Times New Roman"/>
              </w:rPr>
              <w:t>podmiocie zbiorowym z Krajowego Rejestru Karnego – 30 zł, informacja o osobie z Krajowego Rejestru Karnego – 30 zł). Ograniczenie obowiązków dokumentacyjnych będzie mogło powodować ograniczenie wpływów do budżetu państwa w wysokości dla osób fizycznych 81 zł oraz podmiotów zbiorowych – 171</w:t>
            </w:r>
            <w:r w:rsidR="001974CC">
              <w:rPr>
                <w:rFonts w:ascii="Times New Roman" w:hAnsi="Times New Roman"/>
              </w:rPr>
              <w:t> </w:t>
            </w:r>
            <w:r w:rsidRPr="001974CC">
              <w:rPr>
                <w:rFonts w:ascii="Times New Roman" w:hAnsi="Times New Roman"/>
              </w:rPr>
              <w:t>zł (przyjmując że jest średnio 3 wspólników lub czł</w:t>
            </w:r>
            <w:r w:rsidR="001C797A">
              <w:rPr>
                <w:rFonts w:ascii="Times New Roman" w:hAnsi="Times New Roman"/>
              </w:rPr>
              <w:t>onków zarządu). Zważywszy, że w </w:t>
            </w:r>
            <w:r w:rsidRPr="001974CC">
              <w:rPr>
                <w:rFonts w:ascii="Times New Roman" w:hAnsi="Times New Roman"/>
              </w:rPr>
              <w:t>postępowaniu powyżej progów unijnych składanych jest średnio mniej niż 3 oferty, a dokumenty będzie składać tylko wybrany wykonawca, można w dużym uproszczeniu przyj</w:t>
            </w:r>
            <w:r w:rsidR="001C797A">
              <w:rPr>
                <w:rFonts w:ascii="Times New Roman" w:hAnsi="Times New Roman"/>
              </w:rPr>
              <w:t>ąć, że zmniejszy to przychody o </w:t>
            </w:r>
            <w:r w:rsidRPr="001974CC">
              <w:rPr>
                <w:rFonts w:ascii="Times New Roman" w:hAnsi="Times New Roman"/>
              </w:rPr>
              <w:t>2/3. Powyższe uszczuplenie przychodów sektora finansów publicznych zostanie zrównoważone oszczędnościami wynikającymi z elektronizacji. Jak już wskazano, większość stanowią zamówienia jednostek sektora finansów publicznych, tym samym większa część tych środków będzie pochodziła od jednostek sektora finansów publicznych.</w:t>
            </w:r>
          </w:p>
          <w:p w:rsidR="007F27C4" w:rsidRPr="001974CC" w:rsidRDefault="007F27C4" w:rsidP="00F17841">
            <w:pPr>
              <w:spacing w:line="240" w:lineRule="auto"/>
              <w:jc w:val="both"/>
              <w:rPr>
                <w:rFonts w:ascii="Times New Roman" w:hAnsi="Times New Roman"/>
              </w:rPr>
            </w:pPr>
          </w:p>
          <w:p w:rsidR="007F27C4" w:rsidRPr="001974CC" w:rsidRDefault="007F27C4" w:rsidP="00F17841">
            <w:pPr>
              <w:spacing w:line="240" w:lineRule="auto"/>
              <w:jc w:val="both"/>
              <w:rPr>
                <w:rFonts w:ascii="Times New Roman" w:hAnsi="Times New Roman"/>
              </w:rPr>
            </w:pPr>
            <w:r w:rsidRPr="001974CC">
              <w:rPr>
                <w:rFonts w:ascii="Times New Roman" w:hAnsi="Times New Roman"/>
              </w:rPr>
              <w:t>Ponadto projektowana regulacja będzie powodowała:</w:t>
            </w:r>
          </w:p>
          <w:p w:rsidR="007F27C4" w:rsidRPr="001974CC" w:rsidRDefault="007F27C4" w:rsidP="00C369C6">
            <w:pPr>
              <w:pStyle w:val="Akapitzlist"/>
              <w:numPr>
                <w:ilvl w:val="0"/>
                <w:numId w:val="36"/>
              </w:numPr>
              <w:spacing w:line="240" w:lineRule="auto"/>
              <w:ind w:left="459"/>
              <w:jc w:val="both"/>
              <w:rPr>
                <w:rFonts w:ascii="Times New Roman" w:hAnsi="Times New Roman"/>
              </w:rPr>
            </w:pPr>
            <w:r w:rsidRPr="001974CC">
              <w:rPr>
                <w:rFonts w:ascii="Times New Roman" w:hAnsi="Times New Roman"/>
              </w:rPr>
              <w:t>zmniejszenie kosztów i obciążeń administracyjnych ponoszonych przez zamawiających związan</w:t>
            </w:r>
            <w:r w:rsidR="00C369C6" w:rsidRPr="001974CC">
              <w:rPr>
                <w:rFonts w:ascii="Times New Roman" w:hAnsi="Times New Roman"/>
              </w:rPr>
              <w:t>e</w:t>
            </w:r>
            <w:r w:rsidRPr="001974CC">
              <w:rPr>
                <w:rFonts w:ascii="Times New Roman" w:hAnsi="Times New Roman"/>
              </w:rPr>
              <w:t xml:space="preserve"> z:</w:t>
            </w:r>
          </w:p>
          <w:p w:rsidR="007F27C4" w:rsidRPr="001974CC" w:rsidRDefault="007F27C4" w:rsidP="00C369C6">
            <w:pPr>
              <w:pStyle w:val="Akapitzlist"/>
              <w:numPr>
                <w:ilvl w:val="2"/>
                <w:numId w:val="27"/>
              </w:numPr>
              <w:spacing w:line="240" w:lineRule="auto"/>
              <w:ind w:left="743"/>
              <w:jc w:val="both"/>
              <w:rPr>
                <w:rFonts w:ascii="Times New Roman" w:hAnsi="Times New Roman"/>
              </w:rPr>
            </w:pPr>
            <w:r w:rsidRPr="001974CC">
              <w:rPr>
                <w:rFonts w:ascii="Times New Roman" w:hAnsi="Times New Roman"/>
              </w:rPr>
              <w:t>obowiązkiem dokumentowania postępowania o udzielenie zamówienia publicznego oraz sprawozdawania się z udzielonych zamówień w związku z wprowadzeniem automatycznego tworzenia dokumentacji postępowania oraz automatyczną sprawozdawczością,</w:t>
            </w:r>
          </w:p>
          <w:p w:rsidR="007F27C4" w:rsidRPr="001974CC" w:rsidRDefault="007F27C4" w:rsidP="00C369C6">
            <w:pPr>
              <w:pStyle w:val="Akapitzlist"/>
              <w:numPr>
                <w:ilvl w:val="2"/>
                <w:numId w:val="27"/>
              </w:numPr>
              <w:spacing w:line="240" w:lineRule="auto"/>
              <w:ind w:left="743"/>
              <w:jc w:val="both"/>
              <w:rPr>
                <w:rFonts w:ascii="Times New Roman" w:hAnsi="Times New Roman"/>
              </w:rPr>
            </w:pPr>
            <w:r w:rsidRPr="001974CC">
              <w:rPr>
                <w:rFonts w:ascii="Times New Roman" w:hAnsi="Times New Roman"/>
              </w:rPr>
              <w:t>zmniejszeniem ryzyka niewyeliminowania oferty zawierającej rażąco niską cenę i kosztów związanych z udzieleniem tego rodzaju zamówienia,</w:t>
            </w:r>
          </w:p>
          <w:p w:rsidR="007F27C4" w:rsidRPr="001974CC" w:rsidRDefault="007F27C4" w:rsidP="00C369C6">
            <w:pPr>
              <w:pStyle w:val="Akapitzlist"/>
              <w:numPr>
                <w:ilvl w:val="2"/>
                <w:numId w:val="27"/>
              </w:numPr>
              <w:spacing w:line="240" w:lineRule="auto"/>
              <w:ind w:left="743"/>
              <w:jc w:val="both"/>
              <w:rPr>
                <w:rFonts w:ascii="Times New Roman" w:hAnsi="Times New Roman"/>
              </w:rPr>
            </w:pPr>
            <w:r w:rsidRPr="001974CC">
              <w:rPr>
                <w:rFonts w:ascii="Times New Roman" w:hAnsi="Times New Roman"/>
              </w:rPr>
              <w:t>zwiększeniem konkurencji powodującej spadek cen,</w:t>
            </w:r>
          </w:p>
          <w:p w:rsidR="007F27C4" w:rsidRPr="001974CC" w:rsidRDefault="007F27C4" w:rsidP="00C369C6">
            <w:pPr>
              <w:pStyle w:val="Akapitzlist"/>
              <w:numPr>
                <w:ilvl w:val="2"/>
                <w:numId w:val="27"/>
              </w:numPr>
              <w:spacing w:line="240" w:lineRule="auto"/>
              <w:ind w:left="743"/>
              <w:jc w:val="both"/>
              <w:rPr>
                <w:rFonts w:ascii="Times New Roman" w:hAnsi="Times New Roman"/>
              </w:rPr>
            </w:pPr>
            <w:r w:rsidRPr="001974CC">
              <w:rPr>
                <w:rFonts w:ascii="Times New Roman" w:hAnsi="Times New Roman"/>
              </w:rPr>
              <w:t>analizowaniem dokumentów dot. sytuacji podmiotowej wszystkich wykonawców, ich wyjaśnieniem i uzupełnianiem, jako wynik (1) oparcia postępowań na oświadczeniach, (2)</w:t>
            </w:r>
            <w:r w:rsidR="001974CC">
              <w:rPr>
                <w:rFonts w:ascii="Times New Roman" w:hAnsi="Times New Roman"/>
              </w:rPr>
              <w:t> </w:t>
            </w:r>
            <w:r w:rsidRPr="001974CC">
              <w:rPr>
                <w:rFonts w:ascii="Times New Roman" w:hAnsi="Times New Roman"/>
              </w:rPr>
              <w:t xml:space="preserve">żądaniu dokumentów wyłącznie od wykonawcy, którego oferta została wybrana </w:t>
            </w:r>
            <w:r w:rsidRPr="001974CC">
              <w:rPr>
                <w:rFonts w:ascii="Times New Roman" w:hAnsi="Times New Roman"/>
              </w:rPr>
              <w:lastRenderedPageBreak/>
              <w:t>najkorzystniejszą,</w:t>
            </w:r>
          </w:p>
          <w:p w:rsidR="007F27C4" w:rsidRPr="001974CC" w:rsidRDefault="007F27C4" w:rsidP="00C369C6">
            <w:pPr>
              <w:pStyle w:val="Akapitzlist"/>
              <w:numPr>
                <w:ilvl w:val="2"/>
                <w:numId w:val="27"/>
              </w:numPr>
              <w:spacing w:line="240" w:lineRule="auto"/>
              <w:ind w:left="743"/>
              <w:jc w:val="both"/>
              <w:rPr>
                <w:rFonts w:ascii="Times New Roman" w:hAnsi="Times New Roman"/>
              </w:rPr>
            </w:pPr>
            <w:r w:rsidRPr="001974CC">
              <w:rPr>
                <w:rFonts w:ascii="Times New Roman" w:hAnsi="Times New Roman"/>
              </w:rPr>
              <w:t>zmniejszeniem zużycia papieru (drukowania i archiwizacji), zestandaryzowaniem czynności, posługiwaniem się elektronicznymi formami korespondencji w związku z elektronizacją zamówień publicznych, powodującym minimalizację kosztów obsługi administracyjnej związanej z przetwarzaniem dokumentów papierowych;</w:t>
            </w:r>
          </w:p>
          <w:p w:rsidR="007F27C4" w:rsidRPr="001974CC" w:rsidRDefault="007F27C4" w:rsidP="00C369C6">
            <w:pPr>
              <w:pStyle w:val="Akapitzlist"/>
              <w:numPr>
                <w:ilvl w:val="0"/>
                <w:numId w:val="36"/>
              </w:numPr>
              <w:spacing w:line="240" w:lineRule="auto"/>
              <w:ind w:left="459"/>
              <w:jc w:val="both"/>
              <w:rPr>
                <w:rFonts w:ascii="Times New Roman" w:hAnsi="Times New Roman"/>
              </w:rPr>
            </w:pPr>
            <w:r w:rsidRPr="001974CC">
              <w:rPr>
                <w:rFonts w:ascii="Times New Roman" w:hAnsi="Times New Roman"/>
              </w:rPr>
              <w:t>zwiększenie wpływów z wpisów od odwołań związane ze zmniejszeniem ograniczeń w zakresie przedmiotu odwołania w przypadku zamówień poniżej progów unijnych.</w:t>
            </w:r>
          </w:p>
          <w:p w:rsidR="007F27C4" w:rsidRPr="001974CC" w:rsidRDefault="007F27C4" w:rsidP="00F17841">
            <w:pPr>
              <w:spacing w:line="240" w:lineRule="auto"/>
              <w:jc w:val="both"/>
              <w:rPr>
                <w:rFonts w:ascii="Times New Roman" w:hAnsi="Times New Roman"/>
              </w:rPr>
            </w:pPr>
          </w:p>
          <w:p w:rsidR="007F27C4" w:rsidRPr="001974CC" w:rsidRDefault="007F27C4" w:rsidP="00F17841">
            <w:pPr>
              <w:spacing w:line="240" w:lineRule="auto"/>
              <w:jc w:val="both"/>
              <w:rPr>
                <w:rFonts w:ascii="Times New Roman" w:hAnsi="Times New Roman"/>
                <w:b/>
              </w:rPr>
            </w:pPr>
            <w:r w:rsidRPr="001974CC">
              <w:rPr>
                <w:rFonts w:ascii="Times New Roman" w:hAnsi="Times New Roman"/>
                <w:b/>
              </w:rPr>
              <w:t>4. Rozszerzenie kognicji Krajowej Izby Odwoławczej w</w:t>
            </w:r>
            <w:r w:rsidR="001C797A">
              <w:rPr>
                <w:rFonts w:ascii="Times New Roman" w:hAnsi="Times New Roman"/>
                <w:b/>
              </w:rPr>
              <w:t xml:space="preserve"> postępowaniach dot. zamówień o </w:t>
            </w:r>
            <w:r w:rsidRPr="001974CC">
              <w:rPr>
                <w:rFonts w:ascii="Times New Roman" w:hAnsi="Times New Roman"/>
                <w:b/>
              </w:rPr>
              <w:t>wartościach poniżej progów unijnych</w:t>
            </w:r>
          </w:p>
          <w:p w:rsidR="007F27C4" w:rsidRPr="001974CC" w:rsidRDefault="007F27C4" w:rsidP="00F17841">
            <w:pPr>
              <w:jc w:val="both"/>
              <w:rPr>
                <w:rFonts w:ascii="Times New Roman" w:hAnsi="Times New Roman"/>
              </w:rPr>
            </w:pPr>
            <w:r w:rsidRPr="001974CC">
              <w:rPr>
                <w:rFonts w:ascii="Times New Roman" w:hAnsi="Times New Roman"/>
              </w:rPr>
              <w:t xml:space="preserve">W związku z rozszerzeniem kognicji Krajowej Izby Odwoławczej w postępowaniach o udzielenie zamówienia poniżej progów unijnych na czynności: (1) opisu przedmiotu zamówienia, (2) wyboru oferty najkorzystniejszej i (3) unieważnienia postępowania, prognozuje się wzrost liczby odwołań nie mniejszy niż </w:t>
            </w:r>
            <w:r w:rsidRPr="001974CC">
              <w:rPr>
                <w:rFonts w:ascii="Times New Roman" w:hAnsi="Times New Roman"/>
                <w:u w:val="single"/>
              </w:rPr>
              <w:t>1000</w:t>
            </w:r>
            <w:r w:rsidRPr="001974CC">
              <w:rPr>
                <w:rFonts w:ascii="Times New Roman" w:hAnsi="Times New Roman"/>
              </w:rPr>
              <w:t xml:space="preserve"> rocznie.</w:t>
            </w:r>
          </w:p>
          <w:p w:rsidR="007F27C4" w:rsidRPr="001974CC" w:rsidRDefault="007F27C4" w:rsidP="00F17841">
            <w:pPr>
              <w:jc w:val="both"/>
              <w:rPr>
                <w:rFonts w:ascii="Times New Roman" w:hAnsi="Times New Roman"/>
                <w:b/>
              </w:rPr>
            </w:pPr>
            <w:r w:rsidRPr="001974CC">
              <w:rPr>
                <w:rFonts w:ascii="Times New Roman" w:hAnsi="Times New Roman"/>
                <w:b/>
              </w:rPr>
              <w:t xml:space="preserve"> </w:t>
            </w:r>
          </w:p>
          <w:p w:rsidR="007F27C4" w:rsidRPr="001974CC" w:rsidRDefault="007F27C4" w:rsidP="00F17841">
            <w:pPr>
              <w:jc w:val="both"/>
              <w:rPr>
                <w:rFonts w:ascii="Times New Roman" w:hAnsi="Times New Roman"/>
              </w:rPr>
            </w:pPr>
            <w:r w:rsidRPr="001974CC">
              <w:rPr>
                <w:rFonts w:ascii="Times New Roman" w:hAnsi="Times New Roman"/>
              </w:rPr>
              <w:t>Na potrzeby powyższej prognozy porównane zostały następujące dane (za lata 2005</w:t>
            </w:r>
            <w:r w:rsidR="001974CC">
              <w:rPr>
                <w:rFonts w:ascii="Times New Roman" w:hAnsi="Times New Roman"/>
              </w:rPr>
              <w:t>–</w:t>
            </w:r>
            <w:r w:rsidRPr="001974CC">
              <w:rPr>
                <w:rFonts w:ascii="Times New Roman" w:hAnsi="Times New Roman"/>
              </w:rPr>
              <w:t>2014):</w:t>
            </w:r>
          </w:p>
          <w:p w:rsidR="007F27C4" w:rsidRPr="001974CC" w:rsidRDefault="007F27C4" w:rsidP="00C369C6">
            <w:pPr>
              <w:numPr>
                <w:ilvl w:val="0"/>
                <w:numId w:val="31"/>
              </w:numPr>
              <w:ind w:left="459"/>
              <w:jc w:val="both"/>
              <w:rPr>
                <w:rFonts w:ascii="Times New Roman" w:hAnsi="Times New Roman"/>
              </w:rPr>
            </w:pPr>
            <w:r w:rsidRPr="001974CC">
              <w:rPr>
                <w:rFonts w:ascii="Times New Roman" w:hAnsi="Times New Roman"/>
              </w:rPr>
              <w:t xml:space="preserve">Liczbę ogłaszanych w poszczególnych latach postępowań w BZP i TED, </w:t>
            </w:r>
          </w:p>
          <w:p w:rsidR="007F27C4" w:rsidRPr="001974CC" w:rsidRDefault="007F27C4" w:rsidP="00C369C6">
            <w:pPr>
              <w:numPr>
                <w:ilvl w:val="0"/>
                <w:numId w:val="31"/>
              </w:numPr>
              <w:ind w:left="459"/>
              <w:jc w:val="both"/>
              <w:rPr>
                <w:rFonts w:ascii="Times New Roman" w:hAnsi="Times New Roman"/>
              </w:rPr>
            </w:pPr>
            <w:r w:rsidRPr="001974CC">
              <w:rPr>
                <w:rFonts w:ascii="Times New Roman" w:hAnsi="Times New Roman"/>
              </w:rPr>
              <w:t>Odsetek odwołań w stosunku do ogłaszanych postępowań o udzielenie zamówienia (w BZP i TED),</w:t>
            </w:r>
          </w:p>
          <w:p w:rsidR="007F27C4" w:rsidRPr="001974CC" w:rsidRDefault="007F27C4" w:rsidP="00C369C6">
            <w:pPr>
              <w:numPr>
                <w:ilvl w:val="0"/>
                <w:numId w:val="31"/>
              </w:numPr>
              <w:ind w:left="459"/>
              <w:jc w:val="both"/>
              <w:rPr>
                <w:rFonts w:ascii="Times New Roman" w:hAnsi="Times New Roman"/>
              </w:rPr>
            </w:pPr>
            <w:r w:rsidRPr="001974CC">
              <w:rPr>
                <w:rFonts w:ascii="Times New Roman" w:hAnsi="Times New Roman"/>
              </w:rPr>
              <w:t>Liczbę odwołań w poszczególnych latach i odsetek tych odw</w:t>
            </w:r>
            <w:r w:rsidR="001C797A">
              <w:rPr>
                <w:rFonts w:ascii="Times New Roman" w:hAnsi="Times New Roman"/>
              </w:rPr>
              <w:t>ołań w postępowaniach powyżej i </w:t>
            </w:r>
            <w:r w:rsidRPr="001974CC">
              <w:rPr>
                <w:rFonts w:ascii="Times New Roman" w:hAnsi="Times New Roman"/>
              </w:rPr>
              <w:t>poniżej progów.</w:t>
            </w:r>
          </w:p>
          <w:p w:rsidR="000C4806" w:rsidRPr="001974CC" w:rsidRDefault="000C4806" w:rsidP="00F17841">
            <w:pPr>
              <w:jc w:val="both"/>
              <w:rPr>
                <w:rFonts w:ascii="Times New Roman" w:hAnsi="Times New Roman"/>
              </w:rPr>
            </w:pPr>
          </w:p>
          <w:p w:rsidR="007F27C4" w:rsidRPr="001974CC" w:rsidRDefault="007F27C4" w:rsidP="00F17841">
            <w:pPr>
              <w:jc w:val="both"/>
              <w:rPr>
                <w:rFonts w:ascii="Times New Roman" w:hAnsi="Times New Roman"/>
              </w:rPr>
            </w:pPr>
            <w:r w:rsidRPr="001974CC">
              <w:rPr>
                <w:rFonts w:ascii="Times New Roman" w:hAnsi="Times New Roman"/>
              </w:rPr>
              <w:t>Tabela z danymi poniżej.</w:t>
            </w:r>
          </w:p>
          <w:tbl>
            <w:tblPr>
              <w:tblW w:w="9243" w:type="dxa"/>
              <w:tblLayout w:type="fixed"/>
              <w:tblCellMar>
                <w:left w:w="70" w:type="dxa"/>
                <w:right w:w="70" w:type="dxa"/>
              </w:tblCellMar>
              <w:tblLook w:val="00A0" w:firstRow="1" w:lastRow="0" w:firstColumn="1" w:lastColumn="0" w:noHBand="0" w:noVBand="0"/>
            </w:tblPr>
            <w:tblGrid>
              <w:gridCol w:w="700"/>
              <w:gridCol w:w="1147"/>
              <w:gridCol w:w="1027"/>
              <w:gridCol w:w="720"/>
              <w:gridCol w:w="1148"/>
              <w:gridCol w:w="818"/>
              <w:gridCol w:w="954"/>
              <w:gridCol w:w="933"/>
              <w:gridCol w:w="886"/>
              <w:gridCol w:w="910"/>
            </w:tblGrid>
            <w:tr w:rsidR="007F27C4" w:rsidRPr="001974CC" w:rsidTr="001974CC">
              <w:trPr>
                <w:trHeight w:val="1680"/>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ROK</w:t>
                  </w:r>
                </w:p>
              </w:tc>
              <w:tc>
                <w:tcPr>
                  <w:tcW w:w="114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7F27C4" w:rsidP="00F17841">
                  <w:pPr>
                    <w:spacing w:line="240" w:lineRule="auto"/>
                    <w:jc w:val="center"/>
                    <w:rPr>
                      <w:rFonts w:ascii="Times New Roman" w:hAnsi="Times New Roman"/>
                      <w:b/>
                      <w:bCs/>
                      <w:sz w:val="18"/>
                      <w:szCs w:val="18"/>
                      <w:lang w:eastAsia="pl-PL"/>
                    </w:rPr>
                  </w:pPr>
                  <w:r w:rsidRPr="001974CC">
                    <w:rPr>
                      <w:rFonts w:ascii="Times New Roman" w:hAnsi="Times New Roman"/>
                      <w:b/>
                      <w:bCs/>
                      <w:sz w:val="18"/>
                      <w:szCs w:val="18"/>
                      <w:lang w:eastAsia="pl-PL"/>
                    </w:rPr>
                    <w:t>Ogłoszenia w BZP</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7F27C4" w:rsidP="00F17841">
                  <w:pPr>
                    <w:spacing w:line="240" w:lineRule="auto"/>
                    <w:jc w:val="center"/>
                    <w:rPr>
                      <w:rFonts w:ascii="Times New Roman" w:hAnsi="Times New Roman"/>
                      <w:b/>
                      <w:bCs/>
                      <w:sz w:val="18"/>
                      <w:szCs w:val="18"/>
                      <w:lang w:eastAsia="pl-PL"/>
                    </w:rPr>
                  </w:pPr>
                  <w:r w:rsidRPr="001974CC">
                    <w:rPr>
                      <w:rFonts w:ascii="Times New Roman" w:hAnsi="Times New Roman"/>
                      <w:b/>
                      <w:bCs/>
                      <w:sz w:val="18"/>
                      <w:szCs w:val="18"/>
                      <w:lang w:eastAsia="pl-PL"/>
                    </w:rPr>
                    <w:t>Odwołania poniżej progów</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sz w:val="18"/>
                      <w:szCs w:val="18"/>
                      <w:lang w:eastAsia="pl-PL"/>
                    </w:rPr>
                  </w:pPr>
                  <w:r w:rsidRPr="001974CC">
                    <w:rPr>
                      <w:rFonts w:ascii="Times New Roman" w:hAnsi="Times New Roman"/>
                      <w:b/>
                      <w:bCs/>
                      <w:sz w:val="18"/>
                      <w:szCs w:val="18"/>
                      <w:lang w:eastAsia="pl-PL"/>
                    </w:rPr>
                    <w:t>%</w:t>
                  </w:r>
                </w:p>
              </w:tc>
              <w:tc>
                <w:tcPr>
                  <w:tcW w:w="114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7F27C4" w:rsidP="00F17841">
                  <w:pPr>
                    <w:spacing w:line="240" w:lineRule="auto"/>
                    <w:rPr>
                      <w:rFonts w:ascii="Times New Roman" w:hAnsi="Times New Roman"/>
                      <w:b/>
                      <w:bCs/>
                      <w:sz w:val="18"/>
                      <w:szCs w:val="18"/>
                      <w:lang w:eastAsia="pl-PL"/>
                    </w:rPr>
                  </w:pPr>
                  <w:r w:rsidRPr="001974CC">
                    <w:rPr>
                      <w:rFonts w:ascii="Times New Roman" w:hAnsi="Times New Roman"/>
                      <w:b/>
                      <w:bCs/>
                      <w:sz w:val="18"/>
                      <w:szCs w:val="18"/>
                      <w:lang w:eastAsia="pl-PL"/>
                    </w:rPr>
                    <w:t>Ogłoszenia w Dz</w:t>
                  </w:r>
                  <w:r w:rsidR="001974CC">
                    <w:rPr>
                      <w:rFonts w:ascii="Times New Roman" w:hAnsi="Times New Roman"/>
                      <w:b/>
                      <w:bCs/>
                      <w:sz w:val="18"/>
                      <w:szCs w:val="18"/>
                      <w:lang w:eastAsia="pl-PL"/>
                    </w:rPr>
                    <w:t xml:space="preserve">. </w:t>
                  </w:r>
                  <w:r w:rsidRPr="001974CC">
                    <w:rPr>
                      <w:rFonts w:ascii="Times New Roman" w:hAnsi="Times New Roman"/>
                      <w:b/>
                      <w:bCs/>
                      <w:sz w:val="18"/>
                      <w:szCs w:val="18"/>
                      <w:lang w:eastAsia="pl-PL"/>
                    </w:rPr>
                    <w:t>U</w:t>
                  </w:r>
                  <w:r w:rsidR="001974CC">
                    <w:rPr>
                      <w:rFonts w:ascii="Times New Roman" w:hAnsi="Times New Roman"/>
                      <w:b/>
                      <w:bCs/>
                      <w:sz w:val="18"/>
                      <w:szCs w:val="18"/>
                      <w:lang w:eastAsia="pl-PL"/>
                    </w:rPr>
                    <w:t xml:space="preserve">rz. </w:t>
                  </w:r>
                  <w:r w:rsidRPr="001974CC">
                    <w:rPr>
                      <w:rFonts w:ascii="Times New Roman" w:hAnsi="Times New Roman"/>
                      <w:b/>
                      <w:bCs/>
                      <w:sz w:val="18"/>
                      <w:szCs w:val="18"/>
                      <w:lang w:eastAsia="pl-PL"/>
                    </w:rPr>
                    <w:t>UE</w:t>
                  </w:r>
                </w:p>
              </w:tc>
              <w:tc>
                <w:tcPr>
                  <w:tcW w:w="8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7F27C4" w:rsidP="00F17841">
                  <w:pPr>
                    <w:spacing w:line="240" w:lineRule="auto"/>
                    <w:rPr>
                      <w:rFonts w:ascii="Times New Roman" w:hAnsi="Times New Roman"/>
                      <w:b/>
                      <w:bCs/>
                      <w:sz w:val="18"/>
                      <w:szCs w:val="18"/>
                      <w:lang w:eastAsia="pl-PL"/>
                    </w:rPr>
                  </w:pPr>
                  <w:r w:rsidRPr="001974CC">
                    <w:rPr>
                      <w:rFonts w:ascii="Times New Roman" w:hAnsi="Times New Roman"/>
                      <w:b/>
                      <w:bCs/>
                      <w:sz w:val="18"/>
                      <w:szCs w:val="18"/>
                      <w:lang w:eastAsia="pl-PL"/>
                    </w:rPr>
                    <w:t>Odwoła</w:t>
                  </w:r>
                  <w:r w:rsidR="001974CC">
                    <w:rPr>
                      <w:rFonts w:ascii="Times New Roman" w:hAnsi="Times New Roman"/>
                      <w:b/>
                      <w:bCs/>
                      <w:sz w:val="18"/>
                      <w:szCs w:val="18"/>
                      <w:lang w:eastAsia="pl-PL"/>
                    </w:rPr>
                    <w:t>-</w:t>
                  </w:r>
                  <w:r w:rsidRPr="001974CC">
                    <w:rPr>
                      <w:rFonts w:ascii="Times New Roman" w:hAnsi="Times New Roman"/>
                      <w:b/>
                      <w:bCs/>
                      <w:sz w:val="18"/>
                      <w:szCs w:val="18"/>
                      <w:lang w:eastAsia="pl-PL"/>
                    </w:rPr>
                    <w:t>nia powyżej progów</w:t>
                  </w:r>
                </w:p>
              </w:tc>
              <w:tc>
                <w:tcPr>
                  <w:tcW w:w="95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7F27C4" w:rsidP="00F17841">
                  <w:pPr>
                    <w:spacing w:line="240" w:lineRule="auto"/>
                    <w:rPr>
                      <w:rFonts w:ascii="Times New Roman" w:hAnsi="Times New Roman"/>
                      <w:b/>
                      <w:bCs/>
                      <w:sz w:val="18"/>
                      <w:szCs w:val="18"/>
                      <w:lang w:eastAsia="pl-PL"/>
                    </w:rPr>
                  </w:pPr>
                  <w:r w:rsidRPr="001974CC">
                    <w:rPr>
                      <w:rFonts w:ascii="Times New Roman" w:hAnsi="Times New Roman"/>
                      <w:b/>
                      <w:bCs/>
                      <w:sz w:val="18"/>
                      <w:szCs w:val="18"/>
                      <w:lang w:eastAsia="pl-PL"/>
                    </w:rPr>
                    <w:t>%</w:t>
                  </w:r>
                </w:p>
              </w:tc>
              <w:tc>
                <w:tcPr>
                  <w:tcW w:w="933"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7F27C4" w:rsidP="00F17841">
                  <w:pPr>
                    <w:spacing w:line="240" w:lineRule="auto"/>
                    <w:rPr>
                      <w:rFonts w:ascii="Times New Roman" w:hAnsi="Times New Roman"/>
                      <w:b/>
                      <w:bCs/>
                      <w:sz w:val="18"/>
                      <w:szCs w:val="18"/>
                      <w:lang w:eastAsia="pl-PL"/>
                    </w:rPr>
                  </w:pPr>
                  <w:r w:rsidRPr="001974CC">
                    <w:rPr>
                      <w:rFonts w:ascii="Times New Roman" w:hAnsi="Times New Roman"/>
                      <w:b/>
                      <w:bCs/>
                      <w:sz w:val="18"/>
                      <w:szCs w:val="18"/>
                      <w:lang w:eastAsia="pl-PL"/>
                    </w:rPr>
                    <w:t>Ogólna liczba ogłoszeń</w:t>
                  </w:r>
                </w:p>
              </w:tc>
              <w:tc>
                <w:tcPr>
                  <w:tcW w:w="886"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1974CC" w:rsidP="001974CC">
                  <w:pPr>
                    <w:spacing w:line="240" w:lineRule="auto"/>
                    <w:rPr>
                      <w:rFonts w:ascii="Times New Roman" w:hAnsi="Times New Roman"/>
                      <w:b/>
                      <w:bCs/>
                      <w:sz w:val="18"/>
                      <w:szCs w:val="18"/>
                      <w:lang w:eastAsia="pl-PL"/>
                    </w:rPr>
                  </w:pPr>
                  <w:r>
                    <w:rPr>
                      <w:rFonts w:ascii="Times New Roman" w:hAnsi="Times New Roman"/>
                      <w:b/>
                      <w:bCs/>
                      <w:sz w:val="18"/>
                      <w:szCs w:val="18"/>
                      <w:lang w:eastAsia="pl-PL"/>
                    </w:rPr>
                    <w:t>O</w:t>
                  </w:r>
                  <w:r w:rsidR="007F27C4" w:rsidRPr="001974CC">
                    <w:rPr>
                      <w:rFonts w:ascii="Times New Roman" w:hAnsi="Times New Roman"/>
                      <w:b/>
                      <w:bCs/>
                      <w:sz w:val="18"/>
                      <w:szCs w:val="18"/>
                      <w:lang w:eastAsia="pl-PL"/>
                    </w:rPr>
                    <w:t>gólna liczba odwołań</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F27C4" w:rsidRPr="001974CC" w:rsidRDefault="007F27C4" w:rsidP="00F17841">
                  <w:pPr>
                    <w:spacing w:line="240" w:lineRule="auto"/>
                    <w:rPr>
                      <w:rFonts w:ascii="Times New Roman" w:hAnsi="Times New Roman"/>
                      <w:b/>
                      <w:bCs/>
                      <w:sz w:val="18"/>
                      <w:szCs w:val="18"/>
                      <w:lang w:eastAsia="pl-PL"/>
                    </w:rPr>
                  </w:pPr>
                  <w:r w:rsidRPr="001974CC">
                    <w:rPr>
                      <w:rFonts w:ascii="Times New Roman" w:hAnsi="Times New Roman"/>
                      <w:b/>
                      <w:bCs/>
                      <w:sz w:val="18"/>
                      <w:szCs w:val="18"/>
                      <w:lang w:eastAsia="pl-PL"/>
                    </w:rPr>
                    <w:t>%</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2005</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36104</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3034</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8,40%</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12380</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1060</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8,56%</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48409</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4094</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8,46%</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2006</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34813</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2328</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6,68%</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10466</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749</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7,16%</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45279</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3077</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6,80%</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2007</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101945</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573</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0,56%</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11197</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1009</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9,01%</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113142</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1582</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1,40%</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2008</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157173</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484</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0,31%</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13450</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1050</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7,81%</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170623</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1537</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0,90%</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2009</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149023</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596</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0,40%</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14248</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1389</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9,75%</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163271</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1985</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1,22%</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2010</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171711</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867</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0,50%</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18623</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1955</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10,50%</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190334</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2823</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1,48%</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2011</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172620</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649</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0,38%</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21287</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2171</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10,20%</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193907</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2820</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1,45%</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2012</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174382</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728</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0,42%</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21547</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2211</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10,26%</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195929</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2942</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1,50%</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2013</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177538</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685</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0,39%</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23144</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2359</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10,19%</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200682</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3044</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1,52%</w:t>
                  </w:r>
                </w:p>
              </w:tc>
            </w:tr>
            <w:tr w:rsidR="007F27C4" w:rsidRPr="001974CC" w:rsidTr="001974CC">
              <w:trPr>
                <w:trHeight w:val="300"/>
              </w:trPr>
              <w:tc>
                <w:tcPr>
                  <w:tcW w:w="70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F27C4" w:rsidRPr="001974CC" w:rsidRDefault="007F27C4" w:rsidP="00F17841">
                  <w:pPr>
                    <w:spacing w:line="240" w:lineRule="auto"/>
                    <w:jc w:val="center"/>
                    <w:rPr>
                      <w:rFonts w:ascii="Times New Roman" w:hAnsi="Times New Roman"/>
                      <w:b/>
                      <w:bCs/>
                      <w:lang w:eastAsia="pl-PL"/>
                    </w:rPr>
                  </w:pPr>
                  <w:r w:rsidRPr="001974CC">
                    <w:rPr>
                      <w:rFonts w:ascii="Times New Roman" w:hAnsi="Times New Roman"/>
                      <w:b/>
                      <w:bCs/>
                      <w:lang w:eastAsia="pl-PL"/>
                    </w:rPr>
                    <w:t>2014</w:t>
                  </w:r>
                </w:p>
              </w:tc>
              <w:tc>
                <w:tcPr>
                  <w:tcW w:w="114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145126</w:t>
                  </w:r>
                </w:p>
              </w:tc>
              <w:tc>
                <w:tcPr>
                  <w:tcW w:w="1027"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588</w:t>
                  </w:r>
                </w:p>
              </w:tc>
              <w:tc>
                <w:tcPr>
                  <w:tcW w:w="72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0,41%</w:t>
                  </w:r>
                </w:p>
              </w:tc>
              <w:tc>
                <w:tcPr>
                  <w:tcW w:w="114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22085</w:t>
                  </w:r>
                </w:p>
              </w:tc>
              <w:tc>
                <w:tcPr>
                  <w:tcW w:w="818"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2247</w:t>
                  </w:r>
                </w:p>
              </w:tc>
              <w:tc>
                <w:tcPr>
                  <w:tcW w:w="954"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10,17%</w:t>
                  </w:r>
                </w:p>
              </w:tc>
              <w:tc>
                <w:tcPr>
                  <w:tcW w:w="933"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167211</w:t>
                  </w:r>
                </w:p>
              </w:tc>
              <w:tc>
                <w:tcPr>
                  <w:tcW w:w="886"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2836</w:t>
                  </w:r>
                </w:p>
              </w:tc>
              <w:tc>
                <w:tcPr>
                  <w:tcW w:w="910" w:type="dxa"/>
                  <w:tcBorders>
                    <w:top w:val="nil"/>
                    <w:left w:val="nil"/>
                    <w:bottom w:val="single" w:sz="4" w:space="0" w:color="auto"/>
                    <w:right w:val="single" w:sz="4" w:space="0" w:color="auto"/>
                  </w:tcBorders>
                  <w:noWrap/>
                  <w:vAlign w:val="bottom"/>
                </w:tcPr>
                <w:p w:rsidR="007F27C4" w:rsidRPr="001974CC" w:rsidRDefault="007F27C4" w:rsidP="00F17841">
                  <w:pPr>
                    <w:spacing w:line="240" w:lineRule="auto"/>
                    <w:jc w:val="right"/>
                    <w:rPr>
                      <w:rFonts w:ascii="Times New Roman" w:hAnsi="Times New Roman"/>
                      <w:lang w:eastAsia="pl-PL"/>
                    </w:rPr>
                  </w:pPr>
                  <w:r w:rsidRPr="001974CC">
                    <w:rPr>
                      <w:rFonts w:ascii="Times New Roman" w:hAnsi="Times New Roman"/>
                      <w:lang w:eastAsia="pl-PL"/>
                    </w:rPr>
                    <w:t>1,70%</w:t>
                  </w:r>
                </w:p>
              </w:tc>
            </w:tr>
          </w:tbl>
          <w:p w:rsidR="000C4806" w:rsidRPr="001974CC" w:rsidRDefault="000C4806" w:rsidP="00F17841">
            <w:pPr>
              <w:jc w:val="both"/>
              <w:rPr>
                <w:rFonts w:ascii="Times New Roman" w:hAnsi="Times New Roman"/>
                <w:sz w:val="18"/>
                <w:szCs w:val="18"/>
              </w:rPr>
            </w:pPr>
          </w:p>
          <w:p w:rsidR="007F27C4" w:rsidRPr="001974CC" w:rsidRDefault="007F27C4" w:rsidP="00F17841">
            <w:pPr>
              <w:jc w:val="both"/>
              <w:rPr>
                <w:rFonts w:ascii="Times New Roman" w:hAnsi="Times New Roman"/>
                <w:sz w:val="18"/>
                <w:szCs w:val="18"/>
              </w:rPr>
            </w:pPr>
            <w:r w:rsidRPr="001974CC">
              <w:rPr>
                <w:rFonts w:ascii="Times New Roman" w:hAnsi="Times New Roman"/>
                <w:sz w:val="18"/>
                <w:szCs w:val="18"/>
              </w:rPr>
              <w:t xml:space="preserve">Dane te zostały uzyskane ze sprawozdań rocznych UZP. </w:t>
            </w:r>
          </w:p>
          <w:p w:rsidR="00C369C6" w:rsidRPr="001974CC" w:rsidRDefault="00C369C6" w:rsidP="00F17841">
            <w:pPr>
              <w:jc w:val="both"/>
              <w:rPr>
                <w:rFonts w:ascii="Times New Roman" w:hAnsi="Times New Roman"/>
              </w:rPr>
            </w:pPr>
          </w:p>
          <w:p w:rsidR="007F27C4" w:rsidRPr="001974CC" w:rsidRDefault="007F27C4" w:rsidP="00F17841">
            <w:pPr>
              <w:jc w:val="both"/>
              <w:rPr>
                <w:rFonts w:ascii="Times New Roman" w:hAnsi="Times New Roman"/>
              </w:rPr>
            </w:pPr>
            <w:r w:rsidRPr="001974CC">
              <w:rPr>
                <w:rFonts w:ascii="Times New Roman" w:hAnsi="Times New Roman"/>
              </w:rPr>
              <w:t>Z danych tych wynika, że:</w:t>
            </w:r>
          </w:p>
          <w:p w:rsidR="007F27C4" w:rsidRPr="001974CC" w:rsidRDefault="007F27C4" w:rsidP="00F17841">
            <w:pPr>
              <w:numPr>
                <w:ilvl w:val="0"/>
                <w:numId w:val="32"/>
              </w:numPr>
              <w:jc w:val="both"/>
              <w:rPr>
                <w:rFonts w:ascii="Times New Roman" w:hAnsi="Times New Roman"/>
              </w:rPr>
            </w:pPr>
            <w:r w:rsidRPr="001974CC">
              <w:rPr>
                <w:rFonts w:ascii="Times New Roman" w:hAnsi="Times New Roman"/>
              </w:rPr>
              <w:t xml:space="preserve">W latach 2005 i 2006 odsetek odwołań wnoszonych w postępowaniach o wartości </w:t>
            </w:r>
            <w:r w:rsidRPr="001974CC">
              <w:rPr>
                <w:rFonts w:ascii="Times New Roman" w:hAnsi="Times New Roman"/>
                <w:b/>
                <w:bCs/>
              </w:rPr>
              <w:t>poniżej progów</w:t>
            </w:r>
            <w:r w:rsidRPr="001974CC">
              <w:rPr>
                <w:rFonts w:ascii="Times New Roman" w:hAnsi="Times New Roman"/>
              </w:rPr>
              <w:t xml:space="preserve"> </w:t>
            </w:r>
            <w:r w:rsidRPr="001974CC">
              <w:rPr>
                <w:rFonts w:ascii="Times New Roman" w:hAnsi="Times New Roman"/>
                <w:b/>
                <w:bCs/>
              </w:rPr>
              <w:t>w stosunku do liczby postępowań ogłaszanych w BZP</w:t>
            </w:r>
            <w:r w:rsidRPr="001974CC">
              <w:rPr>
                <w:rFonts w:ascii="Times New Roman" w:hAnsi="Times New Roman"/>
              </w:rPr>
              <w:t xml:space="preserve"> wynosił odpowiednio </w:t>
            </w:r>
            <w:r w:rsidR="001C797A">
              <w:rPr>
                <w:rFonts w:ascii="Times New Roman" w:hAnsi="Times New Roman"/>
                <w:b/>
                <w:bCs/>
              </w:rPr>
              <w:t>8,40% i </w:t>
            </w:r>
            <w:r w:rsidRPr="001974CC">
              <w:rPr>
                <w:rFonts w:ascii="Times New Roman" w:hAnsi="Times New Roman"/>
                <w:b/>
                <w:bCs/>
              </w:rPr>
              <w:t>6,68%</w:t>
            </w:r>
            <w:r w:rsidRPr="001974CC">
              <w:rPr>
                <w:rFonts w:ascii="Times New Roman" w:hAnsi="Times New Roman"/>
              </w:rPr>
              <w:t xml:space="preserve"> (nie było wówczas ograniczeń w przesłankach składania odwołań w zależności od wartości zamówienia).</w:t>
            </w:r>
          </w:p>
          <w:p w:rsidR="007F27C4" w:rsidRPr="001974CC" w:rsidRDefault="007F27C4" w:rsidP="00F17841">
            <w:pPr>
              <w:numPr>
                <w:ilvl w:val="0"/>
                <w:numId w:val="32"/>
              </w:numPr>
              <w:jc w:val="both"/>
              <w:rPr>
                <w:rFonts w:ascii="Times New Roman" w:hAnsi="Times New Roman"/>
              </w:rPr>
            </w:pPr>
            <w:r w:rsidRPr="001974CC">
              <w:rPr>
                <w:rFonts w:ascii="Times New Roman" w:hAnsi="Times New Roman"/>
              </w:rPr>
              <w:t>Począwszy od roku 2007</w:t>
            </w:r>
            <w:r w:rsidR="003B0063">
              <w:rPr>
                <w:rFonts w:ascii="Times New Roman" w:hAnsi="Times New Roman"/>
              </w:rPr>
              <w:t>,</w:t>
            </w:r>
            <w:r w:rsidRPr="001974CC">
              <w:rPr>
                <w:rFonts w:ascii="Times New Roman" w:hAnsi="Times New Roman"/>
              </w:rPr>
              <w:t xml:space="preserve"> ww. odsetek (w związku z ograniczeniem możliwości wnoszenia odwołań w postępowaniach poniżej progów) </w:t>
            </w:r>
            <w:r w:rsidRPr="001974CC">
              <w:rPr>
                <w:rFonts w:ascii="Times New Roman" w:hAnsi="Times New Roman"/>
                <w:b/>
                <w:bCs/>
              </w:rPr>
              <w:t>istotnie zmalał</w:t>
            </w:r>
            <w:r w:rsidRPr="001974CC">
              <w:rPr>
                <w:rFonts w:ascii="Times New Roman" w:hAnsi="Times New Roman"/>
              </w:rPr>
              <w:t xml:space="preserve"> i wynosił </w:t>
            </w:r>
            <w:r w:rsidRPr="001974CC">
              <w:rPr>
                <w:rFonts w:ascii="Times New Roman" w:hAnsi="Times New Roman"/>
                <w:b/>
                <w:bCs/>
              </w:rPr>
              <w:t>poniżej 1%.</w:t>
            </w:r>
            <w:r w:rsidRPr="001974CC">
              <w:rPr>
                <w:rFonts w:ascii="Times New Roman" w:hAnsi="Times New Roman"/>
              </w:rPr>
              <w:t xml:space="preserve"> </w:t>
            </w:r>
          </w:p>
          <w:p w:rsidR="007F27C4" w:rsidRPr="001974CC" w:rsidRDefault="007F27C4" w:rsidP="00F17841">
            <w:pPr>
              <w:numPr>
                <w:ilvl w:val="0"/>
                <w:numId w:val="32"/>
              </w:numPr>
              <w:jc w:val="both"/>
              <w:rPr>
                <w:rFonts w:ascii="Times New Roman" w:hAnsi="Times New Roman"/>
              </w:rPr>
            </w:pPr>
            <w:r w:rsidRPr="001974CC">
              <w:rPr>
                <w:rFonts w:ascii="Times New Roman" w:hAnsi="Times New Roman"/>
              </w:rPr>
              <w:t>Zdecydowaną większość wszczynanych postępowań o ud</w:t>
            </w:r>
            <w:r w:rsidR="001C797A">
              <w:rPr>
                <w:rFonts w:ascii="Times New Roman" w:hAnsi="Times New Roman"/>
              </w:rPr>
              <w:t>zielenie zamówienia stanowiły i </w:t>
            </w:r>
            <w:r w:rsidRPr="001974CC">
              <w:rPr>
                <w:rFonts w:ascii="Times New Roman" w:hAnsi="Times New Roman"/>
              </w:rPr>
              <w:t xml:space="preserve">stanowią nadal postępowania </w:t>
            </w:r>
            <w:r w:rsidRPr="001974CC">
              <w:rPr>
                <w:rFonts w:ascii="Times New Roman" w:hAnsi="Times New Roman"/>
                <w:b/>
                <w:bCs/>
              </w:rPr>
              <w:t>o wartościach mniejszych niż progi unijne, czyli postępowania co do których obowiązują ograniczenia w zakresie dostępności środków ochrony prawnej</w:t>
            </w:r>
            <w:r w:rsidRPr="001974CC">
              <w:rPr>
                <w:rFonts w:ascii="Times New Roman" w:hAnsi="Times New Roman"/>
              </w:rPr>
              <w:t xml:space="preserve"> (mieszczą się w przedziale od 74% do 92% wszystkich postępowań prowadzonych w trybie ustawy).</w:t>
            </w:r>
          </w:p>
          <w:p w:rsidR="007F27C4" w:rsidRPr="001974CC" w:rsidRDefault="007F27C4" w:rsidP="00F17841">
            <w:pPr>
              <w:numPr>
                <w:ilvl w:val="0"/>
                <w:numId w:val="32"/>
              </w:numPr>
              <w:jc w:val="both"/>
              <w:rPr>
                <w:rFonts w:ascii="Times New Roman" w:hAnsi="Times New Roman"/>
              </w:rPr>
            </w:pPr>
            <w:r w:rsidRPr="001974CC">
              <w:rPr>
                <w:rFonts w:ascii="Times New Roman" w:hAnsi="Times New Roman"/>
              </w:rPr>
              <w:lastRenderedPageBreak/>
              <w:t xml:space="preserve">Odsetek odwołań w postępowaniach o wartości </w:t>
            </w:r>
            <w:r w:rsidRPr="001974CC">
              <w:rPr>
                <w:rFonts w:ascii="Times New Roman" w:hAnsi="Times New Roman"/>
                <w:b/>
                <w:bCs/>
              </w:rPr>
              <w:t>powyżej progów</w:t>
            </w:r>
            <w:r w:rsidRPr="001974CC">
              <w:rPr>
                <w:rFonts w:ascii="Times New Roman" w:hAnsi="Times New Roman"/>
              </w:rPr>
              <w:t xml:space="preserve"> (w których nie było ograniczeń przedmiotowych co do wnoszenia odwołań), był zbliżony na przestrzeni lat i mieścił się w przedziale </w:t>
            </w:r>
            <w:r w:rsidRPr="001974CC">
              <w:rPr>
                <w:rFonts w:ascii="Times New Roman" w:hAnsi="Times New Roman"/>
                <w:b/>
                <w:bCs/>
              </w:rPr>
              <w:t>7</w:t>
            </w:r>
            <w:r w:rsidR="001974CC">
              <w:rPr>
                <w:rFonts w:ascii="Times New Roman" w:hAnsi="Times New Roman"/>
                <w:b/>
                <w:bCs/>
              </w:rPr>
              <w:t>–</w:t>
            </w:r>
            <w:r w:rsidRPr="001974CC">
              <w:rPr>
                <w:rFonts w:ascii="Times New Roman" w:hAnsi="Times New Roman"/>
                <w:b/>
                <w:bCs/>
              </w:rPr>
              <w:t>10% ogółem wniesionych odwołań.</w:t>
            </w:r>
            <w:r w:rsidRPr="001974CC">
              <w:rPr>
                <w:rFonts w:ascii="Times New Roman" w:hAnsi="Times New Roman"/>
              </w:rPr>
              <w:t xml:space="preserve"> </w:t>
            </w:r>
            <w:r w:rsidR="001C797A">
              <w:rPr>
                <w:rFonts w:ascii="Times New Roman" w:hAnsi="Times New Roman"/>
                <w:b/>
                <w:bCs/>
              </w:rPr>
              <w:t>Podobny odsetek był w </w:t>
            </w:r>
            <w:r w:rsidRPr="001974CC">
              <w:rPr>
                <w:rFonts w:ascii="Times New Roman" w:hAnsi="Times New Roman"/>
                <w:b/>
                <w:bCs/>
              </w:rPr>
              <w:t xml:space="preserve">postępowaniach o wartości poniżej progów unijnych w latach 2005 i 2006, niezależnie od wartości wpisu (który w 2005 r. był b. niski (ok. 3500 zł) a w 2006 r. – b. wysoki (od 10 tys. do 40 tys. zł). </w:t>
            </w:r>
          </w:p>
          <w:p w:rsidR="007F27C4" w:rsidRPr="001974CC" w:rsidRDefault="007F27C4" w:rsidP="00F17841">
            <w:pPr>
              <w:numPr>
                <w:ilvl w:val="0"/>
                <w:numId w:val="32"/>
              </w:numPr>
              <w:jc w:val="both"/>
              <w:rPr>
                <w:rFonts w:ascii="Times New Roman" w:hAnsi="Times New Roman"/>
              </w:rPr>
            </w:pPr>
            <w:r w:rsidRPr="001974CC">
              <w:rPr>
                <w:rFonts w:ascii="Times New Roman" w:hAnsi="Times New Roman"/>
              </w:rPr>
              <w:t xml:space="preserve">Od roku 2005 do roku 2014 r. </w:t>
            </w:r>
            <w:r w:rsidRPr="001974CC">
              <w:rPr>
                <w:rFonts w:ascii="Times New Roman" w:hAnsi="Times New Roman"/>
                <w:b/>
                <w:bCs/>
              </w:rPr>
              <w:t>liczba</w:t>
            </w:r>
            <w:r w:rsidRPr="001974CC">
              <w:rPr>
                <w:rFonts w:ascii="Times New Roman" w:hAnsi="Times New Roman"/>
              </w:rPr>
              <w:t xml:space="preserve"> ogłaszanych postępowań o udzielenie zamówienia w BZP </w:t>
            </w:r>
            <w:r w:rsidRPr="001974CC">
              <w:rPr>
                <w:rFonts w:ascii="Times New Roman" w:hAnsi="Times New Roman"/>
                <w:b/>
                <w:bCs/>
              </w:rPr>
              <w:t>wzrosła</w:t>
            </w:r>
            <w:r w:rsidRPr="001974CC">
              <w:rPr>
                <w:rFonts w:ascii="Times New Roman" w:hAnsi="Times New Roman"/>
              </w:rPr>
              <w:t xml:space="preserve"> </w:t>
            </w:r>
            <w:r w:rsidRPr="001974CC">
              <w:rPr>
                <w:rFonts w:ascii="Times New Roman" w:hAnsi="Times New Roman"/>
                <w:b/>
                <w:bCs/>
              </w:rPr>
              <w:t xml:space="preserve">czterokrotnie. </w:t>
            </w:r>
          </w:p>
          <w:p w:rsidR="007F27C4" w:rsidRPr="001974CC" w:rsidRDefault="007F27C4" w:rsidP="00F17841">
            <w:pPr>
              <w:jc w:val="both"/>
              <w:rPr>
                <w:rFonts w:ascii="Times New Roman" w:hAnsi="Times New Roman"/>
              </w:rPr>
            </w:pPr>
          </w:p>
          <w:p w:rsidR="007F27C4" w:rsidRPr="001974CC" w:rsidRDefault="007F27C4" w:rsidP="00F17841">
            <w:pPr>
              <w:jc w:val="both"/>
              <w:rPr>
                <w:rFonts w:ascii="Times New Roman" w:hAnsi="Times New Roman"/>
              </w:rPr>
            </w:pPr>
            <w:r w:rsidRPr="001974CC">
              <w:rPr>
                <w:rFonts w:ascii="Times New Roman" w:hAnsi="Times New Roman"/>
              </w:rPr>
              <w:t>W związku z przewidywanym wzrostem liczby odwołań konieczne jest zwiększenie środków w części 49 budżetu państwa – Urząd Zamówień Publicznych z przeznaczeniem na:</w:t>
            </w:r>
          </w:p>
          <w:p w:rsidR="007F27C4" w:rsidRPr="001974CC" w:rsidRDefault="007F27C4" w:rsidP="000C1217">
            <w:pPr>
              <w:ind w:left="720" w:hanging="360"/>
              <w:contextualSpacing/>
              <w:jc w:val="both"/>
              <w:rPr>
                <w:rFonts w:ascii="Times New Roman" w:hAnsi="Times New Roman"/>
              </w:rPr>
            </w:pPr>
            <w:r w:rsidRPr="001974CC">
              <w:rPr>
                <w:rFonts w:ascii="Times New Roman" w:hAnsi="Times New Roman"/>
              </w:rPr>
              <w:t>1)   zwiększenie zatrudnienia w KIO, wynajem dodatkowej powierzchni biurowej, utworzenie dodatkowych stanowisk pracy, wyposażenie 2 dodatkowych sal rozpraw – 14 osób</w:t>
            </w:r>
            <w:r w:rsidR="00B612FE">
              <w:rPr>
                <w:rFonts w:ascii="Times New Roman" w:hAnsi="Times New Roman"/>
              </w:rPr>
              <w:t>,</w:t>
            </w:r>
            <w:r w:rsidRPr="001974CC">
              <w:rPr>
                <w:rFonts w:ascii="Times New Roman" w:hAnsi="Times New Roman"/>
              </w:rPr>
              <w:t xml:space="preserve"> </w:t>
            </w:r>
          </w:p>
          <w:p w:rsidR="007F27C4" w:rsidRPr="001974CC" w:rsidRDefault="007F27C4" w:rsidP="000C1217">
            <w:pPr>
              <w:ind w:left="720" w:hanging="360"/>
              <w:contextualSpacing/>
              <w:jc w:val="both"/>
              <w:rPr>
                <w:rFonts w:ascii="Times New Roman" w:hAnsi="Times New Roman"/>
              </w:rPr>
            </w:pPr>
            <w:r w:rsidRPr="001974CC">
              <w:rPr>
                <w:rFonts w:ascii="Times New Roman" w:hAnsi="Times New Roman"/>
              </w:rPr>
              <w:t xml:space="preserve">2)   zwiększenie zatrudnienia w Departamencie Odwołań, wynajem dodatkowej powierzchni biurowej, utworzenie dodatkowych stanowisk pracy – 5 osób </w:t>
            </w:r>
          </w:p>
          <w:p w:rsidR="007F27C4" w:rsidRPr="001974CC" w:rsidRDefault="007F27C4" w:rsidP="00F17841">
            <w:pPr>
              <w:ind w:left="720" w:hanging="360"/>
              <w:contextualSpacing/>
              <w:rPr>
                <w:rFonts w:ascii="Times New Roman" w:hAnsi="Times New Roman"/>
              </w:rPr>
            </w:pPr>
            <w:r w:rsidRPr="001974CC">
              <w:rPr>
                <w:rFonts w:ascii="Times New Roman" w:hAnsi="Times New Roman"/>
              </w:rPr>
              <w:t xml:space="preserve"> + 2 pokoje + 5 komputerów:</w:t>
            </w:r>
          </w:p>
          <w:p w:rsidR="007F27C4" w:rsidRPr="001974CC" w:rsidRDefault="001974CC" w:rsidP="00F17841">
            <w:pPr>
              <w:ind w:left="720"/>
              <w:contextualSpacing/>
              <w:rPr>
                <w:rFonts w:ascii="Times New Roman" w:hAnsi="Times New Roman"/>
              </w:rPr>
            </w:pPr>
            <w:r>
              <w:rPr>
                <w:rFonts w:ascii="Times New Roman" w:hAnsi="Times New Roman"/>
              </w:rPr>
              <w:t>–</w:t>
            </w:r>
            <w:r w:rsidR="007F27C4" w:rsidRPr="001974CC">
              <w:rPr>
                <w:rFonts w:ascii="Times New Roman" w:hAnsi="Times New Roman"/>
              </w:rPr>
              <w:t xml:space="preserve"> 1,5 etatu wzmocnienie sekretariatu </w:t>
            </w:r>
          </w:p>
          <w:p w:rsidR="007F27C4" w:rsidRPr="001974CC" w:rsidRDefault="001974CC" w:rsidP="00F17841">
            <w:pPr>
              <w:ind w:left="720"/>
              <w:contextualSpacing/>
              <w:rPr>
                <w:rFonts w:ascii="Times New Roman" w:hAnsi="Times New Roman"/>
              </w:rPr>
            </w:pPr>
            <w:r>
              <w:rPr>
                <w:rFonts w:ascii="Times New Roman" w:hAnsi="Times New Roman"/>
              </w:rPr>
              <w:t>–</w:t>
            </w:r>
            <w:r w:rsidR="007F27C4" w:rsidRPr="001974CC">
              <w:rPr>
                <w:rFonts w:ascii="Times New Roman" w:hAnsi="Times New Roman"/>
              </w:rPr>
              <w:t xml:space="preserve"> 1,5 etatu rejestracja odwołań + braki formalne </w:t>
            </w:r>
          </w:p>
          <w:p w:rsidR="007F27C4" w:rsidRPr="001974CC" w:rsidRDefault="001974CC" w:rsidP="00F17841">
            <w:pPr>
              <w:ind w:left="720"/>
              <w:contextualSpacing/>
              <w:rPr>
                <w:rFonts w:ascii="Times New Roman" w:hAnsi="Times New Roman"/>
              </w:rPr>
            </w:pPr>
            <w:r>
              <w:rPr>
                <w:rFonts w:ascii="Times New Roman" w:hAnsi="Times New Roman"/>
              </w:rPr>
              <w:t>–</w:t>
            </w:r>
            <w:r w:rsidR="007F27C4" w:rsidRPr="001974CC">
              <w:rPr>
                <w:rFonts w:ascii="Times New Roman" w:hAnsi="Times New Roman"/>
              </w:rPr>
              <w:t xml:space="preserve"> 1 etat organizacja wokandy </w:t>
            </w:r>
          </w:p>
          <w:p w:rsidR="007F27C4" w:rsidRPr="001974CC" w:rsidRDefault="001974CC" w:rsidP="00F17841">
            <w:pPr>
              <w:ind w:left="720"/>
              <w:contextualSpacing/>
              <w:rPr>
                <w:rFonts w:ascii="Times New Roman" w:hAnsi="Times New Roman"/>
              </w:rPr>
            </w:pPr>
            <w:r>
              <w:rPr>
                <w:rFonts w:ascii="Times New Roman" w:hAnsi="Times New Roman"/>
              </w:rPr>
              <w:t>–</w:t>
            </w:r>
            <w:r w:rsidR="007F27C4" w:rsidRPr="001974CC">
              <w:rPr>
                <w:rFonts w:ascii="Times New Roman" w:hAnsi="Times New Roman"/>
              </w:rPr>
              <w:t xml:space="preserve"> 1 etat wysyłka wyroków, anonimizacja wyroków i zamieszczanie ich na stronie,</w:t>
            </w:r>
          </w:p>
          <w:p w:rsidR="007F27C4" w:rsidRPr="001974CC" w:rsidRDefault="001974CC" w:rsidP="00F17841">
            <w:pPr>
              <w:ind w:left="318"/>
              <w:contextualSpacing/>
              <w:rPr>
                <w:rFonts w:ascii="Times New Roman" w:hAnsi="Times New Roman"/>
              </w:rPr>
            </w:pPr>
            <w:r>
              <w:rPr>
                <w:rFonts w:ascii="Times New Roman" w:hAnsi="Times New Roman"/>
              </w:rPr>
              <w:t>3)   </w:t>
            </w:r>
            <w:r w:rsidR="007F27C4" w:rsidRPr="001974CC">
              <w:rPr>
                <w:rFonts w:ascii="Times New Roman" w:hAnsi="Times New Roman"/>
              </w:rPr>
              <w:t xml:space="preserve">zatrudnienie na podstawie umów </w:t>
            </w:r>
            <w:r>
              <w:rPr>
                <w:rFonts w:ascii="Times New Roman" w:hAnsi="Times New Roman"/>
              </w:rPr>
              <w:t>cywilnoprawnych 2 protokolantów.</w:t>
            </w:r>
          </w:p>
          <w:p w:rsidR="007F27C4" w:rsidRPr="001974CC" w:rsidRDefault="007F27C4" w:rsidP="00F17841">
            <w:pPr>
              <w:ind w:left="720"/>
              <w:contextualSpacing/>
              <w:rPr>
                <w:rFonts w:ascii="Times New Roman" w:hAnsi="Times New Roman"/>
              </w:rPr>
            </w:pPr>
          </w:p>
          <w:p w:rsidR="007F27C4" w:rsidRPr="001974CC" w:rsidRDefault="007F27C4" w:rsidP="00F17841">
            <w:pPr>
              <w:jc w:val="both"/>
              <w:rPr>
                <w:rFonts w:ascii="Times New Roman" w:hAnsi="Times New Roman"/>
              </w:rPr>
            </w:pPr>
            <w:r w:rsidRPr="001974CC">
              <w:rPr>
                <w:rFonts w:ascii="Times New Roman" w:hAnsi="Times New Roman"/>
              </w:rPr>
              <w:t>W związku z koniecznością przeprowadzenia</w:t>
            </w:r>
            <w:r w:rsidR="00B612FE">
              <w:rPr>
                <w:rFonts w:ascii="Times New Roman" w:hAnsi="Times New Roman"/>
              </w:rPr>
              <w:t>,</w:t>
            </w:r>
            <w:r w:rsidRPr="001974CC">
              <w:rPr>
                <w:rFonts w:ascii="Times New Roman" w:hAnsi="Times New Roman"/>
              </w:rPr>
              <w:t xml:space="preserve"> po wejściu w życie nowych przepisów</w:t>
            </w:r>
            <w:r w:rsidR="00B612FE">
              <w:rPr>
                <w:rFonts w:ascii="Times New Roman" w:hAnsi="Times New Roman"/>
              </w:rPr>
              <w:t>,</w:t>
            </w:r>
            <w:r w:rsidRPr="001974CC">
              <w:rPr>
                <w:rFonts w:ascii="Times New Roman" w:hAnsi="Times New Roman"/>
              </w:rPr>
              <w:t xml:space="preserve"> postępowania kwalifikacyjnego, które jest procesem kilkumiesięcznym, przewiduje się zatrudnienie nowych członków KIO najwcześniej od stycznia 2017 r. W 2016 r. nie będą ponoszone poniżej wymienione koszty: wynagrodzenia i pochodnych, dostępu do systemów informacji prawnej, szkoleń i innych kosztów oraz 50% kosztów powierzchni biurowej i powierzchni dwóch sal rozpraw. Wynagrodzenia i pochodne nowych członków KIO zostały obliczone wg danych z ustawy budżetowej na 2015 r. Miesięczne wynagrodzenie zasadnicze 1 członka KIO (1523,29 zł x 4,6) + staż pracy 20% + pochodne 19,55%.</w:t>
            </w:r>
          </w:p>
          <w:tbl>
            <w:tblPr>
              <w:tblW w:w="8676" w:type="dxa"/>
              <w:tblInd w:w="5" w:type="dxa"/>
              <w:tblLayout w:type="fixed"/>
              <w:tblCellMar>
                <w:left w:w="70" w:type="dxa"/>
                <w:right w:w="70" w:type="dxa"/>
              </w:tblCellMar>
              <w:tblLook w:val="00A0" w:firstRow="1" w:lastRow="0" w:firstColumn="1" w:lastColumn="0" w:noHBand="0" w:noVBand="0"/>
            </w:tblPr>
            <w:tblGrid>
              <w:gridCol w:w="4707"/>
              <w:gridCol w:w="1984"/>
              <w:gridCol w:w="1985"/>
            </w:tblGrid>
            <w:tr w:rsidR="000C4806" w:rsidRPr="001974CC" w:rsidTr="000C4806">
              <w:trPr>
                <w:trHeight w:val="330"/>
              </w:trPr>
              <w:tc>
                <w:tcPr>
                  <w:tcW w:w="4707" w:type="dxa"/>
                  <w:tcBorders>
                    <w:top w:val="nil"/>
                    <w:left w:val="nil"/>
                    <w:bottom w:val="nil"/>
                    <w:right w:val="nil"/>
                  </w:tcBorders>
                  <w:noWrap/>
                  <w:vAlign w:val="bottom"/>
                </w:tcPr>
                <w:p w:rsidR="000C4806" w:rsidRPr="001974CC" w:rsidRDefault="000C4806" w:rsidP="00F17841">
                  <w:pPr>
                    <w:spacing w:line="240" w:lineRule="auto"/>
                    <w:rPr>
                      <w:rFonts w:ascii="Times New Roman" w:hAnsi="Times New Roman"/>
                      <w:lang w:eastAsia="pl-PL"/>
                    </w:rPr>
                  </w:pPr>
                  <w:bookmarkStart w:id="4" w:name="RANGE!A1:D31"/>
                  <w:bookmarkEnd w:id="4"/>
                </w:p>
              </w:tc>
              <w:tc>
                <w:tcPr>
                  <w:tcW w:w="1984" w:type="dxa"/>
                  <w:tcBorders>
                    <w:top w:val="nil"/>
                    <w:left w:val="nil"/>
                    <w:bottom w:val="nil"/>
                    <w:right w:val="nil"/>
                  </w:tcBorders>
                  <w:noWrap/>
                  <w:vAlign w:val="bottom"/>
                </w:tcPr>
                <w:p w:rsidR="000C4806" w:rsidRPr="001974CC" w:rsidRDefault="000C4806" w:rsidP="00F17841">
                  <w:pPr>
                    <w:spacing w:line="240" w:lineRule="auto"/>
                    <w:rPr>
                      <w:rFonts w:ascii="Times New Roman" w:hAnsi="Times New Roman"/>
                      <w:lang w:eastAsia="pl-PL"/>
                    </w:rPr>
                  </w:pPr>
                </w:p>
              </w:tc>
              <w:tc>
                <w:tcPr>
                  <w:tcW w:w="1985" w:type="dxa"/>
                  <w:tcBorders>
                    <w:top w:val="nil"/>
                    <w:left w:val="nil"/>
                    <w:bottom w:val="nil"/>
                    <w:right w:val="nil"/>
                  </w:tcBorders>
                  <w:noWrap/>
                  <w:vAlign w:val="bottom"/>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w zł</w:t>
                  </w:r>
                </w:p>
              </w:tc>
            </w:tr>
            <w:tr w:rsidR="000C4806" w:rsidRPr="001974CC" w:rsidTr="000C4806">
              <w:trPr>
                <w:trHeight w:val="900"/>
              </w:trPr>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4806" w:rsidRPr="001974CC" w:rsidRDefault="000C4806" w:rsidP="00F17841">
                  <w:pPr>
                    <w:spacing w:line="240" w:lineRule="auto"/>
                    <w:jc w:val="center"/>
                    <w:rPr>
                      <w:rFonts w:ascii="Times New Roman" w:hAnsi="Times New Roman"/>
                      <w:b/>
                      <w:bCs/>
                      <w:i/>
                      <w:iCs/>
                      <w:lang w:eastAsia="pl-PL"/>
                    </w:rPr>
                  </w:pPr>
                  <w:r w:rsidRPr="001974CC">
                    <w:rPr>
                      <w:rFonts w:ascii="Times New Roman" w:hAnsi="Times New Roman"/>
                      <w:b/>
                      <w:bCs/>
                      <w:i/>
                      <w:iCs/>
                      <w:lang w:eastAsia="pl-PL"/>
                    </w:rPr>
                    <w:t>Tytuł</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4806" w:rsidRPr="001974CC" w:rsidRDefault="000C4806" w:rsidP="00F17841">
                  <w:pPr>
                    <w:spacing w:line="240" w:lineRule="auto"/>
                    <w:jc w:val="center"/>
                    <w:rPr>
                      <w:rFonts w:ascii="Times New Roman" w:hAnsi="Times New Roman"/>
                      <w:b/>
                      <w:bCs/>
                      <w:i/>
                      <w:iCs/>
                      <w:lang w:eastAsia="pl-PL"/>
                    </w:rPr>
                  </w:pPr>
                  <w:r w:rsidRPr="001974CC">
                    <w:rPr>
                      <w:rFonts w:ascii="Times New Roman" w:hAnsi="Times New Roman"/>
                      <w:b/>
                      <w:bCs/>
                      <w:i/>
                      <w:iCs/>
                      <w:lang w:eastAsia="pl-PL"/>
                    </w:rPr>
                    <w:t>Roczny koszt je</w:t>
                  </w:r>
                  <w:r w:rsidR="00B612FE">
                    <w:rPr>
                      <w:rFonts w:ascii="Times New Roman" w:hAnsi="Times New Roman"/>
                      <w:b/>
                      <w:bCs/>
                      <w:i/>
                      <w:iCs/>
                      <w:lang w:eastAsia="pl-PL"/>
                    </w:rPr>
                    <w:t>dnostkowy na 1 </w:t>
                  </w:r>
                  <w:r w:rsidRPr="001974CC">
                    <w:rPr>
                      <w:rFonts w:ascii="Times New Roman" w:hAnsi="Times New Roman"/>
                      <w:b/>
                      <w:bCs/>
                      <w:i/>
                      <w:iCs/>
                      <w:lang w:eastAsia="pl-PL"/>
                    </w:rPr>
                    <w:t>arbitra</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4806" w:rsidRPr="001974CC" w:rsidRDefault="00B612FE" w:rsidP="00F17841">
                  <w:pPr>
                    <w:spacing w:line="240" w:lineRule="auto"/>
                    <w:jc w:val="center"/>
                    <w:rPr>
                      <w:rFonts w:ascii="Times New Roman" w:hAnsi="Times New Roman"/>
                      <w:b/>
                      <w:bCs/>
                      <w:i/>
                      <w:iCs/>
                      <w:lang w:eastAsia="pl-PL"/>
                    </w:rPr>
                  </w:pPr>
                  <w:r>
                    <w:rPr>
                      <w:rFonts w:ascii="Times New Roman" w:hAnsi="Times New Roman"/>
                      <w:b/>
                      <w:bCs/>
                      <w:i/>
                      <w:iCs/>
                      <w:lang w:eastAsia="pl-PL"/>
                    </w:rPr>
                    <w:t>Roczne koszty na 14 </w:t>
                  </w:r>
                  <w:r w:rsidR="000C4806" w:rsidRPr="001974CC">
                    <w:rPr>
                      <w:rFonts w:ascii="Times New Roman" w:hAnsi="Times New Roman"/>
                      <w:b/>
                      <w:bCs/>
                      <w:i/>
                      <w:iCs/>
                      <w:lang w:eastAsia="pl-PL"/>
                    </w:rPr>
                    <w:t>arbitrów</w:t>
                  </w:r>
                </w:p>
              </w:tc>
            </w:tr>
            <w:tr w:rsidR="000C4806" w:rsidRPr="001974CC" w:rsidTr="000C4806">
              <w:trPr>
                <w:trHeight w:val="42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t>wynagrodzenia i pochodne nowych członków KIO od 2017</w:t>
                  </w:r>
                  <w:r w:rsidR="001974CC">
                    <w:rPr>
                      <w:rFonts w:ascii="Times New Roman" w:hAnsi="Times New Roman"/>
                      <w:lang w:eastAsia="pl-PL"/>
                    </w:rPr>
                    <w:t xml:space="preserve"> </w:t>
                  </w:r>
                  <w:r w:rsidRPr="001974CC">
                    <w:rPr>
                      <w:rFonts w:ascii="Times New Roman" w:hAnsi="Times New Roman"/>
                      <w:lang w:eastAsia="pl-PL"/>
                    </w:rPr>
                    <w:t xml:space="preserve">r. </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120</w:t>
                  </w:r>
                  <w:r w:rsidR="002E32C0">
                    <w:rPr>
                      <w:rFonts w:ascii="Times New Roman" w:hAnsi="Times New Roman"/>
                      <w:lang w:eastAsia="pl-PL"/>
                    </w:rPr>
                    <w:t xml:space="preserve"> </w:t>
                  </w:r>
                  <w:r w:rsidRPr="001974CC">
                    <w:rPr>
                      <w:rFonts w:ascii="Times New Roman" w:hAnsi="Times New Roman"/>
                      <w:lang w:eastAsia="pl-PL"/>
                    </w:rPr>
                    <w:t>629</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b/>
                      <w:lang w:eastAsia="pl-PL"/>
                    </w:rPr>
                  </w:pPr>
                  <w:r w:rsidRPr="001974CC">
                    <w:rPr>
                      <w:rFonts w:ascii="Times New Roman" w:hAnsi="Times New Roman"/>
                      <w:b/>
                      <w:lang w:eastAsia="pl-PL"/>
                    </w:rPr>
                    <w:t>1</w:t>
                  </w:r>
                  <w:r w:rsidR="00274130">
                    <w:rPr>
                      <w:rFonts w:ascii="Times New Roman" w:hAnsi="Times New Roman"/>
                      <w:b/>
                      <w:lang w:eastAsia="pl-PL"/>
                    </w:rPr>
                    <w:t xml:space="preserve"> </w:t>
                  </w:r>
                  <w:r w:rsidRPr="001974CC">
                    <w:rPr>
                      <w:rFonts w:ascii="Times New Roman" w:hAnsi="Times New Roman"/>
                      <w:b/>
                      <w:lang w:eastAsia="pl-PL"/>
                    </w:rPr>
                    <w:t>688</w:t>
                  </w:r>
                  <w:r w:rsidR="002E32C0">
                    <w:rPr>
                      <w:rFonts w:ascii="Times New Roman" w:hAnsi="Times New Roman"/>
                      <w:b/>
                      <w:lang w:eastAsia="pl-PL"/>
                    </w:rPr>
                    <w:t xml:space="preserve"> </w:t>
                  </w:r>
                  <w:r w:rsidRPr="001974CC">
                    <w:rPr>
                      <w:rFonts w:ascii="Times New Roman" w:hAnsi="Times New Roman"/>
                      <w:b/>
                      <w:lang w:eastAsia="pl-PL"/>
                    </w:rPr>
                    <w:t>809</w:t>
                  </w:r>
                </w:p>
              </w:tc>
            </w:tr>
            <w:tr w:rsidR="000C4806" w:rsidRPr="001974CC" w:rsidTr="000C4806">
              <w:trPr>
                <w:trHeight w:val="420"/>
              </w:trPr>
              <w:tc>
                <w:tcPr>
                  <w:tcW w:w="4707" w:type="dxa"/>
                  <w:tcBorders>
                    <w:top w:val="nil"/>
                    <w:left w:val="single" w:sz="4" w:space="0" w:color="auto"/>
                    <w:bottom w:val="single" w:sz="4" w:space="0" w:color="auto"/>
                    <w:right w:val="single" w:sz="4" w:space="0" w:color="auto"/>
                  </w:tcBorders>
                  <w:vAlign w:val="center"/>
                </w:tcPr>
                <w:p w:rsidR="000C4806" w:rsidRPr="001974CC" w:rsidRDefault="002E32C0" w:rsidP="00F17841">
                  <w:pPr>
                    <w:spacing w:line="240" w:lineRule="auto"/>
                    <w:rPr>
                      <w:rFonts w:ascii="Times New Roman" w:hAnsi="Times New Roman"/>
                      <w:lang w:eastAsia="pl-PL"/>
                    </w:rPr>
                  </w:pPr>
                  <w:r>
                    <w:rPr>
                      <w:rFonts w:ascii="Times New Roman" w:hAnsi="Times New Roman"/>
                      <w:lang w:eastAsia="pl-PL"/>
                    </w:rPr>
                    <w:t>d</w:t>
                  </w:r>
                  <w:r w:rsidR="000C4806" w:rsidRPr="001974CC">
                    <w:rPr>
                      <w:rFonts w:ascii="Times New Roman" w:hAnsi="Times New Roman"/>
                      <w:lang w:eastAsia="pl-PL"/>
                    </w:rPr>
                    <w:t xml:space="preserve">odatkowe wynagrodzenie </w:t>
                  </w:r>
                  <w:r w:rsidR="001974CC" w:rsidRPr="001974CC">
                    <w:rPr>
                      <w:rFonts w:ascii="Times New Roman" w:hAnsi="Times New Roman"/>
                      <w:lang w:eastAsia="pl-PL"/>
                    </w:rPr>
                    <w:t>roczne</w:t>
                  </w:r>
                  <w:r w:rsidR="001974CC">
                    <w:rPr>
                      <w:rFonts w:ascii="Times New Roman" w:hAnsi="Times New Roman"/>
                      <w:lang w:eastAsia="pl-PL"/>
                    </w:rPr>
                    <w:t>,</w:t>
                  </w:r>
                  <w:r w:rsidR="000C4806" w:rsidRPr="001974CC">
                    <w:rPr>
                      <w:rFonts w:ascii="Times New Roman" w:hAnsi="Times New Roman"/>
                      <w:lang w:eastAsia="pl-PL"/>
                    </w:rPr>
                    <w:t xml:space="preserve"> począwszy od 2018 r.</w:t>
                  </w:r>
                </w:p>
              </w:tc>
              <w:tc>
                <w:tcPr>
                  <w:tcW w:w="1984" w:type="dxa"/>
                  <w:tcBorders>
                    <w:top w:val="nil"/>
                    <w:left w:val="nil"/>
                    <w:bottom w:val="single" w:sz="4" w:space="0" w:color="auto"/>
                    <w:right w:val="single" w:sz="4" w:space="0" w:color="auto"/>
                  </w:tcBorders>
                  <w:vAlign w:val="center"/>
                </w:tcPr>
                <w:p w:rsidR="000C4806" w:rsidRPr="001974CC" w:rsidDel="00BE3A45"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8</w:t>
                  </w:r>
                  <w:r w:rsidR="002E32C0">
                    <w:rPr>
                      <w:rFonts w:ascii="Times New Roman" w:hAnsi="Times New Roman"/>
                      <w:lang w:eastAsia="pl-PL"/>
                    </w:rPr>
                    <w:t xml:space="preserve"> </w:t>
                  </w:r>
                  <w:r w:rsidRPr="001974CC">
                    <w:rPr>
                      <w:rFonts w:ascii="Times New Roman" w:hAnsi="Times New Roman"/>
                      <w:lang w:eastAsia="pl-PL"/>
                    </w:rPr>
                    <w:t>577</w:t>
                  </w:r>
                </w:p>
              </w:tc>
              <w:tc>
                <w:tcPr>
                  <w:tcW w:w="1985" w:type="dxa"/>
                  <w:tcBorders>
                    <w:top w:val="nil"/>
                    <w:left w:val="nil"/>
                    <w:bottom w:val="single" w:sz="4" w:space="0" w:color="auto"/>
                    <w:right w:val="single" w:sz="4" w:space="0" w:color="auto"/>
                  </w:tcBorders>
                  <w:vAlign w:val="center"/>
                </w:tcPr>
                <w:p w:rsidR="000C4806" w:rsidRPr="001974CC" w:rsidDel="00BE3A45" w:rsidRDefault="000C4806" w:rsidP="00F17841">
                  <w:pPr>
                    <w:spacing w:line="240" w:lineRule="auto"/>
                    <w:jc w:val="right"/>
                    <w:rPr>
                      <w:rFonts w:ascii="Times New Roman" w:hAnsi="Times New Roman"/>
                      <w:b/>
                      <w:lang w:eastAsia="pl-PL"/>
                    </w:rPr>
                  </w:pPr>
                  <w:r w:rsidRPr="001974CC">
                    <w:rPr>
                      <w:rFonts w:ascii="Times New Roman" w:hAnsi="Times New Roman"/>
                      <w:b/>
                      <w:lang w:eastAsia="pl-PL"/>
                    </w:rPr>
                    <w:t>120</w:t>
                  </w:r>
                  <w:r w:rsidR="002E32C0">
                    <w:rPr>
                      <w:rFonts w:ascii="Times New Roman" w:hAnsi="Times New Roman"/>
                      <w:b/>
                      <w:lang w:eastAsia="pl-PL"/>
                    </w:rPr>
                    <w:t xml:space="preserve"> </w:t>
                  </w:r>
                  <w:r w:rsidRPr="001974CC">
                    <w:rPr>
                      <w:rFonts w:ascii="Times New Roman" w:hAnsi="Times New Roman"/>
                      <w:b/>
                      <w:lang w:eastAsia="pl-PL"/>
                    </w:rPr>
                    <w:t>074</w:t>
                  </w:r>
                </w:p>
              </w:tc>
            </w:tr>
            <w:tr w:rsidR="000C4806" w:rsidRPr="001974CC" w:rsidTr="000C4806">
              <w:trPr>
                <w:trHeight w:val="54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t>powierzchnia biurowa</w:t>
                  </w:r>
                  <w:r w:rsidR="001974CC">
                    <w:rPr>
                      <w:rFonts w:ascii="Times New Roman" w:hAnsi="Times New Roman"/>
                      <w:lang w:eastAsia="pl-PL"/>
                    </w:rPr>
                    <w:t xml:space="preserve"> –</w:t>
                  </w:r>
                  <w:r w:rsidRPr="001974CC">
                    <w:rPr>
                      <w:rFonts w:ascii="Times New Roman" w:hAnsi="Times New Roman"/>
                      <w:lang w:eastAsia="pl-PL"/>
                    </w:rPr>
                    <w:t>119 m</w:t>
                  </w:r>
                  <w:r w:rsidRPr="001974CC">
                    <w:rPr>
                      <w:rFonts w:ascii="Times New Roman" w:hAnsi="Times New Roman"/>
                      <w:vertAlign w:val="superscript"/>
                      <w:lang w:eastAsia="pl-PL"/>
                    </w:rPr>
                    <w:t>2</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jc w:val="right"/>
                    <w:rPr>
                      <w:rFonts w:ascii="Times New Roman" w:hAnsi="Times New Roman"/>
                      <w:lang w:eastAsia="pl-PL"/>
                    </w:rPr>
                  </w:pPr>
                </w:p>
              </w:tc>
              <w:tc>
                <w:tcPr>
                  <w:tcW w:w="1985"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jc w:val="right"/>
                    <w:rPr>
                      <w:rFonts w:ascii="Times New Roman" w:hAnsi="Times New Roman"/>
                      <w:b/>
                      <w:lang w:eastAsia="pl-PL"/>
                    </w:rPr>
                  </w:pPr>
                  <w:r w:rsidRPr="001974CC">
                    <w:rPr>
                      <w:rFonts w:ascii="Times New Roman" w:hAnsi="Times New Roman"/>
                      <w:b/>
                      <w:lang w:eastAsia="pl-PL"/>
                    </w:rPr>
                    <w:t>160 720</w:t>
                  </w:r>
                </w:p>
              </w:tc>
            </w:tr>
            <w:tr w:rsidR="000C4806" w:rsidRPr="001974CC" w:rsidTr="000C4806">
              <w:trPr>
                <w:trHeight w:val="345"/>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1974CC">
                  <w:pPr>
                    <w:tabs>
                      <w:tab w:val="center" w:pos="4536"/>
                      <w:tab w:val="right" w:pos="9072"/>
                    </w:tabs>
                    <w:spacing w:line="240" w:lineRule="auto"/>
                    <w:rPr>
                      <w:rFonts w:ascii="Times New Roman" w:hAnsi="Times New Roman"/>
                      <w:lang w:eastAsia="pl-PL"/>
                    </w:rPr>
                  </w:pPr>
                  <w:r w:rsidRPr="001974CC">
                    <w:rPr>
                      <w:rFonts w:ascii="Times New Roman" w:hAnsi="Times New Roman"/>
                      <w:lang w:eastAsia="pl-PL"/>
                    </w:rPr>
                    <w:t>powierzchnia 2 sal rozpraw (95 m</w:t>
                  </w:r>
                  <w:r w:rsidRPr="001974CC">
                    <w:rPr>
                      <w:rFonts w:ascii="Times New Roman" w:hAnsi="Times New Roman"/>
                      <w:vertAlign w:val="superscript"/>
                      <w:lang w:eastAsia="pl-PL"/>
                    </w:rPr>
                    <w:t>2</w:t>
                  </w:r>
                  <w:r w:rsidRPr="001974CC">
                    <w:rPr>
                      <w:rFonts w:ascii="Times New Roman" w:hAnsi="Times New Roman"/>
                      <w:lang w:eastAsia="pl-PL"/>
                    </w:rPr>
                    <w:t>)</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rPr>
                      <w:rFonts w:ascii="Times New Roman" w:hAnsi="Times New Roman"/>
                      <w:lang w:eastAsia="pl-PL"/>
                    </w:rPr>
                  </w:pPr>
                  <w:r w:rsidRPr="001974CC">
                    <w:rPr>
                      <w:rFonts w:ascii="Times New Roman" w:hAnsi="Times New Roman"/>
                      <w:lang w:eastAsia="pl-PL"/>
                    </w:rPr>
                    <w:t> </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jc w:val="right"/>
                    <w:rPr>
                      <w:rFonts w:ascii="Times New Roman" w:hAnsi="Times New Roman"/>
                      <w:b/>
                      <w:lang w:eastAsia="pl-PL"/>
                    </w:rPr>
                  </w:pPr>
                  <w:r w:rsidRPr="001974CC">
                    <w:rPr>
                      <w:rFonts w:ascii="Times New Roman" w:hAnsi="Times New Roman"/>
                      <w:b/>
                      <w:lang w:eastAsia="pl-PL"/>
                    </w:rPr>
                    <w:t>128 302</w:t>
                  </w:r>
                </w:p>
              </w:tc>
            </w:tr>
            <w:tr w:rsidR="000C4806" w:rsidRPr="001974CC" w:rsidTr="000C4806">
              <w:trPr>
                <w:trHeight w:val="345"/>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rPr>
                      <w:rFonts w:ascii="Times New Roman" w:hAnsi="Times New Roman"/>
                      <w:lang w:eastAsia="pl-PL"/>
                    </w:rPr>
                  </w:pPr>
                  <w:r w:rsidRPr="001974CC">
                    <w:rPr>
                      <w:rFonts w:ascii="Times New Roman" w:hAnsi="Times New Roman"/>
                      <w:lang w:eastAsia="pl-PL"/>
                    </w:rPr>
                    <w:t>wyposażenie 2 sal rozpraw + 2 komputery(wydatek jednorazowy w 2016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rPr>
                      <w:rFonts w:ascii="Times New Roman" w:hAnsi="Times New Roman"/>
                      <w:lang w:eastAsia="pl-PL"/>
                    </w:rPr>
                  </w:pPr>
                  <w:r w:rsidRPr="001974CC">
                    <w:rPr>
                      <w:rFonts w:ascii="Times New Roman" w:hAnsi="Times New Roman"/>
                      <w:lang w:eastAsia="pl-PL"/>
                    </w:rPr>
                    <w:t> </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84 000</w:t>
                  </w:r>
                </w:p>
              </w:tc>
            </w:tr>
            <w:tr w:rsidR="000C4806" w:rsidRPr="001974CC" w:rsidTr="000C4806">
              <w:trPr>
                <w:trHeight w:val="102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t>dostęp do systemów informacji prawnej oraz innego niezbędnego oprogramowania (m.in. edytor tekstu, poczta elektroniczna) od 2017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b/>
                      <w:lang w:eastAsia="pl-PL"/>
                    </w:rPr>
                  </w:pPr>
                  <w:r w:rsidRPr="001974CC">
                    <w:rPr>
                      <w:rFonts w:ascii="Times New Roman" w:hAnsi="Times New Roman"/>
                      <w:b/>
                      <w:lang w:eastAsia="pl-PL"/>
                    </w:rPr>
                    <w:t>16 590</w:t>
                  </w:r>
                </w:p>
              </w:tc>
            </w:tr>
            <w:tr w:rsidR="000C4806" w:rsidRPr="001974CC" w:rsidTr="000C4806">
              <w:trPr>
                <w:trHeight w:val="555"/>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1974CC">
                  <w:pPr>
                    <w:spacing w:line="240" w:lineRule="auto"/>
                    <w:rPr>
                      <w:rFonts w:ascii="Times New Roman" w:hAnsi="Times New Roman"/>
                      <w:lang w:eastAsia="pl-PL"/>
                    </w:rPr>
                  </w:pPr>
                  <w:r w:rsidRPr="001974CC">
                    <w:rPr>
                      <w:rFonts w:ascii="Times New Roman" w:hAnsi="Times New Roman"/>
                      <w:lang w:eastAsia="pl-PL"/>
                    </w:rPr>
                    <w:t>wyposażenie</w:t>
                  </w:r>
                  <w:r w:rsidR="00585B12">
                    <w:rPr>
                      <w:rFonts w:ascii="Times New Roman" w:hAnsi="Times New Roman"/>
                      <w:lang w:eastAsia="pl-PL"/>
                    </w:rPr>
                    <w:t xml:space="preserve"> biurowe (wydatek jednorazowy w </w:t>
                  </w:r>
                  <w:r w:rsidRPr="001974CC">
                    <w:rPr>
                      <w:rFonts w:ascii="Times New Roman" w:hAnsi="Times New Roman"/>
                      <w:lang w:eastAsia="pl-PL"/>
                    </w:rPr>
                    <w:t>2016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2 500</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35 000</w:t>
                  </w:r>
                </w:p>
              </w:tc>
            </w:tr>
            <w:tr w:rsidR="000C4806" w:rsidRPr="001974CC" w:rsidTr="000C4806">
              <w:trPr>
                <w:trHeight w:val="78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1974CC">
                  <w:pPr>
                    <w:spacing w:line="240" w:lineRule="auto"/>
                    <w:rPr>
                      <w:rFonts w:ascii="Times New Roman" w:hAnsi="Times New Roman"/>
                      <w:lang w:eastAsia="pl-PL"/>
                    </w:rPr>
                  </w:pPr>
                  <w:r w:rsidRPr="001974CC">
                    <w:rPr>
                      <w:rFonts w:ascii="Times New Roman" w:hAnsi="Times New Roman"/>
                      <w:lang w:eastAsia="pl-PL"/>
                    </w:rPr>
                    <w:t xml:space="preserve">sprzęt komputerowy (wydatek jednorazowy </w:t>
                  </w:r>
                  <w:r w:rsidR="001974CC">
                    <w:rPr>
                      <w:rFonts w:ascii="Times New Roman" w:hAnsi="Times New Roman"/>
                      <w:lang w:eastAsia="pl-PL"/>
                    </w:rPr>
                    <w:t>–</w:t>
                  </w:r>
                  <w:r w:rsidRPr="001974CC">
                    <w:rPr>
                      <w:rFonts w:ascii="Times New Roman" w:hAnsi="Times New Roman"/>
                      <w:lang w:eastAsia="pl-PL"/>
                    </w:rPr>
                    <w:t xml:space="preserve"> wydatek majątkowy w 2016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4 000</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56 000</w:t>
                  </w:r>
                </w:p>
              </w:tc>
            </w:tr>
            <w:tr w:rsidR="000C4806" w:rsidRPr="001974CC" w:rsidTr="000C4806">
              <w:trPr>
                <w:trHeight w:val="1005"/>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lastRenderedPageBreak/>
                    <w:t>szkolenia i inne koszty, które obecnie są ponoszone w związku z zatrudnianiem i wykonywaniem zadań przez członków KIO od 2017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2 594</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b/>
                      <w:lang w:eastAsia="pl-PL"/>
                    </w:rPr>
                  </w:pPr>
                  <w:r w:rsidRPr="001974CC">
                    <w:rPr>
                      <w:rFonts w:ascii="Times New Roman" w:hAnsi="Times New Roman"/>
                      <w:b/>
                      <w:lang w:eastAsia="pl-PL"/>
                    </w:rPr>
                    <w:t>36 316</w:t>
                  </w:r>
                </w:p>
              </w:tc>
            </w:tr>
            <w:tr w:rsidR="000C4806" w:rsidRPr="001974CC" w:rsidTr="000C4806">
              <w:trPr>
                <w:trHeight w:val="300"/>
              </w:trPr>
              <w:tc>
                <w:tcPr>
                  <w:tcW w:w="4707" w:type="dxa"/>
                  <w:tcBorders>
                    <w:top w:val="nil"/>
                    <w:left w:val="nil"/>
                    <w:bottom w:val="nil"/>
                    <w:right w:val="nil"/>
                  </w:tcBorders>
                  <w:noWrap/>
                  <w:vAlign w:val="bottom"/>
                </w:tcPr>
                <w:p w:rsidR="000C4806" w:rsidRPr="001974CC" w:rsidRDefault="000C4806" w:rsidP="00F17841">
                  <w:pPr>
                    <w:spacing w:line="240" w:lineRule="auto"/>
                    <w:rPr>
                      <w:rFonts w:ascii="Times New Roman" w:hAnsi="Times New Roman"/>
                      <w:lang w:eastAsia="pl-PL"/>
                    </w:rPr>
                  </w:pPr>
                </w:p>
              </w:tc>
              <w:tc>
                <w:tcPr>
                  <w:tcW w:w="1984" w:type="dxa"/>
                  <w:tcBorders>
                    <w:top w:val="nil"/>
                    <w:left w:val="nil"/>
                    <w:bottom w:val="nil"/>
                    <w:right w:val="nil"/>
                  </w:tcBorders>
                  <w:noWrap/>
                  <w:vAlign w:val="bottom"/>
                </w:tcPr>
                <w:p w:rsidR="000C4806" w:rsidRPr="001974CC" w:rsidRDefault="000C4806" w:rsidP="00F17841">
                  <w:pPr>
                    <w:spacing w:line="240" w:lineRule="auto"/>
                    <w:rPr>
                      <w:rFonts w:ascii="Times New Roman" w:hAnsi="Times New Roman"/>
                      <w:lang w:eastAsia="pl-PL"/>
                    </w:rPr>
                  </w:pPr>
                </w:p>
              </w:tc>
              <w:tc>
                <w:tcPr>
                  <w:tcW w:w="1985" w:type="dxa"/>
                  <w:tcBorders>
                    <w:top w:val="nil"/>
                    <w:left w:val="nil"/>
                    <w:bottom w:val="nil"/>
                    <w:right w:val="nil"/>
                  </w:tcBorders>
                  <w:noWrap/>
                  <w:vAlign w:val="bottom"/>
                </w:tcPr>
                <w:p w:rsidR="000C4806" w:rsidRPr="001974CC" w:rsidRDefault="000C4806" w:rsidP="00F17841">
                  <w:pPr>
                    <w:tabs>
                      <w:tab w:val="center" w:pos="4536"/>
                      <w:tab w:val="right" w:pos="9072"/>
                    </w:tabs>
                    <w:spacing w:line="240" w:lineRule="auto"/>
                    <w:jc w:val="right"/>
                    <w:rPr>
                      <w:rFonts w:ascii="Times New Roman" w:hAnsi="Times New Roman"/>
                      <w:lang w:eastAsia="pl-PL"/>
                    </w:rPr>
                  </w:pPr>
                  <w:r w:rsidRPr="001974CC">
                    <w:rPr>
                      <w:rFonts w:ascii="Times New Roman" w:hAnsi="Times New Roman"/>
                      <w:lang w:eastAsia="pl-PL"/>
                    </w:rPr>
                    <w:t>w zł</w:t>
                  </w:r>
                </w:p>
              </w:tc>
            </w:tr>
            <w:tr w:rsidR="000C4806" w:rsidRPr="001974CC" w:rsidTr="000C4806">
              <w:trPr>
                <w:trHeight w:val="765"/>
              </w:trPr>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4806" w:rsidRPr="001974CC" w:rsidRDefault="000C4806" w:rsidP="00F17841">
                  <w:pPr>
                    <w:tabs>
                      <w:tab w:val="center" w:pos="4536"/>
                      <w:tab w:val="right" w:pos="9072"/>
                    </w:tabs>
                    <w:spacing w:line="240" w:lineRule="auto"/>
                    <w:jc w:val="center"/>
                    <w:rPr>
                      <w:rFonts w:ascii="Times New Roman" w:hAnsi="Times New Roman"/>
                      <w:b/>
                      <w:bCs/>
                      <w:i/>
                      <w:iCs/>
                      <w:lang w:eastAsia="pl-PL"/>
                    </w:rPr>
                  </w:pPr>
                  <w:r w:rsidRPr="001974CC">
                    <w:rPr>
                      <w:rFonts w:ascii="Times New Roman" w:hAnsi="Times New Roman"/>
                      <w:b/>
                      <w:bCs/>
                      <w:i/>
                      <w:iCs/>
                      <w:lang w:eastAsia="pl-PL"/>
                    </w:rPr>
                    <w:t>Tytuł</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4806" w:rsidRPr="001974CC" w:rsidRDefault="000C4806" w:rsidP="00F17841">
                  <w:pPr>
                    <w:tabs>
                      <w:tab w:val="center" w:pos="4536"/>
                      <w:tab w:val="right" w:pos="9072"/>
                    </w:tabs>
                    <w:spacing w:line="240" w:lineRule="auto"/>
                    <w:jc w:val="center"/>
                    <w:rPr>
                      <w:rFonts w:ascii="Times New Roman" w:hAnsi="Times New Roman"/>
                      <w:b/>
                      <w:bCs/>
                      <w:i/>
                      <w:iCs/>
                      <w:lang w:eastAsia="pl-PL"/>
                    </w:rPr>
                  </w:pPr>
                  <w:r w:rsidRPr="001974CC">
                    <w:rPr>
                      <w:rFonts w:ascii="Times New Roman" w:hAnsi="Times New Roman"/>
                      <w:b/>
                      <w:bCs/>
                      <w:i/>
                      <w:iCs/>
                      <w:lang w:eastAsia="pl-PL"/>
                    </w:rPr>
                    <w:t>Roczne koszty na 1 pracownika ksc</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4806" w:rsidRPr="001974CC" w:rsidRDefault="000C4806" w:rsidP="00F17841">
                  <w:pPr>
                    <w:tabs>
                      <w:tab w:val="center" w:pos="4536"/>
                      <w:tab w:val="right" w:pos="9072"/>
                    </w:tabs>
                    <w:spacing w:line="240" w:lineRule="auto"/>
                    <w:jc w:val="center"/>
                    <w:rPr>
                      <w:rFonts w:ascii="Times New Roman" w:hAnsi="Times New Roman"/>
                      <w:b/>
                      <w:bCs/>
                      <w:i/>
                      <w:iCs/>
                      <w:lang w:eastAsia="pl-PL"/>
                    </w:rPr>
                  </w:pPr>
                  <w:r w:rsidRPr="001974CC">
                    <w:rPr>
                      <w:rFonts w:ascii="Times New Roman" w:hAnsi="Times New Roman"/>
                      <w:b/>
                      <w:bCs/>
                      <w:i/>
                      <w:iCs/>
                      <w:lang w:eastAsia="pl-PL"/>
                    </w:rPr>
                    <w:t>roczne koszty na 5 pracowników ksc.</w:t>
                  </w:r>
                </w:p>
              </w:tc>
            </w:tr>
            <w:tr w:rsidR="000C4806" w:rsidRPr="001974CC" w:rsidTr="000C4806">
              <w:trPr>
                <w:trHeight w:val="48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rPr>
                      <w:rFonts w:ascii="Times New Roman" w:hAnsi="Times New Roman"/>
                      <w:lang w:eastAsia="pl-PL"/>
                    </w:rPr>
                  </w:pPr>
                  <w:r w:rsidRPr="001974CC">
                    <w:rPr>
                      <w:rFonts w:ascii="Times New Roman" w:hAnsi="Times New Roman"/>
                      <w:lang w:eastAsia="pl-PL"/>
                    </w:rPr>
                    <w:t>wynagrodzenia i pochodne dla 5 pracowników DO</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jc w:val="right"/>
                    <w:rPr>
                      <w:rFonts w:ascii="Times New Roman" w:hAnsi="Times New Roman"/>
                      <w:lang w:eastAsia="pl-PL"/>
                    </w:rPr>
                  </w:pPr>
                  <w:r w:rsidRPr="001974CC">
                    <w:rPr>
                      <w:rFonts w:ascii="Times New Roman" w:hAnsi="Times New Roman"/>
                      <w:lang w:eastAsia="pl-PL"/>
                    </w:rPr>
                    <w:t>76 137</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jc w:val="right"/>
                    <w:rPr>
                      <w:rFonts w:ascii="Times New Roman" w:hAnsi="Times New Roman"/>
                      <w:lang w:eastAsia="pl-PL"/>
                    </w:rPr>
                  </w:pPr>
                  <w:r w:rsidRPr="001974CC">
                    <w:rPr>
                      <w:rFonts w:ascii="Times New Roman" w:hAnsi="Times New Roman"/>
                      <w:lang w:eastAsia="pl-PL"/>
                    </w:rPr>
                    <w:t>380 685</w:t>
                  </w:r>
                </w:p>
              </w:tc>
            </w:tr>
            <w:tr w:rsidR="000C4806" w:rsidRPr="001974CC" w:rsidTr="000C4806">
              <w:trPr>
                <w:trHeight w:val="48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t>dodatkowe wynagrodzenie roczne dla 5 nowych pracowników DO</w:t>
                  </w:r>
                  <w:r w:rsidR="00274130">
                    <w:rPr>
                      <w:rFonts w:ascii="Times New Roman" w:hAnsi="Times New Roman"/>
                      <w:lang w:eastAsia="pl-PL"/>
                    </w:rPr>
                    <w:t>,</w:t>
                  </w:r>
                  <w:r w:rsidRPr="001974CC">
                    <w:rPr>
                      <w:rFonts w:ascii="Times New Roman" w:hAnsi="Times New Roman"/>
                      <w:lang w:eastAsia="pl-PL"/>
                    </w:rPr>
                    <w:t xml:space="preserve"> począwszy od 2017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6 471</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32 358</w:t>
                  </w:r>
                </w:p>
              </w:tc>
            </w:tr>
            <w:tr w:rsidR="000C4806" w:rsidRPr="001974CC" w:rsidTr="000C4806">
              <w:trPr>
                <w:trHeight w:val="51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t>powierzchnia biurowa</w:t>
                  </w:r>
                  <w:r w:rsidR="001974CC">
                    <w:rPr>
                      <w:rFonts w:ascii="Times New Roman" w:hAnsi="Times New Roman"/>
                      <w:lang w:eastAsia="pl-PL"/>
                    </w:rPr>
                    <w:t xml:space="preserve"> – </w:t>
                  </w:r>
                  <w:r w:rsidRPr="001974CC">
                    <w:rPr>
                      <w:rFonts w:ascii="Times New Roman" w:hAnsi="Times New Roman"/>
                      <w:lang w:eastAsia="pl-PL"/>
                    </w:rPr>
                    <w:t>63 m</w:t>
                  </w:r>
                  <w:r w:rsidRPr="001974CC">
                    <w:rPr>
                      <w:rFonts w:ascii="Times New Roman" w:hAnsi="Times New Roman"/>
                      <w:vertAlign w:val="superscript"/>
                      <w:lang w:eastAsia="pl-PL"/>
                    </w:rPr>
                    <w:t>2</w:t>
                  </w:r>
                  <w:r w:rsidRPr="001974CC">
                    <w:rPr>
                      <w:rFonts w:ascii="Times New Roman" w:hAnsi="Times New Roman"/>
                      <w:lang w:eastAsia="pl-PL"/>
                    </w:rPr>
                    <w:t xml:space="preserve"> </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85</w:t>
                  </w:r>
                  <w:r w:rsidR="002E32C0">
                    <w:rPr>
                      <w:rFonts w:ascii="Times New Roman" w:hAnsi="Times New Roman"/>
                      <w:lang w:eastAsia="pl-PL"/>
                    </w:rPr>
                    <w:t xml:space="preserve"> </w:t>
                  </w:r>
                  <w:r w:rsidRPr="001974CC">
                    <w:rPr>
                      <w:rFonts w:ascii="Times New Roman" w:hAnsi="Times New Roman"/>
                      <w:lang w:eastAsia="pl-PL"/>
                    </w:rPr>
                    <w:t>000</w:t>
                  </w:r>
                </w:p>
              </w:tc>
            </w:tr>
            <w:tr w:rsidR="000C4806" w:rsidRPr="001974CC" w:rsidTr="000C4806">
              <w:trPr>
                <w:trHeight w:val="96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t>dostęp do systemów informacji prawnej oraz innego niezbędnego oprogramowania (m.in. edytor tekstu, poczta elektroniczna)</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400</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2000</w:t>
                  </w:r>
                </w:p>
              </w:tc>
            </w:tr>
            <w:tr w:rsidR="000C4806" w:rsidRPr="001974CC" w:rsidTr="000C4806">
              <w:trPr>
                <w:trHeight w:val="57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6D0890">
                  <w:pPr>
                    <w:spacing w:line="240" w:lineRule="auto"/>
                    <w:rPr>
                      <w:rFonts w:ascii="Times New Roman" w:hAnsi="Times New Roman"/>
                      <w:lang w:eastAsia="pl-PL"/>
                    </w:rPr>
                  </w:pPr>
                  <w:r w:rsidRPr="001974CC">
                    <w:rPr>
                      <w:rFonts w:ascii="Times New Roman" w:hAnsi="Times New Roman"/>
                      <w:lang w:eastAsia="pl-PL"/>
                    </w:rPr>
                    <w:t xml:space="preserve">wyposażenie biurowe </w:t>
                  </w:r>
                  <w:r w:rsidR="006D0890" w:rsidRPr="001974CC">
                    <w:rPr>
                      <w:rFonts w:ascii="Times New Roman" w:hAnsi="Times New Roman"/>
                      <w:lang w:eastAsia="pl-PL"/>
                    </w:rPr>
                    <w:t>(</w:t>
                  </w:r>
                  <w:r w:rsidR="007D581D">
                    <w:rPr>
                      <w:rFonts w:ascii="Times New Roman" w:hAnsi="Times New Roman"/>
                      <w:lang w:eastAsia="pl-PL"/>
                    </w:rPr>
                    <w:t>wydatek jednorazowy w </w:t>
                  </w:r>
                  <w:r w:rsidRPr="001974CC">
                    <w:rPr>
                      <w:rFonts w:ascii="Times New Roman" w:hAnsi="Times New Roman"/>
                      <w:lang w:eastAsia="pl-PL"/>
                    </w:rPr>
                    <w:t>2016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2 500</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b/>
                      <w:lang w:eastAsia="pl-PL"/>
                    </w:rPr>
                  </w:pPr>
                  <w:r w:rsidRPr="001974CC">
                    <w:rPr>
                      <w:rFonts w:ascii="Times New Roman" w:hAnsi="Times New Roman"/>
                      <w:b/>
                      <w:lang w:eastAsia="pl-PL"/>
                    </w:rPr>
                    <w:t>12 500</w:t>
                  </w:r>
                </w:p>
              </w:tc>
            </w:tr>
            <w:tr w:rsidR="000C4806" w:rsidRPr="001974CC" w:rsidTr="000C4806">
              <w:trPr>
                <w:trHeight w:val="69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6D0890">
                  <w:pPr>
                    <w:spacing w:line="240" w:lineRule="auto"/>
                    <w:rPr>
                      <w:rFonts w:ascii="Times New Roman" w:hAnsi="Times New Roman"/>
                      <w:lang w:eastAsia="pl-PL"/>
                    </w:rPr>
                  </w:pPr>
                  <w:r w:rsidRPr="001974CC">
                    <w:rPr>
                      <w:rFonts w:ascii="Times New Roman" w:hAnsi="Times New Roman"/>
                      <w:lang w:eastAsia="pl-PL"/>
                    </w:rPr>
                    <w:t xml:space="preserve">sprzęt komputerowy </w:t>
                  </w:r>
                  <w:r w:rsidR="00274130">
                    <w:rPr>
                      <w:rFonts w:ascii="Times New Roman" w:hAnsi="Times New Roman"/>
                      <w:lang w:eastAsia="pl-PL"/>
                    </w:rPr>
                    <w:t>(</w:t>
                  </w:r>
                  <w:r w:rsidRPr="001974CC">
                    <w:rPr>
                      <w:rFonts w:ascii="Times New Roman" w:hAnsi="Times New Roman"/>
                      <w:lang w:eastAsia="pl-PL"/>
                    </w:rPr>
                    <w:t xml:space="preserve">wydatek jednorazowy </w:t>
                  </w:r>
                  <w:r w:rsidR="001974CC">
                    <w:rPr>
                      <w:rFonts w:ascii="Times New Roman" w:hAnsi="Times New Roman"/>
                      <w:lang w:eastAsia="pl-PL"/>
                    </w:rPr>
                    <w:t>–</w:t>
                  </w:r>
                  <w:r w:rsidRPr="001974CC">
                    <w:rPr>
                      <w:rFonts w:ascii="Times New Roman" w:hAnsi="Times New Roman"/>
                      <w:lang w:eastAsia="pl-PL"/>
                    </w:rPr>
                    <w:t xml:space="preserve"> wydatek majątkowy w 2016 r.)</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4 000</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b/>
                      <w:lang w:eastAsia="pl-PL"/>
                    </w:rPr>
                  </w:pPr>
                  <w:r w:rsidRPr="001974CC">
                    <w:rPr>
                      <w:rFonts w:ascii="Times New Roman" w:hAnsi="Times New Roman"/>
                      <w:b/>
                      <w:lang w:eastAsia="pl-PL"/>
                    </w:rPr>
                    <w:t>20 000</w:t>
                  </w:r>
                </w:p>
              </w:tc>
            </w:tr>
            <w:tr w:rsidR="000C4806" w:rsidRPr="001974CC" w:rsidTr="000C4806">
              <w:trPr>
                <w:trHeight w:val="750"/>
              </w:trPr>
              <w:tc>
                <w:tcPr>
                  <w:tcW w:w="4707" w:type="dxa"/>
                  <w:tcBorders>
                    <w:top w:val="nil"/>
                    <w:left w:val="single" w:sz="4" w:space="0" w:color="auto"/>
                    <w:bottom w:val="single" w:sz="4" w:space="0" w:color="auto"/>
                    <w:right w:val="single" w:sz="4" w:space="0" w:color="auto"/>
                  </w:tcBorders>
                  <w:vAlign w:val="center"/>
                </w:tcPr>
                <w:p w:rsidR="000C4806" w:rsidRPr="001974CC" w:rsidRDefault="000C4806" w:rsidP="00F17841">
                  <w:pPr>
                    <w:spacing w:line="240" w:lineRule="auto"/>
                    <w:rPr>
                      <w:rFonts w:ascii="Times New Roman" w:hAnsi="Times New Roman"/>
                      <w:lang w:eastAsia="pl-PL"/>
                    </w:rPr>
                  </w:pPr>
                  <w:r w:rsidRPr="001974CC">
                    <w:rPr>
                      <w:rFonts w:ascii="Times New Roman" w:hAnsi="Times New Roman"/>
                      <w:lang w:eastAsia="pl-PL"/>
                    </w:rPr>
                    <w:t xml:space="preserve">szkolenia i inne koszty, które obecnie są ponoszone w związku z zatrudnianiem i wykonywaniem zadań </w:t>
                  </w:r>
                </w:p>
              </w:tc>
              <w:tc>
                <w:tcPr>
                  <w:tcW w:w="1984" w:type="dxa"/>
                  <w:tcBorders>
                    <w:top w:val="nil"/>
                    <w:left w:val="nil"/>
                    <w:bottom w:val="single" w:sz="4" w:space="0" w:color="auto"/>
                    <w:right w:val="single" w:sz="4" w:space="0" w:color="auto"/>
                  </w:tcBorders>
                  <w:vAlign w:val="center"/>
                </w:tcPr>
                <w:p w:rsidR="000C4806" w:rsidRPr="001974CC" w:rsidRDefault="000C4806" w:rsidP="00F17841">
                  <w:pPr>
                    <w:spacing w:line="240" w:lineRule="auto"/>
                    <w:jc w:val="right"/>
                    <w:rPr>
                      <w:rFonts w:ascii="Times New Roman" w:hAnsi="Times New Roman"/>
                      <w:lang w:eastAsia="pl-PL"/>
                    </w:rPr>
                  </w:pPr>
                  <w:r w:rsidRPr="001974CC">
                    <w:rPr>
                      <w:rFonts w:ascii="Times New Roman" w:hAnsi="Times New Roman"/>
                      <w:lang w:eastAsia="pl-PL"/>
                    </w:rPr>
                    <w:t>2</w:t>
                  </w:r>
                  <w:r w:rsidR="002E32C0">
                    <w:rPr>
                      <w:rFonts w:ascii="Times New Roman" w:hAnsi="Times New Roman"/>
                      <w:lang w:eastAsia="pl-PL"/>
                    </w:rPr>
                    <w:t xml:space="preserve"> </w:t>
                  </w:r>
                  <w:r w:rsidRPr="001974CC">
                    <w:rPr>
                      <w:rFonts w:ascii="Times New Roman" w:hAnsi="Times New Roman"/>
                      <w:lang w:eastAsia="pl-PL"/>
                    </w:rPr>
                    <w:t>000</w:t>
                  </w:r>
                </w:p>
              </w:tc>
              <w:tc>
                <w:tcPr>
                  <w:tcW w:w="1985" w:type="dxa"/>
                  <w:tcBorders>
                    <w:top w:val="nil"/>
                    <w:left w:val="nil"/>
                    <w:bottom w:val="single" w:sz="4" w:space="0" w:color="auto"/>
                    <w:right w:val="single" w:sz="4" w:space="0" w:color="auto"/>
                  </w:tcBorders>
                  <w:vAlign w:val="center"/>
                </w:tcPr>
                <w:p w:rsidR="000C4806" w:rsidRPr="001974CC" w:rsidRDefault="000C4806" w:rsidP="00F17841">
                  <w:pPr>
                    <w:tabs>
                      <w:tab w:val="center" w:pos="4536"/>
                      <w:tab w:val="right" w:pos="9072"/>
                    </w:tabs>
                    <w:spacing w:line="240" w:lineRule="auto"/>
                    <w:jc w:val="right"/>
                    <w:rPr>
                      <w:rFonts w:ascii="Times New Roman" w:hAnsi="Times New Roman"/>
                      <w:lang w:eastAsia="pl-PL"/>
                    </w:rPr>
                  </w:pPr>
                  <w:r w:rsidRPr="001974CC">
                    <w:rPr>
                      <w:rFonts w:ascii="Times New Roman" w:hAnsi="Times New Roman"/>
                      <w:lang w:eastAsia="pl-PL"/>
                    </w:rPr>
                    <w:t>10</w:t>
                  </w:r>
                  <w:r w:rsidR="002E32C0">
                    <w:rPr>
                      <w:rFonts w:ascii="Times New Roman" w:hAnsi="Times New Roman"/>
                      <w:lang w:eastAsia="pl-PL"/>
                    </w:rPr>
                    <w:t xml:space="preserve"> </w:t>
                  </w:r>
                  <w:r w:rsidRPr="001974CC">
                    <w:rPr>
                      <w:rFonts w:ascii="Times New Roman" w:hAnsi="Times New Roman"/>
                      <w:lang w:eastAsia="pl-PL"/>
                    </w:rPr>
                    <w:t>000</w:t>
                  </w:r>
                </w:p>
              </w:tc>
            </w:tr>
          </w:tbl>
          <w:p w:rsidR="00C369C6" w:rsidRPr="001974CC" w:rsidRDefault="00C369C6" w:rsidP="004F356B">
            <w:pPr>
              <w:ind w:left="34"/>
              <w:contextualSpacing/>
              <w:jc w:val="both"/>
              <w:rPr>
                <w:rFonts w:ascii="Times New Roman" w:hAnsi="Times New Roman"/>
              </w:rPr>
            </w:pPr>
          </w:p>
          <w:p w:rsidR="007F27C4" w:rsidRPr="001974CC" w:rsidRDefault="007F27C4" w:rsidP="004F356B">
            <w:pPr>
              <w:ind w:left="34"/>
              <w:contextualSpacing/>
              <w:jc w:val="both"/>
              <w:rPr>
                <w:rFonts w:ascii="Times New Roman" w:hAnsi="Times New Roman"/>
              </w:rPr>
            </w:pPr>
            <w:r w:rsidRPr="001974CC">
              <w:rPr>
                <w:rFonts w:ascii="Times New Roman" w:hAnsi="Times New Roman"/>
              </w:rPr>
              <w:t>Planowana wysokość wynagrodzeń nowo</w:t>
            </w:r>
            <w:r w:rsidR="00100AC1">
              <w:rPr>
                <w:rFonts w:ascii="Times New Roman" w:hAnsi="Times New Roman"/>
              </w:rPr>
              <w:t xml:space="preserve"> </w:t>
            </w:r>
            <w:r w:rsidRPr="001974CC">
              <w:rPr>
                <w:rFonts w:ascii="Times New Roman" w:hAnsi="Times New Roman"/>
              </w:rPr>
              <w:t>zatrudnionych osób (na podstawie zlecenia i stosunku pracy) uwzględnia poziom wynagrodzeń osób zajmujących aktualnie odpowiednie stanowiska. Wyliczenia kosztów wynagrodzeń i pochodnych (19,55%) dla 5 etatów dokonano na podstawie średniego wynagrodzenia w UZP, które wynosi 5</w:t>
            </w:r>
            <w:r w:rsidR="00F338B2">
              <w:rPr>
                <w:rFonts w:ascii="Times New Roman" w:hAnsi="Times New Roman"/>
              </w:rPr>
              <w:t> </w:t>
            </w:r>
            <w:r w:rsidRPr="001974CC">
              <w:rPr>
                <w:rFonts w:ascii="Times New Roman" w:hAnsi="Times New Roman"/>
              </w:rPr>
              <w:t>307,19 zł (wyliczenia z ustawy budżetowej 2015</w:t>
            </w:r>
            <w:r w:rsidR="001974CC">
              <w:rPr>
                <w:rFonts w:ascii="Times New Roman" w:hAnsi="Times New Roman"/>
              </w:rPr>
              <w:t xml:space="preserve"> </w:t>
            </w:r>
            <w:r w:rsidRPr="001974CC">
              <w:rPr>
                <w:rFonts w:ascii="Times New Roman" w:hAnsi="Times New Roman"/>
              </w:rPr>
              <w:t>r.). Natomiast wyliczenia rocznego kosztu zatrudnienia 2 protokolantów to 2</w:t>
            </w:r>
            <w:r w:rsidR="001974CC">
              <w:rPr>
                <w:rFonts w:ascii="Times New Roman" w:hAnsi="Times New Roman"/>
              </w:rPr>
              <w:t>,</w:t>
            </w:r>
            <w:r w:rsidRPr="001974CC">
              <w:rPr>
                <w:rFonts w:ascii="Times New Roman" w:hAnsi="Times New Roman"/>
              </w:rPr>
              <w:t xml:space="preserve">5 tys. </w:t>
            </w:r>
            <w:r w:rsidR="001974CC">
              <w:rPr>
                <w:rFonts w:ascii="Times New Roman" w:hAnsi="Times New Roman"/>
              </w:rPr>
              <w:t>z</w:t>
            </w:r>
            <w:r w:rsidRPr="001974CC">
              <w:rPr>
                <w:rFonts w:ascii="Times New Roman" w:hAnsi="Times New Roman"/>
              </w:rPr>
              <w:t>ł</w:t>
            </w:r>
            <w:r w:rsidR="001974CC">
              <w:rPr>
                <w:rFonts w:ascii="Times New Roman" w:hAnsi="Times New Roman"/>
              </w:rPr>
              <w:t xml:space="preserve"> –</w:t>
            </w:r>
            <w:r w:rsidRPr="001974CC">
              <w:rPr>
                <w:rFonts w:ascii="Times New Roman" w:hAnsi="Times New Roman"/>
              </w:rPr>
              <w:t xml:space="preserve"> obecne miesięczne wynagrodzenie protokolantów * 2 osoby = 5 tys. zł *</w:t>
            </w:r>
            <w:r w:rsidR="001974CC">
              <w:rPr>
                <w:rFonts w:ascii="Times New Roman" w:hAnsi="Times New Roman"/>
              </w:rPr>
              <w:t xml:space="preserve"> </w:t>
            </w:r>
            <w:r w:rsidRPr="001974CC">
              <w:rPr>
                <w:rFonts w:ascii="Times New Roman" w:hAnsi="Times New Roman"/>
              </w:rPr>
              <w:t>12</w:t>
            </w:r>
            <w:r w:rsidR="001974CC">
              <w:rPr>
                <w:rFonts w:ascii="Times New Roman" w:hAnsi="Times New Roman"/>
              </w:rPr>
              <w:t xml:space="preserve"> </w:t>
            </w:r>
            <w:r w:rsidRPr="001974CC">
              <w:rPr>
                <w:rFonts w:ascii="Times New Roman" w:hAnsi="Times New Roman"/>
              </w:rPr>
              <w:t xml:space="preserve">miesięcy + pochodne w skali </w:t>
            </w:r>
            <w:r w:rsidR="001974CC">
              <w:rPr>
                <w:rFonts w:ascii="Times New Roman" w:hAnsi="Times New Roman"/>
              </w:rPr>
              <w:t>roku 11 </w:t>
            </w:r>
            <w:r w:rsidRPr="001974CC">
              <w:rPr>
                <w:rFonts w:ascii="Times New Roman" w:hAnsi="Times New Roman"/>
              </w:rPr>
              <w:t>730 zł (19,55%) =</w:t>
            </w:r>
            <w:r w:rsidR="001974CC">
              <w:rPr>
                <w:rFonts w:ascii="Times New Roman" w:hAnsi="Times New Roman"/>
              </w:rPr>
              <w:t xml:space="preserve"> </w:t>
            </w:r>
            <w:r w:rsidRPr="001974CC">
              <w:rPr>
                <w:rFonts w:ascii="Times New Roman" w:hAnsi="Times New Roman"/>
              </w:rPr>
              <w:t>71</w:t>
            </w:r>
            <w:r w:rsidR="001974CC">
              <w:rPr>
                <w:rFonts w:ascii="Times New Roman" w:hAnsi="Times New Roman"/>
              </w:rPr>
              <w:t> </w:t>
            </w:r>
            <w:r w:rsidRPr="001974CC">
              <w:rPr>
                <w:rFonts w:ascii="Times New Roman" w:hAnsi="Times New Roman"/>
              </w:rPr>
              <w:t>730 zł. W 2016 r. wynagrodzenia i pochodne dla nowo</w:t>
            </w:r>
            <w:r w:rsidR="00F338B2">
              <w:rPr>
                <w:rFonts w:ascii="Times New Roman" w:hAnsi="Times New Roman"/>
              </w:rPr>
              <w:t xml:space="preserve"> </w:t>
            </w:r>
            <w:r w:rsidRPr="001974CC">
              <w:rPr>
                <w:rFonts w:ascii="Times New Roman" w:hAnsi="Times New Roman"/>
              </w:rPr>
              <w:t>zatrudnionych osób na podstawie stosunku pracy i umowy zlecenia obliczono od kwietnia (planowany termin wejścia w życie projektu ustawy) do końca grudnia. W 2017 r. wysokość dodatkowego wynagrodzenia rocznego obliczono przy założeniu, że 5 nowych pracowników DO zostanie zatrudnionych od kwietnia 2016 r.</w:t>
            </w:r>
          </w:p>
          <w:p w:rsidR="007F27C4" w:rsidRPr="001974CC" w:rsidRDefault="007F27C4" w:rsidP="00F17841">
            <w:pPr>
              <w:jc w:val="both"/>
              <w:rPr>
                <w:rFonts w:ascii="Times New Roman" w:hAnsi="Times New Roman"/>
              </w:rPr>
            </w:pPr>
          </w:p>
          <w:p w:rsidR="007F27C4" w:rsidRPr="001974CC" w:rsidRDefault="007F27C4" w:rsidP="00F17841">
            <w:pPr>
              <w:jc w:val="both"/>
              <w:rPr>
                <w:rFonts w:ascii="Times New Roman" w:hAnsi="Times New Roman"/>
              </w:rPr>
            </w:pPr>
            <w:r w:rsidRPr="001974CC">
              <w:rPr>
                <w:rFonts w:ascii="Times New Roman" w:hAnsi="Times New Roman"/>
              </w:rPr>
              <w:t xml:space="preserve">Szacowany wzrost dochodów z tytułu wpisów od odwołań w związku </w:t>
            </w:r>
            <w:r w:rsidR="001C797A">
              <w:rPr>
                <w:rFonts w:ascii="Times New Roman" w:hAnsi="Times New Roman"/>
              </w:rPr>
              <w:t>ze wzrostem nie mniejszym niż o </w:t>
            </w:r>
            <w:r w:rsidRPr="001974CC">
              <w:rPr>
                <w:rFonts w:ascii="Times New Roman" w:hAnsi="Times New Roman"/>
                <w:b/>
                <w:u w:val="single"/>
              </w:rPr>
              <w:t>1000 rocznie</w:t>
            </w:r>
            <w:r w:rsidRPr="001974CC">
              <w:rPr>
                <w:rFonts w:ascii="Times New Roman" w:hAnsi="Times New Roman"/>
              </w:rPr>
              <w:t xml:space="preserve"> liczby rozpoznanych odwołań wniesionych w postępowaniach w sprawie udzielenia zamówień o wartościach poniżej progów unijnych, tj. wynoszących obecnie (nie planuje się dokonywani</w:t>
            </w:r>
            <w:r w:rsidR="00E415E8">
              <w:rPr>
                <w:rFonts w:ascii="Times New Roman" w:hAnsi="Times New Roman"/>
              </w:rPr>
              <w:t>a</w:t>
            </w:r>
            <w:r w:rsidRPr="001974CC">
              <w:rPr>
                <w:rFonts w:ascii="Times New Roman" w:hAnsi="Times New Roman"/>
              </w:rPr>
              <w:t xml:space="preserve"> w tym zakresie jakichkolwiek zmian)</w:t>
            </w:r>
            <w:r w:rsidR="00E415E8">
              <w:rPr>
                <w:rFonts w:ascii="Times New Roman" w:hAnsi="Times New Roman"/>
              </w:rPr>
              <w:t>,</w:t>
            </w:r>
            <w:r w:rsidRPr="001974CC">
              <w:rPr>
                <w:rFonts w:ascii="Times New Roman" w:hAnsi="Times New Roman"/>
              </w:rPr>
              <w:t xml:space="preserve"> </w:t>
            </w:r>
            <w:r w:rsidRPr="001974CC">
              <w:rPr>
                <w:rFonts w:ascii="Times New Roman" w:hAnsi="Times New Roman"/>
                <w:b/>
                <w:bCs/>
              </w:rPr>
              <w:t xml:space="preserve">to 4,8 mln zł rocznie. </w:t>
            </w:r>
            <w:r w:rsidRPr="001974CC">
              <w:rPr>
                <w:rFonts w:ascii="Times New Roman" w:hAnsi="Times New Roman"/>
              </w:rPr>
              <w:t>Przy szacowaniu kwoty stanowiącej zwiększenie dochodów z tytułu wpisów od odwołań wzięto pod uwagę następujące czynniki:</w:t>
            </w:r>
          </w:p>
          <w:p w:rsidR="007F27C4" w:rsidRPr="001974CC" w:rsidRDefault="007F27C4" w:rsidP="00F17841">
            <w:pPr>
              <w:jc w:val="both"/>
              <w:rPr>
                <w:rFonts w:ascii="Times New Roman" w:hAnsi="Times New Roman"/>
              </w:rPr>
            </w:pPr>
          </w:p>
          <w:p w:rsidR="007F27C4" w:rsidRPr="001974CC" w:rsidRDefault="007F27C4" w:rsidP="00F17841">
            <w:pPr>
              <w:numPr>
                <w:ilvl w:val="0"/>
                <w:numId w:val="34"/>
              </w:numPr>
              <w:spacing w:line="240" w:lineRule="auto"/>
              <w:jc w:val="both"/>
              <w:rPr>
                <w:rFonts w:ascii="Times New Roman" w:hAnsi="Times New Roman"/>
              </w:rPr>
            </w:pPr>
            <w:r w:rsidRPr="001974CC">
              <w:rPr>
                <w:rFonts w:ascii="Times New Roman" w:hAnsi="Times New Roman"/>
              </w:rPr>
              <w:t>Kwoty wpisów dot</w:t>
            </w:r>
            <w:r w:rsidR="002A00CD">
              <w:rPr>
                <w:rFonts w:ascii="Times New Roman" w:hAnsi="Times New Roman"/>
              </w:rPr>
              <w:t>yczące</w:t>
            </w:r>
            <w:r w:rsidRPr="001974CC">
              <w:rPr>
                <w:rFonts w:ascii="Times New Roman" w:hAnsi="Times New Roman"/>
              </w:rPr>
              <w:t xml:space="preserve"> odwołań w poszczególnych rodzajach zamówienia poniżej progów unijnych: roboty budowlane – 10 tys. zł, dostawy i usługi –</w:t>
            </w:r>
            <w:r w:rsidR="001974CC">
              <w:rPr>
                <w:rFonts w:ascii="Times New Roman" w:hAnsi="Times New Roman"/>
              </w:rPr>
              <w:t xml:space="preserve"> </w:t>
            </w:r>
            <w:r w:rsidRPr="001974CC">
              <w:rPr>
                <w:rFonts w:ascii="Times New Roman" w:hAnsi="Times New Roman"/>
              </w:rPr>
              <w:t xml:space="preserve">7,5 tys. zł </w:t>
            </w:r>
          </w:p>
          <w:p w:rsidR="007F27C4" w:rsidRPr="001974CC" w:rsidRDefault="007F27C4" w:rsidP="00F17841">
            <w:pPr>
              <w:numPr>
                <w:ilvl w:val="0"/>
                <w:numId w:val="34"/>
              </w:numPr>
              <w:spacing w:line="240" w:lineRule="auto"/>
              <w:jc w:val="both"/>
              <w:rPr>
                <w:rFonts w:ascii="Times New Roman" w:hAnsi="Times New Roman"/>
              </w:rPr>
            </w:pPr>
            <w:r w:rsidRPr="001974CC">
              <w:rPr>
                <w:rFonts w:ascii="Times New Roman" w:hAnsi="Times New Roman"/>
              </w:rPr>
              <w:t xml:space="preserve">Odsetek odwołań w postępowaniach na roboty budowlane oraz na dostawy i usługi (dane za 2014 r.) – odpowiednio 20% i 80% </w:t>
            </w:r>
          </w:p>
          <w:p w:rsidR="007F27C4" w:rsidRPr="001974CC" w:rsidRDefault="007F27C4" w:rsidP="00F17841">
            <w:pPr>
              <w:numPr>
                <w:ilvl w:val="0"/>
                <w:numId w:val="34"/>
              </w:numPr>
              <w:spacing w:line="240" w:lineRule="auto"/>
              <w:jc w:val="both"/>
              <w:rPr>
                <w:rFonts w:ascii="Times New Roman" w:hAnsi="Times New Roman"/>
              </w:rPr>
            </w:pPr>
            <w:r w:rsidRPr="001974CC">
              <w:rPr>
                <w:rFonts w:ascii="Times New Roman" w:hAnsi="Times New Roman"/>
              </w:rPr>
              <w:t>Zakładaną liczbę nowych odwołań (1000)</w:t>
            </w:r>
          </w:p>
          <w:p w:rsidR="007F27C4" w:rsidRPr="001974CC" w:rsidRDefault="007F27C4" w:rsidP="00F17841">
            <w:pPr>
              <w:numPr>
                <w:ilvl w:val="0"/>
                <w:numId w:val="34"/>
              </w:numPr>
              <w:spacing w:line="240" w:lineRule="auto"/>
              <w:jc w:val="both"/>
              <w:rPr>
                <w:rFonts w:ascii="Times New Roman" w:hAnsi="Times New Roman"/>
              </w:rPr>
            </w:pPr>
            <w:r w:rsidRPr="001974CC">
              <w:rPr>
                <w:rFonts w:ascii="Times New Roman" w:hAnsi="Times New Roman"/>
              </w:rPr>
              <w:t>Odsetek odwołań, w których wpisu brak</w:t>
            </w:r>
            <w:r w:rsidR="001974CC">
              <w:rPr>
                <w:rFonts w:ascii="Times New Roman" w:hAnsi="Times New Roman"/>
              </w:rPr>
              <w:t xml:space="preserve"> lub podlega zwrotowi (ok. 40%).</w:t>
            </w:r>
          </w:p>
          <w:p w:rsidR="007F27C4" w:rsidRPr="001974CC" w:rsidRDefault="007F27C4" w:rsidP="00F17841">
            <w:pPr>
              <w:jc w:val="both"/>
              <w:rPr>
                <w:rFonts w:ascii="Times New Roman" w:hAnsi="Times New Roman"/>
              </w:rPr>
            </w:pP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 xml:space="preserve">Powyższe dane nie uwzględniają efektów, które mogą wystąpić w </w:t>
            </w:r>
            <w:r w:rsidR="001C797A">
              <w:rPr>
                <w:rFonts w:ascii="Times New Roman" w:hAnsi="Times New Roman"/>
              </w:rPr>
              <w:t>systemie zamówień publicznych w </w:t>
            </w:r>
            <w:r w:rsidRPr="001974CC">
              <w:rPr>
                <w:rFonts w:ascii="Times New Roman" w:hAnsi="Times New Roman"/>
              </w:rPr>
              <w:t xml:space="preserve">związku z projektowanymi regulacjami. Wydatki sektora finansów publicznych w średnim i długim okresie powinny, przy takim samym wolumenie zamówień, spaść z uwagi na obniżenie kosztów utrzymania urządzeń i infrastruktury nabywanych na podstawie kryteriów jakościowych i kosztu cyklu życia. </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lastRenderedPageBreak/>
              <w:t xml:space="preserve">Wyższe ceny usług i robót budowlanych spowodowane szerszym stosowaniem umów o pracę będą częściowo zrekompensowane wpływami z tytułu podatków i składek. Należy się spodziewać, że dochody niektórych podmiotów zostaną dzięki tym rozwiązaniom ujawnione, co przyniesie nowe środki do budżetów sektora finansów publicznych (w tym NFZ i FUS). </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Wskutek projektowanych zmian mogą zmniejszyć się wpływy z</w:t>
            </w:r>
            <w:r w:rsidR="001C797A">
              <w:rPr>
                <w:rFonts w:ascii="Times New Roman" w:hAnsi="Times New Roman"/>
              </w:rPr>
              <w:t xml:space="preserve"> tytułu wydawania zaświadczeń i </w:t>
            </w:r>
            <w:r w:rsidRPr="001974CC">
              <w:rPr>
                <w:rFonts w:ascii="Times New Roman" w:hAnsi="Times New Roman"/>
              </w:rPr>
              <w:t xml:space="preserve">odpisów, które obecnie wykonawcy zobowiązani są przedkładać zamawiającym. </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Dokładna skala przepływów finansowych nie może być precyzyjnie określona.</w:t>
            </w:r>
            <w:r w:rsidR="001974CC">
              <w:rPr>
                <w:rFonts w:ascii="Times New Roman" w:hAnsi="Times New Roman"/>
              </w:rPr>
              <w:t xml:space="preserve"> </w:t>
            </w:r>
          </w:p>
        </w:tc>
      </w:tr>
      <w:tr w:rsidR="007F27C4" w:rsidRPr="001974CC" w:rsidTr="00D41C64">
        <w:trPr>
          <w:trHeight w:val="345"/>
        </w:trPr>
        <w:tc>
          <w:tcPr>
            <w:tcW w:w="10937" w:type="dxa"/>
            <w:gridSpan w:val="28"/>
            <w:shd w:val="clear" w:color="auto" w:fill="99CCFF"/>
          </w:tcPr>
          <w:p w:rsidR="007F27C4" w:rsidRPr="001974CC" w:rsidRDefault="007F27C4" w:rsidP="00F17841">
            <w:pPr>
              <w:numPr>
                <w:ilvl w:val="0"/>
                <w:numId w:val="3"/>
              </w:numPr>
              <w:spacing w:before="120" w:after="120" w:line="240" w:lineRule="auto"/>
              <w:jc w:val="both"/>
              <w:rPr>
                <w:rFonts w:ascii="Times New Roman" w:hAnsi="Times New Roman"/>
                <w:b/>
              </w:rPr>
            </w:pPr>
            <w:r w:rsidRPr="001974CC">
              <w:rPr>
                <w:rFonts w:ascii="Times New Roman" w:hAnsi="Times New Roman"/>
                <w:b/>
              </w:rPr>
              <w:lastRenderedPageBreak/>
              <w:t xml:space="preserve">Wpływ na konkurencyjność gospodarki i przedsiębiorczość, w tym funkcjonowanie przedsiębiorców oraz na rodzinę, obywateli i gospodarstwa domowe </w:t>
            </w:r>
          </w:p>
        </w:tc>
      </w:tr>
      <w:tr w:rsidR="007F27C4" w:rsidRPr="001974CC" w:rsidTr="00D41C64">
        <w:trPr>
          <w:trHeight w:val="142"/>
        </w:trPr>
        <w:tc>
          <w:tcPr>
            <w:tcW w:w="10937" w:type="dxa"/>
            <w:gridSpan w:val="28"/>
            <w:shd w:val="clear" w:color="auto" w:fill="FFFFFF"/>
          </w:tcPr>
          <w:p w:rsidR="007F27C4" w:rsidRPr="001974CC" w:rsidRDefault="007F27C4" w:rsidP="00F17841">
            <w:pPr>
              <w:spacing w:line="240" w:lineRule="auto"/>
              <w:jc w:val="center"/>
              <w:rPr>
                <w:rFonts w:ascii="Times New Roman" w:hAnsi="Times New Roman"/>
              </w:rPr>
            </w:pPr>
            <w:r w:rsidRPr="001974CC">
              <w:rPr>
                <w:rFonts w:ascii="Times New Roman" w:hAnsi="Times New Roman"/>
              </w:rPr>
              <w:t>Skutki</w:t>
            </w:r>
          </w:p>
        </w:tc>
      </w:tr>
      <w:tr w:rsidR="001974CC" w:rsidRPr="001974CC" w:rsidTr="001974CC">
        <w:trPr>
          <w:trHeight w:val="142"/>
        </w:trPr>
        <w:tc>
          <w:tcPr>
            <w:tcW w:w="3403" w:type="dxa"/>
            <w:gridSpan w:val="7"/>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Czas w latach od wejścia w życie zmian</w:t>
            </w:r>
          </w:p>
        </w:tc>
        <w:tc>
          <w:tcPr>
            <w:tcW w:w="992" w:type="dxa"/>
            <w:gridSpan w:val="3"/>
            <w:shd w:val="clear" w:color="auto" w:fill="FFFFFF"/>
          </w:tcPr>
          <w:p w:rsidR="007F27C4" w:rsidRPr="001974CC" w:rsidRDefault="007F27C4" w:rsidP="00F17841">
            <w:pPr>
              <w:spacing w:line="240" w:lineRule="auto"/>
              <w:jc w:val="center"/>
              <w:rPr>
                <w:rFonts w:ascii="Times New Roman" w:hAnsi="Times New Roman"/>
              </w:rPr>
            </w:pPr>
            <w:r w:rsidRPr="001974CC">
              <w:rPr>
                <w:rFonts w:ascii="Times New Roman" w:hAnsi="Times New Roman"/>
              </w:rPr>
              <w:t>0</w:t>
            </w:r>
          </w:p>
        </w:tc>
        <w:tc>
          <w:tcPr>
            <w:tcW w:w="1134" w:type="dxa"/>
            <w:gridSpan w:val="3"/>
            <w:shd w:val="clear" w:color="auto" w:fill="FFFFFF"/>
          </w:tcPr>
          <w:p w:rsidR="007F27C4" w:rsidRPr="001974CC" w:rsidRDefault="007F27C4" w:rsidP="00F17841">
            <w:pPr>
              <w:spacing w:line="240" w:lineRule="auto"/>
              <w:jc w:val="center"/>
              <w:rPr>
                <w:rFonts w:ascii="Times New Roman" w:hAnsi="Times New Roman"/>
              </w:rPr>
            </w:pPr>
            <w:r w:rsidRPr="001974CC">
              <w:rPr>
                <w:rFonts w:ascii="Times New Roman" w:hAnsi="Times New Roman"/>
              </w:rPr>
              <w:t>1</w:t>
            </w:r>
          </w:p>
        </w:tc>
        <w:tc>
          <w:tcPr>
            <w:tcW w:w="992" w:type="dxa"/>
            <w:gridSpan w:val="3"/>
            <w:shd w:val="clear" w:color="auto" w:fill="FFFFFF"/>
          </w:tcPr>
          <w:p w:rsidR="007F27C4" w:rsidRPr="001974CC" w:rsidRDefault="007F27C4" w:rsidP="00F17841">
            <w:pPr>
              <w:spacing w:line="240" w:lineRule="auto"/>
              <w:jc w:val="center"/>
              <w:rPr>
                <w:rFonts w:ascii="Times New Roman" w:hAnsi="Times New Roman"/>
              </w:rPr>
            </w:pPr>
            <w:r w:rsidRPr="001974CC">
              <w:rPr>
                <w:rFonts w:ascii="Times New Roman" w:hAnsi="Times New Roman"/>
              </w:rPr>
              <w:t>2</w:t>
            </w:r>
          </w:p>
        </w:tc>
        <w:tc>
          <w:tcPr>
            <w:tcW w:w="1130" w:type="dxa"/>
            <w:gridSpan w:val="4"/>
            <w:shd w:val="clear" w:color="auto" w:fill="FFFFFF"/>
          </w:tcPr>
          <w:p w:rsidR="007F27C4" w:rsidRPr="001974CC" w:rsidRDefault="007F27C4" w:rsidP="00F17841">
            <w:pPr>
              <w:spacing w:line="240" w:lineRule="auto"/>
              <w:jc w:val="center"/>
              <w:rPr>
                <w:rFonts w:ascii="Times New Roman" w:hAnsi="Times New Roman"/>
              </w:rPr>
            </w:pPr>
            <w:r w:rsidRPr="001974CC">
              <w:rPr>
                <w:rFonts w:ascii="Times New Roman" w:hAnsi="Times New Roman"/>
              </w:rPr>
              <w:t>3</w:t>
            </w:r>
          </w:p>
        </w:tc>
        <w:tc>
          <w:tcPr>
            <w:tcW w:w="1134" w:type="dxa"/>
            <w:gridSpan w:val="4"/>
            <w:shd w:val="clear" w:color="auto" w:fill="FFFFFF"/>
          </w:tcPr>
          <w:p w:rsidR="007F27C4" w:rsidRPr="001974CC" w:rsidRDefault="007F27C4" w:rsidP="00F17841">
            <w:pPr>
              <w:spacing w:line="240" w:lineRule="auto"/>
              <w:jc w:val="center"/>
              <w:rPr>
                <w:rFonts w:ascii="Times New Roman" w:hAnsi="Times New Roman"/>
              </w:rPr>
            </w:pPr>
            <w:r w:rsidRPr="001974CC">
              <w:rPr>
                <w:rFonts w:ascii="Times New Roman" w:hAnsi="Times New Roman"/>
              </w:rPr>
              <w:t>5</w:t>
            </w:r>
          </w:p>
        </w:tc>
        <w:tc>
          <w:tcPr>
            <w:tcW w:w="1138" w:type="dxa"/>
            <w:gridSpan w:val="2"/>
            <w:shd w:val="clear" w:color="auto" w:fill="FFFFFF"/>
          </w:tcPr>
          <w:p w:rsidR="007F27C4" w:rsidRPr="001974CC" w:rsidRDefault="007F27C4" w:rsidP="00F17841">
            <w:pPr>
              <w:spacing w:line="240" w:lineRule="auto"/>
              <w:jc w:val="center"/>
              <w:rPr>
                <w:rFonts w:ascii="Times New Roman" w:hAnsi="Times New Roman"/>
              </w:rPr>
            </w:pPr>
            <w:r w:rsidRPr="001974CC">
              <w:rPr>
                <w:rFonts w:ascii="Times New Roman" w:hAnsi="Times New Roman"/>
              </w:rPr>
              <w:t>10</w:t>
            </w:r>
          </w:p>
        </w:tc>
        <w:tc>
          <w:tcPr>
            <w:tcW w:w="1014" w:type="dxa"/>
            <w:gridSpan w:val="2"/>
            <w:shd w:val="clear" w:color="auto" w:fill="FFFFFF"/>
          </w:tcPr>
          <w:p w:rsidR="007F27C4" w:rsidRPr="001974CC" w:rsidRDefault="007F27C4" w:rsidP="00F17841">
            <w:pPr>
              <w:spacing w:line="240" w:lineRule="auto"/>
              <w:jc w:val="center"/>
              <w:rPr>
                <w:rFonts w:ascii="Times New Roman" w:hAnsi="Times New Roman"/>
                <w:i/>
              </w:rPr>
            </w:pPr>
            <w:r w:rsidRPr="001974CC">
              <w:rPr>
                <w:rFonts w:ascii="Times New Roman" w:hAnsi="Times New Roman"/>
                <w:i/>
              </w:rPr>
              <w:t>Łącznie</w:t>
            </w:r>
            <w:r w:rsidRPr="001974CC" w:rsidDel="0073273A">
              <w:rPr>
                <w:rFonts w:ascii="Times New Roman" w:hAnsi="Times New Roman"/>
                <w:i/>
              </w:rPr>
              <w:t xml:space="preserve"> </w:t>
            </w:r>
            <w:r w:rsidR="001974CC">
              <w:rPr>
                <w:rFonts w:ascii="Times New Roman" w:hAnsi="Times New Roman"/>
                <w:i/>
              </w:rPr>
              <w:br/>
            </w:r>
            <w:r w:rsidRPr="001974CC">
              <w:rPr>
                <w:rFonts w:ascii="Times New Roman" w:hAnsi="Times New Roman"/>
                <w:i/>
              </w:rPr>
              <w:t>(0</w:t>
            </w:r>
            <w:r w:rsidR="001974CC">
              <w:rPr>
                <w:rFonts w:ascii="Times New Roman" w:hAnsi="Times New Roman"/>
                <w:i/>
              </w:rPr>
              <w:t>–</w:t>
            </w:r>
            <w:r w:rsidRPr="001974CC">
              <w:rPr>
                <w:rFonts w:ascii="Times New Roman" w:hAnsi="Times New Roman"/>
                <w:i/>
              </w:rPr>
              <w:t>10)</w:t>
            </w:r>
          </w:p>
        </w:tc>
      </w:tr>
      <w:tr w:rsidR="001974CC" w:rsidRPr="001974CC" w:rsidTr="001974CC">
        <w:trPr>
          <w:trHeight w:val="142"/>
        </w:trPr>
        <w:tc>
          <w:tcPr>
            <w:tcW w:w="1588" w:type="dxa"/>
            <w:gridSpan w:val="2"/>
            <w:vMerge w:val="restart"/>
            <w:shd w:val="clear" w:color="auto" w:fill="FFFFFF"/>
          </w:tcPr>
          <w:p w:rsidR="007F27C4" w:rsidRPr="001974CC" w:rsidRDefault="007F27C4" w:rsidP="00F17841">
            <w:pPr>
              <w:rPr>
                <w:rFonts w:ascii="Times New Roman" w:hAnsi="Times New Roman"/>
              </w:rPr>
            </w:pPr>
            <w:r w:rsidRPr="001974CC">
              <w:rPr>
                <w:rFonts w:ascii="Times New Roman" w:hAnsi="Times New Roman"/>
              </w:rPr>
              <w:t>W ujęciu pieniężnym</w:t>
            </w:r>
          </w:p>
          <w:p w:rsidR="007F27C4" w:rsidRPr="001974CC" w:rsidRDefault="007F27C4" w:rsidP="00F17841">
            <w:pPr>
              <w:rPr>
                <w:rFonts w:ascii="Times New Roman" w:hAnsi="Times New Roman"/>
              </w:rPr>
            </w:pPr>
            <w:r w:rsidRPr="001974CC">
              <w:rPr>
                <w:rFonts w:ascii="Times New Roman" w:hAnsi="Times New Roman"/>
              </w:rPr>
              <w:t xml:space="preserve">(w mln zł, </w:t>
            </w:r>
          </w:p>
          <w:p w:rsidR="007F27C4" w:rsidRPr="001974CC" w:rsidRDefault="00AB535B" w:rsidP="000C1217">
            <w:pPr>
              <w:spacing w:line="240" w:lineRule="auto"/>
              <w:rPr>
                <w:rFonts w:ascii="Times New Roman" w:hAnsi="Times New Roman"/>
              </w:rPr>
            </w:pPr>
            <w:r>
              <w:rPr>
                <w:rFonts w:ascii="Times New Roman" w:hAnsi="Times New Roman"/>
              </w:rPr>
              <w:t>ceny stałe z </w:t>
            </w:r>
            <w:r w:rsidR="000C1217" w:rsidRPr="001974CC">
              <w:rPr>
                <w:rFonts w:ascii="Times New Roman" w:hAnsi="Times New Roman"/>
              </w:rPr>
              <w:t>2015</w:t>
            </w:r>
            <w:r w:rsidR="007F27C4" w:rsidRPr="001974CC">
              <w:rPr>
                <w:rFonts w:ascii="Times New Roman" w:hAnsi="Times New Roman"/>
              </w:rPr>
              <w:t xml:space="preserve"> r.)</w:t>
            </w:r>
          </w:p>
        </w:tc>
        <w:tc>
          <w:tcPr>
            <w:tcW w:w="1815" w:type="dxa"/>
            <w:gridSpan w:val="5"/>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duże przedsiębiorstwa</w:t>
            </w:r>
          </w:p>
        </w:tc>
        <w:tc>
          <w:tcPr>
            <w:tcW w:w="992" w:type="dxa"/>
            <w:gridSpan w:val="3"/>
            <w:vMerge w:val="restart"/>
            <w:shd w:val="clear" w:color="auto" w:fill="FFFFFF"/>
          </w:tcPr>
          <w:p w:rsidR="007F27C4" w:rsidRPr="001974CC" w:rsidRDefault="007F27C4" w:rsidP="00F17841">
            <w:pPr>
              <w:spacing w:line="240" w:lineRule="auto"/>
              <w:rPr>
                <w:rFonts w:ascii="Times New Roman" w:hAnsi="Times New Roman"/>
                <w:b/>
                <w:sz w:val="16"/>
                <w:szCs w:val="16"/>
              </w:rPr>
            </w:pPr>
            <w:r w:rsidRPr="001974CC">
              <w:rPr>
                <w:rFonts w:ascii="Times New Roman" w:hAnsi="Times New Roman"/>
                <w:b/>
                <w:sz w:val="16"/>
                <w:szCs w:val="16"/>
              </w:rPr>
              <w:t>88,5955658</w:t>
            </w:r>
          </w:p>
        </w:tc>
        <w:tc>
          <w:tcPr>
            <w:tcW w:w="1134" w:type="dxa"/>
            <w:gridSpan w:val="3"/>
            <w:vMerge w:val="restart"/>
            <w:shd w:val="clear" w:color="auto" w:fill="FFFFFF"/>
          </w:tcPr>
          <w:p w:rsidR="007F27C4" w:rsidRPr="001974CC" w:rsidRDefault="007F27C4" w:rsidP="00F17841">
            <w:pPr>
              <w:spacing w:line="240" w:lineRule="auto"/>
              <w:rPr>
                <w:rFonts w:ascii="Times New Roman" w:hAnsi="Times New Roman"/>
                <w:b/>
                <w:sz w:val="16"/>
                <w:szCs w:val="16"/>
              </w:rPr>
            </w:pPr>
            <w:r w:rsidRPr="001974CC">
              <w:rPr>
                <w:rFonts w:ascii="Times New Roman" w:hAnsi="Times New Roman"/>
                <w:b/>
                <w:sz w:val="16"/>
                <w:szCs w:val="16"/>
              </w:rPr>
              <w:t>88,5955658</w:t>
            </w:r>
          </w:p>
        </w:tc>
        <w:tc>
          <w:tcPr>
            <w:tcW w:w="992" w:type="dxa"/>
            <w:gridSpan w:val="3"/>
            <w:vMerge w:val="restart"/>
            <w:shd w:val="clear" w:color="auto" w:fill="FFFFFF"/>
          </w:tcPr>
          <w:p w:rsidR="007F27C4" w:rsidRPr="001974CC" w:rsidRDefault="007F27C4" w:rsidP="00F17841">
            <w:pPr>
              <w:spacing w:line="240" w:lineRule="auto"/>
              <w:rPr>
                <w:rFonts w:ascii="Times New Roman" w:hAnsi="Times New Roman"/>
                <w:b/>
                <w:sz w:val="16"/>
                <w:szCs w:val="16"/>
              </w:rPr>
            </w:pPr>
            <w:r w:rsidRPr="001974CC">
              <w:rPr>
                <w:rFonts w:ascii="Times New Roman" w:hAnsi="Times New Roman"/>
                <w:b/>
                <w:sz w:val="16"/>
                <w:szCs w:val="16"/>
              </w:rPr>
              <w:t>88,5955658</w:t>
            </w:r>
          </w:p>
        </w:tc>
        <w:tc>
          <w:tcPr>
            <w:tcW w:w="1130" w:type="dxa"/>
            <w:gridSpan w:val="4"/>
            <w:vMerge w:val="restart"/>
            <w:shd w:val="clear" w:color="auto" w:fill="FFFFFF"/>
          </w:tcPr>
          <w:p w:rsidR="007F27C4" w:rsidRPr="001974CC" w:rsidRDefault="007F27C4" w:rsidP="00F17841">
            <w:pPr>
              <w:spacing w:line="240" w:lineRule="auto"/>
              <w:rPr>
                <w:rFonts w:ascii="Times New Roman" w:hAnsi="Times New Roman"/>
                <w:b/>
                <w:sz w:val="16"/>
                <w:szCs w:val="16"/>
              </w:rPr>
            </w:pPr>
            <w:r w:rsidRPr="001974CC">
              <w:rPr>
                <w:rFonts w:ascii="Times New Roman" w:hAnsi="Times New Roman"/>
                <w:b/>
                <w:sz w:val="16"/>
                <w:szCs w:val="16"/>
              </w:rPr>
              <w:t>88,5955658</w:t>
            </w:r>
          </w:p>
        </w:tc>
        <w:tc>
          <w:tcPr>
            <w:tcW w:w="1134" w:type="dxa"/>
            <w:gridSpan w:val="4"/>
            <w:vMerge w:val="restart"/>
            <w:shd w:val="clear" w:color="auto" w:fill="FFFFFF"/>
          </w:tcPr>
          <w:p w:rsidR="007F27C4" w:rsidRPr="001974CC" w:rsidRDefault="007F27C4" w:rsidP="00F17841">
            <w:pPr>
              <w:spacing w:line="240" w:lineRule="auto"/>
              <w:rPr>
                <w:rFonts w:ascii="Times New Roman" w:hAnsi="Times New Roman"/>
                <w:b/>
                <w:sz w:val="16"/>
                <w:szCs w:val="16"/>
              </w:rPr>
            </w:pPr>
            <w:r w:rsidRPr="001974CC">
              <w:rPr>
                <w:rFonts w:ascii="Times New Roman" w:hAnsi="Times New Roman"/>
                <w:b/>
                <w:sz w:val="16"/>
                <w:szCs w:val="16"/>
              </w:rPr>
              <w:t>88,5955658</w:t>
            </w:r>
          </w:p>
        </w:tc>
        <w:tc>
          <w:tcPr>
            <w:tcW w:w="1138" w:type="dxa"/>
            <w:gridSpan w:val="2"/>
            <w:vMerge w:val="restart"/>
            <w:shd w:val="clear" w:color="auto" w:fill="FFFFFF"/>
          </w:tcPr>
          <w:p w:rsidR="007F27C4" w:rsidRPr="001974CC" w:rsidRDefault="007F27C4" w:rsidP="00F17841">
            <w:pPr>
              <w:spacing w:line="240" w:lineRule="auto"/>
              <w:rPr>
                <w:rFonts w:ascii="Times New Roman" w:hAnsi="Times New Roman"/>
                <w:b/>
                <w:sz w:val="16"/>
                <w:szCs w:val="16"/>
              </w:rPr>
            </w:pPr>
            <w:r w:rsidRPr="001974CC">
              <w:rPr>
                <w:rFonts w:ascii="Times New Roman" w:hAnsi="Times New Roman"/>
                <w:b/>
                <w:sz w:val="16"/>
                <w:szCs w:val="16"/>
              </w:rPr>
              <w:t>88,5955658</w:t>
            </w:r>
          </w:p>
        </w:tc>
        <w:tc>
          <w:tcPr>
            <w:tcW w:w="1014" w:type="dxa"/>
            <w:gridSpan w:val="2"/>
            <w:vMerge w:val="restart"/>
            <w:shd w:val="clear" w:color="auto" w:fill="FFFFFF"/>
          </w:tcPr>
          <w:p w:rsidR="007F27C4" w:rsidRPr="001974CC" w:rsidRDefault="007F27C4" w:rsidP="00F17841">
            <w:pPr>
              <w:spacing w:line="240" w:lineRule="auto"/>
              <w:jc w:val="center"/>
              <w:rPr>
                <w:rFonts w:ascii="Times New Roman" w:hAnsi="Times New Roman"/>
                <w:b/>
                <w:sz w:val="16"/>
                <w:szCs w:val="16"/>
              </w:rPr>
            </w:pPr>
            <w:r w:rsidRPr="001974CC">
              <w:rPr>
                <w:rFonts w:ascii="Times New Roman" w:hAnsi="Times New Roman"/>
                <w:b/>
                <w:sz w:val="16"/>
                <w:szCs w:val="16"/>
              </w:rPr>
              <w:t>974,55</w:t>
            </w:r>
          </w:p>
        </w:tc>
      </w:tr>
      <w:tr w:rsidR="001974CC" w:rsidRPr="001974CC" w:rsidTr="001974CC">
        <w:trPr>
          <w:trHeight w:val="142"/>
        </w:trPr>
        <w:tc>
          <w:tcPr>
            <w:tcW w:w="1588" w:type="dxa"/>
            <w:gridSpan w:val="2"/>
            <w:vMerge/>
            <w:shd w:val="clear" w:color="auto" w:fill="FFFFFF"/>
          </w:tcPr>
          <w:p w:rsidR="007F27C4" w:rsidRPr="001974CC" w:rsidRDefault="007F27C4" w:rsidP="00F17841">
            <w:pPr>
              <w:spacing w:line="240" w:lineRule="auto"/>
              <w:rPr>
                <w:rFonts w:ascii="Times New Roman" w:hAnsi="Times New Roman"/>
              </w:rPr>
            </w:pPr>
          </w:p>
        </w:tc>
        <w:tc>
          <w:tcPr>
            <w:tcW w:w="1815" w:type="dxa"/>
            <w:gridSpan w:val="5"/>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sektor mikro-, małych i średnich przedsiębiorstw</w:t>
            </w:r>
          </w:p>
        </w:tc>
        <w:tc>
          <w:tcPr>
            <w:tcW w:w="992" w:type="dxa"/>
            <w:gridSpan w:val="3"/>
            <w:vMerge/>
            <w:shd w:val="clear" w:color="auto" w:fill="FFFFFF"/>
          </w:tcPr>
          <w:p w:rsidR="007F27C4" w:rsidRPr="001974CC" w:rsidRDefault="007F27C4" w:rsidP="00F17841">
            <w:pPr>
              <w:spacing w:line="240" w:lineRule="auto"/>
              <w:rPr>
                <w:rFonts w:ascii="Times New Roman" w:hAnsi="Times New Roman"/>
              </w:rPr>
            </w:pPr>
          </w:p>
        </w:tc>
        <w:tc>
          <w:tcPr>
            <w:tcW w:w="1134" w:type="dxa"/>
            <w:gridSpan w:val="3"/>
            <w:vMerge/>
            <w:shd w:val="clear" w:color="auto" w:fill="FFFFFF"/>
          </w:tcPr>
          <w:p w:rsidR="007F27C4" w:rsidRPr="001974CC" w:rsidRDefault="007F27C4" w:rsidP="00F17841">
            <w:pPr>
              <w:spacing w:line="240" w:lineRule="auto"/>
              <w:rPr>
                <w:rFonts w:ascii="Times New Roman" w:hAnsi="Times New Roman"/>
              </w:rPr>
            </w:pPr>
          </w:p>
        </w:tc>
        <w:tc>
          <w:tcPr>
            <w:tcW w:w="992" w:type="dxa"/>
            <w:gridSpan w:val="3"/>
            <w:vMerge/>
            <w:shd w:val="clear" w:color="auto" w:fill="FFFFFF"/>
          </w:tcPr>
          <w:p w:rsidR="007F27C4" w:rsidRPr="001974CC" w:rsidRDefault="007F27C4" w:rsidP="00F17841">
            <w:pPr>
              <w:spacing w:line="240" w:lineRule="auto"/>
              <w:rPr>
                <w:rFonts w:ascii="Times New Roman" w:hAnsi="Times New Roman"/>
              </w:rPr>
            </w:pPr>
          </w:p>
        </w:tc>
        <w:tc>
          <w:tcPr>
            <w:tcW w:w="1130" w:type="dxa"/>
            <w:gridSpan w:val="4"/>
            <w:vMerge/>
            <w:shd w:val="clear" w:color="auto" w:fill="FFFFFF"/>
          </w:tcPr>
          <w:p w:rsidR="007F27C4" w:rsidRPr="001974CC" w:rsidRDefault="007F27C4" w:rsidP="00F17841">
            <w:pPr>
              <w:spacing w:line="240" w:lineRule="auto"/>
              <w:rPr>
                <w:rFonts w:ascii="Times New Roman" w:hAnsi="Times New Roman"/>
              </w:rPr>
            </w:pPr>
          </w:p>
        </w:tc>
        <w:tc>
          <w:tcPr>
            <w:tcW w:w="1134" w:type="dxa"/>
            <w:gridSpan w:val="4"/>
            <w:vMerge/>
            <w:shd w:val="clear" w:color="auto" w:fill="FFFFFF"/>
          </w:tcPr>
          <w:p w:rsidR="007F27C4" w:rsidRPr="001974CC" w:rsidRDefault="007F27C4" w:rsidP="00F17841">
            <w:pPr>
              <w:spacing w:line="240" w:lineRule="auto"/>
              <w:rPr>
                <w:rFonts w:ascii="Times New Roman" w:hAnsi="Times New Roman"/>
              </w:rPr>
            </w:pPr>
          </w:p>
        </w:tc>
        <w:tc>
          <w:tcPr>
            <w:tcW w:w="1138" w:type="dxa"/>
            <w:gridSpan w:val="2"/>
            <w:vMerge/>
            <w:shd w:val="clear" w:color="auto" w:fill="FFFFFF"/>
          </w:tcPr>
          <w:p w:rsidR="007F27C4" w:rsidRPr="001974CC" w:rsidRDefault="007F27C4" w:rsidP="00F17841">
            <w:pPr>
              <w:spacing w:line="240" w:lineRule="auto"/>
              <w:rPr>
                <w:rFonts w:ascii="Times New Roman" w:hAnsi="Times New Roman"/>
              </w:rPr>
            </w:pPr>
          </w:p>
        </w:tc>
        <w:tc>
          <w:tcPr>
            <w:tcW w:w="1014" w:type="dxa"/>
            <w:gridSpan w:val="2"/>
            <w:vMerge/>
            <w:shd w:val="clear" w:color="auto" w:fill="FFFFFF"/>
          </w:tcPr>
          <w:p w:rsidR="007F27C4" w:rsidRPr="001974CC" w:rsidRDefault="007F27C4" w:rsidP="00F17841">
            <w:pPr>
              <w:spacing w:line="240" w:lineRule="auto"/>
              <w:rPr>
                <w:rFonts w:ascii="Times New Roman" w:hAnsi="Times New Roman"/>
              </w:rPr>
            </w:pPr>
          </w:p>
        </w:tc>
      </w:tr>
      <w:tr w:rsidR="001974CC" w:rsidRPr="001974CC" w:rsidTr="001974CC">
        <w:trPr>
          <w:trHeight w:val="142"/>
        </w:trPr>
        <w:tc>
          <w:tcPr>
            <w:tcW w:w="1588" w:type="dxa"/>
            <w:gridSpan w:val="2"/>
            <w:vMerge/>
            <w:shd w:val="clear" w:color="auto" w:fill="FFFFFF"/>
          </w:tcPr>
          <w:p w:rsidR="007F27C4" w:rsidRPr="001974CC" w:rsidRDefault="007F27C4" w:rsidP="00F17841">
            <w:pPr>
              <w:spacing w:line="240" w:lineRule="auto"/>
              <w:rPr>
                <w:rFonts w:ascii="Times New Roman" w:hAnsi="Times New Roman"/>
              </w:rPr>
            </w:pPr>
          </w:p>
        </w:tc>
        <w:tc>
          <w:tcPr>
            <w:tcW w:w="1815" w:type="dxa"/>
            <w:gridSpan w:val="5"/>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rodzina, obywatele oraz gospodarstwa domowe</w:t>
            </w:r>
          </w:p>
        </w:tc>
        <w:tc>
          <w:tcPr>
            <w:tcW w:w="992" w:type="dxa"/>
            <w:gridSpan w:val="3"/>
            <w:shd w:val="clear" w:color="auto" w:fill="FFFFFF"/>
          </w:tcPr>
          <w:p w:rsidR="007F27C4" w:rsidRPr="001974CC" w:rsidRDefault="007F27C4" w:rsidP="00F17841">
            <w:pPr>
              <w:spacing w:line="240" w:lineRule="auto"/>
              <w:rPr>
                <w:rFonts w:ascii="Times New Roman" w:hAnsi="Times New Roman"/>
              </w:rPr>
            </w:pPr>
          </w:p>
        </w:tc>
        <w:tc>
          <w:tcPr>
            <w:tcW w:w="1134" w:type="dxa"/>
            <w:gridSpan w:val="3"/>
            <w:shd w:val="clear" w:color="auto" w:fill="FFFFFF"/>
          </w:tcPr>
          <w:p w:rsidR="007F27C4" w:rsidRPr="001974CC" w:rsidRDefault="007F27C4" w:rsidP="00F17841">
            <w:pPr>
              <w:spacing w:line="240" w:lineRule="auto"/>
              <w:rPr>
                <w:rFonts w:ascii="Times New Roman" w:hAnsi="Times New Roman"/>
              </w:rPr>
            </w:pPr>
          </w:p>
        </w:tc>
        <w:tc>
          <w:tcPr>
            <w:tcW w:w="992" w:type="dxa"/>
            <w:gridSpan w:val="3"/>
            <w:shd w:val="clear" w:color="auto" w:fill="FFFFFF"/>
          </w:tcPr>
          <w:p w:rsidR="007F27C4" w:rsidRPr="001974CC" w:rsidRDefault="007F27C4" w:rsidP="00F17841">
            <w:pPr>
              <w:spacing w:line="240" w:lineRule="auto"/>
              <w:rPr>
                <w:rFonts w:ascii="Times New Roman" w:hAnsi="Times New Roman"/>
              </w:rPr>
            </w:pPr>
          </w:p>
        </w:tc>
        <w:tc>
          <w:tcPr>
            <w:tcW w:w="1130" w:type="dxa"/>
            <w:gridSpan w:val="4"/>
            <w:shd w:val="clear" w:color="auto" w:fill="FFFFFF"/>
          </w:tcPr>
          <w:p w:rsidR="007F27C4" w:rsidRPr="001974CC" w:rsidRDefault="007F27C4" w:rsidP="00F17841">
            <w:pPr>
              <w:spacing w:line="240" w:lineRule="auto"/>
              <w:rPr>
                <w:rFonts w:ascii="Times New Roman" w:hAnsi="Times New Roman"/>
              </w:rPr>
            </w:pPr>
          </w:p>
        </w:tc>
        <w:tc>
          <w:tcPr>
            <w:tcW w:w="1134" w:type="dxa"/>
            <w:gridSpan w:val="4"/>
            <w:shd w:val="clear" w:color="auto" w:fill="FFFFFF"/>
          </w:tcPr>
          <w:p w:rsidR="007F27C4" w:rsidRPr="001974CC" w:rsidRDefault="007F27C4" w:rsidP="00F17841">
            <w:pPr>
              <w:spacing w:line="240" w:lineRule="auto"/>
              <w:rPr>
                <w:rFonts w:ascii="Times New Roman" w:hAnsi="Times New Roman"/>
              </w:rPr>
            </w:pPr>
          </w:p>
        </w:tc>
        <w:tc>
          <w:tcPr>
            <w:tcW w:w="1138" w:type="dxa"/>
            <w:gridSpan w:val="2"/>
            <w:shd w:val="clear" w:color="auto" w:fill="FFFFFF"/>
          </w:tcPr>
          <w:p w:rsidR="007F27C4" w:rsidRPr="001974CC" w:rsidRDefault="007F27C4" w:rsidP="00F17841">
            <w:pPr>
              <w:spacing w:line="240" w:lineRule="auto"/>
              <w:rPr>
                <w:rFonts w:ascii="Times New Roman" w:hAnsi="Times New Roman"/>
              </w:rPr>
            </w:pPr>
          </w:p>
        </w:tc>
        <w:tc>
          <w:tcPr>
            <w:tcW w:w="1014" w:type="dxa"/>
            <w:gridSpan w:val="2"/>
            <w:shd w:val="clear" w:color="auto" w:fill="FFFFFF"/>
          </w:tcPr>
          <w:p w:rsidR="007F27C4" w:rsidRPr="001974CC" w:rsidRDefault="007F27C4" w:rsidP="00F17841">
            <w:pPr>
              <w:spacing w:line="240" w:lineRule="auto"/>
              <w:rPr>
                <w:rFonts w:ascii="Times New Roman" w:hAnsi="Times New Roman"/>
              </w:rPr>
            </w:pPr>
          </w:p>
        </w:tc>
      </w:tr>
      <w:tr w:rsidR="007F27C4" w:rsidRPr="001974CC" w:rsidTr="001974CC">
        <w:trPr>
          <w:trHeight w:val="142"/>
        </w:trPr>
        <w:tc>
          <w:tcPr>
            <w:tcW w:w="1588" w:type="dxa"/>
            <w:gridSpan w:val="2"/>
            <w:vMerge w:val="restart"/>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W ujęciu niepieniężnym</w:t>
            </w:r>
          </w:p>
        </w:tc>
        <w:tc>
          <w:tcPr>
            <w:tcW w:w="1815" w:type="dxa"/>
            <w:gridSpan w:val="5"/>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duże przedsiębiorstwa</w:t>
            </w:r>
          </w:p>
        </w:tc>
        <w:tc>
          <w:tcPr>
            <w:tcW w:w="7534" w:type="dxa"/>
            <w:gridSpan w:val="21"/>
            <w:vMerge w:val="restart"/>
            <w:shd w:val="clear" w:color="auto" w:fill="FFFFFF"/>
          </w:tcPr>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Ułatwienia w zakresie ubiegania się o zamówienia publiczne w związku ze zmniejszeniem wymagań formalnych, szybsze</w:t>
            </w:r>
            <w:r w:rsidR="001C797A">
              <w:rPr>
                <w:rFonts w:ascii="Times New Roman" w:hAnsi="Times New Roman"/>
              </w:rPr>
              <w:t xml:space="preserve"> procedury, niższe koszty związane z </w:t>
            </w:r>
            <w:r w:rsidRPr="001974CC">
              <w:rPr>
                <w:rFonts w:ascii="Times New Roman" w:hAnsi="Times New Roman"/>
              </w:rPr>
              <w:t>elektronizacją zamówień oznaczają zmniejszenie kosztów przygoto</w:t>
            </w:r>
            <w:r w:rsidR="001C797A">
              <w:rPr>
                <w:rFonts w:ascii="Times New Roman" w:hAnsi="Times New Roman"/>
              </w:rPr>
              <w:t>wania i </w:t>
            </w:r>
            <w:r w:rsidRPr="001974CC">
              <w:rPr>
                <w:rFonts w:ascii="Times New Roman" w:hAnsi="Times New Roman"/>
              </w:rPr>
              <w:t>dostarczania dokumentów w postępowaniu.</w:t>
            </w:r>
          </w:p>
          <w:p w:rsidR="007F27C4" w:rsidRPr="001974CC" w:rsidRDefault="001C797A" w:rsidP="00F17841">
            <w:pPr>
              <w:spacing w:before="120" w:line="240" w:lineRule="auto"/>
              <w:jc w:val="both"/>
              <w:rPr>
                <w:rFonts w:ascii="Times New Roman" w:hAnsi="Times New Roman"/>
              </w:rPr>
            </w:pPr>
            <w:r>
              <w:rPr>
                <w:rFonts w:ascii="Times New Roman" w:hAnsi="Times New Roman"/>
              </w:rPr>
              <w:t xml:space="preserve">Elektronizacja zamówień </w:t>
            </w:r>
            <w:r w:rsidR="007F27C4" w:rsidRPr="001974CC">
              <w:rPr>
                <w:rFonts w:ascii="Times New Roman" w:hAnsi="Times New Roman"/>
              </w:rPr>
              <w:t>przez zwiększenie i poszerzenie dostępności zamówień dla wykonawców przyczyni się tym samym do zwiększenia konkurencji. Elektronizacja przyczyni się również do polepszenia warunków dla innowacji.</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Szersze stosowanie kryteriów pozacenowych, w szczególności kosztu cyklu życia przedmiotu zamówienia, pozwoli na stabilniejsze funkcjonowanie firm wykonawczych i uzyskiwanie lepszej kondycji finansowej.</w:t>
            </w:r>
            <w:r w:rsidR="001974CC">
              <w:rPr>
                <w:rFonts w:ascii="Times New Roman" w:hAnsi="Times New Roman"/>
              </w:rPr>
              <w:t xml:space="preserve"> </w:t>
            </w:r>
          </w:p>
        </w:tc>
      </w:tr>
      <w:tr w:rsidR="007F27C4" w:rsidRPr="001974CC" w:rsidTr="001974CC">
        <w:trPr>
          <w:trHeight w:val="142"/>
        </w:trPr>
        <w:tc>
          <w:tcPr>
            <w:tcW w:w="1588" w:type="dxa"/>
            <w:gridSpan w:val="2"/>
            <w:vMerge/>
            <w:shd w:val="clear" w:color="auto" w:fill="FFFFFF"/>
          </w:tcPr>
          <w:p w:rsidR="007F27C4" w:rsidRPr="001974CC" w:rsidRDefault="007F27C4" w:rsidP="00F17841">
            <w:pPr>
              <w:spacing w:line="240" w:lineRule="auto"/>
              <w:rPr>
                <w:rFonts w:ascii="Times New Roman" w:hAnsi="Times New Roman"/>
              </w:rPr>
            </w:pPr>
          </w:p>
        </w:tc>
        <w:tc>
          <w:tcPr>
            <w:tcW w:w="1815" w:type="dxa"/>
            <w:gridSpan w:val="5"/>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sektor mikro-, małych i średnich przedsiębiorstw</w:t>
            </w:r>
          </w:p>
        </w:tc>
        <w:tc>
          <w:tcPr>
            <w:tcW w:w="7534" w:type="dxa"/>
            <w:gridSpan w:val="21"/>
            <w:vMerge/>
            <w:shd w:val="clear" w:color="auto" w:fill="FFFFFF"/>
          </w:tcPr>
          <w:p w:rsidR="007F27C4" w:rsidRPr="001974CC" w:rsidRDefault="007F27C4" w:rsidP="00F17841">
            <w:pPr>
              <w:spacing w:before="120" w:line="240" w:lineRule="auto"/>
              <w:rPr>
                <w:rFonts w:ascii="Times New Roman" w:hAnsi="Times New Roman"/>
              </w:rPr>
            </w:pPr>
          </w:p>
        </w:tc>
      </w:tr>
      <w:tr w:rsidR="007F27C4" w:rsidRPr="001974CC" w:rsidTr="001974CC">
        <w:trPr>
          <w:trHeight w:val="596"/>
        </w:trPr>
        <w:tc>
          <w:tcPr>
            <w:tcW w:w="1588" w:type="dxa"/>
            <w:gridSpan w:val="2"/>
            <w:vMerge/>
            <w:shd w:val="clear" w:color="auto" w:fill="FFFFFF"/>
          </w:tcPr>
          <w:p w:rsidR="007F27C4" w:rsidRPr="001974CC" w:rsidRDefault="007F27C4" w:rsidP="00F17841">
            <w:pPr>
              <w:spacing w:line="240" w:lineRule="auto"/>
              <w:rPr>
                <w:rFonts w:ascii="Times New Roman" w:hAnsi="Times New Roman"/>
              </w:rPr>
            </w:pPr>
          </w:p>
        </w:tc>
        <w:tc>
          <w:tcPr>
            <w:tcW w:w="1815" w:type="dxa"/>
            <w:gridSpan w:val="5"/>
            <w:shd w:val="clear" w:color="auto" w:fill="FFFFFF"/>
          </w:tcPr>
          <w:p w:rsidR="007F27C4" w:rsidRPr="001974CC" w:rsidRDefault="007F27C4" w:rsidP="00F17841">
            <w:pPr>
              <w:tabs>
                <w:tab w:val="right" w:pos="1936"/>
              </w:tabs>
              <w:spacing w:line="240" w:lineRule="auto"/>
              <w:rPr>
                <w:rFonts w:ascii="Times New Roman" w:hAnsi="Times New Roman"/>
              </w:rPr>
            </w:pPr>
            <w:r w:rsidRPr="001974CC">
              <w:rPr>
                <w:rFonts w:ascii="Times New Roman" w:hAnsi="Times New Roman"/>
              </w:rPr>
              <w:t xml:space="preserve">rodzina, obywatele oraz gospodarstwa domowe </w:t>
            </w:r>
          </w:p>
        </w:tc>
        <w:tc>
          <w:tcPr>
            <w:tcW w:w="7534" w:type="dxa"/>
            <w:gridSpan w:val="21"/>
            <w:shd w:val="clear" w:color="auto" w:fill="FFFFFF"/>
          </w:tcPr>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 xml:space="preserve">Szersze wykorzystanie umów o pracę pozwoli na zapewnienie lepszych warunków płacowych osobom zaangażowanym do wykonywania zamówień publicznych. </w:t>
            </w:r>
          </w:p>
        </w:tc>
      </w:tr>
      <w:tr w:rsidR="007F27C4" w:rsidRPr="001974CC" w:rsidTr="001974CC">
        <w:trPr>
          <w:trHeight w:val="759"/>
        </w:trPr>
        <w:tc>
          <w:tcPr>
            <w:tcW w:w="1588" w:type="dxa"/>
            <w:gridSpan w:val="2"/>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Niemierzalne</w:t>
            </w:r>
          </w:p>
        </w:tc>
        <w:tc>
          <w:tcPr>
            <w:tcW w:w="1815" w:type="dxa"/>
            <w:gridSpan w:val="5"/>
            <w:shd w:val="clear" w:color="auto" w:fill="FFFFFF"/>
          </w:tcPr>
          <w:p w:rsidR="007F27C4" w:rsidRPr="001974CC" w:rsidRDefault="002A00CD" w:rsidP="00F17841">
            <w:pPr>
              <w:spacing w:line="240" w:lineRule="auto"/>
              <w:rPr>
                <w:rFonts w:ascii="Times New Roman" w:hAnsi="Times New Roman"/>
              </w:rPr>
            </w:pPr>
            <w:r>
              <w:rPr>
                <w:rFonts w:ascii="Times New Roman" w:hAnsi="Times New Roman"/>
              </w:rPr>
              <w:t xml:space="preserve">sektor </w:t>
            </w:r>
            <w:r>
              <w:rPr>
                <w:rFonts w:ascii="Times New Roman" w:hAnsi="Times New Roman"/>
              </w:rPr>
              <w:br/>
              <w:t xml:space="preserve">mikro-, </w:t>
            </w:r>
            <w:r w:rsidR="007F27C4" w:rsidRPr="001974CC">
              <w:rPr>
                <w:rFonts w:ascii="Times New Roman" w:hAnsi="Times New Roman"/>
              </w:rPr>
              <w:t>małych i</w:t>
            </w:r>
            <w:r>
              <w:rPr>
                <w:rFonts w:ascii="Times New Roman" w:hAnsi="Times New Roman"/>
              </w:rPr>
              <w:t> </w:t>
            </w:r>
            <w:r w:rsidR="007F27C4" w:rsidRPr="001974CC">
              <w:rPr>
                <w:rFonts w:ascii="Times New Roman" w:hAnsi="Times New Roman"/>
              </w:rPr>
              <w:t>średnich przedsiębiorstw</w:t>
            </w:r>
          </w:p>
        </w:tc>
        <w:tc>
          <w:tcPr>
            <w:tcW w:w="7534" w:type="dxa"/>
            <w:gridSpan w:val="21"/>
            <w:shd w:val="clear" w:color="auto" w:fill="FFFFFF"/>
          </w:tcPr>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Prostsze i bardziej intuicyjne procedury zamówień publicznych będą postrzegane przez MSP jako bardziej przyjazne, a przez to zachęcą MSP do udziału w rynku zamówień publicznych.</w:t>
            </w:r>
          </w:p>
        </w:tc>
      </w:tr>
      <w:tr w:rsidR="007F27C4" w:rsidRPr="001974CC" w:rsidTr="001974CC">
        <w:trPr>
          <w:trHeight w:val="1163"/>
        </w:trPr>
        <w:tc>
          <w:tcPr>
            <w:tcW w:w="2233" w:type="dxa"/>
            <w:gridSpan w:val="4"/>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 xml:space="preserve">Dodatkowe informacje, w tym wskazanie źródeł danych i przyjętych do obliczeń założeń </w:t>
            </w:r>
          </w:p>
        </w:tc>
        <w:tc>
          <w:tcPr>
            <w:tcW w:w="8704" w:type="dxa"/>
            <w:gridSpan w:val="24"/>
            <w:shd w:val="clear" w:color="auto" w:fill="FFFFFF"/>
            <w:vAlign w:val="center"/>
          </w:tcPr>
          <w:p w:rsidR="007F27C4" w:rsidRPr="001974CC" w:rsidRDefault="007F27C4" w:rsidP="00F17841">
            <w:pPr>
              <w:spacing w:line="240" w:lineRule="auto"/>
              <w:jc w:val="both"/>
              <w:rPr>
                <w:rFonts w:ascii="Times New Roman" w:hAnsi="Times New Roman"/>
              </w:rPr>
            </w:pPr>
            <w:r w:rsidRPr="001974CC">
              <w:rPr>
                <w:rFonts w:ascii="Times New Roman" w:hAnsi="Times New Roman"/>
              </w:rPr>
              <w:t xml:space="preserve">Korzyści pieniężne dla przedsiębiorców (wskazane powyżej w tabeli) z tytułu wprowadzenia nowych uregulowań wynikają ze zmniejszenia obciążeń regulacyjnych (kalkulacja na podstawie Bazy Obowiązków Informacyjnych Ministerstwa Gospodarki </w:t>
            </w:r>
            <w:r w:rsidR="001974CC">
              <w:rPr>
                <w:rFonts w:ascii="Times New Roman" w:hAnsi="Times New Roman"/>
              </w:rPr>
              <w:t>–</w:t>
            </w:r>
            <w:r w:rsidRPr="001974CC">
              <w:rPr>
                <w:rFonts w:ascii="Times New Roman" w:hAnsi="Times New Roman"/>
              </w:rPr>
              <w:t xml:space="preserve"> http://www.mg.gov.pl/Prawo+dla+przedsiebiorcy/Ocena+Wplywu+regulacji+baza+wiedzy/Obciazenia+regulacyjne). Przyjęto, że skala korzyści dla przedsiębiorców wyniesie 20% łącznej kwoty rocznych kosztów administracyjnych (442 977 829 zł) wynikających z ustawy – Prawo zamówień publicznych wg ww. bazy.*</w:t>
            </w:r>
          </w:p>
          <w:p w:rsidR="007F27C4" w:rsidRPr="001974CC" w:rsidRDefault="007F27C4" w:rsidP="00F17841">
            <w:pPr>
              <w:spacing w:line="240" w:lineRule="auto"/>
              <w:jc w:val="both"/>
              <w:rPr>
                <w:rFonts w:ascii="Times New Roman" w:hAnsi="Times New Roman"/>
              </w:rPr>
            </w:pPr>
          </w:p>
          <w:p w:rsidR="007F27C4" w:rsidRPr="001974CC" w:rsidRDefault="007F27C4" w:rsidP="00F17841">
            <w:pPr>
              <w:spacing w:line="240" w:lineRule="auto"/>
              <w:jc w:val="both"/>
              <w:rPr>
                <w:rFonts w:ascii="Times New Roman" w:hAnsi="Times New Roman"/>
              </w:rPr>
            </w:pPr>
            <w:r w:rsidRPr="001974CC">
              <w:rPr>
                <w:rFonts w:ascii="Times New Roman" w:hAnsi="Times New Roman"/>
                <w:sz w:val="18"/>
                <w:szCs w:val="18"/>
              </w:rPr>
              <w:t>* W pkt 8 OSR zawarto tabelę zawierającą dostępne dane z pomiaru obowiązków informacyjnych (Baza Obowiązków Informacyjnych Ministerstwa Gospodarki, 2010 r.).</w:t>
            </w:r>
            <w:r w:rsidR="001974CC">
              <w:rPr>
                <w:rFonts w:ascii="Times New Roman" w:hAnsi="Times New Roman"/>
                <w:sz w:val="18"/>
                <w:szCs w:val="18"/>
              </w:rPr>
              <w:t xml:space="preserve"> </w:t>
            </w:r>
          </w:p>
        </w:tc>
      </w:tr>
      <w:tr w:rsidR="007F27C4" w:rsidRPr="001974CC" w:rsidTr="00D41C64">
        <w:trPr>
          <w:trHeight w:val="342"/>
        </w:trPr>
        <w:tc>
          <w:tcPr>
            <w:tcW w:w="10937" w:type="dxa"/>
            <w:gridSpan w:val="28"/>
            <w:shd w:val="clear" w:color="auto" w:fill="99CCFF"/>
            <w:vAlign w:val="center"/>
          </w:tcPr>
          <w:p w:rsidR="007F27C4" w:rsidRPr="001974CC" w:rsidRDefault="007F27C4" w:rsidP="001974CC">
            <w:pPr>
              <w:keepNext/>
              <w:numPr>
                <w:ilvl w:val="0"/>
                <w:numId w:val="3"/>
              </w:numPr>
              <w:spacing w:before="60" w:after="60" w:line="240" w:lineRule="auto"/>
              <w:ind w:left="318" w:hanging="284"/>
              <w:jc w:val="both"/>
              <w:rPr>
                <w:rFonts w:ascii="Times New Roman" w:hAnsi="Times New Roman"/>
                <w:b/>
              </w:rPr>
            </w:pPr>
            <w:r w:rsidRPr="001974CC">
              <w:rPr>
                <w:rFonts w:ascii="Times New Roman" w:hAnsi="Times New Roman"/>
                <w:b/>
              </w:rPr>
              <w:lastRenderedPageBreak/>
              <w:t>Zmiana obciążeń regulacyjnych (w tym obowiązków informacyjnych) wynikających z projektu</w:t>
            </w:r>
          </w:p>
        </w:tc>
      </w:tr>
      <w:tr w:rsidR="007F27C4" w:rsidRPr="001974CC" w:rsidTr="00D41C64">
        <w:trPr>
          <w:trHeight w:val="151"/>
        </w:trPr>
        <w:tc>
          <w:tcPr>
            <w:tcW w:w="10937" w:type="dxa"/>
            <w:gridSpan w:val="28"/>
            <w:shd w:val="clear" w:color="auto" w:fill="FFFFFF"/>
          </w:tcPr>
          <w:p w:rsidR="007F27C4" w:rsidRPr="001974CC" w:rsidRDefault="00755CF5" w:rsidP="001974CC">
            <w:pPr>
              <w:keepNext/>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nie dotyczy</w:t>
            </w:r>
          </w:p>
        </w:tc>
      </w:tr>
      <w:tr w:rsidR="007F27C4" w:rsidRPr="001974CC" w:rsidTr="001974CC">
        <w:trPr>
          <w:trHeight w:val="794"/>
        </w:trPr>
        <w:tc>
          <w:tcPr>
            <w:tcW w:w="5101" w:type="dxa"/>
            <w:gridSpan w:val="12"/>
            <w:shd w:val="clear" w:color="auto" w:fill="FFFFFF"/>
          </w:tcPr>
          <w:p w:rsidR="007F27C4" w:rsidRPr="001974CC" w:rsidRDefault="007F27C4" w:rsidP="00F17841">
            <w:pPr>
              <w:rPr>
                <w:rFonts w:ascii="Times New Roman" w:hAnsi="Times New Roman"/>
              </w:rPr>
            </w:pPr>
            <w:r w:rsidRPr="001974CC">
              <w:rPr>
                <w:rFonts w:ascii="Times New Roman" w:hAnsi="Times New Roman"/>
              </w:rPr>
              <w:t>Wprowadzane są obciążenia poza bezwzględnie wymaganymi przez UE (szczegóły w odwróconej tabeli zgodności).</w:t>
            </w:r>
          </w:p>
        </w:tc>
        <w:tc>
          <w:tcPr>
            <w:tcW w:w="5836" w:type="dxa"/>
            <w:gridSpan w:val="16"/>
            <w:shd w:val="clear" w:color="auto" w:fill="FFFFFF"/>
          </w:tcPr>
          <w:p w:rsidR="007F27C4" w:rsidRPr="001974CC" w:rsidRDefault="00755CF5" w:rsidP="00F17841">
            <w:pPr>
              <w:spacing w:line="240" w:lineRule="auto"/>
              <w:ind w:left="310" w:hanging="310"/>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tak (obowiązek zatrudniania na podstawie umowy o pracę, jeżeli spełniony jest art. 22 § 1 Kodeksu pracy)</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nie</w:t>
            </w:r>
          </w:p>
          <w:p w:rsidR="007F27C4" w:rsidRPr="001974CC" w:rsidRDefault="00755CF5" w:rsidP="00F17841">
            <w:pPr>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nie dotyczy</w:t>
            </w:r>
          </w:p>
        </w:tc>
      </w:tr>
      <w:tr w:rsidR="007F27C4" w:rsidRPr="001974CC" w:rsidTr="001974CC">
        <w:trPr>
          <w:trHeight w:val="1047"/>
        </w:trPr>
        <w:tc>
          <w:tcPr>
            <w:tcW w:w="5101" w:type="dxa"/>
            <w:gridSpan w:val="12"/>
            <w:shd w:val="clear" w:color="auto" w:fill="FFFFFF"/>
          </w:tcPr>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zmniejszenie liczby dokumentów </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zmniejszenie liczby procedur</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skrócenie czasu na załatwienie sprawy</w:t>
            </w:r>
          </w:p>
          <w:p w:rsidR="007F27C4" w:rsidRPr="001974CC" w:rsidRDefault="00755CF5" w:rsidP="00F17841">
            <w:pPr>
              <w:rPr>
                <w:rFonts w:ascii="Times New Roman" w:hAnsi="Times New Roman"/>
                <w:b/>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inne: </w:t>
            </w:r>
            <w:r w:rsidRPr="001974CC">
              <w:rPr>
                <w:rFonts w:ascii="Times New Roman" w:hAnsi="Times New Roman"/>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7F27C4" w:rsidRPr="001974CC">
              <w:rPr>
                <w:rFonts w:ascii="Times New Roman" w:hAnsi="Times New Roman"/>
              </w:rPr>
              <w:instrText xml:space="preserve"> FORMTEXT </w:instrText>
            </w:r>
            <w:r w:rsidRPr="001974CC">
              <w:rPr>
                <w:rFonts w:ascii="Times New Roman" w:hAnsi="Times New Roman"/>
              </w:rPr>
            </w:r>
            <w:r w:rsidRPr="001974CC">
              <w:rPr>
                <w:rFonts w:ascii="Times New Roman" w:hAnsi="Times New Roman"/>
              </w:rPr>
              <w:fldChar w:fldCharType="separate"/>
            </w:r>
            <w:r w:rsidR="007F27C4" w:rsidRPr="001974CC">
              <w:rPr>
                <w:rFonts w:ascii="Times New Roman" w:hAnsi="Times New Roman"/>
                <w:noProof/>
              </w:rPr>
              <w:t> </w:t>
            </w:r>
            <w:r w:rsidR="007F27C4" w:rsidRPr="001974CC">
              <w:rPr>
                <w:rFonts w:ascii="Times New Roman" w:hAnsi="Times New Roman"/>
                <w:noProof/>
              </w:rPr>
              <w:t> </w:t>
            </w:r>
            <w:r w:rsidR="007F27C4" w:rsidRPr="001974CC">
              <w:rPr>
                <w:rFonts w:ascii="Times New Roman" w:hAnsi="Times New Roman"/>
                <w:noProof/>
              </w:rPr>
              <w:t> </w:t>
            </w:r>
            <w:r w:rsidR="007F27C4" w:rsidRPr="001974CC">
              <w:rPr>
                <w:rFonts w:ascii="Times New Roman" w:hAnsi="Times New Roman"/>
                <w:noProof/>
              </w:rPr>
              <w:t> </w:t>
            </w:r>
            <w:r w:rsidR="007F27C4" w:rsidRPr="001974CC">
              <w:rPr>
                <w:rFonts w:ascii="Times New Roman" w:hAnsi="Times New Roman"/>
                <w:noProof/>
              </w:rPr>
              <w:t> </w:t>
            </w:r>
            <w:r w:rsidRPr="001974CC">
              <w:rPr>
                <w:rFonts w:ascii="Times New Roman" w:hAnsi="Times New Roman"/>
              </w:rPr>
              <w:fldChar w:fldCharType="end"/>
            </w:r>
          </w:p>
        </w:tc>
        <w:tc>
          <w:tcPr>
            <w:tcW w:w="5836" w:type="dxa"/>
            <w:gridSpan w:val="16"/>
            <w:shd w:val="clear" w:color="auto" w:fill="FFFFFF"/>
          </w:tcPr>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zwiększenie liczby dokumentów</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zwiększenie liczby procedur</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wydłużenie czasu na załatwienie sprawy</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inne: </w:t>
            </w:r>
            <w:r w:rsidRPr="001974CC">
              <w:rPr>
                <w:rFonts w:ascii="Times New Roman" w:hAnsi="Times New Roman"/>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7F27C4" w:rsidRPr="001974CC">
              <w:rPr>
                <w:rFonts w:ascii="Times New Roman" w:hAnsi="Times New Roman"/>
              </w:rPr>
              <w:instrText xml:space="preserve"> FORMTEXT </w:instrText>
            </w:r>
            <w:r w:rsidRPr="001974CC">
              <w:rPr>
                <w:rFonts w:ascii="Times New Roman" w:hAnsi="Times New Roman"/>
              </w:rPr>
            </w:r>
            <w:r w:rsidRPr="001974CC">
              <w:rPr>
                <w:rFonts w:ascii="Times New Roman" w:hAnsi="Times New Roman"/>
              </w:rPr>
              <w:fldChar w:fldCharType="separate"/>
            </w:r>
            <w:r w:rsidR="007F27C4" w:rsidRPr="001974CC">
              <w:rPr>
                <w:rFonts w:ascii="Times New Roman" w:hAnsi="Times New Roman"/>
                <w:noProof/>
              </w:rPr>
              <w:t> </w:t>
            </w:r>
            <w:r w:rsidR="007F27C4" w:rsidRPr="001974CC">
              <w:rPr>
                <w:rFonts w:ascii="Times New Roman" w:hAnsi="Times New Roman"/>
                <w:noProof/>
              </w:rPr>
              <w:t> </w:t>
            </w:r>
            <w:r w:rsidR="007F27C4" w:rsidRPr="001974CC">
              <w:rPr>
                <w:rFonts w:ascii="Times New Roman" w:hAnsi="Times New Roman"/>
                <w:noProof/>
              </w:rPr>
              <w:t> </w:t>
            </w:r>
            <w:r w:rsidR="007F27C4" w:rsidRPr="001974CC">
              <w:rPr>
                <w:rFonts w:ascii="Times New Roman" w:hAnsi="Times New Roman"/>
                <w:noProof/>
              </w:rPr>
              <w:t> </w:t>
            </w:r>
            <w:r w:rsidR="007F27C4" w:rsidRPr="001974CC">
              <w:rPr>
                <w:rFonts w:ascii="Times New Roman" w:hAnsi="Times New Roman"/>
                <w:noProof/>
              </w:rPr>
              <w:t> </w:t>
            </w:r>
            <w:r w:rsidRPr="001974CC">
              <w:rPr>
                <w:rFonts w:ascii="Times New Roman" w:hAnsi="Times New Roman"/>
              </w:rPr>
              <w:fldChar w:fldCharType="end"/>
            </w:r>
          </w:p>
        </w:tc>
      </w:tr>
      <w:tr w:rsidR="007F27C4" w:rsidRPr="001974CC" w:rsidTr="001974CC">
        <w:trPr>
          <w:trHeight w:val="870"/>
        </w:trPr>
        <w:tc>
          <w:tcPr>
            <w:tcW w:w="5101" w:type="dxa"/>
            <w:gridSpan w:val="12"/>
            <w:shd w:val="clear" w:color="auto" w:fill="FFFFFF"/>
          </w:tcPr>
          <w:p w:rsidR="007F27C4" w:rsidRPr="001974CC" w:rsidRDefault="007F27C4" w:rsidP="00F17841">
            <w:pPr>
              <w:spacing w:line="240" w:lineRule="auto"/>
              <w:rPr>
                <w:rFonts w:ascii="Times New Roman" w:hAnsi="Times New Roman"/>
              </w:rPr>
            </w:pPr>
            <w:r w:rsidRPr="001974CC">
              <w:rPr>
                <w:rFonts w:ascii="Times New Roman" w:hAnsi="Times New Roman"/>
              </w:rPr>
              <w:t xml:space="preserve">Wprowadzane rozwiązania są przystosowane do ich elektronizacji. </w:t>
            </w:r>
          </w:p>
        </w:tc>
        <w:tc>
          <w:tcPr>
            <w:tcW w:w="5836" w:type="dxa"/>
            <w:gridSpan w:val="16"/>
            <w:shd w:val="clear" w:color="auto" w:fill="FFFFFF"/>
          </w:tcPr>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tak</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nie</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nie dotyczy</w:t>
            </w:r>
          </w:p>
        </w:tc>
      </w:tr>
      <w:tr w:rsidR="007F27C4" w:rsidRPr="001974CC" w:rsidTr="00D41C64">
        <w:trPr>
          <w:trHeight w:val="704"/>
        </w:trPr>
        <w:tc>
          <w:tcPr>
            <w:tcW w:w="10937" w:type="dxa"/>
            <w:gridSpan w:val="28"/>
            <w:shd w:val="clear" w:color="auto" w:fill="FFFFFF"/>
          </w:tcPr>
          <w:p w:rsidR="007F27C4" w:rsidRPr="001974CC" w:rsidRDefault="007F27C4" w:rsidP="00F17841">
            <w:pPr>
              <w:spacing w:line="240" w:lineRule="auto"/>
              <w:jc w:val="both"/>
              <w:rPr>
                <w:rFonts w:ascii="Times New Roman" w:hAnsi="Times New Roman"/>
              </w:rPr>
            </w:pPr>
            <w:r w:rsidRPr="001974CC">
              <w:rPr>
                <w:rFonts w:ascii="Times New Roman" w:hAnsi="Times New Roman"/>
              </w:rPr>
              <w:t>Komentarz:</w:t>
            </w:r>
          </w:p>
          <w:p w:rsidR="007F27C4" w:rsidRPr="001974CC" w:rsidRDefault="007F27C4" w:rsidP="00F17841">
            <w:pPr>
              <w:pStyle w:val="Akapitzlist"/>
              <w:numPr>
                <w:ilvl w:val="0"/>
                <w:numId w:val="22"/>
              </w:numPr>
              <w:spacing w:before="120" w:line="240" w:lineRule="auto"/>
              <w:ind w:left="459" w:hanging="357"/>
              <w:contextualSpacing w:val="0"/>
              <w:jc w:val="both"/>
              <w:rPr>
                <w:rFonts w:ascii="Times New Roman" w:hAnsi="Times New Roman"/>
              </w:rPr>
            </w:pPr>
            <w:r w:rsidRPr="001974CC">
              <w:rPr>
                <w:rFonts w:ascii="Times New Roman" w:hAnsi="Times New Roman"/>
              </w:rPr>
              <w:t>Ograniczenie obowiązków informacyjnych (podanych w Bazie Obowiązków Informacyjnych Ministerstwa Gospodarki) dotyczy następujących czynności:</w:t>
            </w:r>
          </w:p>
          <w:p w:rsidR="007F27C4" w:rsidRPr="001974CC" w:rsidRDefault="007F27C4" w:rsidP="00F17841">
            <w:pPr>
              <w:pStyle w:val="Akapitzlist"/>
              <w:spacing w:before="120" w:line="240" w:lineRule="auto"/>
              <w:ind w:left="459"/>
              <w:contextualSpacing w:val="0"/>
              <w:jc w:val="both"/>
              <w:rPr>
                <w:rFonts w:ascii="Times New Roman" w:hAnsi="Times New Roman"/>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97"/>
              <w:gridCol w:w="1753"/>
              <w:gridCol w:w="2268"/>
              <w:gridCol w:w="2139"/>
            </w:tblGrid>
            <w:tr w:rsidR="007F27C4" w:rsidRPr="001974CC" w:rsidTr="000C1217">
              <w:trPr>
                <w:trHeight w:val="510"/>
                <w:jc w:val="center"/>
              </w:trPr>
              <w:tc>
                <w:tcPr>
                  <w:tcW w:w="4297" w:type="dxa"/>
                  <w:tcBorders>
                    <w:top w:val="single" w:sz="4" w:space="0" w:color="auto"/>
                    <w:left w:val="single" w:sz="4" w:space="0" w:color="auto"/>
                    <w:bottom w:val="single" w:sz="4" w:space="0" w:color="auto"/>
                    <w:right w:val="single" w:sz="4" w:space="0" w:color="auto"/>
                  </w:tcBorders>
                  <w:shd w:val="clear" w:color="auto" w:fill="BFBFBF"/>
                  <w:vAlign w:val="center"/>
                </w:tcPr>
                <w:p w:rsidR="007F27C4" w:rsidRPr="001974CC" w:rsidRDefault="007F27C4" w:rsidP="00F17841">
                  <w:pPr>
                    <w:jc w:val="center"/>
                    <w:rPr>
                      <w:rFonts w:ascii="Times New Roman" w:hAnsi="Times New Roman"/>
                      <w:bCs/>
                      <w:sz w:val="20"/>
                      <w:szCs w:val="20"/>
                      <w:lang w:eastAsia="pl-PL"/>
                    </w:rPr>
                  </w:pPr>
                  <w:r w:rsidRPr="001974CC">
                    <w:rPr>
                      <w:rFonts w:ascii="Times New Roman" w:hAnsi="Times New Roman"/>
                      <w:bCs/>
                      <w:sz w:val="20"/>
                      <w:szCs w:val="20"/>
                      <w:lang w:eastAsia="pl-PL"/>
                    </w:rPr>
                    <w:t>Opis skrócony OI</w:t>
                  </w:r>
                </w:p>
              </w:tc>
              <w:tc>
                <w:tcPr>
                  <w:tcW w:w="1753" w:type="dxa"/>
                  <w:tcBorders>
                    <w:top w:val="single" w:sz="4" w:space="0" w:color="auto"/>
                    <w:left w:val="single" w:sz="4" w:space="0" w:color="auto"/>
                    <w:bottom w:val="single" w:sz="4" w:space="0" w:color="auto"/>
                    <w:right w:val="single" w:sz="4" w:space="0" w:color="auto"/>
                  </w:tcBorders>
                  <w:shd w:val="clear" w:color="auto" w:fill="BFBFBF"/>
                  <w:vAlign w:val="center"/>
                </w:tcPr>
                <w:p w:rsidR="007F27C4" w:rsidRPr="001974CC" w:rsidRDefault="007F27C4" w:rsidP="00F17841">
                  <w:pPr>
                    <w:jc w:val="center"/>
                    <w:rPr>
                      <w:rFonts w:ascii="Times New Roman" w:hAnsi="Times New Roman"/>
                      <w:bCs/>
                      <w:sz w:val="20"/>
                      <w:szCs w:val="20"/>
                      <w:lang w:eastAsia="pl-PL"/>
                    </w:rPr>
                  </w:pPr>
                  <w:r w:rsidRPr="001974CC">
                    <w:rPr>
                      <w:rFonts w:ascii="Times New Roman" w:hAnsi="Times New Roman"/>
                      <w:bCs/>
                      <w:sz w:val="20"/>
                      <w:szCs w:val="20"/>
                      <w:lang w:eastAsia="pl-PL"/>
                    </w:rPr>
                    <w:t>Łączny roczny czas wykonywania OI</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rsidR="007F27C4" w:rsidRPr="001974CC" w:rsidRDefault="007F27C4" w:rsidP="00F17841">
                  <w:pPr>
                    <w:tabs>
                      <w:tab w:val="center" w:pos="4536"/>
                      <w:tab w:val="right" w:pos="9072"/>
                    </w:tabs>
                    <w:jc w:val="center"/>
                    <w:rPr>
                      <w:rFonts w:ascii="Times New Roman" w:hAnsi="Times New Roman"/>
                      <w:bCs/>
                      <w:sz w:val="20"/>
                      <w:szCs w:val="20"/>
                      <w:lang w:eastAsia="pl-PL"/>
                    </w:rPr>
                  </w:pPr>
                  <w:r w:rsidRPr="001974CC">
                    <w:rPr>
                      <w:rFonts w:ascii="Times New Roman" w:hAnsi="Times New Roman"/>
                      <w:bCs/>
                      <w:sz w:val="20"/>
                      <w:szCs w:val="20"/>
                      <w:lang w:eastAsia="pl-PL"/>
                    </w:rPr>
                    <w:t>Łączne roczne koszty administracyjne</w:t>
                  </w:r>
                </w:p>
              </w:tc>
              <w:tc>
                <w:tcPr>
                  <w:tcW w:w="2139" w:type="dxa"/>
                  <w:tcBorders>
                    <w:top w:val="single" w:sz="4" w:space="0" w:color="auto"/>
                    <w:left w:val="single" w:sz="4" w:space="0" w:color="auto"/>
                    <w:bottom w:val="single" w:sz="4" w:space="0" w:color="auto"/>
                    <w:right w:val="single" w:sz="4" w:space="0" w:color="auto"/>
                  </w:tcBorders>
                  <w:shd w:val="clear" w:color="auto" w:fill="BFBFBF"/>
                  <w:vAlign w:val="center"/>
                </w:tcPr>
                <w:p w:rsidR="007F27C4" w:rsidRPr="001974CC" w:rsidRDefault="007F27C4" w:rsidP="00F17841">
                  <w:pPr>
                    <w:tabs>
                      <w:tab w:val="center" w:pos="4536"/>
                      <w:tab w:val="right" w:pos="9072"/>
                    </w:tabs>
                    <w:rPr>
                      <w:rFonts w:ascii="Times New Roman" w:hAnsi="Times New Roman"/>
                      <w:bCs/>
                      <w:sz w:val="20"/>
                      <w:szCs w:val="20"/>
                      <w:lang w:eastAsia="pl-PL"/>
                    </w:rPr>
                  </w:pPr>
                  <w:r w:rsidRPr="001974CC">
                    <w:rPr>
                      <w:rFonts w:ascii="Times New Roman" w:hAnsi="Times New Roman"/>
                      <w:bCs/>
                      <w:sz w:val="20"/>
                      <w:szCs w:val="20"/>
                      <w:lang w:eastAsia="pl-PL"/>
                    </w:rPr>
                    <w:t>Łączne roczne</w:t>
                  </w:r>
                </w:p>
                <w:p w:rsidR="007F27C4" w:rsidRPr="001974CC" w:rsidRDefault="007F27C4" w:rsidP="00F17841">
                  <w:pPr>
                    <w:tabs>
                      <w:tab w:val="center" w:pos="4536"/>
                      <w:tab w:val="right" w:pos="9072"/>
                    </w:tabs>
                    <w:rPr>
                      <w:rFonts w:ascii="Times New Roman" w:hAnsi="Times New Roman"/>
                      <w:bCs/>
                      <w:sz w:val="20"/>
                      <w:szCs w:val="20"/>
                      <w:lang w:eastAsia="pl-PL"/>
                    </w:rPr>
                  </w:pPr>
                  <w:r w:rsidRPr="001974CC">
                    <w:rPr>
                      <w:rFonts w:ascii="Times New Roman" w:hAnsi="Times New Roman"/>
                      <w:bCs/>
                      <w:sz w:val="20"/>
                      <w:szCs w:val="20"/>
                      <w:lang w:eastAsia="pl-PL"/>
                    </w:rPr>
                    <w:t>obciążenia administracyjne</w:t>
                  </w:r>
                </w:p>
              </w:tc>
            </w:tr>
            <w:tr w:rsidR="007F27C4" w:rsidRPr="001974CC" w:rsidTr="000C1217">
              <w:trPr>
                <w:trHeight w:val="450"/>
                <w:jc w:val="center"/>
              </w:trPr>
              <w:tc>
                <w:tcPr>
                  <w:tcW w:w="4297" w:type="dxa"/>
                  <w:tcBorders>
                    <w:top w:val="single" w:sz="4" w:space="0" w:color="auto"/>
                    <w:left w:val="single" w:sz="4" w:space="0" w:color="auto"/>
                    <w:bottom w:val="single" w:sz="4" w:space="0" w:color="auto"/>
                    <w:right w:val="single" w:sz="4" w:space="0" w:color="auto"/>
                  </w:tcBorders>
                  <w:vAlign w:val="center"/>
                </w:tcPr>
                <w:p w:rsidR="007F27C4" w:rsidRPr="001974CC" w:rsidRDefault="007F27C4" w:rsidP="00F17841">
                  <w:pPr>
                    <w:jc w:val="both"/>
                    <w:rPr>
                      <w:rFonts w:ascii="Times New Roman" w:hAnsi="Times New Roman"/>
                      <w:iCs/>
                      <w:sz w:val="20"/>
                      <w:szCs w:val="20"/>
                      <w:lang w:eastAsia="pl-PL"/>
                    </w:rPr>
                  </w:pPr>
                  <w:r w:rsidRPr="001974CC">
                    <w:rPr>
                      <w:rFonts w:ascii="Times New Roman" w:hAnsi="Times New Roman"/>
                      <w:iCs/>
                      <w:sz w:val="20"/>
                      <w:szCs w:val="20"/>
                      <w:lang w:eastAsia="pl-PL"/>
                    </w:rPr>
                    <w:t xml:space="preserve">ustawa </w:t>
                  </w:r>
                  <w:r w:rsidR="001974CC">
                    <w:rPr>
                      <w:rFonts w:ascii="Times New Roman" w:hAnsi="Times New Roman"/>
                      <w:iCs/>
                      <w:sz w:val="20"/>
                      <w:szCs w:val="20"/>
                      <w:lang w:eastAsia="pl-PL"/>
                    </w:rPr>
                    <w:t>–</w:t>
                  </w:r>
                  <w:r w:rsidRPr="001974CC">
                    <w:rPr>
                      <w:rFonts w:ascii="Times New Roman" w:hAnsi="Times New Roman"/>
                      <w:iCs/>
                      <w:sz w:val="20"/>
                      <w:szCs w:val="20"/>
                      <w:lang w:eastAsia="pl-PL"/>
                    </w:rPr>
                    <w:t xml:space="preserve"> Prawo zamówień publicznych (łączne obciążenia wynikające z ustawy)</w:t>
                  </w:r>
                </w:p>
              </w:tc>
              <w:tc>
                <w:tcPr>
                  <w:tcW w:w="1753"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6 852 658 rh</w:t>
                  </w:r>
                </w:p>
              </w:tc>
              <w:tc>
                <w:tcPr>
                  <w:tcW w:w="2268" w:type="dxa"/>
                  <w:tcBorders>
                    <w:top w:val="single" w:sz="4" w:space="0" w:color="auto"/>
                    <w:left w:val="single" w:sz="4" w:space="0" w:color="auto"/>
                    <w:bottom w:val="single" w:sz="4" w:space="0" w:color="auto"/>
                    <w:right w:val="single" w:sz="4" w:space="0" w:color="auto"/>
                  </w:tcBorders>
                  <w:shd w:val="clear" w:color="000000" w:fill="EBEFF5"/>
                  <w:noWrap/>
                  <w:vAlign w:val="center"/>
                </w:tcPr>
                <w:p w:rsidR="007F27C4" w:rsidRPr="001974CC" w:rsidRDefault="007F27C4" w:rsidP="00F17841">
                  <w:pPr>
                    <w:tabs>
                      <w:tab w:val="center" w:pos="4536"/>
                      <w:tab w:val="right" w:pos="9072"/>
                    </w:tabs>
                    <w:jc w:val="center"/>
                    <w:rPr>
                      <w:rFonts w:ascii="Times New Roman" w:hAnsi="Times New Roman"/>
                      <w:b/>
                      <w:sz w:val="20"/>
                      <w:szCs w:val="20"/>
                      <w:lang w:eastAsia="pl-PL"/>
                    </w:rPr>
                  </w:pPr>
                  <w:r w:rsidRPr="001974CC">
                    <w:rPr>
                      <w:rFonts w:ascii="Times New Roman" w:hAnsi="Times New Roman"/>
                      <w:b/>
                      <w:sz w:val="20"/>
                      <w:szCs w:val="20"/>
                      <w:lang w:eastAsia="pl-PL"/>
                    </w:rPr>
                    <w:t>442 977 829 zł</w:t>
                  </w:r>
                </w:p>
              </w:tc>
              <w:tc>
                <w:tcPr>
                  <w:tcW w:w="2139"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294 720 828 zł</w:t>
                  </w:r>
                </w:p>
              </w:tc>
            </w:tr>
            <w:tr w:rsidR="007F27C4" w:rsidRPr="001974CC" w:rsidTr="000C1217">
              <w:trPr>
                <w:trHeight w:val="450"/>
                <w:jc w:val="center"/>
              </w:trPr>
              <w:tc>
                <w:tcPr>
                  <w:tcW w:w="4297" w:type="dxa"/>
                  <w:tcBorders>
                    <w:top w:val="single" w:sz="4" w:space="0" w:color="auto"/>
                    <w:left w:val="single" w:sz="4" w:space="0" w:color="auto"/>
                    <w:bottom w:val="single" w:sz="4" w:space="0" w:color="auto"/>
                    <w:right w:val="single" w:sz="4" w:space="0" w:color="auto"/>
                  </w:tcBorders>
                  <w:vAlign w:val="center"/>
                </w:tcPr>
                <w:p w:rsidR="007F27C4" w:rsidRPr="001974CC" w:rsidRDefault="007F27C4" w:rsidP="00F17841">
                  <w:pPr>
                    <w:jc w:val="both"/>
                    <w:rPr>
                      <w:rFonts w:ascii="Times New Roman" w:hAnsi="Times New Roman"/>
                      <w:iCs/>
                      <w:sz w:val="20"/>
                      <w:szCs w:val="20"/>
                      <w:lang w:eastAsia="pl-PL"/>
                    </w:rPr>
                  </w:pPr>
                  <w:r w:rsidRPr="001974CC">
                    <w:rPr>
                      <w:rFonts w:ascii="Times New Roman" w:hAnsi="Times New Roman"/>
                      <w:iCs/>
                      <w:sz w:val="20"/>
                      <w:szCs w:val="20"/>
                      <w:lang w:eastAsia="pl-PL"/>
                    </w:rPr>
                    <w:t>Złożenie</w:t>
                  </w:r>
                  <w:r w:rsidR="001974CC">
                    <w:rPr>
                      <w:rFonts w:ascii="Times New Roman" w:hAnsi="Times New Roman"/>
                      <w:iCs/>
                      <w:sz w:val="20"/>
                      <w:szCs w:val="20"/>
                      <w:lang w:eastAsia="pl-PL"/>
                    </w:rPr>
                    <w:t xml:space="preserve"> </w:t>
                  </w:r>
                  <w:r w:rsidRPr="001974CC">
                    <w:rPr>
                      <w:rFonts w:ascii="Times New Roman" w:hAnsi="Times New Roman"/>
                      <w:iCs/>
                      <w:sz w:val="20"/>
                      <w:szCs w:val="20"/>
                      <w:lang w:eastAsia="pl-PL"/>
                    </w:rPr>
                    <w:t>oświadczeń i dokumentów potwierdzającyc</w:t>
                  </w:r>
                  <w:r w:rsidR="00D35C9C">
                    <w:rPr>
                      <w:rFonts w:ascii="Times New Roman" w:hAnsi="Times New Roman"/>
                      <w:iCs/>
                      <w:sz w:val="20"/>
                      <w:szCs w:val="20"/>
                      <w:lang w:eastAsia="pl-PL"/>
                    </w:rPr>
                    <w:t>h spełnienie warunków udziału w </w:t>
                  </w:r>
                  <w:r w:rsidRPr="001974CC">
                    <w:rPr>
                      <w:rFonts w:ascii="Times New Roman" w:hAnsi="Times New Roman"/>
                      <w:iCs/>
                      <w:sz w:val="20"/>
                      <w:szCs w:val="20"/>
                      <w:lang w:eastAsia="pl-PL"/>
                    </w:rPr>
                    <w:t>postępowaniu przez oferenta (w przetargach, gdzie wartość zamówienia jest równa lub przekracza progi unijne)</w:t>
                  </w:r>
                </w:p>
              </w:tc>
              <w:tc>
                <w:tcPr>
                  <w:tcW w:w="1753"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3 795 250 rh</w:t>
                  </w:r>
                </w:p>
              </w:tc>
              <w:tc>
                <w:tcPr>
                  <w:tcW w:w="2268" w:type="dxa"/>
                  <w:tcBorders>
                    <w:top w:val="single" w:sz="4" w:space="0" w:color="auto"/>
                    <w:left w:val="single" w:sz="4" w:space="0" w:color="auto"/>
                    <w:bottom w:val="single" w:sz="4" w:space="0" w:color="auto"/>
                    <w:right w:val="single" w:sz="4" w:space="0" w:color="auto"/>
                  </w:tcBorders>
                  <w:shd w:val="clear" w:color="000000" w:fill="EBEFF5"/>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330 483 118 zł</w:t>
                  </w:r>
                </w:p>
              </w:tc>
              <w:tc>
                <w:tcPr>
                  <w:tcW w:w="2139"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247 862 338 zł</w:t>
                  </w:r>
                </w:p>
              </w:tc>
            </w:tr>
            <w:tr w:rsidR="007F27C4" w:rsidRPr="001974CC" w:rsidTr="000C1217">
              <w:trPr>
                <w:trHeight w:val="450"/>
                <w:jc w:val="center"/>
              </w:trPr>
              <w:tc>
                <w:tcPr>
                  <w:tcW w:w="4297" w:type="dxa"/>
                  <w:tcBorders>
                    <w:top w:val="single" w:sz="4" w:space="0" w:color="auto"/>
                    <w:left w:val="single" w:sz="4" w:space="0" w:color="auto"/>
                    <w:bottom w:val="single" w:sz="4" w:space="0" w:color="auto"/>
                    <w:right w:val="single" w:sz="4" w:space="0" w:color="auto"/>
                  </w:tcBorders>
                  <w:vAlign w:val="center"/>
                </w:tcPr>
                <w:p w:rsidR="007F27C4" w:rsidRPr="001974CC" w:rsidRDefault="007F27C4" w:rsidP="00F17841">
                  <w:pPr>
                    <w:jc w:val="both"/>
                    <w:rPr>
                      <w:rFonts w:ascii="Times New Roman" w:hAnsi="Times New Roman"/>
                      <w:iCs/>
                      <w:sz w:val="20"/>
                      <w:szCs w:val="20"/>
                      <w:lang w:eastAsia="pl-PL"/>
                    </w:rPr>
                  </w:pPr>
                  <w:r w:rsidRPr="001974CC">
                    <w:rPr>
                      <w:rFonts w:ascii="Times New Roman" w:hAnsi="Times New Roman"/>
                      <w:iCs/>
                      <w:sz w:val="20"/>
                      <w:szCs w:val="20"/>
                      <w:lang w:eastAsia="pl-PL"/>
                    </w:rPr>
                    <w:t>Złożenie (na żądanie zamawiającego) wyjaśnień dotyczących złożonych oświadczeń i dokumentów (wraz z ofertą lub wnioskiem o dopuszczenie do udziału w postępowaniu)</w:t>
                  </w:r>
                </w:p>
              </w:tc>
              <w:tc>
                <w:tcPr>
                  <w:tcW w:w="1753"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214 600 rh</w:t>
                  </w:r>
                </w:p>
              </w:tc>
              <w:tc>
                <w:tcPr>
                  <w:tcW w:w="2268" w:type="dxa"/>
                  <w:tcBorders>
                    <w:top w:val="single" w:sz="4" w:space="0" w:color="auto"/>
                    <w:left w:val="single" w:sz="4" w:space="0" w:color="auto"/>
                    <w:bottom w:val="single" w:sz="4" w:space="0" w:color="auto"/>
                    <w:right w:val="single" w:sz="4" w:space="0" w:color="auto"/>
                  </w:tcBorders>
                  <w:shd w:val="clear" w:color="000000" w:fill="EBEFF5"/>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5 838 067 zł</w:t>
                  </w:r>
                </w:p>
              </w:tc>
              <w:tc>
                <w:tcPr>
                  <w:tcW w:w="2139"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3 892 045 zł</w:t>
                  </w:r>
                </w:p>
              </w:tc>
            </w:tr>
            <w:tr w:rsidR="007F27C4" w:rsidRPr="001974CC" w:rsidTr="000C1217">
              <w:trPr>
                <w:trHeight w:val="450"/>
                <w:jc w:val="center"/>
              </w:trPr>
              <w:tc>
                <w:tcPr>
                  <w:tcW w:w="4297" w:type="dxa"/>
                  <w:tcBorders>
                    <w:top w:val="single" w:sz="4" w:space="0" w:color="auto"/>
                    <w:left w:val="single" w:sz="4" w:space="0" w:color="auto"/>
                    <w:bottom w:val="single" w:sz="4" w:space="0" w:color="auto"/>
                    <w:right w:val="single" w:sz="4" w:space="0" w:color="auto"/>
                  </w:tcBorders>
                  <w:vAlign w:val="center"/>
                </w:tcPr>
                <w:p w:rsidR="007F27C4" w:rsidRPr="001974CC" w:rsidRDefault="007F27C4" w:rsidP="00F17841">
                  <w:pPr>
                    <w:jc w:val="both"/>
                    <w:rPr>
                      <w:rFonts w:ascii="Times New Roman" w:hAnsi="Times New Roman"/>
                      <w:iCs/>
                      <w:sz w:val="20"/>
                      <w:szCs w:val="20"/>
                      <w:lang w:eastAsia="pl-PL"/>
                    </w:rPr>
                  </w:pPr>
                  <w:r w:rsidRPr="001974CC">
                    <w:rPr>
                      <w:rFonts w:ascii="Times New Roman" w:hAnsi="Times New Roman"/>
                      <w:iCs/>
                      <w:sz w:val="20"/>
                      <w:szCs w:val="20"/>
                      <w:lang w:eastAsia="pl-PL"/>
                    </w:rPr>
                    <w:t>Złożenie wniosku o zwrot wniesionego wadium do zamawiającego</w:t>
                  </w:r>
                </w:p>
              </w:tc>
              <w:tc>
                <w:tcPr>
                  <w:tcW w:w="1753"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12 413 rh</w:t>
                  </w:r>
                </w:p>
              </w:tc>
              <w:tc>
                <w:tcPr>
                  <w:tcW w:w="2268" w:type="dxa"/>
                  <w:tcBorders>
                    <w:top w:val="single" w:sz="4" w:space="0" w:color="auto"/>
                    <w:left w:val="single" w:sz="4" w:space="0" w:color="auto"/>
                    <w:bottom w:val="single" w:sz="4" w:space="0" w:color="auto"/>
                    <w:right w:val="single" w:sz="4" w:space="0" w:color="auto"/>
                  </w:tcBorders>
                  <w:shd w:val="clear" w:color="000000" w:fill="EBEFF5"/>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648 806 zł</w:t>
                  </w:r>
                </w:p>
              </w:tc>
              <w:tc>
                <w:tcPr>
                  <w:tcW w:w="2139"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454 164 zł</w:t>
                  </w:r>
                </w:p>
              </w:tc>
            </w:tr>
            <w:tr w:rsidR="007F27C4" w:rsidRPr="001974CC" w:rsidTr="000C1217">
              <w:trPr>
                <w:trHeight w:val="450"/>
                <w:jc w:val="center"/>
              </w:trPr>
              <w:tc>
                <w:tcPr>
                  <w:tcW w:w="4297" w:type="dxa"/>
                  <w:tcBorders>
                    <w:top w:val="single" w:sz="4" w:space="0" w:color="auto"/>
                    <w:left w:val="single" w:sz="4" w:space="0" w:color="auto"/>
                    <w:bottom w:val="single" w:sz="4" w:space="0" w:color="auto"/>
                    <w:right w:val="single" w:sz="4" w:space="0" w:color="auto"/>
                  </w:tcBorders>
                  <w:vAlign w:val="center"/>
                </w:tcPr>
                <w:p w:rsidR="007F27C4" w:rsidRPr="001974CC" w:rsidRDefault="007F27C4" w:rsidP="00F17841">
                  <w:pPr>
                    <w:jc w:val="both"/>
                    <w:rPr>
                      <w:rFonts w:ascii="Times New Roman" w:hAnsi="Times New Roman"/>
                      <w:iCs/>
                      <w:sz w:val="20"/>
                      <w:szCs w:val="20"/>
                      <w:lang w:eastAsia="pl-PL"/>
                    </w:rPr>
                  </w:pPr>
                  <w:r w:rsidRPr="001974CC">
                    <w:rPr>
                      <w:rFonts w:ascii="Times New Roman" w:hAnsi="Times New Roman"/>
                      <w:iCs/>
                      <w:sz w:val="20"/>
                      <w:szCs w:val="20"/>
                      <w:lang w:eastAsia="pl-PL"/>
                    </w:rPr>
                    <w:t>Przekazanie sprawozdania o udzielonych zamówieniach przez zamawiającego sektorowego</w:t>
                  </w:r>
                </w:p>
              </w:tc>
              <w:tc>
                <w:tcPr>
                  <w:tcW w:w="1753"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64 554 rh</w:t>
                  </w:r>
                </w:p>
              </w:tc>
              <w:tc>
                <w:tcPr>
                  <w:tcW w:w="2268" w:type="dxa"/>
                  <w:tcBorders>
                    <w:top w:val="single" w:sz="4" w:space="0" w:color="auto"/>
                    <w:left w:val="single" w:sz="4" w:space="0" w:color="auto"/>
                    <w:bottom w:val="single" w:sz="4" w:space="0" w:color="auto"/>
                    <w:right w:val="single" w:sz="4" w:space="0" w:color="auto"/>
                  </w:tcBorders>
                  <w:shd w:val="clear" w:color="000000" w:fill="EBEFF5"/>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2 384 697 zł</w:t>
                  </w:r>
                </w:p>
              </w:tc>
              <w:tc>
                <w:tcPr>
                  <w:tcW w:w="2139" w:type="dxa"/>
                  <w:tcBorders>
                    <w:top w:val="single" w:sz="4" w:space="0" w:color="auto"/>
                    <w:left w:val="single" w:sz="4" w:space="0" w:color="auto"/>
                    <w:bottom w:val="single" w:sz="4" w:space="0" w:color="auto"/>
                    <w:right w:val="single" w:sz="4" w:space="0" w:color="auto"/>
                  </w:tcBorders>
                  <w:noWrap/>
                  <w:vAlign w:val="center"/>
                </w:tcPr>
                <w:p w:rsidR="007F27C4" w:rsidRPr="001974CC" w:rsidRDefault="007F27C4" w:rsidP="00F17841">
                  <w:pPr>
                    <w:tabs>
                      <w:tab w:val="center" w:pos="4536"/>
                      <w:tab w:val="right" w:pos="9072"/>
                    </w:tabs>
                    <w:jc w:val="center"/>
                    <w:rPr>
                      <w:rFonts w:ascii="Times New Roman" w:hAnsi="Times New Roman"/>
                      <w:sz w:val="20"/>
                      <w:szCs w:val="20"/>
                      <w:lang w:eastAsia="pl-PL"/>
                    </w:rPr>
                  </w:pPr>
                  <w:r w:rsidRPr="001974CC">
                    <w:rPr>
                      <w:rFonts w:ascii="Times New Roman" w:hAnsi="Times New Roman"/>
                      <w:sz w:val="20"/>
                      <w:szCs w:val="20"/>
                      <w:lang w:eastAsia="pl-PL"/>
                    </w:rPr>
                    <w:t>1 430 818 zł</w:t>
                  </w:r>
                </w:p>
              </w:tc>
            </w:tr>
          </w:tbl>
          <w:p w:rsidR="007F27C4" w:rsidRPr="001974CC" w:rsidRDefault="007F27C4" w:rsidP="00F17841">
            <w:pPr>
              <w:pStyle w:val="Akapitzlist"/>
              <w:spacing w:before="120" w:line="240" w:lineRule="auto"/>
              <w:ind w:left="0"/>
              <w:contextualSpacing w:val="0"/>
              <w:jc w:val="both"/>
              <w:rPr>
                <w:rFonts w:ascii="Times New Roman" w:hAnsi="Times New Roman"/>
              </w:rPr>
            </w:pPr>
            <w:r w:rsidRPr="001974CC">
              <w:rPr>
                <w:rFonts w:ascii="Times New Roman" w:hAnsi="Times New Roman"/>
              </w:rPr>
              <w:t>Skala korzyści dla przedsiębiorców wynikająca z ograniczeni</w:t>
            </w:r>
            <w:r w:rsidR="00794E42">
              <w:rPr>
                <w:rFonts w:ascii="Times New Roman" w:hAnsi="Times New Roman"/>
              </w:rPr>
              <w:t>a</w:t>
            </w:r>
            <w:r w:rsidRPr="001974CC">
              <w:rPr>
                <w:rFonts w:ascii="Times New Roman" w:hAnsi="Times New Roman"/>
              </w:rPr>
              <w:t xml:space="preserve"> obowiązków informacyjnych została wskazana w pkt 7 OSR.</w:t>
            </w:r>
          </w:p>
          <w:p w:rsidR="007F27C4" w:rsidRPr="001974CC" w:rsidRDefault="007F27C4" w:rsidP="00F17841">
            <w:pPr>
              <w:pStyle w:val="Akapitzlist"/>
              <w:numPr>
                <w:ilvl w:val="0"/>
                <w:numId w:val="22"/>
              </w:numPr>
              <w:spacing w:before="120" w:line="240" w:lineRule="auto"/>
              <w:ind w:left="459" w:hanging="357"/>
              <w:contextualSpacing w:val="0"/>
              <w:jc w:val="both"/>
              <w:rPr>
                <w:rFonts w:ascii="Times New Roman" w:hAnsi="Times New Roman"/>
              </w:rPr>
            </w:pPr>
            <w:r w:rsidRPr="001974CC">
              <w:rPr>
                <w:rFonts w:ascii="Times New Roman" w:hAnsi="Times New Roman"/>
              </w:rPr>
              <w:t>Proponowane ograniczenia w zakresie żądania dokumentów, oparcie postępowań na oświadczeniach wykonawców, żądania dokumentów wyłącznie od wykonawcy, którego oferta została wybrana jako najkorzystniejsza, powinno ograniczyć ww. koszty obciążeń informacyjnych oraz czas ich wykonywan</w:t>
            </w:r>
            <w:r w:rsidR="001C797A">
              <w:rPr>
                <w:rFonts w:ascii="Times New Roman" w:hAnsi="Times New Roman"/>
              </w:rPr>
              <w:t>ia o co najmniej 66% (obecnie w </w:t>
            </w:r>
            <w:r w:rsidRPr="001974CC">
              <w:rPr>
                <w:rFonts w:ascii="Times New Roman" w:hAnsi="Times New Roman"/>
              </w:rPr>
              <w:t>postępowaniu składanych jest średnio około 3 ofert, do której każdy ze składających je wykonawców przedkłada wszystkie dokumenty podmiotowe, gdy po wejściu w życie nowej ustawy będzie to czynił wyłącznie wykonawca, który złożył ofertę najkorzystniejszą) oraz dalsze co najmniej 75%, jeżeli zamawiający będzie żądał tylko informacji z KRK (obecnie żąda również: wyciągu z KRS, zaświadczenia z urz</w:t>
            </w:r>
            <w:r w:rsidR="001C797A">
              <w:rPr>
                <w:rFonts w:ascii="Times New Roman" w:hAnsi="Times New Roman"/>
              </w:rPr>
              <w:t>ędu skarbowego, zaświadczenia z </w:t>
            </w:r>
            <w:r w:rsidRPr="001974CC">
              <w:rPr>
                <w:rFonts w:ascii="Times New Roman" w:hAnsi="Times New Roman"/>
              </w:rPr>
              <w:t>Zakładu Ubezpieczeń Społecznych oraz dokumentów dot</w:t>
            </w:r>
            <w:r w:rsidR="00794E42">
              <w:rPr>
                <w:rFonts w:ascii="Times New Roman" w:hAnsi="Times New Roman"/>
              </w:rPr>
              <w:t>yczących</w:t>
            </w:r>
            <w:r w:rsidRPr="001974CC">
              <w:rPr>
                <w:rFonts w:ascii="Times New Roman" w:hAnsi="Times New Roman"/>
              </w:rPr>
              <w:t xml:space="preserve"> spełniania przez wykonawcę warunków pozytywnych, m.in. licencji, koncesji, wykazu wykonanych zamówień wraz z referencjami, sprawozdań finansowych, polis ubezpieczeniowych i zaświadczeń z banku odnośnie środków na rachunku lub zdolności kredytowej). Wprowadzenie w pełni elektronicznych zamówień publicznych oraz powiązanie systemu do udzielania zamówień elektronicznych z rejestrami publicznymi (KRK, KRS, systemy urzędów skarbowych i ZUS dot</w:t>
            </w:r>
            <w:r w:rsidR="00794E42">
              <w:rPr>
                <w:rFonts w:ascii="Times New Roman" w:hAnsi="Times New Roman"/>
              </w:rPr>
              <w:t>yczących</w:t>
            </w:r>
            <w:r w:rsidRPr="001974CC">
              <w:rPr>
                <w:rFonts w:ascii="Times New Roman" w:hAnsi="Times New Roman"/>
              </w:rPr>
              <w:t xml:space="preserve"> zaległości z tytułu podatków, składek na ubezpieczenia społeczne i zdrowotne itp.) powinno całkowicie wyeliminować przedmiotowe obowiązki informacyjne. Ograniczenie obowiązków dokumentacyjnych będzie wiązało się z oszczędnościami przedsiębiorców z tytułu opłat. Oszczędności przy każdym postępowaniu o udzi</w:t>
            </w:r>
            <w:r w:rsidR="001C797A">
              <w:rPr>
                <w:rFonts w:ascii="Times New Roman" w:hAnsi="Times New Roman"/>
              </w:rPr>
              <w:t>elenie zamówienia publicznego</w:t>
            </w:r>
            <w:r w:rsidR="00B6414C">
              <w:rPr>
                <w:rFonts w:ascii="Times New Roman" w:hAnsi="Times New Roman"/>
              </w:rPr>
              <w:t>,</w:t>
            </w:r>
            <w:r w:rsidR="001C797A">
              <w:rPr>
                <w:rFonts w:ascii="Times New Roman" w:hAnsi="Times New Roman"/>
              </w:rPr>
              <w:t xml:space="preserve"> w </w:t>
            </w:r>
            <w:r w:rsidRPr="001974CC">
              <w:rPr>
                <w:rFonts w:ascii="Times New Roman" w:hAnsi="Times New Roman"/>
              </w:rPr>
              <w:t xml:space="preserve">którym bierze udział: a) przedsiębiorca </w:t>
            </w:r>
            <w:r w:rsidR="001974CC">
              <w:rPr>
                <w:rFonts w:ascii="Times New Roman" w:hAnsi="Times New Roman"/>
              </w:rPr>
              <w:t>–</w:t>
            </w:r>
            <w:r w:rsidRPr="001974CC">
              <w:rPr>
                <w:rFonts w:ascii="Times New Roman" w:hAnsi="Times New Roman"/>
              </w:rPr>
              <w:t xml:space="preserve"> osoba fizyczn</w:t>
            </w:r>
            <w:r w:rsidR="00B6414C">
              <w:rPr>
                <w:rFonts w:ascii="Times New Roman" w:hAnsi="Times New Roman"/>
              </w:rPr>
              <w:t>a</w:t>
            </w:r>
            <w:r w:rsidRPr="001974CC">
              <w:rPr>
                <w:rFonts w:ascii="Times New Roman" w:hAnsi="Times New Roman"/>
              </w:rPr>
              <w:t xml:space="preserve"> – 81 zł </w:t>
            </w:r>
            <w:r w:rsidRPr="001974CC">
              <w:rPr>
                <w:rFonts w:ascii="Times New Roman" w:hAnsi="Times New Roman"/>
              </w:rPr>
              <w:lastRenderedPageBreak/>
              <w:t>(zaświadczenie z US –</w:t>
            </w:r>
            <w:r w:rsidR="00D35C9C">
              <w:rPr>
                <w:rFonts w:ascii="Times New Roman" w:hAnsi="Times New Roman"/>
              </w:rPr>
              <w:t xml:space="preserve"> 21 zł, odpis z KRS – 30 </w:t>
            </w:r>
            <w:r w:rsidRPr="001974CC">
              <w:rPr>
                <w:rFonts w:ascii="Times New Roman" w:hAnsi="Times New Roman"/>
              </w:rPr>
              <w:t>zł, informacja z KRK – 30 zł), b) przedsiębiorca – podmiot zbiorowy – 171 zł (zaświadczenie z US – 21 zł, odpis z</w:t>
            </w:r>
            <w:r w:rsidR="001C797A">
              <w:rPr>
                <w:rFonts w:ascii="Times New Roman" w:hAnsi="Times New Roman"/>
              </w:rPr>
              <w:t> </w:t>
            </w:r>
            <w:r w:rsidRPr="001974CC">
              <w:rPr>
                <w:rFonts w:ascii="Times New Roman" w:hAnsi="Times New Roman"/>
              </w:rPr>
              <w:t xml:space="preserve">KRS – 30 zł, informacja z KRK dla podmiotu zbiorowego – 30 zł + informacja dla każdego wspólnika lub członka zarządu w wysokości 30 zł, przy założeniu, że średnio występuje 3 wspólników lub członków zarządu) </w:t>
            </w:r>
            <w:r w:rsidR="001974CC">
              <w:rPr>
                <w:rFonts w:ascii="Times New Roman" w:hAnsi="Times New Roman"/>
              </w:rPr>
              <w:t>–</w:t>
            </w:r>
            <w:r w:rsidR="001C797A">
              <w:rPr>
                <w:rFonts w:ascii="Times New Roman" w:hAnsi="Times New Roman"/>
              </w:rPr>
              <w:t xml:space="preserve"> w </w:t>
            </w:r>
            <w:r w:rsidRPr="001974CC">
              <w:rPr>
                <w:rFonts w:ascii="Times New Roman" w:hAnsi="Times New Roman"/>
              </w:rPr>
              <w:t>przypadku, gdy nie musi przedstawiać zaświadczeń.</w:t>
            </w:r>
          </w:p>
          <w:p w:rsidR="007F27C4" w:rsidRPr="001974CC" w:rsidRDefault="007F27C4" w:rsidP="000D51EE">
            <w:pPr>
              <w:pStyle w:val="Akapitzlist"/>
              <w:numPr>
                <w:ilvl w:val="0"/>
                <w:numId w:val="22"/>
              </w:numPr>
              <w:spacing w:before="120" w:line="240" w:lineRule="auto"/>
              <w:ind w:left="459" w:hanging="357"/>
              <w:contextualSpacing w:val="0"/>
              <w:jc w:val="both"/>
              <w:rPr>
                <w:rFonts w:ascii="Times New Roman" w:hAnsi="Times New Roman"/>
              </w:rPr>
            </w:pPr>
            <w:r w:rsidRPr="001974CC">
              <w:rPr>
                <w:rFonts w:ascii="Times New Roman" w:hAnsi="Times New Roman"/>
              </w:rPr>
              <w:t xml:space="preserve">Zmniejszenie </w:t>
            </w:r>
            <w:r w:rsidR="00091875">
              <w:rPr>
                <w:rFonts w:ascii="Times New Roman" w:hAnsi="Times New Roman"/>
              </w:rPr>
              <w:t>liczby</w:t>
            </w:r>
            <w:r w:rsidRPr="001974CC">
              <w:rPr>
                <w:rFonts w:ascii="Times New Roman" w:hAnsi="Times New Roman"/>
              </w:rPr>
              <w:t xml:space="preserve"> roboczo-godzin (ustalone na podstawie Bazy Obowiązków Informacyjnych Ministerstwa Gospodarki) przy każdym postępowaniu o udzielenie zamówienia publicznego, w którym bierze udział przedsiębiorca: a) w związku ze zmianami w zakresie dokumentów: 199,8 roboczo </w:t>
            </w:r>
            <w:r w:rsidR="001974CC">
              <w:rPr>
                <w:rFonts w:ascii="Times New Roman" w:hAnsi="Times New Roman"/>
              </w:rPr>
              <w:t>–</w:t>
            </w:r>
            <w:r w:rsidRPr="001974CC">
              <w:rPr>
                <w:rFonts w:ascii="Times New Roman" w:hAnsi="Times New Roman"/>
              </w:rPr>
              <w:t xml:space="preserve"> godzin na wykonawcę, który nie musi przedstawiać zaświadczeń, b) w związku ze zmianami w zakresie wadium, w przypadku gdy zamawiający nie będzie żądał wadium: 0,6 roboczo</w:t>
            </w:r>
            <w:r w:rsidR="00794E42">
              <w:rPr>
                <w:rFonts w:ascii="Times New Roman" w:hAnsi="Times New Roman"/>
              </w:rPr>
              <w:t>-</w:t>
            </w:r>
            <w:r w:rsidRPr="001974CC">
              <w:rPr>
                <w:rFonts w:ascii="Times New Roman" w:hAnsi="Times New Roman"/>
              </w:rPr>
              <w:t>godzin na przedsiębiorcę (wykonawcę), k</w:t>
            </w:r>
            <w:r w:rsidR="001C797A">
              <w:rPr>
                <w:rFonts w:ascii="Times New Roman" w:hAnsi="Times New Roman"/>
              </w:rPr>
              <w:t>tóry nie musi składać wniosku o </w:t>
            </w:r>
            <w:r w:rsidRPr="001974CC">
              <w:rPr>
                <w:rFonts w:ascii="Times New Roman" w:hAnsi="Times New Roman"/>
              </w:rPr>
              <w:t>zwrot wniesionego wadium do zamawiającego.</w:t>
            </w:r>
          </w:p>
        </w:tc>
      </w:tr>
      <w:tr w:rsidR="007F27C4" w:rsidRPr="001974CC" w:rsidTr="00D41C64">
        <w:trPr>
          <w:trHeight w:val="142"/>
        </w:trPr>
        <w:tc>
          <w:tcPr>
            <w:tcW w:w="10937" w:type="dxa"/>
            <w:gridSpan w:val="28"/>
            <w:shd w:val="clear" w:color="auto" w:fill="99CCFF"/>
          </w:tcPr>
          <w:p w:rsidR="007F27C4" w:rsidRPr="001974CC" w:rsidRDefault="007F27C4" w:rsidP="00F17841">
            <w:pPr>
              <w:numPr>
                <w:ilvl w:val="0"/>
                <w:numId w:val="3"/>
              </w:numPr>
              <w:spacing w:before="60" w:after="60" w:line="240" w:lineRule="auto"/>
              <w:jc w:val="both"/>
              <w:rPr>
                <w:rFonts w:ascii="Times New Roman" w:hAnsi="Times New Roman"/>
                <w:b/>
              </w:rPr>
            </w:pPr>
            <w:r w:rsidRPr="001974CC">
              <w:rPr>
                <w:rFonts w:ascii="Times New Roman" w:hAnsi="Times New Roman"/>
                <w:b/>
              </w:rPr>
              <w:lastRenderedPageBreak/>
              <w:t xml:space="preserve">Wpływ na rynek pracy </w:t>
            </w:r>
          </w:p>
        </w:tc>
      </w:tr>
      <w:tr w:rsidR="007F27C4" w:rsidRPr="001974CC" w:rsidTr="00D41C64">
        <w:trPr>
          <w:trHeight w:val="1975"/>
        </w:trPr>
        <w:tc>
          <w:tcPr>
            <w:tcW w:w="10937" w:type="dxa"/>
            <w:gridSpan w:val="28"/>
          </w:tcPr>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Rozszerzenie stosowania umów o pracę pozwoli na zwiększenie liczby osób uzyskujących co najmniej minimalne wynagrodzenie i które są ubezpieczone w systemie ubezpieczeń zdrowotnych i społecznych. Dzięki szerszemu stosowaniu kryterium ceny zmniejszy się presja konkurencyjna na ograniczenie kosztów pracy.</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Zapewnienie przestrzegania przepisów prawa pracy, o minimalnym wynagrodzeniu, BHP oraz przepisów</w:t>
            </w:r>
            <w:r w:rsidR="001C797A">
              <w:rPr>
                <w:rFonts w:ascii="Times New Roman" w:hAnsi="Times New Roman"/>
              </w:rPr>
              <w:t xml:space="preserve"> o </w:t>
            </w:r>
            <w:r w:rsidRPr="001974CC">
              <w:rPr>
                <w:rFonts w:ascii="Times New Roman" w:hAnsi="Times New Roman"/>
              </w:rPr>
              <w:t>zabezpieczeniu społecznym w związku z</w:t>
            </w:r>
            <w:r w:rsidR="00891DFB">
              <w:rPr>
                <w:rFonts w:ascii="Times New Roman" w:hAnsi="Times New Roman"/>
              </w:rPr>
              <w:t>e</w:t>
            </w:r>
            <w:r w:rsidRPr="001974CC">
              <w:rPr>
                <w:rFonts w:ascii="Times New Roman" w:hAnsi="Times New Roman"/>
              </w:rPr>
              <w:t xml:space="preserve"> stosowaniem przesłanek wykluczenia, odrzucenia ofert rażąco niskich. </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Zwiększenie możliwości zatrudnienia pracowników niepełnosprawnych lub defaworyzowanych społecznie (zagrożonych wykluczeniem społecznym) przez udział przedsiębiorstw w zamówieniach zastrzeżonych w związku z obniżeniem z 50% do 30% wymaganego zatrudnienia w ramach zamówień zastrzeżonych osób defaworyzowanych.</w:t>
            </w:r>
          </w:p>
        </w:tc>
      </w:tr>
      <w:tr w:rsidR="007F27C4" w:rsidRPr="001974CC" w:rsidTr="00D41C64">
        <w:trPr>
          <w:trHeight w:val="142"/>
        </w:trPr>
        <w:tc>
          <w:tcPr>
            <w:tcW w:w="10937" w:type="dxa"/>
            <w:gridSpan w:val="28"/>
            <w:shd w:val="clear" w:color="auto" w:fill="99CCFF"/>
          </w:tcPr>
          <w:p w:rsidR="007F27C4" w:rsidRPr="001974CC" w:rsidRDefault="007F27C4" w:rsidP="00F17841">
            <w:pPr>
              <w:numPr>
                <w:ilvl w:val="0"/>
                <w:numId w:val="3"/>
              </w:numPr>
              <w:spacing w:before="60" w:after="60" w:line="240" w:lineRule="auto"/>
              <w:jc w:val="both"/>
              <w:rPr>
                <w:rFonts w:ascii="Times New Roman" w:hAnsi="Times New Roman"/>
                <w:b/>
              </w:rPr>
            </w:pPr>
            <w:r w:rsidRPr="001974CC">
              <w:rPr>
                <w:rFonts w:ascii="Times New Roman" w:hAnsi="Times New Roman"/>
                <w:b/>
              </w:rPr>
              <w:t>Wpływ na pozostałe obszary</w:t>
            </w:r>
          </w:p>
        </w:tc>
      </w:tr>
      <w:tr w:rsidR="007F27C4" w:rsidRPr="001974CC" w:rsidTr="001974CC">
        <w:trPr>
          <w:trHeight w:val="411"/>
        </w:trPr>
        <w:tc>
          <w:tcPr>
            <w:tcW w:w="3541" w:type="dxa"/>
            <w:gridSpan w:val="8"/>
            <w:shd w:val="clear" w:color="auto" w:fill="FFFFFF"/>
          </w:tcPr>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środowisko naturalne</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sytuacja i rozwój regionalny</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inne: zatrudnienie, innowacyjność </w:t>
            </w:r>
          </w:p>
        </w:tc>
        <w:tc>
          <w:tcPr>
            <w:tcW w:w="3687" w:type="dxa"/>
            <w:gridSpan w:val="11"/>
            <w:shd w:val="clear" w:color="auto" w:fill="FFFFFF"/>
          </w:tcPr>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demografia</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mienie państwowe</w:t>
            </w:r>
          </w:p>
        </w:tc>
        <w:tc>
          <w:tcPr>
            <w:tcW w:w="3709" w:type="dxa"/>
            <w:gridSpan w:val="9"/>
            <w:shd w:val="clear" w:color="auto" w:fill="FFFFFF"/>
          </w:tcPr>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
                  <w:enabled/>
                  <w:calcOnExit w:val="0"/>
                  <w:checkBox>
                    <w:sizeAuto/>
                    <w:default w:val="1"/>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informatyzacja</w:t>
            </w:r>
          </w:p>
          <w:p w:rsidR="007F27C4" w:rsidRPr="001974CC" w:rsidRDefault="00755CF5" w:rsidP="00F17841">
            <w:pPr>
              <w:spacing w:line="240" w:lineRule="auto"/>
              <w:rPr>
                <w:rFonts w:ascii="Times New Roman" w:hAnsi="Times New Roman"/>
              </w:rPr>
            </w:pPr>
            <w:r w:rsidRPr="001974CC">
              <w:rPr>
                <w:rFonts w:ascii="Times New Roman" w:hAnsi="Times New Roman"/>
              </w:rPr>
              <w:fldChar w:fldCharType="begin">
                <w:ffData>
                  <w:name w:val="Wybór1"/>
                  <w:enabled/>
                  <w:calcOnExit w:val="0"/>
                  <w:checkBox>
                    <w:sizeAuto/>
                    <w:default w:val="0"/>
                  </w:checkBox>
                </w:ffData>
              </w:fldChar>
            </w:r>
            <w:r w:rsidR="007F27C4" w:rsidRPr="001974CC">
              <w:rPr>
                <w:rFonts w:ascii="Times New Roman" w:hAnsi="Times New Roman"/>
              </w:rPr>
              <w:instrText xml:space="preserve"> FORMCHECKBOX </w:instrText>
            </w:r>
            <w:r w:rsidR="00F52F29">
              <w:rPr>
                <w:rFonts w:ascii="Times New Roman" w:hAnsi="Times New Roman"/>
              </w:rPr>
            </w:r>
            <w:r w:rsidR="00F52F29">
              <w:rPr>
                <w:rFonts w:ascii="Times New Roman" w:hAnsi="Times New Roman"/>
              </w:rPr>
              <w:fldChar w:fldCharType="separate"/>
            </w:r>
            <w:r w:rsidRPr="001974CC">
              <w:rPr>
                <w:rFonts w:ascii="Times New Roman" w:hAnsi="Times New Roman"/>
              </w:rPr>
              <w:fldChar w:fldCharType="end"/>
            </w:r>
            <w:r w:rsidR="007F27C4" w:rsidRPr="001974CC">
              <w:rPr>
                <w:rFonts w:ascii="Times New Roman" w:hAnsi="Times New Roman"/>
              </w:rPr>
              <w:t xml:space="preserve"> zdrowie</w:t>
            </w:r>
          </w:p>
        </w:tc>
      </w:tr>
      <w:tr w:rsidR="007F27C4" w:rsidRPr="001974CC" w:rsidTr="001974CC">
        <w:trPr>
          <w:trHeight w:val="2947"/>
        </w:trPr>
        <w:tc>
          <w:tcPr>
            <w:tcW w:w="2233" w:type="dxa"/>
            <w:gridSpan w:val="4"/>
            <w:shd w:val="clear" w:color="auto" w:fill="FFFFFF"/>
            <w:vAlign w:val="center"/>
          </w:tcPr>
          <w:p w:rsidR="007F27C4" w:rsidRPr="001974CC" w:rsidRDefault="007F27C4" w:rsidP="00F17841">
            <w:pPr>
              <w:spacing w:line="240" w:lineRule="auto"/>
              <w:rPr>
                <w:rFonts w:ascii="Times New Roman" w:hAnsi="Times New Roman"/>
              </w:rPr>
            </w:pPr>
            <w:r w:rsidRPr="001974CC">
              <w:rPr>
                <w:rFonts w:ascii="Times New Roman" w:hAnsi="Times New Roman"/>
              </w:rPr>
              <w:t>Omówienie wpływu</w:t>
            </w:r>
          </w:p>
        </w:tc>
        <w:tc>
          <w:tcPr>
            <w:tcW w:w="8704" w:type="dxa"/>
            <w:gridSpan w:val="24"/>
            <w:shd w:val="clear" w:color="auto" w:fill="FFFFFF"/>
            <w:vAlign w:val="center"/>
          </w:tcPr>
          <w:p w:rsidR="007F27C4" w:rsidRPr="001974CC" w:rsidRDefault="007F27C4" w:rsidP="00F17841">
            <w:pPr>
              <w:pStyle w:val="Akapitzlist"/>
              <w:numPr>
                <w:ilvl w:val="0"/>
                <w:numId w:val="24"/>
              </w:numPr>
              <w:spacing w:before="120" w:line="240" w:lineRule="auto"/>
              <w:ind w:left="482" w:hanging="357"/>
              <w:contextualSpacing w:val="0"/>
              <w:jc w:val="both"/>
              <w:rPr>
                <w:rFonts w:ascii="Times New Roman" w:hAnsi="Times New Roman"/>
              </w:rPr>
            </w:pPr>
            <w:r w:rsidRPr="001974CC">
              <w:rPr>
                <w:rFonts w:ascii="Times New Roman" w:hAnsi="Times New Roman"/>
              </w:rPr>
              <w:t xml:space="preserve">przez wprowadzenie obowiązkowego stosowania narzędzi elektronicznych w komunikacji między wykonawcą i zamawiającym regulacja przyczyni </w:t>
            </w:r>
            <w:r w:rsidR="001C797A">
              <w:rPr>
                <w:rFonts w:ascii="Times New Roman" w:hAnsi="Times New Roman"/>
              </w:rPr>
              <w:t>się do rozwoju informatyzacji i </w:t>
            </w:r>
            <w:r w:rsidRPr="001974CC">
              <w:rPr>
                <w:rFonts w:ascii="Times New Roman" w:hAnsi="Times New Roman"/>
              </w:rPr>
              <w:t xml:space="preserve">e-Administracji oraz będzie miała pozytywny wpływ na środowisko; </w:t>
            </w:r>
          </w:p>
          <w:p w:rsidR="007F27C4" w:rsidRPr="001974CC" w:rsidRDefault="007F27C4" w:rsidP="00F17841">
            <w:pPr>
              <w:pStyle w:val="Akapitzlist"/>
              <w:numPr>
                <w:ilvl w:val="0"/>
                <w:numId w:val="24"/>
              </w:numPr>
              <w:spacing w:before="120" w:line="240" w:lineRule="auto"/>
              <w:ind w:left="482" w:hanging="357"/>
              <w:contextualSpacing w:val="0"/>
              <w:jc w:val="both"/>
              <w:rPr>
                <w:rFonts w:ascii="Times New Roman" w:hAnsi="Times New Roman"/>
              </w:rPr>
            </w:pPr>
            <w:r w:rsidRPr="001974CC">
              <w:rPr>
                <w:rFonts w:ascii="Times New Roman" w:hAnsi="Times New Roman"/>
              </w:rPr>
              <w:t xml:space="preserve">stwarzanie warunków do większego stosowania kryteriów środowiskowych przy ocenie ofert wykonawców wpłynie na poprawę środowiska naturalnego; </w:t>
            </w:r>
          </w:p>
          <w:p w:rsidR="007F27C4" w:rsidRPr="001974CC" w:rsidRDefault="007F27C4" w:rsidP="00F17841">
            <w:pPr>
              <w:pStyle w:val="Akapitzlist"/>
              <w:numPr>
                <w:ilvl w:val="0"/>
                <w:numId w:val="24"/>
              </w:numPr>
              <w:spacing w:before="120" w:line="240" w:lineRule="auto"/>
              <w:ind w:left="482" w:hanging="357"/>
              <w:contextualSpacing w:val="0"/>
              <w:jc w:val="both"/>
              <w:rPr>
                <w:rFonts w:ascii="Times New Roman" w:hAnsi="Times New Roman"/>
              </w:rPr>
            </w:pPr>
            <w:r w:rsidRPr="001974CC">
              <w:rPr>
                <w:rFonts w:ascii="Times New Roman" w:hAnsi="Times New Roman"/>
              </w:rPr>
              <w:t>wprowadzenie wzmocnionych klauzul społecznych dotyczących udziału zakładów chronionych oraz wykonawców zatrudni</w:t>
            </w:r>
            <w:r w:rsidR="001C797A">
              <w:rPr>
                <w:rFonts w:ascii="Times New Roman" w:hAnsi="Times New Roman"/>
              </w:rPr>
              <w:t>ających osoby niepełnosprawne i </w:t>
            </w:r>
            <w:r w:rsidRPr="001974CC">
              <w:rPr>
                <w:rFonts w:ascii="Times New Roman" w:hAnsi="Times New Roman"/>
              </w:rPr>
              <w:t xml:space="preserve">defaworyzowane może przyczynić się do zwiększenia zatrudnienia tych osób, co może powodować ograniczenie zjawiska wykluczenia społecznego; </w:t>
            </w:r>
          </w:p>
          <w:p w:rsidR="007F27C4" w:rsidRPr="001974CC" w:rsidRDefault="007F27C4" w:rsidP="00F17841">
            <w:pPr>
              <w:pStyle w:val="Akapitzlist"/>
              <w:numPr>
                <w:ilvl w:val="0"/>
                <w:numId w:val="24"/>
              </w:numPr>
              <w:spacing w:before="120" w:line="240" w:lineRule="auto"/>
              <w:ind w:left="482" w:hanging="357"/>
              <w:contextualSpacing w:val="0"/>
              <w:jc w:val="both"/>
              <w:rPr>
                <w:rFonts w:ascii="Times New Roman" w:hAnsi="Times New Roman"/>
              </w:rPr>
            </w:pPr>
            <w:r w:rsidRPr="001974CC">
              <w:rPr>
                <w:rFonts w:ascii="Times New Roman" w:hAnsi="Times New Roman"/>
              </w:rPr>
              <w:t>wprowadzenie procedury partnerstwa innowacyjnego i wsparcie stosowania kryteriów pozacenowych może wesprzeć stosowanie rozwiązań innowacyjnych.</w:t>
            </w:r>
          </w:p>
        </w:tc>
      </w:tr>
      <w:tr w:rsidR="007F27C4" w:rsidRPr="001974CC" w:rsidTr="00D41C64">
        <w:trPr>
          <w:trHeight w:val="142"/>
        </w:trPr>
        <w:tc>
          <w:tcPr>
            <w:tcW w:w="10937" w:type="dxa"/>
            <w:gridSpan w:val="28"/>
            <w:shd w:val="clear" w:color="auto" w:fill="99CCFF"/>
          </w:tcPr>
          <w:p w:rsidR="007F27C4" w:rsidRPr="001974CC" w:rsidRDefault="007F27C4" w:rsidP="001974CC">
            <w:pPr>
              <w:numPr>
                <w:ilvl w:val="0"/>
                <w:numId w:val="3"/>
              </w:numPr>
              <w:tabs>
                <w:tab w:val="clear" w:pos="360"/>
                <w:tab w:val="num" w:pos="460"/>
              </w:tabs>
              <w:spacing w:before="60" w:after="60" w:line="240" w:lineRule="auto"/>
              <w:ind w:left="460" w:hanging="426"/>
              <w:jc w:val="both"/>
              <w:rPr>
                <w:rFonts w:ascii="Times New Roman" w:hAnsi="Times New Roman"/>
                <w:b/>
              </w:rPr>
            </w:pPr>
            <w:r w:rsidRPr="001974CC">
              <w:rPr>
                <w:rFonts w:ascii="Times New Roman" w:hAnsi="Times New Roman"/>
                <w:b/>
              </w:rPr>
              <w:t>Planowane wykonanie przepisów aktu prawnego</w:t>
            </w:r>
          </w:p>
        </w:tc>
      </w:tr>
      <w:tr w:rsidR="007F27C4" w:rsidRPr="001974CC" w:rsidTr="00D41C64">
        <w:trPr>
          <w:trHeight w:val="3624"/>
        </w:trPr>
        <w:tc>
          <w:tcPr>
            <w:tcW w:w="10937" w:type="dxa"/>
            <w:gridSpan w:val="28"/>
            <w:shd w:val="clear" w:color="auto" w:fill="FFFFFF"/>
          </w:tcPr>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 xml:space="preserve">Planowane wejście przepisów w życie </w:t>
            </w:r>
            <w:r w:rsidR="001974CC">
              <w:rPr>
                <w:rFonts w:ascii="Times New Roman" w:hAnsi="Times New Roman"/>
              </w:rPr>
              <w:t>–</w:t>
            </w:r>
            <w:r w:rsidRPr="001974CC">
              <w:rPr>
                <w:rFonts w:ascii="Times New Roman" w:hAnsi="Times New Roman"/>
              </w:rPr>
              <w:t xml:space="preserve"> 18 kwietnia 2016 r. Terminy implementacji dyrektywy klasycznej 2014/24/UE oraz dyrektywy sektorowej 2014/25/UE upływają w dniu 18 kwietnia 2016 r.</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Przepisy dyrektywy klasycznej 2014/24/UE oraz dyrektywy sektorowej 2014/25/UE zezwalają państwom członkowskim na odroczenie do dnia 18 października 2018 r. terminu wdrożenia obowiązkowe</w:t>
            </w:r>
            <w:r w:rsidR="001C797A">
              <w:rPr>
                <w:rFonts w:ascii="Times New Roman" w:hAnsi="Times New Roman"/>
              </w:rPr>
              <w:t>j komunikacji elektronicznej, z </w:t>
            </w:r>
            <w:r w:rsidRPr="001974CC">
              <w:rPr>
                <w:rFonts w:ascii="Times New Roman" w:hAnsi="Times New Roman"/>
              </w:rPr>
              <w:t xml:space="preserve">wyjątkiem przesyłania ogłoszeń, udostępniania dokumentów zamówienia oraz instytucji </w:t>
            </w:r>
            <w:r w:rsidRPr="001974CC">
              <w:rPr>
                <w:rFonts w:ascii="Times New Roman" w:hAnsi="Times New Roman"/>
                <w:i/>
              </w:rPr>
              <w:t xml:space="preserve">stricte </w:t>
            </w:r>
            <w:r w:rsidRPr="001974CC">
              <w:rPr>
                <w:rFonts w:ascii="Times New Roman" w:hAnsi="Times New Roman"/>
              </w:rPr>
              <w:t>elektronicznych jak: aukcja elektroniczna, katalogi elektroniczne, dynamiczny system zakupów. W przepisach przejściowych nastąpi przesunięcie obowiązku korzystania z</w:t>
            </w:r>
            <w:r w:rsidR="001C797A">
              <w:rPr>
                <w:rFonts w:ascii="Times New Roman" w:hAnsi="Times New Roman"/>
              </w:rPr>
              <w:t>e</w:t>
            </w:r>
            <w:r w:rsidRPr="001974CC">
              <w:rPr>
                <w:rFonts w:ascii="Times New Roman" w:hAnsi="Times New Roman"/>
              </w:rPr>
              <w:t xml:space="preserve"> </w:t>
            </w:r>
            <w:r w:rsidR="001C797A" w:rsidRPr="001974CC">
              <w:rPr>
                <w:rFonts w:ascii="Times New Roman" w:hAnsi="Times New Roman"/>
              </w:rPr>
              <w:t xml:space="preserve">środków komunikacji </w:t>
            </w:r>
            <w:r w:rsidR="005A3262">
              <w:rPr>
                <w:rFonts w:ascii="Times New Roman" w:hAnsi="Times New Roman"/>
              </w:rPr>
              <w:t>elektronicznej</w:t>
            </w:r>
            <w:r w:rsidRPr="001974CC">
              <w:rPr>
                <w:rFonts w:ascii="Times New Roman" w:hAnsi="Times New Roman"/>
              </w:rPr>
              <w:t xml:space="preserve"> do </w:t>
            </w:r>
            <w:r w:rsidR="001C797A">
              <w:rPr>
                <w:rFonts w:ascii="Times New Roman" w:hAnsi="Times New Roman"/>
              </w:rPr>
              <w:t xml:space="preserve">dnia </w:t>
            </w:r>
            <w:r w:rsidRPr="001974CC">
              <w:rPr>
                <w:rFonts w:ascii="Times New Roman" w:hAnsi="Times New Roman"/>
              </w:rPr>
              <w:t>18 października 20</w:t>
            </w:r>
            <w:r w:rsidR="001C797A">
              <w:rPr>
                <w:rFonts w:ascii="Times New Roman" w:hAnsi="Times New Roman"/>
              </w:rPr>
              <w:t>18 r., a w </w:t>
            </w:r>
            <w:r w:rsidRPr="001974CC">
              <w:rPr>
                <w:rFonts w:ascii="Times New Roman" w:hAnsi="Times New Roman"/>
              </w:rPr>
              <w:t xml:space="preserve">przypadku przepisów dotyczących jednolitego europejskiego dokumentu zamówienia do </w:t>
            </w:r>
            <w:r w:rsidR="0085022A">
              <w:rPr>
                <w:rFonts w:ascii="Times New Roman" w:hAnsi="Times New Roman"/>
              </w:rPr>
              <w:t xml:space="preserve">dnia </w:t>
            </w:r>
            <w:r w:rsidRPr="001974CC">
              <w:rPr>
                <w:rFonts w:ascii="Times New Roman" w:hAnsi="Times New Roman"/>
              </w:rPr>
              <w:t xml:space="preserve">18 kwietnia 2018 r. Wyjątek stanowić będą centralne jednostki zakupujące, które będą zobowiązane do stosowania pełnej komunikacji elektronicznej od </w:t>
            </w:r>
            <w:r w:rsidR="0085022A">
              <w:rPr>
                <w:rFonts w:ascii="Times New Roman" w:hAnsi="Times New Roman"/>
              </w:rPr>
              <w:t xml:space="preserve">dnia </w:t>
            </w:r>
            <w:r w:rsidRPr="001974CC">
              <w:rPr>
                <w:rFonts w:ascii="Times New Roman" w:hAnsi="Times New Roman"/>
              </w:rPr>
              <w:t xml:space="preserve">18 kwietnia 2017 r. </w:t>
            </w:r>
          </w:p>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W okresie przejściowym zamawiający będą zobowiązani wyłącznie do elektronicznego przesyłania ogłoszeń do właściwego publikatora, udostępniania dokumentów zamówienia na własnej stronie int</w:t>
            </w:r>
            <w:r w:rsidR="001C797A">
              <w:rPr>
                <w:rFonts w:ascii="Times New Roman" w:hAnsi="Times New Roman"/>
              </w:rPr>
              <w:t>ernetowej, wymiany informacji z </w:t>
            </w:r>
            <w:r w:rsidRPr="001974CC">
              <w:rPr>
                <w:rFonts w:ascii="Times New Roman" w:hAnsi="Times New Roman"/>
              </w:rPr>
              <w:t>wykonawcą i przyjmowania wniosków oraz ofert pocztą, faksem, z użyciem środków elektronicznych lub dowolnym połączeniem tych sposobów.</w:t>
            </w:r>
          </w:p>
        </w:tc>
      </w:tr>
      <w:tr w:rsidR="007F27C4" w:rsidRPr="001974CC" w:rsidTr="00D41C64">
        <w:trPr>
          <w:trHeight w:val="142"/>
        </w:trPr>
        <w:tc>
          <w:tcPr>
            <w:tcW w:w="10937" w:type="dxa"/>
            <w:gridSpan w:val="28"/>
            <w:shd w:val="clear" w:color="auto" w:fill="99CCFF"/>
          </w:tcPr>
          <w:p w:rsidR="007F27C4" w:rsidRPr="001974CC" w:rsidRDefault="007F27C4" w:rsidP="001974CC">
            <w:pPr>
              <w:keepNext/>
              <w:numPr>
                <w:ilvl w:val="0"/>
                <w:numId w:val="3"/>
              </w:numPr>
              <w:tabs>
                <w:tab w:val="clear" w:pos="360"/>
                <w:tab w:val="num" w:pos="460"/>
              </w:tabs>
              <w:spacing w:before="60" w:after="60" w:line="240" w:lineRule="auto"/>
              <w:ind w:left="459" w:hanging="425"/>
              <w:jc w:val="both"/>
              <w:rPr>
                <w:rFonts w:ascii="Times New Roman" w:hAnsi="Times New Roman"/>
                <w:b/>
              </w:rPr>
            </w:pPr>
            <w:r w:rsidRPr="001974CC">
              <w:rPr>
                <w:rFonts w:ascii="Times New Roman" w:hAnsi="Times New Roman"/>
                <w:b/>
              </w:rPr>
              <w:lastRenderedPageBreak/>
              <w:t>W jaki sposób i kiedy nastąpi ewaluacja efektów projektu oraz jakie mierniki zostaną zastosowane?</w:t>
            </w:r>
          </w:p>
        </w:tc>
      </w:tr>
      <w:tr w:rsidR="007F27C4" w:rsidRPr="001974CC" w:rsidTr="00D41C64">
        <w:trPr>
          <w:trHeight w:val="142"/>
        </w:trPr>
        <w:tc>
          <w:tcPr>
            <w:tcW w:w="10937" w:type="dxa"/>
            <w:gridSpan w:val="28"/>
            <w:shd w:val="clear" w:color="auto" w:fill="FFFFFF"/>
          </w:tcPr>
          <w:p w:rsidR="007F27C4" w:rsidRPr="001974CC" w:rsidRDefault="007F27C4" w:rsidP="00F17841">
            <w:pPr>
              <w:spacing w:before="120" w:line="240" w:lineRule="auto"/>
              <w:jc w:val="both"/>
              <w:rPr>
                <w:rFonts w:ascii="Times New Roman" w:hAnsi="Times New Roman"/>
              </w:rPr>
            </w:pPr>
            <w:r w:rsidRPr="001974CC">
              <w:rPr>
                <w:rFonts w:ascii="Times New Roman" w:hAnsi="Times New Roman"/>
              </w:rPr>
              <w:t>Ewaluacja efektów projektowanych regulacji może nastąpić nie wcześniej niż po pełnych 2 latach kalendarzowych (obejmujących 2 lata sprawozdawcze) od wejścia w życie przepisów (w przypadku pkt 2</w:t>
            </w:r>
            <w:r w:rsidR="001974CC">
              <w:rPr>
                <w:rFonts w:ascii="Times New Roman" w:hAnsi="Times New Roman"/>
              </w:rPr>
              <w:t>–</w:t>
            </w:r>
            <w:r w:rsidRPr="001974CC">
              <w:rPr>
                <w:rFonts w:ascii="Times New Roman" w:hAnsi="Times New Roman"/>
              </w:rPr>
              <w:t>4 dot</w:t>
            </w:r>
            <w:r w:rsidR="004A5ECB">
              <w:rPr>
                <w:rFonts w:ascii="Times New Roman" w:hAnsi="Times New Roman"/>
              </w:rPr>
              <w:t>yczących</w:t>
            </w:r>
            <w:r w:rsidRPr="001974CC">
              <w:rPr>
                <w:rFonts w:ascii="Times New Roman" w:hAnsi="Times New Roman"/>
              </w:rPr>
              <w:t xml:space="preserve"> elektronicznych zamówień publicznych w 2021 roku). Mierniki:</w:t>
            </w:r>
          </w:p>
          <w:p w:rsidR="007F27C4" w:rsidRPr="001974CC" w:rsidRDefault="007F27C4" w:rsidP="00F17841">
            <w:pPr>
              <w:pStyle w:val="Akapitzlist"/>
              <w:numPr>
                <w:ilvl w:val="0"/>
                <w:numId w:val="29"/>
              </w:numPr>
              <w:spacing w:line="240" w:lineRule="auto"/>
              <w:jc w:val="both"/>
              <w:rPr>
                <w:rFonts w:ascii="Times New Roman" w:hAnsi="Times New Roman"/>
              </w:rPr>
            </w:pPr>
            <w:r w:rsidRPr="001974CC">
              <w:rPr>
                <w:rFonts w:ascii="Times New Roman" w:hAnsi="Times New Roman"/>
              </w:rPr>
              <w:t>liczba ofert składanych średnio w postępowaniu o udzielenie zamówienia publicznego;</w:t>
            </w:r>
          </w:p>
          <w:p w:rsidR="007F27C4" w:rsidRPr="001974CC" w:rsidRDefault="007F27C4" w:rsidP="00F17841">
            <w:pPr>
              <w:pStyle w:val="Akapitzlist"/>
              <w:numPr>
                <w:ilvl w:val="0"/>
                <w:numId w:val="29"/>
              </w:numPr>
              <w:spacing w:line="240" w:lineRule="auto"/>
              <w:jc w:val="both"/>
              <w:rPr>
                <w:rFonts w:ascii="Times New Roman" w:hAnsi="Times New Roman"/>
              </w:rPr>
            </w:pPr>
            <w:r w:rsidRPr="001974CC">
              <w:rPr>
                <w:rFonts w:ascii="Times New Roman" w:hAnsi="Times New Roman"/>
              </w:rPr>
              <w:t xml:space="preserve">liczba odwołań do Krajowej Izby Odwoławczej oraz skarg do </w:t>
            </w:r>
            <w:r w:rsidR="004A5ECB">
              <w:rPr>
                <w:rFonts w:ascii="Times New Roman" w:hAnsi="Times New Roman"/>
              </w:rPr>
              <w:t>s</w:t>
            </w:r>
            <w:r w:rsidRPr="001974CC">
              <w:rPr>
                <w:rFonts w:ascii="Times New Roman" w:hAnsi="Times New Roman"/>
              </w:rPr>
              <w:t>ądu na orzeczenie KIO;</w:t>
            </w:r>
          </w:p>
          <w:p w:rsidR="007F27C4" w:rsidRPr="001974CC" w:rsidRDefault="007F27C4" w:rsidP="00F17841">
            <w:pPr>
              <w:pStyle w:val="Akapitzlist"/>
              <w:numPr>
                <w:ilvl w:val="0"/>
                <w:numId w:val="29"/>
              </w:numPr>
              <w:spacing w:line="240" w:lineRule="auto"/>
              <w:jc w:val="both"/>
              <w:rPr>
                <w:rFonts w:ascii="Times New Roman" w:hAnsi="Times New Roman"/>
              </w:rPr>
            </w:pPr>
            <w:r w:rsidRPr="001974CC">
              <w:rPr>
                <w:rFonts w:ascii="Times New Roman" w:hAnsi="Times New Roman"/>
              </w:rPr>
              <w:t>czas trwania postępowań przeprowadzonych w formie elektronicznej;</w:t>
            </w:r>
          </w:p>
          <w:p w:rsidR="007F27C4" w:rsidRPr="001974CC" w:rsidRDefault="007F27C4" w:rsidP="00F17841">
            <w:pPr>
              <w:pStyle w:val="Akapitzlist"/>
              <w:numPr>
                <w:ilvl w:val="0"/>
                <w:numId w:val="29"/>
              </w:numPr>
              <w:spacing w:line="240" w:lineRule="auto"/>
              <w:jc w:val="both"/>
              <w:rPr>
                <w:rFonts w:ascii="Times New Roman" w:hAnsi="Times New Roman"/>
              </w:rPr>
            </w:pPr>
            <w:r w:rsidRPr="001974CC">
              <w:rPr>
                <w:rFonts w:ascii="Times New Roman" w:hAnsi="Times New Roman"/>
              </w:rPr>
              <w:t>liczba kontroli zamówień publicznych przeprowadzanych przez Prezesa UZP;</w:t>
            </w:r>
          </w:p>
        </w:tc>
      </w:tr>
      <w:tr w:rsidR="007F27C4" w:rsidRPr="001974CC" w:rsidTr="00D41C64">
        <w:trPr>
          <w:trHeight w:val="142"/>
        </w:trPr>
        <w:tc>
          <w:tcPr>
            <w:tcW w:w="10937" w:type="dxa"/>
            <w:gridSpan w:val="28"/>
            <w:shd w:val="clear" w:color="auto" w:fill="99CCFF"/>
          </w:tcPr>
          <w:p w:rsidR="007F27C4" w:rsidRPr="001974CC" w:rsidRDefault="007F27C4" w:rsidP="001974CC">
            <w:pPr>
              <w:numPr>
                <w:ilvl w:val="0"/>
                <w:numId w:val="3"/>
              </w:numPr>
              <w:tabs>
                <w:tab w:val="clear" w:pos="360"/>
                <w:tab w:val="num" w:pos="460"/>
              </w:tabs>
              <w:spacing w:before="60" w:after="60" w:line="240" w:lineRule="auto"/>
              <w:ind w:left="460" w:hanging="426"/>
              <w:jc w:val="both"/>
              <w:rPr>
                <w:rFonts w:ascii="Times New Roman" w:hAnsi="Times New Roman"/>
                <w:b/>
              </w:rPr>
            </w:pPr>
            <w:r w:rsidRPr="001974CC">
              <w:rPr>
                <w:rFonts w:ascii="Times New Roman" w:hAnsi="Times New Roman"/>
                <w:b/>
              </w:rPr>
              <w:t xml:space="preserve">Załączniki (istotne dokumenty źródłowe, badania, analizy itp.) </w:t>
            </w:r>
          </w:p>
        </w:tc>
      </w:tr>
      <w:tr w:rsidR="007F27C4" w:rsidRPr="001974CC" w:rsidTr="00D41C64">
        <w:trPr>
          <w:trHeight w:val="142"/>
        </w:trPr>
        <w:tc>
          <w:tcPr>
            <w:tcW w:w="10937" w:type="dxa"/>
            <w:gridSpan w:val="28"/>
            <w:shd w:val="clear" w:color="auto" w:fill="FFFFFF"/>
          </w:tcPr>
          <w:p w:rsidR="007F27C4" w:rsidRPr="001974CC" w:rsidRDefault="007F27C4" w:rsidP="00F17841">
            <w:pPr>
              <w:spacing w:line="240" w:lineRule="auto"/>
              <w:jc w:val="both"/>
              <w:rPr>
                <w:rFonts w:ascii="Times New Roman" w:hAnsi="Times New Roman"/>
              </w:rPr>
            </w:pPr>
          </w:p>
        </w:tc>
      </w:tr>
    </w:tbl>
    <w:p w:rsidR="007F27C4" w:rsidRPr="001974CC" w:rsidRDefault="007F27C4" w:rsidP="00DF21FA">
      <w:pPr>
        <w:pStyle w:val="Nagwek1"/>
        <w:rPr>
          <w:rFonts w:ascii="Times New Roman" w:hAnsi="Times New Roman" w:cs="Times New Roman"/>
          <w:b w:val="0"/>
          <w:sz w:val="24"/>
          <w:szCs w:val="24"/>
        </w:rPr>
      </w:pPr>
    </w:p>
    <w:sectPr w:rsidR="007F27C4" w:rsidRPr="001974CC" w:rsidSect="00EF2B5E">
      <w:footerReference w:type="default" r:id="rId9"/>
      <w:pgSz w:w="11906" w:h="16838"/>
      <w:pgMar w:top="568" w:right="707" w:bottom="709" w:left="720" w:header="708" w:footer="2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09" w:rsidRDefault="00BF6B09" w:rsidP="00044739">
      <w:pPr>
        <w:spacing w:line="240" w:lineRule="auto"/>
      </w:pPr>
      <w:r>
        <w:separator/>
      </w:r>
    </w:p>
  </w:endnote>
  <w:endnote w:type="continuationSeparator" w:id="0">
    <w:p w:rsidR="00BF6B09" w:rsidRDefault="00BF6B09"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710020"/>
      <w:docPartObj>
        <w:docPartGallery w:val="Page Numbers (Bottom of Page)"/>
        <w:docPartUnique/>
      </w:docPartObj>
    </w:sdtPr>
    <w:sdtEndPr>
      <w:rPr>
        <w:rFonts w:ascii="Times New Roman" w:hAnsi="Times New Roman"/>
        <w:sz w:val="24"/>
        <w:szCs w:val="24"/>
      </w:rPr>
    </w:sdtEndPr>
    <w:sdtContent>
      <w:p w:rsidR="00EF2B5E" w:rsidRPr="00EF2B5E" w:rsidRDefault="00EF2B5E">
        <w:pPr>
          <w:pStyle w:val="Stopka"/>
          <w:jc w:val="center"/>
          <w:rPr>
            <w:rFonts w:ascii="Times New Roman" w:hAnsi="Times New Roman"/>
            <w:sz w:val="24"/>
            <w:szCs w:val="24"/>
          </w:rPr>
        </w:pPr>
        <w:r w:rsidRPr="00EF2B5E">
          <w:rPr>
            <w:rFonts w:ascii="Times New Roman" w:hAnsi="Times New Roman"/>
            <w:sz w:val="24"/>
            <w:szCs w:val="24"/>
          </w:rPr>
          <w:fldChar w:fldCharType="begin"/>
        </w:r>
        <w:r w:rsidRPr="00EF2B5E">
          <w:rPr>
            <w:rFonts w:ascii="Times New Roman" w:hAnsi="Times New Roman"/>
            <w:sz w:val="24"/>
            <w:szCs w:val="24"/>
          </w:rPr>
          <w:instrText>PAGE   \* MERGEFORMAT</w:instrText>
        </w:r>
        <w:r w:rsidRPr="00EF2B5E">
          <w:rPr>
            <w:rFonts w:ascii="Times New Roman" w:hAnsi="Times New Roman"/>
            <w:sz w:val="24"/>
            <w:szCs w:val="24"/>
          </w:rPr>
          <w:fldChar w:fldCharType="separate"/>
        </w:r>
        <w:r w:rsidR="00F52F29">
          <w:rPr>
            <w:rFonts w:ascii="Times New Roman" w:hAnsi="Times New Roman"/>
            <w:noProof/>
            <w:sz w:val="24"/>
            <w:szCs w:val="24"/>
          </w:rPr>
          <w:t>12</w:t>
        </w:r>
        <w:r w:rsidRPr="00EF2B5E">
          <w:rPr>
            <w:rFonts w:ascii="Times New Roman" w:hAnsi="Times New Roman"/>
            <w:sz w:val="24"/>
            <w:szCs w:val="24"/>
          </w:rPr>
          <w:fldChar w:fldCharType="end"/>
        </w:r>
      </w:p>
    </w:sdtContent>
  </w:sdt>
  <w:p w:rsidR="00EF2B5E" w:rsidRPr="00EF2B5E" w:rsidRDefault="00EF2B5E">
    <w:pPr>
      <w:pStyle w:val="Stopka"/>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09" w:rsidRDefault="00BF6B09" w:rsidP="00044739">
      <w:pPr>
        <w:spacing w:line="240" w:lineRule="auto"/>
      </w:pPr>
      <w:r>
        <w:separator/>
      </w:r>
    </w:p>
  </w:footnote>
  <w:footnote w:type="continuationSeparator" w:id="0">
    <w:p w:rsidR="00BF6B09" w:rsidRDefault="00BF6B09" w:rsidP="000447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F79"/>
    <w:multiLevelType w:val="hybridMultilevel"/>
    <w:tmpl w:val="5E823C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9BD4ABE"/>
    <w:multiLevelType w:val="hybridMultilevel"/>
    <w:tmpl w:val="2924D02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9E2B58"/>
    <w:multiLevelType w:val="hybridMultilevel"/>
    <w:tmpl w:val="DD34BEFC"/>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4292349"/>
    <w:multiLevelType w:val="hybridMultilevel"/>
    <w:tmpl w:val="F1FC0650"/>
    <w:lvl w:ilvl="0" w:tplc="0415000F">
      <w:start w:val="1"/>
      <w:numFmt w:val="decimal"/>
      <w:lvlText w:val="%1."/>
      <w:lvlJc w:val="left"/>
      <w:pPr>
        <w:tabs>
          <w:tab w:val="num" w:pos="1047"/>
        </w:tabs>
        <w:ind w:left="1047" w:hanging="360"/>
      </w:pPr>
      <w:rPr>
        <w:rFonts w:cs="Times New Roman"/>
      </w:r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rPr>
        <w:rFonts w:cs="Times New Roman"/>
      </w:rPr>
    </w:lvl>
    <w:lvl w:ilvl="3" w:tplc="0415000F" w:tentative="1">
      <w:start w:val="1"/>
      <w:numFmt w:val="decimal"/>
      <w:lvlText w:val="%4."/>
      <w:lvlJc w:val="left"/>
      <w:pPr>
        <w:tabs>
          <w:tab w:val="num" w:pos="3207"/>
        </w:tabs>
        <w:ind w:left="3207" w:hanging="360"/>
      </w:pPr>
      <w:rPr>
        <w:rFonts w:cs="Times New Roman"/>
      </w:rPr>
    </w:lvl>
    <w:lvl w:ilvl="4" w:tplc="04150019" w:tentative="1">
      <w:start w:val="1"/>
      <w:numFmt w:val="lowerLetter"/>
      <w:lvlText w:val="%5."/>
      <w:lvlJc w:val="left"/>
      <w:pPr>
        <w:tabs>
          <w:tab w:val="num" w:pos="3927"/>
        </w:tabs>
        <w:ind w:left="3927" w:hanging="360"/>
      </w:pPr>
      <w:rPr>
        <w:rFonts w:cs="Times New Roman"/>
      </w:rPr>
    </w:lvl>
    <w:lvl w:ilvl="5" w:tplc="0415001B" w:tentative="1">
      <w:start w:val="1"/>
      <w:numFmt w:val="lowerRoman"/>
      <w:lvlText w:val="%6."/>
      <w:lvlJc w:val="right"/>
      <w:pPr>
        <w:tabs>
          <w:tab w:val="num" w:pos="4647"/>
        </w:tabs>
        <w:ind w:left="4647" w:hanging="180"/>
      </w:pPr>
      <w:rPr>
        <w:rFonts w:cs="Times New Roman"/>
      </w:rPr>
    </w:lvl>
    <w:lvl w:ilvl="6" w:tplc="0415000F" w:tentative="1">
      <w:start w:val="1"/>
      <w:numFmt w:val="decimal"/>
      <w:lvlText w:val="%7."/>
      <w:lvlJc w:val="left"/>
      <w:pPr>
        <w:tabs>
          <w:tab w:val="num" w:pos="5367"/>
        </w:tabs>
        <w:ind w:left="5367" w:hanging="360"/>
      </w:pPr>
      <w:rPr>
        <w:rFonts w:cs="Times New Roman"/>
      </w:rPr>
    </w:lvl>
    <w:lvl w:ilvl="7" w:tplc="04150019" w:tentative="1">
      <w:start w:val="1"/>
      <w:numFmt w:val="lowerLetter"/>
      <w:lvlText w:val="%8."/>
      <w:lvlJc w:val="left"/>
      <w:pPr>
        <w:tabs>
          <w:tab w:val="num" w:pos="6087"/>
        </w:tabs>
        <w:ind w:left="6087" w:hanging="360"/>
      </w:pPr>
      <w:rPr>
        <w:rFonts w:cs="Times New Roman"/>
      </w:rPr>
    </w:lvl>
    <w:lvl w:ilvl="8" w:tplc="0415001B" w:tentative="1">
      <w:start w:val="1"/>
      <w:numFmt w:val="lowerRoman"/>
      <w:lvlText w:val="%9."/>
      <w:lvlJc w:val="right"/>
      <w:pPr>
        <w:tabs>
          <w:tab w:val="num" w:pos="6807"/>
        </w:tabs>
        <w:ind w:left="6807" w:hanging="180"/>
      </w:pPr>
      <w:rPr>
        <w:rFonts w:cs="Times New Roman"/>
      </w:rPr>
    </w:lvl>
  </w:abstractNum>
  <w:abstractNum w:abstractNumId="4">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1FEE2A02"/>
    <w:multiLevelType w:val="multilevel"/>
    <w:tmpl w:val="3EE2E83E"/>
    <w:lvl w:ilvl="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21F32828"/>
    <w:multiLevelType w:val="hybridMultilevel"/>
    <w:tmpl w:val="834A4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DF723B"/>
    <w:multiLevelType w:val="multilevel"/>
    <w:tmpl w:val="42ECDCCE"/>
    <w:lvl w:ilvl="0">
      <w:start w:val="1"/>
      <w:numFmt w:val="decimal"/>
      <w:lvlText w:val="%1."/>
      <w:lvlJc w:val="left"/>
      <w:pPr>
        <w:tabs>
          <w:tab w:val="num" w:pos="1047"/>
        </w:tabs>
        <w:ind w:left="1047" w:hanging="360"/>
      </w:pPr>
      <w:rPr>
        <w:rFonts w:cs="Times New Roman"/>
      </w:rPr>
    </w:lvl>
    <w:lvl w:ilvl="1">
      <w:start w:val="1"/>
      <w:numFmt w:val="decimal"/>
      <w:lvlText w:val="%2."/>
      <w:lvlJc w:val="left"/>
      <w:pPr>
        <w:tabs>
          <w:tab w:val="num" w:pos="1767"/>
        </w:tabs>
        <w:ind w:left="1767" w:hanging="360"/>
      </w:pPr>
      <w:rPr>
        <w:rFonts w:cs="Times New Roman"/>
      </w:rPr>
    </w:lvl>
    <w:lvl w:ilvl="2">
      <w:start w:val="1"/>
      <w:numFmt w:val="decimal"/>
      <w:lvlText w:val="%3."/>
      <w:lvlJc w:val="left"/>
      <w:pPr>
        <w:tabs>
          <w:tab w:val="num" w:pos="2487"/>
        </w:tabs>
        <w:ind w:left="2487" w:hanging="360"/>
      </w:pPr>
      <w:rPr>
        <w:rFonts w:cs="Times New Roman"/>
      </w:rPr>
    </w:lvl>
    <w:lvl w:ilvl="3">
      <w:start w:val="1"/>
      <w:numFmt w:val="decimal"/>
      <w:lvlText w:val="%4."/>
      <w:lvlJc w:val="left"/>
      <w:pPr>
        <w:tabs>
          <w:tab w:val="num" w:pos="3207"/>
        </w:tabs>
        <w:ind w:left="3207" w:hanging="360"/>
      </w:pPr>
      <w:rPr>
        <w:rFonts w:cs="Times New Roman"/>
      </w:rPr>
    </w:lvl>
    <w:lvl w:ilvl="4">
      <w:start w:val="1"/>
      <w:numFmt w:val="decimal"/>
      <w:lvlText w:val="%5."/>
      <w:lvlJc w:val="left"/>
      <w:pPr>
        <w:tabs>
          <w:tab w:val="num" w:pos="3927"/>
        </w:tabs>
        <w:ind w:left="3927" w:hanging="360"/>
      </w:pPr>
      <w:rPr>
        <w:rFonts w:cs="Times New Roman"/>
      </w:rPr>
    </w:lvl>
    <w:lvl w:ilvl="5">
      <w:start w:val="1"/>
      <w:numFmt w:val="decimal"/>
      <w:lvlText w:val="%6."/>
      <w:lvlJc w:val="left"/>
      <w:pPr>
        <w:tabs>
          <w:tab w:val="num" w:pos="4647"/>
        </w:tabs>
        <w:ind w:left="4647" w:hanging="360"/>
      </w:pPr>
      <w:rPr>
        <w:rFonts w:cs="Times New Roman"/>
      </w:rPr>
    </w:lvl>
    <w:lvl w:ilvl="6">
      <w:start w:val="1"/>
      <w:numFmt w:val="decimal"/>
      <w:lvlText w:val="%7."/>
      <w:lvlJc w:val="left"/>
      <w:pPr>
        <w:tabs>
          <w:tab w:val="num" w:pos="5367"/>
        </w:tabs>
        <w:ind w:left="5367" w:hanging="360"/>
      </w:pPr>
      <w:rPr>
        <w:rFonts w:cs="Times New Roman"/>
      </w:rPr>
    </w:lvl>
    <w:lvl w:ilvl="7">
      <w:start w:val="1"/>
      <w:numFmt w:val="decimal"/>
      <w:lvlText w:val="%8."/>
      <w:lvlJc w:val="left"/>
      <w:pPr>
        <w:tabs>
          <w:tab w:val="num" w:pos="6087"/>
        </w:tabs>
        <w:ind w:left="6087" w:hanging="360"/>
      </w:pPr>
      <w:rPr>
        <w:rFonts w:cs="Times New Roman"/>
      </w:rPr>
    </w:lvl>
    <w:lvl w:ilvl="8">
      <w:start w:val="1"/>
      <w:numFmt w:val="decimal"/>
      <w:lvlText w:val="%9."/>
      <w:lvlJc w:val="left"/>
      <w:pPr>
        <w:tabs>
          <w:tab w:val="num" w:pos="6807"/>
        </w:tabs>
        <w:ind w:left="6807" w:hanging="360"/>
      </w:pPr>
      <w:rPr>
        <w:rFonts w:cs="Times New Roman"/>
      </w:rPr>
    </w:lvl>
  </w:abstractNum>
  <w:abstractNum w:abstractNumId="9">
    <w:nsid w:val="279D6C8D"/>
    <w:multiLevelType w:val="hybridMultilevel"/>
    <w:tmpl w:val="DD34BEFC"/>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9613645"/>
    <w:multiLevelType w:val="hybridMultilevel"/>
    <w:tmpl w:val="6D281DE8"/>
    <w:lvl w:ilvl="0" w:tplc="0415000F">
      <w:start w:val="1"/>
      <w:numFmt w:val="decimal"/>
      <w:lvlText w:val="%1."/>
      <w:lvlJc w:val="left"/>
      <w:pPr>
        <w:ind w:left="785"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E720846"/>
    <w:multiLevelType w:val="hybridMultilevel"/>
    <w:tmpl w:val="D0304A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76145"/>
    <w:multiLevelType w:val="hybridMultilevel"/>
    <w:tmpl w:val="BF6878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6CF6395"/>
    <w:multiLevelType w:val="hybridMultilevel"/>
    <w:tmpl w:val="3E5CC51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C59C7D9E">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92A41E7"/>
    <w:multiLevelType w:val="hybridMultilevel"/>
    <w:tmpl w:val="E00810FA"/>
    <w:lvl w:ilvl="0" w:tplc="680E46FE">
      <w:start w:val="1"/>
      <w:numFmt w:val="decimal"/>
      <w:lvlText w:val="%1."/>
      <w:lvlJc w:val="left"/>
      <w:pPr>
        <w:tabs>
          <w:tab w:val="num" w:pos="360"/>
        </w:tabs>
        <w:ind w:left="360" w:hanging="360"/>
      </w:pPr>
      <w:rPr>
        <w:rFonts w:cs="Times New Roman" w:hint="default"/>
        <w:b/>
      </w:rPr>
    </w:lvl>
    <w:lvl w:ilvl="1" w:tplc="ABB8435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A8B1EDD"/>
    <w:multiLevelType w:val="hybridMultilevel"/>
    <w:tmpl w:val="95FA285E"/>
    <w:lvl w:ilvl="0" w:tplc="0415000F">
      <w:start w:val="1"/>
      <w:numFmt w:val="decimal"/>
      <w:lvlText w:val="%1."/>
      <w:lvlJc w:val="left"/>
      <w:pPr>
        <w:tabs>
          <w:tab w:val="num" w:pos="1047"/>
        </w:tabs>
        <w:ind w:left="1047" w:hanging="360"/>
      </w:pPr>
      <w:rPr>
        <w:rFonts w:cs="Times New Roman"/>
      </w:rPr>
    </w:lvl>
    <w:lvl w:ilvl="1" w:tplc="04150019" w:tentative="1">
      <w:start w:val="1"/>
      <w:numFmt w:val="lowerLetter"/>
      <w:lvlText w:val="%2."/>
      <w:lvlJc w:val="left"/>
      <w:pPr>
        <w:tabs>
          <w:tab w:val="num" w:pos="1767"/>
        </w:tabs>
        <w:ind w:left="1767" w:hanging="360"/>
      </w:pPr>
      <w:rPr>
        <w:rFonts w:cs="Times New Roman"/>
      </w:rPr>
    </w:lvl>
    <w:lvl w:ilvl="2" w:tplc="0415001B" w:tentative="1">
      <w:start w:val="1"/>
      <w:numFmt w:val="lowerRoman"/>
      <w:lvlText w:val="%3."/>
      <w:lvlJc w:val="right"/>
      <w:pPr>
        <w:tabs>
          <w:tab w:val="num" w:pos="2487"/>
        </w:tabs>
        <w:ind w:left="2487" w:hanging="180"/>
      </w:pPr>
      <w:rPr>
        <w:rFonts w:cs="Times New Roman"/>
      </w:rPr>
    </w:lvl>
    <w:lvl w:ilvl="3" w:tplc="0415000F" w:tentative="1">
      <w:start w:val="1"/>
      <w:numFmt w:val="decimal"/>
      <w:lvlText w:val="%4."/>
      <w:lvlJc w:val="left"/>
      <w:pPr>
        <w:tabs>
          <w:tab w:val="num" w:pos="3207"/>
        </w:tabs>
        <w:ind w:left="3207" w:hanging="360"/>
      </w:pPr>
      <w:rPr>
        <w:rFonts w:cs="Times New Roman"/>
      </w:rPr>
    </w:lvl>
    <w:lvl w:ilvl="4" w:tplc="04150019" w:tentative="1">
      <w:start w:val="1"/>
      <w:numFmt w:val="lowerLetter"/>
      <w:lvlText w:val="%5."/>
      <w:lvlJc w:val="left"/>
      <w:pPr>
        <w:tabs>
          <w:tab w:val="num" w:pos="3927"/>
        </w:tabs>
        <w:ind w:left="3927" w:hanging="360"/>
      </w:pPr>
      <w:rPr>
        <w:rFonts w:cs="Times New Roman"/>
      </w:rPr>
    </w:lvl>
    <w:lvl w:ilvl="5" w:tplc="0415001B" w:tentative="1">
      <w:start w:val="1"/>
      <w:numFmt w:val="lowerRoman"/>
      <w:lvlText w:val="%6."/>
      <w:lvlJc w:val="right"/>
      <w:pPr>
        <w:tabs>
          <w:tab w:val="num" w:pos="4647"/>
        </w:tabs>
        <w:ind w:left="4647" w:hanging="180"/>
      </w:pPr>
      <w:rPr>
        <w:rFonts w:cs="Times New Roman"/>
      </w:rPr>
    </w:lvl>
    <w:lvl w:ilvl="6" w:tplc="0415000F" w:tentative="1">
      <w:start w:val="1"/>
      <w:numFmt w:val="decimal"/>
      <w:lvlText w:val="%7."/>
      <w:lvlJc w:val="left"/>
      <w:pPr>
        <w:tabs>
          <w:tab w:val="num" w:pos="5367"/>
        </w:tabs>
        <w:ind w:left="5367" w:hanging="360"/>
      </w:pPr>
      <w:rPr>
        <w:rFonts w:cs="Times New Roman"/>
      </w:rPr>
    </w:lvl>
    <w:lvl w:ilvl="7" w:tplc="04150019" w:tentative="1">
      <w:start w:val="1"/>
      <w:numFmt w:val="lowerLetter"/>
      <w:lvlText w:val="%8."/>
      <w:lvlJc w:val="left"/>
      <w:pPr>
        <w:tabs>
          <w:tab w:val="num" w:pos="6087"/>
        </w:tabs>
        <w:ind w:left="6087" w:hanging="360"/>
      </w:pPr>
      <w:rPr>
        <w:rFonts w:cs="Times New Roman"/>
      </w:rPr>
    </w:lvl>
    <w:lvl w:ilvl="8" w:tplc="0415001B" w:tentative="1">
      <w:start w:val="1"/>
      <w:numFmt w:val="lowerRoman"/>
      <w:lvlText w:val="%9."/>
      <w:lvlJc w:val="right"/>
      <w:pPr>
        <w:tabs>
          <w:tab w:val="num" w:pos="6807"/>
        </w:tabs>
        <w:ind w:left="6807" w:hanging="180"/>
      </w:pPr>
      <w:rPr>
        <w:rFonts w:cs="Times New Roman"/>
      </w:rPr>
    </w:lvl>
  </w:abstractNum>
  <w:abstractNum w:abstractNumId="16">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nsid w:val="46E5730E"/>
    <w:multiLevelType w:val="hybridMultilevel"/>
    <w:tmpl w:val="3C7829F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7D86397"/>
    <w:multiLevelType w:val="hybridMultilevel"/>
    <w:tmpl w:val="EA44C4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9BE361A"/>
    <w:multiLevelType w:val="hybridMultilevel"/>
    <w:tmpl w:val="3AE85FAA"/>
    <w:lvl w:ilvl="0" w:tplc="04150011">
      <w:start w:val="1"/>
      <w:numFmt w:val="decimal"/>
      <w:lvlText w:val="%1)"/>
      <w:lvlJc w:val="left"/>
      <w:pPr>
        <w:tabs>
          <w:tab w:val="num" w:pos="1047"/>
        </w:tabs>
        <w:ind w:left="1047" w:hanging="360"/>
      </w:pPr>
      <w:rPr>
        <w:rFonts w:cs="Times New Roman"/>
      </w:rPr>
    </w:lvl>
    <w:lvl w:ilvl="1" w:tplc="04150019">
      <w:start w:val="1"/>
      <w:numFmt w:val="decimal"/>
      <w:lvlText w:val="%2."/>
      <w:lvlJc w:val="left"/>
      <w:pPr>
        <w:tabs>
          <w:tab w:val="num" w:pos="1767"/>
        </w:tabs>
        <w:ind w:left="1767" w:hanging="360"/>
      </w:pPr>
      <w:rPr>
        <w:rFonts w:cs="Times New Roman"/>
      </w:rPr>
    </w:lvl>
    <w:lvl w:ilvl="2" w:tplc="0415001B">
      <w:start w:val="1"/>
      <w:numFmt w:val="decimal"/>
      <w:lvlText w:val="%3."/>
      <w:lvlJc w:val="left"/>
      <w:pPr>
        <w:tabs>
          <w:tab w:val="num" w:pos="2487"/>
        </w:tabs>
        <w:ind w:left="2487" w:hanging="360"/>
      </w:pPr>
      <w:rPr>
        <w:rFonts w:cs="Times New Roman"/>
      </w:rPr>
    </w:lvl>
    <w:lvl w:ilvl="3" w:tplc="0415000F">
      <w:start w:val="1"/>
      <w:numFmt w:val="decimal"/>
      <w:lvlText w:val="%4."/>
      <w:lvlJc w:val="left"/>
      <w:pPr>
        <w:tabs>
          <w:tab w:val="num" w:pos="3207"/>
        </w:tabs>
        <w:ind w:left="3207" w:hanging="360"/>
      </w:pPr>
      <w:rPr>
        <w:rFonts w:cs="Times New Roman"/>
      </w:rPr>
    </w:lvl>
    <w:lvl w:ilvl="4" w:tplc="04150019">
      <w:start w:val="1"/>
      <w:numFmt w:val="decimal"/>
      <w:lvlText w:val="%5."/>
      <w:lvlJc w:val="left"/>
      <w:pPr>
        <w:tabs>
          <w:tab w:val="num" w:pos="3927"/>
        </w:tabs>
        <w:ind w:left="3927" w:hanging="360"/>
      </w:pPr>
      <w:rPr>
        <w:rFonts w:cs="Times New Roman"/>
      </w:rPr>
    </w:lvl>
    <w:lvl w:ilvl="5" w:tplc="0415001B">
      <w:start w:val="1"/>
      <w:numFmt w:val="decimal"/>
      <w:lvlText w:val="%6."/>
      <w:lvlJc w:val="left"/>
      <w:pPr>
        <w:tabs>
          <w:tab w:val="num" w:pos="4647"/>
        </w:tabs>
        <w:ind w:left="4647" w:hanging="360"/>
      </w:pPr>
      <w:rPr>
        <w:rFonts w:cs="Times New Roman"/>
      </w:rPr>
    </w:lvl>
    <w:lvl w:ilvl="6" w:tplc="0415000F">
      <w:start w:val="1"/>
      <w:numFmt w:val="decimal"/>
      <w:lvlText w:val="%7."/>
      <w:lvlJc w:val="left"/>
      <w:pPr>
        <w:tabs>
          <w:tab w:val="num" w:pos="5367"/>
        </w:tabs>
        <w:ind w:left="5367" w:hanging="360"/>
      </w:pPr>
      <w:rPr>
        <w:rFonts w:cs="Times New Roman"/>
      </w:rPr>
    </w:lvl>
    <w:lvl w:ilvl="7" w:tplc="04150019">
      <w:start w:val="1"/>
      <w:numFmt w:val="decimal"/>
      <w:lvlText w:val="%8."/>
      <w:lvlJc w:val="left"/>
      <w:pPr>
        <w:tabs>
          <w:tab w:val="num" w:pos="6087"/>
        </w:tabs>
        <w:ind w:left="6087" w:hanging="360"/>
      </w:pPr>
      <w:rPr>
        <w:rFonts w:cs="Times New Roman"/>
      </w:rPr>
    </w:lvl>
    <w:lvl w:ilvl="8" w:tplc="0415001B">
      <w:start w:val="1"/>
      <w:numFmt w:val="decimal"/>
      <w:lvlText w:val="%9."/>
      <w:lvlJc w:val="left"/>
      <w:pPr>
        <w:tabs>
          <w:tab w:val="num" w:pos="6807"/>
        </w:tabs>
        <w:ind w:left="6807" w:hanging="360"/>
      </w:pPr>
      <w:rPr>
        <w:rFonts w:cs="Times New Roman"/>
      </w:rPr>
    </w:lvl>
  </w:abstractNum>
  <w:abstractNum w:abstractNumId="2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1">
    <w:nsid w:val="548C413F"/>
    <w:multiLevelType w:val="hybridMultilevel"/>
    <w:tmpl w:val="1A324E4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3">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5">
    <w:nsid w:val="61DD2B62"/>
    <w:multiLevelType w:val="hybridMultilevel"/>
    <w:tmpl w:val="9CBC531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2582181"/>
    <w:multiLevelType w:val="hybridMultilevel"/>
    <w:tmpl w:val="0F684F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628F4AEA"/>
    <w:multiLevelType w:val="hybridMultilevel"/>
    <w:tmpl w:val="3E5EFFF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62940768"/>
    <w:multiLevelType w:val="hybridMultilevel"/>
    <w:tmpl w:val="A26692F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62C56F97"/>
    <w:multiLevelType w:val="hybridMultilevel"/>
    <w:tmpl w:val="07FCC908"/>
    <w:lvl w:ilvl="0" w:tplc="04150017">
      <w:start w:val="1"/>
      <w:numFmt w:val="lowerLetter"/>
      <w:lvlText w:val="%1)"/>
      <w:lvlJc w:val="left"/>
      <w:pPr>
        <w:ind w:left="780" w:hanging="360"/>
      </w:pPr>
      <w:rPr>
        <w:rFonts w:cs="Times New Roman"/>
      </w:rPr>
    </w:lvl>
    <w:lvl w:ilvl="1" w:tplc="04150019" w:tentative="1">
      <w:start w:val="1"/>
      <w:numFmt w:val="lowerLetter"/>
      <w:lvlText w:val="%2."/>
      <w:lvlJc w:val="left"/>
      <w:pPr>
        <w:tabs>
          <w:tab w:val="num" w:pos="1860"/>
        </w:tabs>
        <w:ind w:left="1860" w:hanging="360"/>
      </w:pPr>
      <w:rPr>
        <w:rFonts w:cs="Times New Roman"/>
      </w:rPr>
    </w:lvl>
    <w:lvl w:ilvl="2" w:tplc="0415001B" w:tentative="1">
      <w:start w:val="1"/>
      <w:numFmt w:val="lowerRoman"/>
      <w:lvlText w:val="%3."/>
      <w:lvlJc w:val="right"/>
      <w:pPr>
        <w:tabs>
          <w:tab w:val="num" w:pos="2580"/>
        </w:tabs>
        <w:ind w:left="2580" w:hanging="180"/>
      </w:pPr>
      <w:rPr>
        <w:rFonts w:cs="Times New Roman"/>
      </w:rPr>
    </w:lvl>
    <w:lvl w:ilvl="3" w:tplc="0415000F" w:tentative="1">
      <w:start w:val="1"/>
      <w:numFmt w:val="decimal"/>
      <w:lvlText w:val="%4."/>
      <w:lvlJc w:val="left"/>
      <w:pPr>
        <w:tabs>
          <w:tab w:val="num" w:pos="3300"/>
        </w:tabs>
        <w:ind w:left="3300" w:hanging="360"/>
      </w:pPr>
      <w:rPr>
        <w:rFonts w:cs="Times New Roman"/>
      </w:rPr>
    </w:lvl>
    <w:lvl w:ilvl="4" w:tplc="04150019" w:tentative="1">
      <w:start w:val="1"/>
      <w:numFmt w:val="lowerLetter"/>
      <w:lvlText w:val="%5."/>
      <w:lvlJc w:val="left"/>
      <w:pPr>
        <w:tabs>
          <w:tab w:val="num" w:pos="4020"/>
        </w:tabs>
        <w:ind w:left="4020" w:hanging="360"/>
      </w:pPr>
      <w:rPr>
        <w:rFonts w:cs="Times New Roman"/>
      </w:rPr>
    </w:lvl>
    <w:lvl w:ilvl="5" w:tplc="0415001B" w:tentative="1">
      <w:start w:val="1"/>
      <w:numFmt w:val="lowerRoman"/>
      <w:lvlText w:val="%6."/>
      <w:lvlJc w:val="right"/>
      <w:pPr>
        <w:tabs>
          <w:tab w:val="num" w:pos="4740"/>
        </w:tabs>
        <w:ind w:left="4740" w:hanging="180"/>
      </w:pPr>
      <w:rPr>
        <w:rFonts w:cs="Times New Roman"/>
      </w:rPr>
    </w:lvl>
    <w:lvl w:ilvl="6" w:tplc="0415000F" w:tentative="1">
      <w:start w:val="1"/>
      <w:numFmt w:val="decimal"/>
      <w:lvlText w:val="%7."/>
      <w:lvlJc w:val="left"/>
      <w:pPr>
        <w:tabs>
          <w:tab w:val="num" w:pos="5460"/>
        </w:tabs>
        <w:ind w:left="5460" w:hanging="360"/>
      </w:pPr>
      <w:rPr>
        <w:rFonts w:cs="Times New Roman"/>
      </w:rPr>
    </w:lvl>
    <w:lvl w:ilvl="7" w:tplc="04150019" w:tentative="1">
      <w:start w:val="1"/>
      <w:numFmt w:val="lowerLetter"/>
      <w:lvlText w:val="%8."/>
      <w:lvlJc w:val="left"/>
      <w:pPr>
        <w:tabs>
          <w:tab w:val="num" w:pos="6180"/>
        </w:tabs>
        <w:ind w:left="6180" w:hanging="360"/>
      </w:pPr>
      <w:rPr>
        <w:rFonts w:cs="Times New Roman"/>
      </w:rPr>
    </w:lvl>
    <w:lvl w:ilvl="8" w:tplc="0415001B" w:tentative="1">
      <w:start w:val="1"/>
      <w:numFmt w:val="lowerRoman"/>
      <w:lvlText w:val="%9."/>
      <w:lvlJc w:val="right"/>
      <w:pPr>
        <w:tabs>
          <w:tab w:val="num" w:pos="6900"/>
        </w:tabs>
        <w:ind w:left="6900" w:hanging="180"/>
      </w:pPr>
      <w:rPr>
        <w:rFonts w:cs="Times New Roman"/>
      </w:rPr>
    </w:lvl>
  </w:abstractNum>
  <w:abstractNum w:abstractNumId="3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nsid w:val="724D3BF4"/>
    <w:multiLevelType w:val="hybridMultilevel"/>
    <w:tmpl w:val="2886EFC4"/>
    <w:lvl w:ilvl="0" w:tplc="B9A46F1A">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7A3B7892"/>
    <w:multiLevelType w:val="hybridMultilevel"/>
    <w:tmpl w:val="65DE507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7A8E6C08"/>
    <w:multiLevelType w:val="hybridMultilevel"/>
    <w:tmpl w:val="BD6A454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7B117BA4"/>
    <w:multiLevelType w:val="hybridMultilevel"/>
    <w:tmpl w:val="3B06B3FA"/>
    <w:lvl w:ilvl="0" w:tplc="328EE8E6">
      <w:start w:val="1"/>
      <w:numFmt w:val="bullet"/>
      <w:lvlText w:val=""/>
      <w:lvlJc w:val="left"/>
      <w:pPr>
        <w:ind w:left="1605" w:hanging="360"/>
      </w:pPr>
      <w:rPr>
        <w:rFonts w:ascii="Symbol" w:hAnsi="Symbol" w:hint="default"/>
      </w:rPr>
    </w:lvl>
    <w:lvl w:ilvl="1" w:tplc="04150003" w:tentative="1">
      <w:start w:val="1"/>
      <w:numFmt w:val="bullet"/>
      <w:lvlText w:val="o"/>
      <w:lvlJc w:val="left"/>
      <w:pPr>
        <w:ind w:left="2325" w:hanging="360"/>
      </w:pPr>
      <w:rPr>
        <w:rFonts w:ascii="Courier New" w:hAnsi="Courier New" w:hint="default"/>
      </w:rPr>
    </w:lvl>
    <w:lvl w:ilvl="2" w:tplc="04150005" w:tentative="1">
      <w:start w:val="1"/>
      <w:numFmt w:val="bullet"/>
      <w:lvlText w:val=""/>
      <w:lvlJc w:val="left"/>
      <w:pPr>
        <w:ind w:left="3045" w:hanging="360"/>
      </w:pPr>
      <w:rPr>
        <w:rFonts w:ascii="Wingdings" w:hAnsi="Wingdings" w:hint="default"/>
      </w:rPr>
    </w:lvl>
    <w:lvl w:ilvl="3" w:tplc="04150001" w:tentative="1">
      <w:start w:val="1"/>
      <w:numFmt w:val="bullet"/>
      <w:lvlText w:val=""/>
      <w:lvlJc w:val="left"/>
      <w:pPr>
        <w:ind w:left="3765" w:hanging="360"/>
      </w:pPr>
      <w:rPr>
        <w:rFonts w:ascii="Symbol" w:hAnsi="Symbol" w:hint="default"/>
      </w:rPr>
    </w:lvl>
    <w:lvl w:ilvl="4" w:tplc="04150003" w:tentative="1">
      <w:start w:val="1"/>
      <w:numFmt w:val="bullet"/>
      <w:lvlText w:val="o"/>
      <w:lvlJc w:val="left"/>
      <w:pPr>
        <w:ind w:left="4485" w:hanging="360"/>
      </w:pPr>
      <w:rPr>
        <w:rFonts w:ascii="Courier New" w:hAnsi="Courier New" w:hint="default"/>
      </w:rPr>
    </w:lvl>
    <w:lvl w:ilvl="5" w:tplc="04150005" w:tentative="1">
      <w:start w:val="1"/>
      <w:numFmt w:val="bullet"/>
      <w:lvlText w:val=""/>
      <w:lvlJc w:val="left"/>
      <w:pPr>
        <w:ind w:left="5205" w:hanging="360"/>
      </w:pPr>
      <w:rPr>
        <w:rFonts w:ascii="Wingdings" w:hAnsi="Wingdings" w:hint="default"/>
      </w:rPr>
    </w:lvl>
    <w:lvl w:ilvl="6" w:tplc="04150001" w:tentative="1">
      <w:start w:val="1"/>
      <w:numFmt w:val="bullet"/>
      <w:lvlText w:val=""/>
      <w:lvlJc w:val="left"/>
      <w:pPr>
        <w:ind w:left="5925" w:hanging="360"/>
      </w:pPr>
      <w:rPr>
        <w:rFonts w:ascii="Symbol" w:hAnsi="Symbol" w:hint="default"/>
      </w:rPr>
    </w:lvl>
    <w:lvl w:ilvl="7" w:tplc="04150003" w:tentative="1">
      <w:start w:val="1"/>
      <w:numFmt w:val="bullet"/>
      <w:lvlText w:val="o"/>
      <w:lvlJc w:val="left"/>
      <w:pPr>
        <w:ind w:left="6645" w:hanging="360"/>
      </w:pPr>
      <w:rPr>
        <w:rFonts w:ascii="Courier New" w:hAnsi="Courier New" w:hint="default"/>
      </w:rPr>
    </w:lvl>
    <w:lvl w:ilvl="8" w:tplc="04150005" w:tentative="1">
      <w:start w:val="1"/>
      <w:numFmt w:val="bullet"/>
      <w:lvlText w:val=""/>
      <w:lvlJc w:val="left"/>
      <w:pPr>
        <w:ind w:left="7365" w:hanging="360"/>
      </w:pPr>
      <w:rPr>
        <w:rFonts w:ascii="Wingdings" w:hAnsi="Wingdings" w:hint="default"/>
      </w:rPr>
    </w:lvl>
  </w:abstractNum>
  <w:abstractNum w:abstractNumId="35">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4"/>
  </w:num>
  <w:num w:numId="4">
    <w:abstractNumId w:val="25"/>
  </w:num>
  <w:num w:numId="5">
    <w:abstractNumId w:val="2"/>
  </w:num>
  <w:num w:numId="6">
    <w:abstractNumId w:val="9"/>
  </w:num>
  <w:num w:numId="7">
    <w:abstractNumId w:val="17"/>
  </w:num>
  <w:num w:numId="8">
    <w:abstractNumId w:val="5"/>
  </w:num>
  <w:num w:numId="9">
    <w:abstractNumId w:val="20"/>
  </w:num>
  <w:num w:numId="10">
    <w:abstractNumId w:val="16"/>
  </w:num>
  <w:num w:numId="11">
    <w:abstractNumId w:val="19"/>
  </w:num>
  <w:num w:numId="12">
    <w:abstractNumId w:val="3"/>
  </w:num>
  <w:num w:numId="13">
    <w:abstractNumId w:val="15"/>
  </w:num>
  <w:num w:numId="14">
    <w:abstractNumId w:val="29"/>
  </w:num>
  <w:num w:numId="15">
    <w:abstractNumId w:val="22"/>
  </w:num>
  <w:num w:numId="16">
    <w:abstractNumId w:val="24"/>
  </w:num>
  <w:num w:numId="17">
    <w:abstractNumId w:val="6"/>
  </w:num>
  <w:num w:numId="18">
    <w:abstractNumId w:val="30"/>
  </w:num>
  <w:num w:numId="19">
    <w:abstractNumId w:val="35"/>
  </w:num>
  <w:num w:numId="20">
    <w:abstractNumId w:val="23"/>
  </w:num>
  <w:num w:numId="21">
    <w:abstractNumId w:val="8"/>
  </w:num>
  <w:num w:numId="22">
    <w:abstractNumId w:val="26"/>
  </w:num>
  <w:num w:numId="23">
    <w:abstractNumId w:val="27"/>
  </w:num>
  <w:num w:numId="24">
    <w:abstractNumId w:val="31"/>
  </w:num>
  <w:num w:numId="25">
    <w:abstractNumId w:val="12"/>
  </w:num>
  <w:num w:numId="26">
    <w:abstractNumId w:val="28"/>
  </w:num>
  <w:num w:numId="27">
    <w:abstractNumId w:val="13"/>
  </w:num>
  <w:num w:numId="28">
    <w:abstractNumId w:val="34"/>
  </w:num>
  <w:num w:numId="29">
    <w:abstractNumId w:val="32"/>
  </w:num>
  <w:num w:numId="30">
    <w:abstractNumId w:val="1"/>
  </w:num>
  <w:num w:numId="31">
    <w:abstractNumId w:val="18"/>
  </w:num>
  <w:num w:numId="32">
    <w:abstractNumId w:val="1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dit="forms" w:formatting="1"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CB"/>
    <w:rsid w:val="000008E5"/>
    <w:rsid w:val="000015EE"/>
    <w:rsid w:val="000022D5"/>
    <w:rsid w:val="00004C6A"/>
    <w:rsid w:val="00007E93"/>
    <w:rsid w:val="00012D11"/>
    <w:rsid w:val="00013EB5"/>
    <w:rsid w:val="00014001"/>
    <w:rsid w:val="00023836"/>
    <w:rsid w:val="00031E18"/>
    <w:rsid w:val="000356A9"/>
    <w:rsid w:val="00040A82"/>
    <w:rsid w:val="00044138"/>
    <w:rsid w:val="00044739"/>
    <w:rsid w:val="00044F38"/>
    <w:rsid w:val="00051637"/>
    <w:rsid w:val="0005309E"/>
    <w:rsid w:val="00054872"/>
    <w:rsid w:val="00056681"/>
    <w:rsid w:val="0006467C"/>
    <w:rsid w:val="000648A7"/>
    <w:rsid w:val="00065DD3"/>
    <w:rsid w:val="0006618B"/>
    <w:rsid w:val="000670C0"/>
    <w:rsid w:val="000705E1"/>
    <w:rsid w:val="00071B99"/>
    <w:rsid w:val="000756E5"/>
    <w:rsid w:val="0007704E"/>
    <w:rsid w:val="00080EC8"/>
    <w:rsid w:val="00084794"/>
    <w:rsid w:val="00085CC7"/>
    <w:rsid w:val="00090943"/>
    <w:rsid w:val="00091875"/>
    <w:rsid w:val="000944AC"/>
    <w:rsid w:val="00094CB9"/>
    <w:rsid w:val="000956B2"/>
    <w:rsid w:val="000A23DE"/>
    <w:rsid w:val="000A23FE"/>
    <w:rsid w:val="000A372D"/>
    <w:rsid w:val="000A4020"/>
    <w:rsid w:val="000A7AE8"/>
    <w:rsid w:val="000B0C67"/>
    <w:rsid w:val="000B342E"/>
    <w:rsid w:val="000B54FB"/>
    <w:rsid w:val="000C1217"/>
    <w:rsid w:val="000C29B0"/>
    <w:rsid w:val="000C395D"/>
    <w:rsid w:val="000C4806"/>
    <w:rsid w:val="000C76FC"/>
    <w:rsid w:val="000D294C"/>
    <w:rsid w:val="000D38FC"/>
    <w:rsid w:val="000D4D90"/>
    <w:rsid w:val="000D51EE"/>
    <w:rsid w:val="000E1089"/>
    <w:rsid w:val="000E2D10"/>
    <w:rsid w:val="000E4F53"/>
    <w:rsid w:val="000F3204"/>
    <w:rsid w:val="00100AC1"/>
    <w:rsid w:val="0010548B"/>
    <w:rsid w:val="001072D1"/>
    <w:rsid w:val="00110A55"/>
    <w:rsid w:val="00117017"/>
    <w:rsid w:val="00130E8E"/>
    <w:rsid w:val="0013216E"/>
    <w:rsid w:val="001401B5"/>
    <w:rsid w:val="001422B9"/>
    <w:rsid w:val="0014665F"/>
    <w:rsid w:val="001503B2"/>
    <w:rsid w:val="00153464"/>
    <w:rsid w:val="001541B3"/>
    <w:rsid w:val="00155B15"/>
    <w:rsid w:val="001606B8"/>
    <w:rsid w:val="001620E2"/>
    <w:rsid w:val="001625BE"/>
    <w:rsid w:val="00164027"/>
    <w:rsid w:val="001641B3"/>
    <w:rsid w:val="001643A4"/>
    <w:rsid w:val="001727BB"/>
    <w:rsid w:val="00180D25"/>
    <w:rsid w:val="0018318D"/>
    <w:rsid w:val="0018572C"/>
    <w:rsid w:val="00187A68"/>
    <w:rsid w:val="00187E79"/>
    <w:rsid w:val="00187F0D"/>
    <w:rsid w:val="001927D3"/>
    <w:rsid w:val="00192CC5"/>
    <w:rsid w:val="001956A7"/>
    <w:rsid w:val="001974CC"/>
    <w:rsid w:val="001A08D1"/>
    <w:rsid w:val="001A118A"/>
    <w:rsid w:val="001A27F4"/>
    <w:rsid w:val="001A2D95"/>
    <w:rsid w:val="001A7342"/>
    <w:rsid w:val="001B3460"/>
    <w:rsid w:val="001B4CA1"/>
    <w:rsid w:val="001B7279"/>
    <w:rsid w:val="001B75D8"/>
    <w:rsid w:val="001C1060"/>
    <w:rsid w:val="001C3C63"/>
    <w:rsid w:val="001C5F23"/>
    <w:rsid w:val="001C797A"/>
    <w:rsid w:val="001D4732"/>
    <w:rsid w:val="001D6A3C"/>
    <w:rsid w:val="001D6B05"/>
    <w:rsid w:val="001D6D51"/>
    <w:rsid w:val="001F472D"/>
    <w:rsid w:val="001F5B36"/>
    <w:rsid w:val="001F5B63"/>
    <w:rsid w:val="001F6979"/>
    <w:rsid w:val="00202BC6"/>
    <w:rsid w:val="00205141"/>
    <w:rsid w:val="0020516B"/>
    <w:rsid w:val="00211B00"/>
    <w:rsid w:val="00211EDA"/>
    <w:rsid w:val="00213559"/>
    <w:rsid w:val="00213EFD"/>
    <w:rsid w:val="002172F1"/>
    <w:rsid w:val="00223C7B"/>
    <w:rsid w:val="00224AB1"/>
    <w:rsid w:val="0022687A"/>
    <w:rsid w:val="00230728"/>
    <w:rsid w:val="00234040"/>
    <w:rsid w:val="00235CD2"/>
    <w:rsid w:val="00243468"/>
    <w:rsid w:val="00254DED"/>
    <w:rsid w:val="00254FB4"/>
    <w:rsid w:val="00255619"/>
    <w:rsid w:val="00255DAD"/>
    <w:rsid w:val="00256108"/>
    <w:rsid w:val="00257311"/>
    <w:rsid w:val="00260F33"/>
    <w:rsid w:val="002613BD"/>
    <w:rsid w:val="002624F1"/>
    <w:rsid w:val="00270C81"/>
    <w:rsid w:val="00271180"/>
    <w:rsid w:val="00271558"/>
    <w:rsid w:val="00274130"/>
    <w:rsid w:val="00274862"/>
    <w:rsid w:val="002779E8"/>
    <w:rsid w:val="00282D72"/>
    <w:rsid w:val="00283402"/>
    <w:rsid w:val="00290FD6"/>
    <w:rsid w:val="00294259"/>
    <w:rsid w:val="002A00CD"/>
    <w:rsid w:val="002A2C81"/>
    <w:rsid w:val="002A4894"/>
    <w:rsid w:val="002B3D1A"/>
    <w:rsid w:val="002C2C9B"/>
    <w:rsid w:val="002C4266"/>
    <w:rsid w:val="002C669E"/>
    <w:rsid w:val="002D17D6"/>
    <w:rsid w:val="002D18D7"/>
    <w:rsid w:val="002D21CE"/>
    <w:rsid w:val="002E32C0"/>
    <w:rsid w:val="002E3DA3"/>
    <w:rsid w:val="002E44F9"/>
    <w:rsid w:val="002E450F"/>
    <w:rsid w:val="002E4655"/>
    <w:rsid w:val="002E6B38"/>
    <w:rsid w:val="002E6D63"/>
    <w:rsid w:val="002E6E2B"/>
    <w:rsid w:val="002F500B"/>
    <w:rsid w:val="002F7475"/>
    <w:rsid w:val="00301959"/>
    <w:rsid w:val="00305B8A"/>
    <w:rsid w:val="00314BFC"/>
    <w:rsid w:val="003156FA"/>
    <w:rsid w:val="0032190B"/>
    <w:rsid w:val="00325100"/>
    <w:rsid w:val="00327E61"/>
    <w:rsid w:val="003304C3"/>
    <w:rsid w:val="00331BF9"/>
    <w:rsid w:val="0033495E"/>
    <w:rsid w:val="00334A79"/>
    <w:rsid w:val="00334D8D"/>
    <w:rsid w:val="00337345"/>
    <w:rsid w:val="00337DD2"/>
    <w:rsid w:val="003404D1"/>
    <w:rsid w:val="003443FF"/>
    <w:rsid w:val="00355808"/>
    <w:rsid w:val="00362C7E"/>
    <w:rsid w:val="00363601"/>
    <w:rsid w:val="00365EAA"/>
    <w:rsid w:val="00376AC9"/>
    <w:rsid w:val="0038097B"/>
    <w:rsid w:val="00380ED5"/>
    <w:rsid w:val="003917C6"/>
    <w:rsid w:val="00393032"/>
    <w:rsid w:val="00394B69"/>
    <w:rsid w:val="00397078"/>
    <w:rsid w:val="003A251E"/>
    <w:rsid w:val="003A4F6A"/>
    <w:rsid w:val="003A6953"/>
    <w:rsid w:val="003B0063"/>
    <w:rsid w:val="003B15F8"/>
    <w:rsid w:val="003B26D8"/>
    <w:rsid w:val="003B6083"/>
    <w:rsid w:val="003C3838"/>
    <w:rsid w:val="003C5847"/>
    <w:rsid w:val="003D0681"/>
    <w:rsid w:val="003D12F6"/>
    <w:rsid w:val="003D1426"/>
    <w:rsid w:val="003E2F4E"/>
    <w:rsid w:val="003E720A"/>
    <w:rsid w:val="004004F8"/>
    <w:rsid w:val="00403E6E"/>
    <w:rsid w:val="00406262"/>
    <w:rsid w:val="00407D6C"/>
    <w:rsid w:val="004129B4"/>
    <w:rsid w:val="00417EF0"/>
    <w:rsid w:val="00422181"/>
    <w:rsid w:val="004244A8"/>
    <w:rsid w:val="00425F72"/>
    <w:rsid w:val="00427736"/>
    <w:rsid w:val="00434888"/>
    <w:rsid w:val="00441787"/>
    <w:rsid w:val="00444F2D"/>
    <w:rsid w:val="00446B98"/>
    <w:rsid w:val="00452034"/>
    <w:rsid w:val="004542EE"/>
    <w:rsid w:val="00455FA6"/>
    <w:rsid w:val="00456FBF"/>
    <w:rsid w:val="00457CA4"/>
    <w:rsid w:val="00457CF9"/>
    <w:rsid w:val="0046355E"/>
    <w:rsid w:val="00466C70"/>
    <w:rsid w:val="004702C9"/>
    <w:rsid w:val="00472B39"/>
    <w:rsid w:val="00472E45"/>
    <w:rsid w:val="00473FEA"/>
    <w:rsid w:val="0047579D"/>
    <w:rsid w:val="00476FF6"/>
    <w:rsid w:val="00483262"/>
    <w:rsid w:val="00484107"/>
    <w:rsid w:val="00485CC5"/>
    <w:rsid w:val="0048603A"/>
    <w:rsid w:val="0049343F"/>
    <w:rsid w:val="0049382A"/>
    <w:rsid w:val="00494866"/>
    <w:rsid w:val="004956DA"/>
    <w:rsid w:val="004964FC"/>
    <w:rsid w:val="004A0CBE"/>
    <w:rsid w:val="004A145E"/>
    <w:rsid w:val="004A1F15"/>
    <w:rsid w:val="004A2A81"/>
    <w:rsid w:val="004A5ECB"/>
    <w:rsid w:val="004A7BD7"/>
    <w:rsid w:val="004C0987"/>
    <w:rsid w:val="004C15C2"/>
    <w:rsid w:val="004C36D8"/>
    <w:rsid w:val="004C7239"/>
    <w:rsid w:val="004D1116"/>
    <w:rsid w:val="004D1248"/>
    <w:rsid w:val="004D1E3C"/>
    <w:rsid w:val="004D4169"/>
    <w:rsid w:val="004D6B0B"/>
    <w:rsid w:val="004D6E14"/>
    <w:rsid w:val="004F356B"/>
    <w:rsid w:val="004F4E17"/>
    <w:rsid w:val="0050062A"/>
    <w:rsid w:val="0050082F"/>
    <w:rsid w:val="00500C56"/>
    <w:rsid w:val="00501713"/>
    <w:rsid w:val="00506568"/>
    <w:rsid w:val="00507552"/>
    <w:rsid w:val="0051551B"/>
    <w:rsid w:val="00517BDA"/>
    <w:rsid w:val="00520C57"/>
    <w:rsid w:val="00522D94"/>
    <w:rsid w:val="00524060"/>
    <w:rsid w:val="0052430E"/>
    <w:rsid w:val="00530939"/>
    <w:rsid w:val="00533D89"/>
    <w:rsid w:val="00536564"/>
    <w:rsid w:val="005418FE"/>
    <w:rsid w:val="005439EA"/>
    <w:rsid w:val="00544597"/>
    <w:rsid w:val="00544FFE"/>
    <w:rsid w:val="005473F5"/>
    <w:rsid w:val="005477E7"/>
    <w:rsid w:val="00552794"/>
    <w:rsid w:val="0055338D"/>
    <w:rsid w:val="00560ACF"/>
    <w:rsid w:val="00561982"/>
    <w:rsid w:val="00563199"/>
    <w:rsid w:val="00564874"/>
    <w:rsid w:val="005666D0"/>
    <w:rsid w:val="00567963"/>
    <w:rsid w:val="0057009A"/>
    <w:rsid w:val="00571260"/>
    <w:rsid w:val="0057189C"/>
    <w:rsid w:val="00572D0F"/>
    <w:rsid w:val="00573FC1"/>
    <w:rsid w:val="005741EE"/>
    <w:rsid w:val="0057668E"/>
    <w:rsid w:val="0058014E"/>
    <w:rsid w:val="00585B12"/>
    <w:rsid w:val="00595E83"/>
    <w:rsid w:val="00596530"/>
    <w:rsid w:val="005967F3"/>
    <w:rsid w:val="005A06DF"/>
    <w:rsid w:val="005A3262"/>
    <w:rsid w:val="005A5527"/>
    <w:rsid w:val="005A5AE6"/>
    <w:rsid w:val="005B1206"/>
    <w:rsid w:val="005B37E8"/>
    <w:rsid w:val="005C0056"/>
    <w:rsid w:val="005C1DA3"/>
    <w:rsid w:val="005D4CA3"/>
    <w:rsid w:val="005E0D13"/>
    <w:rsid w:val="005E44B0"/>
    <w:rsid w:val="005E5047"/>
    <w:rsid w:val="005E7205"/>
    <w:rsid w:val="005E7371"/>
    <w:rsid w:val="005F116C"/>
    <w:rsid w:val="005F2131"/>
    <w:rsid w:val="006004D5"/>
    <w:rsid w:val="00603EC7"/>
    <w:rsid w:val="00605EF6"/>
    <w:rsid w:val="00606455"/>
    <w:rsid w:val="006066FE"/>
    <w:rsid w:val="00614929"/>
    <w:rsid w:val="00616511"/>
    <w:rsid w:val="006176ED"/>
    <w:rsid w:val="006202F3"/>
    <w:rsid w:val="0062097A"/>
    <w:rsid w:val="00621DA6"/>
    <w:rsid w:val="00623CFE"/>
    <w:rsid w:val="00627221"/>
    <w:rsid w:val="00627C1B"/>
    <w:rsid w:val="00627EE8"/>
    <w:rsid w:val="006316FA"/>
    <w:rsid w:val="0063253B"/>
    <w:rsid w:val="006370D2"/>
    <w:rsid w:val="0064074F"/>
    <w:rsid w:val="00641F55"/>
    <w:rsid w:val="0064296E"/>
    <w:rsid w:val="00645E4A"/>
    <w:rsid w:val="00650F49"/>
    <w:rsid w:val="00653688"/>
    <w:rsid w:val="00660030"/>
    <w:rsid w:val="0066091B"/>
    <w:rsid w:val="00664360"/>
    <w:rsid w:val="006660E9"/>
    <w:rsid w:val="00667249"/>
    <w:rsid w:val="00667558"/>
    <w:rsid w:val="00671523"/>
    <w:rsid w:val="006741CE"/>
    <w:rsid w:val="006754EF"/>
    <w:rsid w:val="00676C8D"/>
    <w:rsid w:val="00676F1F"/>
    <w:rsid w:val="00677381"/>
    <w:rsid w:val="00677414"/>
    <w:rsid w:val="006819CB"/>
    <w:rsid w:val="006832CF"/>
    <w:rsid w:val="0068526C"/>
    <w:rsid w:val="006857BB"/>
    <w:rsid w:val="0068601E"/>
    <w:rsid w:val="0069486B"/>
    <w:rsid w:val="00694B4E"/>
    <w:rsid w:val="006957CB"/>
    <w:rsid w:val="006A4904"/>
    <w:rsid w:val="006A548F"/>
    <w:rsid w:val="006A6308"/>
    <w:rsid w:val="006A701A"/>
    <w:rsid w:val="006B64DC"/>
    <w:rsid w:val="006B7A91"/>
    <w:rsid w:val="006D0890"/>
    <w:rsid w:val="006D114C"/>
    <w:rsid w:val="006D4704"/>
    <w:rsid w:val="006D6A2D"/>
    <w:rsid w:val="006E1E18"/>
    <w:rsid w:val="006E247E"/>
    <w:rsid w:val="006E31CE"/>
    <w:rsid w:val="006E34D3"/>
    <w:rsid w:val="006F1435"/>
    <w:rsid w:val="006F453D"/>
    <w:rsid w:val="006F78C4"/>
    <w:rsid w:val="007031A0"/>
    <w:rsid w:val="00704487"/>
    <w:rsid w:val="00705A29"/>
    <w:rsid w:val="00707498"/>
    <w:rsid w:val="00710109"/>
    <w:rsid w:val="00711A65"/>
    <w:rsid w:val="00714133"/>
    <w:rsid w:val="00714C41"/>
    <w:rsid w:val="00714DA4"/>
    <w:rsid w:val="007158B2"/>
    <w:rsid w:val="00716081"/>
    <w:rsid w:val="00722B48"/>
    <w:rsid w:val="00724164"/>
    <w:rsid w:val="00725DE7"/>
    <w:rsid w:val="0072636A"/>
    <w:rsid w:val="00726B44"/>
    <w:rsid w:val="007318DD"/>
    <w:rsid w:val="00731D59"/>
    <w:rsid w:val="0073273A"/>
    <w:rsid w:val="00733167"/>
    <w:rsid w:val="007365A9"/>
    <w:rsid w:val="00740D2C"/>
    <w:rsid w:val="00744BF9"/>
    <w:rsid w:val="00752623"/>
    <w:rsid w:val="00755CF5"/>
    <w:rsid w:val="00760F1F"/>
    <w:rsid w:val="0076423E"/>
    <w:rsid w:val="007646CB"/>
    <w:rsid w:val="0076658F"/>
    <w:rsid w:val="0077040A"/>
    <w:rsid w:val="0077158F"/>
    <w:rsid w:val="00772D64"/>
    <w:rsid w:val="00780B40"/>
    <w:rsid w:val="00792609"/>
    <w:rsid w:val="007943E2"/>
    <w:rsid w:val="00794E42"/>
    <w:rsid w:val="00794F2C"/>
    <w:rsid w:val="007A3BC7"/>
    <w:rsid w:val="007A42E6"/>
    <w:rsid w:val="007A5AC4"/>
    <w:rsid w:val="007B0FDD"/>
    <w:rsid w:val="007B4802"/>
    <w:rsid w:val="007B6668"/>
    <w:rsid w:val="007B6B33"/>
    <w:rsid w:val="007B7A04"/>
    <w:rsid w:val="007C2701"/>
    <w:rsid w:val="007C6CD4"/>
    <w:rsid w:val="007D15C1"/>
    <w:rsid w:val="007D2192"/>
    <w:rsid w:val="007D581D"/>
    <w:rsid w:val="007E5702"/>
    <w:rsid w:val="007F0021"/>
    <w:rsid w:val="007F13B5"/>
    <w:rsid w:val="007F27C4"/>
    <w:rsid w:val="007F2F52"/>
    <w:rsid w:val="00805842"/>
    <w:rsid w:val="00805F28"/>
    <w:rsid w:val="0080749F"/>
    <w:rsid w:val="00811D46"/>
    <w:rsid w:val="008125B0"/>
    <w:rsid w:val="008144CB"/>
    <w:rsid w:val="00815B83"/>
    <w:rsid w:val="00821717"/>
    <w:rsid w:val="00824210"/>
    <w:rsid w:val="008248C1"/>
    <w:rsid w:val="008263C0"/>
    <w:rsid w:val="008356F5"/>
    <w:rsid w:val="0084007B"/>
    <w:rsid w:val="00841422"/>
    <w:rsid w:val="00841D3B"/>
    <w:rsid w:val="0084314C"/>
    <w:rsid w:val="00843171"/>
    <w:rsid w:val="0085022A"/>
    <w:rsid w:val="0085208C"/>
    <w:rsid w:val="008575C3"/>
    <w:rsid w:val="008618AE"/>
    <w:rsid w:val="00863D28"/>
    <w:rsid w:val="008648C3"/>
    <w:rsid w:val="008649E2"/>
    <w:rsid w:val="00880F26"/>
    <w:rsid w:val="008841DA"/>
    <w:rsid w:val="00891DFB"/>
    <w:rsid w:val="00896C2E"/>
    <w:rsid w:val="008A5095"/>
    <w:rsid w:val="008A585F"/>
    <w:rsid w:val="008A608F"/>
    <w:rsid w:val="008B0DF5"/>
    <w:rsid w:val="008B1A9A"/>
    <w:rsid w:val="008B3D78"/>
    <w:rsid w:val="008B4FE6"/>
    <w:rsid w:val="008B6C37"/>
    <w:rsid w:val="008C3427"/>
    <w:rsid w:val="008D0E25"/>
    <w:rsid w:val="008E18F7"/>
    <w:rsid w:val="008E1E10"/>
    <w:rsid w:val="008E291B"/>
    <w:rsid w:val="008E4F2F"/>
    <w:rsid w:val="008E74B0"/>
    <w:rsid w:val="008F61D0"/>
    <w:rsid w:val="008F75DB"/>
    <w:rsid w:val="009008A8"/>
    <w:rsid w:val="009063B0"/>
    <w:rsid w:val="00907106"/>
    <w:rsid w:val="009107FD"/>
    <w:rsid w:val="0091137C"/>
    <w:rsid w:val="00911567"/>
    <w:rsid w:val="0091325B"/>
    <w:rsid w:val="009171DE"/>
    <w:rsid w:val="009179A5"/>
    <w:rsid w:val="00917AAE"/>
    <w:rsid w:val="00920076"/>
    <w:rsid w:val="00922FA2"/>
    <w:rsid w:val="009251A9"/>
    <w:rsid w:val="00930699"/>
    <w:rsid w:val="00931F69"/>
    <w:rsid w:val="00934123"/>
    <w:rsid w:val="00941255"/>
    <w:rsid w:val="00955774"/>
    <w:rsid w:val="009560B5"/>
    <w:rsid w:val="00962E4A"/>
    <w:rsid w:val="009703D6"/>
    <w:rsid w:val="0097181B"/>
    <w:rsid w:val="00976DC5"/>
    <w:rsid w:val="009818C7"/>
    <w:rsid w:val="00982DD4"/>
    <w:rsid w:val="009841E5"/>
    <w:rsid w:val="0098479F"/>
    <w:rsid w:val="00984A8A"/>
    <w:rsid w:val="009857B6"/>
    <w:rsid w:val="00985A8D"/>
    <w:rsid w:val="009862E2"/>
    <w:rsid w:val="00986610"/>
    <w:rsid w:val="009877DC"/>
    <w:rsid w:val="00991F96"/>
    <w:rsid w:val="0099663D"/>
    <w:rsid w:val="00996F0A"/>
    <w:rsid w:val="009A422A"/>
    <w:rsid w:val="009A7F4F"/>
    <w:rsid w:val="009B049C"/>
    <w:rsid w:val="009B11C8"/>
    <w:rsid w:val="009B2BCF"/>
    <w:rsid w:val="009B2FF8"/>
    <w:rsid w:val="009B4A4F"/>
    <w:rsid w:val="009B5BA3"/>
    <w:rsid w:val="009C365E"/>
    <w:rsid w:val="009D0027"/>
    <w:rsid w:val="009D0655"/>
    <w:rsid w:val="009D3DA7"/>
    <w:rsid w:val="009E1E98"/>
    <w:rsid w:val="009E317D"/>
    <w:rsid w:val="009E3ABE"/>
    <w:rsid w:val="009E3C4B"/>
    <w:rsid w:val="009E5209"/>
    <w:rsid w:val="009F0637"/>
    <w:rsid w:val="009F62A6"/>
    <w:rsid w:val="009F674F"/>
    <w:rsid w:val="009F799E"/>
    <w:rsid w:val="00A02020"/>
    <w:rsid w:val="00A056CB"/>
    <w:rsid w:val="00A07A29"/>
    <w:rsid w:val="00A10FF1"/>
    <w:rsid w:val="00A1506B"/>
    <w:rsid w:val="00A17CB2"/>
    <w:rsid w:val="00A23191"/>
    <w:rsid w:val="00A2555D"/>
    <w:rsid w:val="00A319C0"/>
    <w:rsid w:val="00A33560"/>
    <w:rsid w:val="00A371A5"/>
    <w:rsid w:val="00A42801"/>
    <w:rsid w:val="00A42C1C"/>
    <w:rsid w:val="00A47BDF"/>
    <w:rsid w:val="00A51CD7"/>
    <w:rsid w:val="00A51EE4"/>
    <w:rsid w:val="00A52868"/>
    <w:rsid w:val="00A52ADB"/>
    <w:rsid w:val="00A533E8"/>
    <w:rsid w:val="00A5362D"/>
    <w:rsid w:val="00A542D9"/>
    <w:rsid w:val="00A56E64"/>
    <w:rsid w:val="00A577FD"/>
    <w:rsid w:val="00A624C3"/>
    <w:rsid w:val="00A6641C"/>
    <w:rsid w:val="00A767D2"/>
    <w:rsid w:val="00A77616"/>
    <w:rsid w:val="00A80331"/>
    <w:rsid w:val="00A805DA"/>
    <w:rsid w:val="00A811B4"/>
    <w:rsid w:val="00A87CDE"/>
    <w:rsid w:val="00A908C9"/>
    <w:rsid w:val="00A92BAF"/>
    <w:rsid w:val="00A94737"/>
    <w:rsid w:val="00A94BA3"/>
    <w:rsid w:val="00A94E0A"/>
    <w:rsid w:val="00A96CBA"/>
    <w:rsid w:val="00AB0178"/>
    <w:rsid w:val="00AB1ACD"/>
    <w:rsid w:val="00AB277F"/>
    <w:rsid w:val="00AB4099"/>
    <w:rsid w:val="00AB449A"/>
    <w:rsid w:val="00AB535B"/>
    <w:rsid w:val="00AC4E4C"/>
    <w:rsid w:val="00AC528B"/>
    <w:rsid w:val="00AD14F9"/>
    <w:rsid w:val="00AD28AA"/>
    <w:rsid w:val="00AD35D6"/>
    <w:rsid w:val="00AD58C5"/>
    <w:rsid w:val="00AE36C4"/>
    <w:rsid w:val="00AE472C"/>
    <w:rsid w:val="00AE5375"/>
    <w:rsid w:val="00AE6CF8"/>
    <w:rsid w:val="00AE7610"/>
    <w:rsid w:val="00AF10BC"/>
    <w:rsid w:val="00AF4CAC"/>
    <w:rsid w:val="00B03E0D"/>
    <w:rsid w:val="00B054F8"/>
    <w:rsid w:val="00B05541"/>
    <w:rsid w:val="00B14666"/>
    <w:rsid w:val="00B15527"/>
    <w:rsid w:val="00B16FD2"/>
    <w:rsid w:val="00B2219A"/>
    <w:rsid w:val="00B23C1A"/>
    <w:rsid w:val="00B2449F"/>
    <w:rsid w:val="00B34EB4"/>
    <w:rsid w:val="00B3581B"/>
    <w:rsid w:val="00B36B81"/>
    <w:rsid w:val="00B36FEE"/>
    <w:rsid w:val="00B37C80"/>
    <w:rsid w:val="00B435FD"/>
    <w:rsid w:val="00B5092B"/>
    <w:rsid w:val="00B5194E"/>
    <w:rsid w:val="00B51AF5"/>
    <w:rsid w:val="00B53024"/>
    <w:rsid w:val="00B531FC"/>
    <w:rsid w:val="00B55347"/>
    <w:rsid w:val="00B5768A"/>
    <w:rsid w:val="00B57E5E"/>
    <w:rsid w:val="00B612FE"/>
    <w:rsid w:val="00B61F37"/>
    <w:rsid w:val="00B62A17"/>
    <w:rsid w:val="00B62D28"/>
    <w:rsid w:val="00B64071"/>
    <w:rsid w:val="00B6414C"/>
    <w:rsid w:val="00B67A08"/>
    <w:rsid w:val="00B70EA1"/>
    <w:rsid w:val="00B7770F"/>
    <w:rsid w:val="00B77A89"/>
    <w:rsid w:val="00B77B27"/>
    <w:rsid w:val="00B8134E"/>
    <w:rsid w:val="00B81B55"/>
    <w:rsid w:val="00B84613"/>
    <w:rsid w:val="00B87AF0"/>
    <w:rsid w:val="00B9037B"/>
    <w:rsid w:val="00B90897"/>
    <w:rsid w:val="00B910BD"/>
    <w:rsid w:val="00B93834"/>
    <w:rsid w:val="00B95C45"/>
    <w:rsid w:val="00B96469"/>
    <w:rsid w:val="00BA0DA2"/>
    <w:rsid w:val="00BA2981"/>
    <w:rsid w:val="00BA48F9"/>
    <w:rsid w:val="00BB0DCA"/>
    <w:rsid w:val="00BB6B80"/>
    <w:rsid w:val="00BC01DE"/>
    <w:rsid w:val="00BC3773"/>
    <w:rsid w:val="00BC381A"/>
    <w:rsid w:val="00BD0962"/>
    <w:rsid w:val="00BD1EED"/>
    <w:rsid w:val="00BE07C5"/>
    <w:rsid w:val="00BE3A45"/>
    <w:rsid w:val="00BE5AF4"/>
    <w:rsid w:val="00BF0DA2"/>
    <w:rsid w:val="00BF109C"/>
    <w:rsid w:val="00BF34FA"/>
    <w:rsid w:val="00BF43B2"/>
    <w:rsid w:val="00BF5E2C"/>
    <w:rsid w:val="00BF6B09"/>
    <w:rsid w:val="00C004B6"/>
    <w:rsid w:val="00C00976"/>
    <w:rsid w:val="00C023B2"/>
    <w:rsid w:val="00C047A7"/>
    <w:rsid w:val="00C05DE5"/>
    <w:rsid w:val="00C172C1"/>
    <w:rsid w:val="00C33027"/>
    <w:rsid w:val="00C369C6"/>
    <w:rsid w:val="00C37667"/>
    <w:rsid w:val="00C435DB"/>
    <w:rsid w:val="00C44D73"/>
    <w:rsid w:val="00C5065C"/>
    <w:rsid w:val="00C50B42"/>
    <w:rsid w:val="00C516FF"/>
    <w:rsid w:val="00C52BFA"/>
    <w:rsid w:val="00C53D1D"/>
    <w:rsid w:val="00C53F26"/>
    <w:rsid w:val="00C540BC"/>
    <w:rsid w:val="00C61E5B"/>
    <w:rsid w:val="00C64F7D"/>
    <w:rsid w:val="00C67309"/>
    <w:rsid w:val="00C74180"/>
    <w:rsid w:val="00C7614E"/>
    <w:rsid w:val="00C80D60"/>
    <w:rsid w:val="00C80F5F"/>
    <w:rsid w:val="00C82FBD"/>
    <w:rsid w:val="00C85267"/>
    <w:rsid w:val="00C8721B"/>
    <w:rsid w:val="00C9367C"/>
    <w:rsid w:val="00C9372C"/>
    <w:rsid w:val="00C9470E"/>
    <w:rsid w:val="00C95CEB"/>
    <w:rsid w:val="00CA1054"/>
    <w:rsid w:val="00CA63EB"/>
    <w:rsid w:val="00CA69F1"/>
    <w:rsid w:val="00CB16D2"/>
    <w:rsid w:val="00CB296A"/>
    <w:rsid w:val="00CB6991"/>
    <w:rsid w:val="00CC6194"/>
    <w:rsid w:val="00CC6305"/>
    <w:rsid w:val="00CC78A5"/>
    <w:rsid w:val="00CD0516"/>
    <w:rsid w:val="00CD41D6"/>
    <w:rsid w:val="00CD756B"/>
    <w:rsid w:val="00CD7646"/>
    <w:rsid w:val="00CE08AF"/>
    <w:rsid w:val="00CE347C"/>
    <w:rsid w:val="00CE734F"/>
    <w:rsid w:val="00CF0ACB"/>
    <w:rsid w:val="00CF112E"/>
    <w:rsid w:val="00CF5F4F"/>
    <w:rsid w:val="00CF70D8"/>
    <w:rsid w:val="00D01B32"/>
    <w:rsid w:val="00D078A5"/>
    <w:rsid w:val="00D218DC"/>
    <w:rsid w:val="00D24E56"/>
    <w:rsid w:val="00D31643"/>
    <w:rsid w:val="00D31AEB"/>
    <w:rsid w:val="00D32ECD"/>
    <w:rsid w:val="00D35C9C"/>
    <w:rsid w:val="00D361E4"/>
    <w:rsid w:val="00D372CA"/>
    <w:rsid w:val="00D41C64"/>
    <w:rsid w:val="00D439F6"/>
    <w:rsid w:val="00D459C6"/>
    <w:rsid w:val="00D50729"/>
    <w:rsid w:val="00D50C19"/>
    <w:rsid w:val="00D51C67"/>
    <w:rsid w:val="00D5379E"/>
    <w:rsid w:val="00D53858"/>
    <w:rsid w:val="00D62643"/>
    <w:rsid w:val="00D64C0F"/>
    <w:rsid w:val="00D72EFE"/>
    <w:rsid w:val="00D7346E"/>
    <w:rsid w:val="00D76227"/>
    <w:rsid w:val="00D77DF1"/>
    <w:rsid w:val="00D86AFF"/>
    <w:rsid w:val="00D90DFC"/>
    <w:rsid w:val="00D95A44"/>
    <w:rsid w:val="00D95D16"/>
    <w:rsid w:val="00D97C76"/>
    <w:rsid w:val="00DA3678"/>
    <w:rsid w:val="00DB02B4"/>
    <w:rsid w:val="00DB14D1"/>
    <w:rsid w:val="00DB358C"/>
    <w:rsid w:val="00DB4636"/>
    <w:rsid w:val="00DB538D"/>
    <w:rsid w:val="00DC275C"/>
    <w:rsid w:val="00DC4B0D"/>
    <w:rsid w:val="00DC7FE1"/>
    <w:rsid w:val="00DD3F3F"/>
    <w:rsid w:val="00DD5572"/>
    <w:rsid w:val="00DD6AC7"/>
    <w:rsid w:val="00DE5D80"/>
    <w:rsid w:val="00DF2092"/>
    <w:rsid w:val="00DF21FA"/>
    <w:rsid w:val="00DF58CD"/>
    <w:rsid w:val="00DF65DE"/>
    <w:rsid w:val="00E019A5"/>
    <w:rsid w:val="00E02EC8"/>
    <w:rsid w:val="00E037F5"/>
    <w:rsid w:val="00E04ECB"/>
    <w:rsid w:val="00E05A09"/>
    <w:rsid w:val="00E0651D"/>
    <w:rsid w:val="00E06CA1"/>
    <w:rsid w:val="00E17FB4"/>
    <w:rsid w:val="00E20B75"/>
    <w:rsid w:val="00E214F2"/>
    <w:rsid w:val="00E2371E"/>
    <w:rsid w:val="00E24BD7"/>
    <w:rsid w:val="00E26523"/>
    <w:rsid w:val="00E267F9"/>
    <w:rsid w:val="00E26809"/>
    <w:rsid w:val="00E26F6D"/>
    <w:rsid w:val="00E3412D"/>
    <w:rsid w:val="00E35680"/>
    <w:rsid w:val="00E415E8"/>
    <w:rsid w:val="00E464C6"/>
    <w:rsid w:val="00E46FB3"/>
    <w:rsid w:val="00E47FC9"/>
    <w:rsid w:val="00E51D56"/>
    <w:rsid w:val="00E57322"/>
    <w:rsid w:val="00E628CB"/>
    <w:rsid w:val="00E629BE"/>
    <w:rsid w:val="00E62AD9"/>
    <w:rsid w:val="00E638C8"/>
    <w:rsid w:val="00E645B1"/>
    <w:rsid w:val="00E7166F"/>
    <w:rsid w:val="00E7509B"/>
    <w:rsid w:val="00E86147"/>
    <w:rsid w:val="00E86590"/>
    <w:rsid w:val="00E907FF"/>
    <w:rsid w:val="00EA27E0"/>
    <w:rsid w:val="00EA42D1"/>
    <w:rsid w:val="00EA42EF"/>
    <w:rsid w:val="00EB0480"/>
    <w:rsid w:val="00EB2DD1"/>
    <w:rsid w:val="00EB6B37"/>
    <w:rsid w:val="00EB778A"/>
    <w:rsid w:val="00EB7EAA"/>
    <w:rsid w:val="00EC29FE"/>
    <w:rsid w:val="00ED3A3D"/>
    <w:rsid w:val="00ED538A"/>
    <w:rsid w:val="00ED6FBC"/>
    <w:rsid w:val="00EE0F82"/>
    <w:rsid w:val="00EE2F16"/>
    <w:rsid w:val="00EE3861"/>
    <w:rsid w:val="00EF1DA1"/>
    <w:rsid w:val="00EF2B5E"/>
    <w:rsid w:val="00EF2E73"/>
    <w:rsid w:val="00EF5FD8"/>
    <w:rsid w:val="00EF7683"/>
    <w:rsid w:val="00EF76D5"/>
    <w:rsid w:val="00EF7A2D"/>
    <w:rsid w:val="00F04F8D"/>
    <w:rsid w:val="00F109B1"/>
    <w:rsid w:val="00F10AD0"/>
    <w:rsid w:val="00F116CC"/>
    <w:rsid w:val="00F12BD1"/>
    <w:rsid w:val="00F15327"/>
    <w:rsid w:val="00F168CF"/>
    <w:rsid w:val="00F17841"/>
    <w:rsid w:val="00F20792"/>
    <w:rsid w:val="00F21B1A"/>
    <w:rsid w:val="00F2555C"/>
    <w:rsid w:val="00F31DF3"/>
    <w:rsid w:val="00F3290F"/>
    <w:rsid w:val="00F338B2"/>
    <w:rsid w:val="00F33AE5"/>
    <w:rsid w:val="00F3597D"/>
    <w:rsid w:val="00F41940"/>
    <w:rsid w:val="00F4376D"/>
    <w:rsid w:val="00F45399"/>
    <w:rsid w:val="00F45467"/>
    <w:rsid w:val="00F465EA"/>
    <w:rsid w:val="00F5043A"/>
    <w:rsid w:val="00F52F29"/>
    <w:rsid w:val="00F54E7B"/>
    <w:rsid w:val="00F55A88"/>
    <w:rsid w:val="00F67437"/>
    <w:rsid w:val="00F74005"/>
    <w:rsid w:val="00F7608A"/>
    <w:rsid w:val="00F83D24"/>
    <w:rsid w:val="00F83DD9"/>
    <w:rsid w:val="00F83F40"/>
    <w:rsid w:val="00F95A46"/>
    <w:rsid w:val="00F95AD2"/>
    <w:rsid w:val="00FA117A"/>
    <w:rsid w:val="00FB0A91"/>
    <w:rsid w:val="00FB386A"/>
    <w:rsid w:val="00FC0786"/>
    <w:rsid w:val="00FC1996"/>
    <w:rsid w:val="00FC1A3A"/>
    <w:rsid w:val="00FC307C"/>
    <w:rsid w:val="00FC49EF"/>
    <w:rsid w:val="00FC71CB"/>
    <w:rsid w:val="00FC7F4D"/>
    <w:rsid w:val="00FD5BAF"/>
    <w:rsid w:val="00FE2F5E"/>
    <w:rsid w:val="00FE36E2"/>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lang w:eastAsia="en-US"/>
    </w:rPr>
  </w:style>
  <w:style w:type="paragraph" w:styleId="Nagwek1">
    <w:name w:val="heading 1"/>
    <w:basedOn w:val="Normalny"/>
    <w:next w:val="Normalny"/>
    <w:link w:val="Nagwek1Znak"/>
    <w:uiPriority w:val="99"/>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link w:val="Nagwek3Znak"/>
    <w:uiPriority w:val="99"/>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D6AC7"/>
    <w:rPr>
      <w:rFonts w:ascii="Cambria" w:hAnsi="Cambria" w:cs="Times New Roman"/>
      <w:b/>
      <w:bCs/>
      <w:kern w:val="32"/>
      <w:sz w:val="32"/>
      <w:szCs w:val="32"/>
      <w:lang w:eastAsia="en-US"/>
    </w:rPr>
  </w:style>
  <w:style w:type="character" w:customStyle="1" w:styleId="Nagwek3Znak">
    <w:name w:val="Nagłówek 3 Znak"/>
    <w:basedOn w:val="Domylnaczcionkaakapitu"/>
    <w:link w:val="Nagwek3"/>
    <w:uiPriority w:val="99"/>
    <w:semiHidden/>
    <w:locked/>
    <w:rsid w:val="00DD6AC7"/>
    <w:rPr>
      <w:rFonts w:ascii="Cambria" w:hAnsi="Cambria" w:cs="Times New Roman"/>
      <w:b/>
      <w:bCs/>
      <w:sz w:val="26"/>
      <w:szCs w:val="26"/>
      <w:lang w:eastAsia="en-US"/>
    </w:rPr>
  </w:style>
  <w:style w:type="table" w:styleId="Tabela-Siatka">
    <w:name w:val="Table Grid"/>
    <w:basedOn w:val="Standardowy"/>
    <w:uiPriority w:val="99"/>
    <w:rsid w:val="0076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lang w:eastAsia="ja-JP"/>
    </w:rPr>
  </w:style>
  <w:style w:type="character" w:customStyle="1" w:styleId="TekstdymkaZnak">
    <w:name w:val="Tekst dymka Znak"/>
    <w:basedOn w:val="Domylnaczcionkaakapitu"/>
    <w:link w:val="Tekstdymka"/>
    <w:uiPriority w:val="99"/>
    <w:semiHidden/>
    <w:locked/>
    <w:rsid w:val="004702C9"/>
    <w:rPr>
      <w:rFonts w:ascii="Tahoma" w:hAnsi="Tahoma" w:cs="Times New Roman"/>
      <w:sz w:val="16"/>
    </w:rPr>
  </w:style>
  <w:style w:type="paragraph" w:styleId="Nagwek">
    <w:name w:val="header"/>
    <w:basedOn w:val="Normalny"/>
    <w:link w:val="NagwekZnak"/>
    <w:uiPriority w:val="99"/>
    <w:rsid w:val="00044739"/>
    <w:pPr>
      <w:tabs>
        <w:tab w:val="center" w:pos="4536"/>
        <w:tab w:val="right" w:pos="9072"/>
      </w:tabs>
      <w:spacing w:line="240" w:lineRule="auto"/>
    </w:pPr>
    <w:rPr>
      <w:sz w:val="20"/>
      <w:szCs w:val="20"/>
    </w:rPr>
  </w:style>
  <w:style w:type="character" w:customStyle="1" w:styleId="NagwekZnak">
    <w:name w:val="Nagłówek Znak"/>
    <w:basedOn w:val="Domylnaczcionkaakapitu"/>
    <w:link w:val="Nagwek"/>
    <w:uiPriority w:val="99"/>
    <w:locked/>
    <w:rsid w:val="00044739"/>
    <w:rPr>
      <w:rFonts w:cs="Times New Roman"/>
      <w:lang w:eastAsia="en-US"/>
    </w:rPr>
  </w:style>
  <w:style w:type="paragraph" w:styleId="Stopka">
    <w:name w:val="footer"/>
    <w:basedOn w:val="Normalny"/>
    <w:link w:val="StopkaZnak"/>
    <w:uiPriority w:val="99"/>
    <w:rsid w:val="00044739"/>
    <w:pPr>
      <w:tabs>
        <w:tab w:val="center" w:pos="4536"/>
        <w:tab w:val="right" w:pos="9072"/>
      </w:tabs>
      <w:spacing w:line="240" w:lineRule="auto"/>
    </w:pPr>
    <w:rPr>
      <w:sz w:val="20"/>
      <w:szCs w:val="20"/>
    </w:rPr>
  </w:style>
  <w:style w:type="character" w:customStyle="1" w:styleId="StopkaZnak">
    <w:name w:val="Stopka Znak"/>
    <w:basedOn w:val="Domylnaczcionkaakapitu"/>
    <w:link w:val="Stopka"/>
    <w:uiPriority w:val="99"/>
    <w:locked/>
    <w:rsid w:val="00044739"/>
    <w:rPr>
      <w:rFonts w:cs="Times New Roman"/>
      <w:lang w:eastAsia="en-US"/>
    </w:rPr>
  </w:style>
  <w:style w:type="paragraph" w:styleId="Tekstprzypisukocowego">
    <w:name w:val="endnote text"/>
    <w:basedOn w:val="Normalny"/>
    <w:link w:val="TekstprzypisukocowegoZnak"/>
    <w:uiPriority w:val="99"/>
    <w:semiHidden/>
    <w:rsid w:val="00DF58C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DF58CD"/>
    <w:rPr>
      <w:rFonts w:cs="Times New Roman"/>
      <w:sz w:val="20"/>
      <w:lang w:eastAsia="en-US"/>
    </w:rPr>
  </w:style>
  <w:style w:type="character" w:styleId="Odwoanieprzypisukocowego">
    <w:name w:val="endnote reference"/>
    <w:basedOn w:val="Domylnaczcionkaakapitu"/>
    <w:uiPriority w:val="99"/>
    <w:semiHidden/>
    <w:rsid w:val="00DF58CD"/>
    <w:rPr>
      <w:rFonts w:cs="Times New Roman"/>
      <w:vertAlign w:val="superscript"/>
    </w:rPr>
  </w:style>
  <w:style w:type="paragraph" w:styleId="Akapitzlist">
    <w:name w:val="List Paragraph"/>
    <w:basedOn w:val="Normalny"/>
    <w:uiPriority w:val="99"/>
    <w:qFormat/>
    <w:rsid w:val="00397078"/>
    <w:pPr>
      <w:ind w:left="720"/>
      <w:contextualSpacing/>
    </w:pPr>
  </w:style>
  <w:style w:type="character" w:styleId="Odwoaniedokomentarza">
    <w:name w:val="annotation reference"/>
    <w:basedOn w:val="Domylnaczcionkaakapitu"/>
    <w:uiPriority w:val="99"/>
    <w:semiHidden/>
    <w:rsid w:val="00A17CB2"/>
    <w:rPr>
      <w:rFonts w:cs="Times New Roman"/>
      <w:sz w:val="16"/>
    </w:rPr>
  </w:style>
  <w:style w:type="paragraph" w:styleId="Tekstkomentarza">
    <w:name w:val="annotation text"/>
    <w:basedOn w:val="Normalny"/>
    <w:link w:val="TekstkomentarzaZnak"/>
    <w:uiPriority w:val="99"/>
    <w:semiHidden/>
    <w:rsid w:val="00A17CB2"/>
    <w:rPr>
      <w:sz w:val="20"/>
      <w:szCs w:val="20"/>
    </w:rPr>
  </w:style>
  <w:style w:type="character" w:customStyle="1" w:styleId="TekstkomentarzaZnak">
    <w:name w:val="Tekst komentarza Znak"/>
    <w:basedOn w:val="Domylnaczcionkaakapitu"/>
    <w:link w:val="Tekstkomentarza"/>
    <w:uiPriority w:val="99"/>
    <w:semiHidden/>
    <w:locked/>
    <w:rsid w:val="00A17CB2"/>
    <w:rPr>
      <w:rFonts w:cs="Times New Roman"/>
      <w:lang w:eastAsia="en-US"/>
    </w:rPr>
  </w:style>
  <w:style w:type="paragraph" w:styleId="Tematkomentarza">
    <w:name w:val="annotation subject"/>
    <w:basedOn w:val="Tekstkomentarza"/>
    <w:next w:val="Tekstkomentarza"/>
    <w:link w:val="TematkomentarzaZnak"/>
    <w:uiPriority w:val="99"/>
    <w:semiHidden/>
    <w:rsid w:val="00A17CB2"/>
    <w:rPr>
      <w:b/>
      <w:bCs/>
    </w:rPr>
  </w:style>
  <w:style w:type="character" w:customStyle="1" w:styleId="TematkomentarzaZnak">
    <w:name w:val="Temat komentarza Znak"/>
    <w:basedOn w:val="TekstkomentarzaZnak"/>
    <w:link w:val="Tematkomentarza"/>
    <w:uiPriority w:val="99"/>
    <w:semiHidden/>
    <w:locked/>
    <w:rsid w:val="00A17CB2"/>
    <w:rPr>
      <w:rFonts w:cs="Times New Roman"/>
      <w:b/>
      <w:lang w:eastAsia="en-US"/>
    </w:rPr>
  </w:style>
  <w:style w:type="paragraph" w:styleId="Tekstprzypisudolnego">
    <w:name w:val="footnote text"/>
    <w:basedOn w:val="Normalny"/>
    <w:link w:val="TekstprzypisudolnegoZnak"/>
    <w:uiPriority w:val="99"/>
    <w:semiHidden/>
    <w:rsid w:val="00C047A7"/>
    <w:rPr>
      <w:sz w:val="20"/>
      <w:szCs w:val="20"/>
    </w:rPr>
  </w:style>
  <w:style w:type="character" w:customStyle="1" w:styleId="TekstprzypisudolnegoZnak">
    <w:name w:val="Tekst przypisu dolnego Znak"/>
    <w:basedOn w:val="Domylnaczcionkaakapitu"/>
    <w:link w:val="Tekstprzypisudolnego"/>
    <w:uiPriority w:val="99"/>
    <w:semiHidden/>
    <w:locked/>
    <w:rsid w:val="00C047A7"/>
    <w:rPr>
      <w:rFonts w:cs="Times New Roman"/>
      <w:lang w:eastAsia="en-US"/>
    </w:rPr>
  </w:style>
  <w:style w:type="character" w:styleId="Odwoanieprzypisudolnego">
    <w:name w:val="footnote reference"/>
    <w:basedOn w:val="Domylnaczcionkaakapitu"/>
    <w:uiPriority w:val="99"/>
    <w:semiHidden/>
    <w:rsid w:val="00C047A7"/>
    <w:rPr>
      <w:rFonts w:cs="Times New Roman"/>
      <w:vertAlign w:val="superscript"/>
    </w:rPr>
  </w:style>
  <w:style w:type="character" w:styleId="Hipercze">
    <w:name w:val="Hyperlink"/>
    <w:basedOn w:val="Domylnaczcionkaakapitu"/>
    <w:uiPriority w:val="99"/>
    <w:rsid w:val="0072636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lang w:eastAsia="en-US"/>
    </w:rPr>
  </w:style>
  <w:style w:type="paragraph" w:styleId="Nagwek1">
    <w:name w:val="heading 1"/>
    <w:basedOn w:val="Normalny"/>
    <w:next w:val="Normalny"/>
    <w:link w:val="Nagwek1Znak"/>
    <w:uiPriority w:val="99"/>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link w:val="Nagwek3Znak"/>
    <w:uiPriority w:val="99"/>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D6AC7"/>
    <w:rPr>
      <w:rFonts w:ascii="Cambria" w:hAnsi="Cambria" w:cs="Times New Roman"/>
      <w:b/>
      <w:bCs/>
      <w:kern w:val="32"/>
      <w:sz w:val="32"/>
      <w:szCs w:val="32"/>
      <w:lang w:eastAsia="en-US"/>
    </w:rPr>
  </w:style>
  <w:style w:type="character" w:customStyle="1" w:styleId="Nagwek3Znak">
    <w:name w:val="Nagłówek 3 Znak"/>
    <w:basedOn w:val="Domylnaczcionkaakapitu"/>
    <w:link w:val="Nagwek3"/>
    <w:uiPriority w:val="99"/>
    <w:semiHidden/>
    <w:locked/>
    <w:rsid w:val="00DD6AC7"/>
    <w:rPr>
      <w:rFonts w:ascii="Cambria" w:hAnsi="Cambria" w:cs="Times New Roman"/>
      <w:b/>
      <w:bCs/>
      <w:sz w:val="26"/>
      <w:szCs w:val="26"/>
      <w:lang w:eastAsia="en-US"/>
    </w:rPr>
  </w:style>
  <w:style w:type="table" w:styleId="Tabela-Siatka">
    <w:name w:val="Table Grid"/>
    <w:basedOn w:val="Standardowy"/>
    <w:uiPriority w:val="99"/>
    <w:rsid w:val="0076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lang w:eastAsia="ja-JP"/>
    </w:rPr>
  </w:style>
  <w:style w:type="character" w:customStyle="1" w:styleId="TekstdymkaZnak">
    <w:name w:val="Tekst dymka Znak"/>
    <w:basedOn w:val="Domylnaczcionkaakapitu"/>
    <w:link w:val="Tekstdymka"/>
    <w:uiPriority w:val="99"/>
    <w:semiHidden/>
    <w:locked/>
    <w:rsid w:val="004702C9"/>
    <w:rPr>
      <w:rFonts w:ascii="Tahoma" w:hAnsi="Tahoma" w:cs="Times New Roman"/>
      <w:sz w:val="16"/>
    </w:rPr>
  </w:style>
  <w:style w:type="paragraph" w:styleId="Nagwek">
    <w:name w:val="header"/>
    <w:basedOn w:val="Normalny"/>
    <w:link w:val="NagwekZnak"/>
    <w:uiPriority w:val="99"/>
    <w:rsid w:val="00044739"/>
    <w:pPr>
      <w:tabs>
        <w:tab w:val="center" w:pos="4536"/>
        <w:tab w:val="right" w:pos="9072"/>
      </w:tabs>
      <w:spacing w:line="240" w:lineRule="auto"/>
    </w:pPr>
    <w:rPr>
      <w:sz w:val="20"/>
      <w:szCs w:val="20"/>
    </w:rPr>
  </w:style>
  <w:style w:type="character" w:customStyle="1" w:styleId="NagwekZnak">
    <w:name w:val="Nagłówek Znak"/>
    <w:basedOn w:val="Domylnaczcionkaakapitu"/>
    <w:link w:val="Nagwek"/>
    <w:uiPriority w:val="99"/>
    <w:locked/>
    <w:rsid w:val="00044739"/>
    <w:rPr>
      <w:rFonts w:cs="Times New Roman"/>
      <w:lang w:eastAsia="en-US"/>
    </w:rPr>
  </w:style>
  <w:style w:type="paragraph" w:styleId="Stopka">
    <w:name w:val="footer"/>
    <w:basedOn w:val="Normalny"/>
    <w:link w:val="StopkaZnak"/>
    <w:uiPriority w:val="99"/>
    <w:rsid w:val="00044739"/>
    <w:pPr>
      <w:tabs>
        <w:tab w:val="center" w:pos="4536"/>
        <w:tab w:val="right" w:pos="9072"/>
      </w:tabs>
      <w:spacing w:line="240" w:lineRule="auto"/>
    </w:pPr>
    <w:rPr>
      <w:sz w:val="20"/>
      <w:szCs w:val="20"/>
    </w:rPr>
  </w:style>
  <w:style w:type="character" w:customStyle="1" w:styleId="StopkaZnak">
    <w:name w:val="Stopka Znak"/>
    <w:basedOn w:val="Domylnaczcionkaakapitu"/>
    <w:link w:val="Stopka"/>
    <w:uiPriority w:val="99"/>
    <w:locked/>
    <w:rsid w:val="00044739"/>
    <w:rPr>
      <w:rFonts w:cs="Times New Roman"/>
      <w:lang w:eastAsia="en-US"/>
    </w:rPr>
  </w:style>
  <w:style w:type="paragraph" w:styleId="Tekstprzypisukocowego">
    <w:name w:val="endnote text"/>
    <w:basedOn w:val="Normalny"/>
    <w:link w:val="TekstprzypisukocowegoZnak"/>
    <w:uiPriority w:val="99"/>
    <w:semiHidden/>
    <w:rsid w:val="00DF58C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DF58CD"/>
    <w:rPr>
      <w:rFonts w:cs="Times New Roman"/>
      <w:sz w:val="20"/>
      <w:lang w:eastAsia="en-US"/>
    </w:rPr>
  </w:style>
  <w:style w:type="character" w:styleId="Odwoanieprzypisukocowego">
    <w:name w:val="endnote reference"/>
    <w:basedOn w:val="Domylnaczcionkaakapitu"/>
    <w:uiPriority w:val="99"/>
    <w:semiHidden/>
    <w:rsid w:val="00DF58CD"/>
    <w:rPr>
      <w:rFonts w:cs="Times New Roman"/>
      <w:vertAlign w:val="superscript"/>
    </w:rPr>
  </w:style>
  <w:style w:type="paragraph" w:styleId="Akapitzlist">
    <w:name w:val="List Paragraph"/>
    <w:basedOn w:val="Normalny"/>
    <w:uiPriority w:val="99"/>
    <w:qFormat/>
    <w:rsid w:val="00397078"/>
    <w:pPr>
      <w:ind w:left="720"/>
      <w:contextualSpacing/>
    </w:pPr>
  </w:style>
  <w:style w:type="character" w:styleId="Odwoaniedokomentarza">
    <w:name w:val="annotation reference"/>
    <w:basedOn w:val="Domylnaczcionkaakapitu"/>
    <w:uiPriority w:val="99"/>
    <w:semiHidden/>
    <w:rsid w:val="00A17CB2"/>
    <w:rPr>
      <w:rFonts w:cs="Times New Roman"/>
      <w:sz w:val="16"/>
    </w:rPr>
  </w:style>
  <w:style w:type="paragraph" w:styleId="Tekstkomentarza">
    <w:name w:val="annotation text"/>
    <w:basedOn w:val="Normalny"/>
    <w:link w:val="TekstkomentarzaZnak"/>
    <w:uiPriority w:val="99"/>
    <w:semiHidden/>
    <w:rsid w:val="00A17CB2"/>
    <w:rPr>
      <w:sz w:val="20"/>
      <w:szCs w:val="20"/>
    </w:rPr>
  </w:style>
  <w:style w:type="character" w:customStyle="1" w:styleId="TekstkomentarzaZnak">
    <w:name w:val="Tekst komentarza Znak"/>
    <w:basedOn w:val="Domylnaczcionkaakapitu"/>
    <w:link w:val="Tekstkomentarza"/>
    <w:uiPriority w:val="99"/>
    <w:semiHidden/>
    <w:locked/>
    <w:rsid w:val="00A17CB2"/>
    <w:rPr>
      <w:rFonts w:cs="Times New Roman"/>
      <w:lang w:eastAsia="en-US"/>
    </w:rPr>
  </w:style>
  <w:style w:type="paragraph" w:styleId="Tematkomentarza">
    <w:name w:val="annotation subject"/>
    <w:basedOn w:val="Tekstkomentarza"/>
    <w:next w:val="Tekstkomentarza"/>
    <w:link w:val="TematkomentarzaZnak"/>
    <w:uiPriority w:val="99"/>
    <w:semiHidden/>
    <w:rsid w:val="00A17CB2"/>
    <w:rPr>
      <w:b/>
      <w:bCs/>
    </w:rPr>
  </w:style>
  <w:style w:type="character" w:customStyle="1" w:styleId="TematkomentarzaZnak">
    <w:name w:val="Temat komentarza Znak"/>
    <w:basedOn w:val="TekstkomentarzaZnak"/>
    <w:link w:val="Tematkomentarza"/>
    <w:uiPriority w:val="99"/>
    <w:semiHidden/>
    <w:locked/>
    <w:rsid w:val="00A17CB2"/>
    <w:rPr>
      <w:rFonts w:cs="Times New Roman"/>
      <w:b/>
      <w:lang w:eastAsia="en-US"/>
    </w:rPr>
  </w:style>
  <w:style w:type="paragraph" w:styleId="Tekstprzypisudolnego">
    <w:name w:val="footnote text"/>
    <w:basedOn w:val="Normalny"/>
    <w:link w:val="TekstprzypisudolnegoZnak"/>
    <w:uiPriority w:val="99"/>
    <w:semiHidden/>
    <w:rsid w:val="00C047A7"/>
    <w:rPr>
      <w:sz w:val="20"/>
      <w:szCs w:val="20"/>
    </w:rPr>
  </w:style>
  <w:style w:type="character" w:customStyle="1" w:styleId="TekstprzypisudolnegoZnak">
    <w:name w:val="Tekst przypisu dolnego Znak"/>
    <w:basedOn w:val="Domylnaczcionkaakapitu"/>
    <w:link w:val="Tekstprzypisudolnego"/>
    <w:uiPriority w:val="99"/>
    <w:semiHidden/>
    <w:locked/>
    <w:rsid w:val="00C047A7"/>
    <w:rPr>
      <w:rFonts w:cs="Times New Roman"/>
      <w:lang w:eastAsia="en-US"/>
    </w:rPr>
  </w:style>
  <w:style w:type="character" w:styleId="Odwoanieprzypisudolnego">
    <w:name w:val="footnote reference"/>
    <w:basedOn w:val="Domylnaczcionkaakapitu"/>
    <w:uiPriority w:val="99"/>
    <w:semiHidden/>
    <w:rsid w:val="00C047A7"/>
    <w:rPr>
      <w:rFonts w:cs="Times New Roman"/>
      <w:vertAlign w:val="superscript"/>
    </w:rPr>
  </w:style>
  <w:style w:type="character" w:styleId="Hipercze">
    <w:name w:val="Hyperlink"/>
    <w:basedOn w:val="Domylnaczcionkaakapitu"/>
    <w:uiPriority w:val="99"/>
    <w:rsid w:val="0072636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51784">
      <w:marLeft w:val="0"/>
      <w:marRight w:val="0"/>
      <w:marTop w:val="0"/>
      <w:marBottom w:val="0"/>
      <w:divBdr>
        <w:top w:val="none" w:sz="0" w:space="0" w:color="auto"/>
        <w:left w:val="none" w:sz="0" w:space="0" w:color="auto"/>
        <w:bottom w:val="none" w:sz="0" w:space="0" w:color="auto"/>
        <w:right w:val="none" w:sz="0" w:space="0" w:color="auto"/>
      </w:divBdr>
    </w:div>
    <w:div w:id="317851785">
      <w:marLeft w:val="0"/>
      <w:marRight w:val="0"/>
      <w:marTop w:val="0"/>
      <w:marBottom w:val="0"/>
      <w:divBdr>
        <w:top w:val="none" w:sz="0" w:space="0" w:color="auto"/>
        <w:left w:val="none" w:sz="0" w:space="0" w:color="auto"/>
        <w:bottom w:val="none" w:sz="0" w:space="0" w:color="auto"/>
        <w:right w:val="none" w:sz="0" w:space="0" w:color="auto"/>
      </w:divBdr>
    </w:div>
    <w:div w:id="317851786">
      <w:marLeft w:val="0"/>
      <w:marRight w:val="0"/>
      <w:marTop w:val="0"/>
      <w:marBottom w:val="0"/>
      <w:divBdr>
        <w:top w:val="none" w:sz="0" w:space="0" w:color="auto"/>
        <w:left w:val="none" w:sz="0" w:space="0" w:color="auto"/>
        <w:bottom w:val="none" w:sz="0" w:space="0" w:color="auto"/>
        <w:right w:val="none" w:sz="0" w:space="0" w:color="auto"/>
      </w:divBdr>
    </w:div>
    <w:div w:id="317851787">
      <w:marLeft w:val="0"/>
      <w:marRight w:val="0"/>
      <w:marTop w:val="0"/>
      <w:marBottom w:val="0"/>
      <w:divBdr>
        <w:top w:val="none" w:sz="0" w:space="0" w:color="auto"/>
        <w:left w:val="none" w:sz="0" w:space="0" w:color="auto"/>
        <w:bottom w:val="none" w:sz="0" w:space="0" w:color="auto"/>
        <w:right w:val="none" w:sz="0" w:space="0" w:color="auto"/>
      </w:divBdr>
    </w:div>
    <w:div w:id="317851788">
      <w:marLeft w:val="0"/>
      <w:marRight w:val="0"/>
      <w:marTop w:val="0"/>
      <w:marBottom w:val="0"/>
      <w:divBdr>
        <w:top w:val="none" w:sz="0" w:space="0" w:color="auto"/>
        <w:left w:val="none" w:sz="0" w:space="0" w:color="auto"/>
        <w:bottom w:val="none" w:sz="0" w:space="0" w:color="auto"/>
        <w:right w:val="none" w:sz="0" w:space="0" w:color="auto"/>
      </w:divBdr>
    </w:div>
    <w:div w:id="317851789">
      <w:marLeft w:val="0"/>
      <w:marRight w:val="0"/>
      <w:marTop w:val="0"/>
      <w:marBottom w:val="0"/>
      <w:divBdr>
        <w:top w:val="none" w:sz="0" w:space="0" w:color="auto"/>
        <w:left w:val="none" w:sz="0" w:space="0" w:color="auto"/>
        <w:bottom w:val="none" w:sz="0" w:space="0" w:color="auto"/>
        <w:right w:val="none" w:sz="0" w:space="0" w:color="auto"/>
      </w:divBdr>
    </w:div>
    <w:div w:id="317851790">
      <w:marLeft w:val="0"/>
      <w:marRight w:val="0"/>
      <w:marTop w:val="0"/>
      <w:marBottom w:val="0"/>
      <w:divBdr>
        <w:top w:val="none" w:sz="0" w:space="0" w:color="auto"/>
        <w:left w:val="none" w:sz="0" w:space="0" w:color="auto"/>
        <w:bottom w:val="none" w:sz="0" w:space="0" w:color="auto"/>
        <w:right w:val="none" w:sz="0" w:space="0" w:color="auto"/>
      </w:divBdr>
    </w:div>
    <w:div w:id="317851791">
      <w:marLeft w:val="0"/>
      <w:marRight w:val="0"/>
      <w:marTop w:val="0"/>
      <w:marBottom w:val="0"/>
      <w:divBdr>
        <w:top w:val="none" w:sz="0" w:space="0" w:color="auto"/>
        <w:left w:val="none" w:sz="0" w:space="0" w:color="auto"/>
        <w:bottom w:val="none" w:sz="0" w:space="0" w:color="auto"/>
        <w:right w:val="none" w:sz="0" w:space="0" w:color="auto"/>
      </w:divBdr>
    </w:div>
    <w:div w:id="317851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6B6C8-1DAA-4129-92F4-E8E09F0A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5555</Words>
  <Characters>33336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Nazwa projektu</vt:lpstr>
    </vt:vector>
  </TitlesOfParts>
  <LinksUpToDate>false</LinksUpToDate>
  <CharactersWithSpaces>38814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creator/>
  <cp:lastModifiedBy/>
  <cp:revision>1</cp:revision>
  <dcterms:created xsi:type="dcterms:W3CDTF">2016-03-29T10:54:00Z</dcterms:created>
  <dcterms:modified xsi:type="dcterms:W3CDTF">2016-03-29T10:54:00Z</dcterms:modified>
</cp:coreProperties>
</file>