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66AC" w:rsidRDefault="007E26CA" w:rsidP="00DF5F5A">
      <w:pPr>
        <w:spacing w:after="240" w:line="360" w:lineRule="auto"/>
        <w:ind w:firstLine="567"/>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UZASADNIENIE</w:t>
      </w:r>
    </w:p>
    <w:p w:rsidR="00F64BC0" w:rsidRPr="00D20116" w:rsidRDefault="00F64BC0" w:rsidP="00F64BC0">
      <w:pPr>
        <w:pStyle w:val="NIEARTTEKSTtekstnieartykuowanynppodstprawnarozplubpreambua"/>
        <w:rPr>
          <w:lang w:eastAsia="en-US"/>
        </w:rPr>
      </w:pPr>
      <w:r w:rsidRPr="00D20116">
        <w:rPr>
          <w:lang w:eastAsia="en-US"/>
        </w:rPr>
        <w:t>Celem projektu jest wykonanie wyroku Trybunału Sprawiedliwości Unii Europejskiej z</w:t>
      </w:r>
      <w:r>
        <w:t> </w:t>
      </w:r>
      <w:r w:rsidRPr="00D20116">
        <w:rPr>
          <w:lang w:eastAsia="en-US"/>
        </w:rPr>
        <w:t>dnia 13 czerwca 2018 r. w sprawie C-530/16 – Komisja Europejska przeciwko Rzeczypospolitej Polskiej. W powołanym wyroku Trybunał Sprawiedliwości Unii Europejskiej (TSUE) uznał, że Rzeczpospolita Polska naruszyła prawo unijne przez nieprzyjęcie środków koniecznych do zagwarantowania niezależności organizacyjnej i</w:t>
      </w:r>
      <w:r>
        <w:t> </w:t>
      </w:r>
      <w:r w:rsidRPr="00D20116">
        <w:rPr>
          <w:lang w:eastAsia="en-US"/>
        </w:rPr>
        <w:t>decyzyjnej organu dochodzeniowego</w:t>
      </w:r>
      <w:r w:rsidR="006C3B21">
        <w:rPr>
          <w:lang w:eastAsia="en-US"/>
        </w:rPr>
        <w:t>,</w:t>
      </w:r>
      <w:r w:rsidRPr="00D20116">
        <w:rPr>
          <w:lang w:eastAsia="en-US"/>
        </w:rPr>
        <w:t xml:space="preserve"> tj. Państwowej Komisji Badania Wypadków Kolejowych (PKBWK) od zarządcy infrastruktury – PKP PLK S.A., nad którym nadzór właścicielski sprawuje w imieniu Skarbu Państwa minister właściwy do spraw transportu. TSUE podzielił stanowisko Komisji Europejskiej, która złożyła skargę w tej sprawie</w:t>
      </w:r>
      <w:r w:rsidR="006C3B21">
        <w:rPr>
          <w:lang w:eastAsia="en-US"/>
        </w:rPr>
        <w:t>,</w:t>
      </w:r>
      <w:r w:rsidRPr="00D20116">
        <w:rPr>
          <w:lang w:eastAsia="en-US"/>
        </w:rPr>
        <w:t xml:space="preserve"> zarzucając Polsce, że relacja, w której przy ministrze właściwym do spraw transportu funkcjonuje PKBWK, wykonująca zadania w imieniu ministra właściwego do spraw transportu i będąca formalnie jednostką organizacyjną obsługującego go urzędu (Ministerstwa Infrastruktury), przy jednoczesnym wykonywaniu przez ministra właściwego do spraw transportu nadzoru właścicielskiego nad spółką PKP PLK S.A., narusza zasadę niezależności krajowego organu dochodzeniowego od zarządcy infrastruktury. Zdaniem TSUE taki stan rzeczy może powodować powstanie konfliktu interesów, ponieważ minister właściwy do spraw transportu, sprawując nadzór właścicielski nad PKP PLK S.A., może wpływać na prowadzenie prac przez PKBWK w taki sposób, aby polski organ dochodzeniowy nie wykazywał naruszeń lub błędów PKP PLK S.A., które mogły spowodować powstanie danego zdarzenia kolejowego. Biorąc pod uwagę treść rozstrzygnięcia TSUE, a w szczególności konieczność jego pilnego wykonania przez Rzeczpospolitą Polską, istnieje potrzeba wyłączenia PKBWK ze struktury organizacyjnej Ministerstwa Infrastruktury, a następnie włączenie jej do struktury organizacyjnej innego urzędu administracji publicznej. W świetle wyroku minister właściwy do spraw transportu powinien zostać pozbawiony kompetencji do powoływania i odwoływania składu PKBWK oraz dysponowania środkami przeznaczonymi na działalność PKBWK. Kompetencje te należy przekazać innemu organowi.</w:t>
      </w:r>
    </w:p>
    <w:p w:rsidR="00F64BC0" w:rsidRPr="00D20116" w:rsidRDefault="00F64BC0" w:rsidP="00F64BC0">
      <w:pPr>
        <w:pStyle w:val="NIEARTTEKSTtekstnieartykuowanynppodstprawnarozplubpreambua"/>
        <w:ind w:firstLine="0"/>
      </w:pPr>
      <w:r w:rsidRPr="00D20116">
        <w:rPr>
          <w:lang w:eastAsia="en-US"/>
        </w:rPr>
        <w:t xml:space="preserve">Obecnie </w:t>
      </w:r>
      <w:r w:rsidRPr="00D20116">
        <w:t>PKBWK działa przy ministrze właściwym do spraw transportu</w:t>
      </w:r>
      <w:r w:rsidR="006C3B21">
        <w:t>,</w:t>
      </w:r>
      <w:r w:rsidRPr="00D20116">
        <w:t xml:space="preserve"> w</w:t>
      </w:r>
      <w:r>
        <w:t> </w:t>
      </w:r>
      <w:r w:rsidRPr="00D20116">
        <w:t>szczególności zgodnie z:</w:t>
      </w:r>
      <w:r>
        <w:t xml:space="preserve"> </w:t>
      </w:r>
      <w:r w:rsidRPr="00D20116">
        <w:t>ustawą z dnia 28 marca 2003 r. o transporcie kolejowym,</w:t>
      </w:r>
      <w:r>
        <w:t xml:space="preserve"> </w:t>
      </w:r>
      <w:r w:rsidRPr="00D20116">
        <w:t>rozporządzeniem Ministra Infrastruktury i Budownictwa z dnia 16 marca 2016 r. w sprawie poważnych wypadków, wypadków i incydentów w transporcie kolejowym,</w:t>
      </w:r>
      <w:r>
        <w:t xml:space="preserve"> </w:t>
      </w:r>
      <w:r w:rsidRPr="00D20116">
        <w:t>Regulaminem działania Państwowej Komisji Badania Wypadków Kolejowych, stanowiącym załącznik do zarządzenia nr 29 Ministra Infrastruktury i Budownictwa z dnia 22 czerwca 2017 r. w sprawie regulaminu działania Państwowej Komisji Badania Wypadków Kolejowych,</w:t>
      </w:r>
      <w:r>
        <w:t xml:space="preserve"> </w:t>
      </w:r>
      <w:r w:rsidRPr="00D20116">
        <w:t xml:space="preserve">rozporządzeniem Ministra </w:t>
      </w:r>
      <w:r w:rsidRPr="00D20116">
        <w:lastRenderedPageBreak/>
        <w:t>Transportu z dnia 19 lutego 2007 r. w sprawie zawartości raportu z postępowania w sprawie poważnego wypadku, wypadku lub incydentu kolejowego, rozporządzeniem Ministra Transportu z dnia 21 lutego 2007 r. w sprawie wzoru legitymacji członka Państwowej Komisji Badania Wypadków Kolejowych.</w:t>
      </w:r>
    </w:p>
    <w:p w:rsidR="00F64BC0" w:rsidRDefault="00F64BC0" w:rsidP="00F64BC0">
      <w:pPr>
        <w:pStyle w:val="NIEARTTEKSTtekstnieartykuowanynppodstprawnarozplubpreambua"/>
        <w:ind w:firstLine="0"/>
      </w:pPr>
      <w:r w:rsidRPr="00D20116">
        <w:t>Aktualnie PKBWK wykonuje zadania w imieniu Ministra Infrastruktury. PKBWK na zewnątrz reprezentuje przewodniczący. W skład PKBWK wchodzi do 12 członków stałych, którzy są etatowymi pracownikami Ministerstwa Infrastruktury oraz członkowie doraźni i eksperci, którzy w razie potrzeby mogą być powołani przez przewodniczącego do prowadzenia postępowań w ramach zespołów badawczych PKBWK na podstawie umów cywilnoprawnych. Stałą obsługę PKBWK zapewnia jeden pracownik Ministerstwa Inf</w:t>
      </w:r>
      <w:r>
        <w:t>rastruktury – członek korpusu sł</w:t>
      </w:r>
      <w:r w:rsidRPr="00D20116">
        <w:t xml:space="preserve">użby cywilnej. PKBWK realizuje zadania przy pomocy centrali w Warszawie oraz dwóch oddziałów terenowych – w Katowicach i Poznaniu. </w:t>
      </w:r>
    </w:p>
    <w:p w:rsidR="00F64BC0" w:rsidRPr="00D20116" w:rsidRDefault="00F64BC0" w:rsidP="00F64BC0">
      <w:pPr>
        <w:pStyle w:val="NIEARTTEKSTtekstnieartykuowanynppodstprawnarozplubpreambua"/>
        <w:ind w:firstLine="0"/>
      </w:pPr>
      <w:r w:rsidRPr="00D20116">
        <w:rPr>
          <w:lang w:eastAsia="en-US"/>
        </w:rPr>
        <w:t>W związku z wykonaniem wyroku TSUE w sprawie C-530/16 projekt przewiduje wzmocnienie gwarancji niezależności działania PKBWK od podmiotów rynku kolejowego i wprowadzenie odpowiednich zmian w ustawie z dnia 28 marca 2003 r. o transporcie kolejowym (Dz. U. z 2019 r. poz. 710</w:t>
      </w:r>
      <w:r>
        <w:t>, 730 i 1214</w:t>
      </w:r>
      <w:r w:rsidRPr="00D20116">
        <w:rPr>
          <w:lang w:eastAsia="en-US"/>
        </w:rPr>
        <w:t>)</w:t>
      </w:r>
      <w:r w:rsidR="006C3B21">
        <w:rPr>
          <w:lang w:eastAsia="en-US"/>
        </w:rPr>
        <w:t>,</w:t>
      </w:r>
      <w:r w:rsidRPr="00D20116">
        <w:rPr>
          <w:lang w:eastAsia="en-US"/>
        </w:rPr>
        <w:t xml:space="preserve"> zwanej dalej „ustawą”, w zakresie Rozdziału 5a „Państwowa Komisja Badania Wypadków Kolejowych”, polegających w szczególności na wyłączeniu PKBWK ze struktury organizacyjnej urzędu obsługującego ministra właściwego do spraw transportu, i włączeniu jej do struktury organizacyjnej urzędu obsługującego ministra właściwego do spraw wewnętrznych. Ministrowi właściwemu do spraw wewnętrznych podlegają formacje (Policja, Państwowa Straż Pożarna), które również prowadzą czynności na miejscu wypadku kolejowego. Ponadto organizacyjne przypisanie PKBWK do urzędu obsługującego ministra właściwego do spraw wewnętrznych, poza zapewnieniem niezależności PKBWK od podmiotu sprawującego nadzór właścicielski nad zarządcami infrastruktury kolejowej, będzie rozwiązaniem, które nie generuje dodatkowych wydatków budżetu państwa oraz zapewnia szybkie wykonanie ww. wyroku TSUE. Rozwiązanie polegające na całkowitym organizacyjnym wyodrębnieniu PKBWK z administracji rządowej centralnej i utworzeniu nowego urzędu obsługującego PKBWK, ewentualnie również inne komisje badające wypadki transportowe, byłoby rozwiązaniem generującym nieplanowane w 2019 r. wydatki budżetowe oraz znacznie wydłużającym proces wykonania ww. wyroku. Do kompetencji ministra właściwego do spraw wewnętrznych będzie należało dysponowanie środkami przeznaczonymi na działalność PKBWK oraz zapewnienie obsługi administracyjnej jej funkcjonowania. </w:t>
      </w:r>
    </w:p>
    <w:p w:rsidR="00F64BC0" w:rsidRPr="00D20116" w:rsidRDefault="00F64BC0" w:rsidP="00F64BC0">
      <w:pPr>
        <w:pStyle w:val="NIEARTTEKSTtekstnieartykuowanynppodstprawnarozplubpreambua"/>
        <w:ind w:firstLine="0"/>
        <w:rPr>
          <w:lang w:eastAsia="en-US"/>
        </w:rPr>
      </w:pPr>
      <w:r w:rsidRPr="00D20116">
        <w:rPr>
          <w:lang w:eastAsia="en-US"/>
        </w:rPr>
        <w:lastRenderedPageBreak/>
        <w:t>Projektowane rozwiązania nie wprowadzają zadania nadzoru Ministra Spraw Wewnętrznych i Administracji nad działalnością PKBWK. Postanowienia takie byłyby w sprzeczności z ww. dyrektywą 2004/49/WE oraz wyrokiem Trybunału Sprawiedliwości Unii Europejskiej (TSUE) z dnia 13 czerwca 2018 r. w sprawie C-530/16, Komisja Europejska przeciwko Rzeczypospolitej Polskiej o stwierdzenie uchybienia zobowiązaniom państwa członkowskiego. Zapewnienie funkcjonowania i obsługi prac PKBWK przez urząd obsługujący ministra właściwego do spraw wewnętrznych, nie jest ściśle uwarunkowane kompetencjami tego ministra w rozumieniu ustawy z dnia 4 września 1997 r. o działach administracji rządowej (Dz.</w:t>
      </w:r>
      <w:r>
        <w:t xml:space="preserve"> </w:t>
      </w:r>
      <w:r w:rsidRPr="00D20116">
        <w:rPr>
          <w:lang w:eastAsia="en-US"/>
        </w:rPr>
        <w:t>U. z 201</w:t>
      </w:r>
      <w:r>
        <w:t>9</w:t>
      </w:r>
      <w:r w:rsidRPr="00D20116">
        <w:rPr>
          <w:lang w:eastAsia="en-US"/>
        </w:rPr>
        <w:t xml:space="preserve"> r. poz. </w:t>
      </w:r>
      <w:r>
        <w:t>945 i 1248</w:t>
      </w:r>
      <w:r w:rsidRPr="00D20116">
        <w:rPr>
          <w:lang w:eastAsia="en-US"/>
        </w:rPr>
        <w:t>). Celem projektowanej ustawy jest zapewnienie funkcjonowania PKBWK – zgodnie z ww. wyrokiem Trybunału Sprawiedliwości Unii Europejskiej w sprawie C-530/16 – w sposób gwarantujący jej niezależność od zarządców infrastruktury kolejowej, przewoźników kolejowych, innych uczestników rynku kolejowego, od podmiotów lub organów nadzorujących ich działalność (vide minister właściwy do spraw transportu), a także od organu regulacyjnego i krajowej władzy bezpieczeństwa w rozumieniu przepisów prawa UE oraz od postępowań sądowych.</w:t>
      </w:r>
    </w:p>
    <w:p w:rsidR="00F64BC0" w:rsidRPr="00D20116" w:rsidRDefault="00F64BC0" w:rsidP="00F64BC0">
      <w:pPr>
        <w:pStyle w:val="NIEARTTEKSTtekstnieartykuowanynppodstprawnarozplubpreambua"/>
        <w:ind w:firstLine="0"/>
        <w:rPr>
          <w:lang w:eastAsia="en-US"/>
        </w:rPr>
      </w:pPr>
      <w:r w:rsidRPr="00D20116">
        <w:rPr>
          <w:lang w:eastAsia="en-US"/>
        </w:rPr>
        <w:t>Projekt nie przewiduje zasadniczych zmian w zadaniach i kompetencjach PKBWK – będą one co do zasady takie jak w przypadku PKBWK działającej przy ministrze właściwym do spraw transportu. Zgodnie z proponowanym brzmieniem art. 28a ust. 1 ustawy PKBWK będzie prowadziła badania poważnych wypadków, wypadków i incydentów. Jednocześnie</w:t>
      </w:r>
      <w:r w:rsidR="006C3B21">
        <w:rPr>
          <w:lang w:eastAsia="en-US"/>
        </w:rPr>
        <w:t>,</w:t>
      </w:r>
      <w:r w:rsidRPr="00D20116">
        <w:rPr>
          <w:lang w:eastAsia="en-US"/>
        </w:rPr>
        <w:t xml:space="preserve"> mając na względzie pełne wykonanie ww. wyroku TSUE</w:t>
      </w:r>
      <w:r w:rsidR="006C3B21">
        <w:rPr>
          <w:lang w:eastAsia="en-US"/>
        </w:rPr>
        <w:t>,</w:t>
      </w:r>
      <w:r w:rsidRPr="00D20116">
        <w:rPr>
          <w:lang w:eastAsia="en-US"/>
        </w:rPr>
        <w:t xml:space="preserve"> uchylono dotychczasowy przepis ust. 2 stanowiący, że PKBWK realizuje zadania w imieniu ministra właściwego do spraw transportu. </w:t>
      </w:r>
      <w:r>
        <w:t>C</w:t>
      </w:r>
      <w:r w:rsidRPr="00D20116">
        <w:rPr>
          <w:lang w:eastAsia="en-US"/>
        </w:rPr>
        <w:t xml:space="preserve">złonkowie stali PKBWK są powoływani przez ministra właściwego do spraw wewnętrznych spośród kandydatów spełniających wymagania określone w art. 28a ust. 10, 12 i 13. </w:t>
      </w:r>
      <w:r>
        <w:t>W celu wzmocnienia niezależności Komisji doprecyzowano kryteria odwołania</w:t>
      </w:r>
      <w:r w:rsidRPr="00D20116">
        <w:rPr>
          <w:lang w:eastAsia="en-US"/>
        </w:rPr>
        <w:t xml:space="preserve"> członka stałego PKBWK</w:t>
      </w:r>
      <w:r>
        <w:t xml:space="preserve"> </w:t>
      </w:r>
      <w:r w:rsidR="006C3B21">
        <w:t>–</w:t>
      </w:r>
      <w:r>
        <w:t xml:space="preserve"> </w:t>
      </w:r>
      <w:r w:rsidRPr="00D20116">
        <w:rPr>
          <w:lang w:eastAsia="en-US"/>
        </w:rPr>
        <w:t xml:space="preserve">będzie </w:t>
      </w:r>
      <w:r>
        <w:t>ono następowało obligatoryjnie</w:t>
      </w:r>
      <w:r w:rsidRPr="00E35B02">
        <w:t xml:space="preserve"> w przypadku niespełnienia wymagań określonych w art. 28a ust. 10 ustawy</w:t>
      </w:r>
      <w:r>
        <w:t xml:space="preserve"> oraz będzie mogło nastąpić</w:t>
      </w:r>
      <w:r w:rsidRPr="00D20116">
        <w:rPr>
          <w:lang w:eastAsia="en-US"/>
        </w:rPr>
        <w:t xml:space="preserve"> na wniosek uchwalony bezwzględną większością głosów przez członków stałych</w:t>
      </w:r>
      <w:r w:rsidRPr="00D20116" w:rsidDel="0054225D">
        <w:rPr>
          <w:lang w:eastAsia="en-US"/>
        </w:rPr>
        <w:t xml:space="preserve"> </w:t>
      </w:r>
      <w:r w:rsidRPr="00D20116">
        <w:rPr>
          <w:lang w:eastAsia="en-US"/>
        </w:rPr>
        <w:t>PKBWK w głosowaniu tajnym</w:t>
      </w:r>
      <w:r>
        <w:t>,</w:t>
      </w:r>
      <w:r w:rsidRPr="00D20116">
        <w:rPr>
          <w:lang w:eastAsia="en-US"/>
        </w:rPr>
        <w:t xml:space="preserve"> </w:t>
      </w:r>
      <w:r>
        <w:t>po zasięgnięciu opinii przewodniczącego Komisji</w:t>
      </w:r>
      <w:r w:rsidRPr="00D20116">
        <w:rPr>
          <w:lang w:eastAsia="en-US"/>
        </w:rPr>
        <w:t xml:space="preserve">. </w:t>
      </w:r>
      <w:r>
        <w:t>Odwołania członka stałego z funkcji przewodniczącego Komisji</w:t>
      </w:r>
      <w:r w:rsidRPr="00093FCE">
        <w:t xml:space="preserve"> będzie </w:t>
      </w:r>
      <w:r>
        <w:t xml:space="preserve">mógł dokonać minister właściwy do spraw wewnętrznych </w:t>
      </w:r>
      <w:r w:rsidRPr="00093FCE">
        <w:t>na wniosek uchwalony bezwzględną większością głosów przez członków stałych</w:t>
      </w:r>
      <w:r w:rsidRPr="00093FCE" w:rsidDel="0054225D">
        <w:t xml:space="preserve"> </w:t>
      </w:r>
      <w:r w:rsidRPr="00093FCE">
        <w:t>PKBWK w głosowaniu tajnym</w:t>
      </w:r>
      <w:r>
        <w:t xml:space="preserve"> (art. 28a ust. 9a). </w:t>
      </w:r>
      <w:r w:rsidRPr="00D20116">
        <w:rPr>
          <w:lang w:eastAsia="en-US"/>
        </w:rPr>
        <w:t>Z kolei członkowie doraźni będą wyznaczani przez przewodniczącego PKBWK z</w:t>
      </w:r>
      <w:r>
        <w:t> </w:t>
      </w:r>
      <w:r w:rsidRPr="00D20116">
        <w:rPr>
          <w:lang w:eastAsia="en-US"/>
        </w:rPr>
        <w:t xml:space="preserve">prowadzonej przez niego listy. </w:t>
      </w:r>
    </w:p>
    <w:p w:rsidR="00F64BC0" w:rsidRPr="00D20116" w:rsidRDefault="00F64BC0" w:rsidP="00F64BC0">
      <w:pPr>
        <w:pStyle w:val="NIEARTTEKSTtekstnieartykuowanynppodstprawnarozplubpreambua"/>
        <w:ind w:firstLine="0"/>
        <w:rPr>
          <w:lang w:eastAsia="en-US"/>
        </w:rPr>
      </w:pPr>
      <w:r w:rsidRPr="00D20116">
        <w:rPr>
          <w:lang w:eastAsia="en-US"/>
        </w:rPr>
        <w:lastRenderedPageBreak/>
        <w:t xml:space="preserve">Wzmocnieniu niezależności PKBWK od podmiotów rynku kolejowego służy również uzupełnienie katalogu określonych w art. 28a ust. 10 wymagań dla członka Komisji o generalny zakaz świadczenia pracy </w:t>
      </w:r>
      <w:r>
        <w:t xml:space="preserve">lub usług </w:t>
      </w:r>
      <w:r w:rsidRPr="00D20116">
        <w:rPr>
          <w:lang w:eastAsia="en-US"/>
        </w:rPr>
        <w:t xml:space="preserve">na rzecz zarządcy infrastruktury kolejowej, przewoźnika kolejowego lub użytkownika bocznicy kolejowej, przy  jednoczesnym uchyleniu w art. 28a ust. 15, który ustanawiał wyłącznie zakaz zatrudnienia u zarządcy lub przewoźnika kolejowego, których dotyczyło badane przez PKBWK zdarzenie.  </w:t>
      </w:r>
    </w:p>
    <w:p w:rsidR="00F64BC0" w:rsidRPr="00D20116" w:rsidRDefault="00F64BC0" w:rsidP="00F64BC0">
      <w:pPr>
        <w:pStyle w:val="NIEARTTEKSTtekstnieartykuowanynppodstprawnarozplubpreambua"/>
        <w:ind w:firstLine="0"/>
        <w:rPr>
          <w:lang w:eastAsia="en-US"/>
        </w:rPr>
      </w:pPr>
      <w:r>
        <w:t>Zgodnie z</w:t>
      </w:r>
      <w:r w:rsidRPr="00D20116">
        <w:rPr>
          <w:lang w:eastAsia="en-US"/>
        </w:rPr>
        <w:t xml:space="preserve"> projektowanym art. 28a ust. 11 ustawy rezygnacj</w:t>
      </w:r>
      <w:r>
        <w:t>a</w:t>
      </w:r>
      <w:r w:rsidRPr="00D20116">
        <w:rPr>
          <w:lang w:eastAsia="en-US"/>
        </w:rPr>
        <w:t xml:space="preserve"> z</w:t>
      </w:r>
      <w:r>
        <w:t> </w:t>
      </w:r>
      <w:r w:rsidRPr="00D20116">
        <w:rPr>
          <w:lang w:eastAsia="en-US"/>
        </w:rPr>
        <w:t xml:space="preserve">członkostwa w Komisji będzie </w:t>
      </w:r>
      <w:r>
        <w:t xml:space="preserve">składana ministrowi właściwemu do spraw wewnętrznych po uprzednim powiadomieniu </w:t>
      </w:r>
      <w:r w:rsidRPr="00D20116">
        <w:rPr>
          <w:lang w:eastAsia="en-US"/>
        </w:rPr>
        <w:t>przewodnicząc</w:t>
      </w:r>
      <w:r>
        <w:t>ego</w:t>
      </w:r>
      <w:r w:rsidRPr="00D20116">
        <w:rPr>
          <w:lang w:eastAsia="en-US"/>
        </w:rPr>
        <w:t xml:space="preserve"> PKBWK. Definicja specjalisty z danego zakresu zawarta w art. 28a ust. 13 ustawy została rozszerzona o osoby z wykształceniem średnim, jednak posiadające co najmniej dziesięcioletnią praktykę zawodową w danej dziedzinie. Celem projektowanej zmiany jest wzmocnienie gwarancji niezależności organu PKBWK przez doprecyzowanie wymagań dotyczących kwalifikacji członków Komisji, w szczególności obowiązku spełnienia warunku posiadania praktyki</w:t>
      </w:r>
      <w:r w:rsidR="006C3B21">
        <w:rPr>
          <w:lang w:eastAsia="en-US"/>
        </w:rPr>
        <w:t>,</w:t>
      </w:r>
      <w:r w:rsidRPr="00D20116">
        <w:rPr>
          <w:lang w:eastAsia="en-US"/>
        </w:rPr>
        <w:t xml:space="preserve"> odnosząc go jednoznacznie do praktyki zawodowej. Dotychczasowe brzmienie przepisu wywoływało w tym zakresie wątpliwości.</w:t>
      </w:r>
    </w:p>
    <w:p w:rsidR="00F64BC0" w:rsidRPr="00D20116" w:rsidRDefault="00F64BC0" w:rsidP="00F64BC0">
      <w:pPr>
        <w:pStyle w:val="NIEARTTEKSTtekstnieartykuowanynppodstprawnarozplubpreambua"/>
        <w:ind w:firstLine="0"/>
        <w:rPr>
          <w:lang w:eastAsia="en-US"/>
        </w:rPr>
      </w:pPr>
      <w:r w:rsidRPr="00D20116">
        <w:rPr>
          <w:lang w:eastAsia="en-US"/>
        </w:rPr>
        <w:t>Nowe brzmienie art. 28b ust. 2 ustawy wydłuża maksymalny okres rozliczeniowy czasu pracy członków stałych PKBWK do 4 miesięcy. W ramach wzmacniania pozycji PKBWK uprawnienia do oddelegowania członka PKBWK do wykonywania zadań poza jego stałym miejscem ich wykonywania PKBWK zostały przeniesione z kompetencji ministra właściwego do spraw transportu do kompetencji przewodniczącego PKBWK (nowe brzmienie art. 28b ust. 10 ustawy).</w:t>
      </w:r>
    </w:p>
    <w:p w:rsidR="00F64BC0" w:rsidRDefault="00F64BC0" w:rsidP="00F64BC0">
      <w:pPr>
        <w:pStyle w:val="NIEARTTEKSTtekstnieartykuowanynppodstprawnarozplubpreambua"/>
      </w:pPr>
      <w:r w:rsidRPr="00D20116">
        <w:rPr>
          <w:lang w:eastAsia="en-US"/>
        </w:rPr>
        <w:t>Znowelizowany art. 28d ustawy bezpośrednio odnosi się do istoty projektu</w:t>
      </w:r>
      <w:r w:rsidR="006C3B21">
        <w:rPr>
          <w:lang w:eastAsia="en-US"/>
        </w:rPr>
        <w:t>,</w:t>
      </w:r>
      <w:r w:rsidRPr="00D20116">
        <w:rPr>
          <w:lang w:eastAsia="en-US"/>
        </w:rPr>
        <w:t xml:space="preserve"> tj. do wyłączenia PKBWK ze struktury organizacyjnej urzędu obsługującego ministra właściwego do spraw transportu, i włączeniu jej do struktury organizacyjnej urzędu obsługującego ministra właściwego do spraw wewnętrznych. Minister właściwy do spraw wewnętrznych z</w:t>
      </w:r>
      <w:r>
        <w:t> </w:t>
      </w:r>
      <w:r w:rsidRPr="00D20116">
        <w:rPr>
          <w:lang w:eastAsia="en-US"/>
        </w:rPr>
        <w:t>budżetu państwa zapewni środki na prowadzenie działalności PKBWK i jej obsługę oraz określi w drodze zarządzenia regulamin jej działania. Aktualnie finansowanie PKBWK odbywa się z budżetu państwa z części 39 – Transport, ze środków, których dysponentem jest minister właściwy do spraw transportu. W związku z projektowanymi zmianami środki na funkcjonowanie PKBWK zostaną przesunięte w ramach budżetu państwa do części 42 – Sprawy wewnętrzne, którymi będzie dysponował minister właściwy do spraw wewnętrznych.</w:t>
      </w:r>
    </w:p>
    <w:p w:rsidR="00F64BC0" w:rsidRPr="004B3EC4" w:rsidRDefault="00F64BC0" w:rsidP="00F64BC0">
      <w:pPr>
        <w:pStyle w:val="NIEARTTEKSTtekstnieartykuowanynppodstprawnarozplubpreambua"/>
        <w:ind w:firstLine="0"/>
      </w:pPr>
      <w:r w:rsidRPr="004B3EC4">
        <w:lastRenderedPageBreak/>
        <w:t>W ramach przeniesienia PKBWK do struktury Ministerstwa Spraw Wewnętrznych i</w:t>
      </w:r>
      <w:r>
        <w:t> </w:t>
      </w:r>
      <w:r w:rsidRPr="004B3EC4">
        <w:t>Administracji przeniesiony zostanie jeden etat przypisany do obsługi finansowo-księgowej PKBWK.</w:t>
      </w:r>
      <w:r>
        <w:t xml:space="preserve"> </w:t>
      </w:r>
      <w:r w:rsidRPr="004B3EC4">
        <w:t xml:space="preserve">Wysokość środków dotyczących obsługi PKBWK przenoszonych z części 39 – Transport do części 42 – Sprawy Wewnętrzne, została powiększona o kwotę niezbędną do zapłaty przez MSWiA kosztów wynajmu pomieszczeń dla PKBWK. </w:t>
      </w:r>
      <w:r>
        <w:t xml:space="preserve">Pomieszczenia niezbędne do funkcjonowania PKBWK zostaną zapewnione </w:t>
      </w:r>
      <w:r w:rsidRPr="004B3EC4">
        <w:t>w siedzibie Ministerstwa Infrastruktury.</w:t>
      </w:r>
    </w:p>
    <w:p w:rsidR="00F64BC0" w:rsidRPr="00B0150A" w:rsidRDefault="00F64BC0" w:rsidP="00F64BC0">
      <w:pPr>
        <w:pStyle w:val="NIEARTTEKSTtekstnieartykuowanynppodstprawnarozplubpreambua"/>
        <w:ind w:firstLine="0"/>
      </w:pPr>
      <w:r w:rsidRPr="00D20116">
        <w:rPr>
          <w:lang w:eastAsia="en-US"/>
        </w:rPr>
        <w:t>Zmiany w zakresie art. 28e ustawy mają charakter porządkujący i precyzujący kwestię prowadzenia postępowań przez PKBWK</w:t>
      </w:r>
      <w:r>
        <w:t>, w tym dotyczą uwzględnienia użytkowników bocznicy kolejowej w kręgu podmiotów, których wnioski są brane pod uwagę przy podejmowaniu decyzji o podjęciu postępowania przez przewodniczącego PKBWK</w:t>
      </w:r>
      <w:r w:rsidRPr="00D20116">
        <w:rPr>
          <w:lang w:eastAsia="en-US"/>
        </w:rPr>
        <w:t>.</w:t>
      </w:r>
      <w:r>
        <w:t xml:space="preserve"> Konsekwencją tej zmiany jest wprowadzenie nowego brzmienia art. 28k ust. 2, które uwzględnia użytkowników bocznicy kolejowej wśród podmiotów, którym są przekazywane informacje o </w:t>
      </w:r>
      <w:r w:rsidRPr="005E58D3">
        <w:t>prowadzonym postępowaniu i jego postępach</w:t>
      </w:r>
      <w:r>
        <w:t>.</w:t>
      </w:r>
    </w:p>
    <w:p w:rsidR="00F64BC0" w:rsidRPr="00D20116" w:rsidRDefault="00F64BC0" w:rsidP="00F64BC0">
      <w:pPr>
        <w:pStyle w:val="NIEARTTEKSTtekstnieartykuowanynppodstprawnarozplubpreambua"/>
        <w:ind w:firstLine="0"/>
        <w:rPr>
          <w:lang w:eastAsia="en-US"/>
        </w:rPr>
      </w:pPr>
      <w:r w:rsidRPr="00D20116">
        <w:rPr>
          <w:lang w:eastAsia="en-US"/>
        </w:rPr>
        <w:t xml:space="preserve">Dodany ust. 1a w art. 28l wprowadza nowy </w:t>
      </w:r>
      <w:r>
        <w:t>rodzaj zaleceń</w:t>
      </w:r>
      <w:r w:rsidRPr="00D20116">
        <w:rPr>
          <w:lang w:eastAsia="en-US"/>
        </w:rPr>
        <w:t>, któr</w:t>
      </w:r>
      <w:r>
        <w:t>e</w:t>
      </w:r>
      <w:r w:rsidRPr="00D20116">
        <w:rPr>
          <w:lang w:eastAsia="en-US"/>
        </w:rPr>
        <w:t xml:space="preserve"> będ</w:t>
      </w:r>
      <w:r>
        <w:t>ą</w:t>
      </w:r>
      <w:r w:rsidRPr="00D20116">
        <w:rPr>
          <w:lang w:eastAsia="en-US"/>
        </w:rPr>
        <w:t xml:space="preserve"> m</w:t>
      </w:r>
      <w:r>
        <w:t>o</w:t>
      </w:r>
      <w:r w:rsidRPr="00D20116">
        <w:rPr>
          <w:lang w:eastAsia="en-US"/>
        </w:rPr>
        <w:t>gł</w:t>
      </w:r>
      <w:r>
        <w:t>y</w:t>
      </w:r>
      <w:r w:rsidRPr="00D20116">
        <w:rPr>
          <w:lang w:eastAsia="en-US"/>
        </w:rPr>
        <w:t xml:space="preserve"> </w:t>
      </w:r>
      <w:r>
        <w:t>być</w:t>
      </w:r>
      <w:r w:rsidRPr="00D20116">
        <w:rPr>
          <w:lang w:eastAsia="en-US"/>
        </w:rPr>
        <w:t xml:space="preserve"> </w:t>
      </w:r>
      <w:r>
        <w:t>wydawane</w:t>
      </w:r>
      <w:r w:rsidRPr="00D20116">
        <w:rPr>
          <w:lang w:eastAsia="en-US"/>
        </w:rPr>
        <w:t xml:space="preserve"> w trakcie prowadzonego postępowania w przypadku konieczności niezwłocznego wydania zalecenia w zakresie poprawy bezpieczeństwa.</w:t>
      </w:r>
      <w:r>
        <w:t xml:space="preserve"> Wydane zalecenia będą m.in. kierowane do Prezesa UTK w celu ich ewentualnego wykorzystania.</w:t>
      </w:r>
    </w:p>
    <w:p w:rsidR="00F64BC0" w:rsidRPr="00D20116" w:rsidRDefault="00F64BC0" w:rsidP="00F64BC0">
      <w:pPr>
        <w:pStyle w:val="NIEARTTEKSTtekstnieartykuowanynppodstprawnarozplubpreambua"/>
        <w:ind w:firstLine="0"/>
        <w:rPr>
          <w:lang w:eastAsia="en-US"/>
        </w:rPr>
      </w:pPr>
      <w:r w:rsidRPr="00D20116">
        <w:rPr>
          <w:lang w:eastAsia="en-US"/>
        </w:rPr>
        <w:t xml:space="preserve">Proponowane jest również uchylenie art. 28o ustawy, którego skutkiem będzie objęcie postępowaniami prowadzonymi przez PKBWK także zarządców infrastruktury kolejowej, o której mowa w </w:t>
      </w:r>
      <w:hyperlink r:id="rId7" w:history="1">
        <w:r w:rsidRPr="00D20116">
          <w:rPr>
            <w:lang w:eastAsia="en-US"/>
          </w:rPr>
          <w:t>art. 17d ust. 2 pkt 1 lit. b</w:t>
        </w:r>
      </w:hyperlink>
      <w:r w:rsidRPr="00D20116">
        <w:rPr>
          <w:lang w:eastAsia="en-US"/>
        </w:rPr>
        <w:t xml:space="preserve"> tiret 2 i lit. c ustawy, oraz przewoźników kolejowych wykonujących przewozy wyłącznie na tej infrastrukturze.</w:t>
      </w:r>
    </w:p>
    <w:p w:rsidR="00F64BC0" w:rsidRPr="00D20116" w:rsidRDefault="00F64BC0" w:rsidP="00F64BC0">
      <w:pPr>
        <w:pStyle w:val="NIEARTTEKSTtekstnieartykuowanynppodstprawnarozplubpreambua"/>
        <w:ind w:firstLine="0"/>
        <w:rPr>
          <w:lang w:eastAsia="en-US"/>
        </w:rPr>
      </w:pPr>
      <w:r w:rsidRPr="00D20116">
        <w:rPr>
          <w:lang w:eastAsia="en-US"/>
        </w:rPr>
        <w:t>Przepisy dostosowujące i przejściowe zawarte w projekcie uregulują szereg kwestii związanych ze zmianami organizacyjnymi w PKBWK w sposób, który zminimalizuje niekorzystny wpływ tych zmian na sprawność działań podejmowanych przez PKBWK i prowadzonych przez nią postępowań. Oznacza to, że dotychczasowa PKBWK działająca przy ministrze właściwym do spraw transportu stanie się PKBWK, o której mowa w</w:t>
      </w:r>
      <w:r>
        <w:t> </w:t>
      </w:r>
      <w:r w:rsidRPr="00D20116">
        <w:rPr>
          <w:lang w:eastAsia="en-US"/>
        </w:rPr>
        <w:t>znowelizowanych przepisach bez konieczności powoływania nowej Komisji. To samo będzie dotyczyło jej członków stałych, w tym członków pełniących funkcje przewodniczącego, zastępców przewodniczącego i sekretarza PKBWK, oraz członka korpusu służby cywilnej realizującego zadania w zakresie obsługi PKBWK (art. 2 projektu). W</w:t>
      </w:r>
      <w:r>
        <w:t> </w:t>
      </w:r>
      <w:r w:rsidRPr="00D20116">
        <w:rPr>
          <w:lang w:eastAsia="en-US"/>
        </w:rPr>
        <w:t xml:space="preserve">projekcie przewidziano, że odpowiednio minister właściwy do spraw wewnętrznych albo obsługujący go urząd: przejmie należności i zobowiązania ministra właściwego do spraw </w:t>
      </w:r>
      <w:r w:rsidRPr="00D20116">
        <w:rPr>
          <w:lang w:eastAsia="en-US"/>
        </w:rPr>
        <w:lastRenderedPageBreak/>
        <w:t>transportu albo obsługującego go urzędu dotyczące funkcjonowania dotychczasowej PKBWK, wstąpi w prawa i obowiązki dotyczące funkcjonowania dotychczasowej PKBWK w miejsce ministra właściwego do spraw transportu albo obsługującego go urzędu, jak również stanie się  stroną umów i porozumień zawartych przez ministra właściwego do spraw transportu albo obsługujący go urząd dotyczących funkcjonowania dotychczasowej PKBWK (art. 4 projektu).</w:t>
      </w:r>
    </w:p>
    <w:p w:rsidR="00F64BC0" w:rsidRPr="00D20116" w:rsidRDefault="00F64BC0" w:rsidP="00F64BC0">
      <w:pPr>
        <w:pStyle w:val="NIEARTTEKSTtekstnieartykuowanynppodstprawnarozplubpreambua"/>
        <w:ind w:firstLine="0"/>
        <w:rPr>
          <w:lang w:eastAsia="en-US"/>
        </w:rPr>
      </w:pPr>
      <w:r w:rsidRPr="00D20116">
        <w:rPr>
          <w:lang w:eastAsia="en-US"/>
        </w:rPr>
        <w:t>W celu wykonania przepisów projektowanej ustawy Prezes Rady Ministrów dokona, w</w:t>
      </w:r>
      <w:r>
        <w:t> </w:t>
      </w:r>
      <w:r w:rsidRPr="00D20116">
        <w:rPr>
          <w:lang w:eastAsia="en-US"/>
        </w:rPr>
        <w:t xml:space="preserve">drodze rozporządzenia, przeniesienia planowanych wydatków budżetowych, w tym wynagrodzeń, między częściami, działami i rozdziałami budżetu państwa, z zachowaniem przeznaczenia środków publicznych wynikającego z ustawy budżetowej (art. 5 projektu), natomiast mienie ruchome używane przez członków dotychczasowej PKBWK do wykonywania ustawowych zadań PKBWK, będące w dyspozycji  ministra właściwego do spraw transportu będzie podlegało przekazaniu ministrowi właściwemu do spraw wewnętrznych na realizację zadań PKBWK (art. 6 projektu). W celu niezakłóconego prowadzenia postępowań wszczętych i niezakończonych przed dniem wejścia w życie projektowanej ustawy będą one dalej prowadzone przez PKBWK obsługiwaną przez ministra właściwego do spraw wewnętrznych (art. 7 projektu). </w:t>
      </w:r>
      <w:r>
        <w:t xml:space="preserve">Dotychczasowy akt wykonawczy określający zawartość raportu z postępowania zostanie zachowany w mocy, do czasu wydania nowego rozporządzenia w tym zakresie, jednak nie dłużej </w:t>
      </w:r>
      <w:r w:rsidR="006C3B21">
        <w:t xml:space="preserve">niż </w:t>
      </w:r>
      <w:r>
        <w:t xml:space="preserve">przez 12 miesięcy od dnia wejścia w życie ustawy (art. 9), ponadto PKBWK będzie działać w oparciu o dotychczasowy regulamin do czasu wydania zarządzenia określającego nowy regulamin przez ministra właściwego do spraw wewnętrznych, jednak nie dłużej niż </w:t>
      </w:r>
      <w:r w:rsidRPr="00093FCE">
        <w:t xml:space="preserve">przez </w:t>
      </w:r>
      <w:r>
        <w:t>3</w:t>
      </w:r>
      <w:r w:rsidRPr="00093FCE">
        <w:t xml:space="preserve"> miesi</w:t>
      </w:r>
      <w:r>
        <w:t>ą</w:t>
      </w:r>
      <w:r w:rsidRPr="00093FCE">
        <w:t>c</w:t>
      </w:r>
      <w:r>
        <w:t>e</w:t>
      </w:r>
      <w:r w:rsidRPr="00093FCE">
        <w:t xml:space="preserve"> od dnia wejścia w życie ustawy</w:t>
      </w:r>
      <w:r>
        <w:t>.</w:t>
      </w:r>
    </w:p>
    <w:p w:rsidR="00F64BC0" w:rsidRPr="00D20116" w:rsidRDefault="00F64BC0" w:rsidP="00F64BC0">
      <w:pPr>
        <w:pStyle w:val="NIEARTTEKSTtekstnieartykuowanynppodstprawnarozplubpreambua"/>
        <w:ind w:firstLine="0"/>
        <w:rPr>
          <w:lang w:eastAsia="en-US"/>
        </w:rPr>
      </w:pPr>
      <w:r w:rsidRPr="00D20116">
        <w:rPr>
          <w:lang w:eastAsia="en-US"/>
        </w:rPr>
        <w:t xml:space="preserve">W związku z koniecznością pilnego wykonania wyroku TSUE ustawa wejdzie w życie po upływie 14 dni </w:t>
      </w:r>
      <w:r>
        <w:t>od</w:t>
      </w:r>
      <w:r w:rsidRPr="00D20116">
        <w:rPr>
          <w:lang w:eastAsia="en-US"/>
        </w:rPr>
        <w:t xml:space="preserve"> dnia jej ogłoszenia</w:t>
      </w:r>
      <w:r>
        <w:t>, z wyjątkiem art. 3, który nakłada na d</w:t>
      </w:r>
      <w:r w:rsidRPr="005E58D3">
        <w:t>yrektor</w:t>
      </w:r>
      <w:r>
        <w:t>a</w:t>
      </w:r>
      <w:r w:rsidRPr="005E58D3">
        <w:t xml:space="preserve"> generaln</w:t>
      </w:r>
      <w:r>
        <w:t>ego</w:t>
      </w:r>
      <w:r w:rsidRPr="005E58D3">
        <w:t xml:space="preserve"> urzędu obsługującego ministra właściwego do spraw transportu </w:t>
      </w:r>
      <w:r>
        <w:t>obowiązek</w:t>
      </w:r>
      <w:r w:rsidRPr="005E58D3">
        <w:t xml:space="preserve"> </w:t>
      </w:r>
      <w:r>
        <w:t xml:space="preserve">powiadomienia, </w:t>
      </w:r>
      <w:r w:rsidRPr="005E58D3">
        <w:t xml:space="preserve">w terminie 14 dni od dnia ogłoszenia niniejszej ustawy, </w:t>
      </w:r>
      <w:r>
        <w:t>dotychczasowych członków stałych Komisji</w:t>
      </w:r>
      <w:r w:rsidRPr="00E031BE">
        <w:t xml:space="preserve"> </w:t>
      </w:r>
      <w:r>
        <w:t xml:space="preserve">oraz </w:t>
      </w:r>
      <w:r w:rsidRPr="00E031BE">
        <w:t>członk</w:t>
      </w:r>
      <w:r>
        <w:t>a</w:t>
      </w:r>
      <w:r w:rsidRPr="00E031BE">
        <w:t xml:space="preserve"> korpusu służby cywilnej zatrudnion</w:t>
      </w:r>
      <w:r>
        <w:t>ego</w:t>
      </w:r>
      <w:r w:rsidRPr="00E031BE">
        <w:t xml:space="preserve"> w urzędzie obsługującym ministra właściwego do spraw transportu, realizując</w:t>
      </w:r>
      <w:r>
        <w:t>ego</w:t>
      </w:r>
      <w:r w:rsidRPr="00E031BE">
        <w:t xml:space="preserve"> zadania w zakresie obsługi</w:t>
      </w:r>
      <w:r>
        <w:t xml:space="preserve"> PKBWK</w:t>
      </w:r>
      <w:r w:rsidRPr="005E58D3">
        <w:t>, o zmianach, jakie mają nastąpić w ramach ich stosunków pracy</w:t>
      </w:r>
      <w:r>
        <w:t>. Ustanowienie takiego terminu wejścia w życie art. 3 jest uzasadnione koniecznością jak najszybszego poinformowania ww. osób o zmianach w ramach ich stosunków i nie narusza zasad demokratycznego państwa prawnego.</w:t>
      </w:r>
    </w:p>
    <w:p w:rsidR="00F64BC0" w:rsidRPr="00D20116" w:rsidRDefault="00F64BC0" w:rsidP="00F64BC0">
      <w:pPr>
        <w:pStyle w:val="NIEARTTEKSTtekstnieartykuowanynppodstprawnarozplubpreambua"/>
        <w:ind w:firstLine="0"/>
        <w:rPr>
          <w:lang w:eastAsia="en-US"/>
        </w:rPr>
      </w:pPr>
      <w:r w:rsidRPr="00D20116">
        <w:rPr>
          <w:lang w:eastAsia="en-US"/>
        </w:rPr>
        <w:lastRenderedPageBreak/>
        <w:t xml:space="preserve">Projekt ustawy został wpisany do Wykazu prac legislacyjnych i programowych Rady Ministrów pod </w:t>
      </w:r>
      <w:r w:rsidR="00B6564A">
        <w:rPr>
          <w:lang w:eastAsia="en-US"/>
        </w:rPr>
        <w:t>nr</w:t>
      </w:r>
      <w:r w:rsidRPr="00D20116">
        <w:rPr>
          <w:lang w:eastAsia="en-US"/>
        </w:rPr>
        <w:t xml:space="preserve"> UC155.</w:t>
      </w:r>
    </w:p>
    <w:p w:rsidR="00F64BC0" w:rsidRPr="00D20116" w:rsidRDefault="00F64BC0" w:rsidP="00F64BC0">
      <w:pPr>
        <w:pStyle w:val="NIEARTTEKSTtekstnieartykuowanynppodstprawnarozplubpreambua"/>
        <w:ind w:firstLine="0"/>
        <w:rPr>
          <w:lang w:eastAsia="en-US"/>
        </w:rPr>
      </w:pPr>
      <w:r w:rsidRPr="00D20116">
        <w:rPr>
          <w:lang w:eastAsia="en-US"/>
        </w:rPr>
        <w:t>Regulacje zawarte w projektowanej ustawie nie stanowią przepisów technicznych w</w:t>
      </w:r>
      <w:r>
        <w:t> </w:t>
      </w:r>
      <w:r w:rsidRPr="00D20116">
        <w:rPr>
          <w:lang w:eastAsia="en-US"/>
        </w:rPr>
        <w:t>rozumieniu rozporządzenia Rady Ministrów z dnia 23 grudnia 2002 r. w sprawie sposobu funkcjonowania krajowego systemu notyfikacji norm i aktów prawnych (Dz. U. poz. 2039, z</w:t>
      </w:r>
      <w:r>
        <w:t> </w:t>
      </w:r>
      <w:r w:rsidRPr="00D20116">
        <w:rPr>
          <w:lang w:eastAsia="en-US"/>
        </w:rPr>
        <w:t>późn. zm.), zatem nie podlega ona notyfikacji.</w:t>
      </w:r>
    </w:p>
    <w:p w:rsidR="00F64BC0" w:rsidRPr="00D20116" w:rsidRDefault="00F64BC0" w:rsidP="00F64BC0">
      <w:pPr>
        <w:pStyle w:val="NIEARTTEKSTtekstnieartykuowanynppodstprawnarozplubpreambua"/>
        <w:ind w:firstLine="0"/>
        <w:rPr>
          <w:lang w:eastAsia="en-US"/>
        </w:rPr>
      </w:pPr>
      <w:r w:rsidRPr="00D20116">
        <w:rPr>
          <w:lang w:eastAsia="en-US"/>
        </w:rPr>
        <w:t>Projekt ustawy jest zgodny z prawem Unii Europejskiej.</w:t>
      </w:r>
    </w:p>
    <w:p w:rsidR="00F64BC0" w:rsidRPr="00D20116" w:rsidRDefault="00F64BC0" w:rsidP="00F64BC0">
      <w:pPr>
        <w:pStyle w:val="NIEARTTEKSTtekstnieartykuowanynppodstprawnarozplubpreambua"/>
        <w:ind w:firstLine="0"/>
      </w:pPr>
      <w:r w:rsidRPr="00D20116">
        <w:t>Projekt nie wymaga przedstawienia właściwym instytucjom i organom Unii Europejskiej, w</w:t>
      </w:r>
      <w:r>
        <w:t> </w:t>
      </w:r>
      <w:r w:rsidRPr="00D20116">
        <w:t>tym Europejskiemu Bankowi Centralnemu, celem uzyskania opinii, dokonania konsultacji albo uzgodnienia projektu.</w:t>
      </w:r>
    </w:p>
    <w:p w:rsidR="00F64BC0" w:rsidRPr="00D20116" w:rsidRDefault="00F64BC0" w:rsidP="00F64BC0">
      <w:pPr>
        <w:pStyle w:val="NIEARTTEKSTtekstnieartykuowanynppodstprawnarozplubpreambua"/>
        <w:ind w:firstLine="0"/>
      </w:pPr>
      <w:r w:rsidRPr="00D20116">
        <w:t xml:space="preserve">Projektowane przepisy nie wpływają na </w:t>
      </w:r>
      <w:r w:rsidRPr="00D20116">
        <w:rPr>
          <w:lang w:eastAsia="en-US"/>
        </w:rPr>
        <w:t>mikroprzedsiębiorców, małych i średnich przedsiębiorców</w:t>
      </w:r>
      <w:r w:rsidRPr="00D20116">
        <w:t>.</w:t>
      </w:r>
    </w:p>
    <w:p w:rsidR="00F64BC0" w:rsidRPr="00D20116" w:rsidRDefault="00F64BC0" w:rsidP="00F64BC0">
      <w:pPr>
        <w:pStyle w:val="NIEARTTEKSTtekstnieartykuowanynppodstprawnarozplubpreambua"/>
        <w:ind w:firstLine="0"/>
        <w:rPr>
          <w:lang w:eastAsia="en-US"/>
        </w:rPr>
      </w:pPr>
      <w:r w:rsidRPr="00D20116">
        <w:rPr>
          <w:lang w:eastAsia="en-US"/>
        </w:rPr>
        <w:t xml:space="preserve">Zgodnie z § 52 uchwały </w:t>
      </w:r>
      <w:r w:rsidR="00B6564A">
        <w:rPr>
          <w:lang w:eastAsia="en-US"/>
        </w:rPr>
        <w:t>n</w:t>
      </w:r>
      <w:r w:rsidRPr="00D20116">
        <w:rPr>
          <w:lang w:eastAsia="en-US"/>
        </w:rPr>
        <w:t xml:space="preserve">r 190 Rady Ministrów z dnia 29 października 2013 r. – Regulamin pracy Rady Ministrów (M.P. z 2016 r. poz. 1006, z późn. zm.) projekt ustawy </w:t>
      </w:r>
      <w:r>
        <w:t>został</w:t>
      </w:r>
      <w:r w:rsidRPr="00D20116">
        <w:rPr>
          <w:lang w:eastAsia="en-US"/>
        </w:rPr>
        <w:t xml:space="preserve"> udostępniony w Biuletynie Informacji Publicznej, na stronie podmiotowej Rządowego Centrum Legislacji, w serwisie Rządowy Proces Legislacyjny.</w:t>
      </w:r>
    </w:p>
    <w:sectPr w:rsidR="00F64BC0" w:rsidRPr="00D20116" w:rsidSect="00727934">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8F2" w:rsidRDefault="00CF08F2" w:rsidP="009D78F9">
      <w:pPr>
        <w:spacing w:after="0" w:line="240" w:lineRule="auto"/>
      </w:pPr>
      <w:r>
        <w:separator/>
      </w:r>
    </w:p>
  </w:endnote>
  <w:endnote w:type="continuationSeparator" w:id="0">
    <w:p w:rsidR="00CF08F2" w:rsidRDefault="00CF08F2" w:rsidP="009D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9441108"/>
      <w:docPartObj>
        <w:docPartGallery w:val="Page Numbers (Bottom of Page)"/>
        <w:docPartUnique/>
      </w:docPartObj>
    </w:sdtPr>
    <w:sdtEndPr>
      <w:rPr>
        <w:rFonts w:ascii="Times New Roman" w:hAnsi="Times New Roman" w:cs="Times New Roman"/>
        <w:sz w:val="24"/>
        <w:szCs w:val="24"/>
      </w:rPr>
    </w:sdtEndPr>
    <w:sdtContent>
      <w:p w:rsidR="00392C21" w:rsidRPr="00392C21" w:rsidRDefault="00392C21" w:rsidP="00392C21">
        <w:pPr>
          <w:pStyle w:val="Stopka"/>
          <w:jc w:val="center"/>
          <w:rPr>
            <w:rFonts w:ascii="Times New Roman" w:hAnsi="Times New Roman" w:cs="Times New Roman"/>
            <w:sz w:val="24"/>
            <w:szCs w:val="24"/>
          </w:rPr>
        </w:pPr>
        <w:r w:rsidRPr="00392C21">
          <w:rPr>
            <w:rFonts w:ascii="Times New Roman" w:hAnsi="Times New Roman" w:cs="Times New Roman"/>
            <w:sz w:val="24"/>
            <w:szCs w:val="24"/>
          </w:rPr>
          <w:fldChar w:fldCharType="begin"/>
        </w:r>
        <w:r w:rsidRPr="00392C21">
          <w:rPr>
            <w:rFonts w:ascii="Times New Roman" w:hAnsi="Times New Roman" w:cs="Times New Roman"/>
            <w:sz w:val="24"/>
            <w:szCs w:val="24"/>
          </w:rPr>
          <w:instrText>PAGE   \* MERGEFORMAT</w:instrText>
        </w:r>
        <w:r w:rsidRPr="00392C21">
          <w:rPr>
            <w:rFonts w:ascii="Times New Roman" w:hAnsi="Times New Roman" w:cs="Times New Roman"/>
            <w:sz w:val="24"/>
            <w:szCs w:val="24"/>
          </w:rPr>
          <w:fldChar w:fldCharType="separate"/>
        </w:r>
        <w:r w:rsidR="00A37881">
          <w:rPr>
            <w:rFonts w:ascii="Times New Roman" w:hAnsi="Times New Roman" w:cs="Times New Roman"/>
            <w:noProof/>
            <w:sz w:val="24"/>
            <w:szCs w:val="24"/>
          </w:rPr>
          <w:t>2</w:t>
        </w:r>
        <w:r w:rsidRPr="00392C21">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8F2" w:rsidRDefault="00CF08F2" w:rsidP="009D78F9">
      <w:pPr>
        <w:spacing w:after="0" w:line="240" w:lineRule="auto"/>
      </w:pPr>
      <w:r>
        <w:separator/>
      </w:r>
    </w:p>
  </w:footnote>
  <w:footnote w:type="continuationSeparator" w:id="0">
    <w:p w:rsidR="00CF08F2" w:rsidRDefault="00CF08F2" w:rsidP="009D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41EA2"/>
    <w:multiLevelType w:val="multilevel"/>
    <w:tmpl w:val="0000000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46254F"/>
    <w:multiLevelType w:val="hybridMultilevel"/>
    <w:tmpl w:val="20CA30D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17869C6"/>
    <w:multiLevelType w:val="hybridMultilevel"/>
    <w:tmpl w:val="4E9AD3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E3D318B"/>
    <w:multiLevelType w:val="hybridMultilevel"/>
    <w:tmpl w:val="0D7E1CE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1" w15:restartNumberingAfterBreak="0">
    <w:nsid w:val="245A51BA"/>
    <w:multiLevelType w:val="hybridMultilevel"/>
    <w:tmpl w:val="4970AB06"/>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C23FD6"/>
    <w:multiLevelType w:val="hybridMultilevel"/>
    <w:tmpl w:val="8048DF9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16"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17" w15:restartNumberingAfterBreak="0">
    <w:nsid w:val="3F4C0EBE"/>
    <w:multiLevelType w:val="multilevel"/>
    <w:tmpl w:val="7C6E0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2B5719"/>
    <w:multiLevelType w:val="hybridMultilevel"/>
    <w:tmpl w:val="5CD618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1"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2" w15:restartNumberingAfterBreak="0">
    <w:nsid w:val="57D5579E"/>
    <w:multiLevelType w:val="hybridMultilevel"/>
    <w:tmpl w:val="0AD2698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24"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26" w15:restartNumberingAfterBreak="0">
    <w:nsid w:val="605729A9"/>
    <w:multiLevelType w:val="hybridMultilevel"/>
    <w:tmpl w:val="E06E7A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29"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70CF7D78"/>
    <w:multiLevelType w:val="hybridMultilevel"/>
    <w:tmpl w:val="EC5C073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num w:numId="1">
    <w:abstractNumId w:val="22"/>
  </w:num>
  <w:num w:numId="2">
    <w:abstractNumId w:val="14"/>
  </w:num>
  <w:num w:numId="3">
    <w:abstractNumId w:val="7"/>
  </w:num>
  <w:num w:numId="4">
    <w:abstractNumId w:val="1"/>
  </w:num>
  <w:num w:numId="5">
    <w:abstractNumId w:val="27"/>
  </w:num>
  <w:num w:numId="6">
    <w:abstractNumId w:val="2"/>
  </w:num>
  <w:num w:numId="7">
    <w:abstractNumId w:val="12"/>
  </w:num>
  <w:num w:numId="8">
    <w:abstractNumId w:val="19"/>
  </w:num>
  <w:num w:numId="9">
    <w:abstractNumId w:val="8"/>
  </w:num>
  <w:num w:numId="10">
    <w:abstractNumId w:val="21"/>
  </w:num>
  <w:num w:numId="11">
    <w:abstractNumId w:val="16"/>
  </w:num>
  <w:num w:numId="12">
    <w:abstractNumId w:val="20"/>
  </w:num>
  <w:num w:numId="13">
    <w:abstractNumId w:val="5"/>
  </w:num>
  <w:num w:numId="14">
    <w:abstractNumId w:val="15"/>
  </w:num>
  <w:num w:numId="15">
    <w:abstractNumId w:val="28"/>
  </w:num>
  <w:num w:numId="16">
    <w:abstractNumId w:val="23"/>
  </w:num>
  <w:num w:numId="17">
    <w:abstractNumId w:val="25"/>
  </w:num>
  <w:num w:numId="18">
    <w:abstractNumId w:val="9"/>
  </w:num>
  <w:num w:numId="19">
    <w:abstractNumId w:val="29"/>
  </w:num>
  <w:num w:numId="20">
    <w:abstractNumId w:val="31"/>
  </w:num>
  <w:num w:numId="21">
    <w:abstractNumId w:val="24"/>
  </w:num>
  <w:num w:numId="22">
    <w:abstractNumId w:val="10"/>
  </w:num>
  <w:num w:numId="23">
    <w:abstractNumId w:val="17"/>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num>
  <w:num w:numId="26">
    <w:abstractNumId w:val="13"/>
  </w:num>
  <w:num w:numId="27">
    <w:abstractNumId w:val="11"/>
  </w:num>
  <w:num w:numId="28">
    <w:abstractNumId w:val="26"/>
  </w:num>
  <w:num w:numId="29">
    <w:abstractNumId w:val="4"/>
  </w:num>
  <w:num w:numId="30">
    <w:abstractNumId w:val="6"/>
  </w:num>
  <w:num w:numId="31">
    <w:abstractNumId w:val="30"/>
  </w:num>
  <w:num w:numId="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895"/>
    <w:rsid w:val="00021B8A"/>
    <w:rsid w:val="00056E79"/>
    <w:rsid w:val="001B3166"/>
    <w:rsid w:val="00236955"/>
    <w:rsid w:val="002D3299"/>
    <w:rsid w:val="00392C21"/>
    <w:rsid w:val="003938F7"/>
    <w:rsid w:val="003F6C95"/>
    <w:rsid w:val="00445210"/>
    <w:rsid w:val="00453BA3"/>
    <w:rsid w:val="004A2B6D"/>
    <w:rsid w:val="004A37A6"/>
    <w:rsid w:val="004E0A95"/>
    <w:rsid w:val="004E2EED"/>
    <w:rsid w:val="004F3862"/>
    <w:rsid w:val="005F249D"/>
    <w:rsid w:val="005F4005"/>
    <w:rsid w:val="006466AC"/>
    <w:rsid w:val="006C3B21"/>
    <w:rsid w:val="00725B90"/>
    <w:rsid w:val="00726F0A"/>
    <w:rsid w:val="00727934"/>
    <w:rsid w:val="007455B5"/>
    <w:rsid w:val="007A3A37"/>
    <w:rsid w:val="007E26CA"/>
    <w:rsid w:val="00867028"/>
    <w:rsid w:val="00874676"/>
    <w:rsid w:val="00877B10"/>
    <w:rsid w:val="00882207"/>
    <w:rsid w:val="00887DB4"/>
    <w:rsid w:val="008D1573"/>
    <w:rsid w:val="008F6235"/>
    <w:rsid w:val="009D78F9"/>
    <w:rsid w:val="009E788D"/>
    <w:rsid w:val="009F03C5"/>
    <w:rsid w:val="00A37881"/>
    <w:rsid w:val="00AB053F"/>
    <w:rsid w:val="00AD453B"/>
    <w:rsid w:val="00B6564A"/>
    <w:rsid w:val="00C04DCD"/>
    <w:rsid w:val="00CF08F2"/>
    <w:rsid w:val="00D033A0"/>
    <w:rsid w:val="00D03895"/>
    <w:rsid w:val="00DF4048"/>
    <w:rsid w:val="00DF5F5A"/>
    <w:rsid w:val="00EE2731"/>
    <w:rsid w:val="00F64BC0"/>
    <w:rsid w:val="00F736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D10423-55AE-48AC-9FF0-E5D35008F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CF08F2"/>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semiHidden/>
    <w:unhideWhenUsed/>
    <w:qFormat/>
    <w:rsid w:val="00CF08F2"/>
    <w:pPr>
      <w:keepNext/>
      <w:spacing w:before="240" w:after="60"/>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CF08F2"/>
    <w:pPr>
      <w:keepNext/>
      <w:spacing w:before="240" w:after="60" w:line="240" w:lineRule="auto"/>
      <w:outlineLvl w:val="2"/>
    </w:pPr>
    <w:rPr>
      <w:rFonts w:ascii="Arial" w:eastAsia="Times New Roman" w:hAnsi="Arial" w:cs="Arial"/>
      <w:b/>
      <w:bCs/>
      <w:sz w:val="26"/>
      <w:szCs w:val="26"/>
      <w:lang w:eastAsia="pl-PL"/>
    </w:rPr>
  </w:style>
  <w:style w:type="paragraph" w:styleId="Nagwek6">
    <w:name w:val="heading 6"/>
    <w:basedOn w:val="Normalny"/>
    <w:next w:val="Normalny"/>
    <w:link w:val="Nagwek6Znak"/>
    <w:uiPriority w:val="9"/>
    <w:semiHidden/>
    <w:unhideWhenUsed/>
    <w:qFormat/>
    <w:rsid w:val="00392C21"/>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ARTartustawynprozporzdzenia">
    <w:name w:val="ART(§) – art. ustawy (§ np. rozporządzenia)"/>
    <w:uiPriority w:val="11"/>
    <w:qFormat/>
    <w:rsid w:val="005F400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F4005"/>
    <w:rPr>
      <w:bCs/>
    </w:rPr>
  </w:style>
  <w:style w:type="paragraph" w:customStyle="1" w:styleId="PKTpunkt">
    <w:name w:val="PKT – punkt"/>
    <w:uiPriority w:val="13"/>
    <w:qFormat/>
    <w:rsid w:val="005F4005"/>
    <w:pPr>
      <w:spacing w:after="0" w:line="360" w:lineRule="auto"/>
      <w:ind w:left="510" w:hanging="510"/>
      <w:jc w:val="both"/>
    </w:pPr>
    <w:rPr>
      <w:rFonts w:ascii="Times" w:eastAsiaTheme="minorEastAsia" w:hAnsi="Times" w:cs="Arial"/>
      <w:bCs/>
      <w:sz w:val="24"/>
      <w:szCs w:val="20"/>
      <w:lang w:eastAsia="pl-PL"/>
    </w:rPr>
  </w:style>
  <w:style w:type="paragraph" w:styleId="Nagwek">
    <w:name w:val="header"/>
    <w:basedOn w:val="Normalny"/>
    <w:link w:val="NagwekZnak"/>
    <w:uiPriority w:val="99"/>
    <w:unhideWhenUsed/>
    <w:rsid w:val="009D78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D78F9"/>
  </w:style>
  <w:style w:type="paragraph" w:styleId="Stopka">
    <w:name w:val="footer"/>
    <w:basedOn w:val="Normalny"/>
    <w:link w:val="StopkaZnak"/>
    <w:uiPriority w:val="99"/>
    <w:unhideWhenUsed/>
    <w:rsid w:val="009D78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D78F9"/>
  </w:style>
  <w:style w:type="paragraph" w:styleId="Tekstprzypisudolnego">
    <w:name w:val="footnote text"/>
    <w:basedOn w:val="Normalny"/>
    <w:link w:val="TekstprzypisudolnegoZnak"/>
    <w:uiPriority w:val="99"/>
    <w:semiHidden/>
    <w:unhideWhenUsed/>
    <w:rsid w:val="00CF08F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8F2"/>
    <w:rPr>
      <w:sz w:val="20"/>
      <w:szCs w:val="20"/>
    </w:rPr>
  </w:style>
  <w:style w:type="character" w:styleId="Odwoanieprzypisudolnego">
    <w:name w:val="footnote reference"/>
    <w:uiPriority w:val="99"/>
    <w:semiHidden/>
    <w:unhideWhenUsed/>
    <w:rsid w:val="00CF08F2"/>
    <w:rPr>
      <w:vertAlign w:val="superscript"/>
    </w:rPr>
  </w:style>
  <w:style w:type="character" w:customStyle="1" w:styleId="Nagwek1Znak">
    <w:name w:val="Nagłówek 1 Znak"/>
    <w:basedOn w:val="Domylnaczcionkaakapitu"/>
    <w:link w:val="Nagwek1"/>
    <w:rsid w:val="00CF08F2"/>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semiHidden/>
    <w:rsid w:val="00CF08F2"/>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CF08F2"/>
    <w:rPr>
      <w:rFonts w:ascii="Arial" w:eastAsia="Times New Roman" w:hAnsi="Arial" w:cs="Arial"/>
      <w:b/>
      <w:bCs/>
      <w:sz w:val="26"/>
      <w:szCs w:val="26"/>
      <w:lang w:eastAsia="pl-PL"/>
    </w:rPr>
  </w:style>
  <w:style w:type="numbering" w:customStyle="1" w:styleId="Bezlisty1">
    <w:name w:val="Bez listy1"/>
    <w:next w:val="Bezlisty"/>
    <w:uiPriority w:val="99"/>
    <w:semiHidden/>
    <w:unhideWhenUsed/>
    <w:rsid w:val="00CF08F2"/>
  </w:style>
  <w:style w:type="table" w:styleId="Tabela-Siatka">
    <w:name w:val="Table Grid"/>
    <w:basedOn w:val="Standardowy"/>
    <w:uiPriority w:val="99"/>
    <w:rsid w:val="00CF08F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CF08F2"/>
    <w:pPr>
      <w:spacing w:after="0" w:line="240" w:lineRule="auto"/>
    </w:pPr>
    <w:rPr>
      <w:rFonts w:ascii="Tahoma" w:eastAsia="Calibri" w:hAnsi="Tahoma" w:cs="Tahoma"/>
      <w:sz w:val="16"/>
      <w:szCs w:val="16"/>
    </w:rPr>
  </w:style>
  <w:style w:type="character" w:customStyle="1" w:styleId="TekstdymkaZnak">
    <w:name w:val="Tekst dymka Znak"/>
    <w:basedOn w:val="Domylnaczcionkaakapitu"/>
    <w:link w:val="Tekstdymka"/>
    <w:uiPriority w:val="99"/>
    <w:semiHidden/>
    <w:rsid w:val="00CF08F2"/>
    <w:rPr>
      <w:rFonts w:ascii="Tahoma" w:eastAsia="Calibri" w:hAnsi="Tahoma" w:cs="Tahoma"/>
      <w:sz w:val="16"/>
      <w:szCs w:val="16"/>
    </w:rPr>
  </w:style>
  <w:style w:type="paragraph" w:styleId="Tekstprzypisukocowego">
    <w:name w:val="endnote text"/>
    <w:basedOn w:val="Normalny"/>
    <w:link w:val="TekstprzypisukocowegoZnak"/>
    <w:uiPriority w:val="99"/>
    <w:semiHidden/>
    <w:unhideWhenUsed/>
    <w:rsid w:val="00CF08F2"/>
    <w:pPr>
      <w:spacing w:after="0" w:line="240" w:lineRule="auto"/>
    </w:pPr>
    <w:rPr>
      <w:rFonts w:ascii="Calibri" w:eastAsia="Calibri" w:hAnsi="Calibri" w:cs="Times New Roman"/>
      <w:sz w:val="20"/>
      <w:szCs w:val="20"/>
    </w:rPr>
  </w:style>
  <w:style w:type="character" w:customStyle="1" w:styleId="TekstprzypisukocowegoZnak">
    <w:name w:val="Tekst przypisu końcowego Znak"/>
    <w:basedOn w:val="Domylnaczcionkaakapitu"/>
    <w:link w:val="Tekstprzypisukocowego"/>
    <w:uiPriority w:val="99"/>
    <w:semiHidden/>
    <w:rsid w:val="00CF08F2"/>
    <w:rPr>
      <w:rFonts w:ascii="Calibri" w:eastAsia="Calibri" w:hAnsi="Calibri" w:cs="Times New Roman"/>
      <w:sz w:val="20"/>
      <w:szCs w:val="20"/>
    </w:rPr>
  </w:style>
  <w:style w:type="character" w:styleId="Odwoanieprzypisukocowego">
    <w:name w:val="endnote reference"/>
    <w:uiPriority w:val="99"/>
    <w:semiHidden/>
    <w:unhideWhenUsed/>
    <w:rsid w:val="00CF08F2"/>
    <w:rPr>
      <w:vertAlign w:val="superscript"/>
    </w:rPr>
  </w:style>
  <w:style w:type="paragraph" w:styleId="Akapitzlist">
    <w:name w:val="List Paragraph"/>
    <w:basedOn w:val="Normalny"/>
    <w:uiPriority w:val="34"/>
    <w:qFormat/>
    <w:rsid w:val="00CF08F2"/>
    <w:pPr>
      <w:spacing w:after="0"/>
      <w:ind w:left="720"/>
      <w:contextualSpacing/>
    </w:pPr>
    <w:rPr>
      <w:rFonts w:ascii="Calibri" w:eastAsia="Calibri" w:hAnsi="Calibri" w:cs="Times New Roman"/>
    </w:rPr>
  </w:style>
  <w:style w:type="character" w:styleId="Odwoaniedokomentarza">
    <w:name w:val="annotation reference"/>
    <w:uiPriority w:val="99"/>
    <w:semiHidden/>
    <w:unhideWhenUsed/>
    <w:rsid w:val="00CF08F2"/>
    <w:rPr>
      <w:sz w:val="16"/>
      <w:szCs w:val="16"/>
    </w:rPr>
  </w:style>
  <w:style w:type="paragraph" w:styleId="Tekstkomentarza">
    <w:name w:val="annotation text"/>
    <w:basedOn w:val="Normalny"/>
    <w:link w:val="TekstkomentarzaZnak"/>
    <w:uiPriority w:val="99"/>
    <w:semiHidden/>
    <w:unhideWhenUsed/>
    <w:rsid w:val="00CF08F2"/>
    <w:pPr>
      <w:spacing w:after="0"/>
    </w:pPr>
    <w:rPr>
      <w:rFonts w:ascii="Calibri" w:eastAsia="Calibri" w:hAnsi="Calibri" w:cs="Times New Roman"/>
      <w:sz w:val="20"/>
      <w:szCs w:val="20"/>
    </w:rPr>
  </w:style>
  <w:style w:type="character" w:customStyle="1" w:styleId="TekstkomentarzaZnak">
    <w:name w:val="Tekst komentarza Znak"/>
    <w:basedOn w:val="Domylnaczcionkaakapitu"/>
    <w:link w:val="Tekstkomentarza"/>
    <w:uiPriority w:val="99"/>
    <w:semiHidden/>
    <w:rsid w:val="00CF08F2"/>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CF08F2"/>
    <w:rPr>
      <w:b/>
      <w:bCs/>
    </w:rPr>
  </w:style>
  <w:style w:type="character" w:customStyle="1" w:styleId="TematkomentarzaZnak">
    <w:name w:val="Temat komentarza Znak"/>
    <w:basedOn w:val="TekstkomentarzaZnak"/>
    <w:link w:val="Tematkomentarza"/>
    <w:uiPriority w:val="99"/>
    <w:semiHidden/>
    <w:rsid w:val="00CF08F2"/>
    <w:rPr>
      <w:rFonts w:ascii="Calibri" w:eastAsia="Calibri" w:hAnsi="Calibri" w:cs="Times New Roman"/>
      <w:b/>
      <w:bCs/>
      <w:sz w:val="20"/>
      <w:szCs w:val="20"/>
    </w:rPr>
  </w:style>
  <w:style w:type="character" w:styleId="Hipercze">
    <w:name w:val="Hyperlink"/>
    <w:uiPriority w:val="99"/>
    <w:unhideWhenUsed/>
    <w:rsid w:val="00CF08F2"/>
    <w:rPr>
      <w:color w:val="0000FF"/>
      <w:u w:val="single"/>
    </w:rPr>
  </w:style>
  <w:style w:type="character" w:styleId="UyteHipercze">
    <w:name w:val="FollowedHyperlink"/>
    <w:uiPriority w:val="99"/>
    <w:semiHidden/>
    <w:unhideWhenUsed/>
    <w:rsid w:val="00CF08F2"/>
    <w:rPr>
      <w:color w:val="800080"/>
      <w:u w:val="single"/>
    </w:rPr>
  </w:style>
  <w:style w:type="paragraph" w:styleId="NormalnyWeb">
    <w:name w:val="Normal (Web)"/>
    <w:basedOn w:val="Normalny"/>
    <w:uiPriority w:val="99"/>
    <w:semiHidden/>
    <w:unhideWhenUsed/>
    <w:rsid w:val="00CF08F2"/>
    <w:pPr>
      <w:spacing w:before="100" w:beforeAutospacing="1" w:after="100" w:afterAutospacing="1" w:line="240" w:lineRule="auto"/>
    </w:pPr>
    <w:rPr>
      <w:rFonts w:ascii="Times New Roman" w:eastAsia="Times New Roman" w:hAnsi="Times New Roman" w:cs="Times New Roman"/>
      <w:sz w:val="20"/>
      <w:szCs w:val="20"/>
      <w:lang w:eastAsia="pl-PL"/>
    </w:rPr>
  </w:style>
  <w:style w:type="character" w:styleId="Pogrubienie">
    <w:name w:val="Strong"/>
    <w:uiPriority w:val="22"/>
    <w:qFormat/>
    <w:rsid w:val="00CF08F2"/>
    <w:rPr>
      <w:b/>
      <w:bCs/>
    </w:rPr>
  </w:style>
  <w:style w:type="table" w:styleId="Jasnecieniowanieakcent1">
    <w:name w:val="Light Shading Accent 1"/>
    <w:basedOn w:val="Standardowy"/>
    <w:uiPriority w:val="60"/>
    <w:rsid w:val="00CF08F2"/>
    <w:pPr>
      <w:spacing w:after="0" w:line="240" w:lineRule="auto"/>
    </w:pPr>
    <w:rPr>
      <w:rFonts w:ascii="Calibri" w:eastAsia="Calibri" w:hAnsi="Calibri" w:cs="Times New Roman"/>
      <w:color w:val="365F91"/>
      <w:sz w:val="20"/>
      <w:szCs w:val="20"/>
      <w:lang w:eastAsia="pl-PL"/>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hps">
    <w:name w:val="hps"/>
    <w:rsid w:val="00CF08F2"/>
  </w:style>
  <w:style w:type="character" w:customStyle="1" w:styleId="Nagwek6Znak">
    <w:name w:val="Nagłówek 6 Znak"/>
    <w:basedOn w:val="Domylnaczcionkaakapitu"/>
    <w:link w:val="Nagwek6"/>
    <w:uiPriority w:val="9"/>
    <w:semiHidden/>
    <w:rsid w:val="00392C21"/>
    <w:rPr>
      <w:rFonts w:asciiTheme="majorHAnsi" w:eastAsiaTheme="majorEastAsia" w:hAnsiTheme="majorHAnsi" w:cstheme="majorBidi"/>
      <w:i/>
      <w:iCs/>
      <w:color w:val="243F60" w:themeColor="accent1" w:themeShade="7F"/>
    </w:rPr>
  </w:style>
  <w:style w:type="paragraph" w:customStyle="1" w:styleId="OZNRODZAKTUtznustawalubrozporzdzenieiorganwydajcy">
    <w:name w:val="OZN_RODZ_AKTU – tzn. ustawa lub rozporządzenie i organ wydający"/>
    <w:next w:val="Normalny"/>
    <w:uiPriority w:val="5"/>
    <w:qFormat/>
    <w:rsid w:val="00C04DCD"/>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22438">
      <w:bodyDiv w:val="1"/>
      <w:marLeft w:val="0"/>
      <w:marRight w:val="0"/>
      <w:marTop w:val="0"/>
      <w:marBottom w:val="0"/>
      <w:divBdr>
        <w:top w:val="none" w:sz="0" w:space="0" w:color="auto"/>
        <w:left w:val="none" w:sz="0" w:space="0" w:color="auto"/>
        <w:bottom w:val="none" w:sz="0" w:space="0" w:color="auto"/>
        <w:right w:val="none" w:sz="0" w:space="0" w:color="auto"/>
      </w:divBdr>
    </w:div>
    <w:div w:id="442462933">
      <w:bodyDiv w:val="1"/>
      <w:marLeft w:val="0"/>
      <w:marRight w:val="0"/>
      <w:marTop w:val="0"/>
      <w:marBottom w:val="0"/>
      <w:divBdr>
        <w:top w:val="none" w:sz="0" w:space="0" w:color="auto"/>
        <w:left w:val="none" w:sz="0" w:space="0" w:color="auto"/>
        <w:bottom w:val="none" w:sz="0" w:space="0" w:color="auto"/>
        <w:right w:val="none" w:sz="0" w:space="0" w:color="auto"/>
      </w:divBdr>
    </w:div>
    <w:div w:id="689374087">
      <w:bodyDiv w:val="1"/>
      <w:marLeft w:val="0"/>
      <w:marRight w:val="0"/>
      <w:marTop w:val="0"/>
      <w:marBottom w:val="0"/>
      <w:divBdr>
        <w:top w:val="none" w:sz="0" w:space="0" w:color="auto"/>
        <w:left w:val="none" w:sz="0" w:space="0" w:color="auto"/>
        <w:bottom w:val="none" w:sz="0" w:space="0" w:color="auto"/>
        <w:right w:val="none" w:sz="0" w:space="0" w:color="auto"/>
      </w:divBdr>
    </w:div>
    <w:div w:id="1350133533">
      <w:bodyDiv w:val="1"/>
      <w:marLeft w:val="0"/>
      <w:marRight w:val="0"/>
      <w:marTop w:val="0"/>
      <w:marBottom w:val="0"/>
      <w:divBdr>
        <w:top w:val="none" w:sz="0" w:space="0" w:color="auto"/>
        <w:left w:val="none" w:sz="0" w:space="0" w:color="auto"/>
        <w:bottom w:val="none" w:sz="0" w:space="0" w:color="auto"/>
        <w:right w:val="none" w:sz="0" w:space="0" w:color="auto"/>
      </w:divBdr>
    </w:div>
    <w:div w:id="164628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sip.legalis.pl/document-view.seam?documentId=mfrxilrtg4ytcnrugq3tqltqmfyc4nbqgu3dgmzyg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2404</Words>
  <Characters>14430</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Binkowska Joanna</dc:creator>
  <cp:lastModifiedBy>Binkowska Joanna</cp:lastModifiedBy>
  <cp:revision>2</cp:revision>
  <cp:lastPrinted>2018-10-02T13:01:00Z</cp:lastPrinted>
  <dcterms:created xsi:type="dcterms:W3CDTF">2019-07-11T08:17:00Z</dcterms:created>
  <dcterms:modified xsi:type="dcterms:W3CDTF">2019-07-11T08:17:00Z</dcterms:modified>
</cp:coreProperties>
</file>