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F22" w:rsidRPr="00DD11C8" w:rsidRDefault="00A31252" w:rsidP="00DD11C8">
      <w:pPr>
        <w:spacing w:after="120" w:line="360" w:lineRule="auto"/>
        <w:jc w:val="center"/>
        <w:rPr>
          <w:rFonts w:ascii="Times New Roman" w:hAnsi="Times New Roman"/>
          <w:sz w:val="24"/>
          <w:szCs w:val="24"/>
        </w:rPr>
      </w:pPr>
      <w:bookmarkStart w:id="0" w:name="_GoBack"/>
      <w:bookmarkEnd w:id="0"/>
      <w:r w:rsidRPr="00DD11C8">
        <w:rPr>
          <w:rFonts w:ascii="Times New Roman" w:hAnsi="Times New Roman"/>
          <w:sz w:val="24"/>
          <w:szCs w:val="24"/>
        </w:rPr>
        <w:t xml:space="preserve">UZASADNIENIE </w:t>
      </w:r>
    </w:p>
    <w:p w:rsidR="004D6F22" w:rsidRPr="00A31252" w:rsidRDefault="004D6F22" w:rsidP="00ED7591">
      <w:pPr>
        <w:pStyle w:val="NormalnyWeb"/>
        <w:spacing w:before="0" w:after="0" w:line="360" w:lineRule="auto"/>
        <w:jc w:val="both"/>
      </w:pPr>
      <w:r w:rsidRPr="00A31252">
        <w:t xml:space="preserve">Celem projektowanej nowelizacji jest wprowadzenie do </w:t>
      </w:r>
      <w:r w:rsidRPr="00A31252">
        <w:rPr>
          <w:rStyle w:val="st"/>
        </w:rPr>
        <w:t xml:space="preserve">polskiego prawodawstwa </w:t>
      </w:r>
      <w:r w:rsidRPr="00A31252">
        <w:t xml:space="preserve">klauzuli przeciwko unikaniu opodatkowania. </w:t>
      </w:r>
    </w:p>
    <w:p w:rsidR="004D6F22" w:rsidRPr="00A31252" w:rsidRDefault="004D6F22" w:rsidP="00ED7591">
      <w:pPr>
        <w:pStyle w:val="NormalnyWeb"/>
        <w:spacing w:before="0" w:after="0" w:line="360" w:lineRule="auto"/>
        <w:jc w:val="both"/>
        <w:rPr>
          <w:noProof/>
        </w:rPr>
      </w:pPr>
      <w:r w:rsidRPr="00A31252">
        <w:t xml:space="preserve">Obserwowana we wszystkich rozwiniętych gospodarkach rynkowych globalizacja unikania opodatkowania przy wykorzystaniu transgranicznych schematów wymusza zunifikowane zwalczanie unikania opodatkowania. </w:t>
      </w:r>
      <w:r w:rsidRPr="00A31252">
        <w:rPr>
          <w:noProof/>
        </w:rPr>
        <w:t xml:space="preserve">Dotychczasowe doświadczenia Polski oraz innych krajów wskazują, że same umowy o unikaniu podwójnego opodatkowania nie wystarczają do efektywnego przeciwdziałania unikaniu opodatkowania. Standardem w innych rozwiniętych gospodarczo krajach jest klauzula generalna przeciwko unikaniu opodatkowania albo rozwinięta linia orzecznictwa sądowego zwalczająca nadużycia podatkowe. </w:t>
      </w:r>
    </w:p>
    <w:p w:rsidR="004D6F22" w:rsidRPr="00A31252" w:rsidRDefault="004D6F22" w:rsidP="00ED7591">
      <w:pPr>
        <w:pStyle w:val="NormalnyWeb"/>
        <w:spacing w:before="0" w:after="0" w:line="360" w:lineRule="auto"/>
        <w:jc w:val="both"/>
      </w:pPr>
      <w:r w:rsidRPr="00A31252">
        <w:t xml:space="preserve">Na powagę zagrożeń wynikających z unikania opodatkowania zwróciła uwagę Komisja Europejska. Jednym z zalecanych przez Komisję rozwiązań, mających na celu przeciwdziałanie praktykom </w:t>
      </w:r>
      <w:r w:rsidRPr="00A31252">
        <w:rPr>
          <w:noProof/>
        </w:rPr>
        <w:t>agresywnego planowania podatkowego, powodujących unikanie opodatkowania</w:t>
      </w:r>
      <w:r w:rsidRPr="00A31252">
        <w:t>, jest przyjęcie przez państwa członkowskie ogólnej zasady dotyczącej zwalczania nadużyć podatkowych.</w:t>
      </w:r>
    </w:p>
    <w:p w:rsidR="004E60B8" w:rsidRPr="00A31252" w:rsidRDefault="004E60B8" w:rsidP="00ED7591">
      <w:pPr>
        <w:pStyle w:val="NormalnyWeb"/>
        <w:spacing w:before="0" w:after="0" w:line="360" w:lineRule="auto"/>
        <w:jc w:val="both"/>
      </w:pPr>
      <w:r w:rsidRPr="00A31252">
        <w:t>Stan obecny w zakresie unikania opodatkowania wyczerpująco i obszernie diagnozuje Rezolucja Parlamentu Europejskiego z dnia 25 listopada 2015 r. w sprawie interpretacji prawa podatkowego i innych środków o podobnym charakterze lub skutkach (2015/2066(INI))</w:t>
      </w:r>
      <w:r w:rsidR="00C653F6" w:rsidRPr="00A31252">
        <w:rPr>
          <w:rStyle w:val="Odwoanieprzypisudolnego"/>
        </w:rPr>
        <w:footnoteReference w:id="1"/>
      </w:r>
      <w:r w:rsidR="002F2FBB" w:rsidRPr="002F2FBB">
        <w:rPr>
          <w:vertAlign w:val="superscript"/>
        </w:rPr>
        <w:t>)</w:t>
      </w:r>
      <w:r w:rsidR="002F2FBB">
        <w:t xml:space="preserve"> </w:t>
      </w:r>
      <w:r w:rsidRPr="00A31252">
        <w:t>oparta na wieloletnim dochodzeniu specjalnej komisji TAXE. Uzasadniając projekt ustawy</w:t>
      </w:r>
      <w:r w:rsidR="00D81F26">
        <w:t>,</w:t>
      </w:r>
      <w:r w:rsidRPr="00A31252">
        <w:t xml:space="preserve"> warto przytoczyć tylko niektóre ustalenia Parlamentu Europejskiego, który:</w:t>
      </w:r>
    </w:p>
    <w:p w:rsidR="004E60B8" w:rsidRPr="009A76CE" w:rsidRDefault="00A31252" w:rsidP="00ED7591">
      <w:pPr>
        <w:pStyle w:val="NormalnyWeb"/>
        <w:spacing w:before="0" w:after="0" w:line="360" w:lineRule="auto"/>
        <w:jc w:val="both"/>
      </w:pPr>
      <w:r w:rsidRPr="009A76CE">
        <w:t>„18.</w:t>
      </w:r>
      <w:r w:rsidR="004E60B8" w:rsidRPr="009A76CE">
        <w:t xml:space="preserve"> podkreśla, że unikanie opodatkowania przez niektóre korporacje wielonarodowe może skutkować bliskimi zeru efektywnymi stawkami podatkowymi dla zysków generowanych w jurysdykcjach europejskich, co uwypukla fakt, iż takie korporacje, choć korzystają z różnych publicznych dóbr i usług w miejscu ich działalności, nie płacą należnych podatków, przyczyniając się tym samym do er</w:t>
      </w:r>
      <w:r w:rsidR="009A76CE" w:rsidRPr="009A76CE">
        <w:t>ozji krajowej bazy podatkowej i </w:t>
      </w:r>
      <w:r w:rsidR="004E60B8" w:rsidRPr="009A76CE">
        <w:t>zwiększenia nierówności; podkreśla również, że możliwość przeniesienia zysków mają jedynie firmy prowadzące działalność transgraniczną, co stawia w gorszej sytuacji konkurentów działających jedynie w jednym kraju;</w:t>
      </w:r>
    </w:p>
    <w:p w:rsidR="004E60B8" w:rsidRPr="009A76CE" w:rsidRDefault="002F2FBB" w:rsidP="00ED7591">
      <w:pPr>
        <w:pStyle w:val="NormalnyWeb"/>
        <w:spacing w:before="0" w:after="0" w:line="360" w:lineRule="auto"/>
        <w:jc w:val="both"/>
      </w:pPr>
      <w:r w:rsidRPr="009A76CE">
        <w:lastRenderedPageBreak/>
        <w:t xml:space="preserve">19. </w:t>
      </w:r>
      <w:r w:rsidR="004E60B8" w:rsidRPr="009A76CE">
        <w:t>zauważa z dużym zaniepokojeniem, że unikanie opodatkowania przez osoby prawne wywiera bezpośredni wpływ na budżety krajowe i na podział wysiłku fiskalnego między kategorie podatników oraz między czynniki ekonomiczne (z korzyścią dla czynników najbardziej mobilnych, takich jak kapitał w formie BIZ); ubolewa z powodu faktu, że oprócz zakłóceń konkurencji i nierównych warunków działania prowadzi to również do niezwykle niepokojącej sytuacji, w której w kontekście ciężkich wysiłków konsolidacyjnych i reform strukturalnych niektórzy z podatników o najwyższej zdolności finansowej płacą znacznie mniej niż podatnicy najbardziej dotknięci kryzysem gospodarczym, finansowym i zadłużeniow</w:t>
      </w:r>
      <w:r w:rsidR="009A76CE">
        <w:t>ym, tacy jak zwykli obywatele i </w:t>
      </w:r>
      <w:r w:rsidR="004E60B8" w:rsidRPr="009A76CE">
        <w:t xml:space="preserve">przedsiębiorstwa niestosujące agresywnego planowania podatkowego, które często należą do kategorii MŚP i są często niezdolne do konkurowania z korporacjami wielonarodowymi z powodu tej względnie niekorzystnej sytuacji podatkowej; podkreśla, że sytuacja ta może podsycić demokratyczną nieufność i wpłynąć na ogólne przestrzeganie przepisów prawa podatkowego, zwłaszcza w państwach realizujących programy </w:t>
      </w:r>
      <w:r w:rsidR="00D81F26">
        <w:t>dostosowania gospodarczego; (…)</w:t>
      </w:r>
    </w:p>
    <w:p w:rsidR="004E60B8" w:rsidRPr="009A76CE" w:rsidRDefault="002F2FBB" w:rsidP="00ED7591">
      <w:pPr>
        <w:pStyle w:val="NormalnyWeb"/>
        <w:spacing w:before="0" w:after="0" w:line="360" w:lineRule="auto"/>
        <w:jc w:val="both"/>
      </w:pPr>
      <w:r w:rsidRPr="009A76CE">
        <w:t xml:space="preserve">20. </w:t>
      </w:r>
      <w:r w:rsidR="004E60B8" w:rsidRPr="009A76CE">
        <w:t>zauważa, że z badania MFW obejmującego 51 państw wynika, iż przenoszenie zysków między jurysdykcjami podatkowymi skutkuje średnim uszczupleniem dochodów w wysokości ok. 5% bieżących dochodów z podatku od osób prawnych – za to w państwach nienależących do OECD wynosi niemal 13%; zauważa ponadto, że według Komisji dowody ekonometryczne wskazują, iż z upływem czasu zwiększył się wpływ opodatkowania osób prawnych na BIZ; podkreśla fakt, że według</w:t>
      </w:r>
      <w:r w:rsidR="009A76CE">
        <w:t xml:space="preserve"> jednego z </w:t>
      </w:r>
      <w:r w:rsidR="004E60B8" w:rsidRPr="009A76CE">
        <w:t>badań co roku dochodzi do utraty ok. 1 biliona euro potencjalnych dochodów podatkowych z powodu połączonych skutków oszustw podatkowych, uchylania się od opodatkowania, w tym szarej strefy gospodarki i</w:t>
      </w:r>
      <w:r w:rsidR="009A76CE">
        <w:t xml:space="preserve"> unikania opodatkowania w UE, a </w:t>
      </w:r>
      <w:r w:rsidR="004E60B8" w:rsidRPr="009A76CE">
        <w:t>ponadto że zgodnie z szacunkami roczne straty dla krajowych budżetów z powodu unikania opodatkowania wynoszą 50–70 mld EUR, ale w rzeczywistości to uszczuplenie dochodów może wynosić nawet 160–190 mld EUR, jeżeli uwzględnić specjalne ustalenia podatkowe, nieskuteczność poboru podatków i inne tego typu zjawiska</w:t>
      </w:r>
      <w:r w:rsidR="00B24567">
        <w:t>.</w:t>
      </w:r>
      <w:r w:rsidR="004E60B8" w:rsidRPr="009A76CE">
        <w:t xml:space="preserve"> (…)</w:t>
      </w:r>
    </w:p>
    <w:p w:rsidR="004E60B8" w:rsidRPr="009A76CE" w:rsidRDefault="004E60B8" w:rsidP="00ED7591">
      <w:pPr>
        <w:pStyle w:val="NormalnyWeb"/>
        <w:spacing w:before="0" w:after="0" w:line="360" w:lineRule="auto"/>
        <w:jc w:val="both"/>
      </w:pPr>
      <w:r w:rsidRPr="009A76CE">
        <w:t>23. (…) komisja specjalna zaobserwowała, iż wiele krajowych środków podatkowych, często stosowanych łącznie przez korporacje wielonarodowe, mogło stanowić potencjalnie szkodliwe praktyki podatkowe, a zwłaszcza następujące środki, których wykaz nie jest jednak wyczerpujący:</w:t>
      </w:r>
    </w:p>
    <w:p w:rsidR="004E60B8" w:rsidRPr="009A76CE" w:rsidRDefault="002F11BC" w:rsidP="00ED7591">
      <w:pPr>
        <w:pStyle w:val="NormalnyWeb"/>
        <w:spacing w:before="0" w:after="0" w:line="360" w:lineRule="auto"/>
        <w:jc w:val="both"/>
      </w:pPr>
      <w:r w:rsidRPr="009A76CE">
        <w:lastRenderedPageBreak/>
        <w:t xml:space="preserve">– </w:t>
      </w:r>
      <w:r w:rsidR="004E60B8" w:rsidRPr="009A76CE">
        <w:t>nadużywanie interpretacji indywidualnych prawa podatkowego lub porozumień ugodowych idących dalej niż zwykłe doprecyz</w:t>
      </w:r>
      <w:r w:rsidR="009A76CE">
        <w:t>owanie istniejących przepisów i </w:t>
      </w:r>
      <w:r w:rsidR="004E60B8" w:rsidRPr="009A76CE">
        <w:t>dążących do preferencyjnego traktowania podatkowego</w:t>
      </w:r>
      <w:r w:rsidR="00B24567">
        <w:t>,</w:t>
      </w:r>
      <w:r w:rsidR="004E60B8" w:rsidRPr="009A76CE">
        <w:t xml:space="preserve"> (…)</w:t>
      </w:r>
    </w:p>
    <w:p w:rsidR="004E60B8" w:rsidRPr="009A76CE" w:rsidRDefault="002F2FBB" w:rsidP="00ED7591">
      <w:pPr>
        <w:pStyle w:val="NormalnyWeb"/>
        <w:spacing w:before="0" w:after="0" w:line="360" w:lineRule="auto"/>
        <w:jc w:val="both"/>
      </w:pPr>
      <w:r w:rsidRPr="009A76CE">
        <w:t xml:space="preserve">33. </w:t>
      </w:r>
      <w:r w:rsidR="004E60B8" w:rsidRPr="009A76CE">
        <w:t>podkreśla główną rolę dużych firm audytorskich, w tym „wielkiej czwórki”, wykorzystujących rozbieżności między prze</w:t>
      </w:r>
      <w:r w:rsidR="009A76CE">
        <w:t>pisami krajowymi do tworzenia i </w:t>
      </w:r>
      <w:r w:rsidR="004E60B8" w:rsidRPr="009A76CE">
        <w:t>sprzedawania interpretacji oraz systemów unikania opodatkowania; podkreśla, że firmy te, których dochód wydaje się pochodzić w znacznej części z usług podatkowych, tworzą wąski oligopol w celu zdominowania rynków usług audytorskich w większości państw członkowskich i zdobycia przewagi w dziedzinie światowych usług doradztwa podatkowego; ocenia, że utrzymywanie się takiej sytuacji szkodzi funkcjonowaniu jednolitego rynku w dziedzinach objętych działalnością „wielkiej czwórki”; zwraca uwagę na konflikt interesów wynikający z prowadzenia w ramach tych samych firm działalności w zakresie doradztwa podatkowego i konsultingu przeznaczonej z jednej strony dla administracji podatkowych, a z drugiej – ukierunkowanej na usługi planowania podatkowego dla korporacji wielonarodowych wykorzystujących słabości krajowych systemów podatkowych; uważa, że należy promować dobre praktyki w tym obszarze oraz poprawić istniejące kodeksy postępowania; kwestionuje jednak skuteczność kodeksu postępowania dla przedsiębiorstw oraz polityki społecznej odpowiedzialności przedsiębiorstw w rozwiązaniu tej kwestii; podkreśla, że interpretacje indywidualne prawa podatkowego stały się w UE i na całym świecie pospolitą praktyką biznesową stosowaną nie tylko w celu uzyskania pewności prawa czy korzystnych umów podatkowych, lecz również w przypadkach, w których przepisy ustawowe nie dają możliwości interpretacji; jest zaniepokojony szacunkami branży doradztwa podatkowego, że zaledwie 50% szans na zgodność z prawem wystarczy, by zalecać klientom dany system planowania podatkowego.”</w:t>
      </w:r>
      <w:r w:rsidR="008E6E2B">
        <w:t>.</w:t>
      </w:r>
    </w:p>
    <w:p w:rsidR="004D6F22" w:rsidRPr="00A31252" w:rsidRDefault="004D6F22" w:rsidP="00ED7591">
      <w:pPr>
        <w:pStyle w:val="NormalnyWeb"/>
        <w:spacing w:before="0" w:after="0" w:line="360" w:lineRule="auto"/>
        <w:jc w:val="both"/>
      </w:pPr>
      <w:r w:rsidRPr="00A31252">
        <w:t>W Informacji z dnia 17 kwietnia 2015 r. o wynikach kontroli „Nadzór organów podatkowych i organów kontroli skarbowej nad prawidłowością rozliczeń z budżetem państwa podmiotów z udziałem kapitału zagranicznego”</w:t>
      </w:r>
      <w:r w:rsidRPr="00A31252">
        <w:rPr>
          <w:rStyle w:val="Odwoanieprzypisudolnego"/>
        </w:rPr>
        <w:footnoteReference w:id="2"/>
      </w:r>
      <w:r w:rsidR="002F2FBB" w:rsidRPr="002F2FBB">
        <w:rPr>
          <w:vertAlign w:val="superscript"/>
        </w:rPr>
        <w:t>)</w:t>
      </w:r>
      <w:r w:rsidRPr="00A31252">
        <w:t xml:space="preserve"> Najwyższa Izba Kontroli </w:t>
      </w:r>
      <w:r w:rsidRPr="009A76CE">
        <w:t>stwierdziła, że brak klauzuli przeciwko unikaniu opodatkowania „…na gruncie obowiązującego prawa stanowi przeszkodę w zapewnieniu szczelności polskiego systemu podatkowego.” (s. 15).</w:t>
      </w:r>
      <w:r w:rsidRPr="00A31252">
        <w:t xml:space="preserve"> </w:t>
      </w:r>
    </w:p>
    <w:p w:rsidR="004D6F22" w:rsidRPr="009A76CE" w:rsidRDefault="004D6F22" w:rsidP="00ED7591">
      <w:pPr>
        <w:pStyle w:val="NormalnyWeb"/>
        <w:spacing w:before="0" w:after="0" w:line="360" w:lineRule="auto"/>
        <w:jc w:val="both"/>
      </w:pPr>
      <w:r w:rsidRPr="009A76CE">
        <w:lastRenderedPageBreak/>
        <w:t xml:space="preserve">W dokumencie tym Najwyższa Izba Kontroli wskazała też: „Trudno jest wiarygodnie ocenić poziom strat wynikających ze szkodliwego unikania opodatkowania w Polsce, ale przy założeniu, że w Czechach w 2011 r. szacowano </w:t>
      </w:r>
      <w:r w:rsidR="009A76CE">
        <w:t>te straty na poziomie około 8,5 </w:t>
      </w:r>
      <w:r w:rsidRPr="009A76CE">
        <w:t>mld zł, trudno przypuszczać, by w Polsce były one mniejsze”</w:t>
      </w:r>
      <w:r w:rsidRPr="009A76CE">
        <w:rPr>
          <w:rStyle w:val="Odwoanieprzypisudolnego"/>
        </w:rPr>
        <w:footnoteReference w:id="3"/>
      </w:r>
      <w:r w:rsidR="002F2FBB" w:rsidRPr="009A76CE">
        <w:rPr>
          <w:vertAlign w:val="superscript"/>
        </w:rPr>
        <w:t>)</w:t>
      </w:r>
      <w:r w:rsidRPr="009A76CE">
        <w:t>.</w:t>
      </w:r>
    </w:p>
    <w:p w:rsidR="004D6F22" w:rsidRPr="009A76CE" w:rsidRDefault="004D6F22" w:rsidP="00ED7591">
      <w:pPr>
        <w:pStyle w:val="NormalnyWeb"/>
        <w:spacing w:before="0" w:after="0" w:line="360" w:lineRule="auto"/>
        <w:jc w:val="both"/>
      </w:pPr>
      <w:r w:rsidRPr="009A76CE">
        <w:t xml:space="preserve">W wystąpieniu pokontrolnym Prezesa Najwyższej Izby Kontroli po kontroli Ministerstwa Finansów z 12 stycznia 2015 r., P/14/013 zaprezentowana została następująca ocena: </w:t>
      </w:r>
    </w:p>
    <w:p w:rsidR="004D6F22" w:rsidRPr="009A76CE" w:rsidRDefault="004D6F22" w:rsidP="00ED7591">
      <w:pPr>
        <w:pStyle w:val="NormalnyWeb"/>
        <w:spacing w:before="0" w:after="0" w:line="360" w:lineRule="auto"/>
        <w:jc w:val="both"/>
      </w:pPr>
      <w:r w:rsidRPr="009A76CE">
        <w:t>„W latach 2008</w:t>
      </w:r>
      <w:r w:rsidR="00741204" w:rsidRPr="009A76CE">
        <w:t>–</w:t>
      </w:r>
      <w:r w:rsidRPr="009A76CE">
        <w:t>2013, obniżyła się relacja wpływów z podatku dochodowego od osób prawnych do produktu krajowego brutto: z 2,72% w 2008 r. i 2,29% w 2009 r. do 1,79% w 2013 r. Było to wynikiem pogorszenia warunków prowad</w:t>
      </w:r>
      <w:r w:rsidR="00A47282" w:rsidRPr="009A76CE">
        <w:t>zenia działalności gospodarczej</w:t>
      </w:r>
      <w:r w:rsidRPr="009A76CE">
        <w:t xml:space="preserve"> i obniżenia rentowności podmiotów gospodarczych. Spadek ten mógł być spowodowany także upowszechnieniem działań mających na celu unikanie lub uchylanie się od opodatkowania”</w:t>
      </w:r>
      <w:r w:rsidRPr="009A76CE">
        <w:rPr>
          <w:rStyle w:val="Odwoanieprzypisudolnego"/>
        </w:rPr>
        <w:footnoteReference w:id="4"/>
      </w:r>
      <w:r w:rsidR="00A47282" w:rsidRPr="009A76CE">
        <w:rPr>
          <w:vertAlign w:val="superscript"/>
        </w:rPr>
        <w:t>)</w:t>
      </w:r>
      <w:r w:rsidRPr="009A76CE">
        <w:t>.</w:t>
      </w:r>
    </w:p>
    <w:p w:rsidR="004D6F22" w:rsidRPr="009A76CE" w:rsidRDefault="004D6F22" w:rsidP="00ED7591">
      <w:pPr>
        <w:pStyle w:val="NormalnyWeb"/>
        <w:spacing w:before="0" w:after="0" w:line="360" w:lineRule="auto"/>
        <w:jc w:val="both"/>
      </w:pPr>
      <w:r w:rsidRPr="009A76CE">
        <w:t>„Również efektywna stawka podatkowa, liczona jako relacja kwoty podatku należnego do wartości podstawy opodatkowania, dla osób prawn</w:t>
      </w:r>
      <w:r w:rsidR="009A76CE">
        <w:t>ych w 2013 r. była niższa niż w </w:t>
      </w:r>
      <w:r w:rsidRPr="009A76CE">
        <w:t>latach poprzednich i wyniosła 17,04%, podczas gdy 1</w:t>
      </w:r>
      <w:r w:rsidR="009A76CE">
        <w:t>7,29% w 2012 r. i 17,37% w </w:t>
      </w:r>
      <w:r w:rsidR="00A47282" w:rsidRPr="009A76CE">
        <w:t>2011 </w:t>
      </w:r>
      <w:r w:rsidRPr="009A76CE">
        <w:t>r. Dla podmiotów z udziałem kapitału zagran</w:t>
      </w:r>
      <w:r w:rsidR="009A76CE">
        <w:t>icznego stawka ta była niższa i </w:t>
      </w:r>
      <w:r w:rsidRPr="009A76CE">
        <w:t>wyniosła 16,26% w 2013 r., a 16,87% w 2012 r. i 16,83% w 2011 r. Efektywne oprocentowanie podstawy opodatkowania podmiotów z udziałem kapitału zagranicznego było niższe niż dla pozostałych podatników CIT o:</w:t>
      </w:r>
    </w:p>
    <w:p w:rsidR="004D6F22" w:rsidRPr="009A76CE" w:rsidRDefault="004D6F22" w:rsidP="00ED7591">
      <w:pPr>
        <w:pStyle w:val="NormalnyWeb"/>
        <w:numPr>
          <w:ilvl w:val="0"/>
          <w:numId w:val="2"/>
        </w:numPr>
        <w:spacing w:before="0" w:after="0" w:line="360" w:lineRule="auto"/>
        <w:ind w:left="0" w:firstLine="0"/>
        <w:jc w:val="both"/>
      </w:pPr>
      <w:r w:rsidRPr="009A76CE">
        <w:t>0,83 punktu procentowego w 2011 r.,</w:t>
      </w:r>
    </w:p>
    <w:p w:rsidR="004D6F22" w:rsidRPr="009A76CE" w:rsidRDefault="004D6F22" w:rsidP="00ED7591">
      <w:pPr>
        <w:pStyle w:val="NormalnyWeb"/>
        <w:numPr>
          <w:ilvl w:val="0"/>
          <w:numId w:val="2"/>
        </w:numPr>
        <w:spacing w:before="0" w:after="0" w:line="360" w:lineRule="auto"/>
        <w:ind w:left="0" w:firstLine="0"/>
        <w:jc w:val="both"/>
      </w:pPr>
      <w:r w:rsidRPr="009A76CE">
        <w:t>0,64 punktu procentowego w 2012 r.,</w:t>
      </w:r>
    </w:p>
    <w:p w:rsidR="004D6F22" w:rsidRPr="009A76CE" w:rsidRDefault="004D6F22" w:rsidP="00ED7591">
      <w:pPr>
        <w:pStyle w:val="NormalnyWeb"/>
        <w:numPr>
          <w:ilvl w:val="0"/>
          <w:numId w:val="2"/>
        </w:numPr>
        <w:spacing w:before="0" w:after="0" w:line="360" w:lineRule="auto"/>
        <w:ind w:left="0" w:firstLine="0"/>
        <w:jc w:val="both"/>
      </w:pPr>
      <w:r w:rsidRPr="009A76CE">
        <w:t>1,22 punktu procentowego w 2013 r.”</w:t>
      </w:r>
      <w:r w:rsidRPr="009A76CE">
        <w:rPr>
          <w:rStyle w:val="Odwoanieprzypisudolnego"/>
        </w:rPr>
        <w:footnoteReference w:id="5"/>
      </w:r>
      <w:r w:rsidR="00A47282" w:rsidRPr="009A76CE">
        <w:rPr>
          <w:vertAlign w:val="superscript"/>
        </w:rPr>
        <w:t>)</w:t>
      </w:r>
    </w:p>
    <w:p w:rsidR="004D6F22" w:rsidRPr="00BB1903" w:rsidRDefault="004D6F22" w:rsidP="00ED7591">
      <w:pPr>
        <w:pStyle w:val="NormalnyWeb"/>
        <w:spacing w:before="0" w:after="0" w:line="360" w:lineRule="auto"/>
        <w:jc w:val="both"/>
      </w:pPr>
      <w:r w:rsidRPr="009A76CE">
        <w:t>W cytowanym wystąpieniu pokontrolnym skierowanym do Ministerstwa Finansów</w:t>
      </w:r>
      <w:r w:rsidRPr="00A31252">
        <w:t xml:space="preserve"> Najwyższa Izba Kontroli wnosi m.in. o </w:t>
      </w:r>
      <w:r w:rsidRPr="00A31252">
        <w:rPr>
          <w:i/>
        </w:rPr>
        <w:t>„</w:t>
      </w:r>
      <w:r w:rsidRPr="00BB1903">
        <w:t xml:space="preserve">wdrażanie rozwiązań mających na celu </w:t>
      </w:r>
      <w:r w:rsidRPr="00BB1903">
        <w:lastRenderedPageBreak/>
        <w:t xml:space="preserve">przeciwdziałanie zmniejszaniu się podstawy opodatkowania podatku dochodowego, spójnych z zaleceniami UE i OECD” (s. 32). </w:t>
      </w:r>
    </w:p>
    <w:p w:rsidR="00E13E17" w:rsidRPr="00A31252" w:rsidRDefault="00E13E17" w:rsidP="00ED7591">
      <w:pPr>
        <w:pStyle w:val="NormalnyWeb"/>
        <w:spacing w:before="0" w:after="0" w:line="360" w:lineRule="auto"/>
        <w:jc w:val="both"/>
      </w:pPr>
      <w:r w:rsidRPr="00A31252">
        <w:t>Za wprowadzeniem do polskiego porządku prawnego klauzuli przeciwko unikaniu opodatkowania przemawia szczególna ochrona konstytucyjnych zasad sprawiedliwości podatkowej i powszechności opodatkowania oraz</w:t>
      </w:r>
      <w:r w:rsidR="00BB1903">
        <w:t xml:space="preserve"> ochrona równowagi budżetowej i </w:t>
      </w:r>
      <w:r w:rsidRPr="00A31252">
        <w:t>stabilności finansów publicznych.</w:t>
      </w:r>
    </w:p>
    <w:p w:rsidR="00E13E17" w:rsidRPr="00A31252" w:rsidRDefault="00E13E17" w:rsidP="00ED7591">
      <w:pPr>
        <w:pStyle w:val="NormalnyWeb"/>
        <w:spacing w:before="0" w:after="0" w:line="360" w:lineRule="auto"/>
        <w:jc w:val="both"/>
      </w:pPr>
      <w:r w:rsidRPr="00A31252">
        <w:t>Art. 84 Konstytucji RP określa zasadę powszechności opodatkowania, będącą wyrazem zasady sprawiedliwości podatkowej, wynikającej z art. 217 Konstytucji</w:t>
      </w:r>
      <w:r w:rsidR="00303598">
        <w:t xml:space="preserve"> RP</w:t>
      </w:r>
      <w:r w:rsidRPr="00A31252">
        <w:t>. Wprowadzenie klauzuli przeciwko unikaniu opodatkowania wypełni lukę w systemie podatkowym, która powoduje, że wartości konstytucyjne - równość i powszechność opodatkowania – nie są w pełni realizowane. Wprowadzenie klauzuli powinno zniechęcić podatników do stosowania praktyk polegających na unikaniu opodatkowania.</w:t>
      </w:r>
    </w:p>
    <w:p w:rsidR="00996817" w:rsidRPr="00A31252" w:rsidRDefault="00E13E17" w:rsidP="00ED7591">
      <w:pPr>
        <w:pStyle w:val="NormalnyWeb"/>
        <w:spacing w:before="0" w:after="0" w:line="360" w:lineRule="auto"/>
        <w:jc w:val="both"/>
      </w:pPr>
      <w:r w:rsidRPr="00A31252">
        <w:t>Unikanie opodatkowania stanowi także zagrożenie dla wartości konstytucyjnej, jaką jest równowaga budżetowa i stabilność finansów publicznych. Równowaga budżetowa stanowi samoistną wartość konstytucyjną, od której zależy zdolność państwa do działania i wypełniania jego zadań. Konieczność je</w:t>
      </w:r>
      <w:r w:rsidR="00BB1903">
        <w:t>j ochrony i zachowania wynika z </w:t>
      </w:r>
      <w:r w:rsidRPr="00A31252">
        <w:t>ogółu regulacji zawartych w rozdziale X Konstytucji</w:t>
      </w:r>
      <w:r w:rsidR="00303598">
        <w:t xml:space="preserve"> RP</w:t>
      </w:r>
      <w:r w:rsidRPr="00A31252">
        <w:t xml:space="preserve"> oraz z jej art. 1 stanowiącego, że Rzeczpospolita Polska jest dobrem wspólnym. Z orzecznictwa Trybunału Konstytucyjnego wynika, że różnego rodzaju wartości konstytucyjne powinny być ze sobą harmonijnie godzone, z tym zastrzeżeniem, że akurat te wartości konstytucyjne, którymi są równowaga budżetowa i stabilność finansów publicznych, mają zdecydowanie priorytetowy charakter (zob. wyroki TK z</w:t>
      </w:r>
      <w:r w:rsidR="00A47282">
        <w:t>: 26 listopada 2001 r., sygn. K </w:t>
      </w:r>
      <w:r w:rsidRPr="00A31252">
        <w:t>2/00; 12 grudnia 2012 r., sygn. K 1/12). Szczególna ochrona tych wartości wymaga wprowadzenia do polskiego porządku prawnego klauzuli pr</w:t>
      </w:r>
      <w:r w:rsidR="00EF1AF0">
        <w:t>zeciwko unikaniu opodatkowania.</w:t>
      </w:r>
    </w:p>
    <w:p w:rsidR="004D6F22" w:rsidRPr="00A31252" w:rsidRDefault="004D6F22" w:rsidP="00ED7591">
      <w:pPr>
        <w:pStyle w:val="NormalnyWeb"/>
        <w:spacing w:before="0" w:after="0" w:line="360" w:lineRule="auto"/>
        <w:jc w:val="both"/>
      </w:pPr>
      <w:r w:rsidRPr="00A31252">
        <w:t xml:space="preserve">Wprowadzenie do polskiego porządku prawnego klauzuli przeciwko unikaniu opodatkowania uporządkuje system prawa podatkowego, wyznaczając granice dopuszczalnej optymalizacji podatkowej oraz wzmocni autonomię prawa podatkowego wobec prawa cywilnego. </w:t>
      </w:r>
    </w:p>
    <w:p w:rsidR="004D6F22" w:rsidRPr="00A31252" w:rsidRDefault="004D6F22" w:rsidP="00ED7591">
      <w:pPr>
        <w:pStyle w:val="NormalnyWeb"/>
        <w:spacing w:before="0" w:after="0" w:line="360" w:lineRule="auto"/>
        <w:jc w:val="both"/>
        <w:rPr>
          <w:bCs/>
        </w:rPr>
      </w:pPr>
      <w:r w:rsidRPr="00A31252">
        <w:t xml:space="preserve">Klauzula przeciwko unikaniu opodatkowania będzie miała zastosowanie, jeśli rezultatem działań mających cechy agresywnej optymalizacji podatkowej będzie korzyść podatkowa, której rozmiary przekraczają </w:t>
      </w:r>
      <w:r w:rsidR="00303598">
        <w:rPr>
          <w:bCs/>
        </w:rPr>
        <w:t>100 </w:t>
      </w:r>
      <w:r w:rsidRPr="00A31252">
        <w:rPr>
          <w:bCs/>
        </w:rPr>
        <w:t xml:space="preserve">000 zł. </w:t>
      </w:r>
    </w:p>
    <w:p w:rsidR="004D6F22" w:rsidRPr="00A31252" w:rsidRDefault="004D6F22" w:rsidP="00ED7591">
      <w:pPr>
        <w:pStyle w:val="NormalnyWeb"/>
        <w:spacing w:before="0" w:after="0" w:line="360" w:lineRule="auto"/>
        <w:jc w:val="both"/>
      </w:pPr>
      <w:r w:rsidRPr="00A31252">
        <w:lastRenderedPageBreak/>
        <w:t xml:space="preserve">W celu zminimalizowania skutków związanych z wejściem w życie klauzuli przeciwko unikaniu opodatkowania projekt zawiera propozycję wprowadzenia opinii zabezpieczających, umożliwiających podatnikom poznanie stanowiska administracji podatkowej odnośnie do planowanych lub podjętych już transakcji, do których potencjalnie zastosowanie może znaleźć klauzula. Opinie będą zawierały ocenę, czy planowana przez podatnika konstrukcja prawna stanowi nadużycie swobody kształtowania stosunków prawnych uzasadniające zastosowanie ogólnej klauzuli przeciwko unikaniu opodatkowania. </w:t>
      </w:r>
    </w:p>
    <w:p w:rsidR="004D6F22" w:rsidRPr="00A31252" w:rsidRDefault="004D6F22" w:rsidP="00ED7591">
      <w:pPr>
        <w:widowControl w:val="0"/>
        <w:autoSpaceDE w:val="0"/>
        <w:autoSpaceDN w:val="0"/>
        <w:adjustRightInd w:val="0"/>
        <w:spacing w:after="0" w:line="360" w:lineRule="auto"/>
        <w:jc w:val="both"/>
        <w:rPr>
          <w:rFonts w:ascii="Times New Roman" w:hAnsi="Times New Roman"/>
          <w:sz w:val="24"/>
          <w:szCs w:val="24"/>
        </w:rPr>
      </w:pPr>
      <w:r w:rsidRPr="00A31252">
        <w:rPr>
          <w:rFonts w:ascii="Times New Roman" w:hAnsi="Times New Roman"/>
          <w:sz w:val="24"/>
          <w:szCs w:val="24"/>
        </w:rPr>
        <w:t xml:space="preserve">Przewidywalność i wyważony sposób stosowania klauzuli w indywidualnych sprawach wzmocni też niezależny opiniodawczy panel ekspercki – Rada do Spraw </w:t>
      </w:r>
      <w:r w:rsidR="000743A6" w:rsidRPr="00A31252">
        <w:rPr>
          <w:rFonts w:ascii="Times New Roman" w:hAnsi="Times New Roman"/>
          <w:sz w:val="24"/>
          <w:szCs w:val="24"/>
        </w:rPr>
        <w:t xml:space="preserve">Przeciwdziałania Unikaniu </w:t>
      </w:r>
      <w:r w:rsidRPr="00A31252">
        <w:rPr>
          <w:rFonts w:ascii="Times New Roman" w:hAnsi="Times New Roman"/>
          <w:sz w:val="24"/>
          <w:szCs w:val="24"/>
        </w:rPr>
        <w:t>Opodatkowania, której po</w:t>
      </w:r>
      <w:r w:rsidR="00EF1AF0">
        <w:rPr>
          <w:rFonts w:ascii="Times New Roman" w:hAnsi="Times New Roman"/>
          <w:sz w:val="24"/>
          <w:szCs w:val="24"/>
        </w:rPr>
        <w:t>wołanie zakłada projekt ustawy.</w:t>
      </w:r>
    </w:p>
    <w:p w:rsidR="004D6F22" w:rsidRPr="00A31252" w:rsidRDefault="004D6F22" w:rsidP="00ED7591">
      <w:pPr>
        <w:pStyle w:val="NormalnyWeb"/>
        <w:spacing w:before="0" w:after="0" w:line="360" w:lineRule="auto"/>
        <w:jc w:val="both"/>
      </w:pPr>
      <w:r w:rsidRPr="00A31252">
        <w:t>Tym samym polski system zwalczania unikania opodatkowania będzie maksymalnie korzystał ze standardów zapewniających podatnikom wysoki stopień bezpieczeństwa prawnego, wypracowanych przez inne kraje (formuła opinii zabezpieczających oraz panelu eksperckiego występuje jedynie we Francji, Kanadzie i Australii).</w:t>
      </w:r>
    </w:p>
    <w:p w:rsidR="004D6F22" w:rsidRPr="00A31252" w:rsidRDefault="004D6F22" w:rsidP="00ED7591">
      <w:pPr>
        <w:pStyle w:val="NormalnyWeb"/>
        <w:spacing w:before="0" w:after="0" w:line="360" w:lineRule="auto"/>
        <w:jc w:val="both"/>
      </w:pPr>
      <w:r w:rsidRPr="00A31252">
        <w:t>Zakres przedmiotowy proponowanych zmian obejmuje</w:t>
      </w:r>
      <w:r w:rsidR="00741204">
        <w:t xml:space="preserve"> ustawę z dnia 29 sierpnia 1997 r. – </w:t>
      </w:r>
      <w:r w:rsidRPr="00A31252">
        <w:t>Ordynacja podatkowa (Dz. U. z 2015 r. poz. 613, z późn. zm</w:t>
      </w:r>
      <w:r w:rsidR="00A42C97" w:rsidRPr="00A31252">
        <w:t>.</w:t>
      </w:r>
      <w:r w:rsidRPr="00A31252">
        <w:t>)</w:t>
      </w:r>
      <w:r w:rsidR="006711BE" w:rsidRPr="00A31252">
        <w:t>,</w:t>
      </w:r>
      <w:r w:rsidRPr="00A31252">
        <w:t xml:space="preserve"> ustawę z dnia 30 sierpnia 2002 r. – Prawo o postępowaniu przed sąda</w:t>
      </w:r>
      <w:r w:rsidR="00BB1903">
        <w:t>mi administracyjnymi (Dz. U. z </w:t>
      </w:r>
      <w:r w:rsidRPr="00A31252">
        <w:t>201</w:t>
      </w:r>
      <w:r w:rsidR="00696E9E" w:rsidRPr="00A31252">
        <w:t>2</w:t>
      </w:r>
      <w:r w:rsidRPr="00A31252">
        <w:t xml:space="preserve"> r. poz. </w:t>
      </w:r>
      <w:r w:rsidR="00696E9E" w:rsidRPr="00A31252">
        <w:t>270, z późn. zm.</w:t>
      </w:r>
      <w:r w:rsidRPr="00A31252">
        <w:t>)</w:t>
      </w:r>
      <w:r w:rsidR="006711BE" w:rsidRPr="00A31252">
        <w:t xml:space="preserve"> oraz ustawę </w:t>
      </w:r>
      <w:r w:rsidR="004F73C8" w:rsidRPr="00A31252">
        <w:t>z dnia 11 marca 2004 r. o podatku od towarów i usług (Dz. U. z 2011 r. Nr 177, poz. 1054, z późn. zm.).</w:t>
      </w:r>
    </w:p>
    <w:p w:rsidR="00D81F26" w:rsidRDefault="00D81F26" w:rsidP="00ED7591">
      <w:pPr>
        <w:tabs>
          <w:tab w:val="left" w:pos="567"/>
        </w:tabs>
        <w:spacing w:after="0" w:line="360" w:lineRule="auto"/>
        <w:jc w:val="both"/>
        <w:rPr>
          <w:rFonts w:ascii="Times New Roman" w:hAnsi="Times New Roman"/>
          <w:b/>
          <w:sz w:val="24"/>
          <w:szCs w:val="24"/>
        </w:rPr>
      </w:pPr>
    </w:p>
    <w:p w:rsidR="004D6F22" w:rsidRPr="00A31252" w:rsidRDefault="004D6F22" w:rsidP="00ED7591">
      <w:pPr>
        <w:tabs>
          <w:tab w:val="left" w:pos="567"/>
        </w:tabs>
        <w:spacing w:after="0" w:line="360" w:lineRule="auto"/>
        <w:jc w:val="both"/>
        <w:rPr>
          <w:rFonts w:ascii="Times New Roman" w:hAnsi="Times New Roman"/>
          <w:b/>
          <w:sz w:val="24"/>
          <w:szCs w:val="24"/>
        </w:rPr>
      </w:pPr>
      <w:r w:rsidRPr="00A31252">
        <w:rPr>
          <w:rFonts w:ascii="Times New Roman" w:hAnsi="Times New Roman"/>
          <w:b/>
          <w:sz w:val="24"/>
          <w:szCs w:val="24"/>
        </w:rPr>
        <w:t xml:space="preserve">Art. 1. </w:t>
      </w:r>
      <w:r w:rsidRPr="00B24567">
        <w:rPr>
          <w:rFonts w:ascii="Times New Roman" w:hAnsi="Times New Roman"/>
          <w:sz w:val="24"/>
          <w:szCs w:val="24"/>
        </w:rPr>
        <w:t>Zmiany w ustawie – Ordynacja podatkowa</w:t>
      </w:r>
    </w:p>
    <w:p w:rsidR="004D6F22" w:rsidRPr="00BB0E92" w:rsidRDefault="004D6F22" w:rsidP="00ED7591">
      <w:pPr>
        <w:pStyle w:val="NormalnyWeb"/>
        <w:spacing w:before="0" w:after="0" w:line="360" w:lineRule="auto"/>
        <w:jc w:val="center"/>
      </w:pPr>
      <w:r w:rsidRPr="00BB0E92">
        <w:t>Nowy DZIAŁ IIIa</w:t>
      </w:r>
    </w:p>
    <w:p w:rsidR="004D6F22" w:rsidRPr="00BB0E92" w:rsidRDefault="004D6F22" w:rsidP="00ED7591">
      <w:pPr>
        <w:pStyle w:val="NormalnyWeb"/>
        <w:spacing w:before="0" w:after="0" w:line="360" w:lineRule="auto"/>
        <w:jc w:val="center"/>
      </w:pPr>
      <w:r w:rsidRPr="00BB0E92">
        <w:t>Przeciwdziałanie unikaniu opodatkowania</w:t>
      </w:r>
    </w:p>
    <w:p w:rsidR="004D6F22" w:rsidRPr="00BB0E92" w:rsidRDefault="004D6F22" w:rsidP="00ED7591">
      <w:pPr>
        <w:pStyle w:val="NormalnyWeb"/>
        <w:spacing w:before="0" w:after="0" w:line="360" w:lineRule="auto"/>
        <w:jc w:val="center"/>
      </w:pPr>
      <w:r w:rsidRPr="00BB0E92">
        <w:t>Rozdział 1</w:t>
      </w:r>
    </w:p>
    <w:p w:rsidR="004D6F22" w:rsidRDefault="004D6F22" w:rsidP="00ED7591">
      <w:pPr>
        <w:pStyle w:val="NormalnyWeb"/>
        <w:spacing w:before="0" w:after="0" w:line="360" w:lineRule="auto"/>
        <w:jc w:val="center"/>
      </w:pPr>
      <w:r w:rsidRPr="00BB0E92">
        <w:t>Klauzula przeciwko unikaniu opodatkowania</w:t>
      </w:r>
    </w:p>
    <w:p w:rsidR="004D6F22" w:rsidRPr="00A31252" w:rsidRDefault="00BB0E92" w:rsidP="00ED7591">
      <w:pPr>
        <w:pStyle w:val="NormalnyWeb"/>
        <w:spacing w:before="0" w:after="0" w:line="360" w:lineRule="auto"/>
        <w:jc w:val="both"/>
        <w:rPr>
          <w:b/>
        </w:rPr>
      </w:pPr>
      <w:r>
        <w:t xml:space="preserve">1. Klauzula </w:t>
      </w:r>
      <w:r w:rsidR="004D6F22" w:rsidRPr="00A31252">
        <w:t>przeciwko unikaniu opodatkowania była już w przeszłości elementem polskiego systemu prawnego. Obowiązywała jednak krótko. Została wprowadzona do ustawy</w:t>
      </w:r>
      <w:r w:rsidR="00A47282">
        <w:t xml:space="preserve"> – Ordynacja podatkowa z dniem </w:t>
      </w:r>
      <w:r w:rsidR="004D6F22" w:rsidRPr="00A31252">
        <w:t>1 stycznia 2003 r. w następującym brzmieniu</w:t>
      </w:r>
      <w:r w:rsidR="004D6F22" w:rsidRPr="00A31252">
        <w:rPr>
          <w:bCs/>
        </w:rPr>
        <w:t>:</w:t>
      </w:r>
      <w:r w:rsidR="004D6F22" w:rsidRPr="00A31252">
        <w:t xml:space="preserve"> </w:t>
      </w:r>
    </w:p>
    <w:p w:rsidR="004D6F22" w:rsidRPr="00ED7591" w:rsidRDefault="004D6F22" w:rsidP="00ED7591">
      <w:pPr>
        <w:pStyle w:val="NormalnyWeb"/>
        <w:spacing w:before="0" w:after="0" w:line="360" w:lineRule="auto"/>
        <w:jc w:val="both"/>
      </w:pPr>
      <w:r w:rsidRPr="00ED7591">
        <w:rPr>
          <w:bCs/>
        </w:rPr>
        <w:t>„Art. 24b.</w:t>
      </w:r>
      <w:r w:rsidRPr="00ED7591">
        <w:t> § 1. Organy podatkowe i organy kontroli skarbowej, rozstrzygając sprawy podatkowe, pominą skutki podatkowe czynności p</w:t>
      </w:r>
      <w:r w:rsidR="00BB1903">
        <w:t>rawnych, jeżeli udowodnią, że z </w:t>
      </w:r>
      <w:r w:rsidRPr="00ED7591">
        <w:t xml:space="preserve">dokonania tych czynności nie można było oczekiwać innych istotnych korzyści niż </w:t>
      </w:r>
      <w:r w:rsidRPr="00ED7591">
        <w:lastRenderedPageBreak/>
        <w:t>wynikające z obniżenia wysokości zobowiązania podatkowego, zwiększenia straty, podwyższenia nadpłaty lub zwrotu podatku.</w:t>
      </w:r>
    </w:p>
    <w:p w:rsidR="004D6F22" w:rsidRPr="00ED7591" w:rsidRDefault="004D6F22" w:rsidP="00ED7591">
      <w:pPr>
        <w:pStyle w:val="NormalnyWeb"/>
        <w:spacing w:before="0" w:after="0" w:line="360" w:lineRule="auto"/>
        <w:jc w:val="both"/>
      </w:pPr>
      <w:r w:rsidRPr="00ED7591">
        <w:t>§ 2. Jeżeli strony, dokonując czynności prawnej, o której mowa w § 1, osiągnęły zamierzony rezultat gospodarczy, dla którego odpowiednia jest inna czynność prawna lub czynności prawne, skutki podatkowe wywodzi się z tej innej czynności prawnej lub czynności prawnych.</w:t>
      </w:r>
      <w:r w:rsidR="00EF1AF0">
        <w:t>”</w:t>
      </w:r>
      <w:r w:rsidR="00D81F26">
        <w:t>.</w:t>
      </w:r>
    </w:p>
    <w:p w:rsidR="004D6F22" w:rsidRPr="00ED7591" w:rsidRDefault="004D6F22" w:rsidP="00ED7591">
      <w:pPr>
        <w:pStyle w:val="NormalnyWeb"/>
        <w:spacing w:before="0" w:after="0" w:line="360" w:lineRule="auto"/>
        <w:jc w:val="both"/>
      </w:pPr>
      <w:r w:rsidRPr="00A31252">
        <w:t>Trybunał Konstytucyjny (wyrok z dnia 11 maja 2004 r. sygn. K 4/03), orzekł, że a</w:t>
      </w:r>
      <w:r w:rsidR="00A47282">
        <w:rPr>
          <w:bCs/>
        </w:rPr>
        <w:t>rt. </w:t>
      </w:r>
      <w:r w:rsidRPr="00A31252">
        <w:rPr>
          <w:bCs/>
        </w:rPr>
        <w:t xml:space="preserve">24b § 1 ustawy </w:t>
      </w:r>
      <w:r w:rsidR="00A47282">
        <w:rPr>
          <w:bCs/>
        </w:rPr>
        <w:t>–</w:t>
      </w:r>
      <w:r w:rsidRPr="00A31252">
        <w:rPr>
          <w:bCs/>
        </w:rPr>
        <w:t xml:space="preserve"> Ordynacja podatkowa jest niezgodny z art. 2 w związku z art. 217 Konstytucji</w:t>
      </w:r>
      <w:r w:rsidR="000C2F0B">
        <w:rPr>
          <w:bCs/>
        </w:rPr>
        <w:t xml:space="preserve"> RP</w:t>
      </w:r>
      <w:r w:rsidRPr="00A31252">
        <w:rPr>
          <w:bCs/>
        </w:rPr>
        <w:t>.</w:t>
      </w:r>
      <w:r w:rsidR="00A47282">
        <w:t xml:space="preserve"> </w:t>
      </w:r>
      <w:r w:rsidRPr="00A31252">
        <w:t xml:space="preserve">TK stwierdził, że zawarta w art. </w:t>
      </w:r>
      <w:r w:rsidR="00A47282">
        <w:rPr>
          <w:bCs/>
        </w:rPr>
        <w:t>24b § 1 ustawy –</w:t>
      </w:r>
      <w:r w:rsidRPr="00A31252">
        <w:rPr>
          <w:bCs/>
        </w:rPr>
        <w:t xml:space="preserve"> Ordynacja podatkowa</w:t>
      </w:r>
      <w:r w:rsidRPr="00A31252">
        <w:t xml:space="preserve"> klauzula generalna dotycząca obejścia prawa podatkowego nie spełnia konstytucyjnych standardów przyzwoitej legislacji, a w konsekwencji narusza podstawowe elementy kształtujące treść zasady zaufania do państwa i stanowionego prawa (art. 2 Konstytucji</w:t>
      </w:r>
      <w:r w:rsidR="000C2F0B">
        <w:t xml:space="preserve"> RP</w:t>
      </w:r>
      <w:r w:rsidRPr="00A31252">
        <w:t>) i nie realizuje wymogu należytego ustalenia ustawowo określonych elementów zobowiązań podatkowych (art. 217 Konstytucji</w:t>
      </w:r>
      <w:r w:rsidR="000C2F0B">
        <w:t xml:space="preserve"> RP</w:t>
      </w:r>
      <w:r w:rsidRPr="00A31252">
        <w:t xml:space="preserve">). Trybunał Konstytucyjny stwierdził jednak: </w:t>
      </w:r>
      <w:r w:rsidRPr="00ED7591">
        <w:t xml:space="preserve">„(…) </w:t>
      </w:r>
      <w:r w:rsidRPr="00ED7591">
        <w:rPr>
          <w:bCs/>
        </w:rPr>
        <w:t xml:space="preserve">iż nie budzi zastrzeżeń konstytucyjnoprawnych samo zjawisko normatywnej reakcji prawodawcy wobec negatywnych </w:t>
      </w:r>
      <w:r w:rsidR="00A47282" w:rsidRPr="00ED7591">
        <w:rPr>
          <w:bCs/>
        </w:rPr>
        <w:t>–</w:t>
      </w:r>
      <w:r w:rsidRPr="00ED7591">
        <w:rPr>
          <w:bCs/>
        </w:rPr>
        <w:t xml:space="preserve"> z punktu widzenia interesów fiskalnych państwa </w:t>
      </w:r>
      <w:r w:rsidR="00A47282" w:rsidRPr="00ED7591">
        <w:rPr>
          <w:bCs/>
        </w:rPr>
        <w:t>–</w:t>
      </w:r>
      <w:r w:rsidRPr="00ED7591">
        <w:rPr>
          <w:bCs/>
        </w:rPr>
        <w:t xml:space="preserve"> zjawisk gospodarczych, w tym w sferze stosunków umownych kreowanych przez podatników, także jeżeli przybrałaby ona postać „ogólnej normy obejścia prawa podatkowego”.</w:t>
      </w:r>
      <w:r w:rsidRPr="00ED7591">
        <w:t xml:space="preserve"> </w:t>
      </w:r>
    </w:p>
    <w:p w:rsidR="004D6F22" w:rsidRDefault="004D6F22" w:rsidP="00ED7591">
      <w:pPr>
        <w:pStyle w:val="NormalnyWeb"/>
        <w:spacing w:before="0" w:after="0" w:line="360" w:lineRule="auto"/>
        <w:jc w:val="both"/>
      </w:pPr>
      <w:r w:rsidRPr="00A31252">
        <w:t>Treść wyroku Trybunału Konstytucyjnego oraz analiza orzecznictwa sądów administracyjnych nie daje przesłanek do przypuszczenia, że zwalczanie zjawiska unikania opodatkowania może w Polsce mieć miejsce poprzez podejmowanie aktywności wyłącznie na płaszczyźnie orzeczniczej, bez wyraźnych podstaw normatywnych. Reakcja ustawodawcy jest zatem nie</w:t>
      </w:r>
      <w:r w:rsidR="00BB1903">
        <w:t>zbędna, aby stworzyć klarowne i </w:t>
      </w:r>
      <w:r w:rsidRPr="00A31252">
        <w:t xml:space="preserve">mocne normatywne podstawy do reakcji na zjawisko unikania opodatkowania. </w:t>
      </w:r>
    </w:p>
    <w:p w:rsidR="009F504A" w:rsidRPr="00A31252" w:rsidRDefault="009F504A" w:rsidP="00ED7591">
      <w:pPr>
        <w:pStyle w:val="NormalnyWeb"/>
        <w:spacing w:before="0" w:after="0" w:line="360" w:lineRule="auto"/>
        <w:jc w:val="both"/>
      </w:pPr>
    </w:p>
    <w:p w:rsidR="004D6F22" w:rsidRPr="00A31252" w:rsidRDefault="004D6F22" w:rsidP="00ED7591">
      <w:pPr>
        <w:pStyle w:val="NormalnyWeb"/>
        <w:spacing w:before="0" w:after="0" w:line="360" w:lineRule="auto"/>
        <w:jc w:val="both"/>
      </w:pPr>
      <w:r w:rsidRPr="00A31252">
        <w:t>2. Negatywne zjawisko zwane „unikaniem opodatkowania” (</w:t>
      </w:r>
      <w:r w:rsidRPr="00A31252">
        <w:rPr>
          <w:i/>
        </w:rPr>
        <w:t>tax avoidance</w:t>
      </w:r>
      <w:r w:rsidR="00BB1903">
        <w:t>) istnieje w </w:t>
      </w:r>
      <w:r w:rsidRPr="00A31252">
        <w:t>każdym kraju o gospodarce rynkowej. Najczęściej realizuje się przez konstruowanie sztucznych, nadmiernie zawiłych konstrukcji prawnych, które przykładowo dzielą gospodarczo jednorodne zdarzenie na etapy, aby wytworzyć wrażenie istnienia wielu odrębnych zdarzeń czy też zawierają elementy wzajemnie się znoszące. Unikaniem opodatkowania są tego rodzaju działania, które nakierowane są na osiągnięcie korzyści podatkowych sprzecznych z intencją prawodawcy, sto</w:t>
      </w:r>
      <w:r w:rsidR="00BB1903">
        <w:t xml:space="preserve">jących w sprzeczności z celem </w:t>
      </w:r>
      <w:r w:rsidR="00BB1903">
        <w:lastRenderedPageBreak/>
        <w:t>i </w:t>
      </w:r>
      <w:r w:rsidRPr="00A31252">
        <w:t xml:space="preserve">istotą regulacji podatkowych. Unikanie opodatkowania polega w szczególności na nadużywaniu preferencji podatkowych, nadużywaniu umów międzynarodowych, wykorzystywaniu „rajów podatkowych” i uzyskiwaniu przez to korzyści finansowej, wynikającej z obniżenia ciężaru opodatkowania, względnie nawet uzyskania zwrotu podatku. </w:t>
      </w:r>
    </w:p>
    <w:p w:rsidR="004D6F22" w:rsidRPr="00A31252" w:rsidRDefault="004D6F22" w:rsidP="00ED7591">
      <w:pPr>
        <w:pStyle w:val="NormalnyWeb"/>
        <w:spacing w:before="0" w:after="0" w:line="360" w:lineRule="auto"/>
        <w:jc w:val="both"/>
      </w:pPr>
      <w:r w:rsidRPr="00A31252">
        <w:t xml:space="preserve">Normy ogólne przeciwdziałające unikaniu opodatkowania znajdują się w systemach prawnych wielu z tych krajów, w tym takich, które mają systemy prawne zbliżone do polskiego. W literaturze, a niekiedy i w tekstach prawnych, norma tego typu występuje pod nazwą </w:t>
      </w:r>
      <w:r w:rsidRPr="00A31252">
        <w:rPr>
          <w:i/>
        </w:rPr>
        <w:t>general anti-avoidance rule</w:t>
      </w:r>
      <w:r w:rsidRPr="00A31252">
        <w:t xml:space="preserve"> lub </w:t>
      </w:r>
      <w:r w:rsidR="00A47282">
        <w:rPr>
          <w:i/>
        </w:rPr>
        <w:t xml:space="preserve">general anti-abuse rule; </w:t>
      </w:r>
      <w:r w:rsidRPr="00A31252">
        <w:t>powszechnie na świecie stosowany jest skrót GAAR. Istnienie i stosowanie klauzuli przeciwko unikaniu opodatkowania jest akceptowane przez orzecznictwo sądowe i doktrynę. Państwa mające regulacje w postaci ustawowej klauzuli przeciwko unikaniu opodatkowania to: Austria, Niemcy (od 1919 r., nowe brzmienie od 2008</w:t>
      </w:r>
      <w:r w:rsidR="00D5699F">
        <w:t xml:space="preserve"> </w:t>
      </w:r>
      <w:r w:rsidRPr="00A31252">
        <w:t>r.), Francja (od 1941 r., istotna modyfikacja w 2008</w:t>
      </w:r>
      <w:r w:rsidR="00BB0E92">
        <w:t xml:space="preserve"> r.), Portugalia, </w:t>
      </w:r>
      <w:r w:rsidRPr="00A31252">
        <w:t>Szwecja (od 1980</w:t>
      </w:r>
      <w:r w:rsidR="00BB0E92">
        <w:t xml:space="preserve"> </w:t>
      </w:r>
      <w:r w:rsidRPr="00A31252">
        <w:t>r., uchylono klauzulę w 1993</w:t>
      </w:r>
      <w:r w:rsidR="00BB0E92">
        <w:t xml:space="preserve"> </w:t>
      </w:r>
      <w:r w:rsidRPr="00A31252">
        <w:t>r.</w:t>
      </w:r>
      <w:r w:rsidR="00D5699F">
        <w:t>,</w:t>
      </w:r>
      <w:r w:rsidRPr="00A31252">
        <w:t xml:space="preserve"> ale już w 1995 r. wprowadzono ją ponownie), Szwajcaria (w różniących się mi</w:t>
      </w:r>
      <w:r w:rsidR="00D5699F">
        <w:t>ę</w:t>
      </w:r>
      <w:r w:rsidRPr="00A31252">
        <w:t>dzy sobą regulacjach kantonalnych), Słowacja, Słowenia, Węgry (od 2003</w:t>
      </w:r>
      <w:r w:rsidR="00BB0E92">
        <w:t xml:space="preserve"> </w:t>
      </w:r>
      <w:r w:rsidRPr="00A31252">
        <w:t>r.), Turcja (1980</w:t>
      </w:r>
      <w:r w:rsidR="00BB1903">
        <w:t> </w:t>
      </w:r>
      <w:r w:rsidRPr="00A31252">
        <w:t>r.), Kanada (od 1988</w:t>
      </w:r>
      <w:r w:rsidR="00BB0E92">
        <w:t xml:space="preserve"> </w:t>
      </w:r>
      <w:r w:rsidRPr="00A31252">
        <w:t>r., z istotną modyfikacją w 2008</w:t>
      </w:r>
      <w:r w:rsidR="00BB0E92">
        <w:t xml:space="preserve"> </w:t>
      </w:r>
      <w:r w:rsidRPr="00A31252">
        <w:t>r.), Brazylia (2001</w:t>
      </w:r>
      <w:r w:rsidR="00BB0E92">
        <w:t xml:space="preserve"> </w:t>
      </w:r>
      <w:r w:rsidRPr="00A31252">
        <w:t>r.), Irlandia (od 1989</w:t>
      </w:r>
      <w:r w:rsidR="00BB0E92">
        <w:t xml:space="preserve"> </w:t>
      </w:r>
      <w:r w:rsidRPr="00A31252">
        <w:t>r.), Australia (od 1936</w:t>
      </w:r>
      <w:r w:rsidR="00BB0E92">
        <w:t xml:space="preserve"> </w:t>
      </w:r>
      <w:r w:rsidRPr="00A31252">
        <w:t>r.), Nowa Zelandia (od końca XIX w.), RPA (1941 r.) Singapur, Tajwan (2009</w:t>
      </w:r>
      <w:r w:rsidR="00BB0E92">
        <w:t xml:space="preserve"> </w:t>
      </w:r>
      <w:r w:rsidRPr="00A31252">
        <w:t>r.), Hong Kong, Chiny (od 2008</w:t>
      </w:r>
      <w:r w:rsidR="00BB0E92">
        <w:t xml:space="preserve"> </w:t>
      </w:r>
      <w:r w:rsidRPr="00A31252">
        <w:t>r.), Belgia (istotna modyfikacja w 2012</w:t>
      </w:r>
      <w:r w:rsidR="00BB0E92">
        <w:t xml:space="preserve"> </w:t>
      </w:r>
      <w:r w:rsidRPr="00A31252">
        <w:t>r.), Kolumbia (od 2013</w:t>
      </w:r>
      <w:r w:rsidR="00BB0E92">
        <w:t xml:space="preserve"> </w:t>
      </w:r>
      <w:r w:rsidRPr="00A31252">
        <w:t>r.)</w:t>
      </w:r>
      <w:r w:rsidR="00D5699F">
        <w:t>.</w:t>
      </w:r>
      <w:r w:rsidRPr="00A31252">
        <w:t xml:space="preserve"> Wprowadzenie klauzuli zazwyczaj było początkowo uznawane za zamach na prawa podatnika i swobodę kształtowania treści umów, jednak po ukształtowania się orzecznictwa sądowego i praktyki te obawy zanikały. W Wielkiej Brytanii klauzula przeciwko </w:t>
      </w:r>
      <w:r w:rsidR="00BB1903">
        <w:t>unikaniu opodatkowania weszła w </w:t>
      </w:r>
      <w:r w:rsidRPr="00A31252">
        <w:t xml:space="preserve">życie w połowie 2013 r. </w:t>
      </w:r>
    </w:p>
    <w:p w:rsidR="004D6F22" w:rsidRDefault="004D6F22" w:rsidP="00ED7591">
      <w:pPr>
        <w:pStyle w:val="NormalnyWeb"/>
        <w:spacing w:before="0" w:after="0" w:line="360" w:lineRule="auto"/>
        <w:jc w:val="both"/>
      </w:pPr>
      <w:r w:rsidRPr="00A31252">
        <w:t>W Norwegii, Japonii, Korei Południowej nie ma klasycznej ustawowej klauzuli przeciwko unikaniu opodatkowania, lecz rozwinęło się orzecznictwo sądowe dotyczące ekonomicznej treści transakcji. W Stanach Zjednoczonych stosuje się sądową doktrynę „gospodarczej treści” czynności prawnych, u</w:t>
      </w:r>
      <w:r w:rsidR="00BB1903">
        <w:t>zupełnioną w ostatnich latach o </w:t>
      </w:r>
      <w:r w:rsidRPr="00A31252">
        <w:t>fragmentaryczną regulację ustawową. Należy dostrzec, że w ostatnich latach w wielu państwach</w:t>
      </w:r>
      <w:r w:rsidR="00EF1AF0">
        <w:t>,</w:t>
      </w:r>
      <w:r w:rsidRPr="00A31252">
        <w:t xml:space="preserve"> zapobiegając agresywnemu planowaniu podatkowemu i unikaniu opodatkowania zmodyfikowano </w:t>
      </w:r>
      <w:r w:rsidR="00BB0E92">
        <w:t xml:space="preserve">klauzule </w:t>
      </w:r>
      <w:r w:rsidRPr="00A31252">
        <w:t xml:space="preserve">w celu zwiększenia ich efektywności. </w:t>
      </w:r>
    </w:p>
    <w:p w:rsidR="009F504A" w:rsidRDefault="009F504A" w:rsidP="00ED7591">
      <w:pPr>
        <w:pStyle w:val="NormalnyWeb"/>
        <w:spacing w:before="0" w:after="0" w:line="360" w:lineRule="auto"/>
        <w:jc w:val="both"/>
      </w:pPr>
    </w:p>
    <w:p w:rsidR="009F504A" w:rsidRPr="00A31252" w:rsidRDefault="009F504A" w:rsidP="00ED7591">
      <w:pPr>
        <w:pStyle w:val="NormalnyWeb"/>
        <w:spacing w:before="0" w:after="0" w:line="360" w:lineRule="auto"/>
        <w:jc w:val="both"/>
      </w:pPr>
    </w:p>
    <w:p w:rsidR="00200B09" w:rsidRPr="00D5699F" w:rsidRDefault="00200B09" w:rsidP="00D5699F">
      <w:pPr>
        <w:spacing w:before="240" w:after="0" w:line="360" w:lineRule="auto"/>
        <w:jc w:val="both"/>
        <w:rPr>
          <w:rFonts w:ascii="Times New Roman" w:eastAsia="Times New Roman" w:hAnsi="Times New Roman"/>
          <w:sz w:val="24"/>
          <w:szCs w:val="24"/>
          <w:u w:val="single"/>
          <w:lang w:val="en-US" w:eastAsia="pl-PL"/>
        </w:rPr>
      </w:pPr>
      <w:r w:rsidRPr="00D5699F">
        <w:rPr>
          <w:rFonts w:ascii="Times New Roman" w:eastAsia="Times New Roman" w:hAnsi="Times New Roman"/>
          <w:sz w:val="24"/>
          <w:szCs w:val="24"/>
          <w:u w:val="single"/>
          <w:lang w:val="en-US" w:eastAsia="pl-PL"/>
        </w:rPr>
        <w:lastRenderedPageBreak/>
        <w:t>AUSTRIA</w:t>
      </w:r>
    </w:p>
    <w:p w:rsidR="00200B09" w:rsidRPr="00A31252" w:rsidRDefault="00200B0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val="de-DE" w:eastAsia="pl-PL"/>
        </w:rPr>
      </w:pPr>
      <w:r w:rsidRPr="00A31252">
        <w:rPr>
          <w:rFonts w:ascii="Times New Roman" w:eastAsia="Times New Roman" w:hAnsi="Times New Roman"/>
          <w:sz w:val="24"/>
          <w:szCs w:val="24"/>
          <w:u w:val="single"/>
          <w:lang w:eastAsia="pl-PL"/>
        </w:rPr>
        <w:t xml:space="preserve">Brzmienie oryginalne art. 22 Austriackiego Ogólnego Kodeksu Fiskalnego </w:t>
      </w:r>
      <w:r w:rsidR="00A47282">
        <w:rPr>
          <w:rFonts w:ascii="Times New Roman" w:eastAsia="Times New Roman" w:hAnsi="Times New Roman"/>
          <w:sz w:val="24"/>
          <w:szCs w:val="24"/>
          <w:u w:val="single"/>
          <w:lang w:eastAsia="pl-PL"/>
        </w:rPr>
        <w:t>–</w:t>
      </w:r>
      <w:r w:rsidRPr="00A31252">
        <w:rPr>
          <w:rFonts w:ascii="Times New Roman" w:eastAsia="Times New Roman" w:hAnsi="Times New Roman"/>
          <w:sz w:val="24"/>
          <w:szCs w:val="24"/>
          <w:u w:val="single"/>
          <w:lang w:eastAsia="pl-PL"/>
        </w:rPr>
        <w:t xml:space="preserve"> </w:t>
      </w:r>
      <w:r w:rsidRPr="00A31252">
        <w:rPr>
          <w:rFonts w:ascii="Times New Roman" w:eastAsia="Times New Roman" w:hAnsi="Times New Roman"/>
          <w:iCs/>
          <w:sz w:val="24"/>
          <w:szCs w:val="24"/>
          <w:u w:val="single"/>
          <w:lang w:val="de-DE" w:eastAsia="pl-PL"/>
        </w:rPr>
        <w:t>Bundesabgabenordnung</w:t>
      </w:r>
      <w:r w:rsidRPr="00A31252">
        <w:rPr>
          <w:rFonts w:ascii="Times New Roman" w:eastAsia="Times New Roman" w:hAnsi="Times New Roman"/>
          <w:sz w:val="24"/>
          <w:szCs w:val="24"/>
          <w:u w:val="single"/>
          <w:lang w:val="de-DE" w:eastAsia="pl-PL"/>
        </w:rPr>
        <w:t xml:space="preserve"> (BAO)</w:t>
      </w:r>
    </w:p>
    <w:p w:rsidR="00200B09" w:rsidRPr="00A31252" w:rsidRDefault="00DF1E0F" w:rsidP="00ED7591">
      <w:pPr>
        <w:tabs>
          <w:tab w:val="left" w:pos="426"/>
        </w:tabs>
        <w:spacing w:after="0" w:line="360" w:lineRule="auto"/>
        <w:jc w:val="both"/>
        <w:rPr>
          <w:rFonts w:ascii="Times New Roman" w:eastAsia="Times New Roman" w:hAnsi="Times New Roman"/>
          <w:sz w:val="24"/>
          <w:szCs w:val="24"/>
          <w:lang w:val="de-DE" w:eastAsia="pl-PL"/>
        </w:rPr>
      </w:pPr>
      <w:r>
        <w:rPr>
          <w:rFonts w:ascii="Times New Roman" w:eastAsia="Times New Roman" w:hAnsi="Times New Roman"/>
          <w:sz w:val="24"/>
          <w:szCs w:val="24"/>
          <w:lang w:val="de-DE" w:eastAsia="pl-PL"/>
        </w:rPr>
        <w:t>(1)</w:t>
      </w:r>
      <w:r>
        <w:rPr>
          <w:rFonts w:ascii="Times New Roman" w:eastAsia="Times New Roman" w:hAnsi="Times New Roman"/>
          <w:sz w:val="24"/>
          <w:szCs w:val="24"/>
          <w:lang w:val="de-DE" w:eastAsia="pl-PL"/>
        </w:rPr>
        <w:tab/>
      </w:r>
      <w:r w:rsidR="00200B09" w:rsidRPr="00A31252">
        <w:rPr>
          <w:rFonts w:ascii="Times New Roman" w:eastAsia="Times New Roman" w:hAnsi="Times New Roman"/>
          <w:sz w:val="24"/>
          <w:szCs w:val="24"/>
          <w:lang w:val="de-DE" w:eastAsia="pl-PL"/>
        </w:rPr>
        <w:t xml:space="preserve">Durch Missbrauch von Formen und Gestaltungsmöglichkeiten des bürgerlichen Rechtes kann die Abgabepflicht nicht umgangen oder gemindert werden. </w:t>
      </w:r>
    </w:p>
    <w:p w:rsidR="00200B09" w:rsidRPr="00A31252" w:rsidRDefault="00DF1E0F" w:rsidP="00ED7591">
      <w:pPr>
        <w:tabs>
          <w:tab w:val="left" w:pos="426"/>
        </w:tabs>
        <w:spacing w:after="0" w:line="360" w:lineRule="auto"/>
        <w:jc w:val="both"/>
        <w:rPr>
          <w:rFonts w:ascii="Times New Roman" w:eastAsia="Times New Roman" w:hAnsi="Times New Roman"/>
          <w:sz w:val="24"/>
          <w:szCs w:val="24"/>
          <w:lang w:val="de-DE" w:eastAsia="pl-PL"/>
        </w:rPr>
      </w:pPr>
      <w:r>
        <w:rPr>
          <w:rFonts w:ascii="Times New Roman" w:eastAsia="Times New Roman" w:hAnsi="Times New Roman"/>
          <w:sz w:val="24"/>
          <w:szCs w:val="24"/>
          <w:lang w:val="de-DE" w:eastAsia="pl-PL"/>
        </w:rPr>
        <w:t>(2)</w:t>
      </w:r>
      <w:r>
        <w:rPr>
          <w:rFonts w:ascii="Times New Roman" w:eastAsia="Times New Roman" w:hAnsi="Times New Roman"/>
          <w:sz w:val="24"/>
          <w:szCs w:val="24"/>
          <w:lang w:val="de-DE" w:eastAsia="pl-PL"/>
        </w:rPr>
        <w:tab/>
      </w:r>
      <w:r w:rsidR="00200B09" w:rsidRPr="00A31252">
        <w:rPr>
          <w:rFonts w:ascii="Times New Roman" w:eastAsia="Times New Roman" w:hAnsi="Times New Roman"/>
          <w:sz w:val="24"/>
          <w:szCs w:val="24"/>
          <w:lang w:val="de-DE" w:eastAsia="pl-PL"/>
        </w:rPr>
        <w:t xml:space="preserve">Liegt ein Missbrauch (Abs. 1) vor, so sind die Abgaben so zu erheben, wie sie bei einer den wirtschaftlichen Vorgängen, Tatsachen und Verhältnissen angemessenen rechtlichen Gestaltung zu erheben wären. </w:t>
      </w:r>
    </w:p>
    <w:p w:rsidR="00200B09" w:rsidRPr="00A31252" w:rsidRDefault="00200B09" w:rsidP="00ED7591">
      <w:pPr>
        <w:numPr>
          <w:ilvl w:val="0"/>
          <w:numId w:val="5"/>
        </w:numPr>
        <w:tabs>
          <w:tab w:val="num" w:pos="360"/>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 przepisu:</w:t>
      </w:r>
    </w:p>
    <w:p w:rsidR="00200B09" w:rsidRPr="00ED7591" w:rsidRDefault="00DF1E0F" w:rsidP="00ED7591">
      <w:pPr>
        <w:tabs>
          <w:tab w:val="left" w:pos="426"/>
        </w:tabs>
        <w:spacing w:after="0" w:line="360" w:lineRule="auto"/>
        <w:jc w:val="both"/>
        <w:rPr>
          <w:rFonts w:ascii="Times New Roman" w:eastAsia="Times New Roman" w:hAnsi="Times New Roman"/>
          <w:sz w:val="24"/>
          <w:szCs w:val="24"/>
          <w:lang w:val="de-DE" w:eastAsia="pl-PL"/>
        </w:rPr>
      </w:pPr>
      <w:r>
        <w:rPr>
          <w:rFonts w:ascii="Times New Roman" w:eastAsia="Times New Roman" w:hAnsi="Times New Roman"/>
          <w:sz w:val="24"/>
          <w:szCs w:val="24"/>
          <w:lang w:eastAsia="pl-PL"/>
        </w:rPr>
        <w:t>(1)</w:t>
      </w:r>
      <w:r>
        <w:rPr>
          <w:rFonts w:ascii="Times New Roman" w:eastAsia="Times New Roman" w:hAnsi="Times New Roman"/>
          <w:sz w:val="24"/>
          <w:szCs w:val="24"/>
          <w:lang w:eastAsia="pl-PL"/>
        </w:rPr>
        <w:tab/>
      </w:r>
      <w:r w:rsidR="00200B09" w:rsidRPr="00ED7591">
        <w:rPr>
          <w:rFonts w:ascii="Times New Roman" w:eastAsia="Times New Roman" w:hAnsi="Times New Roman"/>
          <w:sz w:val="24"/>
          <w:szCs w:val="24"/>
          <w:lang w:val="de-DE" w:eastAsia="pl-PL"/>
        </w:rPr>
        <w:t>Zobo</w:t>
      </w:r>
      <w:r w:rsidR="00BB0E92" w:rsidRPr="00ED7591">
        <w:rPr>
          <w:rFonts w:ascii="Times New Roman" w:eastAsia="Times New Roman" w:hAnsi="Times New Roman"/>
          <w:sz w:val="24"/>
          <w:szCs w:val="24"/>
          <w:lang w:val="de-DE" w:eastAsia="pl-PL"/>
        </w:rPr>
        <w:t>wiązanie podatkowe nie może być</w:t>
      </w:r>
      <w:r w:rsidR="00200B09" w:rsidRPr="00ED7591">
        <w:rPr>
          <w:rFonts w:ascii="Times New Roman" w:eastAsia="Times New Roman" w:hAnsi="Times New Roman"/>
          <w:sz w:val="24"/>
          <w:szCs w:val="24"/>
          <w:lang w:val="de-DE" w:eastAsia="pl-PL"/>
        </w:rPr>
        <w:t xml:space="preserve"> omijane lub zmniejszone poprzez nadużywanie możliwości kształtowania prawa;</w:t>
      </w:r>
    </w:p>
    <w:p w:rsidR="00200B09" w:rsidRPr="00A31252" w:rsidRDefault="00DF1E0F" w:rsidP="00ED7591">
      <w:pPr>
        <w:tabs>
          <w:tab w:val="left" w:pos="426"/>
        </w:tabs>
        <w:spacing w:after="0" w:line="360" w:lineRule="auto"/>
        <w:jc w:val="both"/>
        <w:rPr>
          <w:rFonts w:ascii="Times New Roman" w:eastAsia="Times New Roman" w:hAnsi="Times New Roman"/>
          <w:sz w:val="24"/>
          <w:szCs w:val="24"/>
          <w:lang w:eastAsia="pl-PL"/>
        </w:rPr>
      </w:pPr>
      <w:r w:rsidRPr="00ED7591">
        <w:rPr>
          <w:rFonts w:ascii="Times New Roman" w:eastAsia="Times New Roman" w:hAnsi="Times New Roman"/>
          <w:sz w:val="24"/>
          <w:szCs w:val="24"/>
          <w:lang w:val="de-DE" w:eastAsia="pl-PL"/>
        </w:rPr>
        <w:t>(2)</w:t>
      </w:r>
      <w:r w:rsidRPr="00ED7591">
        <w:rPr>
          <w:rFonts w:ascii="Times New Roman" w:eastAsia="Times New Roman" w:hAnsi="Times New Roman"/>
          <w:sz w:val="24"/>
          <w:szCs w:val="24"/>
          <w:lang w:val="de-DE" w:eastAsia="pl-PL"/>
        </w:rPr>
        <w:tab/>
      </w:r>
      <w:r w:rsidR="00200B09" w:rsidRPr="00ED7591">
        <w:rPr>
          <w:rFonts w:ascii="Times New Roman" w:eastAsia="Times New Roman" w:hAnsi="Times New Roman"/>
          <w:sz w:val="24"/>
          <w:szCs w:val="24"/>
          <w:lang w:val="de-DE" w:eastAsia="pl-PL"/>
        </w:rPr>
        <w:t>W sytuacji, w której nastąpi obejście prawa, zobowiązanie podatkowe określa się zgodnie z czynnościami prawnymi odpowiadającymi treści zdarzeń gospodarczych</w:t>
      </w:r>
      <w:r w:rsidR="00200B09" w:rsidRPr="00A31252">
        <w:rPr>
          <w:rFonts w:ascii="Times New Roman" w:eastAsia="Times New Roman" w:hAnsi="Times New Roman"/>
          <w:sz w:val="24"/>
          <w:szCs w:val="24"/>
          <w:lang w:eastAsia="pl-PL"/>
        </w:rPr>
        <w:t>.</w:t>
      </w:r>
    </w:p>
    <w:p w:rsidR="00200B09" w:rsidRPr="00D5699F" w:rsidRDefault="00200B09" w:rsidP="00D5699F">
      <w:pPr>
        <w:autoSpaceDE w:val="0"/>
        <w:autoSpaceDN w:val="0"/>
        <w:adjustRightInd w:val="0"/>
        <w:spacing w:before="240" w:after="0" w:line="360" w:lineRule="auto"/>
        <w:jc w:val="both"/>
        <w:rPr>
          <w:rFonts w:ascii="Times New Roman" w:eastAsia="Times New Roman" w:hAnsi="Times New Roman"/>
          <w:bCs/>
          <w:sz w:val="24"/>
          <w:szCs w:val="24"/>
          <w:lang w:eastAsia="pl-PL"/>
        </w:rPr>
      </w:pPr>
      <w:r w:rsidRPr="00D5699F">
        <w:rPr>
          <w:rFonts w:ascii="Times New Roman" w:eastAsia="Times New Roman" w:hAnsi="Times New Roman"/>
          <w:sz w:val="24"/>
          <w:szCs w:val="24"/>
          <w:u w:val="single"/>
          <w:lang w:val="en-US" w:eastAsia="pl-PL"/>
        </w:rPr>
        <w:t>BELGIA</w:t>
      </w:r>
    </w:p>
    <w:p w:rsidR="00200B09" w:rsidRPr="00A31252" w:rsidRDefault="00200B0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 xml:space="preserve">Brzmienie art. 344 </w:t>
      </w:r>
      <w:r w:rsidRPr="00A31252">
        <w:rPr>
          <w:rFonts w:ascii="Times New Roman" w:eastAsia="Times New Roman" w:hAnsi="Times New Roman"/>
          <w:iCs/>
          <w:sz w:val="24"/>
          <w:szCs w:val="24"/>
          <w:u w:val="single"/>
          <w:lang w:eastAsia="pl-PL"/>
        </w:rPr>
        <w:t>§1 Kodeksu Podatku Dochodowego</w:t>
      </w:r>
      <w:r w:rsidR="00A47282">
        <w:rPr>
          <w:rFonts w:ascii="Times New Roman" w:eastAsia="Times New Roman" w:hAnsi="Times New Roman"/>
          <w:iCs/>
          <w:sz w:val="24"/>
          <w:szCs w:val="24"/>
          <w:u w:val="single"/>
          <w:lang w:eastAsia="pl-PL"/>
        </w:rPr>
        <w:t xml:space="preserve"> –</w:t>
      </w:r>
      <w:r w:rsidRPr="00A31252">
        <w:rPr>
          <w:rFonts w:ascii="Times New Roman" w:eastAsia="Times New Roman" w:hAnsi="Times New Roman"/>
          <w:iCs/>
          <w:sz w:val="24"/>
          <w:szCs w:val="24"/>
          <w:u w:val="single"/>
          <w:lang w:eastAsia="pl-PL"/>
        </w:rPr>
        <w:t xml:space="preserve"> Income Tax Code</w:t>
      </w:r>
      <w:r w:rsidRPr="00A31252">
        <w:rPr>
          <w:rFonts w:ascii="Times New Roman" w:eastAsia="Times New Roman" w:hAnsi="Times New Roman"/>
          <w:sz w:val="24"/>
          <w:szCs w:val="24"/>
          <w:u w:val="single"/>
          <w:lang w:eastAsia="pl-PL"/>
        </w:rPr>
        <w:t>/</w:t>
      </w:r>
      <w:r w:rsidRPr="00A31252">
        <w:rPr>
          <w:rFonts w:ascii="Times New Roman" w:eastAsia="Times New Roman" w:hAnsi="Times New Roman"/>
          <w:sz w:val="24"/>
          <w:szCs w:val="24"/>
          <w:u w:val="single"/>
          <w:lang w:val="de-DE" w:eastAsia="pl-PL"/>
        </w:rPr>
        <w:t>Wetboek van de inkomsten-belastingen</w:t>
      </w:r>
      <w:r w:rsidRPr="00A31252">
        <w:rPr>
          <w:rFonts w:ascii="Times New Roman" w:eastAsia="Times New Roman" w:hAnsi="Times New Roman"/>
          <w:iCs/>
          <w:sz w:val="24"/>
          <w:szCs w:val="24"/>
          <w:u w:val="single"/>
          <w:lang w:eastAsia="pl-PL"/>
        </w:rPr>
        <w:t xml:space="preserve"> (</w:t>
      </w:r>
      <w:r w:rsidRPr="00A31252">
        <w:rPr>
          <w:rFonts w:ascii="Times New Roman" w:eastAsia="Times New Roman" w:hAnsi="Times New Roman"/>
          <w:sz w:val="24"/>
          <w:szCs w:val="24"/>
          <w:u w:val="single"/>
          <w:lang w:eastAsia="pl-PL"/>
        </w:rPr>
        <w:t>ITC)</w:t>
      </w:r>
    </w:p>
    <w:p w:rsidR="00200B09" w:rsidRPr="00A31252" w:rsidRDefault="00200B09" w:rsidP="00ED7591">
      <w:pPr>
        <w:spacing w:after="0" w:line="360" w:lineRule="auto"/>
        <w:jc w:val="both"/>
        <w:rPr>
          <w:rFonts w:ascii="Times New Roman" w:eastAsia="Times New Roman" w:hAnsi="Times New Roman"/>
          <w:sz w:val="24"/>
          <w:szCs w:val="24"/>
          <w:lang w:val="en" w:eastAsia="pl-PL"/>
        </w:rPr>
      </w:pPr>
      <w:r w:rsidRPr="00A31252">
        <w:rPr>
          <w:rFonts w:ascii="Times New Roman" w:eastAsia="Times New Roman" w:hAnsi="Times New Roman"/>
          <w:sz w:val="24"/>
          <w:szCs w:val="24"/>
          <w:lang w:val="en" w:eastAsia="pl-PL"/>
        </w:rPr>
        <w:t xml:space="preserve">The legal qualification given by the parties to an act or </w:t>
      </w:r>
      <w:r w:rsidR="00BB1903">
        <w:rPr>
          <w:rFonts w:ascii="Times New Roman" w:eastAsia="Times New Roman" w:hAnsi="Times New Roman"/>
          <w:sz w:val="24"/>
          <w:szCs w:val="24"/>
          <w:lang w:val="en" w:eastAsia="pl-PL"/>
        </w:rPr>
        <w:t>to separate acts that realize a </w:t>
      </w:r>
      <w:r w:rsidRPr="00A31252">
        <w:rPr>
          <w:rFonts w:ascii="Times New Roman" w:eastAsia="Times New Roman" w:hAnsi="Times New Roman"/>
          <w:sz w:val="24"/>
          <w:szCs w:val="24"/>
          <w:lang w:val="en" w:eastAsia="pl-PL"/>
        </w:rPr>
        <w:t>single transaction cannot be upheld against the tax authorities if the latter ascertain, by way of presumptions or other allowable means of evidence, that the qualification is designed to avoid tax, unless the taxpayer is able to demonstrate that the qualification corresponds to legitimate financial or economic needs.</w:t>
      </w:r>
    </w:p>
    <w:p w:rsidR="00200B09" w:rsidRPr="00A31252" w:rsidRDefault="00200B09" w:rsidP="00ED7591">
      <w:pPr>
        <w:numPr>
          <w:ilvl w:val="0"/>
          <w:numId w:val="5"/>
        </w:numPr>
        <w:tabs>
          <w:tab w:val="num" w:pos="360"/>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 przepisu</w:t>
      </w:r>
    </w:p>
    <w:p w:rsidR="00200B09" w:rsidRPr="00A31252" w:rsidRDefault="00200B09" w:rsidP="00ED7591">
      <w:pPr>
        <w:spacing w:after="0" w:line="360" w:lineRule="auto"/>
        <w:jc w:val="both"/>
        <w:rPr>
          <w:rFonts w:ascii="Times New Roman" w:eastAsia="Times New Roman" w:hAnsi="Times New Roman"/>
          <w:sz w:val="24"/>
          <w:szCs w:val="24"/>
          <w:lang w:eastAsia="pl-PL"/>
        </w:rPr>
      </w:pPr>
      <w:r w:rsidRPr="00A31252">
        <w:rPr>
          <w:rFonts w:ascii="Times New Roman" w:eastAsia="Times New Roman" w:hAnsi="Times New Roman"/>
          <w:sz w:val="24"/>
          <w:szCs w:val="24"/>
          <w:lang w:eastAsia="pl-PL"/>
        </w:rPr>
        <w:t>Forma czynności prawnej nadana przez strony nie może być utrzymana, jeżeli władze podatkowe odkryją, na podstawie przypuszczeń lub na podstawie innych dowodów określonych w art. 340, że celem takiej klasyfikacji jest unikanie opodatkowania, chyba że podatnik udowodni, że klasyfikacja uzasadniona jest potrzebami finansowymi lub ekonomicznymi.</w:t>
      </w:r>
    </w:p>
    <w:p w:rsidR="00200B09" w:rsidRPr="00D5699F" w:rsidRDefault="00200B09" w:rsidP="00D5699F">
      <w:pPr>
        <w:spacing w:before="240" w:after="0" w:line="360" w:lineRule="auto"/>
        <w:jc w:val="both"/>
        <w:rPr>
          <w:rFonts w:ascii="Times New Roman" w:eastAsia="Times New Roman" w:hAnsi="Times New Roman"/>
          <w:sz w:val="24"/>
          <w:szCs w:val="24"/>
          <w:u w:val="single"/>
          <w:lang w:eastAsia="pl-PL"/>
        </w:rPr>
      </w:pPr>
      <w:r w:rsidRPr="00D5699F">
        <w:rPr>
          <w:rFonts w:ascii="Times New Roman" w:eastAsia="Times New Roman" w:hAnsi="Times New Roman"/>
          <w:sz w:val="24"/>
          <w:szCs w:val="24"/>
          <w:u w:val="single"/>
          <w:lang w:eastAsia="pl-PL"/>
        </w:rPr>
        <w:t>FINLANDIA</w:t>
      </w:r>
    </w:p>
    <w:p w:rsidR="00200B09" w:rsidRPr="00A31252" w:rsidRDefault="00200B09" w:rsidP="00ED7591">
      <w:pPr>
        <w:numPr>
          <w:ilvl w:val="0"/>
          <w:numId w:val="5"/>
        </w:numPr>
        <w:tabs>
          <w:tab w:val="num" w:pos="360"/>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 art. 28 VML</w:t>
      </w:r>
    </w:p>
    <w:p w:rsidR="00200B09" w:rsidRPr="00A31252" w:rsidRDefault="00200B09" w:rsidP="00ED7591">
      <w:pPr>
        <w:spacing w:after="0" w:line="360" w:lineRule="auto"/>
        <w:jc w:val="both"/>
        <w:rPr>
          <w:rFonts w:ascii="Times New Roman" w:eastAsia="Times New Roman" w:hAnsi="Times New Roman"/>
          <w:sz w:val="24"/>
          <w:szCs w:val="24"/>
          <w:lang w:eastAsia="pl-PL"/>
        </w:rPr>
      </w:pPr>
      <w:r w:rsidRPr="00A31252">
        <w:rPr>
          <w:rFonts w:ascii="Times New Roman" w:eastAsia="Times New Roman" w:hAnsi="Times New Roman"/>
          <w:sz w:val="24"/>
          <w:szCs w:val="24"/>
          <w:lang w:eastAsia="pl-PL"/>
        </w:rPr>
        <w:t xml:space="preserve">„1. Gdy transakcji lub innemu zdarzeniu nadano formę prawną niewspółmierną do ich rzeczywistego charakteru i znaczenia, dla celów opodatkowania bierze się pod uwagę właściwą formę prawną. Jeżeli jest oczywiste, że cena sprzedaży, inne świadczenia lub </w:t>
      </w:r>
      <w:r w:rsidRPr="00A31252">
        <w:rPr>
          <w:rFonts w:ascii="Times New Roman" w:eastAsia="Times New Roman" w:hAnsi="Times New Roman"/>
          <w:sz w:val="24"/>
          <w:szCs w:val="24"/>
          <w:lang w:eastAsia="pl-PL"/>
        </w:rPr>
        <w:lastRenderedPageBreak/>
        <w:t>termin spełnienia świadczenia w umowie sprzedaży albo innej umowie zostały określone w celu uniknięcia zapłaty podatku albo też w tym celu zostało podjęte inne działanie, organ podatkowy jest uprawniony do oszacowania przychodu i majątku podlegającego opodatkowaniu.</w:t>
      </w:r>
    </w:p>
    <w:p w:rsidR="00200B09" w:rsidRDefault="00200B09" w:rsidP="00ED7591">
      <w:pPr>
        <w:spacing w:after="0" w:line="360" w:lineRule="auto"/>
        <w:jc w:val="both"/>
        <w:rPr>
          <w:rFonts w:ascii="Times New Roman" w:eastAsia="Times New Roman" w:hAnsi="Times New Roman"/>
          <w:sz w:val="24"/>
          <w:szCs w:val="24"/>
          <w:lang w:eastAsia="pl-PL"/>
        </w:rPr>
      </w:pPr>
      <w:r w:rsidRPr="00A31252">
        <w:rPr>
          <w:rFonts w:ascii="Times New Roman" w:eastAsia="Times New Roman" w:hAnsi="Times New Roman"/>
          <w:sz w:val="24"/>
          <w:szCs w:val="24"/>
          <w:lang w:eastAsia="pl-PL"/>
        </w:rPr>
        <w:t>2. W przypadku zaistnienia okoliczności</w:t>
      </w:r>
      <w:r w:rsidR="00EF1AF0">
        <w:rPr>
          <w:rFonts w:ascii="Times New Roman" w:eastAsia="Times New Roman" w:hAnsi="Times New Roman"/>
          <w:sz w:val="24"/>
          <w:szCs w:val="24"/>
          <w:lang w:eastAsia="pl-PL"/>
        </w:rPr>
        <w:t>,</w:t>
      </w:r>
      <w:r w:rsidRPr="00A31252">
        <w:rPr>
          <w:rFonts w:ascii="Times New Roman" w:eastAsia="Times New Roman" w:hAnsi="Times New Roman"/>
          <w:sz w:val="24"/>
          <w:szCs w:val="24"/>
          <w:lang w:eastAsia="pl-PL"/>
        </w:rPr>
        <w:t xml:space="preserve"> o których mowa w pkt 1</w:t>
      </w:r>
      <w:r w:rsidR="00EF1AF0">
        <w:rPr>
          <w:rFonts w:ascii="Times New Roman" w:eastAsia="Times New Roman" w:hAnsi="Times New Roman"/>
          <w:sz w:val="24"/>
          <w:szCs w:val="24"/>
          <w:lang w:eastAsia="pl-PL"/>
        </w:rPr>
        <w:t>,</w:t>
      </w:r>
      <w:r w:rsidRPr="00A31252">
        <w:rPr>
          <w:rFonts w:ascii="Times New Roman" w:eastAsia="Times New Roman" w:hAnsi="Times New Roman"/>
          <w:sz w:val="24"/>
          <w:szCs w:val="24"/>
          <w:lang w:eastAsia="pl-PL"/>
        </w:rPr>
        <w:t xml:space="preserve"> organ podatkowy zbada wnikliwie wszystkie okoliczności niezbędne do wydawania rozstrzygnięcia w</w:t>
      </w:r>
      <w:r w:rsidR="00BB1903">
        <w:rPr>
          <w:rFonts w:ascii="Times New Roman" w:eastAsia="Times New Roman" w:hAnsi="Times New Roman"/>
          <w:sz w:val="24"/>
          <w:szCs w:val="24"/>
          <w:lang w:eastAsia="pl-PL"/>
        </w:rPr>
        <w:t> </w:t>
      </w:r>
      <w:r w:rsidRPr="00A31252">
        <w:rPr>
          <w:rFonts w:ascii="Times New Roman" w:eastAsia="Times New Roman" w:hAnsi="Times New Roman"/>
          <w:sz w:val="24"/>
          <w:szCs w:val="24"/>
          <w:lang w:eastAsia="pl-PL"/>
        </w:rPr>
        <w:t xml:space="preserve">sprawie i umożliwi podatnikowi złożenie wyjaśnień w tym zakresie. Jeżeli podatnik nie wykaże, że forma prawna nadana transakcji lub innemu zdarzeniu odpowiada ich rzeczywistemu charakterowi i znaczeniu, albo że transakcja nie została przeprowadzona w oczywistym celu uniknięcia podatku, organ podatkowy przy określaniu wysokości podatku zastosuje przepis ust. </w:t>
      </w:r>
      <w:smartTag w:uri="urn:schemas-microsoft-com:office:smarttags" w:element="metricconverter">
        <w:smartTagPr>
          <w:attr w:name="ProductID" w:val="1”"/>
        </w:smartTagPr>
        <w:r w:rsidRPr="00A31252">
          <w:rPr>
            <w:rFonts w:ascii="Times New Roman" w:eastAsia="Times New Roman" w:hAnsi="Times New Roman"/>
            <w:sz w:val="24"/>
            <w:szCs w:val="24"/>
            <w:lang w:eastAsia="pl-PL"/>
          </w:rPr>
          <w:t>1”</w:t>
        </w:r>
        <w:r w:rsidR="00EF1AF0">
          <w:rPr>
            <w:rFonts w:ascii="Times New Roman" w:eastAsia="Times New Roman" w:hAnsi="Times New Roman"/>
            <w:sz w:val="24"/>
            <w:szCs w:val="24"/>
            <w:lang w:eastAsia="pl-PL"/>
          </w:rPr>
          <w:t>.</w:t>
        </w:r>
      </w:smartTag>
    </w:p>
    <w:p w:rsidR="00200B09" w:rsidRPr="00D5699F" w:rsidRDefault="00200B09" w:rsidP="00D5699F">
      <w:pPr>
        <w:spacing w:before="240" w:after="0" w:line="360" w:lineRule="auto"/>
        <w:jc w:val="both"/>
        <w:rPr>
          <w:rFonts w:ascii="Times New Roman" w:eastAsia="Times New Roman" w:hAnsi="Times New Roman"/>
          <w:sz w:val="24"/>
          <w:szCs w:val="24"/>
          <w:u w:val="single"/>
          <w:lang w:val="en-US" w:eastAsia="pl-PL"/>
        </w:rPr>
      </w:pPr>
      <w:bookmarkStart w:id="1" w:name="gtha_fr_s_7.1."/>
      <w:bookmarkEnd w:id="1"/>
      <w:r w:rsidRPr="00D5699F">
        <w:rPr>
          <w:rFonts w:ascii="Times New Roman" w:eastAsia="Times New Roman" w:hAnsi="Times New Roman"/>
          <w:sz w:val="24"/>
          <w:szCs w:val="24"/>
          <w:u w:val="single"/>
          <w:lang w:val="en-US" w:eastAsia="pl-PL"/>
        </w:rPr>
        <w:t>FRANCJA</w:t>
      </w:r>
    </w:p>
    <w:p w:rsidR="00200B09" w:rsidRPr="00A31252" w:rsidRDefault="00200B09" w:rsidP="00ED7591">
      <w:pPr>
        <w:numPr>
          <w:ilvl w:val="0"/>
          <w:numId w:val="5"/>
        </w:numPr>
        <w:tabs>
          <w:tab w:val="clear" w:pos="720"/>
          <w:tab w:val="num" w:pos="567"/>
        </w:tabs>
        <w:spacing w:after="0" w:line="360" w:lineRule="auto"/>
        <w:ind w:left="0" w:firstLine="0"/>
        <w:jc w:val="both"/>
        <w:rPr>
          <w:rFonts w:ascii="Times New Roman" w:eastAsia="Times New Roman" w:hAnsi="Times New Roman"/>
          <w:sz w:val="24"/>
          <w:szCs w:val="24"/>
          <w:u w:val="single"/>
          <w:lang w:val="en-US" w:eastAsia="pl-PL"/>
        </w:rPr>
      </w:pPr>
      <w:r w:rsidRPr="00A31252">
        <w:rPr>
          <w:rFonts w:ascii="Times New Roman" w:eastAsia="Times New Roman" w:hAnsi="Times New Roman"/>
          <w:sz w:val="24"/>
          <w:szCs w:val="24"/>
          <w:u w:val="single"/>
          <w:lang w:val="en-US" w:eastAsia="pl-PL"/>
        </w:rPr>
        <w:t xml:space="preserve">Brzmienie art. 64 </w:t>
      </w:r>
      <w:r w:rsidRPr="00A31252">
        <w:rPr>
          <w:rFonts w:ascii="Times New Roman" w:eastAsia="Times New Roman" w:hAnsi="Times New Roman"/>
          <w:sz w:val="24"/>
          <w:szCs w:val="24"/>
          <w:u w:val="single"/>
          <w:lang w:val="fr-FR" w:eastAsia="pl-PL"/>
        </w:rPr>
        <w:t>Livre des procedures fiscales</w:t>
      </w:r>
    </w:p>
    <w:p w:rsidR="00200B09" w:rsidRPr="00A31252" w:rsidRDefault="00200B09" w:rsidP="00ED7591">
      <w:pPr>
        <w:spacing w:after="0" w:line="360" w:lineRule="auto"/>
        <w:jc w:val="both"/>
        <w:rPr>
          <w:rFonts w:ascii="Times New Roman" w:eastAsia="Times New Roman" w:hAnsi="Times New Roman"/>
          <w:sz w:val="24"/>
          <w:szCs w:val="24"/>
          <w:lang w:val="fr-FR" w:eastAsia="pl-PL"/>
        </w:rPr>
      </w:pPr>
      <w:r w:rsidRPr="00A31252">
        <w:rPr>
          <w:rFonts w:ascii="Times New Roman" w:eastAsia="Times New Roman" w:hAnsi="Times New Roman"/>
          <w:sz w:val="24"/>
          <w:szCs w:val="24"/>
          <w:lang w:val="fr-FR" w:eastAsia="pl-PL"/>
        </w:rPr>
        <w:t>Sans préjudice de la sanction de nullité prévue à l'article 2013 du code civil, les contrats de fiducie consentis dans une intention libérale au sens de l'article 792 bis du code général des impôts et qui conduisent à une minoration des droits au titre de tous impôts et taxes dus par l'une quelconque des personnes parties au contrat ou en tenant des droits ne peuvent être opposés à l'administration qui est en droit de restituer son véritable caractère à l'opération litigieuse.</w:t>
      </w:r>
    </w:p>
    <w:p w:rsidR="00200B09" w:rsidRPr="00A31252" w:rsidRDefault="00200B09" w:rsidP="00ED7591">
      <w:pPr>
        <w:numPr>
          <w:ilvl w:val="0"/>
          <w:numId w:val="5"/>
        </w:numPr>
        <w:tabs>
          <w:tab w:val="num" w:pos="360"/>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 przepisu</w:t>
      </w:r>
    </w:p>
    <w:p w:rsidR="005A5786" w:rsidRPr="00ED7591" w:rsidRDefault="005A5786" w:rsidP="00ED7591">
      <w:pPr>
        <w:spacing w:after="0" w:line="360" w:lineRule="auto"/>
        <w:jc w:val="both"/>
        <w:rPr>
          <w:rFonts w:ascii="Times New Roman" w:eastAsia="Times New Roman" w:hAnsi="Times New Roman"/>
          <w:sz w:val="24"/>
          <w:szCs w:val="24"/>
          <w:lang w:eastAsia="pl-PL"/>
        </w:rPr>
      </w:pPr>
      <w:r w:rsidRPr="00ED7591">
        <w:rPr>
          <w:rFonts w:ascii="Times New Roman" w:eastAsia="Times New Roman" w:hAnsi="Times New Roman"/>
          <w:sz w:val="24"/>
          <w:szCs w:val="24"/>
          <w:lang w:eastAsia="pl-PL"/>
        </w:rPr>
        <w:t>Bez szkody dla/bez znoszenia/pamiętając, pod rygo</w:t>
      </w:r>
      <w:r w:rsidR="00BB1903">
        <w:rPr>
          <w:rFonts w:ascii="Times New Roman" w:eastAsia="Times New Roman" w:hAnsi="Times New Roman"/>
          <w:sz w:val="24"/>
          <w:szCs w:val="24"/>
          <w:lang w:eastAsia="pl-PL"/>
        </w:rPr>
        <w:t>rem nieważności przewidzianym w </w:t>
      </w:r>
      <w:r w:rsidRPr="00ED7591">
        <w:rPr>
          <w:rFonts w:ascii="Times New Roman" w:eastAsia="Times New Roman" w:hAnsi="Times New Roman"/>
          <w:sz w:val="24"/>
          <w:szCs w:val="24"/>
          <w:lang w:eastAsia="pl-PL"/>
        </w:rPr>
        <w:t>art. 2013 k.c. umowy ... zawartej w oświadczeniu woli w myśl art. 792.2 kodeksu podatkowego, i które prowadzą do/z których wynika ograniczenie/zmniejszenie praw względem wszelkich podatków należnych od którejkolwiek ze stron umowy, nie może być zaskarżona administracyjnie, bądź która ma prawo przywrócić właściwość charakteru sprawy spornej (oszacować wartość spornej operacji/sprawy).</w:t>
      </w:r>
    </w:p>
    <w:p w:rsidR="00200B09" w:rsidRPr="00D5699F" w:rsidRDefault="00200B09" w:rsidP="00D5699F">
      <w:pPr>
        <w:spacing w:before="240" w:after="0" w:line="360" w:lineRule="auto"/>
        <w:jc w:val="both"/>
        <w:rPr>
          <w:rFonts w:ascii="Times New Roman" w:eastAsia="Times New Roman" w:hAnsi="Times New Roman"/>
          <w:sz w:val="24"/>
          <w:szCs w:val="24"/>
          <w:u w:val="single"/>
          <w:lang w:val="de-DE" w:eastAsia="pl-PL"/>
        </w:rPr>
      </w:pPr>
      <w:r w:rsidRPr="00D5699F">
        <w:rPr>
          <w:rFonts w:ascii="Times New Roman" w:eastAsia="Times New Roman" w:hAnsi="Times New Roman"/>
          <w:sz w:val="24"/>
          <w:szCs w:val="24"/>
          <w:u w:val="single"/>
          <w:lang w:val="de-DE" w:eastAsia="pl-PL"/>
        </w:rPr>
        <w:t>NIEMCY</w:t>
      </w:r>
    </w:p>
    <w:p w:rsidR="00200B09" w:rsidRPr="00A31252" w:rsidRDefault="00200B0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val="de-DE" w:eastAsia="pl-PL"/>
        </w:rPr>
      </w:pPr>
      <w:r w:rsidRPr="00A31252">
        <w:rPr>
          <w:rFonts w:ascii="Times New Roman" w:eastAsia="Times New Roman" w:hAnsi="Times New Roman"/>
          <w:sz w:val="24"/>
          <w:szCs w:val="24"/>
          <w:u w:val="single"/>
          <w:lang w:val="de-DE" w:eastAsia="pl-PL"/>
        </w:rPr>
        <w:t>Brzmienie art. 42 Kodeksu Fiskalnego (Abgabenordnung)</w:t>
      </w:r>
    </w:p>
    <w:p w:rsidR="00200B09" w:rsidRPr="00DD11C8" w:rsidRDefault="00BB0E92" w:rsidP="00ED7591">
      <w:pPr>
        <w:tabs>
          <w:tab w:val="left" w:pos="426"/>
        </w:tabs>
        <w:spacing w:after="0" w:line="360" w:lineRule="auto"/>
        <w:jc w:val="both"/>
        <w:rPr>
          <w:rFonts w:ascii="Times New Roman" w:eastAsia="Times New Roman" w:hAnsi="Times New Roman"/>
          <w:bCs/>
          <w:sz w:val="24"/>
          <w:szCs w:val="24"/>
          <w:lang w:val="en-US" w:eastAsia="pl-PL"/>
        </w:rPr>
      </w:pPr>
      <w:r>
        <w:rPr>
          <w:rFonts w:ascii="Times New Roman" w:eastAsia="Times New Roman" w:hAnsi="Times New Roman"/>
          <w:sz w:val="24"/>
          <w:szCs w:val="24"/>
          <w:lang w:val="de-DE" w:eastAsia="pl-PL"/>
        </w:rPr>
        <w:t>1)</w:t>
      </w:r>
      <w:r>
        <w:rPr>
          <w:rFonts w:ascii="Times New Roman" w:eastAsia="Times New Roman" w:hAnsi="Times New Roman"/>
          <w:sz w:val="24"/>
          <w:szCs w:val="24"/>
          <w:lang w:val="de-DE" w:eastAsia="pl-PL"/>
        </w:rPr>
        <w:tab/>
      </w:r>
      <w:r w:rsidR="00200B09" w:rsidRPr="00BB0E92">
        <w:rPr>
          <w:rFonts w:ascii="Times New Roman" w:eastAsia="Times New Roman" w:hAnsi="Times New Roman"/>
          <w:bCs/>
          <w:sz w:val="24"/>
          <w:szCs w:val="24"/>
          <w:lang w:val="en-US" w:eastAsia="pl-PL"/>
        </w:rPr>
        <w:t xml:space="preserve">Durch Missbrauch von Gestaltungsmöglichkeiten des Rechts kann das Steuergesetz nicht umgangen werden. </w:t>
      </w:r>
      <w:r w:rsidR="00200B09" w:rsidRPr="00DD11C8">
        <w:rPr>
          <w:rFonts w:ascii="Times New Roman" w:eastAsia="Times New Roman" w:hAnsi="Times New Roman"/>
          <w:bCs/>
          <w:sz w:val="24"/>
          <w:szCs w:val="24"/>
          <w:lang w:val="en-US" w:eastAsia="pl-PL"/>
        </w:rPr>
        <w:t xml:space="preserve">Ist der Tatbestand einer Regelung in einem Einzelsteuergesetz erfüllt, die der Verhinderung von Steuerumgehungen dient, so bestimmen sich die Rechtsfolgen nach jener Vorschrift. Anderenfalls entsteht der Steueranspruch beim </w:t>
      </w:r>
      <w:r w:rsidR="00200B09" w:rsidRPr="00DD11C8">
        <w:rPr>
          <w:rFonts w:ascii="Times New Roman" w:eastAsia="Times New Roman" w:hAnsi="Times New Roman"/>
          <w:bCs/>
          <w:sz w:val="24"/>
          <w:szCs w:val="24"/>
          <w:lang w:val="en-US" w:eastAsia="pl-PL"/>
        </w:rPr>
        <w:lastRenderedPageBreak/>
        <w:t>Vorliegen eines Missbrauchs im Sinne des Absatzes 2 so, wie er bei einer den wirtschaftlichen Vorgängen angemessenen rechtlichen Gestaltung entsteht.</w:t>
      </w:r>
    </w:p>
    <w:p w:rsidR="00200B09" w:rsidRPr="00A31252" w:rsidRDefault="00DF1E0F" w:rsidP="00ED7591">
      <w:pPr>
        <w:tabs>
          <w:tab w:val="left" w:pos="426"/>
        </w:tabs>
        <w:spacing w:after="0" w:line="360" w:lineRule="auto"/>
        <w:jc w:val="both"/>
        <w:rPr>
          <w:rFonts w:ascii="Times New Roman" w:eastAsia="Times New Roman" w:hAnsi="Times New Roman"/>
          <w:sz w:val="24"/>
          <w:szCs w:val="24"/>
          <w:lang w:val="de-DE" w:eastAsia="pl-PL"/>
        </w:rPr>
      </w:pPr>
      <w:r w:rsidRPr="00DD11C8">
        <w:rPr>
          <w:rFonts w:ascii="Times New Roman" w:eastAsia="Times New Roman" w:hAnsi="Times New Roman"/>
          <w:bCs/>
          <w:sz w:val="24"/>
          <w:szCs w:val="24"/>
          <w:lang w:val="en-US" w:eastAsia="pl-PL"/>
        </w:rPr>
        <w:t>(2)</w:t>
      </w:r>
      <w:r w:rsidRPr="00DD11C8">
        <w:rPr>
          <w:rFonts w:ascii="Times New Roman" w:eastAsia="Times New Roman" w:hAnsi="Times New Roman"/>
          <w:bCs/>
          <w:sz w:val="24"/>
          <w:szCs w:val="24"/>
          <w:lang w:val="en-US" w:eastAsia="pl-PL"/>
        </w:rPr>
        <w:tab/>
      </w:r>
      <w:r w:rsidR="00200B09" w:rsidRPr="00DD11C8">
        <w:rPr>
          <w:rFonts w:ascii="Times New Roman" w:eastAsia="Times New Roman" w:hAnsi="Times New Roman"/>
          <w:bCs/>
          <w:sz w:val="24"/>
          <w:szCs w:val="24"/>
          <w:lang w:val="en-US" w:eastAsia="pl-PL"/>
        </w:rPr>
        <w:t xml:space="preserve">Ein Missbrauch liegt vor, wenn eine unangemessene rechtliche Gestaltung gewählt wird, die beim </w:t>
      </w:r>
      <w:r w:rsidR="00200B09" w:rsidRPr="00ED7591">
        <w:rPr>
          <w:rFonts w:ascii="Times New Roman" w:eastAsia="Times New Roman" w:hAnsi="Times New Roman"/>
          <w:bCs/>
          <w:sz w:val="24"/>
          <w:szCs w:val="24"/>
          <w:lang w:val="en-US" w:eastAsia="pl-PL"/>
        </w:rPr>
        <w:t>Steuerpflichtigen</w:t>
      </w:r>
      <w:r w:rsidR="00200B09" w:rsidRPr="00DD11C8">
        <w:rPr>
          <w:rFonts w:ascii="Times New Roman" w:eastAsia="Times New Roman" w:hAnsi="Times New Roman"/>
          <w:bCs/>
          <w:sz w:val="24"/>
          <w:szCs w:val="24"/>
          <w:lang w:val="en-US" w:eastAsia="pl-PL"/>
        </w:rPr>
        <w:t xml:space="preserve"> oder einem Dritten im Vergleich zu einer angemessenen Gestaltung zu einem gesetzlich nicht vorgesehenen Steuervorteil führt. Dies gilt nicht, wenn der Steuerpflichtige für die gewählte Gestaltung außersteuerliche Gründe nachweist</w:t>
      </w:r>
      <w:r w:rsidR="00200B09" w:rsidRPr="00A31252">
        <w:rPr>
          <w:rFonts w:ascii="Times New Roman" w:eastAsia="Times New Roman" w:hAnsi="Times New Roman"/>
          <w:sz w:val="24"/>
          <w:szCs w:val="24"/>
          <w:lang w:val="de-DE" w:eastAsia="pl-PL"/>
        </w:rPr>
        <w:t>, die nach dem Gesamtbild der Verhältnisse beachtlich.</w:t>
      </w:r>
    </w:p>
    <w:p w:rsidR="00200B09" w:rsidRPr="00A31252" w:rsidRDefault="00200B0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w:t>
      </w:r>
    </w:p>
    <w:p w:rsidR="00200B09" w:rsidRPr="00A31252" w:rsidRDefault="00BB0E92" w:rsidP="00ED7591">
      <w:pPr>
        <w:tabs>
          <w:tab w:val="left" w:pos="426"/>
        </w:tabs>
        <w:spacing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(1)</w:t>
      </w:r>
      <w:r>
        <w:rPr>
          <w:rFonts w:ascii="Times New Roman" w:eastAsia="Times New Roman" w:hAnsi="Times New Roman"/>
          <w:bCs/>
          <w:sz w:val="24"/>
          <w:szCs w:val="24"/>
          <w:lang w:eastAsia="pl-PL"/>
        </w:rPr>
        <w:tab/>
      </w:r>
      <w:r w:rsidR="00200B09" w:rsidRPr="00A31252">
        <w:rPr>
          <w:rFonts w:ascii="Times New Roman" w:eastAsia="Times New Roman" w:hAnsi="Times New Roman"/>
          <w:bCs/>
          <w:sz w:val="24"/>
          <w:szCs w:val="24"/>
          <w:lang w:eastAsia="pl-PL"/>
        </w:rPr>
        <w:t>Nie jest możliwe obejście prawa podatkowego poprzez nadużycie możliwości kształtowania prawa. Jeżeli postanowienia prawa podatkowego, które zapobiegają obejściu prawa są spełnione, prawne konsekwencje w</w:t>
      </w:r>
      <w:r w:rsidR="00BB1903">
        <w:rPr>
          <w:rFonts w:ascii="Times New Roman" w:eastAsia="Times New Roman" w:hAnsi="Times New Roman"/>
          <w:bCs/>
          <w:sz w:val="24"/>
          <w:szCs w:val="24"/>
          <w:lang w:eastAsia="pl-PL"/>
        </w:rPr>
        <w:t>ynikają z takich postanowień. W </w:t>
      </w:r>
      <w:r w:rsidR="00200B09" w:rsidRPr="00A31252">
        <w:rPr>
          <w:rFonts w:ascii="Times New Roman" w:eastAsia="Times New Roman" w:hAnsi="Times New Roman"/>
          <w:bCs/>
          <w:sz w:val="24"/>
          <w:szCs w:val="24"/>
          <w:lang w:eastAsia="pl-PL"/>
        </w:rPr>
        <w:t>przeciwnym razie, w przypadku nadużycia określonego w paragrafie 2, zobowiązanie podatkowe powstaje w taki sposób, w jaki powstałoby, gdyby została wybrana czynność prawna odpowiednia / adekwatna dla danej transakcji.</w:t>
      </w:r>
    </w:p>
    <w:p w:rsidR="00200B09" w:rsidRPr="00A31252" w:rsidRDefault="00200B09" w:rsidP="00ED7591">
      <w:pPr>
        <w:tabs>
          <w:tab w:val="left" w:pos="426"/>
        </w:tabs>
        <w:spacing w:after="0" w:line="360" w:lineRule="auto"/>
        <w:jc w:val="both"/>
        <w:rPr>
          <w:rFonts w:ascii="Times New Roman" w:eastAsia="Times New Roman" w:hAnsi="Times New Roman"/>
          <w:sz w:val="24"/>
          <w:szCs w:val="24"/>
          <w:lang w:eastAsia="pl-PL"/>
        </w:rPr>
      </w:pPr>
      <w:r w:rsidRPr="00A31252">
        <w:rPr>
          <w:rFonts w:ascii="Times New Roman" w:eastAsia="Times New Roman" w:hAnsi="Times New Roman"/>
          <w:sz w:val="24"/>
          <w:szCs w:val="24"/>
          <w:lang w:eastAsia="pl-PL"/>
        </w:rPr>
        <w:t>(2)</w:t>
      </w:r>
      <w:r w:rsidR="00BB0E92">
        <w:rPr>
          <w:rFonts w:ascii="Times New Roman" w:eastAsia="Times New Roman" w:hAnsi="Times New Roman"/>
          <w:sz w:val="24"/>
          <w:szCs w:val="24"/>
          <w:lang w:eastAsia="pl-PL"/>
        </w:rPr>
        <w:tab/>
      </w:r>
      <w:r w:rsidRPr="00A31252">
        <w:rPr>
          <w:rFonts w:ascii="Times New Roman" w:eastAsia="Times New Roman" w:hAnsi="Times New Roman"/>
          <w:sz w:val="24"/>
          <w:szCs w:val="24"/>
          <w:lang w:eastAsia="pl-PL"/>
        </w:rPr>
        <w:t>Nadużycie występuje, jeżeli wybrano nie</w:t>
      </w:r>
      <w:r w:rsidR="00BB1903">
        <w:rPr>
          <w:rFonts w:ascii="Times New Roman" w:eastAsia="Times New Roman" w:hAnsi="Times New Roman"/>
          <w:sz w:val="24"/>
          <w:szCs w:val="24"/>
          <w:lang w:eastAsia="pl-PL"/>
        </w:rPr>
        <w:t>adekwatną formę prawną, która w </w:t>
      </w:r>
      <w:r w:rsidRPr="00ED7591">
        <w:rPr>
          <w:rFonts w:ascii="Times New Roman" w:eastAsia="Times New Roman" w:hAnsi="Times New Roman"/>
          <w:bCs/>
          <w:sz w:val="24"/>
          <w:szCs w:val="24"/>
          <w:lang w:eastAsia="pl-PL"/>
        </w:rPr>
        <w:t>porównaniu</w:t>
      </w:r>
      <w:r w:rsidRPr="00A31252">
        <w:rPr>
          <w:rFonts w:ascii="Times New Roman" w:eastAsia="Times New Roman" w:hAnsi="Times New Roman"/>
          <w:sz w:val="24"/>
          <w:szCs w:val="24"/>
          <w:lang w:eastAsia="pl-PL"/>
        </w:rPr>
        <w:t xml:space="preserve"> z odpowiednia formą prawną, prowadzi do korzyści podatkowych podatnika lub </w:t>
      </w:r>
      <w:r w:rsidRPr="00ED7591">
        <w:rPr>
          <w:rFonts w:ascii="Times New Roman" w:eastAsia="Times New Roman" w:hAnsi="Times New Roman"/>
          <w:bCs/>
          <w:sz w:val="24"/>
          <w:szCs w:val="24"/>
          <w:lang w:eastAsia="pl-PL"/>
        </w:rPr>
        <w:t>osób</w:t>
      </w:r>
      <w:r w:rsidRPr="00A31252">
        <w:rPr>
          <w:rFonts w:ascii="Times New Roman" w:eastAsia="Times New Roman" w:hAnsi="Times New Roman"/>
          <w:sz w:val="24"/>
          <w:szCs w:val="24"/>
          <w:lang w:eastAsia="pl-PL"/>
        </w:rPr>
        <w:t xml:space="preserve"> trzecich, nieprzewidzianych przez prawo. Jeżeli nie jest możliwe udowodnienie istnienia powodów wypływających spoza prawa podatkowego, podatek stanie się należnym w takiej wysokości, w jakiej byłby należny, gdyby transakcja przybrała adekwatną formę czynności prawnej.</w:t>
      </w:r>
    </w:p>
    <w:p w:rsidR="00200B09" w:rsidRPr="00D5699F" w:rsidRDefault="00200B09" w:rsidP="00D5699F">
      <w:pPr>
        <w:spacing w:before="240" w:after="0" w:line="360" w:lineRule="auto"/>
        <w:jc w:val="both"/>
        <w:rPr>
          <w:rFonts w:ascii="Times New Roman" w:eastAsia="Times New Roman" w:hAnsi="Times New Roman"/>
          <w:sz w:val="24"/>
          <w:szCs w:val="24"/>
          <w:u w:val="single"/>
          <w:lang w:val="en-US" w:eastAsia="pl-PL"/>
        </w:rPr>
      </w:pPr>
      <w:r w:rsidRPr="00D5699F">
        <w:rPr>
          <w:rFonts w:ascii="Times New Roman" w:eastAsia="Times New Roman" w:hAnsi="Times New Roman"/>
          <w:sz w:val="24"/>
          <w:szCs w:val="24"/>
          <w:u w:val="single"/>
          <w:lang w:val="en-US" w:eastAsia="pl-PL"/>
        </w:rPr>
        <w:t>LUKSEMBURG</w:t>
      </w:r>
    </w:p>
    <w:p w:rsidR="00200B09" w:rsidRPr="00A47282" w:rsidRDefault="00200B0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Brzmienie</w:t>
      </w:r>
      <w:r w:rsidRPr="00A47282">
        <w:rPr>
          <w:rFonts w:ascii="Times New Roman" w:eastAsia="Times New Roman" w:hAnsi="Times New Roman"/>
          <w:sz w:val="24"/>
          <w:szCs w:val="24"/>
          <w:u w:val="single"/>
          <w:lang w:eastAsia="pl-PL"/>
        </w:rPr>
        <w:t xml:space="preserve"> art. 6 par. 1 i 2 StAnpG</w:t>
      </w:r>
    </w:p>
    <w:p w:rsidR="00200B09" w:rsidRPr="00A31252" w:rsidRDefault="00200B09" w:rsidP="00ED7591">
      <w:pPr>
        <w:spacing w:after="0" w:line="360" w:lineRule="auto"/>
        <w:jc w:val="both"/>
        <w:rPr>
          <w:rFonts w:ascii="Times New Roman" w:eastAsia="Times New Roman" w:hAnsi="Times New Roman"/>
          <w:sz w:val="24"/>
          <w:szCs w:val="24"/>
          <w:lang w:val="en-US" w:eastAsia="pl-PL"/>
        </w:rPr>
      </w:pPr>
      <w:r w:rsidRPr="00A31252">
        <w:rPr>
          <w:rFonts w:ascii="Times New Roman" w:eastAsia="Times New Roman" w:hAnsi="Times New Roman"/>
          <w:sz w:val="24"/>
          <w:szCs w:val="24"/>
          <w:lang w:val="en-US" w:eastAsia="pl-PL"/>
        </w:rPr>
        <w:t>Taxes may not be evaded or mitigated by abuse of forms or constructions which are legal under civil law. In the case of abuse, taxes should be levied as they would have been levied under the legal construction appropriate to the economic operations, facts and circumstances.</w:t>
      </w:r>
    </w:p>
    <w:p w:rsidR="00200B09" w:rsidRPr="00A31252" w:rsidRDefault="00200B09" w:rsidP="00ED7591">
      <w:pPr>
        <w:numPr>
          <w:ilvl w:val="0"/>
          <w:numId w:val="5"/>
        </w:numPr>
        <w:tabs>
          <w:tab w:val="num" w:pos="360"/>
        </w:tabs>
        <w:spacing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w:t>
      </w:r>
    </w:p>
    <w:p w:rsidR="00200B09" w:rsidRPr="00A31252" w:rsidRDefault="00200B09" w:rsidP="00ED7591">
      <w:pPr>
        <w:autoSpaceDE w:val="0"/>
        <w:autoSpaceDN w:val="0"/>
        <w:adjustRightInd w:val="0"/>
        <w:spacing w:after="0" w:line="360" w:lineRule="auto"/>
        <w:jc w:val="both"/>
        <w:rPr>
          <w:rFonts w:ascii="Times New Roman" w:eastAsia="Times New Roman" w:hAnsi="Times New Roman"/>
          <w:sz w:val="24"/>
          <w:szCs w:val="24"/>
          <w:lang w:eastAsia="pl-PL"/>
        </w:rPr>
      </w:pPr>
      <w:r w:rsidRPr="00A31252">
        <w:rPr>
          <w:rFonts w:ascii="Times New Roman" w:eastAsia="Times New Roman" w:hAnsi="Times New Roman"/>
          <w:sz w:val="24"/>
          <w:szCs w:val="24"/>
          <w:lang w:eastAsia="pl-PL"/>
        </w:rPr>
        <w:t>Zobowiązanie podatkowe nie może być uchylone lub zmniejszone poprzez nadużywanie form lub konstrukcji czynności prawnych dozwolonych w prawie cywilnym. W sytuacji takiego nadużycia, zobowiązanie podatkowe określa się w takiej wysokości, w jakiej powstałoby w wyniku przyjęcia dozwolonej formy odpowiadającej czynnościom gospoda</w:t>
      </w:r>
      <w:r w:rsidR="00EF1AF0">
        <w:rPr>
          <w:rFonts w:ascii="Times New Roman" w:eastAsia="Times New Roman" w:hAnsi="Times New Roman"/>
          <w:sz w:val="24"/>
          <w:szCs w:val="24"/>
          <w:lang w:eastAsia="pl-PL"/>
        </w:rPr>
        <w:t>rczym, faktom i okolicznością.</w:t>
      </w:r>
    </w:p>
    <w:p w:rsidR="00D5699F" w:rsidRPr="006722F5" w:rsidRDefault="00D5699F" w:rsidP="00ED7591">
      <w:pPr>
        <w:spacing w:after="0" w:line="360" w:lineRule="auto"/>
        <w:rPr>
          <w:rFonts w:ascii="Times New Roman" w:eastAsia="Times New Roman" w:hAnsi="Times New Roman"/>
          <w:sz w:val="24"/>
          <w:szCs w:val="24"/>
          <w:u w:val="single"/>
          <w:lang w:eastAsia="pl-PL"/>
        </w:rPr>
      </w:pPr>
    </w:p>
    <w:p w:rsidR="00B9541F" w:rsidRPr="00D5699F" w:rsidRDefault="00A67CA8" w:rsidP="00ED7591">
      <w:pPr>
        <w:spacing w:after="0" w:line="360" w:lineRule="auto"/>
        <w:rPr>
          <w:rFonts w:ascii="Times New Roman" w:eastAsia="Times New Roman" w:hAnsi="Times New Roman"/>
          <w:sz w:val="24"/>
          <w:szCs w:val="24"/>
          <w:u w:val="single"/>
          <w:lang w:val="en-US" w:eastAsia="pl-PL"/>
        </w:rPr>
      </w:pPr>
      <w:r w:rsidRPr="00D5699F">
        <w:rPr>
          <w:rFonts w:ascii="Times New Roman" w:eastAsia="Times New Roman" w:hAnsi="Times New Roman"/>
          <w:sz w:val="24"/>
          <w:szCs w:val="24"/>
          <w:u w:val="single"/>
          <w:lang w:val="en-US" w:eastAsia="pl-PL"/>
        </w:rPr>
        <w:lastRenderedPageBreak/>
        <w:t>WIELKA</w:t>
      </w:r>
      <w:r w:rsidR="00B9541F" w:rsidRPr="00D5699F">
        <w:rPr>
          <w:rFonts w:ascii="Times New Roman" w:eastAsia="Times New Roman" w:hAnsi="Times New Roman"/>
          <w:sz w:val="24"/>
          <w:szCs w:val="24"/>
          <w:u w:val="single"/>
          <w:lang w:val="en-US" w:eastAsia="pl-PL"/>
        </w:rPr>
        <w:t xml:space="preserve"> B</w:t>
      </w:r>
      <w:r w:rsidRPr="00D5699F">
        <w:rPr>
          <w:rFonts w:ascii="Times New Roman" w:eastAsia="Times New Roman" w:hAnsi="Times New Roman"/>
          <w:sz w:val="24"/>
          <w:szCs w:val="24"/>
          <w:u w:val="single"/>
          <w:lang w:val="en-US" w:eastAsia="pl-PL"/>
        </w:rPr>
        <w:t>RYTANIA</w:t>
      </w:r>
    </w:p>
    <w:p w:rsidR="00A67CA8" w:rsidRPr="00A31252" w:rsidRDefault="00190019" w:rsidP="00ED7591">
      <w:pPr>
        <w:numPr>
          <w:ilvl w:val="0"/>
          <w:numId w:val="5"/>
        </w:numPr>
        <w:tabs>
          <w:tab w:val="clear" w:pos="720"/>
          <w:tab w:val="num" w:pos="426"/>
        </w:tabs>
        <w:spacing w:after="0" w:line="360" w:lineRule="auto"/>
        <w:ind w:left="0" w:firstLine="0"/>
        <w:jc w:val="both"/>
        <w:rPr>
          <w:rFonts w:ascii="Times New Roman" w:eastAsia="Times New Roman" w:hAnsi="Times New Roman"/>
          <w:sz w:val="24"/>
          <w:szCs w:val="24"/>
          <w:u w:val="single"/>
          <w:lang w:eastAsia="pl-PL"/>
        </w:rPr>
      </w:pPr>
      <w:r>
        <w:rPr>
          <w:rFonts w:ascii="Times New Roman" w:eastAsia="Times New Roman" w:hAnsi="Times New Roman"/>
          <w:sz w:val="24"/>
          <w:szCs w:val="24"/>
          <w:u w:val="single"/>
          <w:lang w:eastAsia="pl-PL"/>
        </w:rPr>
        <w:t xml:space="preserve">Brzmienie </w:t>
      </w:r>
      <w:r w:rsidR="00BB0E92">
        <w:rPr>
          <w:rFonts w:ascii="Times New Roman" w:eastAsia="Times New Roman" w:hAnsi="Times New Roman"/>
          <w:sz w:val="24"/>
          <w:szCs w:val="24"/>
          <w:u w:val="single"/>
          <w:lang w:eastAsia="pl-PL"/>
        </w:rPr>
        <w:t>art. 206–</w:t>
      </w:r>
      <w:r w:rsidR="00A6627C" w:rsidRPr="00A31252">
        <w:rPr>
          <w:rFonts w:ascii="Times New Roman" w:eastAsia="Times New Roman" w:hAnsi="Times New Roman"/>
          <w:sz w:val="24"/>
          <w:szCs w:val="24"/>
          <w:u w:val="single"/>
          <w:lang w:eastAsia="pl-PL"/>
        </w:rPr>
        <w:t xml:space="preserve">209 </w:t>
      </w:r>
      <w:r w:rsidR="00A67CA8" w:rsidRPr="00A31252">
        <w:rPr>
          <w:rFonts w:ascii="Times New Roman" w:eastAsia="Times New Roman" w:hAnsi="Times New Roman"/>
          <w:sz w:val="24"/>
          <w:szCs w:val="24"/>
          <w:u w:val="single"/>
          <w:lang w:eastAsia="pl-PL"/>
        </w:rPr>
        <w:t xml:space="preserve">części 5 </w:t>
      </w:r>
      <w:r w:rsidR="00A67CA8" w:rsidRPr="00A31252">
        <w:rPr>
          <w:rFonts w:ascii="Times New Roman" w:eastAsia="Times New Roman" w:hAnsi="Times New Roman"/>
          <w:bCs/>
          <w:kern w:val="32"/>
          <w:sz w:val="24"/>
          <w:szCs w:val="24"/>
        </w:rPr>
        <w:t>FINANCE BILL 2013</w:t>
      </w:r>
      <w:r w:rsidR="00A67CA8" w:rsidRPr="00A31252">
        <w:rPr>
          <w:rFonts w:ascii="Times New Roman" w:eastAsia="Times New Roman" w:hAnsi="Times New Roman"/>
          <w:bCs/>
          <w:kern w:val="32"/>
          <w:sz w:val="24"/>
          <w:szCs w:val="24"/>
          <w:vertAlign w:val="superscript"/>
        </w:rPr>
        <w:footnoteReference w:id="6"/>
      </w:r>
      <w:r w:rsidR="00A47282" w:rsidRPr="00A47282">
        <w:rPr>
          <w:rFonts w:ascii="Times New Roman" w:eastAsia="Times New Roman" w:hAnsi="Times New Roman"/>
          <w:bCs/>
          <w:kern w:val="32"/>
          <w:sz w:val="24"/>
          <w:szCs w:val="24"/>
          <w:vertAlign w:val="superscript"/>
        </w:rPr>
        <w:t>)</w:t>
      </w:r>
    </w:p>
    <w:p w:rsidR="00A67CA8" w:rsidRPr="00D5699F" w:rsidRDefault="00A67CA8" w:rsidP="00D5699F">
      <w:pPr>
        <w:shd w:val="clear" w:color="auto" w:fill="FFFFFF"/>
        <w:spacing w:before="120" w:after="0" w:line="360" w:lineRule="auto"/>
        <w:jc w:val="both"/>
        <w:outlineLvl w:val="3"/>
        <w:rPr>
          <w:rFonts w:ascii="Times New Roman" w:eastAsia="Times New Roman" w:hAnsi="Times New Roman"/>
          <w:color w:val="000000"/>
          <w:sz w:val="24"/>
          <w:szCs w:val="24"/>
          <w:lang w:val="en" w:eastAsia="pl-PL"/>
        </w:rPr>
      </w:pPr>
      <w:r w:rsidRPr="00D5699F">
        <w:rPr>
          <w:rFonts w:ascii="Times New Roman" w:eastAsia="Times New Roman" w:hAnsi="Times New Roman"/>
          <w:color w:val="000000"/>
          <w:sz w:val="24"/>
          <w:szCs w:val="24"/>
          <w:lang w:val="en" w:eastAsia="pl-PL"/>
        </w:rPr>
        <w:t>206. General anti-abuse rule</w:t>
      </w:r>
    </w:p>
    <w:p w:rsidR="00A67CA8" w:rsidRPr="00DD11C8" w:rsidRDefault="00A67CA8" w:rsidP="00ED7591">
      <w:pPr>
        <w:tabs>
          <w:tab w:val="left" w:pos="426"/>
        </w:tabs>
        <w:spacing w:after="0" w:line="360" w:lineRule="auto"/>
        <w:jc w:val="both"/>
        <w:rPr>
          <w:rFonts w:ascii="Times New Roman" w:eastAsia="Times New Roman" w:hAnsi="Times New Roman"/>
          <w:bCs/>
          <w:sz w:val="24"/>
          <w:szCs w:val="24"/>
          <w:lang w:val="en-US" w:eastAsia="pl-PL"/>
        </w:rPr>
      </w:pPr>
      <w:r w:rsidRPr="00A31252">
        <w:rPr>
          <w:rFonts w:ascii="Times New Roman" w:eastAsia="Times New Roman" w:hAnsi="Times New Roman"/>
          <w:color w:val="000000"/>
          <w:sz w:val="24"/>
          <w:szCs w:val="24"/>
          <w:lang w:val="en" w:eastAsia="pl-PL"/>
        </w:rPr>
        <w:t>(1)</w:t>
      </w:r>
      <w:r w:rsidR="00BB0E92">
        <w:rPr>
          <w:rFonts w:ascii="Times New Roman" w:eastAsia="Times New Roman" w:hAnsi="Times New Roman"/>
          <w:color w:val="000000"/>
          <w:sz w:val="24"/>
          <w:szCs w:val="24"/>
          <w:lang w:val="en" w:eastAsia="pl-PL"/>
        </w:rPr>
        <w:tab/>
      </w:r>
      <w:r w:rsidRPr="00DD11C8">
        <w:rPr>
          <w:rFonts w:ascii="Times New Roman" w:eastAsia="Times New Roman" w:hAnsi="Times New Roman"/>
          <w:bCs/>
          <w:sz w:val="24"/>
          <w:szCs w:val="24"/>
          <w:lang w:val="en-US" w:eastAsia="pl-PL"/>
        </w:rPr>
        <w:t xml:space="preserve">This Part has effect for the purpose of counteracting tax advantages arising from tax arrangements that are abusive.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DD11C8">
        <w:rPr>
          <w:rFonts w:ascii="Times New Roman" w:eastAsia="Times New Roman" w:hAnsi="Times New Roman"/>
          <w:bCs/>
          <w:sz w:val="24"/>
          <w:szCs w:val="24"/>
          <w:lang w:val="en-US" w:eastAsia="pl-PL"/>
        </w:rPr>
        <w:t>(2)</w:t>
      </w:r>
      <w:r w:rsidRPr="00DD11C8">
        <w:rPr>
          <w:rFonts w:ascii="Times New Roman" w:eastAsia="Times New Roman" w:hAnsi="Times New Roman"/>
          <w:bCs/>
          <w:sz w:val="24"/>
          <w:szCs w:val="24"/>
          <w:lang w:val="en-US" w:eastAsia="pl-PL"/>
        </w:rPr>
        <w:tab/>
      </w:r>
      <w:r w:rsidR="00A67CA8" w:rsidRPr="00DD11C8">
        <w:rPr>
          <w:rFonts w:ascii="Times New Roman" w:eastAsia="Times New Roman" w:hAnsi="Times New Roman"/>
          <w:bCs/>
          <w:sz w:val="24"/>
          <w:szCs w:val="24"/>
          <w:lang w:val="en-US" w:eastAsia="pl-PL"/>
        </w:rPr>
        <w:t>The</w:t>
      </w:r>
      <w:r w:rsidR="00A67CA8" w:rsidRPr="00A31252">
        <w:rPr>
          <w:rFonts w:ascii="Times New Roman" w:eastAsia="Times New Roman" w:hAnsi="Times New Roman"/>
          <w:color w:val="000000"/>
          <w:sz w:val="24"/>
          <w:szCs w:val="24"/>
          <w:lang w:val="en" w:eastAsia="pl-PL"/>
        </w:rPr>
        <w:t xml:space="preserve"> rules of this Part a</w:t>
      </w:r>
      <w:r w:rsidR="00EF1AF0">
        <w:rPr>
          <w:rFonts w:ascii="Times New Roman" w:eastAsia="Times New Roman" w:hAnsi="Times New Roman"/>
          <w:color w:val="000000"/>
          <w:sz w:val="24"/>
          <w:szCs w:val="24"/>
          <w:lang w:val="en" w:eastAsia="pl-PL"/>
        </w:rPr>
        <w:t xml:space="preserve">re collectively to be known as </w:t>
      </w:r>
      <w:r w:rsidR="00EF1AF0" w:rsidRPr="00EF1AF0">
        <w:rPr>
          <w:rFonts w:ascii="Times New Roman" w:eastAsia="Times New Roman" w:hAnsi="Times New Roman"/>
          <w:sz w:val="24"/>
          <w:szCs w:val="24"/>
          <w:lang w:val="en-US" w:eastAsia="pl-PL"/>
        </w:rPr>
        <w:t>„</w:t>
      </w:r>
      <w:r w:rsidR="00A67CA8" w:rsidRPr="00A31252">
        <w:rPr>
          <w:rFonts w:ascii="Times New Roman" w:eastAsia="Times New Roman" w:hAnsi="Times New Roman"/>
          <w:color w:val="000000"/>
          <w:sz w:val="24"/>
          <w:szCs w:val="24"/>
          <w:lang w:val="en" w:eastAsia="pl-PL"/>
        </w:rPr>
        <w:t xml:space="preserve">the general anti-abuse rule”.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(3)</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The general anti-abuse rule applies to the following taxes</w:t>
      </w:r>
      <w:r w:rsidR="00EF1AF0">
        <w:rPr>
          <w:rFonts w:ascii="Times New Roman" w:eastAsia="Times New Roman" w:hAnsi="Times New Roman"/>
          <w:color w:val="000000"/>
          <w:sz w:val="24"/>
          <w:szCs w:val="24"/>
          <w:lang w:val="en" w:eastAsia="pl-PL"/>
        </w:rPr>
        <w:t>:</w:t>
      </w:r>
      <w:r w:rsidRPr="00A31252">
        <w:rPr>
          <w:rFonts w:ascii="Times New Roman" w:eastAsia="Times New Roman" w:hAnsi="Times New Roman"/>
          <w:color w:val="000000"/>
          <w:sz w:val="24"/>
          <w:szCs w:val="24"/>
          <w:lang w:val="en" w:eastAsia="pl-PL"/>
        </w:rPr>
        <w:t xml:space="preserve">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(a)</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income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(b)</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corporation tax, including any amount chargeable as if it were corporation tax or treated as if it were corporation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(c)</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capital gains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(d)</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petroleum revenue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(e)</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inheritance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(f)</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stamp duty land tax, and </w:t>
      </w:r>
    </w:p>
    <w:p w:rsidR="00A67CA8" w:rsidRPr="00A31252" w:rsidRDefault="00BB0E92" w:rsidP="00BB26DA">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(g)</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annual tax on enveloped dwellings. </w:t>
      </w:r>
    </w:p>
    <w:p w:rsidR="00A67CA8" w:rsidRPr="00D5699F" w:rsidRDefault="00EF1AF0" w:rsidP="00D5699F">
      <w:pPr>
        <w:shd w:val="clear" w:color="auto" w:fill="FFFFFF"/>
        <w:spacing w:before="120" w:after="0" w:line="360" w:lineRule="auto"/>
        <w:jc w:val="both"/>
        <w:outlineLvl w:val="3"/>
        <w:rPr>
          <w:rFonts w:ascii="Times New Roman" w:eastAsia="Times New Roman" w:hAnsi="Times New Roman"/>
          <w:color w:val="000000"/>
          <w:sz w:val="24"/>
          <w:szCs w:val="24"/>
          <w:lang w:val="en" w:eastAsia="pl-PL"/>
        </w:rPr>
      </w:pPr>
      <w:r w:rsidRPr="00D5699F">
        <w:rPr>
          <w:rFonts w:ascii="Times New Roman" w:eastAsia="Times New Roman" w:hAnsi="Times New Roman"/>
          <w:color w:val="000000"/>
          <w:sz w:val="24"/>
          <w:szCs w:val="24"/>
          <w:lang w:val="en" w:eastAsia="pl-PL"/>
        </w:rPr>
        <w:t xml:space="preserve">207. Meaning of </w:t>
      </w:r>
      <w:r w:rsidRPr="00D5699F">
        <w:rPr>
          <w:rFonts w:ascii="Times New Roman" w:eastAsia="Times New Roman" w:hAnsi="Times New Roman"/>
          <w:sz w:val="24"/>
          <w:szCs w:val="24"/>
          <w:lang w:val="en-US" w:eastAsia="pl-PL"/>
        </w:rPr>
        <w:t>„</w:t>
      </w:r>
      <w:r w:rsidR="00A67CA8" w:rsidRPr="00D5699F">
        <w:rPr>
          <w:rFonts w:ascii="Times New Roman" w:eastAsia="Times New Roman" w:hAnsi="Times New Roman"/>
          <w:color w:val="000000"/>
          <w:sz w:val="24"/>
          <w:szCs w:val="24"/>
          <w:lang w:val="en" w:eastAsia="pl-PL"/>
        </w:rPr>
        <w:t xml:space="preserve">tax arrangements” and </w:t>
      </w:r>
      <w:r w:rsidRPr="00D5699F">
        <w:rPr>
          <w:rFonts w:ascii="Times New Roman" w:eastAsia="Times New Roman" w:hAnsi="Times New Roman"/>
          <w:sz w:val="24"/>
          <w:szCs w:val="24"/>
          <w:lang w:val="en-US" w:eastAsia="pl-PL"/>
        </w:rPr>
        <w:t>„</w:t>
      </w:r>
      <w:r w:rsidR="00A67CA8" w:rsidRPr="00D5699F">
        <w:rPr>
          <w:rFonts w:ascii="Times New Roman" w:eastAsia="Times New Roman" w:hAnsi="Times New Roman"/>
          <w:color w:val="000000"/>
          <w:sz w:val="24"/>
          <w:szCs w:val="24"/>
          <w:lang w:val="en" w:eastAsia="pl-PL"/>
        </w:rPr>
        <w:t>abusive”</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(1)</w:t>
      </w:r>
      <w:r w:rsidR="00BB0E92">
        <w:rPr>
          <w:rFonts w:ascii="Times New Roman" w:eastAsia="Times New Roman" w:hAnsi="Times New Roman"/>
          <w:color w:val="000000"/>
          <w:sz w:val="24"/>
          <w:szCs w:val="24"/>
          <w:lang w:val="en" w:eastAsia="pl-PL"/>
        </w:rPr>
        <w:tab/>
      </w:r>
      <w:r w:rsidR="00EF1AF0">
        <w:rPr>
          <w:rFonts w:ascii="Times New Roman" w:eastAsia="Times New Roman" w:hAnsi="Times New Roman"/>
          <w:color w:val="000000"/>
          <w:sz w:val="24"/>
          <w:szCs w:val="24"/>
          <w:lang w:val="en" w:eastAsia="pl-PL"/>
        </w:rPr>
        <w:t xml:space="preserve">Arrangements are </w:t>
      </w:r>
      <w:r w:rsidR="00EF1AF0" w:rsidRPr="00EF1AF0">
        <w:rPr>
          <w:rFonts w:ascii="Times New Roman" w:eastAsia="Times New Roman" w:hAnsi="Times New Roman"/>
          <w:sz w:val="24"/>
          <w:szCs w:val="24"/>
          <w:lang w:val="en-US" w:eastAsia="pl-PL"/>
        </w:rPr>
        <w:t>„</w:t>
      </w:r>
      <w:r w:rsidRPr="00A31252">
        <w:rPr>
          <w:rFonts w:ascii="Times New Roman" w:eastAsia="Times New Roman" w:hAnsi="Times New Roman"/>
          <w:color w:val="000000"/>
          <w:sz w:val="24"/>
          <w:szCs w:val="24"/>
          <w:lang w:val="en" w:eastAsia="pl-PL"/>
        </w:rPr>
        <w:t xml:space="preserve">tax arrangements” if, having regard to all the circumstances, it would be reasonable to conclude that the obtaining of a tax advantage was the main purpose, or one of the main purposes, of the arrangements.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(2)</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Tax arrangements are </w:t>
      </w:r>
      <w:r w:rsidR="00EF1AF0" w:rsidRPr="00EF1AF0">
        <w:rPr>
          <w:rFonts w:ascii="Times New Roman" w:eastAsia="Times New Roman" w:hAnsi="Times New Roman"/>
          <w:sz w:val="24"/>
          <w:szCs w:val="24"/>
          <w:lang w:val="en-US" w:eastAsia="pl-PL"/>
        </w:rPr>
        <w:t>„</w:t>
      </w:r>
      <w:r w:rsidRPr="00A31252">
        <w:rPr>
          <w:rFonts w:ascii="Times New Roman" w:eastAsia="Times New Roman" w:hAnsi="Times New Roman"/>
          <w:color w:val="000000"/>
          <w:sz w:val="24"/>
          <w:szCs w:val="24"/>
          <w:lang w:val="en" w:eastAsia="pl-PL"/>
        </w:rPr>
        <w:t>abusive” if they are arrangements the entering into or carrying out of which cannot reasonably be regarded as a reasonable course of action in relation to the relevant tax provisions, having regard to all the circumstances including</w:t>
      </w:r>
      <w:r w:rsidR="00EF1AF0">
        <w:rPr>
          <w:rFonts w:ascii="Times New Roman" w:eastAsia="Times New Roman" w:hAnsi="Times New Roman"/>
          <w:color w:val="000000"/>
          <w:sz w:val="24"/>
          <w:szCs w:val="24"/>
          <w:lang w:val="en" w:eastAsia="pl-PL"/>
        </w:rPr>
        <w:t>:</w:t>
      </w:r>
      <w:r w:rsidRPr="00A31252">
        <w:rPr>
          <w:rFonts w:ascii="Times New Roman" w:eastAsia="Times New Roman" w:hAnsi="Times New Roman"/>
          <w:color w:val="000000"/>
          <w:sz w:val="24"/>
          <w:szCs w:val="24"/>
          <w:lang w:val="en" w:eastAsia="pl-PL"/>
        </w:rPr>
        <w:t xml:space="preserve">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(a)</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whether the substantive results of the arrangements are consistent with any principles on which those provisions are based (whether express or implied) and the policy objectives of those provisions,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(b)</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whether the means of achieving those results involves one or more contrived or abnormal steps, and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(c)</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whether the arrangements are intended to exploit any shortcomings in those provisions.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(3)</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Where the tax arrangements form part of any other arrangements regard must also be had to those other arrangements.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lastRenderedPageBreak/>
        <w:t>(4)</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Each of the following is an example of something which might indicate that tax arrangements are abusive</w:t>
      </w:r>
      <w:r w:rsidR="00EF1AF0">
        <w:rPr>
          <w:rFonts w:ascii="Times New Roman" w:eastAsia="Times New Roman" w:hAnsi="Times New Roman"/>
          <w:color w:val="000000"/>
          <w:sz w:val="24"/>
          <w:szCs w:val="24"/>
          <w:lang w:val="en" w:eastAsia="pl-PL"/>
        </w:rPr>
        <w:t>:</w:t>
      </w:r>
      <w:r w:rsidR="00A67CA8" w:rsidRPr="00A31252">
        <w:rPr>
          <w:rFonts w:ascii="Times New Roman" w:eastAsia="Times New Roman" w:hAnsi="Times New Roman"/>
          <w:color w:val="000000"/>
          <w:sz w:val="24"/>
          <w:szCs w:val="24"/>
          <w:lang w:val="en" w:eastAsia="pl-PL"/>
        </w:rPr>
        <w:t xml:space="preserve">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(a)</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arrangements result in an amount of income, profits or gains for tax purposes that is significantly less than the amount for economic purposes,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(b)</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arrangements result in deductions or losses of an amount for tax purposes that is significantly greater than the amount for economic purposes, and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(c)</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arrangements result in a claim for the repayment or crediting of tax (including foreign tax) that has not been, and is unlikely to be, paid, but in each case only if it is reasonable to assume that such a result was not the anticipated result when the relevant tax provisions were enacted.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(5)</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fact that tax arrangements accord with established practice, and HMRC had, at the time the arrangements were entered into, indicated its acceptance of that practice, is an example of something which might indicate that the arrangements are not abusive. </w:t>
      </w:r>
    </w:p>
    <w:p w:rsidR="00A67CA8" w:rsidRPr="00A31252" w:rsidRDefault="00DF1E0F"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(6)</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examples given in subsections (4) and (5) are not exhaustive. </w:t>
      </w:r>
    </w:p>
    <w:p w:rsidR="00A67CA8" w:rsidRPr="00D5699F" w:rsidRDefault="00A67CA8" w:rsidP="00D5699F">
      <w:pPr>
        <w:shd w:val="clear" w:color="auto" w:fill="FFFFFF"/>
        <w:spacing w:before="120" w:after="0" w:line="360" w:lineRule="auto"/>
        <w:jc w:val="both"/>
        <w:outlineLvl w:val="3"/>
        <w:rPr>
          <w:rFonts w:ascii="Times New Roman" w:eastAsia="Times New Roman" w:hAnsi="Times New Roman"/>
          <w:color w:val="000000"/>
          <w:sz w:val="24"/>
          <w:szCs w:val="24"/>
          <w:lang w:val="en" w:eastAsia="pl-PL"/>
        </w:rPr>
      </w:pPr>
      <w:r w:rsidRPr="00D5699F">
        <w:rPr>
          <w:rFonts w:ascii="Times New Roman" w:eastAsia="Times New Roman" w:hAnsi="Times New Roman"/>
          <w:color w:val="000000"/>
          <w:sz w:val="24"/>
          <w:szCs w:val="24"/>
          <w:lang w:val="en" w:eastAsia="pl-PL"/>
        </w:rPr>
        <w:t xml:space="preserve">208. Meaning of </w:t>
      </w:r>
      <w:r w:rsidR="00190019" w:rsidRPr="00D5699F">
        <w:rPr>
          <w:rFonts w:ascii="Times New Roman" w:eastAsia="Times New Roman" w:hAnsi="Times New Roman"/>
          <w:sz w:val="24"/>
          <w:szCs w:val="24"/>
          <w:lang w:val="en-US" w:eastAsia="pl-PL"/>
        </w:rPr>
        <w:t>„</w:t>
      </w:r>
      <w:r w:rsidRPr="00D5699F">
        <w:rPr>
          <w:rFonts w:ascii="Times New Roman" w:eastAsia="Times New Roman" w:hAnsi="Times New Roman"/>
          <w:color w:val="000000"/>
          <w:sz w:val="24"/>
          <w:szCs w:val="24"/>
          <w:lang w:val="en" w:eastAsia="pl-PL"/>
        </w:rPr>
        <w:t>tax advantage”</w:t>
      </w:r>
    </w:p>
    <w:p w:rsidR="00A67CA8" w:rsidRPr="00A31252" w:rsidRDefault="00EF1AF0" w:rsidP="00ED7591">
      <w:pPr>
        <w:shd w:val="clear" w:color="auto" w:fill="FFFFFF"/>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 xml:space="preserve">A </w:t>
      </w:r>
      <w:r w:rsidRPr="009631AB">
        <w:rPr>
          <w:rFonts w:ascii="Times New Roman" w:eastAsia="Times New Roman" w:hAnsi="Times New Roman"/>
          <w:sz w:val="24"/>
          <w:szCs w:val="24"/>
          <w:lang w:val="en-US" w:eastAsia="pl-PL"/>
        </w:rPr>
        <w:t>„</w:t>
      </w:r>
      <w:r w:rsidR="00A67CA8" w:rsidRPr="00A31252">
        <w:rPr>
          <w:rFonts w:ascii="Times New Roman" w:eastAsia="Times New Roman" w:hAnsi="Times New Roman"/>
          <w:color w:val="000000"/>
          <w:sz w:val="24"/>
          <w:szCs w:val="24"/>
          <w:lang w:val="en" w:eastAsia="pl-PL"/>
        </w:rPr>
        <w:t>tax advantage” includes</w:t>
      </w:r>
      <w:r>
        <w:rPr>
          <w:rFonts w:ascii="Times New Roman" w:eastAsia="Times New Roman" w:hAnsi="Times New Roman"/>
          <w:color w:val="000000"/>
          <w:sz w:val="24"/>
          <w:szCs w:val="24"/>
          <w:lang w:val="en" w:eastAsia="pl-PL"/>
        </w:rPr>
        <w:t>:</w:t>
      </w:r>
      <w:r w:rsidR="00A67CA8" w:rsidRPr="00A31252">
        <w:rPr>
          <w:rFonts w:ascii="Times New Roman" w:eastAsia="Times New Roman" w:hAnsi="Times New Roman"/>
          <w:color w:val="000000"/>
          <w:sz w:val="24"/>
          <w:szCs w:val="24"/>
          <w:lang w:val="en" w:eastAsia="pl-PL"/>
        </w:rPr>
        <w:t xml:space="preserve">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(a)</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relief or increased relief from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(b)</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repayment or increased repayment of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(c)</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avoidance or reduction of a charge to tax or an assessment to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(d)</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avoidance of a possible assessment to tax,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(e)</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deferral of a payment of tax or advancement of a repayment of tax, and </w:t>
      </w:r>
    </w:p>
    <w:p w:rsidR="00A67CA8" w:rsidRPr="00D5699F"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D5699F">
        <w:rPr>
          <w:rFonts w:ascii="Times New Roman" w:eastAsia="Times New Roman" w:hAnsi="Times New Roman"/>
          <w:color w:val="000000"/>
          <w:sz w:val="24"/>
          <w:szCs w:val="24"/>
          <w:lang w:val="en" w:eastAsia="pl-PL"/>
        </w:rPr>
        <w:t>(f)</w:t>
      </w:r>
      <w:r w:rsidRPr="00D5699F">
        <w:rPr>
          <w:rFonts w:ascii="Times New Roman" w:eastAsia="Times New Roman" w:hAnsi="Times New Roman"/>
          <w:color w:val="000000"/>
          <w:sz w:val="24"/>
          <w:szCs w:val="24"/>
          <w:lang w:val="en" w:eastAsia="pl-PL"/>
        </w:rPr>
        <w:tab/>
      </w:r>
      <w:r w:rsidR="00A67CA8" w:rsidRPr="00D5699F">
        <w:rPr>
          <w:rFonts w:ascii="Times New Roman" w:eastAsia="Times New Roman" w:hAnsi="Times New Roman"/>
          <w:color w:val="000000"/>
          <w:sz w:val="24"/>
          <w:szCs w:val="24"/>
          <w:lang w:val="en" w:eastAsia="pl-PL"/>
        </w:rPr>
        <w:t xml:space="preserve">avoidance of an obligation to deduct or account for tax. </w:t>
      </w:r>
    </w:p>
    <w:p w:rsidR="00A67CA8" w:rsidRPr="00D5699F" w:rsidRDefault="00A67CA8" w:rsidP="00D5699F">
      <w:pPr>
        <w:shd w:val="clear" w:color="auto" w:fill="FFFFFF"/>
        <w:spacing w:before="120" w:after="0" w:line="360" w:lineRule="auto"/>
        <w:jc w:val="both"/>
        <w:outlineLvl w:val="3"/>
        <w:rPr>
          <w:rFonts w:ascii="Times New Roman" w:eastAsia="Times New Roman" w:hAnsi="Times New Roman"/>
          <w:color w:val="000000"/>
          <w:sz w:val="24"/>
          <w:szCs w:val="24"/>
          <w:lang w:val="en" w:eastAsia="pl-PL"/>
        </w:rPr>
      </w:pPr>
      <w:r w:rsidRPr="00D5699F">
        <w:rPr>
          <w:rFonts w:ascii="Times New Roman" w:eastAsia="Times New Roman" w:hAnsi="Times New Roman"/>
          <w:color w:val="000000"/>
          <w:sz w:val="24"/>
          <w:szCs w:val="24"/>
          <w:lang w:val="en" w:eastAsia="pl-PL"/>
        </w:rPr>
        <w:t>209. Counteracting the tax advantages</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(1)</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If there are tax arrangements that are abusive, the tax advantages that would (ignoring this Part) arise from the arrangements are to be counteracted by the making of adjustments.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(2)</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The adjustments required to be made to counteract the tax advantages are such as are just and reasonable.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(3)</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The adjustments may be made in respect of the tax in question or any other tax to which the general anti-abuse rule applies.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(4)</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The adjustments that may be made include those that impose or increase a liability to tax in any case where (ignoring this Part) there would be no liability or a smaller liability, and tax is to be charged in accordance with any such adjustment.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lastRenderedPageBreak/>
        <w:t>(5)</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Any adjustments required to be made under this section (whether by an officer of Revenue and Customs or the person to whom the tax advantage would arise) may be made by way of an assessment, the modification of an assessment, amendment or disallowance of a claim, or otherwise.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(6)</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But</w:t>
      </w:r>
      <w:r w:rsidR="00EF1AF0">
        <w:rPr>
          <w:rFonts w:ascii="Times New Roman" w:eastAsia="Times New Roman" w:hAnsi="Times New Roman"/>
          <w:color w:val="000000"/>
          <w:sz w:val="24"/>
          <w:szCs w:val="24"/>
          <w:lang w:val="en" w:eastAsia="pl-PL"/>
        </w:rPr>
        <w:t>:</w:t>
      </w:r>
      <w:r w:rsidRPr="00A31252">
        <w:rPr>
          <w:rFonts w:ascii="Times New Roman" w:eastAsia="Times New Roman" w:hAnsi="Times New Roman"/>
          <w:color w:val="000000"/>
          <w:sz w:val="24"/>
          <w:szCs w:val="24"/>
          <w:lang w:val="en" w:eastAsia="pl-PL"/>
        </w:rPr>
        <w:t xml:space="preserve"> </w:t>
      </w:r>
    </w:p>
    <w:p w:rsidR="00A67CA8" w:rsidRPr="00A31252" w:rsidRDefault="00A67CA8" w:rsidP="00ED7591">
      <w:pPr>
        <w:tabs>
          <w:tab w:val="left" w:pos="426"/>
        </w:tabs>
        <w:spacing w:after="0" w:line="360" w:lineRule="auto"/>
        <w:jc w:val="both"/>
        <w:rPr>
          <w:rFonts w:ascii="Times New Roman" w:eastAsia="Times New Roman" w:hAnsi="Times New Roman"/>
          <w:color w:val="000000"/>
          <w:sz w:val="24"/>
          <w:szCs w:val="24"/>
          <w:lang w:val="en" w:eastAsia="pl-PL"/>
        </w:rPr>
      </w:pPr>
      <w:r w:rsidRPr="00A31252">
        <w:rPr>
          <w:rFonts w:ascii="Times New Roman" w:eastAsia="Times New Roman" w:hAnsi="Times New Roman"/>
          <w:color w:val="000000"/>
          <w:sz w:val="24"/>
          <w:szCs w:val="24"/>
          <w:lang w:val="en" w:eastAsia="pl-PL"/>
        </w:rPr>
        <w:t>(a)</w:t>
      </w:r>
      <w:r w:rsidR="00BB0E92">
        <w:rPr>
          <w:rFonts w:ascii="Times New Roman" w:eastAsia="Times New Roman" w:hAnsi="Times New Roman"/>
          <w:color w:val="000000"/>
          <w:sz w:val="24"/>
          <w:szCs w:val="24"/>
          <w:lang w:val="en" w:eastAsia="pl-PL"/>
        </w:rPr>
        <w:tab/>
      </w:r>
      <w:r w:rsidRPr="00A31252">
        <w:rPr>
          <w:rFonts w:ascii="Times New Roman" w:eastAsia="Times New Roman" w:hAnsi="Times New Roman"/>
          <w:color w:val="000000"/>
          <w:sz w:val="24"/>
          <w:szCs w:val="24"/>
          <w:lang w:val="en" w:eastAsia="pl-PL"/>
        </w:rPr>
        <w:t xml:space="preserve">no steps may be taken by an officer of Revenue and Customs by virtue of this section unless the procedural requirements of Schedule 43 have been complied with, and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(b)</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the power to make adjustments by virtue of this section is subject to any time limit imposed by or under any enactment other than this Part. </w:t>
      </w:r>
    </w:p>
    <w:p w:rsidR="00A67CA8" w:rsidRPr="00A31252" w:rsidRDefault="00BB0E92" w:rsidP="00ED7591">
      <w:pPr>
        <w:tabs>
          <w:tab w:val="left" w:pos="426"/>
        </w:tabs>
        <w:spacing w:after="0" w:line="360" w:lineRule="auto"/>
        <w:jc w:val="both"/>
        <w:rPr>
          <w:rFonts w:ascii="Times New Roman" w:eastAsia="Times New Roman" w:hAnsi="Times New Roman"/>
          <w:color w:val="000000"/>
          <w:sz w:val="24"/>
          <w:szCs w:val="24"/>
          <w:lang w:val="en" w:eastAsia="pl-PL"/>
        </w:rPr>
      </w:pPr>
      <w:r>
        <w:rPr>
          <w:rFonts w:ascii="Times New Roman" w:eastAsia="Times New Roman" w:hAnsi="Times New Roman"/>
          <w:color w:val="000000"/>
          <w:sz w:val="24"/>
          <w:szCs w:val="24"/>
          <w:lang w:val="en" w:eastAsia="pl-PL"/>
        </w:rPr>
        <w:t>(7)</w:t>
      </w:r>
      <w:r>
        <w:rPr>
          <w:rFonts w:ascii="Times New Roman" w:eastAsia="Times New Roman" w:hAnsi="Times New Roman"/>
          <w:color w:val="000000"/>
          <w:sz w:val="24"/>
          <w:szCs w:val="24"/>
          <w:lang w:val="en" w:eastAsia="pl-PL"/>
        </w:rPr>
        <w:tab/>
      </w:r>
      <w:r w:rsidR="00A67CA8" w:rsidRPr="00A31252">
        <w:rPr>
          <w:rFonts w:ascii="Times New Roman" w:eastAsia="Times New Roman" w:hAnsi="Times New Roman"/>
          <w:color w:val="000000"/>
          <w:sz w:val="24"/>
          <w:szCs w:val="24"/>
          <w:lang w:val="en" w:eastAsia="pl-PL"/>
        </w:rPr>
        <w:t xml:space="preserve">Any adjustments made under this section have effect for all purposes. </w:t>
      </w:r>
    </w:p>
    <w:p w:rsidR="00B9541F" w:rsidRPr="00A31252" w:rsidRDefault="00B9541F" w:rsidP="00D5699F">
      <w:pPr>
        <w:numPr>
          <w:ilvl w:val="0"/>
          <w:numId w:val="5"/>
        </w:numPr>
        <w:tabs>
          <w:tab w:val="num" w:pos="360"/>
        </w:tabs>
        <w:spacing w:before="120" w:after="0" w:line="360" w:lineRule="auto"/>
        <w:ind w:left="0" w:firstLine="0"/>
        <w:jc w:val="both"/>
        <w:rPr>
          <w:rFonts w:ascii="Times New Roman" w:eastAsia="Times New Roman" w:hAnsi="Times New Roman"/>
          <w:sz w:val="24"/>
          <w:szCs w:val="24"/>
          <w:u w:val="single"/>
          <w:lang w:eastAsia="pl-PL"/>
        </w:rPr>
      </w:pPr>
      <w:r w:rsidRPr="00A31252">
        <w:rPr>
          <w:rFonts w:ascii="Times New Roman" w:eastAsia="Times New Roman" w:hAnsi="Times New Roman"/>
          <w:sz w:val="24"/>
          <w:szCs w:val="24"/>
          <w:u w:val="single"/>
          <w:lang w:eastAsia="pl-PL"/>
        </w:rPr>
        <w:t>Tłumaczenie</w:t>
      </w:r>
    </w:p>
    <w:p w:rsidR="00F06CC6" w:rsidRPr="00D5699F" w:rsidRDefault="00F06CC6" w:rsidP="00ED7591">
      <w:pPr>
        <w:spacing w:after="0" w:line="360" w:lineRule="auto"/>
        <w:jc w:val="both"/>
        <w:rPr>
          <w:rFonts w:ascii="Times New Roman" w:eastAsia="Times New Roman" w:hAnsi="Times New Roman"/>
          <w:sz w:val="24"/>
          <w:szCs w:val="24"/>
          <w:lang w:eastAsia="pl-PL"/>
        </w:rPr>
      </w:pPr>
      <w:r w:rsidRPr="00D5699F">
        <w:rPr>
          <w:rFonts w:ascii="Times New Roman" w:eastAsia="Times New Roman" w:hAnsi="Times New Roman"/>
          <w:sz w:val="24"/>
          <w:szCs w:val="24"/>
          <w:lang w:eastAsia="pl-PL"/>
        </w:rPr>
        <w:t>206. Klauzula przeciwdziałająca unikaniu opodatkowania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A31252">
        <w:rPr>
          <w:rFonts w:ascii="Times New Roman" w:eastAsia="Times New Roman" w:hAnsi="Times New Roman"/>
          <w:sz w:val="24"/>
          <w:szCs w:val="24"/>
          <w:lang w:eastAsia="pl-PL"/>
        </w:rPr>
        <w:t>1.</w:t>
      </w:r>
      <w:r w:rsidRPr="00A31252">
        <w:rPr>
          <w:rFonts w:ascii="Times New Roman" w:eastAsia="Times New Roman" w:hAnsi="Times New Roman"/>
          <w:sz w:val="24"/>
          <w:szCs w:val="24"/>
          <w:lang w:eastAsia="pl-PL"/>
        </w:rPr>
        <w:tab/>
      </w:r>
      <w:r w:rsidRPr="00DD11C8">
        <w:rPr>
          <w:rFonts w:ascii="Times New Roman" w:eastAsia="Times New Roman" w:hAnsi="Times New Roman"/>
          <w:color w:val="000000"/>
          <w:sz w:val="24"/>
          <w:szCs w:val="24"/>
          <w:lang w:eastAsia="pl-PL"/>
        </w:rPr>
        <w:t>Niniejsza część ma na celu przeciwdziałanie uzyskiwaniu nieuprawnionych korzyści podatkowych, wynikających ze struktur podatkowych będących nadużyciem prawa.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2.</w:t>
      </w:r>
      <w:r w:rsidRPr="00DD11C8">
        <w:rPr>
          <w:rFonts w:ascii="Times New Roman" w:eastAsia="Times New Roman" w:hAnsi="Times New Roman"/>
          <w:color w:val="000000"/>
          <w:sz w:val="24"/>
          <w:szCs w:val="24"/>
          <w:lang w:eastAsia="pl-PL"/>
        </w:rPr>
        <w:tab/>
        <w:t xml:space="preserve">Zasady wynikające z niniejszej części będą łącznie rozumiane jako </w:t>
      </w:r>
      <w:r w:rsidR="00EF1AF0">
        <w:rPr>
          <w:rFonts w:ascii="Times New Roman" w:eastAsia="Times New Roman" w:hAnsi="Times New Roman"/>
          <w:color w:val="000000"/>
          <w:sz w:val="24"/>
          <w:szCs w:val="24"/>
          <w:lang w:eastAsia="pl-PL"/>
        </w:rPr>
        <w:t>„</w:t>
      </w:r>
      <w:r w:rsidRPr="00DD11C8">
        <w:rPr>
          <w:rFonts w:ascii="Times New Roman" w:eastAsia="Times New Roman" w:hAnsi="Times New Roman"/>
          <w:color w:val="000000"/>
          <w:sz w:val="24"/>
          <w:szCs w:val="24"/>
          <w:lang w:eastAsia="pl-PL"/>
        </w:rPr>
        <w:t>klauzula przeciwdziałająca unikaniu opodatkowania”.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3.</w:t>
      </w:r>
      <w:r w:rsidRPr="00DD11C8">
        <w:rPr>
          <w:rFonts w:ascii="Times New Roman" w:eastAsia="Times New Roman" w:hAnsi="Times New Roman"/>
          <w:color w:val="000000"/>
          <w:sz w:val="24"/>
          <w:szCs w:val="24"/>
          <w:lang w:eastAsia="pl-PL"/>
        </w:rPr>
        <w:tab/>
        <w:t>Klauzula przeciwdziałająca unikaniu opodatkowania ma zastosowanie do następujących podatków:</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(a)</w:t>
      </w:r>
      <w:r w:rsidR="00BB0E92" w:rsidRPr="00DD11C8">
        <w:rPr>
          <w:rFonts w:ascii="Times New Roman" w:eastAsia="Times New Roman" w:hAnsi="Times New Roman"/>
          <w:color w:val="000000"/>
          <w:sz w:val="24"/>
          <w:szCs w:val="24"/>
          <w:lang w:eastAsia="pl-PL"/>
        </w:rPr>
        <w:tab/>
      </w:r>
      <w:r w:rsidRPr="00DD11C8">
        <w:rPr>
          <w:rFonts w:ascii="Times New Roman" w:eastAsia="Times New Roman" w:hAnsi="Times New Roman"/>
          <w:color w:val="000000"/>
          <w:sz w:val="24"/>
          <w:szCs w:val="24"/>
          <w:lang w:eastAsia="pl-PL"/>
        </w:rPr>
        <w:t>podatek dochodowy,</w:t>
      </w:r>
    </w:p>
    <w:p w:rsidR="00F06CC6" w:rsidRPr="00BB1903" w:rsidRDefault="00BB0E92" w:rsidP="00BB1903">
      <w:pPr>
        <w:tabs>
          <w:tab w:val="left" w:pos="426"/>
        </w:tabs>
        <w:spacing w:after="0" w:line="360" w:lineRule="auto"/>
        <w:jc w:val="both"/>
        <w:rPr>
          <w:rFonts w:ascii="Times New Roman" w:eastAsia="Times New Roman" w:hAnsi="Times New Roman"/>
          <w:color w:val="000000"/>
          <w:sz w:val="24"/>
          <w:szCs w:val="24"/>
          <w:lang w:eastAsia="pl-PL"/>
        </w:rPr>
      </w:pPr>
      <w:r w:rsidRPr="00BB1903">
        <w:rPr>
          <w:rFonts w:ascii="Times New Roman" w:eastAsia="Times New Roman" w:hAnsi="Times New Roman"/>
          <w:color w:val="000000"/>
          <w:sz w:val="24"/>
          <w:szCs w:val="24"/>
          <w:lang w:eastAsia="pl-PL"/>
        </w:rPr>
        <w:t>(b)</w:t>
      </w:r>
      <w:r w:rsidRPr="00BB1903">
        <w:rPr>
          <w:rFonts w:ascii="Times New Roman" w:eastAsia="Times New Roman" w:hAnsi="Times New Roman"/>
          <w:color w:val="000000"/>
          <w:sz w:val="24"/>
          <w:szCs w:val="24"/>
          <w:lang w:eastAsia="pl-PL"/>
        </w:rPr>
        <w:tab/>
      </w:r>
      <w:r w:rsidR="00F06CC6" w:rsidRPr="00BB1903">
        <w:rPr>
          <w:rFonts w:ascii="Times New Roman" w:eastAsia="Times New Roman" w:hAnsi="Times New Roman"/>
          <w:color w:val="000000"/>
          <w:sz w:val="24"/>
          <w:szCs w:val="24"/>
          <w:lang w:eastAsia="pl-PL"/>
        </w:rPr>
        <w:t>podatek od spółek, włączając jakiekolwiek kw</w:t>
      </w:r>
      <w:r w:rsidR="00BB1903" w:rsidRPr="00BB1903">
        <w:rPr>
          <w:rFonts w:ascii="Times New Roman" w:eastAsia="Times New Roman" w:hAnsi="Times New Roman"/>
          <w:color w:val="000000"/>
          <w:sz w:val="24"/>
          <w:szCs w:val="24"/>
          <w:lang w:eastAsia="pl-PL"/>
        </w:rPr>
        <w:t>oty podlegające opodatkowaniu w </w:t>
      </w:r>
      <w:r w:rsidR="00F06CC6" w:rsidRPr="00BB1903">
        <w:rPr>
          <w:rFonts w:ascii="Times New Roman" w:eastAsia="Times New Roman" w:hAnsi="Times New Roman"/>
          <w:color w:val="000000"/>
          <w:sz w:val="24"/>
          <w:szCs w:val="24"/>
          <w:lang w:eastAsia="pl-PL"/>
        </w:rPr>
        <w:t>taki sposób, jakby były podatkiem od spółek lub jakby były traktowane jak podatek od spółek,</w:t>
      </w:r>
    </w:p>
    <w:p w:rsidR="00F06CC6" w:rsidRPr="00DD11C8" w:rsidRDefault="00BB0E9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(c)</w:t>
      </w:r>
      <w:r w:rsidRPr="00DD11C8">
        <w:rPr>
          <w:rFonts w:ascii="Times New Roman" w:eastAsia="Times New Roman" w:hAnsi="Times New Roman"/>
          <w:color w:val="000000"/>
          <w:sz w:val="24"/>
          <w:szCs w:val="24"/>
          <w:lang w:eastAsia="pl-PL"/>
        </w:rPr>
        <w:tab/>
      </w:r>
      <w:r w:rsidR="00F06CC6" w:rsidRPr="00DD11C8">
        <w:rPr>
          <w:rFonts w:ascii="Times New Roman" w:eastAsia="Times New Roman" w:hAnsi="Times New Roman"/>
          <w:color w:val="000000"/>
          <w:sz w:val="24"/>
          <w:szCs w:val="24"/>
          <w:lang w:eastAsia="pl-PL"/>
        </w:rPr>
        <w:t>podatek od zysków majątkowych,</w:t>
      </w:r>
    </w:p>
    <w:p w:rsidR="00F06CC6" w:rsidRPr="00DD11C8" w:rsidRDefault="00BB0E9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(d)</w:t>
      </w:r>
      <w:r w:rsidRPr="00DD11C8">
        <w:rPr>
          <w:rFonts w:ascii="Times New Roman" w:eastAsia="Times New Roman" w:hAnsi="Times New Roman"/>
          <w:color w:val="000000"/>
          <w:sz w:val="24"/>
          <w:szCs w:val="24"/>
          <w:lang w:eastAsia="pl-PL"/>
        </w:rPr>
        <w:tab/>
      </w:r>
      <w:r w:rsidR="00F06CC6" w:rsidRPr="00DD11C8">
        <w:rPr>
          <w:rFonts w:ascii="Times New Roman" w:eastAsia="Times New Roman" w:hAnsi="Times New Roman"/>
          <w:color w:val="000000"/>
          <w:sz w:val="24"/>
          <w:szCs w:val="24"/>
          <w:lang w:eastAsia="pl-PL"/>
        </w:rPr>
        <w:t>podatek od przychodów z ropy naftowej,</w:t>
      </w:r>
    </w:p>
    <w:p w:rsidR="00F06CC6" w:rsidRPr="00DD11C8" w:rsidRDefault="00BB0E9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(e)</w:t>
      </w:r>
      <w:r w:rsidRPr="00DD11C8">
        <w:rPr>
          <w:rFonts w:ascii="Times New Roman" w:eastAsia="Times New Roman" w:hAnsi="Times New Roman"/>
          <w:color w:val="000000"/>
          <w:sz w:val="24"/>
          <w:szCs w:val="24"/>
          <w:lang w:eastAsia="pl-PL"/>
        </w:rPr>
        <w:tab/>
      </w:r>
      <w:r w:rsidR="00F06CC6" w:rsidRPr="00DD11C8">
        <w:rPr>
          <w:rFonts w:ascii="Times New Roman" w:eastAsia="Times New Roman" w:hAnsi="Times New Roman"/>
          <w:color w:val="000000"/>
          <w:sz w:val="24"/>
          <w:szCs w:val="24"/>
          <w:lang w:eastAsia="pl-PL"/>
        </w:rPr>
        <w:t>podatek od spadków,</w:t>
      </w:r>
    </w:p>
    <w:p w:rsidR="00F06CC6" w:rsidRPr="00DD11C8" w:rsidRDefault="00BB0E9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(f)</w:t>
      </w:r>
      <w:r w:rsidRPr="00DD11C8">
        <w:rPr>
          <w:rFonts w:ascii="Times New Roman" w:eastAsia="Times New Roman" w:hAnsi="Times New Roman"/>
          <w:color w:val="000000"/>
          <w:sz w:val="24"/>
          <w:szCs w:val="24"/>
          <w:lang w:eastAsia="pl-PL"/>
        </w:rPr>
        <w:tab/>
      </w:r>
      <w:r w:rsidR="00A47282" w:rsidRPr="00DD11C8">
        <w:rPr>
          <w:rFonts w:ascii="Times New Roman" w:eastAsia="Times New Roman" w:hAnsi="Times New Roman"/>
          <w:color w:val="000000"/>
          <w:sz w:val="24"/>
          <w:szCs w:val="24"/>
          <w:lang w:eastAsia="pl-PL"/>
        </w:rPr>
        <w:t>podatek/</w:t>
      </w:r>
      <w:r w:rsidR="00F06CC6" w:rsidRPr="00DD11C8">
        <w:rPr>
          <w:rFonts w:ascii="Times New Roman" w:eastAsia="Times New Roman" w:hAnsi="Times New Roman"/>
          <w:color w:val="000000"/>
          <w:sz w:val="24"/>
          <w:szCs w:val="24"/>
          <w:lang w:eastAsia="pl-PL"/>
        </w:rPr>
        <w:t>opłata skarbowa od gruntu (nieruchomości),</w:t>
      </w:r>
    </w:p>
    <w:p w:rsidR="00F06CC6" w:rsidRPr="00A31252" w:rsidRDefault="00BB0E92" w:rsidP="00ED7591">
      <w:pPr>
        <w:tabs>
          <w:tab w:val="left" w:pos="426"/>
        </w:tabs>
        <w:spacing w:after="0" w:line="360" w:lineRule="auto"/>
        <w:jc w:val="both"/>
        <w:rPr>
          <w:rFonts w:ascii="Times New Roman" w:eastAsia="Times New Roman" w:hAnsi="Times New Roman"/>
          <w:sz w:val="24"/>
          <w:szCs w:val="24"/>
          <w:lang w:eastAsia="pl-PL"/>
        </w:rPr>
      </w:pPr>
      <w:r w:rsidRPr="00DD11C8">
        <w:rPr>
          <w:rFonts w:ascii="Times New Roman" w:eastAsia="Times New Roman" w:hAnsi="Times New Roman"/>
          <w:color w:val="000000"/>
          <w:sz w:val="24"/>
          <w:szCs w:val="24"/>
          <w:lang w:eastAsia="pl-PL"/>
        </w:rPr>
        <w:t>(g)</w:t>
      </w:r>
      <w:r w:rsidRPr="00DD11C8">
        <w:rPr>
          <w:rFonts w:ascii="Times New Roman" w:eastAsia="Times New Roman" w:hAnsi="Times New Roman"/>
          <w:color w:val="000000"/>
          <w:sz w:val="24"/>
          <w:szCs w:val="24"/>
          <w:lang w:eastAsia="pl-PL"/>
        </w:rPr>
        <w:tab/>
        <w:t>roczny podatek</w:t>
      </w:r>
      <w:r>
        <w:rPr>
          <w:rFonts w:ascii="Times New Roman" w:eastAsia="Times New Roman" w:hAnsi="Times New Roman"/>
          <w:sz w:val="24"/>
          <w:szCs w:val="24"/>
          <w:lang w:eastAsia="pl-PL"/>
        </w:rPr>
        <w:t xml:space="preserve"> </w:t>
      </w:r>
      <w:r w:rsidR="00F06CC6" w:rsidRPr="00A31252">
        <w:rPr>
          <w:rFonts w:ascii="Times New Roman" w:eastAsia="Times New Roman" w:hAnsi="Times New Roman"/>
          <w:sz w:val="24"/>
          <w:szCs w:val="24"/>
          <w:lang w:eastAsia="pl-PL"/>
        </w:rPr>
        <w:t>od lokalów mieszkalnych.</w:t>
      </w:r>
    </w:p>
    <w:p w:rsidR="00F06CC6" w:rsidRPr="00D5699F" w:rsidRDefault="00F06CC6" w:rsidP="00D5699F">
      <w:pPr>
        <w:spacing w:before="120" w:after="0" w:line="360" w:lineRule="auto"/>
        <w:jc w:val="both"/>
        <w:rPr>
          <w:rFonts w:ascii="Times New Roman" w:eastAsia="Times New Roman" w:hAnsi="Times New Roman"/>
          <w:sz w:val="24"/>
          <w:szCs w:val="24"/>
          <w:lang w:eastAsia="pl-PL"/>
        </w:rPr>
      </w:pPr>
      <w:r w:rsidRPr="00D5699F">
        <w:rPr>
          <w:rFonts w:ascii="Times New Roman" w:eastAsia="Times New Roman" w:hAnsi="Times New Roman"/>
          <w:sz w:val="24"/>
          <w:szCs w:val="24"/>
          <w:lang w:eastAsia="pl-PL"/>
        </w:rPr>
        <w:t>207. Znaczenie pojęcia „struktury podatkowe” oraz „nadużycie”</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A31252">
        <w:rPr>
          <w:rFonts w:ascii="Times New Roman" w:eastAsia="Times New Roman" w:hAnsi="Times New Roman"/>
          <w:sz w:val="24"/>
          <w:szCs w:val="24"/>
          <w:lang w:eastAsia="pl-PL"/>
        </w:rPr>
        <w:t>1.</w:t>
      </w:r>
      <w:r w:rsidRPr="00A31252">
        <w:rPr>
          <w:rFonts w:ascii="Times New Roman" w:eastAsia="Times New Roman" w:hAnsi="Times New Roman"/>
          <w:sz w:val="24"/>
          <w:szCs w:val="24"/>
          <w:lang w:eastAsia="pl-PL"/>
        </w:rPr>
        <w:tab/>
      </w:r>
      <w:r w:rsidRPr="00DD11C8">
        <w:rPr>
          <w:rFonts w:ascii="Times New Roman" w:eastAsia="Times New Roman" w:hAnsi="Times New Roman"/>
          <w:color w:val="000000"/>
          <w:sz w:val="24"/>
          <w:szCs w:val="24"/>
          <w:lang w:eastAsia="pl-PL"/>
        </w:rPr>
        <w:t>Strukturami podatkowymi są rozwiązania, co do których można w sposób racjonalny wywnioskować, mając na względzie wszelkie okoliczności, iż uzyskanie korzyści podatkowych było głównym lub jednym z głównych celów takiej struktury.</w:t>
      </w:r>
    </w:p>
    <w:p w:rsidR="00F06CC6" w:rsidRPr="00BB1903"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BB1903">
        <w:rPr>
          <w:rFonts w:ascii="Times New Roman" w:eastAsia="Times New Roman" w:hAnsi="Times New Roman"/>
          <w:color w:val="000000"/>
          <w:sz w:val="24"/>
          <w:szCs w:val="24"/>
          <w:lang w:eastAsia="pl-PL"/>
        </w:rPr>
        <w:lastRenderedPageBreak/>
        <w:t>2.</w:t>
      </w:r>
      <w:r w:rsidRPr="00BB1903">
        <w:rPr>
          <w:rFonts w:ascii="Times New Roman" w:eastAsia="Times New Roman" w:hAnsi="Times New Roman"/>
          <w:color w:val="000000"/>
          <w:sz w:val="24"/>
          <w:szCs w:val="24"/>
          <w:lang w:eastAsia="pl-PL"/>
        </w:rPr>
        <w:tab/>
        <w:t>Struktury podatkowe są nadużyciem prawa, jeśli ich przyjęcia lub przeprowadzenia nie można w sposób racjonalny uznać za uzasadnione w odniesieniu do odpowiednich przepisów podatkowych, uwzględ</w:t>
      </w:r>
      <w:r w:rsidR="00BB1903" w:rsidRPr="00BB1903">
        <w:rPr>
          <w:rFonts w:ascii="Times New Roman" w:eastAsia="Times New Roman" w:hAnsi="Times New Roman"/>
          <w:color w:val="000000"/>
          <w:sz w:val="24"/>
          <w:szCs w:val="24"/>
          <w:lang w:eastAsia="pl-PL"/>
        </w:rPr>
        <w:t>niając wszelkie okoliczności, w </w:t>
      </w:r>
      <w:r w:rsidRPr="00BB1903">
        <w:rPr>
          <w:rFonts w:ascii="Times New Roman" w:eastAsia="Times New Roman" w:hAnsi="Times New Roman"/>
          <w:color w:val="000000"/>
          <w:sz w:val="24"/>
          <w:szCs w:val="24"/>
          <w:lang w:eastAsia="pl-PL"/>
        </w:rPr>
        <w:t>tym:</w:t>
      </w:r>
    </w:p>
    <w:p w:rsidR="00F06CC6" w:rsidRPr="00A31252" w:rsidRDefault="00F06CC6" w:rsidP="00ED7591">
      <w:pPr>
        <w:tabs>
          <w:tab w:val="left" w:pos="426"/>
        </w:tabs>
        <w:spacing w:after="0" w:line="360" w:lineRule="auto"/>
        <w:jc w:val="both"/>
        <w:rPr>
          <w:rFonts w:ascii="Times New Roman" w:eastAsia="Times New Roman" w:hAnsi="Times New Roman"/>
          <w:sz w:val="24"/>
          <w:szCs w:val="24"/>
          <w:lang w:eastAsia="pl-PL"/>
        </w:rPr>
      </w:pPr>
      <w:r w:rsidRPr="00DD11C8">
        <w:rPr>
          <w:rFonts w:ascii="Times New Roman" w:eastAsia="Times New Roman" w:hAnsi="Times New Roman"/>
          <w:color w:val="000000"/>
          <w:sz w:val="24"/>
          <w:szCs w:val="24"/>
          <w:lang w:eastAsia="pl-PL"/>
        </w:rPr>
        <w:t>(a)</w:t>
      </w:r>
      <w:r w:rsidRPr="00DD11C8">
        <w:rPr>
          <w:rFonts w:ascii="Times New Roman" w:eastAsia="Times New Roman" w:hAnsi="Times New Roman"/>
          <w:color w:val="000000"/>
          <w:sz w:val="24"/>
          <w:szCs w:val="24"/>
          <w:lang w:eastAsia="pl-PL"/>
        </w:rPr>
        <w:tab/>
        <w:t>czy istotne rezultaty takich struktur są zgodne z jakimikolwiek zasadami, na których oparte są te postanowienia (wyraźnie lub dorozumianie)</w:t>
      </w:r>
      <w:r w:rsidR="00BB26DA">
        <w:rPr>
          <w:rFonts w:ascii="Times New Roman" w:eastAsia="Times New Roman" w:hAnsi="Times New Roman"/>
          <w:color w:val="000000"/>
          <w:sz w:val="24"/>
          <w:szCs w:val="24"/>
          <w:lang w:eastAsia="pl-PL"/>
        </w:rPr>
        <w:t>,</w:t>
      </w:r>
      <w:r w:rsidRPr="00DD11C8">
        <w:rPr>
          <w:rFonts w:ascii="Times New Roman" w:eastAsia="Times New Roman" w:hAnsi="Times New Roman"/>
          <w:color w:val="000000"/>
          <w:sz w:val="24"/>
          <w:szCs w:val="24"/>
          <w:lang w:eastAsia="pl-PL"/>
        </w:rPr>
        <w:t xml:space="preserve"> jak również z celami politycznymi tych</w:t>
      </w:r>
      <w:r w:rsidRPr="00A31252">
        <w:rPr>
          <w:rFonts w:ascii="Times New Roman" w:eastAsia="Times New Roman" w:hAnsi="Times New Roman"/>
          <w:sz w:val="24"/>
          <w:szCs w:val="24"/>
          <w:lang w:eastAsia="pl-PL"/>
        </w:rPr>
        <w:t xml:space="preserve"> przepisów,</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A31252">
        <w:rPr>
          <w:rFonts w:ascii="Times New Roman" w:eastAsia="Times New Roman" w:hAnsi="Times New Roman"/>
          <w:sz w:val="24"/>
          <w:szCs w:val="24"/>
          <w:lang w:eastAsia="pl-PL"/>
        </w:rPr>
        <w:t>(b)</w:t>
      </w:r>
      <w:r w:rsidRPr="00A31252">
        <w:rPr>
          <w:rFonts w:ascii="Times New Roman" w:eastAsia="Times New Roman" w:hAnsi="Times New Roman"/>
          <w:sz w:val="24"/>
          <w:szCs w:val="24"/>
          <w:lang w:eastAsia="pl-PL"/>
        </w:rPr>
        <w:tab/>
      </w:r>
      <w:r w:rsidR="00BB0E92">
        <w:rPr>
          <w:rFonts w:ascii="Times New Roman" w:eastAsia="Times New Roman" w:hAnsi="Times New Roman"/>
          <w:sz w:val="24"/>
          <w:szCs w:val="24"/>
          <w:lang w:eastAsia="pl-PL"/>
        </w:rPr>
        <w:t xml:space="preserve">czy </w:t>
      </w:r>
      <w:r w:rsidR="00BB0E92" w:rsidRPr="00DD11C8">
        <w:rPr>
          <w:rFonts w:ascii="Times New Roman" w:eastAsia="Times New Roman" w:hAnsi="Times New Roman"/>
          <w:color w:val="000000"/>
          <w:sz w:val="24"/>
          <w:szCs w:val="24"/>
          <w:lang w:eastAsia="pl-PL"/>
        </w:rPr>
        <w:t xml:space="preserve">środki służące osiągnięciu </w:t>
      </w:r>
      <w:r w:rsidRPr="00DD11C8">
        <w:rPr>
          <w:rFonts w:ascii="Times New Roman" w:eastAsia="Times New Roman" w:hAnsi="Times New Roman"/>
          <w:color w:val="000000"/>
          <w:sz w:val="24"/>
          <w:szCs w:val="24"/>
          <w:lang w:eastAsia="pl-PL"/>
        </w:rPr>
        <w:t>niniejszych rezultatów obejmują jedną lub więcej sztucznych lub nietypowych czynności,</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(c)</w:t>
      </w:r>
      <w:r w:rsidRPr="00DD11C8">
        <w:rPr>
          <w:rFonts w:ascii="Times New Roman" w:eastAsia="Times New Roman" w:hAnsi="Times New Roman"/>
          <w:color w:val="000000"/>
          <w:sz w:val="24"/>
          <w:szCs w:val="24"/>
          <w:lang w:eastAsia="pl-PL"/>
        </w:rPr>
        <w:tab/>
        <w:t>czy takie struktury mają na celu wykorzystanie jakichkolwiek luk w niniejszych przepisach.</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3.</w:t>
      </w:r>
      <w:r w:rsidRPr="00DD11C8">
        <w:rPr>
          <w:rFonts w:ascii="Times New Roman" w:eastAsia="Times New Roman" w:hAnsi="Times New Roman"/>
          <w:color w:val="000000"/>
          <w:sz w:val="24"/>
          <w:szCs w:val="24"/>
          <w:lang w:eastAsia="pl-PL"/>
        </w:rPr>
        <w:tab/>
        <w:t>Jeżeli struktury podatkowe są częścią jakichkolwiek innych struktur, należy również uwzględnić te struktury.</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4.</w:t>
      </w:r>
      <w:r w:rsidRPr="00DD11C8">
        <w:rPr>
          <w:rFonts w:ascii="Times New Roman" w:eastAsia="Times New Roman" w:hAnsi="Times New Roman"/>
          <w:color w:val="000000"/>
          <w:sz w:val="24"/>
          <w:szCs w:val="24"/>
          <w:lang w:eastAsia="pl-PL"/>
        </w:rPr>
        <w:tab/>
        <w:t>Każda z poniższych sytuacji może być przykładem wskazującym, że struktury podatkowe są nadużyciem prawa: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(a)</w:t>
      </w:r>
      <w:r w:rsidRPr="00DD11C8">
        <w:rPr>
          <w:rFonts w:ascii="Times New Roman" w:eastAsia="Times New Roman" w:hAnsi="Times New Roman"/>
          <w:color w:val="000000"/>
          <w:sz w:val="24"/>
          <w:szCs w:val="24"/>
          <w:lang w:eastAsia="pl-PL"/>
        </w:rPr>
        <w:tab/>
        <w:t>rozwiązania te powodują uzyskanie dochodu lub zysków dla celów podatkowych, w wysokości znacznie niższej niż dla celów ekonomicznych,</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(b)</w:t>
      </w:r>
      <w:r w:rsidRPr="00DD11C8">
        <w:rPr>
          <w:rFonts w:ascii="Times New Roman" w:eastAsia="Times New Roman" w:hAnsi="Times New Roman"/>
          <w:color w:val="000000"/>
          <w:sz w:val="24"/>
          <w:szCs w:val="24"/>
          <w:lang w:eastAsia="pl-PL"/>
        </w:rPr>
        <w:tab/>
        <w:t>struktury powodują odpisy lub straty dla celów podatkowych w wysokości znacznie wyższej niż dla celów ekonomicznych, oraz</w:t>
      </w:r>
    </w:p>
    <w:p w:rsidR="00F06CC6" w:rsidRPr="00DD11C8" w:rsidRDefault="00A4728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(c)</w:t>
      </w:r>
      <w:r w:rsidRPr="00DD11C8">
        <w:rPr>
          <w:rFonts w:ascii="Times New Roman" w:eastAsia="Times New Roman" w:hAnsi="Times New Roman"/>
          <w:color w:val="000000"/>
          <w:sz w:val="24"/>
          <w:szCs w:val="24"/>
          <w:lang w:eastAsia="pl-PL"/>
        </w:rPr>
        <w:tab/>
        <w:t xml:space="preserve">struktury skutkują w </w:t>
      </w:r>
      <w:r w:rsidR="00F06CC6" w:rsidRPr="00DD11C8">
        <w:rPr>
          <w:rFonts w:ascii="Times New Roman" w:eastAsia="Times New Roman" w:hAnsi="Times New Roman"/>
          <w:color w:val="000000"/>
          <w:sz w:val="24"/>
          <w:szCs w:val="24"/>
          <w:lang w:eastAsia="pl-PL"/>
        </w:rPr>
        <w:t>roszczeniach zwrotu lub zaliczenia podatku (także zagranicznego), który nie był zapłacony lub jest mało prawdopodobne, że zostanie zapłacony,</w:t>
      </w:r>
      <w:r w:rsidR="00DF1E0F" w:rsidRPr="00DD11C8">
        <w:rPr>
          <w:rFonts w:ascii="Times New Roman" w:eastAsia="Times New Roman" w:hAnsi="Times New Roman"/>
          <w:color w:val="000000"/>
          <w:sz w:val="24"/>
          <w:szCs w:val="24"/>
          <w:lang w:eastAsia="pl-PL"/>
        </w:rPr>
        <w:t xml:space="preserve"> </w:t>
      </w:r>
      <w:r w:rsidR="00F06CC6" w:rsidRPr="00DD11C8">
        <w:rPr>
          <w:rFonts w:ascii="Times New Roman" w:eastAsia="Times New Roman" w:hAnsi="Times New Roman"/>
          <w:color w:val="000000"/>
          <w:sz w:val="24"/>
          <w:szCs w:val="24"/>
          <w:lang w:eastAsia="pl-PL"/>
        </w:rPr>
        <w:t>jednakże w każdym przypadku jedynie wtedy, gdy uzasadnione jest przypuszczenie, że taki wynik nie był przewidywany, gdy właściwe przepisy podatkowe były uchwalane.</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5.</w:t>
      </w:r>
      <w:r w:rsidRPr="00DD11C8">
        <w:rPr>
          <w:rFonts w:ascii="Times New Roman" w:eastAsia="Times New Roman" w:hAnsi="Times New Roman"/>
          <w:color w:val="000000"/>
          <w:sz w:val="24"/>
          <w:szCs w:val="24"/>
          <w:lang w:eastAsia="pl-PL"/>
        </w:rPr>
        <w:tab/>
        <w:t xml:space="preserve">Zakładając, że struktury podatkowe są zgodne z ustaloną praktyką, oraz HMRC [Urząd </w:t>
      </w:r>
      <w:r w:rsidR="00190019" w:rsidRPr="00DD11C8">
        <w:rPr>
          <w:rFonts w:ascii="Times New Roman" w:eastAsia="Times New Roman" w:hAnsi="Times New Roman"/>
          <w:color w:val="000000"/>
          <w:sz w:val="24"/>
          <w:szCs w:val="24"/>
          <w:lang w:eastAsia="pl-PL"/>
        </w:rPr>
        <w:t>Skarbowy</w:t>
      </w:r>
      <w:r w:rsidRPr="00DD11C8">
        <w:rPr>
          <w:rFonts w:ascii="Times New Roman" w:eastAsia="Times New Roman" w:hAnsi="Times New Roman"/>
          <w:color w:val="000000"/>
          <w:sz w:val="24"/>
          <w:szCs w:val="24"/>
          <w:lang w:eastAsia="pl-PL"/>
        </w:rPr>
        <w:t>] wyraził swoją akceptację dla niniejszych praktyk w czasie, w którym niniejsze struktury zostały podjęte, można wni</w:t>
      </w:r>
      <w:r w:rsidR="00A47282" w:rsidRPr="00DD11C8">
        <w:rPr>
          <w:rFonts w:ascii="Times New Roman" w:eastAsia="Times New Roman" w:hAnsi="Times New Roman"/>
          <w:color w:val="000000"/>
          <w:sz w:val="24"/>
          <w:szCs w:val="24"/>
          <w:lang w:eastAsia="pl-PL"/>
        </w:rPr>
        <w:t>oskować, że takie struktury nie</w:t>
      </w:r>
      <w:r w:rsidRPr="00DD11C8">
        <w:rPr>
          <w:rFonts w:ascii="Times New Roman" w:eastAsia="Times New Roman" w:hAnsi="Times New Roman"/>
          <w:color w:val="000000"/>
          <w:sz w:val="24"/>
          <w:szCs w:val="24"/>
          <w:lang w:eastAsia="pl-PL"/>
        </w:rPr>
        <w:t xml:space="preserve"> są nadużyciem prawa.</w:t>
      </w:r>
    </w:p>
    <w:p w:rsidR="00F06CC6" w:rsidRPr="00BB1903" w:rsidRDefault="00F06CC6" w:rsidP="00ED7591">
      <w:pPr>
        <w:tabs>
          <w:tab w:val="left" w:pos="426"/>
        </w:tabs>
        <w:spacing w:after="0" w:line="360" w:lineRule="auto"/>
        <w:jc w:val="both"/>
        <w:rPr>
          <w:rFonts w:ascii="Times New Roman" w:eastAsia="Times New Roman" w:hAnsi="Times New Roman"/>
          <w:sz w:val="24"/>
          <w:szCs w:val="24"/>
          <w:lang w:eastAsia="pl-PL"/>
        </w:rPr>
      </w:pPr>
      <w:r w:rsidRPr="00DD11C8">
        <w:rPr>
          <w:rFonts w:ascii="Times New Roman" w:eastAsia="Times New Roman" w:hAnsi="Times New Roman"/>
          <w:color w:val="000000"/>
          <w:sz w:val="24"/>
          <w:szCs w:val="24"/>
          <w:lang w:eastAsia="pl-PL"/>
        </w:rPr>
        <w:t>6.</w:t>
      </w:r>
      <w:r w:rsidRPr="00DD11C8">
        <w:rPr>
          <w:rFonts w:ascii="Times New Roman" w:eastAsia="Times New Roman" w:hAnsi="Times New Roman"/>
          <w:color w:val="000000"/>
          <w:sz w:val="24"/>
          <w:szCs w:val="24"/>
          <w:lang w:eastAsia="pl-PL"/>
        </w:rPr>
        <w:tab/>
        <w:t>Przykłady podane w punktach</w:t>
      </w:r>
      <w:r w:rsidRPr="00BB1903">
        <w:rPr>
          <w:rFonts w:ascii="Times New Roman" w:eastAsia="Times New Roman" w:hAnsi="Times New Roman"/>
          <w:sz w:val="24"/>
          <w:szCs w:val="24"/>
          <w:lang w:eastAsia="pl-PL"/>
        </w:rPr>
        <w:t xml:space="preserve"> 4 i 5 nie są wyczerpujące.</w:t>
      </w:r>
    </w:p>
    <w:p w:rsidR="00F06CC6" w:rsidRPr="00D5699F" w:rsidRDefault="00F06CC6" w:rsidP="00D5699F">
      <w:pPr>
        <w:spacing w:before="120" w:after="0" w:line="360" w:lineRule="auto"/>
        <w:jc w:val="both"/>
        <w:rPr>
          <w:rFonts w:ascii="Times New Roman" w:eastAsia="Times New Roman" w:hAnsi="Times New Roman"/>
          <w:sz w:val="24"/>
          <w:szCs w:val="24"/>
          <w:lang w:eastAsia="pl-PL"/>
        </w:rPr>
      </w:pPr>
      <w:r w:rsidRPr="00D5699F">
        <w:rPr>
          <w:rFonts w:ascii="Times New Roman" w:eastAsia="Times New Roman" w:hAnsi="Times New Roman"/>
          <w:sz w:val="24"/>
          <w:szCs w:val="24"/>
          <w:lang w:eastAsia="pl-PL"/>
        </w:rPr>
        <w:t>208. Zn</w:t>
      </w:r>
      <w:r w:rsidR="00B24567">
        <w:rPr>
          <w:rFonts w:ascii="Times New Roman" w:eastAsia="Times New Roman" w:hAnsi="Times New Roman"/>
          <w:sz w:val="24"/>
          <w:szCs w:val="24"/>
          <w:lang w:eastAsia="pl-PL"/>
        </w:rPr>
        <w:t>aczenie „</w:t>
      </w:r>
      <w:r w:rsidRPr="00D5699F">
        <w:rPr>
          <w:rFonts w:ascii="Times New Roman" w:eastAsia="Times New Roman" w:hAnsi="Times New Roman"/>
          <w:sz w:val="24"/>
          <w:szCs w:val="24"/>
          <w:lang w:eastAsia="pl-PL"/>
        </w:rPr>
        <w:t>korzyści podatkowej”</w:t>
      </w:r>
    </w:p>
    <w:p w:rsidR="00F06CC6" w:rsidRPr="00BB1903" w:rsidRDefault="00F06CC6" w:rsidP="00ED7591">
      <w:pPr>
        <w:spacing w:after="0" w:line="360" w:lineRule="auto"/>
        <w:jc w:val="both"/>
        <w:rPr>
          <w:rFonts w:ascii="Times New Roman" w:eastAsia="Times New Roman" w:hAnsi="Times New Roman"/>
          <w:sz w:val="24"/>
          <w:szCs w:val="24"/>
          <w:lang w:eastAsia="pl-PL"/>
        </w:rPr>
      </w:pPr>
      <w:r w:rsidRPr="00BB1903">
        <w:rPr>
          <w:rFonts w:ascii="Times New Roman" w:eastAsia="Times New Roman" w:hAnsi="Times New Roman"/>
          <w:sz w:val="24"/>
          <w:szCs w:val="24"/>
          <w:lang w:eastAsia="pl-PL"/>
        </w:rPr>
        <w:t>„Korzyść podatkowa” obejmuje:</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BB1903">
        <w:rPr>
          <w:rFonts w:ascii="Times New Roman" w:eastAsia="Times New Roman" w:hAnsi="Times New Roman"/>
          <w:sz w:val="24"/>
          <w:szCs w:val="24"/>
          <w:lang w:eastAsia="pl-PL"/>
        </w:rPr>
        <w:t>(a)</w:t>
      </w:r>
      <w:r w:rsidRPr="00BB1903">
        <w:rPr>
          <w:rFonts w:ascii="Times New Roman" w:eastAsia="Times New Roman" w:hAnsi="Times New Roman"/>
          <w:sz w:val="24"/>
          <w:szCs w:val="24"/>
          <w:lang w:eastAsia="pl-PL"/>
        </w:rPr>
        <w:tab/>
        <w:t xml:space="preserve">ulgę </w:t>
      </w:r>
      <w:r w:rsidRPr="00DD11C8">
        <w:rPr>
          <w:rFonts w:ascii="Times New Roman" w:eastAsia="Times New Roman" w:hAnsi="Times New Roman"/>
          <w:color w:val="000000"/>
          <w:sz w:val="24"/>
          <w:szCs w:val="24"/>
          <w:lang w:eastAsia="pl-PL"/>
        </w:rPr>
        <w:t>lub zwiększenie ulgi podatkowej,</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(b)</w:t>
      </w:r>
      <w:r w:rsidRPr="00DD11C8">
        <w:rPr>
          <w:rFonts w:ascii="Times New Roman" w:eastAsia="Times New Roman" w:hAnsi="Times New Roman"/>
          <w:color w:val="000000"/>
          <w:sz w:val="24"/>
          <w:szCs w:val="24"/>
          <w:lang w:eastAsia="pl-PL"/>
        </w:rPr>
        <w:tab/>
        <w:t>zwrot lub zwiększenie zwrotu podatku,</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(c)</w:t>
      </w:r>
      <w:r w:rsidRPr="00DD11C8">
        <w:rPr>
          <w:rFonts w:ascii="Times New Roman" w:eastAsia="Times New Roman" w:hAnsi="Times New Roman"/>
          <w:color w:val="000000"/>
          <w:sz w:val="24"/>
          <w:szCs w:val="24"/>
          <w:lang w:eastAsia="pl-PL"/>
        </w:rPr>
        <w:tab/>
        <w:t>unikanie lub zmniejszenie obciążenia podatkowego lub opodatkowania,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lastRenderedPageBreak/>
        <w:t>(d)</w:t>
      </w:r>
      <w:r w:rsidRPr="00DD11C8">
        <w:rPr>
          <w:rFonts w:ascii="Times New Roman" w:eastAsia="Times New Roman" w:hAnsi="Times New Roman"/>
          <w:color w:val="000000"/>
          <w:sz w:val="24"/>
          <w:szCs w:val="24"/>
          <w:lang w:eastAsia="pl-PL"/>
        </w:rPr>
        <w:tab/>
        <w:t>unikanie ewentualnego opodatkowania,</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(e)</w:t>
      </w:r>
      <w:r w:rsidRPr="00DD11C8">
        <w:rPr>
          <w:rFonts w:ascii="Times New Roman" w:eastAsia="Times New Roman" w:hAnsi="Times New Roman"/>
          <w:color w:val="000000"/>
          <w:sz w:val="24"/>
          <w:szCs w:val="24"/>
          <w:lang w:eastAsia="pl-PL"/>
        </w:rPr>
        <w:tab/>
        <w:t>odroczenie płatności podatku lub zaliczek na spłatę podatku, oraz</w:t>
      </w:r>
    </w:p>
    <w:p w:rsidR="00F06CC6" w:rsidRPr="00BB1903" w:rsidRDefault="00F06CC6" w:rsidP="00ED7591">
      <w:pPr>
        <w:tabs>
          <w:tab w:val="left" w:pos="426"/>
        </w:tabs>
        <w:spacing w:after="0" w:line="360" w:lineRule="auto"/>
        <w:jc w:val="both"/>
        <w:rPr>
          <w:rFonts w:ascii="Times New Roman" w:eastAsia="Times New Roman" w:hAnsi="Times New Roman"/>
          <w:sz w:val="24"/>
          <w:szCs w:val="24"/>
          <w:lang w:eastAsia="pl-PL"/>
        </w:rPr>
      </w:pPr>
      <w:r w:rsidRPr="00DD11C8">
        <w:rPr>
          <w:rFonts w:ascii="Times New Roman" w:eastAsia="Times New Roman" w:hAnsi="Times New Roman"/>
          <w:color w:val="000000"/>
          <w:sz w:val="24"/>
          <w:szCs w:val="24"/>
          <w:lang w:eastAsia="pl-PL"/>
        </w:rPr>
        <w:t>(f)</w:t>
      </w:r>
      <w:r w:rsidRPr="00DD11C8">
        <w:rPr>
          <w:rFonts w:ascii="Times New Roman" w:eastAsia="Times New Roman" w:hAnsi="Times New Roman"/>
          <w:color w:val="000000"/>
          <w:sz w:val="24"/>
          <w:szCs w:val="24"/>
          <w:lang w:eastAsia="pl-PL"/>
        </w:rPr>
        <w:tab/>
        <w:t>unikanie</w:t>
      </w:r>
      <w:r w:rsidRPr="00BB1903">
        <w:rPr>
          <w:rFonts w:ascii="Times New Roman" w:eastAsia="Times New Roman" w:hAnsi="Times New Roman"/>
          <w:sz w:val="24"/>
          <w:szCs w:val="24"/>
          <w:lang w:eastAsia="pl-PL"/>
        </w:rPr>
        <w:t xml:space="preserve"> obowiązku odliczenia lub rozliczania podatku.</w:t>
      </w:r>
    </w:p>
    <w:p w:rsidR="00F06CC6" w:rsidRPr="00D5699F" w:rsidRDefault="00F06CC6" w:rsidP="00D5699F">
      <w:pPr>
        <w:spacing w:before="120" w:after="0" w:line="360" w:lineRule="auto"/>
        <w:jc w:val="both"/>
        <w:rPr>
          <w:rFonts w:ascii="Times New Roman" w:eastAsia="Times New Roman" w:hAnsi="Times New Roman"/>
          <w:sz w:val="24"/>
          <w:szCs w:val="24"/>
          <w:lang w:eastAsia="pl-PL"/>
        </w:rPr>
      </w:pPr>
      <w:r w:rsidRPr="00D5699F">
        <w:rPr>
          <w:rFonts w:ascii="Times New Roman" w:eastAsia="Times New Roman" w:hAnsi="Times New Roman"/>
          <w:sz w:val="24"/>
          <w:szCs w:val="24"/>
          <w:lang w:eastAsia="pl-PL"/>
        </w:rPr>
        <w:t>209. Przeciwdziałanie nieuprawnionym korzyściom podatkowym</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A31252">
        <w:rPr>
          <w:rFonts w:ascii="Times New Roman" w:eastAsia="Times New Roman" w:hAnsi="Times New Roman"/>
          <w:sz w:val="24"/>
          <w:szCs w:val="24"/>
          <w:lang w:eastAsia="pl-PL"/>
        </w:rPr>
        <w:t>1.</w:t>
      </w:r>
      <w:r w:rsidRPr="00A31252">
        <w:rPr>
          <w:rFonts w:ascii="Times New Roman" w:eastAsia="Times New Roman" w:hAnsi="Times New Roman"/>
          <w:sz w:val="24"/>
          <w:szCs w:val="24"/>
          <w:lang w:eastAsia="pl-PL"/>
        </w:rPr>
        <w:tab/>
      </w:r>
      <w:r w:rsidRPr="00DD11C8">
        <w:rPr>
          <w:rFonts w:ascii="Times New Roman" w:eastAsia="Times New Roman" w:hAnsi="Times New Roman"/>
          <w:color w:val="000000"/>
          <w:sz w:val="24"/>
          <w:szCs w:val="24"/>
          <w:lang w:eastAsia="pl-PL"/>
        </w:rPr>
        <w:t>Jeżeli istnieją struktury podatkowe, które stanowią nadużycie prawa, a w ich wyniku powstałyby nieuprawnione korzyści podatkowe (pomijając niniejszą część), należy im przeciwdziałać poprzez dokonanie korekt.</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2.</w:t>
      </w:r>
      <w:r w:rsidRPr="00DD11C8">
        <w:rPr>
          <w:rFonts w:ascii="Times New Roman" w:eastAsia="Times New Roman" w:hAnsi="Times New Roman"/>
          <w:color w:val="000000"/>
          <w:sz w:val="24"/>
          <w:szCs w:val="24"/>
          <w:lang w:eastAsia="pl-PL"/>
        </w:rPr>
        <w:tab/>
        <w:t>Korekty wymagane w celu przeciwdziałania uzyskaniu nieuprawnionych korzyści podatkowych są sprawiedliwe i uzasadnione.</w:t>
      </w:r>
    </w:p>
    <w:p w:rsidR="00F06CC6" w:rsidRPr="00DD11C8" w:rsidRDefault="00BB0E92"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3.</w:t>
      </w:r>
      <w:r w:rsidRPr="00DD11C8">
        <w:rPr>
          <w:rFonts w:ascii="Times New Roman" w:eastAsia="Times New Roman" w:hAnsi="Times New Roman"/>
          <w:color w:val="000000"/>
          <w:sz w:val="24"/>
          <w:szCs w:val="24"/>
          <w:lang w:eastAsia="pl-PL"/>
        </w:rPr>
        <w:tab/>
        <w:t xml:space="preserve">Korekty </w:t>
      </w:r>
      <w:r w:rsidR="00F06CC6" w:rsidRPr="00DD11C8">
        <w:rPr>
          <w:rFonts w:ascii="Times New Roman" w:eastAsia="Times New Roman" w:hAnsi="Times New Roman"/>
          <w:color w:val="000000"/>
          <w:sz w:val="24"/>
          <w:szCs w:val="24"/>
          <w:lang w:eastAsia="pl-PL"/>
        </w:rPr>
        <w:t xml:space="preserve">mogą być dokonane </w:t>
      </w:r>
      <w:r w:rsidRPr="00DD11C8">
        <w:rPr>
          <w:rFonts w:ascii="Times New Roman" w:eastAsia="Times New Roman" w:hAnsi="Times New Roman"/>
          <w:color w:val="000000"/>
          <w:sz w:val="24"/>
          <w:szCs w:val="24"/>
          <w:lang w:eastAsia="pl-PL"/>
        </w:rPr>
        <w:t>w odniesieniu do danego podatku</w:t>
      </w:r>
      <w:r w:rsidR="00F06CC6" w:rsidRPr="00DD11C8">
        <w:rPr>
          <w:rFonts w:ascii="Times New Roman" w:eastAsia="Times New Roman" w:hAnsi="Times New Roman"/>
          <w:color w:val="000000"/>
          <w:sz w:val="24"/>
          <w:szCs w:val="24"/>
          <w:lang w:eastAsia="pl-PL"/>
        </w:rPr>
        <w:t xml:space="preserve"> lub jakiegokolwiek innego podatku, do którego klauzula przeciwdziałająca unikaniu opodatkowania ma zastosowanie.</w:t>
      </w:r>
    </w:p>
    <w:p w:rsidR="00F06CC6" w:rsidRPr="00BB1903"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BB1903">
        <w:rPr>
          <w:rFonts w:ascii="Times New Roman" w:eastAsia="Times New Roman" w:hAnsi="Times New Roman"/>
          <w:color w:val="000000"/>
          <w:sz w:val="24"/>
          <w:szCs w:val="24"/>
          <w:lang w:eastAsia="pl-PL"/>
        </w:rPr>
        <w:t>4.</w:t>
      </w:r>
      <w:r w:rsidRPr="00BB1903">
        <w:rPr>
          <w:rFonts w:ascii="Times New Roman" w:eastAsia="Times New Roman" w:hAnsi="Times New Roman"/>
          <w:color w:val="000000"/>
          <w:sz w:val="24"/>
          <w:szCs w:val="24"/>
          <w:lang w:eastAsia="pl-PL"/>
        </w:rPr>
        <w:tab/>
        <w:t>Korekty, które mogą zostać dokonane, obejmują korekty, które nakładają lub zwiększają ciężar opodatkowania w każdym przypadku</w:t>
      </w:r>
      <w:r w:rsidR="00BB1903" w:rsidRPr="00BB1903">
        <w:rPr>
          <w:rFonts w:ascii="Times New Roman" w:eastAsia="Times New Roman" w:hAnsi="Times New Roman"/>
          <w:color w:val="000000"/>
          <w:sz w:val="24"/>
          <w:szCs w:val="24"/>
          <w:lang w:eastAsia="pl-PL"/>
        </w:rPr>
        <w:t xml:space="preserve"> (pomijając niniejszą część), w </w:t>
      </w:r>
      <w:r w:rsidRPr="00BB1903">
        <w:rPr>
          <w:rFonts w:ascii="Times New Roman" w:eastAsia="Times New Roman" w:hAnsi="Times New Roman"/>
          <w:color w:val="000000"/>
          <w:sz w:val="24"/>
          <w:szCs w:val="24"/>
          <w:lang w:eastAsia="pl-PL"/>
        </w:rPr>
        <w:t>którym nie powstałoby zobowiązanie podatkowe lub powstałoby w niższej wysokości, a podatek powinien zostać pobrany zgodnie z takimi korektami.</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5.</w:t>
      </w:r>
      <w:r w:rsidRPr="00DD11C8">
        <w:rPr>
          <w:rFonts w:ascii="Times New Roman" w:eastAsia="Times New Roman" w:hAnsi="Times New Roman"/>
          <w:color w:val="000000"/>
          <w:sz w:val="24"/>
          <w:szCs w:val="24"/>
          <w:lang w:eastAsia="pl-PL"/>
        </w:rPr>
        <w:tab/>
        <w:t>Jakiekolwiek korekty wymagane na podstawie niniejszej sekcji mogą być dokon</w:t>
      </w:r>
      <w:r w:rsidR="00BB0E92" w:rsidRPr="00DD11C8">
        <w:rPr>
          <w:rFonts w:ascii="Times New Roman" w:eastAsia="Times New Roman" w:hAnsi="Times New Roman"/>
          <w:color w:val="000000"/>
          <w:sz w:val="24"/>
          <w:szCs w:val="24"/>
          <w:lang w:eastAsia="pl-PL"/>
        </w:rPr>
        <w:t>ane (przez urzędnika skarbowego</w:t>
      </w:r>
      <w:r w:rsidRPr="00DD11C8">
        <w:rPr>
          <w:rFonts w:ascii="Times New Roman" w:eastAsia="Times New Roman" w:hAnsi="Times New Roman"/>
          <w:color w:val="000000"/>
          <w:sz w:val="24"/>
          <w:szCs w:val="24"/>
          <w:lang w:eastAsia="pl-PL"/>
        </w:rPr>
        <w:t xml:space="preserve"> lub osobę która osiągnęłaby nieuprawnione korzyści podatkowe), w drodze opodatkowania, zmiany opodatkowania, zmiany lub odmowy przyznania roszczenia, lub w jakikolwiek inny sposób.</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6.</w:t>
      </w:r>
      <w:r w:rsidRPr="00DD11C8">
        <w:rPr>
          <w:rFonts w:ascii="Times New Roman" w:eastAsia="Times New Roman" w:hAnsi="Times New Roman"/>
          <w:color w:val="000000"/>
          <w:sz w:val="24"/>
          <w:szCs w:val="24"/>
          <w:lang w:eastAsia="pl-PL"/>
        </w:rPr>
        <w:tab/>
        <w:t>Jednakże:</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(a)</w:t>
      </w:r>
      <w:r w:rsidRPr="00DD11C8">
        <w:rPr>
          <w:rFonts w:ascii="Times New Roman" w:eastAsia="Times New Roman" w:hAnsi="Times New Roman"/>
          <w:color w:val="000000"/>
          <w:sz w:val="24"/>
          <w:szCs w:val="24"/>
          <w:lang w:eastAsia="pl-PL"/>
        </w:rPr>
        <w:tab/>
        <w:t>na mocy niniejszej sekcji, urzędnik skarbowy nie może dokonać żadnych czynności</w:t>
      </w:r>
      <w:r w:rsidR="00BB26DA">
        <w:rPr>
          <w:rFonts w:ascii="Times New Roman" w:eastAsia="Times New Roman" w:hAnsi="Times New Roman"/>
          <w:color w:val="000000"/>
          <w:sz w:val="24"/>
          <w:szCs w:val="24"/>
          <w:lang w:eastAsia="pl-PL"/>
        </w:rPr>
        <w:t>,</w:t>
      </w:r>
      <w:r w:rsidRPr="00DD11C8">
        <w:rPr>
          <w:rFonts w:ascii="Times New Roman" w:eastAsia="Times New Roman" w:hAnsi="Times New Roman"/>
          <w:color w:val="000000"/>
          <w:sz w:val="24"/>
          <w:szCs w:val="24"/>
          <w:lang w:eastAsia="pl-PL"/>
        </w:rPr>
        <w:t xml:space="preserve"> chyba że wymagania proceduralne wynikające z Tabeli 43 zostały spełnione, oraz</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(b)</w:t>
      </w:r>
      <w:r w:rsidRPr="00DD11C8">
        <w:rPr>
          <w:rFonts w:ascii="Times New Roman" w:eastAsia="Times New Roman" w:hAnsi="Times New Roman"/>
          <w:color w:val="000000"/>
          <w:sz w:val="24"/>
          <w:szCs w:val="24"/>
          <w:lang w:eastAsia="pl-PL"/>
        </w:rPr>
        <w:tab/>
        <w:t xml:space="preserve">na mocy niniejszej sekcji, uprawnienie do dokonania korekt podlega wszelkim terminom przedawnienia nałożonym przez lub zgodnie </w:t>
      </w:r>
      <w:r w:rsidR="00A47282" w:rsidRPr="00DD11C8">
        <w:rPr>
          <w:rFonts w:ascii="Times New Roman" w:eastAsia="Times New Roman" w:hAnsi="Times New Roman"/>
          <w:color w:val="000000"/>
          <w:sz w:val="24"/>
          <w:szCs w:val="24"/>
          <w:lang w:eastAsia="pl-PL"/>
        </w:rPr>
        <w:t>z jakimkolwiek postanowieniem/</w:t>
      </w:r>
      <w:r w:rsidRPr="00DD11C8">
        <w:rPr>
          <w:rFonts w:ascii="Times New Roman" w:eastAsia="Times New Roman" w:hAnsi="Times New Roman"/>
          <w:color w:val="000000"/>
          <w:sz w:val="24"/>
          <w:szCs w:val="24"/>
          <w:lang w:eastAsia="pl-PL"/>
        </w:rPr>
        <w:t xml:space="preserve">ustawą, innym niż niniejsza część. </w:t>
      </w:r>
    </w:p>
    <w:p w:rsidR="00F06CC6" w:rsidRPr="00DD11C8" w:rsidRDefault="00F06CC6" w:rsidP="00ED7591">
      <w:pPr>
        <w:tabs>
          <w:tab w:val="left" w:pos="426"/>
        </w:tabs>
        <w:spacing w:after="0" w:line="360" w:lineRule="auto"/>
        <w:jc w:val="both"/>
        <w:rPr>
          <w:rFonts w:ascii="Times New Roman" w:eastAsia="Times New Roman" w:hAnsi="Times New Roman"/>
          <w:color w:val="000000"/>
          <w:sz w:val="24"/>
          <w:szCs w:val="24"/>
          <w:lang w:eastAsia="pl-PL"/>
        </w:rPr>
      </w:pPr>
      <w:r w:rsidRPr="00DD11C8">
        <w:rPr>
          <w:rFonts w:ascii="Times New Roman" w:eastAsia="Times New Roman" w:hAnsi="Times New Roman"/>
          <w:color w:val="000000"/>
          <w:sz w:val="24"/>
          <w:szCs w:val="24"/>
          <w:lang w:eastAsia="pl-PL"/>
        </w:rPr>
        <w:t>7.</w:t>
      </w:r>
      <w:r w:rsidRPr="00DD11C8">
        <w:rPr>
          <w:rFonts w:ascii="Times New Roman" w:eastAsia="Times New Roman" w:hAnsi="Times New Roman"/>
          <w:color w:val="000000"/>
          <w:sz w:val="24"/>
          <w:szCs w:val="24"/>
          <w:lang w:eastAsia="pl-PL"/>
        </w:rPr>
        <w:tab/>
        <w:t>Jakakolwiek korekta dokonana zgodnie z niniejszą sekcją ma zastosowanie we wszelkich celach.</w:t>
      </w:r>
    </w:p>
    <w:p w:rsidR="004D6F22" w:rsidRPr="00A31252" w:rsidRDefault="004D6F22" w:rsidP="00ED7591">
      <w:pPr>
        <w:tabs>
          <w:tab w:val="left" w:pos="426"/>
        </w:tabs>
        <w:spacing w:after="0" w:line="360" w:lineRule="auto"/>
        <w:jc w:val="both"/>
        <w:rPr>
          <w:rFonts w:ascii="Times New Roman" w:hAnsi="Times New Roman"/>
          <w:sz w:val="24"/>
          <w:szCs w:val="24"/>
        </w:rPr>
      </w:pPr>
      <w:r w:rsidRPr="00BB1903">
        <w:rPr>
          <w:rFonts w:ascii="Times New Roman" w:eastAsia="Times New Roman" w:hAnsi="Times New Roman"/>
          <w:color w:val="000000"/>
          <w:sz w:val="24"/>
          <w:szCs w:val="24"/>
          <w:lang w:eastAsia="pl-PL"/>
        </w:rPr>
        <w:t>Tylko w Polsce wprowadzenie klauzuli przeciwko unikaniu opodatkowania zostało zdyskwalifikowane przez</w:t>
      </w:r>
      <w:r w:rsidRPr="00A31252">
        <w:rPr>
          <w:rFonts w:ascii="Times New Roman" w:hAnsi="Times New Roman"/>
          <w:sz w:val="24"/>
          <w:szCs w:val="24"/>
        </w:rPr>
        <w:t xml:space="preserve"> Trybunał Konstytucyjny, mimo że badana przez Trybunał </w:t>
      </w:r>
      <w:r w:rsidRPr="00A31252">
        <w:rPr>
          <w:rFonts w:ascii="Times New Roman" w:hAnsi="Times New Roman"/>
          <w:sz w:val="24"/>
          <w:szCs w:val="24"/>
        </w:rPr>
        <w:lastRenderedPageBreak/>
        <w:t>Konstytucyjny klauzula była porównywaln</w:t>
      </w:r>
      <w:r w:rsidR="00BB1903">
        <w:rPr>
          <w:rFonts w:ascii="Times New Roman" w:hAnsi="Times New Roman"/>
          <w:sz w:val="24"/>
          <w:szCs w:val="24"/>
        </w:rPr>
        <w:t>a z klauzulami obowiązującymi i </w:t>
      </w:r>
      <w:r w:rsidRPr="00A31252">
        <w:rPr>
          <w:rFonts w:ascii="Times New Roman" w:hAnsi="Times New Roman"/>
          <w:sz w:val="24"/>
          <w:szCs w:val="24"/>
        </w:rPr>
        <w:t>wprowadzanymi obecnie w innych państwach</w:t>
      </w:r>
      <w:r w:rsidRPr="00A31252">
        <w:rPr>
          <w:rStyle w:val="Odwoanieprzypisudolnego"/>
          <w:sz w:val="24"/>
          <w:szCs w:val="24"/>
        </w:rPr>
        <w:footnoteReference w:id="7"/>
      </w:r>
      <w:r w:rsidR="00741204" w:rsidRPr="00741204">
        <w:rPr>
          <w:vertAlign w:val="superscript"/>
        </w:rPr>
        <w:t>)</w:t>
      </w:r>
      <w:r w:rsidRPr="00A31252">
        <w:rPr>
          <w:rFonts w:ascii="Times New Roman" w:hAnsi="Times New Roman"/>
          <w:sz w:val="24"/>
          <w:szCs w:val="24"/>
        </w:rPr>
        <w:t xml:space="preserve">. </w:t>
      </w:r>
    </w:p>
    <w:p w:rsidR="004D6F22" w:rsidRPr="00A31252" w:rsidRDefault="004D6F22" w:rsidP="00ED7591">
      <w:pPr>
        <w:pStyle w:val="NormalnyWeb"/>
        <w:spacing w:before="0" w:after="0" w:line="360" w:lineRule="auto"/>
        <w:jc w:val="both"/>
      </w:pPr>
      <w:r w:rsidRPr="00A31252">
        <w:t xml:space="preserve">Klauzuli przeciwko unikaniu opodatkowania nie ma m.in. w Grecji (jej wprowadzenie jest rozważane), w Danii, na Ukrainie, na Litwie, w Rosji, Indonezji, Meksyku. </w:t>
      </w:r>
    </w:p>
    <w:p w:rsidR="004D6F22" w:rsidRDefault="004D6F22" w:rsidP="00ED7591">
      <w:pPr>
        <w:pStyle w:val="NormalnyWeb"/>
        <w:spacing w:before="0" w:after="0" w:line="360" w:lineRule="auto"/>
        <w:jc w:val="both"/>
      </w:pPr>
      <w:r w:rsidRPr="00A31252">
        <w:t xml:space="preserve">We Francji, Australii, Kanadzie i Wielkiej Brytanii działają (a w Indiach będzie działać wraz z wdrożeniem klauzuli) niezależne ciała opiniodawczo-doradcze w sprawie zastosowania klauzuli. Członkami komitetu/panelu są eksperci zajmujący się prawem podatkowym oraz doświadczeni przedstawiciele administracji podatkowej. Udział komitetu przy wydawaniu decyzji ma zapewnić obiektywizm podejścia organów podatkowych oraz – poprzez scentralizowanie wydawania opinii </w:t>
      </w:r>
      <w:r w:rsidR="00DF1E0F">
        <w:t>–</w:t>
      </w:r>
      <w:r w:rsidRPr="00A31252">
        <w:t xml:space="preserve"> wpływać na jednolitość praktyki w zakresie stosowania klauzuli. Opinie komitetu nie są wiążące dla organów podatkowych, jednakże w praktyce są brane pod uwagę przy rozstrzyganiu spraw. Organ prowadzący postępowanie co do zasady nie może wydać decyzji przed uzyskaniem stanowiska komitetu, jeśli sprawa została mu przestawiona do zaopiniowania. Opinie komitetu z zasady są publikowane, po uprzedniej ich anonimizacji</w:t>
      </w:r>
      <w:r w:rsidR="009F504A">
        <w:t>.</w:t>
      </w:r>
    </w:p>
    <w:p w:rsidR="009F504A" w:rsidRPr="00A31252" w:rsidRDefault="009F504A" w:rsidP="00ED7591">
      <w:pPr>
        <w:pStyle w:val="NormalnyWeb"/>
        <w:spacing w:before="0" w:after="0" w:line="360" w:lineRule="auto"/>
        <w:jc w:val="both"/>
      </w:pPr>
    </w:p>
    <w:p w:rsidR="004D6F22" w:rsidRPr="00A31252" w:rsidRDefault="004D6F22" w:rsidP="00ED7591">
      <w:pPr>
        <w:pStyle w:val="NormalnyWeb"/>
        <w:spacing w:before="0" w:after="0" w:line="360" w:lineRule="auto"/>
        <w:jc w:val="both"/>
      </w:pPr>
      <w:r w:rsidRPr="00A31252">
        <w:t>3. W związku z przystąpieniem Polski do Unii Europejskiej nastąpiła zmiana otoczenia prawnego prowadzenia aktywności gospodarczej. Swobodny pr</w:t>
      </w:r>
      <w:r w:rsidR="00BB1903">
        <w:t>zepływ towarów i </w:t>
      </w:r>
      <w:r w:rsidRPr="00A31252">
        <w:t>kapitału sprzyja procesom globalizacji. Procesy te mają także swoje o</w:t>
      </w:r>
      <w:r w:rsidR="00BB1903">
        <w:t>dbicie w </w:t>
      </w:r>
      <w:r w:rsidR="001C5CE8" w:rsidRPr="00A31252">
        <w:t xml:space="preserve">zmianach zachodzących </w:t>
      </w:r>
      <w:r w:rsidRPr="00A31252">
        <w:t xml:space="preserve">w obszarze prawa podatkowego. Zmiany w prawie podatkowym powinny w większym stopniu uwzględniać pojawiające się zagrożenia związane z uchylaniem się od opodatkowania. Na wystąpienie takich zagrożeń zwróciła uwagę Komisja Europejska w </w:t>
      </w:r>
      <w:r w:rsidR="00C31964">
        <w:t>z</w:t>
      </w:r>
      <w:r w:rsidR="009F504A" w:rsidRPr="00A31252">
        <w:t xml:space="preserve">aleceniach </w:t>
      </w:r>
      <w:r w:rsidRPr="00A31252">
        <w:t xml:space="preserve">z dnia 6 grudnia 2012 r. w sprawie agresywnego planowania podatkowego [C(2012)8806], które dotyczą podatków bezpośrednich. Jednym z zalecanych przez Komisję rozwiązań, mających na celu przeciwdziałanie praktykom agresywnego planowania podatkowego powodujących unikanie opodatkowania, jest przyjęcie przez państwa członkowskie zasady dotyczącej zwalczania nadużyć, dostosowanej do sytuacji krajowych, jak i transgranicznych ograniczonych do Unii, jak też i do sytuacji, które dotyczą również państw trzecich. Komisja zaleca wprowadzenie do przepisów krajowych państw członkowskich </w:t>
      </w:r>
      <w:r w:rsidRPr="00A31252">
        <w:lastRenderedPageBreak/>
        <w:t xml:space="preserve">następującej klauzuli: </w:t>
      </w:r>
      <w:r w:rsidRPr="00ED7591">
        <w:t xml:space="preserve">„Nie uwzględnia się sztucznego uzgodnienia lub szeregu sztucznych uzgodnień, które przyjęto w zasadniczym </w:t>
      </w:r>
      <w:r w:rsidR="00BB1903">
        <w:t>celu uniknięcia opodatkowania i </w:t>
      </w:r>
      <w:r w:rsidRPr="00ED7591">
        <w:t>które prowadzą do osiągnięcia korzyści podatkowej. Krajowe organy rozpatrują te ustalenia do celów podatkowych poprzez odniesienie się do ich istoty ekonomicznej</w:t>
      </w:r>
      <w:r w:rsidR="00741204" w:rsidRPr="00ED7591">
        <w:t>”</w:t>
      </w:r>
      <w:r w:rsidRPr="00ED7591">
        <w:t>. Polska, jak i wszystkie państwa członkowskie, jest zobowiązana w terminie 3 lat</w:t>
      </w:r>
      <w:r w:rsidRPr="00A31252">
        <w:t xml:space="preserve"> poinformować KE o środkach podjętych w celu realizacji tego </w:t>
      </w:r>
      <w:r w:rsidR="009F504A">
        <w:t>z</w:t>
      </w:r>
      <w:r w:rsidRPr="00A31252">
        <w:t>alecenia.</w:t>
      </w:r>
    </w:p>
    <w:p w:rsidR="004D6F22" w:rsidRPr="00A31252" w:rsidRDefault="004D6F22" w:rsidP="00ED7591">
      <w:pPr>
        <w:pStyle w:val="NormalnyWeb"/>
        <w:spacing w:before="0" w:after="0" w:line="360" w:lineRule="auto"/>
        <w:jc w:val="both"/>
        <w:rPr>
          <w:bCs/>
        </w:rPr>
      </w:pPr>
      <w:r w:rsidRPr="00A31252">
        <w:t>Tematyki unikania opodatkowania dotyczą rezolucje Parlamentu E</w:t>
      </w:r>
      <w:r w:rsidR="00741204">
        <w:t xml:space="preserve">uropejskiego: z dnia 2 lutego </w:t>
      </w:r>
      <w:r w:rsidRPr="00A31252">
        <w:t xml:space="preserve">2012 r. (2011/2271(INI) oraz z dnia 17 kwietnia 2012 r. (2012/2599(RSP) oraz liczne raporty OECD. </w:t>
      </w:r>
      <w:r w:rsidRPr="00A31252">
        <w:rPr>
          <w:bCs/>
        </w:rPr>
        <w:t>Rada Unii Europejskiej (ECO</w:t>
      </w:r>
      <w:r w:rsidR="00BB1903">
        <w:rPr>
          <w:bCs/>
        </w:rPr>
        <w:t>FIN w konkluzjach posiedzenia z </w:t>
      </w:r>
      <w:r w:rsidRPr="00A31252">
        <w:rPr>
          <w:bCs/>
        </w:rPr>
        <w:t xml:space="preserve">dnia 14 maja 2013 r.) zaleca przeciwdziałanie unikaniu opodatkowania. Rada Unii Europejskiej do Programu Konwergencji zaleca poprawę przestrzegania prawa podatkowego i efektywności poboru podatków. </w:t>
      </w:r>
    </w:p>
    <w:p w:rsidR="004D6F22" w:rsidRDefault="004D6F22" w:rsidP="00ED7591">
      <w:pPr>
        <w:pStyle w:val="NormalnyWeb"/>
        <w:spacing w:before="0" w:after="0" w:line="360" w:lineRule="auto"/>
        <w:jc w:val="both"/>
      </w:pPr>
      <w:r w:rsidRPr="00A31252">
        <w:t xml:space="preserve">Otoczenie międzynarodowe i uwarunkowania krajowe nie dają zatem żadnego uzasadnienia do powstrzymywania się od wprowadzenia do polskiego porządku prawnego instrumentów zwalczania unikania opodatkowania znanych, uznawanych za skuteczne i stosowanych na całym świecie. </w:t>
      </w:r>
    </w:p>
    <w:p w:rsidR="00C31964" w:rsidRPr="00A31252" w:rsidRDefault="00C31964" w:rsidP="00ED7591">
      <w:pPr>
        <w:pStyle w:val="NormalnyWeb"/>
        <w:spacing w:before="0" w:after="0" w:line="360" w:lineRule="auto"/>
        <w:jc w:val="both"/>
      </w:pPr>
    </w:p>
    <w:p w:rsidR="004D6F22" w:rsidRPr="00A31252" w:rsidRDefault="004D6F22" w:rsidP="00ED7591">
      <w:pPr>
        <w:pStyle w:val="NormalnyWeb"/>
        <w:spacing w:before="0" w:after="0" w:line="360" w:lineRule="auto"/>
        <w:jc w:val="both"/>
      </w:pPr>
      <w:r w:rsidRPr="00A31252">
        <w:t>4. Klauzula jest potrzebna dla zapewnienia równego traktowania podatników i realizacji konstytucyjnej zasady równości opodatkowania nie tylko na płaszczyźnie stanowienia, ale także na płaszczyźnie stosowania prawa.</w:t>
      </w:r>
      <w:r w:rsidRPr="00A31252">
        <w:rPr>
          <w:vertAlign w:val="superscript"/>
        </w:rPr>
        <w:footnoteReference w:id="8"/>
      </w:r>
      <w:r w:rsidR="00741204" w:rsidRPr="00741204">
        <w:rPr>
          <w:vertAlign w:val="superscript"/>
        </w:rPr>
        <w:t>)</w:t>
      </w:r>
      <w:r w:rsidRPr="00A31252">
        <w:t xml:space="preserve"> Nie można akceptować sytuacji, w której o istnieniu i wysokości opodatkowania decyduje zastosowana formuła prawna, a nie treść realnego zdarzenia gospodarczego. Podatnik unikający opodatkowania pod względem finansowym znajduje się w korzystniejszej sytuacji niż ten, który także podejmuje aktywność w sferze gospodarczej czy finansowej, lecz nie obniża w sztuczny sposób poziomu swoich obciążeń podatkowych. Unikanie opodatkowania jest więc groźne nie tylko dla finansów publicznych przez uszczuplanie dochodów podatkowych, ale narusza też równość opodatkowania</w:t>
      </w:r>
      <w:r w:rsidR="007A799A">
        <w:t>,</w:t>
      </w:r>
      <w:r w:rsidRPr="00A31252">
        <w:t xml:space="preserve"> dając </w:t>
      </w:r>
      <w:r w:rsidR="00BB1903">
        <w:t>przy tym okazję do budowania, w </w:t>
      </w:r>
      <w:r w:rsidRPr="00A31252">
        <w:t>nieuczciwy sposób, przewagi rynkowej.</w:t>
      </w:r>
    </w:p>
    <w:p w:rsidR="004D6F22" w:rsidRPr="00A31252" w:rsidRDefault="004D6F22" w:rsidP="00ED7591">
      <w:pPr>
        <w:pStyle w:val="NormalnyWeb"/>
        <w:spacing w:before="0" w:after="0" w:line="360" w:lineRule="auto"/>
        <w:jc w:val="both"/>
      </w:pPr>
      <w:r w:rsidRPr="00A31252">
        <w:t>Zauważyć przy tym trzeba, że konstruowanie i wdrażanie wyrafinowanych, sztucznych konstrukcji prawnych zmierzających do unikania opodatkowania wymaga posiadania zasobów finansowych i dzięki temu dostępu do wysoko wykwalifikowanej obsługi prawnej, któr</w:t>
      </w:r>
      <w:r w:rsidR="00C31964">
        <w:t>a</w:t>
      </w:r>
      <w:r w:rsidRPr="00A31252">
        <w:t xml:space="preserve"> jest niezbędna do wykreowania takiej konstrukcji prawnej i jej realizacji. </w:t>
      </w:r>
      <w:r w:rsidRPr="00A31252">
        <w:lastRenderedPageBreak/>
        <w:t>Unikanie opodatkowania daje korzyść finansową wyrażoną w niższym opodatkowaniu lub jego braku. Założyć należy, że zachowania skutkujące zastosowaniem klauzuli leżą w zasięgu jedynie dużych przedsiębiorców (</w:t>
      </w:r>
      <w:r w:rsidR="00BB1903">
        <w:t>zwykle powiązanych kapitałowo i </w:t>
      </w:r>
      <w:r w:rsidRPr="00A31252">
        <w:t xml:space="preserve">zarządczo z podmiotami zagranicznymi) oraz osób fizycznych dysponujących znacznymi zasobami finansowymi lub wysokimi dochodami. </w:t>
      </w:r>
    </w:p>
    <w:p w:rsidR="004D6F22" w:rsidRPr="00A31252" w:rsidRDefault="004D6F22" w:rsidP="00ED7591">
      <w:pPr>
        <w:pStyle w:val="NormalnyWeb"/>
        <w:spacing w:before="0" w:after="0" w:line="360" w:lineRule="auto"/>
        <w:jc w:val="both"/>
      </w:pPr>
      <w:r w:rsidRPr="00A31252">
        <w:t>Polski system podatkowy nie jest odporny na działania zmierzające do unikania opodatkowania. Wręcz przeciwnie, wraz z postępującą integracją polskiej gospodarki z</w:t>
      </w:r>
      <w:r w:rsidR="00BB1903">
        <w:t> </w:t>
      </w:r>
      <w:r w:rsidRPr="00A31252">
        <w:t xml:space="preserve">gospodarką światową trzeba założyć, że patologiczne zachowania, już zdiagnozowane i zwalczane w innych krajach, będą także coraz bardziej intensywne i dotkliwe dla finansów publicznych w Polsce. Potrzeba ochrony finansów publicznych uzasadnia wprowadzenie klauzuli przeciwko unikaniu opodatkowania. Trudno przy tym dopatrzyć się w polskim ustroju konstytucyjnym tak oryginalnych cech, które blokowałyby wprowadzenie rozwiązań prawnych ukierunkowanych na zapobieganie i zwalczanie unikania opodatkowania analogicznych do tych, jakie zostały wprowadzone i są stosowane w znaczącej ilości państw o ustroju demokratycznym i dojrzałych systemach prawnych. </w:t>
      </w:r>
    </w:p>
    <w:p w:rsidR="004D6F22" w:rsidRPr="00A31252" w:rsidRDefault="004D6F22" w:rsidP="00ED7591">
      <w:pPr>
        <w:pStyle w:val="NormalnyWeb"/>
        <w:spacing w:before="0" w:after="0" w:line="360" w:lineRule="auto"/>
        <w:jc w:val="both"/>
      </w:pPr>
      <w:r w:rsidRPr="00A31252">
        <w:t>Najistotniejszą funkcją klauzuli powinna jednak być prewencja. Działanie podatnika prowadzące do unikania opodatkowania wiązałoby się z ryzykiem wymiaru zobowiązania podatkowego w sposób niweczą</w:t>
      </w:r>
      <w:r w:rsidR="00BB1903">
        <w:t>cy korzyść podatkową uzyskaną w </w:t>
      </w:r>
      <w:r w:rsidRPr="00A31252">
        <w:t xml:space="preserve">wyniku tego działania. Do tego dochodziłaby konieczność zapłacenia odsetek za zwłokę od zaległości podatkowej. Nawet przy umiarkowanej skali stosowania klauzuli sam fakt jej obecności w systemie prawnym powinien zniechęcać do działań zmierzających do unikania opodatkowania. </w:t>
      </w:r>
    </w:p>
    <w:p w:rsidR="004D6F22" w:rsidRDefault="004D6F22" w:rsidP="00ED7591">
      <w:pPr>
        <w:pStyle w:val="NormalnyWeb"/>
        <w:spacing w:before="0" w:after="0" w:line="360" w:lineRule="auto"/>
        <w:jc w:val="both"/>
      </w:pPr>
      <w:r w:rsidRPr="00A31252">
        <w:t>Wprowadzenie klauzuli przeciwko unikaniu opodatkowania uporządkuje system prawa podatkowego, wyznaczając poprzez swoją treść i praktykę stosowania granice dopuszczalnej optymalizacji podatkowej. Założyć należy, że klauzula przyczyni się też do uporządkowania relacji między prawem podatkowym i cywilnym</w:t>
      </w:r>
      <w:r w:rsidR="007A799A">
        <w:t>,</w:t>
      </w:r>
      <w:r w:rsidRPr="00A31252">
        <w:t xml:space="preserve"> podkreślając tu autonomię prawa podatkowego. </w:t>
      </w:r>
    </w:p>
    <w:p w:rsidR="00C31964" w:rsidRPr="00A31252" w:rsidRDefault="00C31964" w:rsidP="00ED7591">
      <w:pPr>
        <w:pStyle w:val="NormalnyWeb"/>
        <w:spacing w:before="0" w:after="0" w:line="360" w:lineRule="auto"/>
        <w:jc w:val="both"/>
      </w:pPr>
    </w:p>
    <w:p w:rsidR="004D6F22" w:rsidRPr="00C31964" w:rsidRDefault="004D6F22" w:rsidP="00ED7591">
      <w:pPr>
        <w:pStyle w:val="NormalnyWeb"/>
        <w:spacing w:before="0" w:after="0" w:line="360" w:lineRule="auto"/>
        <w:jc w:val="both"/>
      </w:pPr>
      <w:r w:rsidRPr="00C31964">
        <w:t>Przykłady schematów, które mogą prowadzić do unikania opodatkowania:</w:t>
      </w:r>
    </w:p>
    <w:p w:rsidR="004D6F22" w:rsidRPr="00A31252" w:rsidRDefault="004D6F22" w:rsidP="00ED7591">
      <w:pPr>
        <w:pStyle w:val="NormalnyWeb"/>
        <w:numPr>
          <w:ilvl w:val="0"/>
          <w:numId w:val="1"/>
        </w:numPr>
        <w:tabs>
          <w:tab w:val="clear" w:pos="720"/>
        </w:tabs>
        <w:spacing w:before="0" w:after="0" w:line="360" w:lineRule="auto"/>
        <w:ind w:left="0" w:firstLine="0"/>
        <w:jc w:val="both"/>
      </w:pPr>
      <w:r w:rsidRPr="00A31252">
        <w:t>planowanie podatkowe z wykorzystanie</w:t>
      </w:r>
      <w:r w:rsidR="00DF1E0F">
        <w:t>m instrumentów hybrydowych, tj. </w:t>
      </w:r>
      <w:r w:rsidRPr="00A31252">
        <w:t xml:space="preserve">wykorzystywanie odmiennego traktowania danych kategorii dochodów lub podmiotowości podatkowej przez prawo wewnętrzne dwóch lub większej </w:t>
      </w:r>
      <w:r w:rsidR="00C31964">
        <w:t>liczby</w:t>
      </w:r>
      <w:r w:rsidRPr="00A31252">
        <w:t xml:space="preserve"> </w:t>
      </w:r>
      <w:r w:rsidRPr="00A31252">
        <w:lastRenderedPageBreak/>
        <w:t>państw. Konflikty kwalifikacji wykorzystywane są w agr</w:t>
      </w:r>
      <w:r w:rsidR="00BB1903">
        <w:t>esywnym planowaniu podatkowym w</w:t>
      </w:r>
      <w:r w:rsidR="00C31964">
        <w:t xml:space="preserve"> </w:t>
      </w:r>
      <w:r w:rsidRPr="00A31252">
        <w:t>celu uzyskania efektu podwójnego nieopodatkowania danych kategorii dochodu, przy czym tworzone są sztuczne stru</w:t>
      </w:r>
      <w:r w:rsidR="00E66AAD">
        <w:t>ktury podmiotowe zaangażowane w </w:t>
      </w:r>
      <w:r w:rsidRPr="00A31252">
        <w:t>transakcję;</w:t>
      </w:r>
    </w:p>
    <w:p w:rsidR="004D6F22" w:rsidRPr="00A31252" w:rsidRDefault="004D6F22" w:rsidP="00ED7591">
      <w:pPr>
        <w:pStyle w:val="NormalnyWeb"/>
        <w:numPr>
          <w:ilvl w:val="0"/>
          <w:numId w:val="1"/>
        </w:numPr>
        <w:tabs>
          <w:tab w:val="clear" w:pos="720"/>
        </w:tabs>
        <w:spacing w:before="0" w:after="0" w:line="360" w:lineRule="auto"/>
        <w:ind w:left="0" w:firstLine="0"/>
        <w:jc w:val="both"/>
      </w:pPr>
      <w:r w:rsidRPr="00A31252">
        <w:t>wykorzystywanie przepisów umownych w celu obniżenia podstawy opodatkowania w danym kraju, przy wykorzystaniu tzw. „zakładu” – funkcjonującego dla celów stosowania umów o unikaniu podwójnego opodatkowania oraz możliwość tworzenia podmiotów transparentnych podatkowo. Zakład</w:t>
      </w:r>
      <w:r w:rsidR="00BB1903">
        <w:t xml:space="preserve"> taki (lub spółka </w:t>
      </w:r>
      <w:r w:rsidRPr="00A31252">
        <w:t>transparentna) tworzony jest na terytorium drugiego państwa, wyłącznie dla celów korzystniejszej podatkowo obsługi transakcji między dwoma podmiotami krajowymi. Struktury planowania podatkowego wykorzystują tutaj jednocześnie specyficzne postanowienia prawa wewnętrznego państwa położenia zakładu oraz przepisy umów podatkowych;</w:t>
      </w:r>
    </w:p>
    <w:p w:rsidR="004D6F22" w:rsidRPr="00A31252" w:rsidRDefault="004D6F22" w:rsidP="00ED7591">
      <w:pPr>
        <w:pStyle w:val="NormalnyWeb"/>
        <w:numPr>
          <w:ilvl w:val="0"/>
          <w:numId w:val="1"/>
        </w:numPr>
        <w:tabs>
          <w:tab w:val="clear" w:pos="720"/>
        </w:tabs>
        <w:spacing w:before="0" w:after="0" w:line="360" w:lineRule="auto"/>
        <w:ind w:left="0" w:firstLine="0"/>
        <w:jc w:val="both"/>
      </w:pPr>
      <w:r w:rsidRPr="00A31252">
        <w:t xml:space="preserve">wykorzystanie </w:t>
      </w:r>
      <w:r w:rsidRPr="00741204">
        <w:t>trustów</w:t>
      </w:r>
      <w:r w:rsidRPr="00A31252">
        <w:t xml:space="preserve"> – instytucji wywodzącej się z tradycji prawnej </w:t>
      </w:r>
      <w:r w:rsidRPr="00C31964">
        <w:rPr>
          <w:i/>
        </w:rPr>
        <w:t>common law</w:t>
      </w:r>
      <w:r w:rsidRPr="00A31252">
        <w:t xml:space="preserve"> w celu ucieczki przed opodatkowaniem. Umowa </w:t>
      </w:r>
      <w:r w:rsidRPr="00741204">
        <w:t xml:space="preserve">trustu </w:t>
      </w:r>
      <w:r w:rsidRPr="00A31252">
        <w:t>zakłada przekazanie własności majątku właściciela na rzecz instytucji powierniczej, która sprawuje nad nim zarząd oraz dokonuje rozporządzeń z majątku na rzecz beneficjenta;</w:t>
      </w:r>
    </w:p>
    <w:p w:rsidR="004D6F22" w:rsidRPr="00A31252" w:rsidRDefault="004D6F22" w:rsidP="00ED7591">
      <w:pPr>
        <w:pStyle w:val="NormalnyWeb"/>
        <w:numPr>
          <w:ilvl w:val="0"/>
          <w:numId w:val="1"/>
        </w:numPr>
        <w:tabs>
          <w:tab w:val="clear" w:pos="720"/>
        </w:tabs>
        <w:spacing w:before="0" w:after="0" w:line="360" w:lineRule="auto"/>
        <w:ind w:left="0" w:firstLine="0"/>
        <w:jc w:val="both"/>
      </w:pPr>
      <w:r w:rsidRPr="00A31252">
        <w:t>wykorzystanie podmiotów tworzonych w tzw. rajach podatkowych w celu sztucznego transferu dochodu, skutkującego zmniejs</w:t>
      </w:r>
      <w:r w:rsidR="00BB1903">
        <w:t>zeniem podstawy opodatkowania w </w:t>
      </w:r>
      <w:r w:rsidRPr="00A31252">
        <w:t xml:space="preserve">Polsce. Elementem struktury często jest wyposażenie takiego podmiotu w prawa autorskie do utworów, znaków towarowych czy </w:t>
      </w:r>
      <w:r w:rsidRPr="00741204">
        <w:t>know-how;</w:t>
      </w:r>
    </w:p>
    <w:p w:rsidR="004D6F22" w:rsidRPr="00A31252" w:rsidRDefault="004D6F22" w:rsidP="00ED7591">
      <w:pPr>
        <w:pStyle w:val="NormalnyWeb"/>
        <w:numPr>
          <w:ilvl w:val="0"/>
          <w:numId w:val="1"/>
        </w:numPr>
        <w:tabs>
          <w:tab w:val="clear" w:pos="720"/>
        </w:tabs>
        <w:spacing w:before="0" w:after="0" w:line="360" w:lineRule="auto"/>
        <w:ind w:left="0" w:firstLine="0"/>
        <w:jc w:val="both"/>
      </w:pPr>
      <w:r w:rsidRPr="00A31252">
        <w:t>struktury tworzone przez najlepiej zarabiających sportowców i artystów, którzy poprzez tworzenie wielonarodowych ko</w:t>
      </w:r>
      <w:r w:rsidR="009A76CE">
        <w:t xml:space="preserve">nstrukcji podmiotowych oraz np. </w:t>
      </w:r>
      <w:r w:rsidRPr="00A31252">
        <w:t>wyposażenie części podmiotów w prawa wizerunkowe, unikają obowiązku płacenia podatków zarówno w państwie rezydencji, jak i wykonywania działalności sportowej lub artystycznej;</w:t>
      </w:r>
    </w:p>
    <w:p w:rsidR="004D6F22" w:rsidRPr="00A31252" w:rsidRDefault="004D6F22" w:rsidP="009A76CE">
      <w:pPr>
        <w:pStyle w:val="NormalnyWeb"/>
        <w:numPr>
          <w:ilvl w:val="0"/>
          <w:numId w:val="1"/>
        </w:numPr>
        <w:tabs>
          <w:tab w:val="clear" w:pos="720"/>
          <w:tab w:val="left" w:pos="426"/>
        </w:tabs>
        <w:spacing w:before="0" w:after="0" w:line="360" w:lineRule="auto"/>
        <w:ind w:left="0" w:firstLine="0"/>
        <w:jc w:val="both"/>
      </w:pPr>
      <w:r w:rsidRPr="00A31252">
        <w:t>wykorzystanie zagranicznych fundacji, tworzonych i działających wyłącznie na rzecz pojedynczego beneficjenta (założyciela) w celu uniknięcia opodatkowania dochodów osobistych w kraju rezydencji;</w:t>
      </w:r>
    </w:p>
    <w:p w:rsidR="004D6F22" w:rsidRPr="00A31252" w:rsidRDefault="004D6F22" w:rsidP="009A76CE">
      <w:pPr>
        <w:pStyle w:val="NormalnyWeb"/>
        <w:numPr>
          <w:ilvl w:val="0"/>
          <w:numId w:val="1"/>
        </w:numPr>
        <w:tabs>
          <w:tab w:val="clear" w:pos="720"/>
          <w:tab w:val="left" w:pos="426"/>
        </w:tabs>
        <w:spacing w:before="0" w:after="0" w:line="360" w:lineRule="auto"/>
        <w:ind w:left="0" w:firstLine="0"/>
        <w:jc w:val="both"/>
      </w:pPr>
      <w:r w:rsidRPr="00A31252">
        <w:t>konstrukcje z wykorzystaniem sztuczn</w:t>
      </w:r>
      <w:r w:rsidR="00DF1E0F">
        <w:t>ych podmiotów holdingowych (np. </w:t>
      </w:r>
      <w:r w:rsidRPr="00A31252">
        <w:t xml:space="preserve">podmiotów cypryjskich, słowackich czy luksemburskich), polegające na umieszczeniu takiego podmiotu pomiędzy polską spółką a jej właścicielem za granicą, w celu obniżenia (lub uniknięcia) opodatkowania dywidend uzyskiwanych przez osoby </w:t>
      </w:r>
      <w:r w:rsidRPr="00A31252">
        <w:lastRenderedPageBreak/>
        <w:t>fizyczne w Polsce. Struktury agresywnego planowania podatkowego korzystają w tym przypadku z zestawienia regulacji dyrektyw unijnych implementowanych w polskim prawie wewnętrznym, rozwiązań o znamionach szkodliwej konkurencji podatkowej funkcjonujących w prawie wewnętrznym innych państw oraz szkodliwych zapisów zamieszczonych w polskich umowach o unikaniu podwójnego opodatkowania na początku lat 90</w:t>
      </w:r>
      <w:r w:rsidR="007A799A">
        <w:t>-</w:t>
      </w:r>
      <w:r w:rsidRPr="00A31252">
        <w:t xml:space="preserve">tych (klauzule </w:t>
      </w:r>
      <w:r w:rsidRPr="00C31964">
        <w:rPr>
          <w:i/>
        </w:rPr>
        <w:t>tax sparing</w:t>
      </w:r>
      <w:r w:rsidRPr="00A31252">
        <w:t>, czy też niespotykane nigdzie w światowej praktyce traktatowej zastosowanie metody wyłączenia z progresją w odniesieniu do dochodów pasywnych);</w:t>
      </w:r>
    </w:p>
    <w:p w:rsidR="004D6F22" w:rsidRDefault="004D6F22" w:rsidP="009A76CE">
      <w:pPr>
        <w:pStyle w:val="NormalnyWeb"/>
        <w:numPr>
          <w:ilvl w:val="0"/>
          <w:numId w:val="1"/>
        </w:numPr>
        <w:tabs>
          <w:tab w:val="clear" w:pos="720"/>
          <w:tab w:val="left" w:pos="426"/>
        </w:tabs>
        <w:spacing w:before="0" w:after="0" w:line="360" w:lineRule="auto"/>
        <w:ind w:left="0" w:firstLine="0"/>
        <w:jc w:val="both"/>
      </w:pPr>
      <w:r w:rsidRPr="00A31252">
        <w:t>wykorzystanie instrumentów dłużnych w agresywnym planowaniu podatkowym, np. umowy o zakup długoterminowych (np. 20</w:t>
      </w:r>
      <w:r w:rsidR="007A799A">
        <w:t>-</w:t>
      </w:r>
      <w:r w:rsidRPr="00A31252">
        <w:t>letnich) obligacji „QDS” emitowanych w Singapurze i zakupowanych przez polskich podatników, przewidujące jednocześnie wypłatę odsetek za cały 20</w:t>
      </w:r>
      <w:r w:rsidR="00C31964">
        <w:t>-</w:t>
      </w:r>
      <w:r w:rsidRPr="00A31252">
        <w:t>letni okres umowny „z góry”, oraz możliwość natychmiastowego, przedterminowe</w:t>
      </w:r>
      <w:r w:rsidR="00DF1E0F">
        <w:t>go wykupu obligacji. Szkodliwe –</w:t>
      </w:r>
      <w:r w:rsidRPr="00A31252">
        <w:t xml:space="preserve"> z punktu widzenia interesów polskiego budżetu </w:t>
      </w:r>
      <w:r w:rsidR="00741204">
        <w:t>–</w:t>
      </w:r>
      <w:r w:rsidRPr="00A31252">
        <w:t xml:space="preserve"> zapisy umowy podatkowej z 1994 r. umożliwiały</w:t>
      </w:r>
      <w:r w:rsidR="00DF1E0F">
        <w:t xml:space="preserve"> wygenerowanie przez polskiego </w:t>
      </w:r>
      <w:r w:rsidRPr="00A31252">
        <w:t>podatnika wysokich kosztów podatkowych w podatku dochodowym od osób prawnych przy jednoczesnym zwolnieniu z opodatkowania dochodu odsetkowego związanego z obligacjami. Pomimo długoterminowego charakteru papierów wartościowych, przedmiotowe transakcje realizowane są w okresach kilkutygodniowych.</w:t>
      </w:r>
    </w:p>
    <w:p w:rsidR="00C31964" w:rsidRPr="00A31252" w:rsidRDefault="00C31964" w:rsidP="00C31964">
      <w:pPr>
        <w:pStyle w:val="NormalnyWeb"/>
        <w:tabs>
          <w:tab w:val="left" w:pos="426"/>
        </w:tabs>
        <w:spacing w:before="0" w:after="0" w:line="360" w:lineRule="auto"/>
        <w:jc w:val="both"/>
      </w:pPr>
    </w:p>
    <w:p w:rsidR="004D6F22" w:rsidRPr="00A31252" w:rsidRDefault="004D6F22" w:rsidP="00ED7591">
      <w:pPr>
        <w:pStyle w:val="NormalnyWeb"/>
        <w:spacing w:before="0" w:after="0" w:line="360" w:lineRule="auto"/>
        <w:jc w:val="both"/>
      </w:pPr>
      <w:r w:rsidRPr="00A31252">
        <w:t>5. Przegląd klauzul w niektórych krajach (europejskich i innych) pokazuje, że jakkolwiek nie ma jednolitego modelu normatywnego klauzuli przeciwko unikaniu opodatkowania, to jednak wszystkie klauzule mają dość po</w:t>
      </w:r>
      <w:r w:rsidR="00BB1903">
        <w:t>dobne cechy i elementy. W </w:t>
      </w:r>
      <w:r w:rsidRPr="00A31252">
        <w:t>Polsce normatywna konstrukcja klauzuli musi uwzględniać wyrok Trybunału Konstytucyjnego z dnia 11 maja 2004 r. sygn. K</w:t>
      </w:r>
      <w:r w:rsidR="00BB1903">
        <w:t xml:space="preserve"> 4/03. Trybunał Konstytucyjny w </w:t>
      </w:r>
      <w:r w:rsidRPr="00A31252">
        <w:t>wyroku tym sformułował następujące zalecenia dotyczące normatywnego ujęcia klauzuli:</w:t>
      </w:r>
    </w:p>
    <w:p w:rsidR="004D6F22" w:rsidRPr="00DF1E0F" w:rsidRDefault="004D6F22" w:rsidP="009A76CE">
      <w:pPr>
        <w:pStyle w:val="NormalnyWeb"/>
        <w:tabs>
          <w:tab w:val="left" w:pos="426"/>
        </w:tabs>
        <w:spacing w:before="0" w:after="0" w:line="360" w:lineRule="auto"/>
        <w:jc w:val="both"/>
      </w:pPr>
      <w:r w:rsidRPr="00DF1E0F">
        <w:t>A)</w:t>
      </w:r>
      <w:r w:rsidR="00DF1E0F" w:rsidRPr="00DF1E0F">
        <w:tab/>
      </w:r>
      <w:r w:rsidRPr="00DF1E0F">
        <w:t>jednoznaczne określenie odnośnie tego, w których konkretnie przepisach Ordynacji podatkowej klauzula ta zostanie uregulowana (pkt III 1.2. uzasadnienia wyroku),</w:t>
      </w:r>
    </w:p>
    <w:p w:rsidR="004D6F22" w:rsidRPr="00DF1E0F" w:rsidRDefault="004D6F22" w:rsidP="009A76CE">
      <w:pPr>
        <w:pStyle w:val="NormalnyWeb"/>
        <w:tabs>
          <w:tab w:val="left" w:pos="426"/>
        </w:tabs>
        <w:spacing w:before="0" w:after="0" w:line="360" w:lineRule="auto"/>
        <w:jc w:val="both"/>
      </w:pPr>
      <w:r w:rsidRPr="00DF1E0F">
        <w:t>B)</w:t>
      </w:r>
      <w:r w:rsidR="00DF1E0F" w:rsidRPr="00DF1E0F">
        <w:tab/>
      </w:r>
      <w:r w:rsidRPr="00DF1E0F">
        <w:t>poprawna z punktu widzenia językowego i logicznego konstrukcja przepisów; jasne i precyzyjne formułowanie przepisów pozwala obywatelowi na przewidzenie konsekwencji prawnych jego zachowań (pkt III 1.5</w:t>
      </w:r>
      <w:r w:rsidR="00DF1E0F">
        <w:t>. i 1.9. uzasadnienia wyroku)</w:t>
      </w:r>
      <w:r w:rsidR="007A799A">
        <w:t>,</w:t>
      </w:r>
    </w:p>
    <w:p w:rsidR="004D6F22" w:rsidRPr="00A31252" w:rsidRDefault="004D6F22" w:rsidP="009A76CE">
      <w:pPr>
        <w:pStyle w:val="NormalnyWeb"/>
        <w:tabs>
          <w:tab w:val="left" w:pos="426"/>
        </w:tabs>
        <w:spacing w:before="0" w:after="0" w:line="360" w:lineRule="auto"/>
        <w:jc w:val="both"/>
      </w:pPr>
      <w:r w:rsidRPr="00DF1E0F">
        <w:lastRenderedPageBreak/>
        <w:t>C)</w:t>
      </w:r>
      <w:r w:rsidR="00DF1E0F" w:rsidRPr="00DF1E0F">
        <w:tab/>
      </w:r>
      <w:r w:rsidRPr="00DF1E0F">
        <w:t>umożliwienie osiągnięcia maksymalnej przewidywalności rozstrzygnięcia podejmowanego</w:t>
      </w:r>
      <w:r w:rsidRPr="00A31252">
        <w:t xml:space="preserve"> na podstawie klauzuli</w:t>
      </w:r>
      <w:r w:rsidR="008A1568">
        <w:t>,</w:t>
      </w:r>
      <w:r w:rsidRPr="00A31252">
        <w:t xml:space="preserve"> </w:t>
      </w:r>
    </w:p>
    <w:p w:rsidR="00931201" w:rsidRDefault="004D6F22" w:rsidP="009A76CE">
      <w:pPr>
        <w:pStyle w:val="NormalnyWeb"/>
        <w:tabs>
          <w:tab w:val="left" w:pos="426"/>
        </w:tabs>
        <w:spacing w:before="0" w:after="0" w:line="360" w:lineRule="auto"/>
        <w:jc w:val="both"/>
      </w:pPr>
      <w:r w:rsidRPr="00A31252">
        <w:t>Trybunał Konstytucyjny podkreślał, że zagrożenia takiej przewidywalności upatrywać można po pierwsze w tym, że przesłanki rozumienia (interpretacji) danego zwrotu niedookreślonego determinowane są elementami subiektywnymi. Im większe pole do zindywidualizowanej interpretacji danego pojęcia, tym większa też groźba nieprzewidywalności rozstrzygnięć podejmowanych na jego podstawie. Po drugie, Trybunał wskazał, że wykorzystywaniu zwrotów niedookreślonych powinna towarzyszyć konieczność nadania im takiej treści, która zagwarantuje jednolitość linii orzeczniczej (decyzji stosowania prawa). W kontekście pożądanej przewidywalności rozstrzygnięć dokonywanych na podstawie klauzuli Trybunał wskazał wreszcie, że konieczne jest zapewnienie, iż ustalenie treści pojęć nieostrych zastosowanych w danej regulacji nie stanie się udziałem organów stosujących t</w:t>
      </w:r>
      <w:r w:rsidR="003771F5">
        <w:t>e przepisy, co prowadzić może w </w:t>
      </w:r>
      <w:r w:rsidRPr="00A31252">
        <w:t xml:space="preserve">konsekwencji do niedozwolonego prawotwórstwa ze strony tych organów </w:t>
      </w:r>
    </w:p>
    <w:p w:rsidR="004D6F22" w:rsidRPr="00A31252" w:rsidRDefault="004D6F22" w:rsidP="009A76CE">
      <w:pPr>
        <w:pStyle w:val="NormalnyWeb"/>
        <w:tabs>
          <w:tab w:val="left" w:pos="426"/>
        </w:tabs>
        <w:spacing w:before="0" w:after="0" w:line="360" w:lineRule="auto"/>
        <w:jc w:val="both"/>
      </w:pPr>
      <w:r w:rsidRPr="00A31252">
        <w:t xml:space="preserve">(pkt III 1.6. uzasadnienia wyroku), </w:t>
      </w:r>
    </w:p>
    <w:p w:rsidR="004D6F22" w:rsidRPr="00DF1E0F" w:rsidRDefault="004D6F22" w:rsidP="009A76CE">
      <w:pPr>
        <w:pStyle w:val="NormalnyWeb"/>
        <w:tabs>
          <w:tab w:val="left" w:pos="426"/>
        </w:tabs>
        <w:spacing w:before="0" w:after="0" w:line="360" w:lineRule="auto"/>
        <w:jc w:val="both"/>
      </w:pPr>
      <w:r w:rsidRPr="00DF1E0F">
        <w:t>D)</w:t>
      </w:r>
      <w:r w:rsidR="00DF1E0F">
        <w:tab/>
      </w:r>
      <w:r w:rsidRPr="00DF1E0F">
        <w:t>unikanie zwrotów niepozwalających na przyjęcie, że „ich interpretacja orzecznicza będzie rzeczywiście jednolita i ścis</w:t>
      </w:r>
      <w:r w:rsidR="00126317" w:rsidRPr="00DF1E0F">
        <w:t>ł</w:t>
      </w:r>
      <w:r w:rsidRPr="00DF1E0F">
        <w:t>a” oraz że „z ich brzmienia nie będzie można wyprowadzić uprawnienia prawotwórczego organów stosujących” (pkt</w:t>
      </w:r>
      <w:r w:rsidR="008A1568">
        <w:t xml:space="preserve"> III 1.6. uzasadnienia wyroku),</w:t>
      </w:r>
    </w:p>
    <w:p w:rsidR="004D6F22" w:rsidRPr="00DF1E0F" w:rsidRDefault="004D6F22" w:rsidP="009A76CE">
      <w:pPr>
        <w:pStyle w:val="NormalnyWeb"/>
        <w:tabs>
          <w:tab w:val="left" w:pos="426"/>
        </w:tabs>
        <w:spacing w:before="0" w:after="0" w:line="360" w:lineRule="auto"/>
        <w:jc w:val="both"/>
      </w:pPr>
      <w:r w:rsidRPr="00DF1E0F">
        <w:t>E)</w:t>
      </w:r>
      <w:r w:rsidR="00DF1E0F">
        <w:tab/>
      </w:r>
      <w:r w:rsidRPr="00DF1E0F">
        <w:t>konieczność określenia skutków decyzji podatkowych podejmowanych na podstawie klauzuli, w szczególności</w:t>
      </w:r>
      <w:r w:rsidR="008A1568">
        <w:t>,</w:t>
      </w:r>
      <w:r w:rsidRPr="00DF1E0F">
        <w:t xml:space="preserve"> czy decyzje te będą miały charakter deklaratoryjny, czy też konstytutywny (pkt III 1.7. uzasadnienia wyroku),</w:t>
      </w:r>
    </w:p>
    <w:p w:rsidR="004D6F22" w:rsidRPr="00A31252" w:rsidRDefault="004D6F22" w:rsidP="009A76CE">
      <w:pPr>
        <w:pStyle w:val="NormalnyWeb"/>
        <w:tabs>
          <w:tab w:val="left" w:pos="426"/>
        </w:tabs>
        <w:spacing w:before="0" w:after="0" w:line="360" w:lineRule="auto"/>
        <w:jc w:val="both"/>
      </w:pPr>
      <w:r w:rsidRPr="00DF1E0F">
        <w:t>F)</w:t>
      </w:r>
      <w:r w:rsidR="00DF1E0F">
        <w:tab/>
      </w:r>
      <w:r w:rsidRPr="00DF1E0F">
        <w:t>unikanie</w:t>
      </w:r>
      <w:r w:rsidRPr="00A31252">
        <w:t xml:space="preserve"> rozwiązań, które stanowią nieuzasadnioną ingerencję organów podatkowych w sferę praw podatnika, w szczególno</w:t>
      </w:r>
      <w:r w:rsidR="00BB1903">
        <w:t>ści zaś w wolność korzystania z </w:t>
      </w:r>
      <w:r w:rsidRPr="00A31252">
        <w:t xml:space="preserve">różnych metod optymalizacji podatkowej. Wykładnia konstytucyjnego obowiązku ponoszenia podatków określonych w ustawie nie może </w:t>
      </w:r>
      <w:r w:rsidR="00BB1903">
        <w:t>prowadzić do stwierdzenia, iż w </w:t>
      </w:r>
      <w:r w:rsidRPr="00A31252">
        <w:t>jego zakresie mieści się norma prawna nakazująca p</w:t>
      </w:r>
      <w:r w:rsidR="00BB1903">
        <w:t>odatnikowi uiszczanie podatku w </w:t>
      </w:r>
      <w:r w:rsidRPr="00A31252">
        <w:t>maksymalnej – określonej w ustawie – wysokości (pkt III 1.8. uzasadnienia wyroku)</w:t>
      </w:r>
      <w:r w:rsidR="008A1568">
        <w:t>.</w:t>
      </w:r>
    </w:p>
    <w:p w:rsidR="004D6F22" w:rsidRDefault="004D6F22" w:rsidP="000B3079">
      <w:pPr>
        <w:pStyle w:val="NormalnyWeb"/>
        <w:spacing w:before="0" w:after="0" w:line="360" w:lineRule="auto"/>
        <w:jc w:val="both"/>
      </w:pPr>
      <w:r w:rsidRPr="00A31252">
        <w:t xml:space="preserve">Powyższe zalecenia Trybunału Konstytucyjnego zostały uwzględnione przy tworzeniu projektowanych rozwiązań. Normy przeciwko unikaniu opodatkowania powinny być normami prawa materialnego, ponieważ prowadzą do powstania lub modyfikacji wysokości zobowiązania podatkowego. Dlatego też przepisy dotyczące klauzuli zostały umieszczone wśród przepisów o powstawaniu zobowiązań podatkowych (dział IIIa, </w:t>
      </w:r>
      <w:r w:rsidRPr="00A31252">
        <w:lastRenderedPageBreak/>
        <w:t xml:space="preserve">rozdział 1 Ordynacji podatkowej „Klauzula przeciwko unikaniu opodatkowania”) – </w:t>
      </w:r>
      <w:r w:rsidRPr="00A31252">
        <w:rPr>
          <w:b/>
        </w:rPr>
        <w:t>zalecenie A Trybunału Konstytucyjnego</w:t>
      </w:r>
      <w:r w:rsidRPr="00A31252">
        <w:t xml:space="preserve">. Zaproponowane normatywne ujęcie klauzuli przeciwko unikaniu opodatkowania uwzględnia wytyczne Trybunału Konstytucyjnego, doświadczenia innych krajów oraz </w:t>
      </w:r>
      <w:r w:rsidR="000B3079">
        <w:t>zalecenie Komisji Europejskiej.</w:t>
      </w:r>
    </w:p>
    <w:p w:rsidR="000B3079" w:rsidRDefault="000B3079" w:rsidP="000B3079">
      <w:pPr>
        <w:pStyle w:val="NormalnyWeb"/>
        <w:spacing w:before="0" w:after="0" w:line="360" w:lineRule="auto"/>
        <w:jc w:val="both"/>
      </w:pPr>
    </w:p>
    <w:p w:rsidR="004D6F22" w:rsidRPr="00A31252" w:rsidRDefault="004D6F22" w:rsidP="000B3079">
      <w:pPr>
        <w:pStyle w:val="NormalnyWeb"/>
        <w:spacing w:before="0" w:after="0" w:line="360" w:lineRule="auto"/>
        <w:jc w:val="both"/>
      </w:pPr>
      <w:r w:rsidRPr="00A31252">
        <w:t xml:space="preserve">6. </w:t>
      </w:r>
      <w:r w:rsidRPr="00F27FB4">
        <w:t>Istota klauzuli.</w:t>
      </w:r>
      <w:r w:rsidRPr="00A31252">
        <w:t xml:space="preserve"> Stosunki prawne mogą być kształtowane w sposób optymalny dla stron, również w aspekcie podatkowym. Możliwości w zakresie swobodnego kształtowania stosunków prawnych nie powinny być jednak nadużywane w celu unikania spełniania obowiązków wynikających z prawa podatkowego. W razie nadużycia możliwości kształtowania stosunków prawnych treść powstałego zobowiązania podatkowego powinna być zatem wywodzona z wyników gospodarczo-ekonomicznych zaistniałych zdarze</w:t>
      </w:r>
      <w:r w:rsidRPr="00DF1E0F">
        <w:t>ń</w:t>
      </w:r>
      <w:r w:rsidRPr="00DF1E0F">
        <w:rPr>
          <w:rStyle w:val="Odwoanieprzypisudolnego"/>
        </w:rPr>
        <w:footnoteReference w:id="9"/>
      </w:r>
      <w:r w:rsidR="00DF1E0F" w:rsidRPr="00DF1E0F">
        <w:rPr>
          <w:vertAlign w:val="superscript"/>
        </w:rPr>
        <w:t>)</w:t>
      </w:r>
      <w:r w:rsidRPr="00DF1E0F">
        <w:t>,</w:t>
      </w:r>
      <w:r w:rsidRPr="00A31252">
        <w:rPr>
          <w:i/>
        </w:rPr>
        <w:t xml:space="preserve"> </w:t>
      </w:r>
      <w:r w:rsidRPr="00A31252">
        <w:t xml:space="preserve">a nie z uzewnętrznionej treści stosunku prawnego. Wymagane jest normatywne wskazanie, że fundamentem oceny zdarzeń przez ich pryzmat gospodarczo-ekonomiczny jest uznanie, że ustawodawca nadając treść podatkowemu stanowi faktycznemu dąży do opodatkowania rzeczywistej istoty zdarzeń gospodarczych, a nie konstrukcji prawnych, w których zdarzenia te znajdują swój wyraz. W tym kontekście, unikanie opodatkowania jawi się jako wykorzystanie przez podatnika rozdźwięku pomiędzy </w:t>
      </w:r>
      <w:r w:rsidR="00227D86" w:rsidRPr="00A31252">
        <w:t xml:space="preserve">ekonomicznym lub </w:t>
      </w:r>
      <w:r w:rsidRPr="00A31252">
        <w:t xml:space="preserve">gospodarczym celem (sensem) normy prawnej, a jej językowym brzmieniem. </w:t>
      </w:r>
    </w:p>
    <w:p w:rsidR="00C25255" w:rsidRPr="00A31252" w:rsidRDefault="004D6F22" w:rsidP="00ED7591">
      <w:pPr>
        <w:pStyle w:val="NormalnyWeb"/>
        <w:spacing w:before="0" w:after="0" w:line="360" w:lineRule="auto"/>
        <w:jc w:val="both"/>
      </w:pPr>
      <w:r w:rsidRPr="00A31252">
        <w:t>Unikaniem opodatkowania jest podejmowanie takich czynności, które – choć formalnie zgodne są z obowiązującym prawem – to jednak cechuje je, po pierwsze, sztuczność, nieprzystawanie do ekonomicznych realiów, w których działał podatnik. Po drugie, dokonane są przede wszystkim w celu osiągnięcia ko</w:t>
      </w:r>
      <w:r w:rsidR="00BB1903">
        <w:t>rzyści podatkowej, sprzecznej w </w:t>
      </w:r>
      <w:r w:rsidRPr="00A31252">
        <w:t xml:space="preserve">danych okolicznościach z przedmiotem i celem </w:t>
      </w:r>
      <w:r w:rsidR="0092520D" w:rsidRPr="00A31252">
        <w:t xml:space="preserve">przepisu </w:t>
      </w:r>
      <w:r w:rsidRPr="00A31252">
        <w:t xml:space="preserve">ustawy podatkowej, a zatem – sprzeczne są z intencją prawodawcy, kształtującego zakres obciążeń podatkowych. </w:t>
      </w:r>
    </w:p>
    <w:p w:rsidR="004D6F22" w:rsidRPr="00A31252" w:rsidRDefault="004D6F22" w:rsidP="00ED7591">
      <w:pPr>
        <w:pStyle w:val="NormalnyWeb"/>
        <w:spacing w:before="0" w:after="0" w:line="360" w:lineRule="auto"/>
        <w:jc w:val="both"/>
      </w:pPr>
      <w:r w:rsidRPr="00A31252">
        <w:t xml:space="preserve">Głównym celem zastosowania takiej czynności jest </w:t>
      </w:r>
      <w:r w:rsidR="00BB1903">
        <w:t>uzyskanie, sprzecznej z celem i </w:t>
      </w:r>
      <w:r w:rsidRPr="00A31252">
        <w:t xml:space="preserve">istotą </w:t>
      </w:r>
      <w:r w:rsidR="0092520D" w:rsidRPr="00A31252">
        <w:t xml:space="preserve">przepisu </w:t>
      </w:r>
      <w:r w:rsidRPr="00A31252">
        <w:t xml:space="preserve">ustawy podatkowej, znacznej korzyści podatkowej przez podatnika (względnie podmiot, który przez uniknięcie opodatkowania nie stał się podatnikiem) lub inne podmioty współtworzące sztuczną konstrukcję prawną. </w:t>
      </w:r>
    </w:p>
    <w:p w:rsidR="004D6F22" w:rsidRPr="00A31252" w:rsidRDefault="004D6F22" w:rsidP="00ED7591">
      <w:pPr>
        <w:pStyle w:val="NormalnyWeb"/>
        <w:spacing w:before="0" w:after="0" w:line="360" w:lineRule="auto"/>
        <w:jc w:val="both"/>
      </w:pPr>
      <w:r w:rsidRPr="00A31252">
        <w:lastRenderedPageBreak/>
        <w:t xml:space="preserve">Cechą towarzyszącą kształtowaniu stosunków prawnych w sposób zmierzający do uzyskania korzyści podatkowej sprzecznej z intencją prawodawcy często jest brak elementów ryzyka </w:t>
      </w:r>
      <w:r w:rsidR="00227D86" w:rsidRPr="00A31252">
        <w:t xml:space="preserve">ekonomicznego lub </w:t>
      </w:r>
      <w:r w:rsidRPr="00A31252">
        <w:t xml:space="preserve">gospodarczego w związku z dokonaniem określonej czynności prawnej lub wzajemnie powiązanego zespołu takich czynności. </w:t>
      </w:r>
    </w:p>
    <w:p w:rsidR="004D6F22" w:rsidRDefault="004D6F22" w:rsidP="00ED7591">
      <w:pPr>
        <w:pStyle w:val="NormalnyWeb"/>
        <w:spacing w:before="0" w:after="0" w:line="360" w:lineRule="auto"/>
        <w:jc w:val="both"/>
      </w:pPr>
      <w:r w:rsidRPr="00A31252">
        <w:t>Sztuczność konstrukcji prawnej prowadzącej do unikania opodatkowania można oceniać na płaszczyźnie prawnej oraz ekonomicznej. Na płaszczyźnie prawnej sztuczność konstrukcji wyraża się najczęściej w jej nadmiernej zawiłości poprzez np. dzielenie zdarzenia na odrębne czynności prawne albo połączenia wielu odrębnych zdarzeń w jedną czynność w sposób nietypowy dla danej branży, występowaniu podmiotów pośredniczących niewnoszących jednak żadnych elementów gospodarczych, elementach prowadzących do uzyskania stanu identycznego lub zbliżonego do stanu istniejącego przed zastosowaniem tej konstrukcji prawnej (transakcje okrężne), elementach transakcji wzajemnie się znoszących lub kompensujących. Na płaszczyźnie ekonomicznej sztuczną transakcję charakteryzuje brak w niej treści ekonomicznej np. poprzez ukrywanie prawdziwego celu i znaczenia zdarzenia gospodarczego, nieadekwatność lub zbędność do realizacji rzeczywistego zdarzenia gospodarczego, zgodnie z jego celem i istotą oraz do uzyskania zamierzonego efektu gospodarczego. Nadmierna prawna zawiłość sztucznej konstrukcji prawnej oraz brak w niej treści ekonomicznej prowadzą do wniosku, że ta konstrukcja nie zostałaby zastosowana przez rozsądnie działający podmiot kierujący się w swych wyborach celami gospodarczymi.</w:t>
      </w:r>
    </w:p>
    <w:p w:rsidR="000B3079" w:rsidRPr="00A31252" w:rsidRDefault="000B3079" w:rsidP="00ED7591">
      <w:pPr>
        <w:pStyle w:val="NormalnyWeb"/>
        <w:spacing w:before="0" w:after="0" w:line="360" w:lineRule="auto"/>
        <w:jc w:val="both"/>
      </w:pPr>
    </w:p>
    <w:p w:rsidR="004D6F22" w:rsidRPr="00A31252" w:rsidRDefault="004D6F22" w:rsidP="00ED7591">
      <w:pPr>
        <w:pStyle w:val="NormalnyWeb"/>
        <w:spacing w:before="0" w:after="0" w:line="360" w:lineRule="auto"/>
        <w:jc w:val="both"/>
      </w:pPr>
      <w:r w:rsidRPr="00A31252">
        <w:t xml:space="preserve">7. </w:t>
      </w:r>
      <w:r w:rsidRPr="009A76CE">
        <w:t>Klauzula a prawo cywilne. Klauzula, jako norma prawa podatkowego, nie może wkraczać w sferę regulacji cywilnoprawnej. W szczególności nie jest dopuszczalne ani celowe, aby klauzula zawierała</w:t>
      </w:r>
      <w:r w:rsidRPr="00A31252">
        <w:t xml:space="preserve"> zakazy lub nakazy, dotyczące czynności cywilnoprawnych. Podkreślić należy autonomiczność prawa podatkowego w stosunku do innych gałęzi prawa. Regulacje mające przeciwdziałać czynnościom pozornym zawarte są w art. 199a § 2 Ordynacji podatkowej. Na gruncie prawa podatkowego – skutki podatkowe powinny być ustalane w stosunk</w:t>
      </w:r>
      <w:r w:rsidR="00BB1903">
        <w:t>u do czynności ukrytej, a nie w </w:t>
      </w:r>
      <w:r w:rsidRPr="00A31252">
        <w:t xml:space="preserve">stosunku do czynności pozornej. Czynności, których rzeczywisty cel i zamiar stron są inne niż deklarowane, są czynnościami pozornymi i władze skarbowe są uprawnione do pominięcia ich skutków oraz wywodzenia skutków podatkowych z czynności ukrytych. Jeżeli oświadczenie zostało złożone dla ukrycia innej czynności prawnej, ważność </w:t>
      </w:r>
      <w:r w:rsidRPr="00A31252">
        <w:lastRenderedPageBreak/>
        <w:t>oświadczenia ocenia się według właściwości tej czynności. Jedynie czynność, która wywiera skutki prawne, może być brana pod uwagę przy ustaleniu podatkowego stanu faktycznego. Czynności pozorne należy pominąć, ponieważ będąc czynnościami nieważnymi nie wywierają żadnych skutków prawnych. W tym przypadku organ podatkowy, ustalając stan faktyczny, będzie przyjmował, że czynność nie doszła do skutku, a zatem nie wywarła żadnych skutków prawnych. Zgodnie z art. 199a § 1 Ordynacji podatkowej, organ podatkowy, dokonując ustalenia treści czynności prawnej, uwzględnia zgodny zamiar stron i cel czynności, a nie tylko dosłowne brzmienie oświadczeń woli złożonych przez strony czynności. Jeżeli pod pozorem dokonania czynności prawnej dokonano innej czynności prawnej,</w:t>
      </w:r>
      <w:r w:rsidR="00BB1903">
        <w:t xml:space="preserve"> skutki podatkowe wywodzi się z </w:t>
      </w:r>
      <w:r w:rsidRPr="00A31252">
        <w:t>tej ukrytej czynności prawnej. Istotą pozornej czynności prawnej jest zamiar podatnika</w:t>
      </w:r>
      <w:r w:rsidR="00404737">
        <w:t>,</w:t>
      </w:r>
      <w:r w:rsidRPr="00A31252">
        <w:t xml:space="preserve"> który dokonując tej czynności nie dąży jednak do wywołania skutków prawnych, które w normalnych okolicznościach wynikałyby z dokonanej przez niego czynności (przeprowadzonej transakcji). Natomiast na organie podatkowym spoczywa ciężar udowodnienia dokonania przez podatnika pozornej czynności prawnej. Jednocześnie należy podkreślić, że unikanie opodatkowania nie musi być czynnością pozorną – są to dwa niezależne zagadnienia. W wyroku z dnia 14 czerwca 2006 r. sygn. akt K 53/05 Trybunał Konstytucyjny, stwierdzając zgodność art. 199a § 3 Ordynacji podatkowej z Konstytucją </w:t>
      </w:r>
      <w:r w:rsidR="00F27FB4">
        <w:t xml:space="preserve">RP </w:t>
      </w:r>
      <w:r w:rsidRPr="00A31252">
        <w:t>stwierdził, że ten przepis nie dotyczy kwestii materialnoprawnych i nie wprowadza do systemu prawnego klauzu</w:t>
      </w:r>
      <w:r w:rsidR="00190019">
        <w:t xml:space="preserve">li obejścia prawa podatkowego. </w:t>
      </w:r>
      <w:r w:rsidRPr="00A31252">
        <w:t>Przedstawiając powyższe</w:t>
      </w:r>
      <w:r w:rsidR="00404737">
        <w:t>,</w:t>
      </w:r>
      <w:r w:rsidRPr="00A31252">
        <w:t xml:space="preserve"> należy podkreślić, że prawo podatkowe jest odrębną gałęzią prawa (prawo publiczne), choć związaną z prawem cywilnym i prawem handlowym (prawo prywatne). Skutkiem bowiem re</w:t>
      </w:r>
      <w:r w:rsidR="00BB1903">
        <w:t>alizacji norm prawa cywilnego i </w:t>
      </w:r>
      <w:r w:rsidRPr="00A31252">
        <w:t>handlowego, przede wszystkim w ramach obrotu gospodarczego, jest z reguły powstanie stanów faktycznych, z których wynikają obowiązki podatkowe. Określenie skutków oświadczeń woli poprzez dokonanie wykładni takich oświadczeń, może być niezbędną przesłanką ustalenia przez organy podatkowe rzeczywistego podatkowoprawnego stanu faktycznego. Natomiast skutki podatkowoprawne należy rozpatrywać wyłącznie na gruncie prawa podatkowego, opierając się na istniejących tam konstrukcjach prawnych, bez względu na to, jak te zdarzenia faktyczne można zakwalifikować na gruncie prawa cywilnego czy handlowego.</w:t>
      </w:r>
    </w:p>
    <w:p w:rsidR="004D6F22" w:rsidRPr="00A31252" w:rsidRDefault="004D6F22" w:rsidP="00ED7591">
      <w:pPr>
        <w:pStyle w:val="NormalnyWeb"/>
        <w:spacing w:before="0" w:after="0" w:line="360" w:lineRule="auto"/>
        <w:jc w:val="both"/>
      </w:pPr>
      <w:r w:rsidRPr="00A31252">
        <w:t xml:space="preserve">Proponowana klauzula przeciwko unikaniu opodatkowania, jak już wyżej wyjaśniono, będzie miała zastosowanie, gdy transakcje faktycznie zostały przeprowadzone, zaś </w:t>
      </w:r>
      <w:r w:rsidRPr="00A31252">
        <w:lastRenderedPageBreak/>
        <w:t xml:space="preserve">czynności prawne zmierzały do obejścia prawa podatkowego. Podkreślenia wymaga, że obejście prawa podatkowego nie może być uznane za szczególną postać obejścia prawa cywilnego. Jest to bowiem zjawisko występujące na gruncie prawa podatkowego, zaś analiza działań podatnika może być oparta wyłącznie na ocenie całokształtu okoliczności faktycznych i prawnych, wywołujących określone skutki w prawie podatkowym, a nie w prawie cywilnym. </w:t>
      </w:r>
    </w:p>
    <w:p w:rsidR="004D6F22" w:rsidRPr="009A76CE" w:rsidRDefault="004D6F22" w:rsidP="00ED7591">
      <w:pPr>
        <w:pStyle w:val="NormalnyWeb"/>
        <w:spacing w:before="0" w:after="0" w:line="360" w:lineRule="auto"/>
        <w:jc w:val="both"/>
      </w:pPr>
      <w:r w:rsidRPr="00A31252">
        <w:t xml:space="preserve">Sednem proponowanej </w:t>
      </w:r>
      <w:r w:rsidR="00CC6BC7" w:rsidRPr="00A31252">
        <w:t xml:space="preserve">regulacji będzie </w:t>
      </w:r>
      <w:r w:rsidR="00CC6BC7" w:rsidRPr="009A76CE">
        <w:t xml:space="preserve">przepis </w:t>
      </w:r>
      <w:r w:rsidRPr="00404737">
        <w:rPr>
          <w:b/>
        </w:rPr>
        <w:t>art. 119a</w:t>
      </w:r>
      <w:r w:rsidRPr="009A76CE">
        <w:t xml:space="preserve"> określający</w:t>
      </w:r>
      <w:r w:rsidR="00E754C0" w:rsidRPr="009A76CE">
        <w:t>,</w:t>
      </w:r>
      <w:r w:rsidRPr="009A76CE">
        <w:t xml:space="preserve"> jakiego rodzaju działania będą zwalczane za pomocą nowej regulacji oraz jaki mechanizm prawny będzie temu służyć. </w:t>
      </w:r>
    </w:p>
    <w:p w:rsidR="004D6F22" w:rsidRPr="009A76CE" w:rsidRDefault="00E754C0" w:rsidP="00ED7591">
      <w:pPr>
        <w:pStyle w:val="NormalnyWeb"/>
        <w:spacing w:before="0" w:after="0" w:line="360" w:lineRule="auto"/>
        <w:jc w:val="both"/>
      </w:pPr>
      <w:r w:rsidRPr="009A76CE">
        <w:t>Jeśli</w:t>
      </w:r>
      <w:r w:rsidR="004D6F22" w:rsidRPr="009A76CE">
        <w:t xml:space="preserve"> podatnik dokona sztucznej czynności, aby osiągnąć korzystny rezultat podatkowy, stojący w sprzeczności</w:t>
      </w:r>
      <w:r w:rsidR="009A76CE">
        <w:t xml:space="preserve"> z istotą regulacji podatkowej,</w:t>
      </w:r>
      <w:r w:rsidR="004D6F22" w:rsidRPr="009A76CE">
        <w:t xml:space="preserve"> to skuteczność tego rodzaju działania zostanie prawnie zniweczona</w:t>
      </w:r>
      <w:r w:rsidRPr="009A76CE">
        <w:t xml:space="preserve"> (</w:t>
      </w:r>
      <w:r w:rsidR="001D25E7" w:rsidRPr="00404737">
        <w:rPr>
          <w:b/>
        </w:rPr>
        <w:t>art. 119a § 1</w:t>
      </w:r>
      <w:r w:rsidRPr="009A76CE">
        <w:t>)</w:t>
      </w:r>
      <w:r w:rsidR="004D6F22" w:rsidRPr="009A76CE">
        <w:t>. Warunkiem pozbawienia takiej czynności jej skuteczności w sferze prawa podatkowego będzie spełnienie łącznie przesłanki sztuczności i działania przede wszystkim w celu osiągnięcia korzyści podatkowej, jeśli taka korzyść w danych oko</w:t>
      </w:r>
      <w:r w:rsidR="00BB1903">
        <w:t>licznościach byłaby sprzeczna z </w:t>
      </w:r>
      <w:r w:rsidR="004D6F22" w:rsidRPr="009A76CE">
        <w:t xml:space="preserve">przedmiotem i celem </w:t>
      </w:r>
      <w:r w:rsidR="007A2654" w:rsidRPr="009A76CE">
        <w:t xml:space="preserve">przepisu </w:t>
      </w:r>
      <w:r w:rsidR="004D6F22" w:rsidRPr="009A76CE">
        <w:t xml:space="preserve">ustawy podatkowej. </w:t>
      </w:r>
      <w:r w:rsidR="007A2654" w:rsidRPr="009A76CE">
        <w:t xml:space="preserve">Taką </w:t>
      </w:r>
      <w:r w:rsidR="004D6F22" w:rsidRPr="009A76CE">
        <w:t xml:space="preserve">czynność ustawa uznawać będzie za unikanie opodatkowania i będzie mu przeciwdziałać. </w:t>
      </w:r>
    </w:p>
    <w:p w:rsidR="004D6F22" w:rsidRPr="009A76CE" w:rsidRDefault="004D6F22" w:rsidP="00ED7591">
      <w:pPr>
        <w:pStyle w:val="NormalnyWeb"/>
        <w:spacing w:before="0" w:after="0" w:line="360" w:lineRule="auto"/>
        <w:jc w:val="both"/>
      </w:pPr>
      <w:r w:rsidRPr="009A76CE">
        <w:t>Ta regulacja wytyczy granicę pomiędzy dopuszczalną optymalizacją podatkową, która nadal będzie w pełni dopuszczalna, a tego rodzaju działaniami, które z uwagi na swój szkodliwy charakter nie powinny być tolerowane. Regulacja ta nie będzie ograniczać prawa podatników do działań optymalizacyjnych, o ile dokonują rzeczywistych działań gospodarczych (Zaleceni</w:t>
      </w:r>
      <w:r w:rsidR="00F27FB4">
        <w:t>e F Trybunału Konstytucyjnego).</w:t>
      </w:r>
    </w:p>
    <w:p w:rsidR="004D6F22" w:rsidRPr="009A76CE" w:rsidRDefault="004D6F22" w:rsidP="00ED7591">
      <w:pPr>
        <w:pStyle w:val="NormalnyWeb"/>
        <w:spacing w:before="0" w:after="0" w:line="360" w:lineRule="auto"/>
        <w:jc w:val="both"/>
      </w:pPr>
      <w:r w:rsidRPr="009A76CE">
        <w:t>Mechanizm działania tej normy, tj. klauzuli przeciwko unikaniu opodatkowania, będzie polegał na tym, że zakwestionowana czynność l</w:t>
      </w:r>
      <w:r w:rsidR="00BB1903">
        <w:t>ub ich zespół pozostaną ważne i </w:t>
      </w:r>
      <w:r w:rsidRPr="009A76CE">
        <w:t>skuteczne w sferze prawa cywilnego, jednak ich podatkowoprawne skutki zostaną określone inaczej, niż wynikałoby to z formalnoprawnej, nacechowanej sztucznością postaci. Skutki podatkowe mogą zostać określone w dwojaki sposób: albo poprzez odmówienie działaniom podatnika jakiejkolwiek skuteczności na płaszczyźnie podatkowej, albo też na swoistej reklasyfikacji czynności. Jeśli czynność nie miała żadnego innego celu i sensu ekonomicznego poza tym, aby doprowadzić do uzyskania przez podatnika nieuprawnionej korzyści podatkowej – wówczas czynność taka będzie przy określaniu skutków podatkowych uznawana za niebyłą (</w:t>
      </w:r>
      <w:r w:rsidRPr="00404737">
        <w:rPr>
          <w:b/>
        </w:rPr>
        <w:t>art. 119a § 3</w:t>
      </w:r>
      <w:r w:rsidRPr="009A76CE">
        <w:t xml:space="preserve">). Jeśli jednak podjęte działania miały pewną treść ekonomiczną i zgodny z prawem cel, </w:t>
      </w:r>
      <w:r w:rsidRPr="009A76CE">
        <w:lastRenderedPageBreak/>
        <w:t>wówczas nie będzie następowało proste anulowanie podatkowych skutków czynności, lecz próba odtworzenia przebiegu zdarzeń w taki sposób, jaki byłby właściwy, gdyby podatnik nie działał z zamiarem osiągnięcia korzyści podatkowej st</w:t>
      </w:r>
      <w:r w:rsidR="00376D20">
        <w:t>ojącej w </w:t>
      </w:r>
      <w:r w:rsidR="00BB1903">
        <w:t>sprzeczności z celem i</w:t>
      </w:r>
      <w:r w:rsidR="00404737">
        <w:t xml:space="preserve"> </w:t>
      </w:r>
      <w:r w:rsidRPr="009A76CE">
        <w:t xml:space="preserve">istotą </w:t>
      </w:r>
      <w:r w:rsidR="00DC1837" w:rsidRPr="009A76CE">
        <w:t xml:space="preserve">przepisu </w:t>
      </w:r>
      <w:r w:rsidRPr="009A76CE">
        <w:t xml:space="preserve">ustawy podatkowej. </w:t>
      </w:r>
      <w:r w:rsidR="00404737">
        <w:t>Uwzględniać należy</w:t>
      </w:r>
      <w:r w:rsidR="00DC1837" w:rsidRPr="009A76CE">
        <w:t xml:space="preserve"> przy tym okoliczność</w:t>
      </w:r>
      <w:r w:rsidR="00404737">
        <w:t>,</w:t>
      </w:r>
      <w:r w:rsidR="00DC1837" w:rsidRPr="009A76CE">
        <w:t xml:space="preserve"> że poszczególne przepisy ustawy podatkowej mogą realizować inne cele, inne jest </w:t>
      </w:r>
      <w:r w:rsidR="001D25E7" w:rsidRPr="009A76CE">
        <w:rPr>
          <w:i/>
        </w:rPr>
        <w:t>ratio legis</w:t>
      </w:r>
      <w:r w:rsidR="001D25E7" w:rsidRPr="009A76CE">
        <w:t>, funkcja i znaczenie w systemie prawa.</w:t>
      </w:r>
      <w:r w:rsidR="00DC1837" w:rsidRPr="009A76CE">
        <w:t xml:space="preserve"> </w:t>
      </w:r>
    </w:p>
    <w:p w:rsidR="004D6F22" w:rsidRPr="009A76CE" w:rsidRDefault="004D6F22" w:rsidP="00ED7591">
      <w:pPr>
        <w:pStyle w:val="NormalnyWeb"/>
        <w:spacing w:before="0" w:after="0" w:line="360" w:lineRule="auto"/>
        <w:jc w:val="both"/>
      </w:pPr>
      <w:r w:rsidRPr="009A76CE">
        <w:t>Dalsze przepisy wskazują, w jaki sposób to reklasyfikowanie czynności będzie następować. Za odpowiednią, a zatem taką, która jako swoisty wzorzec posłuży do określenia prawidłowych konsekwencji podatkowych, będzie uznawana czynność, której podmiot mógłby w danych okolicznościach dokona</w:t>
      </w:r>
      <w:r w:rsidR="00BB1903">
        <w:t>ć, jeżeli działałby rozsądnie i </w:t>
      </w:r>
      <w:r w:rsidRPr="009A76CE">
        <w:t xml:space="preserve">kierował się zgodnymi z prawem celami innymi niż osiągnięcie korzyści podatkowej sprzecznej z przedmiotem i celem </w:t>
      </w:r>
      <w:r w:rsidR="00A149E4" w:rsidRPr="009A76CE">
        <w:t xml:space="preserve">przepisu </w:t>
      </w:r>
      <w:r w:rsidRPr="009A76CE">
        <w:t>ustawy podatkowej. Gwarancyjną funkcję będzie spełniać postanowienie (</w:t>
      </w:r>
      <w:r w:rsidRPr="00A26E29">
        <w:rPr>
          <w:b/>
        </w:rPr>
        <w:t xml:space="preserve">art. 119a § 2 </w:t>
      </w:r>
      <w:r w:rsidRPr="00AD0406">
        <w:rPr>
          <w:b/>
          <w:i/>
        </w:rPr>
        <w:t>in fine</w:t>
      </w:r>
      <w:r w:rsidRPr="009A76CE">
        <w:t>), w myśl którego sam podatnik</w:t>
      </w:r>
      <w:r w:rsidRPr="00A31252">
        <w:t xml:space="preserve"> będzie mógł wskazać taki przebieg czynności, który jego zdaniem byłby adekwatny do jego sytuacji. Organ podatkowy w takiej sytuacji powinien oprzeć się na „scenariuszu” przedstawionym przez podatnika, jeśli tylko odpowiada on przesłankom uznania czynności za odpowiednią do okoliczności, w których </w:t>
      </w:r>
      <w:r w:rsidR="00BB1903">
        <w:t>działał podatnik, określonych w </w:t>
      </w:r>
      <w:r w:rsidRPr="00A26E29">
        <w:rPr>
          <w:b/>
        </w:rPr>
        <w:t>art. 119a § 2</w:t>
      </w:r>
      <w:r w:rsidRPr="009A76CE">
        <w:t>.</w:t>
      </w:r>
    </w:p>
    <w:p w:rsidR="004D6F22" w:rsidRPr="00A31252" w:rsidRDefault="004D6F22" w:rsidP="00ED7591">
      <w:pPr>
        <w:pStyle w:val="NormalnyWeb"/>
        <w:spacing w:before="0" w:after="0" w:line="360" w:lineRule="auto"/>
        <w:jc w:val="both"/>
      </w:pPr>
      <w:r w:rsidRPr="009A76CE">
        <w:t xml:space="preserve">O tym, że mamy do czynienia z unikaniem opodatkowania, w znacznej mierze przesądza sztuczność działań podatnika. Element ten pojawia się w większości tego typu regulacji spotykanych na świecie. Także w światowej literaturze przedmiotu sztuczność wskazuje się jako jedną z najistotniejszych cech pozwalających odróżnić optymalizację podatkową od unikania opodatkowania. Przyjęcie w projekcie tej cechy jako wyróżnika pozwalającego zakwestionować podatkowe skutki dokonanej przez podatnika czynności jest też zgodne z powoływanym </w:t>
      </w:r>
      <w:r w:rsidR="00BB1903">
        <w:t xml:space="preserve">już </w:t>
      </w:r>
      <w:r w:rsidR="00C15FE0">
        <w:t>z</w:t>
      </w:r>
      <w:r w:rsidR="00BB1903">
        <w:t>aleceniem Komisji z dnia 6 </w:t>
      </w:r>
      <w:r w:rsidRPr="009A76CE">
        <w:t>grudnia 2012 r. w sprawie agresywnego planowania podatkowego (pkt 4.2. oraz dookreślenie w pkt 4.4.). Pojęcie sztuczności należy do wyrażeń pozostawiających interpretatorowi pewien margines luzu decyzyjnego. Starano się jednak zminimalizować go po pierwsze poprzez ustawowe zdefiniowanie określenia sztuczności (</w:t>
      </w:r>
      <w:r w:rsidRPr="00A26E29">
        <w:rPr>
          <w:b/>
        </w:rPr>
        <w:t>art. 119c § 1</w:t>
      </w:r>
      <w:r w:rsidRPr="009A76CE">
        <w:t>), jak też i wskazanie tych cech transakcji, które podmiot stosujący prawo powinien wziąć pod uwagę</w:t>
      </w:r>
      <w:r w:rsidR="00A26E29">
        <w:t>,</w:t>
      </w:r>
      <w:r w:rsidRPr="009A76CE">
        <w:t xml:space="preserve"> dokonując oceny, czy działania podatnika miały charakter sztuczny, czy też nie. Wyliczenie cech mogących wskazywać na to, że czynność ma charakter sztuczny w rozumieniu </w:t>
      </w:r>
      <w:r w:rsidRPr="00965DEE">
        <w:rPr>
          <w:b/>
        </w:rPr>
        <w:t>art. 119a</w:t>
      </w:r>
      <w:r w:rsidRPr="009A76CE">
        <w:t xml:space="preserve">, znalazło się w </w:t>
      </w:r>
      <w:r w:rsidRPr="00965DEE">
        <w:rPr>
          <w:b/>
        </w:rPr>
        <w:t>art. 119c § 2</w:t>
      </w:r>
      <w:r w:rsidRPr="009A76CE">
        <w:t xml:space="preserve">. </w:t>
      </w:r>
      <w:r w:rsidRPr="009A76CE">
        <w:lastRenderedPageBreak/>
        <w:t>Wśród tych cech znalazło się nieuzasadnione dzielenie operacji, angażowanie podmiotó</w:t>
      </w:r>
      <w:r w:rsidR="00C36081">
        <w:t xml:space="preserve">w pośredniczących mimo braku </w:t>
      </w:r>
      <w:r w:rsidRPr="009A76CE">
        <w:t>uzasadnienia gospodarczego, występowanie w działaniu podatnika elementów prowadzących do uzyskania stanu</w:t>
      </w:r>
      <w:r w:rsidRPr="00A31252">
        <w:t xml:space="preserve"> identycznego lub zbliżonego do stanu wyjściowego, względnie elementów wzajemnie się znoszących lub kompensujących. O sztuczności może też przesądzać występowanie w operacjach podejmowanych przez podatnika ryzyka gospodarczego przewyższającego spodziewane korzyści inne niż podatkowe w takim stopniu, iż należy uznać, że rozsądnie działający podmiot nie wybrałby tego sposobu działania. </w:t>
      </w:r>
      <w:r w:rsidR="00BB1903">
        <w:t>W </w:t>
      </w:r>
      <w:r w:rsidR="00264E7C" w:rsidRPr="00A31252">
        <w:t>przypadku osoby nieprowadzącej działalności gospodarczej pojęcia „uzasadnienie gospodarcze” i „ryzyko gospodarcze” będzie rozumiane w sposób odnoszący się do uzasadnienia i ryzyka ekonomicznego podejmowanych czynności.</w:t>
      </w:r>
      <w:r w:rsidR="00227D86" w:rsidRPr="00A31252">
        <w:t xml:space="preserve"> Zauważając możliwe przeplatanie się pojęcia ryzyka ekonomicznego oraz ryzyka gospodarczego</w:t>
      </w:r>
      <w:r w:rsidR="00965DEE">
        <w:t>,</w:t>
      </w:r>
      <w:r w:rsidR="00227D86" w:rsidRPr="00A31252">
        <w:t xml:space="preserve"> należy jednak posługiwać się ob</w:t>
      </w:r>
      <w:r w:rsidR="0033425A" w:rsidRPr="00A31252">
        <w:t>ydwo</w:t>
      </w:r>
      <w:r w:rsidR="00227D86" w:rsidRPr="00A31252">
        <w:t>ma tymi pojęciami. Zaznaczyć należy, że klauzula jest też adresowana do czynności niezwiązanych z prowadzeniem działalności gospodarczej. Pojęcie ryzyka gospodarczego w odniesieniu do osoby nieprowadzącej działalności gospodarczej budziłoby wątpliwości i mogło</w:t>
      </w:r>
      <w:r w:rsidR="00BB1903">
        <w:t>by prowadzić do tezy o </w:t>
      </w:r>
      <w:r w:rsidR="00227D86" w:rsidRPr="00A31252">
        <w:t>zróżnicowaniu pozycji prawnej w zakresie stosowania klauzuli wobec przedsiębiorcy. W konsekwencji w projekcie ustawy oba te pojęcia występują równolegle.</w:t>
      </w:r>
    </w:p>
    <w:p w:rsidR="004D6F22" w:rsidRPr="009A76CE" w:rsidRDefault="004D6F22" w:rsidP="00ED7591">
      <w:pPr>
        <w:pStyle w:val="NormalnyWeb"/>
        <w:spacing w:before="0" w:after="0" w:line="360" w:lineRule="auto"/>
        <w:jc w:val="both"/>
      </w:pPr>
      <w:r w:rsidRPr="00A31252">
        <w:t xml:space="preserve">Na to, czy dokonane czynności stanowią unikanie opodatkowania, a zatem czy ich skutki będą przez prawo zwalczane, wskazuje też cel działania podatnika. Jeśli na podstawie oceny zaistniałych w sprawie okoliczności należy uznać, że działanie podatnika nakierowane było przede wszystkim na osiągnięcie podatkowo korzystnego rezultatu, sprzecznego z celem i istotą regulacji </w:t>
      </w:r>
      <w:r w:rsidRPr="009A76CE">
        <w:t xml:space="preserve">podatkowej – wówczas mamy do czynienia z unikaniem opodatkowania. W ślad za wspomnianym wyżej </w:t>
      </w:r>
      <w:r w:rsidR="005533D0">
        <w:t>z</w:t>
      </w:r>
      <w:r w:rsidRPr="009A76CE">
        <w:t xml:space="preserve">aleceniem Komisji z </w:t>
      </w:r>
      <w:r w:rsidR="00DE7911" w:rsidRPr="009A76CE">
        <w:t xml:space="preserve">dnia </w:t>
      </w:r>
      <w:r w:rsidRPr="009A76CE">
        <w:t xml:space="preserve">6 grudnia 2012 r. </w:t>
      </w:r>
      <w:r w:rsidR="00B53F2F" w:rsidRPr="009A76CE">
        <w:t xml:space="preserve">(pkt 4.6 </w:t>
      </w:r>
      <w:r w:rsidR="005533D0">
        <w:t>z</w:t>
      </w:r>
      <w:r w:rsidR="00B53F2F" w:rsidRPr="009A76CE">
        <w:t xml:space="preserve">alecenia) </w:t>
      </w:r>
      <w:r w:rsidRPr="009A76CE">
        <w:t>w projekcie wskazano</w:t>
      </w:r>
      <w:r w:rsidR="00A46801" w:rsidRPr="009A76CE">
        <w:t xml:space="preserve"> (</w:t>
      </w:r>
      <w:r w:rsidR="00A46801" w:rsidRPr="00965DEE">
        <w:rPr>
          <w:b/>
        </w:rPr>
        <w:t>art. 119d</w:t>
      </w:r>
      <w:r w:rsidR="00A46801" w:rsidRPr="009A76CE">
        <w:t>)</w:t>
      </w:r>
      <w:r w:rsidRPr="009A76CE">
        <w:t>, że czynność uznaje się za podjętą przede wszystkim w celu osiągnięcia korzyści podatkowej wtedy, gdy pozostałe cele</w:t>
      </w:r>
      <w:r w:rsidR="00DE7911" w:rsidRPr="009A76CE">
        <w:t xml:space="preserve"> </w:t>
      </w:r>
      <w:r w:rsidR="00FC40A1" w:rsidRPr="009A76CE">
        <w:t xml:space="preserve">ekonomiczne lub </w:t>
      </w:r>
      <w:r w:rsidR="00B53F2F" w:rsidRPr="009A76CE">
        <w:t xml:space="preserve">gospodarcze </w:t>
      </w:r>
      <w:r w:rsidR="00DE7911" w:rsidRPr="009A76CE">
        <w:t>czynności</w:t>
      </w:r>
      <w:r w:rsidRPr="009A76CE">
        <w:t xml:space="preserve">, </w:t>
      </w:r>
      <w:r w:rsidR="00DE7911" w:rsidRPr="009A76CE">
        <w:t xml:space="preserve">wskazane przez podatnika, </w:t>
      </w:r>
      <w:r w:rsidRPr="009A76CE">
        <w:t>są mało istotne</w:t>
      </w:r>
      <w:r w:rsidR="00AB0491" w:rsidRPr="009A76CE">
        <w:t xml:space="preserve">, przy czym </w:t>
      </w:r>
      <w:r w:rsidR="004C16F0" w:rsidRPr="009A76CE">
        <w:t>uściślono</w:t>
      </w:r>
      <w:r w:rsidR="00114734" w:rsidRPr="009A76CE">
        <w:t xml:space="preserve"> (</w:t>
      </w:r>
      <w:r w:rsidR="001D25E7" w:rsidRPr="009A76CE">
        <w:t>art. 119f</w:t>
      </w:r>
      <w:r w:rsidR="00114734" w:rsidRPr="009A76CE">
        <w:t>)</w:t>
      </w:r>
      <w:r w:rsidR="004C16F0" w:rsidRPr="009A76CE">
        <w:t xml:space="preserve">, że czynność oznacza także zespół powiązanych ze sobą czynności, dokonanych przez te same bądź różne podmioty. </w:t>
      </w:r>
    </w:p>
    <w:p w:rsidR="00A878A7" w:rsidRPr="009A76CE" w:rsidRDefault="004D6F22" w:rsidP="00ED7591">
      <w:pPr>
        <w:pStyle w:val="NormalnyWeb"/>
        <w:spacing w:before="0" w:after="0" w:line="360" w:lineRule="auto"/>
        <w:jc w:val="both"/>
      </w:pPr>
      <w:r w:rsidRPr="009A76CE">
        <w:t xml:space="preserve">Ustawa w </w:t>
      </w:r>
      <w:r w:rsidRPr="00B24567">
        <w:rPr>
          <w:b/>
        </w:rPr>
        <w:t>art. 119e</w:t>
      </w:r>
      <w:r w:rsidR="0098767A" w:rsidRPr="009A76CE">
        <w:t xml:space="preserve"> </w:t>
      </w:r>
      <w:r w:rsidRPr="009A76CE">
        <w:t xml:space="preserve">precyzować też będzie, co należy rozumieć pod pojęciem „korzyści podatkowej” </w:t>
      </w:r>
      <w:r w:rsidR="006E44C1" w:rsidRPr="009A76CE">
        <w:t>dla celów</w:t>
      </w:r>
      <w:r w:rsidRPr="009A76CE">
        <w:t xml:space="preserve"> klauzuli przeciwko unikaniu opodatkowania. Wskazano, że korzyścią taką może być: niepowstanie zobowiązania podatkowego</w:t>
      </w:r>
      <w:r w:rsidR="00BB1903">
        <w:t xml:space="preserve">, odsunięcie </w:t>
      </w:r>
      <w:r w:rsidR="00BB1903">
        <w:lastRenderedPageBreak/>
        <w:t>w </w:t>
      </w:r>
      <w:r w:rsidR="000431DA" w:rsidRPr="009A76CE">
        <w:t>czasie powstania zobowiązania podatkowego</w:t>
      </w:r>
      <w:r w:rsidRPr="009A76CE">
        <w:t xml:space="preserve"> lub obniżenie jego wysokości, powstanie nadpłaty</w:t>
      </w:r>
      <w:r w:rsidR="00A878A7" w:rsidRPr="009A76CE">
        <w:t>, straty</w:t>
      </w:r>
      <w:r w:rsidRPr="009A76CE">
        <w:t xml:space="preserve"> lub prawa do zwrotu podatku </w:t>
      </w:r>
      <w:r w:rsidR="000431DA" w:rsidRPr="009A76CE">
        <w:t>albo</w:t>
      </w:r>
      <w:r w:rsidRPr="009A76CE">
        <w:t xml:space="preserve"> podwyższenie ich kwoty. Zastosowanie klauzuli polegać będzie na pozbawieniu podatni</w:t>
      </w:r>
      <w:r w:rsidR="00BB1903">
        <w:t>ka takiej korzyści w </w:t>
      </w:r>
      <w:r w:rsidRPr="009A76CE">
        <w:t xml:space="preserve">drodze wydania decyzji podatkowej odpowiedniej do tego, którą z postaci korzyści zamierzał osiągnąć podatnik. </w:t>
      </w:r>
      <w:r w:rsidR="00A878A7" w:rsidRPr="009A76CE">
        <w:t xml:space="preserve">Klauzula zostanie więc zastosowana w tych typach postępowań podatkowych, w których zajdzie potrzeba wymiaru pozbawiającego korzyści podatkowej uzyskanej w wyniku unikania opodatkowania. Do tych typów należą postępowania wymienione w </w:t>
      </w:r>
      <w:r w:rsidR="00A878A7" w:rsidRPr="00C22E82">
        <w:rPr>
          <w:b/>
        </w:rPr>
        <w:t>art. 11</w:t>
      </w:r>
      <w:r w:rsidR="00BB1903" w:rsidRPr="00C22E82">
        <w:rPr>
          <w:b/>
        </w:rPr>
        <w:t>9g § 1</w:t>
      </w:r>
      <w:r w:rsidR="00BB1903">
        <w:t xml:space="preserve"> Ordynacji podatkowej</w:t>
      </w:r>
      <w:r w:rsidR="00AB2E7C">
        <w:t>,</w:t>
      </w:r>
      <w:r w:rsidR="00BB1903">
        <w:t xml:space="preserve"> tj: </w:t>
      </w:r>
      <w:r w:rsidR="00A878A7" w:rsidRPr="009A76CE">
        <w:t>postępowanie w sprawie określenia wysokości zobo</w:t>
      </w:r>
      <w:r w:rsidR="00AB2E7C">
        <w:t>wiązania podatkowego (art. 21 </w:t>
      </w:r>
      <w:r w:rsidR="00BB1903">
        <w:t>§ </w:t>
      </w:r>
      <w:r w:rsidR="00A878A7" w:rsidRPr="009A76CE">
        <w:t>3), postępowanie w sprawie ustalenia wysokości</w:t>
      </w:r>
      <w:r w:rsidR="00AB2E7C">
        <w:t xml:space="preserve"> zobowiązania podatkowego (art. 21 § 1 pkt </w:t>
      </w:r>
      <w:r w:rsidR="00A878A7" w:rsidRPr="009A76CE">
        <w:t>2), postępowanie w sprawie stwierdzenia nad</w:t>
      </w:r>
      <w:r w:rsidR="00BB1903">
        <w:t xml:space="preserve">płaty (art. 75), </w:t>
      </w:r>
      <w:r w:rsidR="00A26E29">
        <w:t xml:space="preserve">postępowanie w </w:t>
      </w:r>
      <w:r w:rsidR="00A878A7" w:rsidRPr="009A76CE">
        <w:t>sprawie określenia wysokości nadp</w:t>
      </w:r>
      <w:r w:rsidR="00F50303">
        <w:t>łaty (art. 74a), postępowanie w </w:t>
      </w:r>
      <w:r w:rsidR="00A878A7" w:rsidRPr="009A76CE">
        <w:t>sprawie zwrotu podatku (art. 21 § 3a), postępowania w sprawie odpowiedzialności podatnika za</w:t>
      </w:r>
      <w:r w:rsidR="00A878A7" w:rsidRPr="00A31252">
        <w:t xml:space="preserve"> podatek </w:t>
      </w:r>
      <w:r w:rsidR="00A878A7" w:rsidRPr="009A76CE">
        <w:t>niepobrany przez płatnika (art. 30 § 5), postępowanie w sprawie odpowiedzialności lub uprawnień spadkobiercy (art. 100), postępowanie w sprawie określenia wysokości straty (art. 24).</w:t>
      </w:r>
    </w:p>
    <w:p w:rsidR="004D6F22" w:rsidRPr="009A76CE" w:rsidRDefault="004D6F22" w:rsidP="00ED7591">
      <w:pPr>
        <w:pStyle w:val="NormalnyWeb"/>
        <w:spacing w:before="0" w:after="0" w:line="360" w:lineRule="auto"/>
        <w:jc w:val="both"/>
      </w:pPr>
      <w:r w:rsidRPr="009A76CE">
        <w:t>Dodać wszakże należy, że jakkolwiek zastosowanie klauzuli polegać może na wydaniu odpowiedniej decyzji podatkowej, to jednak przepis będzie też umożliwiał podatnikowi złożenie</w:t>
      </w:r>
      <w:r w:rsidR="00F50303">
        <w:t xml:space="preserve"> korekty deklaracji podatkowej </w:t>
      </w:r>
      <w:r w:rsidRPr="009A76CE">
        <w:t xml:space="preserve">w toku postępowania w sprawie unikania opodatkowania (nowy </w:t>
      </w:r>
      <w:r w:rsidRPr="00C22E82">
        <w:rPr>
          <w:b/>
        </w:rPr>
        <w:t xml:space="preserve">art. 81b § </w:t>
      </w:r>
      <w:r w:rsidR="006E61F8" w:rsidRPr="00C22E82">
        <w:rPr>
          <w:b/>
        </w:rPr>
        <w:t>1a</w:t>
      </w:r>
      <w:r w:rsidR="004D01F4" w:rsidRPr="009A76CE">
        <w:t>)</w:t>
      </w:r>
      <w:r w:rsidRPr="009A76CE">
        <w:t xml:space="preserve">. W ten sposób spór będzie mógł zakończyć się bez potrzeby wydawania władczego rozstrzygnięcia organu podatkowego. </w:t>
      </w:r>
    </w:p>
    <w:p w:rsidR="004D6F22" w:rsidRPr="009A76CE" w:rsidRDefault="004D6F22" w:rsidP="00ED7591">
      <w:pPr>
        <w:pStyle w:val="NormalnyWeb"/>
        <w:spacing w:before="0" w:after="0" w:line="360" w:lineRule="auto"/>
        <w:jc w:val="both"/>
      </w:pPr>
      <w:r w:rsidRPr="009A76CE">
        <w:t>Klauzula jest normą wysoce ingerencyjną, o znacznym stopniu dolegliwości dla adresatów norm prawnych. Dlatego wymaga obudowania instytucjami, które ów rygoryzm czynią możliwie mało dolegliwym dla tych podatników, którzy nie wykazują szczególnej determinacji w podejmowaniu działań zasługujących na negatywną normatywną reakcję państwa. Stosowanie instrumentu, jakim jest klauzula, wymaga szczególnej ostrożności, starannego zbalansowa</w:t>
      </w:r>
      <w:r w:rsidR="00BB1903">
        <w:t>nia ochrony interesów państwa i </w:t>
      </w:r>
      <w:r w:rsidRPr="009A76CE">
        <w:t>ochrony interesów obywateli narażonych na jego dotkliwą w skutkach ingerencję.</w:t>
      </w:r>
    </w:p>
    <w:p w:rsidR="004D6F22" w:rsidRPr="009A76CE" w:rsidRDefault="004D6F22" w:rsidP="00ED7591">
      <w:pPr>
        <w:pStyle w:val="NormalnyWeb"/>
        <w:spacing w:before="0" w:after="0" w:line="360" w:lineRule="auto"/>
        <w:jc w:val="both"/>
      </w:pPr>
      <w:r w:rsidRPr="009A76CE">
        <w:t xml:space="preserve">Klauzula przeciwko unikania opodatkowania jest normą, co do której bywają niekiedy formułowane zarzuty dotyczące wprowadzania do systemu podatkowego stanu niepewności prawnej. Jako klauzula generalna nie może jednak być skonstruowana za pomocą pojęć na tyle ścisłych i jednoznacznych, aby takie wrażenie całkowicie </w:t>
      </w:r>
      <w:r w:rsidRPr="009A76CE">
        <w:lastRenderedPageBreak/>
        <w:t>wyeliminować. Klauzula musi być na tyle ogólna i „pojemna”, aby także te nieprzewidziane z góry zjawiska zwalczać.</w:t>
      </w:r>
    </w:p>
    <w:p w:rsidR="004D6F22" w:rsidRPr="009A76CE" w:rsidRDefault="004D6F22" w:rsidP="00ED7591">
      <w:pPr>
        <w:pStyle w:val="NormalnyWeb"/>
        <w:spacing w:before="0" w:after="0" w:line="360" w:lineRule="auto"/>
        <w:jc w:val="both"/>
      </w:pPr>
      <w:r w:rsidRPr="009A76CE">
        <w:t>Konstruując tak dolegliwą dla podatników normę</w:t>
      </w:r>
      <w:r w:rsidR="00AB2E7C">
        <w:t>,</w:t>
      </w:r>
      <w:r w:rsidRPr="009A76CE">
        <w:t xml:space="preserve"> ustawodawca powinien zachować szczególną wstrzemięźliwość. Poziom ochrony </w:t>
      </w:r>
      <w:r w:rsidR="00BB1903">
        <w:t>interesów państwa i obywateli i </w:t>
      </w:r>
      <w:r w:rsidRPr="009A76CE">
        <w:t>uczestników obrotu gospodarczego wymaga pieczołowitego wyważenia. Prawodawca powinien zdawać sobie sprawę z tego, że klauzula przeciwko unikaniu opodatkowania stanowi wyjątkowe rozwiązanie. Rozwiązanie takie nie powinno być używane do zwalczania zjawisk, których patologiczny rezultat nie może być uznany za wyjątkowo groźny. Ciężar gatunkowy negatywnych zjawisk powinien pozostawać w odpowiedniej proporcji do charakteru środków, jakimi są zwalczane. Stosowanie klauzuli powinno być zastrzeżone dla przypadków, w których rozmiar patologicznych skutków usprawiedliwia charakter prawnej reakcji na nie. Z tej to między innymi przyczyny stosowanie klauzuli w projekcie zostało przewidziane dla tych przypadków, w których rozmiar korzyści podatkowych, które os</w:t>
      </w:r>
      <w:r w:rsidR="00C22E82">
        <w:t>iągnął podatnik, przekracza 100 </w:t>
      </w:r>
      <w:r w:rsidRPr="009A76CE">
        <w:t>000 zł</w:t>
      </w:r>
      <w:r w:rsidR="005B6F07" w:rsidRPr="009A76CE">
        <w:t xml:space="preserve"> (</w:t>
      </w:r>
      <w:r w:rsidR="001D25E7" w:rsidRPr="00C22E82">
        <w:rPr>
          <w:b/>
        </w:rPr>
        <w:t>art.</w:t>
      </w:r>
      <w:r w:rsidR="00BB1903" w:rsidRPr="00C22E82">
        <w:rPr>
          <w:b/>
        </w:rPr>
        <w:t> </w:t>
      </w:r>
      <w:r w:rsidR="001D25E7" w:rsidRPr="00C22E82">
        <w:rPr>
          <w:b/>
        </w:rPr>
        <w:t>119b § 1 pkt 1</w:t>
      </w:r>
      <w:r w:rsidR="005B6F07" w:rsidRPr="009A76CE">
        <w:t xml:space="preserve">). </w:t>
      </w:r>
      <w:r w:rsidRPr="009A76CE">
        <w:t>Próg ten został ustalony z uwzględnieniem tego, jakiego r</w:t>
      </w:r>
      <w:r w:rsidR="00F50303">
        <w:t>odzaju schematy działań, mogące</w:t>
      </w:r>
      <w:r w:rsidRPr="009A76CE">
        <w:t xml:space="preserve"> być uznane za przejawy unikania opodatkowania, można zaobserwować w praktyce obrotu gospodarczego, jaka jest ich „opłacalność” dla podatników i skala zagrożenia nimi dla budżetu. </w:t>
      </w:r>
    </w:p>
    <w:p w:rsidR="0038601E" w:rsidRPr="00A31252" w:rsidRDefault="00D47A13" w:rsidP="00ED7591">
      <w:pPr>
        <w:spacing w:after="0" w:line="360" w:lineRule="auto"/>
        <w:jc w:val="both"/>
        <w:rPr>
          <w:rFonts w:ascii="Times New Roman" w:eastAsia="Times New Roman" w:hAnsi="Times New Roman"/>
          <w:sz w:val="24"/>
          <w:szCs w:val="24"/>
          <w:lang w:eastAsia="pl-PL"/>
        </w:rPr>
      </w:pPr>
      <w:r w:rsidRPr="009A76CE">
        <w:rPr>
          <w:rFonts w:ascii="Times New Roman" w:eastAsia="Times New Roman" w:hAnsi="Times New Roman"/>
          <w:sz w:val="24"/>
          <w:szCs w:val="24"/>
          <w:lang w:eastAsia="pl-PL"/>
        </w:rPr>
        <w:t>Wyłączenie podatku od towarów i usług z zakresu oddziaływania klauzuli (</w:t>
      </w:r>
      <w:r w:rsidR="007E6A5B">
        <w:rPr>
          <w:rFonts w:ascii="Times New Roman" w:eastAsia="Times New Roman" w:hAnsi="Times New Roman"/>
          <w:b/>
          <w:sz w:val="24"/>
          <w:szCs w:val="24"/>
          <w:lang w:eastAsia="pl-PL"/>
        </w:rPr>
        <w:t>art. 119b § </w:t>
      </w:r>
      <w:r w:rsidRPr="007E6A5B">
        <w:rPr>
          <w:rFonts w:ascii="Times New Roman" w:eastAsia="Times New Roman" w:hAnsi="Times New Roman"/>
          <w:b/>
          <w:sz w:val="24"/>
          <w:szCs w:val="24"/>
          <w:lang w:eastAsia="pl-PL"/>
        </w:rPr>
        <w:t>1 pkt 4</w:t>
      </w:r>
      <w:r w:rsidRPr="009A76CE">
        <w:rPr>
          <w:rFonts w:ascii="Times New Roman" w:eastAsia="Times New Roman" w:hAnsi="Times New Roman"/>
          <w:sz w:val="24"/>
          <w:szCs w:val="24"/>
          <w:lang w:eastAsia="pl-PL"/>
        </w:rPr>
        <w:t>) uzasadnione jest tym, że w obszarze podatku od wartości dodanej na poziomie Unii Europejskiej w orzecznictwie wykształciła się zasada zakazu nadużycia prawa, będąca w istocie odpowiednikiem normatywnej klauzuli zapobiegającej unikaniu opodatkowania. Polskie sądy i organy podatko</w:t>
      </w:r>
      <w:r w:rsidR="00BB1903">
        <w:rPr>
          <w:rFonts w:ascii="Times New Roman" w:eastAsia="Times New Roman" w:hAnsi="Times New Roman"/>
          <w:sz w:val="24"/>
          <w:szCs w:val="24"/>
          <w:lang w:eastAsia="pl-PL"/>
        </w:rPr>
        <w:t>we zobowiązane są ją stosować w </w:t>
      </w:r>
      <w:r w:rsidRPr="009A76CE">
        <w:rPr>
          <w:rFonts w:ascii="Times New Roman" w:eastAsia="Times New Roman" w:hAnsi="Times New Roman"/>
          <w:sz w:val="24"/>
          <w:szCs w:val="24"/>
          <w:lang w:eastAsia="pl-PL"/>
        </w:rPr>
        <w:t xml:space="preserve">pełnym zakresie. Koncepcja ta </w:t>
      </w:r>
      <w:r w:rsidR="002D17E9">
        <w:rPr>
          <w:rFonts w:ascii="Times New Roman" w:eastAsia="Times New Roman" w:hAnsi="Times New Roman"/>
          <w:sz w:val="24"/>
          <w:szCs w:val="24"/>
          <w:lang w:eastAsia="pl-PL"/>
        </w:rPr>
        <w:t>jest wystarczająco kompletnym i </w:t>
      </w:r>
      <w:r w:rsidRPr="009A76CE">
        <w:rPr>
          <w:rFonts w:ascii="Times New Roman" w:eastAsia="Times New Roman" w:hAnsi="Times New Roman"/>
          <w:sz w:val="24"/>
          <w:szCs w:val="24"/>
          <w:lang w:eastAsia="pl-PL"/>
        </w:rPr>
        <w:t>nadającym się do stosowania w polskim porządku prawnym środkiem zwalczania nadużyć podatkow</w:t>
      </w:r>
      <w:r w:rsidRPr="00A31252">
        <w:rPr>
          <w:rFonts w:ascii="Times New Roman" w:eastAsia="Times New Roman" w:hAnsi="Times New Roman"/>
          <w:sz w:val="24"/>
          <w:szCs w:val="24"/>
          <w:lang w:eastAsia="pl-PL"/>
        </w:rPr>
        <w:t>ych w podatku od towarów i usług. Wprowadzenie ustawowej regulacji przeciwdziałającej unikaniu opodatkowania</w:t>
      </w:r>
      <w:r w:rsidR="00F50303">
        <w:rPr>
          <w:rFonts w:ascii="Times New Roman" w:eastAsia="Times New Roman" w:hAnsi="Times New Roman"/>
          <w:sz w:val="24"/>
          <w:szCs w:val="24"/>
          <w:lang w:eastAsia="pl-PL"/>
        </w:rPr>
        <w:t>,</w:t>
      </w:r>
      <w:r w:rsidRPr="00A31252">
        <w:rPr>
          <w:rFonts w:ascii="Times New Roman" w:eastAsia="Times New Roman" w:hAnsi="Times New Roman"/>
          <w:sz w:val="24"/>
          <w:szCs w:val="24"/>
          <w:lang w:eastAsia="pl-PL"/>
        </w:rPr>
        <w:t xml:space="preserve"> w tym podatku na poziomie krajowym</w:t>
      </w:r>
      <w:r w:rsidR="00F50303">
        <w:rPr>
          <w:rFonts w:ascii="Times New Roman" w:eastAsia="Times New Roman" w:hAnsi="Times New Roman"/>
          <w:sz w:val="24"/>
          <w:szCs w:val="24"/>
          <w:lang w:eastAsia="pl-PL"/>
        </w:rPr>
        <w:t>,</w:t>
      </w:r>
      <w:r w:rsidRPr="00A31252">
        <w:rPr>
          <w:rFonts w:ascii="Times New Roman" w:eastAsia="Times New Roman" w:hAnsi="Times New Roman"/>
          <w:sz w:val="24"/>
          <w:szCs w:val="24"/>
          <w:lang w:eastAsia="pl-PL"/>
        </w:rPr>
        <w:t xml:space="preserve"> byłoby w tej sytuacji nie tylko zbędne, lecz mogłoby doprowadzić do powstania wątpliwości prawnych odnośnie do wzajemnej relacji i pierwszeństwa stosowania tych dwóch środków prawnych (unijnego i krajowego). Należy też mieć na uwadze, że unijna koncepcja zwalczania nadużyć w podatku od wartości dodanej, jako środek orzeczniczy, podlega stale rozwojowi i może płynnie podlegać zmianom wynikającym z aktualnej linii orzeczniczej prezentowanej przez Trybunał </w:t>
      </w:r>
      <w:r w:rsidRPr="00A31252">
        <w:rPr>
          <w:rFonts w:ascii="Times New Roman" w:eastAsia="Times New Roman" w:hAnsi="Times New Roman"/>
          <w:sz w:val="24"/>
          <w:szCs w:val="24"/>
          <w:lang w:eastAsia="pl-PL"/>
        </w:rPr>
        <w:lastRenderedPageBreak/>
        <w:t>Sprawiedliwości Unii Europejskiej. Polska jako państwo członkowskie Unii Europejskiej jest zobowiązana do stosowania jej pr</w:t>
      </w:r>
      <w:r w:rsidR="002C48B8">
        <w:rPr>
          <w:rFonts w:ascii="Times New Roman" w:eastAsia="Times New Roman" w:hAnsi="Times New Roman"/>
          <w:sz w:val="24"/>
          <w:szCs w:val="24"/>
          <w:lang w:eastAsia="pl-PL"/>
        </w:rPr>
        <w:t>awa (w tym orzecznictwa TSUE) w </w:t>
      </w:r>
      <w:r w:rsidRPr="00A31252">
        <w:rPr>
          <w:rFonts w:ascii="Times New Roman" w:eastAsia="Times New Roman" w:hAnsi="Times New Roman"/>
          <w:sz w:val="24"/>
          <w:szCs w:val="24"/>
          <w:lang w:eastAsia="pl-PL"/>
        </w:rPr>
        <w:t>jego aktualnej postaci. Wprowadzenie do krajowego porządku prawnego ustawowej klauzuli przeciwko unikaniu opodatkowania w zakresie podatku od towarów i us</w:t>
      </w:r>
      <w:r w:rsidR="002C48B8">
        <w:rPr>
          <w:rFonts w:ascii="Times New Roman" w:eastAsia="Times New Roman" w:hAnsi="Times New Roman"/>
          <w:sz w:val="24"/>
          <w:szCs w:val="24"/>
          <w:lang w:eastAsia="pl-PL"/>
        </w:rPr>
        <w:t>ług w </w:t>
      </w:r>
      <w:r w:rsidRPr="00A31252">
        <w:rPr>
          <w:rFonts w:ascii="Times New Roman" w:eastAsia="Times New Roman" w:hAnsi="Times New Roman"/>
          <w:sz w:val="24"/>
          <w:szCs w:val="24"/>
          <w:lang w:eastAsia="pl-PL"/>
        </w:rPr>
        <w:t>istocie rzeczy zatem mijałoby się z</w:t>
      </w:r>
      <w:r w:rsidR="00BB1903">
        <w:rPr>
          <w:rFonts w:ascii="Times New Roman" w:eastAsia="Times New Roman" w:hAnsi="Times New Roman"/>
          <w:sz w:val="24"/>
          <w:szCs w:val="24"/>
          <w:lang w:eastAsia="pl-PL"/>
        </w:rPr>
        <w:t xml:space="preserve"> celem, ponieważ w </w:t>
      </w:r>
      <w:r w:rsidRPr="00A31252">
        <w:rPr>
          <w:rFonts w:ascii="Times New Roman" w:eastAsia="Times New Roman" w:hAnsi="Times New Roman"/>
          <w:sz w:val="24"/>
          <w:szCs w:val="24"/>
          <w:lang w:eastAsia="pl-PL"/>
        </w:rPr>
        <w:t>tym obszarze musiałaby ona być interpretowana i stosowana w zgodzie z aktualnym orzecznictwem TSUE.</w:t>
      </w:r>
    </w:p>
    <w:p w:rsidR="00126317" w:rsidRPr="00A31252" w:rsidRDefault="00126317" w:rsidP="00ED7591">
      <w:pPr>
        <w:autoSpaceDE w:val="0"/>
        <w:autoSpaceDN w:val="0"/>
        <w:adjustRightInd w:val="0"/>
        <w:spacing w:after="0" w:line="360" w:lineRule="auto"/>
        <w:jc w:val="both"/>
        <w:rPr>
          <w:rFonts w:ascii="Times New Roman" w:eastAsiaTheme="minorHAnsi" w:hAnsi="Times New Roman"/>
          <w:sz w:val="24"/>
          <w:szCs w:val="24"/>
        </w:rPr>
      </w:pPr>
      <w:r w:rsidRPr="00A31252">
        <w:rPr>
          <w:rFonts w:ascii="Times New Roman" w:hAnsi="Times New Roman"/>
          <w:sz w:val="24"/>
          <w:szCs w:val="24"/>
        </w:rPr>
        <w:t xml:space="preserve">Przy normowaniu generalnej klauzuli przeciwko unikaniu opodatkowania należy mieć na uwadze istniejące w dotychczasowym systemie prawnym szczególne </w:t>
      </w:r>
      <w:r w:rsidRPr="00A31252">
        <w:rPr>
          <w:rFonts w:ascii="Times New Roman" w:hAnsi="Times New Roman"/>
          <w:iCs/>
          <w:sz w:val="24"/>
          <w:szCs w:val="24"/>
        </w:rPr>
        <w:t>normy prawa</w:t>
      </w:r>
      <w:r w:rsidRPr="00A31252">
        <w:rPr>
          <w:rFonts w:ascii="Times New Roman" w:hAnsi="Times New Roman"/>
          <w:sz w:val="24"/>
          <w:szCs w:val="24"/>
        </w:rPr>
        <w:t xml:space="preserve"> stanowiące podstawę do modyfikacji zobowiązania podatkowego w związku ze zmianą struktury zdarzeń gospodarczych zachodzących między podmiotami. Takimi szczególnymi normami są przepisy art. 11 ustawy o podatku dochodowym od osób prawnych i art. 25 ustawy o podatku dochodowym od osób fizycznych, w których uregulowana została zasada ceny rynkowej. Zastosowanie zasady ceny rynkowej odnosi się do postępowania dowodowego i pozwala na opodatkowanie tzw. „potencjalnych dochodów” w sytuacji, gdy warunki ustalone lub narzucone pomiędzy podmiotami powiązanymi są różne od warunków ustalonych pomiędzy podmiotami niezależnymi. Zasada ceny rynkowej powinna zostać oddzielona od norm regulujących ogólną klauzulę, tak aby uniknąć ewentualnych wątpliwości i kolizji w stosowaniu tych norm.</w:t>
      </w:r>
      <w:r w:rsidR="00DD2AD8" w:rsidRPr="00A31252">
        <w:rPr>
          <w:rFonts w:ascii="Times New Roman" w:hAnsi="Times New Roman"/>
          <w:sz w:val="24"/>
          <w:szCs w:val="24"/>
        </w:rPr>
        <w:t xml:space="preserve"> </w:t>
      </w:r>
      <w:r w:rsidRPr="00A31252">
        <w:rPr>
          <w:rFonts w:ascii="Times New Roman" w:hAnsi="Times New Roman"/>
          <w:sz w:val="24"/>
          <w:szCs w:val="24"/>
        </w:rPr>
        <w:t>Analogiczne rozwiązania szczególne przeciwdziałające unikaniu opodatkowania to</w:t>
      </w:r>
      <w:r w:rsidRPr="00A31252">
        <w:rPr>
          <w:rFonts w:ascii="Times New Roman" w:eastAsiaTheme="minorHAnsi" w:hAnsi="Times New Roman"/>
          <w:sz w:val="24"/>
          <w:szCs w:val="24"/>
        </w:rPr>
        <w:t xml:space="preserve"> klauzule przeciwko nadużyciu prawa przez podatnika oraz ograniczenia korzyści (treaty shopping, treaty abuse i limitation of benefits) w umowach o unikaniu podwójnego opodatkowania, klauzula uzasadnienia ekonomicznego transakcji w przypadku łączenia spółek</w:t>
      </w:r>
      <w:r w:rsidR="00F50303">
        <w:rPr>
          <w:rFonts w:ascii="Times New Roman" w:eastAsiaTheme="minorHAnsi" w:hAnsi="Times New Roman"/>
          <w:sz w:val="24"/>
          <w:szCs w:val="24"/>
        </w:rPr>
        <w:t xml:space="preserve"> w ustawie CIT (art. 10 ust. 4 u</w:t>
      </w:r>
      <w:r w:rsidRPr="00A31252">
        <w:rPr>
          <w:rFonts w:ascii="Times New Roman" w:eastAsiaTheme="minorHAnsi" w:hAnsi="Times New Roman"/>
          <w:sz w:val="24"/>
          <w:szCs w:val="24"/>
        </w:rPr>
        <w:t>stawy CIT), klauzula nadużycia prawa do zwolnienia dla dywidend (innych dochodów z udziału w zyskach osób prawnych) obowiązująca od stycznia 2016 r. (art. 22c ustawy CI</w:t>
      </w:r>
      <w:r w:rsidR="00BB1903">
        <w:rPr>
          <w:rFonts w:ascii="Times New Roman" w:eastAsiaTheme="minorHAnsi" w:hAnsi="Times New Roman"/>
          <w:sz w:val="24"/>
          <w:szCs w:val="24"/>
        </w:rPr>
        <w:t>T), zmiany zasad raportowania i </w:t>
      </w:r>
      <w:r w:rsidRPr="00A31252">
        <w:rPr>
          <w:rFonts w:ascii="Times New Roman" w:eastAsiaTheme="minorHAnsi" w:hAnsi="Times New Roman"/>
          <w:sz w:val="24"/>
          <w:szCs w:val="24"/>
        </w:rPr>
        <w:t>dokumentowania transakcji między podmiotami powiązanymi obowiązująca od st</w:t>
      </w:r>
      <w:r w:rsidR="00F50303">
        <w:rPr>
          <w:rFonts w:ascii="Times New Roman" w:eastAsiaTheme="minorHAnsi" w:hAnsi="Times New Roman"/>
          <w:sz w:val="24"/>
          <w:szCs w:val="24"/>
        </w:rPr>
        <w:t>ycznia 2016 r. (art. 27 ust. 6 u</w:t>
      </w:r>
      <w:r w:rsidRPr="00A31252">
        <w:rPr>
          <w:rFonts w:ascii="Times New Roman" w:eastAsiaTheme="minorHAnsi" w:hAnsi="Times New Roman"/>
          <w:sz w:val="24"/>
          <w:szCs w:val="24"/>
        </w:rPr>
        <w:t>stawy CIT), reguły opodatkowania CFC (opodatkowanie dochodów zagranicznej spółki kontrolowanej). Przywołane przepisy zabezpieczają intere</w:t>
      </w:r>
      <w:r w:rsidR="00F50303">
        <w:rPr>
          <w:rFonts w:ascii="Times New Roman" w:eastAsiaTheme="minorHAnsi" w:hAnsi="Times New Roman"/>
          <w:sz w:val="24"/>
          <w:szCs w:val="24"/>
        </w:rPr>
        <w:t>s fiskalny państwa. W sytuacji</w:t>
      </w:r>
      <w:r w:rsidRPr="00A31252">
        <w:rPr>
          <w:rFonts w:ascii="Times New Roman" w:eastAsiaTheme="minorHAnsi" w:hAnsi="Times New Roman"/>
          <w:sz w:val="24"/>
          <w:szCs w:val="24"/>
        </w:rPr>
        <w:t xml:space="preserve"> gdy ustawodawca wprowadził już odpowiednie przepisy mające przeciwdziałać</w:t>
      </w:r>
      <w:r w:rsidR="00BB1903">
        <w:rPr>
          <w:rFonts w:ascii="Times New Roman" w:eastAsiaTheme="minorHAnsi" w:hAnsi="Times New Roman"/>
          <w:sz w:val="24"/>
          <w:szCs w:val="24"/>
        </w:rPr>
        <w:t xml:space="preserve"> nadużyciom prawa podatkowego i </w:t>
      </w:r>
      <w:r w:rsidRPr="00A31252">
        <w:rPr>
          <w:rFonts w:ascii="Times New Roman" w:eastAsiaTheme="minorHAnsi" w:hAnsi="Times New Roman"/>
          <w:sz w:val="24"/>
          <w:szCs w:val="24"/>
        </w:rPr>
        <w:t>uzyskiwaniu nieuprawnionych korzyści podatkowych w określonych wyżej transakcjach, nie ma potrzeby, aby te transakc</w:t>
      </w:r>
      <w:r w:rsidR="00BB1903">
        <w:rPr>
          <w:rFonts w:ascii="Times New Roman" w:eastAsiaTheme="minorHAnsi" w:hAnsi="Times New Roman"/>
          <w:sz w:val="24"/>
          <w:szCs w:val="24"/>
        </w:rPr>
        <w:t>je podlegały dodatkowo ocenie z </w:t>
      </w:r>
      <w:r w:rsidRPr="00A31252">
        <w:rPr>
          <w:rFonts w:ascii="Times New Roman" w:eastAsiaTheme="minorHAnsi" w:hAnsi="Times New Roman"/>
          <w:sz w:val="24"/>
          <w:szCs w:val="24"/>
        </w:rPr>
        <w:t xml:space="preserve">perspektywy klauzuli generalnej. </w:t>
      </w:r>
      <w:r w:rsidRPr="00A31252">
        <w:rPr>
          <w:rFonts w:ascii="Times New Roman" w:hAnsi="Times New Roman"/>
          <w:sz w:val="24"/>
          <w:szCs w:val="24"/>
        </w:rPr>
        <w:t xml:space="preserve">Proponuje się więc, aby przepisy szczególne prawa </w:t>
      </w:r>
      <w:r w:rsidRPr="00A31252">
        <w:rPr>
          <w:rFonts w:ascii="Times New Roman" w:hAnsi="Times New Roman"/>
          <w:sz w:val="24"/>
          <w:szCs w:val="24"/>
        </w:rPr>
        <w:lastRenderedPageBreak/>
        <w:t xml:space="preserve">podatkowego miały pierwszeństwo przed normą </w:t>
      </w:r>
      <w:r w:rsidRPr="009A76CE">
        <w:rPr>
          <w:rFonts w:ascii="Times New Roman" w:hAnsi="Times New Roman"/>
          <w:sz w:val="24"/>
          <w:szCs w:val="24"/>
        </w:rPr>
        <w:t>ogólną</w:t>
      </w:r>
      <w:r w:rsidR="00F50303">
        <w:rPr>
          <w:rFonts w:ascii="Times New Roman" w:hAnsi="Times New Roman"/>
          <w:sz w:val="24"/>
          <w:szCs w:val="24"/>
        </w:rPr>
        <w:t>,</w:t>
      </w:r>
      <w:r w:rsidRPr="009A76CE">
        <w:rPr>
          <w:rFonts w:ascii="Times New Roman" w:hAnsi="Times New Roman"/>
          <w:sz w:val="24"/>
          <w:szCs w:val="24"/>
        </w:rPr>
        <w:t xml:space="preserve"> jaką jest klauzula pr</w:t>
      </w:r>
      <w:r w:rsidR="00F50303">
        <w:rPr>
          <w:rFonts w:ascii="Times New Roman" w:hAnsi="Times New Roman"/>
          <w:sz w:val="24"/>
          <w:szCs w:val="24"/>
        </w:rPr>
        <w:t>zeciwko unikaniu opodatkowania.</w:t>
      </w:r>
      <w:r w:rsidRPr="009A76CE">
        <w:rPr>
          <w:rFonts w:ascii="Times New Roman" w:hAnsi="Times New Roman"/>
          <w:sz w:val="24"/>
          <w:szCs w:val="24"/>
        </w:rPr>
        <w:t xml:space="preserve"> Mając powyższe na uwadze</w:t>
      </w:r>
      <w:r w:rsidR="00F50303">
        <w:rPr>
          <w:rFonts w:ascii="Times New Roman" w:hAnsi="Times New Roman"/>
          <w:sz w:val="24"/>
          <w:szCs w:val="24"/>
        </w:rPr>
        <w:t>,</w:t>
      </w:r>
      <w:r w:rsidRPr="009A76CE">
        <w:rPr>
          <w:rFonts w:ascii="Times New Roman" w:hAnsi="Times New Roman"/>
          <w:sz w:val="24"/>
          <w:szCs w:val="24"/>
        </w:rPr>
        <w:t xml:space="preserve"> w przepisie </w:t>
      </w:r>
      <w:r w:rsidRPr="007E6A5B">
        <w:rPr>
          <w:rFonts w:ascii="Times New Roman" w:hAnsi="Times New Roman"/>
          <w:b/>
          <w:sz w:val="24"/>
          <w:szCs w:val="24"/>
        </w:rPr>
        <w:t>art. 119b § 1 pkt 5</w:t>
      </w:r>
      <w:r w:rsidRPr="009A76CE">
        <w:rPr>
          <w:rFonts w:ascii="Times New Roman" w:hAnsi="Times New Roman"/>
          <w:sz w:val="24"/>
          <w:szCs w:val="24"/>
        </w:rPr>
        <w:t xml:space="preserve"> wprowadzono normę, zgodnie z którą przepisy rozdziału dotyczącego przeciwdziałaniu </w:t>
      </w:r>
      <w:r w:rsidRPr="00A31252">
        <w:rPr>
          <w:rFonts w:ascii="Times New Roman" w:hAnsi="Times New Roman"/>
          <w:sz w:val="24"/>
          <w:szCs w:val="24"/>
        </w:rPr>
        <w:t>unikaniu opodatkowania stosuje się, jeżeli zastosowanie przepisów prawa podatkowego nie pozwala na przeciwdzi</w:t>
      </w:r>
      <w:r w:rsidR="00190019">
        <w:rPr>
          <w:rFonts w:ascii="Times New Roman" w:hAnsi="Times New Roman"/>
          <w:sz w:val="24"/>
          <w:szCs w:val="24"/>
        </w:rPr>
        <w:t>ałanie unikaniu opodatkowania.</w:t>
      </w:r>
    </w:p>
    <w:p w:rsidR="009A76CE" w:rsidRDefault="009A76CE" w:rsidP="00ED7591">
      <w:pPr>
        <w:pStyle w:val="NormalnyWeb"/>
        <w:spacing w:before="0" w:after="0" w:line="360" w:lineRule="auto"/>
        <w:jc w:val="center"/>
      </w:pPr>
    </w:p>
    <w:p w:rsidR="004D6F22" w:rsidRPr="009A76CE" w:rsidRDefault="004D6F22" w:rsidP="00ED7591">
      <w:pPr>
        <w:pStyle w:val="NormalnyWeb"/>
        <w:spacing w:before="0" w:after="0" w:line="360" w:lineRule="auto"/>
        <w:jc w:val="center"/>
      </w:pPr>
      <w:r w:rsidRPr="009A76CE">
        <w:t>Rozdział 2</w:t>
      </w:r>
    </w:p>
    <w:p w:rsidR="004D6F22" w:rsidRPr="009A76CE" w:rsidRDefault="004D6F22" w:rsidP="00ED7591">
      <w:pPr>
        <w:pStyle w:val="NormalnyWeb"/>
        <w:spacing w:before="0" w:after="0" w:line="360" w:lineRule="auto"/>
        <w:jc w:val="center"/>
      </w:pPr>
      <w:r w:rsidRPr="009A76CE">
        <w:t>Postępowanie w przypadku unikania opodatkowania</w:t>
      </w:r>
    </w:p>
    <w:p w:rsidR="004D6F22" w:rsidRPr="009A76CE" w:rsidRDefault="004D6F22" w:rsidP="00ED7591">
      <w:pPr>
        <w:spacing w:after="0" w:line="360" w:lineRule="auto"/>
        <w:jc w:val="both"/>
        <w:rPr>
          <w:rFonts w:ascii="Times New Roman" w:hAnsi="Times New Roman"/>
          <w:sz w:val="24"/>
          <w:szCs w:val="24"/>
        </w:rPr>
      </w:pPr>
      <w:r w:rsidRPr="009A76CE">
        <w:rPr>
          <w:rFonts w:ascii="Times New Roman" w:hAnsi="Times New Roman"/>
          <w:sz w:val="24"/>
          <w:szCs w:val="24"/>
        </w:rPr>
        <w:t>Minister właściwy do spraw finansów publicznych będzie uprawniony do</w:t>
      </w:r>
      <w:r w:rsidRPr="00A31252">
        <w:rPr>
          <w:rFonts w:ascii="Times New Roman" w:hAnsi="Times New Roman"/>
          <w:sz w:val="24"/>
          <w:szCs w:val="24"/>
        </w:rPr>
        <w:t xml:space="preserve"> wszczęcia postępowania podatkowego lub przejęcia</w:t>
      </w:r>
      <w:r w:rsidR="00007D1D" w:rsidRPr="00A31252">
        <w:rPr>
          <w:rFonts w:ascii="Times New Roman" w:hAnsi="Times New Roman"/>
          <w:sz w:val="24"/>
          <w:szCs w:val="24"/>
        </w:rPr>
        <w:t xml:space="preserve"> </w:t>
      </w:r>
      <w:r w:rsidRPr="00A31252">
        <w:rPr>
          <w:rFonts w:ascii="Times New Roman" w:hAnsi="Times New Roman"/>
          <w:sz w:val="24"/>
          <w:szCs w:val="24"/>
        </w:rPr>
        <w:t xml:space="preserve">do dalszego prowadzenia toczącego się postępowania podatkowego lub postępowania kontrolnego organu kontroli skarbowej, jeżeli </w:t>
      </w:r>
      <w:r w:rsidR="002D7301" w:rsidRPr="00A31252">
        <w:rPr>
          <w:rFonts w:ascii="Times New Roman" w:hAnsi="Times New Roman"/>
          <w:sz w:val="24"/>
          <w:szCs w:val="24"/>
        </w:rPr>
        <w:t xml:space="preserve">w </w:t>
      </w:r>
      <w:r w:rsidR="007972FF" w:rsidRPr="00A31252">
        <w:rPr>
          <w:rFonts w:ascii="Times New Roman" w:hAnsi="Times New Roman"/>
          <w:sz w:val="24"/>
          <w:szCs w:val="24"/>
        </w:rPr>
        <w:t>konkretnej sprawie</w:t>
      </w:r>
      <w:r w:rsidR="002D7301" w:rsidRPr="00A31252">
        <w:rPr>
          <w:rFonts w:ascii="Times New Roman" w:hAnsi="Times New Roman"/>
          <w:sz w:val="24"/>
          <w:szCs w:val="24"/>
        </w:rPr>
        <w:t xml:space="preserve"> </w:t>
      </w:r>
      <w:r w:rsidRPr="00A31252">
        <w:rPr>
          <w:rFonts w:ascii="Times New Roman" w:hAnsi="Times New Roman"/>
          <w:sz w:val="24"/>
          <w:szCs w:val="24"/>
        </w:rPr>
        <w:t xml:space="preserve">istnieje możliwość zastosowania klauzuli. </w:t>
      </w:r>
      <w:r w:rsidR="00B84267" w:rsidRPr="00A31252">
        <w:rPr>
          <w:rFonts w:ascii="Times New Roman" w:hAnsi="Times New Roman"/>
          <w:sz w:val="24"/>
          <w:szCs w:val="24"/>
        </w:rPr>
        <w:t>W przypadku podatków</w:t>
      </w:r>
      <w:r w:rsidR="006F3F2E" w:rsidRPr="00A31252">
        <w:rPr>
          <w:rFonts w:ascii="Times New Roman" w:hAnsi="Times New Roman"/>
          <w:sz w:val="24"/>
          <w:szCs w:val="24"/>
        </w:rPr>
        <w:t xml:space="preserve"> pozostających we</w:t>
      </w:r>
      <w:r w:rsidR="006C637A" w:rsidRPr="00A31252">
        <w:rPr>
          <w:rFonts w:ascii="Times New Roman" w:hAnsi="Times New Roman"/>
          <w:sz w:val="24"/>
          <w:szCs w:val="24"/>
        </w:rPr>
        <w:t xml:space="preserve"> </w:t>
      </w:r>
      <w:r w:rsidR="006F3F2E" w:rsidRPr="00A31252">
        <w:rPr>
          <w:rFonts w:ascii="Times New Roman" w:hAnsi="Times New Roman"/>
          <w:sz w:val="24"/>
          <w:szCs w:val="24"/>
        </w:rPr>
        <w:t xml:space="preserve">właściwości </w:t>
      </w:r>
      <w:r w:rsidR="00B84267" w:rsidRPr="00A31252">
        <w:rPr>
          <w:rFonts w:ascii="Times New Roman" w:hAnsi="Times New Roman"/>
          <w:sz w:val="24"/>
          <w:szCs w:val="24"/>
        </w:rPr>
        <w:t>samorządow</w:t>
      </w:r>
      <w:r w:rsidR="006F3F2E" w:rsidRPr="00A31252">
        <w:rPr>
          <w:rFonts w:ascii="Times New Roman" w:hAnsi="Times New Roman"/>
          <w:sz w:val="24"/>
          <w:szCs w:val="24"/>
        </w:rPr>
        <w:t>ych</w:t>
      </w:r>
      <w:r w:rsidR="00B84267" w:rsidRPr="00A31252">
        <w:rPr>
          <w:rFonts w:ascii="Times New Roman" w:hAnsi="Times New Roman"/>
          <w:sz w:val="24"/>
          <w:szCs w:val="24"/>
        </w:rPr>
        <w:t xml:space="preserve"> organ</w:t>
      </w:r>
      <w:r w:rsidR="006F3F2E" w:rsidRPr="00A31252">
        <w:rPr>
          <w:rFonts w:ascii="Times New Roman" w:hAnsi="Times New Roman"/>
          <w:sz w:val="24"/>
          <w:szCs w:val="24"/>
        </w:rPr>
        <w:t>ów</w:t>
      </w:r>
      <w:r w:rsidR="00B84267" w:rsidRPr="00A31252">
        <w:rPr>
          <w:rFonts w:ascii="Times New Roman" w:hAnsi="Times New Roman"/>
          <w:sz w:val="24"/>
          <w:szCs w:val="24"/>
        </w:rPr>
        <w:t xml:space="preserve"> podatkow</w:t>
      </w:r>
      <w:r w:rsidR="006F3F2E" w:rsidRPr="00A31252">
        <w:rPr>
          <w:rFonts w:ascii="Times New Roman" w:hAnsi="Times New Roman"/>
          <w:sz w:val="24"/>
          <w:szCs w:val="24"/>
        </w:rPr>
        <w:t xml:space="preserve">ych, wszczęcie lub przejęcie przez ministra </w:t>
      </w:r>
      <w:r w:rsidR="00E91C19" w:rsidRPr="00A31252">
        <w:rPr>
          <w:rFonts w:ascii="Times New Roman" w:hAnsi="Times New Roman"/>
          <w:sz w:val="24"/>
          <w:szCs w:val="24"/>
        </w:rPr>
        <w:t xml:space="preserve">postępowania podatkowego będzie </w:t>
      </w:r>
      <w:r w:rsidR="001A10F8" w:rsidRPr="00A31252">
        <w:rPr>
          <w:rFonts w:ascii="Times New Roman" w:hAnsi="Times New Roman"/>
          <w:sz w:val="24"/>
          <w:szCs w:val="24"/>
        </w:rPr>
        <w:t>wymagało</w:t>
      </w:r>
      <w:r w:rsidR="00E91C19" w:rsidRPr="00A31252">
        <w:rPr>
          <w:rFonts w:ascii="Times New Roman" w:hAnsi="Times New Roman"/>
          <w:sz w:val="24"/>
          <w:szCs w:val="24"/>
        </w:rPr>
        <w:t xml:space="preserve"> wnios</w:t>
      </w:r>
      <w:r w:rsidR="001A10F8" w:rsidRPr="00A31252">
        <w:rPr>
          <w:rFonts w:ascii="Times New Roman" w:hAnsi="Times New Roman"/>
          <w:sz w:val="24"/>
          <w:szCs w:val="24"/>
        </w:rPr>
        <w:t>ku</w:t>
      </w:r>
      <w:r w:rsidR="00E91C19" w:rsidRPr="00A31252">
        <w:rPr>
          <w:rFonts w:ascii="Times New Roman" w:hAnsi="Times New Roman"/>
          <w:sz w:val="24"/>
          <w:szCs w:val="24"/>
        </w:rPr>
        <w:t xml:space="preserve"> właściwego organu.</w:t>
      </w:r>
      <w:r w:rsidR="00F97A1D" w:rsidRPr="00A31252">
        <w:rPr>
          <w:rFonts w:ascii="Times New Roman" w:hAnsi="Times New Roman"/>
          <w:sz w:val="24"/>
          <w:szCs w:val="24"/>
        </w:rPr>
        <w:t xml:space="preserve"> Przyznanie samorządowym organom podatkowym uprawnienia do zainicjowania wszczęcia lub przejęcia postępowania j</w:t>
      </w:r>
      <w:r w:rsidR="00D4798F" w:rsidRPr="00A31252">
        <w:rPr>
          <w:rFonts w:ascii="Times New Roman" w:hAnsi="Times New Roman"/>
          <w:sz w:val="24"/>
          <w:szCs w:val="24"/>
        </w:rPr>
        <w:t>est</w:t>
      </w:r>
      <w:r w:rsidR="006F609E" w:rsidRPr="00A31252">
        <w:rPr>
          <w:rFonts w:ascii="Times New Roman" w:hAnsi="Times New Roman"/>
          <w:sz w:val="24"/>
          <w:szCs w:val="24"/>
        </w:rPr>
        <w:t xml:space="preserve"> wyraz</w:t>
      </w:r>
      <w:r w:rsidR="00D4798F" w:rsidRPr="00A31252">
        <w:rPr>
          <w:rFonts w:ascii="Times New Roman" w:hAnsi="Times New Roman"/>
          <w:sz w:val="24"/>
          <w:szCs w:val="24"/>
        </w:rPr>
        <w:t>em</w:t>
      </w:r>
      <w:r w:rsidR="006F609E" w:rsidRPr="00A31252">
        <w:rPr>
          <w:rFonts w:ascii="Times New Roman" w:hAnsi="Times New Roman"/>
          <w:sz w:val="24"/>
          <w:szCs w:val="24"/>
        </w:rPr>
        <w:t xml:space="preserve"> respektowania </w:t>
      </w:r>
      <w:r w:rsidR="00D4798F" w:rsidRPr="00A31252">
        <w:rPr>
          <w:rFonts w:ascii="Times New Roman" w:hAnsi="Times New Roman"/>
          <w:sz w:val="24"/>
          <w:szCs w:val="24"/>
        </w:rPr>
        <w:t>autonomii finansowej samorządu terytorialnego</w:t>
      </w:r>
      <w:r w:rsidR="006F609E" w:rsidRPr="00A31252">
        <w:rPr>
          <w:rFonts w:ascii="Times New Roman" w:hAnsi="Times New Roman"/>
          <w:sz w:val="24"/>
          <w:szCs w:val="24"/>
        </w:rPr>
        <w:t xml:space="preserve">. </w:t>
      </w:r>
      <w:r w:rsidR="00007D1D" w:rsidRPr="00A31252">
        <w:rPr>
          <w:rFonts w:ascii="Times New Roman" w:hAnsi="Times New Roman"/>
          <w:sz w:val="24"/>
          <w:szCs w:val="24"/>
        </w:rPr>
        <w:t xml:space="preserve">Przejęcie toczącego się postępowania następować będzie w drodze niezaskarżalnego postanowienia, które doręczane będzie stronie oraz właściwemu uprzednio w sprawie organowi podatkowemu lub organowi kontroli skarbowej. </w:t>
      </w:r>
      <w:r w:rsidR="00F43CD1" w:rsidRPr="00A31252">
        <w:rPr>
          <w:rFonts w:ascii="Times New Roman" w:hAnsi="Times New Roman"/>
          <w:sz w:val="24"/>
          <w:szCs w:val="24"/>
        </w:rPr>
        <w:t>Przejmując postępowanie kontrolne, minister będzie jednocześnie wszczynał postępowanie podatkowe</w:t>
      </w:r>
      <w:r w:rsidR="00CC5CC1" w:rsidRPr="00A31252">
        <w:rPr>
          <w:rFonts w:ascii="Times New Roman" w:hAnsi="Times New Roman"/>
          <w:sz w:val="24"/>
          <w:szCs w:val="24"/>
        </w:rPr>
        <w:t xml:space="preserve">. </w:t>
      </w:r>
      <w:r w:rsidR="00BB1903">
        <w:rPr>
          <w:rFonts w:ascii="Times New Roman" w:hAnsi="Times New Roman"/>
          <w:sz w:val="24"/>
          <w:szCs w:val="24"/>
        </w:rPr>
        <w:t>Czynności podjęte w </w:t>
      </w:r>
      <w:r w:rsidRPr="00A31252">
        <w:rPr>
          <w:rFonts w:ascii="Times New Roman" w:hAnsi="Times New Roman"/>
          <w:sz w:val="24"/>
          <w:szCs w:val="24"/>
        </w:rPr>
        <w:t>postępowaniu przez dotychczasowe organy (</w:t>
      </w:r>
      <w:r w:rsidRPr="009A76CE">
        <w:rPr>
          <w:rFonts w:ascii="Times New Roman" w:hAnsi="Times New Roman"/>
          <w:sz w:val="24"/>
          <w:szCs w:val="24"/>
        </w:rPr>
        <w:t>podatkowe bądź kontroli skarbowej) pozostaną w mocy. W postanowieniu o wszczęciu postępowania po</w:t>
      </w:r>
      <w:r w:rsidR="00BB1903">
        <w:rPr>
          <w:rFonts w:ascii="Times New Roman" w:hAnsi="Times New Roman"/>
          <w:sz w:val="24"/>
          <w:szCs w:val="24"/>
        </w:rPr>
        <w:t>datkowego lub o </w:t>
      </w:r>
      <w:r w:rsidRPr="009A76CE">
        <w:rPr>
          <w:rFonts w:ascii="Times New Roman" w:hAnsi="Times New Roman"/>
          <w:sz w:val="24"/>
          <w:szCs w:val="24"/>
        </w:rPr>
        <w:t>przejęciu postępowania zostanie wyznaczony zakres, w jakim minister właściwy do spraw finansów publicznych będzie prowadzić postępowanie (</w:t>
      </w:r>
      <w:r w:rsidRPr="007E6A5B">
        <w:rPr>
          <w:rFonts w:ascii="Times New Roman" w:hAnsi="Times New Roman"/>
          <w:b/>
          <w:sz w:val="24"/>
          <w:szCs w:val="24"/>
        </w:rPr>
        <w:t>art. 119g</w:t>
      </w:r>
      <w:r w:rsidRPr="009A76CE">
        <w:rPr>
          <w:rFonts w:ascii="Times New Roman" w:hAnsi="Times New Roman"/>
          <w:sz w:val="24"/>
          <w:szCs w:val="24"/>
        </w:rPr>
        <w:t xml:space="preserve"> Ordynacji podatkowej). </w:t>
      </w:r>
    </w:p>
    <w:p w:rsidR="004D6F22" w:rsidRPr="009A76CE" w:rsidRDefault="004D6F22" w:rsidP="00ED7591">
      <w:pPr>
        <w:spacing w:after="0" w:line="360" w:lineRule="auto"/>
        <w:jc w:val="both"/>
        <w:rPr>
          <w:rFonts w:ascii="Times New Roman" w:hAnsi="Times New Roman"/>
          <w:sz w:val="24"/>
          <w:szCs w:val="24"/>
        </w:rPr>
      </w:pPr>
      <w:r w:rsidRPr="009A76CE">
        <w:rPr>
          <w:rFonts w:ascii="Times New Roman" w:hAnsi="Times New Roman"/>
          <w:sz w:val="24"/>
          <w:szCs w:val="24"/>
        </w:rPr>
        <w:t>W przypadku stwierdzenia, że w sprawie nie zachodzą przesłanki zastosowania klauzuli</w:t>
      </w:r>
      <w:r w:rsidR="0017777E" w:rsidRPr="009A76CE">
        <w:rPr>
          <w:rFonts w:ascii="Times New Roman" w:hAnsi="Times New Roman"/>
          <w:sz w:val="24"/>
          <w:szCs w:val="24"/>
        </w:rPr>
        <w:t>,</w:t>
      </w:r>
      <w:r w:rsidRPr="009A76CE">
        <w:rPr>
          <w:rFonts w:ascii="Times New Roman" w:hAnsi="Times New Roman"/>
          <w:sz w:val="24"/>
          <w:szCs w:val="24"/>
        </w:rPr>
        <w:t xml:space="preserve"> minister właściwy do spraw finansów publicznych umorzy postępowanie</w:t>
      </w:r>
      <w:r w:rsidR="00BB1903">
        <w:rPr>
          <w:rFonts w:ascii="Times New Roman" w:hAnsi="Times New Roman"/>
          <w:sz w:val="24"/>
          <w:szCs w:val="24"/>
        </w:rPr>
        <w:t xml:space="preserve"> i </w:t>
      </w:r>
      <w:r w:rsidRPr="009A76CE">
        <w:rPr>
          <w:rFonts w:ascii="Times New Roman" w:hAnsi="Times New Roman"/>
          <w:sz w:val="24"/>
          <w:szCs w:val="24"/>
        </w:rPr>
        <w:t xml:space="preserve">przekaże </w:t>
      </w:r>
      <w:r w:rsidR="0017777E" w:rsidRPr="009A76CE">
        <w:rPr>
          <w:rFonts w:ascii="Times New Roman" w:hAnsi="Times New Roman"/>
          <w:sz w:val="24"/>
          <w:szCs w:val="24"/>
        </w:rPr>
        <w:t xml:space="preserve">sprawę </w:t>
      </w:r>
      <w:r w:rsidRPr="009A76CE">
        <w:rPr>
          <w:rFonts w:ascii="Times New Roman" w:hAnsi="Times New Roman"/>
          <w:sz w:val="24"/>
          <w:szCs w:val="24"/>
        </w:rPr>
        <w:t>właściwemu organowi podatkowemu lub też, jeśli sprawa była przez niego przejęta od organu kontroli skarbowej – przekaże ją temu organowi (</w:t>
      </w:r>
      <w:r w:rsidRPr="007E6A5B">
        <w:rPr>
          <w:rFonts w:ascii="Times New Roman" w:hAnsi="Times New Roman"/>
          <w:b/>
          <w:sz w:val="24"/>
          <w:szCs w:val="24"/>
        </w:rPr>
        <w:t xml:space="preserve">art. </w:t>
      </w:r>
      <w:r w:rsidR="00A942A8" w:rsidRPr="007E6A5B">
        <w:rPr>
          <w:rFonts w:ascii="Times New Roman" w:hAnsi="Times New Roman"/>
          <w:b/>
          <w:sz w:val="24"/>
          <w:szCs w:val="24"/>
        </w:rPr>
        <w:t>119k</w:t>
      </w:r>
      <w:r w:rsidR="000D2DEC" w:rsidRPr="009A76CE">
        <w:rPr>
          <w:rFonts w:ascii="Times New Roman" w:hAnsi="Times New Roman"/>
          <w:sz w:val="24"/>
          <w:szCs w:val="24"/>
        </w:rPr>
        <w:t xml:space="preserve"> </w:t>
      </w:r>
      <w:r w:rsidRPr="009A76CE">
        <w:rPr>
          <w:rFonts w:ascii="Times New Roman" w:hAnsi="Times New Roman"/>
          <w:sz w:val="24"/>
          <w:szCs w:val="24"/>
        </w:rPr>
        <w:t>Ordynacji podatkowej). Umorzenie postępowania przez ministra właściwego do spraw finansów publicznych – mimo braku stwie</w:t>
      </w:r>
      <w:r w:rsidR="009A76CE">
        <w:rPr>
          <w:rFonts w:ascii="Times New Roman" w:hAnsi="Times New Roman"/>
          <w:sz w:val="24"/>
          <w:szCs w:val="24"/>
        </w:rPr>
        <w:t>rdzenia unikania opodatkowania –</w:t>
      </w:r>
      <w:r w:rsidRPr="009A76CE">
        <w:rPr>
          <w:rFonts w:ascii="Times New Roman" w:hAnsi="Times New Roman"/>
          <w:sz w:val="24"/>
          <w:szCs w:val="24"/>
        </w:rPr>
        <w:t xml:space="preserve"> nie zawsze byłoby zasadne. Przepis przewidujący przekazanie sprawy właściwemu organowi </w:t>
      </w:r>
      <w:r w:rsidRPr="009A76CE">
        <w:rPr>
          <w:rFonts w:ascii="Times New Roman" w:hAnsi="Times New Roman"/>
          <w:sz w:val="24"/>
          <w:szCs w:val="24"/>
        </w:rPr>
        <w:lastRenderedPageBreak/>
        <w:t>podatkowemu (nawet wówczas, gdy to minister wszc</w:t>
      </w:r>
      <w:r w:rsidR="00BB1903">
        <w:rPr>
          <w:rFonts w:ascii="Times New Roman" w:hAnsi="Times New Roman"/>
          <w:sz w:val="24"/>
          <w:szCs w:val="24"/>
        </w:rPr>
        <w:t>zął postępowanie), jest ważny i </w:t>
      </w:r>
      <w:r w:rsidRPr="009A76CE">
        <w:rPr>
          <w:rFonts w:ascii="Times New Roman" w:hAnsi="Times New Roman"/>
          <w:sz w:val="24"/>
          <w:szCs w:val="24"/>
        </w:rPr>
        <w:t xml:space="preserve">niezbędny. Jeśli bowiem minister właściwy do spraw finansów publicznych nie stwierdził występowania unikania opodatkowania, to mogą zachodzić inne przesłanki wymagające przeprowadzenia postępowania podatkowego przez właściwy organ. </w:t>
      </w:r>
    </w:p>
    <w:p w:rsidR="00C2363F" w:rsidRPr="00A31252" w:rsidRDefault="004D6F22" w:rsidP="00ED7591">
      <w:pPr>
        <w:spacing w:after="0" w:line="360" w:lineRule="auto"/>
        <w:jc w:val="both"/>
        <w:rPr>
          <w:rFonts w:ascii="Times New Roman" w:hAnsi="Times New Roman"/>
          <w:sz w:val="24"/>
          <w:szCs w:val="24"/>
        </w:rPr>
      </w:pPr>
      <w:r w:rsidRPr="009A76CE">
        <w:rPr>
          <w:rFonts w:ascii="Times New Roman" w:hAnsi="Times New Roman"/>
          <w:sz w:val="24"/>
          <w:szCs w:val="24"/>
        </w:rPr>
        <w:t xml:space="preserve">Minister właściwy do spraw finansów publicznych może zasięgnąć opinii Rady do Spraw </w:t>
      </w:r>
      <w:r w:rsidR="00D05EF1" w:rsidRPr="009A76CE">
        <w:rPr>
          <w:rFonts w:ascii="Times New Roman" w:hAnsi="Times New Roman"/>
          <w:sz w:val="24"/>
          <w:szCs w:val="24"/>
        </w:rPr>
        <w:t xml:space="preserve">Przeciwdziałania Unikaniu </w:t>
      </w:r>
      <w:r w:rsidRPr="009A76CE">
        <w:rPr>
          <w:rFonts w:ascii="Times New Roman" w:hAnsi="Times New Roman"/>
          <w:sz w:val="24"/>
          <w:szCs w:val="24"/>
        </w:rPr>
        <w:t xml:space="preserve">Opodatkowania co </w:t>
      </w:r>
      <w:r w:rsidR="00BB1903">
        <w:rPr>
          <w:rFonts w:ascii="Times New Roman" w:hAnsi="Times New Roman"/>
          <w:sz w:val="24"/>
          <w:szCs w:val="24"/>
        </w:rPr>
        <w:t>do zasadności zastosowania art. </w:t>
      </w:r>
      <w:r w:rsidRPr="009A76CE">
        <w:rPr>
          <w:rFonts w:ascii="Times New Roman" w:hAnsi="Times New Roman"/>
          <w:sz w:val="24"/>
          <w:szCs w:val="24"/>
        </w:rPr>
        <w:t>119a w prowadzonym postępowaniu (</w:t>
      </w:r>
      <w:r w:rsidRPr="005C0938">
        <w:rPr>
          <w:rFonts w:ascii="Times New Roman" w:hAnsi="Times New Roman"/>
          <w:b/>
          <w:sz w:val="24"/>
          <w:szCs w:val="24"/>
        </w:rPr>
        <w:t>art. 119h</w:t>
      </w:r>
      <w:r w:rsidR="00274212" w:rsidRPr="009A76CE">
        <w:rPr>
          <w:rFonts w:ascii="Times New Roman" w:hAnsi="Times New Roman"/>
          <w:sz w:val="24"/>
          <w:szCs w:val="24"/>
        </w:rPr>
        <w:t xml:space="preserve"> Ordynacji podatkowej</w:t>
      </w:r>
      <w:r w:rsidRPr="009A76CE">
        <w:rPr>
          <w:rFonts w:ascii="Times New Roman" w:hAnsi="Times New Roman"/>
          <w:sz w:val="24"/>
          <w:szCs w:val="24"/>
        </w:rPr>
        <w:t>). Opinia tego niezależnego eksperckiego ciała doradczego byłaby wydawana na etapie postępowania pierwszoinstancyjnego lub postępowania odwoławczego. Na etapie postępowania</w:t>
      </w:r>
      <w:r w:rsidRPr="00A31252">
        <w:rPr>
          <w:rFonts w:ascii="Times New Roman" w:hAnsi="Times New Roman"/>
          <w:sz w:val="24"/>
          <w:szCs w:val="24"/>
        </w:rPr>
        <w:t xml:space="preserve"> pierwszoinstancyjnego uprawnionym do złożenia wniosku byłby wyłącznie Minister Finansów, jeśli dostrzega uzasadnione przesłanki d</w:t>
      </w:r>
      <w:r w:rsidR="00BB1903">
        <w:rPr>
          <w:rFonts w:ascii="Times New Roman" w:hAnsi="Times New Roman"/>
          <w:sz w:val="24"/>
          <w:szCs w:val="24"/>
        </w:rPr>
        <w:t>o zastosowania klauzuli. Wraz z </w:t>
      </w:r>
      <w:r w:rsidRPr="00A31252">
        <w:rPr>
          <w:rFonts w:ascii="Times New Roman" w:hAnsi="Times New Roman"/>
          <w:sz w:val="24"/>
          <w:szCs w:val="24"/>
        </w:rPr>
        <w:t>wnioskiem Minister Finansów zobowiązany będ</w:t>
      </w:r>
      <w:r w:rsidR="00BB1903">
        <w:rPr>
          <w:rFonts w:ascii="Times New Roman" w:hAnsi="Times New Roman"/>
          <w:sz w:val="24"/>
          <w:szCs w:val="24"/>
        </w:rPr>
        <w:t>zie do przedstawienia analizy i </w:t>
      </w:r>
      <w:r w:rsidR="00F50303">
        <w:rPr>
          <w:rFonts w:ascii="Times New Roman" w:hAnsi="Times New Roman"/>
          <w:sz w:val="24"/>
          <w:szCs w:val="24"/>
        </w:rPr>
        <w:t>stanowiska</w:t>
      </w:r>
      <w:r w:rsidRPr="00A31252">
        <w:rPr>
          <w:rFonts w:ascii="Times New Roman" w:hAnsi="Times New Roman"/>
          <w:sz w:val="24"/>
          <w:szCs w:val="24"/>
        </w:rPr>
        <w:t xml:space="preserve"> co do wystąpienia przesłanek do zastosowania klauzuli. Minister właściwy do spraw finansów publicznych będzie o</w:t>
      </w:r>
      <w:r w:rsidR="00F50303">
        <w:rPr>
          <w:rFonts w:ascii="Times New Roman" w:hAnsi="Times New Roman"/>
          <w:sz w:val="24"/>
          <w:szCs w:val="24"/>
        </w:rPr>
        <w:t xml:space="preserve">bligatoryjnie składać wniosek o </w:t>
      </w:r>
      <w:r w:rsidRPr="00A31252">
        <w:rPr>
          <w:rFonts w:ascii="Times New Roman" w:hAnsi="Times New Roman"/>
          <w:sz w:val="24"/>
          <w:szCs w:val="24"/>
        </w:rPr>
        <w:t xml:space="preserve">wydanie opinii przez Radę, jeśli podatnik w odwołaniu o to się zwróci. </w:t>
      </w:r>
      <w:r w:rsidR="00274212" w:rsidRPr="00A31252">
        <w:rPr>
          <w:rFonts w:ascii="Times New Roman" w:hAnsi="Times New Roman"/>
          <w:sz w:val="24"/>
          <w:szCs w:val="24"/>
        </w:rPr>
        <w:t xml:space="preserve">W decyzji organu pierwszej instancji, </w:t>
      </w:r>
      <w:r w:rsidR="005F7FC4" w:rsidRPr="00A31252">
        <w:rPr>
          <w:rFonts w:ascii="Times New Roman" w:hAnsi="Times New Roman"/>
          <w:sz w:val="24"/>
          <w:szCs w:val="24"/>
        </w:rPr>
        <w:t>o której mowa w art. 119g</w:t>
      </w:r>
      <w:r w:rsidR="00124275" w:rsidRPr="00A31252">
        <w:rPr>
          <w:rFonts w:ascii="Times New Roman" w:hAnsi="Times New Roman"/>
          <w:sz w:val="24"/>
          <w:szCs w:val="24"/>
        </w:rPr>
        <w:t xml:space="preserve"> § 1</w:t>
      </w:r>
      <w:r w:rsidR="00F50303">
        <w:rPr>
          <w:rFonts w:ascii="Times New Roman" w:hAnsi="Times New Roman"/>
          <w:sz w:val="24"/>
          <w:szCs w:val="24"/>
        </w:rPr>
        <w:t xml:space="preserve">, będzie zawarte pouczenie o </w:t>
      </w:r>
      <w:r w:rsidR="00274212" w:rsidRPr="00A31252">
        <w:rPr>
          <w:rFonts w:ascii="Times New Roman" w:hAnsi="Times New Roman"/>
          <w:sz w:val="24"/>
          <w:szCs w:val="24"/>
        </w:rPr>
        <w:t xml:space="preserve">prawie złożenia wniosku o zasięgnięcie opinii Rady do Spraw </w:t>
      </w:r>
      <w:r w:rsidR="007D0903" w:rsidRPr="00A31252">
        <w:rPr>
          <w:rFonts w:ascii="Times New Roman" w:hAnsi="Times New Roman"/>
          <w:sz w:val="24"/>
          <w:szCs w:val="24"/>
        </w:rPr>
        <w:t xml:space="preserve">Przeciwdziałania Unikaniu </w:t>
      </w:r>
      <w:r w:rsidR="00274212" w:rsidRPr="00A31252">
        <w:rPr>
          <w:rFonts w:ascii="Times New Roman" w:hAnsi="Times New Roman"/>
          <w:sz w:val="24"/>
          <w:szCs w:val="24"/>
        </w:rPr>
        <w:t>Opodatkowania. Mimo braku wniosku podatnika, aż do zakończenia postępowania organ prowadzący postępowanie</w:t>
      </w:r>
      <w:r w:rsidR="00BB1903">
        <w:rPr>
          <w:rFonts w:ascii="Times New Roman" w:hAnsi="Times New Roman"/>
          <w:sz w:val="24"/>
          <w:szCs w:val="24"/>
        </w:rPr>
        <w:t xml:space="preserve"> będzie mógł wystąpić do Rady z </w:t>
      </w:r>
      <w:r w:rsidR="00274212" w:rsidRPr="00A31252">
        <w:rPr>
          <w:rFonts w:ascii="Times New Roman" w:hAnsi="Times New Roman"/>
          <w:sz w:val="24"/>
          <w:szCs w:val="24"/>
        </w:rPr>
        <w:t xml:space="preserve">wnioskiem o wydanie opinii. Uzyskanie takiej opinii nie będzie jednak obligatoryjne. </w:t>
      </w:r>
    </w:p>
    <w:p w:rsidR="00813967" w:rsidRPr="009A76CE" w:rsidRDefault="00C2363F" w:rsidP="00ED7591">
      <w:pPr>
        <w:spacing w:after="0" w:line="360" w:lineRule="auto"/>
        <w:jc w:val="both"/>
        <w:rPr>
          <w:rFonts w:ascii="Times New Roman" w:hAnsi="Times New Roman"/>
          <w:sz w:val="24"/>
          <w:szCs w:val="24"/>
        </w:rPr>
      </w:pPr>
      <w:r w:rsidRPr="00A31252">
        <w:rPr>
          <w:rFonts w:ascii="Times New Roman" w:hAnsi="Times New Roman"/>
          <w:sz w:val="24"/>
          <w:szCs w:val="24"/>
        </w:rPr>
        <w:t xml:space="preserve">Rada miałaby prawo zwrócić się do podatnika i do organów podatkowych o udzielenie </w:t>
      </w:r>
      <w:r w:rsidRPr="009A76CE">
        <w:rPr>
          <w:rFonts w:ascii="Times New Roman" w:hAnsi="Times New Roman"/>
          <w:sz w:val="24"/>
          <w:szCs w:val="24"/>
        </w:rPr>
        <w:t>wyjaśnień (</w:t>
      </w:r>
      <w:r w:rsidRPr="005C0938">
        <w:rPr>
          <w:rFonts w:ascii="Times New Roman" w:hAnsi="Times New Roman"/>
          <w:b/>
          <w:sz w:val="24"/>
          <w:szCs w:val="24"/>
        </w:rPr>
        <w:t>art. 119i § 1</w:t>
      </w:r>
      <w:r w:rsidRPr="009A76CE">
        <w:rPr>
          <w:rFonts w:ascii="Times New Roman" w:hAnsi="Times New Roman"/>
          <w:sz w:val="24"/>
          <w:szCs w:val="24"/>
        </w:rPr>
        <w:t xml:space="preserve"> Ordynacji podatkowej). Zarówno strona</w:t>
      </w:r>
      <w:r w:rsidR="00F50303">
        <w:rPr>
          <w:rFonts w:ascii="Times New Roman" w:hAnsi="Times New Roman"/>
          <w:sz w:val="24"/>
          <w:szCs w:val="24"/>
        </w:rPr>
        <w:t>,</w:t>
      </w:r>
      <w:r w:rsidRPr="009A76CE">
        <w:rPr>
          <w:rFonts w:ascii="Times New Roman" w:hAnsi="Times New Roman"/>
          <w:sz w:val="24"/>
          <w:szCs w:val="24"/>
        </w:rPr>
        <w:t xml:space="preserve"> jak i organ podatkowy będą mieli także możliwość przedstawie</w:t>
      </w:r>
      <w:r w:rsidR="005C0938">
        <w:rPr>
          <w:rFonts w:ascii="Times New Roman" w:hAnsi="Times New Roman"/>
          <w:sz w:val="24"/>
          <w:szCs w:val="24"/>
        </w:rPr>
        <w:t>nia Radzie swojego stanowiska i </w:t>
      </w:r>
      <w:r w:rsidR="00BB1903">
        <w:rPr>
          <w:rFonts w:ascii="Times New Roman" w:hAnsi="Times New Roman"/>
          <w:sz w:val="24"/>
          <w:szCs w:val="24"/>
        </w:rPr>
        <w:t>dokumentów z </w:t>
      </w:r>
      <w:r w:rsidRPr="009A76CE">
        <w:rPr>
          <w:rFonts w:ascii="Times New Roman" w:hAnsi="Times New Roman"/>
          <w:sz w:val="24"/>
          <w:szCs w:val="24"/>
        </w:rPr>
        <w:t>własnej inicjatywy. Podatnik oraz jego pełnom</w:t>
      </w:r>
      <w:r w:rsidR="00BB1903">
        <w:rPr>
          <w:rFonts w:ascii="Times New Roman" w:hAnsi="Times New Roman"/>
          <w:sz w:val="24"/>
          <w:szCs w:val="24"/>
        </w:rPr>
        <w:t>ocnik będą mogli uczestniczyć w </w:t>
      </w:r>
      <w:r w:rsidRPr="009A76CE">
        <w:rPr>
          <w:rFonts w:ascii="Times New Roman" w:hAnsi="Times New Roman"/>
          <w:sz w:val="24"/>
          <w:szCs w:val="24"/>
        </w:rPr>
        <w:t>posiedzeniu Rady tylko na zaproszenie przewodniczącego. Przedstawiciel Ministra Finansów będzie mógł uczestniczyć w posiedzeniu Rady lub jego części na zaproszenie przewodniczącego Rady na takich samych zasadach, jakie dotyczyć będą uczestnictwa podatnika (</w:t>
      </w:r>
      <w:r w:rsidRPr="005C0938">
        <w:rPr>
          <w:rFonts w:ascii="Times New Roman" w:hAnsi="Times New Roman"/>
          <w:b/>
          <w:sz w:val="24"/>
          <w:szCs w:val="24"/>
        </w:rPr>
        <w:t>art. 119i § 2 i 3</w:t>
      </w:r>
      <w:r w:rsidRPr="009A76CE">
        <w:rPr>
          <w:rFonts w:ascii="Times New Roman" w:hAnsi="Times New Roman"/>
          <w:sz w:val="24"/>
          <w:szCs w:val="24"/>
        </w:rPr>
        <w:t xml:space="preserve"> Ordynacji podatkowej). Zaproszenie przedstawiciela ministra właściwego do spraw finansów publicznych do udziału w posiedzeniu będzie wymagało też skierowania zaproszenia, w takim samym zakresie, do podatnika. </w:t>
      </w:r>
      <w:r w:rsidR="00A97A1A" w:rsidRPr="009A76CE">
        <w:rPr>
          <w:rFonts w:ascii="Times New Roman" w:hAnsi="Times New Roman"/>
          <w:sz w:val="24"/>
          <w:szCs w:val="24"/>
        </w:rPr>
        <w:t>Termin na wydanie opinii Rady wynosi 3 miesiące (</w:t>
      </w:r>
      <w:r w:rsidR="002C48B8">
        <w:rPr>
          <w:rFonts w:ascii="Times New Roman" w:hAnsi="Times New Roman"/>
          <w:b/>
          <w:sz w:val="24"/>
          <w:szCs w:val="24"/>
        </w:rPr>
        <w:t>art. 119i § </w:t>
      </w:r>
      <w:r w:rsidR="003513C9" w:rsidRPr="005C0938">
        <w:rPr>
          <w:rFonts w:ascii="Times New Roman" w:hAnsi="Times New Roman"/>
          <w:b/>
          <w:sz w:val="24"/>
          <w:szCs w:val="24"/>
        </w:rPr>
        <w:t>5</w:t>
      </w:r>
      <w:r w:rsidR="001D25E7" w:rsidRPr="009A76CE">
        <w:rPr>
          <w:rFonts w:ascii="Times New Roman" w:hAnsi="Times New Roman"/>
          <w:sz w:val="24"/>
          <w:szCs w:val="24"/>
        </w:rPr>
        <w:t>)</w:t>
      </w:r>
      <w:r w:rsidR="00A97A1A" w:rsidRPr="009A76CE">
        <w:rPr>
          <w:rFonts w:ascii="Times New Roman" w:hAnsi="Times New Roman"/>
          <w:sz w:val="24"/>
          <w:szCs w:val="24"/>
        </w:rPr>
        <w:t xml:space="preserve">. </w:t>
      </w:r>
      <w:r w:rsidR="001D25E7" w:rsidRPr="009A76CE">
        <w:rPr>
          <w:rFonts w:ascii="Times New Roman" w:hAnsi="Times New Roman"/>
          <w:sz w:val="24"/>
          <w:szCs w:val="24"/>
        </w:rPr>
        <w:t xml:space="preserve">Do tego terminu nie wlicza się terminów </w:t>
      </w:r>
      <w:r w:rsidR="003513C9" w:rsidRPr="009A76CE">
        <w:rPr>
          <w:rFonts w:ascii="Times New Roman" w:hAnsi="Times New Roman"/>
          <w:sz w:val="24"/>
          <w:szCs w:val="24"/>
        </w:rPr>
        <w:t xml:space="preserve">wyznaczonych przez Radę </w:t>
      </w:r>
      <w:r w:rsidR="001D25E7" w:rsidRPr="009A76CE">
        <w:rPr>
          <w:rFonts w:ascii="Times New Roman" w:hAnsi="Times New Roman"/>
          <w:sz w:val="24"/>
          <w:szCs w:val="24"/>
        </w:rPr>
        <w:t>na udzielenie przez stronę lub ministra właściwego do spraw fi</w:t>
      </w:r>
      <w:r w:rsidR="005C0938">
        <w:rPr>
          <w:rFonts w:ascii="Times New Roman" w:hAnsi="Times New Roman"/>
          <w:sz w:val="24"/>
          <w:szCs w:val="24"/>
        </w:rPr>
        <w:t xml:space="preserve">nansów publicznych </w:t>
      </w:r>
      <w:r w:rsidR="005C0938">
        <w:rPr>
          <w:rFonts w:ascii="Times New Roman" w:hAnsi="Times New Roman"/>
          <w:sz w:val="24"/>
          <w:szCs w:val="24"/>
        </w:rPr>
        <w:lastRenderedPageBreak/>
        <w:t>informacji i </w:t>
      </w:r>
      <w:r w:rsidR="001D25E7" w:rsidRPr="009A76CE">
        <w:rPr>
          <w:rFonts w:ascii="Times New Roman" w:hAnsi="Times New Roman"/>
          <w:sz w:val="24"/>
          <w:szCs w:val="24"/>
        </w:rPr>
        <w:t>wyjaśnień dotyczących sprawy.</w:t>
      </w:r>
      <w:r w:rsidR="00A97A1A" w:rsidRPr="009A76CE">
        <w:rPr>
          <w:rFonts w:ascii="Times New Roman" w:hAnsi="Times New Roman"/>
          <w:sz w:val="24"/>
          <w:szCs w:val="24"/>
        </w:rPr>
        <w:t xml:space="preserve"> </w:t>
      </w:r>
      <w:r w:rsidR="001D25E7" w:rsidRPr="009A76CE">
        <w:rPr>
          <w:rFonts w:ascii="Times New Roman" w:hAnsi="Times New Roman"/>
          <w:sz w:val="24"/>
          <w:szCs w:val="24"/>
        </w:rPr>
        <w:t>Prekluzyjny charakter terminu</w:t>
      </w:r>
      <w:r w:rsidR="00A97A1A" w:rsidRPr="009A76CE">
        <w:rPr>
          <w:rFonts w:ascii="Times New Roman" w:hAnsi="Times New Roman"/>
          <w:sz w:val="24"/>
          <w:szCs w:val="24"/>
        </w:rPr>
        <w:t xml:space="preserve"> </w:t>
      </w:r>
      <w:r w:rsidR="001D25E7" w:rsidRPr="009A76CE">
        <w:rPr>
          <w:rFonts w:ascii="Times New Roman" w:hAnsi="Times New Roman"/>
          <w:sz w:val="24"/>
          <w:szCs w:val="24"/>
        </w:rPr>
        <w:t xml:space="preserve">jest uzasadniony tym, że opiniowanie sprawy przez Radę jest neutralne dla biegu terminu przedawnienia zobowiązania podatkowego; ten termin nie jest przerwany ani w żaden sposób wydłużony. W związku z tym trzeba zapewnić możliwość orzekania w sprawie mimo </w:t>
      </w:r>
      <w:r w:rsidR="00804AC0" w:rsidRPr="009A76CE">
        <w:rPr>
          <w:rFonts w:ascii="Times New Roman" w:hAnsi="Times New Roman"/>
          <w:sz w:val="24"/>
          <w:szCs w:val="24"/>
        </w:rPr>
        <w:t xml:space="preserve">ewentualnego </w:t>
      </w:r>
      <w:r w:rsidR="00BB1903">
        <w:rPr>
          <w:rFonts w:ascii="Times New Roman" w:hAnsi="Times New Roman"/>
          <w:sz w:val="24"/>
          <w:szCs w:val="24"/>
        </w:rPr>
        <w:t>braku opinii Rady w </w:t>
      </w:r>
      <w:r w:rsidR="001D25E7" w:rsidRPr="009A76CE">
        <w:rPr>
          <w:rFonts w:ascii="Times New Roman" w:hAnsi="Times New Roman"/>
          <w:sz w:val="24"/>
          <w:szCs w:val="24"/>
        </w:rPr>
        <w:t>ustawowym</w:t>
      </w:r>
      <w:r w:rsidR="00804AC0" w:rsidRPr="009A76CE">
        <w:rPr>
          <w:rFonts w:ascii="Times New Roman" w:hAnsi="Times New Roman"/>
          <w:sz w:val="24"/>
          <w:szCs w:val="24"/>
        </w:rPr>
        <w:t xml:space="preserve"> terminie, czego nie można wykluczyć</w:t>
      </w:r>
      <w:r w:rsidR="007377E3" w:rsidRPr="009A76CE">
        <w:rPr>
          <w:rFonts w:ascii="Times New Roman" w:hAnsi="Times New Roman"/>
          <w:sz w:val="24"/>
          <w:szCs w:val="24"/>
        </w:rPr>
        <w:t xml:space="preserve">. </w:t>
      </w:r>
      <w:r w:rsidR="00023691" w:rsidRPr="009A76CE">
        <w:rPr>
          <w:rFonts w:ascii="Times New Roman" w:hAnsi="Times New Roman"/>
          <w:sz w:val="24"/>
          <w:szCs w:val="24"/>
        </w:rPr>
        <w:t xml:space="preserve">Organ podatkowy nie ma wpływu na terminowość opinii Rady. </w:t>
      </w:r>
      <w:r w:rsidR="00CB3662" w:rsidRPr="009A76CE">
        <w:rPr>
          <w:rFonts w:ascii="Times New Roman" w:hAnsi="Times New Roman"/>
          <w:sz w:val="24"/>
          <w:szCs w:val="24"/>
        </w:rPr>
        <w:t>N</w:t>
      </w:r>
      <w:r w:rsidR="00082501" w:rsidRPr="009A76CE">
        <w:rPr>
          <w:rFonts w:ascii="Times New Roman" w:hAnsi="Times New Roman"/>
          <w:sz w:val="24"/>
          <w:szCs w:val="24"/>
        </w:rPr>
        <w:t>ie</w:t>
      </w:r>
      <w:r w:rsidR="00CB3662" w:rsidRPr="009A76CE">
        <w:rPr>
          <w:rFonts w:ascii="Times New Roman" w:hAnsi="Times New Roman"/>
          <w:sz w:val="24"/>
          <w:szCs w:val="24"/>
        </w:rPr>
        <w:t>wydanie opinii</w:t>
      </w:r>
      <w:r w:rsidR="005C0938">
        <w:rPr>
          <w:rFonts w:ascii="Times New Roman" w:hAnsi="Times New Roman"/>
          <w:sz w:val="24"/>
          <w:szCs w:val="24"/>
        </w:rPr>
        <w:t xml:space="preserve"> w </w:t>
      </w:r>
      <w:r w:rsidR="00CB3662" w:rsidRPr="009A76CE">
        <w:rPr>
          <w:rFonts w:ascii="Times New Roman" w:hAnsi="Times New Roman"/>
          <w:sz w:val="24"/>
          <w:szCs w:val="24"/>
        </w:rPr>
        <w:t xml:space="preserve">terminie </w:t>
      </w:r>
      <w:r w:rsidR="00BB1903">
        <w:rPr>
          <w:rFonts w:ascii="Times New Roman" w:hAnsi="Times New Roman"/>
          <w:sz w:val="24"/>
          <w:szCs w:val="24"/>
        </w:rPr>
        <w:t>będzie równoznaczne z </w:t>
      </w:r>
      <w:r w:rsidR="00CB3662" w:rsidRPr="009A76CE">
        <w:rPr>
          <w:rFonts w:ascii="Times New Roman" w:hAnsi="Times New Roman"/>
          <w:sz w:val="24"/>
          <w:szCs w:val="24"/>
        </w:rPr>
        <w:t>opinią R</w:t>
      </w:r>
      <w:r w:rsidR="00A24B3A">
        <w:rPr>
          <w:rFonts w:ascii="Times New Roman" w:hAnsi="Times New Roman"/>
          <w:sz w:val="24"/>
          <w:szCs w:val="24"/>
        </w:rPr>
        <w:t>ady o zasadności zastosowania w </w:t>
      </w:r>
      <w:r w:rsidR="00CB3662" w:rsidRPr="009A76CE">
        <w:rPr>
          <w:rFonts w:ascii="Times New Roman" w:hAnsi="Times New Roman"/>
          <w:sz w:val="24"/>
          <w:szCs w:val="24"/>
        </w:rPr>
        <w:t>sprawie klauzuli</w:t>
      </w:r>
      <w:r w:rsidR="00023691" w:rsidRPr="009A76CE">
        <w:rPr>
          <w:rFonts w:ascii="Times New Roman" w:hAnsi="Times New Roman"/>
          <w:sz w:val="24"/>
          <w:szCs w:val="24"/>
        </w:rPr>
        <w:t xml:space="preserve"> (</w:t>
      </w:r>
      <w:r w:rsidR="00023691" w:rsidRPr="005C0938">
        <w:rPr>
          <w:rFonts w:ascii="Times New Roman" w:hAnsi="Times New Roman"/>
          <w:b/>
          <w:sz w:val="24"/>
          <w:szCs w:val="24"/>
        </w:rPr>
        <w:t xml:space="preserve">art. 119i § </w:t>
      </w:r>
      <w:r w:rsidR="003513C9" w:rsidRPr="005C0938">
        <w:rPr>
          <w:rFonts w:ascii="Times New Roman" w:hAnsi="Times New Roman"/>
          <w:b/>
          <w:sz w:val="24"/>
          <w:szCs w:val="24"/>
        </w:rPr>
        <w:t>9</w:t>
      </w:r>
      <w:r w:rsidR="00023691" w:rsidRPr="009A76CE">
        <w:rPr>
          <w:rFonts w:ascii="Times New Roman" w:hAnsi="Times New Roman"/>
          <w:sz w:val="24"/>
          <w:szCs w:val="24"/>
        </w:rPr>
        <w:t>)</w:t>
      </w:r>
      <w:r w:rsidR="00CB3662" w:rsidRPr="009A76CE">
        <w:rPr>
          <w:rFonts w:ascii="Times New Roman" w:hAnsi="Times New Roman"/>
          <w:sz w:val="24"/>
          <w:szCs w:val="24"/>
        </w:rPr>
        <w:t xml:space="preserve">. </w:t>
      </w:r>
      <w:r w:rsidR="002D3100" w:rsidRPr="009A76CE">
        <w:rPr>
          <w:rFonts w:ascii="Times New Roman" w:hAnsi="Times New Roman"/>
          <w:sz w:val="24"/>
          <w:szCs w:val="24"/>
        </w:rPr>
        <w:t>Z</w:t>
      </w:r>
      <w:r w:rsidR="00FF2409" w:rsidRPr="009A76CE">
        <w:rPr>
          <w:rFonts w:ascii="Times New Roman" w:hAnsi="Times New Roman"/>
          <w:sz w:val="24"/>
          <w:szCs w:val="24"/>
        </w:rPr>
        <w:t>asada</w:t>
      </w:r>
      <w:r w:rsidR="0085720C" w:rsidRPr="009A76CE">
        <w:rPr>
          <w:rFonts w:ascii="Times New Roman" w:hAnsi="Times New Roman"/>
          <w:sz w:val="24"/>
          <w:szCs w:val="24"/>
        </w:rPr>
        <w:t xml:space="preserve"> ta </w:t>
      </w:r>
      <w:r w:rsidR="006F1168" w:rsidRPr="009A76CE">
        <w:rPr>
          <w:rFonts w:ascii="Times New Roman" w:hAnsi="Times New Roman"/>
          <w:sz w:val="24"/>
          <w:szCs w:val="24"/>
        </w:rPr>
        <w:t>nie będzie miała zastosowania</w:t>
      </w:r>
      <w:r w:rsidR="00FF2409" w:rsidRPr="009A76CE">
        <w:rPr>
          <w:rFonts w:ascii="Times New Roman" w:hAnsi="Times New Roman"/>
          <w:sz w:val="24"/>
          <w:szCs w:val="24"/>
        </w:rPr>
        <w:t xml:space="preserve"> </w:t>
      </w:r>
      <w:r w:rsidR="00A24B3A">
        <w:rPr>
          <w:rFonts w:ascii="Times New Roman" w:hAnsi="Times New Roman"/>
          <w:sz w:val="24"/>
          <w:szCs w:val="24"/>
        </w:rPr>
        <w:t>w </w:t>
      </w:r>
      <w:r w:rsidR="006F1168" w:rsidRPr="009A76CE">
        <w:rPr>
          <w:rFonts w:ascii="Times New Roman" w:hAnsi="Times New Roman"/>
          <w:sz w:val="24"/>
          <w:szCs w:val="24"/>
        </w:rPr>
        <w:t>przypadku zasięgania</w:t>
      </w:r>
      <w:r w:rsidR="00BB1903">
        <w:rPr>
          <w:rFonts w:ascii="Times New Roman" w:hAnsi="Times New Roman"/>
          <w:sz w:val="24"/>
          <w:szCs w:val="24"/>
        </w:rPr>
        <w:t xml:space="preserve"> opinii na wniosek strony (</w:t>
      </w:r>
      <w:r w:rsidR="00BB1903" w:rsidRPr="005C0938">
        <w:rPr>
          <w:rFonts w:ascii="Times New Roman" w:hAnsi="Times New Roman"/>
          <w:b/>
          <w:sz w:val="24"/>
          <w:szCs w:val="24"/>
        </w:rPr>
        <w:t>art. </w:t>
      </w:r>
      <w:r w:rsidR="006F1168" w:rsidRPr="005C0938">
        <w:rPr>
          <w:rFonts w:ascii="Times New Roman" w:hAnsi="Times New Roman"/>
          <w:b/>
          <w:sz w:val="24"/>
          <w:szCs w:val="24"/>
        </w:rPr>
        <w:t xml:space="preserve">119i § </w:t>
      </w:r>
      <w:r w:rsidR="003513C9" w:rsidRPr="005C0938">
        <w:rPr>
          <w:rFonts w:ascii="Times New Roman" w:hAnsi="Times New Roman"/>
          <w:b/>
          <w:sz w:val="24"/>
          <w:szCs w:val="24"/>
        </w:rPr>
        <w:t>10</w:t>
      </w:r>
      <w:r w:rsidR="006F1168" w:rsidRPr="009A76CE">
        <w:rPr>
          <w:rFonts w:ascii="Times New Roman" w:hAnsi="Times New Roman"/>
          <w:sz w:val="24"/>
          <w:szCs w:val="24"/>
        </w:rPr>
        <w:t>).</w:t>
      </w:r>
      <w:r w:rsidR="00FF2409" w:rsidRPr="009A76CE">
        <w:rPr>
          <w:rFonts w:ascii="Times New Roman" w:hAnsi="Times New Roman"/>
          <w:sz w:val="24"/>
          <w:szCs w:val="24"/>
        </w:rPr>
        <w:t xml:space="preserve"> </w:t>
      </w:r>
      <w:r w:rsidR="002D3100" w:rsidRPr="009A76CE">
        <w:rPr>
          <w:rFonts w:ascii="Times New Roman" w:hAnsi="Times New Roman"/>
          <w:sz w:val="24"/>
          <w:szCs w:val="24"/>
        </w:rPr>
        <w:t xml:space="preserve">Zapewni to stronie </w:t>
      </w:r>
      <w:r w:rsidR="00870FEC" w:rsidRPr="009A76CE">
        <w:rPr>
          <w:rFonts w:ascii="Times New Roman" w:hAnsi="Times New Roman"/>
          <w:sz w:val="24"/>
          <w:szCs w:val="24"/>
        </w:rPr>
        <w:t xml:space="preserve">zainteresowanej uzyskaniem opinii </w:t>
      </w:r>
      <w:r w:rsidR="002D3100" w:rsidRPr="009A76CE">
        <w:rPr>
          <w:rFonts w:ascii="Times New Roman" w:hAnsi="Times New Roman"/>
          <w:sz w:val="24"/>
          <w:szCs w:val="24"/>
        </w:rPr>
        <w:t xml:space="preserve">ochronę przed skutkami nieterminowego działania Rady. </w:t>
      </w:r>
    </w:p>
    <w:p w:rsidR="00470363" w:rsidRPr="009A76CE" w:rsidRDefault="00813967" w:rsidP="00ED7591">
      <w:pPr>
        <w:spacing w:after="0" w:line="360" w:lineRule="auto"/>
        <w:jc w:val="both"/>
        <w:rPr>
          <w:rFonts w:ascii="Times New Roman" w:hAnsi="Times New Roman"/>
          <w:sz w:val="24"/>
          <w:szCs w:val="24"/>
        </w:rPr>
      </w:pPr>
      <w:r w:rsidRPr="009A76CE">
        <w:rPr>
          <w:rFonts w:ascii="Times New Roman" w:hAnsi="Times New Roman"/>
          <w:sz w:val="24"/>
          <w:szCs w:val="24"/>
        </w:rPr>
        <w:t>Jednocześnie</w:t>
      </w:r>
      <w:r w:rsidR="00470363" w:rsidRPr="009A76CE">
        <w:rPr>
          <w:rFonts w:ascii="Times New Roman" w:hAnsi="Times New Roman"/>
          <w:sz w:val="24"/>
          <w:szCs w:val="24"/>
        </w:rPr>
        <w:t xml:space="preserve"> przewidziano rozwiązania dyscyplinujące Radę do terminowego wydawania opinii, a mianowicie:</w:t>
      </w:r>
    </w:p>
    <w:p w:rsidR="005A4FEA" w:rsidRPr="009A76CE" w:rsidRDefault="005A4FEA" w:rsidP="009A76CE">
      <w:pPr>
        <w:pStyle w:val="Akapitzlist"/>
        <w:numPr>
          <w:ilvl w:val="0"/>
          <w:numId w:val="8"/>
        </w:numPr>
        <w:tabs>
          <w:tab w:val="left" w:pos="284"/>
        </w:tabs>
        <w:spacing w:after="0" w:line="360" w:lineRule="auto"/>
        <w:ind w:left="0" w:firstLine="0"/>
        <w:jc w:val="both"/>
        <w:rPr>
          <w:rFonts w:ascii="Times New Roman" w:hAnsi="Times New Roman"/>
          <w:sz w:val="24"/>
          <w:szCs w:val="24"/>
        </w:rPr>
      </w:pPr>
      <w:r w:rsidRPr="00A31252">
        <w:rPr>
          <w:rFonts w:ascii="Times New Roman" w:hAnsi="Times New Roman"/>
          <w:sz w:val="24"/>
          <w:szCs w:val="24"/>
        </w:rPr>
        <w:t xml:space="preserve">prawo do </w:t>
      </w:r>
      <w:r w:rsidRPr="009A76CE">
        <w:rPr>
          <w:rFonts w:ascii="Times New Roman" w:hAnsi="Times New Roman"/>
          <w:sz w:val="24"/>
          <w:szCs w:val="24"/>
        </w:rPr>
        <w:t>odwołania przez Ministra Finansów członka Rady w przypadku przyczynienia się do uchybienia terminu wydania opinii na wniosek strony (</w:t>
      </w:r>
      <w:r w:rsidR="005C0938">
        <w:rPr>
          <w:rFonts w:ascii="Times New Roman" w:hAnsi="Times New Roman"/>
          <w:b/>
          <w:sz w:val="24"/>
          <w:szCs w:val="24"/>
        </w:rPr>
        <w:t>art. </w:t>
      </w:r>
      <w:r w:rsidRPr="005C0938">
        <w:rPr>
          <w:rFonts w:ascii="Times New Roman" w:hAnsi="Times New Roman"/>
          <w:b/>
          <w:sz w:val="24"/>
          <w:szCs w:val="24"/>
        </w:rPr>
        <w:t>119</w:t>
      </w:r>
      <w:r w:rsidR="00F75505" w:rsidRPr="005C0938">
        <w:rPr>
          <w:rFonts w:ascii="Times New Roman" w:hAnsi="Times New Roman"/>
          <w:b/>
          <w:sz w:val="24"/>
          <w:szCs w:val="24"/>
        </w:rPr>
        <w:t>p</w:t>
      </w:r>
      <w:r w:rsidR="005C0938">
        <w:rPr>
          <w:rFonts w:ascii="Times New Roman" w:hAnsi="Times New Roman"/>
          <w:b/>
          <w:sz w:val="24"/>
          <w:szCs w:val="24"/>
        </w:rPr>
        <w:t> </w:t>
      </w:r>
      <w:r w:rsidR="00BB1903" w:rsidRPr="005C0938">
        <w:rPr>
          <w:rFonts w:ascii="Times New Roman" w:hAnsi="Times New Roman"/>
          <w:b/>
          <w:sz w:val="24"/>
          <w:szCs w:val="24"/>
        </w:rPr>
        <w:t>§ </w:t>
      </w:r>
      <w:r w:rsidRPr="005C0938">
        <w:rPr>
          <w:rFonts w:ascii="Times New Roman" w:hAnsi="Times New Roman"/>
          <w:b/>
          <w:sz w:val="24"/>
          <w:szCs w:val="24"/>
        </w:rPr>
        <w:t>2</w:t>
      </w:r>
      <w:r w:rsidRPr="009A76CE">
        <w:rPr>
          <w:rFonts w:ascii="Times New Roman" w:hAnsi="Times New Roman"/>
          <w:sz w:val="24"/>
          <w:szCs w:val="24"/>
        </w:rPr>
        <w:t>),</w:t>
      </w:r>
    </w:p>
    <w:p w:rsidR="00470363" w:rsidRPr="009A76CE" w:rsidRDefault="00470363" w:rsidP="009A76CE">
      <w:pPr>
        <w:pStyle w:val="Akapitzlist"/>
        <w:numPr>
          <w:ilvl w:val="0"/>
          <w:numId w:val="8"/>
        </w:numPr>
        <w:tabs>
          <w:tab w:val="left" w:pos="284"/>
        </w:tabs>
        <w:spacing w:after="0" w:line="360" w:lineRule="auto"/>
        <w:ind w:left="0" w:firstLine="0"/>
        <w:jc w:val="both"/>
        <w:rPr>
          <w:rFonts w:ascii="Times New Roman" w:hAnsi="Times New Roman"/>
          <w:sz w:val="24"/>
          <w:szCs w:val="24"/>
        </w:rPr>
      </w:pPr>
      <w:r w:rsidRPr="009A76CE">
        <w:rPr>
          <w:rFonts w:ascii="Times New Roman" w:hAnsi="Times New Roman"/>
          <w:sz w:val="24"/>
          <w:szCs w:val="24"/>
        </w:rPr>
        <w:t>obowiązek informowania Ministra Finansó</w:t>
      </w:r>
      <w:r w:rsidR="00BB1903">
        <w:rPr>
          <w:rFonts w:ascii="Times New Roman" w:hAnsi="Times New Roman"/>
          <w:sz w:val="24"/>
          <w:szCs w:val="24"/>
        </w:rPr>
        <w:t>w przez przewodniczącego Rady o </w:t>
      </w:r>
      <w:r w:rsidRPr="009A76CE">
        <w:rPr>
          <w:rFonts w:ascii="Times New Roman" w:hAnsi="Times New Roman"/>
          <w:sz w:val="24"/>
          <w:szCs w:val="24"/>
        </w:rPr>
        <w:t xml:space="preserve">każdym przypadku uchybienia przez Radę </w:t>
      </w:r>
      <w:r w:rsidR="00995C80" w:rsidRPr="009A76CE">
        <w:rPr>
          <w:rFonts w:ascii="Times New Roman" w:hAnsi="Times New Roman"/>
          <w:sz w:val="24"/>
          <w:szCs w:val="24"/>
        </w:rPr>
        <w:t xml:space="preserve">terminowi </w:t>
      </w:r>
      <w:r w:rsidRPr="009A76CE">
        <w:rPr>
          <w:rFonts w:ascii="Times New Roman" w:hAnsi="Times New Roman"/>
          <w:sz w:val="24"/>
          <w:szCs w:val="24"/>
        </w:rPr>
        <w:t xml:space="preserve">wydania opinii, z podaniem przyczyn i wskazaniem członków Rady, którzy się do tego przyczynili </w:t>
      </w:r>
      <w:r w:rsidR="006D0989">
        <w:rPr>
          <w:rFonts w:ascii="Times New Roman" w:hAnsi="Times New Roman"/>
          <w:sz w:val="24"/>
          <w:szCs w:val="24"/>
        </w:rPr>
        <w:br/>
      </w:r>
      <w:r w:rsidRPr="005C0938">
        <w:rPr>
          <w:rFonts w:ascii="Times New Roman" w:hAnsi="Times New Roman"/>
          <w:b/>
          <w:sz w:val="24"/>
          <w:szCs w:val="24"/>
        </w:rPr>
        <w:t>(art. 119</w:t>
      </w:r>
      <w:r w:rsidR="00F75505" w:rsidRPr="005C0938">
        <w:rPr>
          <w:rFonts w:ascii="Times New Roman" w:hAnsi="Times New Roman"/>
          <w:b/>
          <w:sz w:val="24"/>
          <w:szCs w:val="24"/>
        </w:rPr>
        <w:t>s</w:t>
      </w:r>
      <w:r w:rsidR="00BB1903" w:rsidRPr="005C0938">
        <w:rPr>
          <w:rFonts w:ascii="Times New Roman" w:hAnsi="Times New Roman"/>
          <w:b/>
          <w:sz w:val="24"/>
          <w:szCs w:val="24"/>
        </w:rPr>
        <w:t xml:space="preserve"> § 1 pkt </w:t>
      </w:r>
      <w:r w:rsidR="00BA399F" w:rsidRPr="005C0938">
        <w:rPr>
          <w:rFonts w:ascii="Times New Roman" w:hAnsi="Times New Roman"/>
          <w:b/>
          <w:sz w:val="24"/>
          <w:szCs w:val="24"/>
        </w:rPr>
        <w:t>4</w:t>
      </w:r>
      <w:r w:rsidR="00BA399F">
        <w:rPr>
          <w:rFonts w:ascii="Times New Roman" w:hAnsi="Times New Roman"/>
          <w:sz w:val="24"/>
          <w:szCs w:val="24"/>
        </w:rPr>
        <w:t>),</w:t>
      </w:r>
    </w:p>
    <w:p w:rsidR="004D6F22" w:rsidRPr="009A76CE" w:rsidRDefault="005A4FEA" w:rsidP="009A76CE">
      <w:pPr>
        <w:pStyle w:val="Akapitzlist"/>
        <w:numPr>
          <w:ilvl w:val="0"/>
          <w:numId w:val="8"/>
        </w:numPr>
        <w:tabs>
          <w:tab w:val="left" w:pos="284"/>
        </w:tabs>
        <w:spacing w:after="0" w:line="360" w:lineRule="auto"/>
        <w:ind w:left="0" w:firstLine="0"/>
        <w:jc w:val="both"/>
        <w:rPr>
          <w:rFonts w:ascii="Times New Roman" w:hAnsi="Times New Roman"/>
          <w:sz w:val="24"/>
          <w:szCs w:val="24"/>
        </w:rPr>
      </w:pPr>
      <w:r w:rsidRPr="009A76CE">
        <w:rPr>
          <w:rFonts w:ascii="Times New Roman" w:hAnsi="Times New Roman"/>
          <w:sz w:val="24"/>
          <w:szCs w:val="24"/>
        </w:rPr>
        <w:t>brak wynagrodzenia za sporządzenie projektu uzasadnienia opinii w przypadku jej wydania po terminie (</w:t>
      </w:r>
      <w:r w:rsidRPr="005C0938">
        <w:rPr>
          <w:rFonts w:ascii="Times New Roman" w:hAnsi="Times New Roman"/>
          <w:b/>
          <w:sz w:val="24"/>
          <w:szCs w:val="24"/>
        </w:rPr>
        <w:t>art. 119</w:t>
      </w:r>
      <w:r w:rsidR="00F75505" w:rsidRPr="005C0938">
        <w:rPr>
          <w:rFonts w:ascii="Times New Roman" w:hAnsi="Times New Roman"/>
          <w:b/>
          <w:sz w:val="24"/>
          <w:szCs w:val="24"/>
        </w:rPr>
        <w:t>v</w:t>
      </w:r>
      <w:r w:rsidRPr="005C0938">
        <w:rPr>
          <w:rFonts w:ascii="Times New Roman" w:hAnsi="Times New Roman"/>
          <w:b/>
          <w:sz w:val="24"/>
          <w:szCs w:val="24"/>
        </w:rPr>
        <w:t xml:space="preserve"> § 3</w:t>
      </w:r>
      <w:r w:rsidRPr="009A76CE">
        <w:rPr>
          <w:rFonts w:ascii="Times New Roman" w:hAnsi="Times New Roman"/>
          <w:sz w:val="24"/>
          <w:szCs w:val="24"/>
        </w:rPr>
        <w:t>).</w:t>
      </w:r>
    </w:p>
    <w:p w:rsidR="004D6F22" w:rsidRPr="009A76CE" w:rsidRDefault="004D6F22" w:rsidP="00ED7591">
      <w:pPr>
        <w:pStyle w:val="NormalnyWeb"/>
        <w:spacing w:before="0" w:after="0" w:line="360" w:lineRule="auto"/>
        <w:jc w:val="both"/>
      </w:pPr>
      <w:r w:rsidRPr="009A76CE">
        <w:t xml:space="preserve">Klauzula przeciwko unikaniu opodatkowania będzie stosowana przez wydanie decyzji </w:t>
      </w:r>
      <w:r w:rsidR="00845AD9" w:rsidRPr="009A76CE">
        <w:t xml:space="preserve">w sprawie ustalenia </w:t>
      </w:r>
      <w:r w:rsidRPr="009A76CE">
        <w:t xml:space="preserve">lub </w:t>
      </w:r>
      <w:r w:rsidR="00845AD9" w:rsidRPr="009A76CE">
        <w:t xml:space="preserve">określenia prawidłowej wysokości </w:t>
      </w:r>
      <w:r w:rsidRPr="009A76CE">
        <w:t xml:space="preserve">zobowiązania podatkowego za dany rok podatkowy lub inny okres rozliczeniowy albo w innej </w:t>
      </w:r>
      <w:r w:rsidR="00845AD9" w:rsidRPr="009A76CE">
        <w:t xml:space="preserve">sprawie </w:t>
      </w:r>
      <w:r w:rsidRPr="009A76CE">
        <w:t>„wymiarowej” (</w:t>
      </w:r>
      <w:r w:rsidRPr="005C0938">
        <w:rPr>
          <w:b/>
        </w:rPr>
        <w:t>art. 119</w:t>
      </w:r>
      <w:r w:rsidR="00F75505" w:rsidRPr="005C0938">
        <w:rPr>
          <w:b/>
        </w:rPr>
        <w:t>g</w:t>
      </w:r>
      <w:r w:rsidRPr="005C0938">
        <w:rPr>
          <w:b/>
        </w:rPr>
        <w:t xml:space="preserve"> </w:t>
      </w:r>
      <w:r w:rsidR="00995C80" w:rsidRPr="005C0938">
        <w:rPr>
          <w:b/>
        </w:rPr>
        <w:t>§ 1</w:t>
      </w:r>
      <w:r w:rsidR="00995C80" w:rsidRPr="009A76CE">
        <w:t xml:space="preserve"> </w:t>
      </w:r>
      <w:r w:rsidRPr="009A76CE">
        <w:t xml:space="preserve">Ordynacji podatkowej). Kompetencja Ministra Finansów obejmować będzie wymiar zobowiązań podatkowych (ustalenie/określenie) lub wydanie innej decyzji dotyczącej rozliczenia podatnika za oznaczony okres rozliczeniowy, jeżeli w tej decyzji zostanie zastosowana klauzula. Jeżeli Minister Finansów w toku postępowania (na podstawie analizy materiału </w:t>
      </w:r>
      <w:r w:rsidR="00BB1903">
        <w:t>dowodowego lub w </w:t>
      </w:r>
      <w:r w:rsidRPr="009A76CE">
        <w:t xml:space="preserve">związku ze złożoną korektą) stwierdzi brak przesłanek zastosowania klauzuli, wówczas umorzy postępowanie w sprawie stosowania klauzuli. W takim przypadku wymiar zobowiązania podatkowego (jednak bez stosowania klauzuli) będzie mógł </w:t>
      </w:r>
      <w:r w:rsidRPr="009A76CE">
        <w:lastRenderedPageBreak/>
        <w:t xml:space="preserve">zostać orzeczony w decyzji właściwego organu podatkowego lub organu kontroli skarbowej na zasadach ogólnych. </w:t>
      </w:r>
    </w:p>
    <w:p w:rsidR="004D6F22" w:rsidRPr="009A76CE" w:rsidRDefault="004D6F22" w:rsidP="00ED7591">
      <w:pPr>
        <w:pStyle w:val="NormalnyWeb"/>
        <w:spacing w:before="0" w:after="0" w:line="360" w:lineRule="auto"/>
        <w:rPr>
          <w:bCs/>
        </w:rPr>
      </w:pPr>
    </w:p>
    <w:p w:rsidR="004D6F22" w:rsidRPr="009A76CE" w:rsidRDefault="004D6F22" w:rsidP="00ED7591">
      <w:pPr>
        <w:pStyle w:val="NormalnyWeb"/>
        <w:spacing w:before="0" w:after="0" w:line="360" w:lineRule="auto"/>
        <w:jc w:val="center"/>
      </w:pPr>
      <w:r w:rsidRPr="009A76CE">
        <w:t>Rozdział 3</w:t>
      </w:r>
    </w:p>
    <w:p w:rsidR="004D6F22" w:rsidRPr="009A76CE" w:rsidRDefault="004D6F22" w:rsidP="00ED7591">
      <w:pPr>
        <w:pStyle w:val="NormalnyWeb"/>
        <w:spacing w:before="0" w:after="0" w:line="360" w:lineRule="auto"/>
        <w:jc w:val="center"/>
      </w:pPr>
      <w:r w:rsidRPr="009A76CE">
        <w:t xml:space="preserve">Rada do Spraw </w:t>
      </w:r>
      <w:r w:rsidR="00AE5CE4" w:rsidRPr="009A76CE">
        <w:t xml:space="preserve">Przeciwdziałania Unikaniu </w:t>
      </w:r>
      <w:r w:rsidRPr="009A76CE">
        <w:t>Opodatkowania</w:t>
      </w:r>
    </w:p>
    <w:p w:rsidR="004D6F22" w:rsidRPr="009A76CE" w:rsidRDefault="004D6F22" w:rsidP="00ED7591">
      <w:pPr>
        <w:pStyle w:val="NormalnyWeb"/>
        <w:spacing w:before="0" w:after="0" w:line="360" w:lineRule="auto"/>
        <w:jc w:val="both"/>
      </w:pPr>
      <w:r w:rsidRPr="009A76CE">
        <w:t>W zdecydowanej większości krajów, których systemy prawne mają klauzulę przeciwko unikaniu opodatkowania sprawy zastosowania klau</w:t>
      </w:r>
      <w:r w:rsidRPr="00A31252">
        <w:t>zuli są rozstrzygane jedynie decyzjami administracji podatkowej, które to decyzje podlegają następnie zaskarżeniu do sądu. Zasadą jest brak zinstytucjonalizowanego (rada, panel ekspercki) udziału czynnika eksperckiego lub społecznego spoza administracji w rozstrzyganiu spraw unikania opodatkowania. W niektórych państ</w:t>
      </w:r>
      <w:r w:rsidR="00BB1903">
        <w:t>wach takie ciała opiniodawcze z </w:t>
      </w:r>
      <w:r w:rsidRPr="00A31252">
        <w:t>powodzeniem jednak funkcjonują, pełniąc istotną rolę w procesie stosowania klauzuli w indywidualnych sprawach</w:t>
      </w:r>
      <w:r w:rsidRPr="00A31252">
        <w:rPr>
          <w:rStyle w:val="Odwoanieprzypisudolnego"/>
        </w:rPr>
        <w:footnoteReference w:id="10"/>
      </w:r>
      <w:r w:rsidR="009A76CE" w:rsidRPr="009A76CE">
        <w:rPr>
          <w:vertAlign w:val="superscript"/>
        </w:rPr>
        <w:t>)</w:t>
      </w:r>
      <w:r w:rsidRPr="00A31252">
        <w:t xml:space="preserve">. Bazując na rozwiązaniach francuskich (Comite de l’Abuse de Droit Fiscal), australijskich (General AntiAvoidance Rule Panel) oraz kanadyjskich (General Anti-Avoidance Rule Committee) oraz najnowszych rozwiązaniach </w:t>
      </w:r>
      <w:r w:rsidR="009A76CE">
        <w:t>–</w:t>
      </w:r>
      <w:r w:rsidRPr="00A31252">
        <w:t xml:space="preserve"> brytyjskich </w:t>
      </w:r>
      <w:r w:rsidR="0013213F">
        <w:t>–</w:t>
      </w:r>
      <w:r w:rsidRPr="00A31252">
        <w:t xml:space="preserve"> proponuje się utworzenie Rady do Spraw </w:t>
      </w:r>
      <w:r w:rsidR="003549D2" w:rsidRPr="00A31252">
        <w:t xml:space="preserve">Przeciwdziałania Unikaniu </w:t>
      </w:r>
      <w:r w:rsidRPr="00A31252">
        <w:t xml:space="preserve">Opodatkowania, zwanej dalej </w:t>
      </w:r>
      <w:r w:rsidR="006722F5">
        <w:t>„</w:t>
      </w:r>
      <w:r w:rsidRPr="00A31252">
        <w:t>Radą</w:t>
      </w:r>
      <w:r w:rsidR="006722F5">
        <w:t>”</w:t>
      </w:r>
      <w:r w:rsidRPr="00A31252">
        <w:t xml:space="preserve">. Rada będzie eksperckim organem opiniodawczym, którego zadaniem jest opiniowanie zasadności zastosowania klauzuli w sprawach indywidualnych </w:t>
      </w:r>
      <w:r w:rsidRPr="009A76CE">
        <w:t>(</w:t>
      </w:r>
      <w:r w:rsidRPr="005C0938">
        <w:rPr>
          <w:b/>
        </w:rPr>
        <w:t>art. 119</w:t>
      </w:r>
      <w:r w:rsidR="00F75505" w:rsidRPr="005C0938">
        <w:rPr>
          <w:b/>
        </w:rPr>
        <w:t>m</w:t>
      </w:r>
      <w:r w:rsidRPr="005C0938">
        <w:rPr>
          <w:b/>
        </w:rPr>
        <w:t xml:space="preserve"> § 2</w:t>
      </w:r>
      <w:r w:rsidRPr="009A76CE">
        <w:t xml:space="preserve"> Ordynacji podatkowej). Funkcjonowanie Rady przyczyni się do większego obiektywizmu organu wydającego decyzje w sprawie zastosowani</w:t>
      </w:r>
      <w:r w:rsidR="00BA399F">
        <w:t>a</w:t>
      </w:r>
      <w:r w:rsidRPr="009A76CE">
        <w:t xml:space="preserve"> klauzuli, ponieważ Rada będzie wydawała niezależne opinie. Rada będzie podmiotem eksperckiego i społecznego nadzoru nad stosowaniem klauzuli. Potrzeba utworzenia takiego podmiotu nabiera szczególnej wagi w kontekście obaw co do sposobu stosowania klauzuli przez administrację podatkową, uzewnętrznionych w uzasadnieniu wyroku TK, jak też w dyskusjach społecznych. </w:t>
      </w:r>
      <w:r w:rsidR="000A2B2F" w:rsidRPr="009A76CE">
        <w:t>Wzorując się na modelu australijskim</w:t>
      </w:r>
      <w:r w:rsidR="00BA399F">
        <w:t>,</w:t>
      </w:r>
      <w:r w:rsidR="000A2B2F" w:rsidRPr="009A76CE">
        <w:t xml:space="preserve"> przewiduje się w składzie Rady przedstawicieli różnych </w:t>
      </w:r>
      <w:r w:rsidR="00C75A75" w:rsidRPr="009A76CE">
        <w:t>grup</w:t>
      </w:r>
      <w:r w:rsidR="00BA399F">
        <w:t xml:space="preserve"> (m.</w:t>
      </w:r>
      <w:r w:rsidR="00F93D8C" w:rsidRPr="009A76CE">
        <w:t>in. sędzi</w:t>
      </w:r>
      <w:r w:rsidR="00FC2F35" w:rsidRPr="009A76CE">
        <w:t>ego</w:t>
      </w:r>
      <w:r w:rsidR="00F93D8C" w:rsidRPr="009A76CE">
        <w:t xml:space="preserve"> Naczelnego Sądu Administracyjnego w stanie spoczynku, pracownik</w:t>
      </w:r>
      <w:r w:rsidR="00AD51E6" w:rsidRPr="009A76CE">
        <w:t>ów</w:t>
      </w:r>
      <w:r w:rsidR="00F93D8C" w:rsidRPr="009A76CE">
        <w:t xml:space="preserve"> naukow</w:t>
      </w:r>
      <w:r w:rsidR="00AD51E6" w:rsidRPr="009A76CE">
        <w:t>ych</w:t>
      </w:r>
      <w:r w:rsidR="00F93D8C" w:rsidRPr="009A76CE">
        <w:t>)</w:t>
      </w:r>
      <w:r w:rsidR="00C75A75" w:rsidRPr="009A76CE">
        <w:t xml:space="preserve">, nie wykluczając przedstawicieli organów administracji. </w:t>
      </w:r>
      <w:r w:rsidR="00B82030" w:rsidRPr="009A76CE">
        <w:t xml:space="preserve">Osoby powoływane do Rady będą musiały legitymować się </w:t>
      </w:r>
      <w:r w:rsidR="003D01E5" w:rsidRPr="009A76CE">
        <w:t>wiedzą, d</w:t>
      </w:r>
      <w:r w:rsidR="00BB1903">
        <w:t>oświadczeniem i </w:t>
      </w:r>
      <w:r w:rsidR="003D01E5" w:rsidRPr="009A76CE">
        <w:t>autorytetem w zakresie prawa podatkowego, systemu finansowego, rynków finansowych, obrotu gospodarczego</w:t>
      </w:r>
      <w:r w:rsidR="005A4987" w:rsidRPr="009A76CE">
        <w:t xml:space="preserve"> lub </w:t>
      </w:r>
      <w:r w:rsidR="003D01E5" w:rsidRPr="009A76CE">
        <w:t xml:space="preserve">międzynarodowego prawa gospodarczego </w:t>
      </w:r>
      <w:r w:rsidR="003D01E5" w:rsidRPr="009A76CE">
        <w:lastRenderedPageBreak/>
        <w:t>dającymi rękojmię prawidłowej realizacji zadań Rady (</w:t>
      </w:r>
      <w:r w:rsidR="003D01E5" w:rsidRPr="005C0938">
        <w:rPr>
          <w:b/>
        </w:rPr>
        <w:t>art. 119</w:t>
      </w:r>
      <w:r w:rsidR="00F75505" w:rsidRPr="005C0938">
        <w:rPr>
          <w:b/>
        </w:rPr>
        <w:t>o</w:t>
      </w:r>
      <w:r w:rsidR="003D01E5" w:rsidRPr="009A76CE">
        <w:t xml:space="preserve"> Ordynacji podatkowej).</w:t>
      </w:r>
    </w:p>
    <w:p w:rsidR="004D6F22" w:rsidRPr="009A76CE" w:rsidRDefault="004D6F22" w:rsidP="00ED7591">
      <w:pPr>
        <w:pStyle w:val="NormalnyWeb"/>
        <w:spacing w:before="0" w:after="0" w:line="360" w:lineRule="auto"/>
        <w:jc w:val="both"/>
        <w:rPr>
          <w:bCs/>
        </w:rPr>
      </w:pPr>
      <w:r w:rsidRPr="009A76CE">
        <w:t xml:space="preserve">Pod względem organizacyjnym utworzenie i funkcjonowanie Rady będzie wzorowane na modelu przyjętym dla Państwowej Komisji Egzaminacyjnej ds. Doradztwa Podatkowego; obsługę </w:t>
      </w:r>
      <w:r w:rsidR="00323BDB" w:rsidRPr="009A76CE">
        <w:t xml:space="preserve">prac </w:t>
      </w:r>
      <w:r w:rsidRPr="009A76CE">
        <w:t>Rady zapewni minister właściwy do spraw finansów publicznych (</w:t>
      </w:r>
      <w:r w:rsidRPr="005C0938">
        <w:rPr>
          <w:b/>
        </w:rPr>
        <w:t>art. 119</w:t>
      </w:r>
      <w:r w:rsidR="00F75505" w:rsidRPr="005C0938">
        <w:rPr>
          <w:b/>
        </w:rPr>
        <w:t>s</w:t>
      </w:r>
      <w:r w:rsidRPr="005C0938">
        <w:rPr>
          <w:b/>
        </w:rPr>
        <w:t xml:space="preserve"> § 4</w:t>
      </w:r>
      <w:r w:rsidRPr="009A76CE">
        <w:t xml:space="preserve"> Ordynacji podatkowej), koszty jej działania będą pokrywane z budżetu państwa. </w:t>
      </w:r>
    </w:p>
    <w:p w:rsidR="004D6F22" w:rsidRPr="009A76CE" w:rsidRDefault="004D6F22" w:rsidP="00ED7591">
      <w:pPr>
        <w:pStyle w:val="NormalnyWeb"/>
        <w:spacing w:before="0" w:after="0" w:line="360" w:lineRule="auto"/>
        <w:jc w:val="both"/>
      </w:pPr>
      <w:r w:rsidRPr="009A76CE">
        <w:t xml:space="preserve">Przesłanki odwołania oraz wygaśnięcia członkostwa w Radzie oraz ich skutki normują szczegółowo </w:t>
      </w:r>
      <w:r w:rsidRPr="005C0938">
        <w:rPr>
          <w:b/>
        </w:rPr>
        <w:t>art. 119</w:t>
      </w:r>
      <w:r w:rsidR="00F75505" w:rsidRPr="005C0938">
        <w:rPr>
          <w:b/>
        </w:rPr>
        <w:t>p</w:t>
      </w:r>
      <w:r w:rsidRPr="005C0938">
        <w:rPr>
          <w:b/>
        </w:rPr>
        <w:t xml:space="preserve"> i art. 119</w:t>
      </w:r>
      <w:r w:rsidR="00F75505" w:rsidRPr="005C0938">
        <w:rPr>
          <w:b/>
        </w:rPr>
        <w:t>q</w:t>
      </w:r>
      <w:r w:rsidRPr="009A76CE">
        <w:t xml:space="preserve"> Ordynacji podatkowej.</w:t>
      </w:r>
      <w:r w:rsidR="001439E8" w:rsidRPr="009A76CE">
        <w:t xml:space="preserve"> </w:t>
      </w:r>
      <w:r w:rsidR="00313444" w:rsidRPr="009A76CE">
        <w:t>Minister Finansów będzie</w:t>
      </w:r>
      <w:r w:rsidR="00313444" w:rsidRPr="00A31252">
        <w:t xml:space="preserve"> mógł odwołać członka Rady na wniosek </w:t>
      </w:r>
      <w:r w:rsidR="00BA399F">
        <w:t>p</w:t>
      </w:r>
      <w:r w:rsidR="00313444" w:rsidRPr="00A31252">
        <w:t xml:space="preserve">rzewodniczącego </w:t>
      </w:r>
      <w:r w:rsidR="00C2363F" w:rsidRPr="00A31252">
        <w:t xml:space="preserve">Rady w razie nieusprawiedliwionego niewykonywania przez członka obowiązków lub nienależytego ich wykonywania, w szczególności przyczynienia się do uchybienia terminu wydania opinii na wniosek strony, lub </w:t>
      </w:r>
      <w:r w:rsidR="00C2363F" w:rsidRPr="009A76CE">
        <w:t>trwałej niemożności ich wykonywania. Odwołanie przewodniczącego Rady nie będzie wymagało wniosku</w:t>
      </w:r>
      <w:r w:rsidR="001439E8" w:rsidRPr="009A76CE">
        <w:t xml:space="preserve"> (</w:t>
      </w:r>
      <w:r w:rsidR="001439E8" w:rsidRPr="005C0938">
        <w:rPr>
          <w:b/>
        </w:rPr>
        <w:t>art. 119</w:t>
      </w:r>
      <w:r w:rsidR="005E3A2D" w:rsidRPr="005C0938">
        <w:rPr>
          <w:b/>
        </w:rPr>
        <w:t>p</w:t>
      </w:r>
      <w:r w:rsidR="001439E8" w:rsidRPr="005C0938">
        <w:rPr>
          <w:b/>
        </w:rPr>
        <w:t xml:space="preserve"> § </w:t>
      </w:r>
      <w:r w:rsidR="00C2363F" w:rsidRPr="005C0938">
        <w:rPr>
          <w:b/>
        </w:rPr>
        <w:t>2</w:t>
      </w:r>
      <w:r w:rsidR="001439E8" w:rsidRPr="009A76CE">
        <w:t>)</w:t>
      </w:r>
      <w:r w:rsidR="00BA399F">
        <w:t>.</w:t>
      </w:r>
    </w:p>
    <w:p w:rsidR="004D6F22" w:rsidRPr="009A76CE" w:rsidRDefault="004D6F22" w:rsidP="00ED7591">
      <w:pPr>
        <w:pStyle w:val="NormalnyWeb"/>
        <w:spacing w:before="0" w:after="0" w:line="360" w:lineRule="auto"/>
        <w:jc w:val="both"/>
      </w:pPr>
      <w:r w:rsidRPr="009A76CE">
        <w:t xml:space="preserve">Zgodnie z </w:t>
      </w:r>
      <w:r w:rsidRPr="005C0938">
        <w:rPr>
          <w:b/>
        </w:rPr>
        <w:t>art. 119</w:t>
      </w:r>
      <w:r w:rsidR="00F75505" w:rsidRPr="005C0938">
        <w:rPr>
          <w:b/>
        </w:rPr>
        <w:t>s</w:t>
      </w:r>
      <w:r w:rsidRPr="005C0938">
        <w:rPr>
          <w:b/>
        </w:rPr>
        <w:t xml:space="preserve"> § 1</w:t>
      </w:r>
      <w:r w:rsidRPr="009A76CE">
        <w:t xml:space="preserve"> Or</w:t>
      </w:r>
      <w:r w:rsidR="00BA399F">
        <w:t>dynacji podatkowej kompetencje p</w:t>
      </w:r>
      <w:r w:rsidRPr="009A76CE">
        <w:t>rzewodniczącego Rady obejmują kierowanie jej pracami, zwoływanie posiedzeń Rady</w:t>
      </w:r>
      <w:r w:rsidR="00E01272" w:rsidRPr="009A76CE">
        <w:t>,</w:t>
      </w:r>
      <w:r w:rsidR="00674232" w:rsidRPr="009A76CE">
        <w:t xml:space="preserve"> </w:t>
      </w:r>
      <w:r w:rsidRPr="009A76CE">
        <w:t>wyznaczanie członków Rady do sporządzen</w:t>
      </w:r>
      <w:r w:rsidR="003C22A2" w:rsidRPr="009A76CE">
        <w:t>ia projektu</w:t>
      </w:r>
      <w:r w:rsidRPr="009A76CE">
        <w:t xml:space="preserve"> uzasadnienia</w:t>
      </w:r>
      <w:r w:rsidR="003C22A2" w:rsidRPr="009A76CE">
        <w:t xml:space="preserve"> opinii</w:t>
      </w:r>
      <w:r w:rsidR="00E01272" w:rsidRPr="009A76CE">
        <w:t xml:space="preserve"> oraz informowanie Ministra Finansów przez przewodniczącego Rady o każdym przypadku uchybienia przez Radę terminu wydania opinii, z podaniem przyczyn i wskazaniem członków Rady, którzy się do tego przyczynili. </w:t>
      </w:r>
      <w:r w:rsidR="00BA399F">
        <w:t>Rada wybiera p</w:t>
      </w:r>
      <w:r w:rsidRPr="009A76CE">
        <w:t>rzewodniczącego</w:t>
      </w:r>
      <w:r w:rsidR="00BB1903">
        <w:t xml:space="preserve"> na zasadach określonych w </w:t>
      </w:r>
      <w:r w:rsidR="00BB1903" w:rsidRPr="005C0938">
        <w:rPr>
          <w:b/>
        </w:rPr>
        <w:t>art. </w:t>
      </w:r>
      <w:r w:rsidRPr="005C0938">
        <w:rPr>
          <w:b/>
        </w:rPr>
        <w:t>119</w:t>
      </w:r>
      <w:r w:rsidR="00F75505" w:rsidRPr="005C0938">
        <w:rPr>
          <w:b/>
        </w:rPr>
        <w:t>r</w:t>
      </w:r>
      <w:r w:rsidRPr="009A76CE">
        <w:t xml:space="preserve"> Ordynacji podatkowej.</w:t>
      </w:r>
    </w:p>
    <w:p w:rsidR="004D6F22" w:rsidRPr="009A76CE" w:rsidRDefault="004D6F22" w:rsidP="00ED7591">
      <w:pPr>
        <w:pStyle w:val="NormalnyWeb"/>
        <w:spacing w:before="0" w:after="0" w:line="360" w:lineRule="auto"/>
        <w:jc w:val="both"/>
      </w:pPr>
      <w:r w:rsidRPr="009A76CE">
        <w:t>Proponuje się, a</w:t>
      </w:r>
      <w:r w:rsidR="00BA399F">
        <w:t>by Minister Finansów wyznaczał s</w:t>
      </w:r>
      <w:r w:rsidRPr="009A76CE">
        <w:t xml:space="preserve">ekretarza Rady spośród pracowników Ministerstwa Finansów (do zapewnienia obsługi finansowej i nadzoru nad obsługą administracyjno-biurową związaną z funkcjonowaniem Rady), który nie będzie członkiem Rady – </w:t>
      </w:r>
      <w:r w:rsidRPr="005C0938">
        <w:rPr>
          <w:b/>
        </w:rPr>
        <w:t>art. 119</w:t>
      </w:r>
      <w:r w:rsidR="00F75505" w:rsidRPr="005C0938">
        <w:rPr>
          <w:b/>
        </w:rPr>
        <w:t>s</w:t>
      </w:r>
      <w:r w:rsidRPr="005C0938">
        <w:rPr>
          <w:b/>
        </w:rPr>
        <w:t xml:space="preserve"> § 5</w:t>
      </w:r>
      <w:r w:rsidR="009A76CE" w:rsidRPr="005C0938">
        <w:rPr>
          <w:b/>
        </w:rPr>
        <w:t>–</w:t>
      </w:r>
      <w:r w:rsidR="001D25E7" w:rsidRPr="005C0938">
        <w:rPr>
          <w:b/>
        </w:rPr>
        <w:t>7</w:t>
      </w:r>
      <w:r w:rsidRPr="009A76CE">
        <w:t xml:space="preserve"> Ordynacji podatkowej. </w:t>
      </w:r>
      <w:r w:rsidR="009A76CE">
        <w:t xml:space="preserve">Rada w drodze </w:t>
      </w:r>
      <w:r w:rsidRPr="009A76CE">
        <w:t>uchwały sama określi zasady oraz regulamin jej pracy (</w:t>
      </w:r>
      <w:r w:rsidRPr="005C0938">
        <w:rPr>
          <w:b/>
        </w:rPr>
        <w:t>art. 119</w:t>
      </w:r>
      <w:r w:rsidR="00F75505" w:rsidRPr="005C0938">
        <w:rPr>
          <w:b/>
        </w:rPr>
        <w:t>s</w:t>
      </w:r>
      <w:r w:rsidRPr="005C0938">
        <w:rPr>
          <w:b/>
        </w:rPr>
        <w:t xml:space="preserve"> § 3</w:t>
      </w:r>
      <w:r w:rsidRPr="009A76CE">
        <w:t xml:space="preserve"> Ordynacji podatkowej). </w:t>
      </w:r>
    </w:p>
    <w:p w:rsidR="004D6F22" w:rsidRPr="009A76CE" w:rsidRDefault="004D6F22" w:rsidP="00ED7591">
      <w:pPr>
        <w:pStyle w:val="NormalnyWeb"/>
        <w:spacing w:before="0" w:after="0" w:line="360" w:lineRule="auto"/>
        <w:jc w:val="both"/>
      </w:pPr>
      <w:r w:rsidRPr="009A76CE">
        <w:t xml:space="preserve">Opinia </w:t>
      </w:r>
      <w:r w:rsidR="00C2363F" w:rsidRPr="009A76CE">
        <w:t xml:space="preserve">Rady </w:t>
      </w:r>
      <w:r w:rsidRPr="009A76CE">
        <w:t xml:space="preserve">byłaby wydawana </w:t>
      </w:r>
      <w:r w:rsidR="00FC2874" w:rsidRPr="009A76CE">
        <w:t xml:space="preserve">na posiedzeniu w obecności co najmniej połowy </w:t>
      </w:r>
      <w:r w:rsidR="00CE3D8B" w:rsidRPr="009A76CE">
        <w:t>składu Rady</w:t>
      </w:r>
      <w:r w:rsidR="00FC2874" w:rsidRPr="009A76CE">
        <w:t xml:space="preserve">, </w:t>
      </w:r>
      <w:r w:rsidR="006C63DE" w:rsidRPr="009A76CE">
        <w:t xml:space="preserve">bezwzględną </w:t>
      </w:r>
      <w:r w:rsidR="00FC2874" w:rsidRPr="009A76CE">
        <w:t xml:space="preserve">większością głosów </w:t>
      </w:r>
      <w:r w:rsidRPr="009A76CE">
        <w:t>(</w:t>
      </w:r>
      <w:r w:rsidRPr="005C0938">
        <w:rPr>
          <w:b/>
        </w:rPr>
        <w:t>art. 119</w:t>
      </w:r>
      <w:r w:rsidR="00465395" w:rsidRPr="005C0938">
        <w:rPr>
          <w:b/>
        </w:rPr>
        <w:t>s</w:t>
      </w:r>
      <w:r w:rsidRPr="005C0938">
        <w:rPr>
          <w:b/>
        </w:rPr>
        <w:t xml:space="preserve"> § 2</w:t>
      </w:r>
      <w:r w:rsidRPr="009A76CE">
        <w:t xml:space="preserve"> Ordynacji podatkowej). Opinie Rady będą wydawane nieodpłatnie. Członkowie </w:t>
      </w:r>
      <w:r w:rsidR="00BB1903">
        <w:t>Rady będą podlegać wyłączeniu z </w:t>
      </w:r>
      <w:r w:rsidRPr="009A76CE">
        <w:t>opiniowania poszczególnych spraw na zasadach określonych w art. 130 § 1 i 2 Ordynacji podatkowej (</w:t>
      </w:r>
      <w:r w:rsidRPr="005C0938">
        <w:rPr>
          <w:b/>
        </w:rPr>
        <w:t>art. 119</w:t>
      </w:r>
      <w:r w:rsidR="00F75505" w:rsidRPr="005C0938">
        <w:rPr>
          <w:b/>
        </w:rPr>
        <w:t>u</w:t>
      </w:r>
      <w:r w:rsidRPr="009A76CE">
        <w:t xml:space="preserve"> Ordynacji podatkowej).</w:t>
      </w:r>
    </w:p>
    <w:p w:rsidR="004D6F22" w:rsidRPr="009A76CE" w:rsidRDefault="004D6F22" w:rsidP="00ED7591">
      <w:pPr>
        <w:pStyle w:val="NormalnyWeb"/>
        <w:spacing w:before="0" w:after="0" w:line="360" w:lineRule="auto"/>
        <w:jc w:val="both"/>
      </w:pPr>
      <w:r w:rsidRPr="009A76CE">
        <w:lastRenderedPageBreak/>
        <w:t>Opinie Rady byłyby zamieszczane w Biuletynie Informacji Publicznej po usunięciu danych identyfikacyjnych stronę i inne podmioty w niej wymienione (</w:t>
      </w:r>
      <w:r w:rsidRPr="005C0938">
        <w:rPr>
          <w:b/>
        </w:rPr>
        <w:t xml:space="preserve">art. </w:t>
      </w:r>
      <w:r w:rsidR="00913C85" w:rsidRPr="005C0938">
        <w:rPr>
          <w:b/>
        </w:rPr>
        <w:t>119t</w:t>
      </w:r>
      <w:r w:rsidR="00913C85" w:rsidRPr="009A76CE">
        <w:t xml:space="preserve"> </w:t>
      </w:r>
      <w:r w:rsidRPr="009A76CE">
        <w:t xml:space="preserve">Ordynacji podatkowej). </w:t>
      </w:r>
    </w:p>
    <w:p w:rsidR="004D6F22" w:rsidRPr="00A31252" w:rsidRDefault="004D6F22" w:rsidP="00ED7591">
      <w:pPr>
        <w:pStyle w:val="NormalnyWeb"/>
        <w:spacing w:before="0" w:after="0" w:line="360" w:lineRule="auto"/>
        <w:jc w:val="both"/>
        <w:rPr>
          <w:bCs/>
        </w:rPr>
      </w:pPr>
      <w:r w:rsidRPr="009A76CE">
        <w:t xml:space="preserve">Członkowie Rady będą wynagradzani zgodnie </w:t>
      </w:r>
      <w:r w:rsidR="00BB1903">
        <w:t>z wnioskiem Przewodniczącego, w </w:t>
      </w:r>
      <w:r w:rsidRPr="009A76CE">
        <w:t>oparciu o szacunkowe nakłady pracy i zaangaż</w:t>
      </w:r>
      <w:r w:rsidR="00BB1903">
        <w:t>owanie poszczególnego członka w </w:t>
      </w:r>
      <w:r w:rsidRPr="009A76CE">
        <w:t xml:space="preserve">analizę sprawy i wydanie opinii. W </w:t>
      </w:r>
      <w:r w:rsidRPr="005C0938">
        <w:rPr>
          <w:b/>
        </w:rPr>
        <w:t>art. 119</w:t>
      </w:r>
      <w:r w:rsidR="00F75505" w:rsidRPr="005C0938">
        <w:rPr>
          <w:b/>
        </w:rPr>
        <w:t>v</w:t>
      </w:r>
      <w:r w:rsidRPr="005C0938">
        <w:rPr>
          <w:b/>
        </w:rPr>
        <w:t xml:space="preserve"> </w:t>
      </w:r>
      <w:r w:rsidR="00337FFB" w:rsidRPr="005C0938">
        <w:rPr>
          <w:b/>
        </w:rPr>
        <w:t xml:space="preserve">§ </w:t>
      </w:r>
      <w:r w:rsidR="00116686" w:rsidRPr="005C0938">
        <w:rPr>
          <w:b/>
        </w:rPr>
        <w:t>4</w:t>
      </w:r>
      <w:r w:rsidR="00116686" w:rsidRPr="009A76CE">
        <w:t xml:space="preserve"> </w:t>
      </w:r>
      <w:r w:rsidRPr="009A76CE">
        <w:t>Ordynacji podatkowej zawarto delegację dla ministra właściwego do spraw finansów publicznych do wydania obligatoryjneg</w:t>
      </w:r>
      <w:r w:rsidR="00C75A75" w:rsidRPr="009A76CE">
        <w:t xml:space="preserve">o rozporządzenia określającego </w:t>
      </w:r>
      <w:r w:rsidR="00BA399F">
        <w:rPr>
          <w:bCs/>
        </w:rPr>
        <w:t>m.</w:t>
      </w:r>
      <w:r w:rsidR="00C14D54" w:rsidRPr="009A76CE">
        <w:rPr>
          <w:bCs/>
        </w:rPr>
        <w:t xml:space="preserve">in. </w:t>
      </w:r>
      <w:r w:rsidRPr="009A76CE">
        <w:rPr>
          <w:bCs/>
        </w:rPr>
        <w:t>wy</w:t>
      </w:r>
      <w:r w:rsidR="00C75A75" w:rsidRPr="009A76CE">
        <w:rPr>
          <w:bCs/>
        </w:rPr>
        <w:t xml:space="preserve">sokość </w:t>
      </w:r>
      <w:r w:rsidRPr="009A76CE">
        <w:rPr>
          <w:bCs/>
        </w:rPr>
        <w:t>wynagrodzenia</w:t>
      </w:r>
      <w:r w:rsidR="00C75A75" w:rsidRPr="009A76CE">
        <w:rPr>
          <w:bCs/>
        </w:rPr>
        <w:t xml:space="preserve"> </w:t>
      </w:r>
      <w:r w:rsidRPr="009A76CE">
        <w:rPr>
          <w:bCs/>
        </w:rPr>
        <w:t xml:space="preserve">przewodniczącego Rady, sekretarza Rady oraz członka Rady za uczestniczenie w posiedzeniach Rady, biorąc </w:t>
      </w:r>
      <w:r w:rsidR="00C75A75" w:rsidRPr="009A76CE">
        <w:rPr>
          <w:bCs/>
        </w:rPr>
        <w:t xml:space="preserve">pod uwagę zakres ich obowiązków. </w:t>
      </w:r>
      <w:r w:rsidR="00C75A75" w:rsidRPr="009A76CE">
        <w:t xml:space="preserve">Wynagrodzenie będzie przysługiwać za </w:t>
      </w:r>
      <w:r w:rsidRPr="009A76CE">
        <w:rPr>
          <w:bCs/>
        </w:rPr>
        <w:t xml:space="preserve">sporządzenie uzasadnienia </w:t>
      </w:r>
      <w:r w:rsidR="00C75A75" w:rsidRPr="009A76CE">
        <w:rPr>
          <w:bCs/>
        </w:rPr>
        <w:t>opinii Rady</w:t>
      </w:r>
      <w:r w:rsidR="00BA399F">
        <w:rPr>
          <w:bCs/>
        </w:rPr>
        <w:t>, z</w:t>
      </w:r>
      <w:r w:rsidR="00BC433D" w:rsidRPr="009A76CE">
        <w:rPr>
          <w:bCs/>
        </w:rPr>
        <w:t xml:space="preserve"> wyjątkiem przypadku wydania opinii po terminie</w:t>
      </w:r>
      <w:r w:rsidR="00C75A75" w:rsidRPr="009A76CE">
        <w:rPr>
          <w:bCs/>
        </w:rPr>
        <w:t>. C</w:t>
      </w:r>
      <w:r w:rsidRPr="009A76CE">
        <w:rPr>
          <w:bCs/>
        </w:rPr>
        <w:t xml:space="preserve">złonkom Rady </w:t>
      </w:r>
      <w:r w:rsidR="00C75A75" w:rsidRPr="009A76CE">
        <w:rPr>
          <w:bCs/>
        </w:rPr>
        <w:t xml:space="preserve">będzie też przysługiwał </w:t>
      </w:r>
      <w:r w:rsidRPr="009A76CE">
        <w:rPr>
          <w:bCs/>
        </w:rPr>
        <w:t>zwrot</w:t>
      </w:r>
      <w:r w:rsidR="00BA399F">
        <w:rPr>
          <w:bCs/>
        </w:rPr>
        <w:t xml:space="preserve"> kosztów podróży i </w:t>
      </w:r>
      <w:r w:rsidRPr="00A31252">
        <w:rPr>
          <w:bCs/>
        </w:rPr>
        <w:t>noclegów, poniesionych w</w:t>
      </w:r>
      <w:r w:rsidR="00BA399F">
        <w:rPr>
          <w:bCs/>
        </w:rPr>
        <w:t xml:space="preserve"> </w:t>
      </w:r>
      <w:r w:rsidRPr="00A31252">
        <w:rPr>
          <w:bCs/>
        </w:rPr>
        <w:t>związku z</w:t>
      </w:r>
      <w:r w:rsidR="00BA399F">
        <w:rPr>
          <w:bCs/>
        </w:rPr>
        <w:t xml:space="preserve"> udziałem w </w:t>
      </w:r>
      <w:r w:rsidRPr="00A31252">
        <w:rPr>
          <w:bCs/>
        </w:rPr>
        <w:t xml:space="preserve">pracach Rady, biorąc pod uwagę </w:t>
      </w:r>
      <w:r w:rsidR="00C14D54" w:rsidRPr="00A31252">
        <w:rPr>
          <w:bCs/>
        </w:rPr>
        <w:t>racjonalność ponoszonych kosztów</w:t>
      </w:r>
      <w:r w:rsidRPr="00A31252">
        <w:rPr>
          <w:bCs/>
        </w:rPr>
        <w:t>.</w:t>
      </w:r>
    </w:p>
    <w:p w:rsidR="000C35AC" w:rsidRPr="00A31252" w:rsidRDefault="000C35AC" w:rsidP="00ED7591">
      <w:pPr>
        <w:pStyle w:val="NormalnyWeb"/>
        <w:spacing w:before="0" w:after="0" w:line="360" w:lineRule="auto"/>
        <w:jc w:val="center"/>
        <w:rPr>
          <w:i/>
        </w:rPr>
      </w:pPr>
    </w:p>
    <w:p w:rsidR="004D6F22" w:rsidRPr="009A76CE" w:rsidRDefault="004D6F22" w:rsidP="00ED7591">
      <w:pPr>
        <w:pStyle w:val="NormalnyWeb"/>
        <w:spacing w:before="0" w:after="0" w:line="360" w:lineRule="auto"/>
        <w:jc w:val="center"/>
      </w:pPr>
      <w:r w:rsidRPr="009A76CE">
        <w:t>Rozdział 4</w:t>
      </w:r>
    </w:p>
    <w:p w:rsidR="004D6F22" w:rsidRPr="009A76CE" w:rsidRDefault="004D6F22" w:rsidP="00ED7591">
      <w:pPr>
        <w:pStyle w:val="NormalnyWeb"/>
        <w:spacing w:before="0" w:after="0" w:line="360" w:lineRule="auto"/>
        <w:jc w:val="center"/>
      </w:pPr>
      <w:r w:rsidRPr="009A76CE">
        <w:t>Opinie zabezpieczające</w:t>
      </w:r>
    </w:p>
    <w:p w:rsidR="004D6F22" w:rsidRPr="009A76CE" w:rsidRDefault="004D6F22" w:rsidP="00ED7591">
      <w:pPr>
        <w:pStyle w:val="NormalnyWeb"/>
        <w:spacing w:before="0" w:after="0" w:line="360" w:lineRule="auto"/>
        <w:jc w:val="both"/>
      </w:pPr>
      <w:r w:rsidRPr="009A76CE">
        <w:rPr>
          <w:bCs/>
        </w:rPr>
        <w:t xml:space="preserve">W </w:t>
      </w:r>
      <w:r w:rsidRPr="005C0938">
        <w:rPr>
          <w:b/>
          <w:bCs/>
        </w:rPr>
        <w:t>art. 13 § 2 pkt 6 oraz art. 119</w:t>
      </w:r>
      <w:r w:rsidR="00F75505" w:rsidRPr="005C0938">
        <w:rPr>
          <w:b/>
          <w:bCs/>
        </w:rPr>
        <w:t>w</w:t>
      </w:r>
      <w:r w:rsidR="005C02D6" w:rsidRPr="005C0938">
        <w:rPr>
          <w:b/>
          <w:bCs/>
        </w:rPr>
        <w:t>–</w:t>
      </w:r>
      <w:r w:rsidRPr="005C0938">
        <w:rPr>
          <w:b/>
          <w:bCs/>
        </w:rPr>
        <w:t>119z</w:t>
      </w:r>
      <w:r w:rsidR="00F75505" w:rsidRPr="005C0938">
        <w:rPr>
          <w:b/>
          <w:bCs/>
        </w:rPr>
        <w:t>f</w:t>
      </w:r>
      <w:r w:rsidRPr="005C0938">
        <w:rPr>
          <w:b/>
          <w:bCs/>
        </w:rPr>
        <w:t xml:space="preserve"> </w:t>
      </w:r>
      <w:r w:rsidRPr="009A76CE">
        <w:rPr>
          <w:bCs/>
        </w:rPr>
        <w:t>uregulowane zostały zasady i tryb wydawania opinii zabezpieczających.</w:t>
      </w:r>
      <w:r w:rsidRPr="009A76CE">
        <w:t xml:space="preserve"> Zgodnie </w:t>
      </w:r>
      <w:r w:rsidR="00BB1903">
        <w:t xml:space="preserve">z </w:t>
      </w:r>
      <w:r w:rsidR="00BB1903" w:rsidRPr="005C0938">
        <w:rPr>
          <w:b/>
        </w:rPr>
        <w:t>art. 13 § 2 pkt 6</w:t>
      </w:r>
      <w:r w:rsidR="00BB1903">
        <w:t xml:space="preserve"> właściwym w </w:t>
      </w:r>
      <w:r w:rsidR="00502BF0" w:rsidRPr="009A76CE">
        <w:t>sprawach</w:t>
      </w:r>
      <w:r w:rsidRPr="009A76CE">
        <w:t xml:space="preserve"> opinii zabezpieczającej będzie minister właściwy do spraw finansów publicznych. Stosownie do </w:t>
      </w:r>
      <w:r w:rsidRPr="005C0938">
        <w:rPr>
          <w:b/>
        </w:rPr>
        <w:t>art. 119</w:t>
      </w:r>
      <w:r w:rsidR="00F75505" w:rsidRPr="005C0938">
        <w:rPr>
          <w:b/>
        </w:rPr>
        <w:t>y</w:t>
      </w:r>
      <w:r w:rsidRPr="009A76CE">
        <w:t xml:space="preserve"> minister właściwy do spraw finansów publicznych na wniosek zainteresowanego wydaje, w jego indywidualnej sprawie, opinię zabezpieczającą przed zastosowaniem wobec niego przepisów rozdziału 1 „Klauzula przeciwko unikaniu opodatkowania” w okolicznościach przedstawionych we wniosku. Opinię taką na wniosek zainteresowanego minister wyda w razie stwierdzenia, że planowane lub dokonane przez zainteresowanego czynności, przedst</w:t>
      </w:r>
      <w:r w:rsidR="00CF2F3D">
        <w:t xml:space="preserve">awione przez niego we wniosku, </w:t>
      </w:r>
      <w:r w:rsidRPr="009A76CE">
        <w:t xml:space="preserve">nie stanowią unikania opodatkowania w rozumieniu </w:t>
      </w:r>
      <w:r w:rsidRPr="005C0938">
        <w:rPr>
          <w:b/>
        </w:rPr>
        <w:t>art. 119a</w:t>
      </w:r>
      <w:r w:rsidRPr="009A76CE">
        <w:t>. Nowa procedura wydawania opinii zabezpieczających w indywidualnych sprawach nie będzie ograniczona tylko do interpretacji przepisów prawa podatkowego, ale będzie szeroko ujmowała możliwość zastosowania klauzuli przeciwko unikaniu opodatkowania</w:t>
      </w:r>
      <w:r w:rsidR="00BA399F">
        <w:t>,</w:t>
      </w:r>
      <w:r w:rsidRPr="009A76CE">
        <w:t xml:space="preserve"> uwzględniając też zawarte w tej klauzuli aspekty go</w:t>
      </w:r>
      <w:r w:rsidR="00BB1903">
        <w:t>spodarcze planowanych działań i </w:t>
      </w:r>
      <w:r w:rsidRPr="009A76CE">
        <w:t xml:space="preserve">relacje korzyści </w:t>
      </w:r>
      <w:r w:rsidR="00227D86" w:rsidRPr="009A76CE">
        <w:t xml:space="preserve">ekonomicznych, </w:t>
      </w:r>
      <w:r w:rsidRPr="009A76CE">
        <w:t xml:space="preserve">gospodarczych i podatkowych. Przedmiotem tej </w:t>
      </w:r>
      <w:r w:rsidRPr="009A76CE">
        <w:lastRenderedPageBreak/>
        <w:t>opinii nie będzie ocena stanowiska wnioskodawcy, ale ocena, czy w okolicznościach przestawionych we wniosku istnieją przesłanki do zastosowania klauzuli.</w:t>
      </w:r>
    </w:p>
    <w:p w:rsidR="004D6F22" w:rsidRPr="00A31252" w:rsidRDefault="004D6F22" w:rsidP="00ED7591">
      <w:pPr>
        <w:pStyle w:val="NormalnyWeb"/>
        <w:spacing w:before="0" w:after="0" w:line="360" w:lineRule="auto"/>
        <w:jc w:val="both"/>
      </w:pPr>
      <w:r w:rsidRPr="009A76CE">
        <w:t xml:space="preserve">Wniosek może dotyczyć czynności dokonanej lub dopiero planowanej. W </w:t>
      </w:r>
      <w:r w:rsidRPr="005C0938">
        <w:rPr>
          <w:b/>
        </w:rPr>
        <w:t>art. 119</w:t>
      </w:r>
      <w:r w:rsidR="002C7714" w:rsidRPr="005C0938">
        <w:rPr>
          <w:b/>
        </w:rPr>
        <w:t>x</w:t>
      </w:r>
      <w:r w:rsidRPr="009A76CE">
        <w:t xml:space="preserve"> wskazane są elementy, jakie powinien zawierać wniosek o wydanie opinii. Są to w</w:t>
      </w:r>
      <w:r w:rsidR="00BB1903">
        <w:t> </w:t>
      </w:r>
      <w:r w:rsidRPr="00A31252">
        <w:t>szczególności:</w:t>
      </w:r>
    </w:p>
    <w:p w:rsidR="004D6F22" w:rsidRPr="00A31252" w:rsidRDefault="004D6F22" w:rsidP="009A76CE">
      <w:pPr>
        <w:pStyle w:val="NormalnyWeb"/>
        <w:numPr>
          <w:ilvl w:val="0"/>
          <w:numId w:val="3"/>
        </w:numPr>
        <w:tabs>
          <w:tab w:val="clear" w:pos="720"/>
          <w:tab w:val="num" w:pos="426"/>
        </w:tabs>
        <w:spacing w:before="0" w:after="0" w:line="360" w:lineRule="auto"/>
        <w:ind w:left="0" w:firstLine="0"/>
        <w:jc w:val="both"/>
      </w:pPr>
      <w:r w:rsidRPr="00A31252">
        <w:t>wyczerpujący opis czynności wraz ze wskazaniem występujących pomiędzy podmiotami związków, o których mowa w art. 11 ustawy o podatku dochodowym od osób prawnych i art. 25 ustawy o podatku dochodowym od osób fizycznych;</w:t>
      </w:r>
    </w:p>
    <w:p w:rsidR="004D6F22" w:rsidRPr="00A31252" w:rsidRDefault="004D6F22" w:rsidP="009A76CE">
      <w:pPr>
        <w:pStyle w:val="NormalnyWeb"/>
        <w:numPr>
          <w:ilvl w:val="0"/>
          <w:numId w:val="3"/>
        </w:numPr>
        <w:tabs>
          <w:tab w:val="clear" w:pos="720"/>
          <w:tab w:val="num" w:pos="426"/>
        </w:tabs>
        <w:spacing w:before="0" w:after="0" w:line="360" w:lineRule="auto"/>
        <w:ind w:left="0" w:firstLine="0"/>
        <w:jc w:val="both"/>
      </w:pPr>
      <w:r w:rsidRPr="00A31252">
        <w:t>wskazanie celów, których realizacji czynność ma służyć;</w:t>
      </w:r>
    </w:p>
    <w:p w:rsidR="004D6F22" w:rsidRPr="00A31252" w:rsidRDefault="004D6F22" w:rsidP="009A76CE">
      <w:pPr>
        <w:pStyle w:val="NormalnyWeb"/>
        <w:numPr>
          <w:ilvl w:val="0"/>
          <w:numId w:val="3"/>
        </w:numPr>
        <w:tabs>
          <w:tab w:val="clear" w:pos="720"/>
          <w:tab w:val="num" w:pos="426"/>
        </w:tabs>
        <w:spacing w:before="0" w:after="0" w:line="360" w:lineRule="auto"/>
        <w:ind w:left="0" w:firstLine="0"/>
        <w:jc w:val="both"/>
      </w:pPr>
      <w:r w:rsidRPr="00A31252">
        <w:t xml:space="preserve">wskazanie ekonomicznego </w:t>
      </w:r>
      <w:r w:rsidR="00C9436D" w:rsidRPr="00A31252">
        <w:t xml:space="preserve">lub gospodarczego </w:t>
      </w:r>
      <w:r w:rsidRPr="00A31252">
        <w:t>uzasadnienia czynności;</w:t>
      </w:r>
    </w:p>
    <w:p w:rsidR="004D6F22" w:rsidRPr="00A31252" w:rsidRDefault="004D6F22" w:rsidP="009A76CE">
      <w:pPr>
        <w:pStyle w:val="NormalnyWeb"/>
        <w:numPr>
          <w:ilvl w:val="0"/>
          <w:numId w:val="3"/>
        </w:numPr>
        <w:tabs>
          <w:tab w:val="clear" w:pos="720"/>
          <w:tab w:val="num" w:pos="426"/>
        </w:tabs>
        <w:spacing w:before="0" w:after="0" w:line="360" w:lineRule="auto"/>
        <w:ind w:left="0" w:firstLine="0"/>
        <w:jc w:val="both"/>
      </w:pPr>
      <w:r w:rsidRPr="00A31252">
        <w:t>określenie skutków podatkowych, w tym korzyści podatkowych, będących lub mających być rezultatem czynności opisanych we wniosku</w:t>
      </w:r>
      <w:r w:rsidR="00676A2B" w:rsidRPr="00A31252">
        <w:t>;</w:t>
      </w:r>
    </w:p>
    <w:p w:rsidR="00676A2B" w:rsidRPr="00A31252" w:rsidRDefault="00676A2B" w:rsidP="009A76CE">
      <w:pPr>
        <w:pStyle w:val="NormalnyWeb"/>
        <w:numPr>
          <w:ilvl w:val="0"/>
          <w:numId w:val="3"/>
        </w:numPr>
        <w:tabs>
          <w:tab w:val="clear" w:pos="720"/>
          <w:tab w:val="num" w:pos="426"/>
        </w:tabs>
        <w:spacing w:before="0" w:after="0" w:line="360" w:lineRule="auto"/>
        <w:ind w:left="0" w:firstLine="0"/>
        <w:jc w:val="both"/>
      </w:pPr>
      <w:r w:rsidRPr="00A31252">
        <w:t>przedstawienie własnego stanowiska w sprawie.</w:t>
      </w:r>
    </w:p>
    <w:p w:rsidR="004D6F22" w:rsidRPr="00A31252" w:rsidRDefault="004D6F22" w:rsidP="00ED7591">
      <w:pPr>
        <w:pStyle w:val="NormalnyWeb"/>
        <w:spacing w:before="0" w:after="0" w:line="360" w:lineRule="auto"/>
        <w:jc w:val="both"/>
      </w:pPr>
      <w:r w:rsidRPr="00A31252">
        <w:t>Wniosek o wydanie opinii zabezpieczającej zawiera ponadto wskazanie korzyści podatkowych będących rezultatem czynności objętych wnioskiem. Warto zauważyć, że wskazanie tego elementu może być korzystne dla wnioskodawcy, gdyż będzie pozwalał ocenić organowi, czy wskazane przez wnioskodawcę istotne korzyści ekonomiczn</w:t>
      </w:r>
      <w:r w:rsidR="004532BE">
        <w:t>e</w:t>
      </w:r>
      <w:r w:rsidRPr="00A31252">
        <w:t xml:space="preserve"> i biznesowe uzasadniające przyjętą przez niego konstrukcję prawną przeważają nad ewentualnymi korzyściami podatkowymi. Do wniosku może być załączona dokumentacja dotycząca czynności, w szczególności oryginały lub kopie umów lub ich projektów. </w:t>
      </w:r>
    </w:p>
    <w:p w:rsidR="004D6F22" w:rsidRPr="009A76CE" w:rsidRDefault="004D6F22" w:rsidP="00ED7591">
      <w:pPr>
        <w:pStyle w:val="NormalnyWeb"/>
        <w:spacing w:before="0" w:after="0" w:line="360" w:lineRule="auto"/>
        <w:jc w:val="both"/>
      </w:pPr>
      <w:r w:rsidRPr="009A76CE">
        <w:t>Opinia zabezpieczająca będzie wskazywać na brak prze</w:t>
      </w:r>
      <w:r w:rsidR="00BB1903">
        <w:t>słanek zastosowania klauzuli. W </w:t>
      </w:r>
      <w:r w:rsidRPr="005C0938">
        <w:rPr>
          <w:b/>
        </w:rPr>
        <w:t>art. 119z</w:t>
      </w:r>
      <w:r w:rsidR="002C7714" w:rsidRPr="005C0938">
        <w:rPr>
          <w:b/>
        </w:rPr>
        <w:t>a</w:t>
      </w:r>
      <w:r w:rsidRPr="009A76CE">
        <w:t xml:space="preserve"> uregulowane zostały elementy opinii. Opinia zabezpieczająca zawierała będzie wyczerpujący opis przedstawionej we wniosku czynności, a także ocenę, że przedstawiona we wniosku czynność nie stanowi unikania opodatkowania, a zatem – że nie występują przesłanki zastosowania klauzuli przeciwko unikaniu opodatkowania. Jeżeli natomiast te przesłanki istnieją, wówczas nastąpi odmowa wydania opinii zabezpieczającej (</w:t>
      </w:r>
      <w:r w:rsidRPr="005C0938">
        <w:rPr>
          <w:b/>
        </w:rPr>
        <w:t>art. 119</w:t>
      </w:r>
      <w:r w:rsidR="002C7714" w:rsidRPr="005C0938">
        <w:rPr>
          <w:b/>
        </w:rPr>
        <w:t>y</w:t>
      </w:r>
      <w:r w:rsidRPr="005C0938">
        <w:rPr>
          <w:b/>
        </w:rPr>
        <w:t xml:space="preserve"> </w:t>
      </w:r>
      <w:r w:rsidR="003F0BC4" w:rsidRPr="005C0938">
        <w:rPr>
          <w:b/>
        </w:rPr>
        <w:t>§ 2</w:t>
      </w:r>
      <w:r w:rsidR="003F0BC4" w:rsidRPr="009A76CE">
        <w:t xml:space="preserve"> </w:t>
      </w:r>
      <w:r w:rsidRPr="009A76CE">
        <w:t xml:space="preserve">Ordynacji podatkowej), która wymagać będzie uzasadnienia stanowiska. Każdy sposób załatwienia wniosku o wydania opinii będzie się wiązać z prawem wniesienia skargi do sądu administracyjnego, o czym organ będzie pouczał wnioskodawcę. </w:t>
      </w:r>
    </w:p>
    <w:p w:rsidR="004D6F22" w:rsidRPr="009A76CE" w:rsidRDefault="004D6F22" w:rsidP="00ED7591">
      <w:pPr>
        <w:spacing w:after="0" w:line="360" w:lineRule="auto"/>
        <w:jc w:val="both"/>
        <w:rPr>
          <w:rFonts w:ascii="Times New Roman" w:hAnsi="Times New Roman"/>
          <w:sz w:val="24"/>
          <w:szCs w:val="24"/>
        </w:rPr>
      </w:pPr>
      <w:r w:rsidRPr="00F43A1C">
        <w:rPr>
          <w:rFonts w:ascii="Times New Roman" w:hAnsi="Times New Roman"/>
          <w:b/>
          <w:sz w:val="24"/>
          <w:szCs w:val="24"/>
        </w:rPr>
        <w:t>Art. 119z</w:t>
      </w:r>
      <w:r w:rsidR="002C7714" w:rsidRPr="00F43A1C">
        <w:rPr>
          <w:rFonts w:ascii="Times New Roman" w:hAnsi="Times New Roman"/>
          <w:b/>
          <w:sz w:val="24"/>
          <w:szCs w:val="24"/>
        </w:rPr>
        <w:t>b</w:t>
      </w:r>
      <w:r w:rsidR="006C58BE">
        <w:rPr>
          <w:rFonts w:ascii="Times New Roman" w:hAnsi="Times New Roman"/>
          <w:sz w:val="24"/>
          <w:szCs w:val="24"/>
        </w:rPr>
        <w:t xml:space="preserve"> –</w:t>
      </w:r>
      <w:r w:rsidRPr="009A76CE">
        <w:rPr>
          <w:rFonts w:ascii="Times New Roman" w:hAnsi="Times New Roman"/>
          <w:sz w:val="24"/>
          <w:szCs w:val="24"/>
        </w:rPr>
        <w:t xml:space="preserve"> ze względu na skomplikowany charakter sp</w:t>
      </w:r>
      <w:r w:rsidR="00BB1903">
        <w:rPr>
          <w:rFonts w:ascii="Times New Roman" w:hAnsi="Times New Roman"/>
          <w:sz w:val="24"/>
          <w:szCs w:val="24"/>
        </w:rPr>
        <w:t>raw proponuje się, aby opinie w </w:t>
      </w:r>
      <w:r w:rsidRPr="009A76CE">
        <w:rPr>
          <w:rFonts w:ascii="Times New Roman" w:hAnsi="Times New Roman"/>
          <w:sz w:val="24"/>
          <w:szCs w:val="24"/>
        </w:rPr>
        <w:t xml:space="preserve">przedmiotowym zakresie były wydawane bez zbędnej zwłoki, jednak nie później niż </w:t>
      </w:r>
      <w:r w:rsidRPr="009A76CE">
        <w:rPr>
          <w:rFonts w:ascii="Times New Roman" w:hAnsi="Times New Roman"/>
          <w:sz w:val="24"/>
          <w:szCs w:val="24"/>
        </w:rPr>
        <w:lastRenderedPageBreak/>
        <w:t>w terminie 6 miesięcy od dnia otrzymania wniosku. Do tego terminu nie będzie wliczało się terminów i okresów, o których mowa w art. 139 § 4 Ordynacji podatkowej (</w:t>
      </w:r>
      <w:r w:rsidRPr="005C0938">
        <w:rPr>
          <w:rFonts w:ascii="Times New Roman" w:hAnsi="Times New Roman"/>
          <w:b/>
          <w:sz w:val="24"/>
          <w:szCs w:val="24"/>
        </w:rPr>
        <w:t>art. 119z</w:t>
      </w:r>
      <w:r w:rsidR="002C7714" w:rsidRPr="005C0938">
        <w:rPr>
          <w:rFonts w:ascii="Times New Roman" w:hAnsi="Times New Roman"/>
          <w:b/>
          <w:sz w:val="24"/>
          <w:szCs w:val="24"/>
        </w:rPr>
        <w:t>b</w:t>
      </w:r>
      <w:r w:rsidRPr="005C0938">
        <w:rPr>
          <w:rFonts w:ascii="Times New Roman" w:hAnsi="Times New Roman"/>
          <w:b/>
          <w:sz w:val="24"/>
          <w:szCs w:val="24"/>
        </w:rPr>
        <w:t xml:space="preserve"> § 2</w:t>
      </w:r>
      <w:r w:rsidRPr="009A76CE">
        <w:rPr>
          <w:rFonts w:ascii="Times New Roman" w:hAnsi="Times New Roman"/>
          <w:sz w:val="24"/>
          <w:szCs w:val="24"/>
        </w:rPr>
        <w:t xml:space="preserve">). </w:t>
      </w:r>
      <w:r w:rsidR="000B7E28" w:rsidRPr="009A76CE">
        <w:rPr>
          <w:rFonts w:ascii="Times New Roman" w:hAnsi="Times New Roman"/>
          <w:sz w:val="24"/>
          <w:szCs w:val="24"/>
        </w:rPr>
        <w:t xml:space="preserve">Poprzez odpowiednie zastosowanie </w:t>
      </w:r>
      <w:r w:rsidR="00441608" w:rsidRPr="009A76CE">
        <w:rPr>
          <w:rFonts w:ascii="Times New Roman" w:hAnsi="Times New Roman"/>
          <w:sz w:val="24"/>
          <w:szCs w:val="24"/>
        </w:rPr>
        <w:t>instytucji tzw. „milczącej” interpretacji</w:t>
      </w:r>
      <w:r w:rsidR="000B7E28" w:rsidRPr="009A76CE">
        <w:rPr>
          <w:rFonts w:ascii="Times New Roman" w:hAnsi="Times New Roman"/>
          <w:sz w:val="24"/>
          <w:szCs w:val="24"/>
        </w:rPr>
        <w:t xml:space="preserve"> </w:t>
      </w:r>
      <w:r w:rsidR="00441608" w:rsidRPr="009A76CE">
        <w:rPr>
          <w:rFonts w:ascii="Times New Roman" w:hAnsi="Times New Roman"/>
          <w:sz w:val="24"/>
          <w:szCs w:val="24"/>
        </w:rPr>
        <w:t xml:space="preserve">indywidualnej, </w:t>
      </w:r>
      <w:r w:rsidR="000B7E28" w:rsidRPr="009A76CE">
        <w:rPr>
          <w:rFonts w:ascii="Times New Roman" w:hAnsi="Times New Roman"/>
          <w:sz w:val="24"/>
          <w:szCs w:val="24"/>
        </w:rPr>
        <w:t>p</w:t>
      </w:r>
      <w:r w:rsidR="00543EA6" w:rsidRPr="009A76CE">
        <w:rPr>
          <w:rFonts w:ascii="Times New Roman" w:hAnsi="Times New Roman"/>
          <w:sz w:val="24"/>
          <w:szCs w:val="24"/>
        </w:rPr>
        <w:t xml:space="preserve">rzekroczenie </w:t>
      </w:r>
      <w:r w:rsidR="000B7E28" w:rsidRPr="009A76CE">
        <w:rPr>
          <w:rFonts w:ascii="Times New Roman" w:hAnsi="Times New Roman"/>
          <w:sz w:val="24"/>
          <w:szCs w:val="24"/>
        </w:rPr>
        <w:t>sześciomiesięcznego</w:t>
      </w:r>
      <w:r w:rsidR="00543EA6" w:rsidRPr="009A76CE">
        <w:rPr>
          <w:rFonts w:ascii="Times New Roman" w:hAnsi="Times New Roman"/>
          <w:sz w:val="24"/>
          <w:szCs w:val="24"/>
        </w:rPr>
        <w:t xml:space="preserve"> terminu będzie skutkowało przyjęciem fikcji pozytywnego załatwienia wniosku, czyli tzw. „milczącą</w:t>
      </w:r>
      <w:r w:rsidR="00441608" w:rsidRPr="009A76CE">
        <w:rPr>
          <w:rFonts w:ascii="Times New Roman" w:hAnsi="Times New Roman"/>
          <w:sz w:val="24"/>
          <w:szCs w:val="24"/>
        </w:rPr>
        <w:t>”</w:t>
      </w:r>
      <w:r w:rsidR="00543EA6" w:rsidRPr="009A76CE">
        <w:rPr>
          <w:rFonts w:ascii="Times New Roman" w:hAnsi="Times New Roman"/>
          <w:sz w:val="24"/>
          <w:szCs w:val="24"/>
        </w:rPr>
        <w:t xml:space="preserve"> opinią</w:t>
      </w:r>
      <w:r w:rsidR="00441608" w:rsidRPr="009A76CE">
        <w:rPr>
          <w:rFonts w:ascii="Times New Roman" w:hAnsi="Times New Roman"/>
          <w:sz w:val="24"/>
          <w:szCs w:val="24"/>
        </w:rPr>
        <w:t xml:space="preserve"> (</w:t>
      </w:r>
      <w:r w:rsidR="00441608" w:rsidRPr="005C0938">
        <w:rPr>
          <w:rFonts w:ascii="Times New Roman" w:hAnsi="Times New Roman"/>
          <w:b/>
          <w:sz w:val="24"/>
          <w:szCs w:val="24"/>
        </w:rPr>
        <w:t>art. 14o w zw. z art. 119z</w:t>
      </w:r>
      <w:r w:rsidR="002C7714" w:rsidRPr="005C0938">
        <w:rPr>
          <w:rFonts w:ascii="Times New Roman" w:hAnsi="Times New Roman"/>
          <w:b/>
          <w:sz w:val="24"/>
          <w:szCs w:val="24"/>
        </w:rPr>
        <w:t>f</w:t>
      </w:r>
      <w:r w:rsidR="00441608" w:rsidRPr="009A76CE">
        <w:rPr>
          <w:rFonts w:ascii="Times New Roman" w:hAnsi="Times New Roman"/>
          <w:sz w:val="24"/>
          <w:szCs w:val="24"/>
        </w:rPr>
        <w:t xml:space="preserve"> Ordynacji podatkowej)</w:t>
      </w:r>
      <w:r w:rsidR="00511081" w:rsidRPr="009A76CE">
        <w:rPr>
          <w:rFonts w:ascii="Times New Roman" w:hAnsi="Times New Roman"/>
          <w:sz w:val="24"/>
          <w:szCs w:val="24"/>
        </w:rPr>
        <w:t>.</w:t>
      </w:r>
    </w:p>
    <w:p w:rsidR="004D6F22" w:rsidRPr="009A76CE" w:rsidRDefault="004D6F22" w:rsidP="00ED7591">
      <w:pPr>
        <w:pStyle w:val="NormalnyWeb"/>
        <w:spacing w:before="0" w:after="0" w:line="360" w:lineRule="auto"/>
        <w:jc w:val="both"/>
      </w:pPr>
      <w:r w:rsidRPr="00F43A1C">
        <w:rPr>
          <w:b/>
        </w:rPr>
        <w:t>Art.</w:t>
      </w:r>
      <w:r w:rsidR="00BA399F" w:rsidRPr="00F43A1C">
        <w:rPr>
          <w:b/>
        </w:rPr>
        <w:t xml:space="preserve"> </w:t>
      </w:r>
      <w:r w:rsidRPr="00F43A1C">
        <w:rPr>
          <w:b/>
        </w:rPr>
        <w:t>119z</w:t>
      </w:r>
      <w:r w:rsidR="002C7714" w:rsidRPr="00F43A1C">
        <w:rPr>
          <w:b/>
        </w:rPr>
        <w:t>c</w:t>
      </w:r>
      <w:r w:rsidRPr="009A76CE">
        <w:t xml:space="preserve"> </w:t>
      </w:r>
      <w:r w:rsidR="009A76CE">
        <w:t>–</w:t>
      </w:r>
      <w:r w:rsidR="00613172">
        <w:t xml:space="preserve"> p</w:t>
      </w:r>
      <w:r w:rsidRPr="009A76CE">
        <w:t>rzebieg procedury wydawania opinii zabezpieczającej będzie zbliżony do obecnej procedury porozumienia w sprawie ustalenia cen transakcyjnych</w:t>
      </w:r>
      <w:r w:rsidR="00DB5953" w:rsidRPr="009A76CE">
        <w:t>,</w:t>
      </w:r>
      <w:r w:rsidRPr="009A76CE">
        <w:t xml:space="preserve"> co uzasadnia wprowadzeni</w:t>
      </w:r>
      <w:r w:rsidR="00BA399F">
        <w:t>e</w:t>
      </w:r>
      <w:r w:rsidRPr="009A76CE">
        <w:t xml:space="preserve"> odpowiedniej opłaty. Jej wysokość uzasadniona jest wysokim stopniem skomplikowania postępowania, które będzie się toczyło w sprawie wydania opinii oraz koniecznością ponoszenia zwiększonych nakładów na jego prowadzenie. Postępowanie to bowiem będzie obejmowało nie tylko przepisy polskiego prawa podatkowego, ale również z uwagi na podmioty będące nierezydentami, zaangażowane w opisane we wniosku konstrukcje prawne, będzie wymagało znajomości ustawodawstwa podatkowego zagranicznych administracji, analizy dokumentów i</w:t>
      </w:r>
      <w:r w:rsidR="00B7556B">
        <w:t> </w:t>
      </w:r>
      <w:r w:rsidRPr="009A76CE">
        <w:t>umów, w tym również w obcych językach. Zauważyć należy, że wysokość opłaty za opinie zabezpieczające będzie znacząco niższa od opłaty za wniosek o uznanie metody ustalania ceny transakcyjnej (wysokość opłaty od wniosku w sprawie porozumienia dotyczącego ustalenia cen transakcyjnych wynosi nawet 200 tys. zł). Podkreślić zarazem należy to, że klauzula ma mieć zastosowanie wyłącznie do takich czynności, przy których wysokość uzyskanych przez podatnika korzyści podatkowych wynosi co najmniej 100 000 zł. Wysokość opłaty za wydanie opinii zabezpieczającej pozostaje zatem w odpowiedniej proporcji do korzyści podatkowej, której będzie dotyczyć wniosek. Przy tak określonym „progu stosowalności” klauzuli, wysokość opłaty nie będzie bowiem stanowić bariery skłaniającej podatni</w:t>
      </w:r>
      <w:r w:rsidR="00BB1903">
        <w:t>ka do zaniechania wystąpienia o </w:t>
      </w:r>
      <w:r w:rsidR="00190019">
        <w:t>opinie.</w:t>
      </w:r>
    </w:p>
    <w:p w:rsidR="004D6F22" w:rsidRPr="009A76CE" w:rsidRDefault="004D6F22" w:rsidP="00ED7591">
      <w:pPr>
        <w:pStyle w:val="NormalnyWeb"/>
        <w:spacing w:before="0" w:after="0" w:line="360" w:lineRule="auto"/>
        <w:jc w:val="both"/>
      </w:pPr>
      <w:r w:rsidRPr="009A76CE">
        <w:t xml:space="preserve">Zasady uiszczania opłaty oraz jej zwrotu uregulowane zostały w </w:t>
      </w:r>
      <w:r w:rsidRPr="00F43A1C">
        <w:rPr>
          <w:b/>
        </w:rPr>
        <w:t>art. 119z</w:t>
      </w:r>
      <w:r w:rsidR="002C7714" w:rsidRPr="00F43A1C">
        <w:rPr>
          <w:b/>
        </w:rPr>
        <w:t>c</w:t>
      </w:r>
      <w:r w:rsidRPr="009A76CE">
        <w:t xml:space="preserve">. W razie cofnięcia wniosku o wydanie opinii zabezpieczającej opłata podlegać będzie zwrotowi w połowie. </w:t>
      </w:r>
    </w:p>
    <w:p w:rsidR="004D6F22" w:rsidRPr="009A76CE" w:rsidRDefault="004D6F22" w:rsidP="00ED7591">
      <w:pPr>
        <w:pStyle w:val="NormalnyWeb"/>
        <w:spacing w:before="0" w:after="0" w:line="360" w:lineRule="auto"/>
        <w:jc w:val="both"/>
      </w:pPr>
      <w:r w:rsidRPr="00F92B56">
        <w:rPr>
          <w:b/>
        </w:rPr>
        <w:t>Art. 119z</w:t>
      </w:r>
      <w:r w:rsidR="002C7714" w:rsidRPr="00F92B56">
        <w:rPr>
          <w:b/>
        </w:rPr>
        <w:t>d</w:t>
      </w:r>
      <w:r w:rsidR="009A76CE" w:rsidRPr="00F92B56">
        <w:rPr>
          <w:b/>
        </w:rPr>
        <w:t xml:space="preserve"> </w:t>
      </w:r>
      <w:r w:rsidR="009A76CE">
        <w:t>–</w:t>
      </w:r>
      <w:r w:rsidR="00E71FDE">
        <w:t xml:space="preserve"> z</w:t>
      </w:r>
      <w:r w:rsidRPr="009A76CE">
        <w:t xml:space="preserve">godnie z zaproponowanymi regulacjami </w:t>
      </w:r>
      <w:r w:rsidR="00F57401" w:rsidRPr="009A76CE">
        <w:t xml:space="preserve">minister </w:t>
      </w:r>
      <w:r w:rsidRPr="009A76CE">
        <w:t xml:space="preserve">właściwy do spraw finansów publicznych może, z urzędu, zmienić wydaną opinię zabezpieczającą, gdy opinia ta stanie się sprzeczna z orzecznictwem Trybunału Konstytucyjnego lub </w:t>
      </w:r>
      <w:r w:rsidRPr="009A76CE">
        <w:lastRenderedPageBreak/>
        <w:t xml:space="preserve">Trybunału Sprawiedliwości Unii Europejskiej. </w:t>
      </w:r>
      <w:r w:rsidR="00B23984" w:rsidRPr="009A76CE">
        <w:t xml:space="preserve">Zmianie może podlegać także </w:t>
      </w:r>
      <w:r w:rsidR="00BB1903">
        <w:t>tzw. </w:t>
      </w:r>
      <w:r w:rsidR="00B87DE1" w:rsidRPr="009A76CE">
        <w:t xml:space="preserve">„milcząca” opinia. </w:t>
      </w:r>
    </w:p>
    <w:p w:rsidR="00BC0E90" w:rsidRPr="009A76CE" w:rsidRDefault="00BC0E90" w:rsidP="00ED7591">
      <w:pPr>
        <w:pStyle w:val="NormalnyWeb"/>
        <w:spacing w:before="0" w:after="0" w:line="360" w:lineRule="auto"/>
        <w:jc w:val="both"/>
      </w:pPr>
      <w:r w:rsidRPr="009A76CE">
        <w:t xml:space="preserve">Podmiot, który uzyskał opinię zabezpieczającą, w zakresie objętym opinią będzie podlegał ochronie do dnia uchylenia lub zmiany opinii zabezpieczającej. </w:t>
      </w:r>
      <w:r w:rsidR="00116126" w:rsidRPr="009A76CE">
        <w:t>Ochrona będzie polegała na braku możliwości zastosowania klauzuli</w:t>
      </w:r>
      <w:r w:rsidR="003F0BC4" w:rsidRPr="009A76CE">
        <w:t>. Takiej samej ochronie będzie podlegał podmiot, którego wniosek nie został załat</w:t>
      </w:r>
      <w:r w:rsidR="00BB1903">
        <w:t>wiony w terminie (</w:t>
      </w:r>
      <w:r w:rsidR="00F92B56">
        <w:rPr>
          <w:b/>
        </w:rPr>
        <w:t>art. 119b </w:t>
      </w:r>
      <w:r w:rsidR="00BB1903" w:rsidRPr="00F92B56">
        <w:rPr>
          <w:b/>
        </w:rPr>
        <w:t>§ </w:t>
      </w:r>
      <w:r w:rsidR="003F0BC4" w:rsidRPr="00F92B56">
        <w:rPr>
          <w:b/>
        </w:rPr>
        <w:t>1 pkt 2 i 3</w:t>
      </w:r>
      <w:r w:rsidR="003F0BC4" w:rsidRPr="009A76CE">
        <w:t xml:space="preserve">). </w:t>
      </w:r>
    </w:p>
    <w:p w:rsidR="00B55824" w:rsidRPr="009A76CE" w:rsidRDefault="00C75A75" w:rsidP="00ED7591">
      <w:pPr>
        <w:pStyle w:val="NormalnyWeb"/>
        <w:spacing w:before="0" w:after="0" w:line="360" w:lineRule="auto"/>
        <w:jc w:val="both"/>
      </w:pPr>
      <w:r w:rsidRPr="00F92B56">
        <w:rPr>
          <w:b/>
        </w:rPr>
        <w:t xml:space="preserve">Art. </w:t>
      </w:r>
      <w:r w:rsidR="00BB7D95" w:rsidRPr="00F92B56">
        <w:rPr>
          <w:b/>
        </w:rPr>
        <w:t>119z</w:t>
      </w:r>
      <w:r w:rsidR="002C7714" w:rsidRPr="00F92B56">
        <w:rPr>
          <w:b/>
        </w:rPr>
        <w:t>e</w:t>
      </w:r>
      <w:r w:rsidR="00BB7D95" w:rsidRPr="009A76CE">
        <w:t xml:space="preserve"> odsyła do odpowiedniego stosowania przepisów działu IV Ordynacji podatkowej dotyczących decyzji, w razie umorzenia postępowania w sprawie opinii zabezpieczającej.</w:t>
      </w:r>
    </w:p>
    <w:p w:rsidR="004D6F22" w:rsidRPr="00A31252" w:rsidRDefault="004D6F22" w:rsidP="00ED7591">
      <w:pPr>
        <w:pStyle w:val="NormalnyWeb"/>
        <w:spacing w:before="0" w:after="0" w:line="360" w:lineRule="auto"/>
        <w:jc w:val="both"/>
      </w:pPr>
      <w:r w:rsidRPr="00F92B56">
        <w:rPr>
          <w:b/>
        </w:rPr>
        <w:t>Art. 119z</w:t>
      </w:r>
      <w:r w:rsidR="002C7714" w:rsidRPr="00F92B56">
        <w:rPr>
          <w:b/>
        </w:rPr>
        <w:t>f</w:t>
      </w:r>
      <w:r w:rsidRPr="009A76CE">
        <w:t xml:space="preserve"> </w:t>
      </w:r>
      <w:r w:rsidR="009A76CE">
        <w:t>–</w:t>
      </w:r>
      <w:r w:rsidRPr="009A76CE">
        <w:t xml:space="preserve"> w postępowaniu dotyczącym wydania opinii w sprawie zastosowania klauzuli przeciwko unikaniu opodatkowania znajdą odpowiednie zastosowanie przepisy regulujące </w:t>
      </w:r>
      <w:r w:rsidR="00A8438E" w:rsidRPr="009A76CE">
        <w:t xml:space="preserve">procedurę wydawania interpretacji przepisów prawa podatkowego, </w:t>
      </w:r>
      <w:r w:rsidRPr="009A76CE">
        <w:t>zasady ogólne postępowania podatkowego (praworządności, zaufania do organów</w:t>
      </w:r>
      <w:r w:rsidRPr="00A31252">
        <w:t xml:space="preserve"> podatkowych, prawdy obiektywnej, czynnego udziału strony, szybkości i prostoty postępowania) a także inne przepisy regul</w:t>
      </w:r>
      <w:r w:rsidR="00BB1903">
        <w:t>ujące postępowanie podatkowe, w </w:t>
      </w:r>
      <w:r w:rsidRPr="00A31252">
        <w:t>szczególności: dotyczące pełnomocnictw, doręczeń, obliczania terminów oraz wskazane przepisy procedury wydawania interpretacji indywidualnych. W zakresie procedury wydawania opinii zabezpieczającej, inaczej niż to jest w</w:t>
      </w:r>
      <w:r w:rsidR="00BB1903">
        <w:t xml:space="preserve"> </w:t>
      </w:r>
      <w:r w:rsidRPr="00A31252">
        <w:t>przypadku wydawania interpretacji indywidualnych, w razie istnienia wątpliwości dotyczących wniosku lub załączonych dokumentów, organ uprawniony będzie mógł zwrócić się o ich wyjaśnienie lub przedłożenie dokumentów uzupełniających. Procedura wydawania opinii zabezpieczającej będzie zawierała elementy dwóch ob</w:t>
      </w:r>
      <w:r w:rsidR="009A76CE">
        <w:t xml:space="preserve">ecnie obowiązujących procedur: </w:t>
      </w:r>
      <w:r w:rsidRPr="00A31252">
        <w:t xml:space="preserve">procedury zawierania porozumień w zakresie stosowania cen transferowych (art. 20a i nast. Ordynacji podatkowej) oraz procedury wydawania interpretacji indywidualnych prawa podatkowego (art. 14a i nast.). </w:t>
      </w:r>
    </w:p>
    <w:p w:rsidR="004D6F22" w:rsidRPr="00A31252" w:rsidRDefault="004D6F22" w:rsidP="00ED7591">
      <w:pPr>
        <w:pStyle w:val="NormalnyWeb"/>
        <w:spacing w:before="0" w:after="0" w:line="360" w:lineRule="auto"/>
        <w:jc w:val="both"/>
      </w:pPr>
      <w:r w:rsidRPr="00A31252">
        <w:t>Na opinię zabezpieczającą zainteresowanemu będzie przysługiwała skarga do sądu administracyjnego, skoro samo zastosowanie klauzuli przeciwko unikaniu opodatkowania w</w:t>
      </w:r>
      <w:r w:rsidR="009A76CE">
        <w:t xml:space="preserve"> </w:t>
      </w:r>
      <w:r w:rsidRPr="00A31252">
        <w:t xml:space="preserve">sprawach wymiarowych też będzie przedmiotem kognicji sądów administracyjnych. </w:t>
      </w:r>
    </w:p>
    <w:p w:rsidR="004D6F22" w:rsidRPr="009A76CE" w:rsidRDefault="004D6F22" w:rsidP="00FF1149">
      <w:pPr>
        <w:pStyle w:val="NormalnyWeb"/>
        <w:spacing w:before="0" w:after="0" w:line="360" w:lineRule="auto"/>
        <w:jc w:val="center"/>
      </w:pPr>
      <w:r w:rsidRPr="009A76CE">
        <w:t>Zmiany w Ordynacji podatkowej – otoczenie procesowe klauzuli</w:t>
      </w:r>
    </w:p>
    <w:p w:rsidR="00995D40" w:rsidRPr="009A76CE" w:rsidRDefault="004D6F22" w:rsidP="00ED7591">
      <w:pPr>
        <w:pStyle w:val="NormalnyWeb"/>
        <w:spacing w:before="0" w:after="0" w:line="360" w:lineRule="auto"/>
        <w:jc w:val="both"/>
      </w:pPr>
      <w:r w:rsidRPr="00A31252">
        <w:t xml:space="preserve">Z uwagi na znaczny stopień skomplikowania spraw oraz częste istnienie w sztucznych konstrukcjach prawnych elementów transgranicznych zasadne jest ustanowienie </w:t>
      </w:r>
      <w:r w:rsidRPr="00A31252">
        <w:lastRenderedPageBreak/>
        <w:t xml:space="preserve">kompetencji ministra właściwego do spraw finansów publicznych w sprawach przeciwdziałania unikaniu </w:t>
      </w:r>
      <w:r w:rsidRPr="009A76CE">
        <w:t>opodatkowania (</w:t>
      </w:r>
      <w:r w:rsidRPr="00F92B56">
        <w:rPr>
          <w:b/>
        </w:rPr>
        <w:t>art. 13 § 2 pkt 6 i 7</w:t>
      </w:r>
      <w:r w:rsidRPr="009A76CE">
        <w:t xml:space="preserve"> Ordynacji podatkowej). Zapewni to koncentrację wiedzy w zakresie stosowania klauzuli, zmniejszy koszty szkoleń oraz zagwarantuje ujednolicenie polityki w zakresie stosowania klauzuli. Minister będzie organem właściwym także w sprawach zastosowania klauzul</w:t>
      </w:r>
      <w:r w:rsidR="00BB1903">
        <w:t>i w </w:t>
      </w:r>
      <w:r w:rsidRPr="009A76CE">
        <w:t xml:space="preserve">podatkach należących do właściwości gminnych organów podatkowych. </w:t>
      </w:r>
    </w:p>
    <w:p w:rsidR="00995D40" w:rsidRPr="009A76CE" w:rsidRDefault="004D6F22" w:rsidP="00ED7591">
      <w:pPr>
        <w:pStyle w:val="NormalnyWeb"/>
        <w:spacing w:before="0" w:after="0" w:line="360" w:lineRule="auto"/>
        <w:jc w:val="both"/>
      </w:pPr>
      <w:r w:rsidRPr="009A76CE">
        <w:t xml:space="preserve">Dodaje się </w:t>
      </w:r>
      <w:r w:rsidRPr="00F92B56">
        <w:rPr>
          <w:b/>
        </w:rPr>
        <w:t xml:space="preserve">art. </w:t>
      </w:r>
      <w:r w:rsidR="00ED47E5" w:rsidRPr="00F92B56">
        <w:rPr>
          <w:b/>
        </w:rPr>
        <w:t>14na</w:t>
      </w:r>
      <w:r w:rsidRPr="009A76CE">
        <w:t xml:space="preserve">, w którym uregulowano kwestie ochrony z interpretacji indywidualnych </w:t>
      </w:r>
      <w:r w:rsidR="00073580" w:rsidRPr="009A76CE">
        <w:t xml:space="preserve">m. in. </w:t>
      </w:r>
      <w:r w:rsidRPr="009A76CE">
        <w:t>w przypadku zastosowania klauzuli przeciwko unikaniu opodatkowania</w:t>
      </w:r>
      <w:r w:rsidR="00C24D5F" w:rsidRPr="009A76CE">
        <w:t xml:space="preserve"> (pkt 1)</w:t>
      </w:r>
      <w:r w:rsidRPr="009A76CE">
        <w:t>. W związku z przewidzianym wprowadzeniem klauzuli przeciwko unikaniu opodatkowania zasadnym jest wprowadzenie rozwiązania wyłączającego ochronę prawną z tytułu zastosowania się do interpretacji</w:t>
      </w:r>
      <w:r w:rsidRPr="00A31252">
        <w:t xml:space="preserve"> indywidualnej dotyczącej zdarzenia, które stanowi unikanie opodatkowania. Nie ma uzasadnienia</w:t>
      </w:r>
      <w:r w:rsidR="00BA399F">
        <w:t>,</w:t>
      </w:r>
      <w:r w:rsidRPr="00A31252">
        <w:t xml:space="preserve"> aby podmiot, który unika opodatkowania, korzystał z ochrony wynikającej z uzyskanej interpretacji indywidualnej oraz mógł powoływać się na nieograniczone bezpieczeństwo prawne. Z uwagi na skutki ochronne interpretacji podatkowych (zwolnienie z obowiązku zapłaty podatku) brak proponowanego rozwiązania w zasadniczy sposób ograniczał będzie, a niejednokrotnie wyłączał, stosowanie klauzuli przeciwko unikaniu opodatkowania. Dlatego też zmiana w przedmiotowym zakresie </w:t>
      </w:r>
      <w:r w:rsidR="00BA399F">
        <w:t>po</w:t>
      </w:r>
      <w:r w:rsidRPr="00A31252">
        <w:t>winna wyłączać ochronę</w:t>
      </w:r>
      <w:r w:rsidR="009A76CE">
        <w:t xml:space="preserve"> prawną, uregulowaną w art. 14k–</w:t>
      </w:r>
      <w:r w:rsidRPr="00A31252">
        <w:t xml:space="preserve">14n Ordynacji podatkowej. </w:t>
      </w:r>
      <w:r w:rsidRPr="00A31252">
        <w:rPr>
          <w:bCs/>
        </w:rPr>
        <w:t>Proponuje się zatem wyłączenie och</w:t>
      </w:r>
      <w:r w:rsidR="009110F6">
        <w:rPr>
          <w:bCs/>
        </w:rPr>
        <w:t>rony w przypadku stwierdzenia w </w:t>
      </w:r>
      <w:r w:rsidRPr="00A31252">
        <w:rPr>
          <w:bCs/>
        </w:rPr>
        <w:t>postępowaniu podatkowym przez organ podatkowy lub organ kontroli skarbowej, że stan faktyczny lub zdarzenie przyszłe będące przedmiotem interpretacji indywidualnej stanowi</w:t>
      </w:r>
      <w:r w:rsidR="006D6D6B" w:rsidRPr="00A31252">
        <w:rPr>
          <w:bCs/>
        </w:rPr>
        <w:t xml:space="preserve"> element (część) czynności będących</w:t>
      </w:r>
      <w:r w:rsidRPr="00A31252">
        <w:rPr>
          <w:bCs/>
        </w:rPr>
        <w:t> przedmiot</w:t>
      </w:r>
      <w:r w:rsidR="006D6D6B" w:rsidRPr="00A31252">
        <w:rPr>
          <w:bCs/>
        </w:rPr>
        <w:t>em</w:t>
      </w:r>
      <w:r w:rsidR="00BA399F">
        <w:t xml:space="preserve"> decyzji w związku</w:t>
      </w:r>
      <w:r w:rsidR="009110F6">
        <w:t xml:space="preserve"> z </w:t>
      </w:r>
      <w:r w:rsidRPr="00A31252">
        <w:t xml:space="preserve">zastosowaniem klauzuli </w:t>
      </w:r>
      <w:r w:rsidRPr="009A76CE">
        <w:t xml:space="preserve">przeciwko unikaniu opodatkowania. </w:t>
      </w:r>
    </w:p>
    <w:p w:rsidR="00995D40" w:rsidRPr="00A31252" w:rsidRDefault="004D6F22" w:rsidP="00ED7591">
      <w:pPr>
        <w:pStyle w:val="NormalnyWeb"/>
        <w:spacing w:before="0" w:after="0" w:line="360" w:lineRule="auto"/>
        <w:jc w:val="both"/>
      </w:pPr>
      <w:r w:rsidRPr="009A76CE">
        <w:t xml:space="preserve">W </w:t>
      </w:r>
      <w:r w:rsidR="00AC4B05" w:rsidRPr="00F92B56">
        <w:rPr>
          <w:b/>
        </w:rPr>
        <w:t>art. 14b § 5b</w:t>
      </w:r>
      <w:r w:rsidR="00AC4B05" w:rsidRPr="009A76CE">
        <w:t xml:space="preserve"> </w:t>
      </w:r>
      <w:r w:rsidRPr="009A76CE">
        <w:t xml:space="preserve">proponuje się zarazem przyjęcie rozwiązania, w myśl którego interpretacja indywidualna nie będzie wydawana w </w:t>
      </w:r>
      <w:r w:rsidR="00F65AA7" w:rsidRPr="009A76CE">
        <w:t xml:space="preserve">zakresie tych elementów stanu faktycznego lub zdarzenia przyszłego, które stanowią unikanie opodatkowania. </w:t>
      </w:r>
      <w:r w:rsidR="004750D7" w:rsidRPr="009A76CE">
        <w:t>Taka regulacja chronić będzie przed nadużywaniem systemu</w:t>
      </w:r>
      <w:r w:rsidR="00BB1903">
        <w:t xml:space="preserve"> interpretacji indywidualnych w </w:t>
      </w:r>
      <w:r w:rsidR="004750D7" w:rsidRPr="009A76CE">
        <w:t>zakresie unikania opodatkowania (</w:t>
      </w:r>
      <w:r w:rsidR="004750D7" w:rsidRPr="009A76CE">
        <w:rPr>
          <w:i/>
        </w:rPr>
        <w:t>vide</w:t>
      </w:r>
      <w:r w:rsidR="004750D7" w:rsidRPr="009A76CE">
        <w:t xml:space="preserve"> ustalenia zawarte w </w:t>
      </w:r>
      <w:r w:rsidR="009110F6">
        <w:t>r</w:t>
      </w:r>
      <w:r w:rsidR="004750D7" w:rsidRPr="009A76CE">
        <w:t>ezolucji Parlamentu Europejskiego z dnia 25 listopada 2015 r. w sprawie in</w:t>
      </w:r>
      <w:r w:rsidR="00BB1903">
        <w:t>terpretacji prawa podatkowego i </w:t>
      </w:r>
      <w:r w:rsidR="004750D7" w:rsidRPr="009A76CE">
        <w:t xml:space="preserve">innych środków o podobnym charakterze lub skutkach). Dla spraw unikania opodatkowania tworzy się dedykowaną do ich specyfiki alternatywną procedurę opinii zabezpieczających. </w:t>
      </w:r>
      <w:r w:rsidR="009110F6">
        <w:t>W przypadku</w:t>
      </w:r>
      <w:r w:rsidR="00772998" w:rsidRPr="009A76CE">
        <w:t xml:space="preserve"> gdy w trakcie załatwiania wniosku o interpretację </w:t>
      </w:r>
      <w:r w:rsidR="00772998" w:rsidRPr="009A76CE">
        <w:lastRenderedPageBreak/>
        <w:t>indywidualną wyłoni się wątpliwość co do tego, czy zdarzenie przyszłe lub stan faktyczny stanowi unikanie opodatkowania</w:t>
      </w:r>
      <w:r w:rsidR="00175B8D" w:rsidRPr="009A76CE">
        <w:t>,</w:t>
      </w:r>
      <w:r w:rsidR="00772998" w:rsidRPr="009A76CE">
        <w:t xml:space="preserve"> organ uprawniony do wydania interpretacji </w:t>
      </w:r>
      <w:r w:rsidR="000940E5" w:rsidRPr="009A76CE">
        <w:t>będzie zwracał</w:t>
      </w:r>
      <w:r w:rsidR="00853626" w:rsidRPr="009A76CE">
        <w:t xml:space="preserve"> się</w:t>
      </w:r>
      <w:r w:rsidR="00772998" w:rsidRPr="009A76CE">
        <w:t xml:space="preserve"> o opinię w tej kwestii do ministra właściwego do spraw finansów publicznych, który będzie kompetentny w kwestiach unikania opodatkowania (</w:t>
      </w:r>
      <w:r w:rsidR="00F92B56" w:rsidRPr="00F92B56">
        <w:rPr>
          <w:b/>
        </w:rPr>
        <w:t>art. 14b § </w:t>
      </w:r>
      <w:r w:rsidR="00772998" w:rsidRPr="00F92B56">
        <w:rPr>
          <w:b/>
        </w:rPr>
        <w:t>5c</w:t>
      </w:r>
      <w:r w:rsidR="00772998" w:rsidRPr="009A76CE">
        <w:t>).</w:t>
      </w:r>
      <w:r w:rsidR="00ED47E5" w:rsidRPr="009A76CE">
        <w:t xml:space="preserve"> </w:t>
      </w:r>
      <w:r w:rsidR="007C3682" w:rsidRPr="009A76CE">
        <w:t>Obecnie</w:t>
      </w:r>
      <w:r w:rsidR="00ED47E5" w:rsidRPr="009A76CE">
        <w:t xml:space="preserve"> organami uprawnionymi do wydania interpretacji indywidualnych są </w:t>
      </w:r>
      <w:r w:rsidR="007C3682" w:rsidRPr="009A76CE">
        <w:t xml:space="preserve">dyrektorzy </w:t>
      </w:r>
      <w:r w:rsidR="008C726D" w:rsidRPr="009A76CE">
        <w:t>izb skarbowych, którzy zostali upoważn</w:t>
      </w:r>
      <w:r w:rsidR="00BB1903">
        <w:t>ieni przez Ministra Finansów, w </w:t>
      </w:r>
      <w:r w:rsidR="008C726D" w:rsidRPr="009A76CE">
        <w:t xml:space="preserve">drodze rozporządzenia, </w:t>
      </w:r>
      <w:r w:rsidR="00B40E14" w:rsidRPr="009A76CE">
        <w:t xml:space="preserve">oraz </w:t>
      </w:r>
      <w:r w:rsidR="009A76CE">
        <w:t>–</w:t>
      </w:r>
      <w:r w:rsidR="00B40E14" w:rsidRPr="009A76CE">
        <w:t xml:space="preserve"> w zakresie podatków lokalnych – wójtowie, burmistrzowie (prezydenci miast), starostowie i marszał</w:t>
      </w:r>
      <w:r w:rsidR="003010E3" w:rsidRPr="009A76CE">
        <w:t>kowie wojewód</w:t>
      </w:r>
      <w:r w:rsidR="003010E3" w:rsidRPr="00A31252">
        <w:t>ztw</w:t>
      </w:r>
      <w:r w:rsidR="00B40E14" w:rsidRPr="00A31252">
        <w:t>.</w:t>
      </w:r>
      <w:r w:rsidR="0001434F" w:rsidRPr="00A31252">
        <w:t xml:space="preserve"> </w:t>
      </w:r>
      <w:r w:rsidR="009110F6">
        <w:t>Od dnia 1 </w:t>
      </w:r>
      <w:r w:rsidR="007A2A37" w:rsidRPr="00A31252">
        <w:t>lipca 2016 r.</w:t>
      </w:r>
      <w:r w:rsidR="00881CD7">
        <w:t>,</w:t>
      </w:r>
      <w:r w:rsidR="007A2A37" w:rsidRPr="00A31252">
        <w:t xml:space="preserve"> zamiast dyrektorów izb skarbowych, interpretacje będzie wydawał Dyrektor Biura Krajowej Informacji Podatkowej. </w:t>
      </w:r>
    </w:p>
    <w:p w:rsidR="004D6F22" w:rsidRPr="009A76CE" w:rsidRDefault="004D6F22" w:rsidP="00ED7591">
      <w:pPr>
        <w:pStyle w:val="NormalnyWeb"/>
        <w:spacing w:before="0" w:after="0" w:line="360" w:lineRule="auto"/>
        <w:jc w:val="both"/>
      </w:pPr>
      <w:r w:rsidRPr="00A31252">
        <w:t xml:space="preserve">Aktualnie w toku postępowania podatkowego skorygowanie deklaracji w zakresie objętym tym postępowaniem nie jest dopuszczalne (art. 81b § 1 pkt 1 Ordynacji podatkowej). Jednakże w części spraw wypełnianie obowiązków podatkowych jest sprawdzane w kontroli podatkowej, a postępowanie podatkowe jest efektem ustaleń kontroli. W </w:t>
      </w:r>
      <w:r w:rsidR="009A76CE">
        <w:t xml:space="preserve">takich przypadkach po kontroli </w:t>
      </w:r>
      <w:r w:rsidRPr="00A31252">
        <w:t>przysługuje uprawnienie do skorygowania deklaracji (art. 81b § 1 pkt 2 Ordynacji podatkowej). Należy przy tym mieć na uwadze, że celem kontroli jest weryfikacja stosowania</w:t>
      </w:r>
      <w:r w:rsidR="00BB1903">
        <w:t xml:space="preserve"> przepisów prawa podatkowego, a </w:t>
      </w:r>
      <w:r w:rsidRPr="00A31252">
        <w:t xml:space="preserve">klauzula dotyka zagadnień znacznie wykraczających poza ocenę legalności działania podatnika. Uwzględniając specyfikę postępowania podatkowego w zakresie stosowania </w:t>
      </w:r>
      <w:r w:rsidRPr="00F92B56">
        <w:rPr>
          <w:b/>
        </w:rPr>
        <w:t>art. 119a</w:t>
      </w:r>
      <w:r w:rsidRPr="009A76CE">
        <w:t xml:space="preserve"> Ordynacji podatkowej</w:t>
      </w:r>
      <w:r w:rsidR="00881CD7">
        <w:t>,</w:t>
      </w:r>
      <w:r w:rsidRPr="009A76CE">
        <w:t xml:space="preserve"> proponuje się wprowadzić możliwość skorygowania deklaracji w toku tego postępowania. Korekta powinna być dopuszczalna w toku postępowania przed organem pierwszej instancji w okresie 14 dni od dnia zawiadomienia o wyznaczeniu terminu do wypowiedzenia się w sprawie zebranego materiału dowodowego (</w:t>
      </w:r>
      <w:r w:rsidR="004E5DB0" w:rsidRPr="00F92B56">
        <w:rPr>
          <w:b/>
        </w:rPr>
        <w:t>art. 81b</w:t>
      </w:r>
      <w:r w:rsidRPr="00F92B56">
        <w:rPr>
          <w:b/>
        </w:rPr>
        <w:t xml:space="preserve"> § 1</w:t>
      </w:r>
      <w:r w:rsidR="004E5DB0" w:rsidRPr="00F92B56">
        <w:rPr>
          <w:b/>
        </w:rPr>
        <w:t>a</w:t>
      </w:r>
      <w:r w:rsidRPr="009A76CE">
        <w:t xml:space="preserve"> Ordy</w:t>
      </w:r>
      <w:r w:rsidR="00BB1903">
        <w:t>nacji podatkowej). W związku z </w:t>
      </w:r>
      <w:r w:rsidRPr="009A76CE">
        <w:t>możliwością dokonania korekty w tym terminie, ulegnie wydłuż</w:t>
      </w:r>
      <w:r w:rsidR="00BB1903">
        <w:t>eniu w </w:t>
      </w:r>
      <w:r w:rsidRPr="009A76CE">
        <w:t xml:space="preserve">postępowaniach w związku z zastosowaniem </w:t>
      </w:r>
      <w:r w:rsidRPr="00F92B56">
        <w:rPr>
          <w:b/>
        </w:rPr>
        <w:t>art. 119a</w:t>
      </w:r>
      <w:r w:rsidRPr="009A76CE">
        <w:t xml:space="preserve"> Ordynacji podatkowej </w:t>
      </w:r>
      <w:r w:rsidR="009A76CE">
        <w:t>–</w:t>
      </w:r>
      <w:r w:rsidR="000F5B88" w:rsidRPr="009A76CE">
        <w:t xml:space="preserve"> </w:t>
      </w:r>
      <w:r w:rsidR="00BB1903">
        <w:t>do 14 </w:t>
      </w:r>
      <w:r w:rsidRPr="009A76CE">
        <w:t xml:space="preserve">dni </w:t>
      </w:r>
      <w:r w:rsidR="009A76CE">
        <w:t>–</w:t>
      </w:r>
      <w:r w:rsidRPr="009A76CE">
        <w:t xml:space="preserve"> termin do wypowiedzenia się w sprawie zebranego materiału dowodowego, który jest określony aktualnie w art. 200 § 1 Ordynacji podatkowej (</w:t>
      </w:r>
      <w:r w:rsidRPr="00F92B56">
        <w:rPr>
          <w:b/>
        </w:rPr>
        <w:t>art. 200 § 3</w:t>
      </w:r>
      <w:r w:rsidRPr="009A76CE">
        <w:t xml:space="preserve"> Ordynacji podatkowej). </w:t>
      </w:r>
      <w:r w:rsidR="007D5B02" w:rsidRPr="009A76CE">
        <w:t>W celu promowania dobrowolnego wykonywania obowiązków podatkowych przyjęto rozwiązanie, zgodnie z którym w</w:t>
      </w:r>
      <w:r w:rsidR="000F5B88" w:rsidRPr="009A76CE">
        <w:t>yznacz</w:t>
      </w:r>
      <w:r w:rsidR="007D5B02" w:rsidRPr="009A76CE">
        <w:t>enie</w:t>
      </w:r>
      <w:r w:rsidR="000F5B88" w:rsidRPr="009A76CE">
        <w:t xml:space="preserve"> stronie czternastodniow</w:t>
      </w:r>
      <w:r w:rsidR="007D5B02" w:rsidRPr="009A76CE">
        <w:t>ego</w:t>
      </w:r>
      <w:r w:rsidR="000F5B88" w:rsidRPr="009A76CE">
        <w:t xml:space="preserve"> termin</w:t>
      </w:r>
      <w:r w:rsidR="007D5B02" w:rsidRPr="009A76CE">
        <w:t>u</w:t>
      </w:r>
      <w:r w:rsidR="000F5B88" w:rsidRPr="009A76CE">
        <w:t xml:space="preserve"> do wypowiedzenia się w sprawie zebranego materiału dowodowego</w:t>
      </w:r>
      <w:r w:rsidR="007D5B02" w:rsidRPr="009A76CE">
        <w:t xml:space="preserve"> </w:t>
      </w:r>
      <w:r w:rsidR="000F5B88" w:rsidRPr="009A76CE">
        <w:t xml:space="preserve">będzie </w:t>
      </w:r>
      <w:r w:rsidR="007D5B02" w:rsidRPr="009A76CE">
        <w:t xml:space="preserve">wiązało się z </w:t>
      </w:r>
      <w:r w:rsidR="000F5B88" w:rsidRPr="009A76CE">
        <w:t>przedstawi</w:t>
      </w:r>
      <w:r w:rsidR="007D5B02" w:rsidRPr="009A76CE">
        <w:t>eniem</w:t>
      </w:r>
      <w:r w:rsidR="000F5B88" w:rsidRPr="009A76CE">
        <w:t xml:space="preserve"> ocen</w:t>
      </w:r>
      <w:r w:rsidR="007D5B02" w:rsidRPr="009A76CE">
        <w:t>y</w:t>
      </w:r>
      <w:r w:rsidR="000F5B88" w:rsidRPr="009A76CE">
        <w:t xml:space="preserve"> prawn</w:t>
      </w:r>
      <w:r w:rsidR="007D5B02" w:rsidRPr="009A76CE">
        <w:t>ej</w:t>
      </w:r>
      <w:r w:rsidR="00BB1903">
        <w:t xml:space="preserve"> sprawy i </w:t>
      </w:r>
      <w:r w:rsidR="000F5B88" w:rsidRPr="009A76CE">
        <w:t>poucz</w:t>
      </w:r>
      <w:r w:rsidR="007D5B02" w:rsidRPr="009A76CE">
        <w:t>eniem</w:t>
      </w:r>
      <w:r w:rsidR="000F5B88" w:rsidRPr="009A76CE">
        <w:t xml:space="preserve"> stron</w:t>
      </w:r>
      <w:r w:rsidR="007D5B02" w:rsidRPr="009A76CE">
        <w:t>y</w:t>
      </w:r>
      <w:r w:rsidR="000F5B88" w:rsidRPr="009A76CE">
        <w:t xml:space="preserve"> o pr</w:t>
      </w:r>
      <w:r w:rsidR="00157864" w:rsidRPr="009A76CE">
        <w:t>a</w:t>
      </w:r>
      <w:r w:rsidR="000F5B88" w:rsidRPr="009A76CE">
        <w:t xml:space="preserve">wie skorygowania deklaracji. </w:t>
      </w:r>
      <w:r w:rsidRPr="009A76CE">
        <w:t xml:space="preserve">W przypadku skorygowania </w:t>
      </w:r>
      <w:r w:rsidRPr="009A76CE">
        <w:lastRenderedPageBreak/>
        <w:t xml:space="preserve">deklaracji w sposób usuwający korzyść podatkową, o której mowa w </w:t>
      </w:r>
      <w:r w:rsidR="00A24B3A">
        <w:rPr>
          <w:b/>
        </w:rPr>
        <w:t>art. 119a § </w:t>
      </w:r>
      <w:r w:rsidRPr="00F92B56">
        <w:rPr>
          <w:b/>
        </w:rPr>
        <w:t>1</w:t>
      </w:r>
      <w:r w:rsidRPr="00F92B56">
        <w:t>,</w:t>
      </w:r>
      <w:r w:rsidR="00676102" w:rsidRPr="009A76CE">
        <w:t xml:space="preserve"> </w:t>
      </w:r>
      <w:r w:rsidRPr="009A76CE">
        <w:t>postępowanie podatkowe zostanie umorzone jako bezprzedmiotowe. Proponowana regulacja jest korzys</w:t>
      </w:r>
      <w:r w:rsidR="00881CD7">
        <w:t>tna zarówno dla podatników, jak</w:t>
      </w:r>
      <w:r w:rsidRPr="009A76CE">
        <w:t xml:space="preserve"> i dla administracji podatkowej. Pozwala już w toku postępowania podatkowego na dobrowolne uregulowanie zaległości podatkowych wraz </w:t>
      </w:r>
      <w:r w:rsidR="00881CD7">
        <w:t xml:space="preserve">z </w:t>
      </w:r>
      <w:r w:rsidRPr="009A76CE">
        <w:t>odsetkami za zwłokę i zaniechanie dalszego, kosztownego dla obu stron postępowania podatkowego.</w:t>
      </w:r>
    </w:p>
    <w:p w:rsidR="004D6F22" w:rsidRPr="009A76CE" w:rsidRDefault="00995D40" w:rsidP="00ED7591">
      <w:pPr>
        <w:pStyle w:val="NormalnyWeb"/>
        <w:spacing w:before="0" w:after="0" w:line="360" w:lineRule="auto"/>
        <w:jc w:val="both"/>
      </w:pPr>
      <w:r w:rsidRPr="009A76CE">
        <w:t xml:space="preserve">Złożenie wniosku </w:t>
      </w:r>
      <w:r w:rsidR="004D6F22" w:rsidRPr="009A76CE">
        <w:t>o opinię Rady powodować będzie obligatoryjne zawieszenie postępowania podatkowego (</w:t>
      </w:r>
      <w:r w:rsidR="004D6F22" w:rsidRPr="00F92B56">
        <w:rPr>
          <w:b/>
        </w:rPr>
        <w:t>art. 201 § 1 pkt 8</w:t>
      </w:r>
      <w:r w:rsidR="004D6F22" w:rsidRPr="009A76CE">
        <w:t xml:space="preserve"> Ordynacji podatkowej). Organ podatkowy, który zawiesił postępowanie z tej przyczyny nie podejmuje żadnych czynności, z wyjątkiem tych, które mają na celu podjęcie postępowania albo zabezpieczenie dowodu (zmiana </w:t>
      </w:r>
      <w:r w:rsidR="004D6F22" w:rsidRPr="00F92B56">
        <w:rPr>
          <w:b/>
        </w:rPr>
        <w:t>art. 202</w:t>
      </w:r>
      <w:r w:rsidR="004D6F22" w:rsidRPr="009A76CE">
        <w:t xml:space="preserve"> Ordynacji podatkowej). Post</w:t>
      </w:r>
      <w:r w:rsidR="0041755F" w:rsidRPr="009A76CE">
        <w:t>ę</w:t>
      </w:r>
      <w:r w:rsidR="004D6F22" w:rsidRPr="009A76CE">
        <w:t xml:space="preserve">powanie podatkowe będzie podjęte po otrzymaniu przez ministra </w:t>
      </w:r>
      <w:r w:rsidR="00881CD7">
        <w:t xml:space="preserve">właściwego </w:t>
      </w:r>
      <w:r w:rsidR="004D6F22" w:rsidRPr="009A76CE">
        <w:t>do spraw finansów publicznych opinii Rady, ewentualnie po bezskutecznym upływie</w:t>
      </w:r>
      <w:r w:rsidR="00FF1149">
        <w:t xml:space="preserve"> terminu </w:t>
      </w:r>
      <w:r w:rsidR="00B7556B">
        <w:br/>
      </w:r>
      <w:r w:rsidR="00FF1149">
        <w:t>3-miesięcznego, gdyby R</w:t>
      </w:r>
      <w:r w:rsidR="004D6F22" w:rsidRPr="009A76CE">
        <w:t xml:space="preserve">ada w tym czasie nie </w:t>
      </w:r>
      <w:r w:rsidR="008D220E" w:rsidRPr="009A76CE">
        <w:t xml:space="preserve">wydała </w:t>
      </w:r>
      <w:r w:rsidR="004D6F22" w:rsidRPr="009A76CE">
        <w:t xml:space="preserve">opinii. </w:t>
      </w:r>
    </w:p>
    <w:p w:rsidR="004D6F22" w:rsidRPr="009A76CE" w:rsidRDefault="004D6F22" w:rsidP="00ED7591">
      <w:pPr>
        <w:pStyle w:val="NormalnyWeb"/>
        <w:spacing w:before="0" w:after="0" w:line="360" w:lineRule="auto"/>
        <w:jc w:val="both"/>
      </w:pPr>
      <w:r w:rsidRPr="00A31252">
        <w:t xml:space="preserve">Opinia Rady do </w:t>
      </w:r>
      <w:r w:rsidR="00F02918" w:rsidRPr="00A31252">
        <w:t xml:space="preserve">Spraw </w:t>
      </w:r>
      <w:r w:rsidR="00186FF6" w:rsidRPr="00A31252">
        <w:t xml:space="preserve">Przeciwdziałania Unikaniu </w:t>
      </w:r>
      <w:r w:rsidRPr="00A31252">
        <w:t xml:space="preserve">Opodatkowania nie będzie wiążąca dla organów podatkowych, aczkolwiek w decyzji organ podatkowy byłby obowiązany odnieść się do jej treści w szczególności wówczas, jeśli opinia byłaby korzystna dla podatnika, a mimo to </w:t>
      </w:r>
      <w:r w:rsidRPr="009A76CE">
        <w:t>minister właściwy do spraw finansów publicznych uznałby zasadność zastosowania klauzuli (</w:t>
      </w:r>
      <w:r w:rsidRPr="00F92B56">
        <w:rPr>
          <w:b/>
        </w:rPr>
        <w:t>art. 210 § 2c</w:t>
      </w:r>
      <w:r w:rsidRPr="009A76CE">
        <w:t xml:space="preserve"> Ordynacji podatkowej). Opinia Rady stanowiłaby część akt sprawy.</w:t>
      </w:r>
    </w:p>
    <w:p w:rsidR="00995D40" w:rsidRPr="009A76CE" w:rsidRDefault="004D6F22" w:rsidP="00ED7591">
      <w:pPr>
        <w:pStyle w:val="NormalnyWeb"/>
        <w:spacing w:before="0" w:after="0" w:line="360" w:lineRule="auto"/>
        <w:jc w:val="both"/>
      </w:pPr>
      <w:r w:rsidRPr="009A76CE">
        <w:t>Proponowane rozwiązania wymagają, aby w każdej decyzji została wyszczególniona kwota zobowiązania podatk</w:t>
      </w:r>
      <w:r w:rsidR="00881CD7">
        <w:t>owego, nadpłaty, zwrotu podatku</w:t>
      </w:r>
      <w:r w:rsidRPr="009A76CE">
        <w:t xml:space="preserve"> lub straty, która wynika z</w:t>
      </w:r>
      <w:r w:rsidR="00881CD7">
        <w:t>e</w:t>
      </w:r>
      <w:r w:rsidRPr="009A76CE">
        <w:t xml:space="preserve"> stosowania klauzuli. Kwota ta powinna być wskazana w decyzji (</w:t>
      </w:r>
      <w:r w:rsidRPr="00F92B56">
        <w:rPr>
          <w:b/>
        </w:rPr>
        <w:t>art. 210 § 2b</w:t>
      </w:r>
      <w:r w:rsidRPr="009A76CE">
        <w:t xml:space="preserve"> Ordynacji podatkowej). Postulowane rozwiązanie zapewnia bezpieczeństwo procesowe każdemu podatnikowi, w stosunku do którego klauzula zostanie zastosowana, niezależnie od wysokości zobowiązania podatkowego określonego w wyniku jej zastosowania. Ma to związek z proponowanym (w </w:t>
      </w:r>
      <w:r w:rsidRPr="00373EA7">
        <w:rPr>
          <w:b/>
        </w:rPr>
        <w:t>art. 239d § 2</w:t>
      </w:r>
      <w:r w:rsidR="00373EA7">
        <w:t xml:space="preserve"> </w:t>
      </w:r>
      <w:r w:rsidRPr="009A76CE">
        <w:t xml:space="preserve">Ordynacji podatkowej) wyłączeniem instytucji rygoru natychmiastowej wykonalności w odniesieniu do decyzji wydanej w związku z zastosowaniem </w:t>
      </w:r>
      <w:r w:rsidRPr="00373EA7">
        <w:rPr>
          <w:b/>
        </w:rPr>
        <w:t>art. 119a</w:t>
      </w:r>
      <w:r w:rsidRPr="009A76CE">
        <w:t>.</w:t>
      </w:r>
    </w:p>
    <w:p w:rsidR="004D6F22" w:rsidRPr="009A76CE" w:rsidRDefault="004D6F22" w:rsidP="00ED7591">
      <w:pPr>
        <w:pStyle w:val="NormalnyWeb"/>
        <w:spacing w:before="0" w:after="0" w:line="360" w:lineRule="auto"/>
        <w:jc w:val="both"/>
      </w:pPr>
      <w:r w:rsidRPr="009A76CE">
        <w:t xml:space="preserve">Wezwany przez ministra właściwego do spraw finansów publicznych w toku postępowania w sprawie przeciwdziałania unikaniu opodatkowania będzie obowiązany do osobistego stawiennictwa przed organem podatkowym niezależnie od jego miejsca zamieszkania lub pobytu, a więc także poza obszarem województwa, w którym </w:t>
      </w:r>
      <w:r w:rsidRPr="009A76CE">
        <w:lastRenderedPageBreak/>
        <w:t xml:space="preserve">zamieszkuje lub przebywa. Koszty stawiennictwa będą zaliczane do kosztów postępowania i zwracane według zasad określonych w </w:t>
      </w:r>
      <w:r w:rsidRPr="00373EA7">
        <w:rPr>
          <w:b/>
        </w:rPr>
        <w:t>art. 265 § 1 pkt 1</w:t>
      </w:r>
      <w:r w:rsidRPr="009A76CE">
        <w:t xml:space="preserve"> Ordynacji podatkowej, co wynika z nowego </w:t>
      </w:r>
      <w:r w:rsidRPr="00373EA7">
        <w:rPr>
          <w:b/>
        </w:rPr>
        <w:t>pkt 2b</w:t>
      </w:r>
      <w:r w:rsidRPr="009A76CE">
        <w:t xml:space="preserve">. </w:t>
      </w:r>
    </w:p>
    <w:p w:rsidR="004D6F22" w:rsidRPr="009A76CE" w:rsidRDefault="004D6F22" w:rsidP="00ED7591">
      <w:pPr>
        <w:pStyle w:val="NormalnyWeb"/>
        <w:spacing w:before="0" w:after="0" w:line="360" w:lineRule="auto"/>
        <w:jc w:val="both"/>
      </w:pPr>
      <w:r w:rsidRPr="009A76CE">
        <w:t>W związku z potrzebą zapewnienia Radzie dostępu do akt podatkowych podatnika podlegających ochronie tajemnicą skarbową należy wprowadzić także stosowne zmiany dostosowawcze w przepisach regulujących tajemnicę</w:t>
      </w:r>
      <w:r w:rsidR="00BB1903">
        <w:t xml:space="preserve"> skarbową (dodanie </w:t>
      </w:r>
      <w:r w:rsidR="00BB1903" w:rsidRPr="00373EA7">
        <w:rPr>
          <w:b/>
        </w:rPr>
        <w:t>pkt 7</w:t>
      </w:r>
      <w:r w:rsidR="00BB1903">
        <w:t xml:space="preserve"> w </w:t>
      </w:r>
      <w:r w:rsidR="00BB1903" w:rsidRPr="00373EA7">
        <w:rPr>
          <w:b/>
        </w:rPr>
        <w:t>art. </w:t>
      </w:r>
      <w:r w:rsidRPr="00373EA7">
        <w:rPr>
          <w:b/>
        </w:rPr>
        <w:t>294 § 1</w:t>
      </w:r>
      <w:r w:rsidRPr="009A76CE">
        <w:t xml:space="preserve"> Ordynacji podatkowej oraz zmiana </w:t>
      </w:r>
      <w:r w:rsidRPr="00373EA7">
        <w:rPr>
          <w:b/>
        </w:rPr>
        <w:t>§ 3</w:t>
      </w:r>
      <w:r w:rsidRPr="009A76CE">
        <w:t xml:space="preserve">). Posiedzenia Rady powinny być niejawne. </w:t>
      </w:r>
    </w:p>
    <w:p w:rsidR="004D6F22" w:rsidRPr="009A76CE" w:rsidRDefault="004D6F22" w:rsidP="00ED7591">
      <w:pPr>
        <w:pStyle w:val="NormalnyWeb"/>
        <w:spacing w:before="0" w:after="0" w:line="360" w:lineRule="auto"/>
        <w:jc w:val="both"/>
      </w:pPr>
      <w:r w:rsidRPr="00B24567">
        <w:rPr>
          <w:b/>
        </w:rPr>
        <w:t>Art. 2.</w:t>
      </w:r>
      <w:r w:rsidRPr="009A76CE">
        <w:t xml:space="preserve"> Zmi</w:t>
      </w:r>
      <w:r w:rsidR="00BB1903">
        <w:t>any w ustawie –</w:t>
      </w:r>
      <w:r w:rsidRPr="009A76CE">
        <w:t xml:space="preserve"> Prawo o postępowaniu przed sądami administracyjnymi </w:t>
      </w:r>
    </w:p>
    <w:p w:rsidR="004D6F22" w:rsidRPr="009A76CE" w:rsidRDefault="00BB7D95" w:rsidP="00ED7591">
      <w:pPr>
        <w:pStyle w:val="NormalnyWeb"/>
        <w:spacing w:before="0" w:after="0" w:line="360" w:lineRule="auto"/>
        <w:jc w:val="both"/>
      </w:pPr>
      <w:r w:rsidRPr="009A76CE">
        <w:t>Skarga przysługiwać też będzie na odmowę wydania opinii zabezpieczającej, pozostawienie bez rozpatrzenia wniosku o jej wydanie oraz na decyzje umarzającą –</w:t>
      </w:r>
      <w:r w:rsidRPr="00A31252">
        <w:t xml:space="preserve"> wydawana w razie cofnięcia wniosku o wydanie opinii. Wymogi w zakresie skargi na opinię zabezpieczającą będą takie jak w przypadku skargi na interpretację indywidualną przepisów prawa podatkowego. </w:t>
      </w:r>
      <w:r w:rsidR="004D6F22" w:rsidRPr="00A31252">
        <w:t>Zmiany do</w:t>
      </w:r>
      <w:r w:rsidR="00BB1903">
        <w:t>stosowawcze w ustawie – Prawo o </w:t>
      </w:r>
      <w:r w:rsidR="004D6F22" w:rsidRPr="00A31252">
        <w:t>postępowaniu przed sądami administracyjnymi związane są z koniecznością zapewnienia prawa do sądu podmiotowi, który wniósł o wydanie opinii zabezpieczającej przez ministra właściwego do spraw finansów publicznych. Instytucja ta ma na celu zapewnienie podatnikowi możliwie wysokiego stopnia bezpieczeństwa prawnego na płaszczyźnie potencjalnego st</w:t>
      </w:r>
      <w:r w:rsidR="00BB1903">
        <w:t>anu niepewności, wynikającego z </w:t>
      </w:r>
      <w:r w:rsidR="004D6F22" w:rsidRPr="00A31252">
        <w:t xml:space="preserve">interpretacji klauzuli przeciwko unikaniu opodatkowania. Przyjęte w tym zakresie rozwiązania wzorowane są </w:t>
      </w:r>
      <w:r w:rsidR="004D6F22" w:rsidRPr="009A76CE">
        <w:t xml:space="preserve">na modelu zaskarżalności indywidualnych interpretacji. </w:t>
      </w:r>
    </w:p>
    <w:p w:rsidR="004D6F22" w:rsidRPr="009A76CE" w:rsidRDefault="004D6F22" w:rsidP="00ED7591">
      <w:pPr>
        <w:pStyle w:val="NormalnyWeb"/>
        <w:spacing w:before="0" w:after="0" w:line="360" w:lineRule="auto"/>
        <w:jc w:val="both"/>
      </w:pPr>
      <w:r w:rsidRPr="009A76CE">
        <w:t xml:space="preserve">Proponuje się wprowadzenie w </w:t>
      </w:r>
      <w:r w:rsidRPr="00373EA7">
        <w:rPr>
          <w:b/>
        </w:rPr>
        <w:t>art. 3 § 2</w:t>
      </w:r>
      <w:r w:rsidRPr="009A76CE">
        <w:t xml:space="preserve"> ustawy – Prawo o postępowaniu przed sądami administracyjnymi regulacji poddającej kognicji sądów administracyjnych opinie zabezpieczające </w:t>
      </w:r>
      <w:r w:rsidR="002E41D1" w:rsidRPr="009A76CE">
        <w:t xml:space="preserve">oraz zmiany opinii zabezpieczających </w:t>
      </w:r>
      <w:r w:rsidRPr="009A76CE">
        <w:t>wydawane przez ministra właściwego do spraw finansów publicznych. Skargę do sądu administracyjnego będzie można także wnieść na odmowę wydania opinii za</w:t>
      </w:r>
      <w:r w:rsidR="00BB1903">
        <w:t>bezpieczającej, postanowienie o </w:t>
      </w:r>
      <w:r w:rsidRPr="009A76CE">
        <w:t xml:space="preserve">pozostawieniu bez rozpatrzenia wniosku o wydanie opinii zabezpieczającej oraz na decyzję </w:t>
      </w:r>
      <w:r w:rsidR="007A7A8D" w:rsidRPr="009A76CE">
        <w:t xml:space="preserve">o </w:t>
      </w:r>
      <w:r w:rsidRPr="009A76CE">
        <w:t>umorzeniu postępowania, która ma być wydawana w razie cofnięcia wniosku o wydanie opinii zabezpieczającej (</w:t>
      </w:r>
      <w:r w:rsidRPr="00373EA7">
        <w:rPr>
          <w:b/>
        </w:rPr>
        <w:t>art. 119z</w:t>
      </w:r>
      <w:r w:rsidR="009B6F16" w:rsidRPr="00373EA7">
        <w:rPr>
          <w:b/>
        </w:rPr>
        <w:t>e</w:t>
      </w:r>
      <w:r w:rsidRPr="009A76CE">
        <w:t xml:space="preserve">). </w:t>
      </w:r>
    </w:p>
    <w:p w:rsidR="00575F16" w:rsidRPr="009A76CE" w:rsidRDefault="00575F16" w:rsidP="00ED7591">
      <w:pPr>
        <w:pStyle w:val="NormalnyWeb"/>
        <w:spacing w:before="0" w:after="0" w:line="360" w:lineRule="auto"/>
        <w:jc w:val="both"/>
      </w:pPr>
      <w:r w:rsidRPr="00B24567">
        <w:rPr>
          <w:b/>
        </w:rPr>
        <w:t>Art. 3.</w:t>
      </w:r>
      <w:r w:rsidRPr="009A76CE">
        <w:t xml:space="preserve"> Zmiany w ustawie o podatku od towarów i usług</w:t>
      </w:r>
    </w:p>
    <w:p w:rsidR="00BD6F88" w:rsidRPr="009A76CE" w:rsidRDefault="00BD6F88" w:rsidP="00ED7591">
      <w:pPr>
        <w:pStyle w:val="NormalnyWeb"/>
        <w:spacing w:before="0" w:after="0" w:line="360" w:lineRule="auto"/>
        <w:jc w:val="both"/>
      </w:pPr>
      <w:r w:rsidRPr="009A76CE">
        <w:t xml:space="preserve">W orzecznictwie Trybunału Sprawiedliwości Unii Europejskiej (dalej: TSUE) została wypracowana ogólna zasada zakazu nadużycia prawa wspólnotowego w zakresie VAT – przykładowo można wskazać następujące wyroki TSUE: w sprawie C-255/02 </w:t>
      </w:r>
      <w:r w:rsidRPr="009A76CE">
        <w:lastRenderedPageBreak/>
        <w:t>Halifax; w sprawie C-167/07 Ampliscientifica Srl, Amplifin SpA; w sprawie C-504/10 Tanoarch s.r.o.; w sprawie C-326/11 J.J. Komen en Zonen Beheer Heerhugowaard BV; w sprawie C-653/11 Paul Newey (Ocean Finance). W wyroku w sprawie C-255/02 Halifax Trybunał wskazał, że „w dziedzinie podatku VAT dla stwierdzenia istnienia nadużycia wymagane jest, po pierwsze, aby dane transakcje, pomimo spełniania warunków formalnych ustanowionych przez odpowiedn</w:t>
      </w:r>
      <w:r w:rsidR="00BB1903">
        <w:t>ie przepisy szóstej dyrektywy i </w:t>
      </w:r>
      <w:r w:rsidRPr="009A76CE">
        <w:t>ustawodawstwa krajowego transponującego tę dyrektywę, skutkowały osiągnięciem korzyści finansowej, której przyznanie byłoby sprzeczne z celem, któremu służą owe przepisy. Ponadto również z ogółu obiektywnych czynników powinno wynikać, że celem spornych transakcji jest uzyskanie korzyści poda</w:t>
      </w:r>
      <w:r w:rsidR="00BB1903">
        <w:t>tkowej.” (pkt 74 i 75 wyroku)</w:t>
      </w:r>
      <w:r w:rsidR="00881CD7">
        <w:t>.</w:t>
      </w:r>
      <w:r w:rsidR="00BB1903">
        <w:t xml:space="preserve"> W </w:t>
      </w:r>
      <w:r w:rsidRPr="009A76CE">
        <w:t>wyroku w sprawie C-425/06 Trybunał doprecyzował sposób postępowania pozwalający ocenić</w:t>
      </w:r>
      <w:r w:rsidR="00881CD7">
        <w:t>,</w:t>
      </w:r>
      <w:r w:rsidRPr="009A76CE">
        <w:t xml:space="preserve"> czy czynności można uważać za p</w:t>
      </w:r>
      <w:r w:rsidR="00BB1903">
        <w:t>raktyki stanowiące nadużycie, w </w:t>
      </w:r>
      <w:r w:rsidRPr="009A76CE">
        <w:t>tym celu „sąd krajowy powinien najpierw zbadać, czy zamierzonym skutkiem jest korzyść podatkowa, której przyznanie byłoby sprzeczne z jednym lub kilkoma celami szóstej dyrektywy, a następnie, czy stanowiła ona zasadniczy cel przyjętego rozwiązania umownego” (pkt 58).</w:t>
      </w:r>
    </w:p>
    <w:p w:rsidR="00BD6F88" w:rsidRPr="009A76CE" w:rsidRDefault="00BD6F88" w:rsidP="00ED7591">
      <w:pPr>
        <w:pStyle w:val="NormalnyWeb"/>
        <w:spacing w:before="0" w:after="0" w:line="360" w:lineRule="auto"/>
        <w:jc w:val="both"/>
      </w:pPr>
      <w:r w:rsidRPr="00A31252">
        <w:t>W orzecznictwie Trybunał wskazywał również na sposób postępowania w przypadku</w:t>
      </w:r>
      <w:r w:rsidR="00AD4260">
        <w:t>,</w:t>
      </w:r>
      <w:r w:rsidRPr="00A31252">
        <w:t xml:space="preserve"> gdy miało miejsce nadużycie prawa. Przykładowo w wyroku w sprawie C-425/06 zaznaczył, </w:t>
      </w:r>
      <w:r w:rsidRPr="009A76CE">
        <w:t>że „...jeżeli stwierdzono istnienie nadużycia, to przeprowadzone transakcje powinny zostać przedefiniowane w taki sposób, aby odtworzyć sytuację, która istniałaby, gdyby nie dokonano transakcji stanowiących nadużycie.” (pkt 98). Podobnie w wyroku w sprawie C-653/11 w którym Trybunał stwierdził, że „...omawiane warunki umowne należy ponownie określić, tak by przywrócić sytuację, która miałaby miejsce w braku transakcji będących taką praktyką stanowiącą nadużycie”</w:t>
      </w:r>
      <w:r w:rsidR="0001138A">
        <w:t xml:space="preserve"> </w:t>
      </w:r>
      <w:r w:rsidRPr="009A76CE">
        <w:t>(pkt 50).</w:t>
      </w:r>
    </w:p>
    <w:p w:rsidR="00C634C2" w:rsidRPr="00A31252" w:rsidRDefault="00BD6F88" w:rsidP="00ED7591">
      <w:pPr>
        <w:pStyle w:val="NormalnyWeb"/>
        <w:spacing w:before="0" w:after="0" w:line="360" w:lineRule="auto"/>
        <w:jc w:val="both"/>
      </w:pPr>
      <w:r w:rsidRPr="00A31252">
        <w:t>Klauzula nadużycia prawa w odniesieniu do podatku VAT jest obecnie stosowana bezpośrednio przez organy podatkowe i sądy administracyjne na podstawie wypracowanego orzecznictwa TSUE, co znajduj</w:t>
      </w:r>
      <w:r w:rsidR="00BB1903">
        <w:t>e swoje potwierdzenie zarówno w </w:t>
      </w:r>
      <w:r w:rsidRPr="00A31252">
        <w:t xml:space="preserve">stosownych wyrokach TSUE, jak i wyrokach polskich sądów administracyjnych (przykładowo wyrok TSUE z dnia 18 grudnia 2014 r. w sprawach połączonych </w:t>
      </w:r>
      <w:r w:rsidR="00BB1903">
        <w:br/>
      </w:r>
      <w:r w:rsidR="00AD4260">
        <w:t>C-131/13, C-163/13 i C-164/13</w:t>
      </w:r>
      <w:r w:rsidRPr="00A31252">
        <w:t xml:space="preserve"> czy wyrok NSA </w:t>
      </w:r>
      <w:r w:rsidR="00AD4260">
        <w:t>z dnia 11 września 2015 r. sygn</w:t>
      </w:r>
      <w:r w:rsidRPr="00A31252">
        <w:t>. akt I FSK 578/15). Proponowana zmiana ma zatem ch</w:t>
      </w:r>
      <w:r w:rsidR="00BB1903">
        <w:t>arakter jedynie uzupełniający i </w:t>
      </w:r>
      <w:r w:rsidRPr="00A31252">
        <w:t>związana jest z wprowadzeniem w przepisach Ordynacji podatkowej klauzuli generalnej.</w:t>
      </w:r>
    </w:p>
    <w:p w:rsidR="00687A9E" w:rsidRPr="00A31252" w:rsidRDefault="00C634C2" w:rsidP="00ED7591">
      <w:pPr>
        <w:pStyle w:val="NormalnyWeb"/>
        <w:spacing w:before="0" w:after="0" w:line="360" w:lineRule="auto"/>
        <w:jc w:val="both"/>
      </w:pPr>
      <w:r w:rsidRPr="00A31252">
        <w:lastRenderedPageBreak/>
        <w:t>Za niezasadne należy uznać przyznanie jakiejkolw</w:t>
      </w:r>
      <w:r w:rsidR="00BB1903">
        <w:t>iek ochrony prawnej związanej z </w:t>
      </w:r>
      <w:r w:rsidRPr="00A31252">
        <w:t xml:space="preserve">uzyskaniem przez podatnika interpretacji wydanej </w:t>
      </w:r>
      <w:r w:rsidR="00BB1903">
        <w:t>w zakresie podatku od towarów i </w:t>
      </w:r>
      <w:r w:rsidRPr="00A31252">
        <w:t xml:space="preserve">usług w przypadku stwierdzenia, iż wniosek został złożony w stanie faktycznym lub zdarzeniu przyszłym, w którym transakcje gospodarcze tak zostały przez wnioskodawcę ukształtowane, aby skorzystać z nadużycia prawa </w:t>
      </w:r>
      <w:r w:rsidR="00BB1903">
        <w:t>w rozumieniu przepisów ustawy o </w:t>
      </w:r>
      <w:r w:rsidRPr="00A31252">
        <w:t>VAT, tj. uzyskać nienależną korzyść podatkową, której przyznanie byłoby sprzeczne z celem, któremu służą dane przepisy. Zatem w przypadku stwierdzenia „sztuczności” transakcji, nie znajdujących uzasadnienia z punktu w</w:t>
      </w:r>
      <w:r w:rsidR="00BB1903">
        <w:t>idzenia praktyki gospodarczej i </w:t>
      </w:r>
      <w:r w:rsidRPr="00A31252">
        <w:t>mających na celu uzyskanie głównie korzyści podatkowych, organy upoważnione do wydawania interpretacji indywidualnych powinny mieć możliwość odmówienia wydania interpretacji indywidualnej w zakresie podatku od towarów i usług</w:t>
      </w:r>
      <w:r w:rsidR="000C6A0D" w:rsidRPr="00A31252">
        <w:t xml:space="preserve"> (dodany </w:t>
      </w:r>
      <w:r w:rsidR="000C6A0D" w:rsidRPr="00373EA7">
        <w:rPr>
          <w:b/>
        </w:rPr>
        <w:t>art. 14b § 5b</w:t>
      </w:r>
      <w:r w:rsidR="000C6A0D" w:rsidRPr="009A76CE">
        <w:t xml:space="preserve"> Ordynacji podatkowej)</w:t>
      </w:r>
      <w:r w:rsidRPr="009A76CE">
        <w:t>. Natomiast w przypadku, gdy stwierdzenie</w:t>
      </w:r>
      <w:r w:rsidRPr="00A31252">
        <w:t xml:space="preserve"> nadużycia prawa nastąpi już po wydaniu interpretacji indywidualnej, nie zapewni </w:t>
      </w:r>
      <w:r w:rsidR="001D52D7" w:rsidRPr="00A31252">
        <w:t xml:space="preserve">ona </w:t>
      </w:r>
      <w:r w:rsidRPr="00A31252">
        <w:t>podatnikowi ochrony prawnej, a organy podatkowe będą mogły wyegzekwować podatek, naliczyć odsetki oraz wszcząć postępowanie karnoskarbowe – jako sankcję za próbę nadużycia prawa podatkowego</w:t>
      </w:r>
      <w:r w:rsidR="0091126A" w:rsidRPr="00A31252">
        <w:t xml:space="preserve"> (</w:t>
      </w:r>
      <w:r w:rsidR="0091126A" w:rsidRPr="009A76CE">
        <w:t xml:space="preserve">dodany </w:t>
      </w:r>
      <w:r w:rsidR="004168FE">
        <w:rPr>
          <w:b/>
        </w:rPr>
        <w:t>art. 14n</w:t>
      </w:r>
      <w:r w:rsidR="0091126A" w:rsidRPr="00373EA7">
        <w:rPr>
          <w:b/>
        </w:rPr>
        <w:t>a pkt 2</w:t>
      </w:r>
      <w:r w:rsidR="0091126A" w:rsidRPr="009A76CE">
        <w:t xml:space="preserve"> Ordynacji podatkowej)</w:t>
      </w:r>
      <w:r w:rsidR="00BB1903">
        <w:t>. W </w:t>
      </w:r>
      <w:r w:rsidRPr="009A76CE">
        <w:t>przedmiotowym zakresie można wskazać orzecznictwo TSUE dotyczące zakazu nadużycia prawa wspólnotowego w zakresie VAT, jak również</w:t>
      </w:r>
      <w:r w:rsidR="000330D6">
        <w:t xml:space="preserve"> z</w:t>
      </w:r>
      <w:r w:rsidRPr="00A31252">
        <w:t>alecenia Komisji Europejskiej z dnia 6 grudnia 2012 r. w sprawie agresywnego planowania podatkowego (C(2012)8806), które dotyczą podatków bezpośrednich.</w:t>
      </w:r>
      <w:r w:rsidR="00BD6F88" w:rsidRPr="00A31252">
        <w:t xml:space="preserve"> </w:t>
      </w:r>
    </w:p>
    <w:p w:rsidR="000D17AA" w:rsidRPr="009A76CE" w:rsidRDefault="00687A9E" w:rsidP="00ED7591">
      <w:pPr>
        <w:pStyle w:val="NormalnyWeb"/>
        <w:spacing w:before="0" w:after="0" w:line="360" w:lineRule="auto"/>
        <w:jc w:val="both"/>
      </w:pPr>
      <w:r w:rsidRPr="00373EA7">
        <w:rPr>
          <w:b/>
        </w:rPr>
        <w:t>Art. 4</w:t>
      </w:r>
      <w:r w:rsidR="00375014" w:rsidRPr="00373EA7">
        <w:rPr>
          <w:b/>
        </w:rPr>
        <w:t>.</w:t>
      </w:r>
      <w:r w:rsidR="00375014" w:rsidRPr="009A76CE">
        <w:t xml:space="preserve"> </w:t>
      </w:r>
      <w:r w:rsidR="00C631E0" w:rsidRPr="009A76CE">
        <w:t>Wyłączenie ochrony prawnej z tytułu zastosowania się do interpretacji indywidualnej, o którym mowa w art. 14</w:t>
      </w:r>
      <w:r w:rsidR="004168FE">
        <w:t>n</w:t>
      </w:r>
      <w:r w:rsidR="00C631E0" w:rsidRPr="009A76CE">
        <w:t>a Ordynacji podatkowej, będzie</w:t>
      </w:r>
      <w:r w:rsidRPr="009A76CE">
        <w:t xml:space="preserve"> m</w:t>
      </w:r>
      <w:r w:rsidR="00C631E0" w:rsidRPr="009A76CE">
        <w:t>iało</w:t>
      </w:r>
      <w:r w:rsidRPr="009A76CE">
        <w:t xml:space="preserve"> zastosowanie do interpretacji indywidualnych wydanych po </w:t>
      </w:r>
      <w:r w:rsidR="004168FE">
        <w:t>dniu wejścia</w:t>
      </w:r>
      <w:r w:rsidRPr="009A76CE">
        <w:t xml:space="preserve"> w życie </w:t>
      </w:r>
      <w:r w:rsidR="005F59DE">
        <w:t xml:space="preserve">niniejszej </w:t>
      </w:r>
      <w:r w:rsidRPr="009A76CE">
        <w:t>ustawy.</w:t>
      </w:r>
    </w:p>
    <w:p w:rsidR="00FC40A1" w:rsidRPr="00A31252" w:rsidRDefault="000D17AA" w:rsidP="00ED7591">
      <w:pPr>
        <w:spacing w:after="0" w:line="360" w:lineRule="auto"/>
        <w:jc w:val="both"/>
        <w:rPr>
          <w:rFonts w:ascii="Times New Roman" w:hAnsi="Times New Roman"/>
          <w:sz w:val="24"/>
          <w:szCs w:val="24"/>
        </w:rPr>
      </w:pPr>
      <w:r w:rsidRPr="002E5634">
        <w:rPr>
          <w:rFonts w:ascii="Times New Roman" w:hAnsi="Times New Roman"/>
          <w:b/>
          <w:sz w:val="24"/>
          <w:szCs w:val="24"/>
        </w:rPr>
        <w:t xml:space="preserve">Art. </w:t>
      </w:r>
      <w:r w:rsidR="00EA0DBC" w:rsidRPr="002E5634">
        <w:rPr>
          <w:rFonts w:ascii="Times New Roman" w:hAnsi="Times New Roman"/>
          <w:b/>
          <w:sz w:val="24"/>
          <w:szCs w:val="24"/>
        </w:rPr>
        <w:t>5</w:t>
      </w:r>
      <w:r w:rsidRPr="002E5634">
        <w:rPr>
          <w:rFonts w:ascii="Times New Roman" w:hAnsi="Times New Roman"/>
          <w:b/>
          <w:sz w:val="24"/>
          <w:szCs w:val="24"/>
        </w:rPr>
        <w:t>.</w:t>
      </w:r>
      <w:r w:rsidRPr="009A76CE">
        <w:rPr>
          <w:rFonts w:ascii="Times New Roman" w:hAnsi="Times New Roman"/>
          <w:sz w:val="24"/>
          <w:szCs w:val="24"/>
        </w:rPr>
        <w:t xml:space="preserve"> </w:t>
      </w:r>
      <w:r w:rsidR="00CC13D6" w:rsidRPr="009A76CE">
        <w:rPr>
          <w:rFonts w:ascii="Times New Roman" w:hAnsi="Times New Roman"/>
          <w:sz w:val="24"/>
          <w:szCs w:val="24"/>
        </w:rPr>
        <w:t xml:space="preserve">Przepisy o klauzuli przeciwko unikaniu opodatkowania będą miały zastosowanie do </w:t>
      </w:r>
      <w:r w:rsidR="00F12E1D" w:rsidRPr="009A76CE">
        <w:rPr>
          <w:rFonts w:ascii="Times New Roman" w:hAnsi="Times New Roman"/>
          <w:sz w:val="24"/>
          <w:szCs w:val="24"/>
        </w:rPr>
        <w:t xml:space="preserve">czynności </w:t>
      </w:r>
      <w:r w:rsidR="00F30CE6" w:rsidRPr="009A76CE">
        <w:rPr>
          <w:rFonts w:ascii="Times New Roman" w:hAnsi="Times New Roman"/>
          <w:sz w:val="24"/>
          <w:szCs w:val="24"/>
        </w:rPr>
        <w:t xml:space="preserve">dokonanych po dniu wejścia w życie </w:t>
      </w:r>
      <w:r w:rsidR="00333757">
        <w:rPr>
          <w:rFonts w:ascii="Times New Roman" w:hAnsi="Times New Roman"/>
          <w:sz w:val="24"/>
          <w:szCs w:val="24"/>
        </w:rPr>
        <w:t xml:space="preserve">niniejszej </w:t>
      </w:r>
      <w:r w:rsidR="00F30CE6" w:rsidRPr="009A76CE">
        <w:rPr>
          <w:rFonts w:ascii="Times New Roman" w:hAnsi="Times New Roman"/>
          <w:sz w:val="24"/>
          <w:szCs w:val="24"/>
        </w:rPr>
        <w:t>ustawy.</w:t>
      </w:r>
      <w:r w:rsidR="00BD6F88" w:rsidRPr="009A76CE">
        <w:rPr>
          <w:rFonts w:ascii="Times New Roman" w:hAnsi="Times New Roman"/>
          <w:sz w:val="24"/>
          <w:szCs w:val="24"/>
        </w:rPr>
        <w:t xml:space="preserve"> </w:t>
      </w:r>
      <w:r w:rsidR="00FC40A1" w:rsidRPr="009A76CE">
        <w:rPr>
          <w:rFonts w:ascii="Times New Roman" w:hAnsi="Times New Roman"/>
          <w:sz w:val="24"/>
          <w:szCs w:val="24"/>
        </w:rPr>
        <w:t xml:space="preserve">Zakres czasowy stosowania ustawy został wyraźnie powiązany z dokonaniem czynności. Dla każdej czynności można ustalić konkretny moment, datę jej dokonania. Klauzula przeciwko unikaniu opodatkowania będzie stosowana do każdej czynności stanowiącej unikanie opodatkowania dokonanej pod rządami ustawy. Istotne będzie, kiedy (przed czy po wejściu w życie </w:t>
      </w:r>
      <w:r w:rsidR="0003703C">
        <w:rPr>
          <w:rFonts w:ascii="Times New Roman" w:hAnsi="Times New Roman"/>
          <w:sz w:val="24"/>
          <w:szCs w:val="24"/>
        </w:rPr>
        <w:t>niniejszej</w:t>
      </w:r>
      <w:r w:rsidR="00F4118B">
        <w:rPr>
          <w:rFonts w:ascii="Times New Roman" w:hAnsi="Times New Roman"/>
          <w:sz w:val="24"/>
          <w:szCs w:val="24"/>
        </w:rPr>
        <w:t xml:space="preserve"> </w:t>
      </w:r>
      <w:r w:rsidR="00FC40A1" w:rsidRPr="009A76CE">
        <w:rPr>
          <w:rFonts w:ascii="Times New Roman" w:hAnsi="Times New Roman"/>
          <w:sz w:val="24"/>
          <w:szCs w:val="24"/>
        </w:rPr>
        <w:t>ustawy) nastąpi moment dokonania czynności. Moment</w:t>
      </w:r>
      <w:r w:rsidR="00FC40A1" w:rsidRPr="00A31252">
        <w:rPr>
          <w:rFonts w:ascii="Times New Roman" w:hAnsi="Times New Roman"/>
          <w:sz w:val="24"/>
          <w:szCs w:val="24"/>
        </w:rPr>
        <w:t xml:space="preserve"> przygotowywania tej czynności nie ma żadnego znaczenia dla stosowania ustawy. Tak samo bez znaczenia jest, czy czynność stanowiąca unikanie </w:t>
      </w:r>
      <w:r w:rsidR="00FC40A1" w:rsidRPr="00A31252">
        <w:rPr>
          <w:rFonts w:ascii="Times New Roman" w:hAnsi="Times New Roman"/>
          <w:sz w:val="24"/>
          <w:szCs w:val="24"/>
        </w:rPr>
        <w:lastRenderedPageBreak/>
        <w:t xml:space="preserve">opodatkowania została poprzedzona innymi czynnościami i ile tych czynności poprzedzających było. </w:t>
      </w:r>
    </w:p>
    <w:p w:rsidR="001D25E7" w:rsidRPr="009A76CE" w:rsidRDefault="00D76DC6" w:rsidP="00ED7591">
      <w:pPr>
        <w:pStyle w:val="ARTartustawynprozporzdzenia"/>
        <w:spacing w:before="0"/>
        <w:ind w:firstLine="0"/>
        <w:rPr>
          <w:rStyle w:val="Ppogrubienie"/>
          <w:rFonts w:ascii="Times New Roman" w:eastAsia="Calibri" w:hAnsi="Times New Roman" w:cs="Times New Roman"/>
          <w:b w:val="0"/>
          <w:szCs w:val="24"/>
          <w:lang w:eastAsia="en-US"/>
        </w:rPr>
      </w:pPr>
      <w:r w:rsidRPr="002E5634">
        <w:rPr>
          <w:rStyle w:val="Ppogrubienie"/>
          <w:rFonts w:ascii="Times New Roman" w:hAnsi="Times New Roman" w:cs="Times New Roman"/>
          <w:szCs w:val="24"/>
        </w:rPr>
        <w:t xml:space="preserve">Art. </w:t>
      </w:r>
      <w:r w:rsidR="00EA0DBC" w:rsidRPr="002E5634">
        <w:rPr>
          <w:rStyle w:val="Ppogrubienie"/>
          <w:rFonts w:ascii="Times New Roman" w:hAnsi="Times New Roman" w:cs="Times New Roman"/>
          <w:szCs w:val="24"/>
        </w:rPr>
        <w:t>6</w:t>
      </w:r>
      <w:r w:rsidRPr="002E5634">
        <w:rPr>
          <w:rStyle w:val="Ppogrubienie"/>
          <w:rFonts w:ascii="Times New Roman" w:hAnsi="Times New Roman" w:cs="Times New Roman"/>
          <w:szCs w:val="24"/>
        </w:rPr>
        <w:t>.</w:t>
      </w:r>
      <w:r w:rsidRPr="009A76CE">
        <w:rPr>
          <w:rStyle w:val="Ppogrubienie"/>
          <w:rFonts w:ascii="Times New Roman" w:hAnsi="Times New Roman" w:cs="Times New Roman"/>
          <w:b w:val="0"/>
          <w:szCs w:val="24"/>
        </w:rPr>
        <w:t xml:space="preserve"> </w:t>
      </w:r>
      <w:r w:rsidR="001D25E7" w:rsidRPr="009A76CE">
        <w:rPr>
          <w:rStyle w:val="Ppogrubienie"/>
          <w:rFonts w:ascii="Times New Roman" w:hAnsi="Times New Roman" w:cs="Times New Roman"/>
          <w:b w:val="0"/>
          <w:szCs w:val="24"/>
        </w:rPr>
        <w:t xml:space="preserve">Radę do Spraw </w:t>
      </w:r>
      <w:r w:rsidR="001A05A6" w:rsidRPr="009A76CE">
        <w:rPr>
          <w:rStyle w:val="Ppogrubienie"/>
          <w:rFonts w:ascii="Times New Roman" w:hAnsi="Times New Roman" w:cs="Times New Roman"/>
          <w:b w:val="0"/>
          <w:szCs w:val="24"/>
        </w:rPr>
        <w:t xml:space="preserve">Przeciwdziałania Unikaniu </w:t>
      </w:r>
      <w:r w:rsidR="001D25E7" w:rsidRPr="009A76CE">
        <w:rPr>
          <w:rStyle w:val="Ppogrubienie"/>
          <w:rFonts w:ascii="Times New Roman" w:hAnsi="Times New Roman" w:cs="Times New Roman"/>
          <w:b w:val="0"/>
          <w:szCs w:val="24"/>
        </w:rPr>
        <w:t>Opodatkow</w:t>
      </w:r>
      <w:r w:rsidRPr="009A76CE">
        <w:rPr>
          <w:rStyle w:val="Ppogrubienie"/>
          <w:rFonts w:ascii="Times New Roman" w:hAnsi="Times New Roman" w:cs="Times New Roman"/>
          <w:b w:val="0"/>
          <w:szCs w:val="24"/>
        </w:rPr>
        <w:t>a</w:t>
      </w:r>
      <w:r w:rsidR="001D25E7" w:rsidRPr="009A76CE">
        <w:rPr>
          <w:rStyle w:val="Ppogrubienie"/>
          <w:rFonts w:ascii="Times New Roman" w:hAnsi="Times New Roman" w:cs="Times New Roman"/>
          <w:b w:val="0"/>
          <w:szCs w:val="24"/>
        </w:rPr>
        <w:t xml:space="preserve">nia pierwszej kadencji powołuje się w terminie 30 dni od dnia wejścia w życie </w:t>
      </w:r>
      <w:r w:rsidR="00B24567">
        <w:rPr>
          <w:rStyle w:val="Ppogrubienie"/>
          <w:rFonts w:ascii="Times New Roman" w:hAnsi="Times New Roman" w:cs="Times New Roman"/>
          <w:b w:val="0"/>
          <w:szCs w:val="24"/>
        </w:rPr>
        <w:t xml:space="preserve">niniejszej </w:t>
      </w:r>
      <w:r w:rsidR="001D25E7" w:rsidRPr="009A76CE">
        <w:rPr>
          <w:rStyle w:val="Ppogrubienie"/>
          <w:rFonts w:ascii="Times New Roman" w:hAnsi="Times New Roman" w:cs="Times New Roman"/>
          <w:b w:val="0"/>
          <w:szCs w:val="24"/>
        </w:rPr>
        <w:t>ustawy</w:t>
      </w:r>
      <w:r w:rsidR="005F3EFD" w:rsidRPr="009A76CE">
        <w:rPr>
          <w:rStyle w:val="Ppogrubienie"/>
          <w:rFonts w:ascii="Times New Roman" w:hAnsi="Times New Roman" w:cs="Times New Roman"/>
          <w:b w:val="0"/>
          <w:szCs w:val="24"/>
        </w:rPr>
        <w:t>,</w:t>
      </w:r>
      <w:r w:rsidR="001D25E7" w:rsidRPr="009A76CE">
        <w:rPr>
          <w:rStyle w:val="Ppogrubienie"/>
          <w:rFonts w:ascii="Times New Roman" w:hAnsi="Times New Roman" w:cs="Times New Roman"/>
          <w:b w:val="0"/>
          <w:szCs w:val="24"/>
        </w:rPr>
        <w:t xml:space="preserve"> aby zapewnić pełne wdrożenie ustawy.</w:t>
      </w:r>
    </w:p>
    <w:p w:rsidR="001D25E7" w:rsidRPr="00A31252" w:rsidRDefault="00A66DA2" w:rsidP="00ED7591">
      <w:pPr>
        <w:tabs>
          <w:tab w:val="num" w:pos="540"/>
        </w:tabs>
        <w:spacing w:after="0" w:line="360" w:lineRule="auto"/>
        <w:jc w:val="both"/>
        <w:rPr>
          <w:rFonts w:ascii="Times New Roman" w:hAnsi="Times New Roman"/>
          <w:bCs/>
          <w:sz w:val="24"/>
          <w:szCs w:val="24"/>
        </w:rPr>
      </w:pPr>
      <w:r w:rsidRPr="002E5634">
        <w:rPr>
          <w:rFonts w:ascii="Times New Roman" w:hAnsi="Times New Roman"/>
          <w:b/>
          <w:sz w:val="24"/>
          <w:szCs w:val="24"/>
        </w:rPr>
        <w:t xml:space="preserve">Art. </w:t>
      </w:r>
      <w:r w:rsidR="0014428F" w:rsidRPr="002E5634">
        <w:rPr>
          <w:rFonts w:ascii="Times New Roman" w:hAnsi="Times New Roman"/>
          <w:b/>
          <w:sz w:val="24"/>
          <w:szCs w:val="24"/>
        </w:rPr>
        <w:t>7</w:t>
      </w:r>
      <w:r w:rsidRPr="002E5634">
        <w:rPr>
          <w:rFonts w:ascii="Times New Roman" w:hAnsi="Times New Roman"/>
          <w:b/>
          <w:sz w:val="24"/>
          <w:szCs w:val="24"/>
        </w:rPr>
        <w:t>.</w:t>
      </w:r>
      <w:r w:rsidRPr="009A76CE">
        <w:rPr>
          <w:rFonts w:ascii="Times New Roman" w:hAnsi="Times New Roman"/>
          <w:sz w:val="24"/>
          <w:szCs w:val="24"/>
        </w:rPr>
        <w:t xml:space="preserve"> Przewiduje si</w:t>
      </w:r>
      <w:r w:rsidR="00714D87">
        <w:rPr>
          <w:rFonts w:ascii="Times New Roman" w:hAnsi="Times New Roman"/>
          <w:sz w:val="24"/>
          <w:szCs w:val="24"/>
        </w:rPr>
        <w:t xml:space="preserve">ę, że ustawa wejdzie w życie po upływie </w:t>
      </w:r>
      <w:r w:rsidR="00942E54" w:rsidRPr="009A76CE">
        <w:rPr>
          <w:rFonts w:ascii="Times New Roman" w:hAnsi="Times New Roman"/>
          <w:sz w:val="24"/>
          <w:szCs w:val="24"/>
        </w:rPr>
        <w:t xml:space="preserve">30 </w:t>
      </w:r>
      <w:r w:rsidRPr="009A76CE">
        <w:rPr>
          <w:rFonts w:ascii="Times New Roman" w:hAnsi="Times New Roman"/>
          <w:sz w:val="24"/>
          <w:szCs w:val="24"/>
        </w:rPr>
        <w:t xml:space="preserve">dni od dnia ogłoszenia ustawy. </w:t>
      </w:r>
      <w:r w:rsidRPr="009A76CE">
        <w:rPr>
          <w:rFonts w:ascii="Times New Roman" w:hAnsi="Times New Roman"/>
          <w:bCs/>
          <w:sz w:val="24"/>
          <w:szCs w:val="24"/>
        </w:rPr>
        <w:t>W tym czasie podatnik powinien zaprzestać stosować sztucznego działania, które obecnie wykorzystuje do unikania opodatkowania. Celem projektowanych rozwiązań jest przede wszystkim prewencja. Trudno uznawać w tej sytuacji istnienie „prawa nabytego” do kontynuowania unikania opodatkowania pod rządami nowej ustawy tylko dlatego,</w:t>
      </w:r>
      <w:r w:rsidRPr="00A31252">
        <w:rPr>
          <w:rFonts w:ascii="Times New Roman" w:hAnsi="Times New Roman"/>
          <w:bCs/>
          <w:sz w:val="24"/>
          <w:szCs w:val="24"/>
        </w:rPr>
        <w:t xml:space="preserve"> że wcześniej zostały wykreowane sztuczne mechanizmy działania.</w:t>
      </w:r>
      <w:r w:rsidR="00F92A00" w:rsidRPr="00A31252">
        <w:rPr>
          <w:rFonts w:ascii="Times New Roman" w:hAnsi="Times New Roman"/>
          <w:bCs/>
          <w:sz w:val="24"/>
          <w:szCs w:val="24"/>
        </w:rPr>
        <w:t xml:space="preserve"> </w:t>
      </w:r>
    </w:p>
    <w:p w:rsidR="001D25E7" w:rsidRPr="00A31252" w:rsidRDefault="00F92A00" w:rsidP="00ED7591">
      <w:pPr>
        <w:tabs>
          <w:tab w:val="num" w:pos="540"/>
        </w:tabs>
        <w:spacing w:after="0" w:line="360" w:lineRule="auto"/>
        <w:jc w:val="both"/>
        <w:rPr>
          <w:rFonts w:ascii="Times New Roman" w:hAnsi="Times New Roman"/>
          <w:bCs/>
          <w:sz w:val="24"/>
          <w:szCs w:val="24"/>
        </w:rPr>
      </w:pPr>
      <w:r w:rsidRPr="00A31252">
        <w:rPr>
          <w:rFonts w:ascii="Times New Roman" w:hAnsi="Times New Roman"/>
          <w:bCs/>
          <w:sz w:val="24"/>
          <w:szCs w:val="24"/>
        </w:rPr>
        <w:t>Projekt ustawy jest ujęty w wykazie prac le</w:t>
      </w:r>
      <w:r w:rsidR="002E5634">
        <w:rPr>
          <w:rFonts w:ascii="Times New Roman" w:hAnsi="Times New Roman"/>
          <w:bCs/>
          <w:sz w:val="24"/>
          <w:szCs w:val="24"/>
        </w:rPr>
        <w:t>gislacyjnych Rady Ministrów (nr projektu </w:t>
      </w:r>
      <w:r w:rsidRPr="00A31252">
        <w:rPr>
          <w:rFonts w:ascii="Times New Roman" w:hAnsi="Times New Roman"/>
          <w:bCs/>
          <w:sz w:val="24"/>
          <w:szCs w:val="24"/>
        </w:rPr>
        <w:t>U</w:t>
      </w:r>
      <w:r w:rsidR="001502F3" w:rsidRPr="00A31252">
        <w:rPr>
          <w:rFonts w:ascii="Times New Roman" w:hAnsi="Times New Roman"/>
          <w:bCs/>
          <w:sz w:val="24"/>
          <w:szCs w:val="24"/>
        </w:rPr>
        <w:t>A9).</w:t>
      </w:r>
    </w:p>
    <w:p w:rsidR="00995D40" w:rsidRPr="00A31252" w:rsidRDefault="001D25E7" w:rsidP="00ED7591">
      <w:pPr>
        <w:pStyle w:val="NormalnyWeb"/>
        <w:spacing w:before="0" w:after="0" w:line="360" w:lineRule="auto"/>
        <w:jc w:val="both"/>
      </w:pPr>
      <w:r w:rsidRPr="00A31252">
        <w:rPr>
          <w:bCs/>
        </w:rPr>
        <w:t>Projekt ustawy nie podlega procedurze notyfikac</w:t>
      </w:r>
      <w:r w:rsidR="00BB1903">
        <w:rPr>
          <w:bCs/>
        </w:rPr>
        <w:t>ji na zasadach przewidzianych w </w:t>
      </w:r>
      <w:r w:rsidRPr="00A31252">
        <w:rPr>
          <w:bCs/>
        </w:rPr>
        <w:t>rozporządzeniu Rady Ministrów z dnia 23 grudnia 2002 r. w sprawie sposobu funkcjonowania krajowego systemu notyfikacji norm i aktów prawnych (Dz. U. Nr 239, poz. 2039, z późn. zm.).</w:t>
      </w:r>
    </w:p>
    <w:p w:rsidR="001D25E7" w:rsidRPr="00A31252" w:rsidRDefault="004D6F22" w:rsidP="00ED7591">
      <w:pPr>
        <w:pStyle w:val="NormalnyWeb"/>
        <w:spacing w:before="0" w:after="0" w:line="360" w:lineRule="auto"/>
        <w:jc w:val="both"/>
      </w:pPr>
      <w:r w:rsidRPr="00A31252">
        <w:t xml:space="preserve">Zgodnie z art. 5 ustawy z dnia 7 lipca 2005 r. o działalności lobbingowej w procesie stanowienia prawa (Dz. U. Nr 169, poz. 1414, z późn. </w:t>
      </w:r>
      <w:r w:rsidR="00BB1903">
        <w:t>zm.) oraz § 4 i § 52 uchwały nr </w:t>
      </w:r>
      <w:r w:rsidRPr="00A31252">
        <w:t>190 Rady Ministrów z dnia 29 października 2013 r. – Regulamin pracy Rady Ministrów (M.P. poz. 979</w:t>
      </w:r>
      <w:r w:rsidR="00663844">
        <w:t xml:space="preserve"> ora</w:t>
      </w:r>
      <w:r w:rsidR="00F642EB" w:rsidRPr="00A31252">
        <w:t xml:space="preserve">z </w:t>
      </w:r>
      <w:r w:rsidR="00663844">
        <w:t>z 2015 r. poz. 1063</w:t>
      </w:r>
      <w:r w:rsidRPr="00A31252">
        <w:t xml:space="preserve">), projekt ustawy </w:t>
      </w:r>
      <w:r w:rsidR="00AB3EF5" w:rsidRPr="00A31252">
        <w:t xml:space="preserve">został </w:t>
      </w:r>
      <w:r w:rsidR="00BB1903">
        <w:t>udostępniony w </w:t>
      </w:r>
      <w:r w:rsidRPr="00A31252">
        <w:t xml:space="preserve">Biuletynie Informacji Publicznej </w:t>
      </w:r>
      <w:r w:rsidR="00247AD1" w:rsidRPr="00A31252">
        <w:t xml:space="preserve">na stronie podmiotowej </w:t>
      </w:r>
      <w:r w:rsidRPr="00A31252">
        <w:t>Rządowego Centrum Legislacji</w:t>
      </w:r>
      <w:r w:rsidR="00247AD1" w:rsidRPr="00A31252">
        <w:t>,</w:t>
      </w:r>
      <w:r w:rsidRPr="00A31252">
        <w:t xml:space="preserve"> w serwisie Rządowy Proces Legislacyjny. </w:t>
      </w:r>
      <w:r w:rsidR="008C22C5" w:rsidRPr="00A31252">
        <w:t>Żaden z podmiotów zajmujących się działalnością lobbingową nie zgłosił zainteresowania niniejszym projektem.</w:t>
      </w:r>
    </w:p>
    <w:p w:rsidR="004D6F22" w:rsidRPr="00A31252" w:rsidRDefault="004D6F22" w:rsidP="00ED7591">
      <w:pPr>
        <w:pStyle w:val="Tekstpodstawowy2"/>
        <w:spacing w:line="360" w:lineRule="auto"/>
        <w:rPr>
          <w:szCs w:val="24"/>
        </w:rPr>
      </w:pPr>
      <w:r w:rsidRPr="00A31252">
        <w:rPr>
          <w:szCs w:val="24"/>
        </w:rPr>
        <w:t>Projekt ustawy jest zgodny z prawem Unii Europejskiej.</w:t>
      </w:r>
    </w:p>
    <w:p w:rsidR="00BB1903" w:rsidRDefault="00BB1903" w:rsidP="00ED7591">
      <w:pPr>
        <w:spacing w:after="0" w:line="360" w:lineRule="auto"/>
        <w:rPr>
          <w:rFonts w:ascii="Times New Roman" w:hAnsi="Times New Roman"/>
          <w:sz w:val="24"/>
          <w:szCs w:val="24"/>
        </w:rPr>
        <w:sectPr w:rsidR="00BB1903" w:rsidSect="009A76CE">
          <w:footerReference w:type="default" r:id="rId9"/>
          <w:pgSz w:w="11906" w:h="16838"/>
          <w:pgMar w:top="1588" w:right="1418" w:bottom="1418" w:left="1985" w:header="709" w:footer="709" w:gutter="0"/>
          <w:cols w:space="708"/>
          <w:titlePg/>
          <w:docGrid w:linePitch="360"/>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BB1903" w:rsidRPr="008B4FE6" w:rsidTr="00BB1903">
        <w:trPr>
          <w:gridAfter w:val="1"/>
          <w:wAfter w:w="10" w:type="dxa"/>
          <w:trHeight w:val="1611"/>
        </w:trPr>
        <w:tc>
          <w:tcPr>
            <w:tcW w:w="6631" w:type="dxa"/>
            <w:gridSpan w:val="17"/>
          </w:tcPr>
          <w:p w:rsidR="00BB1903" w:rsidRPr="00BB1903" w:rsidRDefault="00BB1903" w:rsidP="00BB1903">
            <w:pPr>
              <w:pStyle w:val="Nagwek3"/>
              <w:keepLines w:val="0"/>
              <w:spacing w:before="0" w:line="240" w:lineRule="auto"/>
              <w:rPr>
                <w:rFonts w:ascii="Times New Roman" w:hAnsi="Times New Roman" w:cs="Times New Roman"/>
                <w:color w:val="000000" w:themeColor="text1"/>
              </w:rPr>
            </w:pPr>
            <w:bookmarkStart w:id="2" w:name="t1"/>
            <w:r w:rsidRPr="00BB1903">
              <w:rPr>
                <w:rFonts w:ascii="Times New Roman" w:eastAsia="Times New Roman" w:hAnsi="Times New Roman" w:cs="Times New Roman"/>
                <w:color w:val="auto"/>
                <w:lang w:eastAsia="pl-PL"/>
              </w:rPr>
              <w:lastRenderedPageBreak/>
              <w:t>Nazwa</w:t>
            </w:r>
            <w:r w:rsidRPr="00BB1903">
              <w:rPr>
                <w:rFonts w:ascii="Times New Roman" w:hAnsi="Times New Roman" w:cs="Times New Roman"/>
                <w:color w:val="000000" w:themeColor="text1"/>
              </w:rPr>
              <w:t xml:space="preserve"> projektu</w:t>
            </w:r>
          </w:p>
          <w:p w:rsidR="00BB1903" w:rsidRPr="004F3C17" w:rsidRDefault="00BB1903" w:rsidP="00BB1903">
            <w:pPr>
              <w:spacing w:after="0" w:line="240" w:lineRule="auto"/>
              <w:jc w:val="both"/>
              <w:rPr>
                <w:rFonts w:ascii="Times New Roman" w:hAnsi="Times New Roman"/>
                <w:lang w:eastAsia="pl-PL"/>
              </w:rPr>
            </w:pPr>
            <w:r w:rsidRPr="001B36A1">
              <w:rPr>
                <w:rFonts w:ascii="Times New Roman" w:hAnsi="Times New Roman"/>
                <w:lang w:eastAsia="pl-PL"/>
              </w:rPr>
              <w:t>P</w:t>
            </w:r>
            <w:r w:rsidR="009631AB">
              <w:rPr>
                <w:rFonts w:ascii="Times New Roman" w:hAnsi="Times New Roman"/>
                <w:lang w:eastAsia="pl-PL"/>
              </w:rPr>
              <w:t>rojekt ustawy o zmianie ustawy –</w:t>
            </w:r>
            <w:r w:rsidRPr="001B36A1">
              <w:rPr>
                <w:rFonts w:ascii="Times New Roman" w:hAnsi="Times New Roman"/>
                <w:lang w:eastAsia="pl-PL"/>
              </w:rPr>
              <w:t xml:space="preserve"> Ordynacja podatkowa oraz </w:t>
            </w:r>
            <w:r>
              <w:rPr>
                <w:rFonts w:ascii="Times New Roman" w:hAnsi="Times New Roman"/>
                <w:lang w:eastAsia="pl-PL"/>
              </w:rPr>
              <w:t>niektórych innych ustaw</w:t>
            </w:r>
            <w:r>
              <w:rPr>
                <w:rFonts w:ascii="Times New Roman" w:hAnsi="Times New Roman"/>
                <w:bCs/>
                <w:iCs/>
                <w:lang w:eastAsia="pl-PL"/>
              </w:rPr>
              <w:t xml:space="preserve"> </w:t>
            </w:r>
          </w:p>
          <w:p w:rsidR="00BB1903" w:rsidRPr="008B4FE6" w:rsidRDefault="00BB1903" w:rsidP="00B7715C">
            <w:pPr>
              <w:spacing w:before="120" w:after="0" w:line="240" w:lineRule="auto"/>
              <w:ind w:hanging="45"/>
              <w:rPr>
                <w:rFonts w:ascii="Times New Roman" w:hAnsi="Times New Roman"/>
                <w:b/>
                <w:color w:val="000000"/>
              </w:rPr>
            </w:pPr>
            <w:r w:rsidRPr="008B4FE6">
              <w:rPr>
                <w:rFonts w:ascii="Times New Roman" w:hAnsi="Times New Roman"/>
                <w:b/>
                <w:color w:val="000000"/>
              </w:rPr>
              <w:t>Ministerstwo wiodące i ministerstwa współpracujące</w:t>
            </w:r>
          </w:p>
          <w:bookmarkEnd w:id="2"/>
          <w:p w:rsidR="00BB1903" w:rsidRDefault="00BB1903" w:rsidP="00BB1903">
            <w:pPr>
              <w:spacing w:after="0" w:line="240" w:lineRule="auto"/>
              <w:ind w:hanging="34"/>
              <w:rPr>
                <w:rFonts w:ascii="Times New Roman" w:hAnsi="Times New Roman"/>
                <w:color w:val="000000"/>
              </w:rPr>
            </w:pPr>
            <w:r>
              <w:rPr>
                <w:rFonts w:ascii="Times New Roman" w:hAnsi="Times New Roman"/>
                <w:color w:val="000000"/>
              </w:rPr>
              <w:fldChar w:fldCharType="begin">
                <w:ffData>
                  <w:name w:val=""/>
                  <w:enabled/>
                  <w:calcOnExit w:val="0"/>
                  <w:helpText w:type="text" w:val="Wpisz Pełny tytuł ustawy zgodnie z wpisem do programu prac legislacyjnych"/>
                  <w:statusText w:type="text" w:val="Wpisz Pełny tytuł ustawy zgodnie z wpisem do programu prac legislacyjnych"/>
                  <w:textInput>
                    <w:default w:val="Ministerstwo Finansów "/>
                  </w:textInput>
                </w:ffData>
              </w:fldChar>
            </w:r>
            <w:r>
              <w:rPr>
                <w:rFonts w:ascii="Times New Roman" w:hAnsi="Times New Roman"/>
                <w:color w:val="000000"/>
              </w:rPr>
              <w:instrText xml:space="preserve"> FORMTEXT </w:instrText>
            </w:r>
            <w:r>
              <w:rPr>
                <w:rFonts w:ascii="Times New Roman" w:hAnsi="Times New Roman"/>
                <w:color w:val="000000"/>
              </w:rPr>
            </w:r>
            <w:r>
              <w:rPr>
                <w:rFonts w:ascii="Times New Roman" w:hAnsi="Times New Roman"/>
                <w:color w:val="000000"/>
              </w:rPr>
              <w:fldChar w:fldCharType="separate"/>
            </w:r>
            <w:r>
              <w:rPr>
                <w:rFonts w:ascii="Times New Roman" w:hAnsi="Times New Roman"/>
                <w:noProof/>
                <w:color w:val="000000"/>
              </w:rPr>
              <w:t xml:space="preserve">Ministerstwo Finansów </w:t>
            </w:r>
            <w:r>
              <w:rPr>
                <w:rFonts w:ascii="Times New Roman" w:hAnsi="Times New Roman"/>
                <w:color w:val="000000"/>
              </w:rPr>
              <w:fldChar w:fldCharType="end"/>
            </w:r>
          </w:p>
          <w:p w:rsidR="00BB1903" w:rsidRDefault="00BB1903" w:rsidP="00B7715C">
            <w:pPr>
              <w:spacing w:before="120" w:after="0" w:line="240" w:lineRule="auto"/>
              <w:rPr>
                <w:rFonts w:ascii="Times New Roman" w:hAnsi="Times New Roman"/>
                <w:b/>
                <w:sz w:val="21"/>
                <w:szCs w:val="21"/>
              </w:rPr>
            </w:pPr>
            <w:r w:rsidRPr="00642825">
              <w:rPr>
                <w:rFonts w:ascii="Times New Roman" w:hAnsi="Times New Roman"/>
                <w:b/>
                <w:sz w:val="21"/>
                <w:szCs w:val="24"/>
              </w:rPr>
              <w:t>Osoba odpowiedzialna za projekt w randze Ministra, Sekretarza Stanu lub Podsekretarza Stanu</w:t>
            </w:r>
            <w:r w:rsidRPr="00642825">
              <w:rPr>
                <w:rFonts w:ascii="Times New Roman" w:hAnsi="Times New Roman"/>
                <w:b/>
                <w:sz w:val="21"/>
                <w:szCs w:val="21"/>
              </w:rPr>
              <w:t xml:space="preserve"> </w:t>
            </w:r>
          </w:p>
          <w:p w:rsidR="00BB1903" w:rsidRDefault="00BB1903" w:rsidP="00BB1903">
            <w:pPr>
              <w:spacing w:after="0" w:line="240" w:lineRule="auto"/>
              <w:rPr>
                <w:rFonts w:ascii="Times New Roman" w:hAnsi="Times New Roman"/>
                <w:sz w:val="21"/>
                <w:szCs w:val="21"/>
              </w:rPr>
            </w:pPr>
            <w:r w:rsidRPr="003C3310">
              <w:rPr>
                <w:rFonts w:ascii="Times New Roman" w:hAnsi="Times New Roman"/>
                <w:sz w:val="21"/>
                <w:szCs w:val="21"/>
              </w:rPr>
              <w:t xml:space="preserve">Podsekretarz Stanu </w:t>
            </w:r>
            <w:r>
              <w:rPr>
                <w:rFonts w:ascii="Times New Roman" w:hAnsi="Times New Roman"/>
                <w:sz w:val="21"/>
                <w:szCs w:val="21"/>
              </w:rPr>
              <w:t>Marian Banaś</w:t>
            </w:r>
            <w:r w:rsidRPr="003C3310">
              <w:rPr>
                <w:rFonts w:ascii="Times New Roman" w:hAnsi="Times New Roman"/>
                <w:sz w:val="21"/>
                <w:szCs w:val="21"/>
              </w:rPr>
              <w:t xml:space="preserve"> </w:t>
            </w:r>
          </w:p>
          <w:p w:rsidR="00BB1903" w:rsidRPr="003C3310" w:rsidRDefault="00BB1903" w:rsidP="00BB1903">
            <w:pPr>
              <w:spacing w:after="0" w:line="240" w:lineRule="auto"/>
              <w:rPr>
                <w:rFonts w:ascii="Times New Roman" w:hAnsi="Times New Roman"/>
                <w:b/>
                <w:sz w:val="21"/>
                <w:szCs w:val="21"/>
              </w:rPr>
            </w:pPr>
            <w:r w:rsidRPr="008B4FE6">
              <w:rPr>
                <w:rFonts w:ascii="Times New Roman" w:hAnsi="Times New Roman"/>
                <w:b/>
                <w:color w:val="000000"/>
              </w:rPr>
              <w:t>Kontakt do opiekuna merytorycznego projektu</w:t>
            </w:r>
          </w:p>
          <w:bookmarkStart w:id="3" w:name="t3"/>
          <w:p w:rsidR="00BB1903" w:rsidRPr="008B4FE6" w:rsidRDefault="00BB1903" w:rsidP="00BB1903">
            <w:pPr>
              <w:spacing w:after="0" w:line="240" w:lineRule="auto"/>
              <w:ind w:hanging="34"/>
              <w:rPr>
                <w:rFonts w:ascii="Times New Roman" w:hAnsi="Times New Roman"/>
                <w:color w:val="000000"/>
              </w:rPr>
            </w:pPr>
            <w:r>
              <w:rPr>
                <w:rFonts w:ascii="Times New Roman" w:hAnsi="Times New Roman"/>
                <w:color w:val="000000"/>
              </w:rPr>
              <w:fldChar w:fldCharType="begin">
                <w:ffData>
                  <w:name w:val="t3"/>
                  <w:enabled/>
                  <w:calcOnExit w:val="0"/>
                  <w:helpText w:type="text" w:val="Wpisz sktót/skróty odnaczeń ministerstw/agencji/departamentów"/>
                  <w:statusText w:type="text" w:val="Wpisz sktót/skróty odnaczeń ministerstw/agencji/departamentów"/>
                  <w:textInput>
                    <w:default w:val="22 6945244 wlodzimierz.gurba@mofnet.gov.pl"/>
                    <w:maxLength w:val="100"/>
                  </w:textInput>
                </w:ffData>
              </w:fldChar>
            </w:r>
            <w:r>
              <w:rPr>
                <w:rFonts w:ascii="Times New Roman" w:hAnsi="Times New Roman"/>
                <w:color w:val="000000"/>
              </w:rPr>
              <w:instrText xml:space="preserve"> FORMTEXT </w:instrText>
            </w:r>
            <w:r>
              <w:rPr>
                <w:rFonts w:ascii="Times New Roman" w:hAnsi="Times New Roman"/>
                <w:color w:val="000000"/>
              </w:rPr>
            </w:r>
            <w:r>
              <w:rPr>
                <w:rFonts w:ascii="Times New Roman" w:hAnsi="Times New Roman"/>
                <w:color w:val="000000"/>
              </w:rPr>
              <w:fldChar w:fldCharType="separate"/>
            </w:r>
            <w:r>
              <w:rPr>
                <w:rFonts w:ascii="Times New Roman" w:hAnsi="Times New Roman"/>
                <w:noProof/>
                <w:color w:val="000000"/>
              </w:rPr>
              <w:t>22 6945244 wlodzimierz.gurba@mofnet.gov.pl</w:t>
            </w:r>
            <w:r>
              <w:rPr>
                <w:rFonts w:ascii="Times New Roman" w:hAnsi="Times New Roman"/>
                <w:color w:val="000000"/>
              </w:rPr>
              <w:fldChar w:fldCharType="end"/>
            </w:r>
            <w:bookmarkEnd w:id="3"/>
          </w:p>
        </w:tc>
        <w:tc>
          <w:tcPr>
            <w:tcW w:w="4306" w:type="dxa"/>
            <w:gridSpan w:val="12"/>
            <w:shd w:val="clear" w:color="auto" w:fill="FFFFFF"/>
          </w:tcPr>
          <w:p w:rsidR="00BB1903" w:rsidRPr="00642825" w:rsidRDefault="00BB1903" w:rsidP="00BB1903">
            <w:pPr>
              <w:spacing w:after="0" w:line="240" w:lineRule="auto"/>
              <w:rPr>
                <w:rFonts w:ascii="Times New Roman" w:hAnsi="Times New Roman"/>
                <w:b/>
                <w:sz w:val="21"/>
                <w:szCs w:val="21"/>
              </w:rPr>
            </w:pPr>
            <w:r w:rsidRPr="00642825">
              <w:rPr>
                <w:rFonts w:ascii="Times New Roman" w:hAnsi="Times New Roman"/>
                <w:b/>
                <w:sz w:val="21"/>
                <w:szCs w:val="21"/>
              </w:rPr>
              <w:t>Data sporządzenia</w:t>
            </w:r>
            <w:r w:rsidRPr="00642825">
              <w:rPr>
                <w:rFonts w:ascii="Times New Roman" w:hAnsi="Times New Roman"/>
                <w:b/>
                <w:sz w:val="21"/>
                <w:szCs w:val="21"/>
              </w:rPr>
              <w:br/>
            </w:r>
            <w:r>
              <w:rPr>
                <w:rFonts w:ascii="Times New Roman" w:hAnsi="Times New Roman"/>
                <w:sz w:val="21"/>
                <w:szCs w:val="21"/>
              </w:rPr>
              <w:t>04</w:t>
            </w:r>
            <w:r w:rsidRPr="00B87724">
              <w:rPr>
                <w:rFonts w:ascii="Times New Roman" w:hAnsi="Times New Roman"/>
                <w:sz w:val="21"/>
                <w:szCs w:val="21"/>
              </w:rPr>
              <w:t>.</w:t>
            </w:r>
            <w:r>
              <w:rPr>
                <w:rFonts w:ascii="Times New Roman" w:hAnsi="Times New Roman"/>
                <w:sz w:val="21"/>
                <w:szCs w:val="21"/>
              </w:rPr>
              <w:t>03.</w:t>
            </w:r>
            <w:r w:rsidRPr="00B87724">
              <w:rPr>
                <w:rFonts w:ascii="Times New Roman" w:hAnsi="Times New Roman"/>
                <w:sz w:val="21"/>
                <w:szCs w:val="21"/>
              </w:rPr>
              <w:t>201</w:t>
            </w:r>
            <w:r>
              <w:rPr>
                <w:rFonts w:ascii="Times New Roman" w:hAnsi="Times New Roman"/>
                <w:sz w:val="21"/>
                <w:szCs w:val="21"/>
              </w:rPr>
              <w:t>6</w:t>
            </w:r>
            <w:r w:rsidRPr="00B87724">
              <w:rPr>
                <w:rFonts w:ascii="Times New Roman" w:hAnsi="Times New Roman"/>
                <w:sz w:val="21"/>
                <w:szCs w:val="21"/>
              </w:rPr>
              <w:t xml:space="preserve"> r.</w:t>
            </w:r>
          </w:p>
          <w:p w:rsidR="00BB1903" w:rsidRDefault="00BB1903" w:rsidP="00BB1903">
            <w:pPr>
              <w:spacing w:after="0" w:line="240" w:lineRule="auto"/>
              <w:rPr>
                <w:rFonts w:ascii="Times New Roman" w:hAnsi="Times New Roman"/>
                <w:b/>
              </w:rPr>
            </w:pPr>
          </w:p>
          <w:p w:rsidR="00BB1903" w:rsidRPr="0065019F" w:rsidRDefault="00BB1903" w:rsidP="00BB1903">
            <w:pPr>
              <w:spacing w:after="0" w:line="240" w:lineRule="auto"/>
              <w:rPr>
                <w:rFonts w:ascii="Times New Roman" w:hAnsi="Times New Roman"/>
                <w:b/>
              </w:rPr>
            </w:pPr>
            <w:r w:rsidRPr="0065019F">
              <w:rPr>
                <w:rFonts w:ascii="Times New Roman" w:hAnsi="Times New Roman"/>
                <w:b/>
              </w:rPr>
              <w:t xml:space="preserve">Źródło: </w:t>
            </w:r>
            <w:bookmarkStart w:id="4" w:name="Lista1"/>
          </w:p>
          <w:bookmarkEnd w:id="4"/>
          <w:p w:rsidR="00BB1903" w:rsidRPr="0065019F" w:rsidRDefault="00BB1903" w:rsidP="00BB1903">
            <w:pPr>
              <w:spacing w:after="0" w:line="240" w:lineRule="auto"/>
              <w:rPr>
                <w:rFonts w:ascii="Times New Roman" w:hAnsi="Times New Roman"/>
              </w:rPr>
            </w:pPr>
            <w:r w:rsidRPr="00322402">
              <w:rPr>
                <w:rFonts w:ascii="Times New Roman" w:hAnsi="Times New Roman"/>
              </w:rPr>
              <w:t>Expos</w:t>
            </w:r>
            <w:r w:rsidR="00190019">
              <w:rPr>
                <w:rFonts w:ascii="Times New Roman" w:hAnsi="Times New Roman"/>
              </w:rPr>
              <w:t>é</w:t>
            </w:r>
            <w:r w:rsidRPr="00322402">
              <w:rPr>
                <w:rFonts w:ascii="Times New Roman" w:hAnsi="Times New Roman"/>
              </w:rPr>
              <w:t xml:space="preserve"> Premiera</w:t>
            </w:r>
          </w:p>
          <w:p w:rsidR="00BB1903" w:rsidRPr="008B4FE6" w:rsidRDefault="00BB1903" w:rsidP="00BB1903">
            <w:pPr>
              <w:spacing w:before="120" w:after="0" w:line="240" w:lineRule="auto"/>
              <w:rPr>
                <w:rFonts w:ascii="Times New Roman" w:hAnsi="Times New Roman"/>
                <w:b/>
                <w:color w:val="000000"/>
              </w:rPr>
            </w:pPr>
            <w:r w:rsidRPr="008B4FE6">
              <w:rPr>
                <w:rFonts w:ascii="Times New Roman" w:hAnsi="Times New Roman"/>
                <w:b/>
                <w:color w:val="000000"/>
              </w:rPr>
              <w:t xml:space="preserve">Nr </w:t>
            </w:r>
            <w:r>
              <w:rPr>
                <w:rFonts w:ascii="Times New Roman" w:hAnsi="Times New Roman"/>
                <w:b/>
                <w:color w:val="000000"/>
              </w:rPr>
              <w:t>w</w:t>
            </w:r>
            <w:r w:rsidRPr="008B4FE6">
              <w:rPr>
                <w:rFonts w:ascii="Times New Roman" w:hAnsi="Times New Roman"/>
                <w:b/>
                <w:color w:val="000000"/>
              </w:rPr>
              <w:t xml:space="preserve"> wykaz</w:t>
            </w:r>
            <w:r>
              <w:rPr>
                <w:rFonts w:ascii="Times New Roman" w:hAnsi="Times New Roman"/>
                <w:b/>
                <w:color w:val="000000"/>
              </w:rPr>
              <w:t>ie</w:t>
            </w:r>
            <w:r w:rsidRPr="008B4FE6">
              <w:rPr>
                <w:rFonts w:ascii="Times New Roman" w:hAnsi="Times New Roman"/>
                <w:b/>
                <w:color w:val="000000"/>
              </w:rPr>
              <w:t xml:space="preserve"> prac</w:t>
            </w:r>
            <w:r>
              <w:rPr>
                <w:rFonts w:ascii="Times New Roman" w:hAnsi="Times New Roman"/>
                <w:b/>
                <w:color w:val="000000"/>
              </w:rPr>
              <w:t xml:space="preserve"> </w:t>
            </w:r>
          </w:p>
          <w:p w:rsidR="00BB1903" w:rsidRPr="008B4FE6" w:rsidRDefault="00BB1903" w:rsidP="00BB1903">
            <w:pPr>
              <w:spacing w:after="0" w:line="240" w:lineRule="auto"/>
              <w:rPr>
                <w:rFonts w:ascii="Times New Roman" w:hAnsi="Times New Roman"/>
                <w:color w:val="000000"/>
              </w:rPr>
            </w:pPr>
            <w:r>
              <w:rPr>
                <w:rFonts w:ascii="Times New Roman" w:hAnsi="Times New Roman"/>
                <w:color w:val="000000"/>
              </w:rPr>
              <w:t>UA9</w:t>
            </w:r>
          </w:p>
          <w:p w:rsidR="00BB1903" w:rsidRPr="008B4FE6" w:rsidRDefault="00BB1903" w:rsidP="00BB1903">
            <w:pPr>
              <w:spacing w:after="0" w:line="240" w:lineRule="auto"/>
              <w:rPr>
                <w:rFonts w:ascii="Times New Roman" w:hAnsi="Times New Roman"/>
                <w:color w:val="000000"/>
                <w:sz w:val="28"/>
                <w:szCs w:val="28"/>
              </w:rPr>
            </w:pPr>
          </w:p>
        </w:tc>
      </w:tr>
      <w:tr w:rsidR="00BB1903" w:rsidRPr="0022687A" w:rsidTr="00BB1903">
        <w:trPr>
          <w:gridAfter w:val="1"/>
          <w:wAfter w:w="10" w:type="dxa"/>
          <w:trHeight w:val="142"/>
        </w:trPr>
        <w:tc>
          <w:tcPr>
            <w:tcW w:w="10937" w:type="dxa"/>
            <w:gridSpan w:val="29"/>
            <w:shd w:val="clear" w:color="auto" w:fill="99CCFF"/>
          </w:tcPr>
          <w:p w:rsidR="00BB1903" w:rsidRPr="00627221" w:rsidRDefault="00BB1903" w:rsidP="00BB1903">
            <w:pPr>
              <w:spacing w:after="0" w:line="240" w:lineRule="auto"/>
              <w:ind w:left="57"/>
              <w:jc w:val="center"/>
              <w:rPr>
                <w:rFonts w:ascii="Times New Roman" w:hAnsi="Times New Roman"/>
                <w:b/>
                <w:color w:val="FFFFFF"/>
                <w:sz w:val="32"/>
                <w:szCs w:val="32"/>
              </w:rPr>
            </w:pPr>
            <w:r w:rsidRPr="00627221">
              <w:rPr>
                <w:rFonts w:ascii="Times New Roman" w:hAnsi="Times New Roman"/>
                <w:b/>
                <w:color w:val="FFFFFF"/>
                <w:sz w:val="32"/>
                <w:szCs w:val="32"/>
              </w:rPr>
              <w:t>OCENA SKUTKÓW REGULACJI</w:t>
            </w:r>
          </w:p>
        </w:tc>
      </w:tr>
      <w:tr w:rsidR="00BB1903" w:rsidRPr="008B4FE6" w:rsidTr="00BB1903">
        <w:trPr>
          <w:gridAfter w:val="1"/>
          <w:wAfter w:w="10" w:type="dxa"/>
          <w:trHeight w:val="333"/>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sidRPr="001812C7">
              <w:rPr>
                <w:rFonts w:ascii="Times New Roman" w:hAnsi="Times New Roman"/>
                <w:b/>
              </w:rPr>
              <w:t>Jaki problem jest rozwiązywany</w:t>
            </w:r>
            <w:r>
              <w:rPr>
                <w:rFonts w:ascii="Times New Roman" w:hAnsi="Times New Roman"/>
                <w:b/>
              </w:rPr>
              <w:t>?</w:t>
            </w:r>
            <w:bookmarkStart w:id="5" w:name="Wybór1"/>
            <w:bookmarkEnd w:id="5"/>
          </w:p>
        </w:tc>
      </w:tr>
      <w:tr w:rsidR="00BB1903" w:rsidRPr="008B4FE6" w:rsidTr="00BB1903">
        <w:trPr>
          <w:gridAfter w:val="1"/>
          <w:wAfter w:w="10" w:type="dxa"/>
          <w:trHeight w:val="142"/>
        </w:trPr>
        <w:tc>
          <w:tcPr>
            <w:tcW w:w="10937" w:type="dxa"/>
            <w:gridSpan w:val="29"/>
            <w:shd w:val="clear" w:color="auto" w:fill="FFFFFF"/>
          </w:tcPr>
          <w:p w:rsidR="00BB1903" w:rsidRPr="00B37C80" w:rsidRDefault="00BB1903" w:rsidP="00BB1903">
            <w:pPr>
              <w:spacing w:after="0" w:line="240" w:lineRule="auto"/>
              <w:jc w:val="both"/>
              <w:rPr>
                <w:rFonts w:ascii="Times New Roman" w:hAnsi="Times New Roman"/>
                <w:color w:val="000000"/>
              </w:rPr>
            </w:pPr>
            <w:r w:rsidRPr="00322402">
              <w:rPr>
                <w:rFonts w:ascii="Times New Roman" w:hAnsi="Times New Roman"/>
                <w:color w:val="000000"/>
              </w:rPr>
              <w:t xml:space="preserve">Obserwowana we wszystkich rozwiniętych gospodarkach rynkowych globalizacja unikania opodatkowania przy wykorzystaniu transgranicznych schematów wymusza zunifikowane zwalczanie unikania opodatkowania. Dotychczasowe doświadczenia Polski oraz innych krajów wskazują, że same umowy o unikaniu podwójnego opodatkowania nie wystarczają do efektywnego przeciwdziałania patologii obejścia </w:t>
            </w:r>
            <w:r w:rsidR="00A24B3A">
              <w:rPr>
                <w:rFonts w:ascii="Times New Roman" w:hAnsi="Times New Roman"/>
                <w:color w:val="000000"/>
              </w:rPr>
              <w:t>prawa podatkowego. Standardem w </w:t>
            </w:r>
            <w:r w:rsidRPr="00322402">
              <w:rPr>
                <w:rFonts w:ascii="Times New Roman" w:hAnsi="Times New Roman"/>
                <w:color w:val="000000"/>
              </w:rPr>
              <w:t>innych rozwiniętych gospodarczo krajach jest klauzula generalna przeciwko unikaniu opodatkowania albo rozwinięta linia orzecznictwa sądowego zwalczająca nadużycia podatkowe. Na powagę zagrożeń unikania opodatkowania zwróciła uwagę Komisja Europejska.</w:t>
            </w:r>
          </w:p>
        </w:tc>
      </w:tr>
      <w:tr w:rsidR="00BB1903" w:rsidRPr="008B4FE6" w:rsidTr="00BB1903">
        <w:trPr>
          <w:gridAfter w:val="1"/>
          <w:wAfter w:w="10" w:type="dxa"/>
          <w:trHeight w:val="142"/>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sidRPr="001A5FDA">
              <w:rPr>
                <w:rFonts w:ascii="Times New Roman" w:hAnsi="Times New Roman"/>
                <w:b/>
                <w:color w:val="000000"/>
                <w:spacing w:val="-2"/>
              </w:rPr>
              <w:t>Rekomendowane rozwiązanie</w:t>
            </w:r>
            <w:r>
              <w:rPr>
                <w:rFonts w:ascii="Times New Roman" w:hAnsi="Times New Roman"/>
                <w:b/>
                <w:color w:val="000000"/>
                <w:spacing w:val="-2"/>
              </w:rPr>
              <w:t>,</w:t>
            </w:r>
            <w:r w:rsidRPr="001A5FDA">
              <w:rPr>
                <w:rFonts w:ascii="Times New Roman" w:hAnsi="Times New Roman"/>
                <w:b/>
                <w:color w:val="000000"/>
                <w:spacing w:val="-2"/>
              </w:rPr>
              <w:t xml:space="preserve"> w tym planowane narzędzia interwencji</w:t>
            </w:r>
            <w:r>
              <w:rPr>
                <w:rFonts w:ascii="Times New Roman" w:hAnsi="Times New Roman"/>
                <w:b/>
                <w:color w:val="000000"/>
                <w:spacing w:val="-2"/>
              </w:rPr>
              <w:t>,</w:t>
            </w:r>
            <w:r w:rsidRPr="001A5FDA">
              <w:rPr>
                <w:rFonts w:ascii="Times New Roman" w:hAnsi="Times New Roman"/>
                <w:b/>
                <w:color w:val="000000"/>
                <w:spacing w:val="-2"/>
              </w:rPr>
              <w:t xml:space="preserve"> i oczekiwany efekt</w:t>
            </w:r>
          </w:p>
        </w:tc>
      </w:tr>
      <w:tr w:rsidR="00BB1903" w:rsidRPr="008B4FE6" w:rsidTr="00BB1903">
        <w:trPr>
          <w:gridAfter w:val="1"/>
          <w:wAfter w:w="10" w:type="dxa"/>
          <w:trHeight w:val="142"/>
        </w:trPr>
        <w:tc>
          <w:tcPr>
            <w:tcW w:w="10937" w:type="dxa"/>
            <w:gridSpan w:val="29"/>
            <w:shd w:val="clear" w:color="auto" w:fill="auto"/>
          </w:tcPr>
          <w:p w:rsidR="00BB1903" w:rsidRPr="00B37C80" w:rsidRDefault="00BB1903" w:rsidP="00BB1903">
            <w:pPr>
              <w:spacing w:after="0" w:line="240" w:lineRule="auto"/>
              <w:jc w:val="both"/>
              <w:rPr>
                <w:rFonts w:ascii="Times New Roman" w:hAnsi="Times New Roman"/>
                <w:color w:val="000000"/>
                <w:spacing w:val="-2"/>
              </w:rPr>
            </w:pPr>
            <w:r w:rsidRPr="00322402">
              <w:rPr>
                <w:rFonts w:ascii="Times New Roman" w:hAnsi="Times New Roman"/>
                <w:color w:val="000000"/>
              </w:rPr>
              <w:t>Korzystając z doświadczeń międzynarodowych w zwalczaniu unikania obowiązków podatkowych</w:t>
            </w:r>
            <w:r w:rsidR="00E2413A">
              <w:rPr>
                <w:rFonts w:ascii="Times New Roman" w:hAnsi="Times New Roman"/>
                <w:color w:val="000000"/>
              </w:rPr>
              <w:t>,</w:t>
            </w:r>
            <w:r w:rsidRPr="00322402">
              <w:rPr>
                <w:rFonts w:ascii="Times New Roman" w:hAnsi="Times New Roman"/>
                <w:color w:val="000000"/>
              </w:rPr>
              <w:t xml:space="preserve"> proponuje się powrócenie do koncepcji wprowadzenia klauzuli przeciwko unikaniu opodatkowania, razem z funkcją niezależnego nadzoru ekspercko-społecznego. Wprowadzenie do polskiego porządku prawnego klauzuli przeciwko unikaniu opodatkowania uporządkuje system prawa podatkowego, wyznaczając granice dopuszczalnej optymalizacji podatkowej oraz wzmocni autonomię prawa podatkowego wobec prawa cywilnego.</w:t>
            </w:r>
            <w:r>
              <w:rPr>
                <w:rFonts w:ascii="Times New Roman" w:hAnsi="Times New Roman"/>
                <w:color w:val="000000"/>
              </w:rPr>
              <w:t xml:space="preserve"> </w:t>
            </w:r>
          </w:p>
        </w:tc>
      </w:tr>
      <w:tr w:rsidR="00BB1903" w:rsidRPr="008B4FE6" w:rsidTr="00BB1903">
        <w:trPr>
          <w:gridAfter w:val="1"/>
          <w:wAfter w:w="10" w:type="dxa"/>
          <w:trHeight w:val="307"/>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Pr>
                <w:rFonts w:ascii="Times New Roman" w:hAnsi="Times New Roman"/>
                <w:b/>
                <w:spacing w:val="-2"/>
              </w:rPr>
              <w:t>Jak problem został rozwiązany</w:t>
            </w:r>
            <w:r w:rsidRPr="001812C7">
              <w:rPr>
                <w:rFonts w:ascii="Times New Roman" w:hAnsi="Times New Roman"/>
                <w:b/>
                <w:spacing w:val="-2"/>
              </w:rPr>
              <w:t xml:space="preserve"> w innych krajach, w szczególności krajach członkowskich OECD/UE</w:t>
            </w:r>
            <w:r w:rsidRPr="008B4FE6">
              <w:rPr>
                <w:rFonts w:ascii="Times New Roman" w:hAnsi="Times New Roman"/>
                <w:b/>
                <w:color w:val="000000"/>
              </w:rPr>
              <w:t>?</w:t>
            </w:r>
            <w:r w:rsidRPr="008B4FE6">
              <w:rPr>
                <w:rFonts w:ascii="Times New Roman" w:hAnsi="Times New Roman"/>
                <w:i/>
                <w:color w:val="000000"/>
              </w:rPr>
              <w:t xml:space="preserve"> </w:t>
            </w:r>
          </w:p>
        </w:tc>
      </w:tr>
      <w:tr w:rsidR="00BB1903" w:rsidRPr="008B4FE6" w:rsidTr="00BB1903">
        <w:trPr>
          <w:gridAfter w:val="1"/>
          <w:wAfter w:w="10" w:type="dxa"/>
          <w:trHeight w:val="142"/>
        </w:trPr>
        <w:tc>
          <w:tcPr>
            <w:tcW w:w="10937" w:type="dxa"/>
            <w:gridSpan w:val="29"/>
            <w:shd w:val="clear" w:color="auto" w:fill="auto"/>
          </w:tcPr>
          <w:p w:rsidR="00BB1903" w:rsidRPr="006D0DA2" w:rsidRDefault="00BB1903" w:rsidP="00BB1903">
            <w:pPr>
              <w:spacing w:after="0" w:line="240" w:lineRule="auto"/>
              <w:jc w:val="both"/>
              <w:rPr>
                <w:rFonts w:ascii="Times New Roman" w:hAnsi="Times New Roman"/>
                <w:b/>
                <w:color w:val="000000"/>
                <w:spacing w:val="-2"/>
              </w:rPr>
            </w:pPr>
            <w:r w:rsidRPr="006D0DA2">
              <w:rPr>
                <w:rFonts w:ascii="Times New Roman" w:hAnsi="Times New Roman"/>
                <w:b/>
                <w:color w:val="000000"/>
                <w:spacing w:val="-2"/>
              </w:rPr>
              <w:t xml:space="preserve">Klauzula przeciwko unikaniu opodatkowania </w:t>
            </w:r>
          </w:p>
          <w:p w:rsidR="00BB1903" w:rsidRDefault="00BB1903" w:rsidP="00BB1903">
            <w:pPr>
              <w:spacing w:after="0" w:line="240" w:lineRule="auto"/>
              <w:jc w:val="both"/>
              <w:rPr>
                <w:rFonts w:ascii="Times New Roman" w:hAnsi="Times New Roman"/>
                <w:color w:val="000000"/>
                <w:spacing w:val="-2"/>
              </w:rPr>
            </w:pPr>
            <w:r w:rsidRPr="006D0DA2">
              <w:rPr>
                <w:rFonts w:ascii="Times New Roman" w:hAnsi="Times New Roman"/>
                <w:color w:val="000000"/>
                <w:spacing w:val="-2"/>
              </w:rPr>
              <w:t>Normy ogólne przeciwdziałające unikaniu opodatkowania znajdują się w systemach prawnych wielu krajów, w tym takich które mają zbliżone do polskiego systemy prawne</w:t>
            </w:r>
            <w:r w:rsidRPr="00F3641D">
              <w:rPr>
                <w:rFonts w:ascii="Times New Roman" w:hAnsi="Times New Roman"/>
                <w:color w:val="000000"/>
                <w:spacing w:val="-2"/>
              </w:rPr>
              <w:t>. Normatywne regulacje w tym zakresie występują w Australii, Austrii, Belgii, Kanadzie, Finlandii, Francji, Niemczech, Irlandii, Izraelu, Nowej Zelandii, Portugalii, Słowenii, Hiszpanii, Szwecji, Szwajcarii, Turcji, Słowacji i na Węgrzech.</w:t>
            </w:r>
            <w:r>
              <w:rPr>
                <w:rFonts w:ascii="Times New Roman" w:hAnsi="Times New Roman"/>
                <w:color w:val="000000"/>
                <w:spacing w:val="-2"/>
              </w:rPr>
              <w:t xml:space="preserve"> </w:t>
            </w:r>
          </w:p>
          <w:p w:rsidR="00BB1903" w:rsidRDefault="00BB1903" w:rsidP="00BB1903">
            <w:pPr>
              <w:spacing w:after="0" w:line="240" w:lineRule="auto"/>
              <w:jc w:val="both"/>
              <w:rPr>
                <w:rFonts w:ascii="Times New Roman" w:hAnsi="Times New Roman"/>
                <w:color w:val="000000"/>
                <w:spacing w:val="-2"/>
              </w:rPr>
            </w:pPr>
            <w:r w:rsidRPr="006D0DA2">
              <w:rPr>
                <w:rFonts w:ascii="Times New Roman" w:hAnsi="Times New Roman"/>
                <w:color w:val="000000"/>
                <w:spacing w:val="-2"/>
              </w:rPr>
              <w:t xml:space="preserve">Generalnie istnienie i stosowanie klauzuli przeciwko unikaniu opodatkowania jest akceptowane przez orzecznictwo sądowe i doktrynę. Wprowadzenie klauzuli zazwyczaj było początkowo uznawane za zamach </w:t>
            </w:r>
            <w:r w:rsidR="00867EAF">
              <w:rPr>
                <w:rFonts w:ascii="Times New Roman" w:hAnsi="Times New Roman"/>
                <w:color w:val="000000"/>
                <w:spacing w:val="-2"/>
              </w:rPr>
              <w:t>na swobodę kształtowania umów i </w:t>
            </w:r>
            <w:r w:rsidRPr="006D0DA2">
              <w:rPr>
                <w:rFonts w:ascii="Times New Roman" w:hAnsi="Times New Roman"/>
                <w:color w:val="000000"/>
                <w:spacing w:val="-2"/>
              </w:rPr>
              <w:t>prawa podatnika (podo</w:t>
            </w:r>
            <w:r w:rsidR="0075399A">
              <w:rPr>
                <w:rFonts w:ascii="Times New Roman" w:hAnsi="Times New Roman"/>
                <w:color w:val="000000"/>
                <w:spacing w:val="-2"/>
              </w:rPr>
              <w:t>bnie jak w Polsce w latach 2002–</w:t>
            </w:r>
            <w:r w:rsidRPr="006D0DA2">
              <w:rPr>
                <w:rFonts w:ascii="Times New Roman" w:hAnsi="Times New Roman"/>
                <w:color w:val="000000"/>
                <w:spacing w:val="-2"/>
              </w:rPr>
              <w:t>2003), jednak po ukształtowaniu się dok</w:t>
            </w:r>
            <w:r w:rsidR="00867EAF">
              <w:rPr>
                <w:rFonts w:ascii="Times New Roman" w:hAnsi="Times New Roman"/>
                <w:color w:val="000000"/>
                <w:spacing w:val="-2"/>
              </w:rPr>
              <w:t>tryny, orzecznictwa i </w:t>
            </w:r>
            <w:r w:rsidRPr="006D0DA2">
              <w:rPr>
                <w:rFonts w:ascii="Times New Roman" w:hAnsi="Times New Roman"/>
                <w:color w:val="000000"/>
                <w:spacing w:val="-2"/>
              </w:rPr>
              <w:t>praktyki te obawy zanikały. Dodać należy, że tylko w Polsce wprowadzenie klauzuli obejścia prawa podatkowego zostało zdyskwalifikowane przez Trybunał Konstytucyjny</w:t>
            </w:r>
            <w:r w:rsidR="00E2413A">
              <w:rPr>
                <w:rFonts w:ascii="Times New Roman" w:hAnsi="Times New Roman"/>
                <w:color w:val="000000"/>
                <w:spacing w:val="-2"/>
              </w:rPr>
              <w:t>, mimo</w:t>
            </w:r>
            <w:r w:rsidRPr="006D0DA2">
              <w:rPr>
                <w:rFonts w:ascii="Times New Roman" w:hAnsi="Times New Roman"/>
                <w:color w:val="000000"/>
                <w:spacing w:val="-2"/>
              </w:rPr>
              <w:t xml:space="preserve"> że badana przez Trybunał Konstytucyjny klauzula była i jest nadal porównywalna z klauzulami obowiązującymi i wprowadzanymi obecnie w innych państwach. </w:t>
            </w:r>
          </w:p>
          <w:p w:rsidR="00BB1903" w:rsidRPr="00F3641D" w:rsidRDefault="00BB1903" w:rsidP="00BB1903">
            <w:pPr>
              <w:spacing w:after="0" w:line="240" w:lineRule="auto"/>
              <w:jc w:val="both"/>
              <w:rPr>
                <w:rFonts w:ascii="Times New Roman" w:hAnsi="Times New Roman"/>
                <w:color w:val="000000"/>
                <w:spacing w:val="-2"/>
              </w:rPr>
            </w:pPr>
            <w:r w:rsidRPr="006D0DA2">
              <w:rPr>
                <w:rFonts w:ascii="Times New Roman" w:hAnsi="Times New Roman"/>
                <w:color w:val="000000"/>
                <w:spacing w:val="-2"/>
              </w:rPr>
              <w:t xml:space="preserve">W niektórych krajach </w:t>
            </w:r>
            <w:r w:rsidRPr="00F3641D">
              <w:rPr>
                <w:rFonts w:ascii="Times New Roman" w:hAnsi="Times New Roman"/>
                <w:color w:val="000000"/>
                <w:spacing w:val="-2"/>
              </w:rPr>
              <w:t xml:space="preserve">(Francja, Australia, Kanada, Wielka Brytania) działają, niezależne od administracji podatkowej, ciała opiniodawczo-doradcze w sprawie zastosowania klauzuli, których członkami są profesjonaliści zajmujący się prawem podatkowym oraz doświadczeni przedstawiciele administracji podatkowej. </w:t>
            </w:r>
          </w:p>
          <w:p w:rsidR="00BB1903" w:rsidRPr="00B37C80" w:rsidRDefault="00BB1903" w:rsidP="00BB1903">
            <w:pPr>
              <w:spacing w:after="0" w:line="240" w:lineRule="auto"/>
              <w:jc w:val="both"/>
              <w:rPr>
                <w:rFonts w:ascii="Times New Roman" w:hAnsi="Times New Roman"/>
                <w:color w:val="000000"/>
                <w:spacing w:val="-2"/>
              </w:rPr>
            </w:pPr>
            <w:r w:rsidRPr="00F3641D">
              <w:rPr>
                <w:rFonts w:ascii="Times New Roman" w:hAnsi="Times New Roman"/>
                <w:color w:val="000000"/>
                <w:spacing w:val="-2"/>
              </w:rPr>
              <w:t>Ponadto w wielu krajach, w których obowiązuje klauzula przeciwko unikaniu opodatkowania</w:t>
            </w:r>
            <w:r w:rsidR="00E2413A">
              <w:rPr>
                <w:rFonts w:ascii="Times New Roman" w:hAnsi="Times New Roman"/>
                <w:color w:val="000000"/>
                <w:spacing w:val="-2"/>
              </w:rPr>
              <w:t>,</w:t>
            </w:r>
            <w:r w:rsidRPr="00F3641D">
              <w:rPr>
                <w:rFonts w:ascii="Times New Roman" w:hAnsi="Times New Roman"/>
                <w:color w:val="000000"/>
                <w:spacing w:val="-2"/>
              </w:rPr>
              <w:t xml:space="preserve"> zapewniona jest też możliwość uzyskania uprzedniej opinii/interpretacji lub zbliżonego aktu administracyjnego w zakresie dopuszczalności działań planowanych przez podatnika tj. uznanie ich za dopuszczalną optymalizację podatkową albo unikanie opodatkowania spełniające przesłanki zastosowania klauzuli. Formuła opinii zabezpieczających występuje we Francji, Kanadzie i Australii.</w:t>
            </w:r>
          </w:p>
        </w:tc>
      </w:tr>
      <w:tr w:rsidR="00BB1903" w:rsidRPr="008B4FE6" w:rsidTr="00BB1903">
        <w:trPr>
          <w:gridAfter w:val="1"/>
          <w:wAfter w:w="10" w:type="dxa"/>
          <w:trHeight w:val="359"/>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sidRPr="008B4FE6">
              <w:rPr>
                <w:rFonts w:ascii="Times New Roman" w:hAnsi="Times New Roman"/>
                <w:b/>
                <w:color w:val="000000"/>
              </w:rPr>
              <w:t>Podmioty, na które oddziałuje projekt</w:t>
            </w:r>
          </w:p>
        </w:tc>
      </w:tr>
      <w:tr w:rsidR="00BB1903" w:rsidRPr="008B4FE6" w:rsidTr="00BB1903">
        <w:trPr>
          <w:gridAfter w:val="1"/>
          <w:wAfter w:w="10" w:type="dxa"/>
          <w:trHeight w:val="142"/>
        </w:trPr>
        <w:tc>
          <w:tcPr>
            <w:tcW w:w="2668" w:type="dxa"/>
            <w:gridSpan w:val="3"/>
            <w:shd w:val="clear" w:color="auto" w:fill="auto"/>
          </w:tcPr>
          <w:p w:rsidR="00BB1903" w:rsidRPr="008B4FE6" w:rsidRDefault="00BB1903" w:rsidP="00BB1903">
            <w:pPr>
              <w:spacing w:after="0" w:line="240" w:lineRule="auto"/>
              <w:jc w:val="center"/>
              <w:rPr>
                <w:rFonts w:ascii="Times New Roman" w:hAnsi="Times New Roman"/>
                <w:color w:val="000000"/>
                <w:spacing w:val="-2"/>
              </w:rPr>
            </w:pPr>
            <w:r w:rsidRPr="008B4FE6">
              <w:rPr>
                <w:rFonts w:ascii="Times New Roman" w:hAnsi="Times New Roman"/>
                <w:color w:val="000000"/>
                <w:spacing w:val="-2"/>
              </w:rPr>
              <w:t>Grupa</w:t>
            </w:r>
          </w:p>
        </w:tc>
        <w:tc>
          <w:tcPr>
            <w:tcW w:w="2292" w:type="dxa"/>
            <w:gridSpan w:val="8"/>
            <w:shd w:val="clear" w:color="auto" w:fill="auto"/>
          </w:tcPr>
          <w:p w:rsidR="00BB1903" w:rsidRPr="008B4FE6" w:rsidRDefault="00BB1903" w:rsidP="00BB1903">
            <w:pPr>
              <w:spacing w:after="0" w:line="240" w:lineRule="auto"/>
              <w:jc w:val="center"/>
              <w:rPr>
                <w:rFonts w:ascii="Times New Roman" w:hAnsi="Times New Roman"/>
                <w:color w:val="000000"/>
                <w:spacing w:val="-2"/>
              </w:rPr>
            </w:pPr>
            <w:r>
              <w:rPr>
                <w:rFonts w:ascii="Times New Roman" w:hAnsi="Times New Roman"/>
                <w:color w:val="000000"/>
                <w:spacing w:val="-2"/>
              </w:rPr>
              <w:t>Wielkość</w:t>
            </w:r>
          </w:p>
        </w:tc>
        <w:tc>
          <w:tcPr>
            <w:tcW w:w="2996" w:type="dxa"/>
            <w:gridSpan w:val="12"/>
            <w:shd w:val="clear" w:color="auto" w:fill="auto"/>
          </w:tcPr>
          <w:p w:rsidR="00BB1903" w:rsidRPr="008B4FE6" w:rsidRDefault="00BB1903" w:rsidP="00BB1903">
            <w:pPr>
              <w:spacing w:after="0" w:line="240" w:lineRule="auto"/>
              <w:jc w:val="center"/>
              <w:rPr>
                <w:rFonts w:ascii="Times New Roman" w:hAnsi="Times New Roman"/>
                <w:color w:val="000000"/>
                <w:spacing w:val="-2"/>
              </w:rPr>
            </w:pPr>
            <w:r w:rsidRPr="008B4FE6">
              <w:rPr>
                <w:rFonts w:ascii="Times New Roman" w:hAnsi="Times New Roman"/>
                <w:color w:val="000000"/>
                <w:spacing w:val="-2"/>
              </w:rPr>
              <w:t>Źródło danych</w:t>
            </w:r>
            <w:r w:rsidRPr="008B4FE6" w:rsidDel="00260F33">
              <w:rPr>
                <w:rFonts w:ascii="Times New Roman" w:hAnsi="Times New Roman"/>
                <w:color w:val="000000"/>
                <w:spacing w:val="-2"/>
              </w:rPr>
              <w:t xml:space="preserve"> </w:t>
            </w:r>
          </w:p>
        </w:tc>
        <w:tc>
          <w:tcPr>
            <w:tcW w:w="2981" w:type="dxa"/>
            <w:gridSpan w:val="6"/>
            <w:shd w:val="clear" w:color="auto" w:fill="auto"/>
          </w:tcPr>
          <w:p w:rsidR="00BB1903" w:rsidRPr="008B4FE6" w:rsidRDefault="00BB1903" w:rsidP="00BB1903">
            <w:pPr>
              <w:spacing w:after="0" w:line="240" w:lineRule="auto"/>
              <w:jc w:val="center"/>
              <w:rPr>
                <w:rFonts w:ascii="Times New Roman" w:hAnsi="Times New Roman"/>
                <w:color w:val="000000"/>
                <w:spacing w:val="-2"/>
              </w:rPr>
            </w:pPr>
            <w:r w:rsidRPr="008B4FE6">
              <w:rPr>
                <w:rFonts w:ascii="Times New Roman" w:hAnsi="Times New Roman"/>
                <w:color w:val="000000"/>
                <w:spacing w:val="-2"/>
              </w:rPr>
              <w:t>Oddziaływanie</w:t>
            </w:r>
          </w:p>
        </w:tc>
      </w:tr>
      <w:tr w:rsidR="00BB1903" w:rsidRPr="008B4FE6" w:rsidTr="00BB1903">
        <w:trPr>
          <w:gridAfter w:val="1"/>
          <w:wAfter w:w="10" w:type="dxa"/>
          <w:trHeight w:val="142"/>
        </w:trPr>
        <w:tc>
          <w:tcPr>
            <w:tcW w:w="2668" w:type="dxa"/>
            <w:gridSpan w:val="3"/>
            <w:shd w:val="clear" w:color="auto" w:fill="auto"/>
          </w:tcPr>
          <w:p w:rsidR="00BB1903" w:rsidRPr="00786B00" w:rsidRDefault="00BB1903" w:rsidP="00BB1903">
            <w:pPr>
              <w:spacing w:after="0" w:line="240" w:lineRule="auto"/>
              <w:rPr>
                <w:rFonts w:ascii="Times New Roman" w:hAnsi="Times New Roman"/>
                <w:color w:val="000000"/>
                <w:spacing w:val="-2"/>
                <w:sz w:val="21"/>
                <w:szCs w:val="21"/>
              </w:rPr>
            </w:pPr>
            <w:r w:rsidRPr="006C0A21">
              <w:rPr>
                <w:rFonts w:ascii="Times New Roman" w:hAnsi="Times New Roman"/>
                <w:color w:val="000000"/>
                <w:spacing w:val="-2"/>
                <w:sz w:val="21"/>
                <w:szCs w:val="21"/>
              </w:rPr>
              <w:t>Podmioty prowadzące działalność gospodarczą lub uczestniczące w działalności gospodarczej, tj. posiadające udziały, akcje lub</w:t>
            </w:r>
            <w:r>
              <w:rPr>
                <w:rFonts w:ascii="Times New Roman" w:hAnsi="Times New Roman"/>
                <w:color w:val="000000"/>
                <w:spacing w:val="-2"/>
                <w:sz w:val="21"/>
                <w:szCs w:val="21"/>
              </w:rPr>
              <w:t xml:space="preserve"> </w:t>
            </w:r>
            <w:r w:rsidRPr="006C0A21">
              <w:rPr>
                <w:rFonts w:ascii="Times New Roman" w:hAnsi="Times New Roman"/>
                <w:color w:val="000000"/>
                <w:spacing w:val="-2"/>
                <w:sz w:val="21"/>
                <w:szCs w:val="21"/>
              </w:rPr>
              <w:t>zarządzające podmiotami prowadzącymi działalność gospodarczą.</w:t>
            </w:r>
          </w:p>
        </w:tc>
        <w:tc>
          <w:tcPr>
            <w:tcW w:w="2292" w:type="dxa"/>
            <w:gridSpan w:val="8"/>
            <w:shd w:val="clear" w:color="auto" w:fill="auto"/>
          </w:tcPr>
          <w:p w:rsidR="00BB1903" w:rsidRDefault="00BB1903" w:rsidP="00BB1903">
            <w:pPr>
              <w:spacing w:after="0" w:line="240" w:lineRule="auto"/>
              <w:rPr>
                <w:rFonts w:ascii="Times New Roman" w:hAnsi="Times New Roman"/>
                <w:color w:val="000000"/>
                <w:spacing w:val="-2"/>
                <w:sz w:val="21"/>
                <w:szCs w:val="21"/>
              </w:rPr>
            </w:pPr>
          </w:p>
        </w:tc>
        <w:tc>
          <w:tcPr>
            <w:tcW w:w="2996" w:type="dxa"/>
            <w:gridSpan w:val="12"/>
            <w:shd w:val="clear" w:color="auto" w:fill="auto"/>
          </w:tcPr>
          <w:p w:rsidR="00BB1903" w:rsidRDefault="00BB1903" w:rsidP="00BB1903">
            <w:pPr>
              <w:spacing w:after="0" w:line="240" w:lineRule="auto"/>
              <w:rPr>
                <w:rFonts w:ascii="Times New Roman" w:hAnsi="Times New Roman"/>
                <w:color w:val="000000"/>
                <w:spacing w:val="-2"/>
                <w:sz w:val="21"/>
                <w:szCs w:val="21"/>
              </w:rPr>
            </w:pPr>
          </w:p>
        </w:tc>
        <w:tc>
          <w:tcPr>
            <w:tcW w:w="2981" w:type="dxa"/>
            <w:gridSpan w:val="6"/>
            <w:shd w:val="clear" w:color="auto" w:fill="auto"/>
          </w:tcPr>
          <w:p w:rsidR="00BB1903" w:rsidRPr="00786B00" w:rsidRDefault="00BB1903" w:rsidP="00BB1903">
            <w:pPr>
              <w:spacing w:after="0" w:line="240" w:lineRule="auto"/>
              <w:rPr>
                <w:rFonts w:ascii="Times New Roman" w:hAnsi="Times New Roman"/>
                <w:sz w:val="21"/>
                <w:szCs w:val="21"/>
              </w:rPr>
            </w:pPr>
            <w:r w:rsidRPr="00D40290">
              <w:rPr>
                <w:rFonts w:ascii="Times New Roman" w:hAnsi="Times New Roman"/>
                <w:color w:val="000000"/>
                <w:sz w:val="21"/>
                <w:szCs w:val="21"/>
              </w:rPr>
              <w:t>Możliwość zastosowania klauzuli prz</w:t>
            </w:r>
            <w:r w:rsidR="00E15D8B">
              <w:rPr>
                <w:rFonts w:ascii="Times New Roman" w:hAnsi="Times New Roman"/>
                <w:color w:val="000000"/>
                <w:sz w:val="21"/>
                <w:szCs w:val="21"/>
              </w:rPr>
              <w:t xml:space="preserve">eciwko unikaniu opodatkowania. </w:t>
            </w:r>
          </w:p>
        </w:tc>
      </w:tr>
      <w:tr w:rsidR="00BB1903" w:rsidRPr="008B4FE6" w:rsidTr="00BB1903">
        <w:trPr>
          <w:gridAfter w:val="1"/>
          <w:wAfter w:w="10" w:type="dxa"/>
          <w:trHeight w:val="142"/>
        </w:trPr>
        <w:tc>
          <w:tcPr>
            <w:tcW w:w="2668" w:type="dxa"/>
            <w:gridSpan w:val="3"/>
            <w:shd w:val="clear" w:color="auto" w:fill="auto"/>
          </w:tcPr>
          <w:p w:rsidR="00BB1903" w:rsidRPr="00F3641D" w:rsidRDefault="00BB1903" w:rsidP="00BB1903">
            <w:pPr>
              <w:tabs>
                <w:tab w:val="left" w:pos="1560"/>
              </w:tabs>
              <w:spacing w:after="0" w:line="240" w:lineRule="auto"/>
              <w:rPr>
                <w:rFonts w:ascii="Times New Roman" w:hAnsi="Times New Roman"/>
                <w:color w:val="000000"/>
              </w:rPr>
            </w:pPr>
            <w:r w:rsidRPr="00F3641D">
              <w:rPr>
                <w:rFonts w:ascii="Times New Roman" w:hAnsi="Times New Roman"/>
                <w:color w:val="000000"/>
              </w:rPr>
              <w:t>Sądy administracyjne</w:t>
            </w:r>
          </w:p>
        </w:tc>
        <w:tc>
          <w:tcPr>
            <w:tcW w:w="2292" w:type="dxa"/>
            <w:gridSpan w:val="8"/>
            <w:shd w:val="clear" w:color="auto" w:fill="auto"/>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spacing w:val="-2"/>
              </w:rPr>
              <w:t>1 (Wojewódzki Sąd Administracyjny w Warszawie)</w:t>
            </w:r>
          </w:p>
        </w:tc>
        <w:tc>
          <w:tcPr>
            <w:tcW w:w="2996" w:type="dxa"/>
            <w:gridSpan w:val="12"/>
            <w:shd w:val="clear" w:color="auto" w:fill="auto"/>
          </w:tcPr>
          <w:p w:rsidR="00BB1903" w:rsidRPr="00F3641D" w:rsidRDefault="00BB1903" w:rsidP="00BB1903">
            <w:pPr>
              <w:spacing w:after="0" w:line="240" w:lineRule="auto"/>
              <w:rPr>
                <w:rFonts w:ascii="Times New Roman" w:hAnsi="Times New Roman"/>
                <w:color w:val="000000"/>
                <w:spacing w:val="-2"/>
              </w:rPr>
            </w:pPr>
          </w:p>
        </w:tc>
        <w:tc>
          <w:tcPr>
            <w:tcW w:w="2981" w:type="dxa"/>
            <w:gridSpan w:val="6"/>
            <w:shd w:val="clear" w:color="auto" w:fill="auto"/>
          </w:tcPr>
          <w:p w:rsidR="00BB1903" w:rsidRPr="00F3641D" w:rsidRDefault="00867EAF" w:rsidP="00BB1903">
            <w:pPr>
              <w:spacing w:after="0" w:line="240" w:lineRule="auto"/>
              <w:rPr>
                <w:rFonts w:ascii="Times New Roman" w:hAnsi="Times New Roman"/>
                <w:color w:val="000000"/>
                <w:spacing w:val="-2"/>
              </w:rPr>
            </w:pPr>
            <w:r>
              <w:rPr>
                <w:rFonts w:ascii="Times New Roman" w:hAnsi="Times New Roman"/>
                <w:color w:val="000000"/>
                <w:spacing w:val="-2"/>
              </w:rPr>
              <w:t>Średni roczny wpływ ok. 45 </w:t>
            </w:r>
            <w:r w:rsidR="00BB1903" w:rsidRPr="00F3641D">
              <w:rPr>
                <w:rFonts w:ascii="Times New Roman" w:hAnsi="Times New Roman"/>
                <w:color w:val="000000"/>
                <w:spacing w:val="-2"/>
              </w:rPr>
              <w:t>skarg, z tego:</w:t>
            </w:r>
          </w:p>
          <w:p w:rsidR="00BB1903" w:rsidRPr="00F3641D" w:rsidRDefault="00C819C1" w:rsidP="00BB1903">
            <w:pPr>
              <w:spacing w:after="0" w:line="240" w:lineRule="auto"/>
              <w:rPr>
                <w:rFonts w:ascii="Times New Roman" w:hAnsi="Times New Roman"/>
                <w:color w:val="000000"/>
                <w:spacing w:val="-2"/>
              </w:rPr>
            </w:pPr>
            <w:r>
              <w:rPr>
                <w:rFonts w:ascii="Times New Roman" w:hAnsi="Times New Roman"/>
                <w:color w:val="000000"/>
                <w:spacing w:val="-2"/>
              </w:rPr>
              <w:t>–</w:t>
            </w:r>
            <w:r w:rsidR="00BB1903" w:rsidRPr="00F3641D">
              <w:rPr>
                <w:rFonts w:ascii="Times New Roman" w:hAnsi="Times New Roman"/>
                <w:color w:val="000000"/>
                <w:spacing w:val="-2"/>
              </w:rPr>
              <w:t xml:space="preserve"> ok. </w:t>
            </w:r>
            <w:r w:rsidR="00F34E97">
              <w:rPr>
                <w:rFonts w:ascii="Times New Roman" w:hAnsi="Times New Roman"/>
                <w:color w:val="000000"/>
                <w:spacing w:val="-2"/>
              </w:rPr>
              <w:t xml:space="preserve">41 </w:t>
            </w:r>
            <w:r w:rsidR="00BB1903" w:rsidRPr="00F3641D">
              <w:rPr>
                <w:rFonts w:ascii="Times New Roman" w:hAnsi="Times New Roman"/>
                <w:color w:val="000000"/>
                <w:spacing w:val="-2"/>
              </w:rPr>
              <w:t xml:space="preserve">skarg na decyzje ostateczne wydane w związku </w:t>
            </w:r>
            <w:r w:rsidR="00BB1903" w:rsidRPr="00F3641D">
              <w:rPr>
                <w:rFonts w:ascii="Times New Roman" w:hAnsi="Times New Roman"/>
                <w:color w:val="000000"/>
                <w:spacing w:val="-2"/>
              </w:rPr>
              <w:lastRenderedPageBreak/>
              <w:t>z</w:t>
            </w:r>
            <w:r w:rsidR="00BB1903">
              <w:rPr>
                <w:rFonts w:ascii="Times New Roman" w:hAnsi="Times New Roman"/>
                <w:color w:val="000000"/>
                <w:spacing w:val="-2"/>
              </w:rPr>
              <w:t> </w:t>
            </w:r>
            <w:r w:rsidR="00BB1903" w:rsidRPr="00F3641D">
              <w:rPr>
                <w:rFonts w:ascii="Times New Roman" w:hAnsi="Times New Roman"/>
                <w:color w:val="000000"/>
                <w:spacing w:val="-2"/>
              </w:rPr>
              <w:t>zastosowaniem klauzuli,</w:t>
            </w:r>
          </w:p>
          <w:p w:rsidR="00BB1903" w:rsidRPr="00F3641D" w:rsidRDefault="00C819C1" w:rsidP="00BB1903">
            <w:pPr>
              <w:spacing w:after="0" w:line="240" w:lineRule="auto"/>
              <w:rPr>
                <w:rFonts w:ascii="Times New Roman" w:hAnsi="Times New Roman"/>
                <w:color w:val="000000"/>
                <w:spacing w:val="-2"/>
              </w:rPr>
            </w:pPr>
            <w:r>
              <w:rPr>
                <w:rFonts w:ascii="Times New Roman" w:hAnsi="Times New Roman"/>
                <w:color w:val="000000"/>
                <w:spacing w:val="-2"/>
              </w:rPr>
              <w:t>–</w:t>
            </w:r>
            <w:r w:rsidR="00BB1903" w:rsidRPr="00F3641D">
              <w:rPr>
                <w:rFonts w:ascii="Times New Roman" w:hAnsi="Times New Roman"/>
                <w:color w:val="000000"/>
                <w:spacing w:val="-2"/>
              </w:rPr>
              <w:t xml:space="preserve"> ok.</w:t>
            </w:r>
            <w:r w:rsidR="00F34E97">
              <w:rPr>
                <w:rFonts w:ascii="Times New Roman" w:hAnsi="Times New Roman"/>
                <w:color w:val="000000"/>
                <w:spacing w:val="-2"/>
              </w:rPr>
              <w:t xml:space="preserve"> </w:t>
            </w:r>
            <w:r w:rsidR="00BB1903" w:rsidRPr="00F3641D">
              <w:rPr>
                <w:rFonts w:ascii="Times New Roman" w:hAnsi="Times New Roman"/>
                <w:color w:val="000000"/>
                <w:spacing w:val="-2"/>
              </w:rPr>
              <w:t>4 skarg</w:t>
            </w:r>
            <w:r w:rsidR="00930C72">
              <w:rPr>
                <w:rFonts w:ascii="Times New Roman" w:hAnsi="Times New Roman"/>
                <w:color w:val="000000"/>
                <w:spacing w:val="-2"/>
              </w:rPr>
              <w:t>i</w:t>
            </w:r>
            <w:r w:rsidR="00BB1903" w:rsidRPr="00F3641D">
              <w:rPr>
                <w:rFonts w:ascii="Times New Roman" w:hAnsi="Times New Roman"/>
                <w:color w:val="000000"/>
                <w:spacing w:val="-2"/>
              </w:rPr>
              <w:t xml:space="preserve"> na opinie zabezpieczające (</w:t>
            </w:r>
            <w:r w:rsidR="00BB1903" w:rsidRPr="00E2413A">
              <w:rPr>
                <w:rFonts w:ascii="Times New Roman" w:hAnsi="Times New Roman"/>
                <w:i/>
                <w:color w:val="000000"/>
                <w:spacing w:val="-2"/>
              </w:rPr>
              <w:t>vide</w:t>
            </w:r>
            <w:r w:rsidR="00BB1903" w:rsidRPr="00F3641D">
              <w:rPr>
                <w:rFonts w:ascii="Times New Roman" w:hAnsi="Times New Roman"/>
                <w:color w:val="000000"/>
                <w:spacing w:val="-2"/>
              </w:rPr>
              <w:t xml:space="preserve"> pkt 6</w:t>
            </w:r>
            <w:r w:rsidR="00BB1903">
              <w:rPr>
                <w:rFonts w:ascii="Times New Roman" w:hAnsi="Times New Roman"/>
                <w:color w:val="000000"/>
                <w:spacing w:val="-2"/>
              </w:rPr>
              <w:t>.1 i </w:t>
            </w:r>
            <w:r w:rsidR="00BB1903" w:rsidRPr="00F3641D">
              <w:rPr>
                <w:rFonts w:ascii="Times New Roman" w:hAnsi="Times New Roman"/>
                <w:color w:val="000000"/>
                <w:spacing w:val="-2"/>
              </w:rPr>
              <w:t>6.4). Stanowi to ok. 0,16% liczby skarg, które wpłynęły do WSA w Warszawie w 2014 r.</w:t>
            </w:r>
          </w:p>
        </w:tc>
      </w:tr>
      <w:tr w:rsidR="00BB1903" w:rsidRPr="008B4FE6" w:rsidTr="00BB1903">
        <w:trPr>
          <w:gridAfter w:val="1"/>
          <w:wAfter w:w="10" w:type="dxa"/>
          <w:trHeight w:val="302"/>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sidRPr="008B4FE6">
              <w:rPr>
                <w:rFonts w:ascii="Times New Roman" w:hAnsi="Times New Roman"/>
                <w:b/>
                <w:color w:val="000000"/>
              </w:rPr>
              <w:lastRenderedPageBreak/>
              <w:t>Informacje na temat</w:t>
            </w:r>
            <w:r>
              <w:rPr>
                <w:rFonts w:ascii="Times New Roman" w:hAnsi="Times New Roman"/>
                <w:b/>
                <w:color w:val="000000"/>
              </w:rPr>
              <w:t xml:space="preserve"> zakresu, czasu trwania i podsumowanie wyników </w:t>
            </w:r>
            <w:r w:rsidRPr="008B4FE6">
              <w:rPr>
                <w:rFonts w:ascii="Times New Roman" w:hAnsi="Times New Roman"/>
                <w:b/>
                <w:color w:val="000000"/>
              </w:rPr>
              <w:t>konsultacji</w:t>
            </w:r>
          </w:p>
        </w:tc>
      </w:tr>
      <w:tr w:rsidR="00BB1903" w:rsidRPr="008B4FE6" w:rsidTr="00BB1903">
        <w:trPr>
          <w:gridAfter w:val="1"/>
          <w:wAfter w:w="10" w:type="dxa"/>
          <w:trHeight w:val="342"/>
        </w:trPr>
        <w:tc>
          <w:tcPr>
            <w:tcW w:w="10937" w:type="dxa"/>
            <w:gridSpan w:val="29"/>
            <w:shd w:val="clear" w:color="auto" w:fill="FFFFFF"/>
          </w:tcPr>
          <w:p w:rsidR="00BB1903"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 xml:space="preserve">Projekt ustawy bazuje </w:t>
            </w:r>
            <w:r>
              <w:rPr>
                <w:rFonts w:ascii="Times New Roman" w:hAnsi="Times New Roman"/>
                <w:color w:val="000000"/>
                <w:spacing w:val="-2"/>
              </w:rPr>
              <w:t xml:space="preserve">na </w:t>
            </w:r>
            <w:r w:rsidR="00E2413A">
              <w:rPr>
                <w:rFonts w:ascii="Times New Roman" w:hAnsi="Times New Roman"/>
                <w:color w:val="000000"/>
                <w:spacing w:val="-2"/>
              </w:rPr>
              <w:t>„Kierunkowych założeniach</w:t>
            </w:r>
            <w:r w:rsidRPr="00397ADA">
              <w:rPr>
                <w:rFonts w:ascii="Times New Roman" w:hAnsi="Times New Roman"/>
                <w:color w:val="000000"/>
                <w:spacing w:val="-2"/>
              </w:rPr>
              <w:t xml:space="preserve"> nowej ordynacji podatkowej” przygotowanych przez Komisję Kodyfikacyjną Ogólnego Prawa Podatkowego. Projekt założeń był przedmiotem konsultacji społecznych. Wyniki konsultacji społecznych są zamieszczone na stronie Biuletynu Informacji Publicznej</w:t>
            </w:r>
            <w:r>
              <w:rPr>
                <w:rFonts w:ascii="Times New Roman" w:hAnsi="Times New Roman"/>
                <w:color w:val="000000"/>
                <w:spacing w:val="-2"/>
              </w:rPr>
              <w:t xml:space="preserve"> Rządowego Centrum Legislacji w </w:t>
            </w:r>
            <w:r w:rsidRPr="00397ADA">
              <w:rPr>
                <w:rFonts w:ascii="Times New Roman" w:hAnsi="Times New Roman"/>
                <w:color w:val="000000"/>
                <w:spacing w:val="-2"/>
              </w:rPr>
              <w:t xml:space="preserve">zakładce Rządowy proces legislacyjny </w:t>
            </w:r>
            <w:r w:rsidRPr="00BB1903">
              <w:rPr>
                <w:rFonts w:ascii="Times New Roman" w:hAnsi="Times New Roman"/>
                <w:spacing w:val="-2"/>
              </w:rPr>
              <w:t>http://legislacja.rcl.gov.pl/projekt/12274851</w:t>
            </w:r>
            <w:r w:rsidR="009614D1">
              <w:rPr>
                <w:rFonts w:ascii="Times New Roman" w:hAnsi="Times New Roman"/>
                <w:spacing w:val="-2"/>
              </w:rPr>
              <w:t>.</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W celu przeprowadzenia konsultacji publicznych projekt ustawy zosta</w:t>
            </w:r>
            <w:r>
              <w:rPr>
                <w:rFonts w:ascii="Times New Roman" w:hAnsi="Times New Roman"/>
                <w:color w:val="000000"/>
                <w:spacing w:val="-2"/>
              </w:rPr>
              <w:t>ł</w:t>
            </w:r>
            <w:r w:rsidRPr="00397ADA">
              <w:rPr>
                <w:rFonts w:ascii="Times New Roman" w:hAnsi="Times New Roman"/>
                <w:color w:val="000000"/>
                <w:spacing w:val="-2"/>
              </w:rPr>
              <w:t xml:space="preserve"> przekazany do zaopiniowania m.in. przez: </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1) Komisję Krajową NSZZ „Solidarność”,</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2) Ogólnopolskie Porozumienie Związków Zawodowych,</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3) Forum Związków Zawodowych,</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4) Pracodawców Rzeczypospolitej Polskiej,</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5) Związek Rzemiosła Polskiego,</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6) Konfederację „Lewiatan”,</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7) Business Centre Club,</w:t>
            </w:r>
          </w:p>
          <w:p w:rsidR="00BB1903" w:rsidRPr="00397ADA"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8) Kr</w:t>
            </w:r>
            <w:r w:rsidR="009614D1">
              <w:rPr>
                <w:rFonts w:ascii="Times New Roman" w:hAnsi="Times New Roman"/>
                <w:color w:val="000000"/>
                <w:spacing w:val="-2"/>
              </w:rPr>
              <w:t>ajową Radę Doradców Podatkowych,</w:t>
            </w:r>
          </w:p>
          <w:p w:rsidR="00BB1903" w:rsidRDefault="00BB1903" w:rsidP="00BB1903">
            <w:pPr>
              <w:spacing w:after="0" w:line="240" w:lineRule="auto"/>
              <w:jc w:val="both"/>
              <w:rPr>
                <w:rFonts w:ascii="Times New Roman" w:hAnsi="Times New Roman"/>
                <w:color w:val="000000"/>
                <w:spacing w:val="-2"/>
              </w:rPr>
            </w:pPr>
            <w:r w:rsidRPr="00397ADA">
              <w:rPr>
                <w:rFonts w:ascii="Times New Roman" w:hAnsi="Times New Roman"/>
                <w:color w:val="000000"/>
                <w:spacing w:val="-2"/>
              </w:rPr>
              <w:t>9) Rad</w:t>
            </w:r>
            <w:r>
              <w:rPr>
                <w:rFonts w:ascii="Times New Roman" w:hAnsi="Times New Roman"/>
                <w:color w:val="000000"/>
                <w:spacing w:val="-2"/>
              </w:rPr>
              <w:t>ę</w:t>
            </w:r>
            <w:r w:rsidRPr="00397ADA">
              <w:rPr>
                <w:rFonts w:ascii="Times New Roman" w:hAnsi="Times New Roman"/>
                <w:color w:val="000000"/>
                <w:spacing w:val="-2"/>
              </w:rPr>
              <w:t xml:space="preserve"> Dialogu Społecznego.</w:t>
            </w:r>
          </w:p>
          <w:p w:rsidR="00BB1903" w:rsidRPr="00B37C80" w:rsidRDefault="00BB1903" w:rsidP="00BB1903">
            <w:pPr>
              <w:spacing w:after="0" w:line="240" w:lineRule="auto"/>
              <w:jc w:val="both"/>
              <w:rPr>
                <w:rFonts w:ascii="Times New Roman" w:hAnsi="Times New Roman"/>
                <w:color w:val="000000"/>
                <w:spacing w:val="-2"/>
              </w:rPr>
            </w:pPr>
            <w:r w:rsidRPr="00F3641D">
              <w:rPr>
                <w:rFonts w:ascii="Times New Roman" w:hAnsi="Times New Roman"/>
                <w:color w:val="000000"/>
                <w:spacing w:val="-2"/>
              </w:rPr>
              <w:t>Konsultacje przeprowadzono w dniach od 29 grudnia 2015 r. do dnia 20 stycznia 2016 r. Z konsultacji sporządzono raport.</w:t>
            </w:r>
            <w:r>
              <w:rPr>
                <w:rFonts w:ascii="Times New Roman" w:hAnsi="Times New Roman"/>
                <w:color w:val="000000"/>
                <w:spacing w:val="-2"/>
              </w:rPr>
              <w:t xml:space="preserve"> </w:t>
            </w:r>
          </w:p>
        </w:tc>
      </w:tr>
      <w:tr w:rsidR="00BB1903" w:rsidRPr="008B4FE6" w:rsidTr="00BB1903">
        <w:trPr>
          <w:gridAfter w:val="1"/>
          <w:wAfter w:w="10" w:type="dxa"/>
          <w:trHeight w:val="363"/>
        </w:trPr>
        <w:tc>
          <w:tcPr>
            <w:tcW w:w="10937" w:type="dxa"/>
            <w:gridSpan w:val="29"/>
            <w:shd w:val="clear" w:color="auto" w:fill="99CCFF"/>
            <w:vAlign w:val="center"/>
          </w:tcPr>
          <w:p w:rsidR="00BB1903" w:rsidRPr="008B4FE6" w:rsidRDefault="00BB1903" w:rsidP="00BB1903">
            <w:pPr>
              <w:numPr>
                <w:ilvl w:val="0"/>
                <w:numId w:val="9"/>
              </w:numPr>
              <w:spacing w:after="0" w:line="240" w:lineRule="auto"/>
              <w:ind w:left="318" w:hanging="284"/>
              <w:jc w:val="both"/>
              <w:rPr>
                <w:rFonts w:ascii="Times New Roman" w:hAnsi="Times New Roman"/>
                <w:b/>
                <w:color w:val="000000"/>
              </w:rPr>
            </w:pPr>
            <w:r w:rsidRPr="008B4FE6">
              <w:rPr>
                <w:rFonts w:ascii="Times New Roman" w:hAnsi="Times New Roman"/>
                <w:b/>
                <w:color w:val="000000"/>
              </w:rPr>
              <w:t xml:space="preserve"> Wpływ na sektor finansów publicznych</w:t>
            </w:r>
          </w:p>
        </w:tc>
      </w:tr>
      <w:tr w:rsidR="00BB1903" w:rsidRPr="008B4FE6" w:rsidTr="00BB1903">
        <w:trPr>
          <w:gridAfter w:val="1"/>
          <w:wAfter w:w="10" w:type="dxa"/>
          <w:trHeight w:val="142"/>
        </w:trPr>
        <w:tc>
          <w:tcPr>
            <w:tcW w:w="3133" w:type="dxa"/>
            <w:gridSpan w:val="4"/>
            <w:vMerge w:val="restart"/>
            <w:shd w:val="clear" w:color="auto" w:fill="FFFFFF"/>
          </w:tcPr>
          <w:p w:rsidR="00BB1903" w:rsidRPr="00C53F26" w:rsidRDefault="00BB1903" w:rsidP="00BB1903">
            <w:pPr>
              <w:spacing w:after="0" w:line="240" w:lineRule="auto"/>
              <w:rPr>
                <w:rFonts w:ascii="Times New Roman" w:hAnsi="Times New Roman"/>
                <w:i/>
                <w:color w:val="000000"/>
                <w:sz w:val="21"/>
                <w:szCs w:val="21"/>
              </w:rPr>
            </w:pPr>
            <w:r w:rsidRPr="006F78C4">
              <w:rPr>
                <w:rFonts w:ascii="Times New Roman" w:hAnsi="Times New Roman"/>
                <w:color w:val="000000"/>
                <w:sz w:val="21"/>
                <w:szCs w:val="21"/>
              </w:rPr>
              <w:t xml:space="preserve">(ceny </w:t>
            </w:r>
            <w:r>
              <w:rPr>
                <w:rFonts w:ascii="Times New Roman" w:hAnsi="Times New Roman"/>
                <w:color w:val="000000"/>
                <w:sz w:val="21"/>
                <w:szCs w:val="21"/>
              </w:rPr>
              <w:t>stałe z …</w:t>
            </w:r>
            <w:r w:rsidRPr="006F78C4">
              <w:rPr>
                <w:rFonts w:ascii="Times New Roman" w:hAnsi="Times New Roman"/>
                <w:color w:val="000000"/>
                <w:sz w:val="21"/>
                <w:szCs w:val="21"/>
              </w:rPr>
              <w:t xml:space="preserve"> r.)</w:t>
            </w:r>
          </w:p>
        </w:tc>
        <w:tc>
          <w:tcPr>
            <w:tcW w:w="7804" w:type="dxa"/>
            <w:gridSpan w:val="25"/>
            <w:shd w:val="clear" w:color="auto" w:fill="FFFFFF"/>
          </w:tcPr>
          <w:p w:rsidR="00BB1903" w:rsidRPr="00C53F26" w:rsidRDefault="00BB1903" w:rsidP="00BB1903">
            <w:pPr>
              <w:spacing w:after="0" w:line="240" w:lineRule="auto"/>
              <w:jc w:val="center"/>
              <w:rPr>
                <w:rFonts w:ascii="Times New Roman" w:hAnsi="Times New Roman"/>
                <w:i/>
                <w:color w:val="000000"/>
                <w:spacing w:val="-2"/>
                <w:sz w:val="21"/>
                <w:szCs w:val="21"/>
              </w:rPr>
            </w:pPr>
            <w:r w:rsidRPr="00C53F26">
              <w:rPr>
                <w:rFonts w:ascii="Times New Roman" w:hAnsi="Times New Roman"/>
                <w:color w:val="000000"/>
                <w:sz w:val="21"/>
                <w:szCs w:val="21"/>
              </w:rPr>
              <w:t>Skutki w okresie 10 lat od wejścia w życie zmian [</w:t>
            </w:r>
            <w:r>
              <w:rPr>
                <w:rFonts w:ascii="Times New Roman" w:hAnsi="Times New Roman"/>
                <w:color w:val="000000"/>
                <w:sz w:val="21"/>
                <w:szCs w:val="21"/>
              </w:rPr>
              <w:t xml:space="preserve">mln </w:t>
            </w:r>
            <w:r w:rsidRPr="00C53F26">
              <w:rPr>
                <w:rFonts w:ascii="Times New Roman" w:hAnsi="Times New Roman"/>
                <w:color w:val="000000"/>
                <w:sz w:val="21"/>
                <w:szCs w:val="21"/>
              </w:rPr>
              <w:t>zł]</w:t>
            </w:r>
          </w:p>
        </w:tc>
      </w:tr>
      <w:tr w:rsidR="00BB1903" w:rsidRPr="008B4FE6" w:rsidTr="00BB1903">
        <w:trPr>
          <w:gridAfter w:val="1"/>
          <w:wAfter w:w="10" w:type="dxa"/>
          <w:trHeight w:val="142"/>
        </w:trPr>
        <w:tc>
          <w:tcPr>
            <w:tcW w:w="3133" w:type="dxa"/>
            <w:gridSpan w:val="4"/>
            <w:vMerge/>
            <w:shd w:val="clear" w:color="auto" w:fill="FFFFFF"/>
          </w:tcPr>
          <w:p w:rsidR="00BB1903" w:rsidRPr="00C53F26" w:rsidRDefault="00BB1903" w:rsidP="00BB1903">
            <w:pPr>
              <w:spacing w:after="0" w:line="240" w:lineRule="auto"/>
              <w:rPr>
                <w:rFonts w:ascii="Times New Roman" w:hAnsi="Times New Roman"/>
                <w:i/>
                <w:color w:val="000000"/>
                <w:sz w:val="21"/>
                <w:szCs w:val="21"/>
              </w:rPr>
            </w:pPr>
          </w:p>
        </w:tc>
        <w:tc>
          <w:tcPr>
            <w:tcW w:w="569"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0</w:t>
            </w:r>
          </w:p>
        </w:tc>
        <w:tc>
          <w:tcPr>
            <w:tcW w:w="570"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1</w:t>
            </w:r>
          </w:p>
        </w:tc>
        <w:tc>
          <w:tcPr>
            <w:tcW w:w="570"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2</w:t>
            </w:r>
          </w:p>
        </w:tc>
        <w:tc>
          <w:tcPr>
            <w:tcW w:w="569" w:type="dxa"/>
            <w:gridSpan w:val="3"/>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3</w:t>
            </w:r>
          </w:p>
        </w:tc>
        <w:tc>
          <w:tcPr>
            <w:tcW w:w="570"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4</w:t>
            </w:r>
          </w:p>
        </w:tc>
        <w:tc>
          <w:tcPr>
            <w:tcW w:w="570" w:type="dxa"/>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5</w:t>
            </w:r>
          </w:p>
        </w:tc>
        <w:tc>
          <w:tcPr>
            <w:tcW w:w="570" w:type="dxa"/>
            <w:gridSpan w:val="3"/>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6</w:t>
            </w:r>
          </w:p>
        </w:tc>
        <w:tc>
          <w:tcPr>
            <w:tcW w:w="569" w:type="dxa"/>
            <w:gridSpan w:val="3"/>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7</w:t>
            </w:r>
          </w:p>
        </w:tc>
        <w:tc>
          <w:tcPr>
            <w:tcW w:w="570"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8</w:t>
            </w:r>
          </w:p>
        </w:tc>
        <w:tc>
          <w:tcPr>
            <w:tcW w:w="570" w:type="dxa"/>
            <w:gridSpan w:val="2"/>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9</w:t>
            </w:r>
          </w:p>
        </w:tc>
        <w:tc>
          <w:tcPr>
            <w:tcW w:w="570" w:type="dxa"/>
            <w:shd w:val="clear" w:color="auto" w:fill="FFFFFF"/>
          </w:tcPr>
          <w:p w:rsidR="00BB1903" w:rsidRPr="00C53F26" w:rsidRDefault="00BB1903" w:rsidP="00BB1903">
            <w:pPr>
              <w:spacing w:after="0" w:line="240" w:lineRule="auto"/>
              <w:jc w:val="center"/>
              <w:rPr>
                <w:rFonts w:ascii="Times New Roman" w:hAnsi="Times New Roman"/>
                <w:color w:val="000000"/>
                <w:sz w:val="21"/>
                <w:szCs w:val="21"/>
              </w:rPr>
            </w:pPr>
            <w:r w:rsidRPr="00C53F26">
              <w:rPr>
                <w:rFonts w:ascii="Times New Roman" w:hAnsi="Times New Roman"/>
                <w:color w:val="000000"/>
                <w:sz w:val="21"/>
                <w:szCs w:val="21"/>
              </w:rPr>
              <w:t>10</w:t>
            </w:r>
          </w:p>
        </w:tc>
        <w:tc>
          <w:tcPr>
            <w:tcW w:w="1537" w:type="dxa"/>
            <w:gridSpan w:val="2"/>
            <w:shd w:val="clear" w:color="auto" w:fill="FFFFFF"/>
          </w:tcPr>
          <w:p w:rsidR="00BB1903" w:rsidRPr="00C83D47" w:rsidRDefault="00BB1903" w:rsidP="00BB1903">
            <w:pPr>
              <w:spacing w:after="0" w:line="240" w:lineRule="auto"/>
              <w:jc w:val="center"/>
              <w:rPr>
                <w:rFonts w:ascii="Times New Roman" w:hAnsi="Times New Roman"/>
                <w:color w:val="000000"/>
                <w:spacing w:val="-2"/>
                <w:sz w:val="21"/>
                <w:szCs w:val="21"/>
              </w:rPr>
            </w:pPr>
            <w:r w:rsidRPr="00C83D47">
              <w:rPr>
                <w:rFonts w:ascii="Times New Roman" w:hAnsi="Times New Roman"/>
                <w:color w:val="000000"/>
                <w:spacing w:val="-2"/>
                <w:sz w:val="21"/>
                <w:szCs w:val="21"/>
              </w:rPr>
              <w:t>Łącznie (0–10)</w:t>
            </w:r>
          </w:p>
        </w:tc>
      </w:tr>
      <w:tr w:rsidR="00BB1903" w:rsidRPr="008B4FE6" w:rsidTr="00BB1903">
        <w:trPr>
          <w:trHeight w:val="321"/>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b/>
                <w:color w:val="000000"/>
                <w:sz w:val="21"/>
                <w:szCs w:val="21"/>
              </w:rPr>
              <w:t>Dochody ogółem</w:t>
            </w:r>
          </w:p>
        </w:tc>
        <w:tc>
          <w:tcPr>
            <w:tcW w:w="569" w:type="dxa"/>
            <w:gridSpan w:val="2"/>
            <w:shd w:val="clear" w:color="auto" w:fill="FFFFFF"/>
          </w:tcPr>
          <w:p w:rsidR="00BB1903" w:rsidRPr="00FF5A7F" w:rsidRDefault="00BB1903" w:rsidP="00BB1903">
            <w:pPr>
              <w:spacing w:after="0" w:line="240" w:lineRule="auto"/>
              <w:jc w:val="center"/>
              <w:rPr>
                <w:rFonts w:ascii="Times New Roman" w:hAnsi="Times New Roman"/>
                <w:color w:val="000000"/>
                <w:sz w:val="16"/>
                <w:szCs w:val="16"/>
              </w:rPr>
            </w:pPr>
            <w:r w:rsidRPr="00FF5A7F">
              <w:rPr>
                <w:rFonts w:ascii="Times New Roman" w:hAnsi="Times New Roman"/>
                <w:color w:val="000000"/>
                <w:sz w:val="16"/>
                <w:szCs w:val="16"/>
              </w:rPr>
              <w:t>0</w:t>
            </w:r>
          </w:p>
        </w:tc>
        <w:tc>
          <w:tcPr>
            <w:tcW w:w="570" w:type="dxa"/>
            <w:gridSpan w:val="2"/>
            <w:shd w:val="clear" w:color="auto" w:fill="FFFFFF"/>
          </w:tcPr>
          <w:p w:rsidR="00BB1903" w:rsidRPr="00FF5A7F" w:rsidRDefault="00BB1903" w:rsidP="00BB1903">
            <w:pPr>
              <w:spacing w:after="0" w:line="240" w:lineRule="auto"/>
              <w:jc w:val="center"/>
              <w:rPr>
                <w:rFonts w:ascii="Times New Roman" w:hAnsi="Times New Roman"/>
                <w:color w:val="000000"/>
                <w:sz w:val="16"/>
                <w:szCs w:val="16"/>
              </w:rPr>
            </w:pPr>
            <w:r w:rsidRPr="00FF5A7F">
              <w:rPr>
                <w:rFonts w:ascii="Times New Roman" w:hAnsi="Times New Roman"/>
                <w:color w:val="000000"/>
                <w:sz w:val="16"/>
                <w:szCs w:val="16"/>
              </w:rPr>
              <w:t>50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pacing w:val="-2"/>
                <w:sz w:val="16"/>
                <w:szCs w:val="16"/>
              </w:rPr>
            </w:pPr>
            <w:r w:rsidRPr="00FF5A7F">
              <w:rPr>
                <w:rFonts w:ascii="Times New Roman" w:hAnsi="Times New Roman"/>
                <w:color w:val="000000"/>
                <w:spacing w:val="-2"/>
                <w:sz w:val="16"/>
                <w:szCs w:val="16"/>
              </w:rPr>
              <w:t>950</w:t>
            </w:r>
          </w:p>
        </w:tc>
      </w:tr>
      <w:tr w:rsidR="00BB1903" w:rsidRPr="008B4FE6" w:rsidTr="00BB1903">
        <w:trPr>
          <w:trHeight w:val="321"/>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BB1903" w:rsidRPr="00FF5A7F" w:rsidRDefault="00BB1903" w:rsidP="00BB1903">
            <w:pPr>
              <w:spacing w:after="0" w:line="240" w:lineRule="auto"/>
              <w:jc w:val="center"/>
              <w:rPr>
                <w:rFonts w:ascii="Times New Roman" w:hAnsi="Times New Roman"/>
                <w:color w:val="000000"/>
                <w:sz w:val="16"/>
                <w:szCs w:val="16"/>
              </w:rPr>
            </w:pPr>
            <w:r w:rsidRPr="00FF5A7F">
              <w:rPr>
                <w:rFonts w:ascii="Times New Roman" w:hAnsi="Times New Roman"/>
                <w:color w:val="000000"/>
                <w:sz w:val="16"/>
                <w:szCs w:val="16"/>
              </w:rPr>
              <w:t>0</w:t>
            </w:r>
          </w:p>
        </w:tc>
        <w:tc>
          <w:tcPr>
            <w:tcW w:w="570" w:type="dxa"/>
            <w:gridSpan w:val="2"/>
            <w:shd w:val="clear" w:color="auto" w:fill="FFFFFF"/>
          </w:tcPr>
          <w:p w:rsidR="00BB1903" w:rsidRPr="00FF5A7F" w:rsidRDefault="00BB1903" w:rsidP="00BB1903">
            <w:pPr>
              <w:spacing w:after="0" w:line="240" w:lineRule="auto"/>
              <w:jc w:val="center"/>
              <w:rPr>
                <w:rFonts w:ascii="Times New Roman" w:hAnsi="Times New Roman"/>
                <w:color w:val="000000"/>
                <w:sz w:val="16"/>
                <w:szCs w:val="16"/>
              </w:rPr>
            </w:pPr>
            <w:r w:rsidRPr="00FF5A7F">
              <w:rPr>
                <w:rFonts w:ascii="Times New Roman" w:hAnsi="Times New Roman"/>
                <w:color w:val="000000"/>
                <w:sz w:val="16"/>
                <w:szCs w:val="16"/>
              </w:rPr>
              <w:t>50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100</w:t>
            </w: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pacing w:val="-2"/>
                <w:sz w:val="16"/>
                <w:szCs w:val="16"/>
              </w:rPr>
            </w:pPr>
            <w:r w:rsidRPr="00FF5A7F">
              <w:rPr>
                <w:rFonts w:ascii="Times New Roman" w:hAnsi="Times New Roman"/>
                <w:color w:val="000000"/>
                <w:spacing w:val="-2"/>
                <w:sz w:val="16"/>
                <w:szCs w:val="16"/>
              </w:rPr>
              <w:t>950</w:t>
            </w:r>
          </w:p>
        </w:tc>
      </w:tr>
      <w:tr w:rsidR="00BB1903" w:rsidRPr="008B4FE6" w:rsidTr="00BB1903">
        <w:trPr>
          <w:trHeight w:val="344"/>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r>
      <w:tr w:rsidR="00BB1903" w:rsidRPr="008B4FE6" w:rsidTr="00BB1903">
        <w:trPr>
          <w:trHeight w:val="344"/>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r>
      <w:tr w:rsidR="00BB1903" w:rsidRPr="008B4FE6" w:rsidTr="00BB1903">
        <w:trPr>
          <w:trHeight w:val="330"/>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b/>
                <w:color w:val="000000"/>
                <w:sz w:val="21"/>
                <w:szCs w:val="21"/>
              </w:rPr>
              <w:t>Wydatki ogółem</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1,5</w:t>
            </w:r>
            <w:r>
              <w:rPr>
                <w:rFonts w:ascii="Times New Roman" w:hAnsi="Times New Roman"/>
                <w:color w:val="000000"/>
                <w:sz w:val="16"/>
                <w:szCs w:val="16"/>
              </w:rPr>
              <w:t>5</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6</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18,</w:t>
            </w:r>
            <w:r>
              <w:rPr>
                <w:rFonts w:ascii="Times New Roman" w:hAnsi="Times New Roman"/>
                <w:color w:val="000000"/>
                <w:sz w:val="16"/>
                <w:szCs w:val="16"/>
              </w:rPr>
              <w:t>45</w:t>
            </w:r>
          </w:p>
        </w:tc>
      </w:tr>
      <w:tr w:rsidR="00BB1903" w:rsidRPr="008B4FE6" w:rsidTr="00BB1903">
        <w:trPr>
          <w:trHeight w:val="330"/>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1,5</w:t>
            </w:r>
            <w:r>
              <w:rPr>
                <w:rFonts w:ascii="Times New Roman" w:hAnsi="Times New Roman"/>
                <w:color w:val="000000"/>
                <w:sz w:val="16"/>
                <w:szCs w:val="16"/>
              </w:rPr>
              <w:t>5</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6</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w:t>
            </w:r>
            <w:r>
              <w:rPr>
                <w:rFonts w:ascii="Times New Roman" w:hAnsi="Times New Roman"/>
                <w:color w:val="000000"/>
                <w:sz w:val="16"/>
                <w:szCs w:val="16"/>
              </w:rPr>
              <w:t>7</w:t>
            </w: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sidRPr="00FF5A7F">
              <w:rPr>
                <w:rFonts w:ascii="Times New Roman" w:hAnsi="Times New Roman"/>
                <w:color w:val="000000"/>
                <w:sz w:val="16"/>
                <w:szCs w:val="16"/>
              </w:rPr>
              <w:t>18,</w:t>
            </w:r>
            <w:r>
              <w:rPr>
                <w:rFonts w:ascii="Times New Roman" w:hAnsi="Times New Roman"/>
                <w:color w:val="000000"/>
                <w:sz w:val="16"/>
                <w:szCs w:val="16"/>
              </w:rPr>
              <w:t>45</w:t>
            </w:r>
          </w:p>
        </w:tc>
      </w:tr>
      <w:tr w:rsidR="00BB1903" w:rsidRPr="008B4FE6" w:rsidTr="00BB1903">
        <w:trPr>
          <w:trHeight w:val="351"/>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r>
      <w:tr w:rsidR="00BB1903" w:rsidRPr="008B4FE6" w:rsidTr="00BB1903">
        <w:trPr>
          <w:trHeight w:val="351"/>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p>
        </w:tc>
      </w:tr>
      <w:tr w:rsidR="00BB1903" w:rsidRPr="008B4FE6" w:rsidTr="00BB1903">
        <w:trPr>
          <w:trHeight w:val="360"/>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b/>
                <w:color w:val="000000"/>
                <w:sz w:val="21"/>
                <w:szCs w:val="21"/>
              </w:rPr>
              <w:t>Saldo ogółem</w:t>
            </w:r>
          </w:p>
        </w:tc>
        <w:tc>
          <w:tcPr>
            <w:tcW w:w="569"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- 1,5</w:t>
            </w:r>
            <w:r>
              <w:rPr>
                <w:rFonts w:ascii="Times New Roman" w:hAnsi="Times New Roman"/>
                <w:color w:val="000000"/>
                <w:sz w:val="15"/>
                <w:szCs w:val="15"/>
              </w:rPr>
              <w:t>5</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48,4</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gridSpan w:val="3"/>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69" w:type="dxa"/>
            <w:gridSpan w:val="3"/>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gridSpan w:val="2"/>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570" w:type="dxa"/>
            <w:shd w:val="clear" w:color="auto" w:fill="FFFFFF"/>
          </w:tcPr>
          <w:p w:rsidR="00BB1903" w:rsidRPr="00FF5A7F" w:rsidRDefault="00BB1903" w:rsidP="00BB1903">
            <w:pPr>
              <w:spacing w:after="0" w:line="240" w:lineRule="auto"/>
              <w:rPr>
                <w:rFonts w:ascii="Times New Roman" w:hAnsi="Times New Roman"/>
                <w:color w:val="000000"/>
                <w:sz w:val="15"/>
                <w:szCs w:val="15"/>
              </w:rPr>
            </w:pPr>
            <w:r w:rsidRPr="00FF5A7F">
              <w:rPr>
                <w:rFonts w:ascii="Times New Roman" w:hAnsi="Times New Roman"/>
                <w:color w:val="000000"/>
                <w:sz w:val="15"/>
                <w:szCs w:val="15"/>
              </w:rPr>
              <w:t>98,3</w:t>
            </w:r>
          </w:p>
        </w:tc>
        <w:tc>
          <w:tcPr>
            <w:tcW w:w="1547" w:type="dxa"/>
            <w:gridSpan w:val="3"/>
            <w:shd w:val="clear" w:color="auto" w:fill="FFFFFF"/>
          </w:tcPr>
          <w:p w:rsidR="00BB1903" w:rsidRPr="00FF5A7F" w:rsidRDefault="00BB1903" w:rsidP="00BB1903">
            <w:pPr>
              <w:spacing w:after="0" w:line="240" w:lineRule="auto"/>
              <w:rPr>
                <w:rFonts w:ascii="Times New Roman" w:hAnsi="Times New Roman"/>
                <w:color w:val="000000"/>
                <w:sz w:val="16"/>
                <w:szCs w:val="16"/>
              </w:rPr>
            </w:pPr>
            <w:r>
              <w:rPr>
                <w:rFonts w:ascii="Times New Roman" w:hAnsi="Times New Roman"/>
                <w:color w:val="000000"/>
                <w:sz w:val="16"/>
                <w:szCs w:val="16"/>
              </w:rPr>
              <w:t>931,55</w:t>
            </w:r>
          </w:p>
        </w:tc>
      </w:tr>
      <w:tr w:rsidR="00BB1903" w:rsidRPr="008B4FE6" w:rsidTr="00BB1903">
        <w:trPr>
          <w:trHeight w:val="360"/>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- 1,5</w:t>
            </w:r>
            <w:r>
              <w:rPr>
                <w:rFonts w:ascii="Times New Roman" w:hAnsi="Times New Roman"/>
                <w:color w:val="000000"/>
                <w:sz w:val="15"/>
                <w:szCs w:val="15"/>
              </w:rPr>
              <w:t>5</w:t>
            </w:r>
          </w:p>
        </w:tc>
        <w:tc>
          <w:tcPr>
            <w:tcW w:w="570"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48,4</w:t>
            </w:r>
          </w:p>
        </w:tc>
        <w:tc>
          <w:tcPr>
            <w:tcW w:w="570"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69" w:type="dxa"/>
            <w:gridSpan w:val="3"/>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gridSpan w:val="3"/>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69" w:type="dxa"/>
            <w:gridSpan w:val="3"/>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gridSpan w:val="2"/>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570" w:type="dxa"/>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98,3</w:t>
            </w:r>
          </w:p>
        </w:tc>
        <w:tc>
          <w:tcPr>
            <w:tcW w:w="1547" w:type="dxa"/>
            <w:gridSpan w:val="3"/>
            <w:shd w:val="clear" w:color="auto" w:fill="FFFFFF"/>
          </w:tcPr>
          <w:p w:rsidR="00BB1903" w:rsidRPr="004F28DA" w:rsidRDefault="00BB1903" w:rsidP="00BB1903">
            <w:pPr>
              <w:spacing w:after="0" w:line="240" w:lineRule="auto"/>
              <w:rPr>
                <w:rFonts w:ascii="Times New Roman" w:hAnsi="Times New Roman"/>
                <w:color w:val="000000"/>
                <w:sz w:val="15"/>
                <w:szCs w:val="15"/>
              </w:rPr>
            </w:pPr>
            <w:r w:rsidRPr="004F28DA">
              <w:rPr>
                <w:rFonts w:ascii="Times New Roman" w:hAnsi="Times New Roman"/>
                <w:color w:val="000000"/>
                <w:sz w:val="15"/>
                <w:szCs w:val="15"/>
              </w:rPr>
              <w:t>931,</w:t>
            </w:r>
            <w:r>
              <w:rPr>
                <w:rFonts w:ascii="Times New Roman" w:hAnsi="Times New Roman"/>
                <w:color w:val="000000"/>
                <w:sz w:val="15"/>
                <w:szCs w:val="15"/>
              </w:rPr>
              <w:t>55</w:t>
            </w:r>
          </w:p>
        </w:tc>
      </w:tr>
      <w:tr w:rsidR="00BB1903" w:rsidRPr="008B4FE6" w:rsidTr="00BB1903">
        <w:trPr>
          <w:trHeight w:val="357"/>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69"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69"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1547"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r>
      <w:tr w:rsidR="00BB1903" w:rsidRPr="008B4FE6" w:rsidTr="00BB1903">
        <w:trPr>
          <w:trHeight w:val="357"/>
        </w:trPr>
        <w:tc>
          <w:tcPr>
            <w:tcW w:w="3133" w:type="dxa"/>
            <w:gridSpan w:val="4"/>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69"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69"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gridSpan w:val="2"/>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570" w:type="dxa"/>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c>
          <w:tcPr>
            <w:tcW w:w="1547" w:type="dxa"/>
            <w:gridSpan w:val="3"/>
            <w:shd w:val="clear" w:color="auto" w:fill="FFFFFF"/>
          </w:tcPr>
          <w:p w:rsidR="00BB1903" w:rsidRPr="00B37C80" w:rsidRDefault="00BB1903" w:rsidP="00BB1903">
            <w:pPr>
              <w:spacing w:after="0" w:line="240" w:lineRule="auto"/>
              <w:rPr>
                <w:rFonts w:ascii="Times New Roman" w:hAnsi="Times New Roman"/>
                <w:color w:val="000000"/>
                <w:sz w:val="21"/>
                <w:szCs w:val="21"/>
              </w:rPr>
            </w:pPr>
          </w:p>
        </w:tc>
      </w:tr>
      <w:tr w:rsidR="00BB1903" w:rsidRPr="008B4FE6" w:rsidTr="00BB1903">
        <w:trPr>
          <w:gridAfter w:val="1"/>
          <w:wAfter w:w="10" w:type="dxa"/>
          <w:trHeight w:val="935"/>
        </w:trPr>
        <w:tc>
          <w:tcPr>
            <w:tcW w:w="2243" w:type="dxa"/>
            <w:gridSpan w:val="2"/>
            <w:shd w:val="clear" w:color="auto" w:fill="FFFFFF"/>
            <w:vAlign w:val="center"/>
          </w:tcPr>
          <w:p w:rsidR="00BB1903" w:rsidRPr="00C53F26" w:rsidRDefault="00BB1903" w:rsidP="00BB1903">
            <w:pPr>
              <w:spacing w:after="0" w:line="240" w:lineRule="auto"/>
              <w:rPr>
                <w:rFonts w:ascii="Times New Roman" w:hAnsi="Times New Roman"/>
                <w:color w:val="000000"/>
                <w:sz w:val="21"/>
                <w:szCs w:val="21"/>
              </w:rPr>
            </w:pPr>
            <w:r w:rsidRPr="00C53F26">
              <w:rPr>
                <w:rFonts w:ascii="Times New Roman" w:hAnsi="Times New Roman"/>
                <w:color w:val="000000"/>
                <w:sz w:val="21"/>
                <w:szCs w:val="21"/>
              </w:rPr>
              <w:t xml:space="preserve">Źródła finansowania </w:t>
            </w:r>
          </w:p>
        </w:tc>
        <w:tc>
          <w:tcPr>
            <w:tcW w:w="8694" w:type="dxa"/>
            <w:gridSpan w:val="27"/>
            <w:shd w:val="clear" w:color="auto" w:fill="FFFFFF"/>
            <w:vAlign w:val="center"/>
          </w:tcPr>
          <w:p w:rsidR="00BB1903" w:rsidRPr="00B37C80" w:rsidRDefault="00BB1903" w:rsidP="00CD3306">
            <w:pPr>
              <w:spacing w:after="0" w:line="240" w:lineRule="auto"/>
              <w:ind w:left="130"/>
              <w:jc w:val="both"/>
              <w:rPr>
                <w:rFonts w:ascii="Times New Roman" w:hAnsi="Times New Roman"/>
                <w:color w:val="000000"/>
                <w:sz w:val="21"/>
                <w:szCs w:val="21"/>
              </w:rPr>
            </w:pPr>
            <w:r w:rsidRPr="000B61AD">
              <w:rPr>
                <w:rFonts w:ascii="Times New Roman" w:hAnsi="Times New Roman"/>
                <w:color w:val="000000"/>
                <w:sz w:val="21"/>
                <w:szCs w:val="21"/>
              </w:rPr>
              <w:t xml:space="preserve">Koszty funkcjonowania </w:t>
            </w:r>
            <w:r>
              <w:rPr>
                <w:rFonts w:ascii="Times New Roman" w:hAnsi="Times New Roman"/>
                <w:color w:val="000000"/>
                <w:sz w:val="21"/>
                <w:szCs w:val="21"/>
              </w:rPr>
              <w:t xml:space="preserve">Rady </w:t>
            </w:r>
            <w:r w:rsidRPr="00C80FFB">
              <w:rPr>
                <w:rFonts w:ascii="Times New Roman" w:hAnsi="Times New Roman"/>
                <w:color w:val="000000"/>
                <w:sz w:val="21"/>
                <w:szCs w:val="21"/>
              </w:rPr>
              <w:t xml:space="preserve">do Spraw </w:t>
            </w:r>
            <w:r w:rsidR="00CD3306">
              <w:rPr>
                <w:rFonts w:ascii="Times New Roman" w:hAnsi="Times New Roman"/>
                <w:color w:val="000000"/>
                <w:sz w:val="21"/>
                <w:szCs w:val="21"/>
              </w:rPr>
              <w:t xml:space="preserve">Przeciwdziałania </w:t>
            </w:r>
            <w:r w:rsidRPr="00C80FFB">
              <w:rPr>
                <w:rFonts w:ascii="Times New Roman" w:hAnsi="Times New Roman"/>
                <w:color w:val="000000"/>
                <w:sz w:val="21"/>
                <w:szCs w:val="21"/>
              </w:rPr>
              <w:t>Unikani</w:t>
            </w:r>
            <w:r w:rsidR="00CD3306">
              <w:rPr>
                <w:rFonts w:ascii="Times New Roman" w:hAnsi="Times New Roman"/>
                <w:color w:val="000000"/>
                <w:sz w:val="21"/>
                <w:szCs w:val="21"/>
              </w:rPr>
              <w:t>u</w:t>
            </w:r>
            <w:r w:rsidRPr="00C80FFB">
              <w:rPr>
                <w:rFonts w:ascii="Times New Roman" w:hAnsi="Times New Roman"/>
                <w:color w:val="000000"/>
                <w:sz w:val="21"/>
                <w:szCs w:val="21"/>
              </w:rPr>
              <w:t xml:space="preserve"> Opodatkowania</w:t>
            </w:r>
            <w:r w:rsidR="000A6D57">
              <w:rPr>
                <w:rFonts w:ascii="Times New Roman" w:hAnsi="Times New Roman"/>
                <w:color w:val="000000"/>
                <w:sz w:val="21"/>
                <w:szCs w:val="21"/>
              </w:rPr>
              <w:t xml:space="preserve"> będą finansowane z części 19 </w:t>
            </w:r>
            <w:r w:rsidRPr="000B61AD">
              <w:rPr>
                <w:rFonts w:ascii="Times New Roman" w:hAnsi="Times New Roman"/>
                <w:color w:val="000000"/>
                <w:sz w:val="21"/>
                <w:szCs w:val="21"/>
              </w:rPr>
              <w:t xml:space="preserve">budżetu państwa </w:t>
            </w:r>
            <w:r w:rsidR="009614D1">
              <w:rPr>
                <w:rFonts w:ascii="Times New Roman" w:hAnsi="Times New Roman"/>
                <w:color w:val="000000"/>
                <w:sz w:val="21"/>
                <w:szCs w:val="21"/>
              </w:rPr>
              <w:t xml:space="preserve">– </w:t>
            </w:r>
            <w:r w:rsidRPr="000B61AD">
              <w:rPr>
                <w:rFonts w:ascii="Times New Roman" w:hAnsi="Times New Roman"/>
                <w:color w:val="000000"/>
                <w:sz w:val="21"/>
                <w:szCs w:val="21"/>
              </w:rPr>
              <w:t>Budżet, finanse publiczne i instytucje finansowe – dysponent Minister Finansów. Wydatki dotyczące wynagr</w:t>
            </w:r>
            <w:r w:rsidR="00A24B3A">
              <w:rPr>
                <w:rFonts w:ascii="Times New Roman" w:hAnsi="Times New Roman"/>
                <w:color w:val="000000"/>
                <w:sz w:val="21"/>
                <w:szCs w:val="21"/>
              </w:rPr>
              <w:t>odzeń, zwrotu kosztów podróży i </w:t>
            </w:r>
            <w:r w:rsidRPr="000B61AD">
              <w:rPr>
                <w:rFonts w:ascii="Times New Roman" w:hAnsi="Times New Roman"/>
                <w:color w:val="000000"/>
                <w:sz w:val="21"/>
                <w:szCs w:val="21"/>
              </w:rPr>
              <w:t>noclegów członkom Rady będą pokryte w ramach dotychczasowych środków zabezpieczonych</w:t>
            </w:r>
            <w:r w:rsidR="009614D1">
              <w:rPr>
                <w:rFonts w:ascii="Times New Roman" w:hAnsi="Times New Roman"/>
                <w:color w:val="000000"/>
                <w:sz w:val="21"/>
                <w:szCs w:val="21"/>
              </w:rPr>
              <w:t xml:space="preserve"> w budżecie Ministra Finansów i </w:t>
            </w:r>
            <w:r w:rsidRPr="000B61AD">
              <w:rPr>
                <w:rFonts w:ascii="Times New Roman" w:hAnsi="Times New Roman"/>
                <w:color w:val="000000"/>
                <w:sz w:val="21"/>
                <w:szCs w:val="21"/>
              </w:rPr>
              <w:t>nie będą podstawą do ubiegania się o dodatkowe środki w roku wejścia w życie projektowanych regulacji</w:t>
            </w:r>
            <w:r w:rsidR="009614D1">
              <w:rPr>
                <w:rFonts w:ascii="Times New Roman" w:hAnsi="Times New Roman"/>
                <w:color w:val="000000"/>
                <w:sz w:val="21"/>
                <w:szCs w:val="21"/>
              </w:rPr>
              <w:t>,</w:t>
            </w:r>
            <w:r w:rsidR="00190019">
              <w:rPr>
                <w:rFonts w:ascii="Times New Roman" w:hAnsi="Times New Roman"/>
                <w:color w:val="000000"/>
                <w:sz w:val="21"/>
                <w:szCs w:val="21"/>
              </w:rPr>
              <w:t xml:space="preserve"> jak i w latach następnych.</w:t>
            </w:r>
          </w:p>
        </w:tc>
      </w:tr>
      <w:tr w:rsidR="00BB1903" w:rsidRPr="00F3641D" w:rsidTr="00BB1903">
        <w:trPr>
          <w:gridAfter w:val="1"/>
          <w:wAfter w:w="10" w:type="dxa"/>
          <w:trHeight w:val="1403"/>
        </w:trPr>
        <w:tc>
          <w:tcPr>
            <w:tcW w:w="2243" w:type="dxa"/>
            <w:gridSpan w:val="2"/>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Dodatkowe informacje, w tym wskazanie źródeł danych i przyjętych do obliczeń założeń</w:t>
            </w:r>
          </w:p>
        </w:tc>
        <w:tc>
          <w:tcPr>
            <w:tcW w:w="8694" w:type="dxa"/>
            <w:gridSpan w:val="27"/>
            <w:shd w:val="clear" w:color="auto" w:fill="FFFFFF"/>
          </w:tcPr>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Ustawa spowoduje:</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a) zwiększenie dochodów budżetowych w związku z wprowadzeniem:</w:t>
            </w:r>
          </w:p>
          <w:p w:rsidR="00BB1903" w:rsidRPr="00F3641D" w:rsidRDefault="00BB1903" w:rsidP="00BB1903">
            <w:pPr>
              <w:spacing w:after="0" w:line="240" w:lineRule="auto"/>
              <w:jc w:val="both"/>
              <w:rPr>
                <w:rFonts w:ascii="Times New Roman" w:hAnsi="Times New Roman"/>
                <w:color w:val="000000"/>
                <w:sz w:val="21"/>
                <w:szCs w:val="21"/>
              </w:rPr>
            </w:pPr>
            <w:r>
              <w:rPr>
                <w:rFonts w:ascii="Times New Roman" w:hAnsi="Times New Roman"/>
                <w:color w:val="000000"/>
                <w:sz w:val="21"/>
                <w:szCs w:val="21"/>
              </w:rPr>
              <w:t>–</w:t>
            </w:r>
            <w:r w:rsidRPr="00F3641D">
              <w:rPr>
                <w:rFonts w:ascii="Times New Roman" w:hAnsi="Times New Roman"/>
                <w:color w:val="000000"/>
                <w:sz w:val="21"/>
                <w:szCs w:val="21"/>
              </w:rPr>
              <w:t xml:space="preserve"> klauzuli przeciwko unikaniu opodatkowania (General Anti-Avoidance Rule) (50 mln zł w 2017 r., 100 mln zł w 2018 r. i w latach następnych),</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b) zwiększenie wydatków budżetowych w związku z:</w:t>
            </w:r>
          </w:p>
          <w:p w:rsidR="00BB1903" w:rsidRPr="00F3641D" w:rsidRDefault="00BB1903" w:rsidP="00BB1903">
            <w:pPr>
              <w:spacing w:after="0" w:line="240" w:lineRule="auto"/>
              <w:jc w:val="both"/>
              <w:rPr>
                <w:rFonts w:ascii="Times New Roman" w:hAnsi="Times New Roman"/>
                <w:color w:val="000000"/>
                <w:sz w:val="21"/>
                <w:szCs w:val="21"/>
              </w:rPr>
            </w:pPr>
            <w:r>
              <w:rPr>
                <w:rFonts w:ascii="Times New Roman" w:hAnsi="Times New Roman"/>
                <w:color w:val="000000"/>
                <w:sz w:val="21"/>
                <w:szCs w:val="21"/>
              </w:rPr>
              <w:t>–</w:t>
            </w:r>
            <w:r w:rsidRPr="00F3641D">
              <w:rPr>
                <w:rFonts w:ascii="Times New Roman" w:hAnsi="Times New Roman"/>
                <w:color w:val="000000"/>
                <w:sz w:val="21"/>
                <w:szCs w:val="21"/>
              </w:rPr>
              <w:t xml:space="preserve"> utworzeniem Rady do Spraw </w:t>
            </w:r>
            <w:r w:rsidR="002D12D2">
              <w:rPr>
                <w:rFonts w:ascii="Times New Roman" w:hAnsi="Times New Roman"/>
                <w:color w:val="000000"/>
                <w:sz w:val="21"/>
                <w:szCs w:val="21"/>
              </w:rPr>
              <w:t>Przeciwdziałania Unikaniu</w:t>
            </w:r>
            <w:r w:rsidRPr="00F3641D">
              <w:rPr>
                <w:rFonts w:ascii="Times New Roman" w:hAnsi="Times New Roman"/>
                <w:color w:val="000000"/>
                <w:sz w:val="21"/>
                <w:szCs w:val="21"/>
              </w:rPr>
              <w:t xml:space="preserve"> Opodatkowania (0,</w:t>
            </w:r>
            <w:r>
              <w:rPr>
                <w:rFonts w:ascii="Times New Roman" w:hAnsi="Times New Roman"/>
                <w:color w:val="000000"/>
                <w:sz w:val="21"/>
                <w:szCs w:val="21"/>
              </w:rPr>
              <w:t>2</w:t>
            </w:r>
            <w:r w:rsidRPr="00F3641D">
              <w:rPr>
                <w:rFonts w:ascii="Times New Roman" w:hAnsi="Times New Roman"/>
                <w:color w:val="000000"/>
                <w:sz w:val="21"/>
                <w:szCs w:val="21"/>
              </w:rPr>
              <w:t xml:space="preserve"> mln zł rocznie), </w:t>
            </w:r>
          </w:p>
          <w:p w:rsidR="00BB1903" w:rsidRPr="00F3641D" w:rsidRDefault="00BB1903" w:rsidP="00BB1903">
            <w:pPr>
              <w:spacing w:after="0" w:line="240" w:lineRule="auto"/>
              <w:jc w:val="both"/>
              <w:rPr>
                <w:rFonts w:ascii="Times New Roman" w:hAnsi="Times New Roman"/>
                <w:color w:val="000000"/>
                <w:sz w:val="21"/>
                <w:szCs w:val="21"/>
              </w:rPr>
            </w:pPr>
            <w:r>
              <w:rPr>
                <w:rFonts w:ascii="Times New Roman" w:hAnsi="Times New Roman"/>
                <w:color w:val="000000"/>
                <w:sz w:val="21"/>
                <w:szCs w:val="21"/>
              </w:rPr>
              <w:t>–</w:t>
            </w:r>
            <w:r w:rsidRPr="00F3641D">
              <w:rPr>
                <w:rFonts w:ascii="Times New Roman" w:hAnsi="Times New Roman"/>
                <w:color w:val="000000"/>
                <w:sz w:val="21"/>
                <w:szCs w:val="21"/>
              </w:rPr>
              <w:t xml:space="preserve"> utworzeniem w Ministerstwie Finansów komórki organizacyjnej zajmującej się stosowaniem klauzuli przeciwko unikaniu opodatkowania oraz wydawaniem opinii zabezpi</w:t>
            </w:r>
            <w:r w:rsidR="00A24B3A">
              <w:rPr>
                <w:rFonts w:ascii="Times New Roman" w:hAnsi="Times New Roman"/>
                <w:color w:val="000000"/>
                <w:sz w:val="21"/>
                <w:szCs w:val="21"/>
              </w:rPr>
              <w:t>eczających (1,5 </w:t>
            </w:r>
            <w:r w:rsidR="009614D1">
              <w:rPr>
                <w:rFonts w:ascii="Times New Roman" w:hAnsi="Times New Roman"/>
                <w:color w:val="000000"/>
                <w:sz w:val="21"/>
                <w:szCs w:val="21"/>
              </w:rPr>
              <w:t>mln zł rocznie).</w:t>
            </w:r>
            <w:r w:rsidRPr="00F3641D">
              <w:rPr>
                <w:rFonts w:ascii="Times New Roman" w:hAnsi="Times New Roman"/>
                <w:color w:val="000000"/>
                <w:sz w:val="21"/>
                <w:szCs w:val="21"/>
              </w:rPr>
              <w:t xml:space="preserve"> </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Przy opisie dochodów przyjęto konserwatywne podejście polegające na przyjęciu dolnego przedziału szacunku pozytywnych skutków oraz ni</w:t>
            </w:r>
            <w:r w:rsidR="00E15D8B">
              <w:rPr>
                <w:rFonts w:ascii="Times New Roman" w:hAnsi="Times New Roman"/>
                <w:color w:val="000000"/>
                <w:sz w:val="21"/>
                <w:szCs w:val="21"/>
              </w:rPr>
              <w:t xml:space="preserve">ewłączeniu skutków pośrednich. </w:t>
            </w:r>
          </w:p>
          <w:p w:rsidR="00BB1903" w:rsidRPr="00F3641D" w:rsidRDefault="00BB1903" w:rsidP="00BB1903">
            <w:pPr>
              <w:spacing w:after="0" w:line="240" w:lineRule="auto"/>
              <w:jc w:val="both"/>
              <w:rPr>
                <w:rFonts w:ascii="Times New Roman" w:hAnsi="Times New Roman"/>
                <w:b/>
                <w:color w:val="000000"/>
                <w:sz w:val="21"/>
                <w:szCs w:val="21"/>
              </w:rPr>
            </w:pPr>
            <w:r w:rsidRPr="00F3641D">
              <w:rPr>
                <w:rFonts w:ascii="Times New Roman" w:hAnsi="Times New Roman"/>
                <w:b/>
                <w:color w:val="000000"/>
                <w:sz w:val="21"/>
                <w:szCs w:val="21"/>
              </w:rPr>
              <w:lastRenderedPageBreak/>
              <w:t>1) Wprowadzenie klauzuli przeciwko unikaniu opodatkowania (General Anti-Avoidance Rule)</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Klauzula pozwoli na zwalczanie sztucznych konstrukcji prawnych, zwykle zawierających elementy zagraniczne, wykorzystywanych zazwyczaj przez wielkie korporacje do unikania zapłaty podatku. Zastosowanie klauzuli będzie uprawniać organ podatkowy do dokonania wymiaru podatku, bazując na zdarzeniu gospodarczym i adekwatnych do jego osiągnięcia typowych konstrukcjach prawnych, a także do pominięcia tych konstrukcji prawnych, które są sztuczne, nieadekwatne lub zbędne do realizacji zdarzenia i uzyskania zamierzonego efektu gospodarczego (reklasyfikacja).</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W oparciu o dane w innych krajach, gdzie klauzula jest stosowa</w:t>
            </w:r>
            <w:r w:rsidR="000A6D57">
              <w:rPr>
                <w:rFonts w:ascii="Times New Roman" w:hAnsi="Times New Roman"/>
                <w:color w:val="000000"/>
                <w:sz w:val="21"/>
                <w:szCs w:val="21"/>
              </w:rPr>
              <w:t>na średnio od 2 spraw do ok. </w:t>
            </w:r>
            <w:r w:rsidR="009614D1">
              <w:rPr>
                <w:rFonts w:ascii="Times New Roman" w:hAnsi="Times New Roman"/>
                <w:color w:val="000000"/>
                <w:sz w:val="21"/>
                <w:szCs w:val="21"/>
              </w:rPr>
              <w:t>90 </w:t>
            </w:r>
            <w:r w:rsidRPr="00F3641D">
              <w:rPr>
                <w:rFonts w:ascii="Times New Roman" w:hAnsi="Times New Roman"/>
                <w:color w:val="000000"/>
                <w:sz w:val="21"/>
                <w:szCs w:val="21"/>
              </w:rPr>
              <w:t>spraw rocznie, szacuje się, że liczba takich spraw w Polsce nie będzie wyższa niż średnio rocznie ok. 46 (w II połowie 2016 r. – 23). Decyzje wydawane w związku z zastosowaniem klauzuli z istoty będą dotyczyły znaczących kwot. Przy założeniu, że kwota uszczu</w:t>
            </w:r>
            <w:r w:rsidR="004A060B">
              <w:rPr>
                <w:rFonts w:ascii="Times New Roman" w:hAnsi="Times New Roman"/>
                <w:color w:val="000000"/>
                <w:sz w:val="21"/>
                <w:szCs w:val="21"/>
              </w:rPr>
              <w:t>plenia wynikającego z </w:t>
            </w:r>
            <w:r w:rsidRPr="00F3641D">
              <w:rPr>
                <w:rFonts w:ascii="Times New Roman" w:hAnsi="Times New Roman"/>
                <w:color w:val="000000"/>
                <w:sz w:val="21"/>
                <w:szCs w:val="21"/>
              </w:rPr>
              <w:t>poj</w:t>
            </w:r>
            <w:r w:rsidR="004A060B">
              <w:rPr>
                <w:rFonts w:ascii="Times New Roman" w:hAnsi="Times New Roman"/>
                <w:color w:val="000000"/>
                <w:sz w:val="21"/>
                <w:szCs w:val="21"/>
              </w:rPr>
              <w:t>edynczej decyzji wyniesie ok. 2–</w:t>
            </w:r>
            <w:r w:rsidRPr="00F3641D">
              <w:rPr>
                <w:rFonts w:ascii="Times New Roman" w:hAnsi="Times New Roman"/>
                <w:color w:val="000000"/>
                <w:sz w:val="21"/>
                <w:szCs w:val="21"/>
              </w:rPr>
              <w:t xml:space="preserve">2,2 mln zł, bezpośrednie skutki finansowe zastosowania klauzuli związane z wydanymi przez Ministra Finansów </w:t>
            </w:r>
            <w:r w:rsidR="00A24B3A">
              <w:rPr>
                <w:rFonts w:ascii="Times New Roman" w:hAnsi="Times New Roman"/>
                <w:color w:val="000000"/>
                <w:sz w:val="21"/>
                <w:szCs w:val="21"/>
              </w:rPr>
              <w:t>decyzjami można szacować na: 50 </w:t>
            </w:r>
            <w:r w:rsidRPr="00F3641D">
              <w:rPr>
                <w:rFonts w:ascii="Times New Roman" w:hAnsi="Times New Roman"/>
                <w:color w:val="000000"/>
                <w:sz w:val="21"/>
                <w:szCs w:val="21"/>
              </w:rPr>
              <w:t xml:space="preserve">mln zł w 2017 r. oraz 100 mln zł w 2018 r. i w latach następnych (bezpośrednie skutki finansowe w 2017 r. będą związane z decyzjami wydanymi w II połowie </w:t>
            </w:r>
            <w:r w:rsidR="00190019">
              <w:rPr>
                <w:rFonts w:ascii="Times New Roman" w:hAnsi="Times New Roman"/>
                <w:color w:val="000000"/>
                <w:sz w:val="21"/>
                <w:szCs w:val="21"/>
              </w:rPr>
              <w:t>2016 r.).</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Podstawowym celem klauzuli jest prewencyjne eliminowanie korzystania ze schematów unikania opodatkowania. Ograniczenie agresywnego planowania podatkowego pozwoli na wzrost bazy podatkowej w Polsce. Zauważalne jest zwłaszcza nadmierne, nieuzasadnione zwiększanie kosztów uzyskania przychodów, co powoduje z kolei spadek wysokości dochodów do opodatkowania. Koszty uzyskania przychodu w CIT w 2013 </w:t>
            </w:r>
            <w:r w:rsidR="009614D1">
              <w:rPr>
                <w:rFonts w:ascii="Times New Roman" w:hAnsi="Times New Roman"/>
                <w:color w:val="000000"/>
                <w:sz w:val="21"/>
                <w:szCs w:val="21"/>
              </w:rPr>
              <w:t xml:space="preserve">r. </w:t>
            </w:r>
            <w:r w:rsidRPr="00F3641D">
              <w:rPr>
                <w:rFonts w:ascii="Times New Roman" w:hAnsi="Times New Roman"/>
                <w:color w:val="000000"/>
                <w:sz w:val="21"/>
                <w:szCs w:val="21"/>
              </w:rPr>
              <w:t>wyniosły ok. 5,8 bln zł (stawka CIT 19%). Zakładając, że w efekcie zastosowania klauzuli wysokość koszt</w:t>
            </w:r>
            <w:r w:rsidR="009614D1">
              <w:rPr>
                <w:rFonts w:ascii="Times New Roman" w:hAnsi="Times New Roman"/>
                <w:color w:val="000000"/>
                <w:sz w:val="21"/>
                <w:szCs w:val="21"/>
              </w:rPr>
              <w:t>ów uzyskania przychodów tylko w </w:t>
            </w:r>
            <w:r w:rsidRPr="00F3641D">
              <w:rPr>
                <w:rFonts w:ascii="Times New Roman" w:hAnsi="Times New Roman"/>
                <w:color w:val="000000"/>
                <w:sz w:val="21"/>
                <w:szCs w:val="21"/>
              </w:rPr>
              <w:t xml:space="preserve">podatku CIT zostanie </w:t>
            </w:r>
            <w:r w:rsidR="004A060B">
              <w:rPr>
                <w:rFonts w:ascii="Times New Roman" w:hAnsi="Times New Roman"/>
                <w:color w:val="000000"/>
                <w:sz w:val="21"/>
                <w:szCs w:val="21"/>
              </w:rPr>
              <w:t>zmniejszona w granicach 0,12%–</w:t>
            </w:r>
            <w:r w:rsidRPr="00F3641D">
              <w:rPr>
                <w:rFonts w:ascii="Times New Roman" w:hAnsi="Times New Roman"/>
                <w:color w:val="000000"/>
                <w:sz w:val="21"/>
                <w:szCs w:val="21"/>
              </w:rPr>
              <w:t>0,5%, skutki pośrednie wprowadzenia klauzuli w 2016 r., można szacować minimalnie na 1,3 mld zł, ma</w:t>
            </w:r>
            <w:r w:rsidR="00A24B3A">
              <w:rPr>
                <w:rFonts w:ascii="Times New Roman" w:hAnsi="Times New Roman"/>
                <w:color w:val="000000"/>
                <w:sz w:val="21"/>
                <w:szCs w:val="21"/>
              </w:rPr>
              <w:t>ksymalnie na 5,4 </w:t>
            </w:r>
            <w:r w:rsidR="009614D1">
              <w:rPr>
                <w:rFonts w:ascii="Times New Roman" w:hAnsi="Times New Roman"/>
                <w:color w:val="000000"/>
                <w:sz w:val="21"/>
                <w:szCs w:val="21"/>
              </w:rPr>
              <w:t>mld zł. W 2017 </w:t>
            </w:r>
            <w:r w:rsidRPr="00F3641D">
              <w:rPr>
                <w:rFonts w:ascii="Times New Roman" w:hAnsi="Times New Roman"/>
                <w:color w:val="000000"/>
                <w:sz w:val="21"/>
                <w:szCs w:val="21"/>
              </w:rPr>
              <w:t>r. i w latach następnych przy założeniu, że wysokość kosztów zostani</w:t>
            </w:r>
            <w:r w:rsidR="009614D1">
              <w:rPr>
                <w:rFonts w:ascii="Times New Roman" w:hAnsi="Times New Roman"/>
                <w:color w:val="000000"/>
                <w:sz w:val="21"/>
                <w:szCs w:val="21"/>
              </w:rPr>
              <w:t>e zmniejszona w </w:t>
            </w:r>
            <w:r w:rsidR="000A6D57">
              <w:rPr>
                <w:rFonts w:ascii="Times New Roman" w:hAnsi="Times New Roman"/>
                <w:color w:val="000000"/>
                <w:sz w:val="21"/>
                <w:szCs w:val="21"/>
              </w:rPr>
              <w:t xml:space="preserve">granicach 0,25%–1%, a </w:t>
            </w:r>
            <w:r w:rsidRPr="00F3641D">
              <w:rPr>
                <w:rFonts w:ascii="Times New Roman" w:hAnsi="Times New Roman"/>
                <w:color w:val="000000"/>
                <w:sz w:val="21"/>
                <w:szCs w:val="21"/>
              </w:rPr>
              <w:t>stawka podatku i wysokość k.u.p pozostanie na zbliżonym poziomie</w:t>
            </w:r>
            <w:r w:rsidR="000A6D57">
              <w:rPr>
                <w:rFonts w:ascii="Times New Roman" w:hAnsi="Times New Roman"/>
                <w:color w:val="000000"/>
                <w:sz w:val="21"/>
                <w:szCs w:val="21"/>
              </w:rPr>
              <w:t>,</w:t>
            </w:r>
            <w:r w:rsidRPr="00F3641D">
              <w:rPr>
                <w:rFonts w:ascii="Times New Roman" w:hAnsi="Times New Roman"/>
                <w:color w:val="000000"/>
                <w:sz w:val="21"/>
                <w:szCs w:val="21"/>
              </w:rPr>
              <w:t xml:space="preserve"> skutki pośrednie wyniosłyby minimalnie 2,7 mld z</w:t>
            </w:r>
            <w:r w:rsidR="00E15D8B">
              <w:rPr>
                <w:rFonts w:ascii="Times New Roman" w:hAnsi="Times New Roman"/>
                <w:color w:val="000000"/>
                <w:sz w:val="21"/>
                <w:szCs w:val="21"/>
              </w:rPr>
              <w:t xml:space="preserve">ł, a maksymalnie 10,87 mld zł. </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Trudno jest jednak o dokładne szacunki w powyższym zakresie, ponieważ nie ma katalogu konkretnych transakcji wraz z ich wartością, które zostaną wyeliminowane wprowadzeniem klauzuli, a sektor konsultingowy jest bardzo dynamiczny i „kreatywny”. Siła prewencyjnego oddziaływania klauzuli będzie mocniejsza wraz z upływem czasu</w:t>
            </w:r>
            <w:r w:rsidR="000A6D57">
              <w:rPr>
                <w:rFonts w:ascii="Times New Roman" w:hAnsi="Times New Roman"/>
                <w:color w:val="000000"/>
                <w:sz w:val="21"/>
                <w:szCs w:val="21"/>
              </w:rPr>
              <w:t>,</w:t>
            </w:r>
            <w:r w:rsidRPr="00F3641D">
              <w:rPr>
                <w:rFonts w:ascii="Times New Roman" w:hAnsi="Times New Roman"/>
                <w:color w:val="000000"/>
                <w:sz w:val="21"/>
                <w:szCs w:val="21"/>
              </w:rPr>
              <w:t xml:space="preserve"> gdy zostanie ukształtowana praktyka jej stosowania oraz zostanie obudowana orzecznictwem sądowym.</w:t>
            </w:r>
          </w:p>
          <w:p w:rsidR="00BB1903" w:rsidRPr="00F3641D" w:rsidRDefault="00BB1903" w:rsidP="00BB1903">
            <w:pPr>
              <w:spacing w:after="0" w:line="240" w:lineRule="auto"/>
              <w:jc w:val="both"/>
              <w:rPr>
                <w:rFonts w:ascii="Times New Roman" w:hAnsi="Times New Roman"/>
                <w:color w:val="000000"/>
                <w:sz w:val="21"/>
                <w:szCs w:val="21"/>
              </w:rPr>
            </w:pP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b/>
                <w:color w:val="000000"/>
                <w:sz w:val="21"/>
                <w:szCs w:val="21"/>
              </w:rPr>
              <w:t xml:space="preserve">2) Utworzenie Rady do Spraw </w:t>
            </w:r>
            <w:r w:rsidR="00953223">
              <w:rPr>
                <w:rFonts w:ascii="Times New Roman" w:hAnsi="Times New Roman"/>
                <w:b/>
                <w:color w:val="000000"/>
                <w:sz w:val="21"/>
                <w:szCs w:val="21"/>
              </w:rPr>
              <w:t>Przeciwdziałania Unikaniu</w:t>
            </w:r>
            <w:r w:rsidRPr="00F3641D">
              <w:rPr>
                <w:rFonts w:ascii="Times New Roman" w:hAnsi="Times New Roman"/>
                <w:b/>
                <w:color w:val="000000"/>
                <w:sz w:val="21"/>
                <w:szCs w:val="21"/>
              </w:rPr>
              <w:t xml:space="preserve"> Opodatkowania</w:t>
            </w:r>
            <w:r w:rsidRPr="00F3641D">
              <w:rPr>
                <w:rFonts w:ascii="Times New Roman" w:hAnsi="Times New Roman"/>
                <w:color w:val="000000"/>
                <w:sz w:val="21"/>
                <w:szCs w:val="21"/>
              </w:rPr>
              <w:t xml:space="preserve"> </w:t>
            </w:r>
            <w:r>
              <w:rPr>
                <w:rFonts w:ascii="Times New Roman" w:hAnsi="Times New Roman"/>
                <w:color w:val="000000"/>
                <w:sz w:val="21"/>
                <w:szCs w:val="21"/>
              </w:rPr>
              <w:t>(</w:t>
            </w:r>
            <w:r w:rsidRPr="00F3641D">
              <w:rPr>
                <w:rFonts w:ascii="Times New Roman" w:hAnsi="Times New Roman"/>
                <w:color w:val="000000"/>
                <w:sz w:val="21"/>
                <w:szCs w:val="21"/>
              </w:rPr>
              <w:t>nieza</w:t>
            </w:r>
            <w:r w:rsidR="004A060B">
              <w:rPr>
                <w:rFonts w:ascii="Times New Roman" w:hAnsi="Times New Roman"/>
                <w:color w:val="000000"/>
                <w:sz w:val="21"/>
                <w:szCs w:val="21"/>
              </w:rPr>
              <w:t>leżny podmiot wydający opinie o </w:t>
            </w:r>
            <w:r w:rsidRPr="00F3641D">
              <w:rPr>
                <w:rFonts w:ascii="Times New Roman" w:hAnsi="Times New Roman"/>
                <w:color w:val="000000"/>
                <w:sz w:val="21"/>
                <w:szCs w:val="21"/>
              </w:rPr>
              <w:t>zasadności zastosowania klauzuli prz</w:t>
            </w:r>
            <w:r w:rsidR="00A24B3A">
              <w:rPr>
                <w:rFonts w:ascii="Times New Roman" w:hAnsi="Times New Roman"/>
                <w:color w:val="000000"/>
                <w:sz w:val="21"/>
                <w:szCs w:val="21"/>
              </w:rPr>
              <w:t>eciwko unikaniu opodatkowania w </w:t>
            </w:r>
            <w:r w:rsidRPr="00F3641D">
              <w:rPr>
                <w:rFonts w:ascii="Times New Roman" w:hAnsi="Times New Roman"/>
                <w:color w:val="000000"/>
                <w:sz w:val="21"/>
                <w:szCs w:val="21"/>
              </w:rPr>
              <w:t>indywidualnych sprawach</w:t>
            </w:r>
            <w:r>
              <w:rPr>
                <w:rFonts w:ascii="Times New Roman" w:hAnsi="Times New Roman"/>
                <w:color w:val="000000"/>
                <w:sz w:val="21"/>
                <w:szCs w:val="21"/>
              </w:rPr>
              <w:t>)</w:t>
            </w:r>
            <w:r w:rsidRPr="00F3641D">
              <w:rPr>
                <w:rFonts w:ascii="Times New Roman" w:hAnsi="Times New Roman"/>
                <w:color w:val="000000"/>
                <w:sz w:val="21"/>
                <w:szCs w:val="21"/>
              </w:rPr>
              <w:t xml:space="preserve">. Pod względem organizacyjnym utworzenie i funkcjonowanie Rady będzie wzorowane na modelu przyjętym dla Państwowej Komisji Egzaminacyjnej ds. Doradztwa Podatkowego. </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Roczne koszty funkcjonowania Rady do Sp</w:t>
            </w:r>
            <w:r w:rsidR="00190019">
              <w:rPr>
                <w:rFonts w:ascii="Times New Roman" w:hAnsi="Times New Roman"/>
                <w:color w:val="000000"/>
                <w:sz w:val="21"/>
                <w:szCs w:val="21"/>
              </w:rPr>
              <w:t xml:space="preserve">raw </w:t>
            </w:r>
            <w:r w:rsidR="00953223">
              <w:rPr>
                <w:rFonts w:ascii="Times New Roman" w:hAnsi="Times New Roman"/>
                <w:color w:val="000000"/>
                <w:sz w:val="21"/>
                <w:szCs w:val="21"/>
              </w:rPr>
              <w:t>Przeciwdziałania Unikaniu</w:t>
            </w:r>
            <w:r w:rsidR="00190019">
              <w:rPr>
                <w:rFonts w:ascii="Times New Roman" w:hAnsi="Times New Roman"/>
                <w:color w:val="000000"/>
                <w:sz w:val="21"/>
                <w:szCs w:val="21"/>
              </w:rPr>
              <w:t xml:space="preserve"> Opodatkowania </w:t>
            </w:r>
            <w:r w:rsidRPr="00F3641D">
              <w:rPr>
                <w:rFonts w:ascii="Times New Roman" w:hAnsi="Times New Roman"/>
                <w:color w:val="000000"/>
                <w:sz w:val="21"/>
                <w:szCs w:val="21"/>
              </w:rPr>
              <w:t xml:space="preserve">szacuje się od 2018 r. na około </w:t>
            </w:r>
            <w:r>
              <w:rPr>
                <w:rFonts w:ascii="Times New Roman" w:hAnsi="Times New Roman"/>
                <w:color w:val="000000"/>
                <w:sz w:val="21"/>
                <w:szCs w:val="21"/>
              </w:rPr>
              <w:t>191</w:t>
            </w:r>
            <w:r w:rsidRPr="00F3641D">
              <w:rPr>
                <w:rFonts w:ascii="Times New Roman" w:hAnsi="Times New Roman"/>
                <w:color w:val="000000"/>
                <w:sz w:val="21"/>
                <w:szCs w:val="21"/>
              </w:rPr>
              <w:t xml:space="preserve"> tys. zł. W 2016 r. przewiduje się wydatki zw</w:t>
            </w:r>
            <w:r w:rsidR="00D10DBF">
              <w:rPr>
                <w:rFonts w:ascii="Times New Roman" w:hAnsi="Times New Roman"/>
                <w:color w:val="000000"/>
                <w:sz w:val="21"/>
                <w:szCs w:val="21"/>
              </w:rPr>
              <w:t>iązane z funkcjonowaniem Rady w </w:t>
            </w:r>
            <w:r w:rsidRPr="00F3641D">
              <w:rPr>
                <w:rFonts w:ascii="Times New Roman" w:hAnsi="Times New Roman"/>
                <w:color w:val="000000"/>
                <w:sz w:val="21"/>
                <w:szCs w:val="21"/>
              </w:rPr>
              <w:t xml:space="preserve">wysokości nieprzekraczającej </w:t>
            </w:r>
            <w:r>
              <w:rPr>
                <w:rFonts w:ascii="Times New Roman" w:hAnsi="Times New Roman"/>
                <w:color w:val="000000"/>
                <w:sz w:val="21"/>
                <w:szCs w:val="21"/>
              </w:rPr>
              <w:t>48</w:t>
            </w:r>
            <w:r w:rsidR="000A6D57">
              <w:rPr>
                <w:rFonts w:ascii="Times New Roman" w:hAnsi="Times New Roman"/>
                <w:color w:val="000000"/>
                <w:sz w:val="21"/>
                <w:szCs w:val="21"/>
              </w:rPr>
              <w:t> </w:t>
            </w:r>
            <w:r w:rsidRPr="00F3641D">
              <w:rPr>
                <w:rFonts w:ascii="Times New Roman" w:hAnsi="Times New Roman"/>
                <w:color w:val="000000"/>
                <w:sz w:val="21"/>
                <w:szCs w:val="21"/>
              </w:rPr>
              <w:t>000 zł., czyli ok. 1/4 przewidywa</w:t>
            </w:r>
            <w:r w:rsidR="00246AF1">
              <w:rPr>
                <w:rFonts w:ascii="Times New Roman" w:hAnsi="Times New Roman"/>
                <w:color w:val="000000"/>
                <w:sz w:val="21"/>
                <w:szCs w:val="21"/>
              </w:rPr>
              <w:t xml:space="preserve">nych ogółem rocznych wydatków. </w:t>
            </w:r>
            <w:r w:rsidRPr="00F3641D">
              <w:rPr>
                <w:rFonts w:ascii="Times New Roman" w:hAnsi="Times New Roman"/>
                <w:color w:val="000000"/>
                <w:sz w:val="21"/>
                <w:szCs w:val="21"/>
              </w:rPr>
              <w:t xml:space="preserve">Natomiast w 2017 r. wydatki na funkcjonowanie Rady nie powinny przekroczyć </w:t>
            </w:r>
            <w:r>
              <w:rPr>
                <w:rFonts w:ascii="Times New Roman" w:hAnsi="Times New Roman"/>
                <w:color w:val="000000"/>
                <w:sz w:val="21"/>
                <w:szCs w:val="21"/>
              </w:rPr>
              <w:t>96</w:t>
            </w:r>
            <w:r w:rsidR="000A6D57">
              <w:rPr>
                <w:rFonts w:ascii="Times New Roman" w:hAnsi="Times New Roman"/>
                <w:color w:val="000000"/>
                <w:sz w:val="21"/>
                <w:szCs w:val="21"/>
              </w:rPr>
              <w:t> 000 </w:t>
            </w:r>
            <w:r w:rsidRPr="00F3641D">
              <w:rPr>
                <w:rFonts w:ascii="Times New Roman" w:hAnsi="Times New Roman"/>
                <w:color w:val="000000"/>
                <w:sz w:val="21"/>
                <w:szCs w:val="21"/>
              </w:rPr>
              <w:t>zł, czyli ok. połowy przewidywanych ogółem rocznych wydatków. Obliczenie kosztów zostało oparte na następujących założeniach:</w:t>
            </w:r>
          </w:p>
          <w:p w:rsidR="00BB1903" w:rsidRPr="00F3641D" w:rsidRDefault="00BB1903" w:rsidP="00BB1903">
            <w:pPr>
              <w:pStyle w:val="Akapitzlist"/>
              <w:numPr>
                <w:ilvl w:val="0"/>
                <w:numId w:val="10"/>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roczny koszt wynagrodzenia </w:t>
            </w:r>
            <w:r w:rsidR="000A6D57">
              <w:rPr>
                <w:rFonts w:ascii="Times New Roman" w:hAnsi="Times New Roman"/>
                <w:color w:val="000000"/>
                <w:sz w:val="21"/>
                <w:szCs w:val="21"/>
              </w:rPr>
              <w:t>przewodniczącego Rady – 30 000 zł (2 </w:t>
            </w:r>
            <w:r w:rsidRPr="00F3641D">
              <w:rPr>
                <w:rFonts w:ascii="Times New Roman" w:hAnsi="Times New Roman"/>
                <w:color w:val="000000"/>
                <w:sz w:val="21"/>
                <w:szCs w:val="21"/>
              </w:rPr>
              <w:t>500 zł x</w:t>
            </w:r>
            <w:r w:rsidR="000A6D57">
              <w:rPr>
                <w:rFonts w:ascii="Times New Roman" w:hAnsi="Times New Roman"/>
                <w:color w:val="000000"/>
                <w:sz w:val="21"/>
                <w:szCs w:val="21"/>
              </w:rPr>
              <w:t xml:space="preserve"> </w:t>
            </w:r>
            <w:r w:rsidRPr="00F3641D">
              <w:rPr>
                <w:rFonts w:ascii="Times New Roman" w:hAnsi="Times New Roman"/>
                <w:color w:val="000000"/>
                <w:sz w:val="21"/>
                <w:szCs w:val="21"/>
              </w:rPr>
              <w:t>12),</w:t>
            </w:r>
          </w:p>
          <w:p w:rsidR="00BB1903" w:rsidRPr="00F3641D" w:rsidRDefault="00BB1903" w:rsidP="00BB1903">
            <w:pPr>
              <w:pStyle w:val="Akapitzlist"/>
              <w:numPr>
                <w:ilvl w:val="0"/>
                <w:numId w:val="10"/>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roczny koszt wy</w:t>
            </w:r>
            <w:r w:rsidR="000A6D57">
              <w:rPr>
                <w:rFonts w:ascii="Times New Roman" w:hAnsi="Times New Roman"/>
                <w:color w:val="000000"/>
                <w:sz w:val="21"/>
                <w:szCs w:val="21"/>
              </w:rPr>
              <w:t>nagrodzenia sekretarza Rady – 9 </w:t>
            </w:r>
            <w:r w:rsidRPr="00F3641D">
              <w:rPr>
                <w:rFonts w:ascii="Times New Roman" w:hAnsi="Times New Roman"/>
                <w:color w:val="000000"/>
                <w:sz w:val="21"/>
                <w:szCs w:val="21"/>
              </w:rPr>
              <w:t>600 zł (800 zł x</w:t>
            </w:r>
            <w:r w:rsidR="000A6D57">
              <w:rPr>
                <w:rFonts w:ascii="Times New Roman" w:hAnsi="Times New Roman"/>
                <w:color w:val="000000"/>
                <w:sz w:val="21"/>
                <w:szCs w:val="21"/>
              </w:rPr>
              <w:t xml:space="preserve"> </w:t>
            </w:r>
            <w:r w:rsidRPr="00F3641D">
              <w:rPr>
                <w:rFonts w:ascii="Times New Roman" w:hAnsi="Times New Roman"/>
                <w:color w:val="000000"/>
                <w:sz w:val="21"/>
                <w:szCs w:val="21"/>
              </w:rPr>
              <w:t>12),</w:t>
            </w:r>
          </w:p>
          <w:p w:rsidR="00BB1903" w:rsidRPr="00F3641D" w:rsidRDefault="00BB1903" w:rsidP="00BB1903">
            <w:pPr>
              <w:pStyle w:val="Akapitzlist"/>
              <w:numPr>
                <w:ilvl w:val="0"/>
                <w:numId w:val="10"/>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roczny koszt wynagrodzenia członków Rady - za </w:t>
            </w:r>
            <w:r w:rsidR="000A6D57">
              <w:rPr>
                <w:rFonts w:ascii="Times New Roman" w:hAnsi="Times New Roman"/>
                <w:color w:val="000000"/>
                <w:sz w:val="21"/>
                <w:szCs w:val="21"/>
              </w:rPr>
              <w:t>sporządzenie uzasadnienia – 60 000 zł (3 </w:t>
            </w:r>
            <w:r w:rsidRPr="00F3641D">
              <w:rPr>
                <w:rFonts w:ascii="Times New Roman" w:hAnsi="Times New Roman"/>
                <w:color w:val="000000"/>
                <w:sz w:val="21"/>
                <w:szCs w:val="21"/>
              </w:rPr>
              <w:t>000 zł x 20),</w:t>
            </w:r>
          </w:p>
          <w:p w:rsidR="00BB1903" w:rsidRPr="00F3641D" w:rsidRDefault="00BB1903" w:rsidP="00BB1903">
            <w:pPr>
              <w:pStyle w:val="Akapitzlist"/>
              <w:numPr>
                <w:ilvl w:val="0"/>
                <w:numId w:val="10"/>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roczny koszt wynagrodzenia członków Rady za udział w posiedzeniach Rady – </w:t>
            </w:r>
            <w:r w:rsidR="000A6D57">
              <w:rPr>
                <w:rFonts w:ascii="Times New Roman" w:hAnsi="Times New Roman"/>
                <w:color w:val="000000"/>
                <w:sz w:val="21"/>
                <w:szCs w:val="21"/>
              </w:rPr>
              <w:t>64 </w:t>
            </w:r>
            <w:r>
              <w:rPr>
                <w:rFonts w:ascii="Times New Roman" w:hAnsi="Times New Roman"/>
                <w:color w:val="000000"/>
                <w:sz w:val="21"/>
                <w:szCs w:val="21"/>
              </w:rPr>
              <w:t>800</w:t>
            </w:r>
            <w:r w:rsidRPr="00F3641D">
              <w:rPr>
                <w:rFonts w:ascii="Times New Roman" w:hAnsi="Times New Roman"/>
                <w:color w:val="000000"/>
                <w:sz w:val="21"/>
                <w:szCs w:val="21"/>
              </w:rPr>
              <w:t xml:space="preserve"> zł (600 zł x</w:t>
            </w:r>
            <w:r w:rsidR="000A6D57">
              <w:rPr>
                <w:rFonts w:ascii="Times New Roman" w:hAnsi="Times New Roman"/>
                <w:color w:val="000000"/>
                <w:sz w:val="21"/>
                <w:szCs w:val="21"/>
              </w:rPr>
              <w:t xml:space="preserve"> </w:t>
            </w:r>
            <w:r>
              <w:rPr>
                <w:rFonts w:ascii="Times New Roman" w:hAnsi="Times New Roman"/>
                <w:color w:val="000000"/>
                <w:sz w:val="21"/>
                <w:szCs w:val="21"/>
              </w:rPr>
              <w:t>9</w:t>
            </w:r>
            <w:r w:rsidR="000A6D57">
              <w:rPr>
                <w:rFonts w:ascii="Times New Roman" w:hAnsi="Times New Roman"/>
                <w:color w:val="000000"/>
                <w:sz w:val="21"/>
                <w:szCs w:val="21"/>
              </w:rPr>
              <w:t xml:space="preserve"> </w:t>
            </w:r>
            <w:r w:rsidRPr="00F3641D">
              <w:rPr>
                <w:rFonts w:ascii="Times New Roman" w:hAnsi="Times New Roman"/>
                <w:color w:val="000000"/>
                <w:sz w:val="21"/>
                <w:szCs w:val="21"/>
              </w:rPr>
              <w:t>x</w:t>
            </w:r>
            <w:r w:rsidR="000A6D57">
              <w:rPr>
                <w:rFonts w:ascii="Times New Roman" w:hAnsi="Times New Roman"/>
                <w:color w:val="000000"/>
                <w:sz w:val="21"/>
                <w:szCs w:val="21"/>
              </w:rPr>
              <w:t xml:space="preserve"> </w:t>
            </w:r>
            <w:r w:rsidRPr="00F3641D">
              <w:rPr>
                <w:rFonts w:ascii="Times New Roman" w:hAnsi="Times New Roman"/>
                <w:color w:val="000000"/>
                <w:sz w:val="21"/>
                <w:szCs w:val="21"/>
              </w:rPr>
              <w:t>12),</w:t>
            </w:r>
          </w:p>
          <w:p w:rsidR="00BB1903" w:rsidRPr="00F3641D" w:rsidRDefault="000A6D57" w:rsidP="00BB1903">
            <w:pPr>
              <w:pStyle w:val="Akapitzlist"/>
              <w:numPr>
                <w:ilvl w:val="0"/>
                <w:numId w:val="10"/>
              </w:numPr>
              <w:spacing w:after="0" w:line="240" w:lineRule="auto"/>
              <w:jc w:val="both"/>
              <w:rPr>
                <w:rFonts w:ascii="Times New Roman" w:hAnsi="Times New Roman"/>
                <w:color w:val="000000"/>
                <w:sz w:val="21"/>
                <w:szCs w:val="21"/>
              </w:rPr>
            </w:pPr>
            <w:r>
              <w:rPr>
                <w:rFonts w:ascii="Times New Roman" w:hAnsi="Times New Roman"/>
                <w:color w:val="000000"/>
                <w:sz w:val="21"/>
                <w:szCs w:val="21"/>
              </w:rPr>
              <w:t>roczny koszt podróży p</w:t>
            </w:r>
            <w:r w:rsidR="00BB1903" w:rsidRPr="00F3641D">
              <w:rPr>
                <w:rFonts w:ascii="Times New Roman" w:hAnsi="Times New Roman"/>
                <w:color w:val="000000"/>
                <w:sz w:val="21"/>
                <w:szCs w:val="21"/>
              </w:rPr>
              <w:t xml:space="preserve">rzewodniczącego i członków Rady – </w:t>
            </w:r>
            <w:r w:rsidR="00BB1903">
              <w:rPr>
                <w:rFonts w:ascii="Times New Roman" w:hAnsi="Times New Roman"/>
                <w:color w:val="000000"/>
                <w:sz w:val="21"/>
                <w:szCs w:val="21"/>
              </w:rPr>
              <w:t>27</w:t>
            </w:r>
            <w:r>
              <w:rPr>
                <w:rFonts w:ascii="Times New Roman" w:hAnsi="Times New Roman"/>
                <w:color w:val="000000"/>
                <w:sz w:val="21"/>
                <w:szCs w:val="21"/>
              </w:rPr>
              <w:t> </w:t>
            </w:r>
            <w:r w:rsidR="00BB1903" w:rsidRPr="00F3641D">
              <w:rPr>
                <w:rFonts w:ascii="Times New Roman" w:hAnsi="Times New Roman"/>
                <w:color w:val="000000"/>
                <w:sz w:val="21"/>
                <w:szCs w:val="21"/>
              </w:rPr>
              <w:t>000 (250 zł x</w:t>
            </w:r>
            <w:r>
              <w:rPr>
                <w:rFonts w:ascii="Times New Roman" w:hAnsi="Times New Roman"/>
                <w:color w:val="000000"/>
                <w:sz w:val="21"/>
                <w:szCs w:val="21"/>
              </w:rPr>
              <w:t xml:space="preserve"> </w:t>
            </w:r>
            <w:r w:rsidR="00BB1903">
              <w:rPr>
                <w:rFonts w:ascii="Times New Roman" w:hAnsi="Times New Roman"/>
                <w:color w:val="000000"/>
                <w:sz w:val="21"/>
                <w:szCs w:val="21"/>
              </w:rPr>
              <w:t>9</w:t>
            </w:r>
            <w:r>
              <w:rPr>
                <w:rFonts w:ascii="Times New Roman" w:hAnsi="Times New Roman"/>
                <w:color w:val="000000"/>
                <w:sz w:val="21"/>
                <w:szCs w:val="21"/>
              </w:rPr>
              <w:t xml:space="preserve"> </w:t>
            </w:r>
            <w:r w:rsidR="00BB1903" w:rsidRPr="00F3641D">
              <w:rPr>
                <w:rFonts w:ascii="Times New Roman" w:hAnsi="Times New Roman"/>
                <w:color w:val="000000"/>
                <w:sz w:val="21"/>
                <w:szCs w:val="21"/>
              </w:rPr>
              <w:t>x</w:t>
            </w:r>
            <w:r>
              <w:rPr>
                <w:rFonts w:ascii="Times New Roman" w:hAnsi="Times New Roman"/>
                <w:color w:val="000000"/>
                <w:sz w:val="21"/>
                <w:szCs w:val="21"/>
              </w:rPr>
              <w:t xml:space="preserve"> </w:t>
            </w:r>
            <w:r w:rsidR="00BB1903" w:rsidRPr="00F3641D">
              <w:rPr>
                <w:rFonts w:ascii="Times New Roman" w:hAnsi="Times New Roman"/>
                <w:color w:val="000000"/>
                <w:sz w:val="21"/>
                <w:szCs w:val="21"/>
              </w:rPr>
              <w:t>12).</w:t>
            </w:r>
          </w:p>
          <w:p w:rsidR="00BB1903" w:rsidRPr="00F3641D" w:rsidRDefault="00BB1903" w:rsidP="00BB1903">
            <w:pPr>
              <w:pStyle w:val="Akapitzlist"/>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Z doświadczeń związanych z funkcjonowaniem Państwowej</w:t>
            </w:r>
            <w:r w:rsidR="000A6D57">
              <w:rPr>
                <w:rFonts w:ascii="Times New Roman" w:hAnsi="Times New Roman"/>
                <w:color w:val="000000"/>
                <w:sz w:val="21"/>
                <w:szCs w:val="21"/>
              </w:rPr>
              <w:t xml:space="preserve"> Komisji Egzaminacyjnej ds. </w:t>
            </w:r>
            <w:r w:rsidRPr="00F3641D">
              <w:rPr>
                <w:rFonts w:ascii="Times New Roman" w:hAnsi="Times New Roman"/>
                <w:color w:val="000000"/>
                <w:sz w:val="21"/>
                <w:szCs w:val="21"/>
              </w:rPr>
              <w:t>Doradztwa Podatkowego wynika, że należności z tytułu podróży służbowej wypłacane 6-osobowemu składowi egzaminacyjnemu za udział w jed</w:t>
            </w:r>
            <w:r w:rsidR="00D10DBF">
              <w:rPr>
                <w:rFonts w:ascii="Times New Roman" w:hAnsi="Times New Roman"/>
                <w:color w:val="000000"/>
                <w:sz w:val="21"/>
                <w:szCs w:val="21"/>
              </w:rPr>
              <w:t>nym posiedzeniu wynoszą około 1 </w:t>
            </w:r>
            <w:r w:rsidRPr="00F3641D">
              <w:rPr>
                <w:rFonts w:ascii="Times New Roman" w:hAnsi="Times New Roman"/>
                <w:color w:val="000000"/>
                <w:sz w:val="21"/>
                <w:szCs w:val="21"/>
              </w:rPr>
              <w:t xml:space="preserve">500 zł (na osobę ok. 250 zł). </w:t>
            </w:r>
          </w:p>
          <w:p w:rsidR="00BB1903" w:rsidRPr="00F3641D" w:rsidRDefault="00BB1903" w:rsidP="00BB1903">
            <w:pPr>
              <w:spacing w:after="0" w:line="240" w:lineRule="auto"/>
              <w:jc w:val="both"/>
              <w:rPr>
                <w:rFonts w:ascii="Times New Roman" w:hAnsi="Times New Roman"/>
                <w:b/>
                <w:color w:val="000000"/>
                <w:sz w:val="21"/>
                <w:szCs w:val="21"/>
              </w:rPr>
            </w:pPr>
            <w:r w:rsidRPr="00F3641D">
              <w:rPr>
                <w:rFonts w:ascii="Times New Roman" w:hAnsi="Times New Roman"/>
                <w:b/>
                <w:color w:val="000000"/>
                <w:sz w:val="21"/>
                <w:szCs w:val="21"/>
              </w:rPr>
              <w:t>3) Stosowanie klauzuli przeciwko unikaniu opodatkowania oraz wydawanie opinii zabezpieczających - nowe zadanie Min</w:t>
            </w:r>
            <w:r w:rsidR="00246AF1">
              <w:rPr>
                <w:rFonts w:ascii="Times New Roman" w:hAnsi="Times New Roman"/>
                <w:b/>
                <w:color w:val="000000"/>
                <w:sz w:val="21"/>
                <w:szCs w:val="21"/>
              </w:rPr>
              <w:t>istra Finansów</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Wzorem innych krajów, w których funkcjonują na poziomie centralnym zespoły zajmujące się problematyką klauzuli przeciwko unikaniu opodatkowania, w celu zapewnienia właściwego stosowania tej instytucji oraz jakości wydawanych opinii zabezpieczających w zakresie istnienia przesłanek zastosowania klauzuli przeciwko unikaniu opodatkowa</w:t>
            </w:r>
            <w:r w:rsidR="004A060B">
              <w:rPr>
                <w:rFonts w:ascii="Times New Roman" w:hAnsi="Times New Roman"/>
                <w:color w:val="000000"/>
                <w:sz w:val="21"/>
                <w:szCs w:val="21"/>
              </w:rPr>
              <w:t>nia, jest konieczne powołanie w </w:t>
            </w:r>
            <w:r w:rsidRPr="00F3641D">
              <w:rPr>
                <w:rFonts w:ascii="Times New Roman" w:hAnsi="Times New Roman"/>
                <w:color w:val="000000"/>
                <w:sz w:val="21"/>
                <w:szCs w:val="21"/>
              </w:rPr>
              <w:t xml:space="preserve">Ministerstwie Finansów komórki organizacyjnej, która będzie zajmowała się tymi zagadnieniami. </w:t>
            </w:r>
            <w:r w:rsidRPr="00F3641D">
              <w:rPr>
                <w:rFonts w:ascii="Times New Roman" w:hAnsi="Times New Roman"/>
                <w:color w:val="000000"/>
                <w:sz w:val="21"/>
                <w:szCs w:val="21"/>
              </w:rPr>
              <w:lastRenderedPageBreak/>
              <w:t>Do zadań tej komórki będzie należało:</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prowadzenie postępowań podatkowych i wydawanie decyzji wymiarowych w zakresie związanym ze stosowaniem klauzuli, </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wydawanie opinii zabezpieczających na wniosek,</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obsługa administracyjno-biurowa </w:t>
            </w:r>
            <w:r w:rsidR="002A43B1">
              <w:rPr>
                <w:rFonts w:ascii="Times New Roman" w:hAnsi="Times New Roman"/>
                <w:color w:val="000000"/>
                <w:sz w:val="21"/>
                <w:szCs w:val="21"/>
              </w:rPr>
              <w:t>oraz finansowa Rady ds. Przeciwdziałania</w:t>
            </w:r>
            <w:r w:rsidR="00C37BCA">
              <w:rPr>
                <w:rFonts w:ascii="Times New Roman" w:hAnsi="Times New Roman"/>
                <w:color w:val="000000"/>
                <w:sz w:val="21"/>
                <w:szCs w:val="21"/>
              </w:rPr>
              <w:t xml:space="preserve"> </w:t>
            </w:r>
            <w:r w:rsidR="002A43B1">
              <w:rPr>
                <w:rFonts w:ascii="Times New Roman" w:hAnsi="Times New Roman"/>
                <w:color w:val="000000"/>
                <w:sz w:val="21"/>
                <w:szCs w:val="21"/>
              </w:rPr>
              <w:t>Unikaniu</w:t>
            </w:r>
            <w:r w:rsidRPr="00F3641D">
              <w:rPr>
                <w:rFonts w:ascii="Times New Roman" w:hAnsi="Times New Roman"/>
                <w:color w:val="000000"/>
                <w:sz w:val="21"/>
                <w:szCs w:val="21"/>
              </w:rPr>
              <w:t xml:space="preserve"> Opodatkowania (pracownik MF będzie sekretarzem Rady),</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analiza praktyki stosowania klauzuli w innych krajach (staże, wizyty studyjne),</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koordynacja obecnych zadań MF związanych z unikaniem opodatkowania w ramach OECD oraz Komisji Europejskiej,</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pogłębiona identyfikacja i analiza krajowych praktyk agresywnego planowania podatkowego,</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planowanie zakresu stosowania klauzuli, </w:t>
            </w:r>
          </w:p>
          <w:p w:rsidR="00BB1903" w:rsidRPr="00F3641D" w:rsidRDefault="00BB1903" w:rsidP="00BB1903">
            <w:pPr>
              <w:pStyle w:val="Akapitzlist"/>
              <w:numPr>
                <w:ilvl w:val="0"/>
                <w:numId w:val="11"/>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przygotowywanie reguł analizy ryzyka i prowadzenie szkoleń dla organów podatkowych.</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Zakłada się, że zapewnienie prawidłowej realizacji tych zadań wymagać będzie 20 etatów. Roczne skutki finansowe z tym związane szacuje się na 1,5 mln zł. Przy wyliczeniach wzięto pod uwagę następujące okoliczności:</w:t>
            </w:r>
          </w:p>
          <w:p w:rsidR="00BB1903" w:rsidRPr="00F3641D" w:rsidRDefault="00BB1903" w:rsidP="00BB1903">
            <w:pPr>
              <w:pStyle w:val="Akapitzlist"/>
              <w:numPr>
                <w:ilvl w:val="0"/>
                <w:numId w:val="13"/>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specyfika unikania opodatkowania oraz wyjątkowy ciężar gatunkowy zadań związanych ze stosowaniem klauzuli i wydawaniem opinii zabezpieczających,</w:t>
            </w:r>
          </w:p>
          <w:p w:rsidR="00BB1903" w:rsidRPr="00F3641D" w:rsidRDefault="00BB1903" w:rsidP="00BB1903">
            <w:pPr>
              <w:pStyle w:val="Akapitzlist"/>
              <w:numPr>
                <w:ilvl w:val="0"/>
                <w:numId w:val="12"/>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wyłączna właściwość Ministra Finansów w sprawach stosowania klauzuli i wydawania opinii zabezpieczających oraz brak możliwości delegowania tych kompetencji na podległe organy,</w:t>
            </w:r>
          </w:p>
          <w:p w:rsidR="00BB1903" w:rsidRPr="00F3641D" w:rsidRDefault="00BB1903" w:rsidP="00BB1903">
            <w:pPr>
              <w:pStyle w:val="Akapitzlist"/>
              <w:numPr>
                <w:ilvl w:val="0"/>
                <w:numId w:val="12"/>
              </w:num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konieczność zatrudnienia wysoko wykwalifikowanych kadr, ze znajomością międzynarodowego prawa podatkowego, ekonomii w ujęciu transgranicznym or</w:t>
            </w:r>
            <w:r w:rsidR="00E15D8B">
              <w:rPr>
                <w:rFonts w:ascii="Times New Roman" w:hAnsi="Times New Roman"/>
                <w:color w:val="000000"/>
                <w:sz w:val="21"/>
                <w:szCs w:val="21"/>
              </w:rPr>
              <w:t xml:space="preserve">az znajomością języków obcych. </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b/>
                <w:color w:val="000000"/>
                <w:sz w:val="21"/>
                <w:szCs w:val="21"/>
              </w:rPr>
              <w:t>4)</w:t>
            </w:r>
            <w:r w:rsidRPr="00F3641D">
              <w:rPr>
                <w:rFonts w:ascii="Times New Roman" w:hAnsi="Times New Roman"/>
                <w:color w:val="000000"/>
                <w:sz w:val="21"/>
                <w:szCs w:val="21"/>
              </w:rPr>
              <w:t xml:space="preserve"> </w:t>
            </w:r>
            <w:r w:rsidRPr="00F3641D">
              <w:rPr>
                <w:rFonts w:ascii="Times New Roman" w:hAnsi="Times New Roman"/>
                <w:b/>
                <w:color w:val="000000"/>
                <w:sz w:val="21"/>
                <w:szCs w:val="21"/>
              </w:rPr>
              <w:t>Poddanie kognicji WSA w Warszawie nowej kategorii spraw</w:t>
            </w:r>
            <w:r w:rsidRPr="00F3641D">
              <w:rPr>
                <w:rFonts w:ascii="Times New Roman" w:hAnsi="Times New Roman"/>
                <w:color w:val="000000"/>
                <w:sz w:val="21"/>
                <w:szCs w:val="21"/>
              </w:rPr>
              <w:t xml:space="preserve"> (skargi od decyzji ostatecznych wydanych w związku z zastosowaniem klauzuli oraz skargi od opinii zabezpieczających w zakresie istnienia przesłanek zastosowania klauzuli przeciwko unikaniu opodatkowania) nie będzie miało wpływu na koszty funkcjonowania sądów administracyjnych z uwagi na przewidywaną ograniczoną liczbę spraw (ok. 46 spraw rocznie </w:t>
            </w:r>
            <w:r w:rsidR="004A060B">
              <w:rPr>
                <w:rFonts w:ascii="Times New Roman" w:hAnsi="Times New Roman"/>
                <w:color w:val="000000"/>
                <w:sz w:val="21"/>
                <w:szCs w:val="21"/>
              </w:rPr>
              <w:t>–</w:t>
            </w:r>
            <w:r w:rsidRPr="00F3641D">
              <w:rPr>
                <w:rFonts w:ascii="Times New Roman" w:hAnsi="Times New Roman"/>
                <w:color w:val="000000"/>
                <w:sz w:val="21"/>
                <w:szCs w:val="21"/>
              </w:rPr>
              <w:t xml:space="preserve"> </w:t>
            </w:r>
            <w:r w:rsidRPr="00524E88">
              <w:rPr>
                <w:rFonts w:ascii="Times New Roman" w:hAnsi="Times New Roman"/>
                <w:i/>
                <w:color w:val="000000"/>
                <w:sz w:val="21"/>
                <w:szCs w:val="21"/>
              </w:rPr>
              <w:t>vide</w:t>
            </w:r>
            <w:r w:rsidRPr="00F3641D">
              <w:rPr>
                <w:rFonts w:ascii="Times New Roman" w:hAnsi="Times New Roman"/>
                <w:color w:val="000000"/>
                <w:sz w:val="21"/>
                <w:szCs w:val="21"/>
              </w:rPr>
              <w:t xml:space="preserve"> pkt 1). </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Przewiduje się, że wskaźnik zaskarżalności do WSA w Warszawie decyzji ostatecznych wydanych w związku z zastosowaniem klauzuli wyniesie ok. 90% (średnio ok. 41 skarg rocznie).</w:t>
            </w:r>
          </w:p>
          <w:p w:rsidR="00BB1903" w:rsidRPr="00F3641D" w:rsidRDefault="00BB1903" w:rsidP="00BB1903">
            <w:pPr>
              <w:spacing w:after="0" w:line="240" w:lineRule="auto"/>
              <w:jc w:val="both"/>
              <w:rPr>
                <w:rFonts w:ascii="Times New Roman" w:hAnsi="Times New Roman"/>
                <w:color w:val="000000"/>
                <w:sz w:val="21"/>
                <w:szCs w:val="21"/>
              </w:rPr>
            </w:pPr>
            <w:r w:rsidRPr="00F3641D">
              <w:rPr>
                <w:rFonts w:ascii="Times New Roman" w:hAnsi="Times New Roman"/>
                <w:color w:val="000000"/>
                <w:sz w:val="21"/>
                <w:szCs w:val="21"/>
              </w:rPr>
              <w:t xml:space="preserve">Przyjmując, że wskaźnik zaskarżalności do WSA w Warszawie opinii zabezpieczających będzie podobny jak w przypadku interpretacji indywidualnych (w 2014 </w:t>
            </w:r>
            <w:r w:rsidR="00524E88">
              <w:rPr>
                <w:rFonts w:ascii="Times New Roman" w:hAnsi="Times New Roman"/>
                <w:color w:val="000000"/>
                <w:sz w:val="21"/>
                <w:szCs w:val="21"/>
              </w:rPr>
              <w:t>r. zaskarżonych do WSA było 6,9</w:t>
            </w:r>
            <w:r w:rsidRPr="00F3641D">
              <w:rPr>
                <w:rFonts w:ascii="Times New Roman" w:hAnsi="Times New Roman"/>
                <w:color w:val="000000"/>
                <w:sz w:val="21"/>
                <w:szCs w:val="21"/>
              </w:rPr>
              <w:t>% ogółem wydanych interpretacji indywidualnych)</w:t>
            </w:r>
            <w:r w:rsidR="00310C99">
              <w:rPr>
                <w:rFonts w:ascii="Times New Roman" w:hAnsi="Times New Roman"/>
                <w:color w:val="000000"/>
                <w:sz w:val="21"/>
                <w:szCs w:val="21"/>
              </w:rPr>
              <w:t>,</w:t>
            </w:r>
            <w:r w:rsidRPr="00F3641D">
              <w:rPr>
                <w:rFonts w:ascii="Times New Roman" w:hAnsi="Times New Roman"/>
                <w:color w:val="000000"/>
                <w:sz w:val="21"/>
                <w:szCs w:val="21"/>
              </w:rPr>
              <w:t xml:space="preserve"> szacuje się,</w:t>
            </w:r>
            <w:r w:rsidR="004A060B">
              <w:rPr>
                <w:rFonts w:ascii="Times New Roman" w:hAnsi="Times New Roman"/>
                <w:color w:val="000000"/>
                <w:sz w:val="21"/>
                <w:szCs w:val="21"/>
              </w:rPr>
              <w:t xml:space="preserve"> że zaskarżonych może być ok. 3–</w:t>
            </w:r>
            <w:r w:rsidRPr="00F3641D">
              <w:rPr>
                <w:rFonts w:ascii="Times New Roman" w:hAnsi="Times New Roman"/>
                <w:color w:val="000000"/>
                <w:sz w:val="21"/>
                <w:szCs w:val="21"/>
              </w:rPr>
              <w:t>4 opinii zabezpieczających rocznie.</w:t>
            </w:r>
          </w:p>
          <w:p w:rsidR="00BB1903" w:rsidRPr="00F3641D" w:rsidRDefault="00310C99" w:rsidP="00310C99">
            <w:pPr>
              <w:spacing w:after="0" w:line="240" w:lineRule="auto"/>
              <w:jc w:val="both"/>
              <w:rPr>
                <w:rFonts w:ascii="Times New Roman" w:hAnsi="Times New Roman"/>
                <w:color w:val="000000"/>
                <w:sz w:val="21"/>
                <w:szCs w:val="21"/>
              </w:rPr>
            </w:pPr>
            <w:r>
              <w:rPr>
                <w:rFonts w:ascii="Times New Roman" w:hAnsi="Times New Roman"/>
                <w:color w:val="000000"/>
                <w:sz w:val="21"/>
                <w:szCs w:val="21"/>
              </w:rPr>
              <w:t>Odnosząc powyżej zakładaną liczbę</w:t>
            </w:r>
            <w:r w:rsidR="00BB1903" w:rsidRPr="00F3641D">
              <w:rPr>
                <w:rFonts w:ascii="Times New Roman" w:hAnsi="Times New Roman"/>
                <w:color w:val="000000"/>
                <w:sz w:val="21"/>
                <w:szCs w:val="21"/>
              </w:rPr>
              <w:t xml:space="preserve"> spraw (ok. 45 skarg), które mogą wpłynąć do Wojewódzkiego Sądu Administracyjnego w Warszawie w związku z p</w:t>
            </w:r>
            <w:r w:rsidR="00524E88">
              <w:rPr>
                <w:rFonts w:ascii="Times New Roman" w:hAnsi="Times New Roman"/>
                <w:color w:val="000000"/>
                <w:sz w:val="21"/>
                <w:szCs w:val="21"/>
              </w:rPr>
              <w:t>roponowanymi regulacjami, do 27 </w:t>
            </w:r>
            <w:r w:rsidR="00BB1903" w:rsidRPr="00F3641D">
              <w:rPr>
                <w:rFonts w:ascii="Times New Roman" w:hAnsi="Times New Roman"/>
                <w:color w:val="000000"/>
                <w:sz w:val="21"/>
                <w:szCs w:val="21"/>
              </w:rPr>
              <w:t>538 skarg o</w:t>
            </w:r>
            <w:r w:rsidR="004A060B">
              <w:rPr>
                <w:rFonts w:ascii="Times New Roman" w:hAnsi="Times New Roman"/>
                <w:color w:val="000000"/>
                <w:sz w:val="21"/>
                <w:szCs w:val="21"/>
              </w:rPr>
              <w:t>gółem, które w 2014 r. wpłynęły</w:t>
            </w:r>
            <w:r w:rsidR="00BE7B7C">
              <w:rPr>
                <w:rFonts w:ascii="Times New Roman" w:hAnsi="Times New Roman"/>
                <w:color w:val="000000"/>
                <w:sz w:val="21"/>
                <w:szCs w:val="21"/>
              </w:rPr>
              <w:t xml:space="preserve"> do tego s</w:t>
            </w:r>
            <w:r w:rsidR="00BB1903" w:rsidRPr="00F3641D">
              <w:rPr>
                <w:rFonts w:ascii="Times New Roman" w:hAnsi="Times New Roman"/>
                <w:color w:val="000000"/>
                <w:sz w:val="21"/>
                <w:szCs w:val="21"/>
              </w:rPr>
              <w:t>ądu (dane statystyczne ze strony www.nsa.gov.pl), przewiduje się, że zw</w:t>
            </w:r>
            <w:r w:rsidR="004A060B">
              <w:rPr>
                <w:rFonts w:ascii="Times New Roman" w:hAnsi="Times New Roman"/>
                <w:color w:val="000000"/>
                <w:sz w:val="21"/>
                <w:szCs w:val="21"/>
              </w:rPr>
              <w:t xml:space="preserve">iększenie liczby skarg </w:t>
            </w:r>
            <w:r>
              <w:rPr>
                <w:rFonts w:ascii="Times New Roman" w:hAnsi="Times New Roman"/>
                <w:color w:val="000000"/>
                <w:sz w:val="21"/>
                <w:szCs w:val="21"/>
              </w:rPr>
              <w:t xml:space="preserve">o </w:t>
            </w:r>
            <w:r w:rsidR="004A060B">
              <w:rPr>
                <w:rFonts w:ascii="Times New Roman" w:hAnsi="Times New Roman"/>
                <w:color w:val="000000"/>
                <w:sz w:val="21"/>
                <w:szCs w:val="21"/>
              </w:rPr>
              <w:t>ok. 0,16</w:t>
            </w:r>
            <w:r w:rsidR="00BB1903" w:rsidRPr="00F3641D">
              <w:rPr>
                <w:rFonts w:ascii="Times New Roman" w:hAnsi="Times New Roman"/>
                <w:color w:val="000000"/>
                <w:sz w:val="21"/>
                <w:szCs w:val="21"/>
              </w:rPr>
              <w:t>% nie będzi</w:t>
            </w:r>
            <w:r>
              <w:rPr>
                <w:rFonts w:ascii="Times New Roman" w:hAnsi="Times New Roman"/>
                <w:color w:val="000000"/>
                <w:sz w:val="21"/>
                <w:szCs w:val="21"/>
              </w:rPr>
              <w:t>e</w:t>
            </w:r>
            <w:r w:rsidR="00524E88">
              <w:rPr>
                <w:rFonts w:ascii="Times New Roman" w:hAnsi="Times New Roman"/>
                <w:color w:val="000000"/>
                <w:sz w:val="21"/>
                <w:szCs w:val="21"/>
              </w:rPr>
              <w:t xml:space="preserve"> miało wpływu na działanie s</w:t>
            </w:r>
            <w:r w:rsidR="00BB1903" w:rsidRPr="00F3641D">
              <w:rPr>
                <w:rFonts w:ascii="Times New Roman" w:hAnsi="Times New Roman"/>
                <w:color w:val="000000"/>
                <w:sz w:val="21"/>
                <w:szCs w:val="21"/>
              </w:rPr>
              <w:t>ądu oraz na koszty jego funkcjonowania.</w:t>
            </w:r>
          </w:p>
        </w:tc>
      </w:tr>
      <w:tr w:rsidR="00BB1903" w:rsidRPr="00F3641D" w:rsidTr="00BB1903">
        <w:trPr>
          <w:gridAfter w:val="1"/>
          <w:wAfter w:w="10" w:type="dxa"/>
          <w:trHeight w:val="345"/>
        </w:trPr>
        <w:tc>
          <w:tcPr>
            <w:tcW w:w="10937" w:type="dxa"/>
            <w:gridSpan w:val="29"/>
            <w:shd w:val="clear" w:color="auto" w:fill="99CCFF"/>
          </w:tcPr>
          <w:p w:rsidR="00BB1903" w:rsidRPr="00F3641D" w:rsidRDefault="00BB1903" w:rsidP="00BB1903">
            <w:pPr>
              <w:numPr>
                <w:ilvl w:val="0"/>
                <w:numId w:val="9"/>
              </w:numPr>
              <w:spacing w:after="0" w:line="240" w:lineRule="auto"/>
              <w:jc w:val="both"/>
              <w:rPr>
                <w:rFonts w:ascii="Times New Roman" w:hAnsi="Times New Roman"/>
                <w:b/>
                <w:color w:val="000000"/>
                <w:spacing w:val="-2"/>
              </w:rPr>
            </w:pPr>
            <w:r w:rsidRPr="00F3641D">
              <w:rPr>
                <w:rFonts w:ascii="Times New Roman" w:hAnsi="Times New Roman"/>
                <w:b/>
                <w:color w:val="000000"/>
                <w:spacing w:val="-2"/>
              </w:rPr>
              <w:lastRenderedPageBreak/>
              <w:t xml:space="preserve">Wpływ na </w:t>
            </w:r>
            <w:r w:rsidRPr="00F3641D">
              <w:rPr>
                <w:rFonts w:ascii="Times New Roman" w:hAnsi="Times New Roman"/>
                <w:b/>
                <w:color w:val="000000"/>
              </w:rPr>
              <w:t xml:space="preserve">konkurencyjność gospodarki i przedsiębiorczość, w tym funkcjonowanie przedsiębiorców oraz na rodzinę, obywateli i gospodarstwa domowe </w:t>
            </w:r>
          </w:p>
        </w:tc>
      </w:tr>
      <w:tr w:rsidR="00BB1903" w:rsidRPr="00F3641D" w:rsidTr="00BB1903">
        <w:trPr>
          <w:gridAfter w:val="1"/>
          <w:wAfter w:w="10" w:type="dxa"/>
          <w:trHeight w:val="142"/>
        </w:trPr>
        <w:tc>
          <w:tcPr>
            <w:tcW w:w="10937" w:type="dxa"/>
            <w:gridSpan w:val="29"/>
            <w:shd w:val="clear" w:color="auto" w:fill="FFFFFF"/>
          </w:tcPr>
          <w:p w:rsidR="00BB1903" w:rsidRPr="00F3641D" w:rsidRDefault="00BB1903" w:rsidP="00BB1903">
            <w:pPr>
              <w:spacing w:after="0" w:line="240" w:lineRule="auto"/>
              <w:jc w:val="center"/>
              <w:rPr>
                <w:rFonts w:ascii="Times New Roman" w:hAnsi="Times New Roman"/>
                <w:color w:val="000000"/>
                <w:spacing w:val="-2"/>
                <w:sz w:val="21"/>
                <w:szCs w:val="21"/>
              </w:rPr>
            </w:pPr>
            <w:r w:rsidRPr="00F3641D">
              <w:rPr>
                <w:rFonts w:ascii="Times New Roman" w:hAnsi="Times New Roman"/>
                <w:color w:val="000000"/>
                <w:spacing w:val="-2"/>
                <w:sz w:val="21"/>
                <w:szCs w:val="21"/>
              </w:rPr>
              <w:t>Skutki</w:t>
            </w:r>
          </w:p>
        </w:tc>
      </w:tr>
      <w:tr w:rsidR="00BB1903" w:rsidRPr="00F3641D" w:rsidTr="00BB1903">
        <w:trPr>
          <w:gridAfter w:val="1"/>
          <w:wAfter w:w="10" w:type="dxa"/>
          <w:trHeight w:val="142"/>
        </w:trPr>
        <w:tc>
          <w:tcPr>
            <w:tcW w:w="3889" w:type="dxa"/>
            <w:gridSpan w:val="7"/>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Czas w latach od wejścia w życie zmian</w:t>
            </w:r>
          </w:p>
        </w:tc>
        <w:tc>
          <w:tcPr>
            <w:tcW w:w="937" w:type="dxa"/>
            <w:gridSpan w:val="2"/>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0</w:t>
            </w:r>
          </w:p>
        </w:tc>
        <w:tc>
          <w:tcPr>
            <w:tcW w:w="938" w:type="dxa"/>
            <w:gridSpan w:val="5"/>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1</w:t>
            </w:r>
          </w:p>
        </w:tc>
        <w:tc>
          <w:tcPr>
            <w:tcW w:w="938" w:type="dxa"/>
            <w:gridSpan w:val="4"/>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2</w:t>
            </w:r>
          </w:p>
        </w:tc>
        <w:tc>
          <w:tcPr>
            <w:tcW w:w="937" w:type="dxa"/>
            <w:gridSpan w:val="3"/>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3</w:t>
            </w:r>
          </w:p>
        </w:tc>
        <w:tc>
          <w:tcPr>
            <w:tcW w:w="938" w:type="dxa"/>
            <w:gridSpan w:val="4"/>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5</w:t>
            </w:r>
          </w:p>
        </w:tc>
        <w:tc>
          <w:tcPr>
            <w:tcW w:w="938" w:type="dxa"/>
            <w:gridSpan w:val="3"/>
            <w:shd w:val="clear" w:color="auto" w:fill="FFFFFF"/>
          </w:tcPr>
          <w:p w:rsidR="00BB1903" w:rsidRPr="00F3641D" w:rsidRDefault="00BB1903" w:rsidP="00BB1903">
            <w:pPr>
              <w:spacing w:after="0" w:line="240" w:lineRule="auto"/>
              <w:jc w:val="center"/>
              <w:rPr>
                <w:rFonts w:ascii="Times New Roman" w:hAnsi="Times New Roman"/>
                <w:color w:val="000000"/>
                <w:sz w:val="21"/>
                <w:szCs w:val="21"/>
              </w:rPr>
            </w:pPr>
            <w:r w:rsidRPr="00F3641D">
              <w:rPr>
                <w:rFonts w:ascii="Times New Roman" w:hAnsi="Times New Roman"/>
                <w:color w:val="000000"/>
                <w:sz w:val="21"/>
                <w:szCs w:val="21"/>
              </w:rPr>
              <w:t>10</w:t>
            </w:r>
          </w:p>
        </w:tc>
        <w:tc>
          <w:tcPr>
            <w:tcW w:w="1422" w:type="dxa"/>
            <w:shd w:val="clear" w:color="auto" w:fill="FFFFFF"/>
          </w:tcPr>
          <w:p w:rsidR="004A060B" w:rsidRPr="00867EAF" w:rsidRDefault="00BB1903" w:rsidP="00BB1903">
            <w:pPr>
              <w:spacing w:after="0" w:line="240" w:lineRule="auto"/>
              <w:jc w:val="center"/>
              <w:rPr>
                <w:rFonts w:ascii="Times New Roman" w:hAnsi="Times New Roman"/>
                <w:color w:val="000000"/>
                <w:spacing w:val="-2"/>
                <w:sz w:val="21"/>
                <w:szCs w:val="21"/>
              </w:rPr>
            </w:pPr>
            <w:r w:rsidRPr="00867EAF">
              <w:rPr>
                <w:rFonts w:ascii="Times New Roman" w:hAnsi="Times New Roman"/>
                <w:color w:val="000000"/>
                <w:spacing w:val="-2"/>
                <w:sz w:val="21"/>
                <w:szCs w:val="21"/>
              </w:rPr>
              <w:t>Łącznie</w:t>
            </w:r>
            <w:r w:rsidRPr="00867EAF" w:rsidDel="0073273A">
              <w:rPr>
                <w:rFonts w:ascii="Times New Roman" w:hAnsi="Times New Roman"/>
                <w:color w:val="000000"/>
                <w:spacing w:val="-2"/>
                <w:sz w:val="21"/>
                <w:szCs w:val="21"/>
              </w:rPr>
              <w:t xml:space="preserve"> </w:t>
            </w:r>
          </w:p>
          <w:p w:rsidR="00BB1903" w:rsidRPr="00F3641D" w:rsidRDefault="004A060B" w:rsidP="00BB1903">
            <w:pPr>
              <w:spacing w:after="0" w:line="240" w:lineRule="auto"/>
              <w:jc w:val="center"/>
              <w:rPr>
                <w:rFonts w:ascii="Times New Roman" w:hAnsi="Times New Roman"/>
                <w:i/>
                <w:color w:val="000000"/>
                <w:spacing w:val="-2"/>
                <w:sz w:val="21"/>
                <w:szCs w:val="21"/>
              </w:rPr>
            </w:pPr>
            <w:r w:rsidRPr="00867EAF">
              <w:rPr>
                <w:rFonts w:ascii="Times New Roman" w:hAnsi="Times New Roman"/>
                <w:color w:val="000000"/>
                <w:spacing w:val="-2"/>
                <w:sz w:val="21"/>
                <w:szCs w:val="21"/>
              </w:rPr>
              <w:t>(0–</w:t>
            </w:r>
            <w:r w:rsidR="00BB1903" w:rsidRPr="00867EAF">
              <w:rPr>
                <w:rFonts w:ascii="Times New Roman" w:hAnsi="Times New Roman"/>
                <w:color w:val="000000"/>
                <w:spacing w:val="-2"/>
                <w:sz w:val="21"/>
                <w:szCs w:val="21"/>
              </w:rPr>
              <w:t>10)</w:t>
            </w:r>
          </w:p>
        </w:tc>
      </w:tr>
      <w:tr w:rsidR="00BB1903" w:rsidRPr="00F3641D" w:rsidTr="00BB1903">
        <w:trPr>
          <w:gridAfter w:val="1"/>
          <w:wAfter w:w="10" w:type="dxa"/>
          <w:trHeight w:val="142"/>
        </w:trPr>
        <w:tc>
          <w:tcPr>
            <w:tcW w:w="1596" w:type="dxa"/>
            <w:vMerge w:val="restart"/>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W ujęciu pieniężnym</w:t>
            </w:r>
          </w:p>
          <w:p w:rsidR="00BB1903" w:rsidRPr="00F3641D" w:rsidRDefault="00BB1903" w:rsidP="00BB1903">
            <w:pPr>
              <w:spacing w:after="0" w:line="240" w:lineRule="auto"/>
              <w:rPr>
                <w:rFonts w:ascii="Times New Roman" w:hAnsi="Times New Roman"/>
                <w:spacing w:val="-2"/>
                <w:sz w:val="21"/>
                <w:szCs w:val="21"/>
              </w:rPr>
            </w:pPr>
            <w:r w:rsidRPr="00F3641D">
              <w:rPr>
                <w:rFonts w:ascii="Times New Roman" w:hAnsi="Times New Roman"/>
                <w:spacing w:val="-2"/>
                <w:sz w:val="21"/>
                <w:szCs w:val="21"/>
              </w:rPr>
              <w:t xml:space="preserve">(w mln zł, </w:t>
            </w:r>
          </w:p>
          <w:p w:rsidR="00BB1903" w:rsidRPr="00F3641D" w:rsidRDefault="004A060B" w:rsidP="00BB1903">
            <w:pPr>
              <w:spacing w:after="0" w:line="240" w:lineRule="auto"/>
              <w:rPr>
                <w:rFonts w:ascii="Times New Roman" w:hAnsi="Times New Roman"/>
                <w:color w:val="000000"/>
                <w:sz w:val="21"/>
                <w:szCs w:val="21"/>
              </w:rPr>
            </w:pPr>
            <w:r>
              <w:rPr>
                <w:rFonts w:ascii="Times New Roman" w:hAnsi="Times New Roman"/>
                <w:spacing w:val="-2"/>
                <w:sz w:val="21"/>
                <w:szCs w:val="21"/>
              </w:rPr>
              <w:t xml:space="preserve">ceny stałe </w:t>
            </w:r>
            <w:r>
              <w:rPr>
                <w:rFonts w:ascii="Times New Roman" w:hAnsi="Times New Roman"/>
                <w:spacing w:val="-2"/>
                <w:sz w:val="21"/>
                <w:szCs w:val="21"/>
              </w:rPr>
              <w:br/>
              <w:t>z …</w:t>
            </w:r>
            <w:r w:rsidR="00BB1903" w:rsidRPr="00F3641D">
              <w:rPr>
                <w:rFonts w:ascii="Times New Roman" w:hAnsi="Times New Roman"/>
                <w:spacing w:val="-2"/>
                <w:sz w:val="21"/>
                <w:szCs w:val="21"/>
              </w:rPr>
              <w:t xml:space="preserve"> r.)</w:t>
            </w: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duże przedsiębiorstwa</w:t>
            </w:r>
          </w:p>
        </w:tc>
        <w:tc>
          <w:tcPr>
            <w:tcW w:w="937" w:type="dxa"/>
            <w:gridSpan w:val="2"/>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5"/>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7"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1422" w:type="dxa"/>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4A060B" w:rsidP="00BB1903">
            <w:pPr>
              <w:spacing w:after="0" w:line="240" w:lineRule="auto"/>
              <w:rPr>
                <w:rFonts w:ascii="Times New Roman" w:hAnsi="Times New Roman"/>
                <w:color w:val="000000"/>
                <w:sz w:val="21"/>
                <w:szCs w:val="21"/>
              </w:rPr>
            </w:pPr>
            <w:r>
              <w:rPr>
                <w:rFonts w:ascii="Times New Roman" w:hAnsi="Times New Roman"/>
                <w:color w:val="000000"/>
                <w:sz w:val="21"/>
                <w:szCs w:val="21"/>
              </w:rPr>
              <w:t>sektor mikro-, małych i </w:t>
            </w:r>
            <w:r w:rsidR="00BB1903" w:rsidRPr="00F3641D">
              <w:rPr>
                <w:rFonts w:ascii="Times New Roman" w:hAnsi="Times New Roman"/>
                <w:color w:val="000000"/>
                <w:sz w:val="21"/>
                <w:szCs w:val="21"/>
              </w:rPr>
              <w:t>średnich przedsiębiorstw</w:t>
            </w:r>
          </w:p>
        </w:tc>
        <w:tc>
          <w:tcPr>
            <w:tcW w:w="937" w:type="dxa"/>
            <w:gridSpan w:val="2"/>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5"/>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7"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1422" w:type="dxa"/>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sz w:val="21"/>
                <w:szCs w:val="21"/>
              </w:rPr>
              <w:t>rodzina, obywatele oraz gospodarstwa domowe</w:t>
            </w:r>
          </w:p>
        </w:tc>
        <w:tc>
          <w:tcPr>
            <w:tcW w:w="937" w:type="dxa"/>
            <w:gridSpan w:val="2"/>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5"/>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7"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1422" w:type="dxa"/>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F3641D">
              <w:rPr>
                <w:rFonts w:ascii="Times New Roman" w:hAnsi="Times New Roman"/>
                <w:color w:val="000000"/>
                <w:sz w:val="21"/>
                <w:szCs w:val="21"/>
              </w:rPr>
              <w:instrText xml:space="preserve"> FORMTEXT </w:instrText>
            </w:r>
            <w:r w:rsidRPr="00F3641D">
              <w:rPr>
                <w:rFonts w:ascii="Times New Roman" w:hAnsi="Times New Roman"/>
                <w:color w:val="000000"/>
                <w:sz w:val="21"/>
                <w:szCs w:val="21"/>
              </w:rPr>
            </w:r>
            <w:r w:rsidRPr="00F3641D">
              <w:rPr>
                <w:rFonts w:ascii="Times New Roman" w:hAnsi="Times New Roman"/>
                <w:color w:val="000000"/>
                <w:sz w:val="21"/>
                <w:szCs w:val="21"/>
              </w:rPr>
              <w:fldChar w:fldCharType="separate"/>
            </w:r>
            <w:r w:rsidRPr="00F3641D">
              <w:rPr>
                <w:rFonts w:ascii="Times New Roman" w:hAnsi="Times New Roman"/>
                <w:noProof/>
                <w:color w:val="000000"/>
                <w:sz w:val="21"/>
                <w:szCs w:val="21"/>
              </w:rPr>
              <w:t>(dodaj/usuń)</w:t>
            </w:r>
            <w:r w:rsidRPr="00F3641D">
              <w:rPr>
                <w:rFonts w:ascii="Times New Roman" w:hAnsi="Times New Roman"/>
                <w:color w:val="000000"/>
                <w:sz w:val="21"/>
                <w:szCs w:val="21"/>
              </w:rPr>
              <w:fldChar w:fldCharType="end"/>
            </w:r>
          </w:p>
        </w:tc>
        <w:tc>
          <w:tcPr>
            <w:tcW w:w="937" w:type="dxa"/>
            <w:gridSpan w:val="2"/>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5"/>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7"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4"/>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938" w:type="dxa"/>
            <w:gridSpan w:val="3"/>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1422" w:type="dxa"/>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val="restart"/>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W ujęciu niepieniężnym</w:t>
            </w: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duże przedsiębiorstwa</w:t>
            </w:r>
          </w:p>
        </w:tc>
        <w:tc>
          <w:tcPr>
            <w:tcW w:w="7048" w:type="dxa"/>
            <w:gridSpan w:val="22"/>
            <w:shd w:val="clear" w:color="auto" w:fill="FFFFFF"/>
          </w:tcPr>
          <w:p w:rsidR="00BB1903" w:rsidRPr="00F3641D" w:rsidRDefault="00BB1903" w:rsidP="00BB1903">
            <w:pPr>
              <w:spacing w:after="0" w:line="240" w:lineRule="auto"/>
              <w:rPr>
                <w:rFonts w:ascii="Times New Roman" w:hAnsi="Times New Roman"/>
                <w:b/>
                <w:color w:val="000000"/>
                <w:spacing w:val="-2"/>
                <w:sz w:val="21"/>
                <w:szCs w:val="21"/>
              </w:rPr>
            </w:pPr>
            <w:r w:rsidRPr="00F3641D">
              <w:rPr>
                <w:rFonts w:ascii="Times New Roman" w:hAnsi="Times New Roman"/>
                <w:b/>
                <w:color w:val="000000"/>
                <w:spacing w:val="-2"/>
                <w:sz w:val="21"/>
                <w:szCs w:val="21"/>
              </w:rPr>
              <w:t>Ograniczenie unikania opodatkowania.</w:t>
            </w:r>
          </w:p>
          <w:p w:rsidR="00BB1903" w:rsidRPr="00F3641D" w:rsidRDefault="00BB1903" w:rsidP="00BB1903">
            <w:pPr>
              <w:spacing w:after="0" w:line="240" w:lineRule="auto"/>
              <w:rPr>
                <w:rFonts w:ascii="Times New Roman" w:hAnsi="Times New Roman"/>
                <w:b/>
                <w:color w:val="000000"/>
                <w:spacing w:val="-2"/>
                <w:sz w:val="21"/>
                <w:szCs w:val="21"/>
              </w:rPr>
            </w:pPr>
            <w:r w:rsidRPr="00F3641D">
              <w:rPr>
                <w:rFonts w:ascii="Times New Roman" w:hAnsi="Times New Roman"/>
                <w:b/>
                <w:color w:val="000000"/>
                <w:spacing w:val="-2"/>
                <w:sz w:val="21"/>
                <w:szCs w:val="21"/>
              </w:rPr>
              <w:t>Pozytywne oddziaływanie na konkurencyjność na rynku.</w:t>
            </w:r>
          </w:p>
          <w:p w:rsidR="00BB1903" w:rsidRPr="00F3641D" w:rsidRDefault="00BB1903" w:rsidP="00BB1903">
            <w:pPr>
              <w:spacing w:after="0" w:line="240" w:lineRule="auto"/>
              <w:jc w:val="both"/>
              <w:rPr>
                <w:rFonts w:ascii="Times New Roman" w:hAnsi="Times New Roman"/>
                <w:color w:val="000000"/>
                <w:spacing w:val="-2"/>
                <w:sz w:val="21"/>
                <w:szCs w:val="21"/>
              </w:rPr>
            </w:pPr>
            <w:r w:rsidRPr="00F3641D">
              <w:rPr>
                <w:rFonts w:ascii="Times New Roman" w:hAnsi="Times New Roman"/>
                <w:color w:val="000000"/>
                <w:spacing w:val="-2"/>
                <w:sz w:val="21"/>
                <w:szCs w:val="21"/>
              </w:rPr>
              <w:t xml:space="preserve">Klauzula pozwoli na zwalczanie sztucznych czynności (lub ich zespołów), zwykle zawierających elementy zagraniczne, wykorzystywanych zazwyczaj przez wielkie korporacje do unikania zapłaty podatku. Unikanie opodatkowania prowadzi do uzyskania przewagi rynkowej w sposób nieuczciwy. </w:t>
            </w:r>
          </w:p>
        </w:tc>
      </w:tr>
      <w:tr w:rsidR="00BB1903" w:rsidRPr="00F3641D" w:rsidTr="00BB1903">
        <w:trPr>
          <w:gridAfter w:val="1"/>
          <w:wAfter w:w="10" w:type="dxa"/>
          <w:trHeight w:val="142"/>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4A060B" w:rsidP="00BB1903">
            <w:pPr>
              <w:spacing w:after="0" w:line="240" w:lineRule="auto"/>
              <w:rPr>
                <w:rFonts w:ascii="Times New Roman" w:hAnsi="Times New Roman"/>
                <w:color w:val="000000"/>
                <w:sz w:val="21"/>
                <w:szCs w:val="21"/>
              </w:rPr>
            </w:pPr>
            <w:r>
              <w:rPr>
                <w:rFonts w:ascii="Times New Roman" w:hAnsi="Times New Roman"/>
                <w:color w:val="000000"/>
                <w:sz w:val="21"/>
                <w:szCs w:val="21"/>
              </w:rPr>
              <w:t>sektor mikro-, małych i </w:t>
            </w:r>
            <w:r w:rsidR="00BB1903" w:rsidRPr="00F3641D">
              <w:rPr>
                <w:rFonts w:ascii="Times New Roman" w:hAnsi="Times New Roman"/>
                <w:color w:val="000000"/>
                <w:sz w:val="21"/>
                <w:szCs w:val="21"/>
              </w:rPr>
              <w:t xml:space="preserve">średnich </w:t>
            </w:r>
            <w:r w:rsidR="00BB1903" w:rsidRPr="00F3641D">
              <w:rPr>
                <w:rFonts w:ascii="Times New Roman" w:hAnsi="Times New Roman"/>
                <w:color w:val="000000"/>
                <w:sz w:val="21"/>
                <w:szCs w:val="21"/>
              </w:rPr>
              <w:lastRenderedPageBreak/>
              <w:t>przedsiębiorstw</w:t>
            </w:r>
          </w:p>
        </w:tc>
        <w:tc>
          <w:tcPr>
            <w:tcW w:w="7048" w:type="dxa"/>
            <w:gridSpan w:val="22"/>
            <w:shd w:val="clear" w:color="auto" w:fill="FFFFFF"/>
          </w:tcPr>
          <w:p w:rsidR="00BB1903" w:rsidRPr="00F3641D" w:rsidRDefault="00BB1903" w:rsidP="00BB1903">
            <w:pPr>
              <w:spacing w:after="0" w:line="240" w:lineRule="auto"/>
              <w:rPr>
                <w:rFonts w:ascii="Times New Roman" w:hAnsi="Times New Roman"/>
                <w:b/>
                <w:color w:val="000000"/>
                <w:spacing w:val="-2"/>
                <w:sz w:val="21"/>
                <w:szCs w:val="21"/>
              </w:rPr>
            </w:pPr>
            <w:r w:rsidRPr="00F3641D">
              <w:rPr>
                <w:rFonts w:ascii="Times New Roman" w:hAnsi="Times New Roman"/>
                <w:b/>
                <w:color w:val="000000"/>
                <w:spacing w:val="-2"/>
                <w:sz w:val="21"/>
                <w:szCs w:val="21"/>
              </w:rPr>
              <w:lastRenderedPageBreak/>
              <w:t>Ograniczenie unikania opodatkowania.</w:t>
            </w:r>
          </w:p>
          <w:p w:rsidR="00BB1903" w:rsidRPr="00F3641D" w:rsidRDefault="00BB1903" w:rsidP="00BB1903">
            <w:pPr>
              <w:spacing w:after="0" w:line="240" w:lineRule="auto"/>
              <w:rPr>
                <w:rFonts w:ascii="Times New Roman" w:hAnsi="Times New Roman"/>
                <w:b/>
                <w:color w:val="000000"/>
                <w:spacing w:val="-2"/>
                <w:sz w:val="21"/>
                <w:szCs w:val="21"/>
              </w:rPr>
            </w:pPr>
            <w:r w:rsidRPr="00F3641D">
              <w:rPr>
                <w:rFonts w:ascii="Times New Roman" w:hAnsi="Times New Roman"/>
                <w:b/>
                <w:color w:val="000000"/>
                <w:spacing w:val="-2"/>
                <w:sz w:val="21"/>
                <w:szCs w:val="21"/>
              </w:rPr>
              <w:t>Pozytywne oddziaływanie na konkurencyjność na rynku.</w:t>
            </w:r>
          </w:p>
          <w:p w:rsidR="00BB1903" w:rsidRPr="00F3641D" w:rsidRDefault="00BB1903" w:rsidP="00BB1903">
            <w:pPr>
              <w:spacing w:after="0" w:line="240" w:lineRule="auto"/>
              <w:jc w:val="both"/>
              <w:rPr>
                <w:rFonts w:ascii="Times New Roman" w:hAnsi="Times New Roman"/>
                <w:color w:val="000000"/>
                <w:spacing w:val="-2"/>
                <w:sz w:val="21"/>
                <w:szCs w:val="21"/>
              </w:rPr>
            </w:pPr>
            <w:r w:rsidRPr="00F3641D">
              <w:rPr>
                <w:rFonts w:ascii="Times New Roman" w:hAnsi="Times New Roman"/>
                <w:color w:val="000000"/>
                <w:spacing w:val="-2"/>
                <w:sz w:val="21"/>
                <w:szCs w:val="21"/>
              </w:rPr>
              <w:lastRenderedPageBreak/>
              <w:t>Klauzula pozwoli na zwalczanie sztucznych czynności (lub ich zespołów), zwykle zawierających elementy zagraniczne, wykorzystywanych zazwyczaj przez wielkie korporacje do unikania zapłaty podatku. Unikanie opodatkowania prowadzi do uzyskania przewagi rynkowej w sposób nieuczciwy.</w:t>
            </w:r>
          </w:p>
        </w:tc>
      </w:tr>
      <w:tr w:rsidR="00BB1903" w:rsidRPr="00F3641D" w:rsidTr="00BB1903">
        <w:trPr>
          <w:gridAfter w:val="1"/>
          <w:wAfter w:w="10" w:type="dxa"/>
          <w:trHeight w:val="596"/>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BB1903" w:rsidP="00BB1903">
            <w:pPr>
              <w:tabs>
                <w:tab w:val="right" w:pos="1936"/>
              </w:tabs>
              <w:spacing w:after="0" w:line="240" w:lineRule="auto"/>
              <w:rPr>
                <w:rFonts w:ascii="Times New Roman" w:hAnsi="Times New Roman"/>
                <w:color w:val="000000"/>
                <w:sz w:val="21"/>
                <w:szCs w:val="21"/>
              </w:rPr>
            </w:pPr>
            <w:r w:rsidRPr="00F3641D">
              <w:rPr>
                <w:rFonts w:ascii="Times New Roman" w:hAnsi="Times New Roman"/>
                <w:sz w:val="21"/>
                <w:szCs w:val="21"/>
              </w:rPr>
              <w:t>rodzina, obywatele oraz gospodarstwa domowe</w:t>
            </w:r>
            <w:r w:rsidRPr="00F3641D">
              <w:rPr>
                <w:rFonts w:ascii="Times New Roman" w:hAnsi="Times New Roman"/>
                <w:color w:val="000000"/>
                <w:sz w:val="21"/>
                <w:szCs w:val="21"/>
              </w:rPr>
              <w:t xml:space="preserve"> </w:t>
            </w:r>
          </w:p>
        </w:tc>
        <w:tc>
          <w:tcPr>
            <w:tcW w:w="7048" w:type="dxa"/>
            <w:gridSpan w:val="22"/>
            <w:shd w:val="clear" w:color="auto" w:fill="FFFFFF"/>
          </w:tcPr>
          <w:p w:rsidR="00BB1903" w:rsidRPr="00F3641D" w:rsidRDefault="00BB1903" w:rsidP="00BB1903">
            <w:pPr>
              <w:spacing w:after="0" w:line="240" w:lineRule="auto"/>
              <w:jc w:val="both"/>
              <w:rPr>
                <w:rFonts w:ascii="Times New Roman" w:hAnsi="Times New Roman"/>
                <w:color w:val="000000"/>
                <w:spacing w:val="-2"/>
                <w:sz w:val="21"/>
                <w:szCs w:val="21"/>
              </w:rPr>
            </w:pPr>
            <w:r w:rsidRPr="00F3641D">
              <w:rPr>
                <w:rFonts w:ascii="Times New Roman" w:hAnsi="Times New Roman"/>
                <w:color w:val="000000"/>
                <w:spacing w:val="-2"/>
                <w:sz w:val="21"/>
                <w:szCs w:val="21"/>
              </w:rPr>
              <w:t>Zwiększenie poczucia sprawiedliwości społecznej poprzez realizację zasady powszechności opodatkowania.</w:t>
            </w:r>
          </w:p>
        </w:tc>
      </w:tr>
      <w:tr w:rsidR="00BB1903" w:rsidRPr="00F3641D" w:rsidTr="00BB1903">
        <w:trPr>
          <w:gridAfter w:val="1"/>
          <w:wAfter w:w="10" w:type="dxa"/>
          <w:trHeight w:val="240"/>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BB1903" w:rsidP="00BB1903">
            <w:pPr>
              <w:tabs>
                <w:tab w:val="right" w:pos="1936"/>
              </w:tabs>
              <w:spacing w:after="0" w:line="240" w:lineRule="auto"/>
              <w:rPr>
                <w:rFonts w:ascii="Times New Roman" w:hAnsi="Times New Roman"/>
                <w:sz w:val="21"/>
                <w:szCs w:val="21"/>
              </w:rPr>
            </w:pPr>
            <w:r w:rsidRPr="00F3641D">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F3641D">
              <w:rPr>
                <w:rFonts w:ascii="Times New Roman" w:hAnsi="Times New Roman"/>
                <w:color w:val="000000"/>
                <w:sz w:val="21"/>
                <w:szCs w:val="21"/>
              </w:rPr>
              <w:instrText xml:space="preserve"> FORMTEXT </w:instrText>
            </w:r>
            <w:r w:rsidRPr="00F3641D">
              <w:rPr>
                <w:rFonts w:ascii="Times New Roman" w:hAnsi="Times New Roman"/>
                <w:color w:val="000000"/>
                <w:sz w:val="21"/>
                <w:szCs w:val="21"/>
              </w:rPr>
            </w:r>
            <w:r w:rsidRPr="00F3641D">
              <w:rPr>
                <w:rFonts w:ascii="Times New Roman" w:hAnsi="Times New Roman"/>
                <w:color w:val="000000"/>
                <w:sz w:val="21"/>
                <w:szCs w:val="21"/>
              </w:rPr>
              <w:fldChar w:fldCharType="separate"/>
            </w:r>
            <w:r w:rsidRPr="00F3641D">
              <w:rPr>
                <w:rFonts w:ascii="Times New Roman" w:hAnsi="Times New Roman"/>
                <w:noProof/>
                <w:color w:val="000000"/>
                <w:sz w:val="21"/>
                <w:szCs w:val="21"/>
              </w:rPr>
              <w:t>(dodaj/usuń)</w:t>
            </w:r>
            <w:r w:rsidRPr="00F3641D">
              <w:rPr>
                <w:rFonts w:ascii="Times New Roman" w:hAnsi="Times New Roman"/>
                <w:color w:val="000000"/>
                <w:sz w:val="21"/>
                <w:szCs w:val="21"/>
              </w:rPr>
              <w:fldChar w:fldCharType="end"/>
            </w:r>
          </w:p>
        </w:tc>
        <w:tc>
          <w:tcPr>
            <w:tcW w:w="7048" w:type="dxa"/>
            <w:gridSpan w:val="22"/>
            <w:shd w:val="clear" w:color="auto" w:fill="FFFFFF"/>
          </w:tcPr>
          <w:p w:rsidR="00BB1903" w:rsidRPr="00F3641D" w:rsidRDefault="00BB1903" w:rsidP="00BB1903">
            <w:pPr>
              <w:tabs>
                <w:tab w:val="left" w:pos="3000"/>
              </w:tabs>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val="restart"/>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Niemierzalne</w:t>
            </w: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F3641D">
              <w:rPr>
                <w:rFonts w:ascii="Times New Roman" w:hAnsi="Times New Roman"/>
                <w:color w:val="000000"/>
                <w:sz w:val="21"/>
                <w:szCs w:val="21"/>
              </w:rPr>
              <w:instrText xml:space="preserve"> FORMTEXT </w:instrText>
            </w:r>
            <w:r w:rsidRPr="00F3641D">
              <w:rPr>
                <w:rFonts w:ascii="Times New Roman" w:hAnsi="Times New Roman"/>
                <w:color w:val="000000"/>
                <w:sz w:val="21"/>
                <w:szCs w:val="21"/>
              </w:rPr>
            </w:r>
            <w:r w:rsidRPr="00F3641D">
              <w:rPr>
                <w:rFonts w:ascii="Times New Roman" w:hAnsi="Times New Roman"/>
                <w:color w:val="000000"/>
                <w:sz w:val="21"/>
                <w:szCs w:val="21"/>
              </w:rPr>
              <w:fldChar w:fldCharType="separate"/>
            </w:r>
            <w:r w:rsidRPr="00F3641D">
              <w:rPr>
                <w:rFonts w:ascii="Times New Roman" w:hAnsi="Times New Roman"/>
                <w:noProof/>
                <w:color w:val="000000"/>
                <w:sz w:val="21"/>
                <w:szCs w:val="21"/>
              </w:rPr>
              <w:t>(dodaj/usuń)</w:t>
            </w:r>
            <w:r w:rsidRPr="00F3641D">
              <w:rPr>
                <w:rFonts w:ascii="Times New Roman" w:hAnsi="Times New Roman"/>
                <w:color w:val="000000"/>
                <w:sz w:val="21"/>
                <w:szCs w:val="21"/>
              </w:rPr>
              <w:fldChar w:fldCharType="end"/>
            </w:r>
          </w:p>
        </w:tc>
        <w:tc>
          <w:tcPr>
            <w:tcW w:w="7048" w:type="dxa"/>
            <w:gridSpan w:val="22"/>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BB1903">
        <w:trPr>
          <w:gridAfter w:val="1"/>
          <w:wAfter w:w="10" w:type="dxa"/>
          <w:trHeight w:val="142"/>
        </w:trPr>
        <w:tc>
          <w:tcPr>
            <w:tcW w:w="1596" w:type="dxa"/>
            <w:vMerge/>
            <w:shd w:val="clear" w:color="auto" w:fill="FFFFFF"/>
          </w:tcPr>
          <w:p w:rsidR="00BB1903" w:rsidRPr="00F3641D" w:rsidRDefault="00BB1903" w:rsidP="00BB1903">
            <w:pPr>
              <w:spacing w:after="0" w:line="240" w:lineRule="auto"/>
              <w:rPr>
                <w:rFonts w:ascii="Times New Roman" w:hAnsi="Times New Roman"/>
                <w:color w:val="000000"/>
                <w:sz w:val="21"/>
                <w:szCs w:val="21"/>
              </w:rPr>
            </w:pPr>
          </w:p>
        </w:tc>
        <w:tc>
          <w:tcPr>
            <w:tcW w:w="2293" w:type="dxa"/>
            <w:gridSpan w:val="6"/>
            <w:shd w:val="clear" w:color="auto" w:fill="FFFFFF"/>
          </w:tcPr>
          <w:p w:rsidR="00BB1903" w:rsidRPr="00F3641D" w:rsidRDefault="00BB1903" w:rsidP="00BB1903">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F3641D">
              <w:rPr>
                <w:rFonts w:ascii="Times New Roman" w:hAnsi="Times New Roman"/>
                <w:color w:val="000000"/>
                <w:sz w:val="21"/>
                <w:szCs w:val="21"/>
              </w:rPr>
              <w:instrText xml:space="preserve"> FORMTEXT </w:instrText>
            </w:r>
            <w:r w:rsidRPr="00F3641D">
              <w:rPr>
                <w:rFonts w:ascii="Times New Roman" w:hAnsi="Times New Roman"/>
                <w:color w:val="000000"/>
                <w:sz w:val="21"/>
                <w:szCs w:val="21"/>
              </w:rPr>
            </w:r>
            <w:r w:rsidRPr="00F3641D">
              <w:rPr>
                <w:rFonts w:ascii="Times New Roman" w:hAnsi="Times New Roman"/>
                <w:color w:val="000000"/>
                <w:sz w:val="21"/>
                <w:szCs w:val="21"/>
              </w:rPr>
              <w:fldChar w:fldCharType="separate"/>
            </w:r>
            <w:r w:rsidRPr="00F3641D">
              <w:rPr>
                <w:rFonts w:ascii="Times New Roman" w:hAnsi="Times New Roman"/>
                <w:noProof/>
                <w:color w:val="000000"/>
                <w:sz w:val="21"/>
                <w:szCs w:val="21"/>
              </w:rPr>
              <w:t>(dodaj/usuń)</w:t>
            </w:r>
            <w:r w:rsidRPr="00F3641D">
              <w:rPr>
                <w:rFonts w:ascii="Times New Roman" w:hAnsi="Times New Roman"/>
                <w:color w:val="000000"/>
                <w:sz w:val="21"/>
                <w:szCs w:val="21"/>
              </w:rPr>
              <w:fldChar w:fldCharType="end"/>
            </w:r>
          </w:p>
        </w:tc>
        <w:tc>
          <w:tcPr>
            <w:tcW w:w="7048" w:type="dxa"/>
            <w:gridSpan w:val="22"/>
            <w:shd w:val="clear" w:color="auto" w:fill="FFFFFF"/>
          </w:tcPr>
          <w:p w:rsidR="00BB1903" w:rsidRPr="00F3641D" w:rsidRDefault="00BB1903" w:rsidP="00BB1903">
            <w:pPr>
              <w:spacing w:after="0" w:line="240" w:lineRule="auto"/>
              <w:rPr>
                <w:rFonts w:ascii="Times New Roman" w:hAnsi="Times New Roman"/>
                <w:color w:val="000000"/>
                <w:spacing w:val="-2"/>
                <w:sz w:val="21"/>
                <w:szCs w:val="21"/>
              </w:rPr>
            </w:pPr>
          </w:p>
        </w:tc>
      </w:tr>
      <w:tr w:rsidR="00BB1903" w:rsidRPr="00F3641D" w:rsidTr="004A060B">
        <w:trPr>
          <w:gridAfter w:val="1"/>
          <w:wAfter w:w="10" w:type="dxa"/>
          <w:trHeight w:val="1160"/>
        </w:trPr>
        <w:tc>
          <w:tcPr>
            <w:tcW w:w="2243" w:type="dxa"/>
            <w:gridSpan w:val="2"/>
            <w:shd w:val="clear" w:color="auto" w:fill="FFFFFF"/>
          </w:tcPr>
          <w:p w:rsidR="00BB1903" w:rsidRPr="00F3641D" w:rsidRDefault="00BB1903" w:rsidP="004A060B">
            <w:pPr>
              <w:spacing w:after="0" w:line="240" w:lineRule="auto"/>
              <w:rPr>
                <w:rFonts w:ascii="Times New Roman" w:hAnsi="Times New Roman"/>
                <w:color w:val="000000"/>
                <w:sz w:val="21"/>
                <w:szCs w:val="21"/>
              </w:rPr>
            </w:pPr>
            <w:r w:rsidRPr="00F3641D">
              <w:rPr>
                <w:rFonts w:ascii="Times New Roman" w:hAnsi="Times New Roman"/>
                <w:color w:val="000000"/>
                <w:sz w:val="21"/>
                <w:szCs w:val="21"/>
              </w:rPr>
              <w:t xml:space="preserve">Dodatkowe informacje, w tym wskazanie źródeł danych i przyjętych do obliczeń założeń </w:t>
            </w:r>
          </w:p>
        </w:tc>
        <w:tc>
          <w:tcPr>
            <w:tcW w:w="8694" w:type="dxa"/>
            <w:gridSpan w:val="27"/>
            <w:shd w:val="clear" w:color="auto" w:fill="FFFFFF"/>
            <w:vAlign w:val="center"/>
          </w:tcPr>
          <w:p w:rsidR="00BB1903" w:rsidRPr="00F3641D" w:rsidRDefault="00BB1903" w:rsidP="00BB1903">
            <w:pPr>
              <w:autoSpaceDE w:val="0"/>
              <w:autoSpaceDN w:val="0"/>
              <w:adjustRightInd w:val="0"/>
              <w:spacing w:after="0" w:line="240" w:lineRule="auto"/>
              <w:jc w:val="both"/>
              <w:rPr>
                <w:rFonts w:ascii="Times New Roman" w:hAnsi="Times New Roman"/>
                <w:color w:val="000000"/>
                <w:sz w:val="21"/>
                <w:szCs w:val="21"/>
              </w:rPr>
            </w:pPr>
          </w:p>
        </w:tc>
      </w:tr>
      <w:tr w:rsidR="00BB1903" w:rsidRPr="00F3641D" w:rsidTr="00BB1903">
        <w:trPr>
          <w:gridAfter w:val="1"/>
          <w:wAfter w:w="10" w:type="dxa"/>
          <w:trHeight w:val="342"/>
        </w:trPr>
        <w:tc>
          <w:tcPr>
            <w:tcW w:w="10937" w:type="dxa"/>
            <w:gridSpan w:val="29"/>
            <w:shd w:val="clear" w:color="auto" w:fill="99CCFF"/>
            <w:vAlign w:val="center"/>
          </w:tcPr>
          <w:p w:rsidR="00BB1903" w:rsidRPr="00F3641D" w:rsidRDefault="00BB1903" w:rsidP="00BB1903">
            <w:pPr>
              <w:numPr>
                <w:ilvl w:val="0"/>
                <w:numId w:val="9"/>
              </w:numPr>
              <w:spacing w:after="0" w:line="240" w:lineRule="auto"/>
              <w:ind w:left="318" w:hanging="284"/>
              <w:jc w:val="both"/>
              <w:rPr>
                <w:rFonts w:ascii="Times New Roman" w:hAnsi="Times New Roman"/>
                <w:b/>
                <w:color w:val="000000"/>
              </w:rPr>
            </w:pPr>
            <w:r w:rsidRPr="00F3641D">
              <w:rPr>
                <w:rFonts w:ascii="Times New Roman" w:hAnsi="Times New Roman"/>
                <w:b/>
                <w:color w:val="000000"/>
              </w:rPr>
              <w:t xml:space="preserve"> Zmiana obciążeń regulacyjnych (w tym obowiązków informacyjnych) wynikających z projektu</w:t>
            </w:r>
          </w:p>
        </w:tc>
      </w:tr>
      <w:tr w:rsidR="00BB1903" w:rsidRPr="00F3641D" w:rsidTr="00BB1903">
        <w:trPr>
          <w:gridAfter w:val="1"/>
          <w:wAfter w:w="10" w:type="dxa"/>
          <w:trHeight w:val="151"/>
        </w:trPr>
        <w:tc>
          <w:tcPr>
            <w:tcW w:w="10937" w:type="dxa"/>
            <w:gridSpan w:val="29"/>
            <w:shd w:val="clear" w:color="auto" w:fill="FFFFFF"/>
          </w:tcPr>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w:t>
            </w:r>
            <w:r w:rsidRPr="00F3641D">
              <w:rPr>
                <w:rFonts w:ascii="Times New Roman" w:hAnsi="Times New Roman"/>
                <w:color w:val="000000"/>
                <w:spacing w:val="-2"/>
              </w:rPr>
              <w:t>nie dotyczy</w:t>
            </w:r>
          </w:p>
        </w:tc>
      </w:tr>
      <w:tr w:rsidR="00BB1903" w:rsidRPr="00F3641D" w:rsidTr="00BB1903">
        <w:trPr>
          <w:gridAfter w:val="1"/>
          <w:wAfter w:w="10" w:type="dxa"/>
          <w:trHeight w:val="946"/>
        </w:trPr>
        <w:tc>
          <w:tcPr>
            <w:tcW w:w="5111" w:type="dxa"/>
            <w:gridSpan w:val="12"/>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spacing w:val="-2"/>
              </w:rPr>
              <w:t xml:space="preserve">Wprowadzane są obciążenia poza bezwzględnie wymaganymi przez UE </w:t>
            </w:r>
            <w:r w:rsidRPr="00F3641D">
              <w:rPr>
                <w:rFonts w:ascii="Times New Roman" w:hAnsi="Times New Roman"/>
                <w:color w:val="000000"/>
              </w:rPr>
              <w:t>(szczegóły w odwróconej tabeli zgodności).</w:t>
            </w:r>
          </w:p>
        </w:tc>
        <w:tc>
          <w:tcPr>
            <w:tcW w:w="5826" w:type="dxa"/>
            <w:gridSpan w:val="17"/>
            <w:shd w:val="clear" w:color="auto" w:fill="FFFFFF"/>
          </w:tcPr>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tak</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nie</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1"/>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nie dotyczy</w:t>
            </w:r>
          </w:p>
        </w:tc>
      </w:tr>
      <w:tr w:rsidR="00BB1903" w:rsidRPr="00F3641D" w:rsidTr="00BB1903">
        <w:trPr>
          <w:gridAfter w:val="1"/>
          <w:wAfter w:w="10" w:type="dxa"/>
          <w:trHeight w:val="1245"/>
        </w:trPr>
        <w:tc>
          <w:tcPr>
            <w:tcW w:w="5111" w:type="dxa"/>
            <w:gridSpan w:val="12"/>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 xml:space="preserve">zmniejszenie liczby dokumentów </w:t>
            </w:r>
          </w:p>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1"/>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zmniejszenie liczby procedur</w:t>
            </w:r>
          </w:p>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skrócenie czasu na załatwienie sprawy</w:t>
            </w:r>
          </w:p>
          <w:p w:rsidR="00BB1903" w:rsidRPr="00F3641D" w:rsidRDefault="00BB1903" w:rsidP="00BB1903">
            <w:pPr>
              <w:spacing w:after="0" w:line="240" w:lineRule="auto"/>
              <w:rPr>
                <w:rFonts w:ascii="Times New Roman" w:hAnsi="Times New Roman"/>
                <w:b/>
                <w:color w:val="000000"/>
                <w:spacing w:val="-2"/>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inne:</w:t>
            </w:r>
            <w:r w:rsidRPr="00F3641D">
              <w:rPr>
                <w:rFonts w:ascii="Times New Roman" w:hAnsi="Times New Roman"/>
                <w:color w:val="000000"/>
              </w:rPr>
              <w:t xml:space="preserve"> </w:t>
            </w:r>
            <w:r w:rsidRPr="00F3641D">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F3641D">
              <w:rPr>
                <w:rFonts w:ascii="Times New Roman" w:hAnsi="Times New Roman"/>
                <w:color w:val="000000"/>
              </w:rPr>
              <w:instrText xml:space="preserve"> FORMTEXT </w:instrText>
            </w:r>
            <w:r w:rsidRPr="00F3641D">
              <w:rPr>
                <w:rFonts w:ascii="Times New Roman" w:hAnsi="Times New Roman"/>
                <w:color w:val="000000"/>
              </w:rPr>
            </w:r>
            <w:r w:rsidRPr="00F3641D">
              <w:rPr>
                <w:rFonts w:ascii="Times New Roman" w:hAnsi="Times New Roman"/>
                <w:color w:val="000000"/>
              </w:rPr>
              <w:fldChar w:fldCharType="separate"/>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hAnsi="Times New Roman"/>
                <w:color w:val="000000"/>
              </w:rPr>
              <w:fldChar w:fldCharType="end"/>
            </w:r>
          </w:p>
        </w:tc>
        <w:tc>
          <w:tcPr>
            <w:tcW w:w="5826" w:type="dxa"/>
            <w:gridSpan w:val="17"/>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zwiększenie liczby dokumentów</w:t>
            </w:r>
          </w:p>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1"/>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zwiększenie liczby procedur</w:t>
            </w:r>
          </w:p>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wydłużenie czasu na załatwienie sprawy</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inne:</w:t>
            </w:r>
            <w:r w:rsidRPr="00F3641D">
              <w:rPr>
                <w:rFonts w:ascii="Times New Roman" w:hAnsi="Times New Roman"/>
                <w:color w:val="000000"/>
              </w:rPr>
              <w:t xml:space="preserve"> </w:t>
            </w:r>
            <w:r w:rsidRPr="00F3641D">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F3641D">
              <w:rPr>
                <w:rFonts w:ascii="Times New Roman" w:hAnsi="Times New Roman"/>
                <w:color w:val="000000"/>
              </w:rPr>
              <w:instrText xml:space="preserve"> FORMTEXT </w:instrText>
            </w:r>
            <w:r w:rsidRPr="00F3641D">
              <w:rPr>
                <w:rFonts w:ascii="Times New Roman" w:hAnsi="Times New Roman"/>
                <w:color w:val="000000"/>
              </w:rPr>
            </w:r>
            <w:r w:rsidRPr="00F3641D">
              <w:rPr>
                <w:rFonts w:ascii="Times New Roman" w:hAnsi="Times New Roman"/>
                <w:color w:val="000000"/>
              </w:rPr>
              <w:fldChar w:fldCharType="separate"/>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hAnsi="Times New Roman"/>
                <w:color w:val="000000"/>
              </w:rPr>
              <w:fldChar w:fldCharType="end"/>
            </w:r>
          </w:p>
          <w:p w:rsidR="00BB1903" w:rsidRPr="00F3641D" w:rsidRDefault="00BB1903" w:rsidP="00BB1903">
            <w:pPr>
              <w:spacing w:after="0" w:line="240" w:lineRule="auto"/>
              <w:rPr>
                <w:rFonts w:ascii="Times New Roman" w:hAnsi="Times New Roman"/>
                <w:color w:val="000000"/>
              </w:rPr>
            </w:pPr>
          </w:p>
        </w:tc>
      </w:tr>
      <w:tr w:rsidR="00BB1903" w:rsidRPr="00F3641D" w:rsidTr="00BB1903">
        <w:trPr>
          <w:gridAfter w:val="1"/>
          <w:wAfter w:w="10" w:type="dxa"/>
          <w:trHeight w:val="870"/>
        </w:trPr>
        <w:tc>
          <w:tcPr>
            <w:tcW w:w="5111" w:type="dxa"/>
            <w:gridSpan w:val="12"/>
            <w:shd w:val="clear" w:color="auto" w:fill="FFFFFF"/>
          </w:tcPr>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spacing w:val="-2"/>
              </w:rPr>
              <w:t xml:space="preserve">Wprowadzane obciążenia są przystosowane do ich elektronizacji. </w:t>
            </w:r>
          </w:p>
        </w:tc>
        <w:tc>
          <w:tcPr>
            <w:tcW w:w="5826" w:type="dxa"/>
            <w:gridSpan w:val="17"/>
            <w:shd w:val="clear" w:color="auto" w:fill="FFFFFF"/>
          </w:tcPr>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tak</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nie</w:t>
            </w:r>
          </w:p>
          <w:p w:rsidR="00BB1903" w:rsidRPr="00F3641D" w:rsidRDefault="00BB1903" w:rsidP="004A060B">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1"/>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rPr>
              <w:t xml:space="preserve"> nie dotyczy</w:t>
            </w:r>
          </w:p>
        </w:tc>
      </w:tr>
      <w:tr w:rsidR="00BB1903" w:rsidRPr="00F3641D" w:rsidTr="00BB1903">
        <w:trPr>
          <w:gridAfter w:val="1"/>
          <w:wAfter w:w="10" w:type="dxa"/>
          <w:trHeight w:val="630"/>
        </w:trPr>
        <w:tc>
          <w:tcPr>
            <w:tcW w:w="10937" w:type="dxa"/>
            <w:gridSpan w:val="29"/>
            <w:shd w:val="clear" w:color="auto" w:fill="FFFFFF"/>
          </w:tcPr>
          <w:p w:rsidR="00BB1903" w:rsidRPr="00F3641D" w:rsidRDefault="00BB1903" w:rsidP="00BB1903">
            <w:pPr>
              <w:spacing w:after="0" w:line="240" w:lineRule="auto"/>
              <w:jc w:val="both"/>
              <w:rPr>
                <w:rFonts w:ascii="Times New Roman" w:hAnsi="Times New Roman"/>
                <w:color w:val="000000"/>
              </w:rPr>
            </w:pPr>
            <w:r w:rsidRPr="00F3641D">
              <w:rPr>
                <w:rFonts w:ascii="Times New Roman" w:hAnsi="Times New Roman"/>
                <w:color w:val="000000"/>
              </w:rPr>
              <w:t xml:space="preserve">Komentarz: </w:t>
            </w:r>
          </w:p>
          <w:p w:rsidR="00BB1903" w:rsidRPr="00F3641D" w:rsidRDefault="00BB1903" w:rsidP="00BB1903">
            <w:pPr>
              <w:spacing w:after="0" w:line="240" w:lineRule="auto"/>
              <w:jc w:val="both"/>
              <w:rPr>
                <w:rFonts w:ascii="Times New Roman" w:hAnsi="Times New Roman"/>
                <w:color w:val="000000"/>
              </w:rPr>
            </w:pPr>
            <w:r w:rsidRPr="00F3641D">
              <w:rPr>
                <w:rFonts w:ascii="Times New Roman" w:hAnsi="Times New Roman"/>
                <w:color w:val="000000"/>
                <w:u w:val="single"/>
              </w:rPr>
              <w:t>Zmniejszenie liczby procedur</w:t>
            </w:r>
            <w:r w:rsidRPr="00F3641D">
              <w:rPr>
                <w:rFonts w:ascii="Times New Roman" w:hAnsi="Times New Roman"/>
                <w:color w:val="000000"/>
              </w:rPr>
              <w:t xml:space="preserve">: Brak możliwości uzyskania interpretacji indywidualnej w odniesieniu do czynności, które stanowią unikanie opodatkowania. </w:t>
            </w:r>
          </w:p>
          <w:p w:rsidR="00BB1903" w:rsidRPr="00F3641D" w:rsidRDefault="00BB1903" w:rsidP="00BB1903">
            <w:pPr>
              <w:spacing w:after="0" w:line="240" w:lineRule="auto"/>
              <w:jc w:val="both"/>
              <w:rPr>
                <w:rFonts w:ascii="Times New Roman" w:hAnsi="Times New Roman"/>
                <w:b/>
                <w:color w:val="000000"/>
              </w:rPr>
            </w:pPr>
            <w:r w:rsidRPr="00F3641D">
              <w:rPr>
                <w:rFonts w:ascii="Times New Roman" w:hAnsi="Times New Roman"/>
                <w:color w:val="000000"/>
                <w:u w:val="single"/>
              </w:rPr>
              <w:t>Zwiększenie liczby procedur</w:t>
            </w:r>
            <w:r w:rsidRPr="00F3641D">
              <w:rPr>
                <w:rFonts w:ascii="Times New Roman" w:hAnsi="Times New Roman"/>
                <w:color w:val="000000"/>
              </w:rPr>
              <w:t>: Prowadzenie postępowań podatkowych w przypadku unikania opodatkowania. Wprowadzenie możliwości uzysk</w:t>
            </w:r>
            <w:r w:rsidR="004A060B">
              <w:rPr>
                <w:rFonts w:ascii="Times New Roman" w:hAnsi="Times New Roman"/>
                <w:color w:val="000000"/>
              </w:rPr>
              <w:t>ania opinii zabezpieczającej.</w:t>
            </w:r>
          </w:p>
        </w:tc>
      </w:tr>
      <w:tr w:rsidR="00BB1903" w:rsidRPr="00F3641D" w:rsidTr="00BB1903">
        <w:trPr>
          <w:gridAfter w:val="1"/>
          <w:wAfter w:w="10" w:type="dxa"/>
          <w:trHeight w:val="142"/>
        </w:trPr>
        <w:tc>
          <w:tcPr>
            <w:tcW w:w="10937" w:type="dxa"/>
            <w:gridSpan w:val="29"/>
            <w:shd w:val="clear" w:color="auto" w:fill="99CCFF"/>
          </w:tcPr>
          <w:p w:rsidR="00BB1903" w:rsidRPr="00F3641D" w:rsidRDefault="00BB1903" w:rsidP="00BB1903">
            <w:pPr>
              <w:numPr>
                <w:ilvl w:val="0"/>
                <w:numId w:val="9"/>
              </w:numPr>
              <w:spacing w:after="0" w:line="240" w:lineRule="auto"/>
              <w:jc w:val="both"/>
              <w:rPr>
                <w:rFonts w:ascii="Times New Roman" w:hAnsi="Times New Roman"/>
                <w:b/>
                <w:color w:val="000000"/>
              </w:rPr>
            </w:pPr>
            <w:r w:rsidRPr="00F3641D">
              <w:rPr>
                <w:rFonts w:ascii="Times New Roman" w:hAnsi="Times New Roman"/>
                <w:b/>
                <w:color w:val="000000"/>
              </w:rPr>
              <w:t xml:space="preserve">Wpływ na rynek pracy </w:t>
            </w:r>
          </w:p>
        </w:tc>
      </w:tr>
      <w:tr w:rsidR="00BB1903" w:rsidRPr="00F3641D" w:rsidTr="00BB1903">
        <w:trPr>
          <w:gridAfter w:val="1"/>
          <w:wAfter w:w="10" w:type="dxa"/>
          <w:trHeight w:val="142"/>
        </w:trPr>
        <w:tc>
          <w:tcPr>
            <w:tcW w:w="10937" w:type="dxa"/>
            <w:gridSpan w:val="29"/>
            <w:shd w:val="clear" w:color="auto" w:fill="auto"/>
          </w:tcPr>
          <w:p w:rsidR="00BB1903" w:rsidRPr="00F3641D" w:rsidRDefault="00BB1903" w:rsidP="002B4754">
            <w:pPr>
              <w:spacing w:before="120" w:after="120" w:line="240" w:lineRule="auto"/>
              <w:jc w:val="both"/>
              <w:rPr>
                <w:rFonts w:ascii="Times New Roman" w:hAnsi="Times New Roman"/>
                <w:color w:val="000000"/>
              </w:rPr>
            </w:pPr>
            <w:r w:rsidRPr="00F3641D">
              <w:rPr>
                <w:rFonts w:ascii="Times New Roman" w:hAnsi="Times New Roman"/>
              </w:rPr>
              <w:t xml:space="preserve">Przedmiotowy projekt nie wywiera wpływu na rynek pracy. </w:t>
            </w:r>
          </w:p>
        </w:tc>
      </w:tr>
      <w:tr w:rsidR="00BB1903" w:rsidRPr="00F3641D" w:rsidTr="00BB1903">
        <w:trPr>
          <w:gridAfter w:val="1"/>
          <w:wAfter w:w="10" w:type="dxa"/>
          <w:trHeight w:val="142"/>
        </w:trPr>
        <w:tc>
          <w:tcPr>
            <w:tcW w:w="10937" w:type="dxa"/>
            <w:gridSpan w:val="29"/>
            <w:shd w:val="clear" w:color="auto" w:fill="99CCFF"/>
          </w:tcPr>
          <w:p w:rsidR="00BB1903" w:rsidRPr="00F3641D" w:rsidRDefault="00BB1903" w:rsidP="00BB1903">
            <w:pPr>
              <w:numPr>
                <w:ilvl w:val="0"/>
                <w:numId w:val="9"/>
              </w:numPr>
              <w:spacing w:after="0" w:line="240" w:lineRule="auto"/>
              <w:jc w:val="both"/>
              <w:rPr>
                <w:rFonts w:ascii="Times New Roman" w:hAnsi="Times New Roman"/>
                <w:b/>
                <w:color w:val="000000"/>
              </w:rPr>
            </w:pPr>
            <w:r w:rsidRPr="00F3641D">
              <w:rPr>
                <w:rFonts w:ascii="Times New Roman" w:hAnsi="Times New Roman"/>
                <w:b/>
                <w:color w:val="000000"/>
              </w:rPr>
              <w:t>Wpływ na pozostałe obszary</w:t>
            </w:r>
          </w:p>
        </w:tc>
      </w:tr>
      <w:tr w:rsidR="00BB1903" w:rsidRPr="00F3641D" w:rsidTr="004A060B">
        <w:trPr>
          <w:gridAfter w:val="1"/>
          <w:wAfter w:w="10" w:type="dxa"/>
          <w:trHeight w:val="825"/>
        </w:trPr>
        <w:tc>
          <w:tcPr>
            <w:tcW w:w="3547" w:type="dxa"/>
            <w:gridSpan w:val="5"/>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środowisko naturalne</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rPr>
              <w:t>sytuacja i rozwój regionalny</w:t>
            </w:r>
          </w:p>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 xml:space="preserve">inne: </w:t>
            </w:r>
            <w:r w:rsidRPr="00F3641D">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F3641D">
              <w:rPr>
                <w:rFonts w:ascii="Times New Roman" w:hAnsi="Times New Roman"/>
                <w:color w:val="000000"/>
              </w:rPr>
              <w:instrText xml:space="preserve"> FORMTEXT </w:instrText>
            </w:r>
            <w:r w:rsidRPr="00F3641D">
              <w:rPr>
                <w:rFonts w:ascii="Times New Roman" w:hAnsi="Times New Roman"/>
                <w:color w:val="000000"/>
              </w:rPr>
            </w:r>
            <w:r w:rsidRPr="00F3641D">
              <w:rPr>
                <w:rFonts w:ascii="Times New Roman" w:hAnsi="Times New Roman"/>
                <w:color w:val="000000"/>
              </w:rPr>
              <w:fldChar w:fldCharType="separate"/>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noProof/>
                <w:color w:val="000000"/>
              </w:rPr>
              <w:t> </w:t>
            </w:r>
            <w:r w:rsidRPr="00F3641D">
              <w:rPr>
                <w:rFonts w:ascii="Times New Roman" w:hAnsi="Times New Roman"/>
                <w:color w:val="000000"/>
              </w:rPr>
              <w:fldChar w:fldCharType="end"/>
            </w:r>
          </w:p>
        </w:tc>
        <w:tc>
          <w:tcPr>
            <w:tcW w:w="3687" w:type="dxa"/>
            <w:gridSpan w:val="15"/>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demografia</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rPr>
              <w:t>mienie państwowe</w:t>
            </w:r>
          </w:p>
        </w:tc>
        <w:tc>
          <w:tcPr>
            <w:tcW w:w="3703" w:type="dxa"/>
            <w:gridSpan w:val="9"/>
            <w:shd w:val="clear" w:color="auto" w:fill="FFFFFF"/>
          </w:tcPr>
          <w:p w:rsidR="00BB1903" w:rsidRPr="00F3641D" w:rsidRDefault="00BB1903" w:rsidP="00BB1903">
            <w:pPr>
              <w:spacing w:after="0" w:line="240" w:lineRule="auto"/>
              <w:rPr>
                <w:rFonts w:ascii="Times New Roman" w:hAnsi="Times New Roman"/>
                <w:color w:val="000000"/>
                <w:spacing w:val="-2"/>
              </w:rPr>
            </w:pPr>
            <w:r w:rsidRPr="00F3641D">
              <w:rPr>
                <w:rFonts w:ascii="Times New Roman" w:hAnsi="Times New Roman"/>
                <w:color w:val="000000"/>
              </w:rPr>
              <w:fldChar w:fldCharType="begin">
                <w:ffData>
                  <w:name w:val=""/>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informatyzacja</w:t>
            </w:r>
          </w:p>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fldChar w:fldCharType="begin">
                <w:ffData>
                  <w:name w:val="Wybór1"/>
                  <w:enabled/>
                  <w:calcOnExit w:val="0"/>
                  <w:checkBox>
                    <w:sizeAuto/>
                    <w:default w:val="0"/>
                  </w:checkBox>
                </w:ffData>
              </w:fldChar>
            </w:r>
            <w:r w:rsidRPr="00F3641D">
              <w:rPr>
                <w:rFonts w:ascii="Times New Roman" w:hAnsi="Times New Roman"/>
                <w:color w:val="000000"/>
              </w:rPr>
              <w:instrText xml:space="preserve"> FORMCHECKBOX </w:instrText>
            </w:r>
            <w:r w:rsidR="00ED37C0">
              <w:rPr>
                <w:rFonts w:ascii="Times New Roman" w:hAnsi="Times New Roman"/>
                <w:color w:val="000000"/>
              </w:rPr>
            </w:r>
            <w:r w:rsidR="00ED37C0">
              <w:rPr>
                <w:rFonts w:ascii="Times New Roman" w:hAnsi="Times New Roman"/>
                <w:color w:val="000000"/>
              </w:rPr>
              <w:fldChar w:fldCharType="separate"/>
            </w:r>
            <w:r w:rsidRPr="00F3641D">
              <w:rPr>
                <w:rFonts w:ascii="Times New Roman" w:hAnsi="Times New Roman"/>
                <w:color w:val="000000"/>
              </w:rPr>
              <w:fldChar w:fldCharType="end"/>
            </w:r>
            <w:r w:rsidRPr="00F3641D">
              <w:rPr>
                <w:rFonts w:ascii="Times New Roman" w:hAnsi="Times New Roman"/>
                <w:color w:val="000000"/>
                <w:sz w:val="20"/>
                <w:szCs w:val="20"/>
              </w:rPr>
              <w:t xml:space="preserve"> </w:t>
            </w:r>
            <w:r w:rsidRPr="00F3641D">
              <w:rPr>
                <w:rFonts w:ascii="Times New Roman" w:hAnsi="Times New Roman"/>
                <w:color w:val="000000"/>
                <w:spacing w:val="-2"/>
              </w:rPr>
              <w:t>zdrowie</w:t>
            </w:r>
          </w:p>
        </w:tc>
      </w:tr>
      <w:tr w:rsidR="00BB1903" w:rsidRPr="00F3641D" w:rsidTr="004A060B">
        <w:trPr>
          <w:gridAfter w:val="1"/>
          <w:wAfter w:w="10" w:type="dxa"/>
          <w:trHeight w:val="627"/>
        </w:trPr>
        <w:tc>
          <w:tcPr>
            <w:tcW w:w="2243" w:type="dxa"/>
            <w:gridSpan w:val="2"/>
            <w:shd w:val="clear" w:color="auto" w:fill="FFFFFF"/>
            <w:vAlign w:val="center"/>
          </w:tcPr>
          <w:p w:rsidR="00BB1903" w:rsidRPr="00F3641D" w:rsidRDefault="00BB1903" w:rsidP="00BB1903">
            <w:pPr>
              <w:spacing w:after="0" w:line="240" w:lineRule="auto"/>
              <w:rPr>
                <w:rFonts w:ascii="Times New Roman" w:hAnsi="Times New Roman"/>
                <w:color w:val="000000"/>
              </w:rPr>
            </w:pPr>
            <w:r w:rsidRPr="00F3641D">
              <w:rPr>
                <w:rFonts w:ascii="Times New Roman" w:hAnsi="Times New Roman"/>
                <w:color w:val="000000"/>
              </w:rPr>
              <w:t>Omówienie wpływu</w:t>
            </w:r>
          </w:p>
        </w:tc>
        <w:tc>
          <w:tcPr>
            <w:tcW w:w="8694" w:type="dxa"/>
            <w:gridSpan w:val="27"/>
            <w:shd w:val="clear" w:color="auto" w:fill="FFFFFF"/>
            <w:vAlign w:val="center"/>
          </w:tcPr>
          <w:p w:rsidR="00BB1903" w:rsidRPr="00F3641D" w:rsidRDefault="00BB1903" w:rsidP="00BB1903">
            <w:pPr>
              <w:spacing w:after="0" w:line="240" w:lineRule="auto"/>
              <w:jc w:val="both"/>
              <w:rPr>
                <w:rFonts w:ascii="Times New Roman" w:hAnsi="Times New Roman"/>
                <w:color w:val="000000"/>
                <w:spacing w:val="-2"/>
              </w:rPr>
            </w:pPr>
            <w:r w:rsidRPr="00F3641D">
              <w:rPr>
                <w:rFonts w:ascii="Times New Roman" w:hAnsi="Times New Roman"/>
              </w:rPr>
              <w:t xml:space="preserve">Przedmiotowy projekt nie </w:t>
            </w:r>
            <w:r w:rsidR="00E15D8B">
              <w:rPr>
                <w:rFonts w:ascii="Times New Roman" w:hAnsi="Times New Roman"/>
              </w:rPr>
              <w:t xml:space="preserve">wywiera wpływu na ww. obszary. </w:t>
            </w:r>
          </w:p>
        </w:tc>
      </w:tr>
      <w:tr w:rsidR="00BB1903" w:rsidRPr="00F3641D" w:rsidTr="00BB1903">
        <w:trPr>
          <w:gridAfter w:val="1"/>
          <w:wAfter w:w="10" w:type="dxa"/>
          <w:trHeight w:val="142"/>
        </w:trPr>
        <w:tc>
          <w:tcPr>
            <w:tcW w:w="10937" w:type="dxa"/>
            <w:gridSpan w:val="29"/>
            <w:shd w:val="clear" w:color="auto" w:fill="99CCFF"/>
          </w:tcPr>
          <w:p w:rsidR="00BB1903" w:rsidRPr="00F3641D" w:rsidRDefault="00BB1903" w:rsidP="00BB1903">
            <w:pPr>
              <w:numPr>
                <w:ilvl w:val="0"/>
                <w:numId w:val="9"/>
              </w:numPr>
              <w:spacing w:after="0" w:line="240" w:lineRule="auto"/>
              <w:ind w:left="318" w:hanging="284"/>
              <w:jc w:val="both"/>
              <w:rPr>
                <w:rFonts w:ascii="Times New Roman" w:hAnsi="Times New Roman"/>
                <w:b/>
              </w:rPr>
            </w:pPr>
            <w:r w:rsidRPr="00F3641D">
              <w:rPr>
                <w:rFonts w:ascii="Times New Roman" w:hAnsi="Times New Roman"/>
                <w:b/>
                <w:spacing w:val="-2"/>
                <w:sz w:val="21"/>
                <w:szCs w:val="21"/>
              </w:rPr>
              <w:t>Planowane wykonanie przepisów aktu prawnego</w:t>
            </w:r>
          </w:p>
        </w:tc>
      </w:tr>
      <w:tr w:rsidR="00BB1903" w:rsidRPr="00F3641D" w:rsidTr="00B7715C">
        <w:trPr>
          <w:gridAfter w:val="1"/>
          <w:wAfter w:w="10" w:type="dxa"/>
          <w:trHeight w:val="427"/>
        </w:trPr>
        <w:tc>
          <w:tcPr>
            <w:tcW w:w="10937" w:type="dxa"/>
            <w:gridSpan w:val="29"/>
            <w:shd w:val="clear" w:color="auto" w:fill="FFFFFF"/>
          </w:tcPr>
          <w:p w:rsidR="00BB1903" w:rsidRPr="00F3641D" w:rsidRDefault="00BB1903" w:rsidP="00B7715C">
            <w:pPr>
              <w:spacing w:before="60" w:after="60" w:line="240" w:lineRule="auto"/>
              <w:jc w:val="both"/>
              <w:rPr>
                <w:rFonts w:ascii="Times New Roman" w:hAnsi="Times New Roman"/>
                <w:spacing w:val="-2"/>
              </w:rPr>
            </w:pPr>
            <w:r w:rsidRPr="00F3641D">
              <w:rPr>
                <w:rFonts w:ascii="Times New Roman" w:hAnsi="Times New Roman"/>
                <w:spacing w:val="-2"/>
              </w:rPr>
              <w:t>Projektowana ustawa wejdzie w życie w I kwartale 2016 r.</w:t>
            </w:r>
          </w:p>
        </w:tc>
      </w:tr>
      <w:tr w:rsidR="00BB1903" w:rsidRPr="00F3641D" w:rsidTr="00BB1903">
        <w:trPr>
          <w:gridAfter w:val="1"/>
          <w:wAfter w:w="10" w:type="dxa"/>
          <w:trHeight w:val="142"/>
        </w:trPr>
        <w:tc>
          <w:tcPr>
            <w:tcW w:w="10937" w:type="dxa"/>
            <w:gridSpan w:val="29"/>
            <w:shd w:val="clear" w:color="auto" w:fill="99CCFF"/>
          </w:tcPr>
          <w:p w:rsidR="00BB1903" w:rsidRPr="00F3641D" w:rsidRDefault="00BB1903" w:rsidP="00BB1903">
            <w:pPr>
              <w:numPr>
                <w:ilvl w:val="0"/>
                <w:numId w:val="9"/>
              </w:numPr>
              <w:spacing w:after="0" w:line="240" w:lineRule="auto"/>
              <w:ind w:left="318" w:hanging="284"/>
              <w:jc w:val="both"/>
              <w:rPr>
                <w:rFonts w:ascii="Times New Roman" w:hAnsi="Times New Roman"/>
                <w:b/>
                <w:color w:val="000000"/>
              </w:rPr>
            </w:pPr>
            <w:r w:rsidRPr="00F3641D">
              <w:rPr>
                <w:rFonts w:ascii="Times New Roman" w:hAnsi="Times New Roman"/>
                <w:b/>
                <w:color w:val="000000"/>
              </w:rPr>
              <w:t xml:space="preserve"> </w:t>
            </w:r>
            <w:r w:rsidRPr="00F3641D">
              <w:rPr>
                <w:rFonts w:ascii="Times New Roman" w:hAnsi="Times New Roman"/>
                <w:b/>
                <w:spacing w:val="-2"/>
                <w:sz w:val="21"/>
                <w:szCs w:val="21"/>
              </w:rPr>
              <w:t>W jaki sposób i kiedy nastąpi ewaluacja efektów projektu oraz jakie mierniki zostaną zastosowane?</w:t>
            </w:r>
          </w:p>
        </w:tc>
      </w:tr>
      <w:tr w:rsidR="00BB1903" w:rsidRPr="00F3641D" w:rsidTr="00BB1903">
        <w:trPr>
          <w:gridAfter w:val="1"/>
          <w:wAfter w:w="10" w:type="dxa"/>
          <w:trHeight w:val="142"/>
        </w:trPr>
        <w:tc>
          <w:tcPr>
            <w:tcW w:w="10937" w:type="dxa"/>
            <w:gridSpan w:val="29"/>
            <w:shd w:val="clear" w:color="auto" w:fill="FFFFFF"/>
          </w:tcPr>
          <w:p w:rsidR="00BB1903" w:rsidRPr="00B7715C" w:rsidRDefault="00BB1903" w:rsidP="00A24B3A">
            <w:pPr>
              <w:spacing w:after="0" w:line="240" w:lineRule="auto"/>
              <w:jc w:val="both"/>
              <w:rPr>
                <w:rFonts w:ascii="Times New Roman" w:hAnsi="Times New Roman"/>
                <w:color w:val="000000"/>
                <w:spacing w:val="-2"/>
                <w:sz w:val="21"/>
                <w:szCs w:val="21"/>
              </w:rPr>
            </w:pPr>
            <w:r w:rsidRPr="00B7715C">
              <w:rPr>
                <w:rFonts w:ascii="Times New Roman" w:hAnsi="Times New Roman"/>
                <w:color w:val="000000"/>
                <w:spacing w:val="-2"/>
                <w:sz w:val="21"/>
                <w:szCs w:val="21"/>
              </w:rPr>
              <w:t xml:space="preserve">Ewaluacja efektów projektu nastąpi nie wcześniej niż po upływie 3 lat od dnia wejścia w życie ustawy. Ewaluacja obejmie: </w:t>
            </w:r>
          </w:p>
          <w:p w:rsidR="00BB1903" w:rsidRPr="00B7715C" w:rsidRDefault="00BB1903" w:rsidP="00BB1903">
            <w:pPr>
              <w:spacing w:after="0" w:line="240" w:lineRule="auto"/>
              <w:jc w:val="both"/>
              <w:rPr>
                <w:sz w:val="21"/>
                <w:szCs w:val="21"/>
              </w:rPr>
            </w:pPr>
            <w:r w:rsidRPr="00B7715C">
              <w:rPr>
                <w:rFonts w:ascii="Times New Roman" w:hAnsi="Times New Roman"/>
                <w:b/>
                <w:color w:val="000000"/>
                <w:spacing w:val="-2"/>
                <w:sz w:val="21"/>
                <w:szCs w:val="21"/>
              </w:rPr>
              <w:t>1</w:t>
            </w:r>
            <w:r w:rsidRPr="00B7715C">
              <w:rPr>
                <w:rFonts w:ascii="Times New Roman" w:hAnsi="Times New Roman"/>
                <w:color w:val="000000"/>
                <w:spacing w:val="-2"/>
                <w:sz w:val="21"/>
                <w:szCs w:val="21"/>
              </w:rPr>
              <w:t xml:space="preserve">. </w:t>
            </w:r>
            <w:r w:rsidRPr="00B7715C">
              <w:rPr>
                <w:rFonts w:ascii="Times New Roman" w:hAnsi="Times New Roman"/>
                <w:b/>
                <w:color w:val="000000"/>
                <w:spacing w:val="-2"/>
                <w:sz w:val="21"/>
                <w:szCs w:val="21"/>
              </w:rPr>
              <w:t>Ocenę wpływu wprowadzenia klauzuli na bazę podatkową CIT i efektywną stopę opodatkowania CIT.</w:t>
            </w:r>
            <w:r w:rsidRPr="00B7715C">
              <w:rPr>
                <w:sz w:val="21"/>
                <w:szCs w:val="21"/>
              </w:rPr>
              <w:t xml:space="preserve"> </w:t>
            </w:r>
          </w:p>
          <w:p w:rsidR="00BB1903" w:rsidRPr="00B7715C" w:rsidRDefault="00BB1903" w:rsidP="00BB1903">
            <w:pPr>
              <w:spacing w:after="0" w:line="240" w:lineRule="auto"/>
              <w:jc w:val="both"/>
              <w:rPr>
                <w:rFonts w:ascii="Times New Roman" w:hAnsi="Times New Roman"/>
                <w:color w:val="000000"/>
                <w:spacing w:val="-2"/>
                <w:sz w:val="21"/>
                <w:szCs w:val="21"/>
              </w:rPr>
            </w:pPr>
            <w:r w:rsidRPr="00B7715C">
              <w:rPr>
                <w:rFonts w:ascii="Times New Roman" w:hAnsi="Times New Roman"/>
                <w:sz w:val="21"/>
                <w:szCs w:val="21"/>
              </w:rPr>
              <w:t>Miernikiem będzie zmiana wysokości przychodów, kosztów uzyskania przychodów, dochodu (straty) i podatku należnego CIT oraz efektywnej stawki podatkowej liczonej jako relacja kwoty podatku należnego do wart</w:t>
            </w:r>
            <w:r w:rsidR="004A060B" w:rsidRPr="00B7715C">
              <w:rPr>
                <w:rFonts w:ascii="Times New Roman" w:hAnsi="Times New Roman"/>
                <w:sz w:val="21"/>
                <w:szCs w:val="21"/>
              </w:rPr>
              <w:t>ości podstawy opodatkowania.</w:t>
            </w:r>
          </w:p>
          <w:p w:rsidR="00BB1903" w:rsidRPr="00B7715C" w:rsidRDefault="00BB1903" w:rsidP="00BB1903">
            <w:pPr>
              <w:spacing w:after="0" w:line="240" w:lineRule="auto"/>
              <w:jc w:val="both"/>
              <w:rPr>
                <w:rFonts w:ascii="Times New Roman" w:hAnsi="Times New Roman"/>
                <w:b/>
                <w:color w:val="000000"/>
                <w:spacing w:val="-2"/>
                <w:sz w:val="21"/>
                <w:szCs w:val="21"/>
              </w:rPr>
            </w:pPr>
            <w:r w:rsidRPr="00B7715C">
              <w:rPr>
                <w:rFonts w:ascii="Times New Roman" w:hAnsi="Times New Roman"/>
                <w:b/>
                <w:color w:val="000000"/>
                <w:spacing w:val="-2"/>
                <w:sz w:val="21"/>
                <w:szCs w:val="21"/>
              </w:rPr>
              <w:t xml:space="preserve">2. Adekwatność zasobów kadrowych do zakresu zadań przewidzianych ustawą. </w:t>
            </w:r>
          </w:p>
          <w:p w:rsidR="00BB1903" w:rsidRPr="00F3641D" w:rsidRDefault="00BB1903" w:rsidP="00A24B3A">
            <w:pPr>
              <w:spacing w:after="0" w:line="240" w:lineRule="auto"/>
              <w:jc w:val="both"/>
              <w:rPr>
                <w:rFonts w:ascii="Times New Roman" w:hAnsi="Times New Roman"/>
                <w:color w:val="000000"/>
                <w:spacing w:val="-2"/>
              </w:rPr>
            </w:pPr>
            <w:r w:rsidRPr="00B7715C">
              <w:rPr>
                <w:rFonts w:ascii="Times New Roman" w:hAnsi="Times New Roman"/>
                <w:color w:val="000000"/>
                <w:spacing w:val="-2"/>
                <w:sz w:val="21"/>
                <w:szCs w:val="21"/>
              </w:rPr>
              <w:t>Miernikiem będzie w szczególności: liczba i czas trwania postępowań podatkowy</w:t>
            </w:r>
            <w:r w:rsidR="00C83D47" w:rsidRPr="00B7715C">
              <w:rPr>
                <w:rFonts w:ascii="Times New Roman" w:hAnsi="Times New Roman"/>
                <w:color w:val="000000"/>
                <w:spacing w:val="-2"/>
                <w:sz w:val="21"/>
                <w:szCs w:val="21"/>
              </w:rPr>
              <w:t>ch przeprowadzonych w związku z </w:t>
            </w:r>
            <w:r w:rsidRPr="00B7715C">
              <w:rPr>
                <w:rFonts w:ascii="Times New Roman" w:hAnsi="Times New Roman"/>
                <w:color w:val="000000"/>
                <w:spacing w:val="-2"/>
                <w:sz w:val="21"/>
                <w:szCs w:val="21"/>
              </w:rPr>
              <w:t>unikaniem opodatkowania, liczba i termin wydania opinii zabezpieczających lub postanowień odmownych, liczba sporządzonych anal</w:t>
            </w:r>
            <w:r w:rsidR="00E15D8B" w:rsidRPr="00B7715C">
              <w:rPr>
                <w:rFonts w:ascii="Times New Roman" w:hAnsi="Times New Roman"/>
                <w:color w:val="000000"/>
                <w:spacing w:val="-2"/>
                <w:sz w:val="21"/>
                <w:szCs w:val="21"/>
              </w:rPr>
              <w:t>iz i przeprowadzonych szkoleń.</w:t>
            </w:r>
            <w:r w:rsidR="00E15D8B">
              <w:rPr>
                <w:rFonts w:ascii="Times New Roman" w:hAnsi="Times New Roman"/>
                <w:color w:val="000000"/>
                <w:spacing w:val="-2"/>
              </w:rPr>
              <w:t xml:space="preserve"> </w:t>
            </w:r>
          </w:p>
        </w:tc>
      </w:tr>
      <w:tr w:rsidR="00BB1903" w:rsidRPr="008B4FE6" w:rsidTr="00BB1903">
        <w:trPr>
          <w:gridAfter w:val="1"/>
          <w:wAfter w:w="10" w:type="dxa"/>
          <w:trHeight w:val="142"/>
        </w:trPr>
        <w:tc>
          <w:tcPr>
            <w:tcW w:w="10937" w:type="dxa"/>
            <w:gridSpan w:val="29"/>
            <w:shd w:val="clear" w:color="auto" w:fill="99CCFF"/>
          </w:tcPr>
          <w:p w:rsidR="00BB1903" w:rsidRPr="00F3641D" w:rsidRDefault="00BB1903" w:rsidP="00BB1903">
            <w:pPr>
              <w:numPr>
                <w:ilvl w:val="0"/>
                <w:numId w:val="9"/>
              </w:numPr>
              <w:spacing w:after="0" w:line="240" w:lineRule="auto"/>
              <w:ind w:left="318" w:hanging="284"/>
              <w:jc w:val="both"/>
              <w:rPr>
                <w:rFonts w:ascii="Times New Roman" w:hAnsi="Times New Roman"/>
                <w:b/>
                <w:color w:val="000000"/>
                <w:spacing w:val="-2"/>
              </w:rPr>
            </w:pPr>
            <w:r w:rsidRPr="00F3641D">
              <w:rPr>
                <w:rFonts w:ascii="Times New Roman" w:hAnsi="Times New Roman"/>
                <w:b/>
                <w:color w:val="000000"/>
                <w:spacing w:val="-2"/>
              </w:rPr>
              <w:t xml:space="preserve">Załączniki </w:t>
            </w:r>
            <w:r w:rsidRPr="00F3641D">
              <w:rPr>
                <w:rFonts w:ascii="Times New Roman" w:hAnsi="Times New Roman"/>
                <w:b/>
                <w:spacing w:val="-2"/>
                <w:sz w:val="21"/>
                <w:szCs w:val="21"/>
              </w:rPr>
              <w:t>(istotne dokumenty źródłowe, badania, analizy itp.</w:t>
            </w:r>
            <w:r w:rsidRPr="00F3641D">
              <w:rPr>
                <w:rFonts w:ascii="Times New Roman" w:hAnsi="Times New Roman"/>
                <w:b/>
                <w:color w:val="000000"/>
                <w:spacing w:val="-2"/>
              </w:rPr>
              <w:t xml:space="preserve">) </w:t>
            </w:r>
          </w:p>
        </w:tc>
      </w:tr>
      <w:tr w:rsidR="00BB1903" w:rsidRPr="008B4FE6" w:rsidTr="00BB1903">
        <w:trPr>
          <w:gridAfter w:val="1"/>
          <w:wAfter w:w="10" w:type="dxa"/>
          <w:trHeight w:val="142"/>
        </w:trPr>
        <w:tc>
          <w:tcPr>
            <w:tcW w:w="10937" w:type="dxa"/>
            <w:gridSpan w:val="29"/>
            <w:shd w:val="clear" w:color="auto" w:fill="FFFFFF"/>
          </w:tcPr>
          <w:p w:rsidR="00BB1903" w:rsidRPr="00B37C80" w:rsidRDefault="00BB1903" w:rsidP="00BB1903">
            <w:pPr>
              <w:spacing w:after="0" w:line="240" w:lineRule="auto"/>
              <w:jc w:val="both"/>
              <w:rPr>
                <w:rFonts w:ascii="Times New Roman" w:hAnsi="Times New Roman"/>
                <w:color w:val="000000"/>
                <w:spacing w:val="-2"/>
              </w:rPr>
            </w:pPr>
          </w:p>
        </w:tc>
      </w:tr>
    </w:tbl>
    <w:p w:rsidR="008A27A6" w:rsidRPr="004A060B" w:rsidRDefault="008A27A6" w:rsidP="00B7715C">
      <w:pPr>
        <w:tabs>
          <w:tab w:val="left" w:pos="2250"/>
        </w:tabs>
        <w:spacing w:after="0" w:line="360" w:lineRule="auto"/>
        <w:rPr>
          <w:rFonts w:ascii="Times New Roman" w:hAnsi="Times New Roman"/>
          <w:sz w:val="20"/>
          <w:szCs w:val="20"/>
        </w:rPr>
      </w:pPr>
    </w:p>
    <w:sectPr w:rsidR="008A27A6" w:rsidRPr="004A060B" w:rsidSect="00BB1903">
      <w:pgSz w:w="11906" w:h="16838"/>
      <w:pgMar w:top="567" w:right="709" w:bottom="567"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99F" w:rsidRDefault="00D5699F" w:rsidP="004D6F22">
      <w:pPr>
        <w:spacing w:after="0" w:line="240" w:lineRule="auto"/>
      </w:pPr>
      <w:r>
        <w:separator/>
      </w:r>
    </w:p>
  </w:endnote>
  <w:endnote w:type="continuationSeparator" w:id="0">
    <w:p w:rsidR="00D5699F" w:rsidRDefault="00D5699F" w:rsidP="004D6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256291"/>
      <w:docPartObj>
        <w:docPartGallery w:val="Page Numbers (Bottom of Page)"/>
        <w:docPartUnique/>
      </w:docPartObj>
    </w:sdtPr>
    <w:sdtEndPr>
      <w:rPr>
        <w:rFonts w:ascii="Times New Roman" w:hAnsi="Times New Roman"/>
        <w:sz w:val="24"/>
        <w:szCs w:val="24"/>
      </w:rPr>
    </w:sdtEndPr>
    <w:sdtContent>
      <w:p w:rsidR="00D5699F" w:rsidRPr="009A76CE" w:rsidRDefault="00D5699F">
        <w:pPr>
          <w:pStyle w:val="Stopka"/>
          <w:jc w:val="center"/>
          <w:rPr>
            <w:rFonts w:ascii="Times New Roman" w:hAnsi="Times New Roman"/>
            <w:sz w:val="24"/>
            <w:szCs w:val="24"/>
          </w:rPr>
        </w:pPr>
        <w:r w:rsidRPr="009A76CE">
          <w:rPr>
            <w:rFonts w:ascii="Times New Roman" w:hAnsi="Times New Roman"/>
            <w:sz w:val="24"/>
            <w:szCs w:val="24"/>
          </w:rPr>
          <w:fldChar w:fldCharType="begin"/>
        </w:r>
        <w:r w:rsidRPr="009A76CE">
          <w:rPr>
            <w:rFonts w:ascii="Times New Roman" w:hAnsi="Times New Roman"/>
            <w:sz w:val="24"/>
            <w:szCs w:val="24"/>
          </w:rPr>
          <w:instrText>PAGE   \* MERGEFORMAT</w:instrText>
        </w:r>
        <w:r w:rsidRPr="009A76CE">
          <w:rPr>
            <w:rFonts w:ascii="Times New Roman" w:hAnsi="Times New Roman"/>
            <w:sz w:val="24"/>
            <w:szCs w:val="24"/>
          </w:rPr>
          <w:fldChar w:fldCharType="separate"/>
        </w:r>
        <w:r w:rsidR="00ED37C0">
          <w:rPr>
            <w:rFonts w:ascii="Times New Roman" w:hAnsi="Times New Roman"/>
            <w:noProof/>
            <w:sz w:val="24"/>
            <w:szCs w:val="24"/>
          </w:rPr>
          <w:t>52</w:t>
        </w:r>
        <w:r w:rsidRPr="009A76CE">
          <w:rPr>
            <w:rFonts w:ascii="Times New Roman" w:hAnsi="Times New Roman"/>
            <w:sz w:val="24"/>
            <w:szCs w:val="24"/>
          </w:rPr>
          <w:fldChar w:fldCharType="end"/>
        </w:r>
      </w:p>
    </w:sdtContent>
  </w:sdt>
  <w:p w:rsidR="00D5699F" w:rsidRDefault="00D5699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99F" w:rsidRDefault="00D5699F" w:rsidP="004D6F22">
      <w:pPr>
        <w:spacing w:after="0" w:line="240" w:lineRule="auto"/>
      </w:pPr>
      <w:r>
        <w:separator/>
      </w:r>
    </w:p>
  </w:footnote>
  <w:footnote w:type="continuationSeparator" w:id="0">
    <w:p w:rsidR="00D5699F" w:rsidRDefault="00D5699F" w:rsidP="004D6F22">
      <w:pPr>
        <w:spacing w:after="0" w:line="240" w:lineRule="auto"/>
      </w:pPr>
      <w:r>
        <w:continuationSeparator/>
      </w:r>
    </w:p>
  </w:footnote>
  <w:footnote w:id="1">
    <w:p w:rsidR="00D5699F" w:rsidRDefault="00D5699F" w:rsidP="002F2FBB">
      <w:pPr>
        <w:pStyle w:val="Tekstprzypisudolnego"/>
        <w:ind w:left="284" w:hanging="284"/>
        <w:jc w:val="both"/>
      </w:pPr>
      <w:r>
        <w:rPr>
          <w:rStyle w:val="Odwoanieprzypisudolnego"/>
        </w:rPr>
        <w:footnoteRef/>
      </w:r>
      <w:r w:rsidRPr="002F2FBB">
        <w:rPr>
          <w:vertAlign w:val="superscript"/>
        </w:rPr>
        <w:t>)</w:t>
      </w:r>
      <w:r>
        <w:tab/>
      </w:r>
      <w:r w:rsidRPr="002F2FBB">
        <w:t>http://www.europarl.europa.eu/sides/getDoc.do?pubRef=-//EP//TEXT+TA+P8-TA-2015-0408+0+DOC+XML+V0//PL#BKMD-8</w:t>
      </w:r>
    </w:p>
    <w:p w:rsidR="00D5699F" w:rsidRDefault="00D5699F">
      <w:pPr>
        <w:pStyle w:val="Tekstprzypisudolnego"/>
      </w:pPr>
    </w:p>
  </w:footnote>
  <w:footnote w:id="2">
    <w:p w:rsidR="00D5699F" w:rsidRDefault="00D5699F" w:rsidP="002F2FBB">
      <w:pPr>
        <w:pStyle w:val="Tekstprzypisudolnego"/>
        <w:ind w:left="284" w:hanging="284"/>
      </w:pPr>
      <w:r w:rsidRPr="002F2FBB">
        <w:rPr>
          <w:rStyle w:val="Odwoanieprzypisudolnego"/>
        </w:rPr>
        <w:footnoteRef/>
      </w:r>
      <w:r w:rsidRPr="002F2FBB">
        <w:rPr>
          <w:vertAlign w:val="superscript"/>
        </w:rPr>
        <w:t>)</w:t>
      </w:r>
      <w:r>
        <w:tab/>
      </w:r>
      <w:r w:rsidRPr="002F2FBB">
        <w:t>https://www.nik.gov.pl/plik/id,8681,vp,10800.pdf</w:t>
      </w:r>
    </w:p>
    <w:p w:rsidR="00D5699F" w:rsidRDefault="00D5699F" w:rsidP="004D6F22">
      <w:pPr>
        <w:pStyle w:val="Tekstprzypisudolnego"/>
      </w:pPr>
    </w:p>
  </w:footnote>
  <w:footnote w:id="3">
    <w:p w:rsidR="00D5699F" w:rsidRPr="00C457C6" w:rsidRDefault="00D5699F" w:rsidP="00A47282">
      <w:pPr>
        <w:pStyle w:val="Tekstprzypisudolnego"/>
        <w:ind w:left="284" w:hanging="284"/>
        <w:jc w:val="both"/>
        <w:rPr>
          <w:lang w:val="en-US"/>
        </w:rPr>
      </w:pPr>
      <w:r w:rsidRPr="00A47282">
        <w:rPr>
          <w:rStyle w:val="Odwoanieprzypisudolnego"/>
        </w:rPr>
        <w:footnoteRef/>
      </w:r>
      <w:r w:rsidRPr="00A47282">
        <w:rPr>
          <w:vertAlign w:val="superscript"/>
        </w:rPr>
        <w:t>)</w:t>
      </w:r>
      <w:r>
        <w:tab/>
        <w:t xml:space="preserve">Najwyższa Izba Kontroli na s. 20 cytowanego dokumentu w przypisie 22 powołała się w tym zakresie </w:t>
      </w:r>
      <w:r w:rsidRPr="00C457C6">
        <w:t xml:space="preserve">na: D.J. Gajewski, Tarcza podatkowa w Polsce, Biuro Analiz Sejmowych, infos nr 22 (182), 4 grudnia 2014 r. (za raportem tego samego autora pt. </w:t>
      </w:r>
      <w:r w:rsidRPr="00C457C6">
        <w:rPr>
          <w:lang w:val="en-US"/>
        </w:rPr>
        <w:t xml:space="preserve">Analysis of legal and tax situation of international and national holding companies operating in the member countries of the European Union between </w:t>
      </w:r>
      <w:r w:rsidRPr="00C457C6">
        <w:rPr>
          <w:lang w:val="en-US"/>
        </w:rPr>
        <w:br/>
        <w:t xml:space="preserve">2004–2012, Wiedeń 2013), źródło: https://www.nik.gov.pl/plik/id,8681,vp,10800.pdf </w:t>
      </w:r>
    </w:p>
  </w:footnote>
  <w:footnote w:id="4">
    <w:p w:rsidR="00D5699F" w:rsidRDefault="00D5699F" w:rsidP="00A47282">
      <w:pPr>
        <w:pStyle w:val="Tekstprzypisudolnego"/>
        <w:ind w:left="284" w:hanging="284"/>
        <w:jc w:val="both"/>
      </w:pPr>
      <w:r w:rsidRPr="00A47282">
        <w:rPr>
          <w:rStyle w:val="Odwoanieprzypisudolnego"/>
        </w:rPr>
        <w:footnoteRef/>
      </w:r>
      <w:r w:rsidRPr="00A47282">
        <w:rPr>
          <w:vertAlign w:val="superscript"/>
        </w:rPr>
        <w:t>)</w:t>
      </w:r>
      <w:r>
        <w:tab/>
      </w:r>
      <w:r w:rsidRPr="00ED7591">
        <w:rPr>
          <w:spacing w:val="-4"/>
        </w:rPr>
        <w:t>Wystąpienie pokontrolne Prezesa Najwyższej Izby Kontroli po kontrol</w:t>
      </w:r>
      <w:r>
        <w:rPr>
          <w:spacing w:val="-4"/>
        </w:rPr>
        <w:t>i Ministerstwa Finansów z </w:t>
      </w:r>
      <w:r w:rsidRPr="00ED7591">
        <w:rPr>
          <w:spacing w:val="-4"/>
        </w:rPr>
        <w:t>12 stycznia 2015 r., P/14/013 źródło: http://www.mf.gov.pl/c/document_library/get_file?uuid=6627246f-40c7-425b-86f4-6524544e9089&amp;groupId=764034 (s. 14).</w:t>
      </w:r>
    </w:p>
  </w:footnote>
  <w:footnote w:id="5">
    <w:p w:rsidR="00D5699F" w:rsidRDefault="00D5699F" w:rsidP="00A47282">
      <w:pPr>
        <w:pStyle w:val="Tekstprzypisudolnego"/>
        <w:ind w:left="284" w:hanging="284"/>
        <w:jc w:val="both"/>
      </w:pPr>
      <w:r w:rsidRPr="00A47282">
        <w:rPr>
          <w:rStyle w:val="Odwoanieprzypisudolnego"/>
        </w:rPr>
        <w:footnoteRef/>
      </w:r>
      <w:r w:rsidRPr="00A47282">
        <w:rPr>
          <w:vertAlign w:val="superscript"/>
        </w:rPr>
        <w:t>)</w:t>
      </w:r>
      <w:r>
        <w:tab/>
        <w:t xml:space="preserve">Wystąpienie pokontrolne Prezesa Najwyższej Izby Kontroli po kontroli Ministerstwa Finansów z dnia </w:t>
      </w:r>
      <w:r w:rsidRPr="00A47282">
        <w:rPr>
          <w:spacing w:val="-4"/>
        </w:rPr>
        <w:t>12 stycznia 2015 r., P/14/013 źródło: http://www.mf.gov.pl/c/document_library/get_file?uuid=6627246f-40c7-425b-86f4-6524544e9089&amp;groupId=764034 (s. 19).</w:t>
      </w:r>
      <w:r>
        <w:t xml:space="preserve"> </w:t>
      </w:r>
    </w:p>
  </w:footnote>
  <w:footnote w:id="6">
    <w:p w:rsidR="00D5699F" w:rsidRDefault="00D5699F" w:rsidP="00BB0E92">
      <w:pPr>
        <w:pStyle w:val="Tekstprzypisudolnego"/>
        <w:tabs>
          <w:tab w:val="left" w:pos="284"/>
        </w:tabs>
        <w:jc w:val="both"/>
      </w:pPr>
      <w:r>
        <w:rPr>
          <w:rStyle w:val="Odwoanieprzypisudolnego"/>
          <w:rFonts w:eastAsia="Calibri"/>
        </w:rPr>
        <w:footnoteRef/>
      </w:r>
      <w:r w:rsidRPr="00A47282">
        <w:rPr>
          <w:vertAlign w:val="superscript"/>
        </w:rPr>
        <w:t>)</w:t>
      </w:r>
      <w:r>
        <w:tab/>
      </w:r>
      <w:r w:rsidRPr="00A47282">
        <w:rPr>
          <w:rFonts w:eastAsiaTheme="majorEastAsia"/>
        </w:rPr>
        <w:t>http://www.legislation.gov.uk/ukpga/2013/29/part/5/enacted</w:t>
      </w:r>
    </w:p>
  </w:footnote>
  <w:footnote w:id="7">
    <w:p w:rsidR="00D5699F" w:rsidRDefault="00D5699F" w:rsidP="00741204">
      <w:pPr>
        <w:pStyle w:val="Tekstprzypisudolnego"/>
        <w:tabs>
          <w:tab w:val="left" w:pos="284"/>
        </w:tabs>
        <w:jc w:val="both"/>
      </w:pPr>
      <w:r>
        <w:rPr>
          <w:rStyle w:val="Odwoanieprzypisudolnego"/>
        </w:rPr>
        <w:footnoteRef/>
      </w:r>
      <w:r w:rsidRPr="00741204">
        <w:rPr>
          <w:vertAlign w:val="superscript"/>
        </w:rPr>
        <w:t>)</w:t>
      </w:r>
      <w:r>
        <w:tab/>
        <w:t xml:space="preserve">Kilka lat temu belgijski Trybunał Konstytucyjny potwierdził zgodność z konstytucją tamtejszej klauzuli przeciwko unikaniu opodatkowania. </w:t>
      </w:r>
    </w:p>
  </w:footnote>
  <w:footnote w:id="8">
    <w:p w:rsidR="00D5699F" w:rsidRDefault="00D5699F" w:rsidP="00DF1E0F">
      <w:pPr>
        <w:pStyle w:val="Tekstprzypisudolnego"/>
        <w:tabs>
          <w:tab w:val="left" w:pos="284"/>
        </w:tabs>
        <w:jc w:val="both"/>
      </w:pPr>
      <w:r w:rsidRPr="00CF5D8B">
        <w:rPr>
          <w:rStyle w:val="Odwoanieprzypisudolnego"/>
        </w:rPr>
        <w:footnoteRef/>
      </w:r>
      <w:r w:rsidRPr="00741204">
        <w:rPr>
          <w:vertAlign w:val="superscript"/>
        </w:rPr>
        <w:t>)</w:t>
      </w:r>
      <w:r>
        <w:tab/>
        <w:t xml:space="preserve">A. Olesińska, </w:t>
      </w:r>
      <w:r>
        <w:rPr>
          <w:i/>
        </w:rPr>
        <w:t>Klauzula ogólna przeciwko unikaniu opodatkowania,</w:t>
      </w:r>
      <w:r>
        <w:t xml:space="preserve"> Toruń 2013, s. 360.</w:t>
      </w:r>
    </w:p>
  </w:footnote>
  <w:footnote w:id="9">
    <w:p w:rsidR="00D5699F" w:rsidRPr="00941857" w:rsidRDefault="00D5699F" w:rsidP="009A76CE">
      <w:pPr>
        <w:pStyle w:val="Tekstprzypisudolnego"/>
        <w:tabs>
          <w:tab w:val="left" w:pos="284"/>
        </w:tabs>
        <w:jc w:val="both"/>
        <w:rPr>
          <w:lang w:val="en-US"/>
        </w:rPr>
      </w:pPr>
      <w:r w:rsidRPr="009A76CE">
        <w:rPr>
          <w:rStyle w:val="Odwoanieprzypisudolnego"/>
        </w:rPr>
        <w:footnoteRef/>
      </w:r>
      <w:r w:rsidRPr="009A76CE">
        <w:rPr>
          <w:vertAlign w:val="superscript"/>
        </w:rPr>
        <w:t>)</w:t>
      </w:r>
      <w:r>
        <w:tab/>
        <w:t xml:space="preserve">W treści klauzuli francuskiej przeciwdziałanie unikaniu opodatkowania polega dosłownie na „przywróceniu prawdziwej natury umowy” </w:t>
      </w:r>
      <w:r>
        <w:rPr>
          <w:i/>
        </w:rPr>
        <w:t>(véritable caractere)</w:t>
      </w:r>
      <w:r>
        <w:t>:</w:t>
      </w:r>
      <w:r>
        <w:rPr>
          <w:lang w:val="fr-FR"/>
        </w:rPr>
        <w:t xml:space="preserve"> „Afin d'en restituer le véritable caractère, l'administration est en droit d'écarter, comme ne lui étant pas opposables, les actes constitutifs d'un abus de droit (...)” (art. L64 LPF). </w:t>
      </w:r>
    </w:p>
  </w:footnote>
  <w:footnote w:id="10">
    <w:p w:rsidR="00D5699F" w:rsidRPr="00BB1903" w:rsidRDefault="00D5699F" w:rsidP="00BB1903">
      <w:pPr>
        <w:pStyle w:val="Nagwek3"/>
        <w:tabs>
          <w:tab w:val="left" w:pos="284"/>
        </w:tabs>
        <w:spacing w:before="0" w:line="240" w:lineRule="auto"/>
        <w:jc w:val="both"/>
        <w:rPr>
          <w:spacing w:val="-8"/>
          <w:lang w:val="en-US"/>
        </w:rPr>
      </w:pPr>
      <w:r w:rsidRPr="00BB1903">
        <w:rPr>
          <w:rStyle w:val="Odwoanieprzypisudolnego"/>
          <w:b w:val="0"/>
          <w:color w:val="auto"/>
          <w:spacing w:val="-8"/>
        </w:rPr>
        <w:footnoteRef/>
      </w:r>
      <w:r w:rsidRPr="00BB1903">
        <w:rPr>
          <w:b w:val="0"/>
          <w:color w:val="auto"/>
          <w:spacing w:val="-8"/>
          <w:vertAlign w:val="superscript"/>
          <w:lang w:val="en-US"/>
        </w:rPr>
        <w:t>)</w:t>
      </w:r>
      <w:r w:rsidRPr="00BB1903">
        <w:rPr>
          <w:b w:val="0"/>
          <w:color w:val="auto"/>
          <w:spacing w:val="-8"/>
          <w:lang w:val="en-US"/>
        </w:rPr>
        <w:tab/>
      </w:r>
      <w:r w:rsidRPr="00BB1903">
        <w:rPr>
          <w:rFonts w:ascii="Times New Roman" w:hAnsi="Times New Roman" w:cs="Times New Roman"/>
          <w:b w:val="0"/>
          <w:color w:val="auto"/>
          <w:spacing w:val="-8"/>
          <w:sz w:val="20"/>
          <w:szCs w:val="20"/>
          <w:lang w:val="en-US"/>
        </w:rPr>
        <w:t>Na temat ich funkcjonowania szerzej A.</w:t>
      </w:r>
      <w:r>
        <w:rPr>
          <w:rFonts w:ascii="Times New Roman" w:hAnsi="Times New Roman" w:cs="Times New Roman"/>
          <w:b w:val="0"/>
          <w:color w:val="auto"/>
          <w:spacing w:val="-8"/>
          <w:sz w:val="20"/>
          <w:szCs w:val="20"/>
          <w:lang w:val="en-US"/>
        </w:rPr>
        <w:t xml:space="preserve"> </w:t>
      </w:r>
      <w:r w:rsidRPr="00BB1903">
        <w:rPr>
          <w:rFonts w:ascii="Times New Roman" w:hAnsi="Times New Roman" w:cs="Times New Roman"/>
          <w:b w:val="0"/>
          <w:color w:val="auto"/>
          <w:spacing w:val="-8"/>
          <w:sz w:val="20"/>
          <w:szCs w:val="20"/>
          <w:lang w:val="en-US"/>
        </w:rPr>
        <w:t xml:space="preserve">Olesińska, </w:t>
      </w:r>
      <w:r w:rsidRPr="00BB1903">
        <w:rPr>
          <w:rFonts w:ascii="Times New Roman" w:hAnsi="Times New Roman" w:cs="Times New Roman"/>
          <w:b w:val="0"/>
          <w:i/>
          <w:color w:val="auto"/>
          <w:spacing w:val="-8"/>
          <w:sz w:val="20"/>
          <w:szCs w:val="20"/>
          <w:lang w:val="en-US"/>
        </w:rPr>
        <w:t>The General Anti-Avoidance Rule Consultative Committees,</w:t>
      </w:r>
      <w:r w:rsidRPr="00BB1903">
        <w:rPr>
          <w:rFonts w:ascii="Times New Roman" w:hAnsi="Times New Roman" w:cs="Times New Roman"/>
          <w:b w:val="0"/>
          <w:color w:val="auto"/>
          <w:spacing w:val="-8"/>
          <w:sz w:val="20"/>
          <w:szCs w:val="20"/>
          <w:lang w:val="en-US"/>
        </w:rPr>
        <w:t xml:space="preserve"> Comparative Law Review 2013, vol. 16, </w:t>
      </w:r>
      <w:r w:rsidRPr="00BB1903">
        <w:rPr>
          <w:rFonts w:ascii="Times New Roman" w:hAnsi="Times New Roman" w:cs="Times New Roman"/>
          <w:b w:val="0"/>
          <w:color w:val="000000" w:themeColor="text1"/>
          <w:spacing w:val="-8"/>
          <w:sz w:val="20"/>
          <w:szCs w:val="20"/>
          <w:lang w:val="en-US"/>
        </w:rPr>
        <w:t>http://apcz.pl/czasopisma/index.php/CLR/article/view/CLR.2013.018/3599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02B11"/>
    <w:multiLevelType w:val="hybridMultilevel"/>
    <w:tmpl w:val="D11801C6"/>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73C0C49"/>
    <w:multiLevelType w:val="hybridMultilevel"/>
    <w:tmpl w:val="F83846E8"/>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7F256DA"/>
    <w:multiLevelType w:val="hybridMultilevel"/>
    <w:tmpl w:val="4E824A80"/>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86D43D4"/>
    <w:multiLevelType w:val="hybridMultilevel"/>
    <w:tmpl w:val="98B61454"/>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0983013"/>
    <w:multiLevelType w:val="hybridMultilevel"/>
    <w:tmpl w:val="948C6274"/>
    <w:lvl w:ilvl="0" w:tplc="5606A486">
      <w:start w:val="1"/>
      <w:numFmt w:val="decimal"/>
      <w:lvlText w:val="%1)"/>
      <w:lvlJc w:val="left"/>
      <w:pPr>
        <w:tabs>
          <w:tab w:val="num" w:pos="720"/>
        </w:tabs>
        <w:ind w:left="720" w:hanging="360"/>
      </w:pPr>
      <w:rPr>
        <w:rFonts w:hint="default"/>
      </w:rPr>
    </w:lvl>
    <w:lvl w:ilvl="1" w:tplc="5532E224">
      <w:start w:val="2"/>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59E208DD"/>
    <w:multiLevelType w:val="hybridMultilevel"/>
    <w:tmpl w:val="6E16ABFE"/>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5FE77BB9"/>
    <w:multiLevelType w:val="hybridMultilevel"/>
    <w:tmpl w:val="93B4EA46"/>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6272079B"/>
    <w:multiLevelType w:val="hybridMultilevel"/>
    <w:tmpl w:val="C26E94AE"/>
    <w:lvl w:ilvl="0" w:tplc="04150005">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6E563691"/>
    <w:multiLevelType w:val="hybridMultilevel"/>
    <w:tmpl w:val="C3AC476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nsid w:val="7B07172B"/>
    <w:multiLevelType w:val="hybridMultilevel"/>
    <w:tmpl w:val="DFAA34AA"/>
    <w:lvl w:ilvl="0" w:tplc="3154AA72">
      <w:start w:val="1"/>
      <w:numFmt w:val="bullet"/>
      <w:lvlText w:val=""/>
      <w:lvlJc w:val="left"/>
      <w:pPr>
        <w:ind w:left="851" w:hanging="360"/>
      </w:pPr>
      <w:rPr>
        <w:rFonts w:ascii="Symbol" w:hAnsi="Symbol" w:hint="default"/>
      </w:rPr>
    </w:lvl>
    <w:lvl w:ilvl="1" w:tplc="04150003" w:tentative="1">
      <w:start w:val="1"/>
      <w:numFmt w:val="bullet"/>
      <w:lvlText w:val="o"/>
      <w:lvlJc w:val="left"/>
      <w:pPr>
        <w:ind w:left="1571" w:hanging="360"/>
      </w:pPr>
      <w:rPr>
        <w:rFonts w:ascii="Courier New" w:hAnsi="Courier New" w:cs="Courier New" w:hint="default"/>
      </w:rPr>
    </w:lvl>
    <w:lvl w:ilvl="2" w:tplc="04150005" w:tentative="1">
      <w:start w:val="1"/>
      <w:numFmt w:val="bullet"/>
      <w:lvlText w:val=""/>
      <w:lvlJc w:val="left"/>
      <w:pPr>
        <w:ind w:left="2291" w:hanging="360"/>
      </w:pPr>
      <w:rPr>
        <w:rFonts w:ascii="Wingdings" w:hAnsi="Wingdings" w:hint="default"/>
      </w:rPr>
    </w:lvl>
    <w:lvl w:ilvl="3" w:tplc="04150001" w:tentative="1">
      <w:start w:val="1"/>
      <w:numFmt w:val="bullet"/>
      <w:lvlText w:val=""/>
      <w:lvlJc w:val="left"/>
      <w:pPr>
        <w:ind w:left="3011" w:hanging="360"/>
      </w:pPr>
      <w:rPr>
        <w:rFonts w:ascii="Symbol" w:hAnsi="Symbol" w:hint="default"/>
      </w:rPr>
    </w:lvl>
    <w:lvl w:ilvl="4" w:tplc="04150003" w:tentative="1">
      <w:start w:val="1"/>
      <w:numFmt w:val="bullet"/>
      <w:lvlText w:val="o"/>
      <w:lvlJc w:val="left"/>
      <w:pPr>
        <w:ind w:left="3731" w:hanging="360"/>
      </w:pPr>
      <w:rPr>
        <w:rFonts w:ascii="Courier New" w:hAnsi="Courier New" w:cs="Courier New" w:hint="default"/>
      </w:rPr>
    </w:lvl>
    <w:lvl w:ilvl="5" w:tplc="04150005" w:tentative="1">
      <w:start w:val="1"/>
      <w:numFmt w:val="bullet"/>
      <w:lvlText w:val=""/>
      <w:lvlJc w:val="left"/>
      <w:pPr>
        <w:ind w:left="4451" w:hanging="360"/>
      </w:pPr>
      <w:rPr>
        <w:rFonts w:ascii="Wingdings" w:hAnsi="Wingdings" w:hint="default"/>
      </w:rPr>
    </w:lvl>
    <w:lvl w:ilvl="6" w:tplc="04150001" w:tentative="1">
      <w:start w:val="1"/>
      <w:numFmt w:val="bullet"/>
      <w:lvlText w:val=""/>
      <w:lvlJc w:val="left"/>
      <w:pPr>
        <w:ind w:left="5171" w:hanging="360"/>
      </w:pPr>
      <w:rPr>
        <w:rFonts w:ascii="Symbol" w:hAnsi="Symbol" w:hint="default"/>
      </w:rPr>
    </w:lvl>
    <w:lvl w:ilvl="7" w:tplc="04150003" w:tentative="1">
      <w:start w:val="1"/>
      <w:numFmt w:val="bullet"/>
      <w:lvlText w:val="o"/>
      <w:lvlJc w:val="left"/>
      <w:pPr>
        <w:ind w:left="5891" w:hanging="360"/>
      </w:pPr>
      <w:rPr>
        <w:rFonts w:ascii="Courier New" w:hAnsi="Courier New" w:cs="Courier New" w:hint="default"/>
      </w:rPr>
    </w:lvl>
    <w:lvl w:ilvl="8" w:tplc="04150005" w:tentative="1">
      <w:start w:val="1"/>
      <w:numFmt w:val="bullet"/>
      <w:lvlText w:val=""/>
      <w:lvlJc w:val="left"/>
      <w:pPr>
        <w:ind w:left="6611" w:hanging="360"/>
      </w:pPr>
      <w:rPr>
        <w:rFonts w:ascii="Wingdings" w:hAnsi="Wingdings" w:hint="default"/>
      </w:rPr>
    </w:lvl>
  </w:abstractNum>
  <w:abstractNum w:abstractNumId="11">
    <w:nsid w:val="7DCD788D"/>
    <w:multiLevelType w:val="hybridMultilevel"/>
    <w:tmpl w:val="38824374"/>
    <w:lvl w:ilvl="0" w:tplc="04150005">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1"/>
  </w:num>
  <w:num w:numId="6">
    <w:abstractNumId w:val="5"/>
  </w:num>
  <w:num w:numId="7">
    <w:abstractNumId w:val="7"/>
  </w:num>
  <w:num w:numId="8">
    <w:abstractNumId w:val="6"/>
  </w:num>
  <w:num w:numId="9">
    <w:abstractNumId w:val="1"/>
  </w:num>
  <w:num w:numId="10">
    <w:abstractNumId w:val="3"/>
  </w:num>
  <w:num w:numId="11">
    <w:abstractNumId w:val="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F22"/>
    <w:rsid w:val="0000119B"/>
    <w:rsid w:val="00007D1D"/>
    <w:rsid w:val="0001138A"/>
    <w:rsid w:val="0001434F"/>
    <w:rsid w:val="0002337A"/>
    <w:rsid w:val="00023691"/>
    <w:rsid w:val="000330D6"/>
    <w:rsid w:val="0003703C"/>
    <w:rsid w:val="000413A0"/>
    <w:rsid w:val="00041983"/>
    <w:rsid w:val="000431DA"/>
    <w:rsid w:val="00050351"/>
    <w:rsid w:val="000508C9"/>
    <w:rsid w:val="00062E22"/>
    <w:rsid w:val="0006369E"/>
    <w:rsid w:val="0006542B"/>
    <w:rsid w:val="00073580"/>
    <w:rsid w:val="000743A6"/>
    <w:rsid w:val="00082501"/>
    <w:rsid w:val="0008322F"/>
    <w:rsid w:val="000940E5"/>
    <w:rsid w:val="000A2B2F"/>
    <w:rsid w:val="000A6D57"/>
    <w:rsid w:val="000B3079"/>
    <w:rsid w:val="000B7E28"/>
    <w:rsid w:val="000C2F0B"/>
    <w:rsid w:val="000C35AC"/>
    <w:rsid w:val="000C6A0D"/>
    <w:rsid w:val="000D17AA"/>
    <w:rsid w:val="000D2DEC"/>
    <w:rsid w:val="000F5B88"/>
    <w:rsid w:val="00105D18"/>
    <w:rsid w:val="00114734"/>
    <w:rsid w:val="00116126"/>
    <w:rsid w:val="00116686"/>
    <w:rsid w:val="00124275"/>
    <w:rsid w:val="00126317"/>
    <w:rsid w:val="00127755"/>
    <w:rsid w:val="0013213F"/>
    <w:rsid w:val="001322CC"/>
    <w:rsid w:val="001364B3"/>
    <w:rsid w:val="001439E8"/>
    <w:rsid w:val="0014428F"/>
    <w:rsid w:val="001502F3"/>
    <w:rsid w:val="00155632"/>
    <w:rsid w:val="00157864"/>
    <w:rsid w:val="00175B8D"/>
    <w:rsid w:val="0017777E"/>
    <w:rsid w:val="00186FF6"/>
    <w:rsid w:val="00190019"/>
    <w:rsid w:val="00191053"/>
    <w:rsid w:val="0019768F"/>
    <w:rsid w:val="001A05A6"/>
    <w:rsid w:val="001A10F8"/>
    <w:rsid w:val="001A2B44"/>
    <w:rsid w:val="001B215A"/>
    <w:rsid w:val="001B44D7"/>
    <w:rsid w:val="001C5CE8"/>
    <w:rsid w:val="001D25E7"/>
    <w:rsid w:val="001D52D7"/>
    <w:rsid w:val="001E609F"/>
    <w:rsid w:val="001E70D4"/>
    <w:rsid w:val="001F3C62"/>
    <w:rsid w:val="00200B09"/>
    <w:rsid w:val="00203BB9"/>
    <w:rsid w:val="00207BE4"/>
    <w:rsid w:val="00207C51"/>
    <w:rsid w:val="00211CC5"/>
    <w:rsid w:val="002147AD"/>
    <w:rsid w:val="002250E7"/>
    <w:rsid w:val="00227D86"/>
    <w:rsid w:val="00231522"/>
    <w:rsid w:val="002352FF"/>
    <w:rsid w:val="002357D0"/>
    <w:rsid w:val="00236EF9"/>
    <w:rsid w:val="0024116B"/>
    <w:rsid w:val="00246AF1"/>
    <w:rsid w:val="00247AD1"/>
    <w:rsid w:val="00252C7C"/>
    <w:rsid w:val="002538C9"/>
    <w:rsid w:val="00255CAD"/>
    <w:rsid w:val="00264E7C"/>
    <w:rsid w:val="00266C53"/>
    <w:rsid w:val="002703C1"/>
    <w:rsid w:val="00274212"/>
    <w:rsid w:val="002778ED"/>
    <w:rsid w:val="0028482B"/>
    <w:rsid w:val="002A43B1"/>
    <w:rsid w:val="002A6A9A"/>
    <w:rsid w:val="002A70E4"/>
    <w:rsid w:val="002B4754"/>
    <w:rsid w:val="002C48B8"/>
    <w:rsid w:val="002C683D"/>
    <w:rsid w:val="002C7714"/>
    <w:rsid w:val="002D12D2"/>
    <w:rsid w:val="002D1356"/>
    <w:rsid w:val="002D17E9"/>
    <w:rsid w:val="002D3100"/>
    <w:rsid w:val="002D7301"/>
    <w:rsid w:val="002E41D1"/>
    <w:rsid w:val="002E5634"/>
    <w:rsid w:val="002F11BC"/>
    <w:rsid w:val="002F2FBB"/>
    <w:rsid w:val="002F5891"/>
    <w:rsid w:val="00300FA9"/>
    <w:rsid w:val="003010E3"/>
    <w:rsid w:val="00303598"/>
    <w:rsid w:val="00303AA9"/>
    <w:rsid w:val="00310C99"/>
    <w:rsid w:val="00313444"/>
    <w:rsid w:val="0031555A"/>
    <w:rsid w:val="00317A25"/>
    <w:rsid w:val="00323BDB"/>
    <w:rsid w:val="00331FBD"/>
    <w:rsid w:val="00332FF1"/>
    <w:rsid w:val="00333757"/>
    <w:rsid w:val="0033425A"/>
    <w:rsid w:val="00337FFB"/>
    <w:rsid w:val="003513C9"/>
    <w:rsid w:val="003549D2"/>
    <w:rsid w:val="00355A90"/>
    <w:rsid w:val="00357E70"/>
    <w:rsid w:val="00364FC3"/>
    <w:rsid w:val="00367982"/>
    <w:rsid w:val="003703F2"/>
    <w:rsid w:val="00373EA7"/>
    <w:rsid w:val="00375014"/>
    <w:rsid w:val="003769FC"/>
    <w:rsid w:val="00376D20"/>
    <w:rsid w:val="003771F5"/>
    <w:rsid w:val="00380E62"/>
    <w:rsid w:val="0038601E"/>
    <w:rsid w:val="003A7133"/>
    <w:rsid w:val="003B36F5"/>
    <w:rsid w:val="003C120D"/>
    <w:rsid w:val="003C22A2"/>
    <w:rsid w:val="003C500F"/>
    <w:rsid w:val="003C5885"/>
    <w:rsid w:val="003C7B52"/>
    <w:rsid w:val="003D01E5"/>
    <w:rsid w:val="003E73F2"/>
    <w:rsid w:val="003F0BC4"/>
    <w:rsid w:val="003F38C2"/>
    <w:rsid w:val="00404737"/>
    <w:rsid w:val="00413FDB"/>
    <w:rsid w:val="004168FE"/>
    <w:rsid w:val="0041755F"/>
    <w:rsid w:val="00431FDF"/>
    <w:rsid w:val="00432160"/>
    <w:rsid w:val="00441608"/>
    <w:rsid w:val="004532BE"/>
    <w:rsid w:val="00464DAA"/>
    <w:rsid w:val="00465395"/>
    <w:rsid w:val="00470363"/>
    <w:rsid w:val="00473CBC"/>
    <w:rsid w:val="004750D7"/>
    <w:rsid w:val="00486ADD"/>
    <w:rsid w:val="004909E1"/>
    <w:rsid w:val="00492BD7"/>
    <w:rsid w:val="004A060B"/>
    <w:rsid w:val="004A0A4D"/>
    <w:rsid w:val="004A509D"/>
    <w:rsid w:val="004B537E"/>
    <w:rsid w:val="004C16F0"/>
    <w:rsid w:val="004D01F4"/>
    <w:rsid w:val="004D6DA7"/>
    <w:rsid w:val="004D6F22"/>
    <w:rsid w:val="004E0D0A"/>
    <w:rsid w:val="004E4C50"/>
    <w:rsid w:val="004E5DB0"/>
    <w:rsid w:val="004E60B8"/>
    <w:rsid w:val="004F5C91"/>
    <w:rsid w:val="004F73C8"/>
    <w:rsid w:val="00501DC4"/>
    <w:rsid w:val="00502BF0"/>
    <w:rsid w:val="00507561"/>
    <w:rsid w:val="00510645"/>
    <w:rsid w:val="00511081"/>
    <w:rsid w:val="0051306F"/>
    <w:rsid w:val="00521322"/>
    <w:rsid w:val="00524E88"/>
    <w:rsid w:val="00533BEC"/>
    <w:rsid w:val="00540E75"/>
    <w:rsid w:val="00543EA6"/>
    <w:rsid w:val="005533D0"/>
    <w:rsid w:val="00575F16"/>
    <w:rsid w:val="005A3965"/>
    <w:rsid w:val="005A4987"/>
    <w:rsid w:val="005A4FEA"/>
    <w:rsid w:val="005A5786"/>
    <w:rsid w:val="005A57C2"/>
    <w:rsid w:val="005B6F07"/>
    <w:rsid w:val="005C02D6"/>
    <w:rsid w:val="005C0938"/>
    <w:rsid w:val="005D04F7"/>
    <w:rsid w:val="005D086D"/>
    <w:rsid w:val="005D5F8C"/>
    <w:rsid w:val="005E3A2D"/>
    <w:rsid w:val="005F3EFD"/>
    <w:rsid w:val="005F59DE"/>
    <w:rsid w:val="005F78CB"/>
    <w:rsid w:val="005F7FC4"/>
    <w:rsid w:val="00605432"/>
    <w:rsid w:val="006058CE"/>
    <w:rsid w:val="00613172"/>
    <w:rsid w:val="006413E8"/>
    <w:rsid w:val="00645370"/>
    <w:rsid w:val="00655BEE"/>
    <w:rsid w:val="0066360E"/>
    <w:rsid w:val="00663844"/>
    <w:rsid w:val="006711BE"/>
    <w:rsid w:val="006722F5"/>
    <w:rsid w:val="00674232"/>
    <w:rsid w:val="00676102"/>
    <w:rsid w:val="00676A2B"/>
    <w:rsid w:val="00687A9E"/>
    <w:rsid w:val="00691415"/>
    <w:rsid w:val="006930F1"/>
    <w:rsid w:val="006942D8"/>
    <w:rsid w:val="00696E9E"/>
    <w:rsid w:val="006A75B1"/>
    <w:rsid w:val="006C2244"/>
    <w:rsid w:val="006C3444"/>
    <w:rsid w:val="006C57EB"/>
    <w:rsid w:val="006C58BE"/>
    <w:rsid w:val="006C637A"/>
    <w:rsid w:val="006C63DE"/>
    <w:rsid w:val="006D0989"/>
    <w:rsid w:val="006D6D6B"/>
    <w:rsid w:val="006E075F"/>
    <w:rsid w:val="006E44C1"/>
    <w:rsid w:val="006E61F8"/>
    <w:rsid w:val="006F1168"/>
    <w:rsid w:val="006F3F2E"/>
    <w:rsid w:val="006F609E"/>
    <w:rsid w:val="006F748D"/>
    <w:rsid w:val="0071150F"/>
    <w:rsid w:val="007146CF"/>
    <w:rsid w:val="00714C56"/>
    <w:rsid w:val="00714D87"/>
    <w:rsid w:val="0071665D"/>
    <w:rsid w:val="00717A04"/>
    <w:rsid w:val="0072115A"/>
    <w:rsid w:val="0072168D"/>
    <w:rsid w:val="00735826"/>
    <w:rsid w:val="007358B6"/>
    <w:rsid w:val="007377E3"/>
    <w:rsid w:val="00741204"/>
    <w:rsid w:val="00744617"/>
    <w:rsid w:val="0075399A"/>
    <w:rsid w:val="00761C3A"/>
    <w:rsid w:val="00761D9A"/>
    <w:rsid w:val="0076298B"/>
    <w:rsid w:val="00767AAF"/>
    <w:rsid w:val="00772998"/>
    <w:rsid w:val="00777803"/>
    <w:rsid w:val="00780CE9"/>
    <w:rsid w:val="00781487"/>
    <w:rsid w:val="007972FF"/>
    <w:rsid w:val="007A2654"/>
    <w:rsid w:val="007A2A37"/>
    <w:rsid w:val="007A799A"/>
    <w:rsid w:val="007A7A8D"/>
    <w:rsid w:val="007B5A00"/>
    <w:rsid w:val="007C3682"/>
    <w:rsid w:val="007D0903"/>
    <w:rsid w:val="007D5B02"/>
    <w:rsid w:val="007E6A5B"/>
    <w:rsid w:val="00804AC0"/>
    <w:rsid w:val="00813967"/>
    <w:rsid w:val="00835231"/>
    <w:rsid w:val="00845AD9"/>
    <w:rsid w:val="00853626"/>
    <w:rsid w:val="00854363"/>
    <w:rsid w:val="0085720C"/>
    <w:rsid w:val="00867EAF"/>
    <w:rsid w:val="00870FEC"/>
    <w:rsid w:val="00875107"/>
    <w:rsid w:val="00881CD7"/>
    <w:rsid w:val="00884421"/>
    <w:rsid w:val="008906CC"/>
    <w:rsid w:val="00896704"/>
    <w:rsid w:val="008A1568"/>
    <w:rsid w:val="008A27A6"/>
    <w:rsid w:val="008B0963"/>
    <w:rsid w:val="008C22C5"/>
    <w:rsid w:val="008C2C1D"/>
    <w:rsid w:val="008C726D"/>
    <w:rsid w:val="008D220E"/>
    <w:rsid w:val="008D7E93"/>
    <w:rsid w:val="008E3DB3"/>
    <w:rsid w:val="008E51E6"/>
    <w:rsid w:val="008E65AC"/>
    <w:rsid w:val="008E6E2B"/>
    <w:rsid w:val="008E7305"/>
    <w:rsid w:val="008F7990"/>
    <w:rsid w:val="00907D89"/>
    <w:rsid w:val="009110F6"/>
    <w:rsid w:val="0091126A"/>
    <w:rsid w:val="00913C85"/>
    <w:rsid w:val="0091552C"/>
    <w:rsid w:val="0091695B"/>
    <w:rsid w:val="0092520D"/>
    <w:rsid w:val="00930C72"/>
    <w:rsid w:val="00931201"/>
    <w:rsid w:val="009335FD"/>
    <w:rsid w:val="00942E54"/>
    <w:rsid w:val="00944A8C"/>
    <w:rsid w:val="00950DFC"/>
    <w:rsid w:val="00953223"/>
    <w:rsid w:val="009571D8"/>
    <w:rsid w:val="009614D1"/>
    <w:rsid w:val="009631AB"/>
    <w:rsid w:val="009649FE"/>
    <w:rsid w:val="00965DEE"/>
    <w:rsid w:val="00966A5C"/>
    <w:rsid w:val="00971FFF"/>
    <w:rsid w:val="009769BA"/>
    <w:rsid w:val="0098767A"/>
    <w:rsid w:val="0099180F"/>
    <w:rsid w:val="00995C80"/>
    <w:rsid w:val="00995D40"/>
    <w:rsid w:val="00996817"/>
    <w:rsid w:val="009A76CE"/>
    <w:rsid w:val="009B104C"/>
    <w:rsid w:val="009B676E"/>
    <w:rsid w:val="009B6F16"/>
    <w:rsid w:val="009C51A2"/>
    <w:rsid w:val="009C6B0D"/>
    <w:rsid w:val="009F504A"/>
    <w:rsid w:val="009F7C3D"/>
    <w:rsid w:val="00A01777"/>
    <w:rsid w:val="00A0690F"/>
    <w:rsid w:val="00A149E4"/>
    <w:rsid w:val="00A15D1E"/>
    <w:rsid w:val="00A24B3A"/>
    <w:rsid w:val="00A26E29"/>
    <w:rsid w:val="00A31252"/>
    <w:rsid w:val="00A42C97"/>
    <w:rsid w:val="00A46801"/>
    <w:rsid w:val="00A47282"/>
    <w:rsid w:val="00A47977"/>
    <w:rsid w:val="00A62E01"/>
    <w:rsid w:val="00A6627C"/>
    <w:rsid w:val="00A66DA2"/>
    <w:rsid w:val="00A67CA8"/>
    <w:rsid w:val="00A7037F"/>
    <w:rsid w:val="00A757D2"/>
    <w:rsid w:val="00A8438E"/>
    <w:rsid w:val="00A84EA6"/>
    <w:rsid w:val="00A8623D"/>
    <w:rsid w:val="00A878A7"/>
    <w:rsid w:val="00A9325F"/>
    <w:rsid w:val="00A942A8"/>
    <w:rsid w:val="00A97A1A"/>
    <w:rsid w:val="00AB0491"/>
    <w:rsid w:val="00AB2E7C"/>
    <w:rsid w:val="00AB3EF5"/>
    <w:rsid w:val="00AC4B05"/>
    <w:rsid w:val="00AD0406"/>
    <w:rsid w:val="00AD4260"/>
    <w:rsid w:val="00AD51E6"/>
    <w:rsid w:val="00AE1EC5"/>
    <w:rsid w:val="00AE3B90"/>
    <w:rsid w:val="00AE5CE4"/>
    <w:rsid w:val="00AF3CF9"/>
    <w:rsid w:val="00B012AB"/>
    <w:rsid w:val="00B22B5E"/>
    <w:rsid w:val="00B23984"/>
    <w:rsid w:val="00B24567"/>
    <w:rsid w:val="00B40E14"/>
    <w:rsid w:val="00B415D3"/>
    <w:rsid w:val="00B53F2F"/>
    <w:rsid w:val="00B55824"/>
    <w:rsid w:val="00B675AD"/>
    <w:rsid w:val="00B74BCF"/>
    <w:rsid w:val="00B7556B"/>
    <w:rsid w:val="00B7715C"/>
    <w:rsid w:val="00B81831"/>
    <w:rsid w:val="00B82030"/>
    <w:rsid w:val="00B84267"/>
    <w:rsid w:val="00B85680"/>
    <w:rsid w:val="00B85B45"/>
    <w:rsid w:val="00B87DE1"/>
    <w:rsid w:val="00B9541F"/>
    <w:rsid w:val="00BA17C1"/>
    <w:rsid w:val="00BA399F"/>
    <w:rsid w:val="00BB0E92"/>
    <w:rsid w:val="00BB1903"/>
    <w:rsid w:val="00BB26DA"/>
    <w:rsid w:val="00BB300F"/>
    <w:rsid w:val="00BB6A16"/>
    <w:rsid w:val="00BB7D95"/>
    <w:rsid w:val="00BC0E3B"/>
    <w:rsid w:val="00BC0E90"/>
    <w:rsid w:val="00BC433D"/>
    <w:rsid w:val="00BC6C09"/>
    <w:rsid w:val="00BC7592"/>
    <w:rsid w:val="00BC79BE"/>
    <w:rsid w:val="00BD6F88"/>
    <w:rsid w:val="00BE77D7"/>
    <w:rsid w:val="00BE7B7C"/>
    <w:rsid w:val="00BF02F0"/>
    <w:rsid w:val="00BF2E64"/>
    <w:rsid w:val="00C02632"/>
    <w:rsid w:val="00C06A78"/>
    <w:rsid w:val="00C07E5C"/>
    <w:rsid w:val="00C14D54"/>
    <w:rsid w:val="00C15FE0"/>
    <w:rsid w:val="00C17249"/>
    <w:rsid w:val="00C22E82"/>
    <w:rsid w:val="00C2363F"/>
    <w:rsid w:val="00C244B9"/>
    <w:rsid w:val="00C24D5F"/>
    <w:rsid w:val="00C25255"/>
    <w:rsid w:val="00C263F9"/>
    <w:rsid w:val="00C31964"/>
    <w:rsid w:val="00C36081"/>
    <w:rsid w:val="00C37BCA"/>
    <w:rsid w:val="00C43F9F"/>
    <w:rsid w:val="00C457C6"/>
    <w:rsid w:val="00C50265"/>
    <w:rsid w:val="00C514D7"/>
    <w:rsid w:val="00C54687"/>
    <w:rsid w:val="00C578D9"/>
    <w:rsid w:val="00C631E0"/>
    <w:rsid w:val="00C634C2"/>
    <w:rsid w:val="00C653F6"/>
    <w:rsid w:val="00C709E1"/>
    <w:rsid w:val="00C73864"/>
    <w:rsid w:val="00C749A7"/>
    <w:rsid w:val="00C75A75"/>
    <w:rsid w:val="00C819C1"/>
    <w:rsid w:val="00C83D47"/>
    <w:rsid w:val="00C874B0"/>
    <w:rsid w:val="00C91F6A"/>
    <w:rsid w:val="00C9436D"/>
    <w:rsid w:val="00CA1C48"/>
    <w:rsid w:val="00CB2BB6"/>
    <w:rsid w:val="00CB3662"/>
    <w:rsid w:val="00CC13D6"/>
    <w:rsid w:val="00CC5CC1"/>
    <w:rsid w:val="00CC5E0C"/>
    <w:rsid w:val="00CC6BC7"/>
    <w:rsid w:val="00CD3306"/>
    <w:rsid w:val="00CE3D8B"/>
    <w:rsid w:val="00CF2F3D"/>
    <w:rsid w:val="00CF5D8B"/>
    <w:rsid w:val="00CF7F0A"/>
    <w:rsid w:val="00D05EF1"/>
    <w:rsid w:val="00D10DBF"/>
    <w:rsid w:val="00D1378C"/>
    <w:rsid w:val="00D1557D"/>
    <w:rsid w:val="00D30BE5"/>
    <w:rsid w:val="00D469BE"/>
    <w:rsid w:val="00D4798F"/>
    <w:rsid w:val="00D47A13"/>
    <w:rsid w:val="00D52502"/>
    <w:rsid w:val="00D53683"/>
    <w:rsid w:val="00D53F94"/>
    <w:rsid w:val="00D55685"/>
    <w:rsid w:val="00D5699F"/>
    <w:rsid w:val="00D6267E"/>
    <w:rsid w:val="00D62DA2"/>
    <w:rsid w:val="00D67241"/>
    <w:rsid w:val="00D76DC6"/>
    <w:rsid w:val="00D7768A"/>
    <w:rsid w:val="00D81F26"/>
    <w:rsid w:val="00DA451B"/>
    <w:rsid w:val="00DB5245"/>
    <w:rsid w:val="00DB5953"/>
    <w:rsid w:val="00DC1837"/>
    <w:rsid w:val="00DC45D9"/>
    <w:rsid w:val="00DD03DB"/>
    <w:rsid w:val="00DD11C8"/>
    <w:rsid w:val="00DD2AD8"/>
    <w:rsid w:val="00DE7911"/>
    <w:rsid w:val="00DF1E0F"/>
    <w:rsid w:val="00E01272"/>
    <w:rsid w:val="00E01F13"/>
    <w:rsid w:val="00E13E17"/>
    <w:rsid w:val="00E1437B"/>
    <w:rsid w:val="00E15D8B"/>
    <w:rsid w:val="00E16A2F"/>
    <w:rsid w:val="00E21692"/>
    <w:rsid w:val="00E228BE"/>
    <w:rsid w:val="00E2413A"/>
    <w:rsid w:val="00E24A6D"/>
    <w:rsid w:val="00E43777"/>
    <w:rsid w:val="00E543C6"/>
    <w:rsid w:val="00E6045D"/>
    <w:rsid w:val="00E66AAD"/>
    <w:rsid w:val="00E71FDE"/>
    <w:rsid w:val="00E754C0"/>
    <w:rsid w:val="00E7777E"/>
    <w:rsid w:val="00E91C19"/>
    <w:rsid w:val="00E91FF9"/>
    <w:rsid w:val="00E94CD2"/>
    <w:rsid w:val="00EA0DBC"/>
    <w:rsid w:val="00ED37C0"/>
    <w:rsid w:val="00ED47E5"/>
    <w:rsid w:val="00ED7591"/>
    <w:rsid w:val="00EF0C1E"/>
    <w:rsid w:val="00EF1AF0"/>
    <w:rsid w:val="00F02918"/>
    <w:rsid w:val="00F06CC6"/>
    <w:rsid w:val="00F1046A"/>
    <w:rsid w:val="00F1130E"/>
    <w:rsid w:val="00F12E1D"/>
    <w:rsid w:val="00F17871"/>
    <w:rsid w:val="00F27B38"/>
    <w:rsid w:val="00F27FB4"/>
    <w:rsid w:val="00F3009B"/>
    <w:rsid w:val="00F30CE6"/>
    <w:rsid w:val="00F34E97"/>
    <w:rsid w:val="00F37DEC"/>
    <w:rsid w:val="00F4118B"/>
    <w:rsid w:val="00F43A1C"/>
    <w:rsid w:val="00F43CD1"/>
    <w:rsid w:val="00F45CD9"/>
    <w:rsid w:val="00F50303"/>
    <w:rsid w:val="00F57401"/>
    <w:rsid w:val="00F642EB"/>
    <w:rsid w:val="00F658A9"/>
    <w:rsid w:val="00F65AA7"/>
    <w:rsid w:val="00F73F52"/>
    <w:rsid w:val="00F75505"/>
    <w:rsid w:val="00F75996"/>
    <w:rsid w:val="00F810DC"/>
    <w:rsid w:val="00F92A00"/>
    <w:rsid w:val="00F92B56"/>
    <w:rsid w:val="00F93D8C"/>
    <w:rsid w:val="00F97A1D"/>
    <w:rsid w:val="00FA27AF"/>
    <w:rsid w:val="00FA2FB3"/>
    <w:rsid w:val="00FB6DC1"/>
    <w:rsid w:val="00FC2874"/>
    <w:rsid w:val="00FC2F35"/>
    <w:rsid w:val="00FC3C68"/>
    <w:rsid w:val="00FC40A1"/>
    <w:rsid w:val="00FE0C96"/>
    <w:rsid w:val="00FF1149"/>
    <w:rsid w:val="00FF1B37"/>
    <w:rsid w:val="00FF24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D6F22"/>
    <w:rPr>
      <w:rFonts w:ascii="Calibri" w:eastAsia="Calibri" w:hAnsi="Calibri" w:cs="Times New Roman"/>
    </w:rPr>
  </w:style>
  <w:style w:type="paragraph" w:styleId="Nagwek2">
    <w:name w:val="heading 2"/>
    <w:basedOn w:val="Normalny"/>
    <w:next w:val="Normalny"/>
    <w:link w:val="Nagwek2Znak"/>
    <w:uiPriority w:val="99"/>
    <w:qFormat/>
    <w:rsid w:val="004D6F22"/>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nhideWhenUsed/>
    <w:qFormat/>
    <w:rsid w:val="004D6F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4D6F22"/>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semiHidden/>
    <w:rsid w:val="004D6F22"/>
    <w:rPr>
      <w:rFonts w:asciiTheme="majorHAnsi" w:eastAsiaTheme="majorEastAsia" w:hAnsiTheme="majorHAnsi" w:cstheme="majorBidi"/>
      <w:b/>
      <w:bCs/>
      <w:color w:val="4F81BD" w:themeColor="accent1"/>
    </w:rPr>
  </w:style>
  <w:style w:type="character" w:styleId="Odwoanieprzypisudolnego">
    <w:name w:val="footnote reference"/>
    <w:uiPriority w:val="99"/>
    <w:semiHidden/>
    <w:unhideWhenUsed/>
    <w:rsid w:val="004D6F22"/>
    <w:rPr>
      <w:rFonts w:ascii="Times New Roman" w:hAnsi="Times New Roman" w:cs="Times New Roman" w:hint="default"/>
      <w:vertAlign w:val="superscript"/>
    </w:rPr>
  </w:style>
  <w:style w:type="paragraph" w:styleId="Tekstpodstawowy2">
    <w:name w:val="Body Text 2"/>
    <w:basedOn w:val="Normalny"/>
    <w:link w:val="Tekstpodstawowy2Znak"/>
    <w:uiPriority w:val="99"/>
    <w:rsid w:val="004D6F22"/>
    <w:pPr>
      <w:spacing w:after="0" w:line="280" w:lineRule="atLeast"/>
      <w:jc w:val="both"/>
    </w:pPr>
    <w:rPr>
      <w:rFonts w:ascii="Times New Roman" w:eastAsia="Times New Roman" w:hAnsi="Times New Roman"/>
      <w:sz w:val="24"/>
      <w:szCs w:val="20"/>
      <w:lang w:eastAsia="pl-PL"/>
    </w:rPr>
  </w:style>
  <w:style w:type="character" w:customStyle="1" w:styleId="Tekstpodstawowy2Znak">
    <w:name w:val="Tekst podstawowy 2 Znak"/>
    <w:basedOn w:val="Domylnaczcionkaakapitu"/>
    <w:link w:val="Tekstpodstawowy2"/>
    <w:uiPriority w:val="99"/>
    <w:rsid w:val="004D6F22"/>
    <w:rPr>
      <w:rFonts w:ascii="Times New Roman" w:eastAsia="Times New Roman" w:hAnsi="Times New Roman" w:cs="Times New Roman"/>
      <w:sz w:val="24"/>
      <w:szCs w:val="20"/>
      <w:lang w:eastAsia="pl-PL"/>
    </w:rPr>
  </w:style>
  <w:style w:type="paragraph" w:styleId="NormalnyWeb">
    <w:name w:val="Normal (Web)"/>
    <w:basedOn w:val="Normalny"/>
    <w:rsid w:val="004D6F22"/>
    <w:pPr>
      <w:spacing w:before="20" w:after="30" w:line="240" w:lineRule="auto"/>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semiHidden/>
    <w:rsid w:val="004D6F2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D6F22"/>
    <w:rPr>
      <w:rFonts w:ascii="Times New Roman" w:eastAsia="Times New Roman" w:hAnsi="Times New Roman" w:cs="Times New Roman"/>
      <w:sz w:val="20"/>
      <w:szCs w:val="20"/>
      <w:lang w:eastAsia="pl-PL"/>
    </w:rPr>
  </w:style>
  <w:style w:type="character" w:customStyle="1" w:styleId="st">
    <w:name w:val="st"/>
    <w:basedOn w:val="Domylnaczcionkaakapitu"/>
    <w:uiPriority w:val="99"/>
    <w:rsid w:val="004D6F22"/>
  </w:style>
  <w:style w:type="paragraph" w:styleId="Nagwek">
    <w:name w:val="header"/>
    <w:basedOn w:val="Normalny"/>
    <w:link w:val="NagwekZnak"/>
    <w:uiPriority w:val="99"/>
    <w:unhideWhenUsed/>
    <w:rsid w:val="00995D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5D40"/>
    <w:rPr>
      <w:rFonts w:ascii="Calibri" w:eastAsia="Calibri" w:hAnsi="Calibri" w:cs="Times New Roman"/>
    </w:rPr>
  </w:style>
  <w:style w:type="paragraph" w:styleId="Stopka">
    <w:name w:val="footer"/>
    <w:basedOn w:val="Normalny"/>
    <w:link w:val="StopkaZnak"/>
    <w:uiPriority w:val="99"/>
    <w:unhideWhenUsed/>
    <w:rsid w:val="00995D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5D40"/>
    <w:rPr>
      <w:rFonts w:ascii="Calibri" w:eastAsia="Calibri" w:hAnsi="Calibri" w:cs="Times New Roman"/>
    </w:rPr>
  </w:style>
  <w:style w:type="character" w:styleId="Hipercze">
    <w:name w:val="Hyperlink"/>
    <w:basedOn w:val="Domylnaczcionkaakapitu"/>
    <w:uiPriority w:val="99"/>
    <w:unhideWhenUsed/>
    <w:rsid w:val="002A70E4"/>
    <w:rPr>
      <w:color w:val="0000FF" w:themeColor="hyperlink"/>
      <w:u w:val="single"/>
    </w:rPr>
  </w:style>
  <w:style w:type="paragraph" w:styleId="Tekstdymka">
    <w:name w:val="Balloon Text"/>
    <w:basedOn w:val="Normalny"/>
    <w:link w:val="TekstdymkaZnak"/>
    <w:uiPriority w:val="99"/>
    <w:semiHidden/>
    <w:unhideWhenUsed/>
    <w:rsid w:val="00C252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5255"/>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0F5B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F5B8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0F5B88"/>
    <w:rPr>
      <w:vertAlign w:val="superscript"/>
    </w:rPr>
  </w:style>
  <w:style w:type="paragraph" w:customStyle="1" w:styleId="ARTartustawynprozporzdzenia">
    <w:name w:val="ART(§) – art. ustawy (§ np. rozporządzenia)"/>
    <w:uiPriority w:val="11"/>
    <w:qFormat/>
    <w:rsid w:val="00C546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C54687"/>
    <w:rPr>
      <w:b/>
    </w:rPr>
  </w:style>
  <w:style w:type="paragraph" w:styleId="Akapitzlist">
    <w:name w:val="List Paragraph"/>
    <w:basedOn w:val="Normalny"/>
    <w:uiPriority w:val="34"/>
    <w:qFormat/>
    <w:rsid w:val="004703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D6F22"/>
    <w:rPr>
      <w:rFonts w:ascii="Calibri" w:eastAsia="Calibri" w:hAnsi="Calibri" w:cs="Times New Roman"/>
    </w:rPr>
  </w:style>
  <w:style w:type="paragraph" w:styleId="Nagwek2">
    <w:name w:val="heading 2"/>
    <w:basedOn w:val="Normalny"/>
    <w:next w:val="Normalny"/>
    <w:link w:val="Nagwek2Znak"/>
    <w:uiPriority w:val="99"/>
    <w:qFormat/>
    <w:rsid w:val="004D6F22"/>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nhideWhenUsed/>
    <w:qFormat/>
    <w:rsid w:val="004D6F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4D6F22"/>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semiHidden/>
    <w:rsid w:val="004D6F22"/>
    <w:rPr>
      <w:rFonts w:asciiTheme="majorHAnsi" w:eastAsiaTheme="majorEastAsia" w:hAnsiTheme="majorHAnsi" w:cstheme="majorBidi"/>
      <w:b/>
      <w:bCs/>
      <w:color w:val="4F81BD" w:themeColor="accent1"/>
    </w:rPr>
  </w:style>
  <w:style w:type="character" w:styleId="Odwoanieprzypisudolnego">
    <w:name w:val="footnote reference"/>
    <w:uiPriority w:val="99"/>
    <w:semiHidden/>
    <w:unhideWhenUsed/>
    <w:rsid w:val="004D6F22"/>
    <w:rPr>
      <w:rFonts w:ascii="Times New Roman" w:hAnsi="Times New Roman" w:cs="Times New Roman" w:hint="default"/>
      <w:vertAlign w:val="superscript"/>
    </w:rPr>
  </w:style>
  <w:style w:type="paragraph" w:styleId="Tekstpodstawowy2">
    <w:name w:val="Body Text 2"/>
    <w:basedOn w:val="Normalny"/>
    <w:link w:val="Tekstpodstawowy2Znak"/>
    <w:uiPriority w:val="99"/>
    <w:rsid w:val="004D6F22"/>
    <w:pPr>
      <w:spacing w:after="0" w:line="280" w:lineRule="atLeast"/>
      <w:jc w:val="both"/>
    </w:pPr>
    <w:rPr>
      <w:rFonts w:ascii="Times New Roman" w:eastAsia="Times New Roman" w:hAnsi="Times New Roman"/>
      <w:sz w:val="24"/>
      <w:szCs w:val="20"/>
      <w:lang w:eastAsia="pl-PL"/>
    </w:rPr>
  </w:style>
  <w:style w:type="character" w:customStyle="1" w:styleId="Tekstpodstawowy2Znak">
    <w:name w:val="Tekst podstawowy 2 Znak"/>
    <w:basedOn w:val="Domylnaczcionkaakapitu"/>
    <w:link w:val="Tekstpodstawowy2"/>
    <w:uiPriority w:val="99"/>
    <w:rsid w:val="004D6F22"/>
    <w:rPr>
      <w:rFonts w:ascii="Times New Roman" w:eastAsia="Times New Roman" w:hAnsi="Times New Roman" w:cs="Times New Roman"/>
      <w:sz w:val="24"/>
      <w:szCs w:val="20"/>
      <w:lang w:eastAsia="pl-PL"/>
    </w:rPr>
  </w:style>
  <w:style w:type="paragraph" w:styleId="NormalnyWeb">
    <w:name w:val="Normal (Web)"/>
    <w:basedOn w:val="Normalny"/>
    <w:rsid w:val="004D6F22"/>
    <w:pPr>
      <w:spacing w:before="20" w:after="30" w:line="240" w:lineRule="auto"/>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semiHidden/>
    <w:rsid w:val="004D6F2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D6F22"/>
    <w:rPr>
      <w:rFonts w:ascii="Times New Roman" w:eastAsia="Times New Roman" w:hAnsi="Times New Roman" w:cs="Times New Roman"/>
      <w:sz w:val="20"/>
      <w:szCs w:val="20"/>
      <w:lang w:eastAsia="pl-PL"/>
    </w:rPr>
  </w:style>
  <w:style w:type="character" w:customStyle="1" w:styleId="st">
    <w:name w:val="st"/>
    <w:basedOn w:val="Domylnaczcionkaakapitu"/>
    <w:uiPriority w:val="99"/>
    <w:rsid w:val="004D6F22"/>
  </w:style>
  <w:style w:type="paragraph" w:styleId="Nagwek">
    <w:name w:val="header"/>
    <w:basedOn w:val="Normalny"/>
    <w:link w:val="NagwekZnak"/>
    <w:uiPriority w:val="99"/>
    <w:unhideWhenUsed/>
    <w:rsid w:val="00995D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5D40"/>
    <w:rPr>
      <w:rFonts w:ascii="Calibri" w:eastAsia="Calibri" w:hAnsi="Calibri" w:cs="Times New Roman"/>
    </w:rPr>
  </w:style>
  <w:style w:type="paragraph" w:styleId="Stopka">
    <w:name w:val="footer"/>
    <w:basedOn w:val="Normalny"/>
    <w:link w:val="StopkaZnak"/>
    <w:uiPriority w:val="99"/>
    <w:unhideWhenUsed/>
    <w:rsid w:val="00995D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5D40"/>
    <w:rPr>
      <w:rFonts w:ascii="Calibri" w:eastAsia="Calibri" w:hAnsi="Calibri" w:cs="Times New Roman"/>
    </w:rPr>
  </w:style>
  <w:style w:type="character" w:styleId="Hipercze">
    <w:name w:val="Hyperlink"/>
    <w:basedOn w:val="Domylnaczcionkaakapitu"/>
    <w:uiPriority w:val="99"/>
    <w:unhideWhenUsed/>
    <w:rsid w:val="002A70E4"/>
    <w:rPr>
      <w:color w:val="0000FF" w:themeColor="hyperlink"/>
      <w:u w:val="single"/>
    </w:rPr>
  </w:style>
  <w:style w:type="paragraph" w:styleId="Tekstdymka">
    <w:name w:val="Balloon Text"/>
    <w:basedOn w:val="Normalny"/>
    <w:link w:val="TekstdymkaZnak"/>
    <w:uiPriority w:val="99"/>
    <w:semiHidden/>
    <w:unhideWhenUsed/>
    <w:rsid w:val="00C252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5255"/>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0F5B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F5B8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0F5B88"/>
    <w:rPr>
      <w:vertAlign w:val="superscript"/>
    </w:rPr>
  </w:style>
  <w:style w:type="paragraph" w:customStyle="1" w:styleId="ARTartustawynprozporzdzenia">
    <w:name w:val="ART(§) – art. ustawy (§ np. rozporządzenia)"/>
    <w:uiPriority w:val="11"/>
    <w:qFormat/>
    <w:rsid w:val="00C546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C54687"/>
    <w:rPr>
      <w:b/>
    </w:rPr>
  </w:style>
  <w:style w:type="paragraph" w:styleId="Akapitzlist">
    <w:name w:val="List Paragraph"/>
    <w:basedOn w:val="Normalny"/>
    <w:uiPriority w:val="34"/>
    <w:qFormat/>
    <w:rsid w:val="0047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89B05-38A5-4219-84FD-A672D40F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18189</Words>
  <Characters>109134</Characters>
  <Application>Microsoft Office Word</Application>
  <DocSecurity>0</DocSecurity>
  <Lines>909</Lines>
  <Paragraphs>254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127069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Gurba</dc:creator>
  <cp:lastModifiedBy>Grażyna D. Grabowska</cp:lastModifiedBy>
  <cp:revision>2</cp:revision>
  <cp:lastPrinted>2016-03-21T10:21:00Z</cp:lastPrinted>
  <dcterms:created xsi:type="dcterms:W3CDTF">2016-03-30T09:40:00Z</dcterms:created>
  <dcterms:modified xsi:type="dcterms:W3CDTF">2016-03-30T09:40:00Z</dcterms:modified>
</cp:coreProperties>
</file>