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002" w:rsidRPr="00312203" w:rsidRDefault="00F16002" w:rsidP="00690F25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 w:rsidRPr="00312203">
        <w:rPr>
          <w:rFonts w:ascii="Arial" w:hAnsi="Arial" w:cs="Arial"/>
          <w:szCs w:val="24"/>
        </w:rPr>
        <w:t>PROJEKT</w:t>
      </w:r>
    </w:p>
    <w:p w:rsidR="00F16002" w:rsidRPr="00312203" w:rsidRDefault="00F16002" w:rsidP="00690F25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:rsidR="00F16002" w:rsidRPr="00312203" w:rsidRDefault="00F16002" w:rsidP="00690F25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312203">
        <w:rPr>
          <w:rFonts w:ascii="Arial" w:hAnsi="Arial" w:cs="Arial"/>
          <w:b w:val="0"/>
          <w:bCs/>
          <w:szCs w:val="24"/>
        </w:rPr>
        <w:t>USTAWA</w:t>
      </w:r>
    </w:p>
    <w:p w:rsidR="00F16002" w:rsidRPr="00312203" w:rsidRDefault="00F16002" w:rsidP="00690F25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312203">
        <w:rPr>
          <w:rFonts w:ascii="Arial" w:hAnsi="Arial" w:cs="Arial"/>
          <w:b w:val="0"/>
          <w:bCs/>
          <w:szCs w:val="24"/>
        </w:rPr>
        <w:t>z dnia                         201</w:t>
      </w:r>
      <w:r w:rsidR="00D2419C" w:rsidRPr="00312203">
        <w:rPr>
          <w:rFonts w:ascii="Arial" w:hAnsi="Arial" w:cs="Arial"/>
          <w:b w:val="0"/>
          <w:bCs/>
          <w:szCs w:val="24"/>
        </w:rPr>
        <w:t>9</w:t>
      </w:r>
      <w:r w:rsidRPr="00312203">
        <w:rPr>
          <w:rFonts w:ascii="Arial" w:hAnsi="Arial" w:cs="Arial"/>
          <w:b w:val="0"/>
          <w:bCs/>
          <w:szCs w:val="24"/>
        </w:rPr>
        <w:t xml:space="preserve"> r.</w:t>
      </w:r>
    </w:p>
    <w:p w:rsidR="00690F25" w:rsidRPr="00312203" w:rsidRDefault="00F16002" w:rsidP="00690F25">
      <w:pPr>
        <w:pStyle w:val="Nagwek2"/>
        <w:shd w:val="clear" w:color="auto" w:fill="FFFFFF"/>
        <w:spacing w:before="0" w:beforeAutospacing="0" w:after="120" w:afterAutospacing="0" w:line="360" w:lineRule="auto"/>
        <w:jc w:val="center"/>
        <w:rPr>
          <w:rFonts w:ascii="Arial" w:hAnsi="Arial" w:cs="Arial"/>
          <w:b w:val="0"/>
          <w:sz w:val="24"/>
          <w:szCs w:val="24"/>
        </w:rPr>
      </w:pPr>
      <w:r w:rsidRPr="00312203">
        <w:rPr>
          <w:rFonts w:ascii="Arial" w:hAnsi="Arial" w:cs="Arial"/>
          <w:b w:val="0"/>
          <w:sz w:val="24"/>
          <w:szCs w:val="24"/>
        </w:rPr>
        <w:t xml:space="preserve">o zmianie ustawy </w:t>
      </w:r>
      <w:r w:rsidR="00835AA6" w:rsidRPr="00312203">
        <w:rPr>
          <w:rFonts w:ascii="Arial" w:hAnsi="Arial" w:cs="Arial"/>
          <w:b w:val="0"/>
          <w:sz w:val="24"/>
          <w:szCs w:val="24"/>
        </w:rPr>
        <w:t xml:space="preserve">o </w:t>
      </w:r>
      <w:r w:rsidR="00D2419C" w:rsidRPr="00312203">
        <w:rPr>
          <w:rFonts w:ascii="Arial" w:hAnsi="Arial" w:cs="Arial"/>
          <w:b w:val="0"/>
          <w:sz w:val="24"/>
          <w:szCs w:val="24"/>
        </w:rPr>
        <w:t>ochronie praw lokator</w:t>
      </w:r>
      <w:r w:rsidR="00690F25" w:rsidRPr="00312203">
        <w:rPr>
          <w:rFonts w:ascii="Arial" w:hAnsi="Arial" w:cs="Arial"/>
          <w:b w:val="0"/>
          <w:sz w:val="24"/>
          <w:szCs w:val="24"/>
        </w:rPr>
        <w:t>ów, mieszkaniowym zasobie gminy</w:t>
      </w:r>
    </w:p>
    <w:p w:rsidR="00835AA6" w:rsidRPr="00312203" w:rsidRDefault="00D2419C" w:rsidP="00690F25">
      <w:pPr>
        <w:pStyle w:val="Nagwek2"/>
        <w:shd w:val="clear" w:color="auto" w:fill="FFFFFF"/>
        <w:spacing w:before="0" w:beforeAutospacing="0" w:after="120" w:afterAutospacing="0" w:line="360" w:lineRule="auto"/>
        <w:jc w:val="center"/>
        <w:rPr>
          <w:rFonts w:ascii="Arial" w:hAnsi="Arial" w:cs="Arial"/>
          <w:b w:val="0"/>
          <w:sz w:val="24"/>
          <w:szCs w:val="24"/>
        </w:rPr>
      </w:pPr>
      <w:r w:rsidRPr="00312203">
        <w:rPr>
          <w:rFonts w:ascii="Arial" w:hAnsi="Arial" w:cs="Arial"/>
          <w:b w:val="0"/>
          <w:sz w:val="24"/>
          <w:szCs w:val="24"/>
        </w:rPr>
        <w:t>i o zmianie Kodeksu cywilnego</w:t>
      </w:r>
    </w:p>
    <w:p w:rsidR="00F16002" w:rsidRPr="00312203" w:rsidRDefault="00F16002" w:rsidP="00690F25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</w:p>
    <w:p w:rsidR="00F16002" w:rsidRPr="00312203" w:rsidRDefault="00F16002" w:rsidP="00690F25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:rsidR="00893980" w:rsidRPr="00ED249D" w:rsidRDefault="00F16002" w:rsidP="00690F25">
      <w:pPr>
        <w:spacing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12203">
        <w:rPr>
          <w:rFonts w:ascii="Arial" w:hAnsi="Arial" w:cs="Arial"/>
          <w:b/>
          <w:sz w:val="24"/>
          <w:szCs w:val="24"/>
        </w:rPr>
        <w:t>Art. 1.</w:t>
      </w:r>
      <w:r w:rsidR="00ED249D">
        <w:rPr>
          <w:rFonts w:ascii="Arial" w:hAnsi="Arial" w:cs="Arial"/>
          <w:b/>
          <w:sz w:val="24"/>
          <w:szCs w:val="24"/>
        </w:rPr>
        <w:t xml:space="preserve"> </w:t>
      </w:r>
      <w:r w:rsidR="00D2419C" w:rsidRPr="00312203">
        <w:rPr>
          <w:rFonts w:ascii="Arial" w:hAnsi="Arial" w:cs="Arial"/>
          <w:sz w:val="24"/>
          <w:szCs w:val="24"/>
        </w:rPr>
        <w:t>W ustawie z dnia 21 czerwca 2001 r. o ochronie praw lokatorów, mieszkaniowym zasobie gminy i o zmianie Kodeksu cywilnego (Dz. U. z 2018 r., poz. 1234, 1496) wprowadza się następujące zmiany:</w:t>
      </w:r>
    </w:p>
    <w:p w:rsidR="00D2419C" w:rsidRPr="00312203" w:rsidRDefault="00D2419C" w:rsidP="00690F25">
      <w:pPr>
        <w:pStyle w:val="Akapitzlist"/>
        <w:numPr>
          <w:ilvl w:val="0"/>
          <w:numId w:val="22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12203">
        <w:rPr>
          <w:rFonts w:ascii="Arial" w:hAnsi="Arial" w:cs="Arial"/>
          <w:sz w:val="24"/>
          <w:szCs w:val="24"/>
        </w:rPr>
        <w:t>po art. 16 dodaje się art. 16a w brzmieniu:</w:t>
      </w:r>
    </w:p>
    <w:p w:rsidR="00D2419C" w:rsidRPr="00312203" w:rsidRDefault="00D2419C" w:rsidP="00690F25">
      <w:pPr>
        <w:spacing w:after="12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312203">
        <w:rPr>
          <w:rFonts w:ascii="Arial" w:hAnsi="Arial" w:cs="Arial"/>
          <w:sz w:val="24"/>
          <w:szCs w:val="24"/>
        </w:rPr>
        <w:t xml:space="preserve">„Art. 16a. 1. Osoba, wobec której sąd orzekł nakaz opróżnienia lokalu bez </w:t>
      </w:r>
      <w:r w:rsidR="00187627" w:rsidRPr="00312203">
        <w:rPr>
          <w:rFonts w:ascii="Arial" w:hAnsi="Arial" w:cs="Arial"/>
          <w:sz w:val="24"/>
          <w:szCs w:val="24"/>
        </w:rPr>
        <w:t>upraw</w:t>
      </w:r>
      <w:r w:rsidR="00976762" w:rsidRPr="00312203">
        <w:rPr>
          <w:rFonts w:ascii="Arial" w:hAnsi="Arial" w:cs="Arial"/>
          <w:sz w:val="24"/>
          <w:szCs w:val="24"/>
        </w:rPr>
        <w:t>n</w:t>
      </w:r>
      <w:r w:rsidR="00187627" w:rsidRPr="00312203">
        <w:rPr>
          <w:rFonts w:ascii="Arial" w:hAnsi="Arial" w:cs="Arial"/>
          <w:sz w:val="24"/>
          <w:szCs w:val="24"/>
        </w:rPr>
        <w:t xml:space="preserve">ienia </w:t>
      </w:r>
      <w:r w:rsidRPr="00312203">
        <w:rPr>
          <w:rFonts w:ascii="Arial" w:hAnsi="Arial" w:cs="Arial"/>
          <w:sz w:val="24"/>
          <w:szCs w:val="24"/>
        </w:rPr>
        <w:t xml:space="preserve">do zawarcia umowy najmu socjalnego lokalu, może wytoczyć powództwo o ustalenie uprawnienia do zawarcia umowy najmu socjalnego lokalu, jeżeli w ciągu roku od </w:t>
      </w:r>
      <w:r w:rsidR="000F4B3C" w:rsidRPr="00312203">
        <w:rPr>
          <w:rFonts w:ascii="Arial" w:hAnsi="Arial" w:cs="Arial"/>
          <w:sz w:val="24"/>
          <w:szCs w:val="24"/>
        </w:rPr>
        <w:t xml:space="preserve">dnia </w:t>
      </w:r>
      <w:r w:rsidRPr="00312203">
        <w:rPr>
          <w:rFonts w:ascii="Arial" w:hAnsi="Arial" w:cs="Arial"/>
          <w:sz w:val="24"/>
          <w:szCs w:val="24"/>
        </w:rPr>
        <w:t xml:space="preserve">nadania klauzuli wykonalności wyrokowi nakazującemu opróżnienie lokalu nie został złożony wniosek o wszczęcie egzekucji, a okoliczności uzasadniające zawarcie umowy najmu socjalnego lokalu nie istniały w chwili zamknięcia rozprawy w postępowaniu o opróżnienie lokalu. </w:t>
      </w:r>
    </w:p>
    <w:p w:rsidR="00D2419C" w:rsidRPr="00312203" w:rsidRDefault="00D2419C" w:rsidP="00690F25">
      <w:pPr>
        <w:spacing w:after="12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312203">
        <w:rPr>
          <w:rFonts w:ascii="Arial" w:hAnsi="Arial" w:cs="Arial"/>
          <w:sz w:val="24"/>
          <w:szCs w:val="24"/>
        </w:rPr>
        <w:t xml:space="preserve">2. </w:t>
      </w:r>
      <w:r w:rsidR="003C79DE" w:rsidRPr="00312203">
        <w:rPr>
          <w:rFonts w:ascii="Arial" w:hAnsi="Arial" w:cs="Arial"/>
          <w:sz w:val="24"/>
          <w:szCs w:val="24"/>
        </w:rPr>
        <w:t>Osoba, która utraciła status lokatora w związku z postanowieniem o przysądzeniu własności albo postanowieniem o przyznaniu własności nieruchomości,</w:t>
      </w:r>
      <w:r w:rsidRPr="00312203">
        <w:rPr>
          <w:rFonts w:ascii="Arial" w:hAnsi="Arial" w:cs="Arial"/>
          <w:sz w:val="24"/>
          <w:szCs w:val="24"/>
        </w:rPr>
        <w:t xml:space="preserve"> obowiązan</w:t>
      </w:r>
      <w:r w:rsidR="00493164" w:rsidRPr="00312203">
        <w:rPr>
          <w:rFonts w:ascii="Arial" w:hAnsi="Arial" w:cs="Arial"/>
          <w:sz w:val="24"/>
          <w:szCs w:val="24"/>
        </w:rPr>
        <w:t>a</w:t>
      </w:r>
      <w:r w:rsidRPr="00312203">
        <w:rPr>
          <w:rFonts w:ascii="Arial" w:hAnsi="Arial" w:cs="Arial"/>
          <w:sz w:val="24"/>
          <w:szCs w:val="24"/>
        </w:rPr>
        <w:t xml:space="preserve"> do </w:t>
      </w:r>
      <w:r w:rsidR="00A15E14" w:rsidRPr="00312203">
        <w:rPr>
          <w:rFonts w:ascii="Arial" w:hAnsi="Arial" w:cs="Arial"/>
          <w:sz w:val="24"/>
          <w:szCs w:val="24"/>
        </w:rPr>
        <w:t xml:space="preserve">opróżnienia lokalu na podstawie prawomocnego </w:t>
      </w:r>
      <w:r w:rsidRPr="00312203">
        <w:rPr>
          <w:rFonts w:ascii="Arial" w:hAnsi="Arial" w:cs="Arial"/>
          <w:sz w:val="24"/>
          <w:szCs w:val="24"/>
        </w:rPr>
        <w:t xml:space="preserve">postanowienia o przysądzeniu własności albo postanowienia o przyznaniu własności </w:t>
      </w:r>
      <w:r w:rsidR="00D419EC" w:rsidRPr="00312203">
        <w:rPr>
          <w:rFonts w:ascii="Arial" w:hAnsi="Arial" w:cs="Arial"/>
          <w:sz w:val="24"/>
          <w:szCs w:val="24"/>
        </w:rPr>
        <w:t>nieruchomości</w:t>
      </w:r>
      <w:r w:rsidR="00CE263F" w:rsidRPr="00312203">
        <w:rPr>
          <w:rFonts w:ascii="Arial" w:hAnsi="Arial" w:cs="Arial"/>
          <w:sz w:val="24"/>
          <w:szCs w:val="24"/>
        </w:rPr>
        <w:t>,</w:t>
      </w:r>
      <w:r w:rsidR="00D419EC" w:rsidRPr="00312203">
        <w:rPr>
          <w:rFonts w:ascii="Arial" w:hAnsi="Arial" w:cs="Arial"/>
          <w:sz w:val="24"/>
          <w:szCs w:val="24"/>
        </w:rPr>
        <w:t xml:space="preserve"> </w:t>
      </w:r>
      <w:r w:rsidRPr="00312203">
        <w:rPr>
          <w:rFonts w:ascii="Arial" w:hAnsi="Arial" w:cs="Arial"/>
          <w:sz w:val="24"/>
          <w:szCs w:val="24"/>
        </w:rPr>
        <w:t>może wytoczyć powództwo o ustalenie uprawnienia do zawarcia umowy najmu socjalnego lokalu</w:t>
      </w:r>
      <w:r w:rsidR="00A15E14" w:rsidRPr="00312203">
        <w:rPr>
          <w:rFonts w:ascii="Arial" w:hAnsi="Arial" w:cs="Arial"/>
          <w:sz w:val="24"/>
          <w:szCs w:val="24"/>
        </w:rPr>
        <w:t>,</w:t>
      </w:r>
      <w:r w:rsidRPr="00312203">
        <w:rPr>
          <w:rFonts w:ascii="Arial" w:hAnsi="Arial" w:cs="Arial"/>
          <w:sz w:val="24"/>
          <w:szCs w:val="24"/>
        </w:rPr>
        <w:t xml:space="preserve"> jeżeli zachodzą okoliczności uzasadniające zawarcie </w:t>
      </w:r>
      <w:r w:rsidR="000355A8" w:rsidRPr="00312203">
        <w:rPr>
          <w:rFonts w:ascii="Arial" w:hAnsi="Arial" w:cs="Arial"/>
          <w:sz w:val="24"/>
          <w:szCs w:val="24"/>
        </w:rPr>
        <w:t xml:space="preserve">takiej </w:t>
      </w:r>
      <w:r w:rsidRPr="00312203">
        <w:rPr>
          <w:rFonts w:ascii="Arial" w:hAnsi="Arial" w:cs="Arial"/>
          <w:sz w:val="24"/>
          <w:szCs w:val="24"/>
        </w:rPr>
        <w:t>umowy</w:t>
      </w:r>
      <w:r w:rsidR="000355A8" w:rsidRPr="00312203">
        <w:rPr>
          <w:rFonts w:ascii="Arial" w:hAnsi="Arial" w:cs="Arial"/>
          <w:sz w:val="24"/>
          <w:szCs w:val="24"/>
        </w:rPr>
        <w:t>.</w:t>
      </w:r>
      <w:r w:rsidRPr="00312203">
        <w:rPr>
          <w:rFonts w:ascii="Arial" w:hAnsi="Arial" w:cs="Arial"/>
          <w:sz w:val="24"/>
          <w:szCs w:val="24"/>
        </w:rPr>
        <w:t xml:space="preserve"> </w:t>
      </w:r>
    </w:p>
    <w:p w:rsidR="00D2419C" w:rsidRPr="00312203" w:rsidRDefault="00D2419C" w:rsidP="00690F25">
      <w:pPr>
        <w:spacing w:after="12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312203">
        <w:rPr>
          <w:rFonts w:ascii="Arial" w:hAnsi="Arial" w:cs="Arial"/>
          <w:sz w:val="24"/>
          <w:szCs w:val="24"/>
        </w:rPr>
        <w:t>3. Powództwa, o których mowa</w:t>
      </w:r>
      <w:r w:rsidR="007E5534" w:rsidRPr="00312203">
        <w:rPr>
          <w:rFonts w:ascii="Arial" w:hAnsi="Arial" w:cs="Arial"/>
          <w:sz w:val="24"/>
          <w:szCs w:val="24"/>
        </w:rPr>
        <w:t xml:space="preserve"> w</w:t>
      </w:r>
      <w:r w:rsidRPr="00312203">
        <w:rPr>
          <w:rFonts w:ascii="Arial" w:hAnsi="Arial" w:cs="Arial"/>
          <w:sz w:val="24"/>
          <w:szCs w:val="24"/>
        </w:rPr>
        <w:t xml:space="preserve"> ust. 1 i 2, </w:t>
      </w:r>
      <w:r w:rsidR="005F346D" w:rsidRPr="00312203">
        <w:rPr>
          <w:rFonts w:ascii="Arial" w:hAnsi="Arial" w:cs="Arial"/>
          <w:sz w:val="24"/>
          <w:szCs w:val="24"/>
        </w:rPr>
        <w:t xml:space="preserve">wytacza </w:t>
      </w:r>
      <w:r w:rsidRPr="00312203">
        <w:rPr>
          <w:rFonts w:ascii="Arial" w:hAnsi="Arial" w:cs="Arial"/>
          <w:sz w:val="24"/>
          <w:szCs w:val="24"/>
        </w:rPr>
        <w:t xml:space="preserve">się przeciwko gminie właściwej ze względu na miejsce położenia lokalu </w:t>
      </w:r>
      <w:r w:rsidR="001C2784" w:rsidRPr="00312203">
        <w:rPr>
          <w:rFonts w:ascii="Arial" w:hAnsi="Arial" w:cs="Arial"/>
          <w:sz w:val="24"/>
          <w:szCs w:val="24"/>
        </w:rPr>
        <w:t xml:space="preserve">podlegającego </w:t>
      </w:r>
      <w:r w:rsidRPr="00312203">
        <w:rPr>
          <w:rFonts w:ascii="Arial" w:hAnsi="Arial" w:cs="Arial"/>
          <w:sz w:val="24"/>
          <w:szCs w:val="24"/>
        </w:rPr>
        <w:t xml:space="preserve">opróżnieniu. </w:t>
      </w:r>
    </w:p>
    <w:p w:rsidR="00D2419C" w:rsidRPr="00ED249D" w:rsidRDefault="00D2419C" w:rsidP="00690F25">
      <w:pPr>
        <w:spacing w:after="12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312203">
        <w:rPr>
          <w:rFonts w:ascii="Arial" w:hAnsi="Arial" w:cs="Arial"/>
          <w:sz w:val="24"/>
          <w:szCs w:val="24"/>
        </w:rPr>
        <w:t xml:space="preserve">4. </w:t>
      </w:r>
      <w:r w:rsidR="00A0424B" w:rsidRPr="00312203">
        <w:rPr>
          <w:rFonts w:ascii="Arial" w:hAnsi="Arial" w:cs="Arial"/>
          <w:sz w:val="24"/>
          <w:szCs w:val="24"/>
        </w:rPr>
        <w:t>W</w:t>
      </w:r>
      <w:r w:rsidR="00B209D1" w:rsidRPr="00312203">
        <w:rPr>
          <w:rFonts w:ascii="Arial" w:hAnsi="Arial" w:cs="Arial"/>
          <w:sz w:val="24"/>
          <w:szCs w:val="24"/>
        </w:rPr>
        <w:t xml:space="preserve"> </w:t>
      </w:r>
      <w:r w:rsidR="00D17CE2" w:rsidRPr="00312203">
        <w:rPr>
          <w:rFonts w:ascii="Arial" w:hAnsi="Arial" w:cs="Arial"/>
          <w:sz w:val="24"/>
          <w:szCs w:val="24"/>
        </w:rPr>
        <w:t xml:space="preserve">sprawach o ustalenie uprawnienia do zawarcia umowy najmu socjalnego lokalu </w:t>
      </w:r>
      <w:r w:rsidR="00A0424B" w:rsidRPr="00312203">
        <w:rPr>
          <w:rFonts w:ascii="Arial" w:hAnsi="Arial" w:cs="Arial"/>
          <w:sz w:val="24"/>
          <w:szCs w:val="24"/>
        </w:rPr>
        <w:t>sąd z urzędu zawiadamia wierzyciela</w:t>
      </w:r>
      <w:r w:rsidR="00BA17AF" w:rsidRPr="00312203">
        <w:rPr>
          <w:rFonts w:ascii="Arial" w:hAnsi="Arial" w:cs="Arial"/>
          <w:sz w:val="24"/>
          <w:szCs w:val="24"/>
        </w:rPr>
        <w:t xml:space="preserve"> w celu umożliwienia mu </w:t>
      </w:r>
      <w:r w:rsidR="00BA17AF" w:rsidRPr="00312203">
        <w:rPr>
          <w:rFonts w:ascii="Arial" w:hAnsi="Arial" w:cs="Arial"/>
          <w:sz w:val="24"/>
          <w:szCs w:val="24"/>
        </w:rPr>
        <w:lastRenderedPageBreak/>
        <w:t>wstąpienia do sprawy</w:t>
      </w:r>
      <w:r w:rsidR="00A0424B" w:rsidRPr="00312203">
        <w:rPr>
          <w:rFonts w:ascii="Arial" w:hAnsi="Arial" w:cs="Arial"/>
          <w:sz w:val="24"/>
          <w:szCs w:val="24"/>
        </w:rPr>
        <w:t xml:space="preserve">. </w:t>
      </w:r>
      <w:r w:rsidRPr="00312203">
        <w:rPr>
          <w:rFonts w:ascii="Arial" w:hAnsi="Arial" w:cs="Arial"/>
          <w:sz w:val="24"/>
          <w:szCs w:val="24"/>
        </w:rPr>
        <w:t xml:space="preserve">Do udziału wierzyciela stosuje się przepisy o interwencji ubocznej, z wyjątkiem art. 78, </w:t>
      </w:r>
      <w:r w:rsidR="00ED249D">
        <w:rPr>
          <w:rFonts w:ascii="Arial" w:hAnsi="Arial" w:cs="Arial"/>
          <w:sz w:val="24"/>
          <w:szCs w:val="24"/>
        </w:rPr>
        <w:t xml:space="preserve">art. </w:t>
      </w:r>
      <w:r w:rsidRPr="00312203">
        <w:rPr>
          <w:rFonts w:ascii="Arial" w:hAnsi="Arial" w:cs="Arial"/>
          <w:sz w:val="24"/>
          <w:szCs w:val="24"/>
        </w:rPr>
        <w:t>79 zdanie drugie i art. 83 Kodeksu postępowania cywilnego.</w:t>
      </w:r>
      <w:r w:rsidR="005B1C5F" w:rsidRPr="00312203">
        <w:t xml:space="preserve"> </w:t>
      </w:r>
      <w:r w:rsidR="005B1C5F" w:rsidRPr="00ED249D">
        <w:rPr>
          <w:rFonts w:ascii="Arial" w:hAnsi="Arial" w:cs="Arial"/>
          <w:sz w:val="24"/>
          <w:szCs w:val="24"/>
        </w:rPr>
        <w:t xml:space="preserve">Wierzyciel nie musi wykazywać interesu prawnego </w:t>
      </w:r>
      <w:r w:rsidR="00ED249D">
        <w:rPr>
          <w:rFonts w:ascii="Arial" w:hAnsi="Arial" w:cs="Arial"/>
          <w:sz w:val="24"/>
          <w:szCs w:val="24"/>
        </w:rPr>
        <w:br/>
      </w:r>
      <w:r w:rsidR="005B1C5F" w:rsidRPr="00ED249D">
        <w:rPr>
          <w:rFonts w:ascii="Arial" w:hAnsi="Arial" w:cs="Arial"/>
          <w:sz w:val="24"/>
          <w:szCs w:val="24"/>
        </w:rPr>
        <w:t xml:space="preserve">w przystąpieniu do sprawy. </w:t>
      </w:r>
    </w:p>
    <w:p w:rsidR="00D2419C" w:rsidRPr="00312203" w:rsidRDefault="00D2419C" w:rsidP="00690F25">
      <w:pPr>
        <w:spacing w:after="12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312203">
        <w:rPr>
          <w:rFonts w:ascii="Arial" w:hAnsi="Arial" w:cs="Arial"/>
          <w:sz w:val="24"/>
          <w:szCs w:val="24"/>
        </w:rPr>
        <w:t>5. W sprawach</w:t>
      </w:r>
      <w:r w:rsidR="00D17CE2" w:rsidRPr="00312203">
        <w:rPr>
          <w:rFonts w:ascii="Arial" w:hAnsi="Arial" w:cs="Arial"/>
          <w:sz w:val="24"/>
          <w:szCs w:val="24"/>
        </w:rPr>
        <w:t>, o których mowa w ust. 4,</w:t>
      </w:r>
      <w:r w:rsidRPr="00312203">
        <w:rPr>
          <w:rFonts w:ascii="Arial" w:hAnsi="Arial" w:cs="Arial"/>
          <w:sz w:val="24"/>
          <w:szCs w:val="24"/>
        </w:rPr>
        <w:t xml:space="preserve"> przepisy art. 14 ust. 2 -</w:t>
      </w:r>
      <w:r w:rsidR="000E2515">
        <w:rPr>
          <w:rFonts w:ascii="Arial" w:hAnsi="Arial" w:cs="Arial"/>
          <w:sz w:val="24"/>
          <w:szCs w:val="24"/>
        </w:rPr>
        <w:t xml:space="preserve"> </w:t>
      </w:r>
      <w:r w:rsidRPr="00312203">
        <w:rPr>
          <w:rFonts w:ascii="Arial" w:hAnsi="Arial" w:cs="Arial"/>
          <w:sz w:val="24"/>
          <w:szCs w:val="24"/>
        </w:rPr>
        <w:t>7 stosuje się odpowiednio.</w:t>
      </w:r>
    </w:p>
    <w:p w:rsidR="00D2419C" w:rsidRPr="00312203" w:rsidRDefault="00D2419C" w:rsidP="00690F25">
      <w:pPr>
        <w:spacing w:after="12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312203">
        <w:rPr>
          <w:rFonts w:ascii="Arial" w:hAnsi="Arial" w:cs="Arial"/>
          <w:sz w:val="24"/>
          <w:szCs w:val="24"/>
        </w:rPr>
        <w:t>6. Sąd może z urzędu udzielić zabezpieczenia przez wstrzymanie wykonania opróżnienia lokalu do czasu</w:t>
      </w:r>
      <w:r w:rsidR="00177968" w:rsidRPr="00312203">
        <w:rPr>
          <w:rFonts w:ascii="Arial" w:hAnsi="Arial" w:cs="Arial"/>
          <w:sz w:val="24"/>
          <w:szCs w:val="24"/>
        </w:rPr>
        <w:t xml:space="preserve"> </w:t>
      </w:r>
      <w:r w:rsidRPr="00312203">
        <w:rPr>
          <w:rFonts w:ascii="Arial" w:hAnsi="Arial" w:cs="Arial"/>
          <w:sz w:val="24"/>
          <w:szCs w:val="24"/>
        </w:rPr>
        <w:t xml:space="preserve">zakończenia postępowania w sprawie o ustalenie uprawnienia do </w:t>
      </w:r>
      <w:r w:rsidR="0050534F" w:rsidRPr="00312203">
        <w:rPr>
          <w:rFonts w:ascii="Arial" w:hAnsi="Arial" w:cs="Arial"/>
          <w:sz w:val="24"/>
          <w:szCs w:val="24"/>
        </w:rPr>
        <w:t xml:space="preserve">zawarcia umowy </w:t>
      </w:r>
      <w:r w:rsidRPr="00312203">
        <w:rPr>
          <w:rFonts w:ascii="Arial" w:hAnsi="Arial" w:cs="Arial"/>
          <w:sz w:val="24"/>
          <w:szCs w:val="24"/>
        </w:rPr>
        <w:t>najmu socjalnego lokalu.</w:t>
      </w:r>
    </w:p>
    <w:p w:rsidR="00D2419C" w:rsidRPr="00312203" w:rsidRDefault="00D2419C" w:rsidP="00690F25">
      <w:pPr>
        <w:spacing w:after="12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312203">
        <w:rPr>
          <w:rFonts w:ascii="Arial" w:hAnsi="Arial" w:cs="Arial"/>
          <w:sz w:val="24"/>
          <w:szCs w:val="24"/>
        </w:rPr>
        <w:t xml:space="preserve">7. Postępowanie w sprawach, o których mowa w ust. </w:t>
      </w:r>
      <w:r w:rsidR="002125DF" w:rsidRPr="00312203">
        <w:rPr>
          <w:rFonts w:ascii="Arial" w:hAnsi="Arial" w:cs="Arial"/>
          <w:sz w:val="24"/>
          <w:szCs w:val="24"/>
        </w:rPr>
        <w:t>4</w:t>
      </w:r>
      <w:r w:rsidRPr="00312203">
        <w:rPr>
          <w:rFonts w:ascii="Arial" w:hAnsi="Arial" w:cs="Arial"/>
          <w:sz w:val="24"/>
          <w:szCs w:val="24"/>
        </w:rPr>
        <w:t>, jest wolne od opłat sądowych.”;</w:t>
      </w:r>
    </w:p>
    <w:p w:rsidR="00D2419C" w:rsidRPr="00312203" w:rsidRDefault="00D2419C" w:rsidP="00690F25">
      <w:pPr>
        <w:pStyle w:val="Akapitzlist"/>
        <w:numPr>
          <w:ilvl w:val="0"/>
          <w:numId w:val="22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12203">
        <w:rPr>
          <w:rFonts w:ascii="Arial" w:hAnsi="Arial" w:cs="Arial"/>
          <w:sz w:val="24"/>
          <w:szCs w:val="24"/>
        </w:rPr>
        <w:t>w art. 17 ust. 1 otrzymuje brzmienie:</w:t>
      </w:r>
    </w:p>
    <w:p w:rsidR="00D2419C" w:rsidRPr="00312203" w:rsidRDefault="00D2419C" w:rsidP="00690F25">
      <w:pPr>
        <w:pStyle w:val="Akapitzlist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12203">
        <w:rPr>
          <w:rFonts w:ascii="Arial" w:hAnsi="Arial" w:cs="Arial"/>
          <w:sz w:val="24"/>
          <w:szCs w:val="24"/>
        </w:rPr>
        <w:t xml:space="preserve">„1. Przepisów art. 14, </w:t>
      </w:r>
      <w:r w:rsidR="00F94250" w:rsidRPr="00312203">
        <w:rPr>
          <w:rFonts w:ascii="Arial" w:hAnsi="Arial" w:cs="Arial"/>
          <w:sz w:val="24"/>
          <w:szCs w:val="24"/>
        </w:rPr>
        <w:t xml:space="preserve">art. </w:t>
      </w:r>
      <w:r w:rsidRPr="00312203">
        <w:rPr>
          <w:rFonts w:ascii="Arial" w:hAnsi="Arial" w:cs="Arial"/>
          <w:sz w:val="24"/>
          <w:szCs w:val="24"/>
        </w:rPr>
        <w:t xml:space="preserve">16 i </w:t>
      </w:r>
      <w:r w:rsidR="00F94250" w:rsidRPr="00312203">
        <w:rPr>
          <w:rFonts w:ascii="Arial" w:hAnsi="Arial" w:cs="Arial"/>
          <w:sz w:val="24"/>
          <w:szCs w:val="24"/>
        </w:rPr>
        <w:t xml:space="preserve">art. </w:t>
      </w:r>
      <w:r w:rsidRPr="00312203">
        <w:rPr>
          <w:rFonts w:ascii="Arial" w:hAnsi="Arial" w:cs="Arial"/>
          <w:sz w:val="24"/>
          <w:szCs w:val="24"/>
        </w:rPr>
        <w:t>16a nie stosuje się, gdy powodem opróżnienia lokalu jest stosowanie przemocy w rodzinie lub wykraczanie w sposób rażący lub uporczywy przeciwko porządkowi domowemu, albo niewłaściwe zachowanie czyniące uciążliwym korzystanie z innych lokali w budynku albo gdy zajęcie lokalu nastąpiło bez tytułu prawnego.”.</w:t>
      </w:r>
    </w:p>
    <w:p w:rsidR="003C79DE" w:rsidRPr="000E2515" w:rsidRDefault="00135F07" w:rsidP="008023A5">
      <w:pPr>
        <w:spacing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12203">
        <w:rPr>
          <w:rFonts w:ascii="Arial" w:hAnsi="Arial" w:cs="Arial"/>
          <w:b/>
          <w:sz w:val="24"/>
          <w:szCs w:val="24"/>
        </w:rPr>
        <w:t xml:space="preserve">Art.  </w:t>
      </w:r>
      <w:r w:rsidR="00312203" w:rsidRPr="00312203">
        <w:rPr>
          <w:rFonts w:ascii="Arial" w:hAnsi="Arial" w:cs="Arial"/>
          <w:b/>
          <w:sz w:val="24"/>
          <w:szCs w:val="24"/>
        </w:rPr>
        <w:t>2</w:t>
      </w:r>
      <w:r w:rsidR="008023A5">
        <w:rPr>
          <w:rFonts w:ascii="Arial" w:hAnsi="Arial" w:cs="Arial"/>
          <w:b/>
          <w:sz w:val="24"/>
          <w:szCs w:val="24"/>
        </w:rPr>
        <w:t>.</w:t>
      </w:r>
      <w:r w:rsidR="000E2515">
        <w:rPr>
          <w:rFonts w:ascii="Arial" w:hAnsi="Arial" w:cs="Arial"/>
          <w:b/>
          <w:sz w:val="24"/>
          <w:szCs w:val="24"/>
        </w:rPr>
        <w:t xml:space="preserve"> </w:t>
      </w:r>
      <w:r w:rsidR="003C79DE" w:rsidRPr="00312203">
        <w:rPr>
          <w:rFonts w:ascii="Arial" w:hAnsi="Arial" w:cs="Arial"/>
          <w:sz w:val="24"/>
          <w:szCs w:val="24"/>
        </w:rPr>
        <w:t xml:space="preserve">1. </w:t>
      </w:r>
      <w:r w:rsidR="00D4648A" w:rsidRPr="00312203">
        <w:rPr>
          <w:rFonts w:ascii="Arial" w:hAnsi="Arial" w:cs="Arial"/>
          <w:sz w:val="24"/>
          <w:szCs w:val="24"/>
        </w:rPr>
        <w:t xml:space="preserve">Przepisu art. 16a ust. 1 </w:t>
      </w:r>
      <w:r w:rsidR="00E92B5F" w:rsidRPr="00312203">
        <w:rPr>
          <w:rFonts w:ascii="Arial" w:hAnsi="Arial" w:cs="Arial"/>
          <w:sz w:val="24"/>
          <w:szCs w:val="24"/>
        </w:rPr>
        <w:t>ustawy zmienianej w art. 1</w:t>
      </w:r>
      <w:r w:rsidR="00E92B5F">
        <w:rPr>
          <w:rFonts w:ascii="Arial" w:hAnsi="Arial" w:cs="Arial"/>
          <w:sz w:val="24"/>
          <w:szCs w:val="24"/>
        </w:rPr>
        <w:t xml:space="preserve"> </w:t>
      </w:r>
      <w:r w:rsidR="00D4648A" w:rsidRPr="00312203">
        <w:rPr>
          <w:rFonts w:ascii="Arial" w:hAnsi="Arial" w:cs="Arial"/>
          <w:sz w:val="24"/>
          <w:szCs w:val="24"/>
        </w:rPr>
        <w:t xml:space="preserve">nie stosuje się </w:t>
      </w:r>
      <w:r w:rsidR="00E92B5F">
        <w:rPr>
          <w:rFonts w:ascii="Arial" w:hAnsi="Arial" w:cs="Arial"/>
          <w:sz w:val="24"/>
          <w:szCs w:val="24"/>
        </w:rPr>
        <w:br/>
      </w:r>
      <w:r w:rsidR="00D4648A" w:rsidRPr="00312203">
        <w:rPr>
          <w:rFonts w:ascii="Arial" w:hAnsi="Arial" w:cs="Arial"/>
          <w:sz w:val="24"/>
          <w:szCs w:val="24"/>
        </w:rPr>
        <w:t xml:space="preserve">w sprawach, w których wyrok nakazujący opróżnienie lokalu został wydany </w:t>
      </w:r>
      <w:r w:rsidR="00E92B5F">
        <w:rPr>
          <w:rFonts w:ascii="Arial" w:hAnsi="Arial" w:cs="Arial"/>
          <w:sz w:val="24"/>
          <w:szCs w:val="24"/>
        </w:rPr>
        <w:br/>
      </w:r>
      <w:r w:rsidR="00D4648A" w:rsidRPr="00312203">
        <w:rPr>
          <w:rFonts w:ascii="Arial" w:hAnsi="Arial" w:cs="Arial"/>
          <w:sz w:val="24"/>
          <w:szCs w:val="24"/>
        </w:rPr>
        <w:t xml:space="preserve">w postępowaniu wszczętym przed </w:t>
      </w:r>
      <w:r w:rsidR="00E34683">
        <w:rPr>
          <w:rFonts w:ascii="Arial" w:hAnsi="Arial" w:cs="Arial"/>
          <w:sz w:val="24"/>
          <w:szCs w:val="24"/>
        </w:rPr>
        <w:t>dniem wejścia</w:t>
      </w:r>
      <w:r w:rsidR="00D4648A" w:rsidRPr="00312203">
        <w:rPr>
          <w:rFonts w:ascii="Arial" w:hAnsi="Arial" w:cs="Arial"/>
          <w:sz w:val="24"/>
          <w:szCs w:val="24"/>
        </w:rPr>
        <w:t xml:space="preserve"> w życie </w:t>
      </w:r>
      <w:r w:rsidR="00E34683">
        <w:rPr>
          <w:rFonts w:ascii="Arial" w:hAnsi="Arial" w:cs="Arial"/>
          <w:sz w:val="24"/>
          <w:szCs w:val="24"/>
        </w:rPr>
        <w:t xml:space="preserve">niniejszej </w:t>
      </w:r>
      <w:r w:rsidR="00D4648A" w:rsidRPr="00312203">
        <w:rPr>
          <w:rFonts w:ascii="Arial" w:hAnsi="Arial" w:cs="Arial"/>
          <w:sz w:val="24"/>
          <w:szCs w:val="24"/>
        </w:rPr>
        <w:t>ustawy.</w:t>
      </w:r>
      <w:r w:rsidR="00512079" w:rsidRPr="00312203">
        <w:rPr>
          <w:rFonts w:ascii="Arial" w:hAnsi="Arial" w:cs="Arial"/>
          <w:sz w:val="24"/>
          <w:szCs w:val="24"/>
        </w:rPr>
        <w:t xml:space="preserve"> </w:t>
      </w:r>
    </w:p>
    <w:p w:rsidR="00893980" w:rsidRPr="00312203" w:rsidRDefault="003C79DE" w:rsidP="00CF52BC">
      <w:pPr>
        <w:pStyle w:val="Akapitzlist"/>
        <w:spacing w:after="12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312203">
        <w:rPr>
          <w:rFonts w:ascii="Arial" w:hAnsi="Arial" w:cs="Arial"/>
          <w:sz w:val="24"/>
          <w:szCs w:val="24"/>
        </w:rPr>
        <w:t xml:space="preserve">2. </w:t>
      </w:r>
      <w:r w:rsidR="00056828" w:rsidRPr="00312203">
        <w:rPr>
          <w:rFonts w:ascii="Arial" w:hAnsi="Arial" w:cs="Arial"/>
          <w:sz w:val="24"/>
          <w:szCs w:val="24"/>
        </w:rPr>
        <w:t xml:space="preserve">Do spraw wszczętych i niezakończonych przed dniem wejścia w życie </w:t>
      </w:r>
      <w:r w:rsidR="00E34683">
        <w:rPr>
          <w:rFonts w:ascii="Arial" w:hAnsi="Arial" w:cs="Arial"/>
          <w:sz w:val="24"/>
          <w:szCs w:val="24"/>
        </w:rPr>
        <w:t xml:space="preserve">niniejszej </w:t>
      </w:r>
      <w:r w:rsidR="00056828" w:rsidRPr="00312203">
        <w:rPr>
          <w:rFonts w:ascii="Arial" w:hAnsi="Arial" w:cs="Arial"/>
          <w:sz w:val="24"/>
          <w:szCs w:val="24"/>
        </w:rPr>
        <w:t xml:space="preserve">ustawy, a także do spraw, w których przed dniem wejścia w życie </w:t>
      </w:r>
      <w:r w:rsidR="00460406">
        <w:rPr>
          <w:rFonts w:ascii="Arial" w:hAnsi="Arial" w:cs="Arial"/>
          <w:sz w:val="24"/>
          <w:szCs w:val="24"/>
        </w:rPr>
        <w:t xml:space="preserve">niniejszej </w:t>
      </w:r>
      <w:r w:rsidR="00056828" w:rsidRPr="00312203">
        <w:rPr>
          <w:rFonts w:ascii="Arial" w:hAnsi="Arial" w:cs="Arial"/>
          <w:sz w:val="24"/>
          <w:szCs w:val="24"/>
        </w:rPr>
        <w:t xml:space="preserve">ustawy uprawomocniło się postanowienie o przysądzeniu własności albo postanowienie </w:t>
      </w:r>
      <w:r w:rsidR="00460406">
        <w:rPr>
          <w:rFonts w:ascii="Arial" w:hAnsi="Arial" w:cs="Arial"/>
          <w:sz w:val="24"/>
          <w:szCs w:val="24"/>
        </w:rPr>
        <w:br/>
      </w:r>
      <w:r w:rsidR="00056828" w:rsidRPr="00312203">
        <w:rPr>
          <w:rFonts w:ascii="Arial" w:hAnsi="Arial" w:cs="Arial"/>
          <w:sz w:val="24"/>
          <w:szCs w:val="24"/>
        </w:rPr>
        <w:t>o przyznaniu własności</w:t>
      </w:r>
      <w:r w:rsidR="0019677B" w:rsidRPr="00312203">
        <w:rPr>
          <w:rFonts w:ascii="Arial" w:hAnsi="Arial" w:cs="Arial"/>
          <w:sz w:val="24"/>
          <w:szCs w:val="24"/>
        </w:rPr>
        <w:t xml:space="preserve"> nieruchomości</w:t>
      </w:r>
      <w:r w:rsidR="00056828" w:rsidRPr="00312203">
        <w:rPr>
          <w:rFonts w:ascii="Arial" w:hAnsi="Arial" w:cs="Arial"/>
          <w:sz w:val="24"/>
          <w:szCs w:val="24"/>
        </w:rPr>
        <w:t>, stosuje się przepis art. 16a ust. 2 ustawy zmienianej w art. 1</w:t>
      </w:r>
      <w:r w:rsidR="00E34683">
        <w:rPr>
          <w:rFonts w:ascii="Arial" w:hAnsi="Arial" w:cs="Arial"/>
          <w:sz w:val="24"/>
          <w:szCs w:val="24"/>
        </w:rPr>
        <w:t xml:space="preserve">. </w:t>
      </w:r>
    </w:p>
    <w:p w:rsidR="00B200CE" w:rsidRPr="00312203" w:rsidRDefault="0076045D" w:rsidP="00690F25">
      <w:pPr>
        <w:spacing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12203">
        <w:rPr>
          <w:rFonts w:ascii="Arial" w:hAnsi="Arial" w:cs="Arial"/>
          <w:b/>
          <w:sz w:val="24"/>
          <w:szCs w:val="24"/>
        </w:rPr>
        <w:t xml:space="preserve">Art. </w:t>
      </w:r>
      <w:r w:rsidR="00312203" w:rsidRPr="00312203">
        <w:rPr>
          <w:rFonts w:ascii="Arial" w:hAnsi="Arial" w:cs="Arial"/>
          <w:b/>
          <w:sz w:val="24"/>
          <w:szCs w:val="24"/>
        </w:rPr>
        <w:t>3</w:t>
      </w:r>
      <w:r w:rsidR="00D84B8F" w:rsidRPr="00312203">
        <w:rPr>
          <w:rFonts w:ascii="Arial" w:hAnsi="Arial" w:cs="Arial"/>
          <w:b/>
          <w:sz w:val="24"/>
          <w:szCs w:val="24"/>
        </w:rPr>
        <w:t>.</w:t>
      </w:r>
      <w:r w:rsidR="00E34683">
        <w:rPr>
          <w:rFonts w:ascii="Arial" w:hAnsi="Arial" w:cs="Arial"/>
          <w:b/>
          <w:sz w:val="24"/>
          <w:szCs w:val="24"/>
        </w:rPr>
        <w:t xml:space="preserve"> </w:t>
      </w:r>
      <w:r w:rsidR="00B200CE" w:rsidRPr="00312203">
        <w:rPr>
          <w:rFonts w:ascii="Arial" w:hAnsi="Arial" w:cs="Arial"/>
          <w:sz w:val="24"/>
          <w:szCs w:val="24"/>
        </w:rPr>
        <w:t>Ustawa wchodzi w życie</w:t>
      </w:r>
      <w:r w:rsidR="00F63881" w:rsidRPr="00312203">
        <w:rPr>
          <w:rFonts w:ascii="Arial" w:hAnsi="Arial" w:cs="Arial"/>
          <w:sz w:val="24"/>
          <w:szCs w:val="24"/>
        </w:rPr>
        <w:t xml:space="preserve"> po upływie 1</w:t>
      </w:r>
      <w:r w:rsidR="0022076D" w:rsidRPr="00312203">
        <w:rPr>
          <w:rFonts w:ascii="Arial" w:hAnsi="Arial" w:cs="Arial"/>
          <w:sz w:val="24"/>
          <w:szCs w:val="24"/>
        </w:rPr>
        <w:t>4 dni od dnia ogłoszenia</w:t>
      </w:r>
      <w:r w:rsidR="00E65BC3" w:rsidRPr="00312203">
        <w:rPr>
          <w:rFonts w:ascii="Arial" w:hAnsi="Arial" w:cs="Arial"/>
          <w:sz w:val="24"/>
          <w:szCs w:val="24"/>
        </w:rPr>
        <w:t>.</w:t>
      </w:r>
    </w:p>
    <w:p w:rsidR="00967129" w:rsidRDefault="00967129" w:rsidP="00690F25">
      <w:pPr>
        <w:spacing w:after="120" w:line="360" w:lineRule="auto"/>
        <w:rPr>
          <w:rFonts w:ascii="Arial" w:eastAsia="PMingLiU" w:hAnsi="Arial" w:cs="Arial"/>
          <w:sz w:val="24"/>
          <w:szCs w:val="24"/>
          <w:lang w:eastAsia="zh-CN"/>
        </w:rPr>
      </w:pPr>
      <w:bookmarkStart w:id="0" w:name="_GoBack"/>
      <w:bookmarkEnd w:id="0"/>
    </w:p>
    <w:sectPr w:rsidR="00967129" w:rsidSect="00DB1B2A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D6A" w:rsidRDefault="00DE1D6A" w:rsidP="006E6867">
      <w:pPr>
        <w:spacing w:after="0" w:line="240" w:lineRule="auto"/>
      </w:pPr>
      <w:r>
        <w:separator/>
      </w:r>
    </w:p>
  </w:endnote>
  <w:endnote w:type="continuationSeparator" w:id="0">
    <w:p w:rsidR="00DE1D6A" w:rsidRDefault="00DE1D6A" w:rsidP="006E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D6A" w:rsidRDefault="00DE1D6A" w:rsidP="006E6867">
      <w:pPr>
        <w:spacing w:after="0" w:line="240" w:lineRule="auto"/>
      </w:pPr>
      <w:r>
        <w:separator/>
      </w:r>
    </w:p>
  </w:footnote>
  <w:footnote w:type="continuationSeparator" w:id="0">
    <w:p w:rsidR="00DE1D6A" w:rsidRDefault="00DE1D6A" w:rsidP="006E6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108BD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E3470"/>
    <w:multiLevelType w:val="hybridMultilevel"/>
    <w:tmpl w:val="9FCE488E"/>
    <w:lvl w:ilvl="0" w:tplc="7A2684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0602A1"/>
    <w:multiLevelType w:val="hybridMultilevel"/>
    <w:tmpl w:val="835604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105E1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A433C"/>
    <w:multiLevelType w:val="hybridMultilevel"/>
    <w:tmpl w:val="2E6E7D8A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32306"/>
    <w:multiLevelType w:val="hybridMultilevel"/>
    <w:tmpl w:val="E57C555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39E17F2"/>
    <w:multiLevelType w:val="hybridMultilevel"/>
    <w:tmpl w:val="0F6AC9F6"/>
    <w:lvl w:ilvl="0" w:tplc="85EC39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BC2F8F"/>
    <w:multiLevelType w:val="hybridMultilevel"/>
    <w:tmpl w:val="8C80AA50"/>
    <w:lvl w:ilvl="0" w:tplc="823006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D05CA0"/>
    <w:multiLevelType w:val="hybridMultilevel"/>
    <w:tmpl w:val="B08A1506"/>
    <w:lvl w:ilvl="0" w:tplc="1B389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E35E6"/>
    <w:multiLevelType w:val="hybridMultilevel"/>
    <w:tmpl w:val="E57C555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1AF514B"/>
    <w:multiLevelType w:val="hybridMultilevel"/>
    <w:tmpl w:val="FF82C0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12312C1"/>
    <w:multiLevelType w:val="hybridMultilevel"/>
    <w:tmpl w:val="32181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A1E4F"/>
    <w:multiLevelType w:val="hybridMultilevel"/>
    <w:tmpl w:val="E1BEF59C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C47063"/>
    <w:multiLevelType w:val="hybridMultilevel"/>
    <w:tmpl w:val="CAE0AF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A3487"/>
    <w:multiLevelType w:val="hybridMultilevel"/>
    <w:tmpl w:val="6134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2B390E"/>
    <w:multiLevelType w:val="hybridMultilevel"/>
    <w:tmpl w:val="1B3410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F4D14"/>
    <w:multiLevelType w:val="hybridMultilevel"/>
    <w:tmpl w:val="945E89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9C4A10A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C850D5"/>
    <w:multiLevelType w:val="hybridMultilevel"/>
    <w:tmpl w:val="8EDC03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A2C5F"/>
    <w:multiLevelType w:val="hybridMultilevel"/>
    <w:tmpl w:val="60A06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A5464F"/>
    <w:multiLevelType w:val="hybridMultilevel"/>
    <w:tmpl w:val="12A0F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D0CA4"/>
    <w:multiLevelType w:val="hybridMultilevel"/>
    <w:tmpl w:val="B08A1506"/>
    <w:lvl w:ilvl="0" w:tplc="1B389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8B79F6"/>
    <w:multiLevelType w:val="hybridMultilevel"/>
    <w:tmpl w:val="5A887C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BF29F5"/>
    <w:multiLevelType w:val="hybridMultilevel"/>
    <w:tmpl w:val="91C49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6"/>
  </w:num>
  <w:num w:numId="4">
    <w:abstractNumId w:val="1"/>
  </w:num>
  <w:num w:numId="5">
    <w:abstractNumId w:val="15"/>
  </w:num>
  <w:num w:numId="6">
    <w:abstractNumId w:val="7"/>
  </w:num>
  <w:num w:numId="7">
    <w:abstractNumId w:val="10"/>
  </w:num>
  <w:num w:numId="8">
    <w:abstractNumId w:val="17"/>
  </w:num>
  <w:num w:numId="9">
    <w:abstractNumId w:val="14"/>
  </w:num>
  <w:num w:numId="10">
    <w:abstractNumId w:val="21"/>
  </w:num>
  <w:num w:numId="11">
    <w:abstractNumId w:val="2"/>
  </w:num>
  <w:num w:numId="12">
    <w:abstractNumId w:val="19"/>
  </w:num>
  <w:num w:numId="13">
    <w:abstractNumId w:val="22"/>
  </w:num>
  <w:num w:numId="14">
    <w:abstractNumId w:val="4"/>
  </w:num>
  <w:num w:numId="15">
    <w:abstractNumId w:val="9"/>
  </w:num>
  <w:num w:numId="16">
    <w:abstractNumId w:val="5"/>
  </w:num>
  <w:num w:numId="17">
    <w:abstractNumId w:val="8"/>
  </w:num>
  <w:num w:numId="18">
    <w:abstractNumId w:val="20"/>
  </w:num>
  <w:num w:numId="19">
    <w:abstractNumId w:val="18"/>
  </w:num>
  <w:num w:numId="20">
    <w:abstractNumId w:val="11"/>
  </w:num>
  <w:num w:numId="21">
    <w:abstractNumId w:val="13"/>
  </w:num>
  <w:num w:numId="22">
    <w:abstractNumId w:val="12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6867"/>
    <w:rsid w:val="0000147E"/>
    <w:rsid w:val="00002B31"/>
    <w:rsid w:val="00006A9B"/>
    <w:rsid w:val="00021969"/>
    <w:rsid w:val="00024F6B"/>
    <w:rsid w:val="000275F7"/>
    <w:rsid w:val="00027FAC"/>
    <w:rsid w:val="000355A8"/>
    <w:rsid w:val="00035D40"/>
    <w:rsid w:val="000421CD"/>
    <w:rsid w:val="00054EA9"/>
    <w:rsid w:val="00056828"/>
    <w:rsid w:val="00057D67"/>
    <w:rsid w:val="00065EE1"/>
    <w:rsid w:val="00070BC8"/>
    <w:rsid w:val="0007695F"/>
    <w:rsid w:val="000B75B0"/>
    <w:rsid w:val="000C319A"/>
    <w:rsid w:val="000C3DF6"/>
    <w:rsid w:val="000E2515"/>
    <w:rsid w:val="000E4F01"/>
    <w:rsid w:val="000F0251"/>
    <w:rsid w:val="000F4A16"/>
    <w:rsid w:val="000F4B3C"/>
    <w:rsid w:val="00114BE9"/>
    <w:rsid w:val="001174E0"/>
    <w:rsid w:val="00121CB7"/>
    <w:rsid w:val="00135F07"/>
    <w:rsid w:val="00142138"/>
    <w:rsid w:val="0015685A"/>
    <w:rsid w:val="001616ED"/>
    <w:rsid w:val="001618A8"/>
    <w:rsid w:val="00162B4A"/>
    <w:rsid w:val="001631AA"/>
    <w:rsid w:val="00171E45"/>
    <w:rsid w:val="00177968"/>
    <w:rsid w:val="0018292C"/>
    <w:rsid w:val="00183443"/>
    <w:rsid w:val="00187627"/>
    <w:rsid w:val="001921E4"/>
    <w:rsid w:val="0019677B"/>
    <w:rsid w:val="001B56EA"/>
    <w:rsid w:val="001C273A"/>
    <w:rsid w:val="001C2784"/>
    <w:rsid w:val="001C5CF2"/>
    <w:rsid w:val="001D2B3C"/>
    <w:rsid w:val="001E41E1"/>
    <w:rsid w:val="00201CB6"/>
    <w:rsid w:val="002125DF"/>
    <w:rsid w:val="00216338"/>
    <w:rsid w:val="0022076D"/>
    <w:rsid w:val="00222E8E"/>
    <w:rsid w:val="00226E54"/>
    <w:rsid w:val="00242BB9"/>
    <w:rsid w:val="00242FEC"/>
    <w:rsid w:val="00251376"/>
    <w:rsid w:val="00260F21"/>
    <w:rsid w:val="00261A27"/>
    <w:rsid w:val="0026314C"/>
    <w:rsid w:val="00277B8E"/>
    <w:rsid w:val="00280D7A"/>
    <w:rsid w:val="00284AD2"/>
    <w:rsid w:val="0029048F"/>
    <w:rsid w:val="002A02D6"/>
    <w:rsid w:val="002C7A97"/>
    <w:rsid w:val="002D0D4F"/>
    <w:rsid w:val="002D10B8"/>
    <w:rsid w:val="002D35A4"/>
    <w:rsid w:val="002D39E3"/>
    <w:rsid w:val="002E5D57"/>
    <w:rsid w:val="0030569B"/>
    <w:rsid w:val="003116CF"/>
    <w:rsid w:val="00312203"/>
    <w:rsid w:val="00315584"/>
    <w:rsid w:val="00325601"/>
    <w:rsid w:val="003333F7"/>
    <w:rsid w:val="00336825"/>
    <w:rsid w:val="00355BF5"/>
    <w:rsid w:val="003619F7"/>
    <w:rsid w:val="00383C70"/>
    <w:rsid w:val="003901FE"/>
    <w:rsid w:val="003954D9"/>
    <w:rsid w:val="003A5507"/>
    <w:rsid w:val="003B200E"/>
    <w:rsid w:val="003C79DE"/>
    <w:rsid w:val="003D067A"/>
    <w:rsid w:val="003D626E"/>
    <w:rsid w:val="003E5CE9"/>
    <w:rsid w:val="003F0F5C"/>
    <w:rsid w:val="003F3EC0"/>
    <w:rsid w:val="003F4FE1"/>
    <w:rsid w:val="003F65C3"/>
    <w:rsid w:val="00406458"/>
    <w:rsid w:val="00414D10"/>
    <w:rsid w:val="00416064"/>
    <w:rsid w:val="00425B45"/>
    <w:rsid w:val="004268B4"/>
    <w:rsid w:val="0043393D"/>
    <w:rsid w:val="00437FE0"/>
    <w:rsid w:val="004502A7"/>
    <w:rsid w:val="0045369D"/>
    <w:rsid w:val="004556E0"/>
    <w:rsid w:val="00460406"/>
    <w:rsid w:val="004659EF"/>
    <w:rsid w:val="00466B53"/>
    <w:rsid w:val="00467937"/>
    <w:rsid w:val="00493164"/>
    <w:rsid w:val="004A1D47"/>
    <w:rsid w:val="004B2BCC"/>
    <w:rsid w:val="004B6DB7"/>
    <w:rsid w:val="004D0448"/>
    <w:rsid w:val="004D18CF"/>
    <w:rsid w:val="004E1E4D"/>
    <w:rsid w:val="004E29A3"/>
    <w:rsid w:val="004F2924"/>
    <w:rsid w:val="004F413C"/>
    <w:rsid w:val="0050534F"/>
    <w:rsid w:val="00512079"/>
    <w:rsid w:val="005163D5"/>
    <w:rsid w:val="005309EF"/>
    <w:rsid w:val="00532350"/>
    <w:rsid w:val="00535364"/>
    <w:rsid w:val="005374CD"/>
    <w:rsid w:val="00541457"/>
    <w:rsid w:val="00551B42"/>
    <w:rsid w:val="005553A8"/>
    <w:rsid w:val="00563F70"/>
    <w:rsid w:val="00576338"/>
    <w:rsid w:val="00576890"/>
    <w:rsid w:val="00596838"/>
    <w:rsid w:val="0059785A"/>
    <w:rsid w:val="005A1BB8"/>
    <w:rsid w:val="005B1C5F"/>
    <w:rsid w:val="005D13C1"/>
    <w:rsid w:val="005D4F17"/>
    <w:rsid w:val="005F346D"/>
    <w:rsid w:val="005F5479"/>
    <w:rsid w:val="00601395"/>
    <w:rsid w:val="00624743"/>
    <w:rsid w:val="00626524"/>
    <w:rsid w:val="00626D2F"/>
    <w:rsid w:val="0063412D"/>
    <w:rsid w:val="006417A6"/>
    <w:rsid w:val="006533C1"/>
    <w:rsid w:val="00662C65"/>
    <w:rsid w:val="00663E1C"/>
    <w:rsid w:val="006676FB"/>
    <w:rsid w:val="0067003E"/>
    <w:rsid w:val="00671068"/>
    <w:rsid w:val="00690F25"/>
    <w:rsid w:val="006B3406"/>
    <w:rsid w:val="006B45E3"/>
    <w:rsid w:val="006B5C29"/>
    <w:rsid w:val="006D01BE"/>
    <w:rsid w:val="006E684D"/>
    <w:rsid w:val="006E6867"/>
    <w:rsid w:val="006E688A"/>
    <w:rsid w:val="006F7CD6"/>
    <w:rsid w:val="0070058D"/>
    <w:rsid w:val="007007F5"/>
    <w:rsid w:val="00712A75"/>
    <w:rsid w:val="0072291D"/>
    <w:rsid w:val="00734CAD"/>
    <w:rsid w:val="00737DAF"/>
    <w:rsid w:val="0076045D"/>
    <w:rsid w:val="007667B5"/>
    <w:rsid w:val="0076799F"/>
    <w:rsid w:val="0077386A"/>
    <w:rsid w:val="00773D38"/>
    <w:rsid w:val="0078499F"/>
    <w:rsid w:val="00787B2A"/>
    <w:rsid w:val="00793FA8"/>
    <w:rsid w:val="007A7F08"/>
    <w:rsid w:val="007C413E"/>
    <w:rsid w:val="007D759B"/>
    <w:rsid w:val="007E051C"/>
    <w:rsid w:val="007E2BBB"/>
    <w:rsid w:val="007E2CA5"/>
    <w:rsid w:val="007E5534"/>
    <w:rsid w:val="008023A5"/>
    <w:rsid w:val="00810F69"/>
    <w:rsid w:val="0081267F"/>
    <w:rsid w:val="00831EF0"/>
    <w:rsid w:val="008333E2"/>
    <w:rsid w:val="00835AA6"/>
    <w:rsid w:val="00845D74"/>
    <w:rsid w:val="00861B51"/>
    <w:rsid w:val="00864E97"/>
    <w:rsid w:val="00883173"/>
    <w:rsid w:val="00891B32"/>
    <w:rsid w:val="00893980"/>
    <w:rsid w:val="00894674"/>
    <w:rsid w:val="008A41FF"/>
    <w:rsid w:val="008C0439"/>
    <w:rsid w:val="008E1711"/>
    <w:rsid w:val="008F5797"/>
    <w:rsid w:val="00902F8B"/>
    <w:rsid w:val="009268C1"/>
    <w:rsid w:val="00934235"/>
    <w:rsid w:val="00935035"/>
    <w:rsid w:val="00952DB0"/>
    <w:rsid w:val="00955B36"/>
    <w:rsid w:val="009560CE"/>
    <w:rsid w:val="0095639D"/>
    <w:rsid w:val="00956900"/>
    <w:rsid w:val="009576E9"/>
    <w:rsid w:val="00967129"/>
    <w:rsid w:val="00973427"/>
    <w:rsid w:val="00976762"/>
    <w:rsid w:val="0098437E"/>
    <w:rsid w:val="00984A22"/>
    <w:rsid w:val="0098671E"/>
    <w:rsid w:val="009A0852"/>
    <w:rsid w:val="009A14F3"/>
    <w:rsid w:val="009B080C"/>
    <w:rsid w:val="009D456D"/>
    <w:rsid w:val="009D7F84"/>
    <w:rsid w:val="009E1356"/>
    <w:rsid w:val="009F0F60"/>
    <w:rsid w:val="009F5A80"/>
    <w:rsid w:val="009F7057"/>
    <w:rsid w:val="00A0424B"/>
    <w:rsid w:val="00A06617"/>
    <w:rsid w:val="00A075C6"/>
    <w:rsid w:val="00A15E14"/>
    <w:rsid w:val="00A435B1"/>
    <w:rsid w:val="00A54E20"/>
    <w:rsid w:val="00A652C6"/>
    <w:rsid w:val="00A75B86"/>
    <w:rsid w:val="00A94A3B"/>
    <w:rsid w:val="00AB6BD8"/>
    <w:rsid w:val="00AC0D53"/>
    <w:rsid w:val="00AC49A2"/>
    <w:rsid w:val="00AC4E7B"/>
    <w:rsid w:val="00AE699A"/>
    <w:rsid w:val="00AF5198"/>
    <w:rsid w:val="00B016BC"/>
    <w:rsid w:val="00B04230"/>
    <w:rsid w:val="00B1086B"/>
    <w:rsid w:val="00B200CE"/>
    <w:rsid w:val="00B209D1"/>
    <w:rsid w:val="00B22CD9"/>
    <w:rsid w:val="00B32E5A"/>
    <w:rsid w:val="00B340A6"/>
    <w:rsid w:val="00B53B1C"/>
    <w:rsid w:val="00B674BD"/>
    <w:rsid w:val="00B7172A"/>
    <w:rsid w:val="00B85B1E"/>
    <w:rsid w:val="00B941BB"/>
    <w:rsid w:val="00BA17AF"/>
    <w:rsid w:val="00BA31E8"/>
    <w:rsid w:val="00BB0983"/>
    <w:rsid w:val="00BB2B2B"/>
    <w:rsid w:val="00BB62F4"/>
    <w:rsid w:val="00BB7699"/>
    <w:rsid w:val="00BD4F7C"/>
    <w:rsid w:val="00C0166F"/>
    <w:rsid w:val="00C06251"/>
    <w:rsid w:val="00C11979"/>
    <w:rsid w:val="00C23801"/>
    <w:rsid w:val="00C43041"/>
    <w:rsid w:val="00C51C3C"/>
    <w:rsid w:val="00C56073"/>
    <w:rsid w:val="00C6676E"/>
    <w:rsid w:val="00C7295D"/>
    <w:rsid w:val="00C92C29"/>
    <w:rsid w:val="00C971A2"/>
    <w:rsid w:val="00CA0E7F"/>
    <w:rsid w:val="00CA6852"/>
    <w:rsid w:val="00CB1C6F"/>
    <w:rsid w:val="00CC1F1A"/>
    <w:rsid w:val="00CC6869"/>
    <w:rsid w:val="00CC7727"/>
    <w:rsid w:val="00CD64C4"/>
    <w:rsid w:val="00CE03B9"/>
    <w:rsid w:val="00CE263F"/>
    <w:rsid w:val="00CE59D0"/>
    <w:rsid w:val="00CE5F91"/>
    <w:rsid w:val="00CF03C0"/>
    <w:rsid w:val="00CF52BC"/>
    <w:rsid w:val="00CF65B0"/>
    <w:rsid w:val="00CF6C5B"/>
    <w:rsid w:val="00D00D77"/>
    <w:rsid w:val="00D01FE4"/>
    <w:rsid w:val="00D17CE2"/>
    <w:rsid w:val="00D207FC"/>
    <w:rsid w:val="00D2419C"/>
    <w:rsid w:val="00D27E10"/>
    <w:rsid w:val="00D30110"/>
    <w:rsid w:val="00D33E55"/>
    <w:rsid w:val="00D419EC"/>
    <w:rsid w:val="00D4648A"/>
    <w:rsid w:val="00D53692"/>
    <w:rsid w:val="00D5770F"/>
    <w:rsid w:val="00D6098F"/>
    <w:rsid w:val="00D60A75"/>
    <w:rsid w:val="00D6651C"/>
    <w:rsid w:val="00D72BF8"/>
    <w:rsid w:val="00D74235"/>
    <w:rsid w:val="00D84B8F"/>
    <w:rsid w:val="00DB0055"/>
    <w:rsid w:val="00DB0624"/>
    <w:rsid w:val="00DB1B2A"/>
    <w:rsid w:val="00DB1F13"/>
    <w:rsid w:val="00DC2767"/>
    <w:rsid w:val="00DD2489"/>
    <w:rsid w:val="00DE1D6A"/>
    <w:rsid w:val="00DF1106"/>
    <w:rsid w:val="00E040DC"/>
    <w:rsid w:val="00E06205"/>
    <w:rsid w:val="00E11E0A"/>
    <w:rsid w:val="00E12A5A"/>
    <w:rsid w:val="00E34683"/>
    <w:rsid w:val="00E37F53"/>
    <w:rsid w:val="00E41895"/>
    <w:rsid w:val="00E43D55"/>
    <w:rsid w:val="00E53125"/>
    <w:rsid w:val="00E53642"/>
    <w:rsid w:val="00E65BC3"/>
    <w:rsid w:val="00E87F1A"/>
    <w:rsid w:val="00E90A17"/>
    <w:rsid w:val="00E91BC9"/>
    <w:rsid w:val="00E92B5F"/>
    <w:rsid w:val="00E93FBA"/>
    <w:rsid w:val="00E93FEB"/>
    <w:rsid w:val="00E96225"/>
    <w:rsid w:val="00EB3A0A"/>
    <w:rsid w:val="00EB76BD"/>
    <w:rsid w:val="00EC1DF4"/>
    <w:rsid w:val="00ED249D"/>
    <w:rsid w:val="00EF19B9"/>
    <w:rsid w:val="00EF49B1"/>
    <w:rsid w:val="00F00D39"/>
    <w:rsid w:val="00F16002"/>
    <w:rsid w:val="00F2531D"/>
    <w:rsid w:val="00F36F79"/>
    <w:rsid w:val="00F5585B"/>
    <w:rsid w:val="00F63881"/>
    <w:rsid w:val="00F702DF"/>
    <w:rsid w:val="00F71613"/>
    <w:rsid w:val="00F748E4"/>
    <w:rsid w:val="00F82AB6"/>
    <w:rsid w:val="00F94250"/>
    <w:rsid w:val="00FB2393"/>
    <w:rsid w:val="00FB449F"/>
    <w:rsid w:val="00FB7A57"/>
    <w:rsid w:val="00FC7952"/>
    <w:rsid w:val="00FD60C0"/>
    <w:rsid w:val="00FF25FA"/>
    <w:rsid w:val="00FF46B2"/>
    <w:rsid w:val="00FF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B3A448-6F70-43E3-BD27-625F651A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6867"/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835A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8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6E68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E68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6E68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6E68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6E68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6E68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E68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E68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E68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E68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CB6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6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6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65B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6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65B0"/>
    <w:rPr>
      <w:rFonts w:ascii="Calibri" w:eastAsia="Calibri" w:hAnsi="Calibri"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00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00CE"/>
    <w:rPr>
      <w:rFonts w:ascii="Calibri" w:eastAsia="Calibri" w:hAnsi="Calibri" w:cs="Times New Roman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835AA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Poprawka">
    <w:name w:val="Revision"/>
    <w:hidden/>
    <w:uiPriority w:val="99"/>
    <w:semiHidden/>
    <w:rsid w:val="00260F2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0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BED8E6-3060-4766-AC4E-981B67823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Grzegorz Molesztak</cp:lastModifiedBy>
  <cp:revision>3</cp:revision>
  <cp:lastPrinted>2019-06-24T09:35:00Z</cp:lastPrinted>
  <dcterms:created xsi:type="dcterms:W3CDTF">2019-06-24T10:35:00Z</dcterms:created>
  <dcterms:modified xsi:type="dcterms:W3CDTF">2019-07-09T13:32:00Z</dcterms:modified>
</cp:coreProperties>
</file>