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A725EE" w14:textId="77777777" w:rsidR="009C15B2" w:rsidRDefault="009C15B2" w:rsidP="009C15B2">
      <w:pPr>
        <w:keepNext/>
        <w:keepLines/>
        <w:spacing w:after="240" w:line="276" w:lineRule="auto"/>
        <w:jc w:val="center"/>
        <w:outlineLvl w:val="0"/>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UZASADNIENIE</w:t>
      </w:r>
    </w:p>
    <w:p w14:paraId="636706AE" w14:textId="77777777" w:rsidR="009C15B2" w:rsidRDefault="009C15B2" w:rsidP="009C15B2">
      <w:pPr>
        <w:spacing w:after="120" w:line="360"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Potrzeba i cel wydania ustawy</w:t>
      </w:r>
    </w:p>
    <w:p w14:paraId="02783EB8" w14:textId="1E9362AC" w:rsidR="009C15B2" w:rsidRDefault="009C15B2" w:rsidP="009C15B2">
      <w:pPr>
        <w:spacing w:after="12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Obecnie obowiązujące przepisy ustawy z dnia 13 listopada 2003 r. o dochodach jednostek samorządu terytorialnego (Dz. U. z 2018 r. poz. 1530</w:t>
      </w:r>
      <w:r w:rsidR="00DA5354">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 xml:space="preserve"> z </w:t>
      </w:r>
      <w:proofErr w:type="spellStart"/>
      <w:r>
        <w:rPr>
          <w:rFonts w:ascii="Times New Roman" w:eastAsia="Times New Roman" w:hAnsi="Times New Roman" w:cs="Times New Roman"/>
          <w:sz w:val="24"/>
          <w:szCs w:val="24"/>
          <w:lang w:eastAsia="pl-PL"/>
        </w:rPr>
        <w:t>późn</w:t>
      </w:r>
      <w:proofErr w:type="spellEnd"/>
      <w:r>
        <w:rPr>
          <w:rFonts w:ascii="Times New Roman" w:eastAsia="Times New Roman" w:hAnsi="Times New Roman" w:cs="Times New Roman"/>
          <w:sz w:val="24"/>
          <w:szCs w:val="24"/>
          <w:lang w:eastAsia="pl-PL"/>
        </w:rPr>
        <w:t>.</w:t>
      </w:r>
      <w:r w:rsidR="005B3CA2">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zm.), regulujące zasady ustalania wpłat województw do budżetu państwa i sposób ich podziału, obowiązują do dnia 31 grudnia 2019 r.</w:t>
      </w:r>
    </w:p>
    <w:p w14:paraId="5A0AD5D6" w14:textId="77777777" w:rsidR="009C15B2" w:rsidRDefault="009C15B2" w:rsidP="009C15B2">
      <w:pPr>
        <w:spacing w:after="12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Analizy Ministerstwa Finansów, jak również opinie strony samorządowej wskazują, iż system korekcyjno-wyrównawczy dla jednostek samorządu terytorialnego (JST) wymaga zmiany i  powinien dotyczyć nie tylko województw samorządowych, ale również gmin i powiatów.</w:t>
      </w:r>
    </w:p>
    <w:p w14:paraId="6CBA4709" w14:textId="77777777" w:rsidR="009C15B2" w:rsidRDefault="009C15B2" w:rsidP="009C15B2">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Prace nad nowym systemem korekcyjno-wyrównawczym dla JST są prowadzone w ramach Zespołu ds. analiz systemu korekcyjno-wyrównawczego dla jednostek samorządu terytorialnego, w skład którego wchodzą przedstawiciele wszystkich organizacji samorządowych,</w:t>
      </w:r>
      <w:r>
        <w:rPr>
          <w:rFonts w:ascii="Times New Roman" w:hAnsi="Times New Roman" w:cs="Times New Roman"/>
          <w:sz w:val="24"/>
          <w:szCs w:val="24"/>
        </w:rPr>
        <w:t xml:space="preserve"> reprezentowanych w Komisji Wspólnej Rządu i Samorządu Terytorialnego</w:t>
      </w:r>
      <w:r>
        <w:rPr>
          <w:rFonts w:ascii="Times New Roman" w:eastAsia="Times New Roman" w:hAnsi="Times New Roman" w:cs="Times New Roman"/>
          <w:sz w:val="24"/>
          <w:szCs w:val="24"/>
          <w:lang w:eastAsia="pl-PL"/>
        </w:rPr>
        <w:t>. Strona samorządowa pozytywnie ocenia kierunki proponowanych zmian, które zmierzają do wyeliminowania dotychczasowych dysfunkcji w obecnym systemie korekcyjno-wyrównawczym, tym bardziej, że są one prowadzone przy współpracy z ekspertami Banku Światowego, co daje możliwość skorzystania z najlepszych doświadczeń międzynarodowych i  obiektywnej oceny proponowanych rozwiązań.</w:t>
      </w:r>
    </w:p>
    <w:p w14:paraId="41442260" w14:textId="64E1975A" w:rsidR="009C15B2" w:rsidRDefault="009C15B2" w:rsidP="009C15B2">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 ocenie strony samorządowej zmian nie należy ograniczać jedynie do systemu korekcyjno-wyrównawczego, ale konieczne są znacznie szersze reformy dotyczące finansów JST. Należy jednak mieć na uwadze, iż przygotowanie </w:t>
      </w:r>
      <w:r w:rsidRPr="00D623A5">
        <w:rPr>
          <w:rFonts w:ascii="Times New Roman" w:eastAsia="Times New Roman" w:hAnsi="Times New Roman" w:cs="Times New Roman"/>
          <w:sz w:val="24"/>
          <w:szCs w:val="24"/>
          <w:lang w:eastAsia="pl-PL"/>
        </w:rPr>
        <w:t xml:space="preserve">reform </w:t>
      </w:r>
      <w:r w:rsidR="005B3CA2" w:rsidRPr="00D623A5">
        <w:rPr>
          <w:rFonts w:ascii="Times New Roman" w:eastAsia="Times New Roman" w:hAnsi="Times New Roman" w:cs="Times New Roman"/>
          <w:sz w:val="24"/>
          <w:szCs w:val="24"/>
          <w:lang w:eastAsia="pl-PL"/>
        </w:rPr>
        <w:t xml:space="preserve">będzie </w:t>
      </w:r>
      <w:r>
        <w:rPr>
          <w:rFonts w:ascii="Times New Roman" w:eastAsia="Times New Roman" w:hAnsi="Times New Roman" w:cs="Times New Roman"/>
          <w:sz w:val="24"/>
          <w:szCs w:val="24"/>
          <w:lang w:eastAsia="pl-PL"/>
        </w:rPr>
        <w:t>wymagać czasu, bowiem ostateczny zakres zmian w dochodach JST musi być wkomponowany w system finansów publicznych.</w:t>
      </w:r>
    </w:p>
    <w:p w14:paraId="6DE78B53" w14:textId="25115416" w:rsidR="009C15B2" w:rsidRDefault="009C15B2" w:rsidP="009C15B2">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Przedstawiciele strony samorządowej na posiedzeniu Zespołu ds. Systemu Finansów Publicznych Komisji Wspólnej Rządu i Samorządu Terytorialnego uznali, że na obecnym etapie prac racjonalne jest ich kontynuowanie w ramach ww. Zespołu i prowadzenie dalszych pogłębionych analiz i rachunków symulacyjnych, bowiem przyjęte rozwiązania będą miały wpływ na sytuację finansową poszczególnych JST. Wypracowane przez Zespół rozwiązania będą stanowiły podstawę do opracowania nowych zasad finansowania JST. To stanowisko podzieliła Komisja Wspólna Rządu i Samorządu Terytorialnego.</w:t>
      </w:r>
    </w:p>
    <w:p w14:paraId="66D8CFCF" w14:textId="77777777" w:rsidR="009C15B2" w:rsidRDefault="009C15B2" w:rsidP="009C15B2">
      <w:pPr>
        <w:spacing w:after="12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Dlatego też niezbędne było przygotowanie proponowanej regulacji, mając także na uwadze fakt, iż jej brak oznaczałby, że samorządy województw nie otrzymają w 2020 r. i kolejnych latach części regionalnej subwencji ogólnej pochodzącej z wpłat, gdyż nie będzie podstawy </w:t>
      </w:r>
      <w:r>
        <w:rPr>
          <w:rFonts w:ascii="Times New Roman" w:eastAsia="Times New Roman" w:hAnsi="Times New Roman" w:cs="Times New Roman"/>
          <w:sz w:val="24"/>
          <w:szCs w:val="24"/>
          <w:lang w:eastAsia="pl-PL"/>
        </w:rPr>
        <w:lastRenderedPageBreak/>
        <w:t xml:space="preserve">prawnej do ustalania zarówno wpłat, jak i subwencji. Pozbawiłoby to większość województw istotnej części dochodów. </w:t>
      </w:r>
    </w:p>
    <w:p w14:paraId="26A91E54" w14:textId="24D3A231" w:rsidR="009C15B2" w:rsidRDefault="009C15B2" w:rsidP="009C15B2">
      <w:pPr>
        <w:spacing w:after="120" w:line="36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pl-PL"/>
        </w:rPr>
        <w:t>W związku z powyższym p</w:t>
      </w:r>
      <w:r>
        <w:rPr>
          <w:rFonts w:ascii="Times New Roman" w:hAnsi="Times New Roman" w:cs="Times New Roman"/>
          <w:sz w:val="24"/>
          <w:szCs w:val="24"/>
        </w:rPr>
        <w:t xml:space="preserve">rzygotowana obecnie nowelizacja ustawy o dochodach jednostek samorządu terytorialnego będzie obejmować przedłużenie obowiązywania przepisów – w  zakresie systemu korekcyjno-wyrównawczego (z pewnymi modyfikacjami), tj. </w:t>
      </w:r>
      <w:r>
        <w:rPr>
          <w:rFonts w:ascii="Times New Roman" w:eastAsia="Times New Roman" w:hAnsi="Times New Roman" w:cs="Times New Roman"/>
          <w:sz w:val="24"/>
          <w:szCs w:val="24"/>
          <w:lang w:eastAsia="pl-PL"/>
        </w:rPr>
        <w:t>zasady ustalania wpłat do budżetu państwa i ich podział, w odniesieniu do</w:t>
      </w:r>
      <w:r>
        <w:rPr>
          <w:rFonts w:ascii="Times New Roman" w:hAnsi="Times New Roman" w:cs="Times New Roman"/>
          <w:sz w:val="24"/>
          <w:szCs w:val="24"/>
        </w:rPr>
        <w:t xml:space="preserve"> samorządów województw.</w:t>
      </w:r>
    </w:p>
    <w:p w14:paraId="40FD4618" w14:textId="77777777" w:rsidR="009C15B2" w:rsidRDefault="009C15B2" w:rsidP="009C15B2">
      <w:pPr>
        <w:spacing w:after="12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Projekt ustawy, w miejsce dotychczasowej rezerwy celowej budżetu państwa, przeznaczonej na dotacje dla województw na dofinansowanie dróg wojewódzkich, wprowadza rezerwę subwencji ogólnej. Wprowadzenie tego rozwiązania uelastyczni dysponowanie środkami pochodzącymi z budżetu państwa przez samorządy województw i jednocześnie wychodzi naprzeciw postulatom zgłaszanym przez samorządy województw.</w:t>
      </w:r>
    </w:p>
    <w:p w14:paraId="4F76EECB" w14:textId="6601EF3D" w:rsidR="009C15B2" w:rsidRDefault="009C15B2" w:rsidP="009C15B2">
      <w:pPr>
        <w:spacing w:after="12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 budżecie państwa na rok 2020 oraz lata kolejne </w:t>
      </w:r>
      <w:r w:rsidR="00F80193">
        <w:rPr>
          <w:rFonts w:ascii="Times New Roman" w:eastAsia="Times New Roman" w:hAnsi="Times New Roman" w:cs="Times New Roman"/>
          <w:sz w:val="24"/>
          <w:szCs w:val="24"/>
          <w:lang w:eastAsia="pl-PL"/>
        </w:rPr>
        <w:t xml:space="preserve">zostaną </w:t>
      </w:r>
      <w:r>
        <w:rPr>
          <w:rFonts w:ascii="Times New Roman" w:eastAsia="Times New Roman" w:hAnsi="Times New Roman" w:cs="Times New Roman"/>
          <w:sz w:val="24"/>
          <w:szCs w:val="24"/>
          <w:lang w:eastAsia="pl-PL"/>
        </w:rPr>
        <w:t xml:space="preserve">zabezpieczone środki, które będą zasilały budżety samorządów województw. </w:t>
      </w:r>
    </w:p>
    <w:p w14:paraId="20B3C70D" w14:textId="7343F543" w:rsidR="009C15B2" w:rsidRDefault="009C15B2" w:rsidP="009C15B2">
      <w:pPr>
        <w:spacing w:after="12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Wyrokiem z dnia 6 marca 2019 r. sygn. akt K 18/17 (Dz. U.  poz. 525) Trybunał Konstytucyjny orzekł o niezgodności art. 36 ust. 10 ustawy o dochodach jednostek samorządu terytorialnego z art. 167 ust. 1 i 2 oraz art. 165 ust. 1 Konstytucji w zakresie</w:t>
      </w:r>
      <w:r w:rsidR="000E0104">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 xml:space="preserve"> w jakim dotyczy sytuacji, w której gmina, z przyczyn niezależnych od niej, otrzymała część wyrównawczą lub równoważącą subwencji ogólnej w kwocie niższej od należnej bądź dokonała wpłaty, określonej w art. 29 ustawy o dochodach jednostek samorządu terytorialnego, w  kwocie wyższej od należnej. Zakwestionowany przez Trybunał Konstytucyjny przepis art. 36 ust. 10 ustawy o dochodach jednostek samorządu terytorialnego traci moc obowiązującą z upływem 31 grudnia 2019 r. W związku z tym projekt ustawy wykonuje wyrok Trybunału w  przedmiotowym zakresie.</w:t>
      </w:r>
    </w:p>
    <w:p w14:paraId="2BE80761" w14:textId="77777777" w:rsidR="009C15B2" w:rsidRDefault="009C15B2" w:rsidP="009C15B2">
      <w:pPr>
        <w:spacing w:before="240" w:after="120" w:line="360"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Omówienie projektowanych rozwiązań prawnych</w:t>
      </w:r>
    </w:p>
    <w:p w14:paraId="7F6FDCEA" w14:textId="77777777" w:rsidR="009C15B2" w:rsidRDefault="009C15B2" w:rsidP="009C15B2">
      <w:pPr>
        <w:spacing w:after="120" w:line="360"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I.</w:t>
      </w:r>
      <w:r>
        <w:rPr>
          <w:rFonts w:ascii="Times New Roman" w:eastAsia="Times New Roman" w:hAnsi="Times New Roman" w:cs="Times New Roman"/>
          <w:sz w:val="24"/>
          <w:szCs w:val="24"/>
          <w:lang w:eastAsia="pl-PL"/>
        </w:rPr>
        <w:t> Zmiany w ustawie o dochodach jednostek samorządu terytorialnego</w:t>
      </w:r>
    </w:p>
    <w:p w14:paraId="017B048F" w14:textId="77777777" w:rsidR="009C15B2" w:rsidRDefault="009C15B2" w:rsidP="009C15B2">
      <w:pPr>
        <w:spacing w:after="12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 </w:t>
      </w:r>
      <w:r>
        <w:rPr>
          <w:rFonts w:ascii="Times New Roman" w:eastAsia="Times New Roman" w:hAnsi="Times New Roman" w:cs="Times New Roman"/>
          <w:sz w:val="24"/>
          <w:szCs w:val="24"/>
          <w:u w:val="single"/>
          <w:lang w:eastAsia="pl-PL"/>
        </w:rPr>
        <w:t>art. 1</w:t>
      </w:r>
      <w:r>
        <w:rPr>
          <w:rFonts w:ascii="Times New Roman" w:eastAsia="Times New Roman" w:hAnsi="Times New Roman" w:cs="Times New Roman"/>
          <w:sz w:val="24"/>
          <w:szCs w:val="24"/>
          <w:lang w:eastAsia="pl-PL"/>
        </w:rPr>
        <w:t xml:space="preserve"> przewiduje się: </w:t>
      </w:r>
    </w:p>
    <w:p w14:paraId="676A85B0" w14:textId="77777777" w:rsidR="009C15B2" w:rsidRDefault="009C15B2" w:rsidP="009C15B2">
      <w:pPr>
        <w:numPr>
          <w:ilvl w:val="0"/>
          <w:numId w:val="1"/>
        </w:numPr>
        <w:spacing w:after="120" w:line="360" w:lineRule="auto"/>
        <w:ind w:left="284"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Przedłużenie na lata 2020 i 2021 obowiązywania ustawy w zakresie zasad ustalania wpłat województw do budżetu państwa oraz podziału części regionalnej subwencji ogólnej, wprowadzonych ustawą z dnia 23 października 2014 r. o zmianie ustawy o dochodach jednostek samorządu terytorialnego, a następnie prolongowanych ustawą z dnia 5 sierpnia 2015 r. o zmianie ustawy o dochodach jednostek samorządu terytorialnego oraz ustawą </w:t>
      </w:r>
      <w:r>
        <w:rPr>
          <w:rFonts w:ascii="Times New Roman" w:eastAsia="Times New Roman" w:hAnsi="Times New Roman" w:cs="Times New Roman"/>
          <w:sz w:val="24"/>
          <w:szCs w:val="24"/>
          <w:lang w:eastAsia="pl-PL"/>
        </w:rPr>
        <w:lastRenderedPageBreak/>
        <w:t>z  dnia 14 września 2016 r. o zmianie ustawy o dochodach jednostek samorządu terytorialnego.</w:t>
      </w:r>
    </w:p>
    <w:p w14:paraId="7C97A36D" w14:textId="77777777" w:rsidR="009C15B2" w:rsidRDefault="009C15B2" w:rsidP="009C15B2">
      <w:pPr>
        <w:spacing w:after="120" w:line="360" w:lineRule="auto"/>
        <w:ind w:left="567" w:hanging="283"/>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Tym samym, tak jak w obecnych regulacjach:</w:t>
      </w:r>
    </w:p>
    <w:p w14:paraId="606586E1" w14:textId="77777777" w:rsidR="009C15B2" w:rsidRDefault="009C15B2" w:rsidP="00F02BFB">
      <w:pPr>
        <w:numPr>
          <w:ilvl w:val="0"/>
          <w:numId w:val="2"/>
        </w:numPr>
        <w:spacing w:after="120" w:line="360" w:lineRule="auto"/>
        <w:ind w:left="993" w:hanging="283"/>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wpłat do budżetu państwa będą dokonywać województwa, których dochody podatkowe przekraczają 125% średnich dochodów podatkowych na mieszkańca;</w:t>
      </w:r>
    </w:p>
    <w:p w14:paraId="31F4505D" w14:textId="77777777" w:rsidR="009C15B2" w:rsidRDefault="009C15B2" w:rsidP="00F02BFB">
      <w:pPr>
        <w:numPr>
          <w:ilvl w:val="0"/>
          <w:numId w:val="2"/>
        </w:numPr>
        <w:spacing w:after="120" w:line="360" w:lineRule="auto"/>
        <w:ind w:left="993" w:hanging="283"/>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przewidziano możliwość obniżenia wpłat województw w trakcie roku budżetowego, w przypadku znacznie niższych dochodów podatkowych, co uwzględni rzeczywistą kondycję finansową jednostek samorządu terytorialnego w roku, w którym dokonują one wpłat;</w:t>
      </w:r>
    </w:p>
    <w:p w14:paraId="04BBC579" w14:textId="77777777" w:rsidR="009C15B2" w:rsidRDefault="009C15B2" w:rsidP="00F02BFB">
      <w:pPr>
        <w:numPr>
          <w:ilvl w:val="0"/>
          <w:numId w:val="2"/>
        </w:numPr>
        <w:spacing w:after="120" w:line="360" w:lineRule="auto"/>
        <w:ind w:left="993" w:hanging="283"/>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wpłaty województw nie przekroczą 35% ich dochodów podatkowych;</w:t>
      </w:r>
    </w:p>
    <w:p w14:paraId="32936396" w14:textId="77777777" w:rsidR="009C15B2" w:rsidRDefault="009C15B2" w:rsidP="00F02BFB">
      <w:pPr>
        <w:numPr>
          <w:ilvl w:val="0"/>
          <w:numId w:val="2"/>
        </w:numPr>
        <w:spacing w:after="120" w:line="360" w:lineRule="auto"/>
        <w:ind w:left="993" w:hanging="283"/>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kwotę części regionalnej subwencji ogólnej otrzymają tylko te województwa, których dochody podatkowe, powiększone o część wyrównawczą subwencji ogólnej, w przeliczeniu na jednego mieszkańca, będą niższe od 125% średnich dochodów podatkowych województw;</w:t>
      </w:r>
    </w:p>
    <w:p w14:paraId="5B6046E9" w14:textId="77777777" w:rsidR="009C15B2" w:rsidRDefault="009C15B2" w:rsidP="00F02BFB">
      <w:pPr>
        <w:numPr>
          <w:ilvl w:val="0"/>
          <w:numId w:val="2"/>
        </w:numPr>
        <w:spacing w:after="120" w:line="360" w:lineRule="auto"/>
        <w:ind w:left="993" w:hanging="283"/>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część regionalna subwencji ogólnej zostanie rozdzielona z uwzględnieniem stopy bezrobocia oraz dochodów województw (dochody podatkowe powiększone o część wyrównawczą subwencji ogólnej).</w:t>
      </w:r>
    </w:p>
    <w:p w14:paraId="178D352F" w14:textId="77777777" w:rsidR="009C15B2" w:rsidRDefault="009C15B2" w:rsidP="00DF3A8D">
      <w:pPr>
        <w:numPr>
          <w:ilvl w:val="0"/>
          <w:numId w:val="1"/>
        </w:numPr>
        <w:spacing w:after="120" w:line="36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Zmianę brzmienia ust. 10 w art. 36</w:t>
      </w:r>
      <w:r w:rsidR="001D3B3E">
        <w:rPr>
          <w:rFonts w:ascii="Times New Roman" w:eastAsia="Times New Roman" w:hAnsi="Times New Roman" w:cs="Times New Roman"/>
          <w:sz w:val="24"/>
          <w:szCs w:val="24"/>
          <w:lang w:eastAsia="pl-PL"/>
        </w:rPr>
        <w:t xml:space="preserve"> oraz dodanie ust. 11 i 12 w tym artykule</w:t>
      </w:r>
      <w:r>
        <w:rPr>
          <w:rFonts w:ascii="Times New Roman" w:eastAsia="Times New Roman" w:hAnsi="Times New Roman" w:cs="Times New Roman"/>
          <w:sz w:val="24"/>
          <w:szCs w:val="24"/>
          <w:lang w:eastAsia="pl-PL"/>
        </w:rPr>
        <w:t>. Projektowana zmiana art. 36 ust. 10 ustawy o dochodach jednostek samorządu terytorialnego jest następstwem wyroku Trybunału Kons</w:t>
      </w:r>
      <w:r w:rsidR="00DF3A8D">
        <w:rPr>
          <w:rFonts w:ascii="Times New Roman" w:eastAsia="Times New Roman" w:hAnsi="Times New Roman" w:cs="Times New Roman"/>
          <w:sz w:val="24"/>
          <w:szCs w:val="24"/>
          <w:lang w:eastAsia="pl-PL"/>
        </w:rPr>
        <w:t>tytucyjnego z dnia 6 marca 2019 </w:t>
      </w:r>
      <w:r>
        <w:rPr>
          <w:rFonts w:ascii="Times New Roman" w:eastAsia="Times New Roman" w:hAnsi="Times New Roman" w:cs="Times New Roman"/>
          <w:sz w:val="24"/>
          <w:szCs w:val="24"/>
          <w:lang w:eastAsia="pl-PL"/>
        </w:rPr>
        <w:t xml:space="preserve">r. (sygn. akt K 18/17). </w:t>
      </w:r>
    </w:p>
    <w:p w14:paraId="1F3E0C11" w14:textId="36124F4D" w:rsidR="009C15B2" w:rsidRDefault="009C15B2" w:rsidP="00DF3A8D">
      <w:pPr>
        <w:spacing w:after="120" w:line="36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Trybunał Konstytucyjny orzekł, że art. 36 ust. 10 ustawy o dochodach jednostek samorządu terytorialnego w zakresie, w jakim dotyczy sytuacji, w której gmina, z  przyczyn niezależnych od niej, otrzymała część wyrównawczą lub równoważącą subwencji ogólnej w kwocie niższej od należnej bądź dokonała wpłaty określonej w art. 29 ustawy o dochodach jednostek samorządu terytorialnego w  kwocie wyższej od należnej, jest niezgodny z art. 167 ust. 1 i 2 oraz art. 165 ust. 1 Konstytucji</w:t>
      </w:r>
      <w:r w:rsidR="00102256">
        <w:rPr>
          <w:rFonts w:ascii="Times New Roman" w:eastAsia="Times New Roman" w:hAnsi="Times New Roman" w:cs="Times New Roman"/>
          <w:sz w:val="24"/>
          <w:szCs w:val="24"/>
          <w:lang w:eastAsia="pl-PL"/>
        </w:rPr>
        <w:t xml:space="preserve"> oraz nie jest niezgodny z art.</w:t>
      </w:r>
      <w:r>
        <w:rPr>
          <w:rFonts w:ascii="Times New Roman" w:eastAsia="Times New Roman" w:hAnsi="Times New Roman" w:cs="Times New Roman"/>
          <w:sz w:val="24"/>
          <w:szCs w:val="24"/>
          <w:lang w:eastAsia="pl-PL"/>
        </w:rPr>
        <w:t>165 ust. 2 Konstytucji.</w:t>
      </w:r>
    </w:p>
    <w:p w14:paraId="2A61A04C" w14:textId="1B63E5F8" w:rsidR="009C15B2" w:rsidRDefault="009C15B2" w:rsidP="00DF3A8D">
      <w:pPr>
        <w:spacing w:after="120" w:line="36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Trybunał Konstytucyjny zalecił wprowadzenie możliwości dochodzenia należności przez JST w sytuacji, w  której jednostka, w wyniku błędnego naliczenia subwencji ogólnej lub wpłat, otrzymała część wyrównawczą lub równoważącą subwencji ogólnej w kwocie </w:t>
      </w:r>
      <w:r>
        <w:rPr>
          <w:rFonts w:ascii="Times New Roman" w:eastAsia="Times New Roman" w:hAnsi="Times New Roman" w:cs="Times New Roman"/>
          <w:sz w:val="24"/>
          <w:szCs w:val="24"/>
          <w:lang w:eastAsia="pl-PL"/>
        </w:rPr>
        <w:lastRenderedPageBreak/>
        <w:t xml:space="preserve">niższej od należnej bądź dokonała wpłaty, określonej w art. 29, </w:t>
      </w:r>
      <w:r w:rsidR="00F80193">
        <w:rPr>
          <w:rFonts w:ascii="Times New Roman" w:eastAsia="Times New Roman" w:hAnsi="Times New Roman" w:cs="Times New Roman"/>
          <w:sz w:val="24"/>
          <w:szCs w:val="24"/>
          <w:lang w:eastAsia="pl-PL"/>
        </w:rPr>
        <w:t xml:space="preserve">art. </w:t>
      </w:r>
      <w:r>
        <w:rPr>
          <w:rFonts w:ascii="Times New Roman" w:eastAsia="Times New Roman" w:hAnsi="Times New Roman" w:cs="Times New Roman"/>
          <w:sz w:val="24"/>
          <w:szCs w:val="24"/>
          <w:lang w:eastAsia="pl-PL"/>
        </w:rPr>
        <w:t xml:space="preserve">30 i </w:t>
      </w:r>
      <w:r w:rsidR="00F80193">
        <w:rPr>
          <w:rFonts w:ascii="Times New Roman" w:eastAsia="Times New Roman" w:hAnsi="Times New Roman" w:cs="Times New Roman"/>
          <w:sz w:val="24"/>
          <w:szCs w:val="24"/>
          <w:lang w:eastAsia="pl-PL"/>
        </w:rPr>
        <w:t xml:space="preserve">art. </w:t>
      </w:r>
      <w:r>
        <w:rPr>
          <w:rFonts w:ascii="Times New Roman" w:eastAsia="Times New Roman" w:hAnsi="Times New Roman" w:cs="Times New Roman"/>
          <w:sz w:val="24"/>
          <w:szCs w:val="24"/>
          <w:lang w:eastAsia="pl-PL"/>
        </w:rPr>
        <w:t>70a ustawy o dochodach jednostek samorządu terytorialnego, w  kwocie wyższej od należnej.</w:t>
      </w:r>
    </w:p>
    <w:p w14:paraId="7E4F5F51" w14:textId="77777777" w:rsidR="009C15B2" w:rsidRDefault="009C15B2" w:rsidP="00DF3A8D">
      <w:p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Projektowany przepis przewiduje, że jednostce samorządu terytorialnego przysługuje </w:t>
      </w:r>
      <w:r w:rsidR="002D25B2">
        <w:rPr>
          <w:rFonts w:ascii="Times New Roman" w:hAnsi="Times New Roman" w:cs="Times New Roman"/>
          <w:sz w:val="24"/>
          <w:szCs w:val="24"/>
        </w:rPr>
        <w:t>prawo do wyrównania różnicy</w:t>
      </w:r>
      <w:r>
        <w:rPr>
          <w:rFonts w:ascii="Times New Roman" w:hAnsi="Times New Roman" w:cs="Times New Roman"/>
          <w:sz w:val="24"/>
          <w:szCs w:val="24"/>
        </w:rPr>
        <w:t xml:space="preserve"> pomiędzy zaniżon</w:t>
      </w:r>
      <w:r w:rsidR="00F535D7">
        <w:rPr>
          <w:rFonts w:ascii="Times New Roman" w:hAnsi="Times New Roman" w:cs="Times New Roman"/>
          <w:sz w:val="24"/>
          <w:szCs w:val="24"/>
        </w:rPr>
        <w:t>ą kwotą</w:t>
      </w:r>
      <w:r>
        <w:rPr>
          <w:rFonts w:ascii="Times New Roman" w:hAnsi="Times New Roman" w:cs="Times New Roman"/>
          <w:sz w:val="24"/>
          <w:szCs w:val="24"/>
        </w:rPr>
        <w:t xml:space="preserve"> odpowiedniej części subwencji a kwotą należną z tych tytułów lub zwrot zawyżonych kwot dokonanych wpłat</w:t>
      </w:r>
      <w:r w:rsidR="000E0104">
        <w:rPr>
          <w:rFonts w:ascii="Times New Roman" w:hAnsi="Times New Roman" w:cs="Times New Roman"/>
          <w:sz w:val="24"/>
          <w:szCs w:val="24"/>
        </w:rPr>
        <w:t>,</w:t>
      </w:r>
      <w:r>
        <w:rPr>
          <w:rFonts w:ascii="Times New Roman" w:hAnsi="Times New Roman" w:cs="Times New Roman"/>
          <w:sz w:val="24"/>
          <w:szCs w:val="24"/>
        </w:rPr>
        <w:t xml:space="preserve"> w przypadku gdy nieprawidłowe naliczenie kwoty wynika z  przyczyn niezależnych od jednostki samorządu terytorialnego.</w:t>
      </w:r>
    </w:p>
    <w:p w14:paraId="4608B337" w14:textId="77777777" w:rsidR="009C15B2" w:rsidRDefault="009C15B2" w:rsidP="00DF3A8D">
      <w:p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Przepis posługuje się ogólnym pojęciem „przyczyn niezależnych od jednostki samorządu terytorialnego”, nie jest bowiem możliwe enumeratywne wyliczenie wszystkich przesłanek, związanych z przyczynami niezależnymi od jednostki samorządu terytorialnego. Dlatego też wprowadzono regulację o charakterze ogólnym, bez wyszczególniania tych przyczyn. </w:t>
      </w:r>
    </w:p>
    <w:p w14:paraId="56D02A82" w14:textId="11250015" w:rsidR="009C15B2" w:rsidRDefault="0095253C" w:rsidP="00DF3A8D">
      <w:p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Przyznanie wyrównania różnicy pomiędzy zaniżoną kwotą subwencji lub zwrot zawyżonej kwoty wpłat będzie następować w drodze decyzji </w:t>
      </w:r>
      <w:r w:rsidR="00F535D7">
        <w:rPr>
          <w:rFonts w:ascii="Times New Roman" w:hAnsi="Times New Roman" w:cs="Times New Roman"/>
          <w:sz w:val="24"/>
          <w:szCs w:val="24"/>
        </w:rPr>
        <w:t xml:space="preserve">administracyjnej </w:t>
      </w:r>
      <w:r>
        <w:rPr>
          <w:rFonts w:ascii="Times New Roman" w:hAnsi="Times New Roman" w:cs="Times New Roman"/>
          <w:sz w:val="24"/>
          <w:szCs w:val="24"/>
        </w:rPr>
        <w:t>ministra właściwego do spraw finansów publicznych, po przeprowadzeniu postępowania administracyjnego w trybie przepisów Kodeksu postępowania administracyjnego, w tym przy zastosowaniu terminów, przewidzianych w tym akcie prawnym.</w:t>
      </w:r>
    </w:p>
    <w:p w14:paraId="0AFB9BCA" w14:textId="5380D8F4" w:rsidR="0095253C" w:rsidRDefault="0095253C" w:rsidP="00DF3A8D">
      <w:p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Od zwracanych kwot jednostkom samorządu terytorialnego będą przysługiwały odsetki</w:t>
      </w:r>
      <w:r w:rsidR="00A91651">
        <w:rPr>
          <w:rFonts w:ascii="Times New Roman" w:hAnsi="Times New Roman" w:cs="Times New Roman"/>
          <w:sz w:val="24"/>
          <w:szCs w:val="24"/>
        </w:rPr>
        <w:t xml:space="preserve"> jak dla zaległości podatkowych.</w:t>
      </w:r>
    </w:p>
    <w:p w14:paraId="719450B3" w14:textId="110FF2BE" w:rsidR="009C15B2" w:rsidRDefault="009C15B2" w:rsidP="00DF3A8D">
      <w:pPr>
        <w:numPr>
          <w:ilvl w:val="0"/>
          <w:numId w:val="1"/>
        </w:numPr>
        <w:spacing w:after="120" w:line="36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 miejsce dotychczasowej rezerwy celowej budżetu państwa przeznaczonej na dotacje dla województw na dofinansowanie dróg wojewódzkich zostanie wprowadzona rezerwa subwencji ogólnej. Rezerwa subwencji będzie przeznaczona dla województw na dofinansowanie budowy, przebudowy, remontu, utrzymania, ochrony dróg wojewódzkich i zarządzania tymi drogami, którą dysponuje minister właściwy do spraw finansów publicznych. </w:t>
      </w:r>
    </w:p>
    <w:p w14:paraId="61E8C555" w14:textId="77777777" w:rsidR="009C15B2" w:rsidRDefault="009C15B2" w:rsidP="00DF3A8D">
      <w:pPr>
        <w:spacing w:after="120" w:line="36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Zapewni to elastyczność samorządom województw zarówno na etapie planowania, jak i wydatkowania środków.</w:t>
      </w:r>
    </w:p>
    <w:p w14:paraId="39E733B5" w14:textId="2BE01E4B" w:rsidR="009C15B2" w:rsidRDefault="009C15B2" w:rsidP="00DF3A8D">
      <w:pPr>
        <w:pStyle w:val="Akapitzlist"/>
        <w:numPr>
          <w:ilvl w:val="0"/>
          <w:numId w:val="1"/>
        </w:numPr>
        <w:spacing w:after="120" w:line="360" w:lineRule="auto"/>
        <w:ind w:left="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Podobnie jak w obowiązującej ustawie przewiduje się, że minister właściwy do spraw finansów publicznych poinformuje województwa o części regionalnej subwencji ogólnej w wysokości 90% ustalonej kwoty. W przypadku gdy kwota wpłat województw do budżetu państwa (z których tworzona jest część regionalna) nie zostanie zmniejszona, minister </w:t>
      </w:r>
      <w:r>
        <w:rPr>
          <w:rFonts w:ascii="Times New Roman" w:eastAsia="Times New Roman" w:hAnsi="Times New Roman" w:cs="Times New Roman"/>
          <w:sz w:val="24"/>
          <w:szCs w:val="24"/>
          <w:lang w:eastAsia="pl-PL"/>
        </w:rPr>
        <w:lastRenderedPageBreak/>
        <w:t>właściwy do spraw finansów publicznych, w terminie do dnia 30 września roku budżetowego, poinformuje jednostki o odpowiednim zwiększeniu tej kwoty subwencji.</w:t>
      </w:r>
    </w:p>
    <w:p w14:paraId="75B77AD2" w14:textId="77777777" w:rsidR="009C15B2" w:rsidRDefault="009C15B2" w:rsidP="00DF3A8D">
      <w:pPr>
        <w:pStyle w:val="Akapitzlist"/>
        <w:spacing w:after="120" w:line="360" w:lineRule="auto"/>
        <w:ind w:left="426"/>
        <w:jc w:val="both"/>
        <w:rPr>
          <w:rFonts w:ascii="Times New Roman" w:eastAsia="Times New Roman" w:hAnsi="Times New Roman" w:cs="Times New Roman"/>
          <w:sz w:val="24"/>
          <w:szCs w:val="24"/>
          <w:lang w:eastAsia="pl-PL"/>
        </w:rPr>
      </w:pPr>
    </w:p>
    <w:p w14:paraId="1AEFC2DA" w14:textId="77777777" w:rsidR="009C15B2" w:rsidRDefault="009C15B2" w:rsidP="00DF3A8D">
      <w:pPr>
        <w:spacing w:after="12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Pozostałe zmiany mają charakter legislacyjny i doprecyzowujący.</w:t>
      </w:r>
    </w:p>
    <w:p w14:paraId="7B12E2B5" w14:textId="77777777" w:rsidR="009C15B2" w:rsidRDefault="009C15B2" w:rsidP="009C15B2">
      <w:pPr>
        <w:spacing w:before="240" w:after="12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II.</w:t>
      </w:r>
      <w:r>
        <w:rPr>
          <w:rFonts w:ascii="Times New Roman" w:eastAsia="Times New Roman" w:hAnsi="Times New Roman" w:cs="Times New Roman"/>
          <w:sz w:val="24"/>
          <w:szCs w:val="24"/>
          <w:lang w:eastAsia="pl-PL"/>
        </w:rPr>
        <w:t xml:space="preserve"> Przepisy przejściowe</w:t>
      </w:r>
    </w:p>
    <w:p w14:paraId="1E903ED4" w14:textId="77777777" w:rsidR="009C15B2" w:rsidRDefault="009C15B2" w:rsidP="009C15B2">
      <w:pPr>
        <w:pStyle w:val="Akapitzlist"/>
        <w:numPr>
          <w:ilvl w:val="0"/>
          <w:numId w:val="3"/>
        </w:numPr>
        <w:spacing w:after="12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 </w:t>
      </w:r>
      <w:r>
        <w:rPr>
          <w:rFonts w:ascii="Times New Roman" w:eastAsia="Times New Roman" w:hAnsi="Times New Roman" w:cs="Times New Roman"/>
          <w:sz w:val="24"/>
          <w:szCs w:val="24"/>
          <w:u w:val="single"/>
          <w:lang w:eastAsia="pl-PL"/>
        </w:rPr>
        <w:t>art. 2</w:t>
      </w:r>
      <w:r>
        <w:rPr>
          <w:rFonts w:ascii="Times New Roman" w:eastAsia="Times New Roman" w:hAnsi="Times New Roman" w:cs="Times New Roman"/>
          <w:sz w:val="24"/>
          <w:szCs w:val="24"/>
          <w:lang w:eastAsia="pl-PL"/>
        </w:rPr>
        <w:t xml:space="preserve"> projektu </w:t>
      </w:r>
      <w:r w:rsidR="00DF3A8D">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 xml:space="preserve"> wprowadzono mechanizm wyrównania różnic pomiędzy kwotą części wyrównawczej,  części regionalnej subwencji ogólnej i rezerwy subwencji, wyliczonych na dany rok budżetowy a  kwotą ustaloną według zasad, obowiązujących przed dniem 14 listopada 2014 r. z tytułu części wyrównawczej i części regionalnej subwencji ogólnej. </w:t>
      </w:r>
    </w:p>
    <w:p w14:paraId="1EC71546" w14:textId="77777777" w:rsidR="009C15B2" w:rsidRDefault="009C15B2" w:rsidP="009C15B2">
      <w:pPr>
        <w:spacing w:after="120" w:line="360" w:lineRule="auto"/>
        <w:ind w:left="708"/>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Konstrukcja mechanizmu zakłada, że:</w:t>
      </w:r>
    </w:p>
    <w:p w14:paraId="5687D221" w14:textId="77777777" w:rsidR="009C15B2" w:rsidRDefault="009C15B2" w:rsidP="009C15B2">
      <w:pPr>
        <w:pStyle w:val="Akapitzlist"/>
        <w:numPr>
          <w:ilvl w:val="0"/>
          <w:numId w:val="4"/>
        </w:numPr>
        <w:spacing w:after="12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dla województw, które w danym roku nie są obowiązane do dokonywania wpłat, porównuje się sumy części wyrównawczej, części regionalnej subwencji ogólnej i  rezerwy subwencji, wyliczonych na dany rok budżetowy na zasadach określonych w projekcie ustawy z sumą części wyrównawczej i części regionalnej subwencji ogólnej, wyliczon</w:t>
      </w:r>
      <w:r w:rsidR="003A3D93">
        <w:rPr>
          <w:rFonts w:ascii="Times New Roman" w:eastAsia="Times New Roman" w:hAnsi="Times New Roman" w:cs="Times New Roman"/>
          <w:sz w:val="24"/>
          <w:szCs w:val="24"/>
          <w:lang w:eastAsia="pl-PL"/>
        </w:rPr>
        <w:t>ych</w:t>
      </w:r>
      <w:r>
        <w:rPr>
          <w:rFonts w:ascii="Times New Roman" w:eastAsia="Times New Roman" w:hAnsi="Times New Roman" w:cs="Times New Roman"/>
          <w:sz w:val="24"/>
          <w:szCs w:val="24"/>
          <w:lang w:eastAsia="pl-PL"/>
        </w:rPr>
        <w:t xml:space="preserve"> na rok budżetowy, według zasad, obowiązujących przed dniem 14 listopada 2014 r.</w:t>
      </w:r>
      <w:r w:rsidR="007E7E99">
        <w:rPr>
          <w:rFonts w:ascii="Times New Roman" w:eastAsia="Times New Roman" w:hAnsi="Times New Roman" w:cs="Times New Roman"/>
          <w:sz w:val="24"/>
          <w:szCs w:val="24"/>
          <w:lang w:eastAsia="pl-PL"/>
        </w:rPr>
        <w:t>,</w:t>
      </w:r>
    </w:p>
    <w:p w14:paraId="33952291" w14:textId="77777777" w:rsidR="009C15B2" w:rsidRDefault="009C15B2" w:rsidP="009C15B2">
      <w:pPr>
        <w:pStyle w:val="Akapitzlist"/>
        <w:numPr>
          <w:ilvl w:val="0"/>
          <w:numId w:val="4"/>
        </w:numPr>
        <w:spacing w:after="12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województwu „zyskującemu” na nowych rozwiązaniach zostanie pomniejszona część regionalna subwencji ogólnej wyliczona dla tego województwa - w przypadku konieczności wyrównania różnicy dla województw tracących,</w:t>
      </w:r>
    </w:p>
    <w:p w14:paraId="7B5BE1B3" w14:textId="4FF6F0B9" w:rsidR="009C15B2" w:rsidRDefault="009C15B2" w:rsidP="009C15B2">
      <w:pPr>
        <w:pStyle w:val="Akapitzlist"/>
        <w:numPr>
          <w:ilvl w:val="0"/>
          <w:numId w:val="4"/>
        </w:numPr>
        <w:spacing w:after="12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środki przeznaczane dla województw „tracących” będą pochodzić od województw „zyskujących” na nowych rozwiązaniach</w:t>
      </w:r>
      <w:r w:rsidR="007E7E99">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 xml:space="preserve"> </w:t>
      </w:r>
      <w:r w:rsidR="007E7E99">
        <w:rPr>
          <w:rFonts w:ascii="Times New Roman" w:eastAsia="Times New Roman" w:hAnsi="Times New Roman" w:cs="Times New Roman"/>
          <w:sz w:val="24"/>
          <w:szCs w:val="24"/>
          <w:lang w:eastAsia="pl-PL"/>
        </w:rPr>
        <w:t>w</w:t>
      </w:r>
      <w:r>
        <w:rPr>
          <w:rFonts w:ascii="Times New Roman" w:eastAsia="Times New Roman" w:hAnsi="Times New Roman" w:cs="Times New Roman"/>
          <w:sz w:val="24"/>
          <w:szCs w:val="24"/>
          <w:lang w:eastAsia="pl-PL"/>
        </w:rPr>
        <w:t xml:space="preserve"> przypadku gdy kwota „zysku” jest wyższa od kwoty „strat”, to nadwyżka środków wraca do województw „zyskujących”.</w:t>
      </w:r>
    </w:p>
    <w:p w14:paraId="0EEE85BE" w14:textId="653BAFB0" w:rsidR="009C15B2" w:rsidRDefault="009C15B2" w:rsidP="009C15B2">
      <w:pPr>
        <w:pStyle w:val="Akapitzlist"/>
        <w:numPr>
          <w:ilvl w:val="0"/>
          <w:numId w:val="3"/>
        </w:numPr>
        <w:spacing w:after="12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 </w:t>
      </w:r>
      <w:r>
        <w:rPr>
          <w:rFonts w:ascii="Times New Roman" w:eastAsia="Times New Roman" w:hAnsi="Times New Roman" w:cs="Times New Roman"/>
          <w:sz w:val="24"/>
          <w:szCs w:val="24"/>
          <w:u w:val="single"/>
          <w:lang w:eastAsia="pl-PL"/>
        </w:rPr>
        <w:t>art. 3</w:t>
      </w:r>
      <w:r>
        <w:rPr>
          <w:rFonts w:ascii="Times New Roman" w:eastAsia="Times New Roman" w:hAnsi="Times New Roman" w:cs="Times New Roman"/>
          <w:sz w:val="24"/>
          <w:szCs w:val="24"/>
          <w:lang w:eastAsia="pl-PL"/>
        </w:rPr>
        <w:t xml:space="preserve"> przewiduje się wprowadzenie regulacji w zakresie opracowania projektów uchwał budżetowych i projektu ustawy budżetowej.</w:t>
      </w:r>
    </w:p>
    <w:p w14:paraId="6F8D8B49" w14:textId="77777777" w:rsidR="009C15B2" w:rsidRDefault="009C15B2" w:rsidP="009C15B2">
      <w:pPr>
        <w:pStyle w:val="Akapitzlist"/>
        <w:numPr>
          <w:ilvl w:val="0"/>
          <w:numId w:val="3"/>
        </w:numPr>
        <w:spacing w:after="12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 </w:t>
      </w:r>
      <w:r>
        <w:rPr>
          <w:rFonts w:ascii="Times New Roman" w:eastAsia="Times New Roman" w:hAnsi="Times New Roman" w:cs="Times New Roman"/>
          <w:sz w:val="24"/>
          <w:szCs w:val="24"/>
          <w:u w:val="single"/>
          <w:lang w:eastAsia="pl-PL"/>
        </w:rPr>
        <w:t>art. 4</w:t>
      </w:r>
      <w:r>
        <w:rPr>
          <w:rFonts w:ascii="Times New Roman" w:eastAsia="Times New Roman" w:hAnsi="Times New Roman" w:cs="Times New Roman"/>
          <w:sz w:val="24"/>
          <w:szCs w:val="24"/>
          <w:lang w:eastAsia="pl-PL"/>
        </w:rPr>
        <w:t xml:space="preserve"> wprowadzono przepis przejściowy, dotyczący </w:t>
      </w:r>
      <w:r w:rsidR="00A22AD4">
        <w:rPr>
          <w:rFonts w:ascii="Times New Roman" w:eastAsia="Times New Roman" w:hAnsi="Times New Roman" w:cs="Times New Roman"/>
          <w:sz w:val="24"/>
          <w:szCs w:val="24"/>
          <w:lang w:eastAsia="pl-PL"/>
        </w:rPr>
        <w:t>art. 36 ust. 10</w:t>
      </w:r>
      <w:r>
        <w:rPr>
          <w:rFonts w:ascii="Times New Roman" w:eastAsia="Times New Roman" w:hAnsi="Times New Roman" w:cs="Times New Roman"/>
          <w:sz w:val="24"/>
          <w:szCs w:val="24"/>
          <w:lang w:eastAsia="pl-PL"/>
        </w:rPr>
        <w:t xml:space="preserve">, zgodnie z którym regulacje, zawarte w tych przepisach, będą </w:t>
      </w:r>
      <w:r w:rsidR="00DF3A8D">
        <w:rPr>
          <w:rFonts w:ascii="Times New Roman" w:eastAsia="Times New Roman" w:hAnsi="Times New Roman" w:cs="Times New Roman"/>
          <w:sz w:val="24"/>
          <w:szCs w:val="24"/>
          <w:lang w:eastAsia="pl-PL"/>
        </w:rPr>
        <w:t>obowiązywać od 1  stycznia 2020 </w:t>
      </w:r>
      <w:r>
        <w:rPr>
          <w:rFonts w:ascii="Times New Roman" w:eastAsia="Times New Roman" w:hAnsi="Times New Roman" w:cs="Times New Roman"/>
          <w:sz w:val="24"/>
          <w:szCs w:val="24"/>
          <w:lang w:eastAsia="pl-PL"/>
        </w:rPr>
        <w:t xml:space="preserve">r. </w:t>
      </w:r>
      <w:r w:rsidR="003256A3">
        <w:rPr>
          <w:rFonts w:ascii="Times New Roman" w:eastAsia="Times New Roman" w:hAnsi="Times New Roman" w:cs="Times New Roman"/>
          <w:sz w:val="24"/>
          <w:szCs w:val="24"/>
          <w:lang w:eastAsia="pl-PL"/>
        </w:rPr>
        <w:t xml:space="preserve">i będą mieć zastosowanie po raz pierwszy do poszczególnych części subwencji ogólnej i wpłat do budżetu państwa, ustalonych na rok 2020. </w:t>
      </w:r>
      <w:r>
        <w:rPr>
          <w:rFonts w:ascii="Times New Roman" w:eastAsia="Times New Roman" w:hAnsi="Times New Roman" w:cs="Times New Roman"/>
          <w:sz w:val="24"/>
          <w:szCs w:val="24"/>
          <w:lang w:eastAsia="pl-PL"/>
        </w:rPr>
        <w:t>Natomiast w sprawach, dotyczących subwencji ogólnej i wpłat za lata wcześniejsze, będą miały zastosowanie przepisy dotychczasowe.</w:t>
      </w:r>
    </w:p>
    <w:p w14:paraId="24255161" w14:textId="77777777" w:rsidR="009C15B2" w:rsidRDefault="009C15B2" w:rsidP="009C15B2">
      <w:pPr>
        <w:pStyle w:val="Akapitzlist"/>
        <w:numPr>
          <w:ilvl w:val="0"/>
          <w:numId w:val="3"/>
        </w:numPr>
        <w:spacing w:after="12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 xml:space="preserve">W </w:t>
      </w:r>
      <w:r>
        <w:rPr>
          <w:rFonts w:ascii="Times New Roman" w:eastAsia="Times New Roman" w:hAnsi="Times New Roman" w:cs="Times New Roman"/>
          <w:sz w:val="24"/>
          <w:szCs w:val="24"/>
          <w:u w:val="single"/>
          <w:lang w:eastAsia="pl-PL"/>
        </w:rPr>
        <w:t>art. 5</w:t>
      </w:r>
      <w:r>
        <w:rPr>
          <w:rFonts w:ascii="Times New Roman" w:eastAsia="Times New Roman" w:hAnsi="Times New Roman" w:cs="Times New Roman"/>
          <w:sz w:val="24"/>
          <w:szCs w:val="24"/>
          <w:lang w:eastAsia="pl-PL"/>
        </w:rPr>
        <w:t xml:space="preserve"> przewidziano wprowadzenie na rok 2020 i lata następne regulacji w zakresie opracowania wieloletniej prognozy finansowej. </w:t>
      </w:r>
    </w:p>
    <w:p w14:paraId="46AFB268" w14:textId="77777777" w:rsidR="009C15B2" w:rsidRDefault="009C15B2" w:rsidP="009C15B2">
      <w:pPr>
        <w:spacing w:after="120" w:line="360" w:lineRule="auto"/>
        <w:ind w:left="708"/>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Samorządy województw przygotowują uchwały w sprawie wieloletnich prognoz finansowych obejmujące rok budżetowy oraz co najmniej trzy kolejne lata. Rozwiązania zaproponowane w projekcie ustawy są spójne z przepisami ustawy o finansach publicznych i pozwolą samorządom przygotować prognozy finansowe na podstawie przewidywalnych dochodów z tytułu subwencji ogólnej. Wieloletnie prognozy finansowe na kolejne lata samorządy województw opracują, przyjmując kwoty części regionalnej ustalone według zasad przewidzianych w projekcie ustawy.</w:t>
      </w:r>
    </w:p>
    <w:p w14:paraId="5D5C1426" w14:textId="77777777" w:rsidR="009C15B2" w:rsidRDefault="009C15B2" w:rsidP="009C15B2">
      <w:pPr>
        <w:pStyle w:val="Akapitzlist"/>
        <w:numPr>
          <w:ilvl w:val="0"/>
          <w:numId w:val="3"/>
        </w:numPr>
        <w:spacing w:after="12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 </w:t>
      </w:r>
      <w:r>
        <w:rPr>
          <w:rFonts w:ascii="Times New Roman" w:eastAsia="Times New Roman" w:hAnsi="Times New Roman" w:cs="Times New Roman"/>
          <w:sz w:val="24"/>
          <w:szCs w:val="24"/>
          <w:u w:val="single"/>
          <w:lang w:eastAsia="pl-PL"/>
        </w:rPr>
        <w:t>art. 6</w:t>
      </w:r>
      <w:r>
        <w:rPr>
          <w:rFonts w:ascii="Times New Roman" w:eastAsia="Times New Roman" w:hAnsi="Times New Roman" w:cs="Times New Roman"/>
          <w:sz w:val="24"/>
          <w:szCs w:val="24"/>
          <w:lang w:eastAsia="pl-PL"/>
        </w:rPr>
        <w:t xml:space="preserve"> uregulowano kwestie stosowania przepisów dotychczasowych do dotacji celowej na zadania województwa z zakresu dróg wojewódzkich, wyliczonych na rok 2019 i lata poprzednie. </w:t>
      </w:r>
    </w:p>
    <w:p w14:paraId="307DE3E0" w14:textId="77777777" w:rsidR="009C15B2" w:rsidRDefault="009C15B2" w:rsidP="009C15B2">
      <w:pPr>
        <w:spacing w:before="240" w:after="120" w:line="360"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III.</w:t>
      </w:r>
      <w:r>
        <w:rPr>
          <w:rFonts w:ascii="Times New Roman" w:eastAsia="Times New Roman" w:hAnsi="Times New Roman" w:cs="Times New Roman"/>
          <w:sz w:val="24"/>
          <w:szCs w:val="24"/>
          <w:lang w:eastAsia="pl-PL"/>
        </w:rPr>
        <w:t xml:space="preserve"> Termin wejścia w życie</w:t>
      </w:r>
    </w:p>
    <w:p w14:paraId="689BDBB1" w14:textId="77777777" w:rsidR="009C15B2" w:rsidRDefault="009C15B2" w:rsidP="009C15B2">
      <w:pPr>
        <w:spacing w:after="12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 </w:t>
      </w:r>
      <w:r>
        <w:rPr>
          <w:rFonts w:ascii="Times New Roman" w:eastAsia="Times New Roman" w:hAnsi="Times New Roman" w:cs="Times New Roman"/>
          <w:sz w:val="24"/>
          <w:szCs w:val="24"/>
          <w:u w:val="single"/>
          <w:lang w:eastAsia="pl-PL"/>
        </w:rPr>
        <w:t>art. 7</w:t>
      </w:r>
      <w:r>
        <w:rPr>
          <w:rFonts w:ascii="Times New Roman" w:eastAsia="Times New Roman" w:hAnsi="Times New Roman" w:cs="Times New Roman"/>
          <w:sz w:val="24"/>
          <w:szCs w:val="24"/>
          <w:lang w:eastAsia="pl-PL"/>
        </w:rPr>
        <w:t xml:space="preserve"> określono termin wejścia w życie przepisów ustawy. Ustawa wejdzie w życie po upływie 14 dni od dnia ogłoszenia, z wyjątkiem art. 1 pkt 1, który wchodzi w życie z dniem 1  stycznia 2020 r.</w:t>
      </w:r>
    </w:p>
    <w:p w14:paraId="3E4814E7" w14:textId="77777777" w:rsidR="009C15B2" w:rsidRDefault="009C15B2" w:rsidP="009C15B2">
      <w:pPr>
        <w:keepNext/>
        <w:spacing w:before="240" w:after="120" w:line="360"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Zgodność projektowanych rozwiązań z prawem Unii Europejskiej</w:t>
      </w:r>
    </w:p>
    <w:p w14:paraId="6E56C891" w14:textId="77777777" w:rsidR="009C15B2" w:rsidRDefault="009C15B2" w:rsidP="009C15B2">
      <w:pPr>
        <w:spacing w:after="12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Projekt ustawy jest zgodny z prawem Unii Europejskiej.</w:t>
      </w:r>
    </w:p>
    <w:p w14:paraId="12595D09" w14:textId="77777777" w:rsidR="009C15B2" w:rsidRDefault="009C15B2" w:rsidP="009C15B2">
      <w:pPr>
        <w:spacing w:before="240" w:after="120"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Uwagi końcowe</w:t>
      </w:r>
    </w:p>
    <w:p w14:paraId="0952ED93" w14:textId="77777777" w:rsidR="009C15B2" w:rsidRDefault="009C15B2" w:rsidP="009C15B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Zawarte w projekcie regulacje nie mają wpływu na </w:t>
      </w:r>
      <w:proofErr w:type="spellStart"/>
      <w:r>
        <w:rPr>
          <w:rFonts w:ascii="Times New Roman" w:hAnsi="Times New Roman" w:cs="Times New Roman"/>
          <w:sz w:val="24"/>
          <w:szCs w:val="24"/>
        </w:rPr>
        <w:t>mikroprzedsiębiorców</w:t>
      </w:r>
      <w:proofErr w:type="spellEnd"/>
      <w:r>
        <w:rPr>
          <w:rFonts w:ascii="Times New Roman" w:hAnsi="Times New Roman" w:cs="Times New Roman"/>
          <w:sz w:val="24"/>
          <w:szCs w:val="24"/>
        </w:rPr>
        <w:t xml:space="preserve">, małych i średnich przedsiębiorców zgodnie z art. 66 ustawy z dnia 6 marca 2018 r. </w:t>
      </w:r>
      <w:r w:rsidR="00DF3A8D">
        <w:rPr>
          <w:rFonts w:ascii="Times New Roman" w:hAnsi="Times New Roman" w:cs="Times New Roman"/>
          <w:sz w:val="24"/>
          <w:szCs w:val="24"/>
        </w:rPr>
        <w:t>–</w:t>
      </w:r>
      <w:r>
        <w:rPr>
          <w:rFonts w:ascii="Times New Roman" w:hAnsi="Times New Roman" w:cs="Times New Roman"/>
          <w:sz w:val="24"/>
          <w:szCs w:val="24"/>
        </w:rPr>
        <w:t xml:space="preserve"> Prawo przedsiębiorców (Dz.  U. poz. 646, z </w:t>
      </w:r>
      <w:proofErr w:type="spellStart"/>
      <w:r>
        <w:rPr>
          <w:rFonts w:ascii="Times New Roman" w:hAnsi="Times New Roman" w:cs="Times New Roman"/>
          <w:sz w:val="24"/>
          <w:szCs w:val="24"/>
        </w:rPr>
        <w:t>późn</w:t>
      </w:r>
      <w:proofErr w:type="spellEnd"/>
      <w:r>
        <w:rPr>
          <w:rFonts w:ascii="Times New Roman" w:hAnsi="Times New Roman" w:cs="Times New Roman"/>
          <w:sz w:val="24"/>
          <w:szCs w:val="24"/>
        </w:rPr>
        <w:t>. zm.).</w:t>
      </w:r>
    </w:p>
    <w:p w14:paraId="4D70E8EF" w14:textId="77777777" w:rsidR="009C15B2" w:rsidRDefault="009C15B2" w:rsidP="009C15B2">
      <w:pPr>
        <w:spacing w:after="0" w:line="360" w:lineRule="auto"/>
        <w:jc w:val="both"/>
        <w:rPr>
          <w:rFonts w:ascii="Times New Roman" w:hAnsi="Times New Roman" w:cs="Times New Roman"/>
          <w:sz w:val="24"/>
          <w:szCs w:val="24"/>
        </w:rPr>
      </w:pPr>
    </w:p>
    <w:p w14:paraId="7FA4EC11" w14:textId="77777777" w:rsidR="009C15B2" w:rsidRDefault="009C15B2" w:rsidP="009C15B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Projekt nie wymaga przedstawienia go organom i instytucjom Unii Europejskiej w celu uzyskania opinii, dokonania powiadomienia, konsultacji albo uzgodnienia. </w:t>
      </w:r>
    </w:p>
    <w:p w14:paraId="750140CF" w14:textId="77777777" w:rsidR="009C15B2" w:rsidRDefault="009C15B2" w:rsidP="009C15B2">
      <w:pPr>
        <w:spacing w:after="0" w:line="360" w:lineRule="auto"/>
        <w:jc w:val="both"/>
        <w:rPr>
          <w:rFonts w:ascii="Times New Roman" w:hAnsi="Times New Roman" w:cs="Times New Roman"/>
          <w:sz w:val="24"/>
          <w:szCs w:val="24"/>
        </w:rPr>
      </w:pPr>
    </w:p>
    <w:p w14:paraId="4C20301F" w14:textId="25A24131" w:rsidR="009C15B2" w:rsidRDefault="009C15B2" w:rsidP="009C15B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Zgodnie z art. 2 ust. 1 decyzji Rady 98/415/WE z dnia 29 czerwca 1998 r. w sprawie konsultacji Europejskiego Banku Centralnego udzielanych władzom krajowym w sprawie projektów przepisów prawnych (Dz. Urz. WE L 189 z 03.07.1998, str. 42; Dz. Urz. UE Polskie </w:t>
      </w:r>
      <w:r w:rsidR="00F80193">
        <w:rPr>
          <w:rFonts w:ascii="Times New Roman" w:hAnsi="Times New Roman" w:cs="Times New Roman"/>
          <w:sz w:val="24"/>
          <w:szCs w:val="24"/>
        </w:rPr>
        <w:t>w</w:t>
      </w:r>
      <w:r>
        <w:rPr>
          <w:rFonts w:ascii="Times New Roman" w:hAnsi="Times New Roman" w:cs="Times New Roman"/>
          <w:sz w:val="24"/>
          <w:szCs w:val="24"/>
        </w:rPr>
        <w:t xml:space="preserve">ydanie </w:t>
      </w:r>
      <w:r w:rsidR="00F80193">
        <w:rPr>
          <w:rFonts w:ascii="Times New Roman" w:hAnsi="Times New Roman" w:cs="Times New Roman"/>
          <w:sz w:val="24"/>
          <w:szCs w:val="24"/>
        </w:rPr>
        <w:lastRenderedPageBreak/>
        <w:t>s</w:t>
      </w:r>
      <w:r>
        <w:rPr>
          <w:rFonts w:ascii="Times New Roman" w:hAnsi="Times New Roman" w:cs="Times New Roman"/>
          <w:sz w:val="24"/>
          <w:szCs w:val="24"/>
        </w:rPr>
        <w:t>pecjalne rozdz. 1, t. 1, str. 446) projekt nie wymaga konsultacji z Europejskim Bankiem Centralnym.</w:t>
      </w:r>
    </w:p>
    <w:p w14:paraId="09E2F6E6" w14:textId="77777777" w:rsidR="009C15B2" w:rsidRDefault="009C15B2" w:rsidP="009C15B2">
      <w:pPr>
        <w:spacing w:after="0" w:line="360" w:lineRule="auto"/>
        <w:jc w:val="both"/>
        <w:rPr>
          <w:rFonts w:ascii="Times New Roman" w:hAnsi="Times New Roman" w:cs="Times New Roman"/>
          <w:sz w:val="24"/>
          <w:szCs w:val="24"/>
        </w:rPr>
      </w:pPr>
    </w:p>
    <w:p w14:paraId="63267CAA" w14:textId="77777777" w:rsidR="009C15B2" w:rsidRDefault="009C15B2" w:rsidP="009C15B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Projektowana ustawa nie podlega procedurze notyfikacji zgodnie z przepisami rozporządzenia Rady Ministrów z dnia 23 grudnia 2002 r. w sprawie sposobu funkcjonowania krajowego systemu notyfikacji norm i aktów prawnych (Dz. U. poz. 2039, z </w:t>
      </w:r>
      <w:proofErr w:type="spellStart"/>
      <w:r>
        <w:rPr>
          <w:rFonts w:ascii="Times New Roman" w:hAnsi="Times New Roman" w:cs="Times New Roman"/>
          <w:sz w:val="24"/>
          <w:szCs w:val="24"/>
        </w:rPr>
        <w:t>późn</w:t>
      </w:r>
      <w:proofErr w:type="spellEnd"/>
      <w:r>
        <w:rPr>
          <w:rFonts w:ascii="Times New Roman" w:hAnsi="Times New Roman" w:cs="Times New Roman"/>
          <w:sz w:val="24"/>
          <w:szCs w:val="24"/>
        </w:rPr>
        <w:t>. zm.).</w:t>
      </w:r>
    </w:p>
    <w:p w14:paraId="56897EEA" w14:textId="77777777" w:rsidR="009C15B2" w:rsidRDefault="009C15B2" w:rsidP="009C15B2">
      <w:pPr>
        <w:spacing w:after="0" w:line="360" w:lineRule="auto"/>
        <w:jc w:val="both"/>
        <w:rPr>
          <w:rFonts w:ascii="Times New Roman" w:hAnsi="Times New Roman" w:cs="Times New Roman"/>
          <w:sz w:val="24"/>
          <w:szCs w:val="24"/>
        </w:rPr>
      </w:pPr>
    </w:p>
    <w:p w14:paraId="3136ECF8" w14:textId="77777777" w:rsidR="00C6612A" w:rsidRDefault="009C15B2" w:rsidP="00DF3A8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Zgodnie z art. 5 ustawy z dnia 7 lipca 2005 r. o działalności lobbingowej w procesie stanowienia prawa (Dz. U. z 2017 r. poz. 248) w związku z § 52 ust. 1 uchwały nr 190 Rady Ministrów z dnia 29 października 2013 r. – Reg</w:t>
      </w:r>
      <w:r w:rsidR="00DF3A8D">
        <w:rPr>
          <w:rFonts w:ascii="Times New Roman" w:hAnsi="Times New Roman" w:cs="Times New Roman"/>
          <w:sz w:val="24"/>
          <w:szCs w:val="24"/>
        </w:rPr>
        <w:t>ulamin pracy Rady Ministrów (M.</w:t>
      </w:r>
      <w:r>
        <w:rPr>
          <w:rFonts w:ascii="Times New Roman" w:hAnsi="Times New Roman" w:cs="Times New Roman"/>
          <w:sz w:val="24"/>
          <w:szCs w:val="24"/>
        </w:rPr>
        <w:t xml:space="preserve">P. z 2016 r. poz. 1006, z </w:t>
      </w:r>
      <w:proofErr w:type="spellStart"/>
      <w:r>
        <w:rPr>
          <w:rFonts w:ascii="Times New Roman" w:hAnsi="Times New Roman" w:cs="Times New Roman"/>
          <w:sz w:val="24"/>
          <w:szCs w:val="24"/>
        </w:rPr>
        <w:t>późn</w:t>
      </w:r>
      <w:proofErr w:type="spellEnd"/>
      <w:r>
        <w:rPr>
          <w:rFonts w:ascii="Times New Roman" w:hAnsi="Times New Roman" w:cs="Times New Roman"/>
          <w:sz w:val="24"/>
          <w:szCs w:val="24"/>
        </w:rPr>
        <w:t>. zm.) pro</w:t>
      </w:r>
      <w:r w:rsidR="00AD5E19">
        <w:rPr>
          <w:rFonts w:ascii="Times New Roman" w:hAnsi="Times New Roman" w:cs="Times New Roman"/>
          <w:sz w:val="24"/>
          <w:szCs w:val="24"/>
        </w:rPr>
        <w:t>jekt został</w:t>
      </w:r>
      <w:r>
        <w:rPr>
          <w:rFonts w:ascii="Times New Roman" w:hAnsi="Times New Roman" w:cs="Times New Roman"/>
          <w:sz w:val="24"/>
          <w:szCs w:val="24"/>
        </w:rPr>
        <w:t xml:space="preserve"> udostępniony w Biuletynie Informacji Publicznej na stronie podmiotowej Rządowego Centrum Legislacji, w serwisie Rządowy Proces Legislacyjny.</w:t>
      </w:r>
    </w:p>
    <w:p w14:paraId="550BFADB" w14:textId="77777777" w:rsidR="00C6612A" w:rsidRDefault="00C6612A" w:rsidP="00DF3A8D">
      <w:pPr>
        <w:spacing w:after="0" w:line="360" w:lineRule="auto"/>
        <w:jc w:val="both"/>
        <w:rPr>
          <w:rFonts w:ascii="Times New Roman" w:hAnsi="Times New Roman" w:cs="Times New Roman"/>
          <w:sz w:val="24"/>
          <w:szCs w:val="24"/>
        </w:rPr>
      </w:pPr>
    </w:p>
    <w:p w14:paraId="73D6CC31" w14:textId="122126EA" w:rsidR="001C7D97" w:rsidRDefault="00C6612A" w:rsidP="00C6612A">
      <w:pPr>
        <w:spacing w:after="0" w:line="360" w:lineRule="auto"/>
        <w:jc w:val="both"/>
      </w:pPr>
      <w:r>
        <w:rPr>
          <w:rFonts w:ascii="Times New Roman" w:hAnsi="Times New Roman" w:cs="Times New Roman"/>
          <w:sz w:val="24"/>
          <w:szCs w:val="24"/>
        </w:rPr>
        <w:t>Ż</w:t>
      </w:r>
      <w:r w:rsidRPr="00C6612A">
        <w:rPr>
          <w:rFonts w:ascii="Times New Roman" w:hAnsi="Times New Roman" w:cs="Times New Roman"/>
          <w:sz w:val="24"/>
          <w:szCs w:val="24"/>
        </w:rPr>
        <w:t>aden z podmiotów, o których m</w:t>
      </w:r>
      <w:r>
        <w:rPr>
          <w:rFonts w:ascii="Times New Roman" w:hAnsi="Times New Roman" w:cs="Times New Roman"/>
          <w:sz w:val="24"/>
          <w:szCs w:val="24"/>
        </w:rPr>
        <w:t>owa w ustawie z dnia 7 lipca 200</w:t>
      </w:r>
      <w:r w:rsidRPr="00C6612A">
        <w:rPr>
          <w:rFonts w:ascii="Times New Roman" w:hAnsi="Times New Roman" w:cs="Times New Roman"/>
          <w:sz w:val="24"/>
          <w:szCs w:val="24"/>
        </w:rPr>
        <w:t>5 r. o działalności lobbingowej</w:t>
      </w:r>
      <w:r>
        <w:rPr>
          <w:rFonts w:ascii="Times New Roman" w:hAnsi="Times New Roman" w:cs="Times New Roman"/>
          <w:sz w:val="24"/>
          <w:szCs w:val="24"/>
        </w:rPr>
        <w:t xml:space="preserve"> </w:t>
      </w:r>
      <w:r w:rsidRPr="00C6612A">
        <w:rPr>
          <w:rFonts w:ascii="Times New Roman" w:hAnsi="Times New Roman" w:cs="Times New Roman"/>
          <w:sz w:val="24"/>
          <w:szCs w:val="24"/>
        </w:rPr>
        <w:t>w procesie stanowienia prawa, nie zgłosił zainteresowania pr</w:t>
      </w:r>
      <w:bookmarkStart w:id="0" w:name="_GoBack"/>
      <w:bookmarkEnd w:id="0"/>
      <w:r w:rsidRPr="00C6612A">
        <w:rPr>
          <w:rFonts w:ascii="Times New Roman" w:hAnsi="Times New Roman" w:cs="Times New Roman"/>
          <w:sz w:val="24"/>
          <w:szCs w:val="24"/>
        </w:rPr>
        <w:t>acami nad</w:t>
      </w:r>
      <w:r>
        <w:rPr>
          <w:rFonts w:ascii="Times New Roman" w:hAnsi="Times New Roman" w:cs="Times New Roman"/>
          <w:sz w:val="24"/>
          <w:szCs w:val="24"/>
        </w:rPr>
        <w:t xml:space="preserve"> </w:t>
      </w:r>
      <w:r w:rsidRPr="00C6612A">
        <w:rPr>
          <w:rFonts w:ascii="Times New Roman" w:hAnsi="Times New Roman" w:cs="Times New Roman"/>
          <w:sz w:val="24"/>
          <w:szCs w:val="24"/>
        </w:rPr>
        <w:t>projektem ustawy o zmianie ustawy o dochodach jednostek samorządu terytorialnego</w:t>
      </w:r>
      <w:r>
        <w:rPr>
          <w:rFonts w:ascii="Times New Roman" w:hAnsi="Times New Roman" w:cs="Times New Roman"/>
          <w:sz w:val="24"/>
          <w:szCs w:val="24"/>
        </w:rPr>
        <w:t>.</w:t>
      </w:r>
    </w:p>
    <w:sectPr w:rsidR="001C7D97" w:rsidSect="00D54EC9">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CA3A40" w14:textId="77777777" w:rsidR="001E2C37" w:rsidRDefault="001E2C37" w:rsidP="00AA7C75">
      <w:pPr>
        <w:spacing w:after="0" w:line="240" w:lineRule="auto"/>
      </w:pPr>
      <w:r>
        <w:separator/>
      </w:r>
    </w:p>
  </w:endnote>
  <w:endnote w:type="continuationSeparator" w:id="0">
    <w:p w14:paraId="254DA255" w14:textId="77777777" w:rsidR="001E2C37" w:rsidRDefault="001E2C37" w:rsidP="00AA7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59E1D" w14:textId="77777777" w:rsidR="00D54EC9" w:rsidRDefault="00D54EC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8363118"/>
      <w:docPartObj>
        <w:docPartGallery w:val="Page Numbers (Bottom of Page)"/>
        <w:docPartUnique/>
      </w:docPartObj>
    </w:sdtPr>
    <w:sdtEndPr/>
    <w:sdtContent>
      <w:p w14:paraId="10EF2C1C" w14:textId="45E37665" w:rsidR="00D54EC9" w:rsidRDefault="00D54EC9">
        <w:pPr>
          <w:pStyle w:val="Stopka"/>
          <w:jc w:val="center"/>
        </w:pPr>
        <w:r w:rsidRPr="00D54EC9">
          <w:rPr>
            <w:rFonts w:ascii="Times New Roman" w:hAnsi="Times New Roman" w:cs="Times New Roman"/>
            <w:sz w:val="24"/>
            <w:szCs w:val="24"/>
          </w:rPr>
          <w:fldChar w:fldCharType="begin"/>
        </w:r>
        <w:r w:rsidRPr="00D54EC9">
          <w:rPr>
            <w:rFonts w:ascii="Times New Roman" w:hAnsi="Times New Roman" w:cs="Times New Roman"/>
            <w:sz w:val="24"/>
            <w:szCs w:val="24"/>
          </w:rPr>
          <w:instrText>PAGE   \* MERGEFORMAT</w:instrText>
        </w:r>
        <w:r w:rsidRPr="00D54EC9">
          <w:rPr>
            <w:rFonts w:ascii="Times New Roman" w:hAnsi="Times New Roman" w:cs="Times New Roman"/>
            <w:sz w:val="24"/>
            <w:szCs w:val="24"/>
          </w:rPr>
          <w:fldChar w:fldCharType="separate"/>
        </w:r>
        <w:r w:rsidR="00C6612A">
          <w:rPr>
            <w:rFonts w:ascii="Times New Roman" w:hAnsi="Times New Roman" w:cs="Times New Roman"/>
            <w:noProof/>
            <w:sz w:val="24"/>
            <w:szCs w:val="24"/>
          </w:rPr>
          <w:t>6</w:t>
        </w:r>
        <w:r w:rsidRPr="00D54EC9">
          <w:rPr>
            <w:rFonts w:ascii="Times New Roman" w:hAnsi="Times New Roman" w:cs="Times New Roman"/>
            <w:sz w:val="24"/>
            <w:szCs w:val="24"/>
          </w:rPr>
          <w:fldChar w:fldCharType="end"/>
        </w:r>
      </w:p>
    </w:sdtContent>
  </w:sdt>
  <w:p w14:paraId="6FFD3712" w14:textId="77777777" w:rsidR="00AA7C75" w:rsidRDefault="00AA7C75">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71F3E" w14:textId="77777777" w:rsidR="00D54EC9" w:rsidRDefault="00D54EC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506855" w14:textId="77777777" w:rsidR="001E2C37" w:rsidRDefault="001E2C37" w:rsidP="00AA7C75">
      <w:pPr>
        <w:spacing w:after="0" w:line="240" w:lineRule="auto"/>
      </w:pPr>
      <w:r>
        <w:separator/>
      </w:r>
    </w:p>
  </w:footnote>
  <w:footnote w:type="continuationSeparator" w:id="0">
    <w:p w14:paraId="5222B943" w14:textId="77777777" w:rsidR="001E2C37" w:rsidRDefault="001E2C37" w:rsidP="00AA7C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5B0E4" w14:textId="77777777" w:rsidR="00D54EC9" w:rsidRDefault="00D54EC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BBC98" w14:textId="77777777" w:rsidR="00D54EC9" w:rsidRDefault="00D54EC9">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2A361" w14:textId="77777777" w:rsidR="00D54EC9" w:rsidRDefault="00D54EC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DC17BD"/>
    <w:multiLevelType w:val="hybridMultilevel"/>
    <w:tmpl w:val="EEDAB74E"/>
    <w:lvl w:ilvl="0" w:tplc="5CB05F78">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37D63E76"/>
    <w:multiLevelType w:val="hybridMultilevel"/>
    <w:tmpl w:val="FD9CCCC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4BF65B4A"/>
    <w:multiLevelType w:val="hybridMultilevel"/>
    <w:tmpl w:val="0DF86546"/>
    <w:lvl w:ilvl="0" w:tplc="D7186776">
      <w:start w:val="1"/>
      <w:numFmt w:val="decimal"/>
      <w:lvlText w:val="%1)"/>
      <w:lvlJc w:val="left"/>
      <w:pPr>
        <w:ind w:left="720" w:hanging="360"/>
      </w:pPr>
      <w:rPr>
        <w:rFonts w:ascii="Times New Roman" w:hAnsi="Times New Roman" w:cs="Times New Roman" w:hint="default"/>
        <w:b w:val="0"/>
        <w:i w:val="0"/>
        <w:sz w:val="24"/>
      </w:rPr>
    </w:lvl>
    <w:lvl w:ilvl="1" w:tplc="963028EC">
      <w:numFmt w:val="bullet"/>
      <w:lvlText w:val="•"/>
      <w:lvlJc w:val="left"/>
      <w:pPr>
        <w:ind w:left="1785" w:hanging="705"/>
      </w:pPr>
      <w:rPr>
        <w:rFonts w:ascii="Times New Roman" w:eastAsia="Times New Roman" w:hAnsi="Times New Roman" w:cs="Times New Roman"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598F05C7"/>
    <w:multiLevelType w:val="hybridMultilevel"/>
    <w:tmpl w:val="E1E6F9E2"/>
    <w:lvl w:ilvl="0" w:tplc="B8180CFE">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5B2"/>
    <w:rsid w:val="000E0104"/>
    <w:rsid w:val="00102256"/>
    <w:rsid w:val="001328D8"/>
    <w:rsid w:val="00183B72"/>
    <w:rsid w:val="001A0895"/>
    <w:rsid w:val="001A2DEA"/>
    <w:rsid w:val="001D3B3E"/>
    <w:rsid w:val="001E2C37"/>
    <w:rsid w:val="00257661"/>
    <w:rsid w:val="002A578E"/>
    <w:rsid w:val="002D25B2"/>
    <w:rsid w:val="002D70EE"/>
    <w:rsid w:val="003256A3"/>
    <w:rsid w:val="003A3D93"/>
    <w:rsid w:val="004F3D5A"/>
    <w:rsid w:val="005336F3"/>
    <w:rsid w:val="005B3CA2"/>
    <w:rsid w:val="005F58C5"/>
    <w:rsid w:val="00786561"/>
    <w:rsid w:val="007E7E99"/>
    <w:rsid w:val="00882B49"/>
    <w:rsid w:val="009273E7"/>
    <w:rsid w:val="0095253C"/>
    <w:rsid w:val="009C15B2"/>
    <w:rsid w:val="009E2B45"/>
    <w:rsid w:val="009F05B6"/>
    <w:rsid w:val="00A22AD4"/>
    <w:rsid w:val="00A91651"/>
    <w:rsid w:val="00AA4068"/>
    <w:rsid w:val="00AA7C75"/>
    <w:rsid w:val="00AD5E19"/>
    <w:rsid w:val="00B456CF"/>
    <w:rsid w:val="00C02BF0"/>
    <w:rsid w:val="00C64A09"/>
    <w:rsid w:val="00C6612A"/>
    <w:rsid w:val="00D54EC9"/>
    <w:rsid w:val="00D61FF7"/>
    <w:rsid w:val="00D623A5"/>
    <w:rsid w:val="00DA5354"/>
    <w:rsid w:val="00DF3A8D"/>
    <w:rsid w:val="00ED7049"/>
    <w:rsid w:val="00F02BFB"/>
    <w:rsid w:val="00F535D7"/>
    <w:rsid w:val="00F80193"/>
    <w:rsid w:val="00FF5C6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30E66"/>
  <w15:docId w15:val="{A0CE5066-6FD7-4E45-97FA-1F1A15A20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C15B2"/>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C15B2"/>
    <w:pPr>
      <w:ind w:left="720"/>
      <w:contextualSpacing/>
    </w:pPr>
  </w:style>
  <w:style w:type="paragraph" w:styleId="Tekstdymka">
    <w:name w:val="Balloon Text"/>
    <w:basedOn w:val="Normalny"/>
    <w:link w:val="TekstdymkaZnak"/>
    <w:uiPriority w:val="99"/>
    <w:semiHidden/>
    <w:unhideWhenUsed/>
    <w:rsid w:val="00DF3A8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F3A8D"/>
    <w:rPr>
      <w:rFonts w:ascii="Segoe UI" w:hAnsi="Segoe UI" w:cs="Segoe UI"/>
      <w:sz w:val="18"/>
      <w:szCs w:val="18"/>
    </w:rPr>
  </w:style>
  <w:style w:type="character" w:styleId="Odwoaniedokomentarza">
    <w:name w:val="annotation reference"/>
    <w:basedOn w:val="Domylnaczcionkaakapitu"/>
    <w:uiPriority w:val="99"/>
    <w:semiHidden/>
    <w:unhideWhenUsed/>
    <w:rsid w:val="00DF3A8D"/>
    <w:rPr>
      <w:sz w:val="16"/>
      <w:szCs w:val="16"/>
    </w:rPr>
  </w:style>
  <w:style w:type="paragraph" w:styleId="Tekstkomentarza">
    <w:name w:val="annotation text"/>
    <w:basedOn w:val="Normalny"/>
    <w:link w:val="TekstkomentarzaZnak"/>
    <w:uiPriority w:val="99"/>
    <w:semiHidden/>
    <w:unhideWhenUsed/>
    <w:rsid w:val="00DF3A8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F3A8D"/>
    <w:rPr>
      <w:sz w:val="20"/>
      <w:szCs w:val="20"/>
    </w:rPr>
  </w:style>
  <w:style w:type="paragraph" w:styleId="Tematkomentarza">
    <w:name w:val="annotation subject"/>
    <w:basedOn w:val="Tekstkomentarza"/>
    <w:next w:val="Tekstkomentarza"/>
    <w:link w:val="TematkomentarzaZnak"/>
    <w:uiPriority w:val="99"/>
    <w:semiHidden/>
    <w:unhideWhenUsed/>
    <w:rsid w:val="00DF3A8D"/>
    <w:rPr>
      <w:b/>
      <w:bCs/>
    </w:rPr>
  </w:style>
  <w:style w:type="character" w:customStyle="1" w:styleId="TematkomentarzaZnak">
    <w:name w:val="Temat komentarza Znak"/>
    <w:basedOn w:val="TekstkomentarzaZnak"/>
    <w:link w:val="Tematkomentarza"/>
    <w:uiPriority w:val="99"/>
    <w:semiHidden/>
    <w:rsid w:val="00DF3A8D"/>
    <w:rPr>
      <w:b/>
      <w:bCs/>
      <w:sz w:val="20"/>
      <w:szCs w:val="20"/>
    </w:rPr>
  </w:style>
  <w:style w:type="paragraph" w:styleId="Nagwek">
    <w:name w:val="header"/>
    <w:basedOn w:val="Normalny"/>
    <w:link w:val="NagwekZnak"/>
    <w:uiPriority w:val="99"/>
    <w:unhideWhenUsed/>
    <w:rsid w:val="00AA7C7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A7C75"/>
  </w:style>
  <w:style w:type="paragraph" w:styleId="Stopka">
    <w:name w:val="footer"/>
    <w:basedOn w:val="Normalny"/>
    <w:link w:val="StopkaZnak"/>
    <w:uiPriority w:val="99"/>
    <w:unhideWhenUsed/>
    <w:rsid w:val="00AA7C7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A7C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2000</Words>
  <Characters>12000</Characters>
  <Application>Microsoft Office Word</Application>
  <DocSecurity>0</DocSecurity>
  <Lines>100</Lines>
  <Paragraphs>27</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Duda Anna</dc:creator>
  <cp:lastModifiedBy>Wójcik Aleksandra</cp:lastModifiedBy>
  <cp:revision>3</cp:revision>
  <dcterms:created xsi:type="dcterms:W3CDTF">2019-07-17T07:58:00Z</dcterms:created>
  <dcterms:modified xsi:type="dcterms:W3CDTF">2019-07-17T08:20:00Z</dcterms:modified>
</cp:coreProperties>
</file>