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D2" w:rsidRDefault="009076D2" w:rsidP="009076D2">
      <w:pPr>
        <w:pStyle w:val="CZKSIGAoznaczenieiprzedmiotczcilubksigi"/>
        <w:rPr>
          <w:lang w:eastAsia="en-US"/>
        </w:rPr>
      </w:pPr>
      <w:bookmarkStart w:id="0" w:name="_GoBack"/>
      <w:bookmarkEnd w:id="0"/>
      <w:r w:rsidRPr="0087057D">
        <w:rPr>
          <w:rFonts w:eastAsia="Calibri"/>
          <w:b w:val="0"/>
        </w:rPr>
        <w:t>UZASADNIENIE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Przedstawiony projekt ustawy zmienia ustawę z dnia 24 lutego 2017 r. o uzyskiwaniu tytułu specjalisty w dziedzinach mających zastosowanie w ochronie zdrowia (Dz. U. z 2019 r. poz.</w:t>
      </w:r>
      <w:r w:rsidR="00BB5E5B">
        <w:t> </w:t>
      </w:r>
      <w:r>
        <w:t xml:space="preserve">786). 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W art. 1 projektu ustawy dokonano zmiany ww. ustawy polegającej na uchyleniu ust. 2 w art.</w:t>
      </w:r>
      <w:r w:rsidR="00BB5E5B">
        <w:t> </w:t>
      </w:r>
      <w:r>
        <w:t>1, który stanowi, że ustawa z dnia 24 lutego 2017 r. o uzyskiwaniu tytułu specjalisty w</w:t>
      </w:r>
      <w:r w:rsidR="00BB5E5B">
        <w:t> </w:t>
      </w:r>
      <w:r>
        <w:t>dziedzinach mających zastosowanie w ochronie zdrowia nie dotyczy osób wykonujących zawody medyczne, dla których zasady uzyskiwania tytułu specjalisty określają przepisy regulujące wykonywanie tych zawodów.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 xml:space="preserve">Uchylenie tego przepisu umożliwi osobom wykonującym zawody medyczne (np. lekarzom, pielęgniarkom, farmaceutom, fizjoterapeutom czy diagnostom laboratoryjnym) uzyskanie tytułu specjalisty w dziedzinach mających zastosowanie w ochronie zdrowia, co ma znaczenie w sytuacji, gdy w swoich regulacjach prawnych dotyczących specjalizacji nie będą mieli wskazanej tej dziedziny lub nie ma jednostki akredytowanej do prowadzenia szkolenia specjalizacyjnego. 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Zatem np. lekarz, mimo regulacji prawnych dotyczących uzyskiwania specjalizacji lekarzy i</w:t>
      </w:r>
      <w:r w:rsidR="00BB5E5B">
        <w:t> </w:t>
      </w:r>
      <w:r>
        <w:t>lekarzy dentystów, będzie mógł przystąpić do specjalizacji lub mieć uznany dorobek naukowy lub zawodowy i uzyskać tytuł specjalisty w dziedzinie mającej zastosowanie w ochronie zdrowia, np. w dziedzinie psychoseksuologii czy psychoterapii dzieci i młodzieży, gdyż w</w:t>
      </w:r>
      <w:r w:rsidR="00BB5E5B">
        <w:t> </w:t>
      </w:r>
      <w:r>
        <w:t xml:space="preserve">katalogu dziedzin określonych dla specjalizacji lekarzy i lekarzy dentystów nie ma takiej dziedziny specjalizacji. 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Przewiduje się, że projektowana ustawa wejdzie w życie z dniem następującym po dniu ogłoszenia. Nie jest to sprzeczne z art. 4 ustawy z dnia 20 lipca 2000 r. o ogłaszaniu aktów normatywnych i niektórych innych aktów prawnych (Dz. U. z 2017 r. poz. 1523 oraz z 2018 r. poz. 2243). Zasady demokratycznego państwa prawnego nie stoją temu na przeszkodzie. Pilne wejście w życie nowelizacji przepisu umożliwi osobom wykonującym zawody medyczne uzyskanie tytułu specjalisty w dziedzinie, która obecnie nie jest dla nich dostępna. Będzie to skutkowało zwiększeniem liczby specjalistów w poszczególnych dziedzinach.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Projekt ustawy nie jest sprzeczny z prawem Unii Europejskiej.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Projekt ustawy nie wymaga przedstawienia organom i instytucjom Unii Europejskiej, w tym Europejskiemu Bankowi Centralnemu, w celu uzyskania opinii, dokonania powiadomienia, konsultacji albo uzgodnienia.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lastRenderedPageBreak/>
        <w:t>Projektowane przepisy nie będą miały negatywnego wpływu na działalność mikroprzedsiębiorców oraz małych i średnich przedsiębiorców.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 xml:space="preserve">Projektowana regulacja nie spowoduje dodatkowych kosztów po stronie sektora finansów publicznych. </w:t>
      </w:r>
    </w:p>
    <w:p w:rsidR="009076D2" w:rsidRDefault="009076D2" w:rsidP="0087057D">
      <w:pPr>
        <w:pStyle w:val="NIEARTTEKSTtekstnieartykuowanynppodstprawnarozplubpreambua"/>
        <w:spacing w:before="60" w:after="60"/>
        <w:ind w:firstLine="0"/>
      </w:pPr>
      <w:r>
        <w:t>Projektowana regulacja nie podlega procedurze notyfikacji w rozumieniu przepisów rozporządzenia Rady Ministrów z dnia 23 grudnia 2002 r. w sprawie sposobu funkcjonowania krajowego systemu notyfikacji norm i aktów prawnych (Dz. U. poz. 2039 oraz z 2004 r. poz.</w:t>
      </w:r>
      <w:r w:rsidR="00BB5E5B">
        <w:t> </w:t>
      </w:r>
      <w:r>
        <w:t>5</w:t>
      </w:r>
      <w:r w:rsidR="002A124E">
        <w:t>9</w:t>
      </w:r>
      <w:r>
        <w:t>7).</w:t>
      </w:r>
    </w:p>
    <w:p w:rsidR="00A27651" w:rsidRDefault="009076D2" w:rsidP="0087057D">
      <w:pPr>
        <w:pStyle w:val="NIEARTTEKSTtekstnieartykuowanynppodstprawnarozplubpreambua"/>
        <w:spacing w:before="60" w:after="60"/>
        <w:ind w:firstLine="0"/>
      </w:pPr>
      <w:r>
        <w:t>Nie ma możliwości podjęcia alternatywnych w stosunku do uchwalenia projektowanej ustawy środków umożliwiających osiągnięcie zamierzonego celu.</w:t>
      </w:r>
    </w:p>
    <w:sectPr w:rsidR="00A27651" w:rsidSect="008705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7E8" w:rsidRDefault="00AD17E8" w:rsidP="009076D2">
      <w:pPr>
        <w:spacing w:line="240" w:lineRule="auto"/>
      </w:pPr>
      <w:r>
        <w:separator/>
      </w:r>
    </w:p>
  </w:endnote>
  <w:endnote w:type="continuationSeparator" w:id="0">
    <w:p w:rsidR="00AD17E8" w:rsidRDefault="00AD17E8" w:rsidP="00907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57D" w:rsidRDefault="008705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310182"/>
      <w:docPartObj>
        <w:docPartGallery w:val="Page Numbers (Bottom of Page)"/>
        <w:docPartUnique/>
      </w:docPartObj>
    </w:sdtPr>
    <w:sdtEndPr/>
    <w:sdtContent>
      <w:p w:rsidR="009076D2" w:rsidRDefault="009076D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708">
          <w:rPr>
            <w:noProof/>
          </w:rPr>
          <w:t>2</w:t>
        </w:r>
        <w:r>
          <w:fldChar w:fldCharType="end"/>
        </w:r>
      </w:p>
    </w:sdtContent>
  </w:sdt>
  <w:p w:rsidR="009076D2" w:rsidRDefault="009076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57D" w:rsidRDefault="008705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7E8" w:rsidRDefault="00AD17E8" w:rsidP="009076D2">
      <w:pPr>
        <w:spacing w:line="240" w:lineRule="auto"/>
      </w:pPr>
      <w:r>
        <w:separator/>
      </w:r>
    </w:p>
  </w:footnote>
  <w:footnote w:type="continuationSeparator" w:id="0">
    <w:p w:rsidR="00AD17E8" w:rsidRDefault="00AD17E8" w:rsidP="009076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57D" w:rsidRDefault="008705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57D" w:rsidRDefault="0087057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57D" w:rsidRDefault="008705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D2"/>
    <w:rsid w:val="0011737C"/>
    <w:rsid w:val="001F088B"/>
    <w:rsid w:val="002A124E"/>
    <w:rsid w:val="003F1905"/>
    <w:rsid w:val="004B56F9"/>
    <w:rsid w:val="00652B31"/>
    <w:rsid w:val="00723C9A"/>
    <w:rsid w:val="00725492"/>
    <w:rsid w:val="0084352E"/>
    <w:rsid w:val="0087057D"/>
    <w:rsid w:val="009076D2"/>
    <w:rsid w:val="00916E46"/>
    <w:rsid w:val="00A27651"/>
    <w:rsid w:val="00AD17E8"/>
    <w:rsid w:val="00BB5E5B"/>
    <w:rsid w:val="00C35F07"/>
    <w:rsid w:val="00CE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A0F081-9016-4DC3-8465-237B8CC5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76D2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ZKSIGAoznaczenieiprzedmiotczcilubksigi">
    <w:name w:val="CZĘŚĆ(KSIĘGA) – oznaczenie i przedmiot części lub księgi"/>
    <w:next w:val="Normalny"/>
    <w:uiPriority w:val="8"/>
    <w:qFormat/>
    <w:rsid w:val="009076D2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9076D2"/>
    <w:pPr>
      <w:widowControl/>
      <w:suppressAutoHyphens/>
      <w:spacing w:before="120"/>
      <w:ind w:firstLine="510"/>
      <w:jc w:val="both"/>
    </w:pPr>
    <w:rPr>
      <w:rFonts w:ascii="Times" w:hAnsi="Times"/>
      <w:bCs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9076D2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076D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6D2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76D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6D2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6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6D2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Zesławska Barbara</dc:creator>
  <cp:lastModifiedBy>Wójcik Aleksandra</cp:lastModifiedBy>
  <cp:revision>2</cp:revision>
  <dcterms:created xsi:type="dcterms:W3CDTF">2019-07-24T07:51:00Z</dcterms:created>
  <dcterms:modified xsi:type="dcterms:W3CDTF">2019-07-24T07:51:00Z</dcterms:modified>
</cp:coreProperties>
</file>