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DDD" w:rsidRPr="001330AF" w:rsidRDefault="002F7DDD" w:rsidP="00191EA8">
      <w:pPr>
        <w:pStyle w:val="OZNRODZAKTUtznustawalubrozporzdzenieiorganwydajcy"/>
        <w:spacing w:after="360"/>
      </w:pPr>
      <w:r w:rsidRPr="001330AF">
        <w:t>UZASADNIENIE</w:t>
      </w:r>
    </w:p>
    <w:p w:rsidR="002F7DDD" w:rsidRPr="001330AF" w:rsidRDefault="002F7DDD" w:rsidP="001D5D48">
      <w:pPr>
        <w:pStyle w:val="Tekstpodstawowy"/>
        <w:keepNext/>
        <w:spacing w:before="360"/>
        <w:rPr>
          <w:b/>
          <w:szCs w:val="24"/>
        </w:rPr>
      </w:pPr>
      <w:r w:rsidRPr="001330AF">
        <w:rPr>
          <w:b/>
          <w:szCs w:val="24"/>
        </w:rPr>
        <w:t>1. Cel projektowanej ustawy</w:t>
      </w:r>
    </w:p>
    <w:p w:rsidR="002F7DDD" w:rsidRDefault="002F7DDD" w:rsidP="005B1117">
      <w:pPr>
        <w:pStyle w:val="NIEARTTEKSTtekstnieartykuowanynppreambua"/>
      </w:pPr>
      <w:r w:rsidRPr="001330AF">
        <w:t xml:space="preserve">Celem projektu jest </w:t>
      </w:r>
      <w:r>
        <w:t>wprowadzenie do systemu prawa (</w:t>
      </w:r>
      <w:r w:rsidRPr="00CF02BE">
        <w:t xml:space="preserve">ustawa z </w:t>
      </w:r>
      <w:r>
        <w:t xml:space="preserve">dnia </w:t>
      </w:r>
      <w:r w:rsidRPr="00CF02BE">
        <w:t xml:space="preserve">14 grudnia 2016 r. </w:t>
      </w:r>
      <w:r>
        <w:t>-</w:t>
      </w:r>
      <w:r w:rsidRPr="00CF02BE">
        <w:t xml:space="preserve"> Prawo oświatowe</w:t>
      </w:r>
      <w:r>
        <w:t>) przepisów określających kryteria ustalania kosztów przejazdu dziecka i </w:t>
      </w:r>
      <w:r w:rsidRPr="005571C6">
        <w:t>opiekuna</w:t>
      </w:r>
      <w:r>
        <w:t>, które są zwracane opiekunom dowożącym dzieci niepełnosprawne (lub inne uprawnione) do szkoły lub przedszkola.</w:t>
      </w:r>
    </w:p>
    <w:p w:rsidR="002F7DDD" w:rsidRPr="001330AF" w:rsidRDefault="002F7DDD" w:rsidP="00484C52">
      <w:pPr>
        <w:pStyle w:val="NIEARTTEKSTtekstnieartykuowanynppreambua"/>
      </w:pPr>
      <w:r w:rsidRPr="001330AF">
        <w:t xml:space="preserve">Projekt dostosowuje system prawa do </w:t>
      </w:r>
      <w:r>
        <w:t>postanowienia</w:t>
      </w:r>
      <w:r w:rsidRPr="001330AF">
        <w:t xml:space="preserve"> Trybunału Konstytucyjnego z dnia </w:t>
      </w:r>
      <w:r w:rsidRPr="00484C52">
        <w:t>z 17 października 2017 r. (sygn. akt S 1/17</w:t>
      </w:r>
      <w:r w:rsidRPr="001330AF">
        <w:t>)</w:t>
      </w:r>
      <w:r>
        <w:t xml:space="preserve">. </w:t>
      </w:r>
      <w:r w:rsidRPr="00484C52">
        <w:t>Jego pełna treść wraz z uzasadnieniem została ogłoszona w OTK ZU A, poz. 66</w:t>
      </w:r>
      <w:r w:rsidRPr="001330AF">
        <w:t>.</w:t>
      </w:r>
    </w:p>
    <w:p w:rsidR="002F7DDD" w:rsidRPr="001330AF" w:rsidRDefault="002F7DDD" w:rsidP="001D5D48">
      <w:pPr>
        <w:pStyle w:val="Tekstpodstawowy"/>
        <w:keepNext/>
        <w:spacing w:before="360"/>
        <w:rPr>
          <w:b/>
          <w:szCs w:val="24"/>
        </w:rPr>
      </w:pPr>
      <w:r w:rsidRPr="001330AF">
        <w:rPr>
          <w:b/>
          <w:szCs w:val="24"/>
        </w:rPr>
        <w:t>2. Przedmiot i istota rozstrzygnięcia Trybunału Konstytucyjnego</w:t>
      </w:r>
    </w:p>
    <w:p w:rsidR="002F7DDD" w:rsidRPr="00CB1123" w:rsidRDefault="002F7DDD" w:rsidP="00CB1123">
      <w:pPr>
        <w:pStyle w:val="ARTartustawynprozporzdzenia"/>
        <w:rPr>
          <w:bCs/>
        </w:rPr>
      </w:pPr>
      <w:r>
        <w:rPr>
          <w:bCs/>
        </w:rPr>
        <w:t xml:space="preserve">2.1. </w:t>
      </w:r>
      <w:r w:rsidRPr="00CB1123">
        <w:rPr>
          <w:bCs/>
        </w:rPr>
        <w:t>TK</w:t>
      </w:r>
      <w:r>
        <w:rPr>
          <w:bCs/>
        </w:rPr>
        <w:t>,</w:t>
      </w:r>
      <w:r w:rsidRPr="00CB1123">
        <w:rPr>
          <w:bCs/>
        </w:rPr>
        <w:t xml:space="preserve"> w związku z postanowieniem z dnia 4 października 2017 r. (sygn. akt SK 28/16), postanowił w trybie art. 35 ust. 1 ustawy z dnia 30 listopada 2016 r. o </w:t>
      </w:r>
      <w:r>
        <w:rPr>
          <w:bCs/>
        </w:rPr>
        <w:t>organizacji i </w:t>
      </w:r>
      <w:r w:rsidRPr="00CB1123">
        <w:rPr>
          <w:bCs/>
        </w:rPr>
        <w:t>trybie postępowania przed Trybunałem Konstytucyjnym przedstawić Sejmowi Rzeczypospolitej Polskiej uwagi dotyczące celowości podjęcia działań ustawodawczych zmierzających do uregulowania kwestii zwrotu kosztów przejazdu niepełnosprawnego ucznia i opiekuna do placówek oświatowych.</w:t>
      </w:r>
    </w:p>
    <w:p w:rsidR="002F7DDD" w:rsidRPr="00CB1123" w:rsidRDefault="002F7DDD" w:rsidP="00CB1123">
      <w:pPr>
        <w:pStyle w:val="ARTartustawynprozporzdzenia"/>
        <w:rPr>
          <w:bCs/>
        </w:rPr>
      </w:pPr>
      <w:r w:rsidRPr="00CB1123">
        <w:rPr>
          <w:bCs/>
        </w:rPr>
        <w:t>2.</w:t>
      </w:r>
      <w:r>
        <w:rPr>
          <w:bCs/>
        </w:rPr>
        <w:t>2</w:t>
      </w:r>
      <w:r w:rsidRPr="00CB1123">
        <w:rPr>
          <w:bCs/>
        </w:rPr>
        <w:t>. Przepis nieobowiązującej już ustawy z dnia 7 września 1991 r. o systemie oświaty (art. 14a ust. 4) przewidywał, że „obowiązkiem gminy jest zapewnienie niepełnosprawnym dzieciom pięcioletnim oraz dzieciom objętym wychowaniem przedszkolnym na podstawie art. 14 ust. 1a bezpłatnego transportu i opieki w czasie przewozu do najbliższego przedszkola, oddziału przedszkolnego w szkole podstawowej, innej formy wychowania przedszkolnego lub ośrodka umożliwiającego dzieciom, o których mowa w art</w:t>
      </w:r>
      <w:r>
        <w:rPr>
          <w:bCs/>
        </w:rPr>
        <w:t>. 16 ust. 7, a także dzieciom z </w:t>
      </w:r>
      <w:r w:rsidRPr="00CB1123">
        <w:rPr>
          <w:bCs/>
        </w:rPr>
        <w:t>upośledzeniem umysłowym z niepełnosprawnościami sprz</w:t>
      </w:r>
      <w:r>
        <w:rPr>
          <w:bCs/>
        </w:rPr>
        <w:t>ężonymi realizację obowiązku, o </w:t>
      </w:r>
      <w:r w:rsidRPr="00CB1123">
        <w:rPr>
          <w:bCs/>
        </w:rPr>
        <w:t>którym mowa w art. 14 ust. 3, albo zwrot kosztów przejazdu ucznia i opiekuna na zasadach określonych w umowie zawartej między wójtem (bur</w:t>
      </w:r>
      <w:r>
        <w:rPr>
          <w:bCs/>
        </w:rPr>
        <w:t>mistrzem, prezydentem miasta) i </w:t>
      </w:r>
      <w:r w:rsidRPr="00CB1123">
        <w:rPr>
          <w:bCs/>
        </w:rPr>
        <w:t>rodzicami, opiekunami lub opiekunami prawnymi, jeżeli dowożenie zapewniają rodzice, opiekunowie lub opiekunowie prawni”.</w:t>
      </w:r>
    </w:p>
    <w:p w:rsidR="002F7DDD" w:rsidRPr="00CB1123" w:rsidRDefault="002F7DDD" w:rsidP="00CB1123">
      <w:pPr>
        <w:pStyle w:val="ARTartustawynprozporzdzenia"/>
        <w:rPr>
          <w:bCs/>
        </w:rPr>
      </w:pPr>
      <w:r w:rsidRPr="00CB1123">
        <w:rPr>
          <w:bCs/>
        </w:rPr>
        <w:t xml:space="preserve">Drugi zaskarżony przepis, art. 17 ust. 3a pkt 3, stanowił, że „obowiązkiem gminy jest: (…) zwrot kosztów przejazdu ucznia, o którym mowa w pkt 1 i 2, oraz jego opiekuna do szkoły lub ośrodka, wymienionych w pkt 1 i 2, na zasadach określonych w umowie zawartej </w:t>
      </w:r>
      <w:r w:rsidRPr="00CB1123">
        <w:rPr>
          <w:bCs/>
        </w:rPr>
        <w:lastRenderedPageBreak/>
        <w:t xml:space="preserve">między wójtem (burmistrzem, prezydentem miasta) a rodzicami, jeżeli dowożenie i opiekę zapewniają rodzice”. (Zgodnie z przywołanym art. 17 ust. 3a pkt 1 i 2 obowiązkiem gminy jest: 1) zapewnienie uczniom niepełnosprawnym, których kształcenie i wychowanie odbywa się na podstawie art. 71b, bezpłatnego transportu i opieki w czasie przewozu do najbliższej szkoły podstawowej i gimnazjum, a uczniom z niepełnosprawnością ruchową, upośledzeniem umysłowym w stopniu umiarkowanym lub znacznym </w:t>
      </w:r>
      <w:r>
        <w:rPr>
          <w:bCs/>
        </w:rPr>
        <w:t>-</w:t>
      </w:r>
      <w:r w:rsidRPr="00CB1123">
        <w:rPr>
          <w:bCs/>
        </w:rPr>
        <w:t xml:space="preserve"> także do najbliższej szkoły ponadgimnazjalnej, nie dłużej jednak niż do ukończenia 21. roku życia; 2) zapewnienie dzieciom i młodzieży, o których mowa w art. 16 ust. 7,</w:t>
      </w:r>
      <w:r>
        <w:rPr>
          <w:bCs/>
        </w:rPr>
        <w:t xml:space="preserve"> a także dzieciom i młodzieży z </w:t>
      </w:r>
      <w:r w:rsidRPr="00CB1123">
        <w:rPr>
          <w:bCs/>
        </w:rPr>
        <w:t>upośledzeniem umysłowym z niepełnosprawnościami sprzężonymi, bezpłatnego transportu i opieki w czasie przewozu do ośrodka umożliwiającego tym dzieciom i młodzieży realizację obowiązku szkolnego i obowiązku nauki, nie dłużej jednak niż do ukończenia 25 roku życia).</w:t>
      </w:r>
    </w:p>
    <w:p w:rsidR="002F7DDD" w:rsidRPr="00CB1123" w:rsidRDefault="002F7DDD" w:rsidP="00CB1123">
      <w:pPr>
        <w:pStyle w:val="ARTartustawynprozporzdzenia"/>
        <w:rPr>
          <w:bCs/>
        </w:rPr>
      </w:pPr>
      <w:r w:rsidRPr="00CB1123">
        <w:rPr>
          <w:bCs/>
        </w:rPr>
        <w:t xml:space="preserve">Ustawa w zaskarżonych przepisach przewiduje, że do gminy należy albo </w:t>
      </w:r>
      <w:r w:rsidRPr="00695F3D">
        <w:rPr>
          <w:b/>
          <w:bCs/>
        </w:rPr>
        <w:t>obowiązek zapewnienia niepełnosprawnym dzieciom bezpłatnego transportu i opieki w czasie przewozu</w:t>
      </w:r>
      <w:r w:rsidRPr="00CB1123">
        <w:rPr>
          <w:bCs/>
        </w:rPr>
        <w:t xml:space="preserve"> do najbliższego przedszkola lub szkoły </w:t>
      </w:r>
      <w:r w:rsidRPr="0067142C">
        <w:rPr>
          <w:bCs/>
        </w:rPr>
        <w:t>albo</w:t>
      </w:r>
      <w:r w:rsidRPr="00695F3D">
        <w:rPr>
          <w:b/>
          <w:bCs/>
        </w:rPr>
        <w:t xml:space="preserve"> obowiązek zwrotu kosztów przejazdu dziecka i opiekuna na zasadach określonych w umowie zawartej między wójtem</w:t>
      </w:r>
      <w:r w:rsidRPr="00CB1123">
        <w:rPr>
          <w:bCs/>
        </w:rPr>
        <w:t xml:space="preserve"> (burmistrzem, prezydentem miasta) </w:t>
      </w:r>
      <w:r w:rsidRPr="00695F3D">
        <w:rPr>
          <w:b/>
          <w:bCs/>
        </w:rPr>
        <w:t>i rodzicami lub opiekunami, jeżeli dowożenie zapewniają rodzice lub opiekunowie</w:t>
      </w:r>
      <w:r w:rsidRPr="00CB1123">
        <w:rPr>
          <w:bCs/>
        </w:rPr>
        <w:t xml:space="preserve">. </w:t>
      </w:r>
      <w:r w:rsidRPr="0067142C">
        <w:rPr>
          <w:bCs/>
        </w:rPr>
        <w:t>Przepisy nie przewidują zaś</w:t>
      </w:r>
      <w:r w:rsidRPr="00B07134">
        <w:rPr>
          <w:b/>
          <w:bCs/>
        </w:rPr>
        <w:t xml:space="preserve"> kryteriów określania stawek zwrotu kosztów przejazdu dziecka i opiekuna</w:t>
      </w:r>
      <w:r w:rsidRPr="00CB1123">
        <w:rPr>
          <w:bCs/>
        </w:rPr>
        <w:t>.</w:t>
      </w:r>
      <w:r>
        <w:rPr>
          <w:bCs/>
        </w:rPr>
        <w:t xml:space="preserve"> W praktyce wójtowie ustalali w </w:t>
      </w:r>
      <w:r w:rsidRPr="00CB1123">
        <w:rPr>
          <w:bCs/>
        </w:rPr>
        <w:t xml:space="preserve">drodze zarządzenia wzorce umów określające wysokość zwracanych kosztów przejazdu, będące podstawą zawieranych umów. Koszty w poszczególnych gminach zwraca się </w:t>
      </w:r>
      <w:r>
        <w:rPr>
          <w:b/>
          <w:bCs/>
        </w:rPr>
        <w:t>w </w:t>
      </w:r>
      <w:r w:rsidRPr="00247C3D">
        <w:rPr>
          <w:b/>
          <w:bCs/>
        </w:rPr>
        <w:t>różnej wysokości, niekiedy dalekiej od rzeczywistych</w:t>
      </w:r>
      <w:r w:rsidRPr="00CB1123">
        <w:rPr>
          <w:bCs/>
        </w:rPr>
        <w:t>.</w:t>
      </w:r>
    </w:p>
    <w:p w:rsidR="002F7DDD" w:rsidRPr="00CB1123" w:rsidRDefault="002F7DDD" w:rsidP="00CB1123">
      <w:pPr>
        <w:pStyle w:val="ARTartustawynprozporzdzenia"/>
        <w:rPr>
          <w:bCs/>
        </w:rPr>
      </w:pPr>
      <w:r w:rsidRPr="00CB1123">
        <w:rPr>
          <w:bCs/>
        </w:rPr>
        <w:t>2.3. W skardze konstytucyjnej, w sprawie której TK umorzył postępowanie z przyczyn formalnych, ale wydał postanowienie sygnalizacyjne, zarzucono powyższym przepisom niezgodność z kilkoma przepisami Konstytucji. Te ostatnie stanowią, że rodziny znajdujące się w trudnej sytuacji materialnej i społecznej, zwłaszcza wielodzietne i niepełne, mają prawo do szczególnej pomocy ze strony władz publicznych (art. 71 ust. 1 zd. 2); osobom niepełnosprawnym władze publiczne udzielają, zgodnie z ustawą, pomocy w zabezpieczaniu egzystencji, przysposobieniu do pracy oraz komunikacji społecznej (art. 69); Rzeczpospolita Polska jest demokratycznym państwem prawnym, urzeczywistniającym zasady sprawiedliwości społecznej (art. 2); władze publiczne zap</w:t>
      </w:r>
      <w:r>
        <w:rPr>
          <w:bCs/>
        </w:rPr>
        <w:t>ewniają obywatelom powszechny i </w:t>
      </w:r>
      <w:r w:rsidRPr="00CB1123">
        <w:rPr>
          <w:bCs/>
        </w:rPr>
        <w:t xml:space="preserve">równy dostęp do wykształcenia; w tym celu tworzą i wspierają systemy indywidualnej pomocy finansowej i organizacyjnej dla uczniów i studentów; warunki udzielania pomocy </w:t>
      </w:r>
      <w:r w:rsidRPr="00CB1123">
        <w:rPr>
          <w:bCs/>
        </w:rPr>
        <w:lastRenderedPageBreak/>
        <w:t>określa ustawa (art. 70 ust. 4); każdy ma prawo do nauki (art. 70 ust. 1 zd. 1); wszyscy są wobec prawa równi; wszyscy mają prawo do równego traktowania przez władze publiczne (art. 32 ust. 1).</w:t>
      </w:r>
    </w:p>
    <w:p w:rsidR="002F7DDD" w:rsidRPr="00CB1123" w:rsidRDefault="002F7DDD" w:rsidP="00CB1123">
      <w:pPr>
        <w:pStyle w:val="ARTartustawynprozporzdzenia"/>
        <w:rPr>
          <w:bCs/>
        </w:rPr>
      </w:pPr>
      <w:r w:rsidRPr="00CB1123">
        <w:rPr>
          <w:bCs/>
        </w:rPr>
        <w:t>Zdaniem Prokuratora Generalnego, zakwestionowane w skardze przepisy „umożliwiają organowi gminy ustalenie stawek zwrotu kosztów dowozu według różnych kryt</w:t>
      </w:r>
      <w:r>
        <w:rPr>
          <w:bCs/>
        </w:rPr>
        <w:t>eriów i, w </w:t>
      </w:r>
      <w:r w:rsidRPr="00CB1123">
        <w:rPr>
          <w:bCs/>
        </w:rPr>
        <w:t xml:space="preserve">rezultacie, w różnych wysokościach, niekiedy na tak niskim poziomie, że kwota refundacji w tak istotny sposób różni się od kosztów faktycznie poniesionych przez rodziców, że prowadzi to do ograniczenia treści (istoty) prawa do zwrotu kosztów przyznanego rodzicom (opiekunom). Taka sytuacja skutkuje tym, że z jednej strony, prawo do zwrotu niekiedy może przybierać formę prawa iluzorycznego (np. refundacja kosztów dowozu według ceny najtańszego biletu ulgowego na danej trasie), z drugiej strony zaś, adresaci tego prawa nie mogą ustalić najważniejszego elementu tego prawa </w:t>
      </w:r>
      <w:r>
        <w:rPr>
          <w:bCs/>
        </w:rPr>
        <w:t>-</w:t>
      </w:r>
      <w:r w:rsidRPr="00CB1123">
        <w:rPr>
          <w:bCs/>
        </w:rPr>
        <w:t xml:space="preserve"> choćby minimalnej jego wartości </w:t>
      </w:r>
      <w:r>
        <w:rPr>
          <w:bCs/>
        </w:rPr>
        <w:t>-</w:t>
      </w:r>
      <w:r w:rsidRPr="00CB1123">
        <w:rPr>
          <w:bCs/>
        </w:rPr>
        <w:t xml:space="preserve"> na podstawie regulacji ustawowej. Ten ostatni argument przemawia za naruszeniem przez zakwestionowane przepisy nie tylko art. 71 ust. 1 zdanie drugie Konstytucji, ale także zasady poprawnej legislacji (art. 2 Konstytucji)”. W opinii Prokuratora, kwestionowana regulacja „prowadzi, w skali kraju, do zróżnicowania sytuacji prawnej rodzin, w których wychowywane są niepełnosprawne dzieci objęte obowiązki</w:t>
      </w:r>
      <w:r>
        <w:rPr>
          <w:bCs/>
        </w:rPr>
        <w:t>em przedszkolnym i </w:t>
      </w:r>
      <w:r w:rsidRPr="00CB1123">
        <w:rPr>
          <w:bCs/>
        </w:rPr>
        <w:t>szkolnym (podmioty podobne), w zakresie treści prawa do zwrotu kosztów dowozu na podstawie kryterium miejsca zamieszkania (…). Na podstawie tego kryterium pośrednio następuje też zróżnicowanie zakresu pomocy dla uczniów niepełnosprawnych, co nie sprzyja wyrównywaniu szans edukacyjnych niepełnosprawnych dzieci i w ten sposób ogranicza prawo do nauki”. Zdaniem autora skargi konstytucyjnej przepisy „naruszają Konstytucję przez to, że statuują obowiązek zwrotu kosztów transportu dzieci niepeł</w:t>
      </w:r>
      <w:r>
        <w:rPr>
          <w:bCs/>
        </w:rPr>
        <w:t>nosprawnych w </w:t>
      </w:r>
      <w:r w:rsidRPr="00CB1123">
        <w:rPr>
          <w:bCs/>
        </w:rPr>
        <w:t>sposób ogólny. Ustawodawca nie sformułował wytycznych (przesłanek), którymi powinny kierować się strony (tj. gmina oraz rodzice dziecka niepełnosprawnego), ustalając wysokość (stawki) zwrotu kosztów; ustawodawca nie sprecyzował, czy «dojazd do szkoły» obejmuje także powrót opiekuna do domu i ponowny dojazd w celu odebrania dziecka ze szkoły”.</w:t>
      </w:r>
    </w:p>
    <w:p w:rsidR="002F7DDD" w:rsidRPr="00CB1123" w:rsidRDefault="002F7DDD" w:rsidP="00CB1123">
      <w:pPr>
        <w:pStyle w:val="ARTartustawynprozporzdzenia"/>
        <w:rPr>
          <w:bCs/>
        </w:rPr>
      </w:pPr>
      <w:r w:rsidRPr="00CB1123">
        <w:rPr>
          <w:bCs/>
        </w:rPr>
        <w:t>Wójtowie wydają niekiedy w tych sprawach zarzą</w:t>
      </w:r>
      <w:r>
        <w:rPr>
          <w:bCs/>
        </w:rPr>
        <w:t>dzenia zawierające wzór umowy o </w:t>
      </w:r>
      <w:r w:rsidRPr="00CB1123">
        <w:rPr>
          <w:bCs/>
        </w:rPr>
        <w:t>zwrocie kosztów. Sądy administracyjne rozpatrujące skargę na zarządzenie wójta, przyjęły, że zarządzenie wójta w sprawie zwrotu kosztów nie narusza prawa, jest ono bowiem skierowane do urzędników gminy przygotowujących jedyni</w:t>
      </w:r>
      <w:r>
        <w:rPr>
          <w:bCs/>
        </w:rPr>
        <w:t>e projekt konkretnej umowy, a o </w:t>
      </w:r>
      <w:r w:rsidRPr="00CB1123">
        <w:rPr>
          <w:bCs/>
        </w:rPr>
        <w:t xml:space="preserve">zwrocie kosztów zgodnie z ustawą decyduje zawarta ostatecznie umowa. Z kolei treść tej </w:t>
      </w:r>
      <w:r w:rsidRPr="00CB1123">
        <w:rPr>
          <w:bCs/>
        </w:rPr>
        <w:lastRenderedPageBreak/>
        <w:t>umowy (wysokość zwrotu kosztów) nie jest regulowana przez ustawę, nie podlega zatem ocenie sądu administracyjnego.</w:t>
      </w:r>
    </w:p>
    <w:p w:rsidR="002F7DDD" w:rsidRPr="00CF02BE" w:rsidRDefault="002F7DDD" w:rsidP="0067142C">
      <w:pPr>
        <w:pStyle w:val="ARTartustawynprozporzdzenia"/>
        <w:rPr>
          <w:bCs/>
        </w:rPr>
      </w:pPr>
      <w:r w:rsidRPr="00CB1123">
        <w:rPr>
          <w:bCs/>
        </w:rPr>
        <w:t>2.4. TK umorzył postępowanie w sprawie skargi konstytucyjnej SK 28/16.</w:t>
      </w:r>
      <w:r>
        <w:rPr>
          <w:bCs/>
        </w:rPr>
        <w:t xml:space="preserve"> Jednakże, choć nie wydał wyroku</w:t>
      </w:r>
      <w:r w:rsidRPr="00CF02BE">
        <w:rPr>
          <w:bCs/>
        </w:rPr>
        <w:t xml:space="preserve">, „podzielił argumenty (…) że w świetle wskazanych wzorców konstytucyjnych konieczne jest wprowadzenie bardziej szczegółowej regulacji dotyczącej zwrotu kosztów dowozu niepełnosprawnych dzieci do placówek oświatowych. (…) Przyznanie ustawowego uprawnienia przy równoczesnym braku określenia zasad jego realizacji prowadzi do zróżnicowania warunków zwrotu kosztów w poszczególnych gminach. Częstą praktyką jest określanie zasad zwrotu kosztów w zarządzeniach wydanych przez wójta (…) i odwoływanie się w nich do rozporządzenia Ministra Infrastruktury z dnia 25 marca 2002 r. w sprawie warunków ustalania oraz sposobu dokonywania zwrotu kosztów używania do celów służbowych samochodów osobowych, motocykli i motorowerów niebędących własnością pracodawcy (…). Rozporządzenie to, z uwagi na odmienne </w:t>
      </w:r>
      <w:r w:rsidRPr="001816C5">
        <w:rPr>
          <w:bCs/>
          <w:i/>
        </w:rPr>
        <w:t>ratio legis</w:t>
      </w:r>
      <w:r w:rsidRPr="00CF02BE">
        <w:rPr>
          <w:bCs/>
        </w:rPr>
        <w:t xml:space="preserve">, nie odpowiada celowi zakwestionowanej regulacji, którym jest zapewnienie zwrotu realnie ponoszonych kosztów dowozu do placówek oświatowych osobom wychowującym dzieci niepełnosprawne. Zamiar ustawodawcy, aby zapewnić możliwość elastycznego dostosowywania przyznawanych świadczeń w zależności od indywidualnych potrzeb danych podmiotów, nie został zrealizowany w sposób należyty. Brak kryteriów sposobu ustalania wysokości stawek zwrotu kosztów czyni </w:t>
      </w:r>
      <w:r w:rsidRPr="001816C5">
        <w:rPr>
          <w:bCs/>
          <w:i/>
        </w:rPr>
        <w:t>de facto</w:t>
      </w:r>
      <w:r w:rsidRPr="00CF02BE">
        <w:rPr>
          <w:bCs/>
        </w:rPr>
        <w:t xml:space="preserve"> uprawnienie rodziców niepełnym i nie pozwala na określenie jego rzeczywistej treści, pozostawiając zobowiązanym organom możliwość narzucania jednostronnych warunków”.</w:t>
      </w:r>
    </w:p>
    <w:p w:rsidR="002F7DDD" w:rsidRPr="00CF02BE" w:rsidRDefault="002F7DDD" w:rsidP="00CF02BE">
      <w:pPr>
        <w:pStyle w:val="ARTartustawynprozporzdzenia"/>
        <w:rPr>
          <w:bCs/>
        </w:rPr>
      </w:pPr>
      <w:r w:rsidRPr="00CF02BE">
        <w:rPr>
          <w:bCs/>
        </w:rPr>
        <w:t>„Do prawodawcy należy wskazanie konkretnych kryteriów zwrotu kosztów przejazdu oraz decyzja, czy kryteria te powinny być określone w ustawie, czy w akcie wykonawczym. Trybunał wskazuje jedynie, że kryteria te powinny, z jednej strony, uwzględniać zróżnicowaną sytuację gmin (wiejskich, miejskich, po</w:t>
      </w:r>
      <w:r>
        <w:rPr>
          <w:bCs/>
        </w:rPr>
        <w:t>łożonych w rejonach górskich) i </w:t>
      </w:r>
      <w:r w:rsidRPr="00CF02BE">
        <w:rPr>
          <w:bCs/>
        </w:rPr>
        <w:t xml:space="preserve">ewentualnie stopień niepełnosprawności dziecka, zaś z drugiej strony, relację, w jakiej ustawa z 14 grudnia 2016 r. </w:t>
      </w:r>
      <w:r>
        <w:rPr>
          <w:bCs/>
        </w:rPr>
        <w:t>-</w:t>
      </w:r>
      <w:r w:rsidRPr="00CF02BE">
        <w:rPr>
          <w:bCs/>
        </w:rPr>
        <w:t xml:space="preserve"> Prawo oświatowe [która</w:t>
      </w:r>
      <w:r>
        <w:rPr>
          <w:bCs/>
        </w:rPr>
        <w:t xml:space="preserve"> powiela przepisy zaskarżonej i </w:t>
      </w:r>
      <w:r w:rsidRPr="00CF02BE">
        <w:rPr>
          <w:bCs/>
        </w:rPr>
        <w:t>nieobowiązującej już ustawy o systemie oświaty] pozostaje w stosunku do innych aktów normatywnych przewidujących pomoc dla dzieci niepełnosprawnych”.</w:t>
      </w:r>
    </w:p>
    <w:p w:rsidR="002F7DDD" w:rsidRDefault="002F7DDD" w:rsidP="00CF02BE">
      <w:pPr>
        <w:pStyle w:val="ARTartustawynprozporzdzenia"/>
        <w:rPr>
          <w:bCs/>
        </w:rPr>
      </w:pPr>
      <w:r w:rsidRPr="00CF02BE">
        <w:rPr>
          <w:bCs/>
        </w:rPr>
        <w:t xml:space="preserve">Zdaniem TK „nieuregulowanie warunków realizacji zadania gminy dotyczącego zwrotu kosztów przejazdu oznacza, iż w systemie prawnym brakuje norm, których wprowadzenie jest obowiązkiem prawodawcy wynikającym z przepisów Konstytucji. Adresatami </w:t>
      </w:r>
      <w:r w:rsidRPr="00CF02BE">
        <w:rPr>
          <w:bCs/>
        </w:rPr>
        <w:lastRenderedPageBreak/>
        <w:t xml:space="preserve">zakwestionowanych przepisów są rodziny wychowujące dzieci niepełnosprawne, do których odnosi się pojęcie rodzin znajdujących się w trudnej sytuacji </w:t>
      </w:r>
      <w:r>
        <w:rPr>
          <w:bCs/>
        </w:rPr>
        <w:t>społecznej. W świetle art. 69 i </w:t>
      </w:r>
      <w:r w:rsidRPr="00CF02BE">
        <w:rPr>
          <w:bCs/>
        </w:rPr>
        <w:t>art. 71 ust. 1 zdanie drugie Konstytucji niezbędne jest ukształtowanie zakwestionowanej regulacji, mającej na celu wyrównywanie szans edukacyjnych, w sposób zapewniający wszystkim podmiotom podobnym równy dostęp do tego rodzaju formy pomocy władz publicznych”.</w:t>
      </w:r>
    </w:p>
    <w:p w:rsidR="002F7DDD" w:rsidRPr="001330AF" w:rsidRDefault="002F7DDD" w:rsidP="0018591E">
      <w:pPr>
        <w:pStyle w:val="Tekstpodstawowy"/>
        <w:keepNext/>
        <w:spacing w:before="360"/>
        <w:rPr>
          <w:b/>
          <w:szCs w:val="24"/>
        </w:rPr>
      </w:pPr>
      <w:r w:rsidRPr="001330AF">
        <w:rPr>
          <w:b/>
          <w:szCs w:val="24"/>
        </w:rPr>
        <w:t>3. Różnice między dotychczasowym a projektowanym stanem prawnym</w:t>
      </w:r>
    </w:p>
    <w:p w:rsidR="002F7DDD" w:rsidRDefault="002F7DDD" w:rsidP="00D81ACC">
      <w:pPr>
        <w:pStyle w:val="ARTartustawynprozporzdzenia"/>
      </w:pPr>
      <w:r>
        <w:t>Marszałek Sejmu w postępowaniu przed TK „wskazał, że zaskarżone ustawowe normy prawne, niezależnie od wydawanych w celu ich realizacji zarządzeń, jednoznacznie przesądzają, że umowa jest właściwą i jedyną formą załatwienia spraw z zakresu dowozu dzieci do szkoły. Takie rozumienie zaskarżonych przepisów znajduje potwierdzenie w orzecznictwie sądów powszechnych i sądów administracyjnych. Umowa o zwrot kosztów, będąc niewładczą formą działania administracji publicznej, poddana jest w całości reżimowi prawa cywilnego, a występujące na jej tle spory podlegają kompetencji sądów cywilnych. Jak wynika z kształtującej się praktyki stosowania zaskarżonych przepisów, rodzice dzieci z niepełnosprawnością występują do sądów powszechnych z powództwem przeciwko gminie z tytułu np. bezpodstawnego wzbogacenia, jeśli wójt odmawia zwrotu kosztów lub je znacząco zaniża. Sądy powszechne nie ograniczają zwrotu kosztów transportu do dystansu, jaki pokonuje każdorazowo któreś z rodziców z dzieckiem, ale uwzględniają również inne okoliczności, jak np. konieczność samodzielnego dojazdu matki czy ojca do szkoły. Oceniają także sytuację faktyczną rodziców, np. rodzaj samochodu, zużycie paliwa, liczbę dzieci przewożonych jednym samochodem itd. Sądy podkreślają przy tym umowny charakter stosunku prawnego łączącego gminę z rodzicami w zakresie zwrotu kosztów podróży i wynikającą z niego równość stron”.</w:t>
      </w:r>
    </w:p>
    <w:p w:rsidR="002F7DDD" w:rsidRDefault="002F7DDD" w:rsidP="00D81ACC">
      <w:pPr>
        <w:pStyle w:val="ARTartustawynprozporzdzenia"/>
      </w:pPr>
      <w:r>
        <w:t>W związku z realizacją postanowienia sygnalizacyjnego TK można sformułować następujące spostrzeżenia.</w:t>
      </w:r>
    </w:p>
    <w:p w:rsidR="002F7DDD" w:rsidRDefault="002F7DDD" w:rsidP="00D81ACC">
      <w:pPr>
        <w:pStyle w:val="ARTartustawynprozporzdzenia"/>
      </w:pPr>
      <w:r>
        <w:t>1. Umowa między wójtem a rodzicami jest dogodną formą refundacji kosztów, ponieważ pozwala na wzięcie pod uwagę faktycznych, indywidualnych kosztów ponoszonych przez rodziców z tytułu dowożenia dzieci do szkoły; z drugiej strony może powodować nieuzasadnione zróżnicowanie w wysokości refundacji.</w:t>
      </w:r>
    </w:p>
    <w:p w:rsidR="002F7DDD" w:rsidRDefault="002F7DDD" w:rsidP="00D81ACC">
      <w:pPr>
        <w:pStyle w:val="ARTartustawynprozporzdzenia"/>
      </w:pPr>
      <w:r>
        <w:lastRenderedPageBreak/>
        <w:t>2. W ustawie brak jest jakichkolwiek kryteriów ustalania wysokości refundacji. Określenie „zwrot kosztów przejazdu ucznia i opiekuna” sugeruje, że chodzi o pełną refundację, jednakże następujące po nim określenie „na zasadach określonych w umowie” może być odczytane, jako możliwość niepełnej refundacji. Trzeba jednak przyjąć, że to ostatnie określenie oznacza umowne przejęcie przez rodziców leżącego na gminie obowiązku dowożenia dzieci, pod warunkiem: 1) zwrotu przez gminę (rzeczywistych) kosztów przewozu, 2) uzgodnienia takiej formy przewozu, która będzie dogodna dla rodziców i niezbyt kosztowna dla gminy.</w:t>
      </w:r>
    </w:p>
    <w:p w:rsidR="002F7DDD" w:rsidRDefault="002F7DDD" w:rsidP="00D81ACC">
      <w:pPr>
        <w:pStyle w:val="ARTartustawynprozporzdzenia"/>
      </w:pPr>
      <w:r>
        <w:t xml:space="preserve">W konsekwencji proponuje się utrzymanie umownej formy zwrotu kosztów i utrzymanie zasady pełnej refundacji rzeczywistych kosztów. </w:t>
      </w:r>
      <w:r w:rsidRPr="00242357">
        <w:rPr>
          <w:b/>
        </w:rPr>
        <w:t>Legislacyjną nowością będzie wprowadzenie do systemu prawa kryteriów, którymi powinny kierować się strony określając koszty przejazdu</w:t>
      </w:r>
      <w:r>
        <w:t xml:space="preserve"> poprzez upoważnienie ministra właściwego do spraw oświaty i wychowania do wydania rozporządzenia, w którym określi kryteria ustalania kosztów przewozu. Zaproponowany przepis pozwoli m.in. inaczej ustalać koszty w przypadku, gdy opiekun dowozi dziecko do placówki oświatowej leżącej na trasie jego przejazdu z domu do pracy, a inaczej w przypadku, gdy opiekun zmuszony jest w tym celu zmienić, wydłużyć trasę jego przejazdu, albo wyruszyć wcześniej w osobną podróż z domu do szkoły. Osobno będzie można traktować też przypadki, gdy opiekun, w celu dowozu dziecka, używa innego samochodu, który np. spala więcej paliwa. Można będzie też odpowiednio potraktować przypadki, gdy dziecko dowożone jest przez inną, niż opiekun prawny osobę. Nie można też wykluczyć sytuacji, że zwrot kosztów będzie polegał na zwrocie kosztów, niezbędnej do przewozu dziecka niepełnosprawnego, zmiany wyposażenia pojazdu. Wszelkie tego rodzaju przypadki nie powinny być wykluczone przez rozporządzenie. Przekazanie do uregulowania kryteriów</w:t>
      </w:r>
      <w:r w:rsidRPr="00092CED">
        <w:t xml:space="preserve"> ustalania kosztów przejazdu</w:t>
      </w:r>
      <w:r>
        <w:t xml:space="preserve"> ministrowi, pozwoli na elastyczne dostosowanie treści przepisów do sygnałów pojawiających się w początkowym okresie ich obowiązywania.</w:t>
      </w:r>
    </w:p>
    <w:p w:rsidR="002F7DDD" w:rsidRDefault="002F7DDD" w:rsidP="00D81ACC">
      <w:pPr>
        <w:pStyle w:val="ARTartustawynprozporzdzenia"/>
      </w:pPr>
      <w:r w:rsidRPr="00234F20">
        <w:t>Przepis</w:t>
      </w:r>
      <w:r>
        <w:t>y, tak jak dotychczas,</w:t>
      </w:r>
      <w:r w:rsidRPr="00234F20">
        <w:t xml:space="preserve"> </w:t>
      </w:r>
      <w:r>
        <w:t>będą obejmować</w:t>
      </w:r>
      <w:r w:rsidRPr="00234F20">
        <w:t xml:space="preserve"> także z</w:t>
      </w:r>
      <w:r>
        <w:t>wrot kosztów przejazdu dzieci i </w:t>
      </w:r>
      <w:r w:rsidRPr="00234F20">
        <w:t xml:space="preserve">uczniów pełnosprawnych zamieszkujących w odległości większej </w:t>
      </w:r>
      <w:r>
        <w:t>niż 3 lub 4 km od szkoły. Objęte</w:t>
      </w:r>
      <w:r w:rsidRPr="00234F20">
        <w:t xml:space="preserve"> są </w:t>
      </w:r>
      <w:r>
        <w:t>one</w:t>
      </w:r>
      <w:r w:rsidRPr="00234F20">
        <w:t xml:space="preserve"> również obowiązkiem przewozu przez gminę z możliwością jego umownego przeniesienia na opiekunów.</w:t>
      </w:r>
    </w:p>
    <w:p w:rsidR="002F7DDD" w:rsidRDefault="002F7DDD" w:rsidP="000E4C56">
      <w:pPr>
        <w:pStyle w:val="Tekstpodstawowy"/>
        <w:keepNext/>
        <w:spacing w:before="360"/>
        <w:rPr>
          <w:b/>
          <w:szCs w:val="24"/>
        </w:rPr>
      </w:pPr>
      <w:r>
        <w:rPr>
          <w:b/>
          <w:szCs w:val="24"/>
        </w:rPr>
        <w:lastRenderedPageBreak/>
        <w:t>4. Konsultacje</w:t>
      </w:r>
    </w:p>
    <w:p w:rsidR="002F7DDD" w:rsidRDefault="002F7DDD" w:rsidP="000E4C56">
      <w:pPr>
        <w:pStyle w:val="ARTartustawynprozporzdzenia"/>
      </w:pPr>
      <w:r>
        <w:t>Nadesłane w ramach konsultacji opinie i uwagi są zamieszczone na senackiej stronie internetowej. Wyniki konsultacji przedstawiono w Ocenie Skutków Regulacji.</w:t>
      </w:r>
    </w:p>
    <w:p w:rsidR="002F7DDD" w:rsidRPr="001330AF" w:rsidRDefault="002F7DDD" w:rsidP="00C62C0C">
      <w:pPr>
        <w:pStyle w:val="akapit"/>
        <w:keepNext/>
        <w:spacing w:before="240"/>
        <w:ind w:firstLine="0"/>
        <w:rPr>
          <w:b/>
          <w:szCs w:val="24"/>
        </w:rPr>
      </w:pPr>
      <w:r>
        <w:rPr>
          <w:b/>
          <w:szCs w:val="24"/>
        </w:rPr>
        <w:t>5</w:t>
      </w:r>
      <w:r w:rsidRPr="001330AF">
        <w:rPr>
          <w:b/>
          <w:szCs w:val="24"/>
        </w:rPr>
        <w:t>. Oświadczenie o zgodności z prawem Unii Europejskiej</w:t>
      </w:r>
    </w:p>
    <w:p w:rsidR="002F7DDD" w:rsidRPr="001330AF" w:rsidRDefault="002F7DDD" w:rsidP="00A254B4">
      <w:pPr>
        <w:pStyle w:val="NIEARTTEKSTtekstnieartykuowanynppreambua"/>
      </w:pPr>
      <w:r w:rsidRPr="001330AF">
        <w:t>Projektowana ustawa nie jest objęta prawem Unii Europejskiej.</w:t>
      </w:r>
    </w:p>
    <w:p w:rsidR="001D5B12" w:rsidRDefault="001D5B12" w:rsidP="0011257D">
      <w:pPr>
        <w:pStyle w:val="Tekstpodstawowy"/>
        <w:tabs>
          <w:tab w:val="center" w:pos="6237"/>
        </w:tabs>
        <w:spacing w:line="240" w:lineRule="auto"/>
        <w:ind w:right="-2"/>
        <w:rPr>
          <w:b/>
        </w:rPr>
        <w:sectPr w:rsidR="001D5B12" w:rsidSect="008172B8">
          <w:headerReference w:type="default" r:id="rId7"/>
          <w:pgSz w:w="11906" w:h="16838"/>
          <w:pgMar w:top="1533" w:right="1435" w:bottom="1559" w:left="1418" w:header="709" w:footer="978" w:gutter="0"/>
          <w:pgNumType w:start="1"/>
          <w:cols w:space="708"/>
          <w:titlePg/>
          <w:docGrid w:linePitch="254"/>
        </w:sectPr>
      </w:pPr>
      <w:bookmarkStart w:id="0" w:name="_GoBack"/>
      <w:bookmarkEnd w:id="0"/>
    </w:p>
    <w:p w:rsidR="00182E6C" w:rsidRPr="00182E6C" w:rsidRDefault="00182E6C" w:rsidP="0036324E">
      <w:pPr>
        <w:pStyle w:val="Tekstpodstawowy"/>
        <w:tabs>
          <w:tab w:val="center" w:pos="6237"/>
        </w:tabs>
        <w:spacing w:line="240" w:lineRule="auto"/>
        <w:ind w:left="-1134" w:right="-2"/>
        <w:rPr>
          <w:sz w:val="22"/>
          <w:szCs w:val="22"/>
        </w:rPr>
      </w:pPr>
    </w:p>
    <w:sectPr w:rsidR="00182E6C" w:rsidRPr="00182E6C" w:rsidSect="00C75A63">
      <w:headerReference w:type="default" r:id="rId8"/>
      <w:headerReference w:type="first" r:id="rId9"/>
      <w:footerReference w:type="first" r:id="rId10"/>
      <w:pgSz w:w="11906" w:h="16838"/>
      <w:pgMar w:top="218" w:right="566" w:bottom="567" w:left="284" w:header="135" w:footer="0"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63E0" w:rsidRDefault="003163E0">
      <w:r>
        <w:separator/>
      </w:r>
    </w:p>
  </w:endnote>
  <w:endnote w:type="continuationSeparator" w:id="0">
    <w:p w:rsidR="003163E0" w:rsidRDefault="00316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E6C" w:rsidRDefault="00182E6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63E0" w:rsidRDefault="003163E0">
      <w:r>
        <w:separator/>
      </w:r>
    </w:p>
  </w:footnote>
  <w:footnote w:type="continuationSeparator" w:id="0">
    <w:p w:rsidR="003163E0" w:rsidRDefault="003163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BB2" w:rsidRDefault="00123BB2">
    <w:pPr>
      <w:pStyle w:val="Nagwek"/>
      <w:jc w:val="center"/>
    </w:pPr>
    <w:r>
      <w:t>-</w:t>
    </w:r>
    <w:sdt>
      <w:sdtPr>
        <w:id w:val="-1473817426"/>
        <w:docPartObj>
          <w:docPartGallery w:val="Page Numbers (Top of Page)"/>
          <w:docPartUnique/>
        </w:docPartObj>
      </w:sdtPr>
      <w:sdtEndPr/>
      <w:sdtContent>
        <w:r>
          <w:fldChar w:fldCharType="begin"/>
        </w:r>
        <w:r>
          <w:instrText>PAGE   \* MERGEFORMAT</w:instrText>
        </w:r>
        <w:r>
          <w:fldChar w:fldCharType="separate"/>
        </w:r>
        <w:r w:rsidR="0036324E">
          <w:rPr>
            <w:noProof/>
          </w:rPr>
          <w:t>2</w:t>
        </w:r>
        <w:r>
          <w:fldChar w:fldCharType="end"/>
        </w:r>
        <w:r>
          <w:t>-</w:t>
        </w:r>
      </w:sdtContent>
    </w:sdt>
  </w:p>
  <w:p w:rsidR="002F7DDD" w:rsidRPr="00DD5CC7" w:rsidRDefault="002F7DDD" w:rsidP="00DD5CC7">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E14" w:rsidRPr="00DD5CC7" w:rsidRDefault="008B5E14" w:rsidP="00DD5CC7">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E6C" w:rsidRPr="00C75A63" w:rsidRDefault="00182E6C">
    <w:pPr>
      <w:pStyle w:val="Nagwek"/>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86FED"/>
    <w:multiLevelType w:val="hybridMultilevel"/>
    <w:tmpl w:val="4F5A91C8"/>
    <w:lvl w:ilvl="0" w:tplc="04150001">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7606B3F"/>
    <w:multiLevelType w:val="hybridMultilevel"/>
    <w:tmpl w:val="BDB45C68"/>
    <w:lvl w:ilvl="0" w:tplc="04150001">
      <w:start w:val="1"/>
      <w:numFmt w:val="bullet"/>
      <w:lvlText w:val=""/>
      <w:lvlJc w:val="left"/>
      <w:pPr>
        <w:ind w:left="-216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start w:val="1"/>
      <w:numFmt w:val="bullet"/>
      <w:lvlText w:val=""/>
      <w:lvlJc w:val="left"/>
      <w:pPr>
        <w:ind w:left="-720" w:hanging="360"/>
      </w:pPr>
      <w:rPr>
        <w:rFonts w:ascii="Wingdings" w:hAnsi="Wingdings" w:hint="default"/>
      </w:rPr>
    </w:lvl>
    <w:lvl w:ilvl="3" w:tplc="04150001" w:tentative="1">
      <w:start w:val="1"/>
      <w:numFmt w:val="bullet"/>
      <w:lvlText w:val=""/>
      <w:lvlJc w:val="left"/>
      <w:pPr>
        <w:ind w:left="0" w:hanging="360"/>
      </w:pPr>
      <w:rPr>
        <w:rFonts w:ascii="Symbol" w:hAnsi="Symbol" w:hint="default"/>
      </w:rPr>
    </w:lvl>
    <w:lvl w:ilvl="4" w:tplc="04150003" w:tentative="1">
      <w:start w:val="1"/>
      <w:numFmt w:val="bullet"/>
      <w:lvlText w:val="o"/>
      <w:lvlJc w:val="left"/>
      <w:pPr>
        <w:ind w:left="720" w:hanging="360"/>
      </w:pPr>
      <w:rPr>
        <w:rFonts w:ascii="Courier New" w:hAnsi="Courier New" w:cs="Courier New" w:hint="default"/>
      </w:rPr>
    </w:lvl>
    <w:lvl w:ilvl="5" w:tplc="04150005" w:tentative="1">
      <w:start w:val="1"/>
      <w:numFmt w:val="bullet"/>
      <w:lvlText w:val=""/>
      <w:lvlJc w:val="left"/>
      <w:pPr>
        <w:ind w:left="1440" w:hanging="360"/>
      </w:pPr>
      <w:rPr>
        <w:rFonts w:ascii="Wingdings" w:hAnsi="Wingdings" w:hint="default"/>
      </w:rPr>
    </w:lvl>
    <w:lvl w:ilvl="6" w:tplc="04150001" w:tentative="1">
      <w:start w:val="1"/>
      <w:numFmt w:val="bullet"/>
      <w:lvlText w:val=""/>
      <w:lvlJc w:val="left"/>
      <w:pPr>
        <w:ind w:left="2160" w:hanging="360"/>
      </w:pPr>
      <w:rPr>
        <w:rFonts w:ascii="Symbol" w:hAnsi="Symbol" w:hint="default"/>
      </w:rPr>
    </w:lvl>
    <w:lvl w:ilvl="7" w:tplc="04150003" w:tentative="1">
      <w:start w:val="1"/>
      <w:numFmt w:val="bullet"/>
      <w:lvlText w:val="o"/>
      <w:lvlJc w:val="left"/>
      <w:pPr>
        <w:ind w:left="2880" w:hanging="360"/>
      </w:pPr>
      <w:rPr>
        <w:rFonts w:ascii="Courier New" w:hAnsi="Courier New" w:cs="Courier New" w:hint="default"/>
      </w:rPr>
    </w:lvl>
    <w:lvl w:ilvl="8" w:tplc="04150005" w:tentative="1">
      <w:start w:val="1"/>
      <w:numFmt w:val="bullet"/>
      <w:lvlText w:val=""/>
      <w:lvlJc w:val="left"/>
      <w:pPr>
        <w:ind w:left="3600" w:hanging="360"/>
      </w:pPr>
      <w:rPr>
        <w:rFonts w:ascii="Wingdings" w:hAnsi="Wingdings" w:hint="default"/>
      </w:rPr>
    </w:lvl>
  </w:abstractNum>
  <w:abstractNum w:abstractNumId="2" w15:restartNumberingAfterBreak="0">
    <w:nsid w:val="1A9506FF"/>
    <w:multiLevelType w:val="hybridMultilevel"/>
    <w:tmpl w:val="99106A6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97F6EDE"/>
    <w:multiLevelType w:val="hybridMultilevel"/>
    <w:tmpl w:val="379248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57661C85"/>
    <w:multiLevelType w:val="hybridMultilevel"/>
    <w:tmpl w:val="896EA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0500375"/>
    <w:multiLevelType w:val="hybridMultilevel"/>
    <w:tmpl w:val="8E8C2E2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 w15:restartNumberingAfterBreak="0">
    <w:nsid w:val="74535A90"/>
    <w:multiLevelType w:val="hybridMultilevel"/>
    <w:tmpl w:val="976448B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7B233B53"/>
    <w:multiLevelType w:val="hybridMultilevel"/>
    <w:tmpl w:val="1632E7EC"/>
    <w:lvl w:ilvl="0" w:tplc="3844038A">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5"/>
  </w:num>
  <w:num w:numId="2">
    <w:abstractNumId w:val="3"/>
  </w:num>
  <w:num w:numId="3">
    <w:abstractNumId w:val="1"/>
  </w:num>
  <w:num w:numId="4">
    <w:abstractNumId w:val="9"/>
  </w:num>
  <w:num w:numId="5">
    <w:abstractNumId w:val="6"/>
  </w:num>
  <w:num w:numId="6">
    <w:abstractNumId w:val="8"/>
  </w:num>
  <w:num w:numId="7">
    <w:abstractNumId w:val="2"/>
  </w:num>
  <w:num w:numId="8">
    <w:abstractNumId w:val="7"/>
  </w:num>
  <w:num w:numId="9">
    <w:abstractNumId w:val="0"/>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4F1"/>
    <w:rsid w:val="000012DA"/>
    <w:rsid w:val="00012A35"/>
    <w:rsid w:val="00016099"/>
    <w:rsid w:val="00023471"/>
    <w:rsid w:val="00023F13"/>
    <w:rsid w:val="0002619B"/>
    <w:rsid w:val="00030634"/>
    <w:rsid w:val="00037E1A"/>
    <w:rsid w:val="00047312"/>
    <w:rsid w:val="0005339C"/>
    <w:rsid w:val="0005571B"/>
    <w:rsid w:val="00057AB3"/>
    <w:rsid w:val="00060076"/>
    <w:rsid w:val="00060432"/>
    <w:rsid w:val="00060D87"/>
    <w:rsid w:val="00064E4C"/>
    <w:rsid w:val="00066901"/>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F3D0D"/>
    <w:rsid w:val="000F6ED4"/>
    <w:rsid w:val="000F7A6E"/>
    <w:rsid w:val="001042BA"/>
    <w:rsid w:val="00106D03"/>
    <w:rsid w:val="00110465"/>
    <w:rsid w:val="00110628"/>
    <w:rsid w:val="0011245A"/>
    <w:rsid w:val="0011257D"/>
    <w:rsid w:val="0011493E"/>
    <w:rsid w:val="00115B72"/>
    <w:rsid w:val="00120A9E"/>
    <w:rsid w:val="00123BB2"/>
    <w:rsid w:val="00134CA0"/>
    <w:rsid w:val="0014026F"/>
    <w:rsid w:val="0015742A"/>
    <w:rsid w:val="00164C57"/>
    <w:rsid w:val="00164C9D"/>
    <w:rsid w:val="00173150"/>
    <w:rsid w:val="00173BB3"/>
    <w:rsid w:val="001740D0"/>
    <w:rsid w:val="00174F2C"/>
    <w:rsid w:val="00182E6C"/>
    <w:rsid w:val="00186EC1"/>
    <w:rsid w:val="00191E1F"/>
    <w:rsid w:val="00197649"/>
    <w:rsid w:val="001A10E9"/>
    <w:rsid w:val="001A183D"/>
    <w:rsid w:val="001A3CD3"/>
    <w:rsid w:val="001A5BEF"/>
    <w:rsid w:val="001A7F15"/>
    <w:rsid w:val="001C188C"/>
    <w:rsid w:val="001D1783"/>
    <w:rsid w:val="001D55A3"/>
    <w:rsid w:val="001D5B12"/>
    <w:rsid w:val="001E4E0C"/>
    <w:rsid w:val="001E526D"/>
    <w:rsid w:val="001F220F"/>
    <w:rsid w:val="001F6616"/>
    <w:rsid w:val="00202BD4"/>
    <w:rsid w:val="00204A97"/>
    <w:rsid w:val="002114EF"/>
    <w:rsid w:val="002166AD"/>
    <w:rsid w:val="00221ED8"/>
    <w:rsid w:val="00223FDF"/>
    <w:rsid w:val="002279C0"/>
    <w:rsid w:val="002501A3"/>
    <w:rsid w:val="0025166C"/>
    <w:rsid w:val="00260E8C"/>
    <w:rsid w:val="00264EC6"/>
    <w:rsid w:val="00271013"/>
    <w:rsid w:val="002765B4"/>
    <w:rsid w:val="00276A94"/>
    <w:rsid w:val="0029405D"/>
    <w:rsid w:val="00295A6F"/>
    <w:rsid w:val="002A20C4"/>
    <w:rsid w:val="002A7358"/>
    <w:rsid w:val="002A7902"/>
    <w:rsid w:val="002B0F6B"/>
    <w:rsid w:val="002B23B8"/>
    <w:rsid w:val="002B68A6"/>
    <w:rsid w:val="002E1DE3"/>
    <w:rsid w:val="002E2AB6"/>
    <w:rsid w:val="002E3F34"/>
    <w:rsid w:val="002E64FA"/>
    <w:rsid w:val="002F0A00"/>
    <w:rsid w:val="002F669F"/>
    <w:rsid w:val="002F7DDD"/>
    <w:rsid w:val="0031004C"/>
    <w:rsid w:val="003113BE"/>
    <w:rsid w:val="003148FD"/>
    <w:rsid w:val="003163E0"/>
    <w:rsid w:val="00321080"/>
    <w:rsid w:val="00325A1F"/>
    <w:rsid w:val="00334E3A"/>
    <w:rsid w:val="003361DD"/>
    <w:rsid w:val="00360929"/>
    <w:rsid w:val="0036324E"/>
    <w:rsid w:val="003674B0"/>
    <w:rsid w:val="0037727C"/>
    <w:rsid w:val="00380904"/>
    <w:rsid w:val="003823EE"/>
    <w:rsid w:val="00382960"/>
    <w:rsid w:val="003846F7"/>
    <w:rsid w:val="00386785"/>
    <w:rsid w:val="00391B1A"/>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21085"/>
    <w:rsid w:val="00424DF7"/>
    <w:rsid w:val="00432B76"/>
    <w:rsid w:val="00435D26"/>
    <w:rsid w:val="00445F4D"/>
    <w:rsid w:val="004504C0"/>
    <w:rsid w:val="00462946"/>
    <w:rsid w:val="00464B94"/>
    <w:rsid w:val="004653A8"/>
    <w:rsid w:val="00465A0B"/>
    <w:rsid w:val="0047077C"/>
    <w:rsid w:val="00472CD6"/>
    <w:rsid w:val="00480A58"/>
    <w:rsid w:val="00482529"/>
    <w:rsid w:val="004834F1"/>
    <w:rsid w:val="00485FAD"/>
    <w:rsid w:val="00492A3F"/>
    <w:rsid w:val="00494F62"/>
    <w:rsid w:val="004B00A7"/>
    <w:rsid w:val="004B25E2"/>
    <w:rsid w:val="004B34D7"/>
    <w:rsid w:val="004B5037"/>
    <w:rsid w:val="004B5B2F"/>
    <w:rsid w:val="004B626A"/>
    <w:rsid w:val="004C05BD"/>
    <w:rsid w:val="004C3F97"/>
    <w:rsid w:val="004D2E1F"/>
    <w:rsid w:val="004D7FD9"/>
    <w:rsid w:val="004E37E5"/>
    <w:rsid w:val="004F296D"/>
    <w:rsid w:val="004F508B"/>
    <w:rsid w:val="004F695F"/>
    <w:rsid w:val="00500752"/>
    <w:rsid w:val="0050696D"/>
    <w:rsid w:val="00511D99"/>
    <w:rsid w:val="005128D3"/>
    <w:rsid w:val="005158F2"/>
    <w:rsid w:val="00526DFC"/>
    <w:rsid w:val="00527651"/>
    <w:rsid w:val="005363AB"/>
    <w:rsid w:val="00545E53"/>
    <w:rsid w:val="005479D9"/>
    <w:rsid w:val="005572BD"/>
    <w:rsid w:val="00557A12"/>
    <w:rsid w:val="00560AC7"/>
    <w:rsid w:val="00561AFB"/>
    <w:rsid w:val="005635ED"/>
    <w:rsid w:val="00570570"/>
    <w:rsid w:val="00572512"/>
    <w:rsid w:val="00573EE6"/>
    <w:rsid w:val="0057547F"/>
    <w:rsid w:val="00576497"/>
    <w:rsid w:val="0058048D"/>
    <w:rsid w:val="005835E7"/>
    <w:rsid w:val="0058397F"/>
    <w:rsid w:val="00585F33"/>
    <w:rsid w:val="00597024"/>
    <w:rsid w:val="005A669D"/>
    <w:rsid w:val="005A75D8"/>
    <w:rsid w:val="005B713E"/>
    <w:rsid w:val="005C03B6"/>
    <w:rsid w:val="005C4414"/>
    <w:rsid w:val="005D3763"/>
    <w:rsid w:val="005D55E1"/>
    <w:rsid w:val="005E19F7"/>
    <w:rsid w:val="005E62C2"/>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80058"/>
    <w:rsid w:val="00681B8C"/>
    <w:rsid w:val="006840EA"/>
    <w:rsid w:val="00685267"/>
    <w:rsid w:val="006872AE"/>
    <w:rsid w:val="006946BB"/>
    <w:rsid w:val="006969FA"/>
    <w:rsid w:val="006C4A31"/>
    <w:rsid w:val="006D45B2"/>
    <w:rsid w:val="006E0FCC"/>
    <w:rsid w:val="006E5E21"/>
    <w:rsid w:val="006F2648"/>
    <w:rsid w:val="006F2F10"/>
    <w:rsid w:val="006F482B"/>
    <w:rsid w:val="006F6311"/>
    <w:rsid w:val="00711221"/>
    <w:rsid w:val="00712675"/>
    <w:rsid w:val="00713808"/>
    <w:rsid w:val="007151B6"/>
    <w:rsid w:val="0071520D"/>
    <w:rsid w:val="00715EDB"/>
    <w:rsid w:val="007160D5"/>
    <w:rsid w:val="00717C2E"/>
    <w:rsid w:val="0072457F"/>
    <w:rsid w:val="0072621B"/>
    <w:rsid w:val="00730555"/>
    <w:rsid w:val="007312CC"/>
    <w:rsid w:val="007410B6"/>
    <w:rsid w:val="00744C6F"/>
    <w:rsid w:val="00746E38"/>
    <w:rsid w:val="00753B51"/>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6DCE"/>
    <w:rsid w:val="007E2CFE"/>
    <w:rsid w:val="007F0072"/>
    <w:rsid w:val="007F2EB6"/>
    <w:rsid w:val="007F54C3"/>
    <w:rsid w:val="00812BE5"/>
    <w:rsid w:val="008172B8"/>
    <w:rsid w:val="00817429"/>
    <w:rsid w:val="00827820"/>
    <w:rsid w:val="00831B8B"/>
    <w:rsid w:val="008352D4"/>
    <w:rsid w:val="008415B0"/>
    <w:rsid w:val="008460B6"/>
    <w:rsid w:val="00852B59"/>
    <w:rsid w:val="00853780"/>
    <w:rsid w:val="008611DD"/>
    <w:rsid w:val="00866867"/>
    <w:rsid w:val="00872257"/>
    <w:rsid w:val="0087738C"/>
    <w:rsid w:val="008802AF"/>
    <w:rsid w:val="0088318F"/>
    <w:rsid w:val="0088331D"/>
    <w:rsid w:val="008852B0"/>
    <w:rsid w:val="008852C4"/>
    <w:rsid w:val="00886B60"/>
    <w:rsid w:val="008920FF"/>
    <w:rsid w:val="00896A10"/>
    <w:rsid w:val="008A5D26"/>
    <w:rsid w:val="008A6B13"/>
    <w:rsid w:val="008B3859"/>
    <w:rsid w:val="008B4E49"/>
    <w:rsid w:val="008B5E14"/>
    <w:rsid w:val="008B7B26"/>
    <w:rsid w:val="008C4229"/>
    <w:rsid w:val="008C5BE0"/>
    <w:rsid w:val="008C7233"/>
    <w:rsid w:val="008E171D"/>
    <w:rsid w:val="008E2785"/>
    <w:rsid w:val="008F0654"/>
    <w:rsid w:val="008F06CB"/>
    <w:rsid w:val="008F612A"/>
    <w:rsid w:val="0090293D"/>
    <w:rsid w:val="009034DE"/>
    <w:rsid w:val="0090605D"/>
    <w:rsid w:val="00913A42"/>
    <w:rsid w:val="009143DB"/>
    <w:rsid w:val="00917CE5"/>
    <w:rsid w:val="00925CEC"/>
    <w:rsid w:val="0092794E"/>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6EF7"/>
    <w:rsid w:val="009B7000"/>
    <w:rsid w:val="009B739C"/>
    <w:rsid w:val="009C7CA6"/>
    <w:rsid w:val="009D3316"/>
    <w:rsid w:val="009D4E85"/>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4B"/>
    <w:rsid w:val="00A66A78"/>
    <w:rsid w:val="00A7436E"/>
    <w:rsid w:val="00A75A8E"/>
    <w:rsid w:val="00A83676"/>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2BF2"/>
    <w:rsid w:val="00AD4E90"/>
    <w:rsid w:val="00AD5422"/>
    <w:rsid w:val="00AE650F"/>
    <w:rsid w:val="00AE7D16"/>
    <w:rsid w:val="00AF571A"/>
    <w:rsid w:val="00B07700"/>
    <w:rsid w:val="00B1528C"/>
    <w:rsid w:val="00B1776A"/>
    <w:rsid w:val="00B21487"/>
    <w:rsid w:val="00B24DB5"/>
    <w:rsid w:val="00B31F9E"/>
    <w:rsid w:val="00B3268F"/>
    <w:rsid w:val="00B33A1A"/>
    <w:rsid w:val="00B371CC"/>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4338"/>
    <w:rsid w:val="00BB4E4A"/>
    <w:rsid w:val="00BB6C0E"/>
    <w:rsid w:val="00BC52FD"/>
    <w:rsid w:val="00BC6E62"/>
    <w:rsid w:val="00BD0648"/>
    <w:rsid w:val="00BD1040"/>
    <w:rsid w:val="00BD34AA"/>
    <w:rsid w:val="00BE41EC"/>
    <w:rsid w:val="00BE56FB"/>
    <w:rsid w:val="00BE7F18"/>
    <w:rsid w:val="00BF6589"/>
    <w:rsid w:val="00C00647"/>
    <w:rsid w:val="00C02764"/>
    <w:rsid w:val="00C04CEF"/>
    <w:rsid w:val="00C12E96"/>
    <w:rsid w:val="00C236C8"/>
    <w:rsid w:val="00C26E56"/>
    <w:rsid w:val="00C31406"/>
    <w:rsid w:val="00C40637"/>
    <w:rsid w:val="00C40F6C"/>
    <w:rsid w:val="00C44426"/>
    <w:rsid w:val="00C451F4"/>
    <w:rsid w:val="00C45EB1"/>
    <w:rsid w:val="00C54A3A"/>
    <w:rsid w:val="00C55566"/>
    <w:rsid w:val="00C72223"/>
    <w:rsid w:val="00C75A63"/>
    <w:rsid w:val="00C76417"/>
    <w:rsid w:val="00C7726F"/>
    <w:rsid w:val="00C8259F"/>
    <w:rsid w:val="00C84C47"/>
    <w:rsid w:val="00C86AFA"/>
    <w:rsid w:val="00CB24F5"/>
    <w:rsid w:val="00CB2663"/>
    <w:rsid w:val="00CB59E9"/>
    <w:rsid w:val="00CC3831"/>
    <w:rsid w:val="00CD5973"/>
    <w:rsid w:val="00CD68AA"/>
    <w:rsid w:val="00CF09AA"/>
    <w:rsid w:val="00CF4813"/>
    <w:rsid w:val="00CF5233"/>
    <w:rsid w:val="00D029B8"/>
    <w:rsid w:val="00D02F60"/>
    <w:rsid w:val="00D07A7B"/>
    <w:rsid w:val="00D10E06"/>
    <w:rsid w:val="00D16820"/>
    <w:rsid w:val="00D32721"/>
    <w:rsid w:val="00D328DC"/>
    <w:rsid w:val="00D402FB"/>
    <w:rsid w:val="00D676F3"/>
    <w:rsid w:val="00D70EF5"/>
    <w:rsid w:val="00D71A25"/>
    <w:rsid w:val="00D71FCF"/>
    <w:rsid w:val="00D72A54"/>
    <w:rsid w:val="00D72CC1"/>
    <w:rsid w:val="00D80E7D"/>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D5CC7"/>
    <w:rsid w:val="00DE1554"/>
    <w:rsid w:val="00DE7DC1"/>
    <w:rsid w:val="00DF7648"/>
    <w:rsid w:val="00E04CEB"/>
    <w:rsid w:val="00E060BC"/>
    <w:rsid w:val="00E11420"/>
    <w:rsid w:val="00E170B7"/>
    <w:rsid w:val="00E20900"/>
    <w:rsid w:val="00E34A35"/>
    <w:rsid w:val="00E46308"/>
    <w:rsid w:val="00E51E17"/>
    <w:rsid w:val="00E539B0"/>
    <w:rsid w:val="00E55994"/>
    <w:rsid w:val="00E6307C"/>
    <w:rsid w:val="00E636FA"/>
    <w:rsid w:val="00E63BAC"/>
    <w:rsid w:val="00E66C50"/>
    <w:rsid w:val="00E679D3"/>
    <w:rsid w:val="00E71208"/>
    <w:rsid w:val="00E71444"/>
    <w:rsid w:val="00E773E8"/>
    <w:rsid w:val="00E84F38"/>
    <w:rsid w:val="00E85623"/>
    <w:rsid w:val="00E91FAE"/>
    <w:rsid w:val="00EA532E"/>
    <w:rsid w:val="00EB19ED"/>
    <w:rsid w:val="00EC4CEB"/>
    <w:rsid w:val="00ED2072"/>
    <w:rsid w:val="00ED5553"/>
    <w:rsid w:val="00ED5E36"/>
    <w:rsid w:val="00ED6961"/>
    <w:rsid w:val="00EF0B96"/>
    <w:rsid w:val="00EF47AF"/>
    <w:rsid w:val="00F115CA"/>
    <w:rsid w:val="00F1510F"/>
    <w:rsid w:val="00F15E5A"/>
    <w:rsid w:val="00F2668F"/>
    <w:rsid w:val="00F340B2"/>
    <w:rsid w:val="00F43390"/>
    <w:rsid w:val="00F50237"/>
    <w:rsid w:val="00F55BA8"/>
    <w:rsid w:val="00F56ACA"/>
    <w:rsid w:val="00F600FE"/>
    <w:rsid w:val="00F62E4D"/>
    <w:rsid w:val="00F711C9"/>
    <w:rsid w:val="00F831CB"/>
    <w:rsid w:val="00F848A3"/>
    <w:rsid w:val="00F85BF8"/>
    <w:rsid w:val="00F87802"/>
    <w:rsid w:val="00F92C0A"/>
    <w:rsid w:val="00F9415B"/>
    <w:rsid w:val="00FA13C2"/>
    <w:rsid w:val="00FB121C"/>
    <w:rsid w:val="00FB2C2F"/>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782926D-D204-446C-940F-2AFD40D69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qFormat/>
    <w:rsid w:val="00182E6C"/>
    <w:pPr>
      <w:keepNext/>
      <w:widowControl/>
      <w:autoSpaceDE/>
      <w:autoSpaceDN/>
      <w:adjustRightInd/>
      <w:spacing w:before="240" w:after="60" w:line="240" w:lineRule="auto"/>
      <w:jc w:val="left"/>
      <w:outlineLvl w:val="2"/>
    </w:pPr>
    <w:rPr>
      <w:rFonts w:ascii="Arial" w:eastAsia="Times New Roman" w:hAnsi="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1"/>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2"/>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1"/>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3"/>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7"/>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3"/>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25"/>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uiPriority w:val="99"/>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uiPriority w:val="99"/>
    <w:rsid w:val="00E63BAC"/>
    <w:rPr>
      <w:rFonts w:ascii="Times New Roman" w:hAnsi="Times New Roman"/>
      <w:szCs w:val="20"/>
    </w:rPr>
  </w:style>
  <w:style w:type="paragraph" w:customStyle="1" w:styleId="akapit">
    <w:name w:val="akapit"/>
    <w:basedOn w:val="Normalny"/>
    <w:uiPriority w:val="99"/>
    <w:rsid w:val="00B1776A"/>
    <w:pPr>
      <w:widowControl/>
      <w:autoSpaceDE/>
      <w:autoSpaceDN/>
      <w:adjustRightInd/>
      <w:ind w:firstLine="851"/>
    </w:pPr>
    <w:rPr>
      <w:rFonts w:eastAsia="Times New Roman" w:cs="Times New Roman"/>
    </w:rPr>
  </w:style>
  <w:style w:type="paragraph" w:customStyle="1" w:styleId="OZNPROJEKTUwskazaniedatylubwersjiprojektu">
    <w:name w:val="OZN_PROJEKTU – wskazanie daty lub wersji projektu"/>
    <w:next w:val="OZNRODZAKTUtznustawalubrozporzdzenieiorganwydajcy"/>
    <w:qFormat/>
    <w:rsid w:val="002F7DDD"/>
    <w:pPr>
      <w:jc w:val="right"/>
    </w:pPr>
    <w:rPr>
      <w:rFonts w:ascii="Times New Roman" w:eastAsiaTheme="minorEastAsia" w:hAnsi="Times New Roman" w:cs="Arial"/>
      <w:szCs w:val="20"/>
      <w:u w:val="single"/>
    </w:rPr>
  </w:style>
  <w:style w:type="character" w:customStyle="1" w:styleId="Ppogrubienie">
    <w:name w:val="_P_ – pogrubienie"/>
    <w:basedOn w:val="Domylnaczcionkaakapitu"/>
    <w:uiPriority w:val="1"/>
    <w:qFormat/>
    <w:rsid w:val="002F7DDD"/>
    <w:rPr>
      <w:b/>
    </w:rPr>
  </w:style>
  <w:style w:type="paragraph" w:customStyle="1" w:styleId="WMATFIZCHEMwzrmatfizlubchem">
    <w:name w:val="W_MAT(FIZ|CHEM) – wzór mat. (fiz. lub chem.)"/>
    <w:uiPriority w:val="18"/>
    <w:qFormat/>
    <w:rsid w:val="002F7DDD"/>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2F7DDD"/>
    <w:pPr>
      <w:ind w:left="1304" w:hanging="794"/>
      <w:jc w:val="both"/>
    </w:pPr>
  </w:style>
  <w:style w:type="character" w:customStyle="1" w:styleId="Nagwek3Znak">
    <w:name w:val="Nagłówek 3 Znak"/>
    <w:basedOn w:val="Domylnaczcionkaakapitu"/>
    <w:link w:val="Nagwek3"/>
    <w:rsid w:val="00182E6C"/>
    <w:rPr>
      <w:rFonts w:ascii="Arial" w:hAnsi="Arial" w:cs="Arial"/>
      <w:b/>
      <w:bCs/>
      <w:sz w:val="26"/>
      <w:szCs w:val="26"/>
    </w:rPr>
  </w:style>
  <w:style w:type="table" w:styleId="Tabela-Siatka">
    <w:name w:val="Table Grid"/>
    <w:basedOn w:val="Standardowy"/>
    <w:uiPriority w:val="99"/>
    <w:locked/>
    <w:rsid w:val="00182E6C"/>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182E6C"/>
    <w:pPr>
      <w:widowControl/>
      <w:autoSpaceDE/>
      <w:autoSpaceDN/>
      <w:adjustRightInd/>
      <w:spacing w:line="240" w:lineRule="auto"/>
      <w:jc w:val="left"/>
    </w:pPr>
    <w:rPr>
      <w:rFonts w:ascii="Calibri" w:eastAsia="Calibri" w:hAnsi="Calibri"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182E6C"/>
    <w:rPr>
      <w:rFonts w:ascii="Calibri" w:eastAsia="Calibri" w:hAnsi="Calibri"/>
      <w:sz w:val="20"/>
      <w:szCs w:val="20"/>
      <w:lang w:eastAsia="en-US"/>
    </w:rPr>
  </w:style>
  <w:style w:type="character" w:styleId="Odwoanieprzypisukocowego">
    <w:name w:val="endnote reference"/>
    <w:uiPriority w:val="99"/>
    <w:semiHidden/>
    <w:unhideWhenUsed/>
    <w:rsid w:val="00182E6C"/>
    <w:rPr>
      <w:vertAlign w:val="superscript"/>
    </w:rPr>
  </w:style>
  <w:style w:type="paragraph" w:styleId="Akapitzlist">
    <w:name w:val="List Paragraph"/>
    <w:basedOn w:val="Normalny"/>
    <w:uiPriority w:val="34"/>
    <w:qFormat/>
    <w:rsid w:val="00182E6C"/>
    <w:pPr>
      <w:widowControl/>
      <w:autoSpaceDE/>
      <w:autoSpaceDN/>
      <w:adjustRightInd/>
      <w:spacing w:line="276" w:lineRule="auto"/>
      <w:ind w:left="720"/>
      <w:contextualSpacing/>
      <w:jc w:val="left"/>
    </w:pPr>
    <w:rPr>
      <w:rFonts w:ascii="Calibri" w:eastAsia="Calibri" w:hAnsi="Calibri" w:cs="Times New Roman"/>
      <w:sz w:val="22"/>
      <w:szCs w:val="22"/>
      <w:lang w:eastAsia="en-US"/>
    </w:rPr>
  </w:style>
  <w:style w:type="character" w:styleId="Hipercze">
    <w:name w:val="Hyperlink"/>
    <w:uiPriority w:val="99"/>
    <w:unhideWhenUsed/>
    <w:rsid w:val="00182E6C"/>
    <w:rPr>
      <w:color w:val="0000FF"/>
      <w:u w:val="single"/>
    </w:rPr>
  </w:style>
  <w:style w:type="character" w:styleId="UyteHipercze">
    <w:name w:val="FollowedHyperlink"/>
    <w:uiPriority w:val="99"/>
    <w:semiHidden/>
    <w:unhideWhenUsed/>
    <w:rsid w:val="00182E6C"/>
    <w:rPr>
      <w:color w:val="800080"/>
      <w:u w:val="single"/>
    </w:rPr>
  </w:style>
  <w:style w:type="character" w:styleId="Uwydatnienie">
    <w:name w:val="Emphasis"/>
    <w:basedOn w:val="Domylnaczcionkaakapitu"/>
    <w:uiPriority w:val="20"/>
    <w:qFormat/>
    <w:rsid w:val="00182E6C"/>
    <w:rPr>
      <w:i/>
      <w:iCs/>
    </w:rPr>
  </w:style>
  <w:style w:type="paragraph" w:styleId="NormalnyWeb">
    <w:name w:val="Normal (Web)"/>
    <w:basedOn w:val="Normalny"/>
    <w:uiPriority w:val="99"/>
    <w:semiHidden/>
    <w:unhideWhenUsed/>
    <w:rsid w:val="00182E6C"/>
    <w:pPr>
      <w:widowControl/>
      <w:autoSpaceDE/>
      <w:autoSpaceDN/>
      <w:adjustRightInd/>
      <w:spacing w:after="150" w:line="240" w:lineRule="auto"/>
      <w:jc w:val="left"/>
      <w:textAlignment w:val="baseline"/>
    </w:pPr>
    <w:rPr>
      <w:rFonts w:eastAsia="Times New Roman" w:cs="Times New Roman"/>
      <w:szCs w:val="24"/>
    </w:rPr>
  </w:style>
  <w:style w:type="character" w:styleId="Tekstzastpczy">
    <w:name w:val="Placeholder Text"/>
    <w:basedOn w:val="Domylnaczcionkaakapitu"/>
    <w:uiPriority w:val="99"/>
    <w:semiHidden/>
    <w:rsid w:val="00182E6C"/>
    <w:rPr>
      <w:color w:val="808080"/>
    </w:rPr>
  </w:style>
  <w:style w:type="character" w:customStyle="1" w:styleId="citation">
    <w:name w:val="citation"/>
    <w:basedOn w:val="Domylnaczcionkaakapitu"/>
    <w:rsid w:val="00182E6C"/>
  </w:style>
  <w:style w:type="character" w:customStyle="1" w:styleId="accessdate">
    <w:name w:val="accessdate"/>
    <w:basedOn w:val="Domylnaczcionkaakapitu"/>
    <w:rsid w:val="00182E6C"/>
  </w:style>
  <w:style w:type="numbering" w:customStyle="1" w:styleId="Bezlisty1">
    <w:name w:val="Bez listy1"/>
    <w:next w:val="Bezlisty"/>
    <w:uiPriority w:val="99"/>
    <w:semiHidden/>
    <w:unhideWhenUsed/>
    <w:rsid w:val="00C75A63"/>
  </w:style>
  <w:style w:type="table" w:customStyle="1" w:styleId="Tabela-Siatka1">
    <w:name w:val="Tabela - Siatka1"/>
    <w:basedOn w:val="Standardowy"/>
    <w:next w:val="Tabela-Siatka"/>
    <w:uiPriority w:val="99"/>
    <w:rsid w:val="00C75A63"/>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2148</Words>
  <Characters>12889</Characters>
  <Application>Microsoft Office Word</Application>
  <DocSecurity>0</DocSecurity>
  <Lines>107</Lines>
  <Paragraphs>30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15007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Dorota Grąziewicz</dc:creator>
  <cp:lastModifiedBy>Grzegorz Molesztak</cp:lastModifiedBy>
  <cp:revision>13</cp:revision>
  <cp:lastPrinted>2012-04-23T06:39:00Z</cp:lastPrinted>
  <dcterms:created xsi:type="dcterms:W3CDTF">2019-07-12T12:19:00Z</dcterms:created>
  <dcterms:modified xsi:type="dcterms:W3CDTF">2019-07-31T11:28:00Z</dcterms:modified>
</cp:coreProperties>
</file>