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C82" w:rsidRPr="001330AF" w:rsidRDefault="00041C82" w:rsidP="00191EA8">
      <w:pPr>
        <w:pStyle w:val="OZNRODZAKTUtznustawalubrozporzdzenieiorganwydajcy"/>
        <w:spacing w:after="360"/>
      </w:pPr>
      <w:r w:rsidRPr="001330AF">
        <w:t>UZASADNIENIE</w:t>
      </w:r>
    </w:p>
    <w:p w:rsidR="00041C82" w:rsidRPr="001330AF" w:rsidRDefault="00041C82" w:rsidP="001D5D48">
      <w:pPr>
        <w:pStyle w:val="Tekstpodstawowy"/>
        <w:keepNext/>
        <w:spacing w:before="360"/>
        <w:rPr>
          <w:b/>
          <w:szCs w:val="24"/>
        </w:rPr>
      </w:pPr>
      <w:r w:rsidRPr="001330AF">
        <w:rPr>
          <w:b/>
          <w:szCs w:val="24"/>
        </w:rPr>
        <w:t>1. Cel projektowanej ustawy</w:t>
      </w:r>
    </w:p>
    <w:p w:rsidR="00041C82" w:rsidRDefault="00041C82" w:rsidP="005B1117">
      <w:pPr>
        <w:pStyle w:val="NIEARTTEKSTtekstnieartykuowanynppreambua"/>
      </w:pPr>
      <w:r w:rsidRPr="001330AF">
        <w:t>Celem projektu jest</w:t>
      </w:r>
      <w:r>
        <w:t xml:space="preserve"> umożliwienie uprawnionym osobom dochodzenia przed sądem roszczeń o ustanowienie odrębnej własności należącego dotychczas do spółdzielni mieszkaniowej lokalu, w przypadku gdy </w:t>
      </w:r>
      <w:r w:rsidRPr="00F403A2">
        <w:t>uczynienie zadość przesłance samodzielności lokalu wymaga wykonania robót adaptacyjnych</w:t>
      </w:r>
      <w:r>
        <w:t>.</w:t>
      </w:r>
    </w:p>
    <w:p w:rsidR="00041C82" w:rsidRPr="001330AF" w:rsidRDefault="00041C82" w:rsidP="00484C52">
      <w:pPr>
        <w:pStyle w:val="NIEARTTEKSTtekstnieartykuowanynppreambua"/>
      </w:pPr>
      <w:r w:rsidRPr="001330AF">
        <w:t xml:space="preserve">Projekt dostosowuje system prawa do </w:t>
      </w:r>
      <w:r>
        <w:t>wyroku</w:t>
      </w:r>
      <w:r w:rsidRPr="001330AF">
        <w:t xml:space="preserve"> Trybunału Konstytucyjnego </w:t>
      </w:r>
      <w:r w:rsidRPr="00F403A2">
        <w:t>z 14 marca 2018 r. (sygn. akt P 7/16</w:t>
      </w:r>
      <w:r w:rsidRPr="001330AF">
        <w:t>)</w:t>
      </w:r>
      <w:r>
        <w:t xml:space="preserve">. </w:t>
      </w:r>
      <w:r w:rsidRPr="00F403A2">
        <w:t>Jego sentencja została ogłoszona 20 marca 2018 r. w Dz. U. poz. 582, a pełna treść wraz z uzasadnieniem w OTK ZU A z 2018 r. poz. 14</w:t>
      </w:r>
      <w:r w:rsidRPr="001330AF">
        <w:t>.</w:t>
      </w:r>
    </w:p>
    <w:p w:rsidR="00041C82" w:rsidRPr="001330AF" w:rsidRDefault="00041C82" w:rsidP="001D5D48">
      <w:pPr>
        <w:pStyle w:val="Tekstpodstawowy"/>
        <w:keepNext/>
        <w:spacing w:before="360"/>
        <w:rPr>
          <w:b/>
          <w:szCs w:val="24"/>
        </w:rPr>
      </w:pPr>
      <w:r w:rsidRPr="001330AF">
        <w:rPr>
          <w:b/>
          <w:szCs w:val="24"/>
        </w:rPr>
        <w:t>2. Przedmiot i istota rozstrzygnięcia Trybunału Konstytucyjnego</w:t>
      </w:r>
    </w:p>
    <w:p w:rsidR="00041C82" w:rsidRPr="00CB1123" w:rsidRDefault="00041C82" w:rsidP="00CB1123">
      <w:pPr>
        <w:pStyle w:val="ARTartustawynprozporzdzenia"/>
        <w:rPr>
          <w:bCs/>
        </w:rPr>
      </w:pPr>
      <w:r>
        <w:rPr>
          <w:bCs/>
        </w:rPr>
        <w:t xml:space="preserve">2.1. </w:t>
      </w:r>
      <w:r w:rsidRPr="001D01B9">
        <w:rPr>
          <w:bCs/>
        </w:rPr>
        <w:t>TK orzekł, że art. 49</w:t>
      </w:r>
      <w:r w:rsidRPr="001D01B9">
        <w:rPr>
          <w:bCs/>
          <w:vertAlign w:val="superscript"/>
        </w:rPr>
        <w:t>1</w:t>
      </w:r>
      <w:r w:rsidRPr="001D01B9">
        <w:rPr>
          <w:bCs/>
        </w:rPr>
        <w:t xml:space="preserve"> ustawy z dnia 15 grudnia 2000 r. o spółdzielniach mieszkaniowych w zakresie, w jakim dotyczy sytuacji, w których uczynienie zadość przesłance samodzielności lokalu wymaga wykonania robót </w:t>
      </w:r>
      <w:r>
        <w:rPr>
          <w:bCs/>
        </w:rPr>
        <w:t>adaptacyjnych, jest niezgodny z </w:t>
      </w:r>
      <w:r w:rsidRPr="001D01B9">
        <w:rPr>
          <w:bCs/>
        </w:rPr>
        <w:t>art. 45 ust. 1 Konstytucji</w:t>
      </w:r>
      <w:r w:rsidRPr="00CB1123">
        <w:rPr>
          <w:bCs/>
        </w:rPr>
        <w:t>.</w:t>
      </w:r>
    </w:p>
    <w:p w:rsidR="00041C82" w:rsidRPr="001D01B9" w:rsidRDefault="00041C82" w:rsidP="001D01B9">
      <w:pPr>
        <w:pStyle w:val="ARTartustawynprozporzdzenia"/>
        <w:rPr>
          <w:bCs/>
        </w:rPr>
      </w:pPr>
      <w:r w:rsidRPr="00CB1123">
        <w:rPr>
          <w:bCs/>
        </w:rPr>
        <w:t>2.</w:t>
      </w:r>
      <w:r>
        <w:rPr>
          <w:bCs/>
        </w:rPr>
        <w:t>2</w:t>
      </w:r>
      <w:r w:rsidRPr="00CB1123">
        <w:rPr>
          <w:bCs/>
        </w:rPr>
        <w:t xml:space="preserve">. </w:t>
      </w:r>
      <w:r w:rsidRPr="001D01B9">
        <w:rPr>
          <w:bCs/>
        </w:rPr>
        <w:t>Ustawa z 2000 r. o spółdzielniach mieszkaniowych (u.s.m.) „przewiduje kilka sytuacji, w których członek spółdzielni (lub osoba niebędąca członkiem spółdzielni) może wystąpić z żądaniem przekształcenia dotychczas przysługującego mu prawa do lokalu spółdzielczego w prawo odrębnej własności lokalu, a spółdzie</w:t>
      </w:r>
      <w:r>
        <w:rPr>
          <w:bCs/>
        </w:rPr>
        <w:t>lnia jest zobowiązana zawrzeć z </w:t>
      </w:r>
      <w:r w:rsidRPr="001D01B9">
        <w:rPr>
          <w:bCs/>
        </w:rPr>
        <w:t>taką osobą umowę przeniesienia własności lokalu. Przede</w:t>
      </w:r>
      <w:r>
        <w:rPr>
          <w:bCs/>
        </w:rPr>
        <w:t xml:space="preserve"> wszystkim chodzi o sytuacje, w </w:t>
      </w:r>
      <w:r w:rsidRPr="001D01B9">
        <w:rPr>
          <w:bCs/>
        </w:rPr>
        <w:t>których członek spółdzielni (lub osoba niebędąca członkiem) występuje z żądaniem przekształcenia przysługującego mu spółdzielczego lokatorskiego prawa do lokalu mieszkalnego lub spółdzielczego własnościowego prawa do lokalu w prawo odrębnej własności lokalu”.</w:t>
      </w:r>
    </w:p>
    <w:p w:rsidR="00041C82" w:rsidRPr="001D01B9" w:rsidRDefault="00041C82" w:rsidP="001D01B9">
      <w:pPr>
        <w:pStyle w:val="ARTartustawynprozporzdzenia"/>
        <w:rPr>
          <w:bCs/>
        </w:rPr>
      </w:pPr>
      <w:r w:rsidRPr="001D01B9">
        <w:rPr>
          <w:bCs/>
        </w:rPr>
        <w:t>Zgodnie z zakwestionowanym przepisem (art. 49</w:t>
      </w:r>
      <w:r w:rsidRPr="001D01B9">
        <w:rPr>
          <w:bCs/>
          <w:vertAlign w:val="superscript"/>
        </w:rPr>
        <w:t>1</w:t>
      </w:r>
      <w:r w:rsidRPr="001D01B9">
        <w:rPr>
          <w:bCs/>
        </w:rPr>
        <w:t>), „osoba, która na podstawie ustawy może żądać ustanowienia prawa odrębnej własności lokalu, w razie bezczynności spółdzielni, może wystąpić do sądu z powództwem na podstawie art. 6</w:t>
      </w:r>
      <w:r>
        <w:rPr>
          <w:bCs/>
        </w:rPr>
        <w:t>4 Kodeksu cywilnego w związku z </w:t>
      </w:r>
      <w:r w:rsidRPr="001D01B9">
        <w:rPr>
          <w:bCs/>
        </w:rPr>
        <w:t>art. 1047 § 1 Kodeksu postępowania cywilnego”. W przeciwieństwie do przepisu art. 49 ust. 2, który stosowany był zanim dodano do ustawy art. 49</w:t>
      </w:r>
      <w:r w:rsidRPr="00FC6A3C">
        <w:rPr>
          <w:bCs/>
          <w:vertAlign w:val="superscript"/>
        </w:rPr>
        <w:t>1</w:t>
      </w:r>
      <w:r w:rsidRPr="001D01B9">
        <w:rPr>
          <w:bCs/>
        </w:rPr>
        <w:t xml:space="preserve">, ten ostatni zakłada prowadzenie postępowania sądowego w trybie procesowym, który utrudnia, a nawet uniemożliwia osobie uprawnionej wyegzekwowanie ustanowienia odrębnej własności lokalu w przypadku, gdy </w:t>
      </w:r>
      <w:r w:rsidRPr="001D01B9">
        <w:rPr>
          <w:bCs/>
        </w:rPr>
        <w:lastRenderedPageBreak/>
        <w:t>spółdzielnia nie podejmuje czynności materialno-technicznych niezbędnych do ustanowienia odrębnej własności lokalu. „W sytuacji, w której do spełnienia przesłanki samodzielności lokalu konieczne jest przeprowadzenie prac adaptacyjnych, sąd - orzekając w trybie wyznaczonym przez art. 49</w:t>
      </w:r>
      <w:r w:rsidRPr="00FC6A3C">
        <w:rPr>
          <w:bCs/>
          <w:vertAlign w:val="superscript"/>
        </w:rPr>
        <w:t>1</w:t>
      </w:r>
      <w:r w:rsidRPr="001D01B9">
        <w:rPr>
          <w:bCs/>
        </w:rPr>
        <w:t xml:space="preserve"> u.s.m. - nie ma możliwości, by nakazać przeprowadzenie takich prac, a wskutek tego ustanowienie odrębnej własności lokalu na rzecz powoda (…) jest niemożliwe”.</w:t>
      </w:r>
    </w:p>
    <w:p w:rsidR="00041C82" w:rsidRPr="001D01B9" w:rsidRDefault="00041C82" w:rsidP="001D01B9">
      <w:pPr>
        <w:pStyle w:val="ARTartustawynprozporzdzenia"/>
        <w:rPr>
          <w:bCs/>
        </w:rPr>
      </w:pPr>
      <w:r>
        <w:rPr>
          <w:bCs/>
        </w:rPr>
        <w:t xml:space="preserve">2.3. </w:t>
      </w:r>
      <w:r w:rsidRPr="001D01B9">
        <w:rPr>
          <w:bCs/>
        </w:rPr>
        <w:t>Na statuowane w art. 45 ust. 1 Konstytucji prawo do sądu składają się: „1) prawo dostępu do sądu, tj. uruchomienia procedury przed sądem - organem o określonej charakterystyce (właściwym, niezależnym, bezstronnym i niezawisłym); 2) prawo do odpowiedniego ukształtowania procedury sądowej, zgodnie z wymogami spra</w:t>
      </w:r>
      <w:r>
        <w:rPr>
          <w:bCs/>
        </w:rPr>
        <w:t>wiedliwości i </w:t>
      </w:r>
      <w:r w:rsidRPr="001D01B9">
        <w:rPr>
          <w:bCs/>
        </w:rPr>
        <w:t>jawności; 3) prawo do wyroku sądowego, tj. do uzyskania wiążącego rozstrzygnięcia danej sprawy przez sąd, a nadto: 4) prawo do odpowiedniego ukształtowania ustroju i pozycji organów rozpoznających sprawy.</w:t>
      </w:r>
    </w:p>
    <w:p w:rsidR="00041C82" w:rsidRPr="001D01B9" w:rsidRDefault="00041C82" w:rsidP="001D01B9">
      <w:pPr>
        <w:pStyle w:val="ARTartustawynprozporzdzenia"/>
        <w:rPr>
          <w:bCs/>
        </w:rPr>
      </w:pPr>
      <w:r w:rsidRPr="001D01B9">
        <w:rPr>
          <w:bCs/>
        </w:rPr>
        <w:t>Formułując zarzut niezgodności art. 49</w:t>
      </w:r>
      <w:r w:rsidRPr="00FC6A3C">
        <w:rPr>
          <w:bCs/>
          <w:vertAlign w:val="superscript"/>
        </w:rPr>
        <w:t>1</w:t>
      </w:r>
      <w:r w:rsidRPr="001D01B9">
        <w:rPr>
          <w:bCs/>
        </w:rPr>
        <w:t xml:space="preserve"> u.s.m. z art. 45 ust. 1 Konstytucji, pytający sąd stwierdził, że kwestionowana regulacja narusza prawo do sprawiedliwej (rzetelnej) procedury oraz prawo do uzyskania sprawiedliwego wyroku i jego skutecznej realizacji”. TK zauważył, że „jednostka, która zwraca się do sądu o rozpatrzenie sprawy w odpowiednio ukształtowanym postępowaniu sądowym, oczekuje również rozstrzygnięcia swej sprawy. Prawo do takiego rozstrzygnięcia jest nieodzownym elementem prawa do sądu. Jeśli nie byłoby gwarancji uzyskania rozstrzygnięcia sądowego, prawo do sądu w aspekcie zapewnienia dostępu do sądu i rzetelnego postępowania przed nim byłoby pozbawione doniosłości”.</w:t>
      </w:r>
    </w:p>
    <w:p w:rsidR="00041C82" w:rsidRPr="001D01B9" w:rsidRDefault="00041C82" w:rsidP="001D01B9">
      <w:pPr>
        <w:pStyle w:val="ARTartustawynprozporzdzenia"/>
        <w:rPr>
          <w:bCs/>
        </w:rPr>
      </w:pPr>
      <w:r w:rsidRPr="001D01B9">
        <w:rPr>
          <w:bCs/>
        </w:rPr>
        <w:t>„W art. 49</w:t>
      </w:r>
      <w:r w:rsidRPr="00C157E4">
        <w:rPr>
          <w:bCs/>
          <w:vertAlign w:val="superscript"/>
        </w:rPr>
        <w:t>1</w:t>
      </w:r>
      <w:r w:rsidRPr="001D01B9">
        <w:rPr>
          <w:bCs/>
        </w:rPr>
        <w:t xml:space="preserve"> u.s.m. wskazano instrument realizacji upraw</w:t>
      </w:r>
      <w:r>
        <w:rPr>
          <w:bCs/>
        </w:rPr>
        <w:t>nień przewidzianych w u.s.m., a </w:t>
      </w:r>
      <w:r w:rsidRPr="001D01B9">
        <w:rPr>
          <w:bCs/>
        </w:rPr>
        <w:t>przy tym znajdujący zastosowanie w różnych sytuacjach. Wobec szerokiego rozumienia użytego w art. 49</w:t>
      </w:r>
      <w:r w:rsidRPr="00727E97">
        <w:rPr>
          <w:bCs/>
          <w:vertAlign w:val="superscript"/>
        </w:rPr>
        <w:t>1</w:t>
      </w:r>
      <w:r w:rsidRPr="001D01B9">
        <w:rPr>
          <w:bCs/>
        </w:rPr>
        <w:t xml:space="preserve"> u.s.m wyrażenia «bezczynność spółdzielni», osoba uprawniona na podstawie przepisów materialnych u.s.m. może wystąpić do sądu z przewidzianym w tym przepisie powództwem wówczas, gdy spółdzielnia określiła przedmiot odrębnej własności wszystkich lokali w danej nieruchomości, ale także wtedy, gdy spółdzielnia jeszcze tego nie uczyniła, a zatem gdy zarząd nie podjął uchwały przewidz</w:t>
      </w:r>
      <w:r>
        <w:rPr>
          <w:bCs/>
        </w:rPr>
        <w:t>ianej w art. 42 ust. 2 u.s.m. W </w:t>
      </w:r>
      <w:r w:rsidRPr="001D01B9">
        <w:rPr>
          <w:bCs/>
        </w:rPr>
        <w:t>pewnym uproszczeniu (…) można te sytuacje określić odpowiednio jako bezczynność spółdzielni na etapie określania przedmiotu odrębnej własności lokali oraz jako bezczynność na etapie ustanawiania i przenoszenia odrębnej własności na podmiot uprawniony.</w:t>
      </w:r>
    </w:p>
    <w:p w:rsidR="00041C82" w:rsidRPr="001D01B9" w:rsidRDefault="00041C82" w:rsidP="001D01B9">
      <w:pPr>
        <w:pStyle w:val="ARTartustawynprozporzdzenia"/>
        <w:rPr>
          <w:bCs/>
        </w:rPr>
      </w:pPr>
      <w:r w:rsidRPr="001D01B9">
        <w:rPr>
          <w:bCs/>
        </w:rPr>
        <w:lastRenderedPageBreak/>
        <w:t>Jeśli nie podjęto uchwały zarządu określającej przedmiot odrębnej własności lokalu, może mieć miejsce sytuacja, w której wszystkie warunki podjęcia takiej uchwały są spełnione, ale także sytuacja, w której istnieje spór co do możliwości określenia odrębnej własności w stosunku do poszczególnych lokali. Tak rzecz ma się w sprawie rozpatrywanej przez Trybunał - spór dotyczy tego, czy dany lokal spełnia przesłanki konieczne, by uczynić go przedmiotem odrębnej własności, choć uprawniony s</w:t>
      </w:r>
      <w:r>
        <w:rPr>
          <w:bCs/>
        </w:rPr>
        <w:t>pełnił wszystkie przewidziane w </w:t>
      </w:r>
      <w:r w:rsidRPr="001D01B9">
        <w:rPr>
          <w:bCs/>
        </w:rPr>
        <w:t>odpowiednich przepisach u.s.m. warunki przekształcenia dotychczas przysługującego mu tytułu prawnego w prawo odrębnej własności lokalu”.</w:t>
      </w:r>
    </w:p>
    <w:p w:rsidR="00041C82" w:rsidRPr="001D01B9" w:rsidRDefault="00041C82" w:rsidP="001D01B9">
      <w:pPr>
        <w:pStyle w:val="ARTartustawynprozporzdzenia"/>
        <w:rPr>
          <w:bCs/>
        </w:rPr>
      </w:pPr>
      <w:r>
        <w:rPr>
          <w:bCs/>
        </w:rPr>
        <w:t>„B</w:t>
      </w:r>
      <w:r w:rsidRPr="001D01B9">
        <w:rPr>
          <w:bCs/>
        </w:rPr>
        <w:t xml:space="preserve">ez uchwały </w:t>
      </w:r>
      <w:r>
        <w:rPr>
          <w:bCs/>
        </w:rPr>
        <w:t>(…)</w:t>
      </w:r>
      <w:r w:rsidRPr="001D01B9">
        <w:rPr>
          <w:bCs/>
        </w:rPr>
        <w:t xml:space="preserve"> bardzo trudno jest podmiotowi uprawnionemu określić przedmiot, co do którego ma być ustanowiona odrębna własność lokalu, gdyż wymaga to d</w:t>
      </w:r>
      <w:r>
        <w:rPr>
          <w:bCs/>
        </w:rPr>
        <w:t xml:space="preserve">okonania szeregu czynności”. „W </w:t>
      </w:r>
      <w:r w:rsidRPr="001D01B9">
        <w:rPr>
          <w:bCs/>
        </w:rPr>
        <w:t>praktyce, w sytuacji, w której nie podjęto uchwały spółdzielni, powód nie ma możliwości określenia treści żądanego oświadczenia lub jest to bardzo utrudnione”. „Nie jest możliwe złożenie wniosku przez czło</w:t>
      </w:r>
      <w:r>
        <w:rPr>
          <w:bCs/>
        </w:rPr>
        <w:t>nka spółdzielni, który nie ma w </w:t>
      </w:r>
      <w:r w:rsidRPr="001D01B9">
        <w:rPr>
          <w:bCs/>
        </w:rPr>
        <w:t xml:space="preserve">dyspozycji wykonanych szeregu czynności, jakie są </w:t>
      </w:r>
      <w:r>
        <w:rPr>
          <w:bCs/>
        </w:rPr>
        <w:t>związane z poinformowaniem go o </w:t>
      </w:r>
      <w:r w:rsidRPr="001D01B9">
        <w:rPr>
          <w:bCs/>
        </w:rPr>
        <w:t>kształcie tzw. uchwały podziałowej. Członek spółdzielni tak naprawdę nie może złożyć wniosku, bo nie wie, czego dotyczy - nie ma określonego stanu zadłużenia, nie ma określonego udziału w nieruchomości wspólnej itd.”.</w:t>
      </w:r>
    </w:p>
    <w:p w:rsidR="00041C82" w:rsidRPr="001D01B9" w:rsidRDefault="00041C82" w:rsidP="001D01B9">
      <w:pPr>
        <w:pStyle w:val="ARTartustawynprozporzdzenia"/>
        <w:rPr>
          <w:bCs/>
        </w:rPr>
      </w:pPr>
      <w:r w:rsidRPr="001D01B9">
        <w:rPr>
          <w:bCs/>
        </w:rPr>
        <w:t>„W niniejszej sprawie mamy do czynienia z sytuacją, w której nie podjęto uchwały zarządu spółdzielni mieszkaniowej, a nadto sporne jest, czy lokal, co do którego uprawniony domaga się przekształcenia przysługującego mu tytułu prawnego, jest lokalem samodzielnym</w:t>
      </w:r>
      <w:r>
        <w:rPr>
          <w:bCs/>
        </w:rPr>
        <w:t>”</w:t>
      </w:r>
      <w:r w:rsidRPr="001D01B9">
        <w:rPr>
          <w:bCs/>
        </w:rPr>
        <w:t>.</w:t>
      </w:r>
    </w:p>
    <w:p w:rsidR="00041C82" w:rsidRPr="001D01B9" w:rsidRDefault="00041C82" w:rsidP="001D01B9">
      <w:pPr>
        <w:pStyle w:val="ARTartustawynprozporzdzenia"/>
        <w:rPr>
          <w:bCs/>
        </w:rPr>
      </w:pPr>
      <w:r w:rsidRPr="001D01B9">
        <w:rPr>
          <w:bCs/>
        </w:rPr>
        <w:t xml:space="preserve">Choć przepisy </w:t>
      </w:r>
      <w:r>
        <w:rPr>
          <w:bCs/>
        </w:rPr>
        <w:t>tego nie wymagają</w:t>
      </w:r>
      <w:r w:rsidRPr="001D01B9">
        <w:rPr>
          <w:bCs/>
        </w:rPr>
        <w:t xml:space="preserve"> </w:t>
      </w:r>
      <w:r>
        <w:rPr>
          <w:bCs/>
        </w:rPr>
        <w:t>„</w:t>
      </w:r>
      <w:r w:rsidRPr="001D01B9">
        <w:rPr>
          <w:bCs/>
        </w:rPr>
        <w:t>realizacja roszczenia o ustanowienie odrębnej własności lokalu z natury rzeczy związana jest z koniecznośc</w:t>
      </w:r>
      <w:r>
        <w:rPr>
          <w:bCs/>
        </w:rPr>
        <w:t>ią doprowadzenia do sytuacji, w </w:t>
      </w:r>
      <w:r w:rsidRPr="001D01B9">
        <w:rPr>
          <w:bCs/>
        </w:rPr>
        <w:t>której lokal może być wyodrębniony. Zgodnie z zamieszczoną w art. 2 ustawy z dnia 24 czerwca 1994 r. o własności lokali [u.w.l.] (…) definicją «samodzielnego lokalu mieszkalnego» jest nim wydzielona trwałymi ścianami w obrębie budynku izba lub zespół izb przeznaczonych na stały pobyt ludzi, które wraz z pomieszczeniami pomocniczymi służą zaspokojeniu ich potrzeb mieszkaniowych, przy czym przepis ten ma odpowiednie zastosowanie także do samodzielnych lokali wykorzystywanych zgodnie z przeznaczeniem na cele inne niż mieszkalne”.</w:t>
      </w:r>
    </w:p>
    <w:p w:rsidR="00041C82" w:rsidRPr="001D01B9" w:rsidRDefault="00041C82" w:rsidP="001D01B9">
      <w:pPr>
        <w:pStyle w:val="ARTartustawynprozporzdzenia"/>
        <w:rPr>
          <w:bCs/>
        </w:rPr>
      </w:pPr>
      <w:r w:rsidRPr="001D01B9">
        <w:rPr>
          <w:bCs/>
        </w:rPr>
        <w:t xml:space="preserve">„Art. 11 ust. 2 u.w.l. stanowi, że jeżeli uczynienie zadość przesłance samodzielności lokali wymaga wykonania robót adaptacyjnych, sąd może w postanowieniu wstępnym, </w:t>
      </w:r>
      <w:r w:rsidRPr="001D01B9">
        <w:rPr>
          <w:bCs/>
        </w:rPr>
        <w:lastRenderedPageBreak/>
        <w:t xml:space="preserve">uznającym żądanie ustanowienia odrębnej własności lokali w zasadzie za usprawiedliwione, upoważnić zainteresowanego uczestnika postępowania do ich wykonania - tymczasowo na jego koszt. W razie przeszkód stawianych przez innych uczestników, sąd </w:t>
      </w:r>
      <w:r>
        <w:rPr>
          <w:bCs/>
        </w:rPr>
        <w:t>(…)</w:t>
      </w:r>
      <w:r w:rsidRPr="001D01B9">
        <w:rPr>
          <w:bCs/>
        </w:rPr>
        <w:t xml:space="preserve"> może wydać stosowane zakazy lub nakazy. Środek tego rodzaju mógł być zastosowany przez sąd rozpoznający sprawę «przekształceniową» w trybie art. 49 ust. 2 u.s.m. na wniosek uprawnionego, któremu przysługuje prawo żądania przeniesienia na niego własności lokalu należącego wcześniej do spółdzielni mieszkaniowej. Natomiast (…) sąd nie może tego uczynić w procesie, nie dysponuje bowiem takim środkiem procesowym, który umożliwiłby realizację roszczeń przewidzianych w przepisach materialnych. Rozstrzygnięcie tej kwestii ma podstawowe znaczenie dla oceny zasadności zarzutu naruszenia art. 45 ust. 1 Konstytucji”.</w:t>
      </w:r>
    </w:p>
    <w:p w:rsidR="00041C82" w:rsidRPr="001D01B9" w:rsidRDefault="00041C82" w:rsidP="001D01B9">
      <w:pPr>
        <w:pStyle w:val="ARTartustawynprozporzdzenia"/>
        <w:rPr>
          <w:bCs/>
        </w:rPr>
      </w:pPr>
      <w:r w:rsidRPr="001D01B9">
        <w:rPr>
          <w:bCs/>
        </w:rPr>
        <w:t xml:space="preserve">„Przekształcenie dotychczas przysługującego uprawnionemu tytułu prawnego do lokalu w spółdzielni mieszkaniowej w prawo odrębnej własności jest instytucją swoistą, konstrukcyjnie inną niż zniesienie współwłasności. Przyjęta w u.s.m. metoda przekształceń (…) polega na nałożeniu na spółdzielnie mieszkaniowe obowiązku przeprowadzenia czynności przygotowawczych koniecznych do określenia przedmiotu odrębnej własności wszystkich lokali w danej nieruchomości, a następnie na </w:t>
      </w:r>
      <w:r>
        <w:rPr>
          <w:bCs/>
        </w:rPr>
        <w:t>(…</w:t>
      </w:r>
      <w:r w:rsidRPr="001D01B9">
        <w:rPr>
          <w:bCs/>
        </w:rPr>
        <w:t>) ustanowieniu i przeniesieniu odrębnej własności poszczególnych lokali”.</w:t>
      </w:r>
    </w:p>
    <w:p w:rsidR="00041C82" w:rsidRPr="001D01B9" w:rsidRDefault="00041C82" w:rsidP="001D01B9">
      <w:pPr>
        <w:pStyle w:val="ARTartustawynprozporzdzenia"/>
        <w:rPr>
          <w:bCs/>
        </w:rPr>
      </w:pPr>
      <w:r w:rsidRPr="001D01B9">
        <w:rPr>
          <w:bCs/>
        </w:rPr>
        <w:t>„Ustawodawca przewidział, że jeśli spółdzielnia nie dopełnia swych obowiązków, przez co uniemożliwia dokonanie przekształcenia, czyli uzyskania przez uprawnionego odrębnej własności, to może on wystąpić do sądu z żądaniem ustanowienia i przeniesienia na niego prawa własności lokalu. Nie wprowadził jednak odrębnego trybu dochodzenia roszczeń tego rodzaju; do nowo wykreowanych roszczeń zastosowanie mia</w:t>
      </w:r>
      <w:r>
        <w:rPr>
          <w:bCs/>
        </w:rPr>
        <w:t>ły mieć istniejące procedury. I </w:t>
      </w:r>
      <w:r w:rsidRPr="001D01B9">
        <w:rPr>
          <w:bCs/>
        </w:rPr>
        <w:t>tak ustawodawca przewidział najpierw, że postępowanie toczyć się ma według pr</w:t>
      </w:r>
      <w:r>
        <w:rPr>
          <w:bCs/>
        </w:rPr>
        <w:t>zepisów o </w:t>
      </w:r>
      <w:r w:rsidRPr="001D01B9">
        <w:rPr>
          <w:bCs/>
        </w:rPr>
        <w:t>zniesieniu współwłasności (art. 49 ust. 2 u.s.m.), czyli w trybie nieprocesowym, następnie - że na podstawie art. 64 k.c. w związku z art. 1047 § 1 k.p.c., czyli w trybie procesowym”.</w:t>
      </w:r>
    </w:p>
    <w:p w:rsidR="00041C82" w:rsidRDefault="00041C82" w:rsidP="001D01B9">
      <w:pPr>
        <w:pStyle w:val="ARTartustawynprozporzdzenia"/>
        <w:rPr>
          <w:bCs/>
        </w:rPr>
      </w:pPr>
      <w:r w:rsidRPr="001D01B9">
        <w:rPr>
          <w:bCs/>
        </w:rPr>
        <w:t xml:space="preserve">„Trybunał rozstrzygał przy tym nie o tym, że postępowanie procesowe jest nieodpowiednie, z konstytucyjnego punktu widzenia, do dochodzenia roszczeń tego rodzaju, ale jedynie o tym, że w postępowaniu prowadzonym w tym trybie brak instrumentów, które zapewniałyby ochronę uprawnionego w pewnych określonych sytuacjach. Doprowadziło to (…) do wniosku, że skoro ustawodawca zdecydował, iż w przypadku bezczynności spółdzielni podmiot uprawniony do żądania ustanowienia (i przeniesienia) odrębnej </w:t>
      </w:r>
      <w:r w:rsidRPr="001D01B9">
        <w:rPr>
          <w:bCs/>
        </w:rPr>
        <w:lastRenderedPageBreak/>
        <w:t>własności lokalu może dochodzić swych uprawnień w procesie, to powinien to uczynić w taki sposób, aby dostępne w ramach procesu instrumenty zapewniały efektywną ochronę wszystkim uprawnionym. Powinien więc dostrzec i uwzględnić różnorodne sytuacje, jakie mogą wystąpić w (…) mechanizmie przekształcania sp</w:t>
      </w:r>
      <w:r>
        <w:rPr>
          <w:bCs/>
        </w:rPr>
        <w:t>ółdzielczych tytułów prawnych w </w:t>
      </w:r>
      <w:r w:rsidRPr="001D01B9">
        <w:rPr>
          <w:bCs/>
        </w:rPr>
        <w:t xml:space="preserve">odrębną własność lokalu. W przypadku, w którym organ wykonawczy spółdzielni nie podjął uchwały określającej przedmiot odrębnej własności </w:t>
      </w:r>
      <w:r>
        <w:rPr>
          <w:bCs/>
        </w:rPr>
        <w:t>lokali w danej nieruchomości, w </w:t>
      </w:r>
      <w:r w:rsidRPr="001D01B9">
        <w:rPr>
          <w:bCs/>
        </w:rPr>
        <w:t>szczególności jeśli sporne jest to, czy dany lokal spełnia warunek samodzielności, środki prawne dostępne w postępowaniu procesowym mogą okazać się nieefektywne ze względu na co najmniej kilka okoliczności, w tym (…) konieczność uwzględnienia interesów prawnych wielu różnych podmiotów oraz stopień oddziaływania w procesie zasady dyspozycyjnoś</w:t>
      </w:r>
      <w:r>
        <w:rPr>
          <w:bCs/>
        </w:rPr>
        <w:t>ci i </w:t>
      </w:r>
      <w:r w:rsidRPr="001D01B9">
        <w:rPr>
          <w:bCs/>
        </w:rPr>
        <w:t>koncentracji materiału dowodowego”.</w:t>
      </w:r>
    </w:p>
    <w:p w:rsidR="00041C82" w:rsidRPr="00D61701" w:rsidRDefault="00041C82" w:rsidP="00D61701">
      <w:pPr>
        <w:pStyle w:val="ARTartustawynprozporzdzenia"/>
        <w:rPr>
          <w:bCs/>
        </w:rPr>
      </w:pPr>
      <w:r>
        <w:rPr>
          <w:bCs/>
        </w:rPr>
        <w:t xml:space="preserve">2.4. </w:t>
      </w:r>
      <w:r w:rsidRPr="00D61701">
        <w:rPr>
          <w:bCs/>
        </w:rPr>
        <w:t>„Zgodnie z orzeczeniem Trybunału sądy rozstrzygaj</w:t>
      </w:r>
      <w:r>
        <w:rPr>
          <w:bCs/>
        </w:rPr>
        <w:t>ące sprawy takie, jakie legły u </w:t>
      </w:r>
      <w:r w:rsidRPr="00D61701">
        <w:rPr>
          <w:bCs/>
        </w:rPr>
        <w:t>podstaw pytania prawnego, powinny stosować art. 49 ust. 2 u.s.m. Ustawodawca nie uchylił tego przepisu, a z całą pewnością ustanowienie art. 49</w:t>
      </w:r>
      <w:r w:rsidRPr="00205CD6">
        <w:rPr>
          <w:bCs/>
          <w:vertAlign w:val="superscript"/>
        </w:rPr>
        <w:t>1</w:t>
      </w:r>
      <w:r w:rsidRPr="00D61701">
        <w:rPr>
          <w:bCs/>
        </w:rPr>
        <w:t xml:space="preserve"> u.s.m. nie spowodowało eliminacji art. 49 ust. 2 u.s.m. z tekstu prawnego, a jedynie (…) skutkowało wyłączeniem działania tego ostatniego w oparciu o regułę </w:t>
      </w:r>
      <w:r w:rsidRPr="00205CD6">
        <w:rPr>
          <w:bCs/>
          <w:i/>
        </w:rPr>
        <w:t>lex posteriori derogat legi priori</w:t>
      </w:r>
      <w:r w:rsidRPr="00D61701">
        <w:rPr>
          <w:bCs/>
        </w:rPr>
        <w:t>, będącą regułą rozstrzygania zbiegów pozornych zachodzących między regulacjami wydanymi w różnym czasie, lecz normującymi identyczne stany faktyczne”. „Od momentu ogłoszenia niniejszego orzeczenia w Dzienniku Ustaw, art. 49</w:t>
      </w:r>
      <w:r w:rsidRPr="00205CD6">
        <w:rPr>
          <w:bCs/>
          <w:vertAlign w:val="superscript"/>
        </w:rPr>
        <w:t>1</w:t>
      </w:r>
      <w:r w:rsidRPr="00D61701">
        <w:rPr>
          <w:bCs/>
        </w:rPr>
        <w:t xml:space="preserve"> u.s.m. przestanie je zat</w:t>
      </w:r>
      <w:r>
        <w:rPr>
          <w:bCs/>
        </w:rPr>
        <w:t>em regulować. W konsekwencji, w </w:t>
      </w:r>
      <w:r w:rsidRPr="00D61701">
        <w:rPr>
          <w:bCs/>
        </w:rPr>
        <w:t>odniesieniu do wskazanych sytuacji zachodzić będzie konieczność stosowania art. 49 ust. 2 u.s.m.”.</w:t>
      </w:r>
    </w:p>
    <w:p w:rsidR="00041C82" w:rsidRPr="00D61701" w:rsidRDefault="00041C82" w:rsidP="00D61701">
      <w:pPr>
        <w:pStyle w:val="ARTartustawynprozporzdzenia"/>
        <w:rPr>
          <w:bCs/>
        </w:rPr>
      </w:pPr>
      <w:r w:rsidRPr="00D61701">
        <w:rPr>
          <w:bCs/>
        </w:rPr>
        <w:t>TK „dostrzegł, że nie jest wykluczone, iż także w i</w:t>
      </w:r>
      <w:r>
        <w:rPr>
          <w:bCs/>
        </w:rPr>
        <w:t>nnych sytuacjach niż wskazane w </w:t>
      </w:r>
      <w:r w:rsidRPr="00D61701">
        <w:rPr>
          <w:bCs/>
        </w:rPr>
        <w:t>sentencji wyroku, gdy spółdzielnia mieszkaniowa nie dokonuje czynności, o których mowa w art. 41 i art. 42 u.s.m., ochrona sądowa przewidziana w art. 49</w:t>
      </w:r>
      <w:r w:rsidRPr="00205CD6">
        <w:rPr>
          <w:bCs/>
          <w:vertAlign w:val="superscript"/>
        </w:rPr>
        <w:t>1</w:t>
      </w:r>
      <w:r w:rsidRPr="00D61701">
        <w:rPr>
          <w:bCs/>
        </w:rPr>
        <w:t xml:space="preserve"> u.s.m. może okazać się nieefektywna.</w:t>
      </w:r>
    </w:p>
    <w:p w:rsidR="00041C82" w:rsidRPr="00D61701" w:rsidRDefault="00041C82" w:rsidP="00D61701">
      <w:pPr>
        <w:pStyle w:val="ARTartustawynprozporzdzenia"/>
        <w:rPr>
          <w:bCs/>
        </w:rPr>
      </w:pPr>
      <w:r>
        <w:rPr>
          <w:bCs/>
        </w:rPr>
        <w:t>Zdaniem TK,</w:t>
      </w:r>
      <w:r w:rsidRPr="00D61701">
        <w:rPr>
          <w:bCs/>
        </w:rPr>
        <w:t xml:space="preserve"> </w:t>
      </w:r>
      <w:r>
        <w:rPr>
          <w:bCs/>
        </w:rPr>
        <w:t>„</w:t>
      </w:r>
      <w:r w:rsidRPr="00D61701">
        <w:rPr>
          <w:bCs/>
        </w:rPr>
        <w:t xml:space="preserve">wyrok nie wyklucza </w:t>
      </w:r>
      <w:r>
        <w:rPr>
          <w:bCs/>
        </w:rPr>
        <w:t>(…)</w:t>
      </w:r>
      <w:r w:rsidRPr="00D61701">
        <w:rPr>
          <w:bCs/>
        </w:rPr>
        <w:t xml:space="preserve"> interwencji ustawodawcy, który (…) może uregulować kwestie sądowej ochrony upra</w:t>
      </w:r>
      <w:r>
        <w:rPr>
          <w:bCs/>
        </w:rPr>
        <w:t xml:space="preserve">wnień przewidzianych w u.s.m. w </w:t>
      </w:r>
      <w:r w:rsidRPr="00D61701">
        <w:rPr>
          <w:bCs/>
        </w:rPr>
        <w:t>sposób wyczerpujący, spójny i uwzględniający swoistość tych przekształceń”.</w:t>
      </w:r>
    </w:p>
    <w:p w:rsidR="00041C82" w:rsidRPr="001F07F6" w:rsidRDefault="00041C82" w:rsidP="00D61701">
      <w:pPr>
        <w:pStyle w:val="ARTartustawynprozporzdzenia"/>
        <w:rPr>
          <w:bCs/>
        </w:rPr>
      </w:pPr>
      <w:r w:rsidRPr="00D61701">
        <w:rPr>
          <w:bCs/>
        </w:rPr>
        <w:t>„Wyrok Trybunału dotyczy przepisu określającego t</w:t>
      </w:r>
      <w:r>
        <w:rPr>
          <w:bCs/>
        </w:rPr>
        <w:t>ryb (procedurę) rozstrzygania o </w:t>
      </w:r>
      <w:r w:rsidRPr="00D61701">
        <w:rPr>
          <w:bCs/>
        </w:rPr>
        <w:t>uprawnieniach (roszczeniach) ukształtowanych przez materialne przepisy u.s.m. Dlatego od dnia jego wejścia w życie, sprawy tego rodzaju - zarówno toczące się jak i te, które zawisną w sądach - podlegają regulacji ukształtowanej wyrokiem Trybunału”.</w:t>
      </w:r>
    </w:p>
    <w:p w:rsidR="00041C82" w:rsidRPr="001330AF" w:rsidRDefault="00041C82" w:rsidP="0018591E">
      <w:pPr>
        <w:pStyle w:val="Tekstpodstawowy"/>
        <w:keepNext/>
        <w:spacing w:before="360"/>
        <w:rPr>
          <w:b/>
          <w:szCs w:val="24"/>
        </w:rPr>
      </w:pPr>
      <w:r w:rsidRPr="001330AF">
        <w:rPr>
          <w:b/>
          <w:szCs w:val="24"/>
        </w:rPr>
        <w:lastRenderedPageBreak/>
        <w:t>3. Różnice między dotychczasowym a projektowanym stanem prawnym</w:t>
      </w:r>
    </w:p>
    <w:p w:rsidR="00041C82" w:rsidRDefault="00041C82" w:rsidP="00D81ACC">
      <w:pPr>
        <w:pStyle w:val="ARTartustawynprozporzdzenia"/>
      </w:pPr>
      <w:r>
        <w:t>Ustawa precyzuje zakresy przypadków, w których postępowanie przekształceniowe przed sądem będzie się toczyło w trybie procesowym (j</w:t>
      </w:r>
      <w:r w:rsidRPr="002B564E">
        <w:t>eżeli spółdzielnia uchyla się jedynie od złożenia oświadczenia woli</w:t>
      </w:r>
      <w:r>
        <w:t>)</w:t>
      </w:r>
      <w:r w:rsidRPr="002B564E">
        <w:t xml:space="preserve"> </w:t>
      </w:r>
      <w:r>
        <w:t>oraz przypadków, w których postępowanie będzie się toczyło w trybie nieprocesowym (pozostałe sytuacje).</w:t>
      </w:r>
    </w:p>
    <w:p w:rsidR="00041C82" w:rsidRDefault="00041C82" w:rsidP="00D81ACC">
      <w:pPr>
        <w:pStyle w:val="ARTartustawynprozporzdzenia"/>
      </w:pPr>
      <w:r>
        <w:t>W zmianie przepisu art. 49 ust. 1 chodzi także o to by z regulacji mogły skorzystać również inne niż spółdzielcy osoby uprawnione do żądania ustanowienia odrębnej własności lokalu.</w:t>
      </w:r>
    </w:p>
    <w:p w:rsidR="00041C82" w:rsidRDefault="00041C82" w:rsidP="00D81ACC">
      <w:pPr>
        <w:pStyle w:val="ARTartustawynprozporzdzenia"/>
      </w:pPr>
      <w:r>
        <w:t>Ustawa nie zmieni jednak sytuacji tych osób, które ubiegają się o ustanowienie odrębnej własności lokalu w tych przypadkach, w których stwierdzenie samodzielności lokalu -niezbędne do ustanowienia odrębnej jego własności - z powodu jego cech nie jest możliwe.</w:t>
      </w:r>
    </w:p>
    <w:p w:rsidR="00041C82" w:rsidRDefault="00041C82" w:rsidP="00C57DE4">
      <w:pPr>
        <w:pStyle w:val="Tekstpodstawowy"/>
        <w:keepNext/>
        <w:spacing w:before="360"/>
        <w:rPr>
          <w:b/>
          <w:szCs w:val="24"/>
        </w:rPr>
      </w:pPr>
      <w:r>
        <w:rPr>
          <w:b/>
          <w:szCs w:val="24"/>
        </w:rPr>
        <w:t>4. Konsultacje</w:t>
      </w:r>
    </w:p>
    <w:p w:rsidR="00041C82" w:rsidRDefault="00041C82" w:rsidP="00C57DE4">
      <w:pPr>
        <w:pStyle w:val="ARTartustawynprozporzdzenia"/>
      </w:pPr>
      <w:r>
        <w:t>Nadesłane w ramach konsultacji opinie i uwagi są zamieszczone na senackiej stronie internetowej. Wyniki konsultacji przedstawiono w Ocenie Skutków Regulacji.</w:t>
      </w:r>
    </w:p>
    <w:p w:rsidR="00041C82" w:rsidRPr="001330AF" w:rsidRDefault="00041C82" w:rsidP="00C62C0C">
      <w:pPr>
        <w:pStyle w:val="akapit"/>
        <w:keepNext/>
        <w:spacing w:before="240"/>
        <w:ind w:firstLine="0"/>
        <w:rPr>
          <w:b/>
          <w:szCs w:val="24"/>
        </w:rPr>
      </w:pPr>
      <w:r>
        <w:rPr>
          <w:b/>
          <w:szCs w:val="24"/>
        </w:rPr>
        <w:t>5</w:t>
      </w:r>
      <w:r w:rsidRPr="001330AF">
        <w:rPr>
          <w:b/>
          <w:szCs w:val="24"/>
        </w:rPr>
        <w:t>. Oświadczenie o zgodności z prawem Unii Europejskiej</w:t>
      </w:r>
    </w:p>
    <w:p w:rsidR="00041C82" w:rsidRPr="001330AF" w:rsidRDefault="00041C82" w:rsidP="00A254B4">
      <w:pPr>
        <w:pStyle w:val="NIEARTTEKSTtekstnieartykuowanynppreambua"/>
      </w:pPr>
      <w:r w:rsidRPr="001330AF">
        <w:t xml:space="preserve">Projektowana ustawa </w:t>
      </w:r>
      <w:r>
        <w:t>nie jest objęta</w:t>
      </w:r>
      <w:r w:rsidRPr="001330AF">
        <w:t xml:space="preserve"> prawem Unii Europejskiej.</w:t>
      </w:r>
    </w:p>
    <w:p w:rsidR="00F13119" w:rsidRDefault="00F13119" w:rsidP="0011257D">
      <w:pPr>
        <w:pStyle w:val="Tekstpodstawowy"/>
        <w:tabs>
          <w:tab w:val="center" w:pos="6237"/>
        </w:tabs>
        <w:spacing w:line="240" w:lineRule="auto"/>
        <w:ind w:right="-2"/>
        <w:rPr>
          <w:b/>
        </w:rPr>
        <w:sectPr w:rsidR="00F13119" w:rsidSect="00371E76">
          <w:headerReference w:type="default" r:id="rId7"/>
          <w:headerReference w:type="first" r:id="rId8"/>
          <w:footerReference w:type="first" r:id="rId9"/>
          <w:pgSz w:w="11906" w:h="16838"/>
          <w:pgMar w:top="846" w:right="1435" w:bottom="1276" w:left="1418" w:header="709" w:footer="978" w:gutter="0"/>
          <w:pgNumType w:start="1"/>
          <w:cols w:space="708"/>
          <w:titlePg/>
          <w:docGrid w:linePitch="254"/>
        </w:sectPr>
      </w:pPr>
      <w:bookmarkStart w:id="0" w:name="_GoBack"/>
      <w:bookmarkEnd w:id="0"/>
    </w:p>
    <w:p w:rsidR="00041C82" w:rsidRDefault="00041C82" w:rsidP="0011257D">
      <w:pPr>
        <w:pStyle w:val="Tekstpodstawowy"/>
        <w:tabs>
          <w:tab w:val="center" w:pos="6237"/>
        </w:tabs>
        <w:spacing w:line="240" w:lineRule="auto"/>
        <w:ind w:right="-2"/>
        <w:rPr>
          <w:b/>
        </w:rPr>
      </w:pPr>
    </w:p>
    <w:sectPr w:rsidR="00041C82" w:rsidSect="00BC46F0">
      <w:headerReference w:type="default" r:id="rId10"/>
      <w:pgSz w:w="11906" w:h="16838"/>
      <w:pgMar w:top="97" w:right="707" w:bottom="568" w:left="720" w:header="135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FBA" w:rsidRDefault="002D1FBA">
      <w:r>
        <w:separator/>
      </w:r>
    </w:p>
  </w:endnote>
  <w:endnote w:type="continuationSeparator" w:id="0">
    <w:p w:rsidR="002D1FBA" w:rsidRDefault="002D1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DDF" w:rsidRDefault="00315DD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FBA" w:rsidRDefault="002D1FBA">
      <w:r>
        <w:separator/>
      </w:r>
    </w:p>
  </w:footnote>
  <w:footnote w:type="continuationSeparator" w:id="0">
    <w:p w:rsidR="002D1FBA" w:rsidRDefault="002D1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7B3" w:rsidRDefault="008867B3" w:rsidP="00B371CC">
    <w:pPr>
      <w:pStyle w:val="Nagwek"/>
      <w:jc w:val="center"/>
    </w:pPr>
  </w:p>
  <w:p w:rsidR="00727E59" w:rsidRDefault="00BC46F0" w:rsidP="00B371CC">
    <w:pPr>
      <w:pStyle w:val="Nagwek"/>
      <w:jc w:val="center"/>
    </w:pPr>
    <w:r>
      <w:t xml:space="preserve">- </w:t>
    </w:r>
    <w:r>
      <w:fldChar w:fldCharType="begin"/>
    </w:r>
    <w:r>
      <w:instrText xml:space="preserve"> PAGE  \* MERGEFORMAT </w:instrText>
    </w:r>
    <w:r>
      <w:fldChar w:fldCharType="separate"/>
    </w:r>
    <w:r w:rsidR="00EC0AB1">
      <w:rPr>
        <w:noProof/>
      </w:rPr>
      <w:t>2</w:t>
    </w:r>
    <w:r>
      <w:rPr>
        <w:noProof/>
      </w:rPr>
      <w:fldChar w:fldCharType="end"/>
    </w:r>
    <w:r>
      <w:t xml:space="preserve"> </w:t>
    </w:r>
    <w:r w:rsidR="00041C82">
      <w:t>–</w:t>
    </w:r>
  </w:p>
  <w:p w:rsidR="00041C82" w:rsidRPr="00B371CC" w:rsidRDefault="00041C82" w:rsidP="00B371CC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DDF" w:rsidRDefault="00315DDF">
    <w:pPr>
      <w:pStyle w:val="Nagwek"/>
    </w:pPr>
  </w:p>
  <w:p w:rsidR="008867B3" w:rsidRDefault="008867B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119" w:rsidRPr="00BC46F0" w:rsidRDefault="00F13119" w:rsidP="00F13119">
    <w:pPr>
      <w:pStyle w:val="Nagwek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24019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3A5A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C4BF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A059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12A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215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ECF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9E5E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BE2F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ACB4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9F1D45"/>
    <w:multiLevelType w:val="hybridMultilevel"/>
    <w:tmpl w:val="4A18F0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B022162"/>
    <w:multiLevelType w:val="hybridMultilevel"/>
    <w:tmpl w:val="8D7C4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174E0"/>
    <w:multiLevelType w:val="hybridMultilevel"/>
    <w:tmpl w:val="DA4C4A94"/>
    <w:lvl w:ilvl="0" w:tplc="04150011">
      <w:start w:val="1"/>
      <w:numFmt w:val="decimal"/>
      <w:lvlText w:val="%1)"/>
      <w:lvlJc w:val="left"/>
      <w:pPr>
        <w:ind w:left="896" w:hanging="360"/>
      </w:pPr>
    </w:lvl>
    <w:lvl w:ilvl="1" w:tplc="04150019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6"/>
  </w:num>
  <w:num w:numId="29">
    <w:abstractNumId w:val="40"/>
  </w:num>
  <w:num w:numId="30">
    <w:abstractNumId w:val="36"/>
  </w:num>
  <w:num w:numId="31">
    <w:abstractNumId w:val="19"/>
  </w:num>
  <w:num w:numId="32">
    <w:abstractNumId w:val="11"/>
  </w:num>
  <w:num w:numId="33">
    <w:abstractNumId w:val="32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5"/>
  </w:num>
  <w:num w:numId="39">
    <w:abstractNumId w:val="13"/>
  </w:num>
  <w:num w:numId="40">
    <w:abstractNumId w:val="31"/>
  </w:num>
  <w:num w:numId="41">
    <w:abstractNumId w:val="30"/>
  </w:num>
  <w:num w:numId="42">
    <w:abstractNumId w:val="21"/>
  </w:num>
  <w:num w:numId="43">
    <w:abstractNumId w:val="38"/>
  </w:num>
  <w:num w:numId="44">
    <w:abstractNumId w:val="12"/>
  </w:num>
  <w:num w:numId="45">
    <w:abstractNumId w:val="24"/>
  </w:num>
  <w:num w:numId="46">
    <w:abstractNumId w:val="33"/>
  </w:num>
  <w:num w:numId="47">
    <w:abstractNumId w:val="34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4F1"/>
    <w:rsid w:val="000012DA"/>
    <w:rsid w:val="00012A35"/>
    <w:rsid w:val="00016099"/>
    <w:rsid w:val="00023471"/>
    <w:rsid w:val="00023F13"/>
    <w:rsid w:val="0002619B"/>
    <w:rsid w:val="00030634"/>
    <w:rsid w:val="00037E1A"/>
    <w:rsid w:val="00041C82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F3D0D"/>
    <w:rsid w:val="000F6ED4"/>
    <w:rsid w:val="000F7A6E"/>
    <w:rsid w:val="001042BA"/>
    <w:rsid w:val="00106D03"/>
    <w:rsid w:val="00110465"/>
    <w:rsid w:val="00110628"/>
    <w:rsid w:val="0011245A"/>
    <w:rsid w:val="0011257D"/>
    <w:rsid w:val="0011493E"/>
    <w:rsid w:val="00115B72"/>
    <w:rsid w:val="00120A9E"/>
    <w:rsid w:val="00134CA0"/>
    <w:rsid w:val="0014026F"/>
    <w:rsid w:val="0015742A"/>
    <w:rsid w:val="00164C57"/>
    <w:rsid w:val="00164C9D"/>
    <w:rsid w:val="00173150"/>
    <w:rsid w:val="00173BB3"/>
    <w:rsid w:val="001740D0"/>
    <w:rsid w:val="00174F2C"/>
    <w:rsid w:val="00186EC1"/>
    <w:rsid w:val="00191E1F"/>
    <w:rsid w:val="00197649"/>
    <w:rsid w:val="001A10E9"/>
    <w:rsid w:val="001A183D"/>
    <w:rsid w:val="001A3CD3"/>
    <w:rsid w:val="001A5BEF"/>
    <w:rsid w:val="001A7F15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21ED8"/>
    <w:rsid w:val="00223FDF"/>
    <w:rsid w:val="002279C0"/>
    <w:rsid w:val="002501A3"/>
    <w:rsid w:val="0025166C"/>
    <w:rsid w:val="00260E8C"/>
    <w:rsid w:val="00264EC6"/>
    <w:rsid w:val="00271013"/>
    <w:rsid w:val="002765B4"/>
    <w:rsid w:val="00276A94"/>
    <w:rsid w:val="0029405D"/>
    <w:rsid w:val="00295A6F"/>
    <w:rsid w:val="002A20C4"/>
    <w:rsid w:val="002A7358"/>
    <w:rsid w:val="002A7902"/>
    <w:rsid w:val="002B0F6B"/>
    <w:rsid w:val="002B23B8"/>
    <w:rsid w:val="002B68A6"/>
    <w:rsid w:val="002D1FBA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15DDF"/>
    <w:rsid w:val="00321080"/>
    <w:rsid w:val="00325A1F"/>
    <w:rsid w:val="00334E3A"/>
    <w:rsid w:val="003361DD"/>
    <w:rsid w:val="00360929"/>
    <w:rsid w:val="003674B0"/>
    <w:rsid w:val="00371E76"/>
    <w:rsid w:val="0037727C"/>
    <w:rsid w:val="00380904"/>
    <w:rsid w:val="003823EE"/>
    <w:rsid w:val="00382960"/>
    <w:rsid w:val="003846F7"/>
    <w:rsid w:val="00386785"/>
    <w:rsid w:val="00391B1A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21085"/>
    <w:rsid w:val="00424DF7"/>
    <w:rsid w:val="00432B76"/>
    <w:rsid w:val="00435D26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2529"/>
    <w:rsid w:val="004834F1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C05BD"/>
    <w:rsid w:val="004C3F97"/>
    <w:rsid w:val="004D2E1F"/>
    <w:rsid w:val="004D7FD9"/>
    <w:rsid w:val="004E37E5"/>
    <w:rsid w:val="004F296D"/>
    <w:rsid w:val="004F508B"/>
    <w:rsid w:val="004F695F"/>
    <w:rsid w:val="00500752"/>
    <w:rsid w:val="0050696D"/>
    <w:rsid w:val="00511D99"/>
    <w:rsid w:val="005128D3"/>
    <w:rsid w:val="005158F2"/>
    <w:rsid w:val="00526DFC"/>
    <w:rsid w:val="00527651"/>
    <w:rsid w:val="005363AB"/>
    <w:rsid w:val="00545E53"/>
    <w:rsid w:val="005479D9"/>
    <w:rsid w:val="005572BD"/>
    <w:rsid w:val="00557A12"/>
    <w:rsid w:val="00560AC7"/>
    <w:rsid w:val="00561AFB"/>
    <w:rsid w:val="005635ED"/>
    <w:rsid w:val="00570570"/>
    <w:rsid w:val="00572512"/>
    <w:rsid w:val="00573EE6"/>
    <w:rsid w:val="0057547F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80058"/>
    <w:rsid w:val="00681B8C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11221"/>
    <w:rsid w:val="00712675"/>
    <w:rsid w:val="00713808"/>
    <w:rsid w:val="007151B6"/>
    <w:rsid w:val="0071520D"/>
    <w:rsid w:val="00715EDB"/>
    <w:rsid w:val="007160D5"/>
    <w:rsid w:val="00717C2E"/>
    <w:rsid w:val="0072457F"/>
    <w:rsid w:val="0072621B"/>
    <w:rsid w:val="00730555"/>
    <w:rsid w:val="007312CC"/>
    <w:rsid w:val="007410B6"/>
    <w:rsid w:val="00743245"/>
    <w:rsid w:val="00744C6F"/>
    <w:rsid w:val="00746E38"/>
    <w:rsid w:val="00753B51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6DCE"/>
    <w:rsid w:val="007E2CFE"/>
    <w:rsid w:val="007F0072"/>
    <w:rsid w:val="007F2EB6"/>
    <w:rsid w:val="007F54C3"/>
    <w:rsid w:val="00812BE5"/>
    <w:rsid w:val="00817429"/>
    <w:rsid w:val="00827820"/>
    <w:rsid w:val="00831B8B"/>
    <w:rsid w:val="008352D4"/>
    <w:rsid w:val="008415B0"/>
    <w:rsid w:val="008460B6"/>
    <w:rsid w:val="00852B59"/>
    <w:rsid w:val="00853780"/>
    <w:rsid w:val="008611DD"/>
    <w:rsid w:val="00866867"/>
    <w:rsid w:val="00872257"/>
    <w:rsid w:val="0087738C"/>
    <w:rsid w:val="008802AF"/>
    <w:rsid w:val="0088318F"/>
    <w:rsid w:val="0088331D"/>
    <w:rsid w:val="008852B0"/>
    <w:rsid w:val="008852C4"/>
    <w:rsid w:val="008867B3"/>
    <w:rsid w:val="00886B60"/>
    <w:rsid w:val="008920FF"/>
    <w:rsid w:val="00896A10"/>
    <w:rsid w:val="008A5D26"/>
    <w:rsid w:val="008A6B13"/>
    <w:rsid w:val="008B3859"/>
    <w:rsid w:val="008B4E49"/>
    <w:rsid w:val="008B7B26"/>
    <w:rsid w:val="008C4229"/>
    <w:rsid w:val="008C5BE0"/>
    <w:rsid w:val="008C7233"/>
    <w:rsid w:val="008E171D"/>
    <w:rsid w:val="008E2785"/>
    <w:rsid w:val="008F0654"/>
    <w:rsid w:val="008F06CB"/>
    <w:rsid w:val="008F612A"/>
    <w:rsid w:val="0090293D"/>
    <w:rsid w:val="009034DE"/>
    <w:rsid w:val="0090605D"/>
    <w:rsid w:val="00913A42"/>
    <w:rsid w:val="009143DB"/>
    <w:rsid w:val="00917CE5"/>
    <w:rsid w:val="00925CEC"/>
    <w:rsid w:val="0092794E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6EF7"/>
    <w:rsid w:val="009B7000"/>
    <w:rsid w:val="009B739C"/>
    <w:rsid w:val="009C7CA6"/>
    <w:rsid w:val="009D3316"/>
    <w:rsid w:val="009D4E85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4B"/>
    <w:rsid w:val="00A66A78"/>
    <w:rsid w:val="00A7436E"/>
    <w:rsid w:val="00A75A8E"/>
    <w:rsid w:val="00A83676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2BF2"/>
    <w:rsid w:val="00AD4E90"/>
    <w:rsid w:val="00AD5422"/>
    <w:rsid w:val="00AE650F"/>
    <w:rsid w:val="00AE7D16"/>
    <w:rsid w:val="00AF571A"/>
    <w:rsid w:val="00B07700"/>
    <w:rsid w:val="00B1528C"/>
    <w:rsid w:val="00B1776A"/>
    <w:rsid w:val="00B21487"/>
    <w:rsid w:val="00B24DB5"/>
    <w:rsid w:val="00B31F9E"/>
    <w:rsid w:val="00B3268F"/>
    <w:rsid w:val="00B33A1A"/>
    <w:rsid w:val="00B371CC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4338"/>
    <w:rsid w:val="00BB6C0E"/>
    <w:rsid w:val="00BC46F0"/>
    <w:rsid w:val="00BC52FD"/>
    <w:rsid w:val="00BC6E62"/>
    <w:rsid w:val="00BD0648"/>
    <w:rsid w:val="00BD1040"/>
    <w:rsid w:val="00BD34AA"/>
    <w:rsid w:val="00BE41EC"/>
    <w:rsid w:val="00BE56FB"/>
    <w:rsid w:val="00BE7F18"/>
    <w:rsid w:val="00BF6589"/>
    <w:rsid w:val="00C00647"/>
    <w:rsid w:val="00C02764"/>
    <w:rsid w:val="00C04CEF"/>
    <w:rsid w:val="00C12E96"/>
    <w:rsid w:val="00C236C8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2223"/>
    <w:rsid w:val="00C76417"/>
    <w:rsid w:val="00C7726F"/>
    <w:rsid w:val="00C8259F"/>
    <w:rsid w:val="00C84C47"/>
    <w:rsid w:val="00C86AFA"/>
    <w:rsid w:val="00CB24F5"/>
    <w:rsid w:val="00CB2663"/>
    <w:rsid w:val="00CB59E9"/>
    <w:rsid w:val="00CC3831"/>
    <w:rsid w:val="00CD5973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676F3"/>
    <w:rsid w:val="00D70EF5"/>
    <w:rsid w:val="00D71A25"/>
    <w:rsid w:val="00D71FCF"/>
    <w:rsid w:val="00D72A54"/>
    <w:rsid w:val="00D72CC1"/>
    <w:rsid w:val="00D80E7D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7DC1"/>
    <w:rsid w:val="00DF7648"/>
    <w:rsid w:val="00E04CEB"/>
    <w:rsid w:val="00E060BC"/>
    <w:rsid w:val="00E11420"/>
    <w:rsid w:val="00E170B7"/>
    <w:rsid w:val="00E20900"/>
    <w:rsid w:val="00E34A35"/>
    <w:rsid w:val="00E46308"/>
    <w:rsid w:val="00E51E17"/>
    <w:rsid w:val="00E539B0"/>
    <w:rsid w:val="00E55994"/>
    <w:rsid w:val="00E6307C"/>
    <w:rsid w:val="00E636FA"/>
    <w:rsid w:val="00E63BAC"/>
    <w:rsid w:val="00E66C50"/>
    <w:rsid w:val="00E679D3"/>
    <w:rsid w:val="00E71208"/>
    <w:rsid w:val="00E71444"/>
    <w:rsid w:val="00E773E8"/>
    <w:rsid w:val="00E84F38"/>
    <w:rsid w:val="00E85623"/>
    <w:rsid w:val="00E91FAE"/>
    <w:rsid w:val="00EA532E"/>
    <w:rsid w:val="00EB19ED"/>
    <w:rsid w:val="00EC0AB1"/>
    <w:rsid w:val="00EC4CEB"/>
    <w:rsid w:val="00ED2072"/>
    <w:rsid w:val="00ED5553"/>
    <w:rsid w:val="00ED5E36"/>
    <w:rsid w:val="00ED6961"/>
    <w:rsid w:val="00EF0B96"/>
    <w:rsid w:val="00EF47AF"/>
    <w:rsid w:val="00F115CA"/>
    <w:rsid w:val="00F13119"/>
    <w:rsid w:val="00F1510F"/>
    <w:rsid w:val="00F15E5A"/>
    <w:rsid w:val="00F2668F"/>
    <w:rsid w:val="00F340B2"/>
    <w:rsid w:val="00F43390"/>
    <w:rsid w:val="00F50237"/>
    <w:rsid w:val="00F55BA8"/>
    <w:rsid w:val="00F56ACA"/>
    <w:rsid w:val="00F600FE"/>
    <w:rsid w:val="00F62E4D"/>
    <w:rsid w:val="00F711C9"/>
    <w:rsid w:val="00F831CB"/>
    <w:rsid w:val="00F848A3"/>
    <w:rsid w:val="00F85BF8"/>
    <w:rsid w:val="00F87802"/>
    <w:rsid w:val="00F92C0A"/>
    <w:rsid w:val="00F9415B"/>
    <w:rsid w:val="00FA13C2"/>
    <w:rsid w:val="00FB121C"/>
    <w:rsid w:val="00FB2C2F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670B82F-5E8F-4C33-90E5-01008848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4E85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uiPriority w:val="99"/>
    <w:semiHidden/>
    <w:rsid w:val="004C3F97"/>
    <w:pPr>
      <w:spacing w:after="600"/>
      <w:ind w:left="5245"/>
    </w:pPr>
  </w:style>
  <w:style w:type="paragraph" w:customStyle="1" w:styleId="ZLITWPKTzmlitwpktartykuempunktem">
    <w:name w:val="Z/LIT_W_PKT – zm. lit. w pkt artykułem (punktem)"/>
    <w:basedOn w:val="LITlitera"/>
    <w:uiPriority w:val="33"/>
    <w:qFormat/>
    <w:rsid w:val="00295A6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4"/>
    <w:qFormat/>
    <w:rsid w:val="007E2CFE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4"/>
    <w:rsid w:val="00A96265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6"/>
    <w:qFormat/>
    <w:rsid w:val="00295A6F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95A6F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6"/>
    <w:rsid w:val="00A96265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11493E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95A6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7"/>
    <w:qFormat/>
    <w:rsid w:val="00295A6F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7"/>
    <w:rsid w:val="00A96265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4"/>
    <w:qFormat/>
    <w:rsid w:val="00295A6F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4"/>
    <w:rsid w:val="00A96265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7"/>
    <w:qFormat/>
    <w:rsid w:val="00295A6F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7"/>
    <w:rsid w:val="00A96265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D72CC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paragraph" w:customStyle="1" w:styleId="tekstwtabeli">
    <w:name w:val="tekst w tabeli"/>
    <w:basedOn w:val="Normalny"/>
    <w:link w:val="tekstwtabeliZnak"/>
    <w:uiPriority w:val="99"/>
    <w:semiHidden/>
    <w:qFormat/>
    <w:rsid w:val="004C3F97"/>
    <w:pPr>
      <w:framePr w:hSpace="141" w:wrap="around" w:vAnchor="text" w:hAnchor="margin" w:xAlign="center" w:y="175"/>
      <w:suppressAutoHyphens/>
      <w:autoSpaceDE/>
      <w:autoSpaceDN/>
      <w:adjustRightInd/>
      <w:spacing w:before="120" w:after="120"/>
      <w:jc w:val="center"/>
    </w:pPr>
    <w:rPr>
      <w:kern w:val="1"/>
      <w:lang w:eastAsia="ar-SA"/>
    </w:rPr>
  </w:style>
  <w:style w:type="character" w:customStyle="1" w:styleId="tekstwtabeliZnak">
    <w:name w:val="tekst w tabeli Znak"/>
    <w:link w:val="tekstwtabeli"/>
    <w:uiPriority w:val="99"/>
    <w:semiHidden/>
    <w:rsid w:val="004504C0"/>
    <w:rPr>
      <w:rFonts w:ascii="Arial" w:eastAsiaTheme="minorEastAsia" w:hAnsi="Arial" w:cs="Arial"/>
      <w:kern w:val="1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2"/>
    <w:qFormat/>
    <w:rsid w:val="00295A6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95A6F"/>
    <w:pPr>
      <w:spacing w:before="0"/>
      <w:ind w:left="510"/>
    </w:pPr>
  </w:style>
  <w:style w:type="paragraph" w:customStyle="1" w:styleId="Tabela">
    <w:name w:val="Tabela"/>
    <w:next w:val="Normalny"/>
    <w:uiPriority w:val="99"/>
    <w:semiHidden/>
    <w:rsid w:val="004C3F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95A6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D72CC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95A6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D72CC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basedOn w:val="Normalny"/>
    <w:next w:val="ARTartustawynprozporzdzenia"/>
    <w:link w:val="CZKSIGAoznaczenieiprzedmiotczcilubksigiZnak"/>
    <w:uiPriority w:val="5"/>
    <w:qFormat/>
    <w:rsid w:val="00295A6F"/>
    <w:pPr>
      <w:keepNext/>
      <w:suppressAutoHyphens/>
      <w:spacing w:before="120"/>
      <w:jc w:val="center"/>
    </w:pPr>
    <w:rPr>
      <w:rFonts w:ascii="Times" w:eastAsia="Times New Roman" w:hAnsi="Times" w:cs="Times New Roman"/>
      <w:b/>
      <w:bCs/>
      <w:caps/>
      <w:kern w:val="24"/>
      <w:szCs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D72CC1"/>
    <w:rPr>
      <w:b/>
      <w:bCs/>
      <w:caps/>
      <w:kern w:val="24"/>
    </w:rPr>
  </w:style>
  <w:style w:type="paragraph" w:customStyle="1" w:styleId="TYTDZPRZEDMprzedmiotregulacjitutuulubdziau">
    <w:name w:val="TYT(DZ)_PRZEDM – przedmiot regulacji tutułu lub działu"/>
    <w:basedOn w:val="Normalny"/>
    <w:next w:val="ARTartustawynprozporzdzenia"/>
    <w:link w:val="TYTDZPRZEDMprzedmiotregulacjitutuulubdziauZnak"/>
    <w:uiPriority w:val="7"/>
    <w:qFormat/>
    <w:rsid w:val="00295A6F"/>
    <w:pPr>
      <w:keepNext/>
      <w:suppressAutoHyphens/>
      <w:spacing w:before="120"/>
      <w:jc w:val="center"/>
    </w:pPr>
    <w:rPr>
      <w:rFonts w:ascii="Times" w:eastAsia="Times New Roman" w:hAnsi="Times" w:cs="Times New Roman"/>
      <w:b/>
      <w:szCs w:val="26"/>
    </w:rPr>
  </w:style>
  <w:style w:type="character" w:customStyle="1" w:styleId="TYTDZPRZEDMprzedmiotregulacjitutuulubdziauZnak">
    <w:name w:val="TYT(DZ)_PRZEDM – przedmiot regulacji tutułu lub działu Znak"/>
    <w:basedOn w:val="Domylnaczcionkaakapitu"/>
    <w:link w:val="TYTDZPRZEDMprzedmiotregulacjitutuulubdziau"/>
    <w:uiPriority w:val="7"/>
    <w:rsid w:val="00D72CC1"/>
    <w:rPr>
      <w:b/>
      <w:szCs w:val="26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95A6F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D72CC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basedOn w:val="Normalny"/>
    <w:next w:val="DATAAKTUdatauchwalenialubwydaniaaktu"/>
    <w:link w:val="OZNRODZAKTUtznustawalubrozporzdzenieiorganwydajcyZnak"/>
    <w:uiPriority w:val="1"/>
    <w:qFormat/>
    <w:rsid w:val="005635ED"/>
    <w:pPr>
      <w:keepNext/>
      <w:suppressAutoHyphens/>
      <w:spacing w:after="120"/>
      <w:jc w:val="center"/>
    </w:pPr>
    <w:rPr>
      <w:rFonts w:ascii="Times" w:eastAsia="Times New Roman" w:hAnsi="Times" w:cs="Times New Roman"/>
      <w:b/>
      <w:bCs/>
      <w:caps/>
      <w:spacing w:val="54"/>
      <w:kern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5635ED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95A6F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D72CC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95A6F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D72CC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95A6F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A96265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95A6F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D72CC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95A6F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A96265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95A6F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D72CC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95A6F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A96265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95A6F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A96265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95A6F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D72CC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3"/>
    <w:qFormat/>
    <w:rsid w:val="00295A6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49"/>
    <w:qFormat/>
    <w:rsid w:val="00295A6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6"/>
    <w:qFormat/>
    <w:rsid w:val="00295A6F"/>
    <w:pPr>
      <w:ind w:left="1860"/>
    </w:pPr>
  </w:style>
  <w:style w:type="paragraph" w:customStyle="1" w:styleId="TYTDZOZNoznaczenietytuulubdziau">
    <w:name w:val="TYT(DZ)_OZN – oznaczenie tytułu lub działu"/>
    <w:next w:val="TYTDZPRZEDMprzedmiotregulacjitutuulubdziau"/>
    <w:link w:val="TYTDZOZNoznaczenietytuulubdziauZnak"/>
    <w:uiPriority w:val="6"/>
    <w:qFormat/>
    <w:rsid w:val="00295A6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basedOn w:val="Normalny"/>
    <w:link w:val="WMATFIZCHEMwzorymatfizlubchemiichlegendyZnak"/>
    <w:uiPriority w:val="22"/>
    <w:qFormat/>
    <w:rsid w:val="00295A6F"/>
    <w:pPr>
      <w:ind w:left="510"/>
    </w:pPr>
    <w:rPr>
      <w:rFonts w:ascii="Times" w:eastAsia="Times New Roman" w:hAnsi="Times" w:cs="Times New Roman"/>
      <w:szCs w:val="24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D72CC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A96265"/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28"/>
    <w:qFormat/>
    <w:rsid w:val="00295A6F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28"/>
    <w:rsid w:val="005F7A88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basedOn w:val="TYTDZPRZEDMprzedmiotregulacjitutuulubdziau"/>
    <w:next w:val="ZARTzmartartykuempunktem"/>
    <w:link w:val="ZTYTDZPRZEDMzmprzedmtytuulubdziauartykuempunktemZnak"/>
    <w:uiPriority w:val="28"/>
    <w:qFormat/>
    <w:rsid w:val="00295A6F"/>
    <w:pPr>
      <w:spacing w:before="0"/>
      <w:ind w:left="510"/>
    </w:pPr>
    <w:rPr>
      <w:b w:val="0"/>
    </w:rPr>
  </w:style>
  <w:style w:type="character" w:customStyle="1" w:styleId="ZTYTDZPRZEDMzmprzedmtytuulubdziauartykuempunktemZnak">
    <w:name w:val="Z/TYT(DZ)_PRZEDM – zm. przedm. tytułu lub działu artykułem (punktem) Znak"/>
    <w:basedOn w:val="TYTDZPRZEDMprzedmiotregulacjitutuulubdziauZnak"/>
    <w:link w:val="ZTYTDZPRZEDMzmprzedmtytuulubdziauartykuempunktem"/>
    <w:uiPriority w:val="28"/>
    <w:rsid w:val="005F7A88"/>
    <w:rPr>
      <w:b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4"/>
    <w:qFormat/>
    <w:rsid w:val="00295A6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5"/>
    <w:qFormat/>
    <w:rsid w:val="00295A6F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7A5373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7A5373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basedOn w:val="Normalny"/>
    <w:next w:val="ZROZDZODDZPRZEDMzmprzedmrozdzoddzartykuempunktem"/>
    <w:link w:val="ZROZDZODDZOZNzmoznrozdzoddzartykuempunktemZnak"/>
    <w:uiPriority w:val="29"/>
    <w:qFormat/>
    <w:rsid w:val="005F7A88"/>
    <w:pPr>
      <w:keepNext/>
      <w:widowControl/>
      <w:suppressAutoHyphens/>
      <w:autoSpaceDE/>
      <w:autoSpaceDN/>
      <w:adjustRightInd/>
      <w:ind w:left="510"/>
      <w:jc w:val="center"/>
    </w:pPr>
    <w:rPr>
      <w:rFonts w:ascii="Times" w:hAnsi="Times"/>
      <w:bCs/>
      <w:kern w:val="24"/>
      <w:szCs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29"/>
    <w:rsid w:val="005F7A88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2"/>
    <w:rsid w:val="00A96265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3"/>
    <w:qFormat/>
    <w:rsid w:val="00295A6F"/>
    <w:pPr>
      <w:ind w:left="987"/>
    </w:pPr>
  </w:style>
  <w:style w:type="paragraph" w:customStyle="1" w:styleId="ZLITPKTzmpktliter">
    <w:name w:val="Z_LIT/PKT – zm. pkt literą"/>
    <w:basedOn w:val="PKTpunkt"/>
    <w:uiPriority w:val="44"/>
    <w:qFormat/>
    <w:rsid w:val="00295A6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7A5373"/>
    <w:pPr>
      <w:ind w:firstLine="0"/>
    </w:pPr>
  </w:style>
  <w:style w:type="paragraph" w:customStyle="1" w:styleId="ZLITLITzmlitliter">
    <w:name w:val="Z_LIT/LIT – zm. lit. literą"/>
    <w:basedOn w:val="LITlitera"/>
    <w:uiPriority w:val="45"/>
    <w:qFormat/>
    <w:rsid w:val="00295A6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8"/>
    <w:qFormat/>
    <w:rsid w:val="00295A6F"/>
    <w:pPr>
      <w:ind w:left="987"/>
    </w:pPr>
  </w:style>
  <w:style w:type="paragraph" w:customStyle="1" w:styleId="ZLITTIRzmtirliter">
    <w:name w:val="Z_LIT/TIR – zm. tir. literą"/>
    <w:basedOn w:val="TIRtiret"/>
    <w:uiPriority w:val="46"/>
    <w:qFormat/>
    <w:rsid w:val="00295A6F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F87802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5"/>
    <w:qFormat/>
    <w:rsid w:val="00295A6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49"/>
    <w:qFormat/>
    <w:rsid w:val="00295A6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6"/>
    <w:qFormat/>
    <w:rsid w:val="00295A6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49"/>
    <w:qFormat/>
    <w:rsid w:val="00295A6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4"/>
    <w:qFormat/>
    <w:rsid w:val="00295A6F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95A6F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5F7A88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4"/>
    <w:qFormat/>
    <w:rsid w:val="00295A6F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4"/>
    <w:rsid w:val="005F7A88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680058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037E1A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4"/>
    <w:qFormat/>
    <w:rsid w:val="00295A6F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7"/>
    <w:qFormat/>
    <w:rsid w:val="00295A6F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7"/>
    <w:rsid w:val="005F7A88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95A6F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11493E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95A6F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11493E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680058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95A6F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11493E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95A6F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11493E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95A6F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95A6F"/>
    <w:pPr>
      <w:ind w:left="2688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11493E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3"/>
    <w:qFormat/>
    <w:rsid w:val="00295A6F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3"/>
    <w:rsid w:val="005F7A88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4"/>
    <w:qFormat/>
    <w:rsid w:val="00295A6F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7"/>
    <w:qFormat/>
    <w:rsid w:val="00295A6F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7"/>
    <w:rsid w:val="005F7A88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95A6F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11493E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95A6F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11493E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95A6F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11493E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95A6F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11493E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95A6F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435D26"/>
    <w:pPr>
      <w:ind w:left="2688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435D26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95A6F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95A6F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435D26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435D26"/>
    <w:pPr>
      <w:ind w:left="2767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95A6F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11493E"/>
    <w:rPr>
      <w:rFonts w:eastAsiaTheme="minorEastAsia" w:cs="Arial"/>
      <w:bCs/>
      <w:szCs w:val="20"/>
    </w:rPr>
  </w:style>
  <w:style w:type="paragraph" w:customStyle="1" w:styleId="Z2TIRCZWSP2TIRwTIRzmczciwsppodwtiretwtiretpodwjnymtiret">
    <w:name w:val="Z_2TIR/CZ_WSP_2TIR_w_TIR – zm. części wsp. podw. tiret w tiret podwójnym tiret"/>
    <w:basedOn w:val="CZWSPTIRczwsplnatiret"/>
    <w:next w:val="2TIRpodwjnytiret"/>
    <w:link w:val="Z2TIRCZWSP2TIRwTIRzmczciwsppodwtiretwtiretpodwjnymtiretZnak"/>
    <w:uiPriority w:val="86"/>
    <w:qFormat/>
    <w:rsid w:val="00295A6F"/>
    <w:pPr>
      <w:ind w:left="2177"/>
    </w:pPr>
  </w:style>
  <w:style w:type="character" w:customStyle="1" w:styleId="Z2TIRCZWSP2TIRwTIRzmczciwsppodwtiretwtiretpodwjnymtiretZnak">
    <w:name w:val="Z_2TIR/CZ_WSP_2TIR_w_TIR – zm. części wsp. podw. tiret w tiret podwójnym tiret Znak"/>
    <w:basedOn w:val="CZWSPTIRczwsplnatiretZnak"/>
    <w:link w:val="Z2TIRCZWSP2TIRwTIRzmczciwsppodwtiretwtiretpodwjnymtiret"/>
    <w:uiPriority w:val="86"/>
    <w:rsid w:val="0011493E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95A6F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2TIRCZWSP2TIRwLITzmczciwsppodwtiretwlitpodwjnymtiret">
    <w:name w:val="Z_2TIR/CZ_WSP_2TIR_w_LIT – zm. części wsp. podw. tiret w lit. podwójnym tiret"/>
    <w:basedOn w:val="CZWSPTIRczwsplnatiret"/>
    <w:next w:val="2TIRpodwjnytiret"/>
    <w:link w:val="Z2TIRCZWSP2TIRwLITzmczciwsppodwtiretwlitpodwjnymtiretZnak"/>
    <w:uiPriority w:val="87"/>
    <w:qFormat/>
    <w:rsid w:val="00295A6F"/>
    <w:pPr>
      <w:ind w:left="2654"/>
    </w:pPr>
  </w:style>
  <w:style w:type="character" w:customStyle="1" w:styleId="Z2TIRCZWSP2TIRwLITzmczciwsppodwtiretwlitpodwjnymtiretZnak">
    <w:name w:val="Z_2TIR/CZ_WSP_2TIR_w_LIT – zm. części wsp. podw. tiret w lit. podwójnym tiret Znak"/>
    <w:basedOn w:val="CZWSPTIRczwsplnatiretZnak"/>
    <w:link w:val="Z2TIRCZWSP2TIRwLITzmczciwsppodwtiretwlitpodwjnymtiret"/>
    <w:uiPriority w:val="87"/>
    <w:rsid w:val="0011493E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28"/>
    <w:qFormat/>
    <w:rsid w:val="00295A6F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28"/>
    <w:rsid w:val="005F7A88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29"/>
    <w:qFormat/>
    <w:rsid w:val="00295A6F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29"/>
    <w:rsid w:val="005F7A88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59"/>
    <w:qFormat/>
    <w:rsid w:val="007E2CFE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7E2CF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572512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572512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39"/>
    <w:qFormat/>
    <w:rsid w:val="00680058"/>
    <w:pPr>
      <w:ind w:left="1021"/>
    </w:pPr>
  </w:style>
  <w:style w:type="paragraph" w:customStyle="1" w:styleId="ODNONIKtreodnonika">
    <w:name w:val="ODNOŚNIK – treść odnośnika"/>
    <w:basedOn w:val="Tekstprzypisudolnego"/>
    <w:uiPriority w:val="25"/>
    <w:qFormat/>
    <w:rsid w:val="00295A6F"/>
    <w:pPr>
      <w:widowControl/>
      <w:ind w:left="284" w:hanging="284"/>
    </w:pPr>
    <w:rPr>
      <w:rFonts w:ascii="Times New Roman" w:eastAsiaTheme="minorEastAsia" w:hAnsi="Times New Roman" w:cs="Arial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8"/>
    <w:qFormat/>
    <w:rsid w:val="00295A6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95A6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95A6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4"/>
    <w:qFormat/>
    <w:rsid w:val="00295A6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7"/>
    <w:qFormat/>
    <w:rsid w:val="00295A6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295A6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5F7A88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5F7A88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95A6F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11493E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95A6F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8"/>
    <w:qFormat/>
    <w:rsid w:val="00AC4EA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AC4EA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8"/>
    <w:qFormat/>
    <w:rsid w:val="00047312"/>
    <w:pPr>
      <w:ind w:left="1021"/>
    </w:pPr>
  </w:style>
  <w:style w:type="paragraph" w:customStyle="1" w:styleId="ZCZWSP2TIRwPKTzmczciwsppodwtirwpktartykuempunktem">
    <w:name w:val="Z/CZ_WSP_2TIR_w_PKT – zm. części wsp. podw. tir w pkt artykułem (punktem)"/>
    <w:basedOn w:val="Z2TIRwPKTzmpodwtirwpktartykuempunktem"/>
    <w:uiPriority w:val="73"/>
    <w:qFormat/>
    <w:rsid w:val="00866867"/>
    <w:pPr>
      <w:ind w:left="2291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047312"/>
    <w:pPr>
      <w:ind w:left="2177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047312"/>
    <w:pPr>
      <w:ind w:left="1701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A95936"/>
    <w:pPr>
      <w:ind w:left="1304" w:firstLine="0"/>
    </w:pPr>
  </w:style>
  <w:style w:type="paragraph" w:customStyle="1" w:styleId="ZCZWSP2TIRwLITzmczciwsppodwtirwlitartykuempunktem">
    <w:name w:val="Z/CZ_WSP_2TIR_w_LIT – zm. części wsp. podw. tir w lit. artykułem (punktem)"/>
    <w:basedOn w:val="Z2TIRwLITzmpodwtirwlitartykuempunktem"/>
    <w:uiPriority w:val="73"/>
    <w:qFormat/>
    <w:rsid w:val="00A95936"/>
    <w:pPr>
      <w:ind w:left="1780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A95936"/>
    <w:pPr>
      <w:ind w:left="1497"/>
    </w:pPr>
  </w:style>
  <w:style w:type="paragraph" w:customStyle="1" w:styleId="ZZCZWSP2TIRzmianazmczciwsppodwtir">
    <w:name w:val="ZZ/CZ_WSP_2TIR – zmiana. zm. części wsp. podw. tir."/>
    <w:basedOn w:val="ZZTIRzmianazmtir"/>
    <w:uiPriority w:val="62"/>
    <w:qFormat/>
    <w:rsid w:val="00952018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494F62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0"/>
    <w:qFormat/>
    <w:rsid w:val="00BD1040"/>
    <w:pPr>
      <w:ind w:left="907" w:hanging="397"/>
    </w:p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0"/>
    <w:qFormat/>
    <w:rsid w:val="00BD1040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0"/>
    <w:qFormat/>
    <w:rsid w:val="002E64F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6686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6686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51A7D"/>
    <w:pPr>
      <w:ind w:left="2767"/>
    </w:pPr>
  </w:style>
  <w:style w:type="paragraph" w:customStyle="1" w:styleId="ZLITCZWSP2TIRwTIRzmczciwsppodwtirwtirliter">
    <w:name w:val="Z_LIT/CZ_WSP_2TIR_w_TIR – zm. części wsp. podw. tir. w tir literą"/>
    <w:basedOn w:val="ZLIT2TIRwTIRzmpodwtirwtirliter"/>
    <w:next w:val="LITlitera"/>
    <w:uiPriority w:val="78"/>
    <w:qFormat/>
    <w:rsid w:val="00B51A7D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B51A7D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B51A7D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AC00F2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AC00F2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F600F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F600FE"/>
    <w:pPr>
      <w:ind w:left="3277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FD7468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FD7468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FD7468"/>
  </w:style>
  <w:style w:type="paragraph" w:customStyle="1" w:styleId="ZZ2TIRzmianazmpodwtir">
    <w:name w:val="ZZ/2TIR – zmiana. zm. podw. tir."/>
    <w:basedOn w:val="ZZCZWSP2TIRzmianazmczciwsppodwtir"/>
    <w:uiPriority w:val="90"/>
    <w:qFormat/>
    <w:rsid w:val="00952018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6"/>
    <w:qFormat/>
    <w:rsid w:val="002279C0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6"/>
    <w:qFormat/>
    <w:rsid w:val="002279C0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279C0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279C0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279C0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279C0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279C0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279C0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7D6DC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7D6DC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8318F"/>
  </w:style>
  <w:style w:type="paragraph" w:customStyle="1" w:styleId="ZZUSTzmianazmust">
    <w:name w:val="ZZ/UST(§) – zmiana zm. ust. (§)"/>
    <w:basedOn w:val="ZZARTzmianazmart"/>
    <w:uiPriority w:val="59"/>
    <w:qFormat/>
    <w:rsid w:val="00B80402"/>
  </w:style>
  <w:style w:type="paragraph" w:customStyle="1" w:styleId="TYTDZPRZEDMprzedmiotregulacjitytuulubdziau">
    <w:name w:val="TYT(DZ)_PRZEDM – przedmiot regulacji tytułu lub działu"/>
    <w:basedOn w:val="Normalny"/>
    <w:next w:val="ARTartustawynprozporzdzenia"/>
    <w:link w:val="TYTDZPRZEDMprzedmiotregulacjitytuulubdziauZnak"/>
    <w:uiPriority w:val="7"/>
    <w:qFormat/>
    <w:rsid w:val="00946DD0"/>
    <w:pPr>
      <w:keepNext/>
      <w:suppressAutoHyphens/>
      <w:spacing w:before="120"/>
      <w:jc w:val="center"/>
    </w:pPr>
    <w:rPr>
      <w:rFonts w:ascii="Times" w:eastAsia="Times New Roman" w:hAnsi="Times" w:cs="Times New Roman"/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946DD0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8"/>
    <w:qFormat/>
    <w:rsid w:val="005635ED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5F7A88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5F7A88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5F7A88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5F7A88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5F7A88"/>
    <w:pPr>
      <w:ind w:left="1894"/>
    </w:pPr>
  </w:style>
  <w:style w:type="paragraph" w:customStyle="1" w:styleId="Podpis-A7">
    <w:name w:val="Podpis-A7"/>
    <w:basedOn w:val="Normalny"/>
    <w:rsid w:val="00E63BAC"/>
    <w:pPr>
      <w:widowControl/>
      <w:tabs>
        <w:tab w:val="center" w:pos="1701"/>
        <w:tab w:val="center" w:pos="6237"/>
      </w:tabs>
      <w:autoSpaceDE/>
      <w:autoSpaceDN/>
      <w:adjustRightInd/>
      <w:jc w:val="left"/>
    </w:pPr>
    <w:rPr>
      <w:rFonts w:eastAsia="Times New Roman" w:cs="Times New Roman"/>
    </w:rPr>
  </w:style>
  <w:style w:type="paragraph" w:styleId="Tekstpodstawowy">
    <w:name w:val="Body Text"/>
    <w:basedOn w:val="Normalny"/>
    <w:link w:val="TekstpodstawowyZnak"/>
    <w:uiPriority w:val="99"/>
    <w:rsid w:val="00E63BAC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3BAC"/>
    <w:rPr>
      <w:rFonts w:ascii="Times New Roman" w:hAnsi="Times New Roman"/>
      <w:szCs w:val="20"/>
    </w:rPr>
  </w:style>
  <w:style w:type="paragraph" w:customStyle="1" w:styleId="akapit">
    <w:name w:val="akapit"/>
    <w:basedOn w:val="Normalny"/>
    <w:uiPriority w:val="99"/>
    <w:rsid w:val="00B1776A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041C82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character" w:customStyle="1" w:styleId="IGindeksgrny">
    <w:name w:val="_IG_ – indeks górny"/>
    <w:basedOn w:val="Domylnaczcionkaakapitu"/>
    <w:uiPriority w:val="2"/>
    <w:qFormat/>
    <w:rsid w:val="00041C82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041C82"/>
    <w:rPr>
      <w:b/>
    </w:rPr>
  </w:style>
  <w:style w:type="character" w:styleId="Hipercze">
    <w:name w:val="Hyperlink"/>
    <w:uiPriority w:val="99"/>
    <w:unhideWhenUsed/>
    <w:rsid w:val="00F131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1925</Words>
  <Characters>11550</Characters>
  <Application>Microsoft Office Word</Application>
  <DocSecurity>0</DocSecurity>
  <Lines>96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Dorota Grąziewicz</dc:creator>
  <cp:lastModifiedBy>Grzegorz Molesztak</cp:lastModifiedBy>
  <cp:revision>10</cp:revision>
  <cp:lastPrinted>2012-04-23T06:39:00Z</cp:lastPrinted>
  <dcterms:created xsi:type="dcterms:W3CDTF">2019-07-12T12:17:00Z</dcterms:created>
  <dcterms:modified xsi:type="dcterms:W3CDTF">2019-07-31T11:33:00Z</dcterms:modified>
</cp:coreProperties>
</file>