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F739C" w14:textId="77777777" w:rsidR="0008513A" w:rsidRPr="00BF2F19" w:rsidRDefault="0008513A" w:rsidP="005C7214">
      <w:pPr>
        <w:pStyle w:val="OZNRODZAKTUtznustawalubrozporzdzenieiorganwydajcy"/>
      </w:pPr>
      <w:bookmarkStart w:id="0" w:name="_GoBack"/>
      <w:bookmarkEnd w:id="0"/>
      <w:r w:rsidRPr="00BF2F19">
        <w:t>uzasadnienie</w:t>
      </w:r>
    </w:p>
    <w:p w14:paraId="135302B6" w14:textId="77777777" w:rsidR="0008513A" w:rsidRPr="00BF2F19" w:rsidRDefault="0008513A" w:rsidP="0008513A">
      <w:pPr>
        <w:pStyle w:val="NIEARTTEKSTtekstnieartykuowanynppodstprawnarozplubpreambua"/>
      </w:pPr>
      <w:r w:rsidRPr="00BF2F19">
        <w:t>Celem projektu jest dokonanie niezbędnych zmian w krajowym porządku prawnym w związku z wejściem w życie regulacji prawnych Unii Europejskiej dotyczących zasad publikowania prospektów w związku z emisją papierów wartościowych oraz zachęcania akcjonariuszy spółek publicznych do długoterminowego zaangażowania, tj.:</w:t>
      </w:r>
    </w:p>
    <w:p w14:paraId="729BCE31" w14:textId="77777777" w:rsidR="0008513A" w:rsidRPr="00BF2F19" w:rsidRDefault="0008513A" w:rsidP="0008513A">
      <w:pPr>
        <w:pStyle w:val="NIEARTTEKSTtekstnieartykuowanynppodstprawnarozplubpreambua"/>
      </w:pPr>
      <w:r w:rsidRPr="00BF2F19">
        <w:t>– zapewnienie stosowania rozporządzenia Parlamentu Europejskiego i Rady (UE) 2017/1129 z dnia 14 czerwca 2017 r. w sprawie prospektu, który ma być publikowany w związku z ofertą publiczną papierów wartościowych lub dopuszczeniem ich do obrotu na rynku regulowanym oraz uchylenia dyrektywy 2003/71/WE (Dz. Urz. UE L 168 z 30.06.2017, str. 12), zwanego dalej „rozporządzeniem 2017/1129”,</w:t>
      </w:r>
    </w:p>
    <w:p w14:paraId="5E4211FA" w14:textId="77777777" w:rsidR="0008513A" w:rsidRPr="00BF2F19" w:rsidRDefault="0008513A" w:rsidP="0008513A">
      <w:pPr>
        <w:pStyle w:val="NIEARTTEKSTtekstnieartykuowanynppodstprawnarozplubpreambua"/>
      </w:pPr>
      <w:r w:rsidRPr="00BF2F19">
        <w:t>– wdrożenie dyrektywy Parlamentu Europejskiego i Rady (UE) 2017/828 z dnia 17 maja 2017 r. zmieniającej dyrektywę 2007/36/WE w zakresie zachęcania akcjonariuszy do długoterminowego zaangażowania (Dz. Urz. UE L 132 z 20.05.2017, str. 1), zwanej dalej „dyrektywą 2017/828”.</w:t>
      </w:r>
    </w:p>
    <w:p w14:paraId="27B89E7B" w14:textId="4393705B" w:rsidR="0008513A" w:rsidRPr="00BF2F19" w:rsidRDefault="009E614B" w:rsidP="009E614B">
      <w:pPr>
        <w:pStyle w:val="NIEARTTEKSTtekstnieartykuowanynppodstprawnarozplubpreambua"/>
        <w:ind w:firstLine="0"/>
      </w:pPr>
      <w:r>
        <w:t xml:space="preserve">       </w:t>
      </w:r>
      <w:r w:rsidR="0008513A" w:rsidRPr="00BF2F19">
        <w:t>Zgodnie z przepisem art. 49 rozporządzenia 2017/1129, rozporządzenie to stosuje się, co do zasady, od dnia 21 lipca 2019 r.</w:t>
      </w:r>
    </w:p>
    <w:p w14:paraId="70A4956B" w14:textId="299971EF" w:rsidR="0008513A" w:rsidRPr="00BF2F19" w:rsidRDefault="0008513A" w:rsidP="0008513A">
      <w:pPr>
        <w:pStyle w:val="NIEARTTEKSTtekstnieartykuowanynppodstprawnarozplubpreambua"/>
      </w:pPr>
      <w:r w:rsidRPr="00BF2F19">
        <w:t>Art. 2 dyrektywy 2017/828 przewiduje natomiast, że państwa członkowskie wprowadzą w życie przepisy ustawowe, wykonawcze i administracyjne niezbędne do jej wykonania, co do zasady, do dnia 10 czerwca 2019 r. Natomiast przepisy odnoszące się do identyfikacji akcjonariuszy, przekazywania informacji pomiędzy spółką a akcjonariuszami oraz ułatwiania wykonywania praw akcjonariuszy (art. 3a–3c dyrektywy 2007/36/WE) muszą zostać wdrożone nie później niż w terminie 24 miesięcy po przyjęciu aktów wykonawczych, o których mowa w tych przepisach.</w:t>
      </w:r>
      <w:r w:rsidR="005C7214" w:rsidRPr="00BF2F19">
        <w:t xml:space="preserve"> Aktem wykonawczym przyjętym na podstawie tych przepisów jest rozporządzenie wykonawcze Komisji (UE) 2018/1212 z dnia 3 września 2018 r. ustanawiające minimalne wymogi w celu wykonania przepisów dyrektywy 2007/36/WE Parlamentu Europejskiego i Rady w odniesieniu do identyfikacji akcjonariuszy, przekazywania informacji i ułatwiania wykonywania praw akcjonariuszy (Dz. Urz. UE L 223 z </w:t>
      </w:r>
      <w:r w:rsidR="000E2143">
        <w:t>0</w:t>
      </w:r>
      <w:r w:rsidR="005C7214" w:rsidRPr="00BF2F19">
        <w:t>4.09.2018, str. 1)</w:t>
      </w:r>
      <w:r w:rsidR="009A4B24">
        <w:t xml:space="preserve">, zwane dalej </w:t>
      </w:r>
      <w:r w:rsidR="009A4B24" w:rsidRPr="00BF2F19">
        <w:t>„</w:t>
      </w:r>
      <w:r w:rsidR="009A4B24">
        <w:t>rozporządzeniem 2018/1212</w:t>
      </w:r>
      <w:r w:rsidR="009A4B24" w:rsidRPr="00BF2F19">
        <w:t>”</w:t>
      </w:r>
      <w:r w:rsidR="005C7214" w:rsidRPr="00BF2F19">
        <w:t>. Rozporządzenie to będzie stosowane od dnia 3 września 2020 r.</w:t>
      </w:r>
    </w:p>
    <w:p w14:paraId="750527AC" w14:textId="77777777" w:rsidR="0008513A" w:rsidRPr="00BF2F19" w:rsidRDefault="0008513A" w:rsidP="0008513A">
      <w:pPr>
        <w:pStyle w:val="NIEARTTEKSTtekstnieartykuowanynppodstprawnarozplubpreambua"/>
      </w:pPr>
      <w:r w:rsidRPr="00BF2F19">
        <w:t xml:space="preserve">Rozporządzenie 2017/1129 zastępuje dyrektywę 2003/71/WE Parlamentu Europejskiego i Rady z dnia 4 listopada 2003 r. w sprawie prospektu emisyjnego </w:t>
      </w:r>
      <w:r w:rsidRPr="00BF2F19">
        <w:lastRenderedPageBreak/>
        <w:t>publikowanego w związku z publiczną ofertą lub dopuszczeniem do obrotu papierów wartościowych i zmieniającą dyrektywę 2001/34/WE (Dz. Urz. UE L 345 z 31.12.2003, str. 64)</w:t>
      </w:r>
      <w:r w:rsidR="00E53643" w:rsidRPr="00BF2F19">
        <w:t>, zwaną dalej „dyrektywą 2003/71/WE”</w:t>
      </w:r>
      <w:r w:rsidRPr="00BF2F19">
        <w:t>. Rozporządzenie to stanowi istotny krok do realizacji unii rynków kapitałowych poprzez ujednolicenie zasad dotyczących sporządzania prospektów emisyjnych oraz obowiązków emitentów na poziomie całej Unii Europejskiej. Forma prawna rozporządzenia, które jest bezpośrednio stosowane we wszystkich państwach członkowskich UE, zapewnia jednolitość obowiązków związanych z przygotowywaniem prospektów emisyjnych oraz dopuszczaniem papierów wartościowych do obrotu na rynku regulowanym. Wybór tej formy prawnej zapewni spójne podejście, zwiększy pewność prawa i powinien zapobiegać utrudnieniom w przeprowadzaniu transgranicznych ofert publicznych.</w:t>
      </w:r>
    </w:p>
    <w:p w14:paraId="61CFF0C9" w14:textId="77777777" w:rsidR="0008513A" w:rsidRPr="00BF2F19" w:rsidRDefault="0008513A" w:rsidP="0008513A">
      <w:pPr>
        <w:pStyle w:val="NIEARTTEKSTtekstnieartykuowanynppodstprawnarozplubpreambua"/>
      </w:pPr>
      <w:r w:rsidRPr="00BF2F19">
        <w:t>Dyrektywa 2017/828 nowelizuje dyrektywę 2007/36/WE Parlamentu Europejskiego i Rady z dnia 11 lipca 2007 r. w sprawie wykonywania niektórych praw akcjonariuszy spółek notowanych na rynku regulowanym (Dz. Urz. UE L 184 z 14.07.2007, str. 17), która ustanawia wymogi dotyczące wykonywania praw akcjonariuszy spółek publicznych, związanych z prawem głosu na walnych zgromadzeniach akcjonariuszy. Kryzys finansowy pokazał jednak, że akcjonariusze spółek publicznych zgadzali się na podejmowanie przez organy zarządzające spółek nadmiernego ryzyka krótkoterminowego. Zaangażowanie akcjonariuszy – również instytucjonalnych, takich jak fundusze inwestycyjne, zakłady ubezpieczeń i reasekuracji, zarządzający pracowniczymi programami emerytalnymi – bardzo często było niewystarczające i skoncentrowane na wypracowaniu jak największego zysku krótkoterminowego, co mogło prowadzić do nieoptymalnych wyników tych spółek w dłuższej perspektywie.</w:t>
      </w:r>
    </w:p>
    <w:p w14:paraId="0155403E" w14:textId="77777777" w:rsidR="0008513A" w:rsidRPr="00BF2F19" w:rsidRDefault="0008513A" w:rsidP="0008513A">
      <w:pPr>
        <w:pStyle w:val="NIEARTTEKSTtekstnieartykuowanynppodstprawnarozplubpreambua"/>
      </w:pPr>
      <w:r w:rsidRPr="00BF2F19">
        <w:t>Z tych względów przyjęta została dyrektywa 2017/828, której głównym celem jest zachęcenie akcjonariuszy spółek publicznych do zaangażowania długoterminowego oraz zwiększenie przejrzystości stosunków pomiędzy akcjonariuszami a spółką.</w:t>
      </w:r>
    </w:p>
    <w:p w14:paraId="3E8E293F" w14:textId="77777777" w:rsidR="005C7214" w:rsidRPr="00BF2F19" w:rsidRDefault="005C7214" w:rsidP="005C7214">
      <w:pPr>
        <w:pStyle w:val="NIEARTTEKSTtekstnieartykuowanynppodstprawnarozplubpreambua"/>
      </w:pPr>
      <w:r w:rsidRPr="00BF2F19">
        <w:t>Zmiany konieczne w polskim prawie do osiągnięcia przedstawionych wyżej celów zostały zawarte w:</w:t>
      </w:r>
    </w:p>
    <w:p w14:paraId="6ED11B7E" w14:textId="77777777" w:rsidR="005C7214" w:rsidRPr="00BF2F19" w:rsidRDefault="005C7214" w:rsidP="005C7214">
      <w:pPr>
        <w:pStyle w:val="NIEARTTEKSTtekstnieartykuowanynppodstprawnarozplubpreambua"/>
      </w:pPr>
      <w:r w:rsidRPr="00BF2F19">
        <w:t>– ustawie z dnia 29 lipca 2005 r. o ofercie publicznej i warunkach wprowadzania instrumentów finansowych do zorganizowanego systemu obrotu oraz o spó</w:t>
      </w:r>
      <w:r w:rsidR="003E15CE">
        <w:t>łkach publicznych (Dz. U. z 2019</w:t>
      </w:r>
      <w:r w:rsidRPr="00BF2F19">
        <w:t xml:space="preserve"> r. poz. </w:t>
      </w:r>
      <w:r w:rsidR="003E15CE">
        <w:t>623</w:t>
      </w:r>
      <w:r w:rsidRPr="00BF2F19">
        <w:t>), zwanej dalej „ustawą o ofercie publicznej”,</w:t>
      </w:r>
    </w:p>
    <w:p w14:paraId="6718B29F" w14:textId="77777777" w:rsidR="005C7214" w:rsidRPr="00BF2F19" w:rsidRDefault="005C7214" w:rsidP="005C7214">
      <w:pPr>
        <w:pStyle w:val="NIEARTTEKSTtekstnieartykuowanynppodstprawnarozplubpreambua"/>
      </w:pPr>
      <w:r w:rsidRPr="00BF2F19">
        <w:t>– ustawie z dnia 29 sierpnia 1997 r. o organizacji i funkcjonowaniu funduszy emerytalnych (Dz. U. z 2018 r. poz. 1906, z późn. zm.), zwanej dalej „ustawą o organizacji i funkcjonowaniu funduszy emerytalnych”,</w:t>
      </w:r>
    </w:p>
    <w:p w14:paraId="398975B9" w14:textId="77777777" w:rsidR="005C7214" w:rsidRPr="00BF2F19" w:rsidRDefault="005C7214" w:rsidP="005C7214">
      <w:pPr>
        <w:pStyle w:val="NIEARTTEKSTtekstnieartykuowanynppodstprawnarozplubpreambua"/>
      </w:pPr>
      <w:r w:rsidRPr="00BF2F19">
        <w:t xml:space="preserve">– ustawie z dnia 15 września 2000 r. – Kodeks </w:t>
      </w:r>
      <w:r w:rsidR="000D33C5">
        <w:t>spółek handlowych (Dz. U. z 2019</w:t>
      </w:r>
      <w:r w:rsidRPr="00BF2F19">
        <w:t xml:space="preserve"> r. poz. </w:t>
      </w:r>
      <w:r w:rsidR="000D33C5">
        <w:t>505</w:t>
      </w:r>
      <w:r w:rsidRPr="00BF2F19">
        <w:t>), zwanej dalej „KSH”,</w:t>
      </w:r>
    </w:p>
    <w:p w14:paraId="69760CA0" w14:textId="77777777" w:rsidR="005C7214" w:rsidRPr="00BF2F19" w:rsidRDefault="005C7214" w:rsidP="005C7214">
      <w:pPr>
        <w:pStyle w:val="NIEARTTEKSTtekstnieartykuowanynppodstprawnarozplubpreambua"/>
      </w:pPr>
      <w:r w:rsidRPr="00BF2F19">
        <w:t>– ustawie z dnia 27 maja 2004 r. o funduszach inwestycyjnych i zarządzaniu alternatywnymi funduszami inwestycyjnymi (Dz. U. z 2018 r. poz. 1355</w:t>
      </w:r>
      <w:r w:rsidR="00B12929" w:rsidRPr="00BF2F19">
        <w:t>, z późn. zm.</w:t>
      </w:r>
      <w:r w:rsidRPr="00BF2F19">
        <w:t>), zwanej dalej „ustawą o funduszach inwestycyjnych”,</w:t>
      </w:r>
    </w:p>
    <w:p w14:paraId="70CF4ED5" w14:textId="77777777" w:rsidR="005C7214" w:rsidRPr="00BF2F19" w:rsidRDefault="005C7214" w:rsidP="005C7214">
      <w:pPr>
        <w:pStyle w:val="NIEARTTEKSTtekstnieartykuowanynppodstprawnarozplubpreambua"/>
      </w:pPr>
      <w:r w:rsidRPr="00BF2F19">
        <w:t>– ustawie z dnia 29 lipca 2005 r. o nadzorze nad rynkiem kapitałowym (Dz. U. z 2018 r. poz. 1417</w:t>
      </w:r>
      <w:r w:rsidR="00B12929" w:rsidRPr="00BF2F19">
        <w:t>, z późn. zm.</w:t>
      </w:r>
      <w:r w:rsidRPr="00BF2F19">
        <w:t>), zwanej dalej „ustawą o nadzorze nad rynkiem kapitałowym”,</w:t>
      </w:r>
    </w:p>
    <w:p w14:paraId="5C10331E" w14:textId="77777777" w:rsidR="005C7214" w:rsidRPr="00BF2F19" w:rsidRDefault="005C7214" w:rsidP="005C7214">
      <w:pPr>
        <w:pStyle w:val="NIEARTTEKSTtekstnieartykuowanynppodstprawnarozplubpreambua"/>
      </w:pPr>
      <w:r w:rsidRPr="00BF2F19">
        <w:t>– ustawie z dnia 29 lipca 2005 r. o obrocie instrume</w:t>
      </w:r>
      <w:r w:rsidR="00B12929" w:rsidRPr="00BF2F19">
        <w:t>ntami finansowymi (Dz. U. z 2018 r. poz. 2286</w:t>
      </w:r>
      <w:r w:rsidRPr="00BF2F19">
        <w:t>, z późn. zm.), zwanej dalej „ustawą o obrocie instrumentami finansowymi”,</w:t>
      </w:r>
    </w:p>
    <w:p w14:paraId="7485FBE8" w14:textId="77777777" w:rsidR="005C7214" w:rsidRPr="00BF2F19" w:rsidRDefault="005C7214" w:rsidP="005C7214">
      <w:pPr>
        <w:pStyle w:val="NIEARTTEKSTtekstnieartykuowanynppodstprawnarozplubpreambua"/>
      </w:pPr>
      <w:r w:rsidRPr="00BF2F19">
        <w:t>– ustawie z dnia 21 lipca 2006 r. o nadzorze nad rynkiem finans</w:t>
      </w:r>
      <w:r w:rsidR="00942E6E">
        <w:t>owym (Dz. U. z 2019</w:t>
      </w:r>
      <w:r w:rsidR="00B12929" w:rsidRPr="00BF2F19">
        <w:t xml:space="preserve"> r. poz. </w:t>
      </w:r>
      <w:r w:rsidR="00942E6E">
        <w:t>298</w:t>
      </w:r>
      <w:r w:rsidR="00504210">
        <w:t>, z późn. zm.</w:t>
      </w:r>
      <w:r w:rsidRPr="00BF2F19">
        <w:t>), zwanej dalej „ustawą o nadzorze nad rynkiem finansowym”,</w:t>
      </w:r>
    </w:p>
    <w:p w14:paraId="531DF6B4" w14:textId="77777777" w:rsidR="005C7214" w:rsidRPr="00BF2F19" w:rsidRDefault="005C7214" w:rsidP="005C7214">
      <w:pPr>
        <w:pStyle w:val="NIEARTTEKSTtekstnieartykuowanynppodstprawnarozplubpreambua"/>
      </w:pPr>
      <w:r w:rsidRPr="00BF2F19">
        <w:t xml:space="preserve">– ustawie z dnia 11 września 2015 r. o działalności ubezpieczeniowej </w:t>
      </w:r>
      <w:r w:rsidR="009A4B24">
        <w:t>i reasekuracyjnej (Dz. U. z 2019</w:t>
      </w:r>
      <w:r w:rsidRPr="00BF2F19">
        <w:t xml:space="preserve"> r. poz. </w:t>
      </w:r>
      <w:r w:rsidR="009A4B24">
        <w:t>381</w:t>
      </w:r>
      <w:r w:rsidRPr="00BF2F19">
        <w:t>), zwanej dalej „ustawą o działalności ubezpieczeniowej i reasekuracyjnej”.</w:t>
      </w:r>
    </w:p>
    <w:p w14:paraId="3F8E484F" w14:textId="507AAB80" w:rsidR="00B12929" w:rsidRDefault="00B12929" w:rsidP="00B12929">
      <w:pPr>
        <w:pStyle w:val="ARTartustawynprozporzdzenia"/>
      </w:pPr>
      <w:r w:rsidRPr="00BF2F19">
        <w:t xml:space="preserve">Ponadto projekt ustawy przewiduje pomniejsze zmiany w kilkunastu innych ustawach. Zmiany te są wynikiem znaczących zmian wprowadzonych projektem w ustawie o ofercie publicznej. Zachodzi w związku z tym potrzeba wyeliminowania odesłań do uchylanych przepisów ustawy o ofercie publicznej lub zastąpienia odesłań do tej ustawy odesłaniami do bezpośrednio obowiązujących przepisów rozporządzenia 2017/1129, a także dostosowania siatki pojęciowej używanej w </w:t>
      </w:r>
      <w:r w:rsidR="0061106F" w:rsidRPr="00BF2F19">
        <w:t>wielu aktach prawnych do tej używanej w rozporządzeniu 2017/1129</w:t>
      </w:r>
      <w:r w:rsidRPr="00BF2F19">
        <w:t>.</w:t>
      </w:r>
      <w:r w:rsidR="00A8318A" w:rsidRPr="00BF2F19">
        <w:t xml:space="preserve"> W szczególności wskutek znaczącej zmiany definicji oferty publicznej w rozporządzeniu 2017/1129, każda oferta dotycząca nabycia lub subskrybowania papierów wartościowych, kierowana</w:t>
      </w:r>
      <w:r w:rsidR="004F53A7" w:rsidRPr="004F53A7">
        <w:t xml:space="preserve"> do więcej niż jednej osoby</w:t>
      </w:r>
      <w:r w:rsidR="00A8318A" w:rsidRPr="00BF2F19">
        <w:t xml:space="preserve">, będzie miała charakter publiczny, a tym samym nie będzie możliwe zaoferowanie </w:t>
      </w:r>
      <w:r w:rsidR="00CD6413" w:rsidRPr="00CD6413">
        <w:t>więcej niż jednej osob</w:t>
      </w:r>
      <w:r w:rsidR="00CD6413">
        <w:t>ie</w:t>
      </w:r>
      <w:r w:rsidR="00CD6413" w:rsidRPr="00CD6413">
        <w:t xml:space="preserve"> </w:t>
      </w:r>
      <w:r w:rsidR="00A8318A" w:rsidRPr="00BF2F19">
        <w:t xml:space="preserve">papierów wartościowych w sposób, który nie będzie prowadził do ich oferty publicznej. W rezultacie takiego uregulowania pojęcia oferty publicznej, wszystkie przepisy adresowane do emitentów papierów wartościowych, które nie są lub nie były przedmiotem oferty publicznej, </w:t>
      </w:r>
      <w:r w:rsidR="001C68C6">
        <w:t>należy odpowiednio znowelizować</w:t>
      </w:r>
      <w:r w:rsidR="00A8318A" w:rsidRPr="00BF2F19">
        <w:t>.</w:t>
      </w:r>
    </w:p>
    <w:p w14:paraId="5078CE46" w14:textId="77777777" w:rsidR="00CD07CA" w:rsidRPr="00BF2F19" w:rsidRDefault="00CD07CA" w:rsidP="00B12929">
      <w:pPr>
        <w:pStyle w:val="ARTartustawynprozporzdzenia"/>
      </w:pPr>
      <w:r>
        <w:t>Ponadto projekt ustawy dokonuje zmian, przede wszystkim w ustawie o obrocie instrumentami finansowymi, związanych z zapewnieniem pełnej implementacji dyrektywy Parlamentu Europejskiego i Rady 2014/65/UE z dnia 15 maja 2014 r. w sprawie rynków instrumentów finansowych oraz zmieniającej dyrektywę 2002/92/WE i dyrektywę 2011/61/UE (</w:t>
      </w:r>
      <w:r w:rsidR="003F11BE">
        <w:t>Dz. Urz. UE L 173 z 12.06.2014, str. 349, z późn. zm.</w:t>
      </w:r>
      <w:r>
        <w:t>)</w:t>
      </w:r>
      <w:r w:rsidR="003F11BE">
        <w:t xml:space="preserve">, zwanej dalej </w:t>
      </w:r>
      <w:r w:rsidR="003F11BE" w:rsidRPr="00BF2F19">
        <w:t>„</w:t>
      </w:r>
      <w:r w:rsidR="003F11BE">
        <w:t>dyrektywą 2014/65/UE</w:t>
      </w:r>
      <w:r w:rsidR="003F11BE" w:rsidRPr="00BF2F19">
        <w:t>”</w:t>
      </w:r>
      <w:r>
        <w:t xml:space="preserve">. Zmiany te mają na celu także wyeliminowanie wątpliwości interpretacyjnych związanych ze stosowaniem </w:t>
      </w:r>
      <w:r w:rsidR="003F11BE">
        <w:t>przepisów implementujących tę dyrektywę</w:t>
      </w:r>
      <w:r>
        <w:t>.</w:t>
      </w:r>
    </w:p>
    <w:p w14:paraId="458E2986" w14:textId="77777777" w:rsidR="00542B37" w:rsidRPr="00BF2F19" w:rsidRDefault="00542B37" w:rsidP="00542B37">
      <w:pPr>
        <w:pStyle w:val="ARTartustawynprozporzdzenia"/>
      </w:pPr>
      <w:r w:rsidRPr="00BF2F19">
        <w:t>Kolejnym celem projektowanej ustawy jest umożliwienie kreowania obligacji, listów zastawnych i certyfikatów inwestycyjnych emitowanych przez fundusze inwestycyjne zamknięte niebędące publicznymi funduszami inwestycyjnymi zamkniętymi, w ewidencji prowadzonej przez agenta emisji, przy utrzymaniu jednak zasady, że papiery te będą podlegały obligatoryjnej rejestracji w depozycie papierów wartościowych. Dzięki tym zmianom obowiązek rejestrowania emisji tych papierów wartościowych w depozycie papierów wartościowych nie wpłynie na terminy ich wydawania osobom uprawnionym, a transakcje zawierane w obrocie pierwotnym będą mogły być rozliczane równie szybko, jak ma to miejsce obecnie. W celu wprowadzenia tych zmian projekt przewiduje nowelizację przepisów ustawy o funduszach inwestycyjnych, ustawy o obrocie instrumentami finansowymi oraz ustawy z dnia 15 stycznia 2015 r. o obligacjach (Dz. U. z 2018 r. poz. 483, z późn. zm.), zwanej dalej „ustawą o obligacjach”.</w:t>
      </w:r>
    </w:p>
    <w:p w14:paraId="79DBC834" w14:textId="77777777" w:rsidR="009E0CF3" w:rsidRPr="00BF2F19" w:rsidRDefault="009E0CF3" w:rsidP="009E0CF3">
      <w:pPr>
        <w:pStyle w:val="ARTartustawynprozporzdzenia"/>
      </w:pPr>
      <w:r w:rsidRPr="00BF2F19">
        <w:rPr>
          <w:rStyle w:val="Ppogrubienie"/>
        </w:rPr>
        <w:t>Art. 1 pkt 1 projektu ustawy</w:t>
      </w:r>
      <w:r w:rsidRPr="00BF2F19">
        <w:t xml:space="preserve"> wprowadza w art. 1 pkt 1 ustawy o ofercie publicznej zastrzeżenie, że przepisy tej ustawy stosuje się w zakresie nieuregulowanym przepisami rozporządzenia 2017/1129, które od dnia 21 lipca 2019 r. będzie w całej Unii Europejskiej podstawowym aktem prawnym regulującym kwestie oferty publicznej i dopuszczania papierów wartościowych do obrotu.</w:t>
      </w:r>
    </w:p>
    <w:p w14:paraId="7F9C5A83" w14:textId="77777777" w:rsidR="009E0CF3" w:rsidRPr="00BF2F19" w:rsidRDefault="00A155CA" w:rsidP="009E0CF3">
      <w:pPr>
        <w:pStyle w:val="ARTartustawynprozporzdzenia"/>
      </w:pPr>
      <w:r>
        <w:t xml:space="preserve">Zmiany </w:t>
      </w:r>
      <w:r w:rsidR="009E0CF3" w:rsidRPr="00BF2F19">
        <w:t xml:space="preserve">zawarte w </w:t>
      </w:r>
      <w:r w:rsidR="00772CF3">
        <w:rPr>
          <w:rStyle w:val="Ppogrubienie"/>
        </w:rPr>
        <w:t>art. 1 pkt 2</w:t>
      </w:r>
      <w:r>
        <w:rPr>
          <w:rStyle w:val="Ppogrubienie"/>
        </w:rPr>
        <w:t xml:space="preserve"> </w:t>
      </w:r>
      <w:r w:rsidR="009E0CF3" w:rsidRPr="00BF2F19">
        <w:rPr>
          <w:rStyle w:val="Ppogrubienie"/>
        </w:rPr>
        <w:t>projektu</w:t>
      </w:r>
      <w:r w:rsidR="009E0CF3" w:rsidRPr="00BF2F19">
        <w:t xml:space="preserve">, sprowadzają się do skreślenia dotychczas obowiązujących pkt 2 i 3. </w:t>
      </w:r>
      <w:r w:rsidR="00404FBA">
        <w:t>Bankowe papiery wartościowe</w:t>
      </w:r>
      <w:r w:rsidR="009E0CF3" w:rsidRPr="00BF2F19">
        <w:t xml:space="preserve">, o których mowa w art. 2 pkt 2 </w:t>
      </w:r>
      <w:r w:rsidR="00404FBA">
        <w:t>będą bowiem podlegać pod zakres regulacji rozporządzenia 2017/1129</w:t>
      </w:r>
      <w:r w:rsidR="009E0CF3" w:rsidRPr="00BF2F19">
        <w:t>. Przesłanką skreślenia dotychczasowego pkt 3 jest natomiast wyłączenie instrumentów rynku pieniężnego z pojęcia papierów wartościowych zdefiniowanego w art. 2 lit. a rozporządzenia 2017/1129.</w:t>
      </w:r>
    </w:p>
    <w:p w14:paraId="2C495BE3" w14:textId="77777777" w:rsidR="00A74DDF" w:rsidRPr="00BF2F19" w:rsidRDefault="0052707A" w:rsidP="009E0CF3">
      <w:pPr>
        <w:pStyle w:val="ARTartustawynprozporzdzenia"/>
      </w:pPr>
      <w:r w:rsidRPr="00BF2F19">
        <w:t>Zmiana przewidziana</w:t>
      </w:r>
      <w:r w:rsidR="009E0CF3" w:rsidRPr="00BF2F19">
        <w:t xml:space="preserve"> w </w:t>
      </w:r>
      <w:r w:rsidR="009E0CF3" w:rsidRPr="00BF2F19">
        <w:rPr>
          <w:rStyle w:val="Ppogrubienie"/>
        </w:rPr>
        <w:t>art. 1 pkt 3</w:t>
      </w:r>
      <w:r w:rsidRPr="00BF2F19">
        <w:rPr>
          <w:rStyle w:val="Ppogrubienie"/>
        </w:rPr>
        <w:t xml:space="preserve"> lit. a</w:t>
      </w:r>
      <w:r w:rsidR="009E0CF3" w:rsidRPr="00BF2F19">
        <w:rPr>
          <w:rStyle w:val="Ppogrubienie"/>
        </w:rPr>
        <w:t xml:space="preserve"> projektu ustawy</w:t>
      </w:r>
      <w:r w:rsidR="009E0CF3" w:rsidRPr="00BF2F19">
        <w:t xml:space="preserve"> wyni</w:t>
      </w:r>
      <w:r w:rsidRPr="00BF2F19">
        <w:t>ka</w:t>
      </w:r>
      <w:r w:rsidR="009E0CF3" w:rsidRPr="00BF2F19">
        <w:t xml:space="preserve"> z faktu zdefiniowania pojęcia oferty publicznej w art. 2 lit. d rozporządzenia 2017/1129. Nie jest zatem zasadne utrzymywanie takiej definicji w przepisach krajowych.</w:t>
      </w:r>
    </w:p>
    <w:p w14:paraId="1556D687" w14:textId="77777777" w:rsidR="00772CF3" w:rsidRDefault="00A74DDF" w:rsidP="00772CF3">
      <w:pPr>
        <w:pStyle w:val="ARTartustawynprozporzdzenia"/>
      </w:pPr>
      <w:r w:rsidRPr="00BF2F19">
        <w:t>Z</w:t>
      </w:r>
      <w:r w:rsidR="0052707A" w:rsidRPr="00BF2F19">
        <w:t xml:space="preserve">miany wprowadzane w </w:t>
      </w:r>
      <w:r w:rsidR="00A155CA">
        <w:rPr>
          <w:rStyle w:val="Ppogrubienie"/>
        </w:rPr>
        <w:t>lit. b</w:t>
      </w:r>
      <w:r w:rsidR="0052707A" w:rsidRPr="00BF2F19">
        <w:t xml:space="preserve"> </w:t>
      </w:r>
      <w:r w:rsidRPr="00BF2F19">
        <w:t>wynikają z faktu, że uchylana obecnie definicja oferty publicznej była zbyt elastyczna i umożliwiała dokonywanie bez prospektu wielokrotnych ofert publicznych do mniej niż 150 osób, w krótkich odstępach czasu, co w praktyce powodowało oferowanie papierów wartościowych bez prospektu praktycznie nieograniczonemu kręgowi adresatów</w:t>
      </w:r>
      <w:r w:rsidR="00772CF3">
        <w:t>, co miało miejsce np. w przypadku emisji dokonywanych przez spółkę GetBack S.A</w:t>
      </w:r>
      <w:r w:rsidRPr="00BF2F19">
        <w:t>. Działanie takie jest ewidentnie sprzeczne z celem przepisu, który miał ułatwiać przeprowadzenie ofert przez zniesienie obowiązku prospektowego jedynie w przypadku niewielkiego kręgu adresatów. Wyjątek prospektowy w przypadku oferty skierowanej do mniej niż 150 osób nie może mieć zastosowania w przypadku częstego i wielokrotnego kierowania w krótkich odstępach czasu ofert do mniej niż 150 osób. Taka praktyka jest bowiem obejściem prawa. Rozporządzenie 2017/1129 wskazuje, że kierowanie oferty do osób w liczbie poniżej 150 jest wprawdzie ofertą publiczną, ale zwolnione jest z obowiązku sporządzenia prospektu. A zatem konieczne jest zapewnienie skuteczności tego przepisu w taki sposób, aby oferty bez prospektu nie trafiały do większej liczby adresatów niż 150 osób.</w:t>
      </w:r>
      <w:r w:rsidR="00772CF3">
        <w:t xml:space="preserve"> Ponadto, zgodnie z motywem 12 rozporządzenia 2017/1129 państwa członkowskie mają możliwość nakładania innych obowiązków informacyjnych na poziomie krajowym w zakresie, w jakim te obowiązki nie stanowią nieproporcjonalnego lub niepotrzebnego obciążenia.</w:t>
      </w:r>
    </w:p>
    <w:p w14:paraId="3F70C253" w14:textId="77777777" w:rsidR="00772CF3" w:rsidRDefault="00772CF3" w:rsidP="00772CF3">
      <w:pPr>
        <w:pStyle w:val="ARTartustawynprozporzdzenia"/>
      </w:pPr>
      <w:r>
        <w:t xml:space="preserve">Obchodzenie przepisów rozporządzenia 2017/1129 poprzez dokonywanie ofert </w:t>
      </w:r>
      <w:r w:rsidRPr="00BF2F19">
        <w:t>„</w:t>
      </w:r>
      <w:r>
        <w:t>kroczących</w:t>
      </w:r>
      <w:r w:rsidRPr="00BF2F19">
        <w:t>”</w:t>
      </w:r>
      <w:r>
        <w:t xml:space="preserve"> pozbawia przy tym inwestorów detalicznych istotnych i zweryfikowanych przez organ nadzoru informacji o emitencie oraz oferowanych przez niego papierach wartościowych, co w istotny sposób narusza ochronę ich interesów. Proponowane rozwiązanie nie może być zatem oceniane wyłącznie pod kątem dodatkowego obciążenia dla emitentów, ale również jako likwidujące asymetrię informacji pomiędzy emitentem a inwestorem. Brak właściwego nadzoru nad przedmiotowymi ofertami może również generować istotne ryzyko systemowe, a poprzez zmniejszenie zaufania inwestorów do rynku kapitałowego ograniczyć emitentom wykonującym w sposób prawidłowy swoje obowiązki możliwość pozyskania kapitału na tym rynku.</w:t>
      </w:r>
    </w:p>
    <w:p w14:paraId="63DBB65A" w14:textId="77777777" w:rsidR="008C568D" w:rsidRDefault="008C568D" w:rsidP="00772CF3">
      <w:pPr>
        <w:pStyle w:val="ARTartustawynprozporzdzenia"/>
      </w:pPr>
      <w:r>
        <w:t>Projektodawca analizował przy tym różne rozwiązania w tym zakresie, jak choćby proponowany przez uczestników uzgodnień, konsultacji publicznych i opiniowania obowiązek informowania</w:t>
      </w:r>
      <w:r w:rsidRPr="008C568D">
        <w:t xml:space="preserve"> </w:t>
      </w:r>
      <w:r>
        <w:t>Komisji</w:t>
      </w:r>
      <w:r w:rsidRPr="00BF2F19">
        <w:t xml:space="preserve"> Nadzoru Finansowego</w:t>
      </w:r>
      <w:r>
        <w:t>, zwanej</w:t>
      </w:r>
      <w:r w:rsidRPr="00BF2F19">
        <w:t xml:space="preserve"> dalej „KNF”</w:t>
      </w:r>
      <w:r>
        <w:t>, o przeprowadzanych ofertach. Rozwiązanie to nie gwarantowałoby jednak należytej ochrony interesów inwestorów, jakie daje obowiązek sporządzenia memorandum informacyjnego oraz jego zatwierdzenia przez organ nadzoru.</w:t>
      </w:r>
      <w:r w:rsidR="000D06F1">
        <w:t xml:space="preserve"> Samo poinformowanie nadzorcy o danej ofercie publicznej nie daje bowiem inwestorom żadnych informacji o danej ofercie ani o sytuacji emitenta.</w:t>
      </w:r>
    </w:p>
    <w:p w14:paraId="7EEF907B" w14:textId="77777777" w:rsidR="008C568D" w:rsidRDefault="008C568D" w:rsidP="00772CF3">
      <w:pPr>
        <w:pStyle w:val="ARTartustawynprozporzdzenia"/>
      </w:pPr>
      <w:r>
        <w:t>Biorąc pod uwagę powyższe, w ocenie projektodawcy proponowane rozwiązanie stanowi środek proporcjonalny do zamierzonego celu, jakim jest ochrona inwestora detalicznego i zapewnienie mu adekwatnego zakresu informacji o ofercie publicznej, aby mógł on podjąć świadomą decyzję o danej inwestycji.</w:t>
      </w:r>
    </w:p>
    <w:p w14:paraId="4786AD34" w14:textId="77777777" w:rsidR="00283AD9" w:rsidRDefault="00283AD9" w:rsidP="00772CF3">
      <w:pPr>
        <w:pStyle w:val="ARTartustawynprozporzdzenia"/>
      </w:pPr>
      <w:r w:rsidRPr="00283AD9">
        <w:rPr>
          <w:rStyle w:val="Ppogrubienie"/>
        </w:rPr>
        <w:t>Art. 1 pkt 3 lit. c</w:t>
      </w:r>
      <w:r>
        <w:t xml:space="preserve"> uchyla art. 3 ust. 3, który wyłączał niektóre propozycje nabycia akcji spod pojęcia oferty publicznej. W świetle rozporządzenia 2017/1129 przepis taki stanowiłby nieuprawnioną modyfikację definicji oferty publicznej zawartej w tym rozporządzeniu.</w:t>
      </w:r>
    </w:p>
    <w:p w14:paraId="14AF7ABC" w14:textId="77777777" w:rsidR="0008513A" w:rsidRPr="00BF2F19" w:rsidRDefault="000C73F2" w:rsidP="0008513A">
      <w:pPr>
        <w:pStyle w:val="NIEARTTEKSTtekstnieartykuowanynppodstprawnarozplubpreambua"/>
      </w:pPr>
      <w:r w:rsidRPr="00BF2F19">
        <w:rPr>
          <w:rStyle w:val="Ppogrubienie"/>
        </w:rPr>
        <w:t>Art. 1 pkt 4</w:t>
      </w:r>
      <w:r w:rsidR="0008513A" w:rsidRPr="00BF2F19">
        <w:rPr>
          <w:rStyle w:val="Ppogrubienie"/>
        </w:rPr>
        <w:t xml:space="preserve"> projektu</w:t>
      </w:r>
      <w:r w:rsidR="0008513A" w:rsidRPr="00BF2F19">
        <w:t xml:space="preserve"> wprowadza </w:t>
      </w:r>
      <w:r w:rsidR="005525D6" w:rsidRPr="00BF2F19">
        <w:t>liczne zmiany w słowniczku ustawowym, zawartym w art. 4 ustawy o ofercie publicznej, służące dostosowaniu siatki pojęciowej ustawy do przepisów rozporządzenia 2017/1</w:t>
      </w:r>
      <w:r w:rsidR="000B460F">
        <w:t>129. Pojęcia oferty publicznej, emitenta,</w:t>
      </w:r>
      <w:r w:rsidR="005525D6" w:rsidRPr="00BF2F19">
        <w:t xml:space="preserve"> udz</w:t>
      </w:r>
      <w:r w:rsidR="000B460F">
        <w:t>iałowych papierów wartościowych</w:t>
      </w:r>
      <w:r w:rsidR="005525D6" w:rsidRPr="00BF2F19">
        <w:t xml:space="preserve"> oraz reklamy zostały dodane lub zmodyfikowane przez odesłanie do definicji zawartej w rozporządzeniu 2017/1129. Pojęcie sprzedającego zostało zastąpione pojęciem oferującego, również zdefiniowanym przez odesłanie do rozporządzenia 2017/1129. </w:t>
      </w:r>
      <w:r w:rsidR="000B460F">
        <w:t xml:space="preserve">Pojęcie instytucji kredytowej zostało zdefiniowane przez odesłanie do rozporządzenia </w:t>
      </w:r>
      <w:r w:rsidR="00740623">
        <w:t xml:space="preserve">Parlamentu Europejskiego i Rady (UE) nr </w:t>
      </w:r>
      <w:r w:rsidR="000B460F">
        <w:t>575/2013</w:t>
      </w:r>
      <w:r w:rsidR="00740623">
        <w:t xml:space="preserve"> z dnia 26 czerwca 2013 r. w sprawie </w:t>
      </w:r>
      <w:r w:rsidR="00A26289">
        <w:t xml:space="preserve">wymogów ostrożnościowych dla instytucji kredytowych i firm inwestycyjnych, zmieniającego rozporządzenie (UE) nr 648/2012 (Dz. Urz. UE L 176 z 27.06.2013, str. 1), zwanego dalej </w:t>
      </w:r>
      <w:r w:rsidR="00A26289" w:rsidRPr="00BF2F19">
        <w:t>„</w:t>
      </w:r>
      <w:r w:rsidR="00A26289">
        <w:t>rozporządzeniem 575/2013</w:t>
      </w:r>
      <w:r w:rsidR="00A26289" w:rsidRPr="00BF2F19">
        <w:t>”</w:t>
      </w:r>
      <w:r w:rsidR="000B460F">
        <w:t xml:space="preserve">. </w:t>
      </w:r>
      <w:r w:rsidR="005525D6" w:rsidRPr="00BF2F19">
        <w:t>Ponadto uchylone zostały definicje subemitenta inwestycyjnego i subemitenta usługowego, ponieważ proponuje się deregulację gwarantowania emisji poprzez pozostawienie jej kształtowania przez emitenta i podmioty gwarantujące, przede wszystkim w oparciu o przepisy prawa cywilnego.</w:t>
      </w:r>
      <w:r w:rsidR="00B867A0">
        <w:t xml:space="preserve"> Na potrzeby uregulowania istotnych transakcji zawieranych przez spółki, których akcje zostały dopuszczone do obrotu na rynku regulowanym, definiuje się także podmiot powiązany.</w:t>
      </w:r>
    </w:p>
    <w:p w14:paraId="2B0445C8" w14:textId="0D123B0C" w:rsidR="005525D6" w:rsidRPr="00BF2F19" w:rsidRDefault="005525D6" w:rsidP="005525D6">
      <w:pPr>
        <w:pStyle w:val="ARTartustawynprozporzdzenia"/>
      </w:pPr>
      <w:r w:rsidRPr="00BF2F19">
        <w:t xml:space="preserve">Na mocy </w:t>
      </w:r>
      <w:r w:rsidRPr="00BF2F19">
        <w:rPr>
          <w:rStyle w:val="Ppogrubienie"/>
        </w:rPr>
        <w:t>art. 1 pkt 5</w:t>
      </w:r>
      <w:r w:rsidRPr="00BF2F19">
        <w:t xml:space="preserve">, w </w:t>
      </w:r>
      <w:r w:rsidR="001C15DE">
        <w:t xml:space="preserve">nowym brzmieniu </w:t>
      </w:r>
      <w:r w:rsidRPr="00BF2F19">
        <w:t>art. 4a ustawy o ofercie publicznej dodaje się ust. 2</w:t>
      </w:r>
      <w:r w:rsidR="001C15DE">
        <w:t xml:space="preserve"> i 3</w:t>
      </w:r>
      <w:r w:rsidRPr="00BF2F19">
        <w:t xml:space="preserve">, </w:t>
      </w:r>
      <w:r w:rsidR="001C15DE" w:rsidRPr="00BF2F19">
        <w:t>któr</w:t>
      </w:r>
      <w:r w:rsidR="001C15DE">
        <w:t>e</w:t>
      </w:r>
      <w:r w:rsidR="001C15DE" w:rsidRPr="00BF2F19">
        <w:t xml:space="preserve"> </w:t>
      </w:r>
      <w:r w:rsidRPr="00BF2F19">
        <w:t>określa</w:t>
      </w:r>
      <w:r w:rsidR="001C15DE">
        <w:t>ją</w:t>
      </w:r>
      <w:r w:rsidRPr="00BF2F19">
        <w:t xml:space="preserve"> sposób przeliczania kwot zawartych w rozporządzeniu 2017/1129 z euro na złote</w:t>
      </w:r>
      <w:r w:rsidR="001C15DE">
        <w:t xml:space="preserve">, oraz nowy ust. 4 dotyczący </w:t>
      </w:r>
      <w:r w:rsidR="00DC5D53">
        <w:t>zasad obliczania wartości emisji w przypadku warrantów</w:t>
      </w:r>
      <w:r w:rsidRPr="00BF2F19">
        <w:t>.</w:t>
      </w:r>
    </w:p>
    <w:p w14:paraId="5DF5C812" w14:textId="77777777" w:rsidR="00E53643" w:rsidRPr="00BF2F19" w:rsidRDefault="00E53643" w:rsidP="005525D6">
      <w:pPr>
        <w:pStyle w:val="ARTartustawynprozporzdzenia"/>
      </w:pPr>
      <w:r w:rsidRPr="00BF2F19">
        <w:rPr>
          <w:rStyle w:val="Ppogrubienie"/>
        </w:rPr>
        <w:t>Art. 1 pkt 6</w:t>
      </w:r>
      <w:r w:rsidRPr="00BF2F19">
        <w:t xml:space="preserve"> dodaje ust. 2 w art. 4b. Brzmienie tego przepisu jest tożsame z brzmieniem dotychczas obowiązującego art. 26 ust. 2 ustawy o ofercie publicznej. Zmiana ta ma na celu umiejscowienie w jednym artykule dwóch kwestii o charakterze definicyjnym w odniesieniu do różnych etapów ubiegania się przez emitenta o dopuszczenie papierów wartościowych do obrotu na rynku regulowanym.</w:t>
      </w:r>
    </w:p>
    <w:p w14:paraId="39094024" w14:textId="77777777" w:rsidR="00E53643" w:rsidRPr="00BF2F19" w:rsidRDefault="00E53643" w:rsidP="005525D6">
      <w:pPr>
        <w:pStyle w:val="ARTartustawynprozporzdzenia"/>
      </w:pPr>
      <w:r w:rsidRPr="00BF2F19">
        <w:rPr>
          <w:rStyle w:val="Ppogrubienie"/>
        </w:rPr>
        <w:t>Art. 1 pkt 7</w:t>
      </w:r>
      <w:r w:rsidR="00580155" w:rsidRPr="00BF2F19">
        <w:t>, nowelizujący brzmienie art. 5a ustawy o o</w:t>
      </w:r>
      <w:r w:rsidR="00903BE9" w:rsidRPr="00BF2F19">
        <w:t>fercie publicznej, dostosowuje siatkę pojęciową używaną w tym przepisie do tej obowiązującej w rozporządzeniu 2017/1129 oraz doprecyzowuje</w:t>
      </w:r>
      <w:r w:rsidR="00580155" w:rsidRPr="00BF2F19">
        <w:t xml:space="preserve"> zasady gromadzenia i przekazywania środków pieniężnych z tytułu zapisów na papiery wartościowe będące przedmiotem oferty publicznej.</w:t>
      </w:r>
      <w:r w:rsidR="00903BE9" w:rsidRPr="00BF2F19">
        <w:t xml:space="preserve"> W szczególności </w:t>
      </w:r>
      <w:r w:rsidR="00982AEB" w:rsidRPr="00BF2F19">
        <w:t xml:space="preserve">do przepisu dodano zasady przekazywania środków pieniężnych w przypadku ubiegania się przez emitenta o dopuszczenie papierów wartościowych do obrotu na rynku regulowanym. Przepis reguluje też zasady zwrotu środków pieniężnych w przypadku </w:t>
      </w:r>
      <w:r w:rsidR="00B02DAF">
        <w:t>nie</w:t>
      </w:r>
      <w:r w:rsidR="00982AEB" w:rsidRPr="00BF2F19">
        <w:t>dopuszczenia papierów wartościowych do obrotu na rynku regulowanym</w:t>
      </w:r>
      <w:r w:rsidR="00F0516A">
        <w:t xml:space="preserve"> oraz umorzenia akcji następującego w takim przypadku</w:t>
      </w:r>
      <w:r w:rsidR="00982AEB" w:rsidRPr="00BF2F19">
        <w:t>.</w:t>
      </w:r>
      <w:r w:rsidR="00F0516A">
        <w:t xml:space="preserve"> Proponuje się aby, podobnie jak jest to przewidziane w art.</w:t>
      </w:r>
      <w:r w:rsidR="00F0516A" w:rsidRPr="00AC1D76">
        <w:t xml:space="preserve"> 363</w:t>
      </w:r>
      <w:r w:rsidR="00F0516A">
        <w:t xml:space="preserve"> </w:t>
      </w:r>
      <w:r w:rsidR="00F0516A" w:rsidRPr="00AC1D76">
        <w:t>§</w:t>
      </w:r>
      <w:r w:rsidR="00F0516A">
        <w:t> </w:t>
      </w:r>
      <w:r w:rsidR="00F0516A" w:rsidRPr="00AC1D76">
        <w:t xml:space="preserve">5 </w:t>
      </w:r>
      <w:r w:rsidR="00F0516A">
        <w:t>KSH w przypadku przekroczenia terminów zbycia akcji własnych, umorzenie akcji następowało w trybie ustawowym, bez wymogu uregulowania umorzenia akcji w statucie spółki.</w:t>
      </w:r>
    </w:p>
    <w:p w14:paraId="32EE8A9B" w14:textId="77777777" w:rsidR="00383D75" w:rsidRPr="00BF2F19" w:rsidRDefault="00383D75" w:rsidP="005525D6">
      <w:pPr>
        <w:pStyle w:val="ARTartustawynprozporzdzenia"/>
      </w:pPr>
      <w:r w:rsidRPr="00BF2F19">
        <w:t xml:space="preserve">Zmiana zaproponowana w </w:t>
      </w:r>
      <w:r w:rsidRPr="00BF2F19">
        <w:rPr>
          <w:rStyle w:val="Ppogrubienie"/>
        </w:rPr>
        <w:t>art. 1 pkt 8</w:t>
      </w:r>
      <w:r w:rsidRPr="00BF2F19">
        <w:t xml:space="preserve"> jest związana z problemem zidentyfikowanym przez </w:t>
      </w:r>
      <w:r w:rsidR="008C568D">
        <w:t>KNF</w:t>
      </w:r>
      <w:r w:rsidRPr="00BF2F19">
        <w:t xml:space="preserve"> w praktyce nadzorczej, tj. obciążającym inwestorów ryzykiem związanym z niepełnym pokryciem kapitału zakładowego. Przy obejmowaniu akcji w podwyższanym kapitale zakładowym akcje są opłacane w formie bezgotówkowej poprzez potrącanie wierzytelności pieniężnych posiadanych wobec akcjonariuszy obejmujących akcje wobec emitenta, z wierzytelnościami emitenta wobec podmiotów emitujących akcje, powstającymi z tytułu ich obejmowania. Przepisy KSH umożliwiają opłacenie akcji w formie umownego potrącenia wzajemnie przysługujących wierzytelności, a ten sposób pokrywania akcji jest uznawany przez doktrynę i orzecznictwo za wkład pieniężny. Taka forma opłacenia akcji, jako forma gotówkowa, nie wymaga w obecnym stanie prawnym dokonania wyceny wierzytelności, jak to ma miejsce w przypadku pokrycia akcji wkładem niepieniężnym (aportem). Obowiązek wyceny wkładów niepieniężnych ma na celu m.in. zapewnienie realnego pokrycia kapitału zakładowego spółki.</w:t>
      </w:r>
    </w:p>
    <w:p w14:paraId="04483ADF" w14:textId="77777777" w:rsidR="00483348" w:rsidRPr="00BF2F19" w:rsidRDefault="00483348" w:rsidP="005525D6">
      <w:pPr>
        <w:pStyle w:val="ARTartustawynprozporzdzenia"/>
      </w:pPr>
      <w:r w:rsidRPr="00BF2F19">
        <w:t xml:space="preserve">W praktyce obrotu daje się zauważyć zjawisko wnoszenia tzw. ukrytych aportów, bardzo często również przez kreowanie wierzytelności pieniężnych mających stanowić z założenia zapłatę za nabycie przez emitenta aktywów (akcji lub udziałów spółek) – wierzytelności przyszłych, warunkowych, formalnie nadających się do potrącenia z wierzytelnością powstałą z tytułu objęcia akcji emitenta, w miejsce prostego wniesienia do emitenta tych akcji lub udziałów jako aportu, co wymagałoby dokonania stosownej wyceny i wiązałoby się z poddaniem tej transakcji procedurom i ograniczeniom wynikającym z KSH. Często wierzytelności emitenta wobec potencjalnego inwestora powstają tuż przed planowaną emisją akcji, wnoszone są do spółki i wraz z ich wniesieniem podlegają umownemu potrąceniu z wierzytelnością spółki </w:t>
      </w:r>
      <w:r w:rsidR="00214A56" w:rsidRPr="00BF2F19">
        <w:t>podwyższającej kapitał powstałą</w:t>
      </w:r>
      <w:r w:rsidRPr="00BF2F19">
        <w:t xml:space="preserve"> z </w:t>
      </w:r>
      <w:r w:rsidR="00214A56" w:rsidRPr="00BF2F19">
        <w:t>tytułu opłacenia akcji, a zatem nie podlegają jakiejkolwiek wycenie na żadnym etapie procesu podwyższenia kapitału zakładowego. Wysokość tak wykreowanych wierzytelności pieniężnych nie odzwierciedla często ich realnej wartości ekonomicznej, co pozwala zadać pytanie o uzasadnienie ekonomiczne tego typu transakcji z punktu widzenia podmiotów obejmujących akcje, skoro wartość akcji w obrocie rynkowym jest kilkukrotnie niższa od ich ceny emisyjnej. Ustalenie wartości nominalnej wierzytelności pomiędzy stronami danej transakcji może być zatem podporządkowane innym celom niż zapewnienie ekwiwalentności ekonomicznej świadczenia pieniężnego za wnoszone do spółki aktywa niepieniężne.</w:t>
      </w:r>
    </w:p>
    <w:p w14:paraId="62073954" w14:textId="77777777" w:rsidR="00214A56" w:rsidRPr="00BF2F19" w:rsidRDefault="00214A56" w:rsidP="005525D6">
      <w:pPr>
        <w:pStyle w:val="ARTartustawynprozporzdzenia"/>
      </w:pPr>
      <w:r w:rsidRPr="00BF2F19">
        <w:t>Aby zapobiec opisanym wyżej sytuacjom proponuje się w dodawanym art. 6a zobowiązać zarząd spółki publicznej do sporządzania sprawozdania w przypadkach, gdy wpłaty należne na poczet akcji w celu podwyższenia przez spółkę publiczną kapitału zakładowego</w:t>
      </w:r>
      <w:r w:rsidR="004E6416" w:rsidRPr="00BF2F19">
        <w:t xml:space="preserve"> mają zostać dokonane przez potrącenie wierzytelności spółki z tego tytułu, z wierzytelnością subskrybenta względem spółki. Sprawozdanie zawierałoby najważniejsze dane o takiej transakcji i podlegałoby opinii biegłego rewidenta.</w:t>
      </w:r>
    </w:p>
    <w:p w14:paraId="4A2F2DD2" w14:textId="77777777" w:rsidR="00E53643" w:rsidRPr="00BF2F19" w:rsidRDefault="00E53643" w:rsidP="005525D6">
      <w:pPr>
        <w:pStyle w:val="ARTartustawynprozporzdzenia"/>
      </w:pPr>
      <w:r w:rsidRPr="00BF2F19">
        <w:rPr>
          <w:rStyle w:val="Ppogrubienie"/>
        </w:rPr>
        <w:t xml:space="preserve">Art. 1 pkt </w:t>
      </w:r>
      <w:r w:rsidR="004E6416" w:rsidRPr="00BF2F19">
        <w:rPr>
          <w:rStyle w:val="Ppogrubienie"/>
        </w:rPr>
        <w:t>9</w:t>
      </w:r>
      <w:r w:rsidRPr="00BF2F19">
        <w:t xml:space="preserve"> uchyla art. 7–9 ustawy o ofercie publicznej. Uchylenie art. 7 podyktowane jest obowiązywaniem tożsamych regulacji na poziomie rozporządzenia 2017/1129 (tj. art. 1, </w:t>
      </w:r>
      <w:r w:rsidR="00FD7166">
        <w:t xml:space="preserve">art. </w:t>
      </w:r>
      <w:r w:rsidRPr="00BF2F19">
        <w:t xml:space="preserve">3 i </w:t>
      </w:r>
      <w:r w:rsidR="00FD7166">
        <w:t xml:space="preserve">art. </w:t>
      </w:r>
      <w:r w:rsidRPr="00BF2F19">
        <w:t xml:space="preserve">4 tego rozporządzenia). </w:t>
      </w:r>
      <w:r w:rsidR="00264CF7" w:rsidRPr="00BF2F19">
        <w:t xml:space="preserve">Uchylenie art. 8 związane jest z brakiem stosowania dotychczas tej regulacji w praktyce. Natomiast art. 9 ustawy o ofercie </w:t>
      </w:r>
      <w:r w:rsidR="00AC6778">
        <w:t xml:space="preserve">publicznej </w:t>
      </w:r>
      <w:r w:rsidR="00264CF7" w:rsidRPr="00BF2F19">
        <w:t>stanowił implementację regulacji zawartej w dyrektywie 2003/71/WE. Rozporządzenie 2017/1129 nie zawiera odpowiednika tego przepisu, w związku z czym utrzymywanie art. 9 w polskim porządku prawnym jest zbędne.</w:t>
      </w:r>
    </w:p>
    <w:p w14:paraId="0EFDB71F" w14:textId="77777777" w:rsidR="00264CF7" w:rsidRDefault="00264CF7" w:rsidP="005525D6">
      <w:pPr>
        <w:pStyle w:val="ARTartustawynprozporzdzenia"/>
      </w:pPr>
      <w:r w:rsidRPr="00BF2F19">
        <w:rPr>
          <w:rStyle w:val="Ppogrubienie"/>
        </w:rPr>
        <w:t xml:space="preserve">Art. 1 pkt </w:t>
      </w:r>
      <w:r w:rsidR="004E6416" w:rsidRPr="00BF2F19">
        <w:rPr>
          <w:rStyle w:val="Ppogrubienie"/>
        </w:rPr>
        <w:t>10</w:t>
      </w:r>
      <w:r w:rsidRPr="00BF2F19">
        <w:t xml:space="preserve"> upraszcza zasady ewidencji papierów wartościowych poprzez </w:t>
      </w:r>
      <w:r w:rsidR="00FD7166">
        <w:t xml:space="preserve">ograniczenie zakresu informacji zawartych w tej ewidencji jedynie do akcji oraz </w:t>
      </w:r>
      <w:r w:rsidRPr="00BF2F19">
        <w:t xml:space="preserve">wprowadzenie elektronicznej wersji zawiadomień składanych przez emitentów, co </w:t>
      </w:r>
      <w:r w:rsidRPr="00BF2F19">
        <w:rPr>
          <w:rStyle w:val="Kkursywa"/>
        </w:rPr>
        <w:t>de facto</w:t>
      </w:r>
      <w:r w:rsidRPr="00BF2F19">
        <w:t xml:space="preserve"> będzie skutkować samodzielnym uzupełnianiem ewidencji przez emitentów. Konsekwencją będzie także zniesienie opłaty </w:t>
      </w:r>
      <w:r w:rsidR="00DD0BF1" w:rsidRPr="00BF2F19">
        <w:t>z tytułu wpisu do tej ewidencji i jej prowadzenia. Ze względu na brak instrumentów finansowych niebędących papierami wartościowymi oferowanych w formie oferty publicznej zasadne jest również uchylenie przepisów o ich ewidencji prowadzonej przez KNF.</w:t>
      </w:r>
    </w:p>
    <w:p w14:paraId="3666CDF8" w14:textId="5760746D" w:rsidR="00FD7166" w:rsidRPr="00BF2F19" w:rsidRDefault="00FD7166" w:rsidP="00FD7166">
      <w:pPr>
        <w:pStyle w:val="ARTartustawynprozporzdzenia"/>
      </w:pPr>
      <w:r>
        <w:t>Ograniczenie zakresu informacji zawartych w ewidencji jedynie do akcji jest natomiast związane</w:t>
      </w:r>
      <w:r w:rsidRPr="00FD7166">
        <w:t xml:space="preserve"> z wejściem w życie ustawy z dnia 9 listopada 2018 r. o zmianie niektórych ustaw</w:t>
      </w:r>
      <w:r>
        <w:t xml:space="preserve"> </w:t>
      </w:r>
      <w:r w:rsidRPr="00FD7166">
        <w:t>w związku ze wzmocnieniem nadzoru nad rynkiem finansowym oraz ochrony inwestorów na</w:t>
      </w:r>
      <w:r>
        <w:t xml:space="preserve"> </w:t>
      </w:r>
      <w:r w:rsidRPr="00FD7166">
        <w:t>tym ryn</w:t>
      </w:r>
      <w:r>
        <w:t>ku (Dz. U. z 2018 r. poz. 2243</w:t>
      </w:r>
      <w:r w:rsidR="00612587">
        <w:t>, z późn. zm.</w:t>
      </w:r>
      <w:r>
        <w:t>).</w:t>
      </w:r>
      <w:r w:rsidRPr="00FD7166">
        <w:t xml:space="preserve"> </w:t>
      </w:r>
      <w:r>
        <w:t xml:space="preserve">Na mocy tej ustawy, od dnia 1 lipca 2019 r. </w:t>
      </w:r>
      <w:r w:rsidRPr="00FD7166">
        <w:t xml:space="preserve">certyfikaty inwestycyjne oraz obligacje </w:t>
      </w:r>
      <w:r w:rsidR="00787753" w:rsidRPr="00FD7166">
        <w:t>podlega</w:t>
      </w:r>
      <w:r w:rsidR="00787753">
        <w:t xml:space="preserve">ją </w:t>
      </w:r>
      <w:r w:rsidRPr="00FD7166">
        <w:t>obowiązkowej dematerializacji i rejestracji przez Krajowy Depozyt Papierów Wartościowych.</w:t>
      </w:r>
      <w:r>
        <w:t xml:space="preserve"> </w:t>
      </w:r>
      <w:r w:rsidRPr="00FD7166">
        <w:t>Prowadzenie dodatkowej ewidencji tych papierów wartościowych przez KNF nie będzie niosło</w:t>
      </w:r>
      <w:r>
        <w:t xml:space="preserve"> </w:t>
      </w:r>
      <w:r w:rsidRPr="00FD7166">
        <w:t>zatem ze sobą dodatkowego waloru informacyjnego. W konsekwencji nie ma uzasadnienia dla</w:t>
      </w:r>
      <w:r>
        <w:t xml:space="preserve"> </w:t>
      </w:r>
      <w:r w:rsidRPr="00FD7166">
        <w:t>nakładania dodatkowych obowiązków ewidencyjnych na emitentów tych papierów</w:t>
      </w:r>
      <w:r>
        <w:t xml:space="preserve"> </w:t>
      </w:r>
      <w:r w:rsidRPr="00FD7166">
        <w:t>wartościowych.</w:t>
      </w:r>
    </w:p>
    <w:p w14:paraId="20F8754B" w14:textId="77777777" w:rsidR="00DD0BF1" w:rsidRDefault="00DD0BF1" w:rsidP="005525D6">
      <w:pPr>
        <w:pStyle w:val="ARTartustawynprozporzdzenia"/>
      </w:pPr>
      <w:r w:rsidRPr="00BF2F19">
        <w:t xml:space="preserve">Uchylenie art. 11 ustawy o ofercie publicznej, dokonywane w </w:t>
      </w:r>
      <w:r w:rsidR="004E6416" w:rsidRPr="00BF2F19">
        <w:rPr>
          <w:rStyle w:val="Ppogrubienie"/>
        </w:rPr>
        <w:t>art. 1 pkt 11</w:t>
      </w:r>
      <w:r w:rsidRPr="00BF2F19">
        <w:rPr>
          <w:rStyle w:val="Ppogrubienie"/>
        </w:rPr>
        <w:t xml:space="preserve"> projektu</w:t>
      </w:r>
      <w:r w:rsidRPr="00BF2F19">
        <w:t>, jest spowodowane obowiązywaniem bezpośrednio przepisu art. 2 lit. m rozporządzenia 2017/1129.</w:t>
      </w:r>
    </w:p>
    <w:p w14:paraId="76B87BAF" w14:textId="77777777" w:rsidR="00F0516A" w:rsidRPr="00BF2F19" w:rsidRDefault="00F0516A" w:rsidP="003F11BE">
      <w:pPr>
        <w:pStyle w:val="ARTartustawynprozporzdzenia"/>
      </w:pPr>
      <w:r w:rsidRPr="00F0516A">
        <w:rPr>
          <w:rStyle w:val="Ppogrubienie"/>
        </w:rPr>
        <w:t>Art. 1 pkt 12</w:t>
      </w:r>
      <w:r>
        <w:t xml:space="preserve"> dokonuje modyfikacji w art. 11a ustawy o ofercie publicznej, który w dotychczasowym brzmieniu przewidywał, że do złożenia wniosku o </w:t>
      </w:r>
      <w:r w:rsidRPr="0024455D">
        <w:t xml:space="preserve">dopuszczenie papierów wartościowych do obrotu na rynku regulowanym </w:t>
      </w:r>
      <w:r>
        <w:t>był uprawniony jedynie</w:t>
      </w:r>
      <w:r w:rsidRPr="0024455D">
        <w:t xml:space="preserve"> ich emitent</w:t>
      </w:r>
      <w:r>
        <w:t xml:space="preserve">. </w:t>
      </w:r>
      <w:r w:rsidRPr="00F0516A">
        <w:t>Zgodnie z art. 51 ust. 5 dyrektywy</w:t>
      </w:r>
      <w:r w:rsidR="00CD07CA">
        <w:t xml:space="preserve"> 2014/65/UE</w:t>
      </w:r>
      <w:r w:rsidRPr="00F0516A">
        <w:t>, papiery wartościowe dopuszczone do obrotu na rynku regulowanym można następnie dopuścić do obrotu na innych rynkach regulowanych, nawet bez zgody emitenta oraz zgodnie z właściwymi przepisam</w:t>
      </w:r>
      <w:r w:rsidR="00CD07CA">
        <w:t>i rozporządzenia prospektowego.</w:t>
      </w:r>
      <w:r w:rsidR="003F11BE">
        <w:t xml:space="preserve"> </w:t>
      </w:r>
      <w:r w:rsidRPr="00F0516A">
        <w:t xml:space="preserve">Obecne brzmienie art. 11a ustawy o ofercie publicznej jest istotną barierą w pozyskiwaniu bardzo płynnych papierów wartościowych z innych rynków regulowanych, co niewątpliwie wpływa na konkurencyjność polskich rynków regulowanych na tle rynków </w:t>
      </w:r>
      <w:r w:rsidR="00F21B4F" w:rsidRPr="00F0516A">
        <w:t xml:space="preserve">funkcjonujących </w:t>
      </w:r>
      <w:r w:rsidRPr="00F0516A">
        <w:t xml:space="preserve">w innych państwach członkowskich. </w:t>
      </w:r>
      <w:r w:rsidR="003F11BE">
        <w:t>Również r</w:t>
      </w:r>
      <w:r w:rsidRPr="00F0516A">
        <w:t xml:space="preserve">ozporządzenie </w:t>
      </w:r>
      <w:r w:rsidR="003F11BE">
        <w:t>2017/1129</w:t>
      </w:r>
      <w:r w:rsidRPr="00F0516A">
        <w:t xml:space="preserve"> zawiera szereg norm odnoszących się do „osoby wnioskującej o dopuszczenie do obrotu na rynku regulowanym”</w:t>
      </w:r>
      <w:r w:rsidR="003F11BE">
        <w:t>, która w przypadku wskazanym w</w:t>
      </w:r>
      <w:r w:rsidRPr="00F0516A">
        <w:t xml:space="preserve"> art. 51 ust. 5 dyrektywy </w:t>
      </w:r>
      <w:r w:rsidR="003F11BE">
        <w:t>2014/65/UE</w:t>
      </w:r>
      <w:r w:rsidRPr="00F0516A">
        <w:t xml:space="preserve"> wnioskuje o dopuszczenie papierów wartościowych do obrotu na rynku regulowanym zamiast emitenta i bez jego zgody.</w:t>
      </w:r>
      <w:r w:rsidR="003F11BE">
        <w:t xml:space="preserve"> Z tych względów projekt zakłada nowelizację art. 11a, tak aby przepis ten dopuszczał również składanie wniosków o dopuszczenie papierów wartościowych do obrotu na rynku regulowanym także przez inne podmioty, bez konieczności uzyskiwania zgody emitenta.</w:t>
      </w:r>
    </w:p>
    <w:p w14:paraId="1E6DE6AE" w14:textId="77777777" w:rsidR="00DD0BF1" w:rsidRPr="00BF2F19" w:rsidRDefault="00DD0BF1" w:rsidP="005525D6">
      <w:pPr>
        <w:pStyle w:val="ARTartustawynprozporzdzenia"/>
      </w:pPr>
      <w:r w:rsidRPr="00BF2F19">
        <w:t xml:space="preserve">Art. 12 i 13 ustawy o ofercie publicznej, uchylane przez </w:t>
      </w:r>
      <w:r w:rsidR="00BC03D3">
        <w:rPr>
          <w:rStyle w:val="Ppogrubienie"/>
        </w:rPr>
        <w:t>art. 1 pkt 13</w:t>
      </w:r>
      <w:r w:rsidRPr="00BF2F19">
        <w:rPr>
          <w:rStyle w:val="Ppogrubienie"/>
        </w:rPr>
        <w:t xml:space="preserve"> projektu</w:t>
      </w:r>
      <w:r w:rsidRPr="00BF2F19">
        <w:t>, wskazywały jedynie na mające zastosowanie do dematerializacji papierów wartościowych przepisy ustawy o obrocie instrumentami finansowymi. Przepisy te miały jedynie charakter informacyjny, nie mając istotnej treści normatywnej. Z tego względu wskazane jest ich uchylenie.</w:t>
      </w:r>
      <w:r w:rsidR="009F1DE0" w:rsidRPr="00BF2F19">
        <w:t xml:space="preserve"> Natomiast uchylenie art. 14 wiąże się z odejściem od ustawowego kształtowania umów o subemisję inwestycyjną.</w:t>
      </w:r>
    </w:p>
    <w:p w14:paraId="79376FA8" w14:textId="77777777" w:rsidR="00DD0BF1" w:rsidRPr="00BF2F19" w:rsidRDefault="009F1DE0" w:rsidP="005525D6">
      <w:pPr>
        <w:pStyle w:val="ARTartustawynprozporzdzenia"/>
      </w:pPr>
      <w:r w:rsidRPr="00BF2F19">
        <w:t>Dodanie</w:t>
      </w:r>
      <w:r w:rsidR="00DD0BF1" w:rsidRPr="00BF2F19">
        <w:t xml:space="preserve"> art. 14</w:t>
      </w:r>
      <w:r w:rsidRPr="00BF2F19">
        <w:t>a</w:t>
      </w:r>
      <w:r w:rsidR="00DD0BF1" w:rsidRPr="00BF2F19">
        <w:t xml:space="preserve"> i uchylenie art. 15 ustawy o ofercie publicznej, zawarte w </w:t>
      </w:r>
      <w:r w:rsidR="00BC03D3">
        <w:rPr>
          <w:rStyle w:val="Ppogrubienie"/>
        </w:rPr>
        <w:t>art. 1 pkt 14 i 15</w:t>
      </w:r>
      <w:r w:rsidR="00DD0BF1" w:rsidRPr="00BF2F19">
        <w:rPr>
          <w:rStyle w:val="Ppogrubienie"/>
        </w:rPr>
        <w:t xml:space="preserve"> projektowanej ustawy</w:t>
      </w:r>
      <w:r w:rsidR="00DD0BF1" w:rsidRPr="00BF2F19">
        <w:t>, mają na celu odejście od ustawoweg</w:t>
      </w:r>
      <w:r w:rsidR="00491ACE" w:rsidRPr="00BF2F19">
        <w:t xml:space="preserve">o kształtowania relacji emitenta z </w:t>
      </w:r>
      <w:r w:rsidR="00DD0BF1" w:rsidRPr="00BF2F19">
        <w:t>podmiot</w:t>
      </w:r>
      <w:r w:rsidR="00491ACE" w:rsidRPr="00BF2F19">
        <w:t>em</w:t>
      </w:r>
      <w:r w:rsidR="00DD0BF1" w:rsidRPr="00BF2F19">
        <w:t xml:space="preserve"> zabezpieczający</w:t>
      </w:r>
      <w:r w:rsidR="00491ACE" w:rsidRPr="00BF2F19">
        <w:t>m</w:t>
      </w:r>
      <w:r w:rsidR="00DD0BF1" w:rsidRPr="00BF2F19">
        <w:t xml:space="preserve"> dojście oferty do skutku</w:t>
      </w:r>
      <w:r w:rsidR="00491ACE" w:rsidRPr="00BF2F19">
        <w:t>, na rzecz pozostawienia stronom swobody w kształtowaniu tego stosunku w oparciu o przepisy prawa cywilnego i praktykę rynkową. Na poziomie ustawowym proponuje się jedynie pozostawienie przepisów regulujących aspekty zasadnicze (np. kwestia</w:t>
      </w:r>
      <w:r w:rsidR="00EC044C">
        <w:t>,</w:t>
      </w:r>
      <w:r w:rsidR="00491ACE" w:rsidRPr="00BF2F19">
        <w:t xml:space="preserve"> które podmioty mogą pełnić rolę gwaranta emisji) lub specyficzne (np. oferowanie prawa do objęcia papierów) dla zapewnienia bezpieczeństwa obrotu.</w:t>
      </w:r>
    </w:p>
    <w:p w14:paraId="5EC3870D" w14:textId="77777777" w:rsidR="00491ACE" w:rsidRPr="00BF2F19" w:rsidRDefault="00491ACE" w:rsidP="005525D6">
      <w:pPr>
        <w:pStyle w:val="ARTartustawynprozporzdzenia"/>
      </w:pPr>
      <w:r w:rsidRPr="00BF2F19">
        <w:rPr>
          <w:rStyle w:val="Ppogrubienie"/>
        </w:rPr>
        <w:t>Art. 1 pkt 1</w:t>
      </w:r>
      <w:r w:rsidR="00BC03D3">
        <w:rPr>
          <w:rStyle w:val="Ppogrubienie"/>
        </w:rPr>
        <w:t>6</w:t>
      </w:r>
      <w:r w:rsidRPr="00BF2F19">
        <w:t xml:space="preserve"> modyfikuje przepis </w:t>
      </w:r>
      <w:r w:rsidR="001B5C43">
        <w:t xml:space="preserve">art. 15a ustawy o ofercie publicznej, </w:t>
      </w:r>
      <w:r w:rsidRPr="00BF2F19">
        <w:t>odnoszący się do tzw. oferty kaskadowej. Zmiany polegają na odniesieniu się w przepisach krajowych do bezpośrednio obowiązujących w tym zakresie przepisów rozporządzenia 2017/1129.</w:t>
      </w:r>
    </w:p>
    <w:p w14:paraId="0E20E3DA" w14:textId="77777777" w:rsidR="005D3153" w:rsidRPr="00BF2F19" w:rsidRDefault="005D3153" w:rsidP="005525D6">
      <w:pPr>
        <w:pStyle w:val="ARTartustawynprozporzdzenia"/>
      </w:pPr>
      <w:r w:rsidRPr="00BF2F19">
        <w:rPr>
          <w:rStyle w:val="Ppogrubienie"/>
        </w:rPr>
        <w:t>Art. 1 pkt 1</w:t>
      </w:r>
      <w:r w:rsidR="00BC03D3">
        <w:rPr>
          <w:rStyle w:val="Ppogrubienie"/>
        </w:rPr>
        <w:t>7</w:t>
      </w:r>
      <w:r w:rsidRPr="00BF2F19">
        <w:t xml:space="preserve"> dodaje do ustawy o ofercie publicznej art. 15b, w którym zawarte będą środki nadzorcze przysługujące KNF w przypadku naruszenia przez emitentów i oferujących regulacji dotyczących reklamy. Przepisy te dotychczas zawarte były w art. 53, jednak w konsekwencji znaczącego ograniczenia regulacji ustawowej w zakresie reklamy ofert publicznych oraz dla zebrania w jednym miejscu w ustawie wszystkich regulacji dotyczących środków nadzorczych KNF, właściwsze wydaje się umiejscowienie także środków nadzorczych dotyczących reklam w tym miejscu ustawy.</w:t>
      </w:r>
    </w:p>
    <w:p w14:paraId="1ED1EBC7" w14:textId="3B46A8FE" w:rsidR="005D3153" w:rsidRPr="00BF2F19" w:rsidRDefault="005D3153" w:rsidP="005525D6">
      <w:pPr>
        <w:pStyle w:val="ARTartustawynprozporzdzenia"/>
      </w:pPr>
      <w:r w:rsidRPr="00BF2F19">
        <w:t xml:space="preserve">Zmiana brzmienia art. 16 i </w:t>
      </w:r>
      <w:r w:rsidR="00190C8E">
        <w:t xml:space="preserve">art. </w:t>
      </w:r>
      <w:r w:rsidRPr="00BF2F19">
        <w:t xml:space="preserve">17 ustawy o ofercie publicznej, wprowadzana przez </w:t>
      </w:r>
      <w:r w:rsidR="00BC03D3">
        <w:rPr>
          <w:rStyle w:val="Ppogrubienie"/>
        </w:rPr>
        <w:t>art. 1 pkt 18</w:t>
      </w:r>
      <w:r w:rsidRPr="00BF2F19">
        <w:rPr>
          <w:rStyle w:val="Ppogrubienie"/>
        </w:rPr>
        <w:t xml:space="preserve"> projektu</w:t>
      </w:r>
      <w:r w:rsidRPr="00BF2F19">
        <w:t xml:space="preserve">, służy wprowadzeniu nowego środka nadzorczego </w:t>
      </w:r>
      <w:r w:rsidR="009366C2" w:rsidRPr="00BF2F19">
        <w:t>będącego w dyspozycji KNF w postaci zalecenia. Byłby to instrument znacznie bardziej elastyczny od dotychczas</w:t>
      </w:r>
      <w:r w:rsidR="00AE1C50" w:rsidRPr="00BF2F19">
        <w:t xml:space="preserve"> przewidzianych w art. 16 i </w:t>
      </w:r>
      <w:r w:rsidR="00190C8E">
        <w:t xml:space="preserve">art. </w:t>
      </w:r>
      <w:r w:rsidR="00AE1C50" w:rsidRPr="00BF2F19">
        <w:t>17, ponieważ nie wymagałby on wszczęcia postępowania i wydania decyzji. Dzięki temu KNF mogłaby szybko reagować na zauważone nieprawidłowości w trakcie oferty publicznej (art. 16) lub w odniesieniu do działań emitenta związanych z dopuszczeniem jego papierów wartościowych do obrotu na rynku regulowanym</w:t>
      </w:r>
      <w:r w:rsidR="009D789D" w:rsidRPr="00BF2F19">
        <w:t xml:space="preserve"> (art. 17), dając mu możliwość skorygowania prowadzonych przez niego działań. Niezależnie od stosowania zaleceń, KNF dysponowałaby również pozostałymi środkami nadzorczymi, przewidzianymi obecnie.</w:t>
      </w:r>
    </w:p>
    <w:p w14:paraId="764EF301" w14:textId="77777777" w:rsidR="009D789D" w:rsidRDefault="009D789D" w:rsidP="005525D6">
      <w:pPr>
        <w:pStyle w:val="ARTartustawynprozporzdzenia"/>
      </w:pPr>
      <w:r w:rsidRPr="00BF2F19">
        <w:t xml:space="preserve">Dodawane przez </w:t>
      </w:r>
      <w:r w:rsidR="00BC03D3">
        <w:rPr>
          <w:rStyle w:val="Ppogrubienie"/>
        </w:rPr>
        <w:t>art. 1 pkt 19</w:t>
      </w:r>
      <w:r w:rsidRPr="00BF2F19">
        <w:rPr>
          <w:rStyle w:val="Ppogrubienie"/>
        </w:rPr>
        <w:t xml:space="preserve"> projektu</w:t>
      </w:r>
      <w:r w:rsidR="008403CD">
        <w:t xml:space="preserve"> art. 17a i art. 17b</w:t>
      </w:r>
      <w:r w:rsidRPr="00BF2F19">
        <w:t xml:space="preserve"> służą zapewnieniu KNF uprawnień przewidzianych odpo</w:t>
      </w:r>
      <w:r w:rsidR="008403CD">
        <w:t>wiednio w art. 32 ust. 1 lit. g oraz</w:t>
      </w:r>
      <w:r w:rsidRPr="00BF2F19">
        <w:t xml:space="preserve"> h rozporządzenia 2017/1129.</w:t>
      </w:r>
    </w:p>
    <w:p w14:paraId="4DCD52AA" w14:textId="799192C2" w:rsidR="003B3209" w:rsidRPr="00BF2F19" w:rsidRDefault="00CD5544" w:rsidP="005525D6">
      <w:pPr>
        <w:pStyle w:val="ARTartustawynprozporzdzenia"/>
      </w:pPr>
      <w:r w:rsidRPr="00CD5544">
        <w:rPr>
          <w:rStyle w:val="Ppogrubienie"/>
        </w:rPr>
        <w:t xml:space="preserve">Art. </w:t>
      </w:r>
      <w:r w:rsidR="003B3209" w:rsidRPr="00CD5544">
        <w:rPr>
          <w:rStyle w:val="Ppogrubienie"/>
        </w:rPr>
        <w:t>1 pkt 20</w:t>
      </w:r>
      <w:r>
        <w:t xml:space="preserve"> dostosowuje odesłania w art. 18 ust. 1, tak aby w przypadku poważnych naruszeń, o których mowa w tym przepisie, KNF nie wydawała zaleceń, lecz stosowała środki o charakterze władczym.</w:t>
      </w:r>
    </w:p>
    <w:p w14:paraId="58E933C6" w14:textId="77777777" w:rsidR="00257CE9" w:rsidRPr="00BF2F19" w:rsidRDefault="00257CE9" w:rsidP="00BA5E3E">
      <w:pPr>
        <w:pStyle w:val="ARTartustawynprozporzdzenia"/>
      </w:pPr>
      <w:r w:rsidRPr="00BF2F19">
        <w:t xml:space="preserve">Nowelizacja art. 18a ustawy o ofercie publicznej, przewidziana w </w:t>
      </w:r>
      <w:r w:rsidR="008403CD">
        <w:rPr>
          <w:rStyle w:val="Ppogrubienie"/>
        </w:rPr>
        <w:t>art. 1 pkt 2</w:t>
      </w:r>
      <w:r w:rsidR="003B3209">
        <w:rPr>
          <w:rStyle w:val="Ppogrubienie"/>
        </w:rPr>
        <w:t>1</w:t>
      </w:r>
      <w:r w:rsidRPr="00BF2F19">
        <w:rPr>
          <w:rStyle w:val="Ppogrubienie"/>
        </w:rPr>
        <w:t xml:space="preserve"> projektu</w:t>
      </w:r>
      <w:r w:rsidRPr="00BF2F19">
        <w:t>, związana jest z potrzebą uelastycznienia i usprawnienia stosowania przez KNF środków nadzoru, mających w zamyśle chronić interes inwestorów i bezpieczeństwo obrotu. Tym samym kluczowe jest, aby organ nadzoru miał możliwość podejmowania działań niezwłocznie po powzięciu informacji o zaistnieniu lub uprawdopodobnionym zaistnieniu naruszenia przepisów prawa.</w:t>
      </w:r>
      <w:r w:rsidR="00982AEB" w:rsidRPr="00BF2F19">
        <w:t xml:space="preserve"> </w:t>
      </w:r>
      <w:r w:rsidR="001B5C43">
        <w:t>Celom tym służy także nadanie decyzji o zastosowaniu środków nadzorczych rygoru natychmiastowej wykonalności. Istotne jest bowiem, aby niezwłocznie po zauważeniu przez organ nadzoru nieprawidłowości, wyeliminować zagrażające bezpieczeństwu obrotu skutki tych nieprawidłowości.</w:t>
      </w:r>
      <w:r w:rsidR="00B409B2">
        <w:t xml:space="preserve"> Warto przy tym zauważyć, że już obecne regulacje prawne wielu ustaw z zakresu rynku finansowego przewidują natychmiastową wykonalność decyzji organu nadzoru o nałożeniu sankcji. Przepisami takimi są m.in. art. 11 ust. 2 ustawy </w:t>
      </w:r>
      <w:r w:rsidR="00B409B2" w:rsidRPr="00BF2F19">
        <w:t>z dnia 29 sierpnia 1997 r. – Prawo bankowe (Dz. U. z 2018 r. poz. 2187, z późn. zm.)</w:t>
      </w:r>
      <w:r w:rsidR="00B409B2">
        <w:t xml:space="preserve">, art. </w:t>
      </w:r>
      <w:r w:rsidR="00250C63">
        <w:t xml:space="preserve">54l ust. 8, art. 56 ust. 2 i art. 70r ust. 4 ustawy o funduszach inwestycyjnych, </w:t>
      </w:r>
      <w:r w:rsidR="00B409B2">
        <w:t>106l ust. 8 ustawy o obrocie instrumentami finansowymi,</w:t>
      </w:r>
      <w:r w:rsidR="00250C63">
        <w:t xml:space="preserve"> czy art. 94 ust. 9, art. 98 ust. 2 i art. 172 ust. 12 ustawy o działalności ubezpieczeniowej i reasekuracyjnej. Również obecne brzmienie art. 18a ust. 1 ustawy o ofercie publicznej upoważnia KNF do nadania rygoru natychmiastowej wykonalności każdej z decyzji, o których mowa w tym przepisie.</w:t>
      </w:r>
    </w:p>
    <w:p w14:paraId="057421FA" w14:textId="77777777" w:rsidR="00257CE9" w:rsidRPr="00BF2F19" w:rsidRDefault="00260E09" w:rsidP="005525D6">
      <w:pPr>
        <w:pStyle w:val="ARTartustawynprozporzdzenia"/>
      </w:pPr>
      <w:r w:rsidRPr="00BF2F19">
        <w:rPr>
          <w:rStyle w:val="Ppogrubienie"/>
        </w:rPr>
        <w:t>Art. 1 pkt 2</w:t>
      </w:r>
      <w:r w:rsidR="003B3209">
        <w:rPr>
          <w:rStyle w:val="Ppogrubienie"/>
        </w:rPr>
        <w:t>2</w:t>
      </w:r>
      <w:r w:rsidRPr="00BF2F19">
        <w:t xml:space="preserve"> uchyla art. 19 ustawy o ofercie publicznej ze względu na uregulowanie tej samej materii w art. 37 rozporządzenia 2017/1129.</w:t>
      </w:r>
    </w:p>
    <w:p w14:paraId="53482EA3" w14:textId="77777777" w:rsidR="009F28E6" w:rsidRPr="00BF2F19" w:rsidRDefault="009F28E6" w:rsidP="005525D6">
      <w:pPr>
        <w:pStyle w:val="ARTartustawynprozporzdzenia"/>
      </w:pPr>
      <w:r w:rsidRPr="00BF2F19">
        <w:rPr>
          <w:rStyle w:val="Ppogrubienie"/>
        </w:rPr>
        <w:t>Art. 1 pkt 2</w:t>
      </w:r>
      <w:r w:rsidR="003B3209">
        <w:rPr>
          <w:rStyle w:val="Ppogrubienie"/>
        </w:rPr>
        <w:t>3</w:t>
      </w:r>
      <w:r w:rsidRPr="00BF2F19">
        <w:t xml:space="preserve"> modyfikuje art. 19a ustawy o ofercie publicznej w związku z zastąpieniem w całej ustawie pojęcia „sprzedającego” pojęciem „oferującego”.</w:t>
      </w:r>
    </w:p>
    <w:p w14:paraId="1332139C" w14:textId="77777777" w:rsidR="009F28E6" w:rsidRPr="00BF2F19" w:rsidRDefault="009F28E6" w:rsidP="005525D6">
      <w:pPr>
        <w:pStyle w:val="ARTartustawynprozporzdzenia"/>
      </w:pPr>
      <w:r w:rsidRPr="00BF2F19">
        <w:rPr>
          <w:rStyle w:val="Ppogrubienie"/>
        </w:rPr>
        <w:t>Art. 1 pkt 2</w:t>
      </w:r>
      <w:r w:rsidR="003B3209">
        <w:rPr>
          <w:rStyle w:val="Ppogrubienie"/>
        </w:rPr>
        <w:t>4</w:t>
      </w:r>
      <w:r w:rsidRPr="00BF2F19">
        <w:t xml:space="preserve"> dodaje art. 19b</w:t>
      </w:r>
      <w:r w:rsidR="00BA5E3E">
        <w:t xml:space="preserve"> i art. 19c</w:t>
      </w:r>
      <w:r w:rsidRPr="00BF2F19">
        <w:t xml:space="preserve"> w ustawie o ofercie publicznej. </w:t>
      </w:r>
      <w:r w:rsidR="00BA5E3E" w:rsidRPr="00BA5E3E">
        <w:rPr>
          <w:rStyle w:val="Ppogrubienie"/>
        </w:rPr>
        <w:t>Art. 19b</w:t>
      </w:r>
      <w:r w:rsidR="00BA5E3E">
        <w:t xml:space="preserve"> </w:t>
      </w:r>
      <w:r w:rsidRPr="00BF2F19">
        <w:t xml:space="preserve">stanowi wykonanie art. 32 ust. 1 </w:t>
      </w:r>
      <w:r w:rsidR="00BA5E3E">
        <w:t>lit. l rozporządzenia 2017/1129,</w:t>
      </w:r>
      <w:r w:rsidR="00973B38">
        <w:t xml:space="preserve"> </w:t>
      </w:r>
      <w:r w:rsidR="00BA5E3E">
        <w:t>n</w:t>
      </w:r>
      <w:r w:rsidRPr="00BF2F19">
        <w:t xml:space="preserve">atomiast </w:t>
      </w:r>
      <w:r w:rsidR="00C15C79" w:rsidRPr="00973B38">
        <w:rPr>
          <w:rStyle w:val="Ppogrubienie"/>
        </w:rPr>
        <w:t>art. 19d</w:t>
      </w:r>
      <w:r w:rsidR="00C15C79">
        <w:t xml:space="preserve"> </w:t>
      </w:r>
      <w:r w:rsidRPr="00BF2F19">
        <w:t>przyznaje KNF uprawnienia, o których mowa w art. 32 ust. 1 lit. b i c tego rozporządzenia.</w:t>
      </w:r>
    </w:p>
    <w:p w14:paraId="03270CD6" w14:textId="77777777" w:rsidR="0001055B" w:rsidRPr="00BF2F19" w:rsidRDefault="008403CD" w:rsidP="005525D6">
      <w:pPr>
        <w:pStyle w:val="ARTartustawynprozporzdzenia"/>
      </w:pPr>
      <w:r>
        <w:rPr>
          <w:rStyle w:val="Ppogrubienie"/>
        </w:rPr>
        <w:t>Art. 1 pkt 2</w:t>
      </w:r>
      <w:r w:rsidR="003B3209">
        <w:rPr>
          <w:rStyle w:val="Ppogrubienie"/>
        </w:rPr>
        <w:t>5</w:t>
      </w:r>
      <w:r w:rsidR="0001055B" w:rsidRPr="00BF2F19">
        <w:rPr>
          <w:rStyle w:val="Ppogrubienie"/>
        </w:rPr>
        <w:t xml:space="preserve"> projektu</w:t>
      </w:r>
      <w:r w:rsidR="0001055B" w:rsidRPr="00BF2F19">
        <w:t xml:space="preserve"> zmienia tytuł oddziału 2 w rozdziale 2. Zmiana ta jest związana z przeniesieniem części regulacji znajdujących się dotychczas w ustawie o ofercie publicznej na poziom rozporządzenia 2017/1129, a co za tym idzie – zmianą zakresu regulacji oddziału 2.</w:t>
      </w:r>
    </w:p>
    <w:p w14:paraId="0C2413F6" w14:textId="77777777" w:rsidR="0001055B" w:rsidRPr="00BF2F19" w:rsidRDefault="0001055B" w:rsidP="005525D6">
      <w:pPr>
        <w:pStyle w:val="ARTartustawynprozporzdzenia"/>
      </w:pPr>
      <w:r w:rsidRPr="00BF2F19">
        <w:t xml:space="preserve">W </w:t>
      </w:r>
      <w:r w:rsidRPr="00BF2F19">
        <w:rPr>
          <w:rStyle w:val="Ppogrubienie"/>
        </w:rPr>
        <w:t>art. 1 pkt 2</w:t>
      </w:r>
      <w:r w:rsidR="003B3209">
        <w:rPr>
          <w:rStyle w:val="Ppogrubienie"/>
        </w:rPr>
        <w:t>6</w:t>
      </w:r>
      <w:r w:rsidRPr="00BF2F19">
        <w:t xml:space="preserve"> uchyla się art. 21 ustawy o ofercie publicznej, ze względu na uregulowanie tej samej materii w art. 6–11 rozporządzenia 2017/1129.</w:t>
      </w:r>
    </w:p>
    <w:p w14:paraId="5F1E69E8" w14:textId="76B4BAB2" w:rsidR="0001055B" w:rsidRPr="00BF2F19" w:rsidRDefault="005277F9" w:rsidP="005525D6">
      <w:pPr>
        <w:pStyle w:val="ARTartustawynprozporzdzenia"/>
      </w:pPr>
      <w:r>
        <w:t>Zmiana</w:t>
      </w:r>
      <w:r w:rsidR="0001055B" w:rsidRPr="00BF2F19">
        <w:t xml:space="preserve"> w </w:t>
      </w:r>
      <w:r w:rsidR="008403CD">
        <w:rPr>
          <w:rStyle w:val="Ppogrubienie"/>
        </w:rPr>
        <w:t>art. 1 pkt 2</w:t>
      </w:r>
      <w:r w:rsidR="003B3209">
        <w:rPr>
          <w:rStyle w:val="Ppogrubienie"/>
        </w:rPr>
        <w:t>7</w:t>
      </w:r>
      <w:r w:rsidR="008F6485" w:rsidRPr="00BF2F19">
        <w:rPr>
          <w:rStyle w:val="Ppogrubienie"/>
        </w:rPr>
        <w:t xml:space="preserve"> lit. a</w:t>
      </w:r>
      <w:r>
        <w:t xml:space="preserve"> sprowadza się do uchylenia ust. 1–3</w:t>
      </w:r>
      <w:r w:rsidR="0001055B" w:rsidRPr="00BF2F19">
        <w:t xml:space="preserve"> w art. 22 ustawy o ofercie publicznej</w:t>
      </w:r>
      <w:r w:rsidR="008F6485" w:rsidRPr="00BF2F19">
        <w:t xml:space="preserve"> ze względu na uregulowanie tych kwestii w art. 11 rozporządzenia 2017/1129. Natomiast </w:t>
      </w:r>
      <w:r w:rsidR="008403CD">
        <w:rPr>
          <w:rStyle w:val="Ppogrubienie"/>
        </w:rPr>
        <w:t>art. 1 pkt 2</w:t>
      </w:r>
      <w:r w:rsidR="003B3209">
        <w:rPr>
          <w:rStyle w:val="Ppogrubienie"/>
        </w:rPr>
        <w:t>7</w:t>
      </w:r>
      <w:r w:rsidR="008F6485" w:rsidRPr="00BF2F19">
        <w:rPr>
          <w:rStyle w:val="Ppogrubienie"/>
        </w:rPr>
        <w:t xml:space="preserve"> lit. b</w:t>
      </w:r>
      <w:r w:rsidR="008F6485" w:rsidRPr="00BF2F19">
        <w:t xml:space="preserve"> nowelizuje art. 22 ust. 4 w związku ze zmianą przepisów o gwarancji emisji, przewidzianą w art. 1 pkt 12 i 13 projektu ustawy.</w:t>
      </w:r>
      <w:r w:rsidR="006161D0">
        <w:t xml:space="preserve"> Dodaje się też zasady ponoszenia odpowiedzialności przez podmiot wnioskujący o dopuszczenie papierów wartościowych do obrotu na rynku regulowanym bez zgody emitenta. Podmiot taki będzie odpowiadał za prawdziwość informacji, którą sporządził</w:t>
      </w:r>
      <w:r w:rsidR="009F7E64">
        <w:t>.</w:t>
      </w:r>
      <w:r w:rsidR="00CD5544">
        <w:t xml:space="preserve"> Zmiana w pkt 3 wynika natomiast z uchylenia definicji podmiotu zabezpieczającego, zawartej w dotychczasowym art. 22 ust. 1 ustawy o ofercie publicznej.</w:t>
      </w:r>
      <w:r>
        <w:t xml:space="preserve"> </w:t>
      </w:r>
      <w:r w:rsidRPr="005277F9">
        <w:rPr>
          <w:rStyle w:val="Ppogrubienie"/>
        </w:rPr>
        <w:t>Lit. c</w:t>
      </w:r>
      <w:r>
        <w:t xml:space="preserve"> zmienia zdanie pierwsze w ust. 5, aby dostosować jego brzmienie do brzmienia odpowiednich przepisów rozporządzenia 2017/1129. </w:t>
      </w:r>
      <w:r w:rsidRPr="005277F9">
        <w:rPr>
          <w:rStyle w:val="Ppogrubienie"/>
        </w:rPr>
        <w:t>Lit. d</w:t>
      </w:r>
      <w:r>
        <w:t xml:space="preserve"> zapewnia stosowanie art. 11 ust. 3 akapitu drugiego rozporządzenia 2017/1129.</w:t>
      </w:r>
    </w:p>
    <w:p w14:paraId="2CD1DA31" w14:textId="77777777" w:rsidR="008F6485" w:rsidRPr="00BF2F19" w:rsidRDefault="008F6485" w:rsidP="005525D6">
      <w:pPr>
        <w:pStyle w:val="ARTartustawynprozporzdzenia"/>
      </w:pPr>
      <w:r w:rsidRPr="00BF2F19">
        <w:t xml:space="preserve">Uchylenie art. 22a–25 ustawy o ofercie publicznej, przewidziane w </w:t>
      </w:r>
      <w:r w:rsidR="008403CD">
        <w:rPr>
          <w:rStyle w:val="Ppogrubienie"/>
        </w:rPr>
        <w:t>art. 1 pkt 2</w:t>
      </w:r>
      <w:r w:rsidR="003B3209">
        <w:rPr>
          <w:rStyle w:val="Ppogrubienie"/>
        </w:rPr>
        <w:t>8</w:t>
      </w:r>
      <w:r w:rsidRPr="00BF2F19">
        <w:rPr>
          <w:rStyle w:val="Ppogrubienie"/>
        </w:rPr>
        <w:t xml:space="preserve"> projektu</w:t>
      </w:r>
      <w:r w:rsidRPr="00BF2F19">
        <w:t>, związane jest z uregulowaniem kwestii znajdujących się dotychczas w tych przepisach w art. 6–11 rozporządzenia 2017/1129.</w:t>
      </w:r>
    </w:p>
    <w:p w14:paraId="09AC4A18" w14:textId="013F00F2" w:rsidR="00E53643" w:rsidRPr="00BF2F19" w:rsidRDefault="008403CD" w:rsidP="00B3421A">
      <w:pPr>
        <w:pStyle w:val="ARTartustawynprozporzdzenia"/>
      </w:pPr>
      <w:r>
        <w:rPr>
          <w:rStyle w:val="Ppogrubienie"/>
        </w:rPr>
        <w:t>Art. 1 pkt 2</w:t>
      </w:r>
      <w:r w:rsidR="003B3209">
        <w:rPr>
          <w:rStyle w:val="Ppogrubienie"/>
        </w:rPr>
        <w:t>9</w:t>
      </w:r>
      <w:r w:rsidR="004E6416" w:rsidRPr="00BF2F19">
        <w:rPr>
          <w:rStyle w:val="Ppogrubienie"/>
        </w:rPr>
        <w:t xml:space="preserve"> </w:t>
      </w:r>
      <w:r w:rsidR="008F6485" w:rsidRPr="00BF2F19">
        <w:rPr>
          <w:rStyle w:val="Ppogrubienie"/>
        </w:rPr>
        <w:t xml:space="preserve">lit. a </w:t>
      </w:r>
      <w:r w:rsidR="008F6485" w:rsidRPr="00BF2F19">
        <w:t>zmienia art. 26 ust. 1 ustawy o ofercie publicznej poprzez usunięcie z tego przepisu odwołania do rozporządzenia Komisji (WE) nr 809/2004 z dnia 29 kwietnia 2004 r. wykonującego dyrektywę 2003/71/WE Parlamentu Europejskiego i Rady w sprawie informacji zawartych w prospektach emisyjnych oraz formy, włączenia przez odniesienie i publikacji takich prospektów emisyjnych oraz rozpowszechniania reklam (Dz. Urz. UE L 149 z 30.04.2004, str. 1; Dz. Urz. UE Polskie wydanie specjalne</w:t>
      </w:r>
      <w:r w:rsidR="00B3421A" w:rsidRPr="00BF2F19">
        <w:t>, rozdz.</w:t>
      </w:r>
      <w:r w:rsidR="008F6485" w:rsidRPr="00BF2F19">
        <w:t xml:space="preserve"> 6</w:t>
      </w:r>
      <w:r w:rsidR="00B3421A" w:rsidRPr="00BF2F19">
        <w:t>, t. 7, str. 307)</w:t>
      </w:r>
      <w:r w:rsidR="00596D81">
        <w:t xml:space="preserve">, zwanego dalej </w:t>
      </w:r>
      <w:r w:rsidR="00596D81" w:rsidRPr="00BF2F19">
        <w:t>„</w:t>
      </w:r>
      <w:r w:rsidR="00596D81">
        <w:t>rozporządzeniem 809/2004</w:t>
      </w:r>
      <w:r w:rsidR="00596D81" w:rsidRPr="00BF2F19">
        <w:t>”</w:t>
      </w:r>
      <w:r w:rsidR="00B3421A" w:rsidRPr="00BF2F19">
        <w:t xml:space="preserve">. Rozporządzenie to traci bowiem moc obowiązującą z dniem rozpoczęcia stosowania rozporządzenia 2017/1129. </w:t>
      </w:r>
      <w:r>
        <w:rPr>
          <w:rStyle w:val="Ppogrubienie"/>
        </w:rPr>
        <w:t>Art. 1 pkt 2</w:t>
      </w:r>
      <w:r w:rsidR="003B3209">
        <w:rPr>
          <w:rStyle w:val="Ppogrubienie"/>
        </w:rPr>
        <w:t>9</w:t>
      </w:r>
      <w:r w:rsidR="00E53643" w:rsidRPr="00BF2F19">
        <w:rPr>
          <w:rStyle w:val="Ppogrubienie"/>
        </w:rPr>
        <w:t xml:space="preserve"> lit. b</w:t>
      </w:r>
      <w:r w:rsidR="00E53643" w:rsidRPr="00BF2F19">
        <w:t xml:space="preserve"> uchyla natomiast ust. 2, którego treść została przeniesiona do dodawanego art. 4b ust. 2.</w:t>
      </w:r>
    </w:p>
    <w:p w14:paraId="31A3285A" w14:textId="77777777" w:rsidR="00B3421A" w:rsidRPr="00BF2F19" w:rsidRDefault="008403CD" w:rsidP="00B3421A">
      <w:pPr>
        <w:pStyle w:val="ARTartustawynprozporzdzenia"/>
      </w:pPr>
      <w:r>
        <w:rPr>
          <w:rStyle w:val="Ppogrubienie"/>
        </w:rPr>
        <w:t xml:space="preserve">Art. 1 pkt </w:t>
      </w:r>
      <w:r w:rsidR="003B3209">
        <w:rPr>
          <w:rStyle w:val="Ppogrubienie"/>
        </w:rPr>
        <w:t>30</w:t>
      </w:r>
      <w:r w:rsidR="00B3421A" w:rsidRPr="00BF2F19">
        <w:rPr>
          <w:rStyle w:val="Ppogrubienie"/>
        </w:rPr>
        <w:t xml:space="preserve"> projektu</w:t>
      </w:r>
      <w:r w:rsidR="00B3421A" w:rsidRPr="00BF2F19">
        <w:t xml:space="preserve"> uchyla art. 26a ustawy o ofercie publicznej, ze względu na uregulowanie tej samej materii w przepisach rozporządzenia 2017/1129.</w:t>
      </w:r>
    </w:p>
    <w:p w14:paraId="5B4FCFEC" w14:textId="77777777" w:rsidR="00B3421A" w:rsidRPr="00BF2F19" w:rsidRDefault="00BF6526" w:rsidP="00B3421A">
      <w:pPr>
        <w:pStyle w:val="ARTartustawynprozporzdzenia"/>
      </w:pPr>
      <w:r w:rsidRPr="00BF2F19">
        <w:t>Zmiany wprowadzane w art. 27 ust. 1 i 2 ustawy o ofercie publicznej (</w:t>
      </w:r>
      <w:r w:rsidR="008403CD">
        <w:rPr>
          <w:rStyle w:val="Ppogrubienie"/>
        </w:rPr>
        <w:t>art. 1 pkt 3</w:t>
      </w:r>
      <w:r w:rsidR="003B3209">
        <w:rPr>
          <w:rStyle w:val="Ppogrubienie"/>
        </w:rPr>
        <w:t>1</w:t>
      </w:r>
      <w:r w:rsidRPr="00BF2F19">
        <w:rPr>
          <w:rStyle w:val="Ppogrubienie"/>
        </w:rPr>
        <w:t xml:space="preserve"> lit. a i b projektu</w:t>
      </w:r>
      <w:r w:rsidRPr="00BF2F19">
        <w:t>) uchylają lub modyfikują wymogi, które straciły na znaczeniu w efekcie znaczącego rozwoju rynku kapitałowego oraz świadomości emitentów i podmiotów doradzających (w szczególności kancelarii prawnych i firm inwestycyjnych). W tym kontekście wymóg pośrednictwa firmy inwestycyjnej w postępowaniu w sprawie zatwierdzenia prospektu nie wydaje się już niezbędny dla zapewnienia wysokiej jakości składanej dokumentacji, natomiast dokumenty wymagane dotychczas na podstawie art. 27 ust. 2 pkt 3b, 4 i 5 nie stanowią wartości dodanej w toku postępowania w stosunku do informacji zawartych w prospekcie. Wobec zmiany definicji spółki publicznej nie ma już także uzasadnienia dla wymagania uchwały, o której mowa w ust. 2 pkt 3b.</w:t>
      </w:r>
    </w:p>
    <w:p w14:paraId="1FE878AA" w14:textId="77777777" w:rsidR="00BA5E3E" w:rsidRPr="001667D9" w:rsidRDefault="00B00254" w:rsidP="00BA5E3E">
      <w:pPr>
        <w:pStyle w:val="ARTartustawynprozporzdzenia"/>
      </w:pPr>
      <w:r w:rsidRPr="00BF2F19">
        <w:t xml:space="preserve">Dodawane przez </w:t>
      </w:r>
      <w:r w:rsidR="008403CD">
        <w:rPr>
          <w:rStyle w:val="Ppogrubienie"/>
        </w:rPr>
        <w:t>art. 1 pkt 3</w:t>
      </w:r>
      <w:r w:rsidR="003B3209">
        <w:rPr>
          <w:rStyle w:val="Ppogrubienie"/>
        </w:rPr>
        <w:t>1</w:t>
      </w:r>
      <w:r w:rsidRPr="00BF2F19">
        <w:rPr>
          <w:rStyle w:val="Ppogrubienie"/>
        </w:rPr>
        <w:t xml:space="preserve"> lit. c projektu</w:t>
      </w:r>
      <w:r w:rsidRPr="00BF2F19">
        <w:t xml:space="preserve"> ust. 2a i 2b podyktowane są potrzebą uelastycznienia i uproszczenia procedury zatwierdzenia prospektu, co wymaga modyfikacji stosowania niektórych zasad </w:t>
      </w:r>
      <w:r w:rsidR="00BA5E3E">
        <w:t xml:space="preserve">przewidzianych w </w:t>
      </w:r>
      <w:r w:rsidR="00BA5E3E" w:rsidRPr="00BF2F19">
        <w:t>u</w:t>
      </w:r>
      <w:r w:rsidR="00BA5E3E">
        <w:t>stawie</w:t>
      </w:r>
      <w:r w:rsidR="00BA5E3E" w:rsidRPr="00BF2F19">
        <w:t xml:space="preserve"> z dnia 14 czerwca 1960 r. – Kodeks postępowania administracyjnego (Dz. U. z 2018 r. poz. 2096</w:t>
      </w:r>
      <w:r w:rsidR="00BA5E3E">
        <w:t>, z późn. zm.</w:t>
      </w:r>
      <w:r w:rsidR="00BA5E3E" w:rsidRPr="00BF2F19">
        <w:t>)</w:t>
      </w:r>
      <w:r w:rsidR="00BA5E3E">
        <w:t xml:space="preserve">, zwanej dalej </w:t>
      </w:r>
      <w:r w:rsidR="00BA5E3E" w:rsidRPr="001667D9">
        <w:t>„</w:t>
      </w:r>
      <w:r w:rsidR="00BA5E3E">
        <w:t>KPA</w:t>
      </w:r>
      <w:r w:rsidR="00BA5E3E" w:rsidRPr="001667D9">
        <w:t>”</w:t>
      </w:r>
      <w:r w:rsidR="00BA5E3E">
        <w:t xml:space="preserve">, </w:t>
      </w:r>
      <w:r w:rsidRPr="00BF2F19">
        <w:t>w odniesieniu do tego postępowania, mając na uwadze, że decyzja administracyjna w sprawie zatwierdzenia prospektu ma niemal natychmiastowe przełożenie na czynności prawne i faktyczne, ta</w:t>
      </w:r>
      <w:r w:rsidR="00BA5E3E">
        <w:t>kże w wymiarze transgranicznym. Art. 27 ust. 2b ustawy o ofercie publicznej</w:t>
      </w:r>
      <w:r w:rsidR="00BA5E3E" w:rsidRPr="00BF2F19">
        <w:t xml:space="preserve"> przewiduje również wyjątek od stosowania zasady wysłuchania stron, przewidzianej w </w:t>
      </w:r>
      <w:r w:rsidR="00BA5E3E">
        <w:t>KPA</w:t>
      </w:r>
      <w:r w:rsidR="00BA5E3E" w:rsidRPr="00BF2F19">
        <w:t>.</w:t>
      </w:r>
      <w:r w:rsidR="00BA5E3E">
        <w:t xml:space="preserve"> </w:t>
      </w:r>
      <w:r w:rsidR="00BA5E3E" w:rsidRPr="001667D9">
        <w:t xml:space="preserve">Propozycja ta wynika przede wszystkim z postulatu jak najdalej idącego odformalizowania postępowania administracyjnego. Uzasadnieniem dla projektowanego rozwiązania jest konieczność przede wszystkim zapewnienia szybkości postępowania prowadzonego na wniosek emitenta, który co do zasady jest jedyną stroną takiego postępowania. Stroną ww. postępowań administracyjnych mogą być w świetle obecnych regulacji ustawy o ofercie publicznej emitent i ewentualnie sprzedający – a więc jedyne podmioty mające interes prawny i faktyczny w zatwierdzeniu ww. dokumentów i jednocześnie jedyne podmioty inicjujące postępowanie w tym przedmiocie i ustawowo uznane za strony. To implikuje przebieg postępowania dowodowego, które w ramach postępowania administracyjnego prowadzone jest w ograniczonym zakresie (organ w praktyce nie poszukuje z urzędu ani nie pozyskuje żadnych innych dowodów niż dokumentacja przedstawiona przez emitenta – w praktyce kolejne wersje prospektu). W toku postepowania w praktyce realizowana jest zatem zasada z art. 10 KPA, a także art. 81 KPA, bowiem w toku postępowania przedmiotem oceny organu jest prospekt emisyjny (jego kolejne wersje) sporządzany przez stronę oraz wyjaśnienia strony. Strona otrzymuje uwagi do tego prospektu, bowiem organ jest zobowiązany dokonać oceny prospektu pod względem zgodności formy i treści z wymogami przepisów prawa UE określających wymaganą treść prospektu. Postępowanie zatem polega na wymianie korespondencji z zainteresowaną przebiegiem postępowania stroną. Organ wydaje decyzję w ww. sprawach na podstawie całokształtu materiału dowodowego (art. 80 KPA), a poprzez charakter i przebieg postępowania prowadzonego z udziałem co do zasady tylko emitenta (nie jest gromadzony materiał dowodowy nie pochodzący od strony, o którym strona nie byłaby informowana i co do którego nie miałaby możliwości wypowiedzenia się) w pełni zachowana jest gwarancja z art. 81 KPA. Pełna koncentracja materiału dowodowego będzie zatem zachodzić zawsze z pełnym udziałem strony postępowania. </w:t>
      </w:r>
    </w:p>
    <w:p w14:paraId="3469C2C3" w14:textId="77777777" w:rsidR="00BA5E3E" w:rsidRPr="001667D9" w:rsidRDefault="00BA5E3E" w:rsidP="00BA5E3E">
      <w:pPr>
        <w:pStyle w:val="ARTartustawynprozporzdzenia"/>
      </w:pPr>
      <w:r w:rsidRPr="001667D9">
        <w:t>Prymat zasady szybkości postępowania powinien być więc respektowany w interesie strony z pierwszeństwem przed zasadą wynikającą z art. 10 KPA. Gwarancje wskazane w tym przepisie wydają się z dotychczasowej praktyki takich postępowań zbędne dla samych stron jako mające drugorzędne dla nich znaczenie. W dotychczasowej praktyce organ zawsze pouczał o uprawnieniach z art. 10 KPA przed wydaniem decyzji i nie jest znany przypadek, aby strony, którym zależy na szybkości rozstrzygnięcia poza wcześniejszą wymianą korespondencji zmierzającą do uzgodnienia treści i formy prospektu ze stosownymi wymogami wynikającymi z prawa UE dodatkowo korzystały z uprawnień do wypowiedzenia się w sprawie przed wydaniem decyzji.</w:t>
      </w:r>
    </w:p>
    <w:p w14:paraId="586184BC" w14:textId="77777777" w:rsidR="00BA5E3E" w:rsidRPr="001667D9" w:rsidRDefault="00BA5E3E" w:rsidP="00BA5E3E">
      <w:pPr>
        <w:pStyle w:val="ARTartustawynprozporzdzenia"/>
      </w:pPr>
      <w:r w:rsidRPr="001667D9">
        <w:t>Postulat wyłączenia stosowania art. 10 KPA przyczyni się do poprawy szybkości postępowań (zarówno w aspek</w:t>
      </w:r>
      <w:r>
        <w:t>cie jednostkowym jak i ogólnym –</w:t>
      </w:r>
      <w:r w:rsidRPr="001667D9">
        <w:t xml:space="preserve"> poprzez poprawę efektywności i przyspieszenie załatwienia również wszystkich innych spraw w tym obszarze prowadzonych równolegle). Postulat szybkości ma szczególnie istotne znaczenie ze względu na charakter ww. spraw i interesów ekonomicznych stron postępowań prospektowych w kontekście dynamiki zmian warunków rynkowych. Odformalizowanie ww. postępowań wpłynie na możliwość lepszego dostosowania planowanego czasu przeprowadzenia transakcji objętych prospektem do zmieniających się dynamicznie warunków rynkowych.</w:t>
      </w:r>
    </w:p>
    <w:p w14:paraId="302E0E98" w14:textId="6913F85D" w:rsidR="00BA5E3E" w:rsidRPr="001667D9" w:rsidRDefault="00BA5E3E" w:rsidP="00BA5E3E">
      <w:pPr>
        <w:pStyle w:val="ARTartustawynprozporzdzenia"/>
      </w:pPr>
      <w:r w:rsidRPr="001667D9">
        <w:t>Propozycja jest związana również z postępującą harmonizacją prawa europejskiego dotyczącego prospektów emisyjnych, charakterem ww. postępowań oraz uregulowaniem w znacznym stopniu aspektów procesowych dotyczących tych postępowań w odrębnych przepisach zarówno prawa krajowego jak i prawa UE. Aspekty procesowe częściowo już obecnie uregulowane są w ustawie o ofercie publicznej (inicjowanie postępowania, ustawowe wskazanie stron postępowania, terminy, sposób wydania decyzji administracyjnej). Regulacje te uzupełnione są o przepisy o chara</w:t>
      </w:r>
      <w:r>
        <w:t>kterze procesowym wynikające z r</w:t>
      </w:r>
      <w:r w:rsidRPr="001667D9">
        <w:t xml:space="preserve">ozporządzenia delegowanego Komisji (UE) 2016/301 z dnia 30 listopada 2015 r. uzupełniającego </w:t>
      </w:r>
      <w:r w:rsidR="00E96BAA">
        <w:t>d</w:t>
      </w:r>
      <w:r w:rsidR="00E96BAA" w:rsidRPr="001667D9">
        <w:t xml:space="preserve">yrektywę </w:t>
      </w:r>
      <w:r w:rsidRPr="001667D9">
        <w:t xml:space="preserve">2003/71/WE </w:t>
      </w:r>
      <w:r w:rsidR="008D75EB" w:rsidRPr="008D75EB">
        <w:t xml:space="preserve">Parlamentu Europejskiego i Rady </w:t>
      </w:r>
      <w:r w:rsidRPr="001667D9">
        <w:t>w odniesieniu do regulacyjnych standardów technicznych dotyczących zatwierdzenia i publikacji prospektu emisyjnego oraz upowszechniania reklam i zmieniające</w:t>
      </w:r>
      <w:r w:rsidR="00E96BAA">
        <w:t>go</w:t>
      </w:r>
      <w:r w:rsidRPr="001667D9">
        <w:t xml:space="preserve"> rozporządzenie Kom</w:t>
      </w:r>
      <w:r>
        <w:t xml:space="preserve">isji (WE) nr 809/2004 (Dz. Urz. UE L 58 z </w:t>
      </w:r>
      <w:r w:rsidR="008D75EB">
        <w:t>0</w:t>
      </w:r>
      <w:r>
        <w:t>4.03.2016, str. 13), zwanego dalej: „r</w:t>
      </w:r>
      <w:r w:rsidRPr="001667D9">
        <w:t>ozporządzenie</w:t>
      </w:r>
      <w:r>
        <w:t>m 2016/301”</w:t>
      </w:r>
      <w:r w:rsidRPr="001667D9">
        <w:t xml:space="preserve">. Przepisy te regulują złożenie wniosku o zatwierdzenie prospektu emisyjnego oraz formę składanej dokumentacji w toku postępowania i sposób procedowania </w:t>
      </w:r>
      <w:r>
        <w:t>nad nią. Również i z przepisów r</w:t>
      </w:r>
      <w:r w:rsidRPr="001667D9">
        <w:t>ozporządzenia 2016/301 wynika, że umożliwienie wypowiedzenia się stronie przed wydaniem decyzji na podstawie art. 10 KPA jest faktycznie realizowane (w postępowaniach o zatwierdzenie prospektu emisyjnego) poprzez obowiązek ostatecznego złożenia</w:t>
      </w:r>
      <w:r>
        <w:t xml:space="preserve"> prospektu na podstawie art. 4 r</w:t>
      </w:r>
      <w:r w:rsidRPr="001667D9">
        <w:t xml:space="preserve">ozporządzenia 2016/301, tj. jego „czystej” wersji, gotowej do zatwierdzenia, po uwzględnieniu wszystkich zmian w jego treści dokonywanych w postępowaniu zarówno wskutek uwag organu jak i wskutek autopoprawek. W ten sposób strona składając taką ostateczną wersję wypowiada się właśnie w przedmiocie postępowania przed wydaniem przez organ decyzji, a więc dodatkowa czynność prawna organu w postępowaniu tj. poinformowanie przez organ o możliwości wypowiedzenia się przez stronę w sprawie przed wydaniem decyzji oraz wyznaczenie w tym celu terminu stanowi zbędny formalizm. Strona jak wskazano powyżej nie oczekuje od organu takiej czynności, z uprawnień do czynnego udziału w postępowaniu i tak czynnie w swoim interesie korzysta włącznie z ostatecznym złożeniem prospektu emisyjnego w myśl </w:t>
      </w:r>
      <w:r>
        <w:t>art. 4 r</w:t>
      </w:r>
      <w:r w:rsidRPr="001667D9">
        <w:t>ozporządzenia 2016/301, który najczęściej polega na jak najszybszym zatwierdzeniu prospektu emisyjnego.</w:t>
      </w:r>
    </w:p>
    <w:p w14:paraId="71F29F14" w14:textId="3E2BE752" w:rsidR="00BA5E3E" w:rsidRDefault="00BA5E3E" w:rsidP="00BA5E3E">
      <w:pPr>
        <w:pStyle w:val="ARTartustawynprozporzdzenia"/>
      </w:pPr>
      <w:r w:rsidRPr="001667D9">
        <w:t>Dalsza harmonizacja w zakresie dotyczącym prospektów emisyjnych nastąpi w zwi</w:t>
      </w:r>
      <w:r>
        <w:t>ązku z pełnym wejściem w życie r</w:t>
      </w:r>
      <w:r w:rsidRPr="001667D9">
        <w:t xml:space="preserve">ozporządzenia </w:t>
      </w:r>
      <w:r>
        <w:t>2017/1129</w:t>
      </w:r>
      <w:r w:rsidRPr="001667D9">
        <w:t xml:space="preserve">. Rozporządzenie to konsekwentnie posługuje się pojęciem projektu prospektu (ang. </w:t>
      </w:r>
      <w:r w:rsidRPr="00250546">
        <w:rPr>
          <w:rStyle w:val="Kkursywa"/>
        </w:rPr>
        <w:t>draft prospectus</w:t>
      </w:r>
      <w:r w:rsidRPr="001667D9">
        <w:t xml:space="preserve">) w odniesieniu do dokumentów składanych obecnie w toku postępowania administracyjnego w Polsce jak i procedowanych przed zatwierdzeniem przez inne organy nadzoru. Podejście zaprezentowane w </w:t>
      </w:r>
      <w:r>
        <w:t>rozporządzeniu 2016/301 jak i w r</w:t>
      </w:r>
      <w:r w:rsidRPr="001667D9">
        <w:t xml:space="preserve">ozporządzeniu </w:t>
      </w:r>
      <w:r>
        <w:t>2017/1129</w:t>
      </w:r>
      <w:r w:rsidRPr="001667D9">
        <w:t xml:space="preserve"> zbieżne jest z dotychczasową praktyką zarówno w innych państwa UE o rozwiniętym rynku kapitałowym jak i w Polsce. Składane kolejne wersje prospektu stanowią bowiem faktycznie w praktyce projekty tego dokumentu, a ostateczna ich treść kształtuje się dopiero w toku procesu weryfikacji dokumentów przed ich zatwierdzeniem. Doświadczenia praktyczne innych państw UE wskazują, że proces weryfikacji projektów prospektu jest znacząco odformalizowany, ponieważ dotyczy on pracy nad projektem prospektu. Forma składanych dokumentów i sposób ich składania do organu wynikająca m. in. z uregulowań </w:t>
      </w:r>
      <w:r w:rsidR="0008030A">
        <w:t>r</w:t>
      </w:r>
      <w:r w:rsidR="0008030A" w:rsidRPr="001667D9">
        <w:t xml:space="preserve">ozporządzenia </w:t>
      </w:r>
      <w:r w:rsidRPr="001667D9">
        <w:t xml:space="preserve">2016/301 nie przystaje do obecnych regulacji </w:t>
      </w:r>
      <w:r>
        <w:t>KPA</w:t>
      </w:r>
      <w:r w:rsidRPr="001667D9">
        <w:t xml:space="preserve"> w zakresie składania podań oraz doręczeń.</w:t>
      </w:r>
    </w:p>
    <w:p w14:paraId="03CDB582" w14:textId="77777777" w:rsidR="00BF6526" w:rsidRPr="00BF2F19" w:rsidRDefault="00250546" w:rsidP="00B3421A">
      <w:pPr>
        <w:pStyle w:val="ARTartustawynprozporzdzenia"/>
      </w:pPr>
      <w:r>
        <w:t>Treść</w:t>
      </w:r>
      <w:r w:rsidR="00B00254" w:rsidRPr="00BF2F19">
        <w:t xml:space="preserve"> </w:t>
      </w:r>
      <w:r w:rsidR="0049134E">
        <w:t xml:space="preserve">art. 27 </w:t>
      </w:r>
      <w:r w:rsidR="00B00254" w:rsidRPr="00BF2F19">
        <w:t>ust. 2c</w:t>
      </w:r>
      <w:r w:rsidR="008403CD">
        <w:t xml:space="preserve"> i 2d</w:t>
      </w:r>
      <w:r w:rsidR="00B00254" w:rsidRPr="00BF2F19">
        <w:t xml:space="preserve"> </w:t>
      </w:r>
      <w:r w:rsidR="0049134E">
        <w:t xml:space="preserve">ustawy o ofercie publicznej </w:t>
      </w:r>
      <w:r w:rsidR="00B00254" w:rsidRPr="00BF2F19">
        <w:t>jest natomiast wprowadzeniem zalecenia, o którym mowa w art. 32 ust. 1 lit. j rozporządzenia 2017/1129.</w:t>
      </w:r>
    </w:p>
    <w:p w14:paraId="05B8FDCB" w14:textId="77777777" w:rsidR="00BF6526" w:rsidRPr="00BF2F19" w:rsidRDefault="00BF6526" w:rsidP="00B3421A">
      <w:pPr>
        <w:pStyle w:val="ARTartustawynprozporzdzenia"/>
      </w:pPr>
      <w:r w:rsidRPr="00BF2F19">
        <w:t>Uchylenie art. 27 ust. 3 (</w:t>
      </w:r>
      <w:r w:rsidRPr="00BF2F19">
        <w:rPr>
          <w:rStyle w:val="Ppogrubienie"/>
        </w:rPr>
        <w:t xml:space="preserve">art. </w:t>
      </w:r>
      <w:r w:rsidR="008403CD">
        <w:rPr>
          <w:rStyle w:val="Ppogrubienie"/>
        </w:rPr>
        <w:t>1 pkt 3</w:t>
      </w:r>
      <w:r w:rsidR="003B3209">
        <w:rPr>
          <w:rStyle w:val="Ppogrubienie"/>
        </w:rPr>
        <w:t>1</w:t>
      </w:r>
      <w:r w:rsidRPr="00BF2F19">
        <w:rPr>
          <w:rStyle w:val="Ppogrubienie"/>
        </w:rPr>
        <w:t xml:space="preserve"> lit. d projektu</w:t>
      </w:r>
      <w:r w:rsidRPr="00BF2F19">
        <w:t>) jest związane z regulacją rozporządzenia 2017/1129, która bezpośrednio reguluje przedmiotową kwestię języka sporządzania prospektu. Z kolei uchylenie ust. 4 ma związek z opisywaną wcześniej całkowitą rezygnacją z pośrednictwa firmy inwestycyjnej w postępowaniu w sprawie zatwierdzenia prospektu.</w:t>
      </w:r>
    </w:p>
    <w:p w14:paraId="24ED05C0" w14:textId="77777777" w:rsidR="00B00254" w:rsidRPr="00BF2F19" w:rsidRDefault="00B00254" w:rsidP="00B3421A">
      <w:pPr>
        <w:pStyle w:val="ARTartustawynprozporzdzenia"/>
      </w:pPr>
      <w:r w:rsidRPr="00BF2F19">
        <w:rPr>
          <w:rStyle w:val="Ppogrubienie"/>
        </w:rPr>
        <w:t>Art. 1 pkt 3</w:t>
      </w:r>
      <w:r w:rsidR="003B3209">
        <w:rPr>
          <w:rStyle w:val="Ppogrubienie"/>
        </w:rPr>
        <w:t>2</w:t>
      </w:r>
      <w:r w:rsidRPr="00BF2F19">
        <w:t xml:space="preserve"> uchyla art.</w:t>
      </w:r>
      <w:r w:rsidR="00915151" w:rsidRPr="00BF2F19">
        <w:t xml:space="preserve"> 28 ustawy o ofercie publicznej. Zatwierdzenie prospektu w formie zestawu dokumentów nie wymaga już odrębnej regulacji; zastosowanie znajdzie w pełni procedura określona w art. 27.</w:t>
      </w:r>
    </w:p>
    <w:p w14:paraId="340268A6" w14:textId="75EC0AA2" w:rsidR="00696C8A" w:rsidRPr="00BF2F19" w:rsidRDefault="004E6416" w:rsidP="00B3421A">
      <w:pPr>
        <w:pStyle w:val="ARTartustawynprozporzdzenia"/>
      </w:pPr>
      <w:r w:rsidRPr="00BF2F19">
        <w:rPr>
          <w:rStyle w:val="Ppogrubienie"/>
        </w:rPr>
        <w:t>Art. 1 pkt 3</w:t>
      </w:r>
      <w:r w:rsidR="003B3209">
        <w:rPr>
          <w:rStyle w:val="Ppogrubienie"/>
        </w:rPr>
        <w:t>3</w:t>
      </w:r>
      <w:r w:rsidR="00696C8A" w:rsidRPr="00BF2F19">
        <w:t xml:space="preserve"> dokonuje zmiany w art. 29 ustawy o ofercie </w:t>
      </w:r>
      <w:r w:rsidR="0008030A" w:rsidRPr="0008030A">
        <w:t xml:space="preserve">publicznej </w:t>
      </w:r>
      <w:r w:rsidR="00696C8A" w:rsidRPr="00BF2F19">
        <w:t>w związku z nową formą jednego z dokumentów tworzących prospekt – uniwersalnym dokumentem rejestracyjnym.</w:t>
      </w:r>
      <w:r w:rsidR="00C15C79">
        <w:t xml:space="preserve"> Zmiany mają ponadto na celu wyeliminowanie odesłań do uchylanych przepisów.</w:t>
      </w:r>
      <w:r w:rsidR="006F4EB1">
        <w:t xml:space="preserve"> Ust. 3 powtarza ponadto treść art. 27 ust. 2b. Intencją projektodawcy jest bowiem, aby również w przypadku uniwersalnego dokumentu rejestracyjnego uprościć i uelastycznić procedurę zatwierdzania tego dokumentu, tak jak ma to miejsce w przypadku prospektu.</w:t>
      </w:r>
    </w:p>
    <w:p w14:paraId="5B75703C" w14:textId="76AEE153" w:rsidR="00696C8A" w:rsidRPr="00BF2F19" w:rsidRDefault="00696C8A" w:rsidP="00B3421A">
      <w:pPr>
        <w:pStyle w:val="ARTartustawynprozporzdzenia"/>
      </w:pPr>
      <w:r w:rsidRPr="00BF2F19">
        <w:t xml:space="preserve">Na mocy </w:t>
      </w:r>
      <w:r w:rsidRPr="00BF2F19">
        <w:rPr>
          <w:rStyle w:val="Ppogrubienie"/>
        </w:rPr>
        <w:t>art. 1 pkt 3</w:t>
      </w:r>
      <w:r w:rsidR="003B3209">
        <w:rPr>
          <w:rStyle w:val="Ppogrubienie"/>
        </w:rPr>
        <w:t>4</w:t>
      </w:r>
      <w:r w:rsidRPr="00BF2F19">
        <w:t xml:space="preserve"> proponuje się przeformułować art. 30 ustawy o ofercie </w:t>
      </w:r>
      <w:r w:rsidR="004A6A00">
        <w:t xml:space="preserve">publicznej </w:t>
      </w:r>
      <w:r w:rsidRPr="00BF2F19">
        <w:t>w związku z przeniesieniem na poziom rozporządzenia 2017/1129 większości kwestii związanych z zatwierdzeniem dokumentów tworzących prospekt oraz modyfikacją art. 27 ustawy o ofercie</w:t>
      </w:r>
      <w:r w:rsidR="004A6A00">
        <w:t xml:space="preserve"> publicznej</w:t>
      </w:r>
      <w:r w:rsidRPr="00BF2F19">
        <w:t>.</w:t>
      </w:r>
      <w:r w:rsidR="006F4EB1">
        <w:t xml:space="preserve"> Ust. 4, dodawany w </w:t>
      </w:r>
      <w:r w:rsidR="006F4EB1" w:rsidRPr="006F4EB1">
        <w:rPr>
          <w:rStyle w:val="Ppogrubienie"/>
        </w:rPr>
        <w:t>lit. d</w:t>
      </w:r>
      <w:r w:rsidR="006F4EB1">
        <w:t xml:space="preserve"> powtarza ponadto treść art. 27 ust. 2b. Intencją projektodawcy jest bowiem, aby również w przypadku dokumentu ofertowego i </w:t>
      </w:r>
      <w:r w:rsidR="00B530AD">
        <w:t>podsumowania</w:t>
      </w:r>
      <w:r w:rsidR="006F4EB1">
        <w:t xml:space="preserve"> uprościć i uelastycznić procedurę zatwierdzania tych dokumentów, tak jak ma to miejsce w przypadku prospektu.</w:t>
      </w:r>
    </w:p>
    <w:p w14:paraId="435F9606" w14:textId="77777777" w:rsidR="00696C8A" w:rsidRPr="00BF2F19" w:rsidRDefault="00696C8A" w:rsidP="00B3421A">
      <w:pPr>
        <w:pStyle w:val="ARTartustawynprozporzdzenia"/>
      </w:pPr>
      <w:r w:rsidRPr="00BF2F19">
        <w:rPr>
          <w:rStyle w:val="Ppogrubienie"/>
        </w:rPr>
        <w:t>Art. 1 pkt 3</w:t>
      </w:r>
      <w:r w:rsidR="003B3209">
        <w:rPr>
          <w:rStyle w:val="Ppogrubienie"/>
        </w:rPr>
        <w:t>5</w:t>
      </w:r>
      <w:r w:rsidRPr="00BF2F19">
        <w:t xml:space="preserve"> modyfikuje art. 31 ustawy o ofercie publicznej w związku z zastąpieniem w całej ustawie pojęcia „sprzedającego” pojęciem „oferującego”.</w:t>
      </w:r>
    </w:p>
    <w:p w14:paraId="450B310E" w14:textId="77777777" w:rsidR="00696C8A" w:rsidRPr="00BF2F19" w:rsidRDefault="00FC08D3" w:rsidP="00FC08D3">
      <w:pPr>
        <w:pStyle w:val="NIEARTTEKSTtekstnieartykuowanynppodstprawnarozplubpreambua"/>
      </w:pPr>
      <w:r w:rsidRPr="00FC08D3">
        <w:rPr>
          <w:rStyle w:val="Ppogrubienie"/>
          <w:b w:val="0"/>
        </w:rPr>
        <w:t>Zmiany proponowane w</w:t>
      </w:r>
      <w:r>
        <w:rPr>
          <w:rStyle w:val="Ppogrubienie"/>
        </w:rPr>
        <w:t xml:space="preserve"> a</w:t>
      </w:r>
      <w:r w:rsidR="00AD2FB2" w:rsidRPr="00BF2F19">
        <w:rPr>
          <w:rStyle w:val="Ppogrubienie"/>
        </w:rPr>
        <w:t>rt. 1 pkt 3</w:t>
      </w:r>
      <w:r w:rsidR="003B3209">
        <w:rPr>
          <w:rStyle w:val="Ppogrubienie"/>
        </w:rPr>
        <w:t>6</w:t>
      </w:r>
      <w:r w:rsidR="00AD2FB2" w:rsidRPr="00BF2F19">
        <w:t xml:space="preserve"> </w:t>
      </w:r>
      <w:r>
        <w:t>zmierzają do zapewnienia KNF uprawnień określonych w art. 32 ust. 1 lit. a</w:t>
      </w:r>
      <w:r w:rsidR="00404FBA">
        <w:t xml:space="preserve"> </w:t>
      </w:r>
      <w:r w:rsidR="00AD2FB2" w:rsidRPr="00BF2F19">
        <w:t>rozporządzenia 2017/1129.</w:t>
      </w:r>
    </w:p>
    <w:p w14:paraId="5965CDDC" w14:textId="77777777" w:rsidR="00AD2FB2" w:rsidRPr="00BF2F19" w:rsidRDefault="00AD2FB2" w:rsidP="00B3421A">
      <w:pPr>
        <w:pStyle w:val="ARTartustawynprozporzdzenia"/>
      </w:pPr>
      <w:r w:rsidRPr="00BF2F19">
        <w:t xml:space="preserve">Na mocy </w:t>
      </w:r>
      <w:r w:rsidRPr="00BF2F19">
        <w:rPr>
          <w:rStyle w:val="Ppogrubienie"/>
        </w:rPr>
        <w:t>art. 1 pkt 3</w:t>
      </w:r>
      <w:r w:rsidR="003B3209">
        <w:rPr>
          <w:rStyle w:val="Ppogrubienie"/>
        </w:rPr>
        <w:t>7</w:t>
      </w:r>
      <w:r w:rsidRPr="00BF2F19">
        <w:t>, w art. 33 ustawy o ofercie</w:t>
      </w:r>
      <w:r w:rsidR="004A6A00">
        <w:t xml:space="preserve"> publicznej</w:t>
      </w:r>
      <w:r w:rsidRPr="00BF2F19">
        <w:t xml:space="preserve"> pozostawione będą jedynie przepisy dotyczące kwestii zwolnienia z obowiązku publikacji informacji w prospekcie oraz sposobu doręczenia decyzji stronie. Zostaną one odpowiednio zmodyfikowane, aby zapewnić ich zgodność z przepisami rozporządzenia 2017/1129. Uchylone zostaną natomiast ust. 3–6 – przepisy dotyczące wydania decyzji w sprawie zatwierdzenia prospektu zostaną bowiem przeniesione do art. 27, tak aby stanowiły one spójną całość z regulacją dotyczącą złożenia i rozpatrywania wniosku emitenta lub oferującego.</w:t>
      </w:r>
    </w:p>
    <w:p w14:paraId="319760B7" w14:textId="6CD5195E" w:rsidR="00AD2FB2" w:rsidRPr="00BF2F19" w:rsidRDefault="00AD2FB2" w:rsidP="00B3421A">
      <w:pPr>
        <w:pStyle w:val="ARTartustawynprozporzdzenia"/>
      </w:pPr>
      <w:r w:rsidRPr="00BF2F19">
        <w:t xml:space="preserve">Utrzymywanie w ustawie o ofercie publicznej art. 34, uchylanego przez </w:t>
      </w:r>
      <w:r w:rsidR="008403CD">
        <w:rPr>
          <w:rStyle w:val="Ppogrubienie"/>
        </w:rPr>
        <w:t>art. 1 pkt 3</w:t>
      </w:r>
      <w:r w:rsidR="003B3209">
        <w:rPr>
          <w:rStyle w:val="Ppogrubienie"/>
        </w:rPr>
        <w:t>8</w:t>
      </w:r>
      <w:r w:rsidRPr="00BF2F19">
        <w:rPr>
          <w:rStyle w:val="Ppogrubienie"/>
        </w:rPr>
        <w:t xml:space="preserve"> projektu ustawy</w:t>
      </w:r>
      <w:r w:rsidRPr="00BF2F19">
        <w:t>, nie jest już zasadne</w:t>
      </w:r>
      <w:r w:rsidR="001235E0" w:rsidRPr="00BF2F19">
        <w:t>, ponieważ kwestia prospektu składającego się z odrębnych fizycznie dokumentów jest w pełni regulowana rozporządzeniem 2017/1129.</w:t>
      </w:r>
      <w:r w:rsidR="0036449C" w:rsidRPr="0036449C">
        <w:t xml:space="preserve"> </w:t>
      </w:r>
      <w:r w:rsidR="0036449C">
        <w:t>Uchyla się także art. 35, jako że d</w:t>
      </w:r>
      <w:r w:rsidR="0036449C" w:rsidRPr="00BF2F19">
        <w:t>otychczasowe brzmienie tego przepisu znajduje się w pełni w zakresie art. 25 rozporządzenia 2017/1129</w:t>
      </w:r>
      <w:r w:rsidR="0036449C">
        <w:t>.</w:t>
      </w:r>
    </w:p>
    <w:p w14:paraId="1766269F" w14:textId="0B100CBC" w:rsidR="00BD6776" w:rsidRPr="00BF2F19" w:rsidRDefault="006E5567" w:rsidP="00B3421A">
      <w:pPr>
        <w:pStyle w:val="ARTartustawynprozporzdzenia"/>
      </w:pPr>
      <w:r w:rsidRPr="00BF2F19">
        <w:rPr>
          <w:rStyle w:val="Ppogrubienie"/>
        </w:rPr>
        <w:t>Art. 1 pkt 3</w:t>
      </w:r>
      <w:r w:rsidR="003B3209">
        <w:rPr>
          <w:rStyle w:val="Ppogrubienie"/>
        </w:rPr>
        <w:t>9</w:t>
      </w:r>
      <w:r w:rsidRPr="00BF2F19">
        <w:t xml:space="preserve"> </w:t>
      </w:r>
      <w:r w:rsidR="0036449C">
        <w:t xml:space="preserve">dodaje </w:t>
      </w:r>
      <w:r w:rsidRPr="00BF2F19">
        <w:t>art. 35</w:t>
      </w:r>
      <w:r w:rsidR="0036449C">
        <w:t>a</w:t>
      </w:r>
      <w:r w:rsidRPr="00BF2F19">
        <w:t xml:space="preserve"> </w:t>
      </w:r>
      <w:r w:rsidR="00A713A1">
        <w:t xml:space="preserve">do </w:t>
      </w:r>
      <w:r w:rsidRPr="00BF2F19">
        <w:t>ustawy o ofercie publicznej. Proponowane w projekcie brzmienie art. 35</w:t>
      </w:r>
      <w:r w:rsidR="0036449C">
        <w:t>a</w:t>
      </w:r>
      <w:r w:rsidRPr="00BF2F19">
        <w:t xml:space="preserve"> ust. 1 jest wypełnieniem dyspozycji zawartej w art. 27 ust. 2 i 3 rozporządzenia 2017/1129.</w:t>
      </w:r>
    </w:p>
    <w:p w14:paraId="44E468F2" w14:textId="77777777" w:rsidR="006E5567" w:rsidRPr="00BF2F19" w:rsidRDefault="009F1DE0" w:rsidP="00B3421A">
      <w:pPr>
        <w:pStyle w:val="ARTartustawynprozporzdzenia"/>
      </w:pPr>
      <w:r w:rsidRPr="00BF2F19">
        <w:t>Uchylane</w:t>
      </w:r>
      <w:r w:rsidR="006E5567" w:rsidRPr="00BF2F19">
        <w:t xml:space="preserve"> w </w:t>
      </w:r>
      <w:r w:rsidR="008403CD">
        <w:rPr>
          <w:rStyle w:val="Ppogrubienie"/>
        </w:rPr>
        <w:t xml:space="preserve">art. 1 pkt </w:t>
      </w:r>
      <w:r w:rsidR="003B3209">
        <w:rPr>
          <w:rStyle w:val="Ppogrubienie"/>
        </w:rPr>
        <w:t>40</w:t>
      </w:r>
      <w:r w:rsidR="006E5567" w:rsidRPr="00BF2F19">
        <w:rPr>
          <w:rStyle w:val="Ppogrubienie"/>
        </w:rPr>
        <w:t xml:space="preserve"> projektu</w:t>
      </w:r>
      <w:r w:rsidR="006E5567" w:rsidRPr="00BF2F19">
        <w:t xml:space="preserve"> art. 36</w:t>
      </w:r>
      <w:r w:rsidRPr="00BF2F19">
        <w:t xml:space="preserve"> i 37</w:t>
      </w:r>
      <w:r w:rsidR="006E5567" w:rsidRPr="00BF2F19">
        <w:t xml:space="preserve"> ust</w:t>
      </w:r>
      <w:r w:rsidR="00DE64AE" w:rsidRPr="00BF2F19">
        <w:t xml:space="preserve">awy o ofercie publicznej </w:t>
      </w:r>
      <w:r w:rsidRPr="00BF2F19">
        <w:t>są obecnie zbędne</w:t>
      </w:r>
      <w:r w:rsidR="00DE64AE" w:rsidRPr="00BF2F19">
        <w:t xml:space="preserve">, z uwagi na uregulowanie </w:t>
      </w:r>
      <w:r w:rsidRPr="00BF2F19">
        <w:t>tych samych</w:t>
      </w:r>
      <w:r w:rsidR="00DE64AE" w:rsidRPr="00BF2F19">
        <w:t xml:space="preserve"> kwestii w art. 25 rozporządzenia 2017/1129.</w:t>
      </w:r>
    </w:p>
    <w:p w14:paraId="099AD4D3" w14:textId="77777777" w:rsidR="00DE64AE" w:rsidRPr="00BF2F19" w:rsidRDefault="00DE64AE" w:rsidP="00B3421A">
      <w:pPr>
        <w:pStyle w:val="ARTartustawynprozporzdzenia"/>
      </w:pPr>
      <w:r w:rsidRPr="00BF2F19">
        <w:t xml:space="preserve">Zgodnie z </w:t>
      </w:r>
      <w:r w:rsidRPr="00BF2F19">
        <w:rPr>
          <w:rStyle w:val="Ppogrubienie"/>
        </w:rPr>
        <w:t>art. 1 pkt</w:t>
      </w:r>
      <w:r w:rsidR="008403CD">
        <w:rPr>
          <w:rStyle w:val="Ppogrubienie"/>
        </w:rPr>
        <w:t xml:space="preserve"> 4</w:t>
      </w:r>
      <w:r w:rsidR="003B3209">
        <w:rPr>
          <w:rStyle w:val="Ppogrubienie"/>
        </w:rPr>
        <w:t>1</w:t>
      </w:r>
      <w:r w:rsidRPr="00BF2F19">
        <w:rPr>
          <w:rStyle w:val="Ppogrubienie"/>
        </w:rPr>
        <w:t xml:space="preserve"> projektu ustawy</w:t>
      </w:r>
      <w:r w:rsidRPr="00BF2F19">
        <w:t xml:space="preserve"> proponuje się dodanie oznaczenia nowego oddziału 2a w rozdziale 2. W nowym oddziale byłyby uregulowane wyjątki od stosowania rozporządzenia 2017/1129 oraz wyjątki od obowiązku prospektowego określonego w tym rozporządzeniu.</w:t>
      </w:r>
    </w:p>
    <w:p w14:paraId="13E34C04" w14:textId="09BD2FA7" w:rsidR="00DE64AE" w:rsidRDefault="00DE64AE" w:rsidP="00B3421A">
      <w:pPr>
        <w:pStyle w:val="ARTartustawynprozporzdzenia"/>
      </w:pPr>
      <w:r w:rsidRPr="00BF2F19">
        <w:t xml:space="preserve">W </w:t>
      </w:r>
      <w:r w:rsidR="009F1DE0" w:rsidRPr="00BF2F19">
        <w:rPr>
          <w:rStyle w:val="Ppogrubienie"/>
        </w:rPr>
        <w:t>art. 1 pkt</w:t>
      </w:r>
      <w:r w:rsidR="008403CD">
        <w:rPr>
          <w:rStyle w:val="Ppogrubienie"/>
        </w:rPr>
        <w:t xml:space="preserve"> 4</w:t>
      </w:r>
      <w:r w:rsidR="003B3209">
        <w:rPr>
          <w:rStyle w:val="Ppogrubienie"/>
        </w:rPr>
        <w:t>2</w:t>
      </w:r>
      <w:r w:rsidRPr="00BF2F19">
        <w:rPr>
          <w:rStyle w:val="Ppogrubienie"/>
        </w:rPr>
        <w:t xml:space="preserve"> projektu</w:t>
      </w:r>
      <w:r w:rsidRPr="00BF2F19">
        <w:t xml:space="preserve"> proponuje się dodanie art. 37a</w:t>
      </w:r>
      <w:r w:rsidR="00CD5544">
        <w:t xml:space="preserve"> i art. 37b</w:t>
      </w:r>
      <w:r w:rsidRPr="00BF2F19">
        <w:t xml:space="preserve">, </w:t>
      </w:r>
      <w:r w:rsidR="00CD5544">
        <w:t>Pierwszy z tych przepisów</w:t>
      </w:r>
      <w:r w:rsidRPr="00BF2F19">
        <w:t xml:space="preserve"> regulowałby na poziomie krajowym wyjątek od stosowania przepisów rozporządzenia 2017/1129 przewidziany w art. 1 ust. 3 tego rozporządzenia. Natomiast </w:t>
      </w:r>
      <w:r w:rsidR="00CD5544">
        <w:t>art. 37b</w:t>
      </w:r>
      <w:r w:rsidRPr="00BF2F19">
        <w:t xml:space="preserve"> zawier</w:t>
      </w:r>
      <w:r w:rsidR="00CD5544">
        <w:t>ał</w:t>
      </w:r>
      <w:r w:rsidRPr="00BF2F19">
        <w:t>by regulację wyjątku od obowiązku prospektowego określonego w art. 3 ust. 2 rozporządzenia 2017/1129.</w:t>
      </w:r>
    </w:p>
    <w:p w14:paraId="11E7F31F" w14:textId="77777777" w:rsidR="0049134E" w:rsidRDefault="0049134E" w:rsidP="00B3421A">
      <w:pPr>
        <w:pStyle w:val="ARTartustawynprozporzdzenia"/>
      </w:pPr>
      <w:r>
        <w:t>Należy przy tym zauważyć, że art. 3 ust. 2 rozporządzenia 2017/1129 umożliwia państwom członkowskim ustanowienie progu wartości ofert publicznych, dla których nie jest wymagane sporządzenie prospektu, na poziomie od 1 do 8 mln euro. Z dniem 21 kwietnia 2018</w:t>
      </w:r>
      <w:r w:rsidR="00222BF5">
        <w:t> </w:t>
      </w:r>
      <w:r>
        <w:t xml:space="preserve">r., na mocy ustawy z dnia 1 marca 2018 r. o zmianie ustawy o obrocie instrumentami finansowymi oraz niektórych innych ustaw (Dz. U. poz. 685), </w:t>
      </w:r>
      <w:r w:rsidR="00222BF5">
        <w:t>próg ten został w Polsce podwyższony z 1 mln euro do poziomu 2,5 mln euro. Jednocześnie próg, poniżej którego nie jest wymagane sporządzenie memorandum informacyjnego został podwyższony ze 100 000 euro do kwoty 1 mln euro. W niniejszym projekcie ustawy projektodawca zdecydował się pozostawić te kwoty na niezmienionym poziomie</w:t>
      </w:r>
      <w:r w:rsidR="00151ABB">
        <w:t>, jest ona bowiem dostosowana do aktualnego poziomu rozwoju polskiego rynku kapitałowego</w:t>
      </w:r>
      <w:r w:rsidR="00222BF5">
        <w:t>.</w:t>
      </w:r>
    </w:p>
    <w:p w14:paraId="0A66B28C" w14:textId="77777777" w:rsidR="00222BF5" w:rsidRDefault="00222BF5" w:rsidP="00B3421A">
      <w:pPr>
        <w:pStyle w:val="ARTartustawynprozporzdzenia"/>
      </w:pPr>
      <w:r>
        <w:t>Jak bowiem wynika z informacji otrzymanych z Urzędu Komisji Nadzoru Finansowego</w:t>
      </w:r>
      <w:r w:rsidR="00151ABB">
        <w:t>, w 2017 r. na łączną liczbę 60 ofert publicznych, które wiązały się z obowiązkiem sporządzenia prospektu, tylko cztery z tych ofert znajdowały się w przedziale 2,5–5 mln euro, a dalsze 13 – w przedziale 5–8 mln euro. Z kolei w 2018 r. na 30 ofert, z którymi związany był obowiązek prospektowy, w przedziale 2,5–5 mln euro znajdowały się cztery oferty, a w przedziale 5–8 mln euro – pięć ofert.</w:t>
      </w:r>
      <w:r w:rsidR="002A47D7">
        <w:t xml:space="preserve"> Liczba ofert, w ramach których można byłoby rozpatrywać ewentualne zmiany progu prospektowego nie wydaje się zatem na tyle duża, aby kwotę tę rozpatrywać w kategorii istotnych utrudnień dla krajowych emitentów, pamiętając przy tym, że będzie to pociągać za sobą istotne osłabienie pozycji inwestorów, którzy pożyczają tym emitentom swoje oszczędności.</w:t>
      </w:r>
    </w:p>
    <w:p w14:paraId="20DC66E0" w14:textId="77777777" w:rsidR="002A47D7" w:rsidRDefault="002A47D7" w:rsidP="00B3421A">
      <w:pPr>
        <w:pStyle w:val="ARTartustawynprozporzdzenia"/>
      </w:pPr>
      <w:r>
        <w:t xml:space="preserve">Również dane opublikowane przez Europejski Urząd Nadzoru Giełd i Papierów Wartościowych, zwany dalej </w:t>
      </w:r>
      <w:r w:rsidRPr="00BF2F19">
        <w:t>„ESMA”</w:t>
      </w:r>
      <w:r>
        <w:t>, na temat krajowych progów, poniżej których nie istnieje obowiązek publikowania prospektu</w:t>
      </w:r>
      <w:r>
        <w:rPr>
          <w:rStyle w:val="Odwoanieprzypisudolnego"/>
        </w:rPr>
        <w:footnoteReference w:id="1"/>
      </w:r>
      <w:r w:rsidRPr="002A47D7">
        <w:rPr>
          <w:rStyle w:val="IGindeksgrny"/>
        </w:rPr>
        <w:t>)</w:t>
      </w:r>
      <w:r>
        <w:t>,</w:t>
      </w:r>
      <w:r w:rsidR="0084086B">
        <w:t xml:space="preserve"> wskazują, że w ośmiu państwach członkowskich Unii Europejskiej obowiązek prospektowy, podobnie jak w Polsce, istnieje dla ofert do 2,5 mln euro, natomiast z maksymalnego progu 8 mln euro skorzystały jedynie cztery państwa (Dania, Finlandia, Francja i Włochy). Warto zauważyć, że nawet prawodawca niemiecki przewidział obowiązek prospektowy co do zasady na poziomie 5 mln euro.</w:t>
      </w:r>
    </w:p>
    <w:p w14:paraId="426353D3" w14:textId="77777777" w:rsidR="0084086B" w:rsidRPr="00BF2F19" w:rsidRDefault="0084086B" w:rsidP="00B3421A">
      <w:pPr>
        <w:pStyle w:val="ARTartustawynprozporzdzenia"/>
      </w:pPr>
      <w:r>
        <w:t xml:space="preserve">Na marginesie zaznaczyć należy, że obecnie na forum Unii Europejskiej procedowany jest projekt rozporządzenia Parlamentu Europejskiego i Rady w sprawie europejskich dostawców usług finansowania społecznościowego dla przedsiębiorstw. W projekcie tym przewiduje się pozostawienie państwom członkowskim decyzji w odniesieniu do górnego progu środków, jakie przedsiębiorcy będą mogli pozyskiwać za pośrednictwem platform </w:t>
      </w:r>
      <w:r w:rsidRPr="0084086B">
        <w:rPr>
          <w:rStyle w:val="Kkursywa"/>
        </w:rPr>
        <w:t>crowdfundingowych</w:t>
      </w:r>
      <w:r>
        <w:t xml:space="preserve">, przy czym próg ten będzie mógł być ustanowiony na poziomie nie niższym, niż próg ustanowiony dla ofert bezprospektowych w danym państwie członkowskim. Biorąc pod uwagę, że projektowane rozporządzenie w znaczący sposób podwyższy poziom ochrony inwestorów i potencjalnych inwestorów </w:t>
      </w:r>
      <w:r w:rsidR="00817709">
        <w:t>korzystających z platform finansowania społecznościowego, w ocenie projektodawcy to ustawa zapewniająca stosowanie przedmiotowego rozporządzenia będzie dobrą okazją do powrotu do dyskusji o ewentualnym podwyższeniu progu ofert bezprospektowych w Polsce.</w:t>
      </w:r>
    </w:p>
    <w:p w14:paraId="7793A52F" w14:textId="72C55FF0" w:rsidR="00DE64AE" w:rsidRPr="00BF2F19" w:rsidRDefault="00DE64AE" w:rsidP="00B3421A">
      <w:pPr>
        <w:pStyle w:val="ARTartustawynprozporzdzenia"/>
      </w:pPr>
      <w:r w:rsidRPr="00BF2F19">
        <w:t xml:space="preserve">Art. 38 ustawy o ofercie publicznej, na mocy </w:t>
      </w:r>
      <w:r w:rsidR="008403CD">
        <w:rPr>
          <w:rStyle w:val="Ppogrubienie"/>
        </w:rPr>
        <w:t>art. 1 pkt 4</w:t>
      </w:r>
      <w:r w:rsidR="003B3209">
        <w:rPr>
          <w:rStyle w:val="Ppogrubienie"/>
        </w:rPr>
        <w:t>3</w:t>
      </w:r>
      <w:r w:rsidRPr="00BF2F19">
        <w:rPr>
          <w:rStyle w:val="Ppogrubienie"/>
        </w:rPr>
        <w:t xml:space="preserve"> projektu</w:t>
      </w:r>
      <w:r w:rsidRPr="00BF2F19">
        <w:t>, został całościowo przeformułowany w celu uregulowania wyłącznie tych aspektów wyjątków od obowiązku prospektowego okr</w:t>
      </w:r>
      <w:r w:rsidR="00CD5544">
        <w:t xml:space="preserve">eślonych w art. 1 ust. 4 lit. f oraz </w:t>
      </w:r>
      <w:r w:rsidRPr="00BF2F19">
        <w:t>g i art. 1 ust. 5 lit. e oraz f rozporządzenia 2017/1129</w:t>
      </w:r>
      <w:r w:rsidR="00434ABC" w:rsidRPr="00BF2F19">
        <w:t>, których nie regulują przepisy unijne. W pozostałym zakresie dotychczasowe brzmienie tych przepisów proponuje się uchylić.</w:t>
      </w:r>
    </w:p>
    <w:p w14:paraId="7634EC9D" w14:textId="77777777" w:rsidR="00434ABC" w:rsidRPr="00BF2F19" w:rsidRDefault="00434ABC" w:rsidP="00B3421A">
      <w:pPr>
        <w:pStyle w:val="ARTartustawynprozporzdzenia"/>
      </w:pPr>
      <w:r w:rsidRPr="00BF2F19">
        <w:t xml:space="preserve">Na mocy </w:t>
      </w:r>
      <w:r w:rsidR="008403CD">
        <w:rPr>
          <w:rStyle w:val="Ppogrubienie"/>
        </w:rPr>
        <w:t>art. 1 pkt 4</w:t>
      </w:r>
      <w:r w:rsidR="003B3209">
        <w:rPr>
          <w:rStyle w:val="Ppogrubienie"/>
        </w:rPr>
        <w:t>4</w:t>
      </w:r>
      <w:r w:rsidRPr="00BF2F19">
        <w:rPr>
          <w:rStyle w:val="Ppogrubienie"/>
        </w:rPr>
        <w:t xml:space="preserve"> projektu</w:t>
      </w:r>
      <w:r w:rsidRPr="00BF2F19">
        <w:t xml:space="preserve"> art. 38a ustawy o ofercie publicznej został całościowo przeformułowany w celu uregulowania wyłącznie tych aspektów wyjątków od obowiązku prospektowego określonych w art. 1 ust. 5 lit. j rozporządzenia 2017/1129, których nie regulują przepisy unijne. W pozostałym zakresie brzmienie tych przepisów proponuje się uchylić. Natomiast art. 38b stanowi uzupełnienie wymogów sporządzenia memorandum informacyjnego, zgodnie z nowym brzmieniem art. 3 ust. 1</w:t>
      </w:r>
      <w:r w:rsidR="00817709">
        <w:t>a</w:t>
      </w:r>
      <w:r w:rsidRPr="00BF2F19">
        <w:t xml:space="preserve"> ustawy o ofercie publicznej, tak aby określić w nim zasady obowiązujące przy sporządzaniu memorandum.</w:t>
      </w:r>
      <w:r w:rsidR="00E95904">
        <w:t xml:space="preserve"> Aby zapewnić prostotę i szybkość procesu przydziału papierów wartościowych po uzyskaniu zatwierdzenia memorandum, proponuje się zniesienie obowiązku zatwierdzenia suplementów do memorandum, zastępując go obowiązkiem przedłożenia ich KNF. Dysponowanie zmianami do memorandum umożliwi KNF podjęcie ewentualnych działań nadzorczych w przypadku naruszenia lub podejrzenia naruszenia przepisów prawa w związku z daną ofertą publiczną. Ponadto emitent lub oferujący będą uprawnieni do skrócenia terminu na wycofanie</w:t>
      </w:r>
      <w:r w:rsidR="006702D9">
        <w:t xml:space="preserve"> się przez inwestorów ze złożonych zapisów, o ile uzyskają na to zgodę wszystkich osób, które złożyły zapis zanim suplement został udostępniony. Dodatkowo, proponowana zmiana zezwala na ograniczenie sposobu udostępniania memorandum – wyłącznie do adresatów oferty, a nie w sposób analogiczny do prospektu, tj. przez publikację w internecie, co stanowi uproszczenie i ułatwienie dla emitentów.</w:t>
      </w:r>
    </w:p>
    <w:p w14:paraId="67663CA4" w14:textId="77777777" w:rsidR="00434ABC" w:rsidRPr="00BF2F19" w:rsidRDefault="00403F7E" w:rsidP="00B3421A">
      <w:pPr>
        <w:pStyle w:val="ARTartustawynprozporzdzenia"/>
      </w:pPr>
      <w:r w:rsidRPr="00BF2F19">
        <w:t xml:space="preserve">Również art. 39 ustawy o ofercie </w:t>
      </w:r>
      <w:r w:rsidR="00817709">
        <w:t xml:space="preserve">publicznej, </w:t>
      </w:r>
      <w:r w:rsidRPr="00BF2F19">
        <w:t xml:space="preserve">zmieniany przez </w:t>
      </w:r>
      <w:r w:rsidR="008403CD">
        <w:rPr>
          <w:rStyle w:val="Ppogrubienie"/>
        </w:rPr>
        <w:t>art. 1 pkt 4</w:t>
      </w:r>
      <w:r w:rsidR="003B3209">
        <w:rPr>
          <w:rStyle w:val="Ppogrubienie"/>
        </w:rPr>
        <w:t>5</w:t>
      </w:r>
      <w:r w:rsidRPr="00BF2F19">
        <w:rPr>
          <w:rStyle w:val="Ppogrubienie"/>
        </w:rPr>
        <w:t xml:space="preserve"> projektu</w:t>
      </w:r>
      <w:r w:rsidRPr="00BF2F19">
        <w:t xml:space="preserve"> został przeformułowany w celu uregulowania wyłącznie tych aspektów wyjątków od obowiązku prospektowego określonych w art. 1 ust. 4 lit. h oraz i, oraz art. 1 ust. 5 lit. g oraz h, których nie regulują przepisy unijne. W pozostałym zakresie dotychczasowe brzmienie tych przepisów proponuje się uchylić.</w:t>
      </w:r>
    </w:p>
    <w:p w14:paraId="58315849" w14:textId="77777777" w:rsidR="007E7178" w:rsidRPr="00BF2F19" w:rsidRDefault="007E7178" w:rsidP="00B3421A">
      <w:pPr>
        <w:pStyle w:val="ARTartustawynprozporzdzenia"/>
      </w:pPr>
      <w:r w:rsidRPr="00BF2F19">
        <w:t xml:space="preserve">Art. 40 ustawy o ofercie publicznej w nowym brzmieniu, wprowadzanym przez </w:t>
      </w:r>
      <w:r w:rsidRPr="00BF2F19">
        <w:rPr>
          <w:rStyle w:val="Ppogrubienie"/>
        </w:rPr>
        <w:t>art. 1 pkt 4</w:t>
      </w:r>
      <w:r w:rsidR="003B3209">
        <w:rPr>
          <w:rStyle w:val="Ppogrubienie"/>
        </w:rPr>
        <w:t>6</w:t>
      </w:r>
      <w:r w:rsidRPr="00BF2F19">
        <w:t>, reguluje z kolei nieuregulowane na poziomie unijnym aspekty wyjątku przewidzianego w art. 1 ust. 2 lit. e rozporządzenia 2017/1129.</w:t>
      </w:r>
    </w:p>
    <w:p w14:paraId="7814DA42" w14:textId="00A6E101" w:rsidR="00403F7E" w:rsidRPr="00BF2F19" w:rsidRDefault="007E7178" w:rsidP="00B3421A">
      <w:pPr>
        <w:pStyle w:val="ARTartustawynprozporzdzenia"/>
      </w:pPr>
      <w:r w:rsidRPr="00BF2F19">
        <w:t xml:space="preserve">Dodawany na mocy </w:t>
      </w:r>
      <w:r w:rsidRPr="00BF2F19">
        <w:rPr>
          <w:rStyle w:val="Ppogrubienie"/>
        </w:rPr>
        <w:t>art. 1 pkt 4</w:t>
      </w:r>
      <w:r w:rsidR="003B3209">
        <w:rPr>
          <w:rStyle w:val="Ppogrubienie"/>
        </w:rPr>
        <w:t>7</w:t>
      </w:r>
      <w:r w:rsidRPr="00BF2F19">
        <w:t xml:space="preserve"> nowy </w:t>
      </w:r>
      <w:r w:rsidRPr="00CD5544">
        <w:rPr>
          <w:rStyle w:val="Ppogrubienie"/>
        </w:rPr>
        <w:t>art. 40a</w:t>
      </w:r>
      <w:r w:rsidRPr="00BF2F19">
        <w:t xml:space="preserve"> ustanawia kolejny wyjątek od obowiązku prospektowego, zgodnie z którym prospekt nie będzie wymagany w przypadku dopuszczenia do obrotu na rynku regulowanym papierów wartościowych emitowanych przez fundusze inwestycyjne wpisane do rejestru, o którym mowa w ustawie o funduszach inwestycyjnych.</w:t>
      </w:r>
      <w:r w:rsidR="00CD5544">
        <w:t xml:space="preserve"> </w:t>
      </w:r>
      <w:r w:rsidR="00CD5544" w:rsidRPr="00596D81">
        <w:rPr>
          <w:rStyle w:val="Ppogrubienie"/>
        </w:rPr>
        <w:t>Art. 40b</w:t>
      </w:r>
      <w:r w:rsidR="00CD5544">
        <w:t xml:space="preserve"> nakazuje natomiast odpowiednie stosowanie przepisów </w:t>
      </w:r>
      <w:r w:rsidR="00596D81">
        <w:t>o odpowiedzialności za treści zawarte w prospekcie do dokumentów o charakterze krajowym.</w:t>
      </w:r>
    </w:p>
    <w:p w14:paraId="53060BD7" w14:textId="77777777" w:rsidR="007E7178" w:rsidRPr="00BF2F19" w:rsidRDefault="007E7178" w:rsidP="007E7178">
      <w:pPr>
        <w:pStyle w:val="ARTartustawynprozporzdzenia"/>
      </w:pPr>
      <w:r w:rsidRPr="00BF2F19">
        <w:rPr>
          <w:rStyle w:val="Ppogrubienie"/>
        </w:rPr>
        <w:t>Art. 1 pkt 4</w:t>
      </w:r>
      <w:r w:rsidR="003B3209">
        <w:rPr>
          <w:rStyle w:val="Ppogrubienie"/>
        </w:rPr>
        <w:t>8</w:t>
      </w:r>
      <w:r w:rsidRPr="00BF2F19">
        <w:t xml:space="preserve"> uchyla oddział 3 w rozdziale 2 ustawy o ofercie publicznej. Oddział ten dotyczył dokumentów objętych zasadami</w:t>
      </w:r>
      <w:r w:rsidR="007763F3" w:rsidRPr="00BF2F19">
        <w:t xml:space="preserve"> obowiązującymi wyłącznie na terytorium Rzeczypospolitej Polskiej. Dotychczasowa treść art. 41 została przeniesiona do innych przepisów zawartych w proponowanym oddziale 2a, natomiast art. 44 zostanie w całości przeniesiony do o</w:t>
      </w:r>
      <w:r w:rsidR="00ED080F">
        <w:t>drębnego oddziału, jako art. 55d</w:t>
      </w:r>
      <w:r w:rsidR="007763F3" w:rsidRPr="00BF2F19">
        <w:t xml:space="preserve">, dla bardziej przejrzystego rozróżnienia obowiązków informacyjnych w zależności od charakteru instrumentu finansowego. </w:t>
      </w:r>
      <w:r w:rsidR="00817709">
        <w:t>Biorąc pod uwagę wcześniejsze uchylenie pozostałych przepisów znajdujących się w oddziale 3, obecnie z</w:t>
      </w:r>
      <w:r w:rsidR="007763F3" w:rsidRPr="00BF2F19">
        <w:t xml:space="preserve">asadne jest uchylenie </w:t>
      </w:r>
      <w:r w:rsidR="00817709">
        <w:t xml:space="preserve">tego </w:t>
      </w:r>
      <w:r w:rsidR="007763F3" w:rsidRPr="00BF2F19">
        <w:t>oddziału w całości.</w:t>
      </w:r>
    </w:p>
    <w:p w14:paraId="2A01064E" w14:textId="2C04F494" w:rsidR="007763F3" w:rsidRPr="00BF2F19" w:rsidRDefault="007763F3" w:rsidP="007E7178">
      <w:pPr>
        <w:pStyle w:val="ARTartustawynprozporzdzenia"/>
      </w:pPr>
      <w:r w:rsidRPr="00BF2F19">
        <w:t xml:space="preserve">Natomiast uchylane przez </w:t>
      </w:r>
      <w:r w:rsidRPr="00BF2F19">
        <w:rPr>
          <w:rStyle w:val="Ppogrubienie"/>
        </w:rPr>
        <w:t>art. 1 pkt 4</w:t>
      </w:r>
      <w:r w:rsidR="003B3209">
        <w:rPr>
          <w:rStyle w:val="Ppogrubienie"/>
        </w:rPr>
        <w:t>9</w:t>
      </w:r>
      <w:r w:rsidRPr="00BF2F19">
        <w:t xml:space="preserve"> art. 45 i </w:t>
      </w:r>
      <w:r w:rsidR="009F14C3">
        <w:t xml:space="preserve">art. </w:t>
      </w:r>
      <w:r w:rsidRPr="00BF2F19">
        <w:t xml:space="preserve">46 powtarzają materię uregulowaną obecnie na poziomie unijnym, tj. w art. 21 i </w:t>
      </w:r>
      <w:r w:rsidR="009F14C3">
        <w:t xml:space="preserve">art. </w:t>
      </w:r>
      <w:r w:rsidRPr="00BF2F19">
        <w:t>27 rozporządzenia 2017/1129.</w:t>
      </w:r>
    </w:p>
    <w:p w14:paraId="045BB7F4" w14:textId="77777777" w:rsidR="00B1198B" w:rsidRPr="00BF2F19" w:rsidRDefault="00B1198B" w:rsidP="007E7178">
      <w:pPr>
        <w:pStyle w:val="ARTartustawynprozporzdzenia"/>
      </w:pPr>
      <w:r w:rsidRPr="00BF2F19">
        <w:t xml:space="preserve">Przewidziane w </w:t>
      </w:r>
      <w:r w:rsidRPr="00BF2F19">
        <w:rPr>
          <w:rStyle w:val="Ppogrubienie"/>
        </w:rPr>
        <w:t xml:space="preserve">art. 1 pkt </w:t>
      </w:r>
      <w:r w:rsidR="003B3209">
        <w:rPr>
          <w:rStyle w:val="Ppogrubienie"/>
        </w:rPr>
        <w:t>50</w:t>
      </w:r>
      <w:r w:rsidRPr="00BF2F19">
        <w:t xml:space="preserve"> uchylenie ust. 1 i 2 oraz 4–6 w art. 47 uzasadnione jest uregulowaniem tej samej materii przez art. 21 rozporządzenia 2017/1129, natomiast zmiana brzmienia ust. 3 związana jest z koniecznością umożliwienia KNF dopełnienia obowiązku, o którym mowa w art. 21 ust. 5 tego rozporządzenia.</w:t>
      </w:r>
    </w:p>
    <w:p w14:paraId="4DACC868" w14:textId="77777777" w:rsidR="00B1198B" w:rsidRPr="00BF2F19" w:rsidRDefault="00B1198B" w:rsidP="007E7178">
      <w:pPr>
        <w:pStyle w:val="ARTartustawynprozporzdzenia"/>
      </w:pPr>
      <w:r w:rsidRPr="00BF2F19">
        <w:t>Uchylenie art. 48–50 (</w:t>
      </w:r>
      <w:r w:rsidR="004E6416" w:rsidRPr="00BF2F19">
        <w:rPr>
          <w:rStyle w:val="Ppogrubienie"/>
        </w:rPr>
        <w:t>art. 1 pkt 5</w:t>
      </w:r>
      <w:r w:rsidR="003B3209">
        <w:rPr>
          <w:rStyle w:val="Ppogrubienie"/>
        </w:rPr>
        <w:t>1</w:t>
      </w:r>
      <w:r w:rsidRPr="00BF2F19">
        <w:t>) związane jest z uregulowaniem tej samej materii w rozporządzeniu 2017/1129. Odpowiednikiem art. 48 ustawy o ofercie publicznej jest art. 21 ust. 3 rozporządzenia 2017/1129, odpowiednikiem art. 49 ustawy – art. 12 rozporządzenia, a odpowiednikiem art. 50 ustawy – art. 22 ust. 4 rozporządzenia.</w:t>
      </w:r>
    </w:p>
    <w:p w14:paraId="78912388" w14:textId="77777777" w:rsidR="00B1198B" w:rsidRPr="00BF2F19" w:rsidRDefault="008403CD" w:rsidP="007E7178">
      <w:pPr>
        <w:pStyle w:val="ARTartustawynprozporzdzenia"/>
      </w:pPr>
      <w:r>
        <w:rPr>
          <w:rStyle w:val="Ppogrubienie"/>
        </w:rPr>
        <w:t>Art. 1 pkt 5</w:t>
      </w:r>
      <w:r w:rsidR="003B3209">
        <w:rPr>
          <w:rStyle w:val="Ppogrubienie"/>
        </w:rPr>
        <w:t>2</w:t>
      </w:r>
      <w:r w:rsidR="00E94695" w:rsidRPr="00BF2F19">
        <w:rPr>
          <w:rStyle w:val="Ppogrubienie"/>
        </w:rPr>
        <w:t xml:space="preserve"> projektu</w:t>
      </w:r>
      <w:r w:rsidR="00E94695" w:rsidRPr="00BF2F19">
        <w:t xml:space="preserve"> wprowadza zmiany w art. 51 ustawy o ofercie publicznej. </w:t>
      </w:r>
      <w:r w:rsidR="00E94695" w:rsidRPr="00BF2F19">
        <w:rPr>
          <w:rStyle w:val="Ppogrubienie"/>
        </w:rPr>
        <w:t>Lit. a</w:t>
      </w:r>
      <w:r w:rsidR="00E94695" w:rsidRPr="00BF2F19">
        <w:t xml:space="preserve"> uchyla ust. 1 ze względu na uregulowanie tej samej materii przez art. 23 ust. 1 rozporządzenia 2017/1129. W </w:t>
      </w:r>
      <w:r w:rsidR="00E94695" w:rsidRPr="00BF2F19">
        <w:rPr>
          <w:rStyle w:val="Ppogrubienie"/>
        </w:rPr>
        <w:t>lit. b</w:t>
      </w:r>
      <w:r w:rsidR="00982AEB" w:rsidRPr="00BF2F19">
        <w:rPr>
          <w:rStyle w:val="Ppogrubienie"/>
        </w:rPr>
        <w:t>, lit. d</w:t>
      </w:r>
      <w:r w:rsidR="00E94695" w:rsidRPr="00BF2F19">
        <w:t xml:space="preserve"> oraz w </w:t>
      </w:r>
      <w:r w:rsidR="00E94695" w:rsidRPr="00BF2F19">
        <w:rPr>
          <w:rStyle w:val="Ppogrubienie"/>
        </w:rPr>
        <w:t xml:space="preserve">lit. </w:t>
      </w:r>
      <w:r w:rsidR="00982AEB" w:rsidRPr="00BF2F19">
        <w:rPr>
          <w:rStyle w:val="Ppogrubienie"/>
        </w:rPr>
        <w:t>f</w:t>
      </w:r>
      <w:r w:rsidR="00E94695" w:rsidRPr="00BF2F19">
        <w:t xml:space="preserve"> w</w:t>
      </w:r>
      <w:r w:rsidR="00982AEB" w:rsidRPr="00BF2F19">
        <w:t>prowadza się zmiany w ust. 3, 4 i 8 oraz dodaje się ust. 10</w:t>
      </w:r>
      <w:r w:rsidR="00E94695" w:rsidRPr="00BF2F19">
        <w:t>. Zmiany te są konsekwencją zmiany terminu „aneks” na termin „suplement” w ce</w:t>
      </w:r>
      <w:r w:rsidR="00817709">
        <w:t>lu ujednolicenia terminologii z siatką pojęciową</w:t>
      </w:r>
      <w:r w:rsidR="00E94695" w:rsidRPr="00BF2F19">
        <w:t xml:space="preserve"> stosowaną w rozporządzeniu 2017/1129. Ponadto nowelizowana treść powyższych przepisów usuwa regulacje odnoszące się do tej samej materii, uregulowanej w art. 23 ust. 1 w akapicie drugim rozporządzenia 2017/1129 oraz dostosowuje do przepisów regulujących zatwierdzenie prospektu.</w:t>
      </w:r>
      <w:r w:rsidR="00272F0C" w:rsidRPr="00BF2F19">
        <w:t xml:space="preserve"> </w:t>
      </w:r>
      <w:r w:rsidR="00272F0C" w:rsidRPr="00BF2F19">
        <w:rPr>
          <w:rStyle w:val="Ppogrubienie"/>
        </w:rPr>
        <w:t>Lit. c</w:t>
      </w:r>
      <w:r w:rsidR="00982AEB" w:rsidRPr="00BF2F19">
        <w:rPr>
          <w:rStyle w:val="Ppogrubienie"/>
        </w:rPr>
        <w:t xml:space="preserve"> i lit. e</w:t>
      </w:r>
      <w:r w:rsidR="00272F0C" w:rsidRPr="00BF2F19">
        <w:t xml:space="preserve"> uchyla</w:t>
      </w:r>
      <w:r w:rsidR="00982AEB" w:rsidRPr="00BF2F19">
        <w:t>ją</w:t>
      </w:r>
      <w:r w:rsidR="00272F0C" w:rsidRPr="00BF2F19">
        <w:t xml:space="preserve"> ust. 5–7</w:t>
      </w:r>
      <w:r w:rsidR="00982AEB" w:rsidRPr="00BF2F19">
        <w:t xml:space="preserve"> i ust. 9</w:t>
      </w:r>
      <w:r w:rsidR="00272F0C" w:rsidRPr="00BF2F19">
        <w:t xml:space="preserve"> ze względu na uregulowanie tej materii w art. 24 ust. 2 rozporządzenia 2017/1129.</w:t>
      </w:r>
    </w:p>
    <w:p w14:paraId="730D0BDE" w14:textId="77777777" w:rsidR="00272F0C" w:rsidRPr="00BF2F19" w:rsidRDefault="00272F0C" w:rsidP="007E7178">
      <w:pPr>
        <w:pStyle w:val="ARTartustawynprozporzdzenia"/>
      </w:pPr>
      <w:r w:rsidRPr="00BF2F19">
        <w:t xml:space="preserve">Na mocy </w:t>
      </w:r>
      <w:r w:rsidR="008403CD">
        <w:rPr>
          <w:rStyle w:val="Ppogrubienie"/>
        </w:rPr>
        <w:t>art. 1 pkt 5</w:t>
      </w:r>
      <w:r w:rsidR="003B3209">
        <w:rPr>
          <w:rStyle w:val="Ppogrubienie"/>
        </w:rPr>
        <w:t>3</w:t>
      </w:r>
      <w:r w:rsidRPr="00BF2F19">
        <w:rPr>
          <w:rStyle w:val="Ppogrubienie"/>
        </w:rPr>
        <w:t xml:space="preserve"> lit. a oraz c projektu</w:t>
      </w:r>
      <w:r w:rsidRPr="00BF2F19">
        <w:t xml:space="preserve"> uchyla się ust. 1, 3 i 4 w art. 51a ustawy o ofercie publicznej. Regulacja tych kwestii przeniesiona bowiem zostanie do art. 23 ust. 2 i 3 rozporządzenia 2017/1129. Ponadto, </w:t>
      </w:r>
      <w:r w:rsidRPr="00BF2F19">
        <w:rPr>
          <w:rStyle w:val="Ppogrubienie"/>
        </w:rPr>
        <w:t>lit. b</w:t>
      </w:r>
      <w:r w:rsidRPr="00BF2F19">
        <w:t xml:space="preserve"> nowelizuje treść art. 51a ust. 2, aby usunąć z tego przepisu regulacje dotyczące </w:t>
      </w:r>
      <w:r w:rsidR="00626EC1" w:rsidRPr="00BF2F19">
        <w:t>terminu uchylenia się od skutków prawnych zapisu, przeniesione do</w:t>
      </w:r>
      <w:r w:rsidRPr="00BF2F19">
        <w:t xml:space="preserve"> art. 23 ust. 2 rozporządzenia 2017/1129.</w:t>
      </w:r>
    </w:p>
    <w:p w14:paraId="568D4067" w14:textId="77777777" w:rsidR="00626EC1" w:rsidRPr="00BF2F19" w:rsidRDefault="00626EC1" w:rsidP="007E7178">
      <w:pPr>
        <w:pStyle w:val="ARTartustawynprozporzdzenia"/>
      </w:pPr>
      <w:r w:rsidRPr="00BF2F19">
        <w:t xml:space="preserve">Uchylenie ust. 1 w art. 52, przewidziane przez </w:t>
      </w:r>
      <w:r w:rsidR="004E6416" w:rsidRPr="00BF2F19">
        <w:rPr>
          <w:rStyle w:val="Ppogrubienie"/>
        </w:rPr>
        <w:t>art. 1 pkt 5</w:t>
      </w:r>
      <w:r w:rsidR="003B3209">
        <w:rPr>
          <w:rStyle w:val="Ppogrubienie"/>
        </w:rPr>
        <w:t>4</w:t>
      </w:r>
      <w:r w:rsidRPr="00BF2F19">
        <w:rPr>
          <w:rStyle w:val="Ppogrubienie"/>
        </w:rPr>
        <w:t xml:space="preserve"> lit. a projektu</w:t>
      </w:r>
      <w:r w:rsidRPr="00BF2F19">
        <w:t xml:space="preserve">, związane jest z uregulowaniem tożsamej materii w art. 23 ust. 2 rozporządzenia 2017/1129. Nowelizacja brzmienia ust. 2, zaproponowana w </w:t>
      </w:r>
      <w:r w:rsidRPr="00BF2F19">
        <w:rPr>
          <w:rStyle w:val="Ppogrubienie"/>
        </w:rPr>
        <w:t>lit. b</w:t>
      </w:r>
      <w:r w:rsidRPr="00BF2F19">
        <w:t>, związana jest z wprowadzeniem pojęć „prospektu” i „suplementu” zamiast odpowiednio „prospektu emisyjnego” i „aneksu”. Przepis ten doprecyzowuje również okoliczności powodujące możliwość publikacji komunikatu. Uchylenie ust. 3 (</w:t>
      </w:r>
      <w:r w:rsidRPr="00BF2F19">
        <w:rPr>
          <w:rStyle w:val="Ppogrubienie"/>
        </w:rPr>
        <w:t>lit. c</w:t>
      </w:r>
      <w:r w:rsidRPr="00BF2F19">
        <w:t>) jest natomiast związane z treścią art. 21 ust. 10 rozporządzenia 2017/1129, który stwierdza, że prospekt opublikowany powinien być identyczny w treści z wersją zatwierdzoną przez organ nadzoru, tak więc nie powinno być dopuszczalne jego modyfikowanie. W przypadku komunikatu do prospektu jeszcze nieopublikowanego, treść tego komunikatu powinna zatem być opublikowana w odrębnym dokumencie.</w:t>
      </w:r>
    </w:p>
    <w:p w14:paraId="03EC99E5" w14:textId="22E789C3" w:rsidR="0043638C" w:rsidRPr="00BF2F19" w:rsidRDefault="008403CD" w:rsidP="007E7178">
      <w:pPr>
        <w:pStyle w:val="ARTartustawynprozporzdzenia"/>
      </w:pPr>
      <w:r>
        <w:rPr>
          <w:rStyle w:val="Ppogrubienie"/>
        </w:rPr>
        <w:t>Art. 1 pkt 5</w:t>
      </w:r>
      <w:r w:rsidR="003B3209">
        <w:rPr>
          <w:rStyle w:val="Ppogrubienie"/>
        </w:rPr>
        <w:t>5</w:t>
      </w:r>
      <w:r w:rsidR="0043638C" w:rsidRPr="00BF2F19">
        <w:rPr>
          <w:rStyle w:val="Ppogrubienie"/>
        </w:rPr>
        <w:t xml:space="preserve"> projektu</w:t>
      </w:r>
      <w:r w:rsidR="0043638C" w:rsidRPr="00BF2F19">
        <w:t xml:space="preserve"> wprowadza zmiany w art. 53 ustawy o ofercie publicznej, dotyczącym reklam ofert publicznych. </w:t>
      </w:r>
      <w:r w:rsidR="0043638C" w:rsidRPr="00BF2F19">
        <w:rPr>
          <w:rStyle w:val="Ppogrubienie"/>
        </w:rPr>
        <w:t>Lit. a</w:t>
      </w:r>
      <w:r w:rsidR="0043638C" w:rsidRPr="00BF2F19">
        <w:t xml:space="preserve"> zmienia brzmienie ust. 1, tak aby przepis ten odnosił się bezpośrednio i wyłącznie do reklamy oferty publicznej kierowanej do mniej niż 150 osób. W ten sposób działaniom ofertowym o charakterze reklamowym nadaje się spójny charakter. </w:t>
      </w:r>
      <w:r w:rsidR="0043638C" w:rsidRPr="00BF2F19">
        <w:rPr>
          <w:rStyle w:val="Ppogrubienie"/>
        </w:rPr>
        <w:t>Lit. b</w:t>
      </w:r>
      <w:r w:rsidR="0043638C" w:rsidRPr="00BF2F19">
        <w:t xml:space="preserve"> uchyla ust. 2 i 3, które odpowiadają brzmieniu art. 22 rozporządzenia 2017/1129. W </w:t>
      </w:r>
      <w:r w:rsidR="0043638C" w:rsidRPr="00BF2F19">
        <w:rPr>
          <w:rStyle w:val="Ppogrubienie"/>
        </w:rPr>
        <w:t>lit. c</w:t>
      </w:r>
      <w:r w:rsidR="0043638C" w:rsidRPr="00BF2F19">
        <w:t xml:space="preserve"> proponuje się nowe brzmienie ust. 4</w:t>
      </w:r>
      <w:r w:rsidR="00E23AA1" w:rsidRPr="00BF2F19">
        <w:t xml:space="preserve">, aby odnosił się on do wszystkich przypadków oferty publicznej, dla których nie ma obowiązku sporządzania prospektu, ale istnieje obowiązek publikacji innego dokumentu informacyjnego (na podstawie przepisów krajowych lub unijnych). Ust. 5 proponuje się znowelizować tak, aby pojęcia w nim użyte były spójne z terminologią użytą w całej ustawie. </w:t>
      </w:r>
      <w:r w:rsidR="00E23AA1" w:rsidRPr="00BF2F19">
        <w:rPr>
          <w:rStyle w:val="Ppogrubienie"/>
        </w:rPr>
        <w:t>Lit. d</w:t>
      </w:r>
      <w:r w:rsidR="00596D81">
        <w:t xml:space="preserve"> uchyla ust. 6</w:t>
      </w:r>
      <w:r w:rsidR="00E23AA1" w:rsidRPr="00BF2F19">
        <w:t xml:space="preserve">–14. Mając na uwadze postępującą dojrzałość rynku kapitałowego wydaje się zasadne odejście od weryfikacji </w:t>
      </w:r>
      <w:r w:rsidR="00E23AA1" w:rsidRPr="00BF2F19">
        <w:rPr>
          <w:rStyle w:val="Kkursywa"/>
        </w:rPr>
        <w:t>ex ante</w:t>
      </w:r>
      <w:r w:rsidR="00E23AA1" w:rsidRPr="00BF2F19">
        <w:t xml:space="preserve"> przez KNF każdej akcji promocyjnej lub reklamowej związanej z ofertą publiczną lub dopuszczeniem do obrotu na rynku regulowanym w sytuacji, gdy prospekt nie jest wymagany. Z tego względu propon</w:t>
      </w:r>
      <w:r w:rsidR="00596D81">
        <w:t>uje się uchylenie ust. 6</w:t>
      </w:r>
      <w:r w:rsidR="00E23AA1" w:rsidRPr="00BF2F19">
        <w:t>–9c. Natomiast uchylenie ust. 10–14 związane jest z przeniesieniem postanowień tych przepisów do art. 15b, w celu umiejscowienia wszystkich środków nadzoru przysługujących KNF w jednym miejscu w ustawie.</w:t>
      </w:r>
    </w:p>
    <w:p w14:paraId="26D89DF1" w14:textId="77777777" w:rsidR="00E23AA1" w:rsidRPr="00BF2F19" w:rsidRDefault="00E23AA1" w:rsidP="007E7178">
      <w:pPr>
        <w:pStyle w:val="ARTartustawynprozporzdzenia"/>
      </w:pPr>
      <w:r w:rsidRPr="00BF2F19">
        <w:t xml:space="preserve">Zmiany wprowadzane na podstawie </w:t>
      </w:r>
      <w:r w:rsidR="008403CD">
        <w:rPr>
          <w:rStyle w:val="Ppogrubienie"/>
        </w:rPr>
        <w:t>art. 1 pkt 5</w:t>
      </w:r>
      <w:r w:rsidR="003B3209">
        <w:rPr>
          <w:rStyle w:val="Ppogrubienie"/>
        </w:rPr>
        <w:t>6</w:t>
      </w:r>
      <w:r w:rsidRPr="00BF2F19">
        <w:rPr>
          <w:rStyle w:val="Ppogrubienie"/>
        </w:rPr>
        <w:t xml:space="preserve"> projektu</w:t>
      </w:r>
      <w:r w:rsidRPr="00BF2F19">
        <w:t xml:space="preserve"> do art. 54 ustawy o ofercie publicznej dostosowują brzmienie tego przepisu do art. 17 rozporządzenia 2017/1129. </w:t>
      </w:r>
    </w:p>
    <w:p w14:paraId="5F2FDF6B" w14:textId="48717FD2" w:rsidR="00E23AA1" w:rsidRPr="00BF2F19" w:rsidRDefault="002A2089" w:rsidP="008D0440">
      <w:pPr>
        <w:pStyle w:val="NIEARTTEKSTtekstnieartykuowanynppodstprawnarozplubpreambua"/>
      </w:pPr>
      <w:r w:rsidRPr="00BF2F19">
        <w:rPr>
          <w:rStyle w:val="Ppogrubienie"/>
        </w:rPr>
        <w:t>Art. 1 pkt 5</w:t>
      </w:r>
      <w:r w:rsidR="003B3209">
        <w:rPr>
          <w:rStyle w:val="Ppogrubienie"/>
        </w:rPr>
        <w:t>7</w:t>
      </w:r>
      <w:r w:rsidR="00596D81">
        <w:t xml:space="preserve"> zmienia delegacje ustawowe</w:t>
      </w:r>
      <w:r w:rsidRPr="00BF2F19">
        <w:t xml:space="preserve"> dla ministra właściwego do spraw instytucji finansowych, tak aby dostosować odesłania w art. 55</w:t>
      </w:r>
      <w:r w:rsidR="00596D81">
        <w:t xml:space="preserve"> pkt 1</w:t>
      </w:r>
      <w:r w:rsidRPr="00BF2F19">
        <w:t xml:space="preserve"> ustawy o ofercie publicznej do właściwych przepisów tej ustawy dotycz</w:t>
      </w:r>
      <w:r w:rsidR="00596D81">
        <w:t>ących memorandum informacyjnego, uwzględnić w pkt 2 przeniesienie dotychczasowego art. 44 do nowego art. 55d, oraz</w:t>
      </w:r>
      <w:r w:rsidR="00C15C79">
        <w:t xml:space="preserve"> </w:t>
      </w:r>
      <w:r w:rsidR="00596D81">
        <w:t>wyeliminować</w:t>
      </w:r>
      <w:r w:rsidR="00C15C79">
        <w:t xml:space="preserve"> z treści delegacji</w:t>
      </w:r>
      <w:r w:rsidR="00596D81">
        <w:t xml:space="preserve"> zawartej w pkt 3</w:t>
      </w:r>
      <w:r w:rsidR="00C15C79">
        <w:t xml:space="preserve"> odesłanie do nieobowiązującego rozporządzenia wykonawczego 809/2004.</w:t>
      </w:r>
    </w:p>
    <w:p w14:paraId="4A9B06E7" w14:textId="77777777" w:rsidR="002A2089" w:rsidRDefault="00AB1CDF" w:rsidP="008D0440">
      <w:pPr>
        <w:pStyle w:val="NIEARTTEKSTtekstnieartykuowanynppodstprawnarozplubpreambua"/>
      </w:pPr>
      <w:r w:rsidRPr="00BF2F19">
        <w:t>Do art. 55d, dodawanego</w:t>
      </w:r>
      <w:r w:rsidR="002A2089" w:rsidRPr="00BF2F19">
        <w:t xml:space="preserve"> </w:t>
      </w:r>
      <w:r w:rsidRPr="00BF2F19">
        <w:t xml:space="preserve">na mocy </w:t>
      </w:r>
      <w:r w:rsidR="008403CD">
        <w:rPr>
          <w:rStyle w:val="Ppogrubienie"/>
        </w:rPr>
        <w:t>art. 1 pkt 5</w:t>
      </w:r>
      <w:r w:rsidR="003B3209">
        <w:rPr>
          <w:rStyle w:val="Ppogrubienie"/>
        </w:rPr>
        <w:t>8</w:t>
      </w:r>
      <w:r w:rsidRPr="00BF2F19">
        <w:rPr>
          <w:rStyle w:val="Ppogrubienie"/>
        </w:rPr>
        <w:t xml:space="preserve"> projektu ustawy</w:t>
      </w:r>
      <w:r w:rsidRPr="00BF2F19">
        <w:t>,</w:t>
      </w:r>
      <w:r w:rsidR="002A2089" w:rsidRPr="00BF2F19">
        <w:t xml:space="preserve"> </w:t>
      </w:r>
      <w:r w:rsidRPr="00BF2F19">
        <w:t>przeniesiono</w:t>
      </w:r>
      <w:r w:rsidR="002A2089" w:rsidRPr="00BF2F19">
        <w:t xml:space="preserve"> </w:t>
      </w:r>
      <w:r w:rsidRPr="00BF2F19">
        <w:t>treść</w:t>
      </w:r>
      <w:r w:rsidR="002A2089" w:rsidRPr="00BF2F19">
        <w:t xml:space="preserve"> uchylonego wcześniej art. 44, tak aby bardziej przejrzyście rozróżnić obowiązki informacyjne w zależności od charakteru instrumentu finansowego.</w:t>
      </w:r>
      <w:r w:rsidR="003170A9" w:rsidRPr="00BF2F19">
        <w:t xml:space="preserve"> W ust. 2 dokonano ponadto zmiany zmierzającej do usunięcia odwołań do uchylanych przepisów.</w:t>
      </w:r>
    </w:p>
    <w:p w14:paraId="3864AF80" w14:textId="77777777" w:rsidR="008D0440" w:rsidRPr="00BF2F19" w:rsidRDefault="008D0440" w:rsidP="008D0440">
      <w:pPr>
        <w:pStyle w:val="NIEARTTEKSTtekstnieartykuowanynppodstprawnarozplubpreambua"/>
      </w:pPr>
      <w:r w:rsidRPr="008D0440">
        <w:rPr>
          <w:rStyle w:val="Ppogrubienie"/>
        </w:rPr>
        <w:t>Art. 1 pkt 5</w:t>
      </w:r>
      <w:r w:rsidR="003B3209">
        <w:rPr>
          <w:rStyle w:val="Ppogrubienie"/>
        </w:rPr>
        <w:t>9</w:t>
      </w:r>
      <w:r>
        <w:t xml:space="preserve"> dodaje</w:t>
      </w:r>
      <w:r w:rsidRPr="008D0440">
        <w:t xml:space="preserve"> w art. 56a ustawy o ofercie</w:t>
      </w:r>
      <w:r>
        <w:t xml:space="preserve"> publicznej odesłanie</w:t>
      </w:r>
      <w:r w:rsidRPr="008D0440">
        <w:t xml:space="preserve"> do rozporządzenia </w:t>
      </w:r>
      <w:r w:rsidRPr="00BF2F19">
        <w:t>Parlamentu Europejskiego i Rady (UE) nr 596/2014 z dnia 16 kwietnia 2014 r. w sprawie nadużyć na rynku (rozporządzenie w sprawie nadużyć na rynku) oraz uchylającego dyrektywę 2003/6/WE Parlamentu Europejskiego i Rady i dyrektywy Komisji 2003/124/WE, 2003/125/WE i 2004/72/WE (Dz. Urz. UE L 173 z 12.06.2014, str. 1, z późn. zm.), zwanego dalej „rozporządzeniem 596/2014”</w:t>
      </w:r>
      <w:r w:rsidRPr="008D0440">
        <w:t xml:space="preserve">, w celu usunięcia istniejącej obecnie luki w zakresie języka sporządzenia raportów bieżących zawierających informację poufną. Zmiany przepisów ustawy o ofercie </w:t>
      </w:r>
      <w:r>
        <w:t xml:space="preserve">publicznej </w:t>
      </w:r>
      <w:r w:rsidRPr="008D0440">
        <w:t xml:space="preserve">w </w:t>
      </w:r>
      <w:r>
        <w:t>związku z wdrożeniem przepisów r</w:t>
      </w:r>
      <w:r w:rsidRPr="008D0440">
        <w:t xml:space="preserve">ozporządzenia </w:t>
      </w:r>
      <w:r>
        <w:t>596/2014</w:t>
      </w:r>
      <w:r w:rsidRPr="008D0440">
        <w:t xml:space="preserve"> spowodowały, że zakresem art. 56 ust. 1 nie są obecnie objęte informacje poufne. Tym samym zasady wyboru przez emitenta, dla którego Polska jest państwem przyjmującym, języka, w jakim będzie on sporządzać na rynku polskim informacje określone w art. 56 ust. 1, nie dotyczą informacji poufnych, co oznacza, że zasady te w odniesieniu do informacji poufnych nie są w chwili obecnej nigdzie uregulowane.</w:t>
      </w:r>
      <w:r>
        <w:t xml:space="preserve"> Z powyższych względów konieczna jest nowelizacja tego przepisu.</w:t>
      </w:r>
    </w:p>
    <w:p w14:paraId="09AD8457" w14:textId="129CC055" w:rsidR="00CC6005" w:rsidRDefault="00DB1EA0" w:rsidP="007E7178">
      <w:pPr>
        <w:pStyle w:val="ARTartustawynprozporzdzenia"/>
      </w:pPr>
      <w:r w:rsidRPr="00BF2F19">
        <w:rPr>
          <w:rStyle w:val="Ppogrubienie"/>
        </w:rPr>
        <w:t xml:space="preserve">Art. 1 pkt </w:t>
      </w:r>
      <w:r w:rsidR="003B3209">
        <w:rPr>
          <w:rStyle w:val="Ppogrubienie"/>
        </w:rPr>
        <w:t>60</w:t>
      </w:r>
      <w:r w:rsidR="00C15C79">
        <w:t xml:space="preserve"> dokonuje zmian</w:t>
      </w:r>
      <w:r w:rsidR="0016301B" w:rsidRPr="00BF2F19">
        <w:t xml:space="preserve"> w art. 68 ustawy o ofercie publicznej</w:t>
      </w:r>
      <w:r w:rsidR="00596D81">
        <w:t xml:space="preserve">. </w:t>
      </w:r>
      <w:r w:rsidR="00596D81" w:rsidRPr="00596D81">
        <w:rPr>
          <w:rStyle w:val="Ppogrubienie"/>
        </w:rPr>
        <w:t>Lit. a i c–e</w:t>
      </w:r>
      <w:r w:rsidR="00596D81">
        <w:t xml:space="preserve"> są zmianami o charakterze legislacyjnym. Usuwają one z treści przepisu odwołanie do upoważnionego przedstawiciela KNF. Możliwość działania KNF przez swojego przedstawiciela wynika bowiem bezpośrednio z przepisu art. 12 ust. 1 ustawy o nadzorze nad rynkiem finansowym.</w:t>
      </w:r>
      <w:r w:rsidR="00C15C79">
        <w:t xml:space="preserve"> </w:t>
      </w:r>
      <w:r w:rsidR="00596D81" w:rsidRPr="00596D81">
        <w:rPr>
          <w:rStyle w:val="Ppogrubienie"/>
        </w:rPr>
        <w:t>Lit. b</w:t>
      </w:r>
      <w:r w:rsidR="00596D81">
        <w:t xml:space="preserve"> doprecyzowuje</w:t>
      </w:r>
      <w:r w:rsidR="00C15C79">
        <w:t xml:space="preserve"> zasad</w:t>
      </w:r>
      <w:r w:rsidR="00596D81">
        <w:t>y</w:t>
      </w:r>
      <w:r w:rsidR="00C15C79">
        <w:t xml:space="preserve"> badania informacji i dokumentów emitentów przez biegłych rewidentów i firmy audytorskie. </w:t>
      </w:r>
      <w:r w:rsidR="00596D81">
        <w:t xml:space="preserve">W </w:t>
      </w:r>
      <w:r w:rsidR="00596D81" w:rsidRPr="00596D81">
        <w:rPr>
          <w:rStyle w:val="Ppogrubienie"/>
        </w:rPr>
        <w:t>lit. f</w:t>
      </w:r>
      <w:r w:rsidR="00596D81">
        <w:t xml:space="preserve"> d</w:t>
      </w:r>
      <w:r w:rsidR="00C15C79">
        <w:t xml:space="preserve">odawany jest </w:t>
      </w:r>
      <w:r w:rsidR="0016301B" w:rsidRPr="00BF2F19">
        <w:t xml:space="preserve">przepis, który upoważnia KNF do wydawania emitentom zaleceń w zakresie naruszania przez nich obowiązków wynikających z ustawy z dnia 11 maja 2017 r. o biegłych rewidentach, firmach audytorskich oraz nadzorze publicznym (Dz. U. </w:t>
      </w:r>
      <w:r w:rsidR="006608D4">
        <w:t>z 2019 r. poz. 1421</w:t>
      </w:r>
      <w:r w:rsidR="0016301B" w:rsidRPr="00BF2F19">
        <w:t>) oraz rozporządzenia Parlamentu Europejskiego i Rady (UE) nr 537/2014 z dnia 16 kwietnia 2014 r. w sprawie szczegółowych wymogów dotyczących ustawowych badań sprawozdań finansowych jednostek interesu publicznego, uchylającego decyzję Komisji 2005/909/WE (Dz. Urz. UE L 158 z 27.05.2014, str. 77, z późn. zm.).</w:t>
      </w:r>
      <w:r w:rsidR="008E307D">
        <w:t xml:space="preserve"> Kompetencje KNF będą przy tym ograniczone jedynie do tych, które wynikają z wyżej wymienionych aktów prawnych. Daje to pewność, że KNF nie będzie wchodziła w zakres działania innych organów, w szczególności Komisji Nadzoru Audytowego.</w:t>
      </w:r>
    </w:p>
    <w:p w14:paraId="60BAB1FB" w14:textId="77777777" w:rsidR="00C15C79" w:rsidRPr="00BF2F19" w:rsidRDefault="00C15C79" w:rsidP="007E7178">
      <w:pPr>
        <w:pStyle w:val="ARTartustawynprozporzdzenia"/>
      </w:pPr>
      <w:r w:rsidRPr="00C15C79">
        <w:rPr>
          <w:rStyle w:val="Ppogrubienie"/>
        </w:rPr>
        <w:t xml:space="preserve">Art. 1 pkt </w:t>
      </w:r>
      <w:r w:rsidR="008D0440">
        <w:rPr>
          <w:rStyle w:val="Ppogrubienie"/>
        </w:rPr>
        <w:t>6</w:t>
      </w:r>
      <w:r w:rsidR="003B3209">
        <w:rPr>
          <w:rStyle w:val="Ppogrubienie"/>
        </w:rPr>
        <w:t>1</w:t>
      </w:r>
      <w:r>
        <w:t xml:space="preserve"> eliminuje odesłanie do nieobowiązującego rozporządzenia wykonawczego 809/2004, w jego miejsce wstawiając odesłanie do zastępującego je rozporządzenia delegowanego.</w:t>
      </w:r>
    </w:p>
    <w:p w14:paraId="754AC2BF" w14:textId="77777777" w:rsidR="00757B23" w:rsidRDefault="00757B23" w:rsidP="007E7178">
      <w:pPr>
        <w:pStyle w:val="ARTartustawynprozporzdzenia"/>
      </w:pPr>
      <w:r w:rsidRPr="00BF2F19">
        <w:t xml:space="preserve">Zmiana proponowana w </w:t>
      </w:r>
      <w:r w:rsidRPr="00BF2F19">
        <w:rPr>
          <w:rStyle w:val="Ppogrubienie"/>
        </w:rPr>
        <w:t>art. 1 pkt 6</w:t>
      </w:r>
      <w:r w:rsidR="003B3209">
        <w:rPr>
          <w:rStyle w:val="Ppogrubienie"/>
        </w:rPr>
        <w:t>2</w:t>
      </w:r>
      <w:r w:rsidRPr="00BF2F19">
        <w:t xml:space="preserve"> ma na celu usunięcie oczywistej omyłki redakcyjnej, w wyniku której przepis art. 69 ust. 4 pkt 9 ustawy o ofercie publicznej stanowi wadliwą implementację dyrektywy 2004/109/WE Parlamentu Europejskiego i Rady z dnia 15 grudnia 2004 r. w sprawie harmonizacji wymogów dotyczących przejrzystości informacji o emitentach, których papiery wartościowe dopuszczane są do obrotu na rynku regulowanym oraz zmieniającej dyrektywę 2001/34/WE (Dz. Urz. UE L 390 z 31.12.2004, str. 38, z późn. zm.). </w:t>
      </w:r>
      <w:r w:rsidR="00D32B7C" w:rsidRPr="00BF2F19">
        <w:t>W obecnym stanie prawnym akcjonariusz jest obowiązany do sumowania głosów posiadanych z akcji przed zmianą udziału (art. 69 ust. 4 pkt 2) z głosami posiadanymi z instrumentów powiązanych po zmianie udziału (art. 69 ust. 4 pkt 7 i 8), co nie przedstawia żadnej wartości informacyjnej. Sumowaniu powinien podlegać udział w ogólnej liczbie głosów wynikających z akcji po zmianie udziału (art. 69 ust. 4 pkt 3) oraz udział w ogólnej liczbie głosów wynikający z instrumentów powiązanych (art. 69 ust. 4 pkt 7 i 8).</w:t>
      </w:r>
    </w:p>
    <w:p w14:paraId="501E0E0D" w14:textId="77777777" w:rsidR="0071743E" w:rsidRDefault="0071743E" w:rsidP="007E7178">
      <w:pPr>
        <w:pStyle w:val="ARTartustawynprozporzdzenia"/>
      </w:pPr>
      <w:r w:rsidRPr="0071743E">
        <w:t>Zmiana</w:t>
      </w:r>
      <w:r>
        <w:t xml:space="preserve"> proponowana w </w:t>
      </w:r>
      <w:r w:rsidRPr="0071743E">
        <w:rPr>
          <w:rStyle w:val="Ppogrubienie"/>
        </w:rPr>
        <w:t>art. 1 pkt 6</w:t>
      </w:r>
      <w:r w:rsidR="003B3209">
        <w:rPr>
          <w:rStyle w:val="Ppogrubienie"/>
        </w:rPr>
        <w:t>3</w:t>
      </w:r>
      <w:r w:rsidRPr="0071743E">
        <w:t xml:space="preserve"> polega na rezygnacji z określonego w art. 70 pkt 2 ustawy o o</w:t>
      </w:r>
      <w:r>
        <w:t>fercie o ofercie publicznej</w:t>
      </w:r>
      <w:r w:rsidRPr="0071743E">
        <w:t xml:space="preserve"> obowiązku przekazywania </w:t>
      </w:r>
      <w:r>
        <w:t>KNF</w:t>
      </w:r>
      <w:r w:rsidRPr="0071743E">
        <w:t xml:space="preserve">, nie później niż do dnia poprzedzającego wyznaczony dzień walnego zgromadzenia, wykazu akcjonariuszy uprawnionych do udziału w tym zgromadzeniu, z określeniem liczby akcji i głosów z akcji przysługujących każdemu z nich. Wykaz, o którym mowa w przedmiotowym przepisie, wydaje się nie zawierać danych na temat rzeczywistego zaangażowania akcjonariuszy danej spółki publicznej na dzień rejestracji do uczestnictwa w walnym zgromadzeniu, a zatem nie może być traktowany jako przydatne źródło informacji z punktu widzenia nadzoru sprawowanego przez </w:t>
      </w:r>
      <w:r>
        <w:t>KNF</w:t>
      </w:r>
      <w:r w:rsidRPr="0071743E">
        <w:t>. Z uwagi na to, że informacja nie jest przekazywana do publicznej wiadomości, istnienie tego obowiązku jest również bezużyteczne dla inwestorów.</w:t>
      </w:r>
      <w:r>
        <w:t xml:space="preserve"> Z powyższych względów przepis ten stanowi niepotrzebne obciążenie dla spółek publicznych.</w:t>
      </w:r>
    </w:p>
    <w:p w14:paraId="2C0DDB85" w14:textId="7C72B314" w:rsidR="003B3209" w:rsidRPr="00BF2F19" w:rsidRDefault="003B3209" w:rsidP="007E7178">
      <w:pPr>
        <w:pStyle w:val="ARTartustawynprozporzdzenia"/>
      </w:pPr>
      <w:r w:rsidRPr="008E307D">
        <w:rPr>
          <w:rStyle w:val="Ppogrubienie"/>
        </w:rPr>
        <w:t>Art. 1 pkt 64</w:t>
      </w:r>
      <w:r w:rsidR="008E307D">
        <w:t xml:space="preserve"> modyfikuje delegację ustawową do wydania rozporządzenia przez ministra właściwego do spraw instytucji finansowych. Zmiana nie ma przy tym charakteru merytorycznego – polega jedynie na zastąpieniu odwołania do art. 91 ust. 6 odwołaniem do art. 91 ust. 5, w związku ze zmianami wprowadzanymi w tym artykule.</w:t>
      </w:r>
    </w:p>
    <w:p w14:paraId="2AAB4C25" w14:textId="77777777" w:rsidR="00D87893" w:rsidRPr="00BF2F19" w:rsidRDefault="00D87893" w:rsidP="007E7178">
      <w:pPr>
        <w:pStyle w:val="ARTartustawynprozporzdzenia"/>
      </w:pPr>
      <w:r w:rsidRPr="00BF2F19">
        <w:rPr>
          <w:rStyle w:val="Ppogrubienie"/>
        </w:rPr>
        <w:t>Art. 1 pkt 6</w:t>
      </w:r>
      <w:r w:rsidR="003B3209">
        <w:rPr>
          <w:rStyle w:val="Ppogrubienie"/>
        </w:rPr>
        <w:t>5</w:t>
      </w:r>
      <w:r w:rsidRPr="00BF2F19">
        <w:t xml:space="preserve"> wprowadza zmiany do art. 82 ustawy o ofercie publicznej. W związku z zaobserwowanymi przypadkami dokonywania przymusowych wykupów akcji na podstawie tego przepisu, które są dokonywane po cenach znacznie niższych od cen rynkowych, w celu pełniejszej ochrony akcjonariuszy mniejszościowych, w</w:t>
      </w:r>
      <w:r w:rsidR="00964641">
        <w:t xml:space="preserve"> art. 82 ust. 1 ustawy o ofercie publicznej </w:t>
      </w:r>
      <w:r w:rsidRPr="00BF2F19">
        <w:t xml:space="preserve">proponuje się podniesienie progu uprawniającego do ogłoszenia przymusowego wykupu akcji przez akcjonariusza większościowego do 95% głosów w spółce publicznej. </w:t>
      </w:r>
      <w:r w:rsidR="00740207" w:rsidRPr="00BF2F19">
        <w:t>Proponowana zmiana nie jest niezgodna z przepisami dyrektywy 2004/25/WE Parlamentu Europejskiego i Rady z dnia 21 kwietnia 2004 r. w sprawie ofert przejęcia (Dz. Urz. UE L 142 z 30.04.2004, str. 12, z późn. zm.)</w:t>
      </w:r>
      <w:r w:rsidR="00220AC5" w:rsidRPr="00BF2F19">
        <w:t>, zwanej dalej „dyrektywą 2004/25/WE”</w:t>
      </w:r>
      <w:r w:rsidR="00740207" w:rsidRPr="00BF2F19">
        <w:t xml:space="preserve">. Zgodnie z art. 15 ust. 2 </w:t>
      </w:r>
      <w:r w:rsidR="00220AC5" w:rsidRPr="00BF2F19">
        <w:t xml:space="preserve">tej </w:t>
      </w:r>
      <w:r w:rsidR="00740207" w:rsidRPr="00BF2F19">
        <w:t>dyrektywy państwa członkowskie mogą ustalić opisywany próg na poziomie nie wyższym niż 95% kapitału akcyjnego dającego prawo głosu i 95% liczby głosów.</w:t>
      </w:r>
    </w:p>
    <w:p w14:paraId="0894DE38" w14:textId="77777777" w:rsidR="00740207" w:rsidRPr="00BF2F19" w:rsidRDefault="00740207" w:rsidP="007E7178">
      <w:pPr>
        <w:pStyle w:val="ARTartustawynprozporzdzenia"/>
      </w:pPr>
      <w:r w:rsidRPr="00BF2F19">
        <w:t>Na marginesie zaznaczyć należy, że analogiczny próg w przypadku spółek niepublicznych został w KSH ustanowiony na poziomie 95% głosów. Propozycja zawarta w niniejszym projekcie zmierza więc także do zrównania sytuacji akcjonariuszy spółek publicznych i niepublicznych w tym zakresie.</w:t>
      </w:r>
    </w:p>
    <w:p w14:paraId="521DB55A" w14:textId="32BC6D47" w:rsidR="0065407A" w:rsidRPr="00BF2F19" w:rsidRDefault="0065407A" w:rsidP="007E7178">
      <w:pPr>
        <w:pStyle w:val="ARTartustawynprozporzdzenia"/>
      </w:pPr>
      <w:r w:rsidRPr="00BF2F19">
        <w:t>W</w:t>
      </w:r>
      <w:r w:rsidR="00964641">
        <w:t xml:space="preserve"> zakresie zmian w art. 82 ust. 2 ustawy o ofercie publicznej </w:t>
      </w:r>
      <w:r w:rsidR="00D44982" w:rsidRPr="00BF2F19">
        <w:t xml:space="preserve">wprowadza się odwołanie do nowych zasad ustalania ceny przymusowego wykupu akcji spółek, których akcje zostały wprowadzone do obrotu jedynie w alternatywnym systemie obrotu. Zmiana ta jest związana ze zmianami proponowanymi w art. 1 pkt </w:t>
      </w:r>
      <w:r w:rsidR="001D30D7">
        <w:t>74</w:t>
      </w:r>
      <w:r w:rsidR="001D30D7" w:rsidRPr="00BF2F19">
        <w:t xml:space="preserve"> </w:t>
      </w:r>
      <w:r w:rsidR="00CD0457" w:rsidRPr="00BF2F19">
        <w:t>projektu ustawy, tj. z proponowanym brzmieniem art. 91 ust. 6–8.</w:t>
      </w:r>
    </w:p>
    <w:p w14:paraId="58C32193" w14:textId="77777777" w:rsidR="0065407A" w:rsidRPr="00BF2F19" w:rsidRDefault="0065407A" w:rsidP="007E7178">
      <w:pPr>
        <w:pStyle w:val="ARTartustawynprozporzdzenia"/>
      </w:pPr>
      <w:r w:rsidRPr="00BF2F19">
        <w:t xml:space="preserve">W </w:t>
      </w:r>
      <w:r w:rsidR="008D0440">
        <w:rPr>
          <w:rStyle w:val="Ppogrubienie"/>
        </w:rPr>
        <w:t>art. 1 pkt 6</w:t>
      </w:r>
      <w:r w:rsidR="003B3209">
        <w:rPr>
          <w:rStyle w:val="Ppogrubienie"/>
        </w:rPr>
        <w:t>6</w:t>
      </w:r>
      <w:r w:rsidRPr="00BF2F19">
        <w:rPr>
          <w:rStyle w:val="Ppogrubienie"/>
        </w:rPr>
        <w:t xml:space="preserve"> lit. a</w:t>
      </w:r>
      <w:r w:rsidRPr="00BF2F19">
        <w:t xml:space="preserve"> podwyższa się do 95% próg uprawniający do zgłoszenia przez akcjonariusza mniejszościowego żądania odkupu, aby był on skorelowany z progiem uprawniającym do ogłoszenia przymusowego wykupu akcji przez akcjonariusza większościowego, o którym mowa w art. 82 ust. 1 ustawy o ofercie publicznej.</w:t>
      </w:r>
    </w:p>
    <w:p w14:paraId="50EBE31C" w14:textId="01B8FD63" w:rsidR="0065407A" w:rsidRDefault="008D0440" w:rsidP="007E7178">
      <w:pPr>
        <w:pStyle w:val="ARTartustawynprozporzdzenia"/>
      </w:pPr>
      <w:r>
        <w:rPr>
          <w:rStyle w:val="Ppogrubienie"/>
        </w:rPr>
        <w:t>Art. 1 pkt 6</w:t>
      </w:r>
      <w:r w:rsidR="003B3209">
        <w:rPr>
          <w:rStyle w:val="Ppogrubienie"/>
        </w:rPr>
        <w:t>6</w:t>
      </w:r>
      <w:r w:rsidR="0065407A" w:rsidRPr="00BF2F19">
        <w:rPr>
          <w:rStyle w:val="Ppogrubienie"/>
        </w:rPr>
        <w:t xml:space="preserve"> lit. b</w:t>
      </w:r>
      <w:r w:rsidR="0065407A" w:rsidRPr="00BF2F19">
        <w:t xml:space="preserve"> </w:t>
      </w:r>
      <w:r w:rsidR="00CD0457" w:rsidRPr="00BF2F19">
        <w:t xml:space="preserve">wprowadza </w:t>
      </w:r>
      <w:r w:rsidR="003200F2">
        <w:t xml:space="preserve">w art. 83 ust. 2 i 3 zmiany związane z podwyższeniem progu uprawniającego do zgłoszenia żądania odkupu. Natomiast w ust. 4 wprowadza się </w:t>
      </w:r>
      <w:r w:rsidR="00CD0457" w:rsidRPr="00BF2F19">
        <w:t xml:space="preserve">odwołanie do nowych zasad ustalania ceny przymusowego odkupu akcji spółek, których akcje zostały wprowadzone do obrotu jedynie w alternatywnym systemie obrotu. Zmiana ta jest związana ze zmianami proponowanymi w art. 1 pkt </w:t>
      </w:r>
      <w:r w:rsidR="001D30D7">
        <w:t>74</w:t>
      </w:r>
      <w:r w:rsidR="001D30D7" w:rsidRPr="00BF2F19">
        <w:t xml:space="preserve"> </w:t>
      </w:r>
      <w:r w:rsidR="00CD0457" w:rsidRPr="00BF2F19">
        <w:t>projektu ustawy, tj. z proponowanym brzmieniem art. 91 ust. 6–8.</w:t>
      </w:r>
    </w:p>
    <w:p w14:paraId="047499CB" w14:textId="054BFADF" w:rsidR="004B30A5" w:rsidRDefault="004B30A5" w:rsidP="007E7178">
      <w:pPr>
        <w:pStyle w:val="ARTartustawynprozporzdzenia"/>
      </w:pPr>
      <w:r>
        <w:rPr>
          <w:rStyle w:val="Ppogrubienie"/>
        </w:rPr>
        <w:t>Art. 1 pkt 6</w:t>
      </w:r>
      <w:r w:rsidR="003B3209">
        <w:rPr>
          <w:rStyle w:val="Ppogrubienie"/>
        </w:rPr>
        <w:t>7</w:t>
      </w:r>
      <w:r>
        <w:t xml:space="preserve"> dodaje nowe art. 83a i </w:t>
      </w:r>
      <w:r w:rsidR="001D30D7">
        <w:t xml:space="preserve">art. </w:t>
      </w:r>
      <w:r>
        <w:t>83</w:t>
      </w:r>
      <w:r w:rsidRPr="00BF2F19">
        <w:t>b, które regulują procedurę odkupu akcji od akcjonariusza mniejszościowego w przypadku, gdy akcje spółki zostały wykluczone z obrotu. Wprowadzenie tych przepisów uzasadnione jest ze względu na ochronę interesów akcjonariuszy mniejszościowych i umożliwienie im zbycia akcji spółki, w przypadku gdy spółka ta nie jest już notowana na rynku regulowanym.</w:t>
      </w:r>
    </w:p>
    <w:p w14:paraId="083CB473" w14:textId="4E8CEA10" w:rsidR="003B3209" w:rsidRPr="00BF2F19" w:rsidRDefault="003B3209" w:rsidP="007E7178">
      <w:pPr>
        <w:pStyle w:val="ARTartustawynprozporzdzenia"/>
      </w:pPr>
      <w:r w:rsidRPr="008E307D">
        <w:rPr>
          <w:rStyle w:val="Ppogrubienie"/>
        </w:rPr>
        <w:t>Art. 1 pkt 68</w:t>
      </w:r>
      <w:r w:rsidR="008E307D">
        <w:t xml:space="preserve"> usuwa z treści przepisu art. 86 ust. 4 ustawy o ofercie publicznej odwołanie do upoważnionego przedstawiciela KNF. Możliwość działania KNF przez swojego przedstawiciela wynika bowiem bezpośrednio z przepisu art. 12 ust. 1 ustawy o nadzorze nad rynkiem finansowym.</w:t>
      </w:r>
    </w:p>
    <w:p w14:paraId="74483218" w14:textId="77777777" w:rsidR="00591162" w:rsidRPr="00591162" w:rsidRDefault="00591162" w:rsidP="00591162">
      <w:pPr>
        <w:pStyle w:val="ARTartustawynprozporzdzenia"/>
      </w:pPr>
      <w:r w:rsidRPr="00591162">
        <w:t xml:space="preserve">Zmiana proponowana w </w:t>
      </w:r>
      <w:r w:rsidRPr="00591162">
        <w:rPr>
          <w:b/>
        </w:rPr>
        <w:t>art. 1 pkt 69 lit. a tiret pierwsze</w:t>
      </w:r>
      <w:r w:rsidRPr="00591162">
        <w:t xml:space="preserve"> wynika z faktu, że obowiązujące przepisy ustawy o ofercie publicznej nie przewidują obowiązku sumowania udziału w ogólnej liczbie głosów posiadanych przez otwarty fundusz emerytalny oraz dobrowolny fundusz emerytalny zarządzany przez to samo towarzystwo funduszy emerytalnych. Tymczasem sytuacja funduszy emerytalnych zarządzanych przez to samo towarzystwo w kontekście obrotu znacznymi pakietami akcji spółek publicznych jest analogiczna do sytuacji funduszy inwestycyjnych zarządzanych przez to samo towarzystwo funduszy inwestycyjnych, w których przypadku istnieje obowiązek sumowania głosów na podstawie art. 87 ust. 1 pkt 2 ustawy o ofercie publicznej. W związku z powyższym zasadne jest wprowadzenie analogicznego obowiązku w odniesieniu do funduszy emerytalnych.</w:t>
      </w:r>
    </w:p>
    <w:p w14:paraId="10B6B669" w14:textId="77777777" w:rsidR="00591162" w:rsidRPr="00591162" w:rsidRDefault="00591162" w:rsidP="00591162">
      <w:pPr>
        <w:pStyle w:val="ARTartustawynprozporzdzenia"/>
      </w:pPr>
      <w:r w:rsidRPr="00591162">
        <w:rPr>
          <w:b/>
        </w:rPr>
        <w:t>Art. 1 pkt 69 lit. a tiret drugie</w:t>
      </w:r>
      <w:r w:rsidRPr="00591162">
        <w:t xml:space="preserve"> rozszerza przedmiot porozumienia, o którym mowa w art. 87 ust. 1 pkt 5 ustawy o ofercie publicznej, o obejmowanie akcji spółki publicznej. Przepisy ustawy odróżniają pojęcie nabycia akcji od objęcia akcji, natomiast z punktu widzenia ekonomicznego nie ma różnicy, czy przedmiotem porozumienia jest nabywanie akcji istniejących, czy obejmowanie akcji nowej emisji. W obecnym stanie prawnym przedmiotem porozumienia, z którym ustawa wiąże obowiązki dotyczące obrotu znacznymi pakietami akcji, jest tylko nabywanie akcji. Poza zakresem tej definicji pozostaje natomiast obejmowanie akcji nowej emisji, co nie znajduje uzasadnienia w związku z tym, że obie czynności zmierzają do zwiększenia stanu posiadania udziału w ogólnej liczbie głosów w spółce publicznej.</w:t>
      </w:r>
    </w:p>
    <w:p w14:paraId="61B4D7A3" w14:textId="4B771BB5" w:rsidR="00591162" w:rsidRDefault="00591162" w:rsidP="00591162">
      <w:pPr>
        <w:pStyle w:val="ARTartustawynprozporzdzenia"/>
      </w:pPr>
      <w:r w:rsidRPr="00591162">
        <w:t xml:space="preserve">Zaproponowana w </w:t>
      </w:r>
      <w:r w:rsidRPr="00591162">
        <w:rPr>
          <w:b/>
        </w:rPr>
        <w:t>art. 1 pkt 69 lit. b</w:t>
      </w:r>
      <w:r w:rsidRPr="00591162">
        <w:t xml:space="preserve"> zmiana ma na celu przesądzenie, że w sytuacji bezpośredniego zwiększenia lub zmniejszenia stanu zaangażowania Skarbu Państwa w spółki publiczne, Skarb Państwa oraz podmioty od niego zależne nie są traktowane jak grupa kapitałowa, o ile decyzje inwestycyjne Skarbu Państwa oraz podmiotów od niego zależnych są podejmowane niezależnie. Należy wskazać, że podobne podejście występuje na gruncie innych gałęzi prawa. Jako egzemplifikację powyższego można wskazać ustawę z dnia 16 lutego 2007 r. o ochronie konkurencji i konsumentów (Dz. U. z 2019 r. poz. 369). Na jej gruncie Prezes Urzędu Ochrony Konkurencji i Konsumentów przyjął interpretację, według której spółki należące do Skarbu Państwa nie stanowią grupy kapitałowej w rozumieniu tej ustawy. Podejście to prezentowane jest również na gruncie ustawodawstwa Unii Europejskiej. Tytułem przykładu wskazać należy, że zgodnie z art. 4 ust. 1 pkt 39 rozporządzenia Parlamentu Europejskiego i Rady (UE) nr 575/2013 z dnia 26 czerwca 2013 r. w sprawie wymogów ostrożnościowych dla instytucji kredytowych i firm inwestycyjnych, zmieniające</w:t>
      </w:r>
      <w:r w:rsidR="00835184">
        <w:t>go</w:t>
      </w:r>
      <w:r w:rsidRPr="00591162">
        <w:t xml:space="preserve"> rozporządzenie (UE) nr 648/2012, rząd centralny i kontrolowane przez niego podmioty nie są uznawan</w:t>
      </w:r>
      <w:r w:rsidR="00835184">
        <w:t>e</w:t>
      </w:r>
      <w:r w:rsidRPr="00591162">
        <w:t xml:space="preserve"> za grupę kapitałową. Zaproponowane rozwiązanie stanowi również analogię do obecnie istniejącej normy wynikającej z art. 90 ust. 4 ustawy o ofercie publicznej. Zgodnie z treścią tego przepisu, stosowanie przepisów rozdziału 4 ustawy o ofercie publicznej jest wyłączone w przypadku pośredniego nabycia akcji przez Skarb Państwa, pod warunkiem że:</w:t>
      </w:r>
    </w:p>
    <w:p w14:paraId="5B053D1A" w14:textId="336EBCC1" w:rsidR="00591162" w:rsidRDefault="00591162" w:rsidP="00591162">
      <w:pPr>
        <w:pStyle w:val="ARTartustawynprozporzdzenia"/>
        <w:spacing w:before="0"/>
        <w:ind w:left="426" w:hanging="426"/>
      </w:pPr>
      <w:r>
        <w:t>1)</w:t>
      </w:r>
      <w:r>
        <w:tab/>
      </w:r>
      <w:r w:rsidRPr="00591162">
        <w:t xml:space="preserve">podmioty wykonujące uprawnienia wynikające z praw majątkowych Skarbu Państwa oraz podmioty od niego zależne wykonują przysługujące im prawa głosu niezależnie od siebie oraz </w:t>
      </w:r>
    </w:p>
    <w:p w14:paraId="461FD982" w14:textId="1B04FE69" w:rsidR="00591162" w:rsidRDefault="00591162" w:rsidP="00591162">
      <w:pPr>
        <w:pStyle w:val="ARTartustawynprozporzdzenia"/>
        <w:spacing w:before="0"/>
        <w:ind w:left="426" w:hanging="426"/>
      </w:pPr>
      <w:r>
        <w:t>2)</w:t>
      </w:r>
      <w:r>
        <w:tab/>
      </w:r>
      <w:r w:rsidRPr="00591162">
        <w:t xml:space="preserve">osoby decydujące o sposobie wykonywania prawa głosu przez podmioty zależne od Skarbu Państwa działają niezależnie. </w:t>
      </w:r>
    </w:p>
    <w:p w14:paraId="4C809F01" w14:textId="4EE82F29" w:rsidR="00591162" w:rsidRPr="00591162" w:rsidRDefault="00591162" w:rsidP="00591162">
      <w:pPr>
        <w:pStyle w:val="ARTartustawynprozporzdzenia"/>
        <w:spacing w:before="0"/>
        <w:ind w:firstLine="0"/>
      </w:pPr>
      <w:r w:rsidRPr="00591162">
        <w:t>Podobnie jak w przytoczonym art. 90 ust. 4 ustawy o ofercie publicznej, zaproponowane rozwiązanie nie ma charakteru bezwzględnego. Zgodnie z jego brzmieniem zaproponowane w art. 87 ust. 6 ustawy o ofercie publicznej wyłączenie znajdzie zastosowanie tylko wówczas, gdy spełnione zostaną dwa warunki, zmierzające do zagwarantowania niezależności podejmowanych decyzji inwestycyjnych. Po pierwsze wymaga się, aby podmioty wykonujące uprawnienia wynikające z praw majątkowych Skarbu Państwa oraz podmioty zależne od Skarbu Państwa wykonywały przysługujące im prawa głosu niezależnie od siebie. Po drugie wprowadza się wymóg, aby osoby decydujące o sposobie wykonywania prawa głosu przez podmioty zależne od Skarbu Państwa działały niezależnie. Wprowadzenie przesłanki niezależności w podejmowaniu decyzji inwestycyjnych pozwala na utrzymanie formalnej odrębności Skarbu Państwa oraz podmiotów zależnych od Skarbu Państwa dla potrzeb stosowania obowiązków narzucanych przez rozdział 4 ustawy o ofercie publicznej. Przy spełnieniu zaproponowanych przesłanek trudno bowiem dalej utrzymywać, że Skarb Państwa oraz podmioty od niego zależne nadal występują jako jeden organizm gospodarczy, co jest założeniem stojącym za obowiązkiem sumowania głosów podmiotu dominującego oraz podmiotów od niego zależnych, wprowadzonym na mocy art. 87 ust. 5 pkt 1 ustawy o ofercie publicznej. W kontekście niezależności podejmowanych decyzji inwestycyjnych wskazać również należy na fakt, że w obecnym stanie prawnym brak jest instrumentów ewidencyjnych pozwalających na bieżąco monitorować stan posiadania Skarbu Państwa i innych, zależnych od niego podmiotów, w spółkach publicznych. Konsekwencją tego jest ryzyko przypadkowej i niezamierzonej aktualizacji obowiązków narzucanych przez rozdział 4 ustawy o ofercie publicznej. Proponowana zmiana zmierza do eliminacji powyżej opisanego ryzyka. Zaproponowana zmiana nie powinna również niekorzystnie wpłynąć na interesy pozostałych inwestorów na rynku kapitałowym. Skarb Państwa z definicji jest bowiem inwestorem o charakterze długoterminowym oraz strategicznym, co efektywnie może zmniejszać ewentualne ryzyko długotrwałych problemów finansowych czy nawet upadłości spółek publicznych, w które jest zaangażowany. Okoliczność ta może nie pozostawać bez znaczenia dla pozostałych kategorii inwestorów na rynku kapitałowym.</w:t>
      </w:r>
    </w:p>
    <w:p w14:paraId="2D093953" w14:textId="77777777" w:rsidR="001F1809" w:rsidRDefault="008D0440" w:rsidP="007E7178">
      <w:pPr>
        <w:pStyle w:val="ARTartustawynprozporzdzenia"/>
      </w:pPr>
      <w:r>
        <w:rPr>
          <w:rStyle w:val="Ppogrubienie"/>
        </w:rPr>
        <w:t xml:space="preserve">Art. 1 pkt </w:t>
      </w:r>
      <w:r w:rsidR="003B3209">
        <w:rPr>
          <w:rStyle w:val="Ppogrubienie"/>
        </w:rPr>
        <w:t>70</w:t>
      </w:r>
      <w:r w:rsidR="000B460F">
        <w:rPr>
          <w:rStyle w:val="Ppogrubienie"/>
        </w:rPr>
        <w:t xml:space="preserve"> lit. a</w:t>
      </w:r>
      <w:r w:rsidR="001F1809" w:rsidRPr="00BF2F19">
        <w:t xml:space="preserve"> aktualizuje odwołanie do rozporządzenia 596/2014</w:t>
      </w:r>
      <w:r w:rsidR="0097067A" w:rsidRPr="00BF2F19">
        <w:t>,</w:t>
      </w:r>
      <w:r w:rsidR="00CD72C6" w:rsidRPr="00BF2F19">
        <w:t xml:space="preserve"> </w:t>
      </w:r>
      <w:r w:rsidR="001F1809" w:rsidRPr="00BF2F19">
        <w:t>w miejsce nieobowiązującego rozporządzenia Komisji (WE) nr 2273/2003 z dnia 22 grudnia 2003 r. wykonującego dyrektywę 2003/6/WE</w:t>
      </w:r>
      <w:r w:rsidR="00CD72C6" w:rsidRPr="00BF2F19">
        <w:t xml:space="preserve"> Parlamentu Europejskiego i Rady w odniesieniu do zwolnień dla programów odkupu i stabilizacji instrumentów finansowych (Dz. Urz. UE L 336 z 23.12.2003, str. 33, z późn. zm.)</w:t>
      </w:r>
      <w:r w:rsidR="001F1809" w:rsidRPr="00BF2F19">
        <w:t>.</w:t>
      </w:r>
    </w:p>
    <w:p w14:paraId="55E8E66A" w14:textId="77777777" w:rsidR="000B460F" w:rsidRPr="00BF2F19" w:rsidRDefault="000B460F" w:rsidP="007E7178">
      <w:pPr>
        <w:pStyle w:val="ARTartustawynprozporzdzenia"/>
      </w:pPr>
      <w:r>
        <w:t xml:space="preserve">Na mocy </w:t>
      </w:r>
      <w:r w:rsidR="008D0440">
        <w:rPr>
          <w:rStyle w:val="Ppogrubienie"/>
        </w:rPr>
        <w:t xml:space="preserve">art. 1 pkt </w:t>
      </w:r>
      <w:r w:rsidR="003B3209">
        <w:rPr>
          <w:rStyle w:val="Ppogrubienie"/>
        </w:rPr>
        <w:t>70</w:t>
      </w:r>
      <w:r w:rsidRPr="000B460F">
        <w:rPr>
          <w:rStyle w:val="Ppogrubienie"/>
        </w:rPr>
        <w:t xml:space="preserve"> lit. b</w:t>
      </w:r>
      <w:r>
        <w:t>, w art. 90 ust. 1g ustawy o ofercie publicznej pełną nazwę rozporządzenia 575/2013 zastąpiono jego skrótowym oznaczeniem, które będzie rozwinięte w dodawanym art. 4 pkt 25c.</w:t>
      </w:r>
    </w:p>
    <w:p w14:paraId="62DC525D" w14:textId="77777777" w:rsidR="00CD72C6" w:rsidRDefault="00220AC5" w:rsidP="007E7178">
      <w:pPr>
        <w:pStyle w:val="ARTartustawynprozporzdzenia"/>
      </w:pPr>
      <w:r w:rsidRPr="00BF2F19">
        <w:t xml:space="preserve">Proponowane w </w:t>
      </w:r>
      <w:r w:rsidRPr="00BF2F19">
        <w:rPr>
          <w:rStyle w:val="Ppogrubienie"/>
        </w:rPr>
        <w:t xml:space="preserve">art. 1 pkt </w:t>
      </w:r>
      <w:r w:rsidR="003B3209">
        <w:rPr>
          <w:rStyle w:val="Ppogrubienie"/>
        </w:rPr>
        <w:t>71</w:t>
      </w:r>
      <w:r w:rsidRPr="00BF2F19">
        <w:t xml:space="preserve"> zmiany zmierzają do zapewnienia pełnej implementacji art. 4 dyrektywy 2004/25/WE, w zakresie określenia prawa właściwego w odniesieniu do przejęć spółek z siedzibą w państwie członkowskim UE innym niż Rzeczpospolita Polska.</w:t>
      </w:r>
    </w:p>
    <w:p w14:paraId="39509C2B" w14:textId="77777777" w:rsidR="00856033" w:rsidRDefault="00B867A0" w:rsidP="00B867A0">
      <w:pPr>
        <w:pStyle w:val="NIEARTTEKSTtekstnieartykuowanynppodstprawnarozplubpreambua"/>
      </w:pPr>
      <w:r w:rsidRPr="00BF2F19">
        <w:t xml:space="preserve">Dodawane do </w:t>
      </w:r>
      <w:r>
        <w:t>ustawy o ofercie publicznej</w:t>
      </w:r>
      <w:r w:rsidRPr="00BF2F19">
        <w:t xml:space="preserve"> w </w:t>
      </w:r>
      <w:r>
        <w:rPr>
          <w:rStyle w:val="Ppogrubienie"/>
        </w:rPr>
        <w:t xml:space="preserve">art. 1 pkt </w:t>
      </w:r>
      <w:r w:rsidR="003B3209">
        <w:rPr>
          <w:rStyle w:val="Ppogrubienie"/>
        </w:rPr>
        <w:t>72</w:t>
      </w:r>
      <w:r w:rsidRPr="00BF2F19">
        <w:t xml:space="preserve"> rozdziały </w:t>
      </w:r>
      <w:r>
        <w:t>4a i 4b</w:t>
      </w:r>
      <w:r w:rsidRPr="00BF2F19">
        <w:t xml:space="preserve"> dotyczą polityki wynagrodzeń, sprawozdań o wynagrodzeniach oraz transakcji z podmiotami powiązanymi</w:t>
      </w:r>
      <w:r>
        <w:t xml:space="preserve"> i będą miały zastosowanie jedynie do spółek mających siedzibę na terytorium Rzeczypospolitej Polskiej, których co najmniej jedna akcja jest dopuszczona do obrotu na rynku regulowanym</w:t>
      </w:r>
      <w:r w:rsidRPr="00BF2F19">
        <w:t>.</w:t>
      </w:r>
      <w:r w:rsidR="005B45C0">
        <w:t xml:space="preserve"> </w:t>
      </w:r>
      <w:r w:rsidR="005B45C0">
        <w:rPr>
          <w:rStyle w:val="Ppogrubienie"/>
        </w:rPr>
        <w:t xml:space="preserve">Art. 90c ust. </w:t>
      </w:r>
      <w:r w:rsidR="008D0440">
        <w:rPr>
          <w:rStyle w:val="Ppogrubienie"/>
        </w:rPr>
        <w:t>2</w:t>
      </w:r>
      <w:r w:rsidR="00856033">
        <w:t xml:space="preserve"> stwierdza, że przepisy dotyczące polityki wynagrodzeń nie naruszają przepisów już obecnie nakładających obowiązek sporządzania polityki wynagrodzeń na niektóre podmioty, tj. banki, towarzystwa funduszy inwestycyjnych, zarządzających alternatywnymi spółkami inwestycyjnymi i niektóre firmy inwestycyjne.</w:t>
      </w:r>
    </w:p>
    <w:p w14:paraId="6483E40D" w14:textId="77777777" w:rsidR="00B867A0" w:rsidRPr="00BF2F19" w:rsidRDefault="00B867A0" w:rsidP="00B867A0">
      <w:pPr>
        <w:pStyle w:val="NIEARTTEKSTtekstnieartykuowanynppodstprawnarozplubpreambua"/>
      </w:pPr>
      <w:r w:rsidRPr="00BF2F19">
        <w:t xml:space="preserve">Zgodnie z </w:t>
      </w:r>
      <w:r w:rsidRPr="00BF2F19">
        <w:rPr>
          <w:rStyle w:val="Ppogrubienie"/>
        </w:rPr>
        <w:t>a</w:t>
      </w:r>
      <w:r>
        <w:rPr>
          <w:rStyle w:val="Ppogrubienie"/>
        </w:rPr>
        <w:t>rt. 90d</w:t>
      </w:r>
      <w:r w:rsidRPr="00BF2F19">
        <w:t xml:space="preserve"> polityka wynagrodzeń będzie określać zasady przyznawania wynagrodzeń członkom zarządu oraz rady nadzorczej i ma przyczyniać się do realizacji strategii biznesowej, długoterminowych interesów i stabilności spółki. Polityka wynagrodzeń powinna przy tym uwzględniać różnorodne czynniki, zarówno finansowe jak i niefinansowe, i stanowić ramowe zasady przyznawania wynagrodzeń członkom zarządu i rady nadzorczej.</w:t>
      </w:r>
      <w:r w:rsidR="00FC7BCD">
        <w:t xml:space="preserve"> Art. 90d ust. 3 pkt 4 nakazuje umieścić w projekcie polityki wynagrodzeń również dane o umowach łączących członków zarządu lub rady nadzorczej ze spółką, a w przypadku gdy </w:t>
      </w:r>
      <w:r w:rsidR="00314BA7">
        <w:t xml:space="preserve">z </w:t>
      </w:r>
      <w:r w:rsidR="00FC7BCD">
        <w:t>członk</w:t>
      </w:r>
      <w:r w:rsidR="00314BA7">
        <w:t>ami</w:t>
      </w:r>
      <w:r w:rsidR="00FC7BCD">
        <w:t xml:space="preserve"> tych organów nie </w:t>
      </w:r>
      <w:r w:rsidR="00314BA7">
        <w:t>została zawarta umowa – dane o charakterze stosunku prawnego łączącego ich ze spółką. Brzmienie przepisu uwzględnia w ten sposób fakt, że zwłaszcza członkowie rad nadzorczych są w spółkach powoływani na podstawie aktów korporacyjnych, np. uchwał o powołaniu, i nie są z nimi zawierane żadne dodatkowe umowy. Celem przepisu jest natomiast dostarczenie w polityce wynagrodzeń jak najpełniejszych informacji o stosunkach prawnych łączących spółkę z członkami jej władz.</w:t>
      </w:r>
    </w:p>
    <w:p w14:paraId="32D0BD09" w14:textId="77777777" w:rsidR="00B867A0" w:rsidRDefault="00B867A0" w:rsidP="00B867A0">
      <w:pPr>
        <w:pStyle w:val="NIEARTTEKSTtekstnieartykuowanynppodstprawnarozplubpreambua"/>
      </w:pPr>
      <w:r w:rsidRPr="00BF2F19">
        <w:t>Organem właściwym do sporządzenia polityki wynagrodzeń w spółce będzie walne zgromadzenie. Dyrektywa 2017/828 nie precyzuje, który organ spółki powinien być odpowiedzialny za przyjmowanie polityki wynagrodzeń, a stwierdza jedynie w motywie 28 preambuły, że „ważne jest poszanowanie różnorodności systemów ładu korporacyjnego w obrębie Unii, odzwierciedlających różne poglądy państw członkowskich na rolę spółek i organów odpowiedzialnych za określanie polityki wynagrodzeń oraz wynagrodzeń poszczególnych dyrektorów. (…) istotne jest, aby polityka wynagrodzeń spółek była ustalana w odpowiedni sposób przez właściwe organy spółki i aby akcjonariusze mieli możliwość wyrażania opinii co do polityki wynagrodzeń spółki”. Z powyższych względów projektodawca zdecydował, że organem w całości odpowiedzialnym za kształt polityki wynagrodzeń w spółce powinno być walne zgromadzenie. Ponadto biorąc pod uwagę, że polityka wynagrodzeń dotyczyć ma członków zarządu i rady nadzorczej, niewłaściwe byłoby przyznawanie możliwości kształtowania polityki członkom tych organów.</w:t>
      </w:r>
    </w:p>
    <w:p w14:paraId="0CF0D4D8" w14:textId="77777777" w:rsidR="00CF19AB" w:rsidRPr="00CF19AB" w:rsidRDefault="00CF19AB" w:rsidP="00CF19AB">
      <w:pPr>
        <w:pStyle w:val="ARTartustawynprozporzdzenia"/>
      </w:pPr>
      <w:r>
        <w:t xml:space="preserve">Wiążący charakter polityki wynagrodzeń jest przy tym podyktowany chęcią zwiększenia wpływu akcjonariuszy na </w:t>
      </w:r>
      <w:r w:rsidR="003311FD">
        <w:t>wysokość wynagrodzeń członków zarządu i rady nadzorczej w największych podmiotach działających na rynku, jakimi są spółki notowane na rynku regulowanym. Akcjonariusze będą mogli dzięki temu w sposób trwały i wiążący kształtować zasady wynagradzania, również w perspektywie długoterminowej.</w:t>
      </w:r>
    </w:p>
    <w:p w14:paraId="0E221C64" w14:textId="77777777" w:rsidR="00B867A0" w:rsidRPr="00BF2F19" w:rsidRDefault="00B867A0" w:rsidP="00B867A0">
      <w:pPr>
        <w:pStyle w:val="NIEARTTEKSTtekstnieartykuowanynppodstprawnarozplubpreambua"/>
      </w:pPr>
      <w:r w:rsidRPr="00BF2F19">
        <w:rPr>
          <w:rStyle w:val="Ppogrubienie"/>
        </w:rPr>
        <w:t>Art.</w:t>
      </w:r>
      <w:r>
        <w:rPr>
          <w:rStyle w:val="Ppogrubienie"/>
        </w:rPr>
        <w:t xml:space="preserve"> 90e ust. </w:t>
      </w:r>
      <w:r w:rsidRPr="00BF2F19">
        <w:rPr>
          <w:rStyle w:val="Ppogrubienie"/>
        </w:rPr>
        <w:t xml:space="preserve">1 </w:t>
      </w:r>
      <w:r w:rsidRPr="00BF2F19">
        <w:t xml:space="preserve">precyzuje, że wynagrodzenia dla członków zarządu i rady nadzorczej w spółkach będą mogły być wypłacane jedynie na podstawie polityki wynagrodzeń. Artykuł ten, w </w:t>
      </w:r>
      <w:r>
        <w:rPr>
          <w:rStyle w:val="Ppogrubienie"/>
        </w:rPr>
        <w:t>ust.</w:t>
      </w:r>
      <w:r w:rsidRPr="00BF2F19">
        <w:rPr>
          <w:rStyle w:val="Ppogrubienie"/>
        </w:rPr>
        <w:t xml:space="preserve"> 2 i 3</w:t>
      </w:r>
      <w:r w:rsidRPr="00BF2F19">
        <w:t xml:space="preserve">, opisuje sposób postępowania w przypadkach, kiedy z jakichkolwiek powodów polityka wynagrodzeń nie zostanie przyjęta i ma na celu zagwarantowanie, że poprawiona polityka zostanie jak najszybciej przyjęta, a zasady wypłacania wynagrodzeń będą zawsze precyzyjnie określone. </w:t>
      </w:r>
      <w:r>
        <w:rPr>
          <w:rStyle w:val="Ppogrubienie"/>
        </w:rPr>
        <w:t>Ust.</w:t>
      </w:r>
      <w:r w:rsidRPr="00BF2F19">
        <w:rPr>
          <w:rStyle w:val="Ppogrubienie"/>
        </w:rPr>
        <w:t xml:space="preserve"> 4</w:t>
      </w:r>
      <w:r w:rsidRPr="00BF2F19">
        <w:t xml:space="preserve"> przesądza, że każda istotna zmiana polityki wynagrodzeń będzie pociągała za sobą konieczność przyjęcia przez walne zgromadzenie nowej uchwały. Wprowadza również konieczność okresowego przeglądu tej polityki (co cztery lata), tak aby dokument ten pozostawał aktualny i dostosowany do warunków rynkowych oraz sytuacji spółki. Aby zapewnić jawność i przejrzystość stosunków w spółce, </w:t>
      </w:r>
      <w:r>
        <w:rPr>
          <w:rStyle w:val="Ppogrubienie"/>
        </w:rPr>
        <w:t>ust.</w:t>
      </w:r>
      <w:r w:rsidRPr="00BF2F19">
        <w:rPr>
          <w:rStyle w:val="Ppogrubienie"/>
        </w:rPr>
        <w:t xml:space="preserve"> 5</w:t>
      </w:r>
      <w:r w:rsidRPr="00BF2F19">
        <w:t xml:space="preserve"> przewiduje obowiązek publikacji polityki wynagrodzeń i uchwały jej dotyczącej na stronie internetowej spółki publicznej.</w:t>
      </w:r>
    </w:p>
    <w:p w14:paraId="4DA7EB77" w14:textId="77777777" w:rsidR="00B867A0" w:rsidRPr="00BF2F19" w:rsidRDefault="00B867A0" w:rsidP="00B867A0">
      <w:pPr>
        <w:pStyle w:val="NIEARTTEKSTtekstnieartykuowanynppodstprawnarozplubpreambua"/>
      </w:pPr>
      <w:r w:rsidRPr="00BF2F19">
        <w:t xml:space="preserve">W wyjątkowych okolicznościach wypłacanie wynagrodzeń zgodnie z polityką wynagrodzeń może okazać się niemożliwe lub skrajnie utrudnione. Z tego względu </w:t>
      </w:r>
      <w:r w:rsidRPr="00BF2F19">
        <w:rPr>
          <w:rStyle w:val="Ppogrubienie"/>
        </w:rPr>
        <w:t xml:space="preserve">art. </w:t>
      </w:r>
      <w:r>
        <w:rPr>
          <w:rStyle w:val="Ppogrubienie"/>
        </w:rPr>
        <w:t>90f</w:t>
      </w:r>
      <w:r w:rsidRPr="00BF2F19">
        <w:t xml:space="preserve"> przewiduje możliwość zastosowania przez radę nadzorczą czasowego odstępstwa od stosowania polityki wynagrodzeń. Przepis ten jednocześnie określa przypadki, w których odstępstwa te mogą zostać zastosowane, tak aby spółki nie nadużywały przysługujących im z tego tytułu uprawnień. Sama polityka wynagrodzeń powinna też określać, od których elementów można zastosować odstępstwo i jaka jest procedura jego stosowania. Wybór rady nadzorczej jako organu właściwego w tym przypadku podyktowany jest możliwością szybszego zebrania się i podjęcia decyzji w tej sprawie, w porównaniu ze zgromadzeniem akcjonariuszy.</w:t>
      </w:r>
    </w:p>
    <w:p w14:paraId="3E01047B" w14:textId="77777777" w:rsidR="00B867A0" w:rsidRDefault="00B867A0" w:rsidP="00B867A0">
      <w:pPr>
        <w:pStyle w:val="NIEARTTEKSTtekstnieartykuowanynppodstprawnarozplubpreambua"/>
      </w:pPr>
      <w:r w:rsidRPr="00BF2F19">
        <w:t xml:space="preserve">W celu zapewnienia przejrzystości i możliwości rozliczania członków zarządu i rady nadzorczej, </w:t>
      </w:r>
      <w:r w:rsidRPr="00BF2F19">
        <w:rPr>
          <w:rStyle w:val="Ppogrubienie"/>
        </w:rPr>
        <w:t>art.</w:t>
      </w:r>
      <w:r>
        <w:rPr>
          <w:rStyle w:val="Ppogrubienie"/>
        </w:rPr>
        <w:t xml:space="preserve"> 90g</w:t>
      </w:r>
      <w:r w:rsidRPr="00BF2F19">
        <w:t xml:space="preserve"> nakłada na radę nadzorczą obowiązek corocznego sporządzania sprawozdania o wynagrodzeniach. Sprawozdanie to powinno zawierać szczegółowy opis wszystkich przyznanych członkom zarządu i rady nadzorczej składników wynagrodzeń, tak aby akcjonariusze z łatwością mogli ocenić, czy wysokość przyznanych każdemu członkowi zarządu i rady nadzorczej wynagrodzeń jest adekwatna do ich indywidualnych wyników oraz wyników całej spółki.</w:t>
      </w:r>
    </w:p>
    <w:p w14:paraId="4815AAC4" w14:textId="77777777" w:rsidR="0009453A" w:rsidRPr="0009453A" w:rsidRDefault="0009453A" w:rsidP="0009453A">
      <w:pPr>
        <w:pStyle w:val="ARTartustawynprozporzdzenia"/>
      </w:pPr>
      <w:r>
        <w:t xml:space="preserve">Na podstawie </w:t>
      </w:r>
      <w:r w:rsidRPr="0009453A">
        <w:rPr>
          <w:rStyle w:val="Ppogrubienie"/>
        </w:rPr>
        <w:t>art. 90g ust. 3</w:t>
      </w:r>
      <w:r>
        <w:t xml:space="preserve"> wskazuje się, że spółka nie będzie miała obowiązku podawania informacji za lata obrotowe, za które </w:t>
      </w:r>
      <w:r w:rsidRPr="0009453A">
        <w:t>rada nadzorcza nie była zobowiązana do sporządzania sprawozdania o wynagrodzeniach</w:t>
      </w:r>
      <w:r>
        <w:t xml:space="preserve">. W takich przypadkach informacje te będą mogły być pominięte, lub podane na podstawie szacunków, przy czym będzie to musiało zostać wyraźnie zaznaczone w sprawozdaniu. </w:t>
      </w:r>
      <w:r w:rsidRPr="0009453A">
        <w:t xml:space="preserve">Nałożenie na spółki obowiązku uwzględnienia danych z ostatnich pięciu lat obrotowych, gdy jeszcze nie były one zobowiązane do sporządzania sprawozdania o wynagrodzeniach, a zatem i gromadzenia informacji, o których mowa w projektowanym art. 90g ust. 2 ustawy o ofercie, mogłoby być sprzeczne z zasadami pewności prawa oraz </w:t>
      </w:r>
      <w:r w:rsidRPr="0009453A">
        <w:rPr>
          <w:rStyle w:val="Kkursywa"/>
        </w:rPr>
        <w:t>lex retro non agit</w:t>
      </w:r>
      <w:r w:rsidRPr="0009453A">
        <w:t xml:space="preserve">. Nadto, obowiązek taki mógłby być nierealny do spełnienia dla części spółek z uwagi na brak posiadania stosownych informacji. </w:t>
      </w:r>
      <w:r>
        <w:t xml:space="preserve">Podejście zawarte w projektowanym przepisie jest też zgodne z </w:t>
      </w:r>
      <w:r w:rsidRPr="0009453A">
        <w:t>projekt</w:t>
      </w:r>
      <w:r>
        <w:t>em</w:t>
      </w:r>
      <w:r w:rsidRPr="0009453A">
        <w:t xml:space="preserve"> wytycznych Komisji Europejskiej z dnia 1 marca 2019 roku dot. sporządzania sprawozdań o wynagrodzeniach</w:t>
      </w:r>
      <w:r>
        <w:rPr>
          <w:rStyle w:val="Odwoanieprzypisudolnego"/>
        </w:rPr>
        <w:footnoteReference w:id="2"/>
      </w:r>
      <w:r w:rsidR="00432A1E" w:rsidRPr="00432A1E">
        <w:rPr>
          <w:rStyle w:val="IGindeksgrny"/>
        </w:rPr>
        <w:t>)</w:t>
      </w:r>
      <w:r w:rsidR="00432A1E">
        <w:t>.</w:t>
      </w:r>
    </w:p>
    <w:p w14:paraId="0244F101" w14:textId="47079F5C" w:rsidR="00B867A0" w:rsidRPr="00BF2F19" w:rsidRDefault="00B867A0" w:rsidP="00B867A0">
      <w:pPr>
        <w:pStyle w:val="NIEARTTEKSTtekstnieartykuowanynppodstprawnarozplubpreambua"/>
      </w:pPr>
      <w:r w:rsidRPr="00BF2F19">
        <w:t xml:space="preserve">Aby urzeczywistnić kontrolę akcjonariuszy nad sposobem wykonywania polityki wynagrodzeń, przewiduje się, że walne zgromadzenie akcjonariuszy będzie podejmować uchwałę opiniującą sprawozdanie o wynagrodzeniach. </w:t>
      </w:r>
      <w:r w:rsidR="004B6762" w:rsidRPr="004B6762">
        <w:rPr>
          <w:rStyle w:val="Ppogrubienie"/>
        </w:rPr>
        <w:t>Art. 90g ust. 7</w:t>
      </w:r>
      <w:r w:rsidRPr="00BF2F19">
        <w:t xml:space="preserve"> przewiduje jednak, że w małych jednostkach w rozumieniu przepisów o rachunkowości</w:t>
      </w:r>
      <w:r w:rsidR="004B6762">
        <w:t xml:space="preserve">, a także w jednostkach będących odpowiednikami średnich jednostek w rozumieniu dyrektywy </w:t>
      </w:r>
      <w:r w:rsidR="00732AF2">
        <w:t xml:space="preserve">Parlamentu Europejskiego i Rady </w:t>
      </w:r>
      <w:r w:rsidR="004B6762">
        <w:t>2013/34</w:t>
      </w:r>
      <w:r w:rsidR="00732AF2">
        <w:t xml:space="preserve">/UE z dnia 26 czerwca 2013 r. </w:t>
      </w:r>
      <w:r w:rsidR="00732AF2" w:rsidRPr="00732AF2">
        <w:t>w sprawie rocznych sprawozdań finansowych, skonsolidowanych sprawozdań finansowych i powiązanych sprawozdań niektórych rodzajów jednost</w:t>
      </w:r>
      <w:r w:rsidR="00732AF2">
        <w:t>ek, zmieniającej</w:t>
      </w:r>
      <w:r w:rsidR="00732AF2" w:rsidRPr="00732AF2">
        <w:t xml:space="preserve"> dyrektywę Parlamentu Europejskiego i</w:t>
      </w:r>
      <w:r w:rsidR="00732AF2">
        <w:t xml:space="preserve"> Rady 2006/43/WE oraz uchylającej</w:t>
      </w:r>
      <w:r w:rsidR="00732AF2" w:rsidRPr="00732AF2">
        <w:t xml:space="preserve"> dyrektywy Rady 78/660/EWG i 83/349/EWG</w:t>
      </w:r>
      <w:r w:rsidR="00732AF2">
        <w:t xml:space="preserve"> (Dz. Urz. UE L 182 z 29.06.2013, str. 19)</w:t>
      </w:r>
      <w:r w:rsidRPr="00BF2F19">
        <w:t xml:space="preserve"> będzie można przeprowadzić jedynie dyskusję nad sprawozdaniem, co odformalizuje proces podejmowania decyzji w tym zakresie. Uchwała bądź dyskusja nie będą miały charakteru wiążącego – </w:t>
      </w:r>
      <w:r>
        <w:t>nie jest bowiem możliwe nadanie takiego charakteru uchwale, która będzie przyjmowana</w:t>
      </w:r>
      <w:r w:rsidRPr="00BF2F19">
        <w:t xml:space="preserve"> </w:t>
      </w:r>
      <w:r w:rsidRPr="00BF2F19">
        <w:rPr>
          <w:rStyle w:val="Kkursywa"/>
        </w:rPr>
        <w:t>ex post</w:t>
      </w:r>
      <w:r w:rsidRPr="00BF2F19">
        <w:t xml:space="preserve"> – jednak w następnym sprawozdaniu o wynagrodzeniach rada nadzorcza będzie miała obowiązek przedstawić, w jaki sposób zostały one uwzględnione w bieżącym sprawozdaniu.</w:t>
      </w:r>
      <w:r>
        <w:t xml:space="preserve"> Będzie to miało szczególnie doniosłe znaczenie w przypadku odrzucenia przez walne zgromadzenie sprawozdania o wynagrodzeniach, co </w:t>
      </w:r>
      <w:r w:rsidR="00CF4CB3">
        <w:t>powinno skutkować zapewnieniem zgodności sposobu wypłaty wynagrodzeń z zasadami określonymi w polityce wynagrodzeń w przyszłości, albo stanowić impuls do poprawy samej polityki wynagrodzeń.</w:t>
      </w:r>
    </w:p>
    <w:p w14:paraId="29DE7800" w14:textId="7FD9A50B" w:rsidR="00B867A0" w:rsidRPr="00BF2F19" w:rsidRDefault="00B867A0" w:rsidP="00B867A0">
      <w:pPr>
        <w:pStyle w:val="NIEARTTEKSTtekstnieartykuowanynppodstprawnarozplubpreambua"/>
      </w:pPr>
      <w:r w:rsidRPr="00BF2F19">
        <w:rPr>
          <w:rStyle w:val="Ppogrubienie"/>
        </w:rPr>
        <w:t>Art.</w:t>
      </w:r>
      <w:r w:rsidR="00CF4CB3">
        <w:rPr>
          <w:rStyle w:val="Ppogrubienie"/>
        </w:rPr>
        <w:t xml:space="preserve"> 90g ust. </w:t>
      </w:r>
      <w:r w:rsidR="008E307D">
        <w:rPr>
          <w:rStyle w:val="Ppogrubienie"/>
        </w:rPr>
        <w:t>9</w:t>
      </w:r>
      <w:r w:rsidRPr="00BF2F19">
        <w:t xml:space="preserve"> przewiduje także obowiązek publikacji sprawozdania o wynagrodzeniach na stronie internetowej spółki. Dzięki temu nie tylko akcjonariusze, ale również wszystkie zainteresowane osoby – w tym potencjalni inwestorzy – będą mogli ocenić wysokość wynagrodzeń członków zarządu i rady nadzorczej oraz stopień realizacji polityki wynagrodzeń. Obowiązek udostępniania sprawozdań przez okres co najmniej 10 lat ma z kolei na celu umożliwienie dokonania oceny adekwatności wysokości wynagrodzeń nie tylko w ujęciu rocznym, ale również w dłuższej perspektywie i w odniesieniu do długoterminowych wyników spółki.</w:t>
      </w:r>
    </w:p>
    <w:p w14:paraId="56AE5A2A" w14:textId="65F6D1B1" w:rsidR="00B867A0" w:rsidRDefault="00B867A0" w:rsidP="00B867A0">
      <w:pPr>
        <w:pStyle w:val="NIEARTTEKSTtekstnieartykuowanynppodstprawnarozplubpreambua"/>
      </w:pPr>
      <w:r w:rsidRPr="00BF2F19">
        <w:t xml:space="preserve">Publikacja zanonimizowanych sprawozdań o wynagrodzeniach uniemożliwiłaby pełną kontrolę akcjonariuszy nad wysokością wynagrodzeń poszczególnych członków zarządu i rady nadzorczej. Z tego względu w sprawozdaniach o wynagrodzeniach należy umieszczać dane osobowe członków organów spółki. </w:t>
      </w:r>
      <w:r w:rsidR="00CF4CB3">
        <w:rPr>
          <w:rStyle w:val="Ppogrubienie"/>
        </w:rPr>
        <w:t xml:space="preserve">Art. 90g ust. </w:t>
      </w:r>
      <w:r w:rsidR="009B6322">
        <w:rPr>
          <w:rStyle w:val="Ppogrubienie"/>
        </w:rPr>
        <w:t>4</w:t>
      </w:r>
      <w:r w:rsidRPr="00BF2F19">
        <w:t xml:space="preserve"> przewiduje jednak, że w sprawozdaniach nie publikuje się szczególnie wrażliwych danych osobowych, o których mowa w art. 9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w:t>
      </w:r>
      <w:r w:rsidR="005D6685">
        <w:t>0</w:t>
      </w:r>
      <w:r w:rsidRPr="00BF2F19">
        <w:t>4.05.2016, str. 1</w:t>
      </w:r>
      <w:r w:rsidR="005D6685">
        <w:t>, z późn. zm.</w:t>
      </w:r>
      <w:r w:rsidRPr="00BF2F19">
        <w:t xml:space="preserve">), zwanego dalej „rozporządzeniem 2016/679”. Ponadto, aby zapewnić ochronę prywatności osób, których dotyczą sprawozdania o wynagrodzeniach, </w:t>
      </w:r>
      <w:r w:rsidRPr="00973B38">
        <w:rPr>
          <w:rStyle w:val="Ppogrubienie"/>
        </w:rPr>
        <w:t xml:space="preserve">art. </w:t>
      </w:r>
      <w:r w:rsidR="00CF4CB3" w:rsidRPr="00973B38">
        <w:rPr>
          <w:rStyle w:val="Ppogrubienie"/>
        </w:rPr>
        <w:t xml:space="preserve">90g ust. </w:t>
      </w:r>
      <w:r w:rsidR="008E307D">
        <w:rPr>
          <w:rStyle w:val="Ppogrubienie"/>
        </w:rPr>
        <w:t>9</w:t>
      </w:r>
      <w:r w:rsidRPr="00BF2F19">
        <w:t xml:space="preserve"> przewiduje, że jeżeli spółka publiczna decyduje się udostępniać sprawozdania o wynagrodzeniach dłużej niż przez wymagany 10-letni okres, sprawozdania takie powinny mieć formę </w:t>
      </w:r>
      <w:r w:rsidR="00973B38">
        <w:t xml:space="preserve">w pełni </w:t>
      </w:r>
      <w:r w:rsidRPr="00BF2F19">
        <w:t>zanonimizowaną</w:t>
      </w:r>
      <w:r w:rsidR="00973B38">
        <w:t>, a więc nie zawierać żadnych danych osobowych</w:t>
      </w:r>
      <w:r w:rsidRPr="00BF2F19">
        <w:t>.</w:t>
      </w:r>
    </w:p>
    <w:p w14:paraId="4E3CF967" w14:textId="23844C84" w:rsidR="008E307D" w:rsidRPr="008E307D" w:rsidRDefault="008E307D" w:rsidP="008E307D">
      <w:pPr>
        <w:pStyle w:val="ARTartustawynprozporzdzenia"/>
      </w:pPr>
      <w:r>
        <w:t xml:space="preserve">Istotną normą dotyczącą ochrony danych osobowych członków organów spółek oraz członków ich rodzin jest także projektowany </w:t>
      </w:r>
      <w:r w:rsidRPr="009A0BE5">
        <w:rPr>
          <w:rStyle w:val="Ppogrubienie"/>
        </w:rPr>
        <w:t>art. 90g ust. 5</w:t>
      </w:r>
      <w:r>
        <w:t xml:space="preserve">. </w:t>
      </w:r>
      <w:r w:rsidR="009A0BE5">
        <w:t>W celu zapewnienia pełnej informacji dotyczącej wynagrodzenia danego członka zarządu lub rady nadzorczej, sprawozdania o wynagrodzeniach będą obejmować także dane o kwotach wynagrodzenia przyznanego na podstawie sytuacji rodzinnej danej osoby.</w:t>
      </w:r>
      <w:r w:rsidR="00104FFF">
        <w:t xml:space="preserve"> Chodzi przy tym o dodatkowe świadczenia przyznawane przez daną spółkę na mocy własnych, wewnętrznych rozwiązań i porozumień z członkami organów. Dane o sytuacji rodzinnej członków organów spółek, a tym bardziej dane osobowe członków ich rodzin, nie są jednak w żaden sposób związane z celem sprawozdań o wynagrodzeniach, jakim jest zwiększenie przejrzystości działania spółki w stosunku do jej akcjonariuszy. Z tego względu</w:t>
      </w:r>
      <w:r w:rsidR="004B6762">
        <w:t xml:space="preserve"> sprawozdanie będzie zawierać jedynie kwotę świadczeń pobranych przez danego członka zarządu lub rady nadzorczej, bez podania podstawy przyznania takich świadczeń ani danych osobowych </w:t>
      </w:r>
      <w:r w:rsidR="004B6762" w:rsidRPr="004B6762">
        <w:t>osób, na rzecz których je wypłacono</w:t>
      </w:r>
      <w:r w:rsidR="004B6762">
        <w:t>.</w:t>
      </w:r>
    </w:p>
    <w:p w14:paraId="79C5D6A5" w14:textId="77777777" w:rsidR="00B867A0" w:rsidRPr="00BF2F19" w:rsidRDefault="00B867A0" w:rsidP="00B867A0">
      <w:pPr>
        <w:pStyle w:val="NIEARTTEKSTtekstnieartykuowanynppodstprawnarozplubpreambua"/>
      </w:pPr>
      <w:r w:rsidRPr="00BF2F19">
        <w:rPr>
          <w:rStyle w:val="Ppogrubienie"/>
        </w:rPr>
        <w:t xml:space="preserve">Rozdział </w:t>
      </w:r>
      <w:r w:rsidR="00CF4CB3">
        <w:rPr>
          <w:rStyle w:val="Ppogrubienie"/>
        </w:rPr>
        <w:t>4b</w:t>
      </w:r>
      <w:r w:rsidRPr="00BF2F19">
        <w:t xml:space="preserve"> ustanawia zasady zawierania przez spółki transakcji z podmiotami powiązanymi. Takie transakcje mogą powodować straty dla spółek i ich akcjonariuszy, dając okazję do zawłaszczenia majątku spółki. Z tego względu konieczne jest wprowadzenie odpowiednich zabezpieczeń chroniących interes spółki.</w:t>
      </w:r>
    </w:p>
    <w:p w14:paraId="35C86C88" w14:textId="77777777" w:rsidR="00B867A0" w:rsidRPr="00BF2F19" w:rsidRDefault="00B867A0" w:rsidP="00B867A0">
      <w:pPr>
        <w:pStyle w:val="ARTartustawynprozporzdzenia"/>
      </w:pPr>
      <w:r w:rsidRPr="00BF2F19">
        <w:rPr>
          <w:rStyle w:val="Ppogrubienie"/>
        </w:rPr>
        <w:t xml:space="preserve">Art. </w:t>
      </w:r>
      <w:r w:rsidR="00CF4CB3">
        <w:rPr>
          <w:rStyle w:val="Ppogrubienie"/>
        </w:rPr>
        <w:t xml:space="preserve">90h ust. </w:t>
      </w:r>
      <w:r w:rsidRPr="00BF2F19">
        <w:rPr>
          <w:rStyle w:val="Ppogrubienie"/>
        </w:rPr>
        <w:t>1</w:t>
      </w:r>
      <w:r w:rsidR="00CF4CB3">
        <w:rPr>
          <w:rStyle w:val="Ppogrubienie"/>
        </w:rPr>
        <w:t xml:space="preserve"> pkt 2</w:t>
      </w:r>
      <w:r w:rsidRPr="00BF2F19">
        <w:t xml:space="preserve"> przesądza, że za istotną transakcję będzie uważana każda transakcja zawierana przez spółkę z podmiotem powiązanym, </w:t>
      </w:r>
      <w:r w:rsidR="00CE20C7">
        <w:t>której wartość</w:t>
      </w:r>
      <w:r w:rsidRPr="00BF2F19">
        <w:t xml:space="preserve"> przekracza </w:t>
      </w:r>
      <w:r w:rsidR="00CE20C7" w:rsidRPr="00CE20C7">
        <w:t>5% sumy aktywów w rozumieniu ustawy z dnia 29 września 1994 r. o rachunkowości</w:t>
      </w:r>
      <w:r w:rsidR="00CE20C7">
        <w:t xml:space="preserve"> (Dz. U. z 2019 r. poz. 351)</w:t>
      </w:r>
      <w:r w:rsidR="00CE20C7" w:rsidRPr="00CE20C7">
        <w:t>, ustalonych na podstawie ostatniego zatwierdzonego sprawozdania finansowego</w:t>
      </w:r>
      <w:r w:rsidRPr="00BF2F19">
        <w:t>.</w:t>
      </w:r>
      <w:r w:rsidR="00CE20C7">
        <w:t xml:space="preserve"> </w:t>
      </w:r>
      <w:r w:rsidR="004B4AE9">
        <w:t xml:space="preserve">Procentowo wyrażona wartość istotnych transakcji w odniesieniu do wartości aktywów ustalonych na podstawie sprawozdania finansowego w najlepszy sposób </w:t>
      </w:r>
      <w:r w:rsidR="000B37CD">
        <w:t>zapewni, że wysokość tych transakcji będzie ściśle powiązana z wartością aktywów spółki i że wymogami tymi będą objęte faktycznie najważniejsze transakcje. Jednocześnie próg ten odpowiada wartości przyjętej w ustawie z dnia 16 grudnia 2016 r. o zasadach zarządzania mieniem państwowym (Dz. U. z 2018 r. poz. 1182, z późn. zm.) dla rozporządzeń składnikami aktywów trwałych, które wymagają zgody walnego zgromadzenia.</w:t>
      </w:r>
    </w:p>
    <w:p w14:paraId="64F86928" w14:textId="77777777" w:rsidR="00B867A0" w:rsidRPr="00BF2F19" w:rsidRDefault="00B867A0" w:rsidP="00B867A0">
      <w:pPr>
        <w:pStyle w:val="ARTartustawynprozporzdzenia"/>
      </w:pPr>
      <w:r w:rsidRPr="00BF2F19">
        <w:rPr>
          <w:rStyle w:val="Ppogrubienie"/>
        </w:rPr>
        <w:t xml:space="preserve">Art. </w:t>
      </w:r>
      <w:r w:rsidR="00CF4CB3">
        <w:rPr>
          <w:rStyle w:val="Ppogrubienie"/>
        </w:rPr>
        <w:t>90h ust.</w:t>
      </w:r>
      <w:r w:rsidRPr="00BF2F19">
        <w:rPr>
          <w:rStyle w:val="Ppogrubienie"/>
        </w:rPr>
        <w:t xml:space="preserve"> 2 i 3</w:t>
      </w:r>
      <w:r w:rsidRPr="00BF2F19">
        <w:t xml:space="preserve"> precyzują sposób obliczania wartości transakcji w przypadku świadczeń powtarzających się. W przypadku świadczeń dokonywanych na podstawie umowy zawartej na czas określony, wartość transakcji będzie ustalana jako suma wartości świadczeń za cały czas trwania umowy, co pozwoli na łatwe określenie rzeczywistej wartości całej transakcji. Natomiast w przypadku świadczeń dokonywanych na podstawie umów zawartych na czas nieokreślony, wartość transakcji będzie ustalana jako suma wartości świadczeń za trzy lata. Rozwiązanie to będzie spójne z trzyletnim terminem przedawnienia świadczeń okresowych, określonym w art. 118 ustawy z dnia 23 kwietnia 1964 r. – Kodeks cywilny</w:t>
      </w:r>
      <w:r w:rsidR="0034792F">
        <w:t xml:space="preserve"> (Dz. U. z 2018 r. poz. 1025, z późn. zm.)</w:t>
      </w:r>
      <w:r w:rsidRPr="00BF2F19">
        <w:t>.</w:t>
      </w:r>
    </w:p>
    <w:p w14:paraId="28E715E0" w14:textId="77777777" w:rsidR="00B867A0" w:rsidRPr="00BF2F19" w:rsidRDefault="00B867A0" w:rsidP="00B867A0">
      <w:pPr>
        <w:pStyle w:val="NIEARTTEKSTtekstnieartykuowanynppodstprawnarozplubpreambua"/>
      </w:pPr>
      <w:r w:rsidRPr="00BF2F19">
        <w:t xml:space="preserve">Zabezpieczeniu interesów spółki i jej akcjonariuszy służy również konieczność publikacji informacji o istotnej transakcji na stronie internetowej spółki publicznej, przewidziana w </w:t>
      </w:r>
      <w:r w:rsidRPr="00BF2F19">
        <w:rPr>
          <w:rStyle w:val="Ppogrubienie"/>
        </w:rPr>
        <w:t xml:space="preserve">art. </w:t>
      </w:r>
      <w:r w:rsidR="00CF4CB3">
        <w:rPr>
          <w:rStyle w:val="Ppogrubienie"/>
        </w:rPr>
        <w:t>90i ust. 1</w:t>
      </w:r>
      <w:r w:rsidRPr="00BF2F19">
        <w:t>. Umożliwi to zainteresowanym podmiotom – w tym akcjonariuszom i wierzycielom – uzyskanie informacji o potencjalnym wpływie takiej transakcji na sytuację spółki.</w:t>
      </w:r>
    </w:p>
    <w:p w14:paraId="443EECE5" w14:textId="77777777" w:rsidR="009F7E64" w:rsidRDefault="00B867A0" w:rsidP="009F7E64">
      <w:pPr>
        <w:pStyle w:val="NIEARTTEKSTtekstnieartykuowanynppodstprawnarozplubpreambua"/>
      </w:pPr>
      <w:r w:rsidRPr="00BF2F19">
        <w:t>Projekt ustawy przewiduje również wymóg wyrażenia zgody na zawarcie istotnych transakcji co najmniej przez radę nadzorczą, przy czym spółki będą mogły również przewidzieć w swoich statutach konieczność wyrażania zgody na zawarcie takich transakcji także przez walne zgromadzenie akcjonariuszy. Zapewni to odpowiednią ochronę interesów spółki i akcjonariuszy, w tym akcjonariuszy mniejszościowych. Jednocześnie, aby zapewnić bezstronność podejmowania decyzji o zatwierdzeniu transakcji, z podjęcia takiej decyzji wyłączeni będą członkowie rady nadzorczej oraz akcjonariusze, w przypadku gdy transakcja dotyczy ich interesów.</w:t>
      </w:r>
    </w:p>
    <w:p w14:paraId="3D12E1B6" w14:textId="77777777" w:rsidR="009F7E64" w:rsidRPr="009F7E64" w:rsidRDefault="009F7E64" w:rsidP="009F7E64">
      <w:pPr>
        <w:pStyle w:val="ARTartustawynprozporzdzenia"/>
      </w:pPr>
      <w:r>
        <w:t xml:space="preserve">Przepis </w:t>
      </w:r>
      <w:r w:rsidRPr="009F7E64">
        <w:rPr>
          <w:rStyle w:val="Ppogrubienie"/>
        </w:rPr>
        <w:t>art. 90i ust. 6</w:t>
      </w:r>
      <w:r>
        <w:t xml:space="preserve"> jednoznacznie określa</w:t>
      </w:r>
      <w:r w:rsidRPr="009F7E64">
        <w:t xml:space="preserve"> wzajemną relację pomiędzy projektowanymi przepisami rozdziału 4b, a </w:t>
      </w:r>
      <w:r>
        <w:t>r</w:t>
      </w:r>
      <w:r w:rsidRPr="009F7E64">
        <w:t xml:space="preserve">ozporządzeniem </w:t>
      </w:r>
      <w:r>
        <w:t>596/2014</w:t>
      </w:r>
      <w:r w:rsidRPr="009F7E64">
        <w:t xml:space="preserve"> ustanawiającym reżim postępowania z informacją poufną</w:t>
      </w:r>
      <w:r>
        <w:t xml:space="preserve">. Omawiany przepis stanowi także implementację art. 9c ust. 9 dyrektywy 2007/36/WE. </w:t>
      </w:r>
      <w:r w:rsidRPr="009F7E64">
        <w:t>Jeżeli transakcja z podmiotem powiązanym stanowiłaby w ocenie emitenta jednocześnie informację poufną, a emitent chciałby ją opóźnić wykorzystu</w:t>
      </w:r>
      <w:r>
        <w:t>jąc uprawnienie przewidziane w r</w:t>
      </w:r>
      <w:r w:rsidRPr="009F7E64">
        <w:t xml:space="preserve">ozporządzeniu </w:t>
      </w:r>
      <w:r>
        <w:t>596/2014</w:t>
      </w:r>
      <w:r w:rsidRPr="009F7E64">
        <w:t xml:space="preserve">, to </w:t>
      </w:r>
      <w:r>
        <w:t xml:space="preserve">w braku ust. 6 nie </w:t>
      </w:r>
      <w:r w:rsidRPr="009F7E64">
        <w:t>mógłby</w:t>
      </w:r>
      <w:r>
        <w:t xml:space="preserve"> on</w:t>
      </w:r>
      <w:r w:rsidRPr="009F7E64">
        <w:t xml:space="preserve"> dokonać takiego opóźnienia, </w:t>
      </w:r>
      <w:r>
        <w:t>i musiałby zaraportować tę</w:t>
      </w:r>
      <w:r w:rsidRPr="009F7E64">
        <w:t xml:space="preserve"> transakcję najp</w:t>
      </w:r>
      <w:r>
        <w:t>óźniej w momencie jej zawarcia. W tym kontekście pojawiłaby</w:t>
      </w:r>
      <w:r w:rsidRPr="009F7E64">
        <w:t xml:space="preserve"> się kolejna wątpliwość związana ze sposobem przekazywania informacji o transakcji z podmiotem powiązanym, jeżeli informacja ta jest jednocześnie informacją poufną. </w:t>
      </w:r>
      <w:r>
        <w:t>Podmiot taki</w:t>
      </w:r>
      <w:r w:rsidRPr="009F7E64">
        <w:t xml:space="preserve"> musiał</w:t>
      </w:r>
      <w:r>
        <w:t>by bowiem upublicznić taką informację</w:t>
      </w:r>
      <w:r w:rsidRPr="009F7E64">
        <w:t xml:space="preserve"> dwukrotnie, tj</w:t>
      </w:r>
      <w:r>
        <w:t>. w trybie przewidzianym przez r</w:t>
      </w:r>
      <w:r w:rsidRPr="009F7E64">
        <w:t xml:space="preserve">ozporządzenia </w:t>
      </w:r>
      <w:r>
        <w:t>596/2014</w:t>
      </w:r>
      <w:r w:rsidRPr="009F7E64">
        <w:t xml:space="preserve"> dla upubliczniania informacji poufnych oraz w trybie przewidzianym przez projektowany art. 90i ust. 1 ustawy dla transakcji z podmiotami</w:t>
      </w:r>
      <w:r>
        <w:t xml:space="preserve"> powiązanymi. Projektowany art. 90i ust. 6 wyjaśnia więc powyższe wątpliwości przez wskazanie, że rozporządzenie 596/2014 ma pierwszeństwo przed przepisami o istotnych transakcjach.</w:t>
      </w:r>
    </w:p>
    <w:p w14:paraId="1869D8C3" w14:textId="77777777" w:rsidR="00B867A0" w:rsidRPr="00BF2F19" w:rsidRDefault="00B867A0" w:rsidP="00B867A0">
      <w:pPr>
        <w:pStyle w:val="ARTartustawynprozporzdzenia"/>
      </w:pPr>
      <w:r w:rsidRPr="00BF2F19">
        <w:rPr>
          <w:rStyle w:val="Ppogrubienie"/>
        </w:rPr>
        <w:t xml:space="preserve">Art. </w:t>
      </w:r>
      <w:r w:rsidR="00CF4CB3">
        <w:rPr>
          <w:rStyle w:val="Ppogrubienie"/>
        </w:rPr>
        <w:t>90j</w:t>
      </w:r>
      <w:r w:rsidRPr="00BF2F19">
        <w:t xml:space="preserve"> przewiduje odstępstwa od wymogów stosowanych wobec istotnych transakcji na podstawie art. </w:t>
      </w:r>
      <w:r w:rsidR="00CF4CB3">
        <w:t>90i</w:t>
      </w:r>
      <w:r w:rsidRPr="00BF2F19">
        <w:t xml:space="preserve">. Za takie istotne transakcje nie będą uznawane transakcje zawierane na warunkach rynkowych w ramach </w:t>
      </w:r>
      <w:r w:rsidR="00CF4CB3">
        <w:t>normalnej działalności spółki (ust.</w:t>
      </w:r>
      <w:r w:rsidRPr="00BF2F19">
        <w:t xml:space="preserve"> 1 pkt 1). Takie transakcje niosą za sobą minimalne ryzyko nadużycia interesów spółki i jej akcjonariuszy. Jednocześnie na podstawie </w:t>
      </w:r>
      <w:r w:rsidR="00CF4CB3">
        <w:t>ust.</w:t>
      </w:r>
      <w:r w:rsidRPr="00BF2F19">
        <w:t xml:space="preserve"> 2 tego przepisu w spółce będzie funkcjonować procedura okresowej oceny, czy transakcje zawarte na podstawie art. </w:t>
      </w:r>
      <w:r w:rsidR="00CF4CB3">
        <w:t>90j ust.</w:t>
      </w:r>
      <w:r w:rsidRPr="00BF2F19">
        <w:t xml:space="preserve"> 1 pkt 1 rzeczywiście spełniały warunki, o których mowa w tym przepisie.</w:t>
      </w:r>
    </w:p>
    <w:p w14:paraId="2FAD7BEB" w14:textId="77777777" w:rsidR="00B867A0" w:rsidRPr="00BF2F19" w:rsidRDefault="00B867A0" w:rsidP="00B867A0">
      <w:pPr>
        <w:pStyle w:val="ARTartustawynprozporzdzenia"/>
      </w:pPr>
      <w:r w:rsidRPr="00BF2F19">
        <w:t>Ponadto, za istotną transakcję nie będzie uważana transakcja ze spółką zależną, jeżeli spółka jest jedynym akcjonariuszem tej spółki zależnej. Również w takich przypadkach ryzyko nadużyć interesów spółki i jej akcjonariuszy jest minimalne, a spółka powinna mieć możliwość bardziej swobodnego kształtowania warunków transakcji z podmiotami, co do których pozostaje jedynym akcjonariuszem.</w:t>
      </w:r>
    </w:p>
    <w:p w14:paraId="2D77C05D" w14:textId="77777777" w:rsidR="00B867A0" w:rsidRPr="00BF2F19" w:rsidRDefault="00B867A0" w:rsidP="00B867A0">
      <w:pPr>
        <w:pStyle w:val="ARTartustawynprozporzdzenia"/>
      </w:pPr>
      <w:r w:rsidRPr="00BF2F19">
        <w:t xml:space="preserve">Art. </w:t>
      </w:r>
      <w:r w:rsidR="00CF4CB3">
        <w:t>90j ust.</w:t>
      </w:r>
      <w:r w:rsidRPr="00BF2F19">
        <w:t xml:space="preserve"> 1 pkt 3 stanowi z kolei, że wyłączone z definicji istotnej transakcji będą także transakcje związane z wypłatą wynagrodzeń członkom zarządu lub rady nadzorczej, o ile transakcje te są zgodne z przyjętą w spółce polityką wynagrodzeń. Biorąc pod uwagę fakt, że polityka wynagrodzeń będzie przyjmowana i zatwierdzana przez organy spółki, niecelowe byłoby poddawanie transakcji zawartych na jej podstawie kolejnym wymogom.</w:t>
      </w:r>
    </w:p>
    <w:p w14:paraId="661B6907" w14:textId="77777777" w:rsidR="00B867A0" w:rsidRPr="00BF2F19" w:rsidRDefault="00B867A0" w:rsidP="00B867A0">
      <w:pPr>
        <w:pStyle w:val="ARTartustawynprozporzdzenia"/>
      </w:pPr>
      <w:r w:rsidRPr="00BF2F19">
        <w:rPr>
          <w:rStyle w:val="Ppogrubienie"/>
        </w:rPr>
        <w:t xml:space="preserve">Art. </w:t>
      </w:r>
      <w:r w:rsidR="00CF4CB3">
        <w:rPr>
          <w:rStyle w:val="Ppogrubienie"/>
        </w:rPr>
        <w:t>90k</w:t>
      </w:r>
      <w:r w:rsidRPr="00BF2F19">
        <w:t xml:space="preserve"> przesądza, że zasady dotyczące istotnych transakcji będą miały zastosowanie również do transakcji zawieranych pomiędzy podmiotami zależnymi spółki publicznej.</w:t>
      </w:r>
    </w:p>
    <w:p w14:paraId="4499290E" w14:textId="77777777" w:rsidR="00B867A0" w:rsidRDefault="00B867A0" w:rsidP="00B867A0">
      <w:pPr>
        <w:pStyle w:val="ARTartustawynprozporzdzenia"/>
      </w:pPr>
      <w:r w:rsidRPr="00BF2F19">
        <w:rPr>
          <w:rStyle w:val="Ppogrubienie"/>
        </w:rPr>
        <w:t xml:space="preserve">Art. </w:t>
      </w:r>
      <w:r w:rsidR="00CF4CB3">
        <w:rPr>
          <w:rStyle w:val="Ppogrubienie"/>
        </w:rPr>
        <w:t>90l</w:t>
      </w:r>
      <w:r w:rsidRPr="00BF2F19">
        <w:t xml:space="preserve"> przewiduje natomiast, że na potrzeby obliczania wartości istotnej transakcji, wszystkie transakcje zawarte z tym samym podmiotem w okresie poprzedzających 12 miesięcy podlegają zsumowaniu. Przepis ten uniemożliwi omijanie wymogów ustanowionych w art. </w:t>
      </w:r>
      <w:r w:rsidR="001523CD">
        <w:t>90i</w:t>
      </w:r>
      <w:r w:rsidRPr="00BF2F19">
        <w:rPr>
          <w:rStyle w:val="IGindeksgrny"/>
        </w:rPr>
        <w:t xml:space="preserve"> </w:t>
      </w:r>
      <w:r w:rsidRPr="00BF2F19">
        <w:t>poprzez dzielenie jednej transakcji o znacznej wartości na kilka pomniejszych.</w:t>
      </w:r>
      <w:r w:rsidR="00314BA7">
        <w:t xml:space="preserve"> Przepis precyzuje przy tym, że do sumy tych transakcji włączane będą tylko transakcje, które nie podlegały wcześniej obowiązkom wynikającym z przepisów rozdziału 4b, tj. jednostkowo nie przekraczały wartości, o której mowa w art. 90h ust. 1 pkt 2 ustawy o ofercie publicznej.</w:t>
      </w:r>
    </w:p>
    <w:p w14:paraId="42C8CD0F" w14:textId="77777777" w:rsidR="004B30A5" w:rsidRPr="00BF2F19" w:rsidRDefault="004B30A5" w:rsidP="007E7178">
      <w:pPr>
        <w:pStyle w:val="ARTartustawynprozporzdzenia"/>
      </w:pPr>
      <w:r w:rsidRPr="004B30A5">
        <w:rPr>
          <w:rStyle w:val="Ppogrubienie"/>
        </w:rPr>
        <w:t xml:space="preserve">Art. 1 pkt </w:t>
      </w:r>
      <w:r w:rsidR="005277F9">
        <w:rPr>
          <w:rStyle w:val="Ppogrubienie"/>
        </w:rPr>
        <w:t>7</w:t>
      </w:r>
      <w:r w:rsidR="003B3209">
        <w:rPr>
          <w:rStyle w:val="Ppogrubienie"/>
        </w:rPr>
        <w:t>3</w:t>
      </w:r>
      <w:r>
        <w:t xml:space="preserve"> dostosowuje tytuł roz</w:t>
      </w:r>
      <w:r w:rsidRPr="004B30A5">
        <w:t xml:space="preserve">działu </w:t>
      </w:r>
      <w:r>
        <w:t xml:space="preserve">5 ustawy o ofercie publicznej </w:t>
      </w:r>
      <w:r w:rsidRPr="004B30A5">
        <w:t>do zakresu regulacji przepisów w nim zawartych</w:t>
      </w:r>
      <w:r>
        <w:t>.</w:t>
      </w:r>
    </w:p>
    <w:p w14:paraId="2C6FA386" w14:textId="77777777" w:rsidR="00CD0457" w:rsidRPr="00BF2F19" w:rsidRDefault="0071743E" w:rsidP="007E7178">
      <w:pPr>
        <w:pStyle w:val="ARTartustawynprozporzdzenia"/>
      </w:pPr>
      <w:r>
        <w:rPr>
          <w:rStyle w:val="Ppogrubienie"/>
        </w:rPr>
        <w:t>Art. 1 pkt 7</w:t>
      </w:r>
      <w:r w:rsidR="003B3209">
        <w:rPr>
          <w:rStyle w:val="Ppogrubienie"/>
        </w:rPr>
        <w:t>4</w:t>
      </w:r>
      <w:r w:rsidR="00DB1EA0" w:rsidRPr="00BF2F19">
        <w:t xml:space="preserve"> wprowadza regulację procedury wycofania akcji spółki z obrotu na rynku regulowanym lub w alternatywnym systemie obrotu (nowe brzmienie art. 91) oraz przewiduje przypadki, w których takie wycofanie akcji będzie konieczne (nowe brzmienie art. 92).</w:t>
      </w:r>
      <w:r w:rsidR="0092488F" w:rsidRPr="00BF2F19">
        <w:t xml:space="preserve"> Nowe brzmienie tych przepisów związane jest z proponowanym w art. 4 pkt 20 ustawy o ofercie publicznej nowym brzmieniem definicji spółki publicznej.</w:t>
      </w:r>
    </w:p>
    <w:p w14:paraId="51E114CF" w14:textId="77777777" w:rsidR="00DB1EA0" w:rsidRPr="00BF2F19" w:rsidRDefault="00220AC5" w:rsidP="007E7178">
      <w:pPr>
        <w:pStyle w:val="ARTartustawynprozporzdzenia"/>
      </w:pPr>
      <w:r w:rsidRPr="00BF2F19">
        <w:t>Ponadto, w art. 91 ust. 6–8</w:t>
      </w:r>
      <w:r w:rsidR="00C72A38" w:rsidRPr="00BF2F19">
        <w:t xml:space="preserve"> </w:t>
      </w:r>
      <w:r w:rsidR="00CD0457" w:rsidRPr="00BF2F19">
        <w:t xml:space="preserve">ustawy o ofercie publicznej </w:t>
      </w:r>
      <w:r w:rsidR="00C72A38" w:rsidRPr="00BF2F19">
        <w:t>wprowadza się regulację, zgodnie z którą cenę przymusowego wykupu akcji w przypadku spółek publicznych notowanych wyłącznie w alternatywnym systemie obrotu ustalać się będzie w oparciu o średnią wartość rynkową z alternatywnego systemu obrotu. Obecnie w przypadku przymusowego wykupu akcji takich spółek, cenę minimalną ustala się na podstawie art. 79 ust. 1 pkt 2 ustawy o ofercie publicznej, tj. w odniesieniu do wartości godziwej akcji spółki.</w:t>
      </w:r>
      <w:r w:rsidR="00D44982" w:rsidRPr="00BF2F19">
        <w:t xml:space="preserve"> Dotychczasowa wykładnia art. 79 ust. 1–3 w zw. z art. 82 ust. 2 ustawy o ofercie publicznej, nakazująca ustalać cenę </w:t>
      </w:r>
      <w:r w:rsidR="00CD0457" w:rsidRPr="00BF2F19">
        <w:t>przymusowego wykupu w odniesieniu do wartości godziwej rozumianej zgodnie z art. 28 ust. 6 zd. drugie ustawy z dnia 29 września 1994 r</w:t>
      </w:r>
      <w:r w:rsidR="007A76C6">
        <w:t>. o rachunkowości</w:t>
      </w:r>
      <w:r w:rsidR="00CD0457" w:rsidRPr="00BF2F19">
        <w:t>, tj. jako cenę rynkową z aktywnego rynku pomniejszoną o koszty związane z przeprowadzeniem transakcji, gdyby ich wysokość była znacząca, jest niezrozumiała dla uczestników rynku oraz stwarza poważne ryzyko do nadużyć. Alternatywny system obrotu NewConnect prowadzony przez Giełdę Papierów Wartościowych w Warszawie S.A. charakteryzuje się bardzo niską płynnością</w:t>
      </w:r>
      <w:r w:rsidR="000B4156" w:rsidRPr="00BF2F19">
        <w:t>. Oznacza to, że przy wykorzystaniu niewielkich środków finansowych zainteresowany podmiot może wpłynąć na kurs zamknięcia akcji na dzień przed planowanym ogłoszeniem przymusowego wykupu. Stwarza to ryzyko, że podmioty żądające przymusowego wykupu będą dążyć do zaniżenia rozumianej w ten sposób wartości godziwej. Z drugiej strony istnieje ryzyko, że akcjonariusze mniejszościowi będą dążyć do tego, aby cena zamknięcia na dzień przed ogłoszeniem przymusowego wykupu była jak najwyższa. W tej sytuacji akcjonariusz większościowy zawiadamiając KNF o zamiarze zgłoszenia przymusowego wykupu naraża się na ryzyko, że koszt przymusowego wykupu wielokrotnie się zwiększy w sposób niemożliwy do przewidzenia na etapie zawiadomienia o zamiarze ogłoszenia przymusowego wykupu. O wiele trudniej jest natomiast w sposób sztuczny wpłynąć na cenę akcji ustalaną jako średnią wartość rynkową z okresu 3 lub 6 miesięcy, niż jako kurs zamknięcia z pojedynczej sesji na mało płynnym rynku NewConnect.</w:t>
      </w:r>
    </w:p>
    <w:p w14:paraId="42E82DD4" w14:textId="77777777" w:rsidR="001C58DE" w:rsidRDefault="004B30A5" w:rsidP="007E7178">
      <w:pPr>
        <w:pStyle w:val="ARTartustawynprozporzdzenia"/>
      </w:pPr>
      <w:r>
        <w:rPr>
          <w:rStyle w:val="Ppogrubienie"/>
        </w:rPr>
        <w:t>Art. 1 pkt 7</w:t>
      </w:r>
      <w:r w:rsidR="003B3209">
        <w:rPr>
          <w:rStyle w:val="Ppogrubienie"/>
        </w:rPr>
        <w:t>5</w:t>
      </w:r>
      <w:r w:rsidR="001C58DE" w:rsidRPr="00BF2F19">
        <w:t xml:space="preserve"> znosi opłatę za stwierdzenie równoważności memorandum informacyjnego oraz zatwierdzenie memorandum informacyjnego. Na podstawie art. 93a ustawy o ofercie publicznej będzie teraz pobierana jedynie opłata za zatwierdzenie prospektu, której kwota zostanie podwyższona do 6000 euro.</w:t>
      </w:r>
      <w:r>
        <w:t xml:space="preserve"> Podwyższenie opłaty spowodowane jest spodziewaną utratą przez KNF części dochodów w związku ze zniesieniem wymienionych wyżej opłat oraz zniesieniem opłaty za wpis do ewidencji, o której mowa w art. 10 ust. 1 ustawy o ofercie publicznej.</w:t>
      </w:r>
    </w:p>
    <w:p w14:paraId="6032F5AE" w14:textId="77777777" w:rsidR="00686AC7" w:rsidRPr="00BF2F19" w:rsidRDefault="00686AC7" w:rsidP="007E7178">
      <w:pPr>
        <w:pStyle w:val="ARTartustawynprozporzdzenia"/>
      </w:pPr>
      <w:r w:rsidRPr="00686AC7">
        <w:rPr>
          <w:rStyle w:val="Ppogrubienie"/>
        </w:rPr>
        <w:t>Art. 1 pkt 7</w:t>
      </w:r>
      <w:r w:rsidR="003B3209">
        <w:rPr>
          <w:rStyle w:val="Ppogrubienie"/>
        </w:rPr>
        <w:t>6</w:t>
      </w:r>
      <w:r>
        <w:t xml:space="preserve"> wprowadza opłatę za zatwierdzenie memorandum informacyjnego. W związku z koniecznością zatwierdzania memorandów informacyjnych na podstawie nowych przepisów art. 3 ust. 1a i 1b przewiduje się wzrost liczby tych dokumentów składanych do KNF. Wysokość opłaty określono przy tym na połowę wysokości opłaty za zatwierdzenie prospektu.</w:t>
      </w:r>
    </w:p>
    <w:p w14:paraId="1E0801FC" w14:textId="77777777" w:rsidR="001C58DE" w:rsidRDefault="008403CD" w:rsidP="007E7178">
      <w:pPr>
        <w:pStyle w:val="ARTartustawynprozporzdzenia"/>
      </w:pPr>
      <w:r>
        <w:rPr>
          <w:rStyle w:val="Ppogrubienie"/>
        </w:rPr>
        <w:t>Art. 1 pkt 7</w:t>
      </w:r>
      <w:r w:rsidR="003B3209">
        <w:rPr>
          <w:rStyle w:val="Ppogrubienie"/>
        </w:rPr>
        <w:t>7</w:t>
      </w:r>
      <w:r w:rsidR="001C58DE" w:rsidRPr="00BF2F19">
        <w:rPr>
          <w:rStyle w:val="Ppogrubienie"/>
        </w:rPr>
        <w:t xml:space="preserve"> </w:t>
      </w:r>
      <w:r w:rsidR="001C58DE" w:rsidRPr="00BF2F19">
        <w:t>uchyla art. 94, który regulował opłaty z tytułu wpisu do ewidencji, o której mowa w art. 10 ust. 1 ustawy o ofercie</w:t>
      </w:r>
      <w:r w:rsidR="004A6A00">
        <w:t xml:space="preserve"> publicznej</w:t>
      </w:r>
      <w:r w:rsidR="001C58DE" w:rsidRPr="00BF2F19">
        <w:t>. Z uwagi na to, że w modelu proponowanym w niniejszym projekcie, ewidencja będzie faktycznie uzupełniana samodzielnie przez emitentów, nie jest zasadne utrzymywanie opłat za wpisy do niej.</w:t>
      </w:r>
    </w:p>
    <w:p w14:paraId="3440D7FF" w14:textId="4ABC49F7" w:rsidR="003B3209" w:rsidRDefault="003B3209" w:rsidP="007E7178">
      <w:pPr>
        <w:pStyle w:val="ARTartustawynprozporzdzenia"/>
      </w:pPr>
      <w:r w:rsidRPr="00732AF2">
        <w:rPr>
          <w:rStyle w:val="Ppogrubienie"/>
        </w:rPr>
        <w:t>Art. 1 pkt 78</w:t>
      </w:r>
      <w:r w:rsidR="00732AF2">
        <w:t xml:space="preserve"> doprecyzowuje przepisy ustawy o ofercie publicznej, które posługują się pojęciem państwa macierzystego, przez wskazanie, że chodzi w nich o macierzyste państwo członkowskie w rozumieniu rozporządzenia 2017/1129.</w:t>
      </w:r>
    </w:p>
    <w:p w14:paraId="36AB1500" w14:textId="4AF1A929" w:rsidR="00771849" w:rsidRPr="00BF2F19" w:rsidRDefault="0008513A" w:rsidP="0008513A">
      <w:pPr>
        <w:pStyle w:val="NIEARTTEKSTtekstnieartykuowanynppodstprawnarozplubpreambua"/>
      </w:pPr>
      <w:r w:rsidRPr="00BF2F19">
        <w:t xml:space="preserve">Pozostałe zmiany, co do zasady, wprowadzają sankcje za niestosowanie lub niewłaściwe stosowanie przepisów rozporządzenia 2017/1129. </w:t>
      </w:r>
      <w:r w:rsidR="008403CD">
        <w:rPr>
          <w:rStyle w:val="Ppogrubienie"/>
        </w:rPr>
        <w:t>Art. 1 pkt 7</w:t>
      </w:r>
      <w:r w:rsidR="003B3209">
        <w:rPr>
          <w:rStyle w:val="Ppogrubienie"/>
        </w:rPr>
        <w:t>9</w:t>
      </w:r>
      <w:r w:rsidR="00771849" w:rsidRPr="00BF2F19">
        <w:rPr>
          <w:rStyle w:val="Ppogrubienie"/>
        </w:rPr>
        <w:t xml:space="preserve"> lit. a–</w:t>
      </w:r>
      <w:r w:rsidR="00DB7AC1">
        <w:rPr>
          <w:rStyle w:val="Ppogrubienie"/>
        </w:rPr>
        <w:t>e</w:t>
      </w:r>
      <w:r w:rsidR="00DB7AC1">
        <w:t xml:space="preserve"> zmieniają ust. 1, 1a</w:t>
      </w:r>
      <w:r w:rsidR="00771849" w:rsidRPr="00BF2F19">
        <w:t>–1d</w:t>
      </w:r>
      <w:r w:rsidR="004B30A5">
        <w:t>, 5</w:t>
      </w:r>
      <w:r w:rsidR="00DB7AC1">
        <w:t>,</w:t>
      </w:r>
      <w:r w:rsidR="00771849" w:rsidRPr="00BF2F19">
        <w:t xml:space="preserve"> 13</w:t>
      </w:r>
      <w:r w:rsidR="00DB7AC1">
        <w:t xml:space="preserve"> i 14</w:t>
      </w:r>
      <w:r w:rsidR="00771849" w:rsidRPr="00BF2F19">
        <w:t xml:space="preserve"> w art. 96, w celu dostosowania odniesień zawartych w tych przepisach do właściwych przepisów ustawy o ofercie publicznej. </w:t>
      </w:r>
      <w:r w:rsidR="00DB7AC1">
        <w:t xml:space="preserve">Szczegółowe wymienienie sankcjonowanych przepisów – zwłaszcza w projektowanym art. 96 ust. 1 pkt 2 – służy precyzyjnemu rozgraniczeniu tych naruszeń, które będą zagrożone sankcją administracyjną od tych, które zagrożone będą sankcją karną. </w:t>
      </w:r>
      <w:r w:rsidR="00771849" w:rsidRPr="00BF2F19">
        <w:t xml:space="preserve">Natomiast </w:t>
      </w:r>
      <w:r w:rsidR="00771849" w:rsidRPr="00BF2F19">
        <w:rPr>
          <w:rStyle w:val="Ppogrubienie"/>
        </w:rPr>
        <w:t xml:space="preserve">lit. </w:t>
      </w:r>
      <w:r w:rsidR="00DB7AC1">
        <w:rPr>
          <w:rStyle w:val="Ppogrubienie"/>
        </w:rPr>
        <w:t>f</w:t>
      </w:r>
      <w:r w:rsidR="00771849" w:rsidRPr="00BF2F19">
        <w:t xml:space="preserve"> dodaje możliwość zakazania emitentowi lub oferującemu ubiegania się o zatwierdzenie kolejnego prospektu przez okres nie dłuższy niż 5 lat, co stanowi </w:t>
      </w:r>
      <w:r w:rsidR="003D4C90">
        <w:t>zapewnienie stosowania</w:t>
      </w:r>
      <w:r w:rsidR="00771849" w:rsidRPr="00BF2F19">
        <w:t xml:space="preserve"> przepisu art. 32 ust. 1 lit. k rozporządzenia 2017/1129.</w:t>
      </w:r>
    </w:p>
    <w:p w14:paraId="5C515FCA" w14:textId="52AB6004" w:rsidR="0008513A" w:rsidRDefault="0008513A" w:rsidP="0008513A">
      <w:pPr>
        <w:pStyle w:val="NIEARTTEKSTtekstnieartykuowanynppodstprawnarozplubpreambua"/>
      </w:pPr>
      <w:r w:rsidRPr="00BF2F19">
        <w:t xml:space="preserve">Przepisy art. 96c i </w:t>
      </w:r>
      <w:r w:rsidR="00E37BFB">
        <w:t xml:space="preserve">art. </w:t>
      </w:r>
      <w:r w:rsidRPr="00BF2F19">
        <w:t xml:space="preserve">96d, dodawane przez </w:t>
      </w:r>
      <w:r w:rsidR="008403CD">
        <w:rPr>
          <w:rStyle w:val="Ppogrubienie"/>
        </w:rPr>
        <w:t xml:space="preserve">art. 1 pkt </w:t>
      </w:r>
      <w:r w:rsidR="003B3209">
        <w:rPr>
          <w:rStyle w:val="Ppogrubienie"/>
        </w:rPr>
        <w:t>80</w:t>
      </w:r>
      <w:r w:rsidRPr="00BF2F19">
        <w:rPr>
          <w:rStyle w:val="Ppogrubienie"/>
        </w:rPr>
        <w:t xml:space="preserve"> projektu</w:t>
      </w:r>
      <w:r w:rsidRPr="00BF2F19">
        <w:t xml:space="preserve">, nakładają skuteczne, proporcjonalne i odstraszające środki administracyjne w postaci kar pieniężnych, możliwości wykluczenia papierów wartościowych z obrotu oraz nakazu zaprzestania działań skutkujących powstaniem naruszeń. </w:t>
      </w:r>
      <w:r w:rsidR="00DB7AC1">
        <w:t xml:space="preserve">Zakres naruszeń sankcjonowanych w ust. 1 tego artykułu różni się przy tym nieznacznie z katalogiem zawartym w ust. 2. Jest to spowodowane koniecznością rozgraniczenia przepisów, których naruszenie będzie skutkowało sankcją administracyjną od tych, które zagrożone będą sankcją karną. </w:t>
      </w:r>
      <w:r w:rsidR="00AD48FB" w:rsidRPr="00BF2F19">
        <w:t>Katalog przepisów, których naruszenie zagrożone będzie sankcją, a także w</w:t>
      </w:r>
      <w:r w:rsidR="00771849" w:rsidRPr="00BF2F19">
        <w:t xml:space="preserve">ysokość maksymalnych kar pieniężnych wskazana w tych przepisach – 21 100 000 zł dla emitenta lub 3 000 000 zł dla osoby fizycznej – </w:t>
      </w:r>
      <w:r w:rsidR="00AD48FB" w:rsidRPr="00BF2F19">
        <w:t xml:space="preserve">wynikają z przepisów rozporządzenia 2017/1129, tj. odpowiednio art. 38 ust. 1 lit. a oraz art. 38 ust. 2 lit. d i e. </w:t>
      </w:r>
      <w:r w:rsidR="00771849" w:rsidRPr="00BF2F19">
        <w:t>KNF</w:t>
      </w:r>
      <w:r w:rsidR="00AD48FB" w:rsidRPr="00BF2F19">
        <w:t xml:space="preserve"> </w:t>
      </w:r>
      <w:r w:rsidR="00771849" w:rsidRPr="00BF2F19">
        <w:t xml:space="preserve">będzie </w:t>
      </w:r>
      <w:r w:rsidR="00AD48FB" w:rsidRPr="00BF2F19">
        <w:t xml:space="preserve">miała przy tym obowiązek brać pod uwagę wiele czynników, mających wpływ na wysokość tej kary. </w:t>
      </w:r>
      <w:r w:rsidRPr="00BF2F19">
        <w:t xml:space="preserve">Jednocześnie, aby zwiększyć poziom prewencji ogólnej, decyzje o nakładaniu kar administracyjnych będą, co do zasady, upubliczniane na stronie internetowej </w:t>
      </w:r>
      <w:r w:rsidR="00264CF7" w:rsidRPr="00BF2F19">
        <w:t>KNF</w:t>
      </w:r>
      <w:r w:rsidRPr="00BF2F19">
        <w:t>.</w:t>
      </w:r>
    </w:p>
    <w:p w14:paraId="38D4AA77" w14:textId="0A0F8E99" w:rsidR="009E6BD7" w:rsidRPr="009E6BD7" w:rsidRDefault="009E6BD7" w:rsidP="009E6BD7">
      <w:pPr>
        <w:pStyle w:val="ARTartustawynprozporzdzenia"/>
      </w:pPr>
      <w:r w:rsidRPr="009E6BD7">
        <w:rPr>
          <w:rStyle w:val="Ppogrubienie"/>
        </w:rPr>
        <w:t xml:space="preserve">Art. 1 pkt </w:t>
      </w:r>
      <w:r w:rsidR="003B3209">
        <w:rPr>
          <w:rStyle w:val="Ppogrubienie"/>
        </w:rPr>
        <w:t>81</w:t>
      </w:r>
      <w:r w:rsidR="00DB7AC1">
        <w:rPr>
          <w:rStyle w:val="Ppogrubienie"/>
        </w:rPr>
        <w:t xml:space="preserve"> lit. a i b</w:t>
      </w:r>
      <w:r>
        <w:t xml:space="preserve"> wprowadza</w:t>
      </w:r>
      <w:r w:rsidR="00DB7AC1">
        <w:t>ją</w:t>
      </w:r>
      <w:r>
        <w:t xml:space="preserve"> zmiany polegające na korekcie odesłań w związku z umożliwieniem wprowadzania akcji do obrotu na rynku regulowanym przez podmioty inne niż emitent tych papierów wartościowych i związanym z tym nowym brzmieniem art. 11a ustawy o ofercie publicznej.</w:t>
      </w:r>
      <w:r w:rsidR="00DB7AC1">
        <w:t xml:space="preserve"> Zmiana przewidziana w </w:t>
      </w:r>
      <w:r w:rsidR="00DB7AC1" w:rsidRPr="00DB7AC1">
        <w:rPr>
          <w:rStyle w:val="Ppogrubienie"/>
        </w:rPr>
        <w:t>lit. c</w:t>
      </w:r>
      <w:r w:rsidR="00DB7AC1">
        <w:t xml:space="preserve"> wynika z przeniesienia dotychczasowego art. 44 do nowego art. 55d.</w:t>
      </w:r>
    </w:p>
    <w:p w14:paraId="519C6827" w14:textId="77777777" w:rsidR="0008513A" w:rsidRPr="00BF2F19" w:rsidRDefault="0008513A" w:rsidP="0008513A">
      <w:pPr>
        <w:pStyle w:val="NIEARTTEKSTtekstnieartykuowanynppodstprawnarozplubpreambua"/>
      </w:pPr>
      <w:r w:rsidRPr="00BF2F19">
        <w:t xml:space="preserve">Aby zapewnić skuteczną współpracę </w:t>
      </w:r>
      <w:r w:rsidR="00264CF7" w:rsidRPr="00BF2F19">
        <w:t>KNF</w:t>
      </w:r>
      <w:r w:rsidRPr="00BF2F19">
        <w:t xml:space="preserve"> z </w:t>
      </w:r>
      <w:r w:rsidR="003D4C90">
        <w:t>ESMA</w:t>
      </w:r>
      <w:r w:rsidRPr="00BF2F19">
        <w:t xml:space="preserve">, </w:t>
      </w:r>
      <w:r w:rsidR="008403CD">
        <w:rPr>
          <w:rStyle w:val="Ppogrubienie"/>
        </w:rPr>
        <w:t xml:space="preserve">art. 1 pkt </w:t>
      </w:r>
      <w:r w:rsidR="003B3209">
        <w:rPr>
          <w:rStyle w:val="Ppogrubienie"/>
        </w:rPr>
        <w:t>82</w:t>
      </w:r>
      <w:r w:rsidRPr="00BF2F19">
        <w:rPr>
          <w:rStyle w:val="Ppogrubienie"/>
        </w:rPr>
        <w:t xml:space="preserve"> projektu</w:t>
      </w:r>
      <w:r w:rsidRPr="00BF2F19">
        <w:t xml:space="preserve"> dodaje do ustawy o ofercie publicznej art. 97c, który ustanawia obowiązek corocznego przekazywania unijnemu nadzorcy zbiorczej informacji o zastosowanych przez Komisję karach.</w:t>
      </w:r>
      <w:r w:rsidR="001533D9">
        <w:t xml:space="preserve"> Dodawany tym samym przepisem art. 97d ma na celu zapewnienie stosowania przepisu art. 41 ust. 4 rozporządzenia 2017/1129.</w:t>
      </w:r>
    </w:p>
    <w:p w14:paraId="78548099" w14:textId="77777777" w:rsidR="0008513A" w:rsidRPr="00BF2F19" w:rsidRDefault="0008513A" w:rsidP="0008513A">
      <w:pPr>
        <w:pStyle w:val="NIEARTTEKSTtekstnieartykuowanynppodstprawnarozplubpreambua"/>
      </w:pPr>
      <w:r w:rsidRPr="00BF2F19">
        <w:t xml:space="preserve">Zmiana przewidziana w </w:t>
      </w:r>
      <w:r w:rsidR="009E6BD7">
        <w:rPr>
          <w:rStyle w:val="Ppogrubienie"/>
        </w:rPr>
        <w:t>art. 1 pk</w:t>
      </w:r>
      <w:r w:rsidR="008403CD">
        <w:rPr>
          <w:rStyle w:val="Ppogrubienie"/>
        </w:rPr>
        <w:t xml:space="preserve">t </w:t>
      </w:r>
      <w:r w:rsidR="003B3209">
        <w:rPr>
          <w:rStyle w:val="Ppogrubienie"/>
        </w:rPr>
        <w:t>83</w:t>
      </w:r>
      <w:r w:rsidRPr="00BF2F19">
        <w:rPr>
          <w:rStyle w:val="Ppogrubienie"/>
        </w:rPr>
        <w:t xml:space="preserve"> projektu</w:t>
      </w:r>
      <w:r w:rsidRPr="00BF2F19">
        <w:t xml:space="preserve"> ma natomiast na celu wykluczenie odpowiedzialności cywilnej za informacje zawarte w podsumowaniu prospektu lub specjalnym podsumowaniu prospektu UE na rzecz rozwoju, o których mowa w przepisach rozporządzenia 2017/1129. Podsumowania te nie są bowiem samodzielnymi dokumentami i powinny być zawsze odczytywane w kontekście całego prospektu. Wyłączenie odpowiedzialności cywilnej nie będzie miało jednak zastosowania w przypadku, gdy informacje zawarte w podsumowaniu wprowadzają w błąd, są nieprawdziwe lub niezgodne z całością prospektu.</w:t>
      </w:r>
    </w:p>
    <w:p w14:paraId="5CD66504" w14:textId="4102F925" w:rsidR="0016301B" w:rsidRDefault="0016301B" w:rsidP="00CC6005">
      <w:pPr>
        <w:pStyle w:val="ARTartustawynprozporzdzenia"/>
      </w:pPr>
      <w:r w:rsidRPr="00BF2F19">
        <w:t xml:space="preserve">Zmiany wprowadzane w </w:t>
      </w:r>
      <w:r w:rsidR="008403CD">
        <w:rPr>
          <w:rStyle w:val="Ppogrubienie"/>
        </w:rPr>
        <w:t xml:space="preserve">art. 1 pkt </w:t>
      </w:r>
      <w:r w:rsidR="005277F9">
        <w:rPr>
          <w:rStyle w:val="Ppogrubienie"/>
        </w:rPr>
        <w:t>8</w:t>
      </w:r>
      <w:r w:rsidR="003B3209">
        <w:rPr>
          <w:rStyle w:val="Ppogrubienie"/>
        </w:rPr>
        <w:t>4</w:t>
      </w:r>
      <w:r w:rsidR="009E6BD7">
        <w:rPr>
          <w:rStyle w:val="Ppogrubienie"/>
        </w:rPr>
        <w:t xml:space="preserve"> i 8</w:t>
      </w:r>
      <w:r w:rsidR="003B3209">
        <w:rPr>
          <w:rStyle w:val="Ppogrubienie"/>
        </w:rPr>
        <w:t>5</w:t>
      </w:r>
      <w:r w:rsidRPr="00BF2F19">
        <w:t xml:space="preserve"> mają na celu</w:t>
      </w:r>
      <w:r w:rsidR="00404FBA">
        <w:t>, co do zasady,</w:t>
      </w:r>
      <w:r w:rsidRPr="00BF2F19">
        <w:t xml:space="preserve"> dostosowanie przepisu art. 99</w:t>
      </w:r>
      <w:r w:rsidR="00160B1F" w:rsidRPr="00BF2F19">
        <w:t xml:space="preserve"> i </w:t>
      </w:r>
      <w:r w:rsidR="002F191B">
        <w:t xml:space="preserve">art. </w:t>
      </w:r>
      <w:r w:rsidR="00160B1F" w:rsidRPr="00BF2F19">
        <w:t>100</w:t>
      </w:r>
      <w:r w:rsidRPr="00BF2F19">
        <w:t xml:space="preserve"> do siatki pojęciowej stosowanej w ustawie oraz w rozporządzeniu 2017/1129.</w:t>
      </w:r>
      <w:r w:rsidR="00160B1F" w:rsidRPr="00BF2F19">
        <w:t xml:space="preserve"> W tym celu pojęcie „prospektu emisyjnego” zastępuje się pojęciem „prospektu”, a pojęcie „aneksu” zastępuje się pojęciem „suplementu”. Rodzaj i wysokość sankcji przewidziane w tych przepisach pozostają natomiast bez zmian.</w:t>
      </w:r>
    </w:p>
    <w:p w14:paraId="27EE38F9" w14:textId="0BAB82F8" w:rsidR="00160B1F" w:rsidRPr="00BF2F19" w:rsidRDefault="00160B1F" w:rsidP="00CC6005">
      <w:pPr>
        <w:pStyle w:val="ARTartustawynprozporzdzenia"/>
      </w:pPr>
      <w:r w:rsidRPr="00BF2F19">
        <w:rPr>
          <w:rStyle w:val="Ppogrubienie"/>
        </w:rPr>
        <w:t xml:space="preserve">Art. 1 pkt </w:t>
      </w:r>
      <w:r w:rsidR="00B867A0">
        <w:rPr>
          <w:rStyle w:val="Ppogrubienie"/>
        </w:rPr>
        <w:t>8</w:t>
      </w:r>
      <w:r w:rsidR="003B3209">
        <w:rPr>
          <w:rStyle w:val="Ppogrubienie"/>
        </w:rPr>
        <w:t>6</w:t>
      </w:r>
      <w:r w:rsidRPr="00BF2F19">
        <w:t xml:space="preserve"> dostosowuje pojęcia użyte w art. 103 i </w:t>
      </w:r>
      <w:r w:rsidR="002F191B">
        <w:t xml:space="preserve">art. </w:t>
      </w:r>
      <w:r w:rsidRPr="00BF2F19">
        <w:t>104 ustawy o ofercie publicznej do tych używanych w ustawie i rozporządzeniu 2017/1129. W tym celu pojęcie „aneksu” zastępuje się pojęciem „suplementu”. Rodzaj i wysokość sankcji przewidziane w tych przepisach pozostają natomiast bez zmian.</w:t>
      </w:r>
    </w:p>
    <w:p w14:paraId="790C7F39" w14:textId="77777777" w:rsidR="000B4156" w:rsidRDefault="00BA5A90" w:rsidP="00CC6005">
      <w:pPr>
        <w:pStyle w:val="ARTartustawynprozporzdzenia"/>
      </w:pPr>
      <w:r>
        <w:t>Art. 104b</w:t>
      </w:r>
      <w:r w:rsidR="000B4156" w:rsidRPr="00BF2F19">
        <w:t xml:space="preserve"> ustawy o ofercie publicznej, dodawany przez </w:t>
      </w:r>
      <w:r w:rsidR="008403CD">
        <w:rPr>
          <w:rStyle w:val="Ppogrubienie"/>
        </w:rPr>
        <w:t>art. 1 pkt 8</w:t>
      </w:r>
      <w:r w:rsidR="003B3209">
        <w:rPr>
          <w:rStyle w:val="Ppogrubienie"/>
        </w:rPr>
        <w:t>7</w:t>
      </w:r>
      <w:r w:rsidR="000B4156" w:rsidRPr="00BF2F19">
        <w:rPr>
          <w:rStyle w:val="Ppogrubienie"/>
        </w:rPr>
        <w:t xml:space="preserve"> projektu ustawy</w:t>
      </w:r>
      <w:r w:rsidR="000B4156" w:rsidRPr="00BF2F19">
        <w:t xml:space="preserve">, jest uzupełnieniem zmiany proponowanej w art. 1 pkt </w:t>
      </w:r>
      <w:r w:rsidR="001C0F20" w:rsidRPr="00BF2F19">
        <w:t>8 i wprowadza sankcję grzywny do 20 000 zł za nieprzedstawienie sądowi rejestrowemu wniosku o wyznaczenie biegłego rewidenta w celu wydania przez niego oceny, o której mowa w art. 6a ustawy o ofercie publicznej.</w:t>
      </w:r>
    </w:p>
    <w:p w14:paraId="17179E21" w14:textId="4AEA9635" w:rsidR="003160F2" w:rsidRPr="00BF2F19" w:rsidRDefault="003160F2" w:rsidP="00CC6005">
      <w:pPr>
        <w:pStyle w:val="ARTartustawynprozporzdzenia"/>
      </w:pPr>
      <w:r>
        <w:t xml:space="preserve">W tym samym punkcie dodawane są również </w:t>
      </w:r>
      <w:r w:rsidRPr="00FF64CE">
        <w:rPr>
          <w:rStyle w:val="Ppogrubienie"/>
        </w:rPr>
        <w:t>art. 104c–104e</w:t>
      </w:r>
      <w:r>
        <w:t>, przewidujące odpowiedzialność karną za uchylanie się od obowiązków sporządzania i publikacji dokumentów, o których</w:t>
      </w:r>
      <w:r w:rsidR="00FF64CE">
        <w:t xml:space="preserve"> mowa w dodawanym rozdziale 4a, a także za podawanie nieprawdziwych</w:t>
      </w:r>
      <w:r w:rsidR="00FF64CE" w:rsidRPr="00FF64CE">
        <w:t xml:space="preserve"> lub zataja</w:t>
      </w:r>
      <w:r w:rsidR="00FF64CE">
        <w:t>nie prawdziwych danych</w:t>
      </w:r>
      <w:r w:rsidR="00FF64CE" w:rsidRPr="00FF64CE">
        <w:t xml:space="preserve"> wpływające w istotny sposób na treść polityki</w:t>
      </w:r>
      <w:r w:rsidR="00FF64CE">
        <w:t xml:space="preserve"> wynagrodzeń i sprawozdania o wynagrodzeniach.</w:t>
      </w:r>
    </w:p>
    <w:p w14:paraId="6F799495" w14:textId="57251926" w:rsidR="0008513A" w:rsidRDefault="0008513A" w:rsidP="0008513A">
      <w:pPr>
        <w:pStyle w:val="NIEARTTEKSTtekstnieartykuowanynppodstprawnarozplubpreambua"/>
      </w:pPr>
      <w:r w:rsidRPr="00BF2F19">
        <w:rPr>
          <w:rStyle w:val="Ppogrubienie"/>
        </w:rPr>
        <w:t>Art. 2 projektu ustawy</w:t>
      </w:r>
      <w:r w:rsidR="0034792F">
        <w:t xml:space="preserve"> wprowadza jedną zmianę w ustawie z dnia 17 listopada 1964 r. – Kodeks postępowania cywilnego (Dz. U. z 2018 r. poz. 1360, z późn. zm.)</w:t>
      </w:r>
      <w:r w:rsidRPr="00BF2F19">
        <w:t>, polegającą na wprowadzeniu w treści art. 911</w:t>
      </w:r>
      <w:r w:rsidRPr="00BF2F19">
        <w:rPr>
          <w:rStyle w:val="IGindeksgrny"/>
        </w:rPr>
        <w:t>7</w:t>
      </w:r>
      <w:r w:rsidRPr="00BF2F19">
        <w:t xml:space="preserve"> § 4</w:t>
      </w:r>
      <w:r w:rsidR="00A15B2F" w:rsidRPr="00BF2F19">
        <w:t xml:space="preserve"> odwołania do bezpośrednio obowiązujących przepisów rozporządzenia 2017/1129, zamiast do przepisu ustawy o ofercie publicznej.</w:t>
      </w:r>
      <w:r w:rsidR="007946FC">
        <w:t xml:space="preserve"> U</w:t>
      </w:r>
      <w:r w:rsidR="007946FC" w:rsidRPr="007946FC">
        <w:t xml:space="preserve">życie w </w:t>
      </w:r>
      <w:r w:rsidR="007946FC">
        <w:t>projektowanym</w:t>
      </w:r>
      <w:r w:rsidR="007946FC" w:rsidRPr="007946FC">
        <w:t xml:space="preserve"> przepisie sformułowania: „Ogłoszenia udostępniane w związku ze sprzedażą w drodze licytacji papierów wartościowych nie stanowią oferty publicznej, o której mowa w rozporządzeniu Parlamentu Europejskiego i Rady (UE) 2017/1129 (…)” nie stanowi niedopuszczalnej modyfikacji definicji oferty publicznej zawartej w rozporządzeniu 2017/1129, ponieważ sprzedaż licytacyjna w postępowaniu egzekucyjnym nie wchodzi w zakres zastosowania tego aktu prawnego, co potwierdza chociażby wydany na gruncie dyrektywy 2003/71/WE wyrok TSUE z dnia 17 września 2014 r. w sprawie C-441/12 Almer Beheer BV i Daedalus Holding BV przeciwko Van den Dungen Vastgoed BV i Oosterhout II BVBA.</w:t>
      </w:r>
      <w:r w:rsidR="007946FC">
        <w:t xml:space="preserve"> Ponadto, ze względu na specyfikę postępowania egzekucyjnego, którego celem, co do zasady, powinna być jak najszybsza sprzedaż majątku, nie jest zasadne obejmowanie komornika obowiązkiem sporządzania prospektu i spełniania rygorystycznych wymogów związanych z ofertą publiczną, w przypadku gdy przedmiotem egzekucji są papiery wartościowe.</w:t>
      </w:r>
    </w:p>
    <w:p w14:paraId="2646011B" w14:textId="77777777" w:rsidR="00E4621C" w:rsidRPr="00E4621C" w:rsidRDefault="00E4621C" w:rsidP="00C36BE4">
      <w:pPr>
        <w:pStyle w:val="ARTartustawynprozporzdzenia"/>
      </w:pPr>
      <w:r w:rsidRPr="00E4621C">
        <w:rPr>
          <w:rStyle w:val="Ppogrubienie"/>
        </w:rPr>
        <w:t>Art. 3</w:t>
      </w:r>
      <w:r>
        <w:t xml:space="preserve"> wprowadza nowy przepis do ustawy z dnia 15 lutego 1992 r. o podat</w:t>
      </w:r>
      <w:r w:rsidR="00CF4CB3">
        <w:t>ku dochodowym od osób prawnych</w:t>
      </w:r>
      <w:r w:rsidR="007A76C6">
        <w:t xml:space="preserve"> (</w:t>
      </w:r>
      <w:r w:rsidR="0002542A">
        <w:t>Dz. U. z 2019</w:t>
      </w:r>
      <w:r w:rsidR="007A76C6" w:rsidRPr="007A76C6">
        <w:t xml:space="preserve"> r. poz. </w:t>
      </w:r>
      <w:r w:rsidR="0002542A">
        <w:t>865</w:t>
      </w:r>
      <w:r w:rsidR="007A76C6">
        <w:t>)</w:t>
      </w:r>
      <w:r>
        <w:t xml:space="preserve">. </w:t>
      </w:r>
      <w:r w:rsidR="00C36BE4">
        <w:t xml:space="preserve">Zmiana ma związek z proponowanym dodaniem w ustawie o funduszach inwestycyjnych regulacji przewidujących możliwość łączenia funduszy inwestycyjnych zamkniętych i ma na celu wyeliminowanie wątpliwości co do </w:t>
      </w:r>
      <w:r w:rsidR="00C36BE4" w:rsidRPr="00C36BE4">
        <w:t>potencjalne</w:t>
      </w:r>
      <w:r w:rsidR="00C36BE4">
        <w:t>go wykorzystywania</w:t>
      </w:r>
      <w:r w:rsidR="00C36BE4" w:rsidRPr="00C36BE4">
        <w:t xml:space="preserve"> tych wehikułów</w:t>
      </w:r>
      <w:r w:rsidR="00C36BE4">
        <w:t xml:space="preserve"> </w:t>
      </w:r>
      <w:r w:rsidR="00C36BE4" w:rsidRPr="00C36BE4">
        <w:t>inwestycyjnych w procesie optymalizacji podatkowej</w:t>
      </w:r>
      <w:r w:rsidR="00C36BE4">
        <w:t xml:space="preserve">. </w:t>
      </w:r>
      <w:r w:rsidRPr="00E4621C">
        <w:t xml:space="preserve">Proponuje się </w:t>
      </w:r>
      <w:r w:rsidR="00C36BE4">
        <w:t xml:space="preserve">zatem </w:t>
      </w:r>
      <w:r w:rsidRPr="00E4621C">
        <w:t>rozszerzenie</w:t>
      </w:r>
      <w:r>
        <w:t xml:space="preserve"> tzw. m</w:t>
      </w:r>
      <w:r w:rsidRPr="00E4621C">
        <w:t>ałej klauzuli obejścia prawa podatkowego uregulowanej w art. 12 ust. 13 i 14</w:t>
      </w:r>
      <w:r>
        <w:t xml:space="preserve"> tej ustawy</w:t>
      </w:r>
      <w:r w:rsidRPr="00E4621C">
        <w:t>, na sytuacje przekształceń funduszy inwestycyjnych zamkniętych. Dokonując literalnej wykładni obecnie obowiązującego przepisu dotyczy on jedynie spółek, co tworzyłoby koniecz</w:t>
      </w:r>
      <w:r>
        <w:t>ność użycia w przyszłości tzw. d</w:t>
      </w:r>
      <w:r w:rsidRPr="00E4621C">
        <w:t>użej klauzuli obejścia prawa podat</w:t>
      </w:r>
      <w:r>
        <w:t>kowego określonej w art. 119a ustawy z dnia 29 sierpnia 1997 r. – Or</w:t>
      </w:r>
      <w:r w:rsidR="008A5191">
        <w:t>dynacja podatkowa (Dz. U. z 2019 r. poz. 9</w:t>
      </w:r>
      <w:r>
        <w:t>00</w:t>
      </w:r>
      <w:r w:rsidR="00215B51">
        <w:t>, z późn. zm.</w:t>
      </w:r>
      <w:r>
        <w:t>) i wiązało</w:t>
      </w:r>
      <w:r w:rsidRPr="00E4621C">
        <w:t>by się z towarzyszącymi temu problemami. Zagrożenie agresywną optymalizacją podatkową może polegać na chęci sztucznego generowania straty w jednym z łączonych funduszy, a następnie w wyniku połączenia obniżania podstawy opodatkowania w drugim (zarówno w funduszu jak i u uczestnika funduszu). Projektowany przepis ma charakter prewencyjny.</w:t>
      </w:r>
    </w:p>
    <w:p w14:paraId="66A52EB7" w14:textId="77777777" w:rsidR="002F125D" w:rsidRDefault="00E4621C" w:rsidP="002F125D">
      <w:pPr>
        <w:pStyle w:val="ARTartustawynprozporzdzenia"/>
      </w:pPr>
      <w:r>
        <w:rPr>
          <w:rStyle w:val="Ppogrubienie"/>
        </w:rPr>
        <w:t>Art. 4</w:t>
      </w:r>
      <w:r w:rsidR="002F125D" w:rsidRPr="00BF2F19">
        <w:rPr>
          <w:rStyle w:val="Ppogrubienie"/>
        </w:rPr>
        <w:t xml:space="preserve"> projektu ustawy</w:t>
      </w:r>
      <w:r w:rsidR="002F125D" w:rsidRPr="00BF2F19">
        <w:t xml:space="preserve"> wprowadza zmiany do ustawy z dnia 27 października 1994 r. o autostradach płatnych oraz o Krajowym Funduszu Drogowym (Dz. U. z 2018 r.</w:t>
      </w:r>
      <w:r w:rsidR="00CA2DD9">
        <w:t xml:space="preserve"> poz. 2014, z późn. zm.). Zmiany proponowane</w:t>
      </w:r>
      <w:r w:rsidR="002F125D" w:rsidRPr="00BF2F19">
        <w:t xml:space="preserve"> w </w:t>
      </w:r>
      <w:r w:rsidR="002F125D" w:rsidRPr="00BF2F19">
        <w:rPr>
          <w:rStyle w:val="Ppogrubienie"/>
        </w:rPr>
        <w:t>pkt 1</w:t>
      </w:r>
      <w:r w:rsidR="002F125D" w:rsidRPr="00BF2F19">
        <w:t xml:space="preserve"> wprowadza</w:t>
      </w:r>
      <w:r w:rsidR="00CA2DD9">
        <w:t>ją</w:t>
      </w:r>
      <w:r w:rsidR="002F125D" w:rsidRPr="00BF2F19">
        <w:t xml:space="preserve"> odwołanie do definicji oferty publicznej zawartej w rozporządzeniu 2017/1129, zamiast do przepisu ustawy o ofercie publicznej. Zmiana wprowadzana w </w:t>
      </w:r>
      <w:r w:rsidR="002F125D" w:rsidRPr="00BF2F19">
        <w:rPr>
          <w:rStyle w:val="Ppogrubienie"/>
        </w:rPr>
        <w:t>pkt 2</w:t>
      </w:r>
      <w:r w:rsidR="002F125D" w:rsidRPr="00BF2F19">
        <w:t xml:space="preserve"> związana jest z uchyleniem art. 94 ustawy o ofercie publicznej.</w:t>
      </w:r>
    </w:p>
    <w:p w14:paraId="69FE0E60" w14:textId="46973300" w:rsidR="00F40676" w:rsidRDefault="00F40676" w:rsidP="002F125D">
      <w:pPr>
        <w:pStyle w:val="ARTartustawynprozporzdzenia"/>
      </w:pPr>
      <w:r w:rsidRPr="00DB7AC1">
        <w:rPr>
          <w:rStyle w:val="Ppogrubienie"/>
        </w:rPr>
        <w:t>Art. 5 pkt 1</w:t>
      </w:r>
      <w:r w:rsidR="00DB7AC1">
        <w:t xml:space="preserve"> eliminuje błąd legislacyjny w ustawie o organizacji i funkcjonowaniu funduszy emerytalnych polegający na posługiwaniu się w ustawie skrótową nazwą </w:t>
      </w:r>
      <w:r w:rsidR="00DB7AC1" w:rsidRPr="00DB7AC1">
        <w:t>„</w:t>
      </w:r>
      <w:r w:rsidR="00DB7AC1">
        <w:t>Kodeksu spółek handlowych</w:t>
      </w:r>
      <w:r w:rsidR="00DB7AC1" w:rsidRPr="00DB7AC1">
        <w:t>”</w:t>
      </w:r>
      <w:r w:rsidR="00DB7AC1">
        <w:t xml:space="preserve"> bez wskazania </w:t>
      </w:r>
      <w:r w:rsidR="003160F2">
        <w:t>pełnej nazwy i publikatora tej ustawy.</w:t>
      </w:r>
    </w:p>
    <w:p w14:paraId="527A684B" w14:textId="6F3ED3CF" w:rsidR="00C3165D" w:rsidRPr="00BF2F19" w:rsidRDefault="00E4621C" w:rsidP="00A15B2F">
      <w:pPr>
        <w:pStyle w:val="NIEARTTEKSTtekstnieartykuowanynppodstprawnarozplubpreambua"/>
      </w:pPr>
      <w:r>
        <w:rPr>
          <w:rStyle w:val="Ppogrubienie"/>
        </w:rPr>
        <w:t>Art. 5</w:t>
      </w:r>
      <w:r w:rsidR="00A15B2F" w:rsidRPr="00BF2F19">
        <w:rPr>
          <w:rStyle w:val="Ppogrubienie"/>
        </w:rPr>
        <w:t xml:space="preserve"> </w:t>
      </w:r>
      <w:r w:rsidR="006678B5">
        <w:rPr>
          <w:rStyle w:val="Ppogrubienie"/>
        </w:rPr>
        <w:t xml:space="preserve">pkt </w:t>
      </w:r>
      <w:r w:rsidR="00F40676">
        <w:rPr>
          <w:rStyle w:val="Ppogrubienie"/>
        </w:rPr>
        <w:t>2</w:t>
      </w:r>
      <w:r w:rsidR="001824BB" w:rsidRPr="00BF2F19">
        <w:rPr>
          <w:rStyle w:val="Ppogrubienie"/>
        </w:rPr>
        <w:t xml:space="preserve"> </w:t>
      </w:r>
      <w:r w:rsidR="00A15B2F" w:rsidRPr="00BF2F19">
        <w:rPr>
          <w:rStyle w:val="Ppogrubienie"/>
        </w:rPr>
        <w:t>projektowanej ustawy</w:t>
      </w:r>
      <w:r w:rsidR="00A15B2F" w:rsidRPr="00BF2F19">
        <w:t xml:space="preserve"> dodaje </w:t>
      </w:r>
      <w:r w:rsidR="003160F2">
        <w:t>art. 142a–14</w:t>
      </w:r>
      <w:r w:rsidR="003D4C90">
        <w:t>2d</w:t>
      </w:r>
      <w:r w:rsidR="00A15B2F" w:rsidRPr="00BF2F19">
        <w:t xml:space="preserve">, których celem jest implementacja art. 3g–3i dyrektywy 2007/36/WE. </w:t>
      </w:r>
      <w:r w:rsidR="00C3165D" w:rsidRPr="00BF2F19">
        <w:t>Przepisy te ustanawiają wymogi dla inwestorów instytucjonalnych, którymi na gruncie prawa polskiego są m.in. zarządzający pracowniczymi programami emerytalnymi. Natomiast zgodnie z art. 2 pkt 9 w zw. z art. 2 pkt 6 ustawy z dnia 20 kwietnia 2004 r. o pracowniczych progra</w:t>
      </w:r>
      <w:r w:rsidR="002F6386">
        <w:t>mach emerytalnych (Dz. U. z 2019</w:t>
      </w:r>
      <w:r w:rsidR="00C3165D" w:rsidRPr="00BF2F19">
        <w:t xml:space="preserve"> r. poz. </w:t>
      </w:r>
      <w:r w:rsidR="002F6386">
        <w:t>850</w:t>
      </w:r>
      <w:r w:rsidR="00C3165D" w:rsidRPr="00BF2F19">
        <w:t>) zarządzającym pracowniczym programem emerytalnym jest pracowniczy fundusz emerytalny.</w:t>
      </w:r>
    </w:p>
    <w:p w14:paraId="3CFFE2E8" w14:textId="4B7FED82" w:rsidR="00A15B2F" w:rsidRPr="00BF2F19" w:rsidRDefault="003160F2" w:rsidP="00C3165D">
      <w:pPr>
        <w:pStyle w:val="NIEARTTEKSTtekstnieartykuowanynppodstprawnarozplubpreambua"/>
      </w:pPr>
      <w:r>
        <w:t>Dodawane art. 142a–14</w:t>
      </w:r>
      <w:r w:rsidR="00C3165D" w:rsidRPr="00BF2F19">
        <w:t>2</w:t>
      </w:r>
      <w:r w:rsidR="003D4C90">
        <w:t>d</w:t>
      </w:r>
      <w:r w:rsidR="00A15B2F" w:rsidRPr="00BF2F19">
        <w:t xml:space="preserve"> nakładają na </w:t>
      </w:r>
      <w:r w:rsidR="00C3165D" w:rsidRPr="00BF2F19">
        <w:t>pracownicze fundusze emerytalne</w:t>
      </w:r>
      <w:r w:rsidR="00A15B2F" w:rsidRPr="00BF2F19">
        <w:t xml:space="preserve"> obowiązki opracowywania i publikowania polityki dotyczącej zaangażowania oraz informacji o strategii inwestycyjnej</w:t>
      </w:r>
      <w:r>
        <w:t xml:space="preserve"> odnoszącej się do dokonywanych przez te podmioty inwestycji w spółki notowane na rynku regulowanym</w:t>
      </w:r>
      <w:r w:rsidR="00A15B2F" w:rsidRPr="00BF2F19">
        <w:t>.</w:t>
      </w:r>
      <w:r w:rsidR="00C3165D" w:rsidRPr="00BF2F19">
        <w:t xml:space="preserve"> </w:t>
      </w:r>
      <w:r w:rsidR="00A15B2F" w:rsidRPr="00BF2F19">
        <w:t xml:space="preserve">Przewidziana w </w:t>
      </w:r>
      <w:r w:rsidRPr="003160F2">
        <w:rPr>
          <w:rStyle w:val="Ppogrubienie"/>
        </w:rPr>
        <w:t>art. 14</w:t>
      </w:r>
      <w:r w:rsidR="00C3165D" w:rsidRPr="003160F2">
        <w:rPr>
          <w:rStyle w:val="Ppogrubienie"/>
        </w:rPr>
        <w:t>2</w:t>
      </w:r>
      <w:r w:rsidRPr="003160F2">
        <w:rPr>
          <w:rStyle w:val="Ppogrubienie"/>
        </w:rPr>
        <w:t>a</w:t>
      </w:r>
      <w:r w:rsidR="00A15B2F" w:rsidRPr="003160F2">
        <w:rPr>
          <w:rStyle w:val="Ppogrubienie"/>
        </w:rPr>
        <w:t xml:space="preserve"> ust. 1</w:t>
      </w:r>
      <w:r w:rsidR="00A15B2F" w:rsidRPr="00BF2F19">
        <w:t xml:space="preserve"> konieczność publikowania polityki dotyczącej zaangażowania zapewni większą przejrzystość co do podejścia </w:t>
      </w:r>
      <w:r w:rsidR="00C3165D" w:rsidRPr="00BF2F19">
        <w:t>pracowniczych funduszy emerytalnych</w:t>
      </w:r>
      <w:r w:rsidR="00A15B2F" w:rsidRPr="00BF2F19">
        <w:t xml:space="preserve"> do zaangażowania akcjonariuszy i zwiększy świadomość inwestorów w tym zakresie. Z kolei aby zwiększyć poziom kontroli inwestorów nad realizacją polityki dotyczącej zaangażowania, </w:t>
      </w:r>
      <w:r w:rsidR="00C3165D" w:rsidRPr="00BF2F19">
        <w:t>pracownicze fundusze emerytalne</w:t>
      </w:r>
      <w:r w:rsidR="00A15B2F" w:rsidRPr="00BF2F19">
        <w:t xml:space="preserve"> będ</w:t>
      </w:r>
      <w:r w:rsidR="00C3165D" w:rsidRPr="00BF2F19">
        <w:t>ą obowiązane</w:t>
      </w:r>
      <w:r w:rsidR="00A15B2F" w:rsidRPr="00BF2F19">
        <w:t xml:space="preserve"> corocznie publikować sprawozdanie z realizacji tej polityki.</w:t>
      </w:r>
    </w:p>
    <w:p w14:paraId="3FB0BA12" w14:textId="5A37858D" w:rsidR="00A15B2F" w:rsidRPr="00BF2F19" w:rsidRDefault="00A15B2F" w:rsidP="00A15B2F">
      <w:pPr>
        <w:pStyle w:val="NIEARTTEKSTtekstnieartykuowanynppodstprawnarozplubpreambua"/>
      </w:pPr>
      <w:r w:rsidRPr="00BF2F19">
        <w:t xml:space="preserve">Zwiększeniu przejrzystości działania </w:t>
      </w:r>
      <w:r w:rsidR="00C3165D" w:rsidRPr="00BF2F19">
        <w:t>pracowniczych funduszy emerytalnych</w:t>
      </w:r>
      <w:r w:rsidRPr="00BF2F19">
        <w:t xml:space="preserve"> służy również </w:t>
      </w:r>
      <w:r w:rsidR="003160F2">
        <w:t xml:space="preserve">przewidziany w </w:t>
      </w:r>
      <w:r w:rsidR="003160F2" w:rsidRPr="003160F2">
        <w:rPr>
          <w:rStyle w:val="Ppogrubienie"/>
        </w:rPr>
        <w:t>art. 142b</w:t>
      </w:r>
      <w:r w:rsidR="00C3165D" w:rsidRPr="00BF2F19">
        <w:t xml:space="preserve"> </w:t>
      </w:r>
      <w:r w:rsidRPr="00BF2F19">
        <w:t>obowiązek publikowania polityki, sprawozdania i wyjaśnień na swojej stronie internetowej.</w:t>
      </w:r>
    </w:p>
    <w:p w14:paraId="79DF0B91" w14:textId="5643C9F1" w:rsidR="00A15B2F" w:rsidRDefault="003160F2" w:rsidP="00A15B2F">
      <w:pPr>
        <w:pStyle w:val="ARTartustawynprozporzdzenia"/>
      </w:pPr>
      <w:r w:rsidRPr="003160F2">
        <w:rPr>
          <w:rStyle w:val="Ppogrubienie"/>
        </w:rPr>
        <w:t>Art. 14</w:t>
      </w:r>
      <w:r w:rsidR="00C3165D" w:rsidRPr="003160F2">
        <w:rPr>
          <w:rStyle w:val="Ppogrubienie"/>
        </w:rPr>
        <w:t>2</w:t>
      </w:r>
      <w:r w:rsidRPr="003160F2">
        <w:rPr>
          <w:rStyle w:val="Ppogrubienie"/>
        </w:rPr>
        <w:t>c</w:t>
      </w:r>
      <w:r w:rsidR="00A15B2F" w:rsidRPr="00BF2F19">
        <w:t xml:space="preserve"> przewiduje natomiast obowiązek publikowania określonych informacji o strategii </w:t>
      </w:r>
      <w:r>
        <w:t>inwestycji kapitałowych</w:t>
      </w:r>
      <w:r w:rsidR="00A15B2F" w:rsidRPr="00BF2F19">
        <w:t xml:space="preserve"> </w:t>
      </w:r>
      <w:r w:rsidR="00C3165D" w:rsidRPr="00BF2F19">
        <w:t>pracowniczego funduszu emerytalnego</w:t>
      </w:r>
      <w:r w:rsidR="00A15B2F" w:rsidRPr="00BF2F19">
        <w:t xml:space="preserve">. Obejmuje to również informacje o ustaleniach poczynionych z podmiotami, które w imieniu </w:t>
      </w:r>
      <w:r w:rsidR="00C3165D" w:rsidRPr="00BF2F19">
        <w:t>tego funduszu</w:t>
      </w:r>
      <w:r w:rsidR="00A15B2F" w:rsidRPr="00BF2F19">
        <w:t xml:space="preserve"> dokonują inwestycji. Zwiększy to przejrzystość relacji pomiędzy tymi podmiotami, co leży w interesie uczestników pracowniczych programów emerytalnych oraz spółek, w które dokonano inwestycji. Obowiązki te mogą też przyczynić się do powstawania długoterminowych strategii inwestycyjnych i budowania długoterminowych relacji ze spółkami.</w:t>
      </w:r>
      <w:r w:rsidR="006678B5">
        <w:t xml:space="preserve"> W związku z pr</w:t>
      </w:r>
      <w:r>
        <w:t xml:space="preserve">zyjętą w projektowanym </w:t>
      </w:r>
      <w:r w:rsidRPr="003160F2">
        <w:rPr>
          <w:rStyle w:val="Ppogrubienie"/>
        </w:rPr>
        <w:t>art. 142c</w:t>
      </w:r>
      <w:r w:rsidR="006678B5" w:rsidRPr="003160F2">
        <w:rPr>
          <w:rStyle w:val="Ppogrubienie"/>
        </w:rPr>
        <w:t xml:space="preserve"> ust. 2</w:t>
      </w:r>
      <w:r w:rsidR="006678B5">
        <w:t xml:space="preserve"> ustawy o organizacji i funkcjonowaniu funduszy emerytalnych, implementacją art. 3h ust. 2 dyrektywy </w:t>
      </w:r>
      <w:r w:rsidR="00D401B2">
        <w:t xml:space="preserve">2007/36/WE </w:t>
      </w:r>
      <w:r w:rsidR="006678B5">
        <w:t xml:space="preserve">zauważenia wymaga, że pracownicze fundusze emerytalne mogą powierzać zarządzanie swoimi aktywami wyłącznie firmom inwestycyjnym, które świadczą usługi w zakresie zarządzania portfelami, w skład których </w:t>
      </w:r>
      <w:r w:rsidR="006678B5" w:rsidRPr="009E2E32">
        <w:t>wchodzi jeden lub większa liczba instrumentów finansowych</w:t>
      </w:r>
      <w:r w:rsidR="006678B5">
        <w:t xml:space="preserve"> oraz towarzystwom funduszy inwestycyjnych, które świadczą tożsame usługi (art. 152 ustawy o organizacji i funkcjonowaniu funduszy emerytalnych). Zgodnie z prawodawstwem krajowymi usługi takie mogą świadczyć wyłącznie firmy inwestycyjne oraz towarzystwa funduszy inwestycyjnych. Implementowany art. 3h ust. 2 dyrektywy </w:t>
      </w:r>
      <w:r w:rsidR="0012348B" w:rsidRPr="0012348B">
        <w:t>2007/36/WE</w:t>
      </w:r>
      <w:r w:rsidR="006678B5">
        <w:t xml:space="preserve"> stanowi również, że obowiązek publikacji dotyczy także przypadków gdy inwestycja inwestora instytucjonalnego w spółki publiczne dokonywana jest za pośrednictwem przedsiębiorstwa zbiorowego inwestowania. Dlatego </w:t>
      </w:r>
      <w:r>
        <w:t>też w projektowanym art. 142c</w:t>
      </w:r>
      <w:r w:rsidR="006678B5">
        <w:t xml:space="preserve"> ust. 2 przyjęto, że ujawnienia obejmą również sytuacje gdzie dochodziłoby do takich inwestycji za pośrednictwem funduszy inwestycyjnych lub alternatywnych funduszy inwestycyjnych w oparciu o dokonane ustalenia pomiędzy pracowniczym funduszem emerytalnym i odpowiednio towarzystwem funduszy inwestycyjnych i zarządzającym ASI.</w:t>
      </w:r>
    </w:p>
    <w:p w14:paraId="5C72FE47" w14:textId="634835E0" w:rsidR="003160F2" w:rsidRPr="00BF2F19" w:rsidRDefault="003160F2" w:rsidP="00A15B2F">
      <w:pPr>
        <w:pStyle w:val="ARTartustawynprozporzdzenia"/>
      </w:pPr>
      <w:r w:rsidRPr="003160F2">
        <w:rPr>
          <w:rStyle w:val="Ppogrubienie"/>
        </w:rPr>
        <w:t>Art. 142d</w:t>
      </w:r>
      <w:r>
        <w:t xml:space="preserve"> przewiduje odpowiedzialność członków zarządu </w:t>
      </w:r>
      <w:r w:rsidRPr="003160F2">
        <w:t>pracowniczego towarzystwa zarządzającego pracowniczym funduszem</w:t>
      </w:r>
      <w:r>
        <w:t xml:space="preserve">, który ma obowiązek sporządzać dokumenty, o których mowa w art. 142a–142c, za </w:t>
      </w:r>
      <w:r w:rsidRPr="003160F2">
        <w:t>opracowanie i publikację</w:t>
      </w:r>
      <w:r>
        <w:t xml:space="preserve"> tych</w:t>
      </w:r>
      <w:r w:rsidRPr="003160F2">
        <w:t xml:space="preserve"> dokumentów</w:t>
      </w:r>
      <w:r>
        <w:t xml:space="preserve"> </w:t>
      </w:r>
      <w:r w:rsidRPr="003160F2">
        <w:t>oraz za informacje zawarte w tych dokumentach</w:t>
      </w:r>
      <w:r>
        <w:t>.</w:t>
      </w:r>
    </w:p>
    <w:p w14:paraId="7CCBC15E" w14:textId="64868134" w:rsidR="001824BB" w:rsidRDefault="00E4621C" w:rsidP="00A15B2F">
      <w:pPr>
        <w:pStyle w:val="ARTartustawynprozporzdzenia"/>
      </w:pPr>
      <w:r>
        <w:rPr>
          <w:rStyle w:val="Ppogrubienie"/>
        </w:rPr>
        <w:t>Art. 5</w:t>
      </w:r>
      <w:r w:rsidR="001824BB" w:rsidRPr="00BF2F19">
        <w:rPr>
          <w:rStyle w:val="Ppogrubienie"/>
        </w:rPr>
        <w:t xml:space="preserve"> pkt </w:t>
      </w:r>
      <w:r w:rsidR="00F40676">
        <w:rPr>
          <w:rStyle w:val="Ppogrubienie"/>
        </w:rPr>
        <w:t>3</w:t>
      </w:r>
      <w:r w:rsidR="001824BB" w:rsidRPr="00BF2F19">
        <w:t xml:space="preserve"> wprowadza natomiast sankcje karne za </w:t>
      </w:r>
      <w:r w:rsidR="003160F2">
        <w:t xml:space="preserve">niesporządzenie lub nieopublikowanie dokumentów, o których mowa w art. 142a–142c, a także za </w:t>
      </w:r>
      <w:r w:rsidR="001824BB" w:rsidRPr="00BF2F19">
        <w:t xml:space="preserve">przekazywanie nieprawdziwych lub zatajanie prawdziwych informacji w </w:t>
      </w:r>
      <w:r w:rsidR="003160F2">
        <w:t>tych dokumentach</w:t>
      </w:r>
      <w:r w:rsidR="001824BB" w:rsidRPr="00BF2F19">
        <w:t>. Działanie takie będzie zagrożone karą grzywny</w:t>
      </w:r>
      <w:r w:rsidR="006678B5">
        <w:t>, ograniczenia wolności</w:t>
      </w:r>
      <w:r w:rsidR="001824BB" w:rsidRPr="00BF2F19">
        <w:t xml:space="preserve"> lub pozbawienia wolności</w:t>
      </w:r>
      <w:r w:rsidR="006678B5">
        <w:t xml:space="preserve"> do roku</w:t>
      </w:r>
      <w:r w:rsidR="001824BB" w:rsidRPr="00BF2F19">
        <w:t>, co z jednej strony zapewni odstraszający charakter kary, z drugiej zaś strony zachowany zostanie wymóg jej proporcjonalności. Wysokość tych kar skorelowana jest z wysokością sankcji za naruszenie analogicznych przepisów dotyczących funduszy inwestycyjnych, firm inwestycyjnych, zakładów ubezpieczeń i zakładów reasekuracji.</w:t>
      </w:r>
    </w:p>
    <w:p w14:paraId="2FC6318E" w14:textId="77777777" w:rsidR="00E9039B" w:rsidRDefault="00E9039B" w:rsidP="00A15B2F">
      <w:pPr>
        <w:pStyle w:val="ARTartustawynprozporzdzenia"/>
      </w:pPr>
      <w:r w:rsidRPr="00E9039B">
        <w:rPr>
          <w:rStyle w:val="Ppogrubienie"/>
        </w:rPr>
        <w:t xml:space="preserve">Art. </w:t>
      </w:r>
      <w:r w:rsidR="00E4621C">
        <w:rPr>
          <w:rStyle w:val="Ppogrubienie"/>
        </w:rPr>
        <w:t>6</w:t>
      </w:r>
      <w:r>
        <w:t xml:space="preserve"> wprowadza do ustawy z dnia 29 sierpnia 1997 r. o listach zastawnych i bankach hipotecznych (Dz. U. z 2016 r. poz. 1771, z późn. zm.) nowy przepis art. 8 pkt 1a, wskazujący, że w zakresie nieuregulowanym w tej ustawie, do zasad emisji, obrotu i wykupu hipotecznych listów zastawnych będą miały zastosowanie również przepisy rozporządzenia 2017/1129.</w:t>
      </w:r>
    </w:p>
    <w:p w14:paraId="6167D88B" w14:textId="77777777" w:rsidR="00412A32" w:rsidRDefault="00E4621C" w:rsidP="00A15B2F">
      <w:pPr>
        <w:pStyle w:val="ARTartustawynprozporzdzenia"/>
      </w:pPr>
      <w:r>
        <w:rPr>
          <w:rStyle w:val="Ppogrubienie"/>
        </w:rPr>
        <w:t>Art. 7</w:t>
      </w:r>
      <w:r w:rsidR="00412A32" w:rsidRPr="00412A32">
        <w:rPr>
          <w:rStyle w:val="Ppogrubienie"/>
        </w:rPr>
        <w:t xml:space="preserve"> pkt 1</w:t>
      </w:r>
      <w:r w:rsidR="00412A32">
        <w:t xml:space="preserve"> zastępuje w art. 25 ust. 9 ustawy </w:t>
      </w:r>
      <w:r w:rsidR="00412A32" w:rsidRPr="00BF2F19">
        <w:t>z dnia 29 si</w:t>
      </w:r>
      <w:r w:rsidR="00B409B2">
        <w:t xml:space="preserve">erpnia 1997 r. – Prawo bankowe </w:t>
      </w:r>
      <w:r w:rsidR="00412A32">
        <w:t>pojęcie umowy o subemisję inwestycyjną pojęciem umowy o gwarancję</w:t>
      </w:r>
      <w:r w:rsidR="00EC044C">
        <w:t xml:space="preserve"> emisji</w:t>
      </w:r>
      <w:r w:rsidR="00412A32">
        <w:t>. Zmiana ma związek z zastąpieniem tych pojęć również w ustawie o ofercie publicznej.</w:t>
      </w:r>
    </w:p>
    <w:p w14:paraId="67EB4308" w14:textId="01A71844" w:rsidR="00740623" w:rsidRDefault="00740623" w:rsidP="005872B9">
      <w:pPr>
        <w:pStyle w:val="ARTartustawynprozporzdzenia"/>
      </w:pPr>
      <w:r w:rsidRPr="00740623">
        <w:rPr>
          <w:rStyle w:val="Ppogrubienie"/>
        </w:rPr>
        <w:t>Art. 7 pkt 2</w:t>
      </w:r>
      <w:r>
        <w:t xml:space="preserve"> naprawia błąd legislacyjny, polegający na odesłaniu w treści art. 27 ust. 2 ustawy </w:t>
      </w:r>
      <w:r w:rsidRPr="00BF2F19">
        <w:t>z dnia 29 sierpnia 1997 r. – Prawo bankowe</w:t>
      </w:r>
      <w:r>
        <w:t xml:space="preserve"> do </w:t>
      </w:r>
      <w:r w:rsidRPr="00BF2F19">
        <w:t>„</w:t>
      </w:r>
      <w:r w:rsidR="00FF64CE">
        <w:t xml:space="preserve">rozdziału 9 </w:t>
      </w:r>
      <w:r>
        <w:t>ustawy, o której mowa w art. 4 ust. 1 pkt 8</w:t>
      </w:r>
      <w:r w:rsidRPr="00BF2F19">
        <w:t>”</w:t>
      </w:r>
      <w:r>
        <w:t xml:space="preserve">. </w:t>
      </w:r>
      <w:r w:rsidR="00FF64CE">
        <w:t xml:space="preserve">W swojej pierwotnej wersji przepis ten odwoływał się do rozdziału 9 ustawy z dnia </w:t>
      </w:r>
      <w:r w:rsidR="00FF64CE" w:rsidRPr="00FF64CE">
        <w:t xml:space="preserve">21 sierpnia 1997 r. </w:t>
      </w:r>
      <w:r w:rsidR="00FF64CE">
        <w:t>–</w:t>
      </w:r>
      <w:r w:rsidR="00FF64CE" w:rsidRPr="00FF64CE">
        <w:t xml:space="preserve"> Prawo o publicznym obrocie papierami wartościowymi (Dz.</w:t>
      </w:r>
      <w:r w:rsidR="00FF64CE">
        <w:t xml:space="preserve"> </w:t>
      </w:r>
      <w:r w:rsidR="00FF64CE" w:rsidRPr="00FF64CE">
        <w:t>U. poz. 754)</w:t>
      </w:r>
      <w:r w:rsidR="00FF64CE">
        <w:t xml:space="preserve">, który dotyczył znacznych pakietów akcji. Po uchyleniu powyższej ustawy, przepis </w:t>
      </w:r>
      <w:r w:rsidR="005872B9">
        <w:t>art. 27 ust. 2 uzyskał swoje obecne brzmienie, przy czym w dalszym ciągu zawierał on odesłanie do rozdziału 9. W ustawie o ofercie publicznej rozdział ten zawiera natomiast przepisy dotyczące sankcji karnych. Ponadto, n</w:t>
      </w:r>
      <w:r>
        <w:t xml:space="preserve">a skutek jednej z </w:t>
      </w:r>
      <w:r w:rsidR="005872B9">
        <w:t>kolejnych</w:t>
      </w:r>
      <w:r>
        <w:t xml:space="preserve"> nowelizacji, art. 4 ust. 1 pkt 8, który wcześniej odwoływał się do ustawy o ofercie publicznej, obecnie zawiera</w:t>
      </w:r>
      <w:r w:rsidR="005872B9">
        <w:t xml:space="preserve"> </w:t>
      </w:r>
      <w:r>
        <w:t>odwołanie do rozporządzenia 575/2013. Konieczne jest zatem w art. 27 ust. 2</w:t>
      </w:r>
      <w:r w:rsidR="005872B9">
        <w:t>, po pierwsze,</w:t>
      </w:r>
      <w:r>
        <w:t xml:space="preserve"> wskazanie ustawy o ofercie publicznej z nazwy,</w:t>
      </w:r>
      <w:r w:rsidR="005872B9">
        <w:t xml:space="preserve"> a po drugie – odwołanie się do rozdziału 4 tej ustawy,</w:t>
      </w:r>
      <w:r>
        <w:t xml:space="preserve"> ponieważ </w:t>
      </w:r>
      <w:r w:rsidR="005872B9">
        <w:t>rozdział ten dotyczy znacznych pakietów akcji spółek publicznych</w:t>
      </w:r>
      <w:r>
        <w:t>.</w:t>
      </w:r>
    </w:p>
    <w:p w14:paraId="47777162" w14:textId="57544AD6" w:rsidR="00F40676" w:rsidRDefault="00F40676" w:rsidP="00A15B2F">
      <w:pPr>
        <w:pStyle w:val="ARTartustawynprozporzdzenia"/>
      </w:pPr>
      <w:r w:rsidRPr="00FF64CE">
        <w:rPr>
          <w:rStyle w:val="Ppogrubienie"/>
        </w:rPr>
        <w:t>Art. 7 pkt 3</w:t>
      </w:r>
      <w:r w:rsidR="00FF64CE">
        <w:t xml:space="preserve"> eliminuje występujące w art. 28 ust. 2 ustawy </w:t>
      </w:r>
      <w:r w:rsidR="00FF64CE" w:rsidRPr="00FF64CE">
        <w:t>z dnia 29 sierpnia 1997 r. – Prawo bankowe</w:t>
      </w:r>
      <w:r w:rsidR="00FF64CE">
        <w:t xml:space="preserve"> pojęcie </w:t>
      </w:r>
      <w:r w:rsidR="00FF64CE" w:rsidRPr="00FF64CE">
        <w:t>„</w:t>
      </w:r>
      <w:r w:rsidR="00FF64CE">
        <w:t>zniesienia dematerializacji akcji</w:t>
      </w:r>
      <w:r w:rsidR="00FF64CE" w:rsidRPr="00FF64CE">
        <w:t>”</w:t>
      </w:r>
      <w:r w:rsidR="00FF64CE">
        <w:t xml:space="preserve">, które na skutek zmian w art. 91 ustawy o ofercie publicznej nie będzie już występować w porządku prawnym. Sformułowanie to zostało zastąpione pojęciem </w:t>
      </w:r>
      <w:r w:rsidR="00FF64CE" w:rsidRPr="00FF64CE">
        <w:t>„</w:t>
      </w:r>
      <w:r w:rsidR="00FF64CE">
        <w:t>wycofania akcji z obrotu</w:t>
      </w:r>
      <w:r w:rsidR="00FF64CE" w:rsidRPr="00FF64CE">
        <w:t>”</w:t>
      </w:r>
      <w:r w:rsidR="00FF64CE">
        <w:t xml:space="preserve"> na rynku regulowanym. Ograniczenie zakresu tego pojęcia jedynie do rynku regulowanego wynika z ustawowych ograniczeń, na mocy których akcje banku nie mogą być dopuszczone do obrotu w alternatywnym systemie obrotu.</w:t>
      </w:r>
    </w:p>
    <w:p w14:paraId="77C4D296" w14:textId="06D854D0" w:rsidR="001A45D5" w:rsidRPr="00BF2F19" w:rsidRDefault="001A45D5" w:rsidP="00A15B2F">
      <w:pPr>
        <w:pStyle w:val="ARTartustawynprozporzdzenia"/>
      </w:pPr>
      <w:r w:rsidRPr="005872B9">
        <w:rPr>
          <w:rStyle w:val="Ppogrubienie"/>
        </w:rPr>
        <w:t>Art. 7 pkt 4</w:t>
      </w:r>
      <w:r w:rsidR="005872B9">
        <w:t xml:space="preserve"> wprowadza </w:t>
      </w:r>
      <w:r w:rsidR="005872B9" w:rsidRPr="005872B9">
        <w:t>zasad</w:t>
      </w:r>
      <w:r w:rsidR="005872B9">
        <w:t>y dotyczące</w:t>
      </w:r>
      <w:r w:rsidR="005872B9" w:rsidRPr="005872B9">
        <w:t xml:space="preserve"> nagrywania i archiwizacji rozmów związanych z loka</w:t>
      </w:r>
      <w:r w:rsidR="005872B9">
        <w:t>tami strukturyzowanymi tożsame ze zmianami wprowadzanymi w zakresie nagrywania i archiwizacji rozmów przez firmy inwestycyjne w ustawie o obrocie instrumentami finansowymi.</w:t>
      </w:r>
    </w:p>
    <w:p w14:paraId="4C459085" w14:textId="2487B363" w:rsidR="002F125D" w:rsidRPr="00BF2F19" w:rsidRDefault="00E4621C" w:rsidP="00A15B2F">
      <w:pPr>
        <w:pStyle w:val="ARTartustawynprozporzdzenia"/>
      </w:pPr>
      <w:r>
        <w:rPr>
          <w:rStyle w:val="Ppogrubienie"/>
        </w:rPr>
        <w:t>Art. 7</w:t>
      </w:r>
      <w:r w:rsidR="004B30A5">
        <w:rPr>
          <w:rStyle w:val="Ppogrubienie"/>
        </w:rPr>
        <w:t xml:space="preserve"> pkt </w:t>
      </w:r>
      <w:r w:rsidR="001A45D5">
        <w:rPr>
          <w:rStyle w:val="Ppogrubienie"/>
        </w:rPr>
        <w:t>5</w:t>
      </w:r>
      <w:r w:rsidR="002F125D" w:rsidRPr="00BF2F19">
        <w:rPr>
          <w:rStyle w:val="Ppogrubienie"/>
        </w:rPr>
        <w:t xml:space="preserve"> projektu ustawy</w:t>
      </w:r>
      <w:r w:rsidR="002F125D" w:rsidRPr="00BF2F19">
        <w:t xml:space="preserve"> uchyla art. 92 ustawy z dnia 29 si</w:t>
      </w:r>
      <w:r w:rsidR="00412A32">
        <w:t>erpnia 1997 r. – Prawo bankowe</w:t>
      </w:r>
      <w:r w:rsidR="005D353A" w:rsidRPr="00BF2F19">
        <w:t>, który wyłączał stosowanie ustawy o ofercie publicznej do bankowych papierów wartościowych</w:t>
      </w:r>
      <w:r w:rsidR="002F125D" w:rsidRPr="00BF2F19">
        <w:t>.</w:t>
      </w:r>
      <w:r w:rsidR="005D353A" w:rsidRPr="00BF2F19">
        <w:t xml:space="preserve"> Zmiana ta skorelowana jest z uchyleniem art. 2 pkt 2 ustawy o ofercie publicznej.</w:t>
      </w:r>
      <w:r w:rsidR="00740623">
        <w:t xml:space="preserve"> Na marginesie należy zauważyć, że przepis ten, podobnie jak art. 27 ust. 2, odwoływał się do </w:t>
      </w:r>
      <w:r w:rsidR="00740623" w:rsidRPr="00BF2F19">
        <w:t>„</w:t>
      </w:r>
      <w:r w:rsidR="00740623">
        <w:t>ustawy, o której mowa w art. 4 ust. 1 pkt 8</w:t>
      </w:r>
      <w:r w:rsidR="00740623" w:rsidRPr="00BF2F19">
        <w:t>”</w:t>
      </w:r>
      <w:r w:rsidR="00740623">
        <w:t>, zatem ze względów przedstawionych wyżej nie posiadał on treści normatywnej.</w:t>
      </w:r>
    </w:p>
    <w:p w14:paraId="6291225A" w14:textId="5EE2D7BE" w:rsidR="005872B9" w:rsidRDefault="00E4621C" w:rsidP="0008513A">
      <w:pPr>
        <w:pStyle w:val="NIEARTTEKSTtekstnieartykuowanynppodstprawnarozplubpreambua"/>
      </w:pPr>
      <w:r>
        <w:rPr>
          <w:rStyle w:val="Ppogrubienie"/>
        </w:rPr>
        <w:t>Art. 8</w:t>
      </w:r>
      <w:r w:rsidR="00B867A0">
        <w:rPr>
          <w:rStyle w:val="Ppogrubienie"/>
        </w:rPr>
        <w:t xml:space="preserve"> pkt 1</w:t>
      </w:r>
      <w:r w:rsidR="005872B9">
        <w:rPr>
          <w:rStyle w:val="Ppogrubienie"/>
        </w:rPr>
        <w:t xml:space="preserve"> lit. a</w:t>
      </w:r>
      <w:r w:rsidR="0008513A" w:rsidRPr="00BF2F19">
        <w:t xml:space="preserve"> </w:t>
      </w:r>
      <w:r w:rsidR="005872B9">
        <w:t xml:space="preserve">doprecyzowuje definicję spółki publicznej zawartą w KSH. </w:t>
      </w:r>
      <w:r w:rsidR="00096F85">
        <w:t xml:space="preserve">Biorąc pod uwagę, że projekt ustawy wprowadza w ustawie o ofercie publicznej, obok definicji </w:t>
      </w:r>
      <w:r w:rsidR="00096F85" w:rsidRPr="00096F85">
        <w:t>„</w:t>
      </w:r>
      <w:r w:rsidR="00096F85">
        <w:t>spółki publicznej</w:t>
      </w:r>
      <w:r w:rsidR="00096F85" w:rsidRPr="00096F85">
        <w:t>”</w:t>
      </w:r>
      <w:r w:rsidR="00096F85">
        <w:t xml:space="preserve">, także definicję </w:t>
      </w:r>
      <w:r w:rsidR="00096F85" w:rsidRPr="00096F85">
        <w:t>„</w:t>
      </w:r>
      <w:r w:rsidR="00096F85">
        <w:t>spółki</w:t>
      </w:r>
      <w:r w:rsidR="00096F85" w:rsidRPr="00096F85">
        <w:t>”</w:t>
      </w:r>
      <w:r w:rsidR="00096F85">
        <w:t xml:space="preserve"> (jedynie na potrzeby rozdziałów 4a i 4b), pozostawienie przepisu w obecnym brzmieniu mogłoby rodzić słuszne wątpliwości interpretacyjne.</w:t>
      </w:r>
    </w:p>
    <w:p w14:paraId="23C628F1" w14:textId="4D779677" w:rsidR="0008513A" w:rsidRPr="00BF2F19" w:rsidRDefault="005872B9" w:rsidP="0008513A">
      <w:pPr>
        <w:pStyle w:val="NIEARTTEKSTtekstnieartykuowanynppodstprawnarozplubpreambua"/>
      </w:pPr>
      <w:r w:rsidRPr="005872B9">
        <w:rPr>
          <w:rStyle w:val="Ppogrubienie"/>
        </w:rPr>
        <w:t>Lit. b</w:t>
      </w:r>
      <w:r>
        <w:t xml:space="preserve"> </w:t>
      </w:r>
      <w:r w:rsidR="0008513A" w:rsidRPr="00BF2F19">
        <w:t xml:space="preserve">dodaje </w:t>
      </w:r>
      <w:r>
        <w:t>natomiast</w:t>
      </w:r>
      <w:r w:rsidR="0008513A" w:rsidRPr="00BF2F19">
        <w:t xml:space="preserve"> definicję doradcy </w:t>
      </w:r>
      <w:r w:rsidR="002F125D" w:rsidRPr="00BF2F19">
        <w:t>akcjonariusza</w:t>
      </w:r>
      <w:r w:rsidR="0008513A" w:rsidRPr="00BF2F19">
        <w:t xml:space="preserve"> </w:t>
      </w:r>
      <w:r w:rsidR="008424B6">
        <w:t>do spraw</w:t>
      </w:r>
      <w:r w:rsidR="0008513A" w:rsidRPr="00BF2F19">
        <w:t xml:space="preserve"> głoso</w:t>
      </w:r>
      <w:r w:rsidR="008424B6">
        <w:t>wania</w:t>
      </w:r>
      <w:r w:rsidR="0008513A" w:rsidRPr="00BF2F19">
        <w:t>. Są to podmioty, które zajmują się analizą informacji udostępnianych przez spółki publiczne w celu przedstawiania badań, porad i rekomendacji co do sposobu głosowania na walnych zgromadzeniach akcjonariuszy spółek publicznych. Podmioty prowadzące taką działalność mogą wywierać duży wpływ na sposób głosowania inwestorów, którzy polegają na ich profesjonalnych usługach. Z tego powodu konieczne stało się prawne uregulowanie ich działalności.</w:t>
      </w:r>
    </w:p>
    <w:p w14:paraId="041D6B3D" w14:textId="77777777" w:rsidR="0008513A" w:rsidRPr="00BF2F19" w:rsidRDefault="00E4621C" w:rsidP="0008513A">
      <w:pPr>
        <w:pStyle w:val="NIEARTTEKSTtekstnieartykuowanynppodstprawnarozplubpreambua"/>
      </w:pPr>
      <w:r>
        <w:rPr>
          <w:rStyle w:val="Ppogrubienie"/>
        </w:rPr>
        <w:t>Art. 8</w:t>
      </w:r>
      <w:r w:rsidR="0008513A" w:rsidRPr="00BF2F19">
        <w:rPr>
          <w:rStyle w:val="Ppogrubienie"/>
        </w:rPr>
        <w:t xml:space="preserve"> pkt 2 projektu</w:t>
      </w:r>
      <w:r w:rsidR="0008513A" w:rsidRPr="00BF2F19">
        <w:t xml:space="preserve"> ma na celu wskazanie, że </w:t>
      </w:r>
      <w:r w:rsidR="004E1F92">
        <w:t xml:space="preserve">w spółkach z siedzibą na terytorium Polski, których co najmniej jedna akcja jest dopuszczona do obrotu na rynku regulowanym, </w:t>
      </w:r>
      <w:r w:rsidR="0008513A" w:rsidRPr="00BF2F19">
        <w:t xml:space="preserve">do zadań zwyczajnego walnego zgromadzenia należy również powzięcie uchwały </w:t>
      </w:r>
      <w:r w:rsidR="002F0388" w:rsidRPr="00BF2F19">
        <w:t>opiniującej</w:t>
      </w:r>
      <w:r w:rsidR="0008513A" w:rsidRPr="00BF2F19">
        <w:t xml:space="preserve"> sprawozdanie o wynagrodzeniach</w:t>
      </w:r>
      <w:r w:rsidR="004E1F92">
        <w:t>,</w:t>
      </w:r>
      <w:r w:rsidR="00DE2335">
        <w:t xml:space="preserve"> o której mowa w art. 90g ust. 5</w:t>
      </w:r>
      <w:r w:rsidR="004E1F92">
        <w:t xml:space="preserve"> ustawy o ofercie publicznej lub przeprowadzenie dyskusji, w przypadku spółek, które spełniają kryt</w:t>
      </w:r>
      <w:r w:rsidR="00DE2335">
        <w:t>eria określone w art. 90g ust. 6</w:t>
      </w:r>
      <w:r w:rsidR="004E1F92">
        <w:t xml:space="preserve"> tej ustawy</w:t>
      </w:r>
      <w:r w:rsidR="0008513A" w:rsidRPr="00BF2F19">
        <w:t>.</w:t>
      </w:r>
    </w:p>
    <w:p w14:paraId="77A7B3C9" w14:textId="025AA9E5" w:rsidR="0008513A" w:rsidRPr="00BF2F19" w:rsidRDefault="00E4621C" w:rsidP="0008513A">
      <w:pPr>
        <w:pStyle w:val="NIEARTTEKSTtekstnieartykuowanynppodstprawnarozplubpreambua"/>
      </w:pPr>
      <w:r>
        <w:rPr>
          <w:rStyle w:val="Ppogrubienie"/>
        </w:rPr>
        <w:t>Art. 8</w:t>
      </w:r>
      <w:r w:rsidR="0008513A" w:rsidRPr="00BF2F19">
        <w:rPr>
          <w:rStyle w:val="Ppogrubienie"/>
        </w:rPr>
        <w:t xml:space="preserve"> pkt 3</w:t>
      </w:r>
      <w:r w:rsidR="0008513A" w:rsidRPr="00BF2F19">
        <w:t xml:space="preserve"> wprowadza wymogi przejrzystości dla doradców </w:t>
      </w:r>
      <w:r w:rsidR="002F125D" w:rsidRPr="00BF2F19">
        <w:t>akcjonariusza</w:t>
      </w:r>
      <w:r w:rsidR="0008513A" w:rsidRPr="00BF2F19">
        <w:t xml:space="preserve"> </w:t>
      </w:r>
      <w:r w:rsidR="008424B6">
        <w:t>do spraw głosowania</w:t>
      </w:r>
      <w:r w:rsidR="0008513A" w:rsidRPr="00BF2F19">
        <w:t>. Wymogi te będą obejmować konieczność przedstawiania kluczowych informacji związanych z przygotowywaniem badań, porad i rekomendacji, oraz ujawniania wszelkich sprzeczności interesów i relacji biznesowych, które mogą mieć wpływ na bezstronność przy</w:t>
      </w:r>
      <w:r w:rsidR="00DE2335">
        <w:t xml:space="preserve">gotowywanych rekomendacji (art. </w:t>
      </w:r>
      <w:r w:rsidR="0008513A" w:rsidRPr="00BF2F19">
        <w:t>402</w:t>
      </w:r>
      <w:r w:rsidR="0008513A" w:rsidRPr="00BF2F19">
        <w:rPr>
          <w:rStyle w:val="IGindeksgrny"/>
        </w:rPr>
        <w:t>4</w:t>
      </w:r>
      <w:r w:rsidR="00DE2335">
        <w:t xml:space="preserve"> § 2 i art. </w:t>
      </w:r>
      <w:r w:rsidR="0008513A" w:rsidRPr="00BF2F19">
        <w:t>402</w:t>
      </w:r>
      <w:r w:rsidR="0008513A" w:rsidRPr="00BF2F19">
        <w:rPr>
          <w:rStyle w:val="IGindeksgrny"/>
        </w:rPr>
        <w:t>6</w:t>
      </w:r>
      <w:r w:rsidR="00DE2335">
        <w:t xml:space="preserve">). Art. </w:t>
      </w:r>
      <w:r w:rsidR="0008513A" w:rsidRPr="00BF2F19">
        <w:t>402</w:t>
      </w:r>
      <w:r w:rsidR="0008513A" w:rsidRPr="00BF2F19">
        <w:rPr>
          <w:rStyle w:val="IGindeksgrny"/>
        </w:rPr>
        <w:t>4</w:t>
      </w:r>
      <w:r w:rsidR="0008513A" w:rsidRPr="00BF2F19">
        <w:t xml:space="preserve"> § </w:t>
      </w:r>
      <w:r w:rsidR="00F836AF">
        <w:t>2</w:t>
      </w:r>
      <w:r w:rsidR="00F836AF" w:rsidRPr="00BF2F19">
        <w:t xml:space="preserve"> </w:t>
      </w:r>
      <w:r w:rsidR="0008513A" w:rsidRPr="00BF2F19">
        <w:t xml:space="preserve">przewiduje natomiast, że powyższe informacje będą dostępne na stronie internetowej doradcy </w:t>
      </w:r>
      <w:r w:rsidR="002F125D" w:rsidRPr="00BF2F19">
        <w:t>akcjonariusza</w:t>
      </w:r>
      <w:r w:rsidR="0008513A" w:rsidRPr="00BF2F19">
        <w:t xml:space="preserve"> </w:t>
      </w:r>
      <w:r w:rsidR="008424B6">
        <w:t>do spraw głosowania</w:t>
      </w:r>
      <w:r w:rsidR="0008513A" w:rsidRPr="00BF2F19">
        <w:t xml:space="preserve"> przez co najmniej trzy lata od dnia publikacji. Umożliwi to inwestorom zainteresowanym skorzystaniem z usług doradcy zapoznanie się z jego metodami oraz przeszłymi wynikami, co przełoży się na większą świadomość wyboru konkretnego doradcy.</w:t>
      </w:r>
    </w:p>
    <w:p w14:paraId="77A921CC" w14:textId="77777777" w:rsidR="0008513A" w:rsidRPr="00BF2F19" w:rsidRDefault="0008513A" w:rsidP="0008513A">
      <w:pPr>
        <w:pStyle w:val="NIEARTTEKSTtekstnieartykuowanynppodstprawnarozplubpreambua"/>
      </w:pPr>
      <w:r w:rsidRPr="00BF2F19">
        <w:t>Dodawany art. 402</w:t>
      </w:r>
      <w:r w:rsidRPr="00BF2F19">
        <w:rPr>
          <w:rStyle w:val="IGindeksgrny"/>
        </w:rPr>
        <w:t>5</w:t>
      </w:r>
      <w:r w:rsidRPr="00BF2F19">
        <w:t xml:space="preserve"> przewiduje natomiast, że w przypadku gdy doradca </w:t>
      </w:r>
      <w:r w:rsidR="002F125D" w:rsidRPr="00BF2F19">
        <w:t>akcjonariusza</w:t>
      </w:r>
      <w:r w:rsidRPr="00BF2F19">
        <w:t xml:space="preserve"> </w:t>
      </w:r>
      <w:r w:rsidR="008424B6">
        <w:t>do spraw głosowania</w:t>
      </w:r>
      <w:r w:rsidRPr="00BF2F19">
        <w:t xml:space="preserve"> kieruje się w swojej działalności zasadami etyki zawodowej, ma on obowiązek przedstawiać sprawozdania ze stosowania tych zasad, co również przyczyni się do większej przejrzystości działania tych podmiotów.</w:t>
      </w:r>
    </w:p>
    <w:p w14:paraId="2E829203" w14:textId="77777777" w:rsidR="0008513A" w:rsidRDefault="0008513A" w:rsidP="0008513A">
      <w:pPr>
        <w:pStyle w:val="NIEARTTEKSTtekstnieartykuowanynppodstprawnarozplubpreambua"/>
      </w:pPr>
      <w:r w:rsidRPr="00BF2F19">
        <w:t xml:space="preserve">W </w:t>
      </w:r>
      <w:r w:rsidR="00E4621C">
        <w:rPr>
          <w:rStyle w:val="Ppogrubienie"/>
        </w:rPr>
        <w:t>art. 8</w:t>
      </w:r>
      <w:r w:rsidRPr="00BF2F19">
        <w:rPr>
          <w:rStyle w:val="Ppogrubienie"/>
        </w:rPr>
        <w:t xml:space="preserve"> pkt 4 projektowanej ustawy</w:t>
      </w:r>
      <w:r w:rsidRPr="00BF2F19">
        <w:t xml:space="preserve"> dodaje się przepisy doprecyzowujące zasady głosowania na walnym zgromadzeniu akcjonariuszy z wykorzystaniem środków komunikacji elektronicznej. W celu zwiększenia transparentności działania spółek i polepszenia relacji pomiędzy spółką a jej akcjonariuszami przewiduje się, że akcjonariusz oddający głos na walnym zgromadzeniu drogą elektroniczną, powinien niezwłocznie otrzymać potwierdzenie otrzymania głosu przez spółkę. Ponadto, każdy akcjonariusz głosujący elektronicznie będzie miał możliwość sprawdzenia, na swój wniosek, czy jego głos został prawidłowo zarejestrowany i policzony.</w:t>
      </w:r>
    </w:p>
    <w:p w14:paraId="62283D27" w14:textId="77777777" w:rsidR="00D34944" w:rsidRPr="00D34944" w:rsidRDefault="00D34944" w:rsidP="00D34944">
      <w:pPr>
        <w:pStyle w:val="ARTartustawynprozporzdzenia"/>
      </w:pPr>
      <w:r>
        <w:t>Dodawany w art. 412 KSH § 1</w:t>
      </w:r>
      <w:r w:rsidRPr="00D34944">
        <w:rPr>
          <w:rStyle w:val="IGindeksgrny"/>
        </w:rPr>
        <w:t>1</w:t>
      </w:r>
      <w:r>
        <w:t xml:space="preserve"> (</w:t>
      </w:r>
      <w:r w:rsidRPr="00D34944">
        <w:rPr>
          <w:rStyle w:val="Ppogrubienie"/>
        </w:rPr>
        <w:t>art. 8 pkt 5</w:t>
      </w:r>
      <w:r>
        <w:t xml:space="preserve">) służy implementacji art. 3c ust. 1 lit. b dyrektywy 2007/36/WE. </w:t>
      </w:r>
      <w:r w:rsidRPr="00D34944">
        <w:t>Przepis ten przewiduje, że pełnomocnikiem akcjonariusza spółki publicznej do udziału w walnym zgromadzeniu i głosowania na nim będzie mógł być także pośrednik, o którym mowa w art. 68i ustawy o obrocie instrumentami finansowymi. Należy przy tym zauważyć, że już obecnie możliwość ustanowienia pełnomocnictwa dla takich podmiotów wydaje się być dopuszczalna. Przepisy KSH pozostawiają bowiem akcjonariuszom dużą swobodę w wyborze pełnomocnika, ustanawiając jedynie nieliczne ograniczenia w tym zakresie. Niemniej jednak, dla pewności implementacji dyrektywy, projektodawca zdecydował się wyraźnie przewidzieć możliwość ustanowienia takiego pełnomocnictwa dla pośredników.</w:t>
      </w:r>
    </w:p>
    <w:p w14:paraId="3CBEE69F" w14:textId="77777777" w:rsidR="00CE41F6" w:rsidRDefault="00CE41F6" w:rsidP="00CE41F6">
      <w:pPr>
        <w:pStyle w:val="ARTartustawynprozporzdzenia"/>
      </w:pPr>
      <w:r>
        <w:t xml:space="preserve">Zmiany proponowane w </w:t>
      </w:r>
      <w:r w:rsidR="00E4621C">
        <w:rPr>
          <w:rStyle w:val="Ppogrubienie"/>
        </w:rPr>
        <w:t>art. 8</w:t>
      </w:r>
      <w:r w:rsidR="00D34944">
        <w:rPr>
          <w:rStyle w:val="Ppogrubienie"/>
        </w:rPr>
        <w:t xml:space="preserve"> pkt 6</w:t>
      </w:r>
      <w:r w:rsidRPr="00CE41F6">
        <w:rPr>
          <w:rStyle w:val="Ppogrubienie"/>
        </w:rPr>
        <w:t>–1</w:t>
      </w:r>
      <w:r w:rsidR="00D34944">
        <w:rPr>
          <w:rStyle w:val="Ppogrubienie"/>
        </w:rPr>
        <w:t>1</w:t>
      </w:r>
      <w:r w:rsidR="001523CD">
        <w:rPr>
          <w:rStyle w:val="Ppogrubienie"/>
        </w:rPr>
        <w:t xml:space="preserve"> </w:t>
      </w:r>
      <w:r>
        <w:t xml:space="preserve">mają na celu dostosowanie regulacji dotyczących spółek akcyjnych do wymogów rozporządzenia 2017/1129. </w:t>
      </w:r>
      <w:r w:rsidR="00E4621C">
        <w:rPr>
          <w:rStyle w:val="Ppogrubienie"/>
        </w:rPr>
        <w:t>Art. 8</w:t>
      </w:r>
      <w:r w:rsidRPr="00CE41F6">
        <w:rPr>
          <w:rStyle w:val="Ppogrubienie"/>
        </w:rPr>
        <w:t xml:space="preserve"> pkt </w:t>
      </w:r>
      <w:r w:rsidR="00D34944">
        <w:rPr>
          <w:rStyle w:val="Ppogrubienie"/>
        </w:rPr>
        <w:t>6</w:t>
      </w:r>
      <w:r>
        <w:t xml:space="preserve"> nowelizuje art. 431 § 4 KSH przez wskazanie w tym przepisie, że w przypadku akcji nowej emisji będących przedmiotem oferty publicznej, zastosowanie będą miały także przepisy rozporządzenia 2017/1129, a także przez zastąpienie wyrażenia </w:t>
      </w:r>
      <w:r w:rsidR="00B35BE5" w:rsidRPr="00B35BE5">
        <w:t>„</w:t>
      </w:r>
      <w:r>
        <w:t>prospekt emisyjny</w:t>
      </w:r>
      <w:r w:rsidR="00B35BE5" w:rsidRPr="00B35BE5">
        <w:t>”</w:t>
      </w:r>
      <w:r>
        <w:t xml:space="preserve"> wyrazem </w:t>
      </w:r>
      <w:r w:rsidR="00B35BE5" w:rsidRPr="00B35BE5">
        <w:t>„</w:t>
      </w:r>
      <w:r>
        <w:t>prospekt</w:t>
      </w:r>
      <w:r w:rsidR="00B35BE5" w:rsidRPr="00B35BE5">
        <w:t>”</w:t>
      </w:r>
      <w:r>
        <w:t>. Ponadto w przepisie tym usunięte zostaną fragmenty dotyczące stwierdzania równoważności informacji zawartych w memorandum informacyjnym z informacjami zawartymi w prospekcie, w związku z projektowaną utratą takiej kompetencji przez KNF.</w:t>
      </w:r>
    </w:p>
    <w:p w14:paraId="02A2395B" w14:textId="77777777" w:rsidR="00B35BE5" w:rsidRDefault="00E4621C" w:rsidP="00CE41F6">
      <w:pPr>
        <w:pStyle w:val="ARTartustawynprozporzdzenia"/>
      </w:pPr>
      <w:r>
        <w:rPr>
          <w:rStyle w:val="Ppogrubienie"/>
        </w:rPr>
        <w:t>Art. 8</w:t>
      </w:r>
      <w:r w:rsidR="00B35BE5" w:rsidRPr="00B35BE5">
        <w:rPr>
          <w:rStyle w:val="Ppogrubienie"/>
        </w:rPr>
        <w:t xml:space="preserve"> pkt </w:t>
      </w:r>
      <w:r w:rsidR="00D34944">
        <w:rPr>
          <w:rStyle w:val="Ppogrubienie"/>
        </w:rPr>
        <w:t>7</w:t>
      </w:r>
      <w:r w:rsidR="00B35BE5">
        <w:t xml:space="preserve"> zastępuje występujące w art. 432 § 4 KSH wyrażenie </w:t>
      </w:r>
      <w:r w:rsidR="00B35BE5" w:rsidRPr="00B35BE5">
        <w:t>„prospekt emisyjny” wyrazem „prospekt”</w:t>
      </w:r>
      <w:r w:rsidR="00B35BE5">
        <w:t>.</w:t>
      </w:r>
    </w:p>
    <w:p w14:paraId="247F1880" w14:textId="77777777" w:rsidR="007E6170" w:rsidRDefault="007E6170" w:rsidP="00CE41F6">
      <w:pPr>
        <w:pStyle w:val="ARTartustawynprozporzdzenia"/>
      </w:pPr>
      <w:r>
        <w:t xml:space="preserve">Zmiany w </w:t>
      </w:r>
      <w:r w:rsidR="00E4621C">
        <w:rPr>
          <w:rStyle w:val="Ppogrubienie"/>
        </w:rPr>
        <w:t>art. 8</w:t>
      </w:r>
      <w:r w:rsidRPr="007E6170">
        <w:rPr>
          <w:rStyle w:val="Ppogrubienie"/>
        </w:rPr>
        <w:t xml:space="preserve"> pkt </w:t>
      </w:r>
      <w:r w:rsidR="00D34944">
        <w:rPr>
          <w:rStyle w:val="Ppogrubienie"/>
        </w:rPr>
        <w:t>8</w:t>
      </w:r>
      <w:r>
        <w:t xml:space="preserve"> mają związek z zastąpieniem pojęcia subemisji usługowej i subemisji inwestycyjnej pojęciem gwarancji</w:t>
      </w:r>
      <w:r w:rsidR="00EC044C">
        <w:t xml:space="preserve"> emisji</w:t>
      </w:r>
      <w:r>
        <w:t>. Z tego względu występujące w art. 433 w § 1 w pkt 1 i 2, w § 4 i w § 5 w zdaniu pierwszym pojęcie subemitenta zastąpiono pojęciem gwaranta</w:t>
      </w:r>
      <w:r w:rsidR="00EC044C">
        <w:t xml:space="preserve"> emisji</w:t>
      </w:r>
      <w:r>
        <w:t>.</w:t>
      </w:r>
    </w:p>
    <w:p w14:paraId="3ADBA212" w14:textId="77777777" w:rsidR="007E6170" w:rsidRDefault="007E6170" w:rsidP="00CE41F6">
      <w:pPr>
        <w:pStyle w:val="ARTartustawynprozporzdzenia"/>
      </w:pPr>
      <w:r>
        <w:t xml:space="preserve">W </w:t>
      </w:r>
      <w:r w:rsidR="00E4621C">
        <w:rPr>
          <w:rStyle w:val="Ppogrubienie"/>
        </w:rPr>
        <w:t>art. 8</w:t>
      </w:r>
      <w:r w:rsidR="00D34944">
        <w:rPr>
          <w:rStyle w:val="Ppogrubienie"/>
        </w:rPr>
        <w:t xml:space="preserve"> pkt 9</w:t>
      </w:r>
      <w:r w:rsidRPr="007E6170">
        <w:rPr>
          <w:rStyle w:val="Ppogrubienie"/>
        </w:rPr>
        <w:t xml:space="preserve"> </w:t>
      </w:r>
      <w:r>
        <w:t>występujące w art. 436 § 1 KSH wyrażenie</w:t>
      </w:r>
      <w:r w:rsidRPr="007E6170">
        <w:t xml:space="preserve"> „prospekt emisyjny” </w:t>
      </w:r>
      <w:r>
        <w:t xml:space="preserve">zastępuje się </w:t>
      </w:r>
      <w:r w:rsidRPr="007E6170">
        <w:t>wyrazem „prospekt”.</w:t>
      </w:r>
    </w:p>
    <w:p w14:paraId="16E56688" w14:textId="77777777" w:rsidR="007E6170" w:rsidRDefault="00E4621C" w:rsidP="00CE41F6">
      <w:pPr>
        <w:pStyle w:val="ARTartustawynprozporzdzenia"/>
      </w:pPr>
      <w:r>
        <w:rPr>
          <w:rStyle w:val="Ppogrubienie"/>
        </w:rPr>
        <w:t>Art. 8</w:t>
      </w:r>
      <w:r w:rsidR="00D34944">
        <w:rPr>
          <w:rStyle w:val="Ppogrubienie"/>
        </w:rPr>
        <w:t xml:space="preserve"> pkt 10</w:t>
      </w:r>
      <w:r w:rsidR="007E6170" w:rsidRPr="007E6170">
        <w:rPr>
          <w:rStyle w:val="Ppogrubienie"/>
        </w:rPr>
        <w:t xml:space="preserve"> lit. a</w:t>
      </w:r>
      <w:r w:rsidR="007E6170">
        <w:t xml:space="preserve"> zastępuje w art. 440 § 1 pkt 3 KSH pojęcie subemitenta pojęciem gwaranta</w:t>
      </w:r>
      <w:r w:rsidR="00EC044C">
        <w:t xml:space="preserve"> emisji</w:t>
      </w:r>
      <w:r w:rsidR="007E6170">
        <w:t xml:space="preserve">. </w:t>
      </w:r>
      <w:r w:rsidR="007E6170" w:rsidRPr="007E6170">
        <w:rPr>
          <w:rStyle w:val="Ppogrubienie"/>
        </w:rPr>
        <w:t>Lit. b</w:t>
      </w:r>
      <w:r w:rsidR="007E6170">
        <w:t xml:space="preserve"> tego przepisu zmienia, w art. 440 § 3 KSH, wyrazy </w:t>
      </w:r>
      <w:r w:rsidR="007E6170" w:rsidRPr="007E6170">
        <w:t xml:space="preserve">„prospekt emisyjny” </w:t>
      </w:r>
      <w:r w:rsidR="007E6170">
        <w:t>na wyraz</w:t>
      </w:r>
      <w:r w:rsidR="007E6170" w:rsidRPr="007E6170">
        <w:t xml:space="preserve"> „prospekt”</w:t>
      </w:r>
      <w:r w:rsidR="007E6170">
        <w:t>.</w:t>
      </w:r>
    </w:p>
    <w:p w14:paraId="799B28A6" w14:textId="77777777" w:rsidR="007E6170" w:rsidRPr="00BF2F19" w:rsidRDefault="00E4621C" w:rsidP="00CE41F6">
      <w:pPr>
        <w:pStyle w:val="ARTartustawynprozporzdzenia"/>
      </w:pPr>
      <w:r>
        <w:rPr>
          <w:rStyle w:val="Ppogrubienie"/>
        </w:rPr>
        <w:t>Art. 8</w:t>
      </w:r>
      <w:r w:rsidR="007E6170" w:rsidRPr="007E6170">
        <w:rPr>
          <w:rStyle w:val="Ppogrubienie"/>
        </w:rPr>
        <w:t xml:space="preserve"> pkt 1</w:t>
      </w:r>
      <w:r w:rsidR="00D34944">
        <w:rPr>
          <w:rStyle w:val="Ppogrubienie"/>
        </w:rPr>
        <w:t>1</w:t>
      </w:r>
      <w:r w:rsidR="007E6170">
        <w:t xml:space="preserve"> zastępuje występujące w art. 441 § 2 pkt 6 i § 3 KSH </w:t>
      </w:r>
      <w:r w:rsidR="007E6170" w:rsidRPr="007E6170">
        <w:t xml:space="preserve">wyrazy „prospekt emisyjny” </w:t>
      </w:r>
      <w:r w:rsidR="007E6170">
        <w:t>wyrazem</w:t>
      </w:r>
      <w:r w:rsidR="007E6170" w:rsidRPr="007E6170">
        <w:t xml:space="preserve"> „prospekt”.</w:t>
      </w:r>
    </w:p>
    <w:p w14:paraId="50735FD1" w14:textId="7411BBB8" w:rsidR="0084020A" w:rsidRPr="00BF2F19" w:rsidRDefault="00E4621C" w:rsidP="0084020A">
      <w:pPr>
        <w:pStyle w:val="ARTartustawynprozporzdzenia"/>
      </w:pPr>
      <w:r>
        <w:rPr>
          <w:rStyle w:val="Ppogrubienie"/>
        </w:rPr>
        <w:t>Art. 9</w:t>
      </w:r>
      <w:r w:rsidR="0084020A" w:rsidRPr="00BF2F19">
        <w:rPr>
          <w:rStyle w:val="Ppogrubienie"/>
        </w:rPr>
        <w:t xml:space="preserve"> projektowanej ustawy</w:t>
      </w:r>
      <w:r w:rsidR="0084020A" w:rsidRPr="00BF2F19">
        <w:t xml:space="preserve"> wprowadza</w:t>
      </w:r>
      <w:r w:rsidR="00465AC9">
        <w:t xml:space="preserve"> zmianę do art. 334 ust. 3 ustawy z dnia 28 lutego 2003 r. – P</w:t>
      </w:r>
      <w:r w:rsidR="0067627C">
        <w:t>rawo upadłościowe (Dz. U. z 2019</w:t>
      </w:r>
      <w:r w:rsidR="00465AC9">
        <w:t xml:space="preserve"> r. poz. </w:t>
      </w:r>
      <w:r w:rsidR="0067627C">
        <w:t>498</w:t>
      </w:r>
      <w:r w:rsidR="00474522">
        <w:t>, z późn. zm.</w:t>
      </w:r>
      <w:r w:rsidR="00465AC9">
        <w:t>)</w:t>
      </w:r>
      <w:r w:rsidR="0084020A" w:rsidRPr="00BF2F19">
        <w:t>, której celem jest sprecyzowanie, że ogłoszenie udostępniane w związku ze sprzedażą papierów wartościowych przez syndyka nie stanowi oferty publicznej w rozumieniu przepisów rozporządzenia 2017/1129. Zmiana w tym przepisie polega na zastąpieniu dotychczasowego odwołania do przepisów ustawy o ofercie publicznej odwołaniem do bezpośrednio obowiązującego rozporządzenia 2017/1129.</w:t>
      </w:r>
      <w:r w:rsidR="005D353A" w:rsidRPr="00BF2F19">
        <w:t xml:space="preserve"> Ponadto wykreśla się fragment mówiący o braku stosowania art. 53 ust. 7 ustawy o ofercie publicznej, ze względu na uchylenie tego przepisu.</w:t>
      </w:r>
      <w:r w:rsidR="007946FC">
        <w:t xml:space="preserve"> U</w:t>
      </w:r>
      <w:r w:rsidR="007946FC" w:rsidRPr="007946FC">
        <w:t xml:space="preserve">życie w </w:t>
      </w:r>
      <w:r w:rsidR="007946FC">
        <w:t>projektowanym przepisie sformułowania</w:t>
      </w:r>
      <w:r w:rsidR="007946FC" w:rsidRPr="007946FC">
        <w:t xml:space="preserve"> „Nie stanowi oferty publicznej w rozumieniu rozporządzenia Parlamentu Europejskiego i Rady (UE) 2017/1129 (…)</w:t>
      </w:r>
      <w:r w:rsidR="007946FC">
        <w:t xml:space="preserve"> </w:t>
      </w:r>
      <w:r w:rsidR="007946FC" w:rsidRPr="007946FC">
        <w:t xml:space="preserve">ogłoszenie udostępniane w związku ze sprzedażą papierów wartościowych przez syndyka” nie stanowi niedopuszczalnej modyfikacji definicji oferty publicznej zawartej w rozporządzeniu 2017/1129, </w:t>
      </w:r>
      <w:r w:rsidR="0070433E">
        <w:t>co także potwierdza przywoływany już wcześniej</w:t>
      </w:r>
      <w:r w:rsidR="0070433E" w:rsidRPr="0070433E">
        <w:t xml:space="preserve"> wyrok TSUE z dnia 17 września 2014 r. w sprawie C-441/12 Almer Beheer BV i Daedalus Holding BV przeciwko Van den Dungen Vastgoed BV i Oosterhout II BVBA</w:t>
      </w:r>
      <w:r w:rsidR="0070433E">
        <w:t>. Ponadto, z</w:t>
      </w:r>
      <w:r w:rsidR="007946FC">
        <w:t>e względu na specyfikę postępowania upadłościowego, którego celem, co do zasady, powinna być jak najszybsza sprzedaż majątku dłużnika i uzyskanie zaspokojenia wierzycieli, nie jest zasadne obejmowanie syndyka obowiązkiem sporządzania prospektu i spełniania rygorystycznych wymogów związanych z ofertą publiczną, w przypadku gdy przedmiotem sprzedaży są papiery wartościowe.</w:t>
      </w:r>
    </w:p>
    <w:p w14:paraId="752FA3F9" w14:textId="6B346AB7" w:rsidR="00934B6B" w:rsidRDefault="0008513A" w:rsidP="00096F85">
      <w:pPr>
        <w:pStyle w:val="NIEARTTEKSTtekstnieartykuowanynppodstprawnarozplubpreambua"/>
      </w:pPr>
      <w:r w:rsidRPr="00BF2F19">
        <w:t xml:space="preserve">W </w:t>
      </w:r>
      <w:r w:rsidR="00E4621C">
        <w:rPr>
          <w:rStyle w:val="Ppogrubienie"/>
        </w:rPr>
        <w:t>art. 10</w:t>
      </w:r>
      <w:r w:rsidRPr="00BF2F19">
        <w:rPr>
          <w:rStyle w:val="Ppogrubienie"/>
        </w:rPr>
        <w:t xml:space="preserve"> projektu ustawy</w:t>
      </w:r>
      <w:r w:rsidRPr="00BF2F19">
        <w:t xml:space="preserve"> dokonuje się zmian w ustawie o funduszach inwestycyjnych. </w:t>
      </w:r>
      <w:r w:rsidR="00096F85" w:rsidRPr="00096F85">
        <w:rPr>
          <w:rStyle w:val="Ppogrubienie"/>
        </w:rPr>
        <w:t>P</w:t>
      </w:r>
      <w:r w:rsidR="004A1F2D" w:rsidRPr="00BF2F19">
        <w:rPr>
          <w:rStyle w:val="Ppogrubienie"/>
        </w:rPr>
        <w:t>kt 1 lit. a</w:t>
      </w:r>
      <w:r w:rsidR="004A1F2D" w:rsidRPr="00BF2F19">
        <w:t xml:space="preserve"> </w:t>
      </w:r>
      <w:r w:rsidR="00096F85">
        <w:t xml:space="preserve">naprawia błąd legislacyjny, którego skutkiem było dodanie w art. 2 ustawy o funduszach inwestycyjnych dwóch punktów oznaczonych jako </w:t>
      </w:r>
      <w:r w:rsidR="00096F85" w:rsidRPr="00096F85">
        <w:t>„</w:t>
      </w:r>
      <w:r w:rsidR="00096F85">
        <w:t>2f</w:t>
      </w:r>
      <w:r w:rsidR="00096F85" w:rsidRPr="00096F85">
        <w:t>”</w:t>
      </w:r>
      <w:r w:rsidR="00096F85">
        <w:t xml:space="preserve">. </w:t>
      </w:r>
      <w:r w:rsidR="00096F85" w:rsidRPr="00096F85">
        <w:rPr>
          <w:rStyle w:val="Ppogrubienie"/>
        </w:rPr>
        <w:t>Art. 10 pkt 1 lit. b</w:t>
      </w:r>
      <w:r w:rsidR="00096F85">
        <w:t xml:space="preserve"> dodaje </w:t>
      </w:r>
      <w:r w:rsidR="004A1F2D" w:rsidRPr="00BF2F19">
        <w:t>do słowniczka ustawowego skrótowe oznaczenie rozporządzenia 2017/1129, co przyczyni się do większej przejrzystości i czytelności odwołań do tego aktu prawnego w dalszych przepisach ustawy.</w:t>
      </w:r>
      <w:r w:rsidR="00096F85">
        <w:t xml:space="preserve"> W </w:t>
      </w:r>
      <w:r w:rsidR="00096F85" w:rsidRPr="00096F85">
        <w:rPr>
          <w:rStyle w:val="Ppogrubienie"/>
        </w:rPr>
        <w:t>lit. c</w:t>
      </w:r>
      <w:r w:rsidR="00096F85">
        <w:t xml:space="preserve"> zmienia się definicję podmiotu powiązanego, tak aby mieścił się w niej przypadek uznania danego podmiotu za podmiot dominujący na podstawie dodawanego art. 2a.</w:t>
      </w:r>
      <w:r w:rsidR="004A1F2D" w:rsidRPr="00BF2F19">
        <w:t xml:space="preserve"> </w:t>
      </w:r>
      <w:r w:rsidR="00096F85">
        <w:rPr>
          <w:rStyle w:val="Ppogrubienie"/>
        </w:rPr>
        <w:t>L</w:t>
      </w:r>
      <w:r w:rsidR="004A1F2D" w:rsidRPr="00BF2F19">
        <w:rPr>
          <w:rStyle w:val="Ppogrubienie"/>
        </w:rPr>
        <w:t xml:space="preserve">it. </w:t>
      </w:r>
      <w:r w:rsidR="00096F85">
        <w:rPr>
          <w:rStyle w:val="Ppogrubienie"/>
        </w:rPr>
        <w:t>d</w:t>
      </w:r>
      <w:r w:rsidR="004A1F2D" w:rsidRPr="00BF2F19">
        <w:t xml:space="preserve"> </w:t>
      </w:r>
      <w:r w:rsidR="004C7A62" w:rsidRPr="00BF2F19">
        <w:t>zmienia definicję oferty publicznej – w związku z przeniesieniem tej definicji z ustawy o ofercie publicznej do rozporządzenia 2017/1129, oraz definicję publicznego funduszu inwestycyjnego zamkniętego – przez wprowadzenie do niej wyłączenia ofert publicznych, które nie wymagają sporządzenia prospektu na podstawie przepisów rozporządzenia 2017/1129.</w:t>
      </w:r>
    </w:p>
    <w:p w14:paraId="3FB27980" w14:textId="77777777" w:rsidR="006702D9" w:rsidRPr="006702D9" w:rsidRDefault="006702D9" w:rsidP="006702D9">
      <w:pPr>
        <w:pStyle w:val="ARTartustawynprozporzdzenia"/>
      </w:pPr>
      <w:r>
        <w:t xml:space="preserve">Dodawany w </w:t>
      </w:r>
      <w:r w:rsidRPr="00492C36">
        <w:rPr>
          <w:rStyle w:val="Ppogrubienie"/>
        </w:rPr>
        <w:t>art. 10 pkt 2 projektu ustawy</w:t>
      </w:r>
      <w:r>
        <w:t xml:space="preserve"> art. 2a ustawy o funduszach inwestycyjnych umożliwi wzmocnienie kontroli kapitałowej nad towarzystwami funduszy inwestycyjnych, poprzez przyznanie KNF uprawnienia do uznania danego podmiotu za podmiot dominujący wobec towarzystwa. Przesłanki wydania takiej decyzji obejmować będą m.in. przypadki, w których wpływ na działalność towarzystw może być realizowany poprzez tzw. </w:t>
      </w:r>
      <w:r w:rsidRPr="00B35BE5">
        <w:t>„</w:t>
      </w:r>
      <w:r>
        <w:t>parkowanie akcji</w:t>
      </w:r>
      <w:r w:rsidRPr="00B35BE5">
        <w:t>”</w:t>
      </w:r>
      <w:r w:rsidR="00EE0F06">
        <w:t>, wynikać z powiązań kapitałowych, finansowych lub osobowych o charakterze prawnym lub faktycznym. Zmiana ta wynika z faktu, że system nadzoru nad funduszami inwestycyjnymi musi być stale wzmacniany, a wszelkie obserwowane niedoskonałości, czy też dostrzegane w praktyce luki prawne muszą być eliminowane. Jest to szczególnie istotne w związku z tym, że zdecydowaną większość instytucji finansowych prowadzących pracownicze plany kapitałowe będą stanowiły towarzystwa funduszy inwestycyjnych. Podmioty te będą w związku z powyższym zarządzać znacznymi aktywami</w:t>
      </w:r>
      <w:r w:rsidR="00492C36">
        <w:t>, a ich funkcjonowanie będzie miało istotny wpływ na rynek kapitałowy. Dlatego propozycja obejmuje również wyposażenie KNF w niezbędne środki nadzoru w postaci nakazu zaprzestania przez podmiot uznany za dominujący wywierania niekorzystnego wpływu na towarzystwo. Decyzja w tym przedmiocie będzie zawierać termin oraz warunki i zakres podjęcia stosownych czynności, a w przypadku niewykonania takiego nakazu KNF będzie uprawniona do nałożenia kary pieniężnej.</w:t>
      </w:r>
    </w:p>
    <w:p w14:paraId="3CEBE8A9" w14:textId="77777777" w:rsidR="0093643B" w:rsidRPr="00BF2F19" w:rsidRDefault="0093643B" w:rsidP="0093643B">
      <w:pPr>
        <w:pStyle w:val="ARTartustawynprozporzdzenia"/>
      </w:pPr>
      <w:r w:rsidRPr="00BF2F19">
        <w:t xml:space="preserve">Zmiany proponowane w </w:t>
      </w:r>
      <w:r w:rsidR="00E4621C">
        <w:rPr>
          <w:rStyle w:val="Ppogrubienie"/>
        </w:rPr>
        <w:t>art. 10</w:t>
      </w:r>
      <w:r w:rsidRPr="00BF2F19">
        <w:rPr>
          <w:rStyle w:val="Ppogrubienie"/>
        </w:rPr>
        <w:t xml:space="preserve"> pkt </w:t>
      </w:r>
      <w:r w:rsidR="00492C36">
        <w:rPr>
          <w:rStyle w:val="Ppogrubienie"/>
        </w:rPr>
        <w:t>3</w:t>
      </w:r>
      <w:r w:rsidRPr="00BF2F19">
        <w:t xml:space="preserve"> również mają związek ze zmianą definicji oferty publicznej. Z tego względu </w:t>
      </w:r>
      <w:r w:rsidRPr="00BF2F19">
        <w:rPr>
          <w:rStyle w:val="Ppogrubienie"/>
        </w:rPr>
        <w:t>lit. a</w:t>
      </w:r>
      <w:r w:rsidRPr="00BF2F19">
        <w:t xml:space="preserve"> modyfikuje treść art. 3 ust. 1 ustawy o funduszach inwestycyjnych, tak aby wyeliminować podział na publiczne i niepubliczne proponowanie nabycia jednostek uczestnictwa lub certyfikatów inwestycyjnych. W </w:t>
      </w:r>
      <w:r w:rsidRPr="00BF2F19">
        <w:rPr>
          <w:rStyle w:val="Ppogrubienie"/>
        </w:rPr>
        <w:t>lit. b</w:t>
      </w:r>
      <w:r w:rsidRPr="00BF2F19">
        <w:t xml:space="preserve"> uchyla się natomiast ust. 2 definiujący publiczne proponowanie nabycia.</w:t>
      </w:r>
    </w:p>
    <w:p w14:paraId="414967F9" w14:textId="77777777" w:rsidR="00542B37" w:rsidRDefault="00E4621C" w:rsidP="0093643B">
      <w:pPr>
        <w:pStyle w:val="ARTartustawynprozporzdzenia"/>
      </w:pPr>
      <w:r>
        <w:rPr>
          <w:rStyle w:val="Ppogrubienie"/>
        </w:rPr>
        <w:t>Art. 10</w:t>
      </w:r>
      <w:r w:rsidR="00542B37" w:rsidRPr="00BF2F19">
        <w:rPr>
          <w:rStyle w:val="Ppogrubienie"/>
        </w:rPr>
        <w:t xml:space="preserve"> pkt </w:t>
      </w:r>
      <w:r w:rsidR="00492C36">
        <w:rPr>
          <w:rStyle w:val="Ppogrubienie"/>
        </w:rPr>
        <w:t>4</w:t>
      </w:r>
      <w:r w:rsidR="00542B37" w:rsidRPr="00BF2F19">
        <w:t xml:space="preserve"> modyfikuje krąg uczestników funduszu inwestycyjnego, przez wskazanie, że takimi uczestnikami będą osoby wskazane w ewidencji osób uprawnionych prowadzonej przez agenta emisji. Zmiana ta jest konsekwencją propozycji kreowania certyfikatów inwestycyjnych w ewidencji prowadzonej przez agenta emisji, o którym mowa w ustawie o obrocie instrumentami finansowymi.</w:t>
      </w:r>
    </w:p>
    <w:p w14:paraId="3826875C" w14:textId="77777777" w:rsidR="009544D7" w:rsidRDefault="009544D7" w:rsidP="0093643B">
      <w:pPr>
        <w:pStyle w:val="ARTartustawynprozporzdzenia"/>
      </w:pPr>
      <w:r>
        <w:t xml:space="preserve">Celem zmiany proponowanej w </w:t>
      </w:r>
      <w:r w:rsidRPr="009544D7">
        <w:rPr>
          <w:rStyle w:val="Ppogrubienie"/>
        </w:rPr>
        <w:t>art</w:t>
      </w:r>
      <w:r w:rsidR="00492C36">
        <w:rPr>
          <w:rStyle w:val="Ppogrubienie"/>
        </w:rPr>
        <w:t>. 10 pkt 5</w:t>
      </w:r>
      <w:r w:rsidRPr="009544D7">
        <w:rPr>
          <w:rStyle w:val="Ppogrubienie"/>
        </w:rPr>
        <w:t xml:space="preserve"> lit. a</w:t>
      </w:r>
      <w:r>
        <w:t xml:space="preserve"> jest zapewnienie możliwości denominowania funduszu inwestycyjnego w danej walucie obcej, wskazanej w jego statucie, w sytuacji w której działalność inwestycyjna funduszu skupia się na lokatach dokonywanych poza granicami Rzeczypospolitej Polskiej za walutę obcą lub lokatach denominowanych w walucie obcej. Możliwość wyceny aktywów funduszu oraz ustalania zobowiązań funduszu w walucie obcej jest narzędziem prowadzącym do skutecznego wyeliminowania ryzyka kursowego funduszu w opisanej sytuacji. Przepis art. 13 ust. 1 ustawy o funduszach inwestycyjnych w dotychczasowym brzmieniu przewidywał możliwość denominowania funduszu w sytuacji, w której fundusz lokował co najmniej 50% wartości swoich aktywów w papiery wartościowe lub w instrumenty rynku pieniężnego nabywane poza granicami Rzeczypospolitej Polskiej za walutę obcą lub denominowane w walucie obcej. </w:t>
      </w:r>
      <w:r w:rsidR="00D11AB2">
        <w:t>Katalog zamykający się wyłącznie w dwóch rodzajach lokat w dobie internacjonalizacji działalności inwestycyjnej polskich funduszy inwestycyjnych nie odpowiada aktualnym potrzebom rynku. Brzmienie art. 13 ustawy o funduszach inwestycyjnych nie było modyfikowane od wprowadzenia ustawy do polskiego porządku prawnego, tj. od 2004 r. Od tego czasu w znacznym stopniu zmieniło się natomiast otoczenie gospodarcze funduszy inwestycyjnych, które poprzez członkostwo Polski w Unii Europejskiej stały się bardziej otwarte na rynki zagraniczne. Wzrosła również liczba Polaków zarabiających w walutach innych niż złoty, posiadających w tych walutach oszczędności i będących osobami potencjalnie zainteresowanymi inwestowaniem zgromadzonych środków w walutach, w których otrzymują wynagrodzenie. Jednocześnie dostępność funduszy denominowanych w walutach obcych na rodzimym rynku jest stosunkowo niska.</w:t>
      </w:r>
    </w:p>
    <w:p w14:paraId="3923AE56" w14:textId="77777777" w:rsidR="00D11AB2" w:rsidRDefault="00D11AB2" w:rsidP="0093643B">
      <w:pPr>
        <w:pStyle w:val="ARTartustawynprozporzdzenia"/>
      </w:pPr>
      <w:r>
        <w:t>Fundusze często posiadają szeroko określoną politykę inwestycyjną, która przewiduje możliwość lokowania środków pieniężnych w różne typy aktywów, co ma bezpośredni wpływ na kształt portfela inwestycyjnego danego funduszu, przy czym nie zawsze będą to papiery wartościowe</w:t>
      </w:r>
      <w:r w:rsidR="002A7FD3">
        <w:t xml:space="preserve"> i instrumenty rynku pieniężnego. Szczególnie fundusze inwestycyjne zamknięte uprawnione są do nabywania udziałów w spółkach z o.o. i ich zagranicznych odpowiednikach lub wierzytelności. Ponadto fundusze obowiązane są do utrzymywania części swoich aktywów również w postaci gotówkowej, chociażby w celu obsługi finansowej odkupów jednostek uczestnictwa albo umorzeń certyfikatów inwestycyjnych. Fundusz denominowany w walucie innej niż złoty, lokujący większość zgromadzonych środków w aktywa denominowane w walutach obcych zobowiązany był dotychczas utrzymywać co najmniej 50% swoich aktywów w instrumentach rynku pieniężnego i papierach wartościowych, a dopiero pozostała część portfela inwestycyjnego takiego funduszu mogła być inwestowana w pozostałe kategorie lokat, zgodnie ze statutem funduszu.</w:t>
      </w:r>
    </w:p>
    <w:p w14:paraId="28E3F1E2" w14:textId="77777777" w:rsidR="002A7FD3" w:rsidRDefault="002A7FD3" w:rsidP="0093643B">
      <w:pPr>
        <w:pStyle w:val="ARTartustawynprozporzdzenia"/>
      </w:pPr>
      <w:r>
        <w:t xml:space="preserve">Treść art. 13 ust. </w:t>
      </w:r>
      <w:r w:rsidR="00686AC7">
        <w:t>1</w:t>
      </w:r>
      <w:r>
        <w:t xml:space="preserve"> ustawy o funduszach inwestycyjnych została zmieniona w taki sposób, aby uwzględnić również fundusze inwestycyjne zamknięte. Aktualne brzmienie przepisu powodować bowiem mogło utrudnienia lub nawet niemożność tworzenia i zarządzania funduszami inwestycyjnymi zamkniętymi denominowanymi w walucie innej niż złoty. Proponuje się również, </w:t>
      </w:r>
      <w:r w:rsidR="009D0160">
        <w:t>aby wycena aktywów funduszu i ustalanie jego zobowiązań w walucie obcej było możliwe niezależnie od przedmiotu lokat dokonywanych przez fundusz. Wobec wszystkich lokat utrzymano natomiast wymóg nabywania ich poza granicami Rzeczypospolitej Polskiej za walutę obcą lub denominowania ich w walucie obcej, a także konieczność wskazania w polityce inwestycyjnej funduszu, że lokuje co najmniej 50% wartości swoich aktywów w takie lokaty.</w:t>
      </w:r>
    </w:p>
    <w:p w14:paraId="4BC3405F" w14:textId="77777777" w:rsidR="009D0160" w:rsidRPr="00BF2F19" w:rsidRDefault="00492C36" w:rsidP="0093643B">
      <w:pPr>
        <w:pStyle w:val="ARTartustawynprozporzdzenia"/>
      </w:pPr>
      <w:r>
        <w:rPr>
          <w:rStyle w:val="Ppogrubienie"/>
        </w:rPr>
        <w:t>Art. 10 pkt 5</w:t>
      </w:r>
      <w:r w:rsidR="009D0160" w:rsidRPr="009D0160">
        <w:rPr>
          <w:rStyle w:val="Ppogrubienie"/>
        </w:rPr>
        <w:t xml:space="preserve"> lit. b</w:t>
      </w:r>
      <w:r w:rsidR="009D0160">
        <w:t xml:space="preserve"> jest konsekwencją zmian wprowadzonych w art. 13 ust. 1 ustawy o funduszach inwestycyjnych. Pozostawienie ust. 3 tego przepisu w niezmienionym brzmieniu mogłoby rodzić wątpliwości co do dopuszczalności i warunków dokonywania wpłat i wypłat w walutach obcych w przypadku funduszy inwestycyjnych zamkniętych, w szczególności z tytułu wykupu certyfikatów, wypłaty przychodów ze zbycia lokat, czy wypłaty dochodów.</w:t>
      </w:r>
    </w:p>
    <w:p w14:paraId="1C894B1D" w14:textId="77777777" w:rsidR="00B509C1" w:rsidRPr="00BF2F19" w:rsidRDefault="00E4621C" w:rsidP="0093643B">
      <w:pPr>
        <w:pStyle w:val="ARTartustawynprozporzdzenia"/>
      </w:pPr>
      <w:r>
        <w:rPr>
          <w:rStyle w:val="Ppogrubienie"/>
        </w:rPr>
        <w:t>Art. 10</w:t>
      </w:r>
      <w:r w:rsidR="00492C36">
        <w:rPr>
          <w:rStyle w:val="Ppogrubienie"/>
        </w:rPr>
        <w:t xml:space="preserve"> pkt 6</w:t>
      </w:r>
      <w:r w:rsidR="00B509C1" w:rsidRPr="00BF2F19">
        <w:rPr>
          <w:rStyle w:val="Ppogrubienie"/>
        </w:rPr>
        <w:t xml:space="preserve"> projektu ustawy</w:t>
      </w:r>
      <w:r w:rsidR="00B509C1" w:rsidRPr="00BF2F19">
        <w:t xml:space="preserve"> dostosowuje treść art. 15 ust. 1a ustawy o funduszach inwestycyjnych do nowej definicji oferty publicznej.</w:t>
      </w:r>
    </w:p>
    <w:p w14:paraId="5A135FC4" w14:textId="77777777" w:rsidR="00B509C1" w:rsidRDefault="00B509C1" w:rsidP="0093643B">
      <w:pPr>
        <w:pStyle w:val="ARTartustawynprozporzdzenia"/>
      </w:pPr>
      <w:r w:rsidRPr="00BF2F19">
        <w:t xml:space="preserve">Zmiana proponowana w </w:t>
      </w:r>
      <w:r w:rsidR="00E4621C">
        <w:rPr>
          <w:rStyle w:val="Ppogrubienie"/>
        </w:rPr>
        <w:t>art. 10</w:t>
      </w:r>
      <w:r w:rsidRPr="00BF2F19">
        <w:rPr>
          <w:rStyle w:val="Ppogrubienie"/>
        </w:rPr>
        <w:t xml:space="preserve"> pkt </w:t>
      </w:r>
      <w:r w:rsidR="00492C36">
        <w:rPr>
          <w:rStyle w:val="Ppogrubienie"/>
        </w:rPr>
        <w:t>7</w:t>
      </w:r>
      <w:r w:rsidRPr="00BF2F19">
        <w:t xml:space="preserve"> </w:t>
      </w:r>
      <w:r w:rsidR="008640DE" w:rsidRPr="00BF2F19">
        <w:t>ma na celu ujednolicenie terminologii używanej w przepisach ustawy o funduszach inwestycyjnych, przez zmianę brzmienia art. 24 ust. 8d w taki sposób, aby była w nim mowa o funduszu inwestycyjnym zamkniętym, który nie jest publicznym funduszem inwestycyjnym zamkniętym.</w:t>
      </w:r>
    </w:p>
    <w:p w14:paraId="344DBFF1" w14:textId="77777777" w:rsidR="009D0160" w:rsidRDefault="0055137E" w:rsidP="0093643B">
      <w:pPr>
        <w:pStyle w:val="ARTartustawynprozporzdzenia"/>
      </w:pPr>
      <w:r>
        <w:t xml:space="preserve">Zmiana proponowana w </w:t>
      </w:r>
      <w:r w:rsidRPr="0055137E">
        <w:rPr>
          <w:rStyle w:val="Ppogrubienie"/>
        </w:rPr>
        <w:t xml:space="preserve">art. 10 pkt </w:t>
      </w:r>
      <w:r w:rsidR="00492C36">
        <w:rPr>
          <w:rStyle w:val="Ppogrubienie"/>
        </w:rPr>
        <w:t>8</w:t>
      </w:r>
      <w:r>
        <w:t xml:space="preserve"> związana jest ściśle ze zmianami proponowanymi do art. 117 ustawy o funduszach inwestycyjnych, polegających na zagwarantowaniu większej ochrony dla inwestorów niepublicznych funduszy inwestycyjnych zamkniętych, zwanych dalej </w:t>
      </w:r>
      <w:r w:rsidRPr="00BF2F19">
        <w:t>„</w:t>
      </w:r>
      <w:r>
        <w:t>niepublicznymi FIZ</w:t>
      </w:r>
      <w:r w:rsidRPr="007E6170">
        <w:t>”</w:t>
      </w:r>
      <w:r>
        <w:t>. Dodawany ust. 1a w art. 36 ustawy o funduszach inwestycyjnych wprowadza zasadę, że po podziale certyfikatu inwestycyjnego niepublicznego FIZ, wartość aktywów netto funduszu przypadająca na taki certyfikat nie może być niższa niż równowartość w złotych 40 000 euro. Powody wprowadzenia takiego rozwiązania szerzej opisano w uzasadnieniu do zmian wprowadzanych w art. 117 ustawy o funduszach inwestycyjnych.</w:t>
      </w:r>
    </w:p>
    <w:p w14:paraId="25C93CF2" w14:textId="06D13D34" w:rsidR="00F40676" w:rsidRDefault="00F40676" w:rsidP="0093643B">
      <w:pPr>
        <w:pStyle w:val="ARTartustawynprozporzdzenia"/>
      </w:pPr>
      <w:r w:rsidRPr="00096F85">
        <w:rPr>
          <w:rStyle w:val="Ppogrubienie"/>
        </w:rPr>
        <w:t>Art. 10 pkt 9</w:t>
      </w:r>
      <w:r w:rsidR="00096F85">
        <w:t xml:space="preserve"> </w:t>
      </w:r>
      <w:r w:rsidR="00096F85" w:rsidRPr="00096F85">
        <w:t xml:space="preserve">eliminuje błąd legislacyjny w ustawie o </w:t>
      </w:r>
      <w:r w:rsidR="00096F85">
        <w:t>funduszach inwestycyjnych</w:t>
      </w:r>
      <w:r w:rsidR="00096F85" w:rsidRPr="00096F85">
        <w:t xml:space="preserve"> polegający na posługiwaniu się w ustawie skrótową nazwą „Kodeksu spółek handlowych” bez wskazania pełnej nazwy i publikatora tej ustawy.</w:t>
      </w:r>
    </w:p>
    <w:p w14:paraId="3433D2D3" w14:textId="77777777" w:rsidR="00842B9E" w:rsidRDefault="00842B9E" w:rsidP="0093643B">
      <w:pPr>
        <w:pStyle w:val="ARTartustawynprozporzdzenia"/>
      </w:pPr>
      <w:r>
        <w:t xml:space="preserve">W </w:t>
      </w:r>
      <w:r w:rsidR="00492C36">
        <w:rPr>
          <w:rStyle w:val="Ppogrubienie"/>
        </w:rPr>
        <w:t xml:space="preserve">art. 10 pkt </w:t>
      </w:r>
      <w:r w:rsidR="00F40676">
        <w:rPr>
          <w:rStyle w:val="Ppogrubienie"/>
        </w:rPr>
        <w:t>10</w:t>
      </w:r>
      <w:r w:rsidRPr="00842B9E">
        <w:rPr>
          <w:rStyle w:val="Ppogrubienie"/>
        </w:rPr>
        <w:t>–1</w:t>
      </w:r>
      <w:r w:rsidR="00F40676">
        <w:rPr>
          <w:rStyle w:val="Ppogrubienie"/>
        </w:rPr>
        <w:t>2</w:t>
      </w:r>
      <w:r>
        <w:t xml:space="preserve"> proponuje się wprowadzenie zmian w zakresie powoływania członków zarządu towarzystw funduszy inwestycyjnych, w szczególności poprzez wprowadzenie obowiązku uzyskania zgody KNF na powołanie członka zarządu nadzorującego system zarządzania ryzykiem w towarzystwie oraz członka zarządu nadzorującego podejmowanie decyzji inwestycyjnych dotyczących portfeli inwestycyjnych funduszy zarządzanych przez towarzystwo lub portfeli, w skład których wchodzi jeden lub większa liczba instrumentów finansowych, zarządzanych przez towarzystwo. Zmiany te mają na celu dostosowanie przepisów ustawy o funduszach inwestycyjnych do obowiązujących obecnie rozwiązań zawartych w ustawie o organizacji i funkcjonowaniu funduszy emerytalnych, ustawie z dnia 29 sierpnia 1997 r. – Prawo bankowe, ustawie o obrocie instrumentami finansowymi oraz ustawie o działalności ubezpieczeniowej i reasekuracyjnej. W ustawach tych obowiązują już bowiem wymogi uzyskania zgody KNF na powołanie określonych członków zarządów towarzystwa emerytalnego, banku, domu maklerskiego i zakładu ubezpieczeń.</w:t>
      </w:r>
    </w:p>
    <w:p w14:paraId="432BCA5C" w14:textId="77777777" w:rsidR="0097180F" w:rsidRDefault="0097180F" w:rsidP="0093643B">
      <w:pPr>
        <w:pStyle w:val="ARTartustawynprozporzdzenia"/>
      </w:pPr>
      <w:r>
        <w:t>W przypadku pozostałych członków zarządu</w:t>
      </w:r>
      <w:r w:rsidR="00AC3D27">
        <w:t xml:space="preserve"> utrzymany zostanie obowiązujący już obecnie wymóg powiadomienia KNF o powołaniu nowego członka zarządu.</w:t>
      </w:r>
    </w:p>
    <w:p w14:paraId="01FEFFDF" w14:textId="77777777" w:rsidR="0097180F" w:rsidRDefault="0097180F" w:rsidP="0093643B">
      <w:pPr>
        <w:pStyle w:val="ARTartustawynprozporzdzenia"/>
      </w:pPr>
      <w:r>
        <w:t>Projektowane rozwiązania dostosowano do charakteru i warunków prowadzenia działalności przez towarzystwa funduszy inwestycyjnych, poprzez wyodrębnienie wskazanych wyżej funkcji nadzorujących członków zarządu. Jednocześnie zasadne jest, aby funkcje z zakresu zarządzania ryzykiem zostały oddzielone od funkcji związanych z podejmowaniem decyzji inwestycyjnych dotyczących portfela inwestycyjnego funduszu lub portfela, w skład którego wchodzi jeden lub większa liczba instrumentów finansowych, zarządzanych przez towarzystwo. Dodatkowo, analogicznie jak w przypadku określonych w ustawie o obrocie instrumentami finansowymi rozwiązań dotyczących domów maklerskich uzasadnione jest przyjęcie podziału kompetencji, polegającego na zakazie łączenia funkcji prezesa zarządu oraz członka zarządu nadzorującego system zarządzania ryzykiem.</w:t>
      </w:r>
    </w:p>
    <w:p w14:paraId="2EAAB653" w14:textId="77777777" w:rsidR="0097180F" w:rsidRDefault="0097180F" w:rsidP="0093643B">
      <w:pPr>
        <w:pStyle w:val="ARTartustawynprozporzdzenia"/>
      </w:pPr>
      <w:r>
        <w:t>Opisywana zmiana zapewni także, że kluczowe stanowiska w towarzystwie funduszy inwestycyjnych obejmowane będą</w:t>
      </w:r>
      <w:r w:rsidR="00AC3D27">
        <w:t xml:space="preserve"> przez osoby posiadające nieposzlakowaną opinię, odpowiednią wiedzę, umiejętności i doświadczenie do pełnienia funkcji i obowiązków, jakie mają im być powierzone. Wprowadzone zmiany mają na celu zapewnienie, że osoby te będą dawały rękojmię należytego wykonywania powierzonych im obowiązków i funkcji. W konsekwencji zmiany te wpłyną na bardziej ostrożne i stabilne zarządzanie towarzystwem funduszy inwestycyjnych, co przyczyni się do zwiększenia ochrony inwestorów dokonujących inwestycji w fundusze inwestycyjne.</w:t>
      </w:r>
    </w:p>
    <w:p w14:paraId="66215D5A" w14:textId="77777777" w:rsidR="00AC3D27" w:rsidRPr="00BF2F19" w:rsidRDefault="00E26038" w:rsidP="0093643B">
      <w:pPr>
        <w:pStyle w:val="ARTartustawynprozporzdzenia"/>
      </w:pPr>
      <w:r>
        <w:t xml:space="preserve">Uchylenie art. 44 ust. 1 i 2 ustawy o funduszach inwestycyjnych, proponowane w </w:t>
      </w:r>
      <w:r w:rsidR="00492C36">
        <w:rPr>
          <w:rStyle w:val="Ppogrubienie"/>
        </w:rPr>
        <w:t>art. 10 pkt 1</w:t>
      </w:r>
      <w:r w:rsidR="00F40676">
        <w:rPr>
          <w:rStyle w:val="Ppogrubienie"/>
        </w:rPr>
        <w:t>3</w:t>
      </w:r>
      <w:r w:rsidRPr="00E26038">
        <w:rPr>
          <w:rStyle w:val="Ppogrubienie"/>
        </w:rPr>
        <w:t xml:space="preserve"> lit. a projektu</w:t>
      </w:r>
      <w:r>
        <w:t xml:space="preserve">, spowodowane jest przeniesieniem tych przepisów odpowiednio do art. </w:t>
      </w:r>
      <w:r w:rsidR="00A13510">
        <w:t xml:space="preserve">42 ust. 2, 4 i 6 oraz art. 42 ust. 3 ustawy o funduszach inwestycyjnych w projektowanym brzmieniu. Przepisy te odnosić się będą </w:t>
      </w:r>
      <w:r>
        <w:t xml:space="preserve">do członków zarówno zarządu jak i rady nadzorczej. Natomiast zmiana proponowana w </w:t>
      </w:r>
      <w:r w:rsidRPr="00E26038">
        <w:rPr>
          <w:rStyle w:val="Ppogrubienie"/>
        </w:rPr>
        <w:t>lit. b</w:t>
      </w:r>
      <w:r>
        <w:t xml:space="preserve"> sprowadza się do dodania obowiązku dołączenia informacji i oświadczeń o spełnianiu przez członków rady nadzorczej wymogów nieposzlakowanej opinii, wiedzy, kompetencji i doświadczenia, do powiadomienia o powołaniu nowego członka rady nadzorczej.</w:t>
      </w:r>
    </w:p>
    <w:p w14:paraId="29073650" w14:textId="7778F168" w:rsidR="0008513A" w:rsidRPr="00BF2F19" w:rsidRDefault="006678B5" w:rsidP="0008513A">
      <w:pPr>
        <w:pStyle w:val="NIEARTTEKSTtekstnieartykuowanynppodstprawnarozplubpreambua"/>
      </w:pPr>
      <w:r>
        <w:rPr>
          <w:rStyle w:val="Ppogrubienie"/>
        </w:rPr>
        <w:t>A</w:t>
      </w:r>
      <w:r w:rsidR="00E4621C">
        <w:rPr>
          <w:rStyle w:val="Ppogrubienie"/>
        </w:rPr>
        <w:t>rt. 10</w:t>
      </w:r>
      <w:r w:rsidR="00934B6B" w:rsidRPr="00BF2F19">
        <w:rPr>
          <w:rStyle w:val="Ppogrubienie"/>
        </w:rPr>
        <w:t xml:space="preserve"> p</w:t>
      </w:r>
      <w:r w:rsidR="0008513A" w:rsidRPr="00BF2F19">
        <w:rPr>
          <w:rStyle w:val="Ppogrubienie"/>
        </w:rPr>
        <w:t xml:space="preserve">kt </w:t>
      </w:r>
      <w:r w:rsidR="009D0160">
        <w:rPr>
          <w:rStyle w:val="Ppogrubienie"/>
        </w:rPr>
        <w:t>1</w:t>
      </w:r>
      <w:r w:rsidR="00F40676">
        <w:rPr>
          <w:rStyle w:val="Ppogrubienie"/>
        </w:rPr>
        <w:t>4</w:t>
      </w:r>
      <w:r w:rsidR="0008513A" w:rsidRPr="00BF2F19">
        <w:t xml:space="preserve"> dodaje </w:t>
      </w:r>
      <w:r>
        <w:t xml:space="preserve">w ustawie o funduszach inwestycyjnych </w:t>
      </w:r>
      <w:r w:rsidR="007A0F13">
        <w:t>przepisy art. 46d–46g</w:t>
      </w:r>
      <w:r w:rsidR="0008513A" w:rsidRPr="00BF2F19">
        <w:t xml:space="preserve">, które odnoszą się do polityki dotyczącej zaangażowania towarzystw funduszy inwestycyjnych. Art. 46d i 46e przewidują obowiązek publikowania takiej polityki przez towarzystwo funduszy inwestycyjnych i, co do zasady, stanowią powtórzenie przepisów art. </w:t>
      </w:r>
      <w:r w:rsidR="003160F2">
        <w:t>142a i 14</w:t>
      </w:r>
      <w:r w:rsidR="00526D69" w:rsidRPr="00BF2F19">
        <w:t>2</w:t>
      </w:r>
      <w:r w:rsidR="0008513A" w:rsidRPr="00BF2F19">
        <w:t xml:space="preserve">b ustawy o </w:t>
      </w:r>
      <w:r w:rsidR="00526D69" w:rsidRPr="00BF2F19">
        <w:t>organizacji i funkcjonowaniu funduszy emerytalnych</w:t>
      </w:r>
      <w:r w:rsidR="0008513A" w:rsidRPr="00BF2F19">
        <w:t>.</w:t>
      </w:r>
    </w:p>
    <w:p w14:paraId="14BB7521" w14:textId="77777777" w:rsidR="0008513A" w:rsidRDefault="0008513A" w:rsidP="0008513A">
      <w:pPr>
        <w:pStyle w:val="NIEARTTEKSTtekstnieartykuowanynppodstprawnarozplubpreambua"/>
      </w:pPr>
      <w:r w:rsidRPr="00BF2F19">
        <w:t xml:space="preserve">Art. 46f przewiduje natomiast konieczność ujawniania przez towarzystwo funduszy inwestycyjnych określonych informacji w przypadku, gdy </w:t>
      </w:r>
      <w:r w:rsidR="006678B5">
        <w:t xml:space="preserve">to </w:t>
      </w:r>
      <w:r w:rsidRPr="00BF2F19">
        <w:t xml:space="preserve">towarzystwo dokonuje inwestycji w </w:t>
      </w:r>
      <w:r w:rsidR="0004628E">
        <w:t>ramach zarządzania aktywami pracowniczego funduszu emerytalnego, świadczenia usług zarządzania aktywami, w skład których wchodzi jeden lub większa liczba instrumentów finansowych na rzecz zakładu ubezpieczeń lub zakładu reasekuracji, które wykonują działalność w zakresie ubezpieczeń na życie, lub zarządzania funduszami, których jednostki uczestnictwa lub certyfikaty inwestycyjne posiada pracowniczy fundusz emerytalny, zakład ubezpieczeń lub zakład reasekuracji</w:t>
      </w:r>
      <w:r w:rsidRPr="00BF2F19">
        <w:t xml:space="preserve">. Ujawnianie tych informacji umożliwi inwestorom instytucjonalnym ocenę strategii inwestycyjnej </w:t>
      </w:r>
      <w:r w:rsidR="00CF320B" w:rsidRPr="00BF2F19">
        <w:t>funduszu</w:t>
      </w:r>
      <w:r w:rsidRPr="00BF2F19">
        <w:t xml:space="preserve">, w szczególności czy </w:t>
      </w:r>
      <w:r w:rsidR="00CF320B" w:rsidRPr="00BF2F19">
        <w:t>fundusz</w:t>
      </w:r>
      <w:r w:rsidRPr="00BF2F19">
        <w:t xml:space="preserve"> działa w najlepszym interesie długoterminowym inwestora i czy realizuje strategię umożliwiającą zaangażowanie akcjonariuszy. Zakres informacji, określony w ust. 2, obejmuje minimalne informacje, które są niezbędne do właściwej oceny i rozliczenia </w:t>
      </w:r>
      <w:r w:rsidR="00CF320B" w:rsidRPr="00BF2F19">
        <w:t>funduszu</w:t>
      </w:r>
      <w:r w:rsidRPr="00BF2F19">
        <w:t>.</w:t>
      </w:r>
    </w:p>
    <w:p w14:paraId="75D20F80" w14:textId="51454734" w:rsidR="007A0F13" w:rsidRPr="007A0F13" w:rsidRDefault="007A0F13" w:rsidP="007A0F13">
      <w:pPr>
        <w:pStyle w:val="ARTartustawynprozporzdzenia"/>
      </w:pPr>
      <w:r>
        <w:t xml:space="preserve">Art. 46g </w:t>
      </w:r>
      <w:r w:rsidRPr="007A0F13">
        <w:t xml:space="preserve">przewiduje odpowiedzialność członków zarządu towarzystwa zarządzającego funduszem, który ma obowiązek sporządzać dokumenty, o których mowa w art. </w:t>
      </w:r>
      <w:r>
        <w:t>46d–46f</w:t>
      </w:r>
      <w:r w:rsidRPr="007A0F13">
        <w:t>, za opracowanie i publikację tych dokumentów oraz za informacje zawarte w tych dokumentach</w:t>
      </w:r>
      <w:r>
        <w:t>.</w:t>
      </w:r>
    </w:p>
    <w:p w14:paraId="76893333" w14:textId="77777777" w:rsidR="009D0160" w:rsidRDefault="00A13510" w:rsidP="009D0160">
      <w:pPr>
        <w:pStyle w:val="ARTartustawynprozporzdzenia"/>
      </w:pPr>
      <w:r w:rsidRPr="00A13510">
        <w:rPr>
          <w:rStyle w:val="Ppogrubienie"/>
        </w:rPr>
        <w:t>Art. 10 pkt 1</w:t>
      </w:r>
      <w:r w:rsidR="00F40676">
        <w:rPr>
          <w:rStyle w:val="Ppogrubienie"/>
        </w:rPr>
        <w:t>5</w:t>
      </w:r>
      <w:r>
        <w:t xml:space="preserve"> dodaje delegację ustawową dla ministra właściwego do spraw instytucji finansowych do uregulowania w drodze rozporządzenia szczegółowych kryteriów w zakresie spełniania przez członków zarządu i rady nadzorczej towarzystwa wymogu posiadania nieposzlakowanej opinii, wiedzy, kompetencji i doświadczenia, oraz w zakresie dokonywania oceny i weryfikacji spełniania tych wymogów. Podobna delegacja zawarta jest już w ustawie o obrocie instrumentami finansowymi.</w:t>
      </w:r>
    </w:p>
    <w:p w14:paraId="087E1EEC" w14:textId="77777777" w:rsidR="00A13510" w:rsidRDefault="00492C36" w:rsidP="009D0160">
      <w:pPr>
        <w:pStyle w:val="ARTartustawynprozporzdzenia"/>
      </w:pPr>
      <w:r>
        <w:rPr>
          <w:rStyle w:val="Ppogrubienie"/>
        </w:rPr>
        <w:t>Art. 10 pkt 1</w:t>
      </w:r>
      <w:r w:rsidR="00F40676">
        <w:rPr>
          <w:rStyle w:val="Ppogrubienie"/>
        </w:rPr>
        <w:t>6</w:t>
      </w:r>
      <w:r w:rsidR="00A13510" w:rsidRPr="00055F2A">
        <w:rPr>
          <w:rStyle w:val="Ppogrubienie"/>
        </w:rPr>
        <w:t xml:space="preserve"> lit. a</w:t>
      </w:r>
      <w:r w:rsidR="00A13510">
        <w:t xml:space="preserve"> dostosowuje katalog wymogów, których spełnienie nie jest wymagane</w:t>
      </w:r>
      <w:r w:rsidR="00055F2A">
        <w:t xml:space="preserve"> przez towarzystwo funduszy inwestycyjnych w przypadku opisanym w tym przepisie, do zmienionej numeracji przepisów mówiących o wymaganiach dla członków zarządu i rady nadzorczej towarzystwa.</w:t>
      </w:r>
    </w:p>
    <w:p w14:paraId="6974ECB8" w14:textId="77777777" w:rsidR="00055F2A" w:rsidRPr="009D0160" w:rsidRDefault="00055F2A" w:rsidP="009D0160">
      <w:pPr>
        <w:pStyle w:val="ARTartustawynprozporzdzenia"/>
      </w:pPr>
      <w:r w:rsidRPr="002A743C">
        <w:rPr>
          <w:rStyle w:val="Ppogrubienie"/>
        </w:rPr>
        <w:t>Lit. b</w:t>
      </w:r>
      <w:r w:rsidR="002A743C">
        <w:t xml:space="preserve"> przewiduje natomiast, że jeśli towarzystwu funduszy inwestycyjnych zostanie odebrane zezwolenie na prowadzenie działalności lub zostanie wobec niego wydany zakaz wykonywania działalności w zakresie zarządzania funduszem ze względu na niewyrażenie przez KNF uprzedniej zgody na powołanie członka zarządu, rada nadzorcza będzie musiała niezwłocznie wystąpić o wyrażenie takiej zgody, przy czym członek zarządu, którego dotyczy wniosek, będzie mógł pełnić swoją funkcję do czasu podjęcia decyzji przez KNF.</w:t>
      </w:r>
    </w:p>
    <w:p w14:paraId="45AA3665" w14:textId="77777777" w:rsidR="008640DE" w:rsidRDefault="00E4621C" w:rsidP="008640DE">
      <w:pPr>
        <w:pStyle w:val="ARTartustawynprozporzdzenia"/>
      </w:pPr>
      <w:r>
        <w:rPr>
          <w:rStyle w:val="Ppogrubienie"/>
        </w:rPr>
        <w:t>Art. 10</w:t>
      </w:r>
      <w:r w:rsidR="008640DE" w:rsidRPr="00BF2F19">
        <w:rPr>
          <w:rStyle w:val="Ppogrubienie"/>
        </w:rPr>
        <w:t xml:space="preserve"> pkt </w:t>
      </w:r>
      <w:r w:rsidR="009D0160">
        <w:rPr>
          <w:rStyle w:val="Ppogrubienie"/>
        </w:rPr>
        <w:t>1</w:t>
      </w:r>
      <w:r w:rsidR="00F40676">
        <w:rPr>
          <w:rStyle w:val="Ppogrubienie"/>
        </w:rPr>
        <w:t>7</w:t>
      </w:r>
      <w:r w:rsidR="008640DE" w:rsidRPr="00BF2F19">
        <w:t xml:space="preserve"> zastępuje użyte w art. 54 ust. 9 ustawy o funduszach inwestycyjnych pojęcie subemisji inwestycyjnej pojęciem gwarancji</w:t>
      </w:r>
      <w:r w:rsidR="00EC044C">
        <w:t xml:space="preserve"> emisji</w:t>
      </w:r>
      <w:r w:rsidR="008640DE" w:rsidRPr="00BF2F19">
        <w:t>, w związku z zastąpieniem tych pojęć w ustawie o ofercie publicznej.</w:t>
      </w:r>
    </w:p>
    <w:p w14:paraId="2DF59B95" w14:textId="77777777" w:rsidR="009D0160" w:rsidRDefault="002A743C" w:rsidP="008640DE">
      <w:pPr>
        <w:pStyle w:val="ARTartustawynprozporzdzenia"/>
      </w:pPr>
      <w:r w:rsidRPr="00F04CFB">
        <w:rPr>
          <w:rStyle w:val="Ppogrubienie"/>
        </w:rPr>
        <w:t>Art. 10 pkt 1</w:t>
      </w:r>
      <w:r w:rsidR="00F40676">
        <w:rPr>
          <w:rStyle w:val="Ppogrubienie"/>
        </w:rPr>
        <w:t>8</w:t>
      </w:r>
      <w:r>
        <w:t xml:space="preserve"> odsyła do informacji i oświadczeń wskazanych w art. 42b ust. 2 ustawy o funduszach inwes</w:t>
      </w:r>
      <w:r w:rsidR="00B37D6E">
        <w:t>tycyjnych, dostosowując zakres dokumentów przedstawianych przez spółkę ubiegającą się o zezwolenie na wykonywanie działalności przez towarzystwo</w:t>
      </w:r>
      <w:r w:rsidR="00F04CFB">
        <w:t xml:space="preserve"> do katalogu informacji dotyczących członków zarządu towarzystwa.</w:t>
      </w:r>
    </w:p>
    <w:p w14:paraId="425E6345" w14:textId="77777777" w:rsidR="00F04CFB" w:rsidRDefault="00F04CFB" w:rsidP="008640DE">
      <w:pPr>
        <w:pStyle w:val="ARTartustawynprozporzdzenia"/>
      </w:pPr>
      <w:r w:rsidRPr="00F04CFB">
        <w:rPr>
          <w:rStyle w:val="Ppogrubienie"/>
        </w:rPr>
        <w:t>Art. 10 pkt 1</w:t>
      </w:r>
      <w:r w:rsidR="00F40676">
        <w:rPr>
          <w:rStyle w:val="Ppogrubienie"/>
        </w:rPr>
        <w:t>9</w:t>
      </w:r>
      <w:r w:rsidRPr="00F04CFB">
        <w:rPr>
          <w:rStyle w:val="Ppogrubienie"/>
        </w:rPr>
        <w:t xml:space="preserve"> lit. a</w:t>
      </w:r>
      <w:r>
        <w:t xml:space="preserve"> przesądza, że zgoda na powołanie członków zarządu nadzorujących podejmowanie decyzji inwestycyjnych oraz system zarządzania ryzykiem musi być udzielona po raz pierwszy w momencie wydania przez KNF zezwolenia na wykonywanie działalności przez towarzystwo.</w:t>
      </w:r>
    </w:p>
    <w:p w14:paraId="3A131420" w14:textId="77777777" w:rsidR="00F04CFB" w:rsidRDefault="00F04CFB" w:rsidP="008640DE">
      <w:pPr>
        <w:pStyle w:val="ARTartustawynprozporzdzenia"/>
      </w:pPr>
      <w:r w:rsidRPr="00F04CFB">
        <w:rPr>
          <w:rStyle w:val="Ppogrubienie"/>
        </w:rPr>
        <w:t>Lit. b</w:t>
      </w:r>
      <w:r>
        <w:t xml:space="preserve"> dostosowuje odesłania zawarte w art. 61 ust. 4 pkt 2 ustawy o funduszach inwestycyjnych do zmienionej numeracji przepisów określających wymagania dla członków zarządu i rady nadzorczej towarzystwa.</w:t>
      </w:r>
    </w:p>
    <w:p w14:paraId="08F7E319" w14:textId="77777777" w:rsidR="00F04CFB" w:rsidRPr="00BF2F19" w:rsidRDefault="00F04CFB" w:rsidP="008640DE">
      <w:pPr>
        <w:pStyle w:val="ARTartustawynprozporzdzenia"/>
      </w:pPr>
      <w:r w:rsidRPr="00F04CFB">
        <w:rPr>
          <w:rStyle w:val="Ppogrubienie"/>
        </w:rPr>
        <w:t xml:space="preserve">Art. 10 pkt </w:t>
      </w:r>
      <w:r w:rsidR="00F40676">
        <w:rPr>
          <w:rStyle w:val="Ppogrubienie"/>
        </w:rPr>
        <w:t>20</w:t>
      </w:r>
      <w:r>
        <w:t xml:space="preserve"> służy temu samemu celowi, zmieniając treść przepisów art. 61a ust. 1 oraz ust. 6 pkt 2 ustawy o funduszach inwestycyjnych.</w:t>
      </w:r>
    </w:p>
    <w:p w14:paraId="28CFF6E6" w14:textId="0D8A55AF" w:rsidR="00934B6B" w:rsidRDefault="0008513A" w:rsidP="00A26289">
      <w:pPr>
        <w:pStyle w:val="NIEARTTEKSTtekstnieartykuowanynppodstprawnarozplubpreambua"/>
      </w:pPr>
      <w:r w:rsidRPr="00BF2F19">
        <w:t xml:space="preserve">Dodawane przez </w:t>
      </w:r>
      <w:r w:rsidR="008640DE" w:rsidRPr="00BF2F19">
        <w:rPr>
          <w:rStyle w:val="Ppogrubienie"/>
        </w:rPr>
        <w:t>art</w:t>
      </w:r>
      <w:r w:rsidR="00E4621C">
        <w:rPr>
          <w:rStyle w:val="Ppogrubienie"/>
        </w:rPr>
        <w:t>. 10</w:t>
      </w:r>
      <w:r w:rsidR="00492C36">
        <w:rPr>
          <w:rStyle w:val="Ppogrubienie"/>
        </w:rPr>
        <w:t xml:space="preserve"> pkt 2</w:t>
      </w:r>
      <w:r w:rsidR="00F40676">
        <w:rPr>
          <w:rStyle w:val="Ppogrubienie"/>
        </w:rPr>
        <w:t>1</w:t>
      </w:r>
      <w:r w:rsidRPr="00BF2F19">
        <w:rPr>
          <w:rStyle w:val="Ppogrubienie"/>
        </w:rPr>
        <w:t xml:space="preserve"> projektu</w:t>
      </w:r>
      <w:r w:rsidR="007A0F13">
        <w:t xml:space="preserve"> przepisy art. 70ba–70bd</w:t>
      </w:r>
      <w:r w:rsidRPr="00BF2F19">
        <w:t xml:space="preserve"> będą miały zastosowanie do zarządzających alternatywnymi spółkami inwestycyjnymi. Nakładają one obowiązki analogiczne do ty</w:t>
      </w:r>
      <w:r w:rsidR="007A0F13">
        <w:t>ch przewidzianych w art. 46d–46g</w:t>
      </w:r>
      <w:r w:rsidRPr="00BF2F19">
        <w:t xml:space="preserve"> i stanowią powtórzenie przepisów odnoszących się do towarzystw funduszy inwestycyjnych.</w:t>
      </w:r>
      <w:r w:rsidR="0004628E">
        <w:t xml:space="preserve"> Projektowany art. 70bc stanowi przy tym, że obowiązek informowania o zgodności strategii inwestycyjnej i jej realizacji z ustaleniami będzie miał zastosowanie do zarządzających ASI, którzy zarządzają alternatywnymi spółkami inwestycyjnymi, których </w:t>
      </w:r>
      <w:r w:rsidR="009655A7">
        <w:t>prawa uczestnictwa posiadają pracowniczy fundusz emerytalny oraz zakład ubezpieczeń lub zakład reasekuracji, wykonujące działalność w zakresie ubezpieczeń na życie</w:t>
      </w:r>
      <w:r w:rsidR="0004628E">
        <w:t>. Wynika to z zakresu czynności, do dokonywania których są uprawnione te podmioty na podstawie obowiązujących przepisów ustawy o funduszach inwestycyjnych.</w:t>
      </w:r>
      <w:r w:rsidR="007A0F13">
        <w:t xml:space="preserve"> Odpowiedzialność za opracowanie, publikację i treść dokumentów będzie na mocy art. 70bd ciążyć na członkach zarządu </w:t>
      </w:r>
      <w:r w:rsidR="007A0F13" w:rsidRPr="007A0F13">
        <w:t>zarządzającego ASI zarządzającego alternatywną spółką inwestycyjną</w:t>
      </w:r>
      <w:r w:rsidR="007A0F13">
        <w:t>, która ma obowiązek sporządzania tych dokumentów.</w:t>
      </w:r>
    </w:p>
    <w:p w14:paraId="4D3F8D9A" w14:textId="77777777" w:rsidR="009D0160" w:rsidRPr="009D0160" w:rsidRDefault="00492C36" w:rsidP="007A5DAD">
      <w:pPr>
        <w:pStyle w:val="NIEARTTEKSTtekstnieartykuowanynppodstprawnarozplubpreambua"/>
      </w:pPr>
      <w:r>
        <w:rPr>
          <w:rStyle w:val="Ppogrubienie"/>
        </w:rPr>
        <w:t>Art. 10 pkt 2</w:t>
      </w:r>
      <w:r w:rsidR="00F40676">
        <w:rPr>
          <w:rStyle w:val="Ppogrubienie"/>
        </w:rPr>
        <w:t>2</w:t>
      </w:r>
      <w:r w:rsidR="007A5DAD" w:rsidRPr="007A5DAD">
        <w:rPr>
          <w:rStyle w:val="Ppogrubienie"/>
        </w:rPr>
        <w:t xml:space="preserve"> lit. a</w:t>
      </w:r>
      <w:r w:rsidR="007A5DAD">
        <w:t xml:space="preserve">, modyfikujący treść art. 70d ust. 2 ustawy o funduszach inwestycyjnych, określa warunki, jakie powinien spełniać członek zarządu zarządzającego ASI, rezygnując w tym zakresie z odesłania do art. 42 ust. 2 ze względu na przeniesienie wymagań, jakie musi spełniać członek zarządu do kilku innych przepisów. </w:t>
      </w:r>
      <w:r w:rsidR="007A5DAD" w:rsidRPr="007A5DAD">
        <w:rPr>
          <w:rStyle w:val="Ppogrubienie"/>
        </w:rPr>
        <w:t xml:space="preserve">Lit. b i c </w:t>
      </w:r>
      <w:r w:rsidR="007A5DAD">
        <w:t>służą poprawieniu odesłań w pozostałych ustępach tego artykułu, tak aby nie zawierały one błędnych odwołań.</w:t>
      </w:r>
    </w:p>
    <w:p w14:paraId="1A2821B1" w14:textId="77777777" w:rsidR="00C57E6D" w:rsidRDefault="00E4621C" w:rsidP="00934B6B">
      <w:pPr>
        <w:pStyle w:val="ARTartustawynprozporzdzenia"/>
      </w:pPr>
      <w:r>
        <w:rPr>
          <w:rStyle w:val="Ppogrubienie"/>
        </w:rPr>
        <w:t>Art. 10</w:t>
      </w:r>
      <w:r w:rsidR="00492C36">
        <w:rPr>
          <w:rStyle w:val="Ppogrubienie"/>
        </w:rPr>
        <w:t xml:space="preserve"> pkt 2</w:t>
      </w:r>
      <w:r w:rsidR="00F40676">
        <w:rPr>
          <w:rStyle w:val="Ppogrubienie"/>
        </w:rPr>
        <w:t>3</w:t>
      </w:r>
      <w:r w:rsidR="00C57E6D" w:rsidRPr="00BF2F19">
        <w:rPr>
          <w:rStyle w:val="Ppogrubienie"/>
        </w:rPr>
        <w:t xml:space="preserve"> lit. a</w:t>
      </w:r>
      <w:r w:rsidR="00C57E6D" w:rsidRPr="00BF2F19">
        <w:t xml:space="preserve"> zmienia art. 70f ustawy o funduszach inwestycyjnych, tak aby dostosować brzmienie ust. 1 pkt 2 do nowej definicji oferty publicznej. Na mocy </w:t>
      </w:r>
      <w:r w:rsidR="00C57E6D" w:rsidRPr="00BF2F19">
        <w:rPr>
          <w:rStyle w:val="Ppogrubienie"/>
        </w:rPr>
        <w:t>lit. b</w:t>
      </w:r>
      <w:r w:rsidR="00C57E6D" w:rsidRPr="00BF2F19">
        <w:t>, w ust. 2 wprowadzone zostanie odwołanie również do rozporządzenia 2017/1129, jako do aktu prawnego regulującego kwestie przeprowadzania oferty publicznej.</w:t>
      </w:r>
    </w:p>
    <w:p w14:paraId="10A1477D" w14:textId="77777777" w:rsidR="009D0160" w:rsidRDefault="007A5DAD" w:rsidP="00934B6B">
      <w:pPr>
        <w:pStyle w:val="ARTartustawynprozporzdzenia"/>
      </w:pPr>
      <w:r w:rsidRPr="007A5DAD">
        <w:rPr>
          <w:rStyle w:val="Ppogrubienie"/>
        </w:rPr>
        <w:t>Art. 10 pkt 2</w:t>
      </w:r>
      <w:r w:rsidR="00F40676">
        <w:rPr>
          <w:rStyle w:val="Ppogrubienie"/>
        </w:rPr>
        <w:t>4</w:t>
      </w:r>
      <w:r>
        <w:t xml:space="preserve"> zmienia odwołanie zawarte w art. 70s ust. 3 pkt 3 ustawy o funduszach inwestycyjnych, tak aby przepis ten wskazywał wymagania określone w art. 70d ust. 3.</w:t>
      </w:r>
    </w:p>
    <w:p w14:paraId="16404521" w14:textId="5E291B83" w:rsidR="007A5DAD" w:rsidRPr="00BF2F19" w:rsidRDefault="007A5DAD" w:rsidP="00934B6B">
      <w:pPr>
        <w:pStyle w:val="ARTartustawynprozporzdzenia"/>
      </w:pPr>
      <w:r w:rsidRPr="007A5DAD">
        <w:rPr>
          <w:rStyle w:val="Ppogrubienie"/>
        </w:rPr>
        <w:t>Art. 10 pkt 2</w:t>
      </w:r>
      <w:r w:rsidR="00F40676">
        <w:rPr>
          <w:rStyle w:val="Ppogrubienie"/>
        </w:rPr>
        <w:t>5</w:t>
      </w:r>
      <w:r>
        <w:t xml:space="preserve"> także poprawia odesłania do art. 42 i </w:t>
      </w:r>
      <w:r w:rsidR="00D76E70">
        <w:t xml:space="preserve">art. </w:t>
      </w:r>
      <w:r>
        <w:t>43 ustawy o funduszach inwestycyjnych, które przy nowym brzmieniu tych przepisów nie będą już poprawne.</w:t>
      </w:r>
    </w:p>
    <w:p w14:paraId="3AA8B7BD" w14:textId="6B26B2DC" w:rsidR="001C557F" w:rsidRPr="00BF2F19" w:rsidRDefault="00A26289" w:rsidP="00A26289">
      <w:pPr>
        <w:pStyle w:val="ARTartustawynprozporzdzenia"/>
      </w:pPr>
      <w:r w:rsidRPr="00BF2F19">
        <w:t xml:space="preserve">Art. 2 lit. f dyrektywy 2007/36/WE wyłącza spod zakresu pojęcia „podmiotu zarządzającego aktywami” zarządzającego alternatywnymi funduszami inwestycyjnymi (w prawie polskim – zarządzającego </w:t>
      </w:r>
      <w:r w:rsidR="00D76E70">
        <w:t>ASI</w:t>
      </w:r>
      <w:r w:rsidRPr="00BF2F19">
        <w:t xml:space="preserve">), który spełnia warunki zwolnienia zgodnie z art. 3 dyrektywy Parlamentu Europejskiego i Rady 2011/61/UE z dnia 8 czerwca 2011 r. w sprawie zarządzających alternatywnymi funduszami inwestycyjnymi i zmiany dyrektyw 2003/41/WE i 2009/65/WE oraz rozporządzeń (WE) nr 1060/2009 i (UE) nr 1095/2010 (Dz. Urz. UE L 174 z </w:t>
      </w:r>
      <w:r w:rsidR="00BD2A72">
        <w:t>0</w:t>
      </w:r>
      <w:r w:rsidRPr="00BF2F19">
        <w:t>1.07.2011, str. 1). Art. 3 tej dyrektywy został implementowany w rozdziale 3 działu IIIa ustawy o funduszach inwestycyjnych.</w:t>
      </w:r>
      <w:r>
        <w:t xml:space="preserve"> </w:t>
      </w:r>
      <w:r w:rsidR="001C557F" w:rsidRPr="00BF2F19">
        <w:t xml:space="preserve">Mając powyższe na uwadze, </w:t>
      </w:r>
      <w:r w:rsidR="00E4621C">
        <w:rPr>
          <w:rStyle w:val="Ppogrubienie"/>
        </w:rPr>
        <w:t>art. 10</w:t>
      </w:r>
      <w:r w:rsidR="00492C36">
        <w:rPr>
          <w:rStyle w:val="Ppogrubienie"/>
        </w:rPr>
        <w:t xml:space="preserve"> pkt 2</w:t>
      </w:r>
      <w:r w:rsidR="00F40676">
        <w:rPr>
          <w:rStyle w:val="Ppogrubienie"/>
        </w:rPr>
        <w:t>6</w:t>
      </w:r>
      <w:r w:rsidR="001C557F" w:rsidRPr="00BF2F19">
        <w:rPr>
          <w:rStyle w:val="Ppogrubienie"/>
        </w:rPr>
        <w:t xml:space="preserve"> projektowanej ustawy</w:t>
      </w:r>
      <w:r w:rsidR="001C557F" w:rsidRPr="00BF2F19">
        <w:t xml:space="preserve"> zmienia art.</w:t>
      </w:r>
      <w:r w:rsidR="00EB4673" w:rsidRPr="00BF2F19">
        <w:t xml:space="preserve"> 70zb ust. 4 ustawy o funduszach inwestycyjnych precyz</w:t>
      </w:r>
      <w:r w:rsidR="00B530AD">
        <w:t>ując, że przepisy art. 70ba–70bd</w:t>
      </w:r>
      <w:r w:rsidR="00EB4673" w:rsidRPr="00BF2F19">
        <w:t xml:space="preserve"> tej ustawy nie będą miały zastosowania do zarządzającego ASI po uzyskaniu przez niego wpisu do rejestru zarządzających ASI.</w:t>
      </w:r>
    </w:p>
    <w:p w14:paraId="759DA2B3" w14:textId="77777777" w:rsidR="00C57E6D" w:rsidRDefault="00C57E6D" w:rsidP="00934B6B">
      <w:pPr>
        <w:pStyle w:val="ARTartustawynprozporzdzenia"/>
      </w:pPr>
      <w:r w:rsidRPr="00BF2F19">
        <w:t xml:space="preserve">Zmiana art. </w:t>
      </w:r>
      <w:r w:rsidR="000A5717" w:rsidRPr="00BF2F19">
        <w:t xml:space="preserve">72a ust. 7, dokonywana przez </w:t>
      </w:r>
      <w:r w:rsidR="00E4621C">
        <w:rPr>
          <w:rStyle w:val="Ppogrubienie"/>
        </w:rPr>
        <w:t>art. 10</w:t>
      </w:r>
      <w:r w:rsidR="00492C36">
        <w:rPr>
          <w:rStyle w:val="Ppogrubienie"/>
        </w:rPr>
        <w:t xml:space="preserve"> pkt 2</w:t>
      </w:r>
      <w:r w:rsidR="00F40676">
        <w:rPr>
          <w:rStyle w:val="Ppogrubienie"/>
        </w:rPr>
        <w:t>7</w:t>
      </w:r>
      <w:r w:rsidR="000A5717" w:rsidRPr="00BF2F19">
        <w:rPr>
          <w:rStyle w:val="Ppogrubienie"/>
        </w:rPr>
        <w:t xml:space="preserve"> projektu</w:t>
      </w:r>
      <w:r w:rsidR="000A5717" w:rsidRPr="00BF2F19">
        <w:t>, przyznaje depozytariuszowi funduszu inwestycyjnego zamkniętego, niebędącego publicznym funduszem inwestycyjnym zamkniętym, prawo żądania od agenta emisji informacji niezbędnych do ewentualnego wytoczenia powództwa na rzecz uczestników funduszu przeciwko zarządzającemu nim towarzystwu.</w:t>
      </w:r>
      <w:r w:rsidR="00644875" w:rsidRPr="00BF2F19">
        <w:t xml:space="preserve"> Zmiana ma związek z umożliwieniem kreowania certyfikatów inwestycyjnych w drodze zapisów w ewidencji prowadzonej przez agenta emisji.</w:t>
      </w:r>
    </w:p>
    <w:p w14:paraId="3B77B373" w14:textId="77777777" w:rsidR="009D0160" w:rsidRDefault="00256A86" w:rsidP="00934B6B">
      <w:pPr>
        <w:pStyle w:val="ARTartustawynprozporzdzenia"/>
      </w:pPr>
      <w:r w:rsidRPr="00D31094">
        <w:rPr>
          <w:rStyle w:val="Ppogrubienie"/>
        </w:rPr>
        <w:t>Art. 10 pkt 2</w:t>
      </w:r>
      <w:r w:rsidR="00F40676">
        <w:rPr>
          <w:rStyle w:val="Ppogrubienie"/>
        </w:rPr>
        <w:t>8</w:t>
      </w:r>
      <w:r>
        <w:t xml:space="preserve"> wprowadza nowe zasady odnoszące się do nabywania przez osoby fizyczne certyfikatów niepublicznych FIZ. Zgodnie z obecnym brzmieniem art. 117 ust. 3 ustawy o funduszach inwestycyjnych, osoby fizyczne mogą nabyć certyfikaty inwestycyjne niepublicznych FIZ, jeżeli dokonały jednorazowo zapisu na certyfikaty inwestycyjne o wartości nie mniejszej niż równowartość w złotych 40 000 euro. Niepubliczne FIZ co do zasady charakteryzują się wyższym poziomem ryzyka inwestycyjnego, niską płynnością aktywów, a co za tym idzie, niemożliwością swobodnego wyjścia z inwestycji w certyfikaty inwestycyjne przez uczestnika funduszu w dowolnie wybranym przez niego momencie. Certyfikaty inwestycyjne takich funduszy nie są przedmiotem obrotu na rynku regulowanym, zatem wyjście z inwestycji w te certyfikaty wiąże się z koniecznością samodzielnego znalezienia przez uczestnika funduszu nabywcy takich certyfikatów bądź żądania wykupienia ich przez fundusz. Należy jednak pamiętać, że statut funduszu może przewidywać ograniczenia w swobodnym obrocie certyfikatami, zaś możliwość żądania wykupienia certyfikatów przez fundusz może być w statucie funduszu wyłączona lub znacząco ograniczona. Ponadto z certyfikatami inwestycyjnymi niepublicznego FIZ, ze względu na rodzaj prowadzonej przez fundusz polityki inwestycyjnej</w:t>
      </w:r>
      <w:r w:rsidR="00D31094">
        <w:t>, może się wiązać istotna zmiana wartości aktywów funduszu, w tym istotne zmniejszenie wartości tych aktywów funduszu, co pociąga za sobą zmniejszenie wartości certyfikatów i realizację strat przez uczestnika.</w:t>
      </w:r>
    </w:p>
    <w:p w14:paraId="7A2C1785" w14:textId="77777777" w:rsidR="00D31094" w:rsidRDefault="00D31094" w:rsidP="00934B6B">
      <w:pPr>
        <w:pStyle w:val="ARTartustawynprozporzdzenia"/>
      </w:pPr>
      <w:r>
        <w:t>Ponadto w przypadku emisji certyfikatów inwestycyjnych niepublicznego FIZ nie ma obowiązku sporządzenia prospektu, a do propozycji nabycia certyfikatów inwestycyjnych fundusz dołącza wyłącznie warunki emisji, które co do zasady charakteryzują się mniejszymi wymogami co do zakresu ujawnień o emisji, emitencie i certyfikatach inwestycyjnych będących przedmiotem danej emisji w stosunku do zakresu ujawnień w prospekcie.</w:t>
      </w:r>
    </w:p>
    <w:p w14:paraId="088F33DE" w14:textId="77777777" w:rsidR="00BB5D40" w:rsidRDefault="00BB5D40" w:rsidP="00934B6B">
      <w:pPr>
        <w:pStyle w:val="ARTartustawynprozporzdzenia"/>
      </w:pPr>
      <w:r>
        <w:t>Wskazane powyżej okoliczności wskazują, że certyfikaty inwestycyjne</w:t>
      </w:r>
      <w:r w:rsidR="004620CF">
        <w:t xml:space="preserve"> niepublicznych FIZ powinny nabywać jedynie osoby fizyczne, które są w stanie zrozumieć cechy oraz zasady działania funduszu, należycie ocenić wszelkie konsekwencje prawne i ekonomiczne wiążące się z inwestycją w certyfikaty inwestycyjne funduszu oraz być w takiej sytuacji finansowej, która pozwoli na akceptację ewentualnych strat, braku płynności funduszu, niemożliwości wyjścia z inwestycji, oraz innych ryzyk, jakie wiążą się z inwestycją w te certyfikaty inwestycyjne.</w:t>
      </w:r>
    </w:p>
    <w:p w14:paraId="78C58A83" w14:textId="77777777" w:rsidR="004620CF" w:rsidRDefault="004620CF" w:rsidP="00934B6B">
      <w:pPr>
        <w:pStyle w:val="ARTartustawynprozporzdzenia"/>
      </w:pPr>
      <w:r>
        <w:t>W dotychczasowym stanie prawnym wielkość wpłat do niepublicznego FIZ, jaka w ocenie ustawodawcy uzasadniała nabycie certyfikatów inwestycyjnych takiego funduszu przez osoby fizyczne została określona na poziomie równowartości w złotych 40 000 euro, jednakże dotyczyła ona tylko jednorazowego zapisu na certyfikaty inwestycyjne. Powodowało to w praktyce nabywanie przez osoby fizyczne certyfikatów inwestycyjnych kolejnych emisji za wpłaty do funduszu w wysokości znacznie niższej oraz prowadziło do nabycia certyfikatów inwestycyjnych niepublicznych FIZ przez osoby fizyczne, których sytuacja finansowa nie pozwalała na dokonywanie inwestycji w fundusze cechujące się ryzykowną polityką inwestycyjną, wysokim ryzykiem poniesienia strat, niepłynnością aktywów, brakiem możliwości wykupienia certyfikatów inwestycyjnych lub znalezienia przez uczestnika funduszu nabywcy certyfikatów inwestycyjnych tego funduszu w obrocie cywilnoprawnym.</w:t>
      </w:r>
      <w:r w:rsidR="00AC7B22">
        <w:t xml:space="preserve"> Uzasadnia to konieczność doprecyzowania przepisów dotyczących nabywania przez osoby fizyczne certyfikatów niepublicznych FIZ.</w:t>
      </w:r>
    </w:p>
    <w:p w14:paraId="4D5FACA4" w14:textId="77777777" w:rsidR="00AC7B22" w:rsidRDefault="00AC7B22" w:rsidP="00934B6B">
      <w:pPr>
        <w:pStyle w:val="ARTartustawynprozporzdzenia"/>
      </w:pPr>
      <w:r>
        <w:t>Ukształtowanie ceny certyfikatów inwestycyjnych pierwszej emisji na poziomie równowartości w złotych 40 000 euro (nowe brzmienie art. 117 ust. 3) oraz wymóg, aby w ramach drugiej i następnych emisji certyfikatów inwestycyjnych inwestor musiał dokonać wpłat do funduszu o wartości co najmniej równowartości w złotych 40 000 euro (dodawane w art. 117 ust. 4–6), spowodują, że niepubliczne FIZ bardziej skrupulatnie będą określać adresatów, do których będą kierować propozycję nabycia certyfikatów inwestycyjnych, oraz zwracać się z taką propozycją do potencjalnych nabywców będących osobami fizycznymi, którzy są rzeczywiście gotowi do ponoszenia wszelkich wskazywanych wyżej rodzajów ryzyka, jakie wiążą się z uczestnictwem w funduszu. Z drugiej strony, proponowane przepisy wymuszą na osobach fizycznych będących potencjalnymi nabywcami certyfikatów inwestycyjnych takich funduszy gruntowną analizę charakterystyki i cech certyfikatów inwestycyjnych oraz ich emitentów w kontekście sytuacji finansowej tych nabywców. Zmiany przepisów w efekcie przyczynią się do tworzenia niepublicznych FIZ bardziej dostosowanych do rzeczywistych potrzeb i akceptacji ryzyka inwestycyjnego przez uczestników tych funduszy.</w:t>
      </w:r>
    </w:p>
    <w:p w14:paraId="6A6EDC87" w14:textId="77777777" w:rsidR="001758B2" w:rsidRPr="001758B2" w:rsidRDefault="001758B2" w:rsidP="001758B2">
      <w:pPr>
        <w:pStyle w:val="NIEARTTEKSTtekstnieartykuowanynppodstprawnarozplubpreambua"/>
      </w:pPr>
      <w:r>
        <w:t xml:space="preserve">Z kolei dodawany do art. 117 </w:t>
      </w:r>
      <w:r w:rsidRPr="001758B2">
        <w:rPr>
          <w:rStyle w:val="Ppogrubienie"/>
        </w:rPr>
        <w:t>ust. 9</w:t>
      </w:r>
      <w:r>
        <w:t xml:space="preserve"> zmierza do zwolnienia</w:t>
      </w:r>
      <w:r w:rsidRPr="001758B2">
        <w:t xml:space="preserve"> niepublicznych funduszy inwestycyjnych zamkniętych z obowiązku sporządzania memorandum informacyjnego, o którym mowa w art. 3 ust. 1a nowelizowanej ustawy o ofercie.</w:t>
      </w:r>
      <w:r>
        <w:t xml:space="preserve"> W</w:t>
      </w:r>
      <w:r w:rsidRPr="001758B2">
        <w:t xml:space="preserve"> przypadku niepublicznych funduszy inwestycyjnych zamkniętych, z uwagi na ich specyfikę, przedstawioną poniżej, nakładanie dodatkowego obowiązku w postaci sporządzania memorandum informacyjnego nie jest </w:t>
      </w:r>
      <w:r>
        <w:t>bowiem konieczne.</w:t>
      </w:r>
    </w:p>
    <w:p w14:paraId="3A0F15CA" w14:textId="77777777" w:rsidR="001758B2" w:rsidRPr="001758B2" w:rsidRDefault="001758B2" w:rsidP="001758B2">
      <w:pPr>
        <w:pStyle w:val="NIEARTTEKSTtekstnieartykuowanynppodstprawnarozplubpreambua"/>
      </w:pPr>
      <w:r w:rsidRPr="001758B2">
        <w:t>Po pierwsze, podmioty te sporządzają warunki emisji, które zawierają szczegółowe dane zarówno o samej emisji jak i o emitencie. Sporządzanie drugiego dokumentu, zawierającego zbliżone informacje, nie ma uzasadnienia zarówno z punktu widzenia tego podmiotu</w:t>
      </w:r>
      <w:r>
        <w:t>,</w:t>
      </w:r>
      <w:r w:rsidRPr="001758B2">
        <w:t xml:space="preserve"> jak i organu nadzoru. Po drugie, w </w:t>
      </w:r>
      <w:r>
        <w:t xml:space="preserve">niniejszym </w:t>
      </w:r>
      <w:r w:rsidRPr="001758B2">
        <w:t>projekcie uwzględnione zostały przepisy, po wejściu w życie których osoby fizyczne będą mogły nabyć certyfikaty inwestycyjne niepublicznych funduszy inwestycyjnych zamkniętych tylko jeżeli wartość certyfikatu pierwszej emisji certyfikatów inwestycyjnych funduszu będzie nie mniejsza niż równowartość w złotych 40</w:t>
      </w:r>
      <w:r>
        <w:t> 000 euro. Ponadto</w:t>
      </w:r>
      <w:r w:rsidRPr="001758B2">
        <w:t xml:space="preserve"> również w przypad</w:t>
      </w:r>
      <w:r>
        <w:t xml:space="preserve">ku drugiej i kolejnych emisji </w:t>
      </w:r>
      <w:r w:rsidRPr="001758B2">
        <w:t>fundusz nie będzie mógł przydzielić osobie fizycznej certyfikatów inwestycyjnych za wpłatę mniejszą niż równowartość w złotych 40</w:t>
      </w:r>
      <w:r>
        <w:t> </w:t>
      </w:r>
      <w:r w:rsidRPr="001758B2">
        <w:t xml:space="preserve">000 euro. </w:t>
      </w:r>
      <w:r>
        <w:t>Zdaniem projektodawcy t</w:t>
      </w:r>
      <w:r w:rsidRPr="001758B2">
        <w:t>o rozwiązanie sprawi, że certyfikaty niepublicznych funduszy inwestycyjnych zamkniętych będą nabywać jedynie osoby fizyczne, które są w stanie należycie ocenić wszelkie konsekwencje prawne i ekonomiczne wiążące się z inwestycją w certyfikaty inwestycyjne funduszu oraz posiadają taką sytuację finansową, która pozwoli na akceptację braku płynno</w:t>
      </w:r>
      <w:r>
        <w:t>ści funduszu oraz innych ryzyk.</w:t>
      </w:r>
    </w:p>
    <w:p w14:paraId="6FC3ABB0" w14:textId="46A89C81" w:rsidR="001758B2" w:rsidRPr="00BF2F19" w:rsidRDefault="001758B2" w:rsidP="001758B2">
      <w:pPr>
        <w:pStyle w:val="ARTartustawynprozporzdzenia"/>
      </w:pPr>
      <w:r>
        <w:t>W</w:t>
      </w:r>
      <w:r w:rsidRPr="001758B2">
        <w:t>obec takiego ukształtowania przepisów, obowiązek sporządzania memorandum in</w:t>
      </w:r>
      <w:r w:rsidR="00272379">
        <w:t>formacyjnego</w:t>
      </w:r>
      <w:r w:rsidRPr="001758B2">
        <w:t xml:space="preserve">, o którym mowa w art. 3 ust. </w:t>
      </w:r>
      <w:r>
        <w:t xml:space="preserve">1a ustawy o ofercie publicznej, </w:t>
      </w:r>
      <w:r w:rsidRPr="001758B2">
        <w:t>w przypadku niepublicznych fundus</w:t>
      </w:r>
      <w:r>
        <w:t>zy inwestycyjnych zamkniętych</w:t>
      </w:r>
      <w:r w:rsidRPr="001758B2">
        <w:t xml:space="preserve"> będzie stanowił dodatkowe, nieuzasadnione obciążenie.</w:t>
      </w:r>
    </w:p>
    <w:p w14:paraId="409E7FD0" w14:textId="77777777" w:rsidR="000A5717" w:rsidRPr="00BF2F19" w:rsidRDefault="00E4621C" w:rsidP="00934B6B">
      <w:pPr>
        <w:pStyle w:val="ARTartustawynprozporzdzenia"/>
      </w:pPr>
      <w:r>
        <w:rPr>
          <w:rStyle w:val="Ppogrubienie"/>
        </w:rPr>
        <w:t>Art. 10</w:t>
      </w:r>
      <w:r w:rsidR="009D0160">
        <w:rPr>
          <w:rStyle w:val="Ppogrubienie"/>
        </w:rPr>
        <w:t xml:space="preserve"> pkt 2</w:t>
      </w:r>
      <w:r w:rsidR="00F40676">
        <w:rPr>
          <w:rStyle w:val="Ppogrubienie"/>
        </w:rPr>
        <w:t>9</w:t>
      </w:r>
      <w:r w:rsidR="000A5717" w:rsidRPr="00BF2F19">
        <w:t xml:space="preserve"> dostosowuje treść art. 117a ust. 1 do nowej definicji oferty publicznej, wprowadza w art. 117a ust. 2 odesłanie również do rozporządzenia 2017/1129</w:t>
      </w:r>
      <w:r w:rsidR="00535D56">
        <w:t>.</w:t>
      </w:r>
    </w:p>
    <w:p w14:paraId="1B9A3897" w14:textId="77777777" w:rsidR="00897393" w:rsidRPr="00BF2F19" w:rsidRDefault="00E4621C" w:rsidP="00934B6B">
      <w:pPr>
        <w:pStyle w:val="ARTartustawynprozporzdzenia"/>
      </w:pPr>
      <w:r>
        <w:rPr>
          <w:rStyle w:val="Ppogrubienie"/>
        </w:rPr>
        <w:t>Art. 10</w:t>
      </w:r>
      <w:r w:rsidR="00492C36">
        <w:rPr>
          <w:rStyle w:val="Ppogrubienie"/>
        </w:rPr>
        <w:t xml:space="preserve"> pkt </w:t>
      </w:r>
      <w:r w:rsidR="00F40676">
        <w:rPr>
          <w:rStyle w:val="Ppogrubienie"/>
        </w:rPr>
        <w:t>30</w:t>
      </w:r>
      <w:r w:rsidR="00897393" w:rsidRPr="00BF2F19">
        <w:rPr>
          <w:rStyle w:val="Ppogrubienie"/>
        </w:rPr>
        <w:t xml:space="preserve"> lit. a i b</w:t>
      </w:r>
      <w:r w:rsidR="00897393" w:rsidRPr="00BF2F19">
        <w:t xml:space="preserve"> dodają odesłania do rozporządzenia 2017/1129 w art. 117b ust. 1 pkt 2 oraz w ust. 3 ustawy o funduszach inwestycyjnych. Natomiast </w:t>
      </w:r>
      <w:r w:rsidR="00897393" w:rsidRPr="00BF2F19">
        <w:rPr>
          <w:rStyle w:val="Ppogrubienie"/>
        </w:rPr>
        <w:t>lit. c</w:t>
      </w:r>
      <w:r w:rsidR="00897393" w:rsidRPr="00BF2F19">
        <w:t xml:space="preserve"> dostosowuje treść art. 117b ust. 6 do nowej definicji oferty publicznej.</w:t>
      </w:r>
    </w:p>
    <w:p w14:paraId="0679AD29" w14:textId="77777777" w:rsidR="00897393" w:rsidRPr="00BF2F19" w:rsidRDefault="00E4621C" w:rsidP="00934B6B">
      <w:pPr>
        <w:pStyle w:val="ARTartustawynprozporzdzenia"/>
      </w:pPr>
      <w:r>
        <w:rPr>
          <w:rStyle w:val="Ppogrubienie"/>
        </w:rPr>
        <w:t>Art. 10</w:t>
      </w:r>
      <w:r w:rsidR="00492C36">
        <w:rPr>
          <w:rStyle w:val="Ppogrubienie"/>
        </w:rPr>
        <w:t xml:space="preserve"> pkt 3</w:t>
      </w:r>
      <w:r w:rsidR="00F40676">
        <w:rPr>
          <w:rStyle w:val="Ppogrubienie"/>
        </w:rPr>
        <w:t>1</w:t>
      </w:r>
      <w:r w:rsidR="00897393" w:rsidRPr="00BF2F19">
        <w:t xml:space="preserve"> dodaje odesłanie do rozporządzenia 2017/1129 w art. 118 ust. 1 ustawy o funduszach inwestycyjnych.</w:t>
      </w:r>
    </w:p>
    <w:p w14:paraId="04F4A922" w14:textId="77777777" w:rsidR="00897393" w:rsidRPr="00BF2F19" w:rsidRDefault="00E4621C" w:rsidP="00934B6B">
      <w:pPr>
        <w:pStyle w:val="ARTartustawynprozporzdzenia"/>
      </w:pPr>
      <w:r>
        <w:rPr>
          <w:rStyle w:val="Ppogrubienie"/>
        </w:rPr>
        <w:t>Art. 10</w:t>
      </w:r>
      <w:r w:rsidR="00492C36">
        <w:rPr>
          <w:rStyle w:val="Ppogrubienie"/>
        </w:rPr>
        <w:t xml:space="preserve"> pkt 3</w:t>
      </w:r>
      <w:r w:rsidR="00F40676">
        <w:rPr>
          <w:rStyle w:val="Ppogrubienie"/>
        </w:rPr>
        <w:t>2</w:t>
      </w:r>
      <w:r w:rsidR="00897393" w:rsidRPr="00BF2F19">
        <w:rPr>
          <w:rStyle w:val="Ppogrubienie"/>
        </w:rPr>
        <w:t xml:space="preserve"> lit. a </w:t>
      </w:r>
      <w:r w:rsidR="00897393" w:rsidRPr="00BF2F19">
        <w:t xml:space="preserve">modyfikuje treść art. 119 ust. 1 i 2 w związku z nową definicją oferty publicznej. </w:t>
      </w:r>
      <w:r w:rsidR="00897393" w:rsidRPr="00BF2F19">
        <w:rPr>
          <w:rStyle w:val="Ppogrubienie"/>
        </w:rPr>
        <w:t>Lit. b</w:t>
      </w:r>
      <w:r w:rsidR="00897393" w:rsidRPr="00BF2F19">
        <w:t xml:space="preserve"> </w:t>
      </w:r>
      <w:r w:rsidR="00DD09B0">
        <w:t>uchyla</w:t>
      </w:r>
      <w:r w:rsidR="00897393" w:rsidRPr="00BF2F19">
        <w:t xml:space="preserve"> ust. 4 tego</w:t>
      </w:r>
      <w:r w:rsidR="00DD09B0">
        <w:t xml:space="preserve"> artykułu, który wyłączał stosowanie terminów określonych w ustawie o ofercie publicznej do postępowania o zatwierdzenie prospektu</w:t>
      </w:r>
      <w:r w:rsidR="00535D56">
        <w:t>.</w:t>
      </w:r>
    </w:p>
    <w:p w14:paraId="39092969" w14:textId="77777777" w:rsidR="00644875" w:rsidRPr="00BF2F19" w:rsidRDefault="00E4621C" w:rsidP="00934B6B">
      <w:pPr>
        <w:pStyle w:val="ARTartustawynprozporzdzenia"/>
      </w:pPr>
      <w:r>
        <w:rPr>
          <w:rStyle w:val="Ppogrubienie"/>
        </w:rPr>
        <w:t>Art. 10</w:t>
      </w:r>
      <w:r w:rsidR="009D0160">
        <w:rPr>
          <w:rStyle w:val="Ppogrubienie"/>
        </w:rPr>
        <w:t xml:space="preserve"> pkt 3</w:t>
      </w:r>
      <w:r w:rsidR="00F40676">
        <w:rPr>
          <w:rStyle w:val="Ppogrubienie"/>
        </w:rPr>
        <w:t>3</w:t>
      </w:r>
      <w:r w:rsidR="00644875" w:rsidRPr="00BF2F19">
        <w:t xml:space="preserve"> modyfikuje art. 120 ust. 1 ustawy o funduszach inwestycyjnych w związku z nową definicją oferty publicznej.</w:t>
      </w:r>
    </w:p>
    <w:p w14:paraId="2F86737E" w14:textId="77777777" w:rsidR="006D4778" w:rsidRPr="00BF2F19" w:rsidRDefault="00AC7B22" w:rsidP="00934B6B">
      <w:pPr>
        <w:pStyle w:val="ARTartustawynprozporzdzenia"/>
      </w:pPr>
      <w:r>
        <w:t xml:space="preserve">W celu wzmocnienia ochrony inwestorów niepublicznych FIZ, </w:t>
      </w:r>
      <w:r w:rsidRPr="00AC7B22">
        <w:rPr>
          <w:rStyle w:val="Ppogrubienie"/>
        </w:rPr>
        <w:t>art. 10 pkt 3</w:t>
      </w:r>
      <w:r w:rsidR="00F40676">
        <w:rPr>
          <w:rStyle w:val="Ppogrubienie"/>
        </w:rPr>
        <w:t>4</w:t>
      </w:r>
      <w:r>
        <w:t xml:space="preserve"> przewiduje, że w przypadku gdy niepubliczny FIZ przeprowadza jednocześnie kilka emisji certyfikatów inwestycyjnych, certyfikaty inwestycyjne żadnej z tych emisji nie mogą być przydzielane osobom fizycznym.</w:t>
      </w:r>
    </w:p>
    <w:p w14:paraId="54097427" w14:textId="77777777" w:rsidR="00644875" w:rsidRDefault="00E4621C" w:rsidP="00934B6B">
      <w:pPr>
        <w:pStyle w:val="ARTartustawynprozporzdzenia"/>
      </w:pPr>
      <w:r>
        <w:rPr>
          <w:rStyle w:val="Ppogrubienie"/>
        </w:rPr>
        <w:t>Art. 10</w:t>
      </w:r>
      <w:r w:rsidR="006D4778">
        <w:rPr>
          <w:rStyle w:val="Ppogrubienie"/>
        </w:rPr>
        <w:t xml:space="preserve"> pkt 3</w:t>
      </w:r>
      <w:r w:rsidR="00F40676">
        <w:rPr>
          <w:rStyle w:val="Ppogrubienie"/>
        </w:rPr>
        <w:t>5</w:t>
      </w:r>
      <w:r w:rsidR="00644875" w:rsidRPr="00BF2F19">
        <w:rPr>
          <w:rStyle w:val="Ppogrubienie"/>
        </w:rPr>
        <w:t xml:space="preserve"> </w:t>
      </w:r>
      <w:r w:rsidR="00BA2C63" w:rsidRPr="00BF2F19">
        <w:t>przewiduje, że wydanie certyfikatu inwestycyjnego może nastąpić przez jego wpisanie do ewidencji osób uprawnionych prowadzonej przez agenta emisji. Zmiana ma związek z umożliwieniem kreowania certyfikatów inwestycyjnych w drodze zapisów w tej ewidencji.</w:t>
      </w:r>
    </w:p>
    <w:p w14:paraId="09B9CBAC" w14:textId="77777777" w:rsidR="006D4778" w:rsidRPr="00BF2F19" w:rsidRDefault="00AC7B22" w:rsidP="00934B6B">
      <w:pPr>
        <w:pStyle w:val="ARTartustawynprozporzdzenia"/>
      </w:pPr>
      <w:r w:rsidRPr="00EB6733">
        <w:rPr>
          <w:rStyle w:val="Ppogrubienie"/>
        </w:rPr>
        <w:t>Art. 10 pkt 3</w:t>
      </w:r>
      <w:r w:rsidR="00F40676">
        <w:rPr>
          <w:rStyle w:val="Ppogrubienie"/>
        </w:rPr>
        <w:t>6</w:t>
      </w:r>
      <w:r>
        <w:t xml:space="preserve"> wprowadza zasadę, zgodnie z którą c</w:t>
      </w:r>
      <w:r w:rsidRPr="00AC7B22">
        <w:t xml:space="preserve">ertyfikat inwestycyjny imienny funduszu inwestycyjnego zamkniętego może być wydany </w:t>
      </w:r>
      <w:r>
        <w:t>osobie fizycznej, która</w:t>
      </w:r>
      <w:r w:rsidRPr="00AC7B22">
        <w:t xml:space="preserve"> nie opłacił</w:t>
      </w:r>
      <w:r>
        <w:t>a</w:t>
      </w:r>
      <w:r w:rsidRPr="00AC7B22">
        <w:t xml:space="preserve"> w całości ceny emisyjnej certyfikatu</w:t>
      </w:r>
      <w:r>
        <w:t xml:space="preserve"> jedynie pod warunkiem, że każdy taki certyfikat został opłacony przed jego wydaniem kwotą nie mniejszą niż równowartość w złotych 40 000 euro.</w:t>
      </w:r>
    </w:p>
    <w:p w14:paraId="37C72E3F" w14:textId="77777777" w:rsidR="00BA2C63" w:rsidRPr="00BF2F19" w:rsidRDefault="00BA2C63" w:rsidP="00934B6B">
      <w:pPr>
        <w:pStyle w:val="ARTartustawynprozporzdzenia"/>
      </w:pPr>
      <w:r w:rsidRPr="00BF2F19">
        <w:t xml:space="preserve">Zmiana art. 141 ust. 1 ustawy o funduszach inwestycyjnych, przewidziana w </w:t>
      </w:r>
      <w:r w:rsidR="00E4621C">
        <w:rPr>
          <w:rStyle w:val="Ppogrubienie"/>
        </w:rPr>
        <w:t>art. 10</w:t>
      </w:r>
      <w:r w:rsidRPr="00BF2F19">
        <w:rPr>
          <w:rStyle w:val="Ppogrubienie"/>
        </w:rPr>
        <w:t xml:space="preserve"> pkt </w:t>
      </w:r>
      <w:r w:rsidR="006D4778">
        <w:rPr>
          <w:rStyle w:val="Ppogrubienie"/>
        </w:rPr>
        <w:t>3</w:t>
      </w:r>
      <w:r w:rsidR="00F40676">
        <w:rPr>
          <w:rStyle w:val="Ppogrubienie"/>
        </w:rPr>
        <w:t>7</w:t>
      </w:r>
      <w:r w:rsidRPr="00BF2F19">
        <w:t>, umożliwia uczestnikom funduszu inwestycyjnego wpisanym do ewidencji osób uprawnionych uzyskanie członkostwa w radzie inwestorów.</w:t>
      </w:r>
    </w:p>
    <w:p w14:paraId="6F45F988" w14:textId="77777777" w:rsidR="00BA2C63" w:rsidRDefault="00E4621C" w:rsidP="00934B6B">
      <w:pPr>
        <w:pStyle w:val="ARTartustawynprozporzdzenia"/>
      </w:pPr>
      <w:r>
        <w:rPr>
          <w:rStyle w:val="Ppogrubienie"/>
        </w:rPr>
        <w:t>Art. 10</w:t>
      </w:r>
      <w:r w:rsidR="00BA2C63" w:rsidRPr="00BF2F19">
        <w:rPr>
          <w:rStyle w:val="Ppogrubienie"/>
        </w:rPr>
        <w:t xml:space="preserve"> pkt </w:t>
      </w:r>
      <w:r w:rsidR="006D4778">
        <w:rPr>
          <w:rStyle w:val="Ppogrubienie"/>
        </w:rPr>
        <w:t>3</w:t>
      </w:r>
      <w:r w:rsidR="00F40676">
        <w:rPr>
          <w:rStyle w:val="Ppogrubienie"/>
        </w:rPr>
        <w:t>8</w:t>
      </w:r>
      <w:r w:rsidR="00BA2C63" w:rsidRPr="00BF2F19">
        <w:t xml:space="preserve"> umożliwia uczestnikom funduszu inwestycyjnego uczestnictwo w zgromadzeniu inwestorów, a także określa termin, w którym inwestor powinien złożyć w towarzystwie dokument potwierdzający uprawnienie do udziału w zgromadzeniu inwestorów odbywającym się bez formalnego zwołania.</w:t>
      </w:r>
    </w:p>
    <w:p w14:paraId="6A82BDA8" w14:textId="77777777" w:rsidR="00074A87" w:rsidRPr="00BF2F19" w:rsidRDefault="00601321" w:rsidP="00934B6B">
      <w:pPr>
        <w:pStyle w:val="ARTartustawynprozporzdzenia"/>
      </w:pPr>
      <w:r>
        <w:t xml:space="preserve">Celem zmiany proponowanej w </w:t>
      </w:r>
      <w:r w:rsidRPr="00601321">
        <w:rPr>
          <w:rStyle w:val="Ppogrubienie"/>
        </w:rPr>
        <w:t>a</w:t>
      </w:r>
      <w:r w:rsidR="00074A87" w:rsidRPr="00601321">
        <w:rPr>
          <w:rStyle w:val="Ppogrubienie"/>
        </w:rPr>
        <w:t xml:space="preserve">rt. 10 pkt </w:t>
      </w:r>
      <w:r w:rsidR="006D4778">
        <w:rPr>
          <w:rStyle w:val="Ppogrubienie"/>
        </w:rPr>
        <w:t>3</w:t>
      </w:r>
      <w:r w:rsidR="00F40676">
        <w:rPr>
          <w:rStyle w:val="Ppogrubienie"/>
        </w:rPr>
        <w:t>9</w:t>
      </w:r>
      <w:r>
        <w:t xml:space="preserve"> jest usunięcie wątpliwości interpretacyjnych co do </w:t>
      </w:r>
      <w:r w:rsidRPr="00601321">
        <w:t>możliwości lokowania funduszy inwestycyjnych zamkniętych w udziały spółek z ograniczoną odpowiedzialnością</w:t>
      </w:r>
      <w:r>
        <w:t xml:space="preserve"> z siedzibą za granicą.</w:t>
      </w:r>
    </w:p>
    <w:p w14:paraId="34B2BB8F" w14:textId="77777777" w:rsidR="007D6E23" w:rsidRPr="00BF2F19" w:rsidRDefault="00E4621C" w:rsidP="00934B6B">
      <w:pPr>
        <w:pStyle w:val="ARTartustawynprozporzdzenia"/>
      </w:pPr>
      <w:r>
        <w:rPr>
          <w:rStyle w:val="Ppogrubienie"/>
        </w:rPr>
        <w:t>Art. 10</w:t>
      </w:r>
      <w:r w:rsidR="007D6E23" w:rsidRPr="00BF2F19">
        <w:rPr>
          <w:rStyle w:val="Ppogrubienie"/>
        </w:rPr>
        <w:t xml:space="preserve"> pkt </w:t>
      </w:r>
      <w:r w:rsidR="00F40676">
        <w:rPr>
          <w:rStyle w:val="Ppogrubienie"/>
        </w:rPr>
        <w:t>40</w:t>
      </w:r>
      <w:r w:rsidR="007D6E23" w:rsidRPr="00BF2F19">
        <w:t xml:space="preserve"> dodaje odwołanie do rozporządzenia 2017/1129 w art. 152 ust. 4 ustawy o funduszach inwestycyjnych.</w:t>
      </w:r>
    </w:p>
    <w:p w14:paraId="47D23B82" w14:textId="77777777" w:rsidR="006D4778" w:rsidRPr="00BF2F19" w:rsidRDefault="00EB6733" w:rsidP="00934B6B">
      <w:pPr>
        <w:pStyle w:val="ARTartustawynprozporzdzenia"/>
      </w:pPr>
      <w:r>
        <w:t xml:space="preserve">Celem uchylenia ust. 5 i 6 w art. 187 ustawy o funduszach inwestycyjnych, proponowanego w </w:t>
      </w:r>
      <w:r w:rsidRPr="00EB6733">
        <w:rPr>
          <w:rStyle w:val="Ppogrubienie"/>
        </w:rPr>
        <w:t>art. 10 pkt 4</w:t>
      </w:r>
      <w:r w:rsidR="00492C36">
        <w:rPr>
          <w:rStyle w:val="Ppogrubienie"/>
        </w:rPr>
        <w:t>1</w:t>
      </w:r>
      <w:r w:rsidRPr="00EB6733">
        <w:rPr>
          <w:rStyle w:val="Ppogrubienie"/>
        </w:rPr>
        <w:t xml:space="preserve"> projektu</w:t>
      </w:r>
      <w:r>
        <w:t>, jest umożliwienie osobom fizycznym uczestnictwa w niestandaryzowanych funduszach sekurytyzacyjnych niezależnie od tego, czy możliwość taką przewiduje statut tego funduszu. Do certyfikatów inwestycyjnych takich funduszy będą miały zastosowanie zasady określone w art. 117 ustawy o funduszach inwestycyjnych, a więc wartość tych certyfikatów nie będzie mogła być niższa niż równowartość w złotych 40 000 euro.</w:t>
      </w:r>
    </w:p>
    <w:p w14:paraId="6741CCE8" w14:textId="77777777" w:rsidR="007D6E23" w:rsidRDefault="00E4621C" w:rsidP="00934B6B">
      <w:pPr>
        <w:pStyle w:val="ARTartustawynprozporzdzenia"/>
      </w:pPr>
      <w:r>
        <w:rPr>
          <w:rStyle w:val="Ppogrubienie"/>
        </w:rPr>
        <w:t>Art. 10</w:t>
      </w:r>
      <w:r w:rsidR="007D6E23" w:rsidRPr="00BF2F19">
        <w:rPr>
          <w:rStyle w:val="Ppogrubienie"/>
        </w:rPr>
        <w:t xml:space="preserve"> pkt </w:t>
      </w:r>
      <w:r w:rsidR="006D4778">
        <w:rPr>
          <w:rStyle w:val="Ppogrubienie"/>
        </w:rPr>
        <w:t>4</w:t>
      </w:r>
      <w:r w:rsidR="00492C36">
        <w:rPr>
          <w:rStyle w:val="Ppogrubienie"/>
        </w:rPr>
        <w:t>2</w:t>
      </w:r>
      <w:r w:rsidR="007D6E23" w:rsidRPr="00BF2F19">
        <w:t xml:space="preserve"> dostosowuje treść art. 196 ust. 1 pkt 1 do nowej definicji oferty publicznej.</w:t>
      </w:r>
    </w:p>
    <w:p w14:paraId="625EC296" w14:textId="77777777" w:rsidR="00EB3BF8" w:rsidRDefault="00EB3BF8" w:rsidP="00934B6B">
      <w:pPr>
        <w:pStyle w:val="ARTartustawynprozporzdzenia"/>
      </w:pPr>
      <w:r>
        <w:t xml:space="preserve">W </w:t>
      </w:r>
      <w:r w:rsidRPr="00EB3BF8">
        <w:rPr>
          <w:rStyle w:val="Ppogrubienie"/>
        </w:rPr>
        <w:t>art. 10 pkt 4</w:t>
      </w:r>
      <w:r w:rsidR="00492C36">
        <w:rPr>
          <w:rStyle w:val="Ppogrubienie"/>
        </w:rPr>
        <w:t>3</w:t>
      </w:r>
      <w:r>
        <w:t xml:space="preserve"> proponuje się dodanie do art. 197 ustawy o funduszach inwestycyjnych ust. 4, który wyłącza niepubliczne FIZ funkcjonujące w formule funduszy i finansowane ze środków UE w ramach Polityki Spójności z obowiązku określonego w art. 145 ust. 3 ustawy o funduszach inwestycyjnych, tj. z obowiązku dywersyfikacji lokat. Regulacja ta uwzględnia charakterystykę tych funduszy, odmienną od charakterystyki funduszy inwestycyjnych zamkniętych finansowanych ze środków prywatnych. Jedynym inwestorem w takich funduszach są instytucje publiczne jako beneficjenci środków europejskich, podlegających ścisłym regulacjom (w tym w szczególności dot. funduszy UE oraz w większości przypadków pomocy państwa), których należy uznać za inwestorów kwalifikowanych. Ze względu na źródło finansowania fundusze te muszą realizować nie tylko cele finansowe, ale także społeczno-gospodarcze i związane z rozwojem regionalnym, zatem grupa docelowa podmiotów wspólnego inwestowania, w które mogą lokować środki jest ograniczona, a dokonanie proponowanych zmian umożliwi pełniejsze realizowanie celów.</w:t>
      </w:r>
    </w:p>
    <w:p w14:paraId="685BDA51" w14:textId="4D88E0FF" w:rsidR="00074A87" w:rsidRDefault="00074A87" w:rsidP="00934B6B">
      <w:pPr>
        <w:pStyle w:val="ARTartustawynprozporzdzenia"/>
      </w:pPr>
      <w:r w:rsidRPr="00601321">
        <w:rPr>
          <w:rStyle w:val="Ppogrubienie"/>
        </w:rPr>
        <w:t xml:space="preserve">Art. 10 pkt </w:t>
      </w:r>
      <w:r w:rsidR="006D4778">
        <w:rPr>
          <w:rStyle w:val="Ppogrubienie"/>
        </w:rPr>
        <w:t>4</w:t>
      </w:r>
      <w:r w:rsidR="00492C36">
        <w:rPr>
          <w:rStyle w:val="Ppogrubienie"/>
        </w:rPr>
        <w:t>4</w:t>
      </w:r>
      <w:r w:rsidR="00601321">
        <w:t xml:space="preserve"> zmienia tytuł działu VIII, który obecnie odnosi się do łączenia funduszy inwestycyjnych. Przepisy tego działu nie przewidują jednak możliwości łączenia funduszy inwestycyjnych zamkniętych. Zdecydowano się jednak wprowadzić możliwość łączenia takich podmiotów, czemu służy dodawany dział </w:t>
      </w:r>
      <w:r w:rsidR="003C1AAB">
        <w:t>VIIIA</w:t>
      </w:r>
      <w:r w:rsidR="00601321">
        <w:t xml:space="preserve">. W związku z tym należy doprecyzować tytuł działu VIII, aby wynikało z niego wyraźnie, że przepisy w nim zawarte mają zastosowanie jedynie do </w:t>
      </w:r>
      <w:r w:rsidR="00601321" w:rsidRPr="00601321">
        <w:t>funduszy inwestycyjnych otwartych, specjalistycznych funduszy inwestycyjnych otwartych i funduszy zagranicznych</w:t>
      </w:r>
      <w:r w:rsidR="00601321">
        <w:t>.</w:t>
      </w:r>
    </w:p>
    <w:p w14:paraId="26D34FDC" w14:textId="172C7234" w:rsidR="00074A87" w:rsidRDefault="00074A87" w:rsidP="00C36BE4">
      <w:pPr>
        <w:pStyle w:val="ARTartustawynprozporzdzenia"/>
      </w:pPr>
      <w:r w:rsidRPr="00601321">
        <w:rPr>
          <w:rStyle w:val="Ppogrubienie"/>
        </w:rPr>
        <w:t xml:space="preserve">Art. 10 pkt </w:t>
      </w:r>
      <w:r w:rsidR="006D4778">
        <w:rPr>
          <w:rStyle w:val="Ppogrubienie"/>
        </w:rPr>
        <w:t>4</w:t>
      </w:r>
      <w:r w:rsidR="00492C36">
        <w:rPr>
          <w:rStyle w:val="Ppogrubienie"/>
        </w:rPr>
        <w:t>5</w:t>
      </w:r>
      <w:r w:rsidR="00601321">
        <w:t xml:space="preserve"> wprowadza do ustawy o funduszach inwestycyjnych wspomniany wyżej dział VIII</w:t>
      </w:r>
      <w:r w:rsidR="003C1AAB">
        <w:t>A</w:t>
      </w:r>
      <w:r w:rsidR="00601321">
        <w:t xml:space="preserve">. </w:t>
      </w:r>
      <w:r w:rsidR="00C36BE4">
        <w:t>Zmiana ma na celu usprawnienie</w:t>
      </w:r>
      <w:r w:rsidR="00C36BE4" w:rsidRPr="00C36BE4">
        <w:t xml:space="preserve"> procesu zarządzania krajowymi funduszami</w:t>
      </w:r>
      <w:r w:rsidR="00C36BE4">
        <w:t xml:space="preserve"> </w:t>
      </w:r>
      <w:r w:rsidR="00C36BE4" w:rsidRPr="00C36BE4">
        <w:t>inwestycyjnymi zamkniętymi</w:t>
      </w:r>
      <w:r w:rsidR="00C36BE4">
        <w:t xml:space="preserve">, </w:t>
      </w:r>
      <w:r w:rsidR="00C36BE4" w:rsidRPr="00C36BE4">
        <w:t>przyczy</w:t>
      </w:r>
      <w:r w:rsidR="00C36BE4">
        <w:t xml:space="preserve">ni się też do obniżenia, </w:t>
      </w:r>
      <w:r w:rsidR="00C36BE4" w:rsidRPr="00C36BE4">
        <w:t>w oparciu o efekt skali, kosztów zarządzania tymi podmiotami</w:t>
      </w:r>
      <w:r w:rsidR="00C36BE4">
        <w:t xml:space="preserve">. </w:t>
      </w:r>
      <w:r w:rsidR="00C36BE4" w:rsidRPr="00C36BE4">
        <w:t>Rozwiązania przewidziane w projekcie zmiany ustawy o funduszach inwestycyjnych, dotyczące łączenia funduszy inwestycyjnych zamkniętych zostały ograniczone do funduszy, o których mowa w art. 15 ust. la ustawy o funduszach inwestycyjnych, prowadzących działalność jako fundusze aktywów niepublicznych. Projekt przewiduje również, iż fundusze inwestycyjne zamknięte mogą łączyć się ze sobą jedynie w sposób analogiczny do przewidzianego już w ustawie o funduszach inwestycyjnych połączenia wewnętrznego, czyli łączenia funduszy inwestycyjnych otwartych lub specjalistycznych funduszy inwestycyjnych otwartych, których organem jest to samo towarzystwo. Jednocześnie mając na uwadze, iż projekt zakłada łączenie funduszy inwestycyjnych zamkniętych, o których mowa w art. 15 ust. la ustawy o funduszach inwestycyjnych, których utworzenie nie wymaga wydania zezwolenia przez Komisję, łączenie przedmiotowych funduszy nie będzie wymagało zgody Komisji.</w:t>
      </w:r>
    </w:p>
    <w:p w14:paraId="13AB7D1F" w14:textId="1F25E705" w:rsidR="00535D56" w:rsidRPr="00BF2F19" w:rsidRDefault="006D553B" w:rsidP="00C36BE4">
      <w:pPr>
        <w:pStyle w:val="ARTartustawynprozporzdzenia"/>
      </w:pPr>
      <w:r>
        <w:t>Wyłączenie w projekcie możliwości</w:t>
      </w:r>
      <w:r w:rsidRPr="00535D56">
        <w:t xml:space="preserve"> </w:t>
      </w:r>
      <w:r w:rsidR="00535D56" w:rsidRPr="00535D56">
        <w:t>połączenia przez przejęcie więcej niż jednego funduszu przejmowanego ogranicza potencjalne nieprawidłowości przy połączeniu (mniejsza liczba uczestników, aktywów łączonych fundusz</w:t>
      </w:r>
      <w:r>
        <w:t>y</w:t>
      </w:r>
      <w:r w:rsidR="00535D56" w:rsidRPr="00535D56">
        <w:t>), a ponadto pozwala uczestnikom łączonych funduszy na lepsze zrozumienie ryzyka i korzyści wynikających z połączenia.</w:t>
      </w:r>
      <w:r w:rsidR="00535D56">
        <w:t xml:space="preserve"> </w:t>
      </w:r>
      <w:r w:rsidR="00535D56" w:rsidRPr="00535D56">
        <w:t xml:space="preserve">Z uwagi na typ funduszy inwestycyjnych, do których kierowana jest przedmiotowa regulacja (fundusze zamknięte kierowane do inwestorów profesjonalnych) w ocenie </w:t>
      </w:r>
      <w:r w:rsidR="00535D56">
        <w:t>projektodawcy nie zachodzi przy tym potrzeba</w:t>
      </w:r>
      <w:r w:rsidR="00535D56" w:rsidRPr="00535D56">
        <w:t xml:space="preserve"> aż tak szczegółowego określania warunków połączenia</w:t>
      </w:r>
      <w:r w:rsidR="00535D56">
        <w:t>,</w:t>
      </w:r>
      <w:r w:rsidR="00535D56" w:rsidRPr="00535D56">
        <w:t xml:space="preserve"> jak ma to miejsce w przypadku funduszy inwestycyjnych otwartych</w:t>
      </w:r>
      <w:r w:rsidR="00535D56">
        <w:t>.</w:t>
      </w:r>
    </w:p>
    <w:p w14:paraId="34EBCBB4" w14:textId="77777777" w:rsidR="007D6E23" w:rsidRPr="00BF2F19" w:rsidRDefault="00E4621C" w:rsidP="00934B6B">
      <w:pPr>
        <w:pStyle w:val="ARTartustawynprozporzdzenia"/>
      </w:pPr>
      <w:r>
        <w:rPr>
          <w:rStyle w:val="Ppogrubienie"/>
        </w:rPr>
        <w:t>Art. 10</w:t>
      </w:r>
      <w:r w:rsidR="006D4778">
        <w:rPr>
          <w:rStyle w:val="Ppogrubienie"/>
        </w:rPr>
        <w:t xml:space="preserve"> pkt 4</w:t>
      </w:r>
      <w:r w:rsidR="00492C36">
        <w:rPr>
          <w:rStyle w:val="Ppogrubienie"/>
        </w:rPr>
        <w:t>6</w:t>
      </w:r>
      <w:r w:rsidR="007D6E23" w:rsidRPr="00BF2F19">
        <w:t xml:space="preserve"> dodaje w art. 219 ust. 3 odesłanie do rozporządzenia 2017/1129 oraz zastępuje wyrazy „prospekt emisyjny” wyrazem „prospekt”, aby dostosować terminologię używaną w tym przepisie do siatki pojęciowej rozporządzenia 2017/1129.</w:t>
      </w:r>
    </w:p>
    <w:p w14:paraId="54F29021" w14:textId="77777777" w:rsidR="007D6E23" w:rsidRDefault="007D6E23" w:rsidP="00934B6B">
      <w:pPr>
        <w:pStyle w:val="ARTartustawynprozporzdzenia"/>
      </w:pPr>
      <w:r w:rsidRPr="00BF2F19">
        <w:t xml:space="preserve">Tym samym celom służy zmiana wprowadzana w </w:t>
      </w:r>
      <w:r w:rsidR="00E4621C">
        <w:rPr>
          <w:rStyle w:val="Ppogrubienie"/>
        </w:rPr>
        <w:t>art. 10</w:t>
      </w:r>
      <w:r w:rsidR="006D4778">
        <w:rPr>
          <w:rStyle w:val="Ppogrubienie"/>
        </w:rPr>
        <w:t xml:space="preserve"> pkt 4</w:t>
      </w:r>
      <w:r w:rsidR="00492C36">
        <w:rPr>
          <w:rStyle w:val="Ppogrubienie"/>
        </w:rPr>
        <w:t>7</w:t>
      </w:r>
      <w:r w:rsidRPr="00BF2F19">
        <w:t>.</w:t>
      </w:r>
    </w:p>
    <w:p w14:paraId="789036B9" w14:textId="77777777" w:rsidR="008319FA" w:rsidRPr="00B263A4" w:rsidRDefault="00B263A4" w:rsidP="00934B6B">
      <w:pPr>
        <w:pStyle w:val="ARTartustawynprozporzdzenia"/>
      </w:pPr>
      <w:r>
        <w:t xml:space="preserve">Zmiana proponowana w </w:t>
      </w:r>
      <w:r w:rsidRPr="00B263A4">
        <w:rPr>
          <w:rStyle w:val="Ppogrubienie"/>
        </w:rPr>
        <w:t>a</w:t>
      </w:r>
      <w:r w:rsidR="00492C36">
        <w:rPr>
          <w:rStyle w:val="Ppogrubienie"/>
        </w:rPr>
        <w:t>rt. 10 pkt 48</w:t>
      </w:r>
      <w:r w:rsidR="008319FA" w:rsidRPr="00B263A4">
        <w:rPr>
          <w:rStyle w:val="Ppogrubienie"/>
        </w:rPr>
        <w:t xml:space="preserve"> lit. a</w:t>
      </w:r>
      <w:r w:rsidR="008319FA" w:rsidRPr="00B263A4">
        <w:t xml:space="preserve"> </w:t>
      </w:r>
      <w:r>
        <w:t xml:space="preserve">sprowadza się do wykreślenia wyrazu </w:t>
      </w:r>
      <w:r w:rsidR="0003601C" w:rsidRPr="0003601C">
        <w:t>„</w:t>
      </w:r>
      <w:r>
        <w:t>wyłącznie</w:t>
      </w:r>
      <w:r w:rsidR="0003601C" w:rsidRPr="0003601C">
        <w:t>”</w:t>
      </w:r>
      <w:r>
        <w:t xml:space="preserve"> we wprowadzeniu do wyliczenia w art. 228 ust. 1c. Obecne brzmienie nasuwa bowiem wątpliwości interpretacyjne co do katalogu przepisów, których naruszenie jest sankcjonowane zmienianym przepisem.</w:t>
      </w:r>
    </w:p>
    <w:p w14:paraId="4F905742" w14:textId="77777777" w:rsidR="008319FA" w:rsidRPr="00B263A4" w:rsidRDefault="00492C36" w:rsidP="00934B6B">
      <w:pPr>
        <w:pStyle w:val="ARTartustawynprozporzdzenia"/>
      </w:pPr>
      <w:r>
        <w:rPr>
          <w:rStyle w:val="Ppogrubienie"/>
        </w:rPr>
        <w:t>Art. 10 pkt 48</w:t>
      </w:r>
      <w:r w:rsidR="008319FA" w:rsidRPr="00B263A4">
        <w:rPr>
          <w:rStyle w:val="Ppogrubienie"/>
        </w:rPr>
        <w:t xml:space="preserve"> lit. b</w:t>
      </w:r>
      <w:r w:rsidR="008319FA" w:rsidRPr="00B263A4">
        <w:t xml:space="preserve"> </w:t>
      </w:r>
      <w:r w:rsidR="00B263A4">
        <w:t>nowelizuje wprowadzenie do wyliczenia w art. 228 ust. 3a ustawy o funduszach inwestycyjnych. Przepis w obecnie obowiązującym brzmieniu nie daje podstawy do nałożenia kary pieniężnej na członka zarządu towarzystwa, które dopuściło się naruszeń w związku z zarządzaniem alternatywnymi funduszami inwestycyjnymi lub w przypadku dopuszczenia się naruszeń przez te fundusze. Dlatego zasadne jest znowelizowanie tego przepisu poprzez rozszerzenie katalogu obowiązków, których rażące naruszenie może skutkować nałożeniem kary pieniężnej na wymienione w tym przepisie osoby.</w:t>
      </w:r>
      <w:r w:rsidR="00095372">
        <w:t xml:space="preserve"> Sankcją tą objęte zostaną więc również naruszenia obowiązków z art. 228 ust. 1c oraz ust. 2 pkt 2.</w:t>
      </w:r>
    </w:p>
    <w:p w14:paraId="6F706926" w14:textId="77777777" w:rsidR="008319FA" w:rsidRPr="00BF2F19" w:rsidRDefault="006D4778" w:rsidP="00934B6B">
      <w:pPr>
        <w:pStyle w:val="ARTartustawynprozporzdzenia"/>
      </w:pPr>
      <w:r>
        <w:rPr>
          <w:rStyle w:val="Ppogrubienie"/>
        </w:rPr>
        <w:t>Art. 10 pkt 4</w:t>
      </w:r>
      <w:r w:rsidR="00492C36">
        <w:rPr>
          <w:rStyle w:val="Ppogrubienie"/>
        </w:rPr>
        <w:t>9</w:t>
      </w:r>
      <w:r w:rsidR="008319FA">
        <w:t xml:space="preserve"> </w:t>
      </w:r>
      <w:r w:rsidR="00095372">
        <w:t xml:space="preserve">dodaje nowy art. 234b w ustawie o funduszach inwestycyjnych. Przepis ten stanowi realizację postulatu KNF, która w toku prowadzonych postępowań administracyjnych w przedmiocie nakładania kar pieniężnych na podmioty pełniące funkcje likwidatora funduszy inwestycyjnych, wielokrotnie spotykała się z zarzutami stron postępowań, że obecnie obowiązujące przepisy nie przewidują możliwości nakładania kar pieniężnych na likwidatora. Dotychczas KNF prowadziła postępowania wskazując przepis sankcyjny odpowiedni do innej pełnionej przez dany podmiot funkcji prawnej, tj. depozytariusza lub towarzystwa funduszy inwestycyjnych. Działanie takie jest jednak obarczone ryzykiem uchylenia decyzji nakładającej karę pieniężną, a także skutkuje zarzutami nierównego traktowania stron postępowania administracyjnego. W związku z tym projekt wprowadza odrębny przepis, umożliwiający </w:t>
      </w:r>
      <w:r w:rsidR="00095372" w:rsidRPr="00095372">
        <w:rPr>
          <w:rStyle w:val="Kkursywa"/>
        </w:rPr>
        <w:t>expressis verbis</w:t>
      </w:r>
      <w:r w:rsidR="00095372">
        <w:t xml:space="preserve"> nałożenie kary pieniężnej na podmiot pełniący funkcję likwidatora.</w:t>
      </w:r>
    </w:p>
    <w:p w14:paraId="467EBF68" w14:textId="77777777" w:rsidR="0097067A" w:rsidRPr="00BF2F19" w:rsidRDefault="00E4621C" w:rsidP="00934B6B">
      <w:pPr>
        <w:pStyle w:val="ARTartustawynprozporzdzenia"/>
      </w:pPr>
      <w:r>
        <w:rPr>
          <w:rStyle w:val="Ppogrubienie"/>
        </w:rPr>
        <w:t>Art. 10</w:t>
      </w:r>
      <w:r w:rsidR="00492C36">
        <w:rPr>
          <w:rStyle w:val="Ppogrubienie"/>
        </w:rPr>
        <w:t xml:space="preserve"> pkt 50</w:t>
      </w:r>
      <w:r w:rsidR="0097067A" w:rsidRPr="00BF2F19">
        <w:rPr>
          <w:rStyle w:val="Ppogrubienie"/>
        </w:rPr>
        <w:t xml:space="preserve"> lit. a</w:t>
      </w:r>
      <w:r w:rsidR="0097067A" w:rsidRPr="00BF2F19">
        <w:t xml:space="preserve"> dostosowuje treść art. 263a ust. 1 pkt 2 ustawy o funduszach inwestycyjnych do nowej definicji oferty publicznej. </w:t>
      </w:r>
      <w:r w:rsidR="0097067A" w:rsidRPr="00BF2F19">
        <w:rPr>
          <w:rStyle w:val="Ppogrubienie"/>
        </w:rPr>
        <w:t>Lit. b</w:t>
      </w:r>
      <w:r w:rsidR="0097067A" w:rsidRPr="00BF2F19">
        <w:t xml:space="preserve"> dodaje w ust. 2 odesłanie do rozporządzenia 2017/1129.</w:t>
      </w:r>
    </w:p>
    <w:p w14:paraId="0781C224" w14:textId="77777777" w:rsidR="0097067A" w:rsidRDefault="00E4621C" w:rsidP="00934B6B">
      <w:pPr>
        <w:pStyle w:val="ARTartustawynprozporzdzenia"/>
      </w:pPr>
      <w:r>
        <w:rPr>
          <w:rStyle w:val="Ppogrubienie"/>
        </w:rPr>
        <w:t xml:space="preserve">Art. 10 </w:t>
      </w:r>
      <w:r w:rsidR="00492C36">
        <w:rPr>
          <w:rStyle w:val="Ppogrubienie"/>
        </w:rPr>
        <w:t>pkt 51</w:t>
      </w:r>
      <w:r w:rsidR="00074A87">
        <w:rPr>
          <w:rStyle w:val="Ppogrubienie"/>
        </w:rPr>
        <w:t xml:space="preserve"> i </w:t>
      </w:r>
      <w:r w:rsidR="006D4778">
        <w:rPr>
          <w:rStyle w:val="Ppogrubienie"/>
        </w:rPr>
        <w:t>5</w:t>
      </w:r>
      <w:r w:rsidR="00492C36">
        <w:rPr>
          <w:rStyle w:val="Ppogrubienie"/>
        </w:rPr>
        <w:t>2</w:t>
      </w:r>
      <w:r w:rsidR="0097067A" w:rsidRPr="00BF2F19">
        <w:t xml:space="preserve"> dostosowują treść – odpowiednio – art. 263b ust. 2 pkt 7 i art. 263c ust. 2 pkt 5 ustawy o funduszach inwestycyjnych do nowej definicji oferty publicznej.</w:t>
      </w:r>
    </w:p>
    <w:p w14:paraId="18018BE3" w14:textId="77777777" w:rsidR="00E4621C" w:rsidRPr="00BF2F19" w:rsidRDefault="006D4778" w:rsidP="00934B6B">
      <w:pPr>
        <w:pStyle w:val="ARTartustawynprozporzdzenia"/>
      </w:pPr>
      <w:r>
        <w:rPr>
          <w:rStyle w:val="Ppogrubienie"/>
        </w:rPr>
        <w:t>Art. 10 pkt 5</w:t>
      </w:r>
      <w:r w:rsidR="00492C36">
        <w:rPr>
          <w:rStyle w:val="Ppogrubienie"/>
        </w:rPr>
        <w:t>3</w:t>
      </w:r>
      <w:r w:rsidR="00E4621C">
        <w:t xml:space="preserve"> wprowadza zmianę do art. 281 ustawy o funduszach inwestycyjnych. </w:t>
      </w:r>
      <w:r w:rsidR="00E4621C" w:rsidRPr="00E4621C">
        <w:t xml:space="preserve">Przepis </w:t>
      </w:r>
      <w:r w:rsidR="00E4621C">
        <w:t>ten</w:t>
      </w:r>
      <w:r w:rsidR="00E4621C" w:rsidRPr="00E4621C">
        <w:t xml:space="preserve"> reguluje w jakich przypadkach mogą być ujawnione informacje stanowiące tajemnicę zawodową. Z uwagi na zachowanie funduszy inwestycyjnych oraz zaobserwowane wątpliwości interpretacyjne zasadne jest wskazanie wprost w ustawie o funduszach</w:t>
      </w:r>
      <w:r w:rsidR="00E4621C">
        <w:t xml:space="preserve"> inwestycyjnych</w:t>
      </w:r>
      <w:r w:rsidR="00E4621C" w:rsidRPr="00E4621C">
        <w:t>, że informacje stanowiące tajemnicę zawodową mogą być ujawnione na żądanie organu podatkowego lub organu Krajowej Administracji Skarbowej w związku z trwającymi czynnościami sprawdzającymi lub toczącą się kontrolą podatkową, kontrolą celno-skarbową lub postępowaniem podatkowym. Powyższe wyeliminuje możliwość ukrywania informacji przez fundusze inwestycyjne przed organami podatkowymi lub organami Krajowej Administracji Skarbowej w toku czynności sprawdzających, kontroli podatkowych, kontroli celno-skarbowych lub postępowań podatkowych pod pretekstem możliwości naruszenia tajemnicy zawodowej, a tym samym umożliwi wykonywanie ustawowych obowiązków przez te organy. Nie może mieć bowiem miejsca sytuacja, w której nie jest możliwe sprawdzenie przez organy podatkowe lub organy Krajowej Administracji Skarbowej prawidłowości wywiązywania się przez fundusze inwestycyjne z obowiązków przewidzianych w przepisach prawa podatkowego.</w:t>
      </w:r>
    </w:p>
    <w:p w14:paraId="0E604EC5" w14:textId="701C2382" w:rsidR="001824BB" w:rsidRDefault="00E4621C" w:rsidP="001824BB">
      <w:pPr>
        <w:pStyle w:val="ARTartustawynprozporzdzenia"/>
      </w:pPr>
      <w:r>
        <w:rPr>
          <w:rStyle w:val="Ppogrubienie"/>
        </w:rPr>
        <w:t>Art. 10</w:t>
      </w:r>
      <w:r w:rsidR="00CF320B" w:rsidRPr="00BF2F19">
        <w:rPr>
          <w:rStyle w:val="Ppogrubienie"/>
        </w:rPr>
        <w:t xml:space="preserve"> pkt </w:t>
      </w:r>
      <w:r w:rsidR="006D4778">
        <w:rPr>
          <w:rStyle w:val="Ppogrubienie"/>
        </w:rPr>
        <w:t>5</w:t>
      </w:r>
      <w:r w:rsidR="00492C36">
        <w:rPr>
          <w:rStyle w:val="Ppogrubienie"/>
        </w:rPr>
        <w:t>4</w:t>
      </w:r>
      <w:r w:rsidR="00CF320B" w:rsidRPr="00BF2F19">
        <w:t xml:space="preserve"> wprowadza sankcje karne za </w:t>
      </w:r>
      <w:r w:rsidR="007A0F13">
        <w:t>niesporządzenie</w:t>
      </w:r>
      <w:r w:rsidR="00B530AD">
        <w:t>, nieprzekazanie</w:t>
      </w:r>
      <w:r w:rsidR="007A0F13">
        <w:t xml:space="preserve"> lub nieopublikowanie </w:t>
      </w:r>
      <w:r w:rsidR="007A0F13" w:rsidRPr="007A0F13">
        <w:t>polityki zaangażowania lub informacji dla pracowniczych funduszy emerytalnych, zakładów ubezpieczeń lub zakładów reasekuracji</w:t>
      </w:r>
      <w:r w:rsidR="007A0F13">
        <w:t>, a także za</w:t>
      </w:r>
      <w:r w:rsidR="007A0F13" w:rsidRPr="007A0F13">
        <w:t xml:space="preserve"> </w:t>
      </w:r>
      <w:r w:rsidR="00CF320B" w:rsidRPr="00BF2F19">
        <w:t>podawanie</w:t>
      </w:r>
      <w:r w:rsidR="007A0F13">
        <w:t xml:space="preserve"> w nich</w:t>
      </w:r>
      <w:r w:rsidR="00CF320B" w:rsidRPr="00BF2F19">
        <w:t xml:space="preserve"> nieprawdziwych lub zatajanie prawdziwych danych mających wpływ na treść</w:t>
      </w:r>
      <w:r w:rsidR="007A0F13">
        <w:t xml:space="preserve"> tych dokumentów</w:t>
      </w:r>
      <w:r w:rsidR="00985138" w:rsidRPr="00BF2F19">
        <w:t>. Działanie takie będzie zagrożone karą grzywny</w:t>
      </w:r>
      <w:r w:rsidR="009655A7">
        <w:t>, ograniczenia wolności</w:t>
      </w:r>
      <w:r w:rsidR="00985138" w:rsidRPr="00BF2F19">
        <w:t xml:space="preserve"> lub pozbawienia wolności</w:t>
      </w:r>
      <w:r w:rsidR="009655A7">
        <w:t xml:space="preserve"> do roku</w:t>
      </w:r>
      <w:r w:rsidR="00985138" w:rsidRPr="00BF2F19">
        <w:t>, co z jednej strony zapewni odstraszający charakter kary, z drugiej zaś strony zachowany zostanie wymóg jej proporcjonalności.</w:t>
      </w:r>
      <w:r w:rsidR="001824BB" w:rsidRPr="00BF2F19">
        <w:t xml:space="preserve"> </w:t>
      </w:r>
      <w:r w:rsidR="009655A7">
        <w:t>T</w:t>
      </w:r>
      <w:r w:rsidR="001824BB" w:rsidRPr="00BF2F19">
        <w:t>akie same kary – zarówno co do ich rodzaju, jak i wysokości – zostały przewidziane za naruszenie analogicznych przepisów dotyczących pracowniczych funduszy emerytalnych, firm inwestycyjnych, zakładów ubezpieczeń i zakładów reasekuracji.</w:t>
      </w:r>
    </w:p>
    <w:p w14:paraId="1FBAA419" w14:textId="77777777" w:rsidR="003C6E51" w:rsidRPr="003C6E51" w:rsidRDefault="003C6E51" w:rsidP="003C6E51">
      <w:pPr>
        <w:pStyle w:val="ARTartustawynprozporzdzenia"/>
      </w:pPr>
      <w:r w:rsidRPr="003C6E51">
        <w:rPr>
          <w:rStyle w:val="Ppogrubienie"/>
        </w:rPr>
        <w:t>Art. 11</w:t>
      </w:r>
      <w:r w:rsidR="009A3AF6">
        <w:rPr>
          <w:rStyle w:val="Ppogrubienie"/>
        </w:rPr>
        <w:t xml:space="preserve"> pkt 1</w:t>
      </w:r>
      <w:r w:rsidRPr="003C6E51">
        <w:rPr>
          <w:rStyle w:val="Ppogrubienie"/>
        </w:rPr>
        <w:t xml:space="preserve"> </w:t>
      </w:r>
      <w:r>
        <w:t xml:space="preserve">uchyla </w:t>
      </w:r>
      <w:r w:rsidR="009A3AF6">
        <w:t xml:space="preserve">art. 34, natomiast </w:t>
      </w:r>
      <w:r w:rsidR="009A3AF6" w:rsidRPr="009A3AF6">
        <w:rPr>
          <w:rStyle w:val="Ppogrubienie"/>
        </w:rPr>
        <w:t>art. 11 pkt 2</w:t>
      </w:r>
      <w:r w:rsidR="009A3AF6">
        <w:t xml:space="preserve"> uchyla art. 39 ust. 3 </w:t>
      </w:r>
      <w:r>
        <w:t>w ustawie</w:t>
      </w:r>
      <w:r w:rsidRPr="003C6E51">
        <w:t xml:space="preserve"> z dnia 15 kwietnia 2005 r. o nadzorze uzupełniającym nad instytucjami kredytowymi, zakładami ubezpieczeń, zakładami reasekuracji i firmami inwestycyjnymi wchodzącymi w skład konglomeratu finansowego</w:t>
      </w:r>
      <w:r>
        <w:t xml:space="preserve"> (Dz. U. z 2016 r. poz. 1252, z późn. zm.), zwanej dalej </w:t>
      </w:r>
      <w:r w:rsidRPr="003C6E51">
        <w:t>„</w:t>
      </w:r>
      <w:r>
        <w:t>ustawą o nadzorze uzupełniającym</w:t>
      </w:r>
      <w:r w:rsidRPr="003C6E51">
        <w:t>”</w:t>
      </w:r>
      <w:r>
        <w:t>. Ustawa ta</w:t>
      </w:r>
      <w:r w:rsidRPr="003C6E51">
        <w:t xml:space="preserve"> stanowi implementację dyrektywy 2002/87/WE Parlamentu Europejskiego i Rady z dnia 16 grudnia 2002 r. w sprawie dodatkowego nadzoru nad instytucjami kredytowymi, zakładami ubezpieczeń oraz przedsiębiorstwami inwestycyjnymi konglo</w:t>
      </w:r>
      <w:r>
        <w:t>meratu finansowego i zmieniającej</w:t>
      </w:r>
      <w:r w:rsidRPr="003C6E51">
        <w:t xml:space="preserve"> dyrektywy Rady 73/239/EWG, 79/267/EWG,</w:t>
      </w:r>
      <w:r>
        <w:t xml:space="preserve"> </w:t>
      </w:r>
      <w:r w:rsidRPr="003C6E51">
        <w:t>92/49/EWG,</w:t>
      </w:r>
      <w:r>
        <w:t xml:space="preserve"> </w:t>
      </w:r>
      <w:r w:rsidRPr="003C6E51">
        <w:t>92/96/EWG i 93/22/EWG oraz dyrektywy 98/78/WE i 2000/12/WE P</w:t>
      </w:r>
      <w:r>
        <w:t xml:space="preserve">arlamentu Europejskiego i Rady (Dz. Urz. UE L 35 z 11.02.2003, str. 1), zwanej dalej </w:t>
      </w:r>
      <w:r w:rsidRPr="003C6E51">
        <w:t>„</w:t>
      </w:r>
      <w:r>
        <w:t>dyrektywą 2002/87/WE</w:t>
      </w:r>
      <w:r w:rsidRPr="003C6E51">
        <w:t>”</w:t>
      </w:r>
      <w:r>
        <w:t>.</w:t>
      </w:r>
    </w:p>
    <w:p w14:paraId="56362654" w14:textId="77777777" w:rsidR="003C6E51" w:rsidRPr="003C6E51" w:rsidRDefault="003C6E51" w:rsidP="003C6E51">
      <w:pPr>
        <w:pStyle w:val="ARTartustawynprozporzdzenia"/>
      </w:pPr>
      <w:r w:rsidRPr="003C6E51">
        <w:t xml:space="preserve">Zgodnie z treścią art. 7 ust. 3 dyrektywy </w:t>
      </w:r>
      <w:r>
        <w:t xml:space="preserve">2002/87/WE </w:t>
      </w:r>
      <w:r w:rsidRPr="003C6E51">
        <w:t>do czasu dalszej koordynacji prawodawstwa wspólnotowego Państwa Członkowskie mogą określić limity ilościowe lub umożliwić swoim właściwym władzom określenie limitów ilościowych, lub podjąć inne środki nadzorcze, które pozwoliłyby na osiągnięcie celów dodatkowego nadzoru w odniesieniu do jakiejkolwiek koncentracji ryzyka na poz</w:t>
      </w:r>
      <w:r>
        <w:t>iomie konglomeratu finansowego.</w:t>
      </w:r>
    </w:p>
    <w:p w14:paraId="766936C9" w14:textId="77777777" w:rsidR="003C6E51" w:rsidRPr="003C6E51" w:rsidRDefault="003C6E51" w:rsidP="003C6E51">
      <w:pPr>
        <w:pStyle w:val="ARTartustawynprozporzdzenia"/>
      </w:pPr>
      <w:r w:rsidRPr="003C6E51">
        <w:t>Zgodnie z treścią art. 8 ust. 3 dyrektywy</w:t>
      </w:r>
      <w:r>
        <w:t xml:space="preserve"> 2002/87/WE</w:t>
      </w:r>
      <w:r w:rsidRPr="003C6E51">
        <w:t xml:space="preserve"> do czasu dalszej koordynacji prawodawstwa wspólnotowego Państwa Członkowskie mogą określać limity ilościowe i wymogi jakościowe lub umożliwić swoim właściwym władzom określenie limitów ilościowych i wymogów jakościowych lub podjąć inne środki nadzorcze, które pozwoliłyby na osiągnięcie celów dodatkowego nadzoru w odniesieniu do transakcji podmiotów objętych regulacją należących do konglomeratu finansowego, dokonywanych między przedsiębiorstwami należącymi do tej samej grupy.</w:t>
      </w:r>
    </w:p>
    <w:p w14:paraId="3D67A7CB" w14:textId="6E174FE2" w:rsidR="003C6E51" w:rsidRPr="003C6E51" w:rsidRDefault="003C6E51" w:rsidP="003C6E51">
      <w:pPr>
        <w:pStyle w:val="ARTartustawynprozporzdzenia"/>
      </w:pPr>
      <w:r w:rsidRPr="003C6E51">
        <w:t>Treść art. 7 ust.</w:t>
      </w:r>
      <w:r w:rsidR="00937725">
        <w:t xml:space="preserve"> </w:t>
      </w:r>
      <w:r w:rsidRPr="003C6E51">
        <w:t xml:space="preserve">3 i art. 8 ust. 3 dyrektywy </w:t>
      </w:r>
      <w:r>
        <w:t xml:space="preserve">2002/87/WE </w:t>
      </w:r>
      <w:r w:rsidRPr="003C6E51">
        <w:t xml:space="preserve">zawiera ograniczenie czasowe. Wskazane w przepisach dyrektywy uprawnienia dla legislatorów państw członkowskich Unii Europejskiej będą wykonalne do czasu dalszej koordynacji ustawodawstwa Unii Europejskiej w powyższym zakresie. </w:t>
      </w:r>
    </w:p>
    <w:p w14:paraId="4C9CEA71" w14:textId="3A53F2A6" w:rsidR="003C6E51" w:rsidRPr="003C6E51" w:rsidRDefault="003C6E51" w:rsidP="003C6E51">
      <w:pPr>
        <w:pStyle w:val="ARTartustawynprozporzdzenia"/>
      </w:pPr>
      <w:r w:rsidRPr="003C6E51">
        <w:t>Art. 7 ust. 3 i art. 8 ust. 3 dyrektywy</w:t>
      </w:r>
      <w:r>
        <w:t xml:space="preserve"> 2002/87/WE</w:t>
      </w:r>
      <w:r w:rsidRPr="003C6E51">
        <w:t xml:space="preserve"> zostały implementowane do prawa krajowego jako upoważnienia ustawowe zawarte w art. 34 i art. 39 ust. 3 ustawy o nadzorze uzupełniającym oraz wydane na podstawie tych upoważnień ustawowych rozporządzenia wykonawcze:</w:t>
      </w:r>
      <w:r>
        <w:t xml:space="preserve"> </w:t>
      </w:r>
      <w:r w:rsidRPr="003C6E51">
        <w:t>rozporządzenie Ministra Finansów z dnia 13 września 2007 r. w sprawie transakcji wewnątrzgrupowych konglomeratu finansow</w:t>
      </w:r>
      <w:r>
        <w:t xml:space="preserve">ego (Dz. U. poz. 1194) oraz </w:t>
      </w:r>
      <w:r w:rsidRPr="003C6E51">
        <w:t>rozporządzenie Ministra Finansów z dnia 13 września 2007 r. w sprawie znaczącej koncentracji ryzyka na poziomie konglomeratu finansowego (Dz.</w:t>
      </w:r>
      <w:r>
        <w:t xml:space="preserve"> </w:t>
      </w:r>
      <w:r w:rsidRPr="003C6E51">
        <w:t>U. poz. 1195, z późn. zm</w:t>
      </w:r>
      <w:r>
        <w:t>.).</w:t>
      </w:r>
    </w:p>
    <w:p w14:paraId="3ADAC6C5" w14:textId="0D098481" w:rsidR="00355A96" w:rsidRPr="00BF2F19" w:rsidRDefault="003C6E51" w:rsidP="003C6E51">
      <w:pPr>
        <w:pStyle w:val="ARTartustawynprozporzdzenia"/>
      </w:pPr>
      <w:r w:rsidRPr="003C6E51">
        <w:t>W związku z wydaniem i w</w:t>
      </w:r>
      <w:r w:rsidR="009A3AF6">
        <w:t>ejściem w życie rozporządzenia d</w:t>
      </w:r>
      <w:r w:rsidRPr="003C6E51">
        <w:t xml:space="preserve">elegowanego Komisji (UE) 2015/2303 z dnia 28 lipca 2015 r. uzupełniającego dyrektywę </w:t>
      </w:r>
      <w:r w:rsidR="009A3AF6">
        <w:t xml:space="preserve">2002/87/WE </w:t>
      </w:r>
      <w:r w:rsidR="005360A9" w:rsidRPr="005360A9">
        <w:t>Parlamentu Europejskiego i Rady</w:t>
      </w:r>
      <w:r w:rsidR="005360A9">
        <w:t xml:space="preserve"> </w:t>
      </w:r>
      <w:r w:rsidRPr="003C6E51">
        <w:t>w odniesieniu do regulacyjnych standardów technicznych określających definicje i koordynowanie dodatkowego nadzoru nad koncentracją ryzyka i transakcji dokonywanych między przedsiębiorstwami należącymi do tej samej grupy</w:t>
      </w:r>
      <w:r w:rsidR="009A3AF6">
        <w:t xml:space="preserve"> (Dz. Urz. UE L 326 z 11.12.2015, str. 34)</w:t>
      </w:r>
      <w:r w:rsidRPr="003C6E51">
        <w:t>, które obowiązuje bezpośrednio, krajowy organ nadzoru sprawujący nadzór uzupełniający jest o</w:t>
      </w:r>
      <w:r w:rsidR="009A3AF6">
        <w:t xml:space="preserve">bowiązany je stosować. </w:t>
      </w:r>
      <w:r w:rsidRPr="003C6E51">
        <w:t xml:space="preserve">Biorąc pod uwagę ograniczenia czasowe, o których mowa w art. 7 ust. 3 i art. 8 ust. 3 dyrektywy </w:t>
      </w:r>
      <w:r w:rsidR="009A3AF6">
        <w:t xml:space="preserve">2002/87/WE </w:t>
      </w:r>
      <w:r w:rsidRPr="003C6E51">
        <w:t>oraz motyw 5 do rozporządzenia delegowaneg</w:t>
      </w:r>
      <w:r w:rsidR="00740D89">
        <w:t xml:space="preserve">o 2015/2303, w którym </w:t>
      </w:r>
      <w:r w:rsidRPr="003C6E51">
        <w:t>wskazano na konieczność ustanowienia szeregu minimalnych środków nadzorczych dotyczących dodatkowego nadzoru nad koncentracją ryzyka oraz transakcji między przedsiębiorstwami należącymi do tej samej grupy, mających na celu zapewnienie równych warunków działania dla europejskich organów nadzoru oraz skoordynowanych praktyk nadzorczych w Unii Europejskiej, w ocenie projektodawcy krajowy organ nadzoru nie powinien stosować aktów wykonawczych wydanych na podstawie art. 34 i art. 39 ust. 3 ustawy o nadzorze uzupełniającym. W związku z powyższym konieczne jest uchylenie art. 34 i art. 39 ust. 3 tej ustawy.</w:t>
      </w:r>
    </w:p>
    <w:p w14:paraId="7608459C" w14:textId="77777777" w:rsidR="0084020A" w:rsidRPr="00BF2F19" w:rsidRDefault="0084020A" w:rsidP="0084020A">
      <w:pPr>
        <w:pStyle w:val="ARTartustawynprozporzdzenia"/>
      </w:pPr>
      <w:r w:rsidRPr="00BF2F19">
        <w:t xml:space="preserve">Zmiany przewidziane w </w:t>
      </w:r>
      <w:r w:rsidR="00355A96">
        <w:rPr>
          <w:rStyle w:val="Ppogrubienie"/>
        </w:rPr>
        <w:t>art. 12</w:t>
      </w:r>
      <w:r w:rsidRPr="00BF2F19">
        <w:rPr>
          <w:rStyle w:val="Ppogrubienie"/>
        </w:rPr>
        <w:t xml:space="preserve"> projektowanej ustawy</w:t>
      </w:r>
      <w:r w:rsidRPr="00BF2F19">
        <w:t xml:space="preserve"> mają na celu </w:t>
      </w:r>
      <w:r w:rsidR="0097067A" w:rsidRPr="00BF2F19">
        <w:t xml:space="preserve">przede wszystkim </w:t>
      </w:r>
      <w:r w:rsidRPr="00BF2F19">
        <w:t xml:space="preserve">zapewnienie stosowania rozporządzenia 2017/1129 poprzez dostosowanie przepisów ustawy o nadzorze nad rynkiem kapitałowym. </w:t>
      </w:r>
      <w:r w:rsidRPr="00BF2F19">
        <w:rPr>
          <w:rStyle w:val="Ppogrubienie"/>
        </w:rPr>
        <w:t>Pkt 1</w:t>
      </w:r>
      <w:r w:rsidRPr="00BF2F19">
        <w:t xml:space="preserve"> dodaje do art. 2 pkt 5j zawierający skrótowe oznaczenie rozporządzenia 2017/1129, co przyczyni się do większej przejrzystości i czytelności odwołań do tego aktu prawnego w dalszych przepisach ustawy.</w:t>
      </w:r>
    </w:p>
    <w:p w14:paraId="36636DE7" w14:textId="77777777" w:rsidR="0084020A" w:rsidRPr="00BF2F19" w:rsidRDefault="0084020A" w:rsidP="0084020A">
      <w:pPr>
        <w:pStyle w:val="ARTartustawynprozporzdzenia"/>
      </w:pPr>
      <w:r w:rsidRPr="00BF2F19">
        <w:t xml:space="preserve">Nowelizacja art. 3 ust. 2 ustawy o nadzorze nad rynkiem kapitałowym przewidziana w </w:t>
      </w:r>
      <w:r w:rsidR="00355A96">
        <w:rPr>
          <w:rStyle w:val="Ppogrubienie"/>
        </w:rPr>
        <w:t>art. 12</w:t>
      </w:r>
      <w:r w:rsidRPr="00BF2F19">
        <w:rPr>
          <w:rStyle w:val="Ppogrubienie"/>
        </w:rPr>
        <w:t xml:space="preserve"> pkt 2 </w:t>
      </w:r>
      <w:r w:rsidRPr="00BF2F19">
        <w:t xml:space="preserve">sprowadza się do wskazania </w:t>
      </w:r>
      <w:r w:rsidR="00264CF7" w:rsidRPr="00BF2F19">
        <w:t>KNF</w:t>
      </w:r>
      <w:r w:rsidRPr="00BF2F19">
        <w:t xml:space="preserve"> jako organu właściwego w rozumieniu rozporządzenia 2017/1129.</w:t>
      </w:r>
    </w:p>
    <w:p w14:paraId="1F7C170E" w14:textId="77777777" w:rsidR="0084020A" w:rsidRPr="00BF2F19" w:rsidRDefault="00355A96" w:rsidP="0084020A">
      <w:pPr>
        <w:pStyle w:val="ARTartustawynprozporzdzenia"/>
      </w:pPr>
      <w:r>
        <w:rPr>
          <w:rStyle w:val="Ppogrubienie"/>
        </w:rPr>
        <w:t>Art. 12</w:t>
      </w:r>
      <w:r w:rsidR="005A2450" w:rsidRPr="00BF2F19">
        <w:rPr>
          <w:rStyle w:val="Ppogrubienie"/>
        </w:rPr>
        <w:t xml:space="preserve"> pkt 3 lit. a</w:t>
      </w:r>
      <w:r w:rsidR="005A2450" w:rsidRPr="00BF2F19">
        <w:t xml:space="preserve"> </w:t>
      </w:r>
      <w:r w:rsidR="006D6CF9" w:rsidRPr="00BF2F19">
        <w:t xml:space="preserve">rozszerza zawarty w art. 3a ust. 1 ustawy o nadzorze nad rynkiem kapitałowym obowiązek </w:t>
      </w:r>
      <w:r w:rsidR="00264CF7" w:rsidRPr="00BF2F19">
        <w:t>KNF</w:t>
      </w:r>
      <w:r w:rsidR="005A2450" w:rsidRPr="00BF2F19">
        <w:t xml:space="preserve"> przyjmowania zgłoszeń nar</w:t>
      </w:r>
      <w:r w:rsidR="006D6CF9" w:rsidRPr="00BF2F19">
        <w:t>uszeń lub potencjalnych naruszeń</w:t>
      </w:r>
      <w:r w:rsidR="005A2450" w:rsidRPr="00BF2F19">
        <w:t xml:space="preserve"> </w:t>
      </w:r>
      <w:r w:rsidR="006D6CF9" w:rsidRPr="00BF2F19">
        <w:t xml:space="preserve">również na przepisy </w:t>
      </w:r>
      <w:r w:rsidR="005A2450" w:rsidRPr="00BF2F19">
        <w:t xml:space="preserve">rozporządzenia 2017/1129. Przyczyni się to do zwiększenia kompetencji nadzorczych </w:t>
      </w:r>
      <w:r w:rsidR="00264CF7" w:rsidRPr="00BF2F19">
        <w:t>KNF</w:t>
      </w:r>
      <w:r w:rsidR="005A2450" w:rsidRPr="00BF2F19">
        <w:t xml:space="preserve"> i wzmocni bezpieczeństwo obrotu na rynku kapitałowym. </w:t>
      </w:r>
      <w:r w:rsidR="005A2450" w:rsidRPr="00BF2F19">
        <w:rPr>
          <w:rStyle w:val="Ppogrubienie"/>
        </w:rPr>
        <w:t>Lit. b</w:t>
      </w:r>
      <w:r w:rsidR="005A2450" w:rsidRPr="00BF2F19">
        <w:t xml:space="preserve"> tego przepisu modyfikuje zakres delegacji ustawowej dla ministra właściwego do spraw instytucji finansowych, tak aby organ ten mógł sprecyzować również sposób odbierania naruszeń rozporządzenia 2017/1129.</w:t>
      </w:r>
    </w:p>
    <w:p w14:paraId="768D2948" w14:textId="77777777" w:rsidR="0097067A" w:rsidRDefault="00355A96" w:rsidP="0084020A">
      <w:pPr>
        <w:pStyle w:val="ARTartustawynprozporzdzenia"/>
      </w:pPr>
      <w:r>
        <w:rPr>
          <w:rStyle w:val="Ppogrubienie"/>
        </w:rPr>
        <w:t>Art. 12</w:t>
      </w:r>
      <w:r w:rsidR="0097067A" w:rsidRPr="00BF2F19">
        <w:rPr>
          <w:rStyle w:val="Ppogrubienie"/>
        </w:rPr>
        <w:t xml:space="preserve"> pkt 4</w:t>
      </w:r>
      <w:r w:rsidR="0097067A" w:rsidRPr="00BF2F19">
        <w:t xml:space="preserve"> dodaje w ustawie o nadzorze nad rynkiem kapitałowym art. 3c. W obecnym stanie prawnym przepisy przyznają KNF jedynie możliwość nakładania kary pieniężnej w przypadku niewypełnienia lub nieprawidłowego wypełnienia obowiązków wynikających z art. 69 ustawy o ofercie publicznej lub art. 19 rozporządzenia 596/2014. W sprawach dotyczących mniej istotnych naruszeń prawa, w przypadku których niecelowe byłoby nakładanie tak surowego środka jakim jest kara pieniężna, zasadne jest wyposażenie KNF w kompetencje do wydawania zaleceń zaprzestania naruszenia prawa.</w:t>
      </w:r>
    </w:p>
    <w:p w14:paraId="2075AE03" w14:textId="77777777" w:rsidR="006D6CF9" w:rsidRPr="00BF2F19" w:rsidRDefault="00355A96" w:rsidP="0084020A">
      <w:pPr>
        <w:pStyle w:val="ARTartustawynprozporzdzenia"/>
      </w:pPr>
      <w:r>
        <w:rPr>
          <w:rStyle w:val="Ppogrubienie"/>
        </w:rPr>
        <w:t>Art. 12</w:t>
      </w:r>
      <w:r w:rsidR="006D6CF9" w:rsidRPr="00BF2F19">
        <w:rPr>
          <w:rStyle w:val="Ppogrubienie"/>
        </w:rPr>
        <w:t xml:space="preserve"> pkt </w:t>
      </w:r>
      <w:r w:rsidR="00D34944">
        <w:rPr>
          <w:rStyle w:val="Ppogrubienie"/>
        </w:rPr>
        <w:t>5</w:t>
      </w:r>
      <w:r w:rsidR="006D6CF9" w:rsidRPr="00BF2F19">
        <w:t xml:space="preserve"> rozszerza zakres współpracy </w:t>
      </w:r>
      <w:r w:rsidR="00264CF7" w:rsidRPr="00BF2F19">
        <w:t>KNF</w:t>
      </w:r>
      <w:r w:rsidR="006D6CF9" w:rsidRPr="00BF2F19">
        <w:t xml:space="preserve"> z organami z innych państw członkowskich również na przypadki przekazywania informacji niezbędnych w celu prawidłowego wykonywania zadań nadzorczych określonych w rozporządzeniu 2017/1129. Wzmocni to nadzór nad właściwym przebiegiem obrotu papierami wartościowymi nie tylko w Polsce, ale też w całej Unii Europejskiej.</w:t>
      </w:r>
    </w:p>
    <w:p w14:paraId="5DA1707F" w14:textId="77777777" w:rsidR="00EB3BF8" w:rsidRDefault="006D6CF9" w:rsidP="00EB3BF8">
      <w:pPr>
        <w:pStyle w:val="NIEARTTEKSTtekstnieartykuowanynppodstprawnarozplubpreambua"/>
        <w:rPr>
          <w:bCs w:val="0"/>
        </w:rPr>
      </w:pPr>
      <w:r w:rsidRPr="00BF2F19">
        <w:t xml:space="preserve">W </w:t>
      </w:r>
      <w:r w:rsidR="00355A96">
        <w:rPr>
          <w:rStyle w:val="Ppogrubienie"/>
        </w:rPr>
        <w:t>art. 12</w:t>
      </w:r>
      <w:r w:rsidRPr="00BF2F19">
        <w:rPr>
          <w:rStyle w:val="Ppogrubienie"/>
        </w:rPr>
        <w:t xml:space="preserve"> pkt </w:t>
      </w:r>
      <w:r w:rsidR="00D34944">
        <w:rPr>
          <w:rStyle w:val="Ppogrubienie"/>
        </w:rPr>
        <w:t>6</w:t>
      </w:r>
      <w:r w:rsidRPr="00BF2F19">
        <w:t xml:space="preserve"> projektodawca nakłada na </w:t>
      </w:r>
      <w:r w:rsidR="00264CF7" w:rsidRPr="00BF2F19">
        <w:t>KNF</w:t>
      </w:r>
      <w:r w:rsidRPr="00BF2F19">
        <w:t xml:space="preserve"> uprawnienie do przekazywania do publicznej wiadomości informacji o przypadkach naruszenia przepisów rozporządzenia 2017/1129.</w:t>
      </w:r>
      <w:r w:rsidR="00EB3BF8">
        <w:t xml:space="preserve"> Ponadto </w:t>
      </w:r>
      <w:r w:rsidR="00EB3BF8" w:rsidRPr="00EB3BF8">
        <w:rPr>
          <w:lang w:eastAsia="en-US"/>
        </w:rPr>
        <w:t xml:space="preserve">zmiana </w:t>
      </w:r>
      <w:r w:rsidR="00EB3BF8">
        <w:t xml:space="preserve">ta </w:t>
      </w:r>
      <w:r w:rsidR="00EB3BF8" w:rsidRPr="00EB3BF8">
        <w:rPr>
          <w:lang w:eastAsia="en-US"/>
        </w:rPr>
        <w:t>ma na celu odwrócenie niezamierzonej zmiany tego przepisu, do jakiej doszło w związku z wejściem w życie w dniu 6 maja 2017 r. ustawy z dnia 10 lutego 2017 r. o zmianie ustawy o obrocie instrumentami finansowymi oraz niektórych innych ustaw (Dz. U. poz. 724). Przepis ten, w wyniku wcześniejszej zmiany, wprowadzonej ustawą z dnia 31 marca 2016 r. o zmianie ustawy o funduszach inwestycyjnych oraz niektórych innych ustaw</w:t>
      </w:r>
      <w:r w:rsidR="00EB3BF8">
        <w:t xml:space="preserve"> (Dz. U. poz. 615)</w:t>
      </w:r>
      <w:r w:rsidR="00EB3BF8" w:rsidRPr="00EB3BF8">
        <w:rPr>
          <w:lang w:eastAsia="en-US"/>
        </w:rPr>
        <w:t>, która weszła w życie 4 czerwca 2016 r. pozwalał KNF na pojęcie uchwały o przekazaniu do publicznej wiadomości informacji o podjętych przez organ nadzoru działaniach nadzorczych mających na celu przeciwdziałanie naruszeniu także aktów wykonawczych, wydanych na podstawie ustawy o obrocie instrumentami finansowymi, ustawy o ofercie publicznej, ustawy o funduszach inwestycyjnych oraz ustawy o giełdach towarowych.</w:t>
      </w:r>
    </w:p>
    <w:p w14:paraId="156595F3" w14:textId="77777777" w:rsidR="00EB3BF8" w:rsidRPr="00EB3BF8" w:rsidRDefault="00EB3BF8" w:rsidP="00EB3BF8">
      <w:pPr>
        <w:pStyle w:val="NIEARTTEKSTtekstnieartykuowanynppodstprawnarozplubpreambua"/>
        <w:rPr>
          <w:lang w:eastAsia="en-US"/>
        </w:rPr>
      </w:pPr>
      <w:r w:rsidRPr="00EB3BF8">
        <w:rPr>
          <w:lang w:eastAsia="en-US"/>
        </w:rPr>
        <w:t>Wskazana chronologia zdarzeń spowodowała, że wcześniej projektowane brzmienie art. 25 ust. 1 pkt 1 ustawy o nadzorze nad rynkiem kapitałowym, nieuwzględniające aktów wykonawczych do wymienionych w tym przepisie ustaw zostało przyjęte w ustawie, której data wejścia w życie była późniejsza, niż ustawy, której projekt powstał później i zawierał dalej idące zmiany tego przepisu.</w:t>
      </w:r>
    </w:p>
    <w:p w14:paraId="75364EA3" w14:textId="77777777" w:rsidR="006D6CF9" w:rsidRDefault="00EB3BF8" w:rsidP="00EB3BF8">
      <w:pPr>
        <w:pStyle w:val="ARTartustawynprozporzdzenia"/>
        <w:rPr>
          <w:lang w:eastAsia="en-US"/>
        </w:rPr>
      </w:pPr>
      <w:r w:rsidRPr="00EB3BF8">
        <w:rPr>
          <w:lang w:eastAsia="en-US"/>
        </w:rPr>
        <w:t>Możliwość przekazywania do wiadomości publicznej informacji o podjętych przez KNF działaniach, mających na celu przeciwdziałanie naruszeniom przepisów aktów prawnych wymienionych w art. 25 ust. 1 pkt 1 ustawy, a także aktów wykonawczych, wydanych na ich podstawie jest ważnym elementem kształtowania polityki nadzorczej oraz precyzyjnego informowania uczestników rynku o działaniach podejmowanych przez organ nadzoru. W praktyce zdarzają się sytuacje, w których dopiero informacja o działaniach podjętych w celu przeciwdziałania naruszeniu przepisów rozporządzeń wydanych na podstawie wymienionych w tym przepisie ustaw pozwala na kompleksowe przedstawienie istoty działań podejmowanych przez KNF. Często bowiem przepisy zostały tak skonstruowane, że na poziomie ustawy obowiązek jest określony w sposób ogólny, natomiast sposób jego realizacji doprecyzowany jest w aktach wykonawczych.</w:t>
      </w:r>
    </w:p>
    <w:p w14:paraId="3F73A85E" w14:textId="4F38B56B" w:rsidR="00F40676" w:rsidRPr="00BF2F19" w:rsidRDefault="00F40676" w:rsidP="00EB3BF8">
      <w:pPr>
        <w:pStyle w:val="ARTartustawynprozporzdzenia"/>
      </w:pPr>
      <w:r w:rsidRPr="00F87AB1">
        <w:rPr>
          <w:rStyle w:val="Ppogrubienie"/>
        </w:rPr>
        <w:t>Art. 12 pkt 7</w:t>
      </w:r>
      <w:r w:rsidR="00F87AB1">
        <w:t xml:space="preserve"> dodaje możliwość przeprowadzania przez KNF kontroli w bankach również w zakresie prowadzonej przez te podmioty działalności </w:t>
      </w:r>
      <w:r w:rsidR="00F87AB1" w:rsidRPr="00F87AB1">
        <w:t>w charakterze podmiotu systematycznie internalizującego transakcje w rozumieniu ustawy o obrocie instrumentami finansowymi</w:t>
      </w:r>
      <w:r w:rsidR="00F87AB1">
        <w:t>.</w:t>
      </w:r>
    </w:p>
    <w:p w14:paraId="530F0061" w14:textId="77777777" w:rsidR="00EB4673" w:rsidRPr="00BF2F19" w:rsidRDefault="0008513A" w:rsidP="0008513A">
      <w:pPr>
        <w:pStyle w:val="NIEARTTEKSTtekstnieartykuowanynppodstprawnarozplubpreambua"/>
      </w:pPr>
      <w:r w:rsidRPr="00BF2F19">
        <w:rPr>
          <w:rStyle w:val="Ppogrubienie"/>
        </w:rPr>
        <w:t xml:space="preserve">Art. </w:t>
      </w:r>
      <w:r w:rsidR="0097067A" w:rsidRPr="00BF2F19">
        <w:rPr>
          <w:rStyle w:val="Ppogrubienie"/>
        </w:rPr>
        <w:t>1</w:t>
      </w:r>
      <w:r w:rsidR="00355A96">
        <w:rPr>
          <w:rStyle w:val="Ppogrubienie"/>
        </w:rPr>
        <w:t>3</w:t>
      </w:r>
      <w:r w:rsidRPr="00BF2F19">
        <w:t xml:space="preserve"> </w:t>
      </w:r>
      <w:r w:rsidR="00EB4673" w:rsidRPr="00BF2F19">
        <w:t xml:space="preserve">dokonuje zmian w </w:t>
      </w:r>
      <w:r w:rsidRPr="00BF2F19">
        <w:t>ustaw</w:t>
      </w:r>
      <w:r w:rsidR="00EB4673" w:rsidRPr="00BF2F19">
        <w:t>ie</w:t>
      </w:r>
      <w:r w:rsidRPr="00BF2F19">
        <w:t xml:space="preserve"> o obrocie instrumentami finansowymi</w:t>
      </w:r>
      <w:r w:rsidR="00EB4673" w:rsidRPr="00BF2F19">
        <w:t>.</w:t>
      </w:r>
    </w:p>
    <w:p w14:paraId="018E681A" w14:textId="77777777" w:rsidR="00B76503" w:rsidRDefault="00CC6005" w:rsidP="00A26289">
      <w:pPr>
        <w:pStyle w:val="NIEARTTEKSTtekstnieartykuowanynppodstprawnarozplubpreambua"/>
      </w:pPr>
      <w:r w:rsidRPr="00BF2F19">
        <w:rPr>
          <w:rStyle w:val="Ppogrubienie"/>
        </w:rPr>
        <w:t>A</w:t>
      </w:r>
      <w:r w:rsidR="00355A96">
        <w:rPr>
          <w:rStyle w:val="Ppogrubienie"/>
        </w:rPr>
        <w:t>rt. 13</w:t>
      </w:r>
      <w:r w:rsidR="0043525E" w:rsidRPr="00BF2F19">
        <w:rPr>
          <w:rStyle w:val="Ppogrubienie"/>
        </w:rPr>
        <w:t xml:space="preserve"> pkt 1</w:t>
      </w:r>
      <w:r w:rsidR="0043525E" w:rsidRPr="00BF2F19">
        <w:t xml:space="preserve"> wprowadza zmiany w definicjach zawartych w art. 3 ustawy o obrocie instrumentami finansowymi. </w:t>
      </w:r>
      <w:r w:rsidR="00A26289">
        <w:rPr>
          <w:rStyle w:val="Ppogrubienie"/>
        </w:rPr>
        <w:t>L</w:t>
      </w:r>
      <w:r w:rsidR="00B76503" w:rsidRPr="00BF2F19">
        <w:rPr>
          <w:rStyle w:val="Ppogrubienie"/>
        </w:rPr>
        <w:t xml:space="preserve">it. </w:t>
      </w:r>
      <w:r w:rsidR="00A26289">
        <w:rPr>
          <w:rStyle w:val="Ppogrubienie"/>
        </w:rPr>
        <w:t>a</w:t>
      </w:r>
      <w:r w:rsidR="00B76503" w:rsidRPr="00BF2F19">
        <w:t xml:space="preserve"> doprecyzowuje definicję podmiotu systematycznie internalizującego transakcje poprzez objęcie zakresem tego pojęcia także banków prowadzących działalność na podstawie art. 70 ust. 2 ustawy o obrocie instrumentami finansowymi. Należy zauważyć, że przepisy rozporządzenia Parlamentu Europejskiego i Rady (UE) nr 600/2014 z dnia 15 maja 2014 r. w sprawie rynków instrumentów finansowych oraz zmieniającego rozporządzenie (EU) nr 648/2012 (Dz. Urz. UE L 173 z 12.06.2014, str. 84, z późn. zm.), zwanego dalej „rozporządzeniem 600/2014”, stosuje się, oprócz firm inwestycyjnych, również do instytucji kredytowych w przypadku świadczenia przez nie usług inwestycyjnych lub prowadzenia działalności inwestycyjnej. Mając na uwadze przepisy krajowe, banki prowadzące działalność na podstawie art. 70 ust. 2 ustawy o obrocie instrumentami finansowymi, wykonując czynności maklerskie w zakresie określonym w tej ustawie, świadczą usługi inwestycyjne lub prowadzą działalność inwestycyjną. W związku z tym mogą one pełnić funkcję podmiotu systematycznie internalizującego transakcje i podlegają przepisom rozporządzenia 600/2014.</w:t>
      </w:r>
    </w:p>
    <w:p w14:paraId="4F3C5F46" w14:textId="77777777" w:rsidR="005865B9" w:rsidRDefault="00355A96" w:rsidP="00B76503">
      <w:pPr>
        <w:pStyle w:val="ARTartustawynprozporzdzenia"/>
      </w:pPr>
      <w:r>
        <w:rPr>
          <w:rStyle w:val="Ppogrubienie"/>
        </w:rPr>
        <w:t>Art. 13</w:t>
      </w:r>
      <w:r w:rsidR="005865B9" w:rsidRPr="005865B9">
        <w:rPr>
          <w:rStyle w:val="Ppogrubienie"/>
        </w:rPr>
        <w:t xml:space="preserve"> pkt 1 lit. </w:t>
      </w:r>
      <w:r w:rsidR="00A26289">
        <w:rPr>
          <w:rStyle w:val="Ppogrubienie"/>
        </w:rPr>
        <w:t>b</w:t>
      </w:r>
      <w:r w:rsidR="005865B9">
        <w:t xml:space="preserve"> dodaje w słowniczku ustawowym skrótowe oznaczenie rozporządzenia 2017/1129, dzięki czemu odwołania do tego aktu prawnego w dalszych przepisach ustawy będą bardziej czytelne.</w:t>
      </w:r>
    </w:p>
    <w:p w14:paraId="5A1FD240" w14:textId="77777777" w:rsidR="005865B9" w:rsidRDefault="00355A96" w:rsidP="00B76503">
      <w:pPr>
        <w:pStyle w:val="ARTartustawynprozporzdzenia"/>
      </w:pPr>
      <w:r>
        <w:rPr>
          <w:rStyle w:val="Ppogrubienie"/>
        </w:rPr>
        <w:t>Art. 13</w:t>
      </w:r>
      <w:r w:rsidR="005865B9" w:rsidRPr="005865B9">
        <w:rPr>
          <w:rStyle w:val="Ppogrubienie"/>
        </w:rPr>
        <w:t xml:space="preserve"> pkt 1 lit. </w:t>
      </w:r>
      <w:r w:rsidR="00A26289">
        <w:rPr>
          <w:rStyle w:val="Ppogrubienie"/>
        </w:rPr>
        <w:t>c</w:t>
      </w:r>
      <w:r w:rsidR="005865B9">
        <w:t xml:space="preserve"> odsyła do definicji oferty publicznej zawartej w rozporządzeniu 2017/1129 zamiast do definicji zawartej w ustawie o ofercie publicznej.</w:t>
      </w:r>
    </w:p>
    <w:p w14:paraId="11D1D40B" w14:textId="77777777" w:rsidR="005865B9" w:rsidRDefault="00355A96" w:rsidP="00B76503">
      <w:pPr>
        <w:pStyle w:val="ARTartustawynprozporzdzenia"/>
      </w:pPr>
      <w:r>
        <w:rPr>
          <w:rStyle w:val="Ppogrubienie"/>
        </w:rPr>
        <w:t>Art. 13</w:t>
      </w:r>
      <w:r w:rsidR="005865B9" w:rsidRPr="005865B9">
        <w:rPr>
          <w:rStyle w:val="Ppogrubienie"/>
        </w:rPr>
        <w:t xml:space="preserve"> pkt 1 lit. </w:t>
      </w:r>
      <w:r w:rsidR="00A26289">
        <w:rPr>
          <w:rStyle w:val="Ppogrubienie"/>
        </w:rPr>
        <w:t>d</w:t>
      </w:r>
      <w:r w:rsidR="005865B9">
        <w:t xml:space="preserve"> zmienia pojęcie subemitenta usługowego, zawarte w definicji obrotu wtórnego, na pojęcie gwaranta</w:t>
      </w:r>
      <w:r w:rsidR="00EC044C">
        <w:t xml:space="preserve"> emisji</w:t>
      </w:r>
      <w:r w:rsidR="005865B9">
        <w:t>, co związane jest z zastąpieniem tych pojęć również w ustawie o ofercie publicznej.</w:t>
      </w:r>
    </w:p>
    <w:p w14:paraId="39C067F6" w14:textId="77777777" w:rsidR="005865B9" w:rsidRDefault="005865B9" w:rsidP="00B76503">
      <w:pPr>
        <w:pStyle w:val="ARTartustawynprozporzdzenia"/>
      </w:pPr>
      <w:r w:rsidRPr="005865B9">
        <w:rPr>
          <w:rStyle w:val="Ppogrubienie"/>
        </w:rPr>
        <w:t>Art. 1</w:t>
      </w:r>
      <w:r w:rsidR="00355A96">
        <w:rPr>
          <w:rStyle w:val="Ppogrubienie"/>
        </w:rPr>
        <w:t>3</w:t>
      </w:r>
      <w:r w:rsidR="00CC2A25">
        <w:rPr>
          <w:rStyle w:val="Ppogrubienie"/>
        </w:rPr>
        <w:t xml:space="preserve"> pkt 1</w:t>
      </w:r>
      <w:r w:rsidRPr="005865B9">
        <w:rPr>
          <w:rStyle w:val="Ppogrubienie"/>
        </w:rPr>
        <w:t xml:space="preserve"> lit. </w:t>
      </w:r>
      <w:r w:rsidR="00A26289">
        <w:rPr>
          <w:rStyle w:val="Ppogrubienie"/>
        </w:rPr>
        <w:t>e</w:t>
      </w:r>
      <w:r w:rsidRPr="005865B9">
        <w:t xml:space="preserve"> </w:t>
      </w:r>
      <w:r>
        <w:t>odsyła do definicji emitenta zawartej w rozporządzeniu 2017/1129 zamiast do definicji zawartej w ustawie o ofercie publicznej.</w:t>
      </w:r>
    </w:p>
    <w:p w14:paraId="25612A86" w14:textId="77777777" w:rsidR="005865B9" w:rsidRDefault="00355A96" w:rsidP="00B76503">
      <w:pPr>
        <w:pStyle w:val="ARTartustawynprozporzdzenia"/>
      </w:pPr>
      <w:r>
        <w:rPr>
          <w:rStyle w:val="Ppogrubienie"/>
        </w:rPr>
        <w:t>Art. 13</w:t>
      </w:r>
      <w:r w:rsidR="00CC2A25">
        <w:rPr>
          <w:rStyle w:val="Ppogrubienie"/>
        </w:rPr>
        <w:t xml:space="preserve"> pkt 1</w:t>
      </w:r>
      <w:r w:rsidR="00A26289">
        <w:rPr>
          <w:rStyle w:val="Ppogrubienie"/>
        </w:rPr>
        <w:t xml:space="preserve"> lit. f</w:t>
      </w:r>
      <w:r w:rsidR="005865B9" w:rsidRPr="005865B9">
        <w:rPr>
          <w:rStyle w:val="Ppogrubienie"/>
        </w:rPr>
        <w:t xml:space="preserve"> </w:t>
      </w:r>
      <w:r w:rsidR="00A26289">
        <w:t>uchyla</w:t>
      </w:r>
      <w:r w:rsidR="005865B9">
        <w:t xml:space="preserve"> </w:t>
      </w:r>
      <w:r w:rsidR="00A26289">
        <w:t>punkt definiujący</w:t>
      </w:r>
      <w:r w:rsidR="005865B9">
        <w:t xml:space="preserve"> pojęcie sprzedającego</w:t>
      </w:r>
      <w:r w:rsidR="00A26289">
        <w:t xml:space="preserve">, natomiast </w:t>
      </w:r>
      <w:r w:rsidR="00A26289" w:rsidRPr="00A26289">
        <w:rPr>
          <w:rStyle w:val="Ppogrubienie"/>
        </w:rPr>
        <w:t>lit. g</w:t>
      </w:r>
      <w:r w:rsidR="00A26289">
        <w:t xml:space="preserve"> wprowadza nowy punkt definiujący używane zamiast niego pojęcie oferującego,</w:t>
      </w:r>
      <w:r w:rsidR="005865B9">
        <w:t xml:space="preserve"> odsyła</w:t>
      </w:r>
      <w:r w:rsidR="00A26289">
        <w:t>jąc w tym zakresie</w:t>
      </w:r>
      <w:r w:rsidR="005865B9">
        <w:t xml:space="preserve"> do definicji zawartej w rozporządzeniu 2017/1129.</w:t>
      </w:r>
    </w:p>
    <w:p w14:paraId="1BA92E93" w14:textId="77777777" w:rsidR="00707FFE" w:rsidRDefault="00707FFE" w:rsidP="00B76503">
      <w:pPr>
        <w:pStyle w:val="ARTartustawynprozporzdzenia"/>
      </w:pPr>
      <w:r>
        <w:t>W związku z zastąpieniem umów o subemisję inwestycyjną i subemisję usługową umowami o gwarancję</w:t>
      </w:r>
      <w:r w:rsidR="00EC044C">
        <w:t xml:space="preserve"> emisji</w:t>
      </w:r>
      <w:r>
        <w:t xml:space="preserve">, </w:t>
      </w:r>
      <w:r w:rsidRPr="00707FFE">
        <w:rPr>
          <w:rStyle w:val="Ppogrubienie"/>
        </w:rPr>
        <w:t>art. 1</w:t>
      </w:r>
      <w:r w:rsidR="00355A96">
        <w:rPr>
          <w:rStyle w:val="Ppogrubienie"/>
        </w:rPr>
        <w:t>3</w:t>
      </w:r>
      <w:r w:rsidR="00CC2A25">
        <w:rPr>
          <w:rStyle w:val="Ppogrubienie"/>
        </w:rPr>
        <w:t xml:space="preserve"> pkt 1</w:t>
      </w:r>
      <w:r w:rsidRPr="00707FFE">
        <w:rPr>
          <w:rStyle w:val="Ppogrubienie"/>
        </w:rPr>
        <w:t xml:space="preserve"> lit. h</w:t>
      </w:r>
      <w:r>
        <w:t xml:space="preserve"> uchyla dotychczasowe definicje subemisji inwestycyjnej i subemisji usługowej. W </w:t>
      </w:r>
      <w:r w:rsidRPr="00707FFE">
        <w:rPr>
          <w:rStyle w:val="Ppogrubienie"/>
        </w:rPr>
        <w:t>lit. i</w:t>
      </w:r>
      <w:r>
        <w:t xml:space="preserve"> dodaje się natomiast definicję umowy o gwarancję</w:t>
      </w:r>
      <w:r w:rsidR="00EC044C">
        <w:t xml:space="preserve"> emisji</w:t>
      </w:r>
      <w:r>
        <w:t>, odsyłając w tym zakresie do ustawy o ofercie publicznej.</w:t>
      </w:r>
    </w:p>
    <w:p w14:paraId="446C735A" w14:textId="419091C9" w:rsidR="00A26289" w:rsidRPr="005865B9" w:rsidRDefault="00A26289" w:rsidP="00B76503">
      <w:pPr>
        <w:pStyle w:val="ARTartustawynprozporzdzenia"/>
      </w:pPr>
      <w:r>
        <w:t>Nowy pkt</w:t>
      </w:r>
      <w:r w:rsidRPr="00BF2F19">
        <w:t xml:space="preserve"> 29a</w:t>
      </w:r>
      <w:r>
        <w:t xml:space="preserve">, dodawany przez </w:t>
      </w:r>
      <w:r w:rsidR="00355A96">
        <w:rPr>
          <w:rStyle w:val="Ppogrubienie"/>
        </w:rPr>
        <w:t>art. 13</w:t>
      </w:r>
      <w:r w:rsidRPr="00ED080F">
        <w:rPr>
          <w:rStyle w:val="Ppogrubienie"/>
        </w:rPr>
        <w:t xml:space="preserve"> pkt 1 lit. j</w:t>
      </w:r>
      <w:r>
        <w:t>, dodaje definicję giełdowych praw pochodnych</w:t>
      </w:r>
      <w:r w:rsidRPr="00BF2F19">
        <w:t xml:space="preserve">. </w:t>
      </w:r>
      <w:r>
        <w:t>Wprowadzenie ich do ustawy</w:t>
      </w:r>
      <w:r w:rsidRPr="00BF2F19">
        <w:t xml:space="preserve"> ma na celu uatrakcyjnienie polskiego rynku kapitałowego poprzez </w:t>
      </w:r>
      <w:r w:rsidR="00ED080F">
        <w:t>dodanie</w:t>
      </w:r>
      <w:r w:rsidRPr="00BF2F19">
        <w:t xml:space="preserve"> do katalogu instrumentów finansowych papieru wartościowego, który występuje już na wielu rozwiniętych rynkach finansowych.</w:t>
      </w:r>
    </w:p>
    <w:p w14:paraId="0F921525" w14:textId="10780389" w:rsidR="00770264" w:rsidRDefault="00ED080F" w:rsidP="00B76503">
      <w:pPr>
        <w:pStyle w:val="ARTartustawynprozporzdzenia"/>
      </w:pPr>
      <w:r>
        <w:t>W związku z umożliwieniem bankom wykonywania działalności w charakterze podmiotu systematycznie internalizującego transakcje,</w:t>
      </w:r>
      <w:r w:rsidR="00770264" w:rsidRPr="00BF2F19">
        <w:t xml:space="preserve"> zmiana proponowana w </w:t>
      </w:r>
      <w:r w:rsidR="00355A96">
        <w:rPr>
          <w:rStyle w:val="Ppogrubienie"/>
        </w:rPr>
        <w:t>art. 13</w:t>
      </w:r>
      <w:r w:rsidR="00770264" w:rsidRPr="00BF2F19">
        <w:rPr>
          <w:rStyle w:val="Ppogrubienie"/>
        </w:rPr>
        <w:t xml:space="preserve"> pkt 2</w:t>
      </w:r>
      <w:r w:rsidR="00770264" w:rsidRPr="00BF2F19">
        <w:t xml:space="preserve"> </w:t>
      </w:r>
      <w:r>
        <w:t>dodaje banki również w</w:t>
      </w:r>
      <w:r w:rsidR="00770264" w:rsidRPr="00BF2F19">
        <w:t xml:space="preserve"> art. 3b </w:t>
      </w:r>
      <w:r w:rsidR="00F87AB1">
        <w:t xml:space="preserve">i art. 3c </w:t>
      </w:r>
      <w:r w:rsidR="00770264" w:rsidRPr="00BF2F19">
        <w:t>ustawy o obrocie instrumentami finansowymi</w:t>
      </w:r>
      <w:r>
        <w:t>.</w:t>
      </w:r>
      <w:r w:rsidR="00770264" w:rsidRPr="00BF2F19">
        <w:t xml:space="preserve"> </w:t>
      </w:r>
      <w:r>
        <w:t>Dzięki temu</w:t>
      </w:r>
      <w:r w:rsidR="00770264" w:rsidRPr="00BF2F19">
        <w:t xml:space="preserve"> również te podmioty – obok firm inwestycyjnych – </w:t>
      </w:r>
      <w:r>
        <w:t xml:space="preserve">będą </w:t>
      </w:r>
      <w:r w:rsidR="00770264" w:rsidRPr="00BF2F19">
        <w:t xml:space="preserve">mogły </w:t>
      </w:r>
      <w:r>
        <w:t>dobrowolnie poddać się wymogom mającym zastosowanie do tych podmiotów</w:t>
      </w:r>
      <w:r w:rsidR="00770264" w:rsidRPr="00BF2F19">
        <w:t>.</w:t>
      </w:r>
    </w:p>
    <w:p w14:paraId="4ABD2180" w14:textId="5B9B316E" w:rsidR="00F87AB1" w:rsidRPr="00F87AB1" w:rsidRDefault="00F87AB1" w:rsidP="003605FD">
      <w:pPr>
        <w:pStyle w:val="ARTartustawynprozporzdzenia"/>
      </w:pPr>
      <w:r w:rsidRPr="00F87AB1">
        <w:t xml:space="preserve">Celem zmian </w:t>
      </w:r>
      <w:r>
        <w:t xml:space="preserve">proponowanych w </w:t>
      </w:r>
      <w:r w:rsidRPr="00F87AB1">
        <w:rPr>
          <w:rStyle w:val="Ppogrubienie"/>
        </w:rPr>
        <w:t>art. 13 pkt 3</w:t>
      </w:r>
      <w:r>
        <w:t xml:space="preserve"> oraz w dalszych miejscach ustawy o obrocie instrumentami finansowymi </w:t>
      </w:r>
      <w:r w:rsidRPr="00F87AB1">
        <w:t>jest umożliwienie podmiotom z państw najbardziej</w:t>
      </w:r>
      <w:r>
        <w:t xml:space="preserve"> </w:t>
      </w:r>
      <w:r w:rsidRPr="00F87AB1">
        <w:t>rozwiniętych, tj. należących do Organizacji Wsp</w:t>
      </w:r>
      <w:r w:rsidR="00E4081E">
        <w:t xml:space="preserve">ółpracy Gospodarczej i Rozwoju, zwanej dalej </w:t>
      </w:r>
      <w:r w:rsidR="00E4081E" w:rsidRPr="00BF2F19">
        <w:t>„</w:t>
      </w:r>
      <w:r w:rsidR="00E4081E">
        <w:t>OECD</w:t>
      </w:r>
      <w:r w:rsidR="00E4081E" w:rsidRPr="00BF2F19">
        <w:t>”</w:t>
      </w:r>
      <w:r w:rsidR="00E4081E">
        <w:t>,</w:t>
      </w:r>
      <w:r>
        <w:t xml:space="preserve"> </w:t>
      </w:r>
      <w:r w:rsidRPr="00F87AB1">
        <w:t>uzyskania statusu członka giełdy oraz zawierania transakcji z wykorzystaniem</w:t>
      </w:r>
      <w:r>
        <w:t xml:space="preserve"> </w:t>
      </w:r>
      <w:r w:rsidRPr="00F87AB1">
        <w:t>bezpośredniego dostępu elektronicznego do rynku.</w:t>
      </w:r>
      <w:r w:rsidR="003605FD">
        <w:t xml:space="preserve"> </w:t>
      </w:r>
      <w:r w:rsidRPr="00F87AB1">
        <w:t xml:space="preserve">Przedłożona propozycja </w:t>
      </w:r>
      <w:r w:rsidR="003605FD">
        <w:t>nie narusza</w:t>
      </w:r>
      <w:r w:rsidRPr="00F87AB1">
        <w:t xml:space="preserve"> regulacji prawnych Unii Europejskiej</w:t>
      </w:r>
      <w:r>
        <w:t xml:space="preserve"> </w:t>
      </w:r>
      <w:r w:rsidRPr="00F87AB1">
        <w:t>dotyczących zasad prowadzenia działalności maklerskiej oraz organizowania obrotu</w:t>
      </w:r>
      <w:r>
        <w:t xml:space="preserve"> </w:t>
      </w:r>
      <w:r w:rsidRPr="00F87AB1">
        <w:t>instrumentami finansowymi. Dyrektywa 2014/65/UE oraz</w:t>
      </w:r>
      <w:r>
        <w:t xml:space="preserve"> </w:t>
      </w:r>
      <w:r w:rsidR="003605FD">
        <w:t>r</w:t>
      </w:r>
      <w:r w:rsidRPr="00F87AB1">
        <w:t>ozporządzenie 600/2014 pozostawiają w gestii poszczególnych państw</w:t>
      </w:r>
      <w:r>
        <w:t xml:space="preserve"> </w:t>
      </w:r>
      <w:r w:rsidRPr="00F87AB1">
        <w:t>członkowskich uregulowanie sytuacji, w której firma z kraju trzeciego nie prowadzi</w:t>
      </w:r>
      <w:r>
        <w:t xml:space="preserve"> </w:t>
      </w:r>
      <w:r w:rsidRPr="00F87AB1">
        <w:t>działalności maklerskiej na obszarze państw członkowskich Unii Europejskiej.</w:t>
      </w:r>
    </w:p>
    <w:p w14:paraId="749721A1" w14:textId="71326E7F" w:rsidR="00F87AB1" w:rsidRPr="00F87AB1" w:rsidRDefault="00F87AB1" w:rsidP="00F87AB1">
      <w:pPr>
        <w:pStyle w:val="ARTartustawynprozporzdzenia"/>
      </w:pPr>
      <w:r w:rsidRPr="00F87AB1">
        <w:t>Obowiązujące przepisy ustawy o obrocie instrumentami</w:t>
      </w:r>
      <w:r>
        <w:t xml:space="preserve"> </w:t>
      </w:r>
      <w:r w:rsidRPr="00F87AB1">
        <w:t>finansowymi w odniesieniu do działalności firm z krajów trzecich regulują</w:t>
      </w:r>
      <w:r>
        <w:t xml:space="preserve"> </w:t>
      </w:r>
      <w:r w:rsidRPr="00F87AB1">
        <w:t>jedynie przypadek, gdy podmioty te zamierzają świadczyć usługi lub prowadzić działalność</w:t>
      </w:r>
      <w:r>
        <w:t xml:space="preserve"> </w:t>
      </w:r>
      <w:r w:rsidRPr="00F87AB1">
        <w:t>maklerską na terytorium Rzeczypospolitej Polskiej, pozostawiając poza obszarem</w:t>
      </w:r>
      <w:r>
        <w:t xml:space="preserve"> </w:t>
      </w:r>
      <w:r w:rsidR="003605FD">
        <w:t>zainteresowania u</w:t>
      </w:r>
      <w:r w:rsidRPr="00F87AB1">
        <w:t>stawy sytuację objętą zakresem proponowanych zmian.</w:t>
      </w:r>
    </w:p>
    <w:p w14:paraId="18EFCC5A" w14:textId="07A38B7F" w:rsidR="00F87AB1" w:rsidRPr="00F87AB1" w:rsidRDefault="003605FD" w:rsidP="003605FD">
      <w:pPr>
        <w:pStyle w:val="ARTartustawynprozporzdzenia"/>
      </w:pPr>
      <w:r>
        <w:t>W aktualnym stanie prawnym –</w:t>
      </w:r>
      <w:r w:rsidR="00F87AB1" w:rsidRPr="00F87AB1">
        <w:t xml:space="preserve"> stoso</w:t>
      </w:r>
      <w:r>
        <w:t>wnie do art. 115 ust. 1 ustawy o obrocie instrumentami finansowymi –</w:t>
      </w:r>
      <w:r w:rsidR="00F87AB1" w:rsidRPr="00F87AB1">
        <w:t xml:space="preserve"> firma z kraju</w:t>
      </w:r>
      <w:r w:rsidR="00F87AB1">
        <w:t xml:space="preserve"> </w:t>
      </w:r>
      <w:r w:rsidR="00F87AB1" w:rsidRPr="00F87AB1">
        <w:t>trzeciego zamierzająca świadczyć usługi maklerskie może, co do zasady, działać na</w:t>
      </w:r>
      <w:r w:rsidR="00F87AB1">
        <w:t xml:space="preserve"> </w:t>
      </w:r>
      <w:r w:rsidR="00F87AB1" w:rsidRPr="00F87AB1">
        <w:t>terytorium Polski wyłącznie w formie oddziału. Prowadzenie takiej działalności wymaga</w:t>
      </w:r>
      <w:r w:rsidR="00F87AB1">
        <w:t xml:space="preserve"> </w:t>
      </w:r>
      <w:r w:rsidR="00F87AB1" w:rsidRPr="00F87AB1">
        <w:t xml:space="preserve">uzyskania zezwolenia </w:t>
      </w:r>
      <w:r>
        <w:t>KNF</w:t>
      </w:r>
      <w:r w:rsidR="00F87AB1" w:rsidRPr="00F87AB1">
        <w:t>. Tym samym podmiot taki</w:t>
      </w:r>
      <w:r w:rsidR="00F87AB1">
        <w:t xml:space="preserve"> </w:t>
      </w:r>
      <w:r w:rsidR="00F87AB1" w:rsidRPr="00F87AB1">
        <w:t>nie może prowadzić w Polsce działalności transgranicznie (zdalnie), tj. bez ustanowienia</w:t>
      </w:r>
      <w:r w:rsidR="00F87AB1">
        <w:t xml:space="preserve"> </w:t>
      </w:r>
      <w:r w:rsidR="00F87AB1" w:rsidRPr="00F87AB1">
        <w:t>oddziału.</w:t>
      </w:r>
      <w:r>
        <w:t xml:space="preserve"> </w:t>
      </w:r>
      <w:r w:rsidR="00F87AB1" w:rsidRPr="00F87AB1">
        <w:t>Wyjątkiem jest przypad</w:t>
      </w:r>
      <w:r>
        <w:t>ek określony w art. 115 ust. 7 u</w:t>
      </w:r>
      <w:r w:rsidR="00F87AB1" w:rsidRPr="00F87AB1">
        <w:t>stawy</w:t>
      </w:r>
      <w:r>
        <w:t xml:space="preserve"> o obrocie instrumentami finansowymi</w:t>
      </w:r>
      <w:r w:rsidR="00F87AB1" w:rsidRPr="00F87AB1">
        <w:t>, zgodnie z którym firma</w:t>
      </w:r>
      <w:r w:rsidR="00F87AB1">
        <w:t xml:space="preserve"> </w:t>
      </w:r>
      <w:r w:rsidR="00F87AB1" w:rsidRPr="00F87AB1">
        <w:t>z kraju trzeciego może działać transgranicznie (tj. bez konieczności otwierania oddziału)</w:t>
      </w:r>
      <w:r w:rsidR="00F87AB1">
        <w:t xml:space="preserve"> </w:t>
      </w:r>
      <w:r w:rsidR="00F87AB1" w:rsidRPr="00F87AB1">
        <w:t xml:space="preserve">oraz bez zezwolenia </w:t>
      </w:r>
      <w:r>
        <w:t>KNF</w:t>
      </w:r>
      <w:r w:rsidR="00F87AB1" w:rsidRPr="00F87AB1">
        <w:t>, o ile jest wpisania do rejestru, o którym mowa w art. 48</w:t>
      </w:r>
      <w:r w:rsidR="00F87AB1">
        <w:t xml:space="preserve"> </w:t>
      </w:r>
      <w:r>
        <w:t>r</w:t>
      </w:r>
      <w:r w:rsidR="00F87AB1" w:rsidRPr="00F87AB1">
        <w:t xml:space="preserve">ozporządzenia </w:t>
      </w:r>
      <w:r>
        <w:t>600/2014</w:t>
      </w:r>
      <w:r w:rsidR="00F87AB1" w:rsidRPr="00F87AB1">
        <w:t>, pod warunkiem że będzie świadczyć usługi maklerskie na</w:t>
      </w:r>
      <w:r w:rsidR="00F87AB1">
        <w:t xml:space="preserve"> </w:t>
      </w:r>
      <w:r w:rsidR="00F87AB1" w:rsidRPr="00F87AB1">
        <w:t>terytorium Polski wyłącznie na rzecz uprawnionych kontrahentów oraz klientów</w:t>
      </w:r>
      <w:r w:rsidR="00F87AB1">
        <w:t xml:space="preserve"> </w:t>
      </w:r>
      <w:r w:rsidR="00F87AB1" w:rsidRPr="00F87AB1">
        <w:t>profesjonalnych, o których mowa w art. 3 pkt 39b lit. a</w:t>
      </w:r>
      <w:r>
        <w:t>–m u</w:t>
      </w:r>
      <w:r w:rsidR="00F87AB1" w:rsidRPr="00F87AB1">
        <w:t xml:space="preserve">stawy </w:t>
      </w:r>
      <w:r>
        <w:t xml:space="preserve">o obrocie instrumentami finansowymi, </w:t>
      </w:r>
      <w:r w:rsidR="00F87AB1" w:rsidRPr="00F87AB1">
        <w:t>mających siedzibę lub</w:t>
      </w:r>
      <w:r w:rsidR="00F87AB1">
        <w:t xml:space="preserve"> </w:t>
      </w:r>
      <w:r w:rsidR="00F87AB1" w:rsidRPr="00F87AB1">
        <w:t>miejsce zamieszkania na terytorium państwa Unii Europejskiej. Firma z kraju trzeciego po</w:t>
      </w:r>
      <w:r w:rsidR="00F87AB1">
        <w:t xml:space="preserve"> </w:t>
      </w:r>
      <w:r w:rsidR="00F87AB1" w:rsidRPr="00F87AB1">
        <w:t>wpisaniu jej do ww. rejestru sta</w:t>
      </w:r>
      <w:r>
        <w:t>nie się w rozumieniu przepisów u</w:t>
      </w:r>
      <w:r w:rsidR="00F87AB1" w:rsidRPr="00F87AB1">
        <w:t>stawy „zagraniczną osobą</w:t>
      </w:r>
      <w:r w:rsidR="00F87AB1">
        <w:t xml:space="preserve"> </w:t>
      </w:r>
      <w:r w:rsidR="00F87AB1" w:rsidRPr="00F87AB1">
        <w:t>prawną z siedzibą na terytorium państwa innego niż państwo członkowskie, prowadzącą</w:t>
      </w:r>
      <w:r w:rsidR="00F87AB1">
        <w:t xml:space="preserve"> </w:t>
      </w:r>
      <w:r w:rsidR="00F87AB1" w:rsidRPr="00F87AB1">
        <w:t>na terytorium Rzeczypospolitej Polski</w:t>
      </w:r>
      <w:r>
        <w:t>ej działalność maklerską</w:t>
      </w:r>
      <w:r w:rsidRPr="00BF2F19">
        <w:t>”</w:t>
      </w:r>
      <w:r w:rsidR="00F87AB1" w:rsidRPr="00F87AB1">
        <w:t>, i jako taka objęta zostanie</w:t>
      </w:r>
      <w:r w:rsidR="00F87AB1">
        <w:t xml:space="preserve"> </w:t>
      </w:r>
      <w:r w:rsidR="00F87AB1" w:rsidRPr="00F87AB1">
        <w:t>zakresem definicji firmy</w:t>
      </w:r>
      <w:r>
        <w:t xml:space="preserve"> inwestycyjnej z art. 3 pkt 33 u</w:t>
      </w:r>
      <w:r w:rsidR="00F87AB1" w:rsidRPr="00F87AB1">
        <w:t>stawy. Tym samym będzie mogła</w:t>
      </w:r>
      <w:r w:rsidR="00F87AB1">
        <w:t xml:space="preserve"> </w:t>
      </w:r>
      <w:r w:rsidR="00F87AB1" w:rsidRPr="00F87AB1">
        <w:t>być stroną transakcji gi</w:t>
      </w:r>
      <w:r>
        <w:t>ełdowej zgodnie z art. 31 ust. 1 pkt 1 u</w:t>
      </w:r>
      <w:r w:rsidR="00F87AB1" w:rsidRPr="00F87AB1">
        <w:t>stawy.</w:t>
      </w:r>
    </w:p>
    <w:p w14:paraId="2BCB1426" w14:textId="04F26A8B" w:rsidR="00F87AB1" w:rsidRDefault="00F87AB1" w:rsidP="003605FD">
      <w:pPr>
        <w:pStyle w:val="ARTartustawynprozporzdzenia"/>
      </w:pPr>
      <w:r w:rsidRPr="00F87AB1">
        <w:t>Oba wskazane powyżej przypadki dotyczą podmiotów z krajów trzecich, które prowadzą</w:t>
      </w:r>
      <w:r>
        <w:t xml:space="preserve"> </w:t>
      </w:r>
      <w:r w:rsidRPr="00F87AB1">
        <w:t>działalność maklerską na terytorium Rzeczypospolitej Polskiej, tj. działają na rzecz polskich</w:t>
      </w:r>
      <w:r>
        <w:t xml:space="preserve"> </w:t>
      </w:r>
      <w:r w:rsidRPr="00F87AB1">
        <w:t>inwestorów. Przedstawiona propozycja zmian dotyczy</w:t>
      </w:r>
      <w:r w:rsidR="003605FD">
        <w:t xml:space="preserve"> natomiast</w:t>
      </w:r>
      <w:r w:rsidRPr="00F87AB1">
        <w:t xml:space="preserve"> sytuacji gdy firma z kraju trzeciego nie prowadzi działalności</w:t>
      </w:r>
      <w:r>
        <w:t xml:space="preserve"> </w:t>
      </w:r>
      <w:r w:rsidRPr="00F87AB1">
        <w:t>maklerskiej na teryto</w:t>
      </w:r>
      <w:r w:rsidR="003605FD">
        <w:t>rium Rzeczypospolitej Polskiej</w:t>
      </w:r>
      <w:r w:rsidRPr="00F87AB1">
        <w:t>.</w:t>
      </w:r>
    </w:p>
    <w:p w14:paraId="739A64E6" w14:textId="24CA71D0" w:rsidR="00F87AB1" w:rsidRDefault="003605FD" w:rsidP="003605FD">
      <w:pPr>
        <w:pStyle w:val="ARTartustawynprozporzdzenia"/>
      </w:pPr>
      <w:r>
        <w:t>W art. 4a ust. 3 u</w:t>
      </w:r>
      <w:r w:rsidR="00F87AB1" w:rsidRPr="00F87AB1">
        <w:t>stawy</w:t>
      </w:r>
      <w:r>
        <w:t xml:space="preserve"> o obrocie instrumentami finansowymi</w:t>
      </w:r>
      <w:r w:rsidR="00F87AB1" w:rsidRPr="00F87AB1">
        <w:t xml:space="preserve"> w nowo dodanym pkt 3a wskazano, że instrumenty pochodne</w:t>
      </w:r>
      <w:r w:rsidR="00F87AB1">
        <w:t xml:space="preserve"> </w:t>
      </w:r>
      <w:r w:rsidR="00F87AB1" w:rsidRPr="00F87AB1">
        <w:t>dopuszczone do obrotu zorganizowanego, będące przedmiotem transakcji</w:t>
      </w:r>
      <w:r>
        <w:t xml:space="preserve"> zawieranych</w:t>
      </w:r>
      <w:r w:rsidR="00F87AB1">
        <w:t xml:space="preserve"> </w:t>
      </w:r>
      <w:r w:rsidR="00F87AB1" w:rsidRPr="00F87AB1">
        <w:t>przez zagraniczne osoby prawne, o których mowa w doda</w:t>
      </w:r>
      <w:r>
        <w:t>wanym również niniejszym projektem</w:t>
      </w:r>
      <w:r w:rsidR="00F87AB1" w:rsidRPr="00F87AB1">
        <w:t xml:space="preserve"> art. 31 ust.</w:t>
      </w:r>
      <w:r w:rsidR="00F87AB1">
        <w:t xml:space="preserve"> </w:t>
      </w:r>
      <w:r w:rsidR="00F87AB1" w:rsidRPr="00F87AB1">
        <w:t>1</w:t>
      </w:r>
      <w:r w:rsidRPr="003605FD">
        <w:t xml:space="preserve"> </w:t>
      </w:r>
      <w:r w:rsidRPr="00F87AB1">
        <w:t>pkt 2a</w:t>
      </w:r>
      <w:r w:rsidR="00F87AB1" w:rsidRPr="00F87AB1">
        <w:t>, mogą być rejestrowane w rejestrach prowadzonych poza terytorium Polski, analogicznie</w:t>
      </w:r>
      <w:r w:rsidR="00F87AB1">
        <w:t xml:space="preserve"> </w:t>
      </w:r>
      <w:r w:rsidR="00F87AB1" w:rsidRPr="00F87AB1">
        <w:t>jak ma to miejsce w przypadku transakcji zawieranych przez pozostałe podmioty wskazane</w:t>
      </w:r>
      <w:r w:rsidR="00F87AB1">
        <w:t xml:space="preserve"> </w:t>
      </w:r>
      <w:r>
        <w:t>w art. 4 ust. 3 u</w:t>
      </w:r>
      <w:r w:rsidR="00F87AB1" w:rsidRPr="00F87AB1">
        <w:t>stawy. Zmiana ta nie wpływa na przewidziany na poziomie ustawy krąg</w:t>
      </w:r>
      <w:r w:rsidR="00F87AB1">
        <w:t xml:space="preserve"> </w:t>
      </w:r>
      <w:r w:rsidR="00F87AB1" w:rsidRPr="00F87AB1">
        <w:t>podmiotów uprawnionych do prowadzenia ra</w:t>
      </w:r>
      <w:r>
        <w:t>chunków papierów wartościowych, rachunków derywatów i rachunków zbiorczych</w:t>
      </w:r>
      <w:r w:rsidR="00F87AB1" w:rsidRPr="00F87AB1">
        <w:t>.</w:t>
      </w:r>
      <w:r>
        <w:t xml:space="preserve"> </w:t>
      </w:r>
      <w:r w:rsidR="00F87AB1" w:rsidRPr="00F87AB1">
        <w:t>Fakt rozszerzenia katalogu podmiotów mogących zawierać transakcje na rynku</w:t>
      </w:r>
      <w:r w:rsidR="00F87AB1">
        <w:t xml:space="preserve"> </w:t>
      </w:r>
      <w:r w:rsidR="00F87AB1" w:rsidRPr="00F87AB1">
        <w:t>regulowanym oraz uzyskać status członka giełdy pozostaje też bez wpływu na sposób</w:t>
      </w:r>
      <w:r w:rsidR="00F87AB1">
        <w:t xml:space="preserve"> </w:t>
      </w:r>
      <w:r w:rsidR="00F87AB1" w:rsidRPr="00F87AB1">
        <w:t>rozliczenia transakcji i uczestnictwo w systemie depozytowo-rozrachunkowym oraz</w:t>
      </w:r>
      <w:r w:rsidR="00F87AB1">
        <w:t xml:space="preserve"> </w:t>
      </w:r>
      <w:r w:rsidR="00F87AB1" w:rsidRPr="00F87AB1">
        <w:t>rozliczeniowym. Tak samo jak ma to miejsce obecnie w przypadku zdalnych członków</w:t>
      </w:r>
      <w:r w:rsidR="00F87AB1">
        <w:t xml:space="preserve"> </w:t>
      </w:r>
      <w:r w:rsidR="00F87AB1" w:rsidRPr="00F87AB1">
        <w:t>giełdy z siedzibą w państwie członkowskim Unii Europejskiej zagraniczna osoba prawna,</w:t>
      </w:r>
      <w:r w:rsidR="00F87AB1">
        <w:t xml:space="preserve"> </w:t>
      </w:r>
      <w:r w:rsidR="00F87AB1" w:rsidRPr="00F87AB1">
        <w:t xml:space="preserve">o której mowa w </w:t>
      </w:r>
      <w:r w:rsidR="006E2A46">
        <w:t>art. 31 ust. 1</w:t>
      </w:r>
      <w:r w:rsidR="006E2A46" w:rsidRPr="006E2A46">
        <w:t xml:space="preserve"> </w:t>
      </w:r>
      <w:r w:rsidR="006E2A46">
        <w:t>pkt 2a</w:t>
      </w:r>
      <w:r w:rsidR="00F87AB1" w:rsidRPr="00F87AB1">
        <w:t>, przed rozpoczęciem działania na</w:t>
      </w:r>
      <w:r w:rsidR="00F87AB1">
        <w:t xml:space="preserve"> </w:t>
      </w:r>
      <w:r w:rsidR="00F87AB1" w:rsidRPr="00F87AB1">
        <w:t>giełdzie będzie musiała zagwarantować możliwość prawidłowego rozliczania transakcji</w:t>
      </w:r>
      <w:r w:rsidR="00F87AB1">
        <w:t xml:space="preserve"> </w:t>
      </w:r>
      <w:r w:rsidR="00F87AB1" w:rsidRPr="00F87AB1">
        <w:t>giełdowych, poprzez wskazanie podmiotu mającego status uczestnika rozliczającego</w:t>
      </w:r>
      <w:r w:rsidR="00F87AB1">
        <w:t xml:space="preserve"> </w:t>
      </w:r>
      <w:r w:rsidR="00F87AB1" w:rsidRPr="00F87AB1">
        <w:t>KDPW_CCP, z którym zawarła umowę o rozliczanie transakcji giełdowych.</w:t>
      </w:r>
    </w:p>
    <w:p w14:paraId="66C48EAF" w14:textId="77777777" w:rsidR="00601321" w:rsidRDefault="00CC2A25" w:rsidP="0043525E">
      <w:pPr>
        <w:pStyle w:val="ARTartustawynprozporzdzenia"/>
      </w:pPr>
      <w:r>
        <w:rPr>
          <w:rStyle w:val="Ppogrubienie"/>
        </w:rPr>
        <w:t>Ar</w:t>
      </w:r>
      <w:r w:rsidR="00355A96">
        <w:rPr>
          <w:rStyle w:val="Ppogrubienie"/>
        </w:rPr>
        <w:t>t. 13</w:t>
      </w:r>
      <w:r w:rsidR="0043525E" w:rsidRPr="00BF2F19">
        <w:rPr>
          <w:rStyle w:val="Ppogrubienie"/>
        </w:rPr>
        <w:t xml:space="preserve"> pkt </w:t>
      </w:r>
      <w:r w:rsidR="00392FC6">
        <w:rPr>
          <w:rStyle w:val="Ppogrubienie"/>
        </w:rPr>
        <w:t>4</w:t>
      </w:r>
      <w:r w:rsidR="00EB3BF8">
        <w:rPr>
          <w:rStyle w:val="Ppogrubienie"/>
        </w:rPr>
        <w:t xml:space="preserve"> lit. a</w:t>
      </w:r>
      <w:r w:rsidR="00601321">
        <w:rPr>
          <w:rStyle w:val="Ppogrubienie"/>
        </w:rPr>
        <w:t xml:space="preserve"> </w:t>
      </w:r>
      <w:r w:rsidR="00601321">
        <w:t xml:space="preserve">przewiduje, że przepis ten będzie się odnosić również do papierów wartościowych, które nie mają formy dokumentu w przypadku gdy przewidują to przepisy odrębne. Zmiana ma związek z wprowadzeniem obowiązkowej dematerializacji niektórych papierów wartościowych na podstawie ustawy z dnia 9 listopada 2018 r. o zmianie niektórych ustaw </w:t>
      </w:r>
      <w:r w:rsidR="00601321" w:rsidRPr="00BF2F19">
        <w:t>w związku ze wzmocnieniem nadzoru nad rynkiem finansowym oraz o</w:t>
      </w:r>
      <w:r w:rsidR="00FD7166">
        <w:t>chrony inwestorów na tym rynku</w:t>
      </w:r>
      <w:r w:rsidR="00601321">
        <w:t>.</w:t>
      </w:r>
    </w:p>
    <w:p w14:paraId="1DA2C0A5" w14:textId="77777777" w:rsidR="009655A7" w:rsidRPr="00BF2F19" w:rsidRDefault="006D4778" w:rsidP="0043525E">
      <w:pPr>
        <w:pStyle w:val="ARTartustawynprozporzdzenia"/>
      </w:pPr>
      <w:r>
        <w:rPr>
          <w:rStyle w:val="Ppogrubienie"/>
        </w:rPr>
        <w:t xml:space="preserve">Art. 13 pkt </w:t>
      </w:r>
      <w:r w:rsidR="00392FC6">
        <w:rPr>
          <w:rStyle w:val="Ppogrubienie"/>
        </w:rPr>
        <w:t>4</w:t>
      </w:r>
      <w:r w:rsidR="009655A7" w:rsidRPr="009655A7">
        <w:rPr>
          <w:rStyle w:val="Ppogrubienie"/>
        </w:rPr>
        <w:t xml:space="preserve"> lit. </w:t>
      </w:r>
      <w:r w:rsidR="00EB3BF8">
        <w:rPr>
          <w:rStyle w:val="Ppogrubienie"/>
        </w:rPr>
        <w:t>b</w:t>
      </w:r>
      <w:r w:rsidR="009655A7">
        <w:t xml:space="preserve"> dodaje nowy przepis, związany z umożliwieniem wprowadzenia do obrotu na rynku regulowanym papierów wartościowych bez zgody emitenta, co przewiduje art. 11a ustawy o ofercie publicznej w projektowanym brzmieniu.</w:t>
      </w:r>
    </w:p>
    <w:p w14:paraId="07C53118" w14:textId="77777777" w:rsidR="00770264" w:rsidRPr="00BF2F19" w:rsidRDefault="00355A96" w:rsidP="0043525E">
      <w:pPr>
        <w:pStyle w:val="ARTartustawynprozporzdzenia"/>
      </w:pPr>
      <w:r>
        <w:rPr>
          <w:rStyle w:val="Ppogrubienie"/>
        </w:rPr>
        <w:t>Art. 13</w:t>
      </w:r>
      <w:r w:rsidR="005D633B" w:rsidRPr="00BF2F19">
        <w:rPr>
          <w:rStyle w:val="Ppogrubienie"/>
        </w:rPr>
        <w:t xml:space="preserve"> pkt </w:t>
      </w:r>
      <w:r w:rsidR="00392FC6">
        <w:rPr>
          <w:rStyle w:val="Ppogrubienie"/>
        </w:rPr>
        <w:t>5</w:t>
      </w:r>
      <w:r w:rsidR="005D633B" w:rsidRPr="00BF2F19">
        <w:t xml:space="preserve"> dodaje banki powiernicze do katalogu podmiotów, które mogą prowadzić depozyt zdematerializowanych papierów wartościowych. Biorąc pod uwagę, że możliwość taką mają firmy inwestycyjne, niezasadne jest uniemożliwianie prowadzenia takiej działalności również bankom powierniczym.</w:t>
      </w:r>
    </w:p>
    <w:p w14:paraId="32F90D35" w14:textId="77777777" w:rsidR="005D633B" w:rsidRPr="00BF2F19" w:rsidRDefault="00597BD9" w:rsidP="0043525E">
      <w:pPr>
        <w:pStyle w:val="ARTartustawynprozporzdzenia"/>
      </w:pPr>
      <w:r w:rsidRPr="00BF2F19">
        <w:t xml:space="preserve">Zmiana projektowana w </w:t>
      </w:r>
      <w:r w:rsidR="00355A96">
        <w:rPr>
          <w:rStyle w:val="Ppogrubienie"/>
        </w:rPr>
        <w:t>art. 13</w:t>
      </w:r>
      <w:r w:rsidRPr="00BF2F19">
        <w:rPr>
          <w:rStyle w:val="Ppogrubienie"/>
        </w:rPr>
        <w:t xml:space="preserve"> pkt </w:t>
      </w:r>
      <w:r w:rsidR="00392FC6">
        <w:rPr>
          <w:rStyle w:val="Ppogrubienie"/>
        </w:rPr>
        <w:t>6</w:t>
      </w:r>
      <w:r w:rsidRPr="00BF2F19">
        <w:t xml:space="preserve"> dodaje w art. 7 ust. 1 zastrzeżenie, zwracające uwagę na wyjątek od zasady, zgodnie z którą prawa ze zdematerializowanych papierów wartościowych powstają z chwilą zapisania ich po raz pierwszy na rachunku papierów wartościowych. Zmiana ma związek z umożliwieniem kreowania obligacji, listów zastawnych i certyfikatów inwestycyjnych w drodze zapisów w ewidencji prowadzonej przez agenta emisji.</w:t>
      </w:r>
    </w:p>
    <w:p w14:paraId="177C7988" w14:textId="40CC67B6" w:rsidR="0061106F" w:rsidRPr="00BF2F19" w:rsidRDefault="00355A96" w:rsidP="0043525E">
      <w:pPr>
        <w:pStyle w:val="ARTartustawynprozporzdzenia"/>
      </w:pPr>
      <w:r>
        <w:rPr>
          <w:rStyle w:val="Ppogrubienie"/>
        </w:rPr>
        <w:t>Art. 13</w:t>
      </w:r>
      <w:r w:rsidR="0003601C">
        <w:rPr>
          <w:rStyle w:val="Ppogrubienie"/>
        </w:rPr>
        <w:t xml:space="preserve"> pkt </w:t>
      </w:r>
      <w:r w:rsidR="00392FC6">
        <w:rPr>
          <w:rStyle w:val="Ppogrubienie"/>
        </w:rPr>
        <w:t>7</w:t>
      </w:r>
      <w:r w:rsidR="00597BD9" w:rsidRPr="00BF2F19">
        <w:rPr>
          <w:rStyle w:val="Ppogrubienie"/>
        </w:rPr>
        <w:t xml:space="preserve"> </w:t>
      </w:r>
      <w:r w:rsidR="006D4778">
        <w:rPr>
          <w:rStyle w:val="Ppogrubienie"/>
        </w:rPr>
        <w:t xml:space="preserve">i </w:t>
      </w:r>
      <w:r w:rsidR="00392FC6">
        <w:rPr>
          <w:rStyle w:val="Ppogrubienie"/>
        </w:rPr>
        <w:t>8</w:t>
      </w:r>
      <w:r w:rsidR="00597BD9" w:rsidRPr="00BF2F19">
        <w:rPr>
          <w:rStyle w:val="Ppogrubienie"/>
        </w:rPr>
        <w:t xml:space="preserve"> </w:t>
      </w:r>
      <w:r w:rsidR="00597BD9" w:rsidRPr="00BF2F19">
        <w:t>wprowadza</w:t>
      </w:r>
      <w:r w:rsidR="0061106F" w:rsidRPr="00BF2F19">
        <w:t>ją</w:t>
      </w:r>
      <w:r w:rsidR="00597BD9" w:rsidRPr="00BF2F19">
        <w:t xml:space="preserve"> zmian</w:t>
      </w:r>
      <w:r w:rsidR="0061106F" w:rsidRPr="00BF2F19">
        <w:t>y</w:t>
      </w:r>
      <w:r w:rsidR="00597BD9" w:rsidRPr="00BF2F19">
        <w:t xml:space="preserve"> w art. 7a </w:t>
      </w:r>
      <w:r w:rsidR="0061106F" w:rsidRPr="00BF2F19">
        <w:t xml:space="preserve">i art. 7b ustawy o obrocie instrumentami finansowymi, </w:t>
      </w:r>
      <w:r w:rsidR="00646527">
        <w:t>dodanych</w:t>
      </w:r>
      <w:r w:rsidR="00597BD9" w:rsidRPr="00BF2F19">
        <w:t xml:space="preserve"> na podstawie ustawy z dnia 9 listopada 2018 r. o zmianie niektórych ustaw w związku ze wzmocnieniem nadzoru nad rynkiem finansowym oraz o</w:t>
      </w:r>
      <w:r w:rsidR="00601321">
        <w:t>chrony inwestorów na tym rynku</w:t>
      </w:r>
      <w:r w:rsidR="00597BD9" w:rsidRPr="00BF2F19">
        <w:t>.</w:t>
      </w:r>
    </w:p>
    <w:p w14:paraId="1D4F10A1" w14:textId="75170F54" w:rsidR="00597BD9" w:rsidRPr="00BF2F19" w:rsidRDefault="00355A96" w:rsidP="0043525E">
      <w:pPr>
        <w:pStyle w:val="ARTartustawynprozporzdzenia"/>
      </w:pPr>
      <w:r>
        <w:rPr>
          <w:rStyle w:val="Ppogrubienie"/>
        </w:rPr>
        <w:t>Art. 13</w:t>
      </w:r>
      <w:r w:rsidR="0003601C">
        <w:rPr>
          <w:rStyle w:val="Ppogrubienie"/>
        </w:rPr>
        <w:t xml:space="preserve"> pkt </w:t>
      </w:r>
      <w:r w:rsidR="00392FC6">
        <w:rPr>
          <w:rStyle w:val="Ppogrubienie"/>
        </w:rPr>
        <w:t>7</w:t>
      </w:r>
      <w:r w:rsidR="0061106F" w:rsidRPr="00BF2F19">
        <w:rPr>
          <w:rStyle w:val="Ppogrubienie"/>
        </w:rPr>
        <w:t xml:space="preserve"> lit. a</w:t>
      </w:r>
      <w:r w:rsidR="0061106F" w:rsidRPr="00BF2F19">
        <w:t xml:space="preserve"> nowelizuje art. 7a ust. 1. Wskutek znaczącej zmiany definicji oferty publicznej w rozporządzeniu 2017/1129 i konieczności odwoływania się do tej definicji w polskich przepisach, każda oferta dotycząca nabycia lub subskrybowania papierów wartościowych, kierowana</w:t>
      </w:r>
      <w:r w:rsidR="00D62FE4">
        <w:t xml:space="preserve"> do więcej niż jedne</w:t>
      </w:r>
      <w:r w:rsidR="0008651F">
        <w:t>j</w:t>
      </w:r>
      <w:r w:rsidR="00D62FE4">
        <w:t xml:space="preserve"> osoby</w:t>
      </w:r>
      <w:r w:rsidR="0061106F" w:rsidRPr="00BF2F19">
        <w:t xml:space="preserve">, będzie miała charakter publiczny, a tym samym nie będzie możliwe zaoferowanie </w:t>
      </w:r>
      <w:r w:rsidR="0008651F">
        <w:t xml:space="preserve">więcej niż jednej osobie </w:t>
      </w:r>
      <w:r w:rsidR="0061106F" w:rsidRPr="00BF2F19">
        <w:t xml:space="preserve">papierów wartościowych w sposób, który nie będzie prowadził do ich oferty publicznej. W rezultacie takiego uregulowania pojęcia oferty publicznej, wszystkie przepisy adresowane </w:t>
      </w:r>
      <w:r w:rsidR="00A8318A" w:rsidRPr="00BF2F19">
        <w:t xml:space="preserve">do emitentów papierów wartościowych, które nie są lub nie były przedmiotem oferty publicznej, </w:t>
      </w:r>
      <w:r w:rsidR="005F0732">
        <w:t>należało odpowiednio zmienić</w:t>
      </w:r>
      <w:r w:rsidR="00A8318A" w:rsidRPr="00BF2F19">
        <w:t>. Zmiana definicji oferty publicznej powoduje więc konieczność wprowadzenia zmiany do art. 7a ust. 1 ustawy o obrocie instrumentami finansowymi, polegającej na skreśleniu wyrazów „które nie są emitowane w drodze oferty publicznej i”. Zmiana ta umożliwi zachowanie założonego celu i sensu regulacji, a jej niedokonanie spowodowałoby faktyczną utratę mocy obowiązującej tego przepisu.</w:t>
      </w:r>
    </w:p>
    <w:p w14:paraId="7D3DA921" w14:textId="77777777" w:rsidR="00A8318A" w:rsidRDefault="00595C42" w:rsidP="0043525E">
      <w:pPr>
        <w:pStyle w:val="ARTartustawynprozporzdzenia"/>
      </w:pPr>
      <w:r w:rsidRPr="00BF2F19">
        <w:t>Zmiany przewidziane</w:t>
      </w:r>
      <w:r w:rsidR="00A8318A" w:rsidRPr="00BF2F19">
        <w:t xml:space="preserve"> w </w:t>
      </w:r>
      <w:r w:rsidR="00355A96">
        <w:rPr>
          <w:rStyle w:val="Ppogrubienie"/>
        </w:rPr>
        <w:t>art. 13</w:t>
      </w:r>
      <w:r w:rsidR="0003601C">
        <w:rPr>
          <w:rStyle w:val="Ppogrubienie"/>
        </w:rPr>
        <w:t xml:space="preserve"> pkt </w:t>
      </w:r>
      <w:r w:rsidR="00392FC6">
        <w:rPr>
          <w:rStyle w:val="Ppogrubienie"/>
        </w:rPr>
        <w:t>7</w:t>
      </w:r>
      <w:r w:rsidR="00CA2DD9">
        <w:rPr>
          <w:rStyle w:val="Ppogrubienie"/>
        </w:rPr>
        <w:t xml:space="preserve"> lit. b</w:t>
      </w:r>
      <w:r w:rsidRPr="00BF2F19">
        <w:rPr>
          <w:rStyle w:val="Ppogrubienie"/>
        </w:rPr>
        <w:t>–</w:t>
      </w:r>
      <w:r w:rsidR="00CA2DD9">
        <w:rPr>
          <w:rStyle w:val="Ppogrubienie"/>
        </w:rPr>
        <w:t>f</w:t>
      </w:r>
      <w:r w:rsidR="00A8318A" w:rsidRPr="00BF2F19">
        <w:t xml:space="preserve"> </w:t>
      </w:r>
      <w:r w:rsidRPr="00BF2F19">
        <w:t>umożliwią kreowanie obligacji, listów zastawnych oraz certyfikatów inwestycyjnych emitowanych przez fundusze inwestycyjne zamknięte, niebędące publicznymi funduszami inwestycyjnymi zamkniętymi, poprzez zapisy dokonywane w ewidencji prowadzonej przez agenta emisji, przy utrzymaniu jednak zasady, że papiery te mają podlegać rejestracji w depozycie papierów wartościowych. Dzięki tej zmianie wprowadzenie obowiązku rejestrowania emisji tych papierów wartościowych w depozycie papierów wartościowych, który to obowiązek ma zasadnicze znaczenie dla zwiększenia transparentności i bezpieczeństwa obrotu, nie wpłynie na terminy ich wydawania osobom uprawnionym, a transakcje zawierane w obrocie pierwotnym będą mogły być rozliczane równie szybko, jak ma to miejsce obecnie. Zmiany przewidują, że agent emisji będzie tworzył ewidencję osób uprawnionych z ww. papierów wartościowych dopiero po zweryfikowaniu zachowania przez emitenta wymogów prawnych</w:t>
      </w:r>
      <w:r w:rsidR="00D83733" w:rsidRPr="00BF2F19">
        <w:t xml:space="preserve"> związanych z ich emisją oraz oferowaniem, a także po zweryfikowaniu możliwości ich zarejestrowania w depozycie papierów wartościowych. Prowadzenie ewidencji obligacji, listów zastawnych albo certyfikatów inwestycyjnych przez agenta emisji poza depozytem papierów wartościowych będzie miało charakter przejściowy i krótkotrwały. W celu zapewnienia realizacji obowiązku zarejestrowania papierów wartościowych, których ewidencję prowadzi agent emisji, w depozycie papierów wartościowych, agent emisji zostanie umocowany do zawarcia w imieniu emitenta umowy o ich rejestrację w depozycie papierów wartościowych. Ponadto zmiany określają termin (2 dni robocze od dnia utworzenia ewidencji), w którym agent emisji obowiązany będzie złożyć w Krajowym Depozycie Papierów Wartościowych</w:t>
      </w:r>
      <w:r w:rsidR="0022405B" w:rsidRPr="00BF2F19">
        <w:t>, zwanym dalej „KDPW”,</w:t>
      </w:r>
      <w:r w:rsidR="00D83733" w:rsidRPr="00BF2F19">
        <w:t xml:space="preserve"> oświadczenia i dokumenty wymagane do zawarcia tej umowy.</w:t>
      </w:r>
    </w:p>
    <w:p w14:paraId="418E637B" w14:textId="77777777" w:rsidR="00E37AEC" w:rsidRDefault="00E37AEC" w:rsidP="0043525E">
      <w:pPr>
        <w:pStyle w:val="ARTartustawynprozporzdzenia"/>
      </w:pPr>
      <w:r>
        <w:t xml:space="preserve">W związku z wątpliwościami wskazującymi, że zakres obowiązków nałożonych na agenta emisji przez art. 7a ust. 4 ustawy o obrocie instrumentami finansowymi jest zbyt szeroki, a przez to niemożliwy do rzetelnego wykonania oraz rodzi poważne ryzyko dla agenta emisji w zakresie jego ewentualnej odpowiedzialności, </w:t>
      </w:r>
      <w:r w:rsidRPr="00E37AEC">
        <w:rPr>
          <w:rStyle w:val="Ppogrubienie"/>
        </w:rPr>
        <w:t xml:space="preserve">art. 13 pkt </w:t>
      </w:r>
      <w:r w:rsidR="00392FC6">
        <w:rPr>
          <w:rStyle w:val="Ppogrubienie"/>
        </w:rPr>
        <w:t>7</w:t>
      </w:r>
      <w:r w:rsidRPr="00E37AEC">
        <w:rPr>
          <w:rStyle w:val="Ppogrubienie"/>
        </w:rPr>
        <w:t xml:space="preserve"> lit. c tiret pierwsze</w:t>
      </w:r>
      <w:r>
        <w:t xml:space="preserve"> projektu ogranicza zakres czynności, jakie powinny być podjęte przez agenta emisji na podstawie art. 7a ust. 4 pkt 2 ustawy o obrocie instrumentami finansowymi przez doprecyzowanie, że agent emisji jest odpowiedzialny za weryfikację zgodności dokumentacji i oświadczeń przedstawionych przez emitenta z wymogami dotyczącymi oferowania papierów wartościowych, wynikającymi z przepisów prawa. W tym zakresie obowiązki agenta emisji sprowadzałyby się zatem do badania, czy emitent posiada wymagane dokumenty oraz czy zostały złożone niezbędne oświadczenia, natomiast obowiązkiem agenta nie będzie badanie zgodności informacji zawartych w tych dokumentach i oświadczeniach ze stanem faktycznym.</w:t>
      </w:r>
    </w:p>
    <w:p w14:paraId="0E8B2F57" w14:textId="77777777" w:rsidR="00F75C08" w:rsidRPr="00BF2F19" w:rsidRDefault="00F75C08" w:rsidP="0043525E">
      <w:pPr>
        <w:pStyle w:val="ARTartustawynprozporzdzenia"/>
      </w:pPr>
      <w:r>
        <w:t xml:space="preserve">Dodawany ust. 8b </w:t>
      </w:r>
      <w:r w:rsidRPr="00F75C08">
        <w:t>reguluje zakres danych osobowych, do których przetwarzania miałby być uprawniony agent emisji, a także okres przetwarzania przez niego</w:t>
      </w:r>
      <w:r>
        <w:t xml:space="preserve"> tych danych. Proponuje się</w:t>
      </w:r>
      <w:r w:rsidRPr="00F75C08">
        <w:t>, aby zakres przetwarzanych przez agenta emisji danych osób uprawnionych wpisanych do prowadzonej przez niego ewidencji, wyznaczały nałożone na niego, w związku z prowadzeniem tej ewidencji, obowiązki podatkowe oraz obowiązki związane z przeciwdziałaniem praniu pieniędzy i finansowaniu terroryzmu.</w:t>
      </w:r>
      <w:r>
        <w:t xml:space="preserve"> O</w:t>
      </w:r>
      <w:r w:rsidRPr="00F75C08">
        <w:t xml:space="preserve">kres </w:t>
      </w:r>
      <w:r>
        <w:t>przetwarzania danych osobowych</w:t>
      </w:r>
      <w:r w:rsidRPr="00F75C08">
        <w:t xml:space="preserve"> </w:t>
      </w:r>
      <w:r>
        <w:t>ustalono natomiast</w:t>
      </w:r>
      <w:r w:rsidRPr="00F75C08">
        <w:t xml:space="preserve"> przez pryzmat art. 83a ust. 4a oraz art. 90 ust. 1 ustawy o obrocie instrumentami finansowymi. Przepisy te określają obowiązki firm inwestycyjnych w zakresie przechowywania i archiwizowania dokumentów związanych ze świadczonymi prze</w:t>
      </w:r>
      <w:r>
        <w:t>z</w:t>
      </w:r>
      <w:r w:rsidRPr="00F75C08">
        <w:t xml:space="preserve"> nie usługami maklerskimi</w:t>
      </w:r>
      <w:r>
        <w:t>.</w:t>
      </w:r>
    </w:p>
    <w:p w14:paraId="0CA3E54A" w14:textId="77777777" w:rsidR="00D83733" w:rsidRPr="00BF2F19" w:rsidRDefault="00D83733" w:rsidP="0043525E">
      <w:pPr>
        <w:pStyle w:val="ARTartustawynprozporzdzenia"/>
      </w:pPr>
      <w:r w:rsidRPr="00BF2F19">
        <w:t>W związku z umożliwieniem kreowania dłużnych papierów wartościowych w ewidencji prowadzonej przez agenta emisji, zmiana w art. 7b ust. 2 i dodawany art. 7b ust. 5 w ustawie o obrocie instrumentami finansowymi (</w:t>
      </w:r>
      <w:r w:rsidR="00355A96">
        <w:rPr>
          <w:rStyle w:val="Ppogrubienie"/>
        </w:rPr>
        <w:t>art. 13</w:t>
      </w:r>
      <w:r w:rsidR="0003601C">
        <w:rPr>
          <w:rStyle w:val="Ppogrubienie"/>
        </w:rPr>
        <w:t xml:space="preserve"> pkt </w:t>
      </w:r>
      <w:r w:rsidR="00392FC6">
        <w:rPr>
          <w:rStyle w:val="Ppogrubienie"/>
        </w:rPr>
        <w:t>8</w:t>
      </w:r>
      <w:r w:rsidRPr="00BF2F19">
        <w:rPr>
          <w:rStyle w:val="Ppogrubienie"/>
        </w:rPr>
        <w:t xml:space="preserve"> projektu ustawy</w:t>
      </w:r>
      <w:r w:rsidRPr="00BF2F19">
        <w:t xml:space="preserve">) nakładają na emitenta obowiązek przekazywania </w:t>
      </w:r>
      <w:r w:rsidR="0022405B" w:rsidRPr="00BF2F19">
        <w:t>KDPW</w:t>
      </w:r>
      <w:r w:rsidRPr="00BF2F19">
        <w:t xml:space="preserve"> informacji o tych papierach wartościowych, w celu zapewnienia możliwości uzyskania o nich informacji w </w:t>
      </w:r>
      <w:r w:rsidR="0022405B" w:rsidRPr="00BF2F19">
        <w:t>KDPW</w:t>
      </w:r>
      <w:r w:rsidRPr="00BF2F19">
        <w:t xml:space="preserve"> także w okresie przypadającym przed ich zarejestrowaniem w depozycie papierów wartościowych.</w:t>
      </w:r>
    </w:p>
    <w:p w14:paraId="06A002B5" w14:textId="77777777" w:rsidR="0022405B" w:rsidRDefault="0022405B" w:rsidP="0043525E">
      <w:pPr>
        <w:pStyle w:val="ARTartustawynprozporzdzenia"/>
      </w:pPr>
      <w:r w:rsidRPr="00BF2F19">
        <w:t>Propozycja dodania ust. 4 do art. 7b ustawy o obrocie instrumentami finansowymi (</w:t>
      </w:r>
      <w:r w:rsidR="00355A96">
        <w:rPr>
          <w:rStyle w:val="Ppogrubienie"/>
        </w:rPr>
        <w:t>art. 13</w:t>
      </w:r>
      <w:r w:rsidR="0003601C">
        <w:rPr>
          <w:rStyle w:val="Ppogrubienie"/>
        </w:rPr>
        <w:t xml:space="preserve"> pkt </w:t>
      </w:r>
      <w:r w:rsidR="00392FC6">
        <w:rPr>
          <w:rStyle w:val="Ppogrubienie"/>
        </w:rPr>
        <w:t>8</w:t>
      </w:r>
      <w:r w:rsidRPr="00BF2F19">
        <w:rPr>
          <w:rStyle w:val="Ppogrubienie"/>
        </w:rPr>
        <w:t xml:space="preserve"> lit. b projektu</w:t>
      </w:r>
      <w:r w:rsidRPr="00BF2F19">
        <w:t>) ma na celu usprawnienie przekazywania i przetwarzania informacji przez KDPW. W związku z nałożonym na KDPW zadaniem utworzenia publicznie dostępnej bazy informacji o zadłużeniu poszczególnych emitentów wynikającym z emitowanych przez nich dłużnych papierów wartościowych, ustawa z dnia 9 listopada 2018 r. o zmianie niektórych ustaw w związku ze wzmocnieniem nadzoru nad rynkiem finansowym oraz ochrony inwestorów na tym rynku, nałożyła na emitentów takich papierów, jeżeli nie będą one rejestrowane w depozycie papierów wartościowych, a także na podmioty prowadzące ewidencje takich papierów, obowiązek przekazywania o nich informacji do KDPW. Obowiązek ten wynika z art. 44 tej ustawy, a także z dodawanego nią art. 7b ustawy o obrocie instrumentami finansowymi. Aby zapewnić KDPW możliwość szybkiego i płynnego przetwarzania takich informacji, powinny one być przekazywane w postaci elektronicznej oraz w uporządkowanej i jednolitej strukturze.</w:t>
      </w:r>
      <w:r w:rsidR="00261D55" w:rsidRPr="00BF2F19">
        <w:t xml:space="preserve"> Z tego względu dodawany przepis przewiduje, że dane będą przekazywane za pomocą </w:t>
      </w:r>
      <w:r w:rsidR="00C571BB">
        <w:t>aplikacji</w:t>
      </w:r>
      <w:r w:rsidR="00261D55" w:rsidRPr="00BF2F19">
        <w:t xml:space="preserve"> udostępniane</w:t>
      </w:r>
      <w:r w:rsidR="00C571BB">
        <w:t>j</w:t>
      </w:r>
      <w:r w:rsidR="00261D55" w:rsidRPr="00BF2F19">
        <w:t xml:space="preserve"> na stronie internetowej KDPW.</w:t>
      </w:r>
    </w:p>
    <w:p w14:paraId="43947D6B" w14:textId="75791EA6" w:rsidR="00392FC6" w:rsidRDefault="00392FC6" w:rsidP="0043525E">
      <w:pPr>
        <w:pStyle w:val="ARTartustawynprozporzdzenia"/>
      </w:pPr>
      <w:r w:rsidRPr="007A3961">
        <w:rPr>
          <w:rStyle w:val="Ppogrubienie"/>
        </w:rPr>
        <w:t>Art. 13 pkt 9</w:t>
      </w:r>
      <w:r w:rsidR="006E2A46">
        <w:t xml:space="preserve"> wprowadza definicję państwa równoważnego, odwołując się do przepisów </w:t>
      </w:r>
      <w:r w:rsidR="007A3961">
        <w:t xml:space="preserve">ustawy z dnia 1 marca 2018 r. </w:t>
      </w:r>
      <w:r w:rsidR="007A3961" w:rsidRPr="007A3961">
        <w:t>o przeciwdziałaniu praniu pieniędzy oraz finansowaniu terroryzmu</w:t>
      </w:r>
      <w:r w:rsidR="007A3961">
        <w:t xml:space="preserve"> (Dz. U. z 2019 r. poz. 1115). Ustawa ta uchyliła bowiem definicję państwa równoważnego zawartą w ustawie o obrocie instrumentami finansowymi, natomiast pojęcie to cały czas funkcjonuje w ustawie, w art. 8 ust. 2.</w:t>
      </w:r>
    </w:p>
    <w:p w14:paraId="329C5D65" w14:textId="77777777" w:rsidR="009655A7" w:rsidRPr="00BF2F19" w:rsidRDefault="009655A7" w:rsidP="0043525E">
      <w:pPr>
        <w:pStyle w:val="ARTartustawynprozporzdzenia"/>
      </w:pPr>
      <w:r w:rsidRPr="009655A7">
        <w:rPr>
          <w:rStyle w:val="Ppogrubienie"/>
        </w:rPr>
        <w:t xml:space="preserve">Art. 13 pkt </w:t>
      </w:r>
      <w:r w:rsidR="00392FC6">
        <w:rPr>
          <w:rStyle w:val="Ppogrubienie"/>
        </w:rPr>
        <w:t>10</w:t>
      </w:r>
      <w:r>
        <w:t xml:space="preserve"> wprowadza zmiany redakcyjne w art. 16 ustawy o obrocie instrumentami finansowymi, spowodowane koniecznością dokonania korekty odesłań w związku ze zmianami w art. 83a tej ustawy.</w:t>
      </w:r>
    </w:p>
    <w:p w14:paraId="33B7B845" w14:textId="77777777" w:rsidR="00261D55" w:rsidRDefault="00355A96" w:rsidP="0043525E">
      <w:pPr>
        <w:pStyle w:val="ARTartustawynprozporzdzenia"/>
      </w:pPr>
      <w:r>
        <w:rPr>
          <w:rStyle w:val="Ppogrubienie"/>
        </w:rPr>
        <w:t>Art. 13</w:t>
      </w:r>
      <w:r w:rsidR="00261D55" w:rsidRPr="00BF2F19">
        <w:rPr>
          <w:rStyle w:val="Ppogrubienie"/>
        </w:rPr>
        <w:t xml:space="preserve"> pkt </w:t>
      </w:r>
      <w:r w:rsidR="00392FC6">
        <w:rPr>
          <w:rStyle w:val="Ppogrubienie"/>
        </w:rPr>
        <w:t>11</w:t>
      </w:r>
      <w:r w:rsidR="00261D55" w:rsidRPr="00BF2F19">
        <w:t xml:space="preserve"> przewiduje zmianę delegacji ustawowej dla ministra właściwego do spraw instytucji finansowych do wydania rozporządzenia w zakresie wymogów dla członków zarządu i rady nadzorczej spółki prowadzącej rynek regulowany. Proponowana zmiana wynika z konieczności wdrożenia w przepisach rozporządzenia </w:t>
      </w:r>
      <w:r w:rsidR="0087310B" w:rsidRPr="00BF2F19">
        <w:t>w</w:t>
      </w:r>
      <w:r w:rsidR="00261D55" w:rsidRPr="00BF2F19">
        <w:t xml:space="preserve">ytycznych </w:t>
      </w:r>
      <w:r w:rsidR="002A47D7">
        <w:t>ESMA</w:t>
      </w:r>
      <w:r w:rsidR="00261D55" w:rsidRPr="00BF2F19">
        <w:t xml:space="preserve"> z dnia 19 grudnia 2017 r. dotyczących organu zarządzającego operatorów rynku i dostawców usług w zakresie udostępniania informacji</w:t>
      </w:r>
      <w:r w:rsidR="000C3F99" w:rsidRPr="00BF2F19">
        <w:rPr>
          <w:rStyle w:val="Odwoanieprzypisudolnego"/>
        </w:rPr>
        <w:footnoteReference w:id="3"/>
      </w:r>
      <w:r w:rsidR="000C3F99" w:rsidRPr="00BF2F19">
        <w:rPr>
          <w:rStyle w:val="IGindeksgrny"/>
        </w:rPr>
        <w:t>)</w:t>
      </w:r>
      <w:r w:rsidR="00261D55" w:rsidRPr="00BF2F19">
        <w:t>. Obecne brzmienie delegacji uniemożliwia pełne wdrożenie tych wytycznych, w związku z czym musi ona zostać rozszerzona o możliwość określenia w rozporządzeniu liczby funkcji pełnionych jednocześnie, kryteriów niezależności osądu, kryteriów poświęcania wystarczającej ilości czasu w związku z pełnieniem funkcji i obowiązków, trybu i warunków postępowania przy dokonywaniu oceny oraz weryfikacji spełniania przez członków zarządu i rady nadzorczej stosowanych wobec nich wymogów, a także trybu i warunków postępowania w zakresie utrzymywania i doskonalenia wiedzy i kompetencji.</w:t>
      </w:r>
    </w:p>
    <w:p w14:paraId="2A24FAF8" w14:textId="77777777" w:rsidR="00707FFE" w:rsidRPr="00ED080F" w:rsidRDefault="00355A96" w:rsidP="0043525E">
      <w:pPr>
        <w:pStyle w:val="ARTartustawynprozporzdzenia"/>
      </w:pPr>
      <w:r>
        <w:rPr>
          <w:rStyle w:val="Ppogrubienie"/>
        </w:rPr>
        <w:t>Art. 13</w:t>
      </w:r>
      <w:r w:rsidR="00707FFE" w:rsidRPr="00ED080F">
        <w:rPr>
          <w:rStyle w:val="Ppogrubienie"/>
        </w:rPr>
        <w:t xml:space="preserve"> pkt </w:t>
      </w:r>
      <w:r w:rsidR="009655A7">
        <w:rPr>
          <w:rStyle w:val="Ppogrubienie"/>
        </w:rPr>
        <w:t>1</w:t>
      </w:r>
      <w:r w:rsidR="00392FC6">
        <w:rPr>
          <w:rStyle w:val="Ppogrubienie"/>
        </w:rPr>
        <w:t>2</w:t>
      </w:r>
      <w:r w:rsidR="00ED080F">
        <w:t xml:space="preserve"> modyfikuje wyjątki od obowiązku pośrednictwa firmy inwestycyjnej przy dokonywaniu oferty publicznej, tak aby przepis art. 19 ust. 1 pkt 2 ustawy o obrocie instrumentami finansowymi odsyłał do przepisów rozporządzenia 2017/1129.</w:t>
      </w:r>
    </w:p>
    <w:p w14:paraId="67BCD601" w14:textId="77777777" w:rsidR="00707FFE" w:rsidRDefault="00707FFE" w:rsidP="0043525E">
      <w:pPr>
        <w:pStyle w:val="ARTartustawynprozporzdzenia"/>
      </w:pPr>
      <w:r>
        <w:t xml:space="preserve">W związku z projektowanym uchyleniem art. 19 ustawy o ofercie publicznej w związku z obowiązywaniem analogicznego przepisu art. 37 rozporządzenia 2017/1129, </w:t>
      </w:r>
      <w:r w:rsidRPr="00707FFE">
        <w:rPr>
          <w:rStyle w:val="Ppogrubienie"/>
        </w:rPr>
        <w:t>art. 1</w:t>
      </w:r>
      <w:r w:rsidR="00355A96">
        <w:rPr>
          <w:rStyle w:val="Ppogrubienie"/>
        </w:rPr>
        <w:t>3</w:t>
      </w:r>
      <w:r w:rsidR="0003601C">
        <w:rPr>
          <w:rStyle w:val="Ppogrubienie"/>
        </w:rPr>
        <w:t xml:space="preserve"> pkt 1</w:t>
      </w:r>
      <w:r w:rsidR="00392FC6">
        <w:rPr>
          <w:rStyle w:val="Ppogrubienie"/>
        </w:rPr>
        <w:t>3</w:t>
      </w:r>
      <w:r w:rsidRPr="00707FFE">
        <w:rPr>
          <w:rStyle w:val="Ppogrubienie"/>
        </w:rPr>
        <w:t xml:space="preserve"> projektu ustawy</w:t>
      </w:r>
      <w:r>
        <w:t xml:space="preserve"> odpowiednio zmienia odesłanie zawarte w art. 20 ust. 5 ustawy o obrocie instrumentami finansowymi.</w:t>
      </w:r>
    </w:p>
    <w:p w14:paraId="526AE35E" w14:textId="07163A37" w:rsidR="00392FC6" w:rsidRDefault="00392FC6" w:rsidP="0043525E">
      <w:pPr>
        <w:pStyle w:val="ARTartustawynprozporzdzenia"/>
      </w:pPr>
      <w:r w:rsidRPr="007A3961">
        <w:rPr>
          <w:rStyle w:val="Ppogrubienie"/>
        </w:rPr>
        <w:t>Art. 13 pkt 14</w:t>
      </w:r>
      <w:r w:rsidR="007A3961">
        <w:t xml:space="preserve"> wprowadza wymóg przedłożenia oświadczeń o niekaralności członków zarządu i rady nadzorczej spółki prowadzącej rynek regulowany. Jest to związane z wprowadzeniem wymogu niekaralności osób pełniących te funkcje.</w:t>
      </w:r>
    </w:p>
    <w:p w14:paraId="69A1626A" w14:textId="77777777" w:rsidR="000C3F99" w:rsidRDefault="00707FFE" w:rsidP="0043525E">
      <w:pPr>
        <w:pStyle w:val="ARTartustawynprozporzdzenia"/>
      </w:pPr>
      <w:r>
        <w:t>W</w:t>
      </w:r>
      <w:r w:rsidR="000C3F99" w:rsidRPr="00BF2F19">
        <w:t xml:space="preserve"> celu pełnego wdrożenia wyżej wskazanych Wytycznych ESMA, </w:t>
      </w:r>
      <w:r w:rsidR="00355A96">
        <w:rPr>
          <w:rStyle w:val="Ppogrubienie"/>
        </w:rPr>
        <w:t>art. 13</w:t>
      </w:r>
      <w:r w:rsidR="000C3F99" w:rsidRPr="00BF2F19">
        <w:rPr>
          <w:rStyle w:val="Ppogrubienie"/>
        </w:rPr>
        <w:t xml:space="preserve"> pkt </w:t>
      </w:r>
      <w:r>
        <w:rPr>
          <w:rStyle w:val="Ppogrubienie"/>
        </w:rPr>
        <w:t>1</w:t>
      </w:r>
      <w:r w:rsidR="00392FC6">
        <w:rPr>
          <w:rStyle w:val="Ppogrubienie"/>
        </w:rPr>
        <w:t>5</w:t>
      </w:r>
      <w:r w:rsidR="009655A7">
        <w:rPr>
          <w:rStyle w:val="Ppogrubienie"/>
        </w:rPr>
        <w:t xml:space="preserve"> lit. a</w:t>
      </w:r>
      <w:r w:rsidR="000C3F99" w:rsidRPr="00BF2F19">
        <w:t xml:space="preserve"> dodaje nowe ust. 1a</w:t>
      </w:r>
      <w:r w:rsidR="00C571BB">
        <w:t xml:space="preserve"> i 1b</w:t>
      </w:r>
      <w:r w:rsidR="000C3F99" w:rsidRPr="00BF2F19">
        <w:t xml:space="preserve"> do art. 25a ustawy o obrocie instrumentami finansowymi. Przepisy te określają wymogi dla członków zarządu i rady nadzorczej spółki prowadzącej rynek regulowany w zakresie </w:t>
      </w:r>
      <w:r w:rsidR="00C571BB">
        <w:t>sposobu pełnienia przez nich funkcji</w:t>
      </w:r>
      <w:r w:rsidR="000C3F99" w:rsidRPr="00BF2F19">
        <w:t>. Przepisy te zawiera</w:t>
      </w:r>
      <w:r w:rsidR="00C571BB">
        <w:t>ją</w:t>
      </w:r>
      <w:r w:rsidR="000C3F99" w:rsidRPr="00BF2F19">
        <w:t xml:space="preserve"> także katalog przestępstw, których popełnienie wyklucza członka lub kandydata na członka zarządu lub rady nadzorczej ze składu lub z możliwości ubiegania się o przyjęcie do składu takiego organu.</w:t>
      </w:r>
    </w:p>
    <w:p w14:paraId="7AC40FE4" w14:textId="31288B51" w:rsidR="007A3961" w:rsidRDefault="007A3961" w:rsidP="0043525E">
      <w:pPr>
        <w:pStyle w:val="ARTartustawynprozporzdzenia"/>
      </w:pPr>
      <w:r w:rsidRPr="007A3961">
        <w:rPr>
          <w:rStyle w:val="Ppogrubienie"/>
        </w:rPr>
        <w:t>Lit. b</w:t>
      </w:r>
      <w:r>
        <w:t xml:space="preserve"> rozszerza, w przypadku spółek prowadzących rynek regulowany, które prowadzą także ASO lub OTF, wymogi wynikające z dodawanych ust. 1a i 1b również na osoby kierujące tą działalnością.</w:t>
      </w:r>
    </w:p>
    <w:p w14:paraId="6F497178" w14:textId="6560CC0C" w:rsidR="009655A7" w:rsidRDefault="009655A7" w:rsidP="0043525E">
      <w:pPr>
        <w:pStyle w:val="ARTartustawynprozporzdzenia"/>
      </w:pPr>
      <w:r>
        <w:t xml:space="preserve">Zmiana w art. 25a ust. 7 ustawy o obrocie instrumentami finansowymi, wprowadzana na mocy </w:t>
      </w:r>
      <w:r w:rsidR="0003601C">
        <w:rPr>
          <w:rStyle w:val="Ppogrubienie"/>
        </w:rPr>
        <w:t>art. 13 pkt 1</w:t>
      </w:r>
      <w:r w:rsidR="00392FC6">
        <w:rPr>
          <w:rStyle w:val="Ppogrubienie"/>
        </w:rPr>
        <w:t>5</w:t>
      </w:r>
      <w:r w:rsidRPr="009655A7">
        <w:rPr>
          <w:rStyle w:val="Ppogrubienie"/>
        </w:rPr>
        <w:t xml:space="preserve"> lit. </w:t>
      </w:r>
      <w:r w:rsidR="007A3961">
        <w:rPr>
          <w:rStyle w:val="Ppogrubienie"/>
        </w:rPr>
        <w:t>c</w:t>
      </w:r>
      <w:r>
        <w:t xml:space="preserve">, stanowi </w:t>
      </w:r>
      <w:r w:rsidRPr="00C35CC3">
        <w:t>doprecyzowanie zasad sprawowania przez członków zarządu i rady nadzorczej spółki prowadzącej rynek regulowany funkcji członka zarządu lub rady nadzorczej w innych podmiotac</w:t>
      </w:r>
      <w:r>
        <w:t>h, w taki sposób, że przez jedną</w:t>
      </w:r>
      <w:r w:rsidRPr="00C35CC3">
        <w:t xml:space="preserve"> funkcję będzie się uznawać funkcje członka zarządu lub rady nadzorczej sprawowane w podmiotach, w których spółka prowadząca rynek regulowany posiada bezpośrednio lub pośrednio akcje lub udziały uprawniające do samodzielnego lub w porozumieniu z innymi podmiotami wykonywania co najmniej 10% ogólnej liczby głosów na walnym zgromadzeniu lub zgromadzeniu wspólników lub stanowiące co najmniej 10% udziału w kapitale zakładowym.</w:t>
      </w:r>
      <w:r>
        <w:t xml:space="preserve"> Niezasadnym bowiem jest </w:t>
      </w:r>
      <w:r w:rsidRPr="00C35CC3">
        <w:t xml:space="preserve">pominięcie </w:t>
      </w:r>
      <w:r>
        <w:t xml:space="preserve">w obowiązującym przepisie </w:t>
      </w:r>
      <w:r w:rsidRPr="00C35CC3">
        <w:t>spółek z ograniczoną odpowiedzialnością, w których spółka prowadząca rynek regulowany posiada udziały.</w:t>
      </w:r>
      <w:r>
        <w:t xml:space="preserve"> </w:t>
      </w:r>
      <w:r w:rsidRPr="00C35CC3">
        <w:t>Celem tego przepisu jest bowiem wskazanie kiedy uznaje się pełnienie funkcji w grupi</w:t>
      </w:r>
      <w:r>
        <w:t xml:space="preserve">e kapitałowej za jedną funkcję, dlatego też nie </w:t>
      </w:r>
      <w:r w:rsidRPr="00C35CC3">
        <w:t xml:space="preserve">powinno w tym kontekście inaczej traktować </w:t>
      </w:r>
      <w:r>
        <w:t xml:space="preserve">się </w:t>
      </w:r>
      <w:r w:rsidRPr="00C35CC3">
        <w:t>funkcji pełnionych w ramach spółek akcyjnych i spółek z o.o.</w:t>
      </w:r>
    </w:p>
    <w:p w14:paraId="4D80C44C" w14:textId="1F53F647" w:rsidR="007A3961" w:rsidRDefault="007A3961" w:rsidP="0043525E">
      <w:pPr>
        <w:pStyle w:val="ARTartustawynprozporzdzenia"/>
      </w:pPr>
      <w:r w:rsidRPr="007A3961">
        <w:rPr>
          <w:rStyle w:val="Ppogrubienie"/>
        </w:rPr>
        <w:t>Lit. d</w:t>
      </w:r>
      <w:r>
        <w:t xml:space="preserve"> wprowadza natomiast przepis materialny nakazujący spółce prowadzącej rynek regulowany gromadzenie dokumentów </w:t>
      </w:r>
      <w:r w:rsidR="00E4081E" w:rsidRPr="00E4081E">
        <w:t>potwi</w:t>
      </w:r>
      <w:r w:rsidR="00E4081E">
        <w:t>erdzających</w:t>
      </w:r>
      <w:r w:rsidR="00E4081E" w:rsidRPr="00E4081E">
        <w:t xml:space="preserve"> spełnianie przez członków zarządu i rady nadzorczej tej spółki wymogów</w:t>
      </w:r>
      <w:r w:rsidR="00E4081E">
        <w:t xml:space="preserve"> przewidzianych przepisami.</w:t>
      </w:r>
    </w:p>
    <w:p w14:paraId="6F92F72F" w14:textId="4134421F" w:rsidR="009655A7" w:rsidRDefault="009655A7" w:rsidP="0043525E">
      <w:pPr>
        <w:pStyle w:val="ARTartustawynprozporzdzenia"/>
      </w:pPr>
      <w:r w:rsidRPr="009655A7">
        <w:rPr>
          <w:rStyle w:val="Ppogrubienie"/>
        </w:rPr>
        <w:t>Art. 13 pkt 1</w:t>
      </w:r>
      <w:r w:rsidR="00392FC6">
        <w:rPr>
          <w:rStyle w:val="Ppogrubienie"/>
        </w:rPr>
        <w:t>6</w:t>
      </w:r>
      <w:r>
        <w:t xml:space="preserve"> dodaje n</w:t>
      </w:r>
      <w:r w:rsidRPr="00210E1A">
        <w:t>owy art. 25e w ustawie o obrocie instrumentami finansowymi</w:t>
      </w:r>
      <w:r>
        <w:t>.</w:t>
      </w:r>
      <w:r w:rsidRPr="00210E1A">
        <w:t xml:space="preserve"> </w:t>
      </w:r>
      <w:r>
        <w:t xml:space="preserve">Przepis ten </w:t>
      </w:r>
      <w:r w:rsidRPr="00210E1A">
        <w:t xml:space="preserve">wprowadza wymóg, aby spółka prowadząca rynek regulowany posiadała odpowiednie procedury anonimowego zgłaszania naruszeń obowiązujących przepisów. Intencją tej regulacji jest rozszerzenie istniejącego obowiązku, zawartego w art. 83a ust. 1a i 1b ustawy w odniesieniu do firm inwestycyjnych, na spółki prowadzące rynek regulowany, w celu pełnego wdrożenia do krajowego porządku prawnego przepisu art. 73 ust. 2 dyrektywy </w:t>
      </w:r>
      <w:r w:rsidR="003F452B">
        <w:t>2014/65/UE</w:t>
      </w:r>
      <w:r w:rsidRPr="00210E1A">
        <w:t>. Przepis ten odnosi się bowiem nie tylko do firm inwestycyjnych, ale również do operatorów rynku, dostawców usług w zakresie udostępniania informacji</w:t>
      </w:r>
      <w:r w:rsidR="009C7E40">
        <w:t xml:space="preserve"> o transakcjach</w:t>
      </w:r>
      <w:r w:rsidRPr="00210E1A">
        <w:t>, instytucji kredytowych oraz oddziałów firm z państw trzecich.</w:t>
      </w:r>
    </w:p>
    <w:p w14:paraId="7421CA2C" w14:textId="165E81F0" w:rsidR="00392FC6" w:rsidRDefault="00392FC6" w:rsidP="0043525E">
      <w:pPr>
        <w:pStyle w:val="ARTartustawynprozporzdzenia"/>
      </w:pPr>
      <w:r w:rsidRPr="00E4081E">
        <w:rPr>
          <w:rStyle w:val="Ppogrubienie"/>
        </w:rPr>
        <w:t>Art. 13 pkt 17</w:t>
      </w:r>
      <w:r w:rsidR="00E4081E">
        <w:t xml:space="preserve"> rozszerza</w:t>
      </w:r>
      <w:r w:rsidR="00E4081E" w:rsidRPr="00E4081E">
        <w:t xml:space="preserve"> uprawnienia KNF w związku z niespełnianiem kryteriów przez członków zarządu lub rady nadzorczej</w:t>
      </w:r>
      <w:r w:rsidR="00E4081E">
        <w:t xml:space="preserve"> spółki prowadzącej rynek regulowany. Rozszerzenie to jest konsekwencją dodania ust. 1a i 1b w art. 25a.</w:t>
      </w:r>
    </w:p>
    <w:p w14:paraId="4F55DCD0" w14:textId="77777777" w:rsidR="00AD4760" w:rsidRDefault="00AD4760" w:rsidP="0043525E">
      <w:pPr>
        <w:pStyle w:val="ARTartustawynprozporzdzenia"/>
      </w:pPr>
      <w:r w:rsidRPr="00AD4760">
        <w:rPr>
          <w:rStyle w:val="Ppogrubienie"/>
        </w:rPr>
        <w:t>Art. 13 pkt 1</w:t>
      </w:r>
      <w:r w:rsidR="00392FC6">
        <w:rPr>
          <w:rStyle w:val="Ppogrubienie"/>
        </w:rPr>
        <w:t>8</w:t>
      </w:r>
      <w:r>
        <w:t xml:space="preserve"> uzupełnia obligatoryjną treść regulaminu spółki prowadzącej rynek regulowany, aby w regulaminie tym znalazły się postanowienia dotyczące możliwości dopuszczania na tym rynku regulowanym papierów wartościowych bez zgody ich emitenta. W takiej sytuacji spółka prowadząca rynek regulowany będzie obowiązana zagwarantować różnego rodzaju zabezpieczenia, celem zapewnienia bezpieczeństwa obrotu, ochrony interesów inwestorów oraz wykonywania obowiązków informacyjnych.</w:t>
      </w:r>
    </w:p>
    <w:p w14:paraId="2C0507E2" w14:textId="0A2FA1C4" w:rsidR="000C3F99" w:rsidRPr="00BF2F19" w:rsidRDefault="00355A96" w:rsidP="000C3F99">
      <w:pPr>
        <w:pStyle w:val="ARTartustawynprozporzdzenia"/>
      </w:pPr>
      <w:r>
        <w:rPr>
          <w:rStyle w:val="Ppogrubienie"/>
        </w:rPr>
        <w:t>Art. 13</w:t>
      </w:r>
      <w:r w:rsidR="000C3F99" w:rsidRPr="00BF2F19">
        <w:rPr>
          <w:rStyle w:val="Ppogrubienie"/>
        </w:rPr>
        <w:t xml:space="preserve"> pkt 1</w:t>
      </w:r>
      <w:r w:rsidR="00392FC6">
        <w:rPr>
          <w:rStyle w:val="Ppogrubienie"/>
        </w:rPr>
        <w:t>9</w:t>
      </w:r>
      <w:r w:rsidR="000C3F99" w:rsidRPr="00BF2F19">
        <w:t xml:space="preserve"> dodaje w ustawie o obrocie instrumentami finansowymi art. 29d, który umożliwi spółce prowadzącej rynek regulowany przetwarzanie danych osobowych do celów statystycznych. Obecnie Giełda Papierów Wartościowych, zwana dalej „GPW”, w ramach obowiązków określonych przepisami prawa, tj. art. 25 ust. 2 rozporządzenia 600/2014, przetwarza dane osób zawierających transakcje zbycia lub nabycia instrumentów finansowych na rynkach prowadzonych przez GPW. Zakres przetwarzanych danych osobowych został doprecyzowany w rozporządzeniu delegowanym Komisji (UE) 2017/580 z dnia 24 czerwca 2016 r. uzupełniające rozporządzenie Parlamentu Europejskiego i Rady (UE) nr 600/2014 w odniesieniu do regulacyjnych standardów technicznych w zakresie przechowywania właściwych danych dotyczących zleceń, których przedmiotem są instrumenty finansowe (Dz. Urz. UE L 87 z 31.03.2017, str. 193) i obejmuje wyłącznie „identyfikator klienta (National ID)” – w przypadku obywateli polskich jest to numer identyfikacyjny PESEL, a w pr</w:t>
      </w:r>
      <w:r w:rsidR="00740D89">
        <w:t xml:space="preserve">zypadku obywateli innego kraju </w:t>
      </w:r>
      <w:r w:rsidR="000C3F99" w:rsidRPr="00BF2F19">
        <w:t>– właściwy identyfikator, który jest określony w art. 6 i Załączniku II tego rozporządzenia.</w:t>
      </w:r>
    </w:p>
    <w:p w14:paraId="580C274A" w14:textId="77777777" w:rsidR="000C3F99" w:rsidRPr="00BF2F19" w:rsidRDefault="000C3F99" w:rsidP="000C3F99">
      <w:pPr>
        <w:pStyle w:val="ARTartustawynprozporzdzenia"/>
      </w:pPr>
      <w:r w:rsidRPr="00BF2F19">
        <w:t>Uwzględniając przepisy art. 89 rozporządzenia 2016/679, zasadne jest umożliwienie przetwarzania przez GPW powyższego zakresu danych do celów statystycznych oraz skorzystania z wyjątków określonych w art. 89 ust. 2 tego rozporządzenia. Dane statystyczne odnosiłyby się do struktury inwestorów na rzecz których składane są zlecenia na rynkach prowadzonych przez GPW, jakie można odczytać z identyfikatora klienta, np. podział na osoby fizyczne/osoby prawne, podział ze względu na wiek inwestora, podział ze względu na krajowego/zagranicznego inwestora.</w:t>
      </w:r>
    </w:p>
    <w:p w14:paraId="654C38F1" w14:textId="77777777" w:rsidR="000C3F99" w:rsidRPr="00BF2F19" w:rsidRDefault="000C3F99" w:rsidP="000C3F99">
      <w:pPr>
        <w:pStyle w:val="ARTartustawynprozporzdzenia"/>
      </w:pPr>
      <w:r w:rsidRPr="00BF2F19">
        <w:t>Obecnie GPW tworzy statystyki na podstawie kierowanych do krajowych członków giełdy badań ankietowych. Z uwagi na potencjalnie duży margines błędu, wynikający również z faktu, że obecnie blisko połowa obrotu na rynkach GPW dokonywana jest przez zagraniczne firmy inwestycyjne, badanie te obarczone są wątpliwościami co do ich adekwatności. Możliwość tworzenia statystyk w oparciu o posiadane dane osobowe, przetwarzane w ce</w:t>
      </w:r>
      <w:r w:rsidR="007F388C" w:rsidRPr="00BF2F19">
        <w:t>lu określonym przepisami prawa</w:t>
      </w:r>
      <w:r w:rsidRPr="00BF2F19">
        <w:t xml:space="preserve"> pozwoliłaby na uzyskanie bardziej miarodajnych wyników.</w:t>
      </w:r>
    </w:p>
    <w:p w14:paraId="38316771" w14:textId="77777777" w:rsidR="000C3F99" w:rsidRPr="00BF2F19" w:rsidRDefault="000C3F99" w:rsidP="000C3F99">
      <w:pPr>
        <w:pStyle w:val="ARTartustawynprozporzdzenia"/>
      </w:pPr>
      <w:r w:rsidRPr="00BF2F19">
        <w:t>Należy zaznaczyć, że GPW otrzymuje liczne zapytania od uczestników rynku, środowisk naukowych, a także organów państwowych dotyczące struktury rynku kapitałowego. Jednocześnie na podstawie obecnie publikowanych danych przygotowywane są opracowania statystyczne, które wykorzystywane są do badań naukowych, a także jako dane wsadowe do dokumentów rządowych, jak chociażby do „Strategii Rynku Kapitałowego” przygotowywanej obecnie przez Ministerstwo Finansów we współpracy z Europejskim Bankiem Odbudowy i Rozwoju oraz Komisją Europejską.</w:t>
      </w:r>
    </w:p>
    <w:p w14:paraId="5A5A377C" w14:textId="77777777" w:rsidR="007F388C" w:rsidRPr="00BF2F19" w:rsidRDefault="007F388C" w:rsidP="007F388C">
      <w:pPr>
        <w:pStyle w:val="ARTartustawynprozporzdzenia"/>
      </w:pPr>
      <w:r w:rsidRPr="00BF2F19">
        <w:t>Posiadanie danych dotyczących rzeczywistej struktury obrotu dokonywanego w ramach krajowych systemów obrotu (w szczególności rynku regulowanego prowadzonego przez GPW) pozostaje w słusznym interesie publicznym, w szczególności w zakresie prac nad rozwojem krajowego rynku kapitałowego. Zagregowane dane statystyczne stanowią cenne źródło opracowań naukowych i dydaktycznych dla szerokiego grona odbiorców (ekonomiści, wykładowcy, studenci, organizacje z obszarów badań nad gospodarką, itp.). Stanowią także cenne źródła dla organów państwowych w kontekście m.in. wprowadzania zmian w regulacjach czy tworzenia państwowych strategii lub polityk w zakresie rynku kapitałowego.</w:t>
      </w:r>
    </w:p>
    <w:p w14:paraId="520F7D4B" w14:textId="77777777" w:rsidR="000C3F99" w:rsidRPr="00BF2F19" w:rsidRDefault="000C3F99" w:rsidP="007F388C">
      <w:pPr>
        <w:pStyle w:val="ARTartustawynprozporzdzenia"/>
      </w:pPr>
      <w:r w:rsidRPr="00BF2F19">
        <w:t>W obecnym stanie prawnym i faktycznym dane statystyczne opracowywane i przekazywane przez GPW w powyższych przypadkach są niepełne, jako że nie zawierają wielu informacji, jakie GPW mogłaby udostępniać dla celów statystycznych po ich uprzednim przetworzeniu, czego jednak z uwagi na wątpliwości natury</w:t>
      </w:r>
      <w:r w:rsidR="007F388C" w:rsidRPr="00BF2F19">
        <w:t xml:space="preserve"> prawnej obecnie nie dokonuje. </w:t>
      </w:r>
      <w:r w:rsidRPr="00BF2F19">
        <w:t xml:space="preserve">Mając na uwadze motyw 162 oraz art. 89 </w:t>
      </w:r>
      <w:r w:rsidR="007F388C" w:rsidRPr="00BF2F19">
        <w:t>rozporządzenia 2016/679,</w:t>
      </w:r>
      <w:r w:rsidRPr="00BF2F19">
        <w:t xml:space="preserve"> proponowany art. 29d ustawy o obrocie instrumentami finansowymi bardzo precyzyjnie określa cel statystyczny („udział inwestorów w strukturze obrotów instrumentami finansowymi w danym systemie obrotu”) przez co przetwarzanie danych osobowych w tym celu będzie prowadzone w bardzo wąskim zakresie.</w:t>
      </w:r>
    </w:p>
    <w:p w14:paraId="374679A4" w14:textId="77777777" w:rsidR="000C3F99" w:rsidRPr="00BF2F19" w:rsidRDefault="000C3F99" w:rsidP="000C3F99">
      <w:pPr>
        <w:pStyle w:val="ARTartustawynprozporzdzenia"/>
      </w:pPr>
      <w:r w:rsidRPr="00BF2F19">
        <w:t xml:space="preserve">Propozycja nakłada na </w:t>
      </w:r>
      <w:r w:rsidR="007F388C" w:rsidRPr="00BF2F19">
        <w:t>spółkę prowadzącą rynek regulowany obowiązek posiadania</w:t>
      </w:r>
      <w:r w:rsidRPr="00BF2F19">
        <w:t xml:space="preserve"> zabezpieczeń mających na celu zapobieganie nadużyciom lub niezgodnemu z prawem dostępowi lub przekazywaniu danych osobowych. Zabezpieczenia te zakładają wdrożenie odpowiednich środków technicznych i organizacyjnych zapewniających poszanowanie zasady minimalizacji dostępu do danych osobowych. </w:t>
      </w:r>
    </w:p>
    <w:p w14:paraId="25B568CA" w14:textId="002FD9F5" w:rsidR="000C3F99" w:rsidRDefault="000C3F99" w:rsidP="000C3F99">
      <w:pPr>
        <w:pStyle w:val="ARTartustawynprozporzdzenia"/>
      </w:pPr>
      <w:r w:rsidRPr="00BF2F19">
        <w:t xml:space="preserve">W propozycji art. 29d ustawy o obrocie instrumentami finansowymi zawarto wyłączenie spełnienia wymagań określonych w art. 15, art. 16, art. 18 i art. 21 </w:t>
      </w:r>
      <w:r w:rsidR="00AD4760">
        <w:t>rozporządzenia 2016/679</w:t>
      </w:r>
      <w:r w:rsidRPr="00BF2F19">
        <w:t xml:space="preserve">, gdyż realizacja tych praw poważnie utrudniałaby realizację celów statystycznych wskazanych w proponowanym przepisie, a wyłączenie tych praw konieczne jest do realizacji tych celów statystycznych. W oparciu o zakres przetwarzanych danych (posiadanych w związku z obowiązkiem wynikającym z art. 25 ust. 2 rozporządzenia </w:t>
      </w:r>
      <w:r w:rsidR="007F388C" w:rsidRPr="00BF2F19">
        <w:t>600/2014</w:t>
      </w:r>
      <w:r w:rsidRPr="00BF2F19">
        <w:t xml:space="preserve">) weryfikacja i potwierdzenie przez GPW tożsamości osoby, której dane dotyczą nie jest możliwa. Należy zaznaczyć, że w celu wypełnienia wymogów wynikających z rozporządzenia </w:t>
      </w:r>
      <w:r w:rsidR="007F388C" w:rsidRPr="00BF2F19">
        <w:t>600/2014</w:t>
      </w:r>
      <w:r w:rsidRPr="00BF2F19">
        <w:t xml:space="preserve"> GPW otrzymuje te dane za pośr</w:t>
      </w:r>
      <w:r w:rsidR="007F388C" w:rsidRPr="00BF2F19">
        <w:t>ednictwem członków giełdy (firm inwestycyjnych prowadzących</w:t>
      </w:r>
      <w:r w:rsidRPr="00BF2F19">
        <w:t xml:space="preserve"> rachunki inwestorów), którzy zawierając ze swoimi klientami umowy posiadają pełną wiedzę w zakresie zgromadzonych danych osob</w:t>
      </w:r>
      <w:r w:rsidR="00740D89">
        <w:t xml:space="preserve">owych. Przedmiotowe wyłączenie </w:t>
      </w:r>
      <w:r w:rsidRPr="00BF2F19">
        <w:t>nie narusza istoty praw i wolności osób, których dane osobowe dotyczą.</w:t>
      </w:r>
    </w:p>
    <w:p w14:paraId="3B81C98D" w14:textId="55D450F5" w:rsidR="00392FC6" w:rsidRDefault="00E4081E" w:rsidP="00E4081E">
      <w:pPr>
        <w:pStyle w:val="ARTartustawynprozporzdzenia"/>
      </w:pPr>
      <w:r>
        <w:t xml:space="preserve">Zmiana proponowana w </w:t>
      </w:r>
      <w:r w:rsidRPr="00E4081E">
        <w:rPr>
          <w:rStyle w:val="Ppogrubienie"/>
        </w:rPr>
        <w:t>a</w:t>
      </w:r>
      <w:r w:rsidR="00392FC6" w:rsidRPr="00E4081E">
        <w:rPr>
          <w:rStyle w:val="Ppogrubienie"/>
        </w:rPr>
        <w:t>rt. 13 pkt 20</w:t>
      </w:r>
      <w:r w:rsidRPr="00E4081E">
        <w:rPr>
          <w:rStyle w:val="Ppogrubienie"/>
        </w:rPr>
        <w:t xml:space="preserve"> lit. a</w:t>
      </w:r>
      <w:r>
        <w:t xml:space="preserve"> </w:t>
      </w:r>
      <w:r w:rsidRPr="00E4081E">
        <w:t xml:space="preserve">polega na dodaniu pkt 2a </w:t>
      </w:r>
      <w:r>
        <w:t xml:space="preserve">w art. 31 ust. 1 </w:t>
      </w:r>
      <w:r w:rsidRPr="00E4081E">
        <w:t>i uzupełnieniu katalogu</w:t>
      </w:r>
      <w:r>
        <w:t xml:space="preserve"> </w:t>
      </w:r>
      <w:r w:rsidRPr="00E4081E">
        <w:t>podmiotów mogących być stroną transakcji zawieranych na rynku regulowanym o</w:t>
      </w:r>
      <w:r>
        <w:t xml:space="preserve"> </w:t>
      </w:r>
      <w:r w:rsidRPr="00E4081E">
        <w:t>zagraniczne osoby prawne nieprowadzące działalności maklerskiej na terytorium</w:t>
      </w:r>
      <w:r>
        <w:t xml:space="preserve"> </w:t>
      </w:r>
      <w:r w:rsidRPr="00E4081E">
        <w:t xml:space="preserve">Rzeczypospolitej Polskiej z siedzibą na terytorium państwa należącego do </w:t>
      </w:r>
      <w:r>
        <w:t>OECD</w:t>
      </w:r>
      <w:r w:rsidRPr="00E4081E">
        <w:t>, przy czym krąg tych państw został</w:t>
      </w:r>
      <w:r>
        <w:t xml:space="preserve"> </w:t>
      </w:r>
      <w:r w:rsidRPr="00E4081E">
        <w:t>ograniczony jedynie do państw należących do Grupy Specjalnej do Spraw Przeciwdziałania</w:t>
      </w:r>
      <w:r>
        <w:t xml:space="preserve"> </w:t>
      </w:r>
      <w:r w:rsidRPr="00E4081E">
        <w:t>Praniu Pieniędz</w:t>
      </w:r>
      <w:r>
        <w:t>y (Financial Action Task Force –</w:t>
      </w:r>
      <w:r w:rsidRPr="00E4081E">
        <w:t xml:space="preserve"> FATF). W praktyce oznacza to, że stroną</w:t>
      </w:r>
      <w:r>
        <w:t xml:space="preserve"> </w:t>
      </w:r>
      <w:r w:rsidRPr="00E4081E">
        <w:t>transakcji, a zarazem członkiem giełdy, będzie mógł zostać, po spełnieniu warunków</w:t>
      </w:r>
      <w:r>
        <w:t xml:space="preserve"> </w:t>
      </w:r>
      <w:r w:rsidRPr="00E4081E">
        <w:t>określonych w doda</w:t>
      </w:r>
      <w:r>
        <w:t>wa</w:t>
      </w:r>
      <w:r w:rsidRPr="00E4081E">
        <w:t>nym ust. 3a, jedynie licencjonowany podmiot z siedzibą w takich</w:t>
      </w:r>
      <w:r>
        <w:t xml:space="preserve"> </w:t>
      </w:r>
      <w:r w:rsidRPr="00E4081E">
        <w:t>państw</w:t>
      </w:r>
      <w:r>
        <w:t>ach jak</w:t>
      </w:r>
      <w:r w:rsidRPr="00E4081E">
        <w:t xml:space="preserve"> Australia, Kanada, Izrael, Japonia, Korea Południowa, Meksyk, Nowa</w:t>
      </w:r>
      <w:r>
        <w:t xml:space="preserve"> </w:t>
      </w:r>
      <w:r w:rsidRPr="00E4081E">
        <w:t>Zelandia, Szwajcaria, Turcja i USA. Przepis ten obejmie swym zakresem także podmioty</w:t>
      </w:r>
      <w:r>
        <w:t xml:space="preserve"> </w:t>
      </w:r>
      <w:r w:rsidRPr="00E4081E">
        <w:t xml:space="preserve">z siedzibą w Wielkiej Brytanii w przypadku </w:t>
      </w:r>
      <w:r>
        <w:t>wyjścia tego państwa z Unii Europejskiej bez umowy.</w:t>
      </w:r>
      <w:r w:rsidRPr="00E4081E">
        <w:t xml:space="preserve"> </w:t>
      </w:r>
      <w:r>
        <w:t>Wielka Brytania</w:t>
      </w:r>
      <w:r w:rsidRPr="00E4081E">
        <w:t xml:space="preserve"> stanie się wówczas</w:t>
      </w:r>
      <w:r>
        <w:t xml:space="preserve"> </w:t>
      </w:r>
      <w:r w:rsidRPr="00E4081E">
        <w:t>państwem trze</w:t>
      </w:r>
      <w:r>
        <w:t>cim w rozumieniu u</w:t>
      </w:r>
      <w:r w:rsidRPr="00E4081E">
        <w:t>stawy.</w:t>
      </w:r>
    </w:p>
    <w:p w14:paraId="4D32B6CC" w14:textId="45A2226D" w:rsidR="00E4081E" w:rsidRDefault="00E4081E" w:rsidP="005D5009">
      <w:pPr>
        <w:pStyle w:val="ARTartustawynprozporzdzenia"/>
      </w:pPr>
      <w:r w:rsidRPr="00E4081E">
        <w:t>Z uwagi na fakt, że do zagranicznej osoby prawnej z siedzibą na terytorium państwa spoza</w:t>
      </w:r>
      <w:r>
        <w:t xml:space="preserve"> </w:t>
      </w:r>
      <w:r w:rsidRPr="00E4081E">
        <w:t>obszaru Unii Europejskiej nie mają bezpośrednio zastosowania regulacje prawa Unii</w:t>
      </w:r>
      <w:r>
        <w:t xml:space="preserve"> </w:t>
      </w:r>
      <w:r w:rsidR="005D5009">
        <w:t>Europejskiej</w:t>
      </w:r>
      <w:r w:rsidR="0020054B">
        <w:t>,</w:t>
      </w:r>
      <w:r w:rsidR="005D5009">
        <w:t xml:space="preserve"> </w:t>
      </w:r>
      <w:r w:rsidR="005D5009" w:rsidRPr="005D5009">
        <w:rPr>
          <w:rStyle w:val="Ppogrubienie"/>
        </w:rPr>
        <w:t>lit. b</w:t>
      </w:r>
      <w:r w:rsidR="005D5009">
        <w:t xml:space="preserve"> dodaje w </w:t>
      </w:r>
      <w:r w:rsidRPr="00E4081E">
        <w:t xml:space="preserve">art. 31 </w:t>
      </w:r>
      <w:r w:rsidR="005D5009">
        <w:t xml:space="preserve">nowy </w:t>
      </w:r>
      <w:r w:rsidRPr="00E4081E">
        <w:t>ust. 3a, który określa warunki, jakie muszą</w:t>
      </w:r>
      <w:r>
        <w:t xml:space="preserve"> </w:t>
      </w:r>
      <w:r w:rsidRPr="00E4081E">
        <w:t>zostać spełnione, aby podmiot ten mógł zawierać transakcje na rynku polskim.</w:t>
      </w:r>
      <w:r w:rsidR="005D5009">
        <w:t xml:space="preserve"> S</w:t>
      </w:r>
      <w:r w:rsidRPr="00E4081E">
        <w:t xml:space="preserve">troną transakcji zawieranych </w:t>
      </w:r>
      <w:r w:rsidR="0070433E">
        <w:t>na rynku regulowanym</w:t>
      </w:r>
      <w:r w:rsidRPr="00E4081E">
        <w:t xml:space="preserve"> prowadzonym na teryto</w:t>
      </w:r>
      <w:r w:rsidR="0070433E">
        <w:t>rium Rzeczypospolitej Polskiej</w:t>
      </w:r>
      <w:r w:rsidRPr="00E4081E">
        <w:t xml:space="preserve"> będzie mógł zostać jedynie podmiot zagraniczny nieprowadzący</w:t>
      </w:r>
      <w:r>
        <w:t xml:space="preserve"> </w:t>
      </w:r>
      <w:r w:rsidRPr="00E4081E">
        <w:t>działalności maklerskiej na terytorium Polski, który posiada zezwolenie lub na innej</w:t>
      </w:r>
      <w:r>
        <w:t xml:space="preserve"> </w:t>
      </w:r>
      <w:r w:rsidRPr="00E4081E">
        <w:t>podstawie może świadczyć usługi w zakresie obrotu instrumentami finansowymi w</w:t>
      </w:r>
      <w:r>
        <w:t xml:space="preserve"> </w:t>
      </w:r>
      <w:r w:rsidRPr="00E4081E">
        <w:t>państwie swojej siedziby. Podmiot ten musi także podlegać nadzorowi właściwego organu</w:t>
      </w:r>
      <w:r>
        <w:t xml:space="preserve"> </w:t>
      </w:r>
      <w:r w:rsidRPr="00E4081E">
        <w:t>nadzoru nad rynkiem finansowym w państwie swojej siedziby. Warunkiem zawierania przez</w:t>
      </w:r>
      <w:r>
        <w:t xml:space="preserve"> </w:t>
      </w:r>
      <w:r w:rsidRPr="00E4081E">
        <w:t>ten podmiot transakcji na rynku polskim jest również istnienie porozumienia, o którym</w:t>
      </w:r>
      <w:r>
        <w:t xml:space="preserve"> </w:t>
      </w:r>
      <w:r w:rsidRPr="00E4081E">
        <w:t>mowa w art. 20 ust. 2 ustawy o nadzorze nad rynkiem kapitałowym</w:t>
      </w:r>
      <w:r>
        <w:t xml:space="preserve"> </w:t>
      </w:r>
      <w:r w:rsidRPr="00E4081E">
        <w:t xml:space="preserve">pomiędzy </w:t>
      </w:r>
      <w:r w:rsidR="005D5009">
        <w:t>KNF</w:t>
      </w:r>
      <w:r w:rsidRPr="00E4081E">
        <w:t>, a tym organem nadzoru, albo przystąpienie przez ten organ nadzoru</w:t>
      </w:r>
      <w:r>
        <w:t xml:space="preserve"> </w:t>
      </w:r>
      <w:r w:rsidRPr="00E4081E">
        <w:t>do wielostronnego porozumienia zapewniającego współpracę i skuteczną wymianę</w:t>
      </w:r>
      <w:r>
        <w:t xml:space="preserve"> </w:t>
      </w:r>
      <w:r w:rsidRPr="00E4081E">
        <w:t xml:space="preserve">informacji, którego stroną jest również </w:t>
      </w:r>
      <w:r w:rsidR="005D5009">
        <w:t>KNF</w:t>
      </w:r>
      <w:r w:rsidRPr="00E4081E">
        <w:t>, albo też zapewnienie w inny sposób</w:t>
      </w:r>
      <w:r>
        <w:t xml:space="preserve"> </w:t>
      </w:r>
      <w:r w:rsidRPr="00E4081E">
        <w:t xml:space="preserve">przekazywania pomiędzy </w:t>
      </w:r>
      <w:r w:rsidR="005D5009">
        <w:t>KNF</w:t>
      </w:r>
      <w:r w:rsidRPr="00E4081E">
        <w:t>, a tym organem nadzoru informacji niezbędnych</w:t>
      </w:r>
      <w:r>
        <w:t xml:space="preserve"> </w:t>
      </w:r>
      <w:r w:rsidRPr="00E4081E">
        <w:t>z punktu widzenia nadzoru nad obrotem instrumentami finansowymi na terytorium</w:t>
      </w:r>
      <w:r>
        <w:t xml:space="preserve"> </w:t>
      </w:r>
      <w:r w:rsidRPr="00E4081E">
        <w:t>Rzeczypospolitej Polskiej.</w:t>
      </w:r>
    </w:p>
    <w:p w14:paraId="01773881" w14:textId="6B767329" w:rsidR="005D5009" w:rsidRDefault="005D5009" w:rsidP="005D5009">
      <w:pPr>
        <w:pStyle w:val="ARTartustawynprozporzdzenia"/>
      </w:pPr>
      <w:r>
        <w:t xml:space="preserve">Art. 31 ust. 3b </w:t>
      </w:r>
      <w:r w:rsidRPr="005D5009">
        <w:t>ma na celu ograniczenie zakre</w:t>
      </w:r>
      <w:r>
        <w:t xml:space="preserve">su działania zagranicznych osób </w:t>
      </w:r>
      <w:r w:rsidRPr="005D5009">
        <w:t>prawnych nieprowadzących działalności maklerskiej na terytorium Rzeczypospolitej</w:t>
      </w:r>
      <w:r>
        <w:t xml:space="preserve"> </w:t>
      </w:r>
      <w:r w:rsidRPr="005D5009">
        <w:t>Polskiej będących stronami transakcji zawartyc</w:t>
      </w:r>
      <w:r w:rsidR="0070433E">
        <w:t>h na rynku polskim wyłącznie do</w:t>
      </w:r>
      <w:r>
        <w:t xml:space="preserve"> </w:t>
      </w:r>
      <w:r w:rsidRPr="005D5009">
        <w:t>nabywania lub zbywania instrumentów finansowych na własny rachunek,</w:t>
      </w:r>
      <w:r>
        <w:t xml:space="preserve"> </w:t>
      </w:r>
      <w:r w:rsidRPr="005D5009">
        <w:t>z wyłączeniem możliwości pełnienia funkcji animatora rynku, lub</w:t>
      </w:r>
      <w:r>
        <w:t xml:space="preserve"> </w:t>
      </w:r>
      <w:r w:rsidRPr="005D5009">
        <w:t>nabywania lub zbywania instrumentów finansowych na rachunek klientów mających</w:t>
      </w:r>
      <w:r>
        <w:t xml:space="preserve"> </w:t>
      </w:r>
      <w:r w:rsidRPr="005D5009">
        <w:t>siedzibę lub miejsce zamieszkania na terytorium państwa innego niż państwo</w:t>
      </w:r>
      <w:r>
        <w:t xml:space="preserve"> </w:t>
      </w:r>
      <w:r w:rsidRPr="005D5009">
        <w:t>członkowskie.</w:t>
      </w:r>
      <w:r>
        <w:t xml:space="preserve"> </w:t>
      </w:r>
      <w:r w:rsidRPr="005D5009">
        <w:t>Takie rozwiązanie zapewnia brak po stronie ww. podmiotu możliwości zawierania transakcji</w:t>
      </w:r>
      <w:r>
        <w:t xml:space="preserve"> </w:t>
      </w:r>
      <w:r w:rsidRPr="005D5009">
        <w:t>na rzecz inwestorów z Polski oraz inwestorów z innych państw członkowskich. W świetle</w:t>
      </w:r>
      <w:r>
        <w:t xml:space="preserve"> </w:t>
      </w:r>
      <w:r w:rsidRPr="005D5009">
        <w:t>proponowanych regulacji prawnych celem działania takiego podmiotu byłoby wyłącznie</w:t>
      </w:r>
      <w:r>
        <w:t xml:space="preserve"> </w:t>
      </w:r>
      <w:r w:rsidRPr="005D5009">
        <w:t>umożliwienie swoim dotychczasowym klientom nabywania i zbywania instrumentów</w:t>
      </w:r>
      <w:r>
        <w:t xml:space="preserve"> </w:t>
      </w:r>
      <w:r w:rsidRPr="005D5009">
        <w:t>finansowych na polskich platformach obrotu, co oznaczałoby, że platformy te byłyby</w:t>
      </w:r>
      <w:r>
        <w:t xml:space="preserve"> </w:t>
      </w:r>
      <w:r w:rsidRPr="005D5009">
        <w:t>jedynie miejscem realizacji strategii inwestycyjnych tego podmiotu lub jego</w:t>
      </w:r>
      <w:r>
        <w:t xml:space="preserve"> </w:t>
      </w:r>
      <w:r w:rsidRPr="005D5009">
        <w:t>dotychczasowych klientów.</w:t>
      </w:r>
      <w:r>
        <w:t xml:space="preserve"> </w:t>
      </w:r>
      <w:r w:rsidRPr="005D5009">
        <w:t>W zakresie działalności na rachunek własny podmiot ten nie mógłby pełnić funkcji</w:t>
      </w:r>
      <w:r>
        <w:t xml:space="preserve"> </w:t>
      </w:r>
      <w:r w:rsidRPr="005D5009">
        <w:t>animatora rynku, jako że działalność ta uznawana jest za prowadzenie działalności</w:t>
      </w:r>
      <w:r>
        <w:t xml:space="preserve"> </w:t>
      </w:r>
      <w:r w:rsidRPr="005D5009">
        <w:t>maklerskiej na terytorium danego państwa.</w:t>
      </w:r>
    </w:p>
    <w:p w14:paraId="3A0B355D" w14:textId="035A0830" w:rsidR="005D5009" w:rsidRPr="005D5009" w:rsidRDefault="005D5009" w:rsidP="005D5009">
      <w:pPr>
        <w:pStyle w:val="ARTartustawynprozporzdzenia"/>
      </w:pPr>
      <w:r>
        <w:t xml:space="preserve">Zamiany </w:t>
      </w:r>
      <w:r w:rsidRPr="005D5009">
        <w:t xml:space="preserve">proponowane w </w:t>
      </w:r>
      <w:r w:rsidRPr="005D5009">
        <w:rPr>
          <w:rStyle w:val="Ppogrubienie"/>
        </w:rPr>
        <w:t>lit. c i d</w:t>
      </w:r>
      <w:r w:rsidRPr="005D5009">
        <w:t xml:space="preserve"> polegają na objęciu zagranicznej osoby</w:t>
      </w:r>
      <w:r>
        <w:t xml:space="preserve"> </w:t>
      </w:r>
      <w:r w:rsidRPr="005D5009">
        <w:t>prawnej, o której mowa w art. 31 ust. 1 pkt 2a, obowiązkiem dostarczenia na żądanie</w:t>
      </w:r>
      <w:r>
        <w:t xml:space="preserve"> </w:t>
      </w:r>
      <w:r w:rsidRPr="005D5009">
        <w:t>Komisji kopii dokumentów i innych nośników informacji oraz udzielenia wyjaśnień</w:t>
      </w:r>
      <w:r>
        <w:t xml:space="preserve"> </w:t>
      </w:r>
      <w:r w:rsidRPr="005D5009">
        <w:t>w zakresie transakcji zawieranych na rynku regulowanym, analogicznie jak ma to miejsce</w:t>
      </w:r>
      <w:r>
        <w:t xml:space="preserve"> </w:t>
      </w:r>
      <w:r w:rsidRPr="005D5009">
        <w:t>obecnie w stosunku do zagranicznych firm inwestycyjnych nieprowadzących działalności</w:t>
      </w:r>
      <w:r>
        <w:t xml:space="preserve"> </w:t>
      </w:r>
      <w:r w:rsidRPr="005D5009">
        <w:t>na teryto</w:t>
      </w:r>
      <w:r w:rsidR="00C5589E">
        <w:t>rium Rzeczypospolitej Polskiej</w:t>
      </w:r>
      <w:r w:rsidRPr="005D5009">
        <w:t>, łącznie z możliwością</w:t>
      </w:r>
      <w:r>
        <w:t xml:space="preserve"> </w:t>
      </w:r>
      <w:r w:rsidRPr="005D5009">
        <w:t>zastosowania przez Komisję wobec tych podmiotów sankcji w postaci kary pieniężnej</w:t>
      </w:r>
      <w:r>
        <w:t xml:space="preserve"> </w:t>
      </w:r>
      <w:r w:rsidRPr="005D5009">
        <w:t>w wysokości do 500</w:t>
      </w:r>
      <w:r w:rsidR="00C5589E">
        <w:t> </w:t>
      </w:r>
      <w:r w:rsidRPr="005D5009">
        <w:t>000 zł.</w:t>
      </w:r>
    </w:p>
    <w:p w14:paraId="7D1DFA97" w14:textId="2CC69D78" w:rsidR="00EF05EC" w:rsidRDefault="00C5589E" w:rsidP="000C3F99">
      <w:pPr>
        <w:pStyle w:val="ARTartustawynprozporzdzenia"/>
      </w:pPr>
      <w:r>
        <w:t xml:space="preserve">Zmiana proponowana w </w:t>
      </w:r>
      <w:r w:rsidRPr="00C5589E">
        <w:rPr>
          <w:rStyle w:val="Ppogrubienie"/>
        </w:rPr>
        <w:t>a</w:t>
      </w:r>
      <w:r w:rsidR="00EF05EC" w:rsidRPr="00C5589E">
        <w:rPr>
          <w:rStyle w:val="Ppogrubienie"/>
        </w:rPr>
        <w:t>rt. 13 pkt 21</w:t>
      </w:r>
      <w:r>
        <w:t xml:space="preserve"> polega na usunięciu publikatora ustawy z dnia 28 lutego 2003 r. – Prawo upadłościowe, który pojawia się we wcześniejszym miejscu ustawy, w jednym z dodawanych przepisów.</w:t>
      </w:r>
    </w:p>
    <w:p w14:paraId="022360EE" w14:textId="72034572" w:rsidR="0008513A" w:rsidRPr="00BF2F19" w:rsidRDefault="0008513A" w:rsidP="0008513A">
      <w:pPr>
        <w:pStyle w:val="NIEARTTEKSTtekstnieartykuowanynppodstprawnarozplubpreambua"/>
      </w:pPr>
      <w:r w:rsidRPr="00BF2F19">
        <w:t xml:space="preserve">Zmiany przewidziane w </w:t>
      </w:r>
      <w:r w:rsidR="00355A96">
        <w:rPr>
          <w:rStyle w:val="Ppogrubienie"/>
        </w:rPr>
        <w:t>art. 13</w:t>
      </w:r>
      <w:r w:rsidRPr="00BF2F19">
        <w:rPr>
          <w:rStyle w:val="Ppogrubienie"/>
        </w:rPr>
        <w:t xml:space="preserve"> pkt </w:t>
      </w:r>
      <w:r w:rsidR="00EF05EC">
        <w:rPr>
          <w:rStyle w:val="Ppogrubienie"/>
        </w:rPr>
        <w:t>22</w:t>
      </w:r>
      <w:r w:rsidRPr="00BF2F19">
        <w:t xml:space="preserve"> mają z jednej strony przyczynić się do znacznego ułatwienia identyfikacji swoich akcjonariuszy przez spółki </w:t>
      </w:r>
      <w:r w:rsidR="00C5589E">
        <w:t>notowane na rynku regulowanym</w:t>
      </w:r>
      <w:r w:rsidRPr="00BF2F19">
        <w:t>, z drugiej strony – ułatwią samym akcjonariuszom wykonywanie ich praw związanych z posiadanymi akcjami.</w:t>
      </w:r>
    </w:p>
    <w:p w14:paraId="224A377F" w14:textId="282B85B0" w:rsidR="0008513A" w:rsidRPr="00BF2F19" w:rsidRDefault="0008513A" w:rsidP="0008513A">
      <w:pPr>
        <w:pStyle w:val="NIEARTTEKSTtekstnieartykuowanynppodstprawnarozplubpreambua"/>
      </w:pPr>
      <w:r w:rsidRPr="00BF2F19">
        <w:t>W obecnym stanie prawnym spółki bardzo często nie są w stanie zidentyfikować swoich akcjonariuszy. Informacje o tym, kto jest akcjonariuszem spółki otrzymywane są przez spółkę najczęściej raz w roku, w związku z przeprowadzeniem walnego zgromadzenia</w:t>
      </w:r>
      <w:r w:rsidR="002C5A1B">
        <w:t>, lub w razie podwyższenia kapitału zakładowego z zachowaniem prawa poboru</w:t>
      </w:r>
      <w:r w:rsidRPr="00BF2F19">
        <w:t xml:space="preserve">. </w:t>
      </w:r>
      <w:r w:rsidR="002C5A1B">
        <w:t xml:space="preserve">Zwykle jednak przy okazji tych zdarzeń spółki poznają jedynie część składu swojego akcjonariatu, ponieważ otrzymują dane tylko tych akcjonariuszy, którzy decydują się zrealizować dane prawo wynikające z akcji. </w:t>
      </w:r>
      <w:r w:rsidRPr="00BF2F19">
        <w:t>Tymczasem identyfikacja akcjonariuszy jest warunkiem koniecznym do bezpośredniego komunikowania się spółki z akcjonariuszami, co przyczynia się do budowania zaangażowania akcjonariuszy w sprawy spółki i ma duże znaczenie dla ułatwiania wykonywania przez nich praw wynikających z akcji.</w:t>
      </w:r>
    </w:p>
    <w:p w14:paraId="143FBCFD" w14:textId="41D039A1" w:rsidR="0008513A" w:rsidRDefault="0008513A" w:rsidP="002C5A1B">
      <w:pPr>
        <w:pStyle w:val="NIEARTTEKSTtekstnieartykuowanynppodstprawnarozplubpreambua"/>
      </w:pPr>
      <w:r w:rsidRPr="002C5A1B">
        <w:t>Aby osiągnąć powyższe cele, dodawan</w:t>
      </w:r>
      <w:r w:rsidR="002C5A1B" w:rsidRPr="002C5A1B">
        <w:t>y</w:t>
      </w:r>
      <w:r w:rsidRPr="002C5A1B">
        <w:t xml:space="preserve"> </w:t>
      </w:r>
      <w:r w:rsidR="002C5A1B" w:rsidRPr="002C5A1B">
        <w:rPr>
          <w:rStyle w:val="Ppogrubienie"/>
        </w:rPr>
        <w:t xml:space="preserve">art. 68j </w:t>
      </w:r>
      <w:r w:rsidR="002C5A1B">
        <w:t xml:space="preserve">przewiduje, że spółka </w:t>
      </w:r>
      <w:r w:rsidR="00C5589E" w:rsidRPr="00C5589E">
        <w:t xml:space="preserve">z siedzibą na terytorium państwa członkowskiego, której co najmniej jedna akcja jest dopuszczona do obrotu na rynku regulowanym lub na zagranicznym rynku regulowanym </w:t>
      </w:r>
      <w:r w:rsidR="00C5589E">
        <w:t xml:space="preserve">(zwana w dodawanym dziale </w:t>
      </w:r>
      <w:r w:rsidR="00C5589E" w:rsidRPr="00AD4760">
        <w:t>„</w:t>
      </w:r>
      <w:r w:rsidR="00C5589E">
        <w:t>spółką giełdową</w:t>
      </w:r>
      <w:r w:rsidR="00C5589E" w:rsidRPr="00AD4760">
        <w:t>”</w:t>
      </w:r>
      <w:r w:rsidR="00C5589E">
        <w:t>)</w:t>
      </w:r>
      <w:r w:rsidR="002C5A1B">
        <w:t xml:space="preserve">, </w:t>
      </w:r>
      <w:r w:rsidR="002C5A1B" w:rsidRPr="002C5A1B">
        <w:t>może wystąpić z żądaniem przekazania jej aktualnych informacji o akcjonariuszach do dowolnego pośrednika prowadzącego rachunki papierów wartościowych lub rachunki zbiorcze na terytorium RP. Ponadto, celem ułatwienia gromadzenia tych informacji, przepis ten umożliwia takim spółkom zbieranie informacji identyfikujących akcjonariuszy za pośrednictwem KDPW S.A. W takim przypadku KDPW S.A. zbierze te informacje od pozostałych pośredników rejestrujących dane akcje w łańcuchu ewidencji i udostępni spółce zagregowaną informację o jej akcjonariuszach</w:t>
      </w:r>
      <w:r w:rsidRPr="002C5A1B">
        <w:t>.</w:t>
      </w:r>
      <w:r w:rsidR="002C5A1B">
        <w:t xml:space="preserve"> Przepis ten stanowi jednocześnie implementację do krajowego porządku prawnego art. 3a dyrektywy 2007/36/WE.</w:t>
      </w:r>
    </w:p>
    <w:p w14:paraId="6C41E2B7" w14:textId="2FBAC847" w:rsidR="000C6AAA" w:rsidRPr="000C6AAA" w:rsidRDefault="000C6AAA" w:rsidP="000C6AAA">
      <w:pPr>
        <w:pStyle w:val="ARTartustawynprozporzdzenia"/>
      </w:pPr>
      <w:r>
        <w:t xml:space="preserve">Należy przy tym zaznaczyć, że dyrektywa 2007/36/WE przewiduje możliwość skorzystania przez państwa członkowskie z wyłączenia identyfikacji akcjonariuszy posiadających nie więcej niż 0,5% akcji lub praw głosu. W projekcie ustawy nie zdecydowano się na skorzystanie z tego wyłączenia. Po pierwsze, spółki </w:t>
      </w:r>
      <w:r w:rsidR="00C5589E">
        <w:t>giełdowe</w:t>
      </w:r>
      <w:r>
        <w:t xml:space="preserve"> są niejednokrotnie bardzo dużymi spółkami, w których nawet 0,5% akcji stanowi istotną liczbę. Po drugie, drobni akcjonariusze, których udziały nie przekraczają poziomu 0,5% akcji, </w:t>
      </w:r>
      <w:r w:rsidR="00CF19AB">
        <w:t>po zsumowaniu ich udziałów mogą stanowić istotną część całości akcjonariatu danej spółki, zatem niemożność ich identyfikacji pozbawiałaby spółkę dostępu do całościowej informacji o akcjonariacie. Ponadto w</w:t>
      </w:r>
      <w:r>
        <w:t xml:space="preserve">iele spośród spółek </w:t>
      </w:r>
      <w:r w:rsidR="00C5589E">
        <w:t>giełdowych</w:t>
      </w:r>
      <w:r>
        <w:t xml:space="preserve"> jest zainteresowanych wprowadzeniem różnego rodzaju programów lojalnościowych dla swoich akcjonariuszy. Skorzystanie z opisywanego wyłączenia udaremniłoby ten cel, ponieważ spółka nie byłaby w stanie efektywnie dotrzeć z informacjami na temat tych programów do większości akcjonariuszy.</w:t>
      </w:r>
    </w:p>
    <w:p w14:paraId="36A37826" w14:textId="2BB38FC5" w:rsidR="0008513A" w:rsidRDefault="0008513A" w:rsidP="00FC7913">
      <w:pPr>
        <w:pStyle w:val="NIEARTTEKSTtekstnieartykuowanynppodstprawnarozplubpreambua"/>
      </w:pPr>
      <w:r w:rsidRPr="00BF2F19">
        <w:rPr>
          <w:rStyle w:val="Ppogrubienie"/>
        </w:rPr>
        <w:t>Art. 68</w:t>
      </w:r>
      <w:r w:rsidR="002C5A1B">
        <w:rPr>
          <w:rStyle w:val="Ppogrubienie"/>
        </w:rPr>
        <w:t>k</w:t>
      </w:r>
      <w:r w:rsidRPr="00BF2F19">
        <w:t xml:space="preserve"> służy natomiast ułatwieniu wykonywania praw akcjonariuszy, poprzez udoskonalenie systemu przekazywania informacji przez pośredników – zarówno pomiędzy sobą, jak i bezpośrednio akcjonariuszom. Pośrednicy ci, </w:t>
      </w:r>
      <w:r w:rsidR="00FC7913" w:rsidRPr="00BF2F19">
        <w:t>wymienieni</w:t>
      </w:r>
      <w:r w:rsidRPr="00BF2F19">
        <w:t xml:space="preserve"> w art. 68i</w:t>
      </w:r>
      <w:r w:rsidR="00C571BB">
        <w:t xml:space="preserve"> ust. 1</w:t>
      </w:r>
      <w:r w:rsidRPr="00BF2F19">
        <w:t>, będą zobligowani do niezwłocznego przekazywania akcjonariuszom wszelkich informacji kierowanych przez spółki do swoich akcjonariuszy, jak również do przekazywania spółkom wszelkich informacji związanych z wykonywaniem praw akcjonariuszy wynikających z ich akcji.</w:t>
      </w:r>
      <w:r w:rsidR="00FC7913" w:rsidRPr="00BF2F19">
        <w:t xml:space="preserve"> Wskazani w </w:t>
      </w:r>
      <w:r w:rsidR="00FC7913" w:rsidRPr="00BF2F19">
        <w:rPr>
          <w:rStyle w:val="Ppogrubienie"/>
        </w:rPr>
        <w:t>art. 68i</w:t>
      </w:r>
      <w:r w:rsidR="00C5589E">
        <w:rPr>
          <w:rStyle w:val="Ppogrubienie"/>
        </w:rPr>
        <w:t xml:space="preserve"> ust. 1</w:t>
      </w:r>
      <w:r w:rsidR="00FC7913" w:rsidRPr="00BF2F19">
        <w:t xml:space="preserve"> pośrednicy to podmioty, które zgodnie z polskim prawem mają prawo prowadzenia rachunków papierów wartościowych.</w:t>
      </w:r>
      <w:r w:rsidR="00C5589E">
        <w:t xml:space="preserve"> Jednocześnie, zgodnie z </w:t>
      </w:r>
      <w:r w:rsidR="00C5589E" w:rsidRPr="00C5589E">
        <w:rPr>
          <w:rStyle w:val="Ppogrubienie"/>
        </w:rPr>
        <w:t>art. 68i ust. 3</w:t>
      </w:r>
      <w:r w:rsidR="00C5589E">
        <w:t xml:space="preserve"> p</w:t>
      </w:r>
      <w:r w:rsidR="00C5589E" w:rsidRPr="00C5589E">
        <w:t xml:space="preserve">rzepisy dotyczące pośredników </w:t>
      </w:r>
      <w:r w:rsidR="00C5589E">
        <w:t>będzie stosować</w:t>
      </w:r>
      <w:r w:rsidR="00C5589E" w:rsidRPr="00C5589E">
        <w:t xml:space="preserve"> się także do podmiotów mających siedzibę na terytorium państwa innego niż państwo członkowskie, prowadzących, na podstawie przepisów obowiązujących w tym państwie, działalność polegającą na przechowywaniu akcji, administrowaniu akcjami lub prowadzeniu rachunków papierów wartościowych w imieniu akcjonariuszy lub innych osób, jeżeli świadczą oni takie usługi w zakresie akcji spółek giełdowych, na rzecz mających miejsce zamieszkania lub siedzibę na terytorium Rzeczypospolitej Polskiej akcjonariuszy takich spółek lub innych pośredników</w:t>
      </w:r>
      <w:r w:rsidR="00C5589E">
        <w:t>.</w:t>
      </w:r>
    </w:p>
    <w:p w14:paraId="38451269" w14:textId="77777777" w:rsidR="00D34944" w:rsidRPr="00D34944" w:rsidRDefault="00D34944" w:rsidP="00D34944">
      <w:pPr>
        <w:pStyle w:val="ARTartustawynprozporzdzenia"/>
      </w:pPr>
      <w:r w:rsidRPr="00D34944">
        <w:t xml:space="preserve">W celu implementacji art. 3c ust. 1 lit. a dyrektywy 2017/828 proponuje się dodanie w ustawie o obrocie instrumentami finansowymi nowego </w:t>
      </w:r>
      <w:r w:rsidRPr="00D34944">
        <w:rPr>
          <w:rStyle w:val="Ppogrubienie"/>
        </w:rPr>
        <w:t>art. 68l</w:t>
      </w:r>
      <w:r w:rsidRPr="00D34944">
        <w:t>. Przepis ten przewiduje, że pośrednicy, w celu ułatwiania akcjonariuszom wykonywania swoich praw, a w szczególności prawa do uczestnictwa w walnym zgromadzeniu i prawa głosu na walnym zgromadzeniu, będą obowiązani do przekazywania akcjonariuszom na ich wniosek określonych informacji dotyczących posiadanych przez nich akcji w danej spółce. Biorąc pod uwagę, że niektóre spółki wymagają od swoich akcjonariuszy wcześniejszego potwierdzenia udziału w walnym zgromadzeniu, pośrednik, również na wniosek akcjonariusza, będzie obowiązany do przekazywania spółce takich potwierdzeń.</w:t>
      </w:r>
      <w:r>
        <w:t xml:space="preserve"> </w:t>
      </w:r>
      <w:r w:rsidRPr="00D34944">
        <w:t>Szczegółowe wymagania dotyczące m.in. treści i formy informacji przekazywanych w wykonaniu powyższych obowiązków zawarte są w przepisach rozporządzenia 2018/1212. W związku z tym art. 68l ust. 2 nakłada obowiązek stosowania przepisów tego rozporządzenia do określonych w ust. 1 czynności.</w:t>
      </w:r>
    </w:p>
    <w:p w14:paraId="4CE0205C" w14:textId="023D6BAB" w:rsidR="0008513A" w:rsidRPr="00BF2F19" w:rsidRDefault="0008513A" w:rsidP="0008513A">
      <w:pPr>
        <w:pStyle w:val="NIEARTTEKSTtekstnieartykuowanynppodstprawnarozplubpreambua"/>
      </w:pPr>
      <w:r w:rsidRPr="00BF2F19">
        <w:rPr>
          <w:rStyle w:val="Ppogrubienie"/>
        </w:rPr>
        <w:t>Art. 68</w:t>
      </w:r>
      <w:r w:rsidR="00D34944">
        <w:rPr>
          <w:rStyle w:val="Ppogrubienie"/>
        </w:rPr>
        <w:t>m</w:t>
      </w:r>
      <w:r w:rsidRPr="00BF2F19">
        <w:t xml:space="preserve"> wprowadza przejrzys</w:t>
      </w:r>
      <w:r w:rsidR="00C5589E">
        <w:t>te zasady pobierania wynagrodzenia</w:t>
      </w:r>
      <w:r w:rsidRPr="00BF2F19">
        <w:t xml:space="preserve"> i opłat związanych z usługami świadczonymi przez pośredników. W szczególności przepis ten wprowadza obowiązek wyraźnego uzasadniania wprowadzania wyższych opłat w stosunku do podmiotów działających poza granicami Rzeczypospolitej Polskiej. Dyskryminujące różnicowanie należności ze względu na krajowe lub transgraniczne świadczenie usług jest bowiem czynnikiem zniechęcającym do podejmowania transgranicznych inwestycji i utrudnia pełne urzeczywistnienie rynku wewnętrznego UE.</w:t>
      </w:r>
      <w:r w:rsidR="00CF19AB">
        <w:t xml:space="preserve"> Intencją projektu jest przy tym, aby spółka </w:t>
      </w:r>
      <w:r w:rsidR="00C5589E">
        <w:t>giełdowa</w:t>
      </w:r>
      <w:r w:rsidR="00CF19AB">
        <w:t xml:space="preserve"> obciążana była kosztami informacji przekazywanych na jej żądanie, natomiast akcjonariusze uiszczaliby opłaty za informacje przekazywane przez nich spółkom.</w:t>
      </w:r>
    </w:p>
    <w:p w14:paraId="4D463792" w14:textId="64004ADA" w:rsidR="0008513A" w:rsidRDefault="0008513A" w:rsidP="0008513A">
      <w:pPr>
        <w:pStyle w:val="NIEARTTEKSTtekstnieartykuowanynppodstprawnarozplubpreambua"/>
      </w:pPr>
      <w:r w:rsidRPr="00BF2F19">
        <w:rPr>
          <w:rStyle w:val="Ppogrubienie"/>
        </w:rPr>
        <w:t>Art. 68</w:t>
      </w:r>
      <w:r w:rsidR="00D34944">
        <w:rPr>
          <w:rStyle w:val="Ppogrubienie"/>
        </w:rPr>
        <w:t>n</w:t>
      </w:r>
      <w:r w:rsidRPr="00BF2F19">
        <w:t xml:space="preserve"> ustanawia zasady przechowywania i przetwarzania danych osobowych akcjonariuszy na potrzeby </w:t>
      </w:r>
      <w:r w:rsidR="005003B0">
        <w:t>identyfikacji</w:t>
      </w:r>
      <w:r w:rsidRPr="00BF2F19">
        <w:t xml:space="preserve"> akcjonariuszy oraz ułatwiania komunikacji pomiędzy spółką a jej akcjonariuszami.</w:t>
      </w:r>
      <w:r w:rsidR="00580155" w:rsidRPr="00BF2F19">
        <w:t xml:space="preserve"> Aby umożliwić realizację celów, o których mowa powyżej, należy umożliwić spółkom, pośrednikom i podmiotom </w:t>
      </w:r>
      <w:r w:rsidR="00C5589E">
        <w:t>zapewniającym identyfikację</w:t>
      </w:r>
      <w:r w:rsidR="00580155" w:rsidRPr="00BF2F19">
        <w:t xml:space="preserve"> akcjonariuszy przetwarzanie tych danych, </w:t>
      </w:r>
      <w:r w:rsidR="005003B0">
        <w:t>przy jednoczesnym zagwarantowaniu, że dane te będą przetwarzane jedynie przez czas niezbędny do realizacji opisanych celów</w:t>
      </w:r>
      <w:r w:rsidR="00580155" w:rsidRPr="00BF2F19">
        <w:t>.</w:t>
      </w:r>
      <w:r w:rsidR="00C5589E">
        <w:t xml:space="preserve"> W związku z tym art. 68n ust. 2</w:t>
      </w:r>
      <w:r w:rsidR="005003B0">
        <w:t xml:space="preserve"> wprowadza zasadę, że spółka zaprzestaje przetwarzania danych osobowych danego akcjonariusza maksymalnie po upływie 12 miesięcy od powzięcia informacji o tym, że dana osoba nie jest już jej akcjonariuszem.</w:t>
      </w:r>
    </w:p>
    <w:p w14:paraId="19CEC730" w14:textId="77777777" w:rsidR="006E505A" w:rsidRDefault="00355A96" w:rsidP="006E505A">
      <w:pPr>
        <w:pStyle w:val="ARTartustawynprozporzdzenia"/>
      </w:pPr>
      <w:r>
        <w:rPr>
          <w:rStyle w:val="Ppogrubienie"/>
        </w:rPr>
        <w:t>Art. 13</w:t>
      </w:r>
      <w:r w:rsidR="006E505A" w:rsidRPr="006E505A">
        <w:rPr>
          <w:rStyle w:val="Ppogrubienie"/>
        </w:rPr>
        <w:t xml:space="preserve"> pkt </w:t>
      </w:r>
      <w:r w:rsidR="00EF05EC">
        <w:rPr>
          <w:rStyle w:val="Ppogrubienie"/>
        </w:rPr>
        <w:t>23</w:t>
      </w:r>
      <w:r w:rsidR="006E505A">
        <w:t xml:space="preserve"> dokonuje zmian w art. 69 ust. 2 pkt 7 oraz ust. 4 pkt 7 ustawy o obrocie instrumentami finansowymi poprzez zastąpienie pojęć subemisji inwestycyjnej i subemisji usługowej pojęciem umowy o gwarancję</w:t>
      </w:r>
      <w:r w:rsidR="00EC044C">
        <w:t xml:space="preserve"> emisji</w:t>
      </w:r>
      <w:r w:rsidR="006E505A">
        <w:t>.</w:t>
      </w:r>
    </w:p>
    <w:p w14:paraId="2CBC4C8A" w14:textId="77777777" w:rsidR="003F452B" w:rsidRDefault="003F452B" w:rsidP="006E505A">
      <w:pPr>
        <w:pStyle w:val="ARTartustawynprozporzdzenia"/>
      </w:pPr>
      <w:r w:rsidRPr="009655A7">
        <w:rPr>
          <w:rStyle w:val="Ppogrubienie"/>
        </w:rPr>
        <w:t xml:space="preserve">Art. 13 pkt </w:t>
      </w:r>
      <w:r w:rsidR="00EF05EC">
        <w:rPr>
          <w:rStyle w:val="Ppogrubienie"/>
        </w:rPr>
        <w:t>24</w:t>
      </w:r>
      <w:r>
        <w:t xml:space="preserve"> wprowadza zmiany redakcyjne w art. 69h ust. 2 ustawy o obrocie instrumentami finansowymi, spowodowane koniecznością dokonania korekty odesłań w związku ze zmianami w art. 83a tej ustawy.</w:t>
      </w:r>
    </w:p>
    <w:p w14:paraId="4ED10447" w14:textId="63DE06E9" w:rsidR="00EF05EC" w:rsidRDefault="00D91D6E" w:rsidP="00D91D6E">
      <w:pPr>
        <w:pStyle w:val="ARTartustawynprozporzdzenia"/>
      </w:pPr>
      <w:r>
        <w:t xml:space="preserve">W </w:t>
      </w:r>
      <w:r w:rsidRPr="00D91D6E">
        <w:rPr>
          <w:rStyle w:val="Ppogrubienie"/>
        </w:rPr>
        <w:t>a</w:t>
      </w:r>
      <w:r w:rsidR="00EF05EC" w:rsidRPr="00D91D6E">
        <w:rPr>
          <w:rStyle w:val="Ppogrubienie"/>
        </w:rPr>
        <w:t>rt. 13 pkt 25</w:t>
      </w:r>
      <w:r w:rsidR="00C5589E">
        <w:t xml:space="preserve"> </w:t>
      </w:r>
      <w:r w:rsidRPr="00D91D6E">
        <w:t>przewidziano, że zagraniczna osoba prawna będzie mogła</w:t>
      </w:r>
      <w:r>
        <w:t xml:space="preserve"> </w:t>
      </w:r>
      <w:r w:rsidRPr="00D91D6E">
        <w:t>korzystać z bezpośredniego dostępu elektronicznego do rynku oferowanego przez</w:t>
      </w:r>
      <w:r>
        <w:t xml:space="preserve"> </w:t>
      </w:r>
      <w:r w:rsidRPr="00D91D6E">
        <w:t>członków rynku regulowanego lub uczestników ASO do tego uprawnionych. Podmiot z kraju</w:t>
      </w:r>
      <w:r>
        <w:t xml:space="preserve"> </w:t>
      </w:r>
      <w:r w:rsidRPr="00D91D6E">
        <w:t xml:space="preserve">trzeciego będzie mógł korzystać z </w:t>
      </w:r>
      <w:r>
        <w:t>tego dostępu</w:t>
      </w:r>
      <w:r w:rsidRPr="00D91D6E">
        <w:t xml:space="preserve"> w takim samym zakresie w jakim może działać na</w:t>
      </w:r>
      <w:r>
        <w:t xml:space="preserve"> </w:t>
      </w:r>
      <w:r w:rsidRPr="00D91D6E">
        <w:t>danym rynku w charakterze członka lub uczestnika, tj. wyłącznie na rzecz klientów spoza</w:t>
      </w:r>
      <w:r>
        <w:t xml:space="preserve"> </w:t>
      </w:r>
      <w:r w:rsidRPr="00D91D6E">
        <w:t>UE lub na rachunek własny, z wyłączeniem możliwości pełnienia funkcji animatora rynku.</w:t>
      </w:r>
    </w:p>
    <w:p w14:paraId="439DEFD5" w14:textId="77777777" w:rsidR="00952A8E" w:rsidRDefault="00355A96" w:rsidP="006E505A">
      <w:pPr>
        <w:pStyle w:val="ARTartustawynprozporzdzenia"/>
      </w:pPr>
      <w:r>
        <w:rPr>
          <w:rStyle w:val="Ppogrubienie"/>
        </w:rPr>
        <w:t>Art. 13</w:t>
      </w:r>
      <w:r w:rsidR="00952A8E" w:rsidRPr="00952A8E">
        <w:rPr>
          <w:rStyle w:val="Ppogrubienie"/>
        </w:rPr>
        <w:t xml:space="preserve"> p</w:t>
      </w:r>
      <w:r w:rsidR="006D4778">
        <w:rPr>
          <w:rStyle w:val="Ppogrubienie"/>
        </w:rPr>
        <w:t xml:space="preserve">kt </w:t>
      </w:r>
      <w:r w:rsidR="00EF05EC">
        <w:rPr>
          <w:rStyle w:val="Ppogrubienie"/>
        </w:rPr>
        <w:t>26</w:t>
      </w:r>
      <w:r w:rsidR="003F452B">
        <w:rPr>
          <w:rStyle w:val="Ppogrubienie"/>
        </w:rPr>
        <w:t xml:space="preserve"> i 2</w:t>
      </w:r>
      <w:r w:rsidR="00EF05EC">
        <w:rPr>
          <w:rStyle w:val="Ppogrubienie"/>
        </w:rPr>
        <w:t>7</w:t>
      </w:r>
      <w:r w:rsidR="00952A8E">
        <w:t xml:space="preserve"> dokonują zmian w art. 72 i art. 74b ustawy o obrocie instrumentami finansowymi, polegających na zastąpieniu występującego w tych przepisach pojęcia </w:t>
      </w:r>
      <w:r w:rsidR="00AD4760" w:rsidRPr="00AD4760">
        <w:t>„</w:t>
      </w:r>
      <w:r w:rsidR="00952A8E">
        <w:t>sprzedającego</w:t>
      </w:r>
      <w:r w:rsidR="00AD4760" w:rsidRPr="00AD4760">
        <w:t>”</w:t>
      </w:r>
      <w:r w:rsidR="00952A8E">
        <w:t xml:space="preserve"> pojęciem </w:t>
      </w:r>
      <w:r w:rsidR="00AD4760" w:rsidRPr="00AD4760">
        <w:t>„</w:t>
      </w:r>
      <w:r w:rsidR="00952A8E">
        <w:t>oferującego</w:t>
      </w:r>
      <w:r w:rsidR="00AD4760" w:rsidRPr="00AD4760">
        <w:t>”</w:t>
      </w:r>
      <w:r w:rsidR="00952A8E">
        <w:t>.</w:t>
      </w:r>
    </w:p>
    <w:p w14:paraId="675DD1F7" w14:textId="40112EDB" w:rsidR="0070433E" w:rsidRDefault="0070433E" w:rsidP="006E505A">
      <w:pPr>
        <w:pStyle w:val="ARTartustawynprozporzdzenia"/>
      </w:pPr>
      <w:r w:rsidRPr="0070433E">
        <w:rPr>
          <w:rStyle w:val="Ppogrubienie"/>
        </w:rPr>
        <w:t>Art. 13 pkt 28 lit. a</w:t>
      </w:r>
      <w:r>
        <w:t xml:space="preserve"> wprowadza rozwiązania tożsame ze zmianami proponowanymi w art. 31 ustawy o obrocie instrumentami finansowymi w odniesieniu do zawierania przez podmioty z państw trzecich transakcji w ASO lub na OTF.</w:t>
      </w:r>
    </w:p>
    <w:p w14:paraId="1D06A8A1" w14:textId="59C7F70F" w:rsidR="003F452B" w:rsidRDefault="003F452B" w:rsidP="006E505A">
      <w:pPr>
        <w:pStyle w:val="ARTartustawynprozporzdzenia"/>
      </w:pPr>
      <w:r>
        <w:t xml:space="preserve">Proponowane w </w:t>
      </w:r>
      <w:r w:rsidRPr="003F452B">
        <w:rPr>
          <w:rStyle w:val="Ppogrubienie"/>
        </w:rPr>
        <w:t>art. 13 pkt 2</w:t>
      </w:r>
      <w:r w:rsidR="00EF05EC">
        <w:rPr>
          <w:rStyle w:val="Ppogrubienie"/>
        </w:rPr>
        <w:t>8</w:t>
      </w:r>
      <w:r w:rsidR="0070433E">
        <w:rPr>
          <w:rStyle w:val="Ppogrubienie"/>
        </w:rPr>
        <w:t xml:space="preserve"> lit. b</w:t>
      </w:r>
      <w:r>
        <w:t xml:space="preserve"> uzupełnienie przepisów art. 78 ustawy o obrocie instrumentami finansowymi w zakresie ust. 15</w:t>
      </w:r>
      <w:r w:rsidR="00AD4760">
        <w:t xml:space="preserve">, 16 i </w:t>
      </w:r>
      <w:r>
        <w:t>1</w:t>
      </w:r>
      <w:r w:rsidR="00AD4760">
        <w:t>9</w:t>
      </w:r>
      <w:r>
        <w:t xml:space="preserve"> ma na celu implementację do krajowego porządku prawnego przepisów art. 31 ust. 2 i 3 dyrektywy 2014/65/UE. Zauważenia przy tym wymaga, że przyjęta w projektowanych przepisach konstrukcja informowania przez firmę inwestycyjną prowadzącą ASO lub OTF prokuratury lub policji o podejrzeniu wystąpienia manipulacji lub wykorzystani informacji publicznych zaistniałych na ich rynkach za pośrednictwem Komisji Nadzoru Finansowego, wynika z obowiązującej praktyki oraz rozwiązań wdrożonych w związku z art. </w:t>
      </w:r>
      <w:r w:rsidRPr="00F22983">
        <w:t xml:space="preserve">16 </w:t>
      </w:r>
      <w:r>
        <w:t>rozporządzenia 596/2014</w:t>
      </w:r>
      <w:r w:rsidRPr="00F22983">
        <w:t xml:space="preserve"> </w:t>
      </w:r>
      <w:r>
        <w:t>i rozporządzenia</w:t>
      </w:r>
      <w:r w:rsidRPr="00F22983">
        <w:t xml:space="preserve"> delegowane</w:t>
      </w:r>
      <w:r>
        <w:t xml:space="preserve">go Komisji (UE) </w:t>
      </w:r>
      <w:r w:rsidRPr="00F22983">
        <w:t>2016/957</w:t>
      </w:r>
      <w:r>
        <w:t xml:space="preserve"> z dnia 9 marca 2016 r. </w:t>
      </w:r>
      <w:r w:rsidRPr="003F452B">
        <w:t>uzupełniające</w:t>
      </w:r>
      <w:r>
        <w:t>go</w:t>
      </w:r>
      <w:r w:rsidRPr="003F452B">
        <w:t xml:space="preserve"> rozporządzenie Parlamentu Europejskiego i Rady (UE) nr 596/2014 w odniesieniu do regulacyjnych standardów technicznych dotyczących właściwych rozwiązań, systemów i procedur oraz formularzy powiadomienia stosowanych w celu zapobiegania praktykom stanowiącym nadużycie lub podejrzanym zleceniom i transakcjom, ich wykrywania i zgłaszania</w:t>
      </w:r>
      <w:r>
        <w:t xml:space="preserve"> (Dz. Urz. UE L 160 z 17.06.2016, str. 1). </w:t>
      </w:r>
      <w:r w:rsidRPr="00751274">
        <w:t xml:space="preserve">Należy </w:t>
      </w:r>
      <w:r>
        <w:t xml:space="preserve">zauważyć, że przekazywanie przez firmę inwestycyjną do </w:t>
      </w:r>
      <w:r w:rsidRPr="00751274">
        <w:t>KNF zawiadomie</w:t>
      </w:r>
      <w:r>
        <w:t>ń</w:t>
      </w:r>
      <w:r w:rsidRPr="00751274">
        <w:t xml:space="preserve"> o potencjalnych nadużyciach następuje w specyficznym formacie, tzw. „STOR”, tj. ujednoliconym na poziomie UE formularzu, który nie tylko wydaje się nie odpowiadać standardowi zawiadomienia o podejrzeniu popełnienia przestępstwa, ale także co ważniejsze, w zdecydowanej większości przypadków może nie zawierać wystarczających i użytecznych dla policji lub prokuratury informacji na temat danego zdarzenia. Wynika to z faktu, że </w:t>
      </w:r>
      <w:r>
        <w:t xml:space="preserve">firma inwestycyjna </w:t>
      </w:r>
      <w:r w:rsidRPr="00751274">
        <w:t>ma możliwość diagnozowania i oceny konkretnego zachowania jedynie w oparciu o dane będące w jej posiadaniu, i wyłącznie w obszarze sameg</w:t>
      </w:r>
      <w:r>
        <w:t xml:space="preserve">o obrotu giełdowego. Tymczasem </w:t>
      </w:r>
      <w:r w:rsidRPr="00751274">
        <w:t xml:space="preserve">KNF, na mocy właściwych przepisów ustawowych, dysponuje dużo szerszym katalogiem środków i narzędzi, umożliwiającym mu weryfikację i uzupełnienie przekazanych przez </w:t>
      </w:r>
      <w:r>
        <w:t xml:space="preserve">firmę inwestycyjną </w:t>
      </w:r>
      <w:r w:rsidRPr="00751274">
        <w:t>informacji. Dzięki posiadanym uprawnieniom i wieloletniemu doświadczeniu w tym zakresie Urząd Komisji</w:t>
      </w:r>
      <w:r>
        <w:t xml:space="preserve"> Nadzoru Finansowego</w:t>
      </w:r>
      <w:r w:rsidRPr="00751274">
        <w:t xml:space="preserve"> dokonuje poszerzonej analizy konkretnego zdarzenia, uwzględniając dane pozyskane zarówno od innych instytucji finansowych i z innych obszarów rynku finansowego, jak też wzajemne powiązania pomiędzy określonymi uczestnikami rynku i określonymi zdarzeniami. UKNF uprawniony jest w szczególności do prowadzenia postępowań wyjaśniających, w efekcie których jest w stanie przekazać prokuraturze niemal kompletny mate</w:t>
      </w:r>
      <w:r>
        <w:t xml:space="preserve">riał dowodowy w danej sprawie. </w:t>
      </w:r>
      <w:r w:rsidRPr="00751274">
        <w:t>Dlatego też</w:t>
      </w:r>
      <w:r>
        <w:t xml:space="preserve"> w ocenie projektodawcy </w:t>
      </w:r>
      <w:r w:rsidRPr="00751274">
        <w:t>wydaje się jak najbardziej celowe i uzasadnione utrzymanie w tym obszarze obecnego modelu działania.</w:t>
      </w:r>
    </w:p>
    <w:p w14:paraId="237FF1B2" w14:textId="3EFF36D3" w:rsidR="009B2CB8" w:rsidRPr="009B2CB8" w:rsidRDefault="009B2CB8" w:rsidP="009B2CB8">
      <w:pPr>
        <w:pStyle w:val="NIEARTTEKSTtekstnieartykuowanynppodstprawnarozplubpreambua"/>
      </w:pPr>
      <w:r>
        <w:t>Natomiast u</w:t>
      </w:r>
      <w:r w:rsidRPr="009B2CB8">
        <w:t xml:space="preserve">zasadnieniem dla proponowanych </w:t>
      </w:r>
      <w:r>
        <w:t>ust. 17 i 18</w:t>
      </w:r>
      <w:r w:rsidRPr="009B2CB8">
        <w:t xml:space="preserve"> jest potrzeba uwzględnienia w treści projektu regulacji odnoszących się do produktów energetycznych, w tym zapobiegających niepożądanym zachowaniom uczestników rynku, wynikających z rozporządzenia Parlamentu Europejskiego i Rady nr 1227/2011 z dnia 25 października 2011 r. w sprawie integralności i przejrzystości hurtowego rynku energii (Dz. Urz. UE L 326 z </w:t>
      </w:r>
      <w:r w:rsidR="00FE649F">
        <w:t>0</w:t>
      </w:r>
      <w:r w:rsidRPr="009B2CB8">
        <w:t>8.12.2011, str. 1), zwanego dalej: „rozporządzeniem 1227/2011”.</w:t>
      </w:r>
    </w:p>
    <w:p w14:paraId="7E67FEE5" w14:textId="5FE7210E" w:rsidR="009B2CB8" w:rsidRPr="009B2CB8" w:rsidRDefault="009B2CB8" w:rsidP="009B2CB8">
      <w:pPr>
        <w:pStyle w:val="NIEARTTEKSTtekstnieartykuowanynppodstprawnarozplubpreambua"/>
      </w:pPr>
      <w:r w:rsidRPr="009B2CB8">
        <w:t>Zgodnie z art. 2 ust. 1 p</w:t>
      </w:r>
      <w:r>
        <w:t>kt 2 lit. e</w:t>
      </w:r>
      <w:r w:rsidRPr="009B2CB8">
        <w:t xml:space="preserve"> ustawy o obrocie instrumentami finansowymi – instrumentami finansowymi, w rozumieniu ustawy, są nie będące papierami wartościowymi opcje, kontrakty terminowe, swapy oraz inne instrumenty pochodne, których instrumentem bazowym jest towar i które mogą być wykonane przez dostawę</w:t>
      </w:r>
      <w:r w:rsidR="00FE649F">
        <w:t>,</w:t>
      </w:r>
      <w:r w:rsidRPr="009B2CB8">
        <w:t xml:space="preserve"> pod warunkiem, że są dopuszczone do obrotu w systemie obrotu instrumentami finansowymi, z wyłączeniem produktów energetycznych będących przedmiotem obrotu hurtowego na OTF, które muszą być wykonywane przez dostawę.</w:t>
      </w:r>
    </w:p>
    <w:p w14:paraId="76AA9119" w14:textId="77777777" w:rsidR="009B2CB8" w:rsidRPr="009B2CB8" w:rsidRDefault="009B2CB8" w:rsidP="009B2CB8">
      <w:pPr>
        <w:pStyle w:val="NIEARTTEKSTtekstnieartykuowanynppodstprawnarozplubpreambua"/>
      </w:pPr>
      <w:r w:rsidRPr="009B2CB8">
        <w:t>Stosownie do art. 2 ust. 5 tej ustawy przez produkt energetyczny będący przedmiotem obrotu hurtowego, o kt</w:t>
      </w:r>
      <w:r>
        <w:t>órym mowa w ust. 1 pkt 2 lit. e</w:t>
      </w:r>
      <w:r w:rsidRPr="009B2CB8">
        <w:t xml:space="preserve">, rozumie się produkt, o którym mowa w art. 2 pkt 4 rozporządzenia 1227/2011. Zgodnie natomiast z art. 2 ust. 6 </w:t>
      </w:r>
      <w:r>
        <w:t>ustawy</w:t>
      </w:r>
      <w:r w:rsidRPr="009B2CB8">
        <w:t>, przez produkt energetyczny będący przedmiotem obrotu hurtowego, który musi być wykonywany przez dostawę, o którym mowa w ust. 1 pkt 2 lit. e rozumie się produkt spełniający kryteria, o których mowa w art. 5 rozporządzenia 2017/565. Natomiast, stosownie do ust. 7 tego artykułu produkty, o któ</w:t>
      </w:r>
      <w:r>
        <w:t>rych mowa w art. 2 pkt 4 lit. b i d</w:t>
      </w:r>
      <w:r w:rsidRPr="009B2CB8">
        <w:t xml:space="preserve"> rozporządzenia 1227/2011, są instrumentami pochodnymi, jeżeli spełniają warunki </w:t>
      </w:r>
      <w:r>
        <w:t>określone w ust. 1 pkt 2 lit. e, f lub i, chyba</w:t>
      </w:r>
      <w:r w:rsidRPr="009B2CB8">
        <w:t xml:space="preserve"> że są przedmiotem obrotu hurtowego na OTF i muszą być wykonywane przez dostawę.</w:t>
      </w:r>
    </w:p>
    <w:p w14:paraId="088D5A4E" w14:textId="77777777" w:rsidR="009B2CB8" w:rsidRPr="009B2CB8" w:rsidRDefault="009B2CB8" w:rsidP="009B2CB8">
      <w:pPr>
        <w:pStyle w:val="NIEARTTEKSTtekstnieartykuowanynppodstprawnarozplubpreambua"/>
      </w:pPr>
      <w:r w:rsidRPr="009B2CB8">
        <w:t xml:space="preserve">Z powyższego wynika, że z zakresu definicji instrumentu finansowego określonego w ustawie o obrocie instrumentami finansowymi wyłączone są produkty energetyczne sprzedawane w obrocie hurtowym stanowiące przedmiot obrotu na </w:t>
      </w:r>
      <w:r>
        <w:t>OTF</w:t>
      </w:r>
      <w:r w:rsidRPr="009B2CB8">
        <w:t>, które muszą być wykonywane przez dostawę.</w:t>
      </w:r>
    </w:p>
    <w:p w14:paraId="31CE1D4E" w14:textId="77777777" w:rsidR="009B2CB8" w:rsidRPr="009B2CB8" w:rsidRDefault="009B2CB8" w:rsidP="009B2CB8">
      <w:pPr>
        <w:pStyle w:val="NIEARTTEKSTtekstnieartykuowanynppodstprawnarozplubpreambua"/>
      </w:pPr>
      <w:r w:rsidRPr="009B2CB8">
        <w:t>Niemniej jednak, zgodnie z art. 3 pkt 10b ustawy o obrocie instrumentami finansowymi, OTF oznacza zorganizowaną platformę obrotu, przez którą rozumie się wielostronny system kojarzący w sposób uznaniowy składane przez podmioty trzecie oferty kupna i sprzedaży obligacji, strukturyzowanych produktów finansowych, uprawnień do emisji, instrumentów pochodnych lub produktów energetycznych będących przedmiotem obrotu hurtowego, które muszą być wykonywane przez dostawę, niebędący rynkiem regulowanym ani ASO.</w:t>
      </w:r>
    </w:p>
    <w:p w14:paraId="4B47114D" w14:textId="77777777" w:rsidR="009B2CB8" w:rsidRPr="009B2CB8" w:rsidRDefault="009B2CB8" w:rsidP="009B2CB8">
      <w:pPr>
        <w:pStyle w:val="NIEARTTEKSTtekstnieartykuowanynppodstprawnarozplubpreambua"/>
      </w:pPr>
      <w:r w:rsidRPr="009B2CB8">
        <w:t>Z kolei w myśl art. 2 pkt 7 rozporządzenia 1227/2011, uczestnikiem rynku jest każda osoba, w tym operator systemu przesyłowego, która zawiera transakcje, obejmujące składanie zleceń, na co najmniej jednym hurtowym rynku energii. Natomiast „hurtowy rynek energii elektrycznej” oznacza każdy rynek w obrębie UE, na którym prowadzony jest obrót produktami energetycznymi sprzedawanymi w obrocie hurtowym (art. 2 pkt 6 rozporządzenia 1227/2011).</w:t>
      </w:r>
    </w:p>
    <w:p w14:paraId="006F9A42" w14:textId="77777777" w:rsidR="009B2CB8" w:rsidRPr="006E505A" w:rsidRDefault="009B2CB8" w:rsidP="009B2CB8">
      <w:pPr>
        <w:pStyle w:val="NIEARTTEKSTtekstnieartykuowanynppodstprawnarozplubpreambua"/>
      </w:pPr>
      <w:r w:rsidRPr="009B2CB8">
        <w:t>Jak wynika z powyższego, rynek hurtowy, o którym art. 2 pkt 6 rozporządzenia 1227/2011 obejmuje także OTF, w zakresie obrotu produktami energetycznymi będącymi przedmiotem obrotu hurtowego, które muszą być wykonywane przez dostawę. Zatem do manipulacji na rynku lub wykorzystywania informacji wewnętrznej, o których mowa w rozporządzeniu 1227/2011 może doc</w:t>
      </w:r>
      <w:r>
        <w:t xml:space="preserve">hodzić także na platformie OTF. </w:t>
      </w:r>
      <w:r w:rsidRPr="009B2CB8">
        <w:t>Wobec powyższego</w:t>
      </w:r>
      <w:r>
        <w:t>, projektowane ust. 17 i 18 odnoszą się także do manipulacji na rynku lub prób takich manipulacji, o których mowa w rozporządzeniu 1227/2011</w:t>
      </w:r>
      <w:r w:rsidRPr="009B2CB8">
        <w:t>.</w:t>
      </w:r>
    </w:p>
    <w:p w14:paraId="547D7CF0" w14:textId="77777777" w:rsidR="007F388C" w:rsidRDefault="007F388C" w:rsidP="007F388C">
      <w:pPr>
        <w:pStyle w:val="ARTartustawynprozporzdzenia"/>
      </w:pPr>
      <w:r w:rsidRPr="00BF2F19">
        <w:t xml:space="preserve">Celem zmiany wprowadzanej w </w:t>
      </w:r>
      <w:r w:rsidR="00355A96">
        <w:rPr>
          <w:rStyle w:val="Ppogrubienie"/>
        </w:rPr>
        <w:t>art. 13</w:t>
      </w:r>
      <w:r w:rsidR="003F452B">
        <w:rPr>
          <w:rStyle w:val="Ppogrubienie"/>
        </w:rPr>
        <w:t xml:space="preserve"> pkt 2</w:t>
      </w:r>
      <w:r w:rsidR="00EF05EC">
        <w:rPr>
          <w:rStyle w:val="Ppogrubienie"/>
        </w:rPr>
        <w:t>9</w:t>
      </w:r>
      <w:r w:rsidRPr="00BF2F19">
        <w:t xml:space="preserve"> jest wyeliminowanie rozbieżności interpretacyjnych polegających na wątpliwości, czy firma inwestycyjna może być agentem innej firmy inwestycyjnej bez wpisania na listę agentów firm inwestycyjnych, o której mowa w art. 79 ust. 8 ustawy o obrocie instrumentami finansowymi. W dotychczasowym brzmieniu przepis ten może błędnie sugerować, że firma inwestycyjna może być agentem innej firmy inwestycyjnej bez wpisu na tę listę. Taka praktyka byłaby niedopuszczalna z nadzorczego punktu widzenia, a ponadto stałaby w sprzeczności z celem art. 79 ust. 2 ustawy o obrocie instrumentami finansowymi.</w:t>
      </w:r>
    </w:p>
    <w:p w14:paraId="6D2EEE69" w14:textId="5CDA5282" w:rsidR="00EF05EC" w:rsidRDefault="00D91D6E" w:rsidP="007F388C">
      <w:pPr>
        <w:pStyle w:val="ARTartustawynprozporzdzenia"/>
      </w:pPr>
      <w:r>
        <w:t xml:space="preserve">Związana z tym problemem zmiana przewidziana jest także w </w:t>
      </w:r>
      <w:r w:rsidRPr="00D91D6E">
        <w:rPr>
          <w:rStyle w:val="Ppogrubienie"/>
        </w:rPr>
        <w:t>a</w:t>
      </w:r>
      <w:r w:rsidR="00EF05EC" w:rsidRPr="00D91D6E">
        <w:rPr>
          <w:rStyle w:val="Ppogrubienie"/>
        </w:rPr>
        <w:t>rt. 13 pkt 30</w:t>
      </w:r>
      <w:r>
        <w:rPr>
          <w:rStyle w:val="Ppogrubienie"/>
        </w:rPr>
        <w:t xml:space="preserve"> lit. a</w:t>
      </w:r>
      <w:r>
        <w:t xml:space="preserve">. Zgodnie z propozycją, firma inwestycyjna nie będzie musiała przedstawiać opinii o doświadczeniu swojego agenta </w:t>
      </w:r>
      <w:r w:rsidRPr="00D91D6E">
        <w:t>w zakresie obrotu instrumentami finansowymi</w:t>
      </w:r>
      <w:r>
        <w:t xml:space="preserve"> w przypadku, gdy takim agentem będzie inna firma inwestycyjna. Podmioty te są bowiem profesjonalnymi podmiotami zajmującymi się obrotem instrumentami finansowymi i oczywistym jest, że posiadają one odpowiednie doświadczenie w tym zakresie.</w:t>
      </w:r>
    </w:p>
    <w:p w14:paraId="3E9C1CD1" w14:textId="26090A46" w:rsidR="00D91D6E" w:rsidRDefault="00D91D6E" w:rsidP="007F388C">
      <w:pPr>
        <w:pStyle w:val="ARTartustawynprozporzdzenia"/>
      </w:pPr>
      <w:r w:rsidRPr="00D91D6E">
        <w:rPr>
          <w:rStyle w:val="Ppogrubienie"/>
        </w:rPr>
        <w:t>Lit. b</w:t>
      </w:r>
      <w:r>
        <w:t xml:space="preserve"> usuwa publikator ustawy z dnia </w:t>
      </w:r>
      <w:r w:rsidRPr="00D91D6E">
        <w:t>30 czerwca 2000 r. – Prawo własności przemysłowej</w:t>
      </w:r>
      <w:r>
        <w:t xml:space="preserve"> (</w:t>
      </w:r>
      <w:r w:rsidRPr="00D91D6E">
        <w:t>Dz. U. z 2017 r. poz. 776</w:t>
      </w:r>
      <w:r>
        <w:t>, z późn. zm.), który pojawia się we wcześniejszym miejscu ustawy, w jednym z dodawanych przepisów.</w:t>
      </w:r>
    </w:p>
    <w:p w14:paraId="3C7D14AD" w14:textId="70231CB9" w:rsidR="003F452B" w:rsidRDefault="003F452B" w:rsidP="007F388C">
      <w:pPr>
        <w:pStyle w:val="ARTartustawynprozporzdzenia"/>
      </w:pPr>
      <w:r w:rsidRPr="003F452B">
        <w:t xml:space="preserve">Projektowane </w:t>
      </w:r>
      <w:r>
        <w:t xml:space="preserve">w </w:t>
      </w:r>
      <w:r w:rsidR="006D4778">
        <w:rPr>
          <w:rStyle w:val="Ppogrubienie"/>
        </w:rPr>
        <w:t xml:space="preserve">art. 13 pkt </w:t>
      </w:r>
      <w:r w:rsidR="00EF05EC">
        <w:rPr>
          <w:rStyle w:val="Ppogrubienie"/>
        </w:rPr>
        <w:t>31</w:t>
      </w:r>
      <w:r w:rsidRPr="003F452B">
        <w:rPr>
          <w:rStyle w:val="Ppogrubienie"/>
        </w:rPr>
        <w:t xml:space="preserve"> projektu ustawy</w:t>
      </w:r>
      <w:r>
        <w:t xml:space="preserve"> </w:t>
      </w:r>
      <w:r w:rsidRPr="003F452B">
        <w:t xml:space="preserve">zmiany w art. 83a ustawy o obrocie instrumentami finansowymi mają na celu doprecyzowanie przepisów dotyczących nagrywania rozmów telefonicznych z klientami prowadzonych w związku z wykonywaniem usług maklerskich. Jednocześnie w związku z uprawnieniem wynikających z art. 16 ust.7 dyrektywy </w:t>
      </w:r>
      <w:r>
        <w:t>2014/65/UE</w:t>
      </w:r>
      <w:r w:rsidRPr="003F452B">
        <w:t xml:space="preserve"> przewidziano objęcie obowiązkiem nagrywania rozmów telefonicznych oraz rozmów przeprowadzanych w obecności klienta także w </w:t>
      </w:r>
      <w:r>
        <w:t xml:space="preserve">zakresie </w:t>
      </w:r>
      <w:r w:rsidRPr="003F452B">
        <w:t>usług, o których mowa w art. 69 ust. 2 pkt 4 i 5 ustawy o obrocie instrumentami finansowymi, tj. zarządzania portfelami instrumentów finansowych oraz doradztwa inwestycyjnego. Nie jest bowiem zasadne różnicowanie sytuacji klientów korzystających z usług przyjmowania i przekazywania oraz wykonywania zleceń od sytuacji klientów, dla których świadczone są usługi zarządzania portfelem instrumentów finansowych i doradztwa inwestycyjnego.</w:t>
      </w:r>
      <w:r>
        <w:t xml:space="preserve"> Nie</w:t>
      </w:r>
      <w:r w:rsidRPr="003F452B">
        <w:t xml:space="preserve">rzadko bowiem możliwość odtworzenia rozmów z klientem detalicznym jest dla tego klienta jedynym źródłem dowodowym w przypadku wprowadzenia go w błąd (tzw. </w:t>
      </w:r>
      <w:r w:rsidRPr="003F452B">
        <w:rPr>
          <w:rStyle w:val="Kkursywa"/>
        </w:rPr>
        <w:t>misselingu</w:t>
      </w:r>
      <w:r w:rsidRPr="003F452B">
        <w:t xml:space="preserve">). Dodatkowo, w związku w rozszerzeniem obowiązków w zakresie nagrywania rozmów telefonicznych oraz rozmów w bezpośredniej obecności klienta usług zarządzania portfelem instrumentów finansowych i doradztwa uregulowano zasady na jakich takie nagrania są wykonywane poprzez wskazanie wprost na zasady wynikające z przepisów rozporządzenia </w:t>
      </w:r>
      <w:r>
        <w:t xml:space="preserve">delegowanego Komisji (UE) </w:t>
      </w:r>
      <w:r w:rsidRPr="003F452B">
        <w:t>2017/565</w:t>
      </w:r>
      <w:r>
        <w:t xml:space="preserve"> z dnia 25 kwietnia 2016 r. </w:t>
      </w:r>
      <w:r w:rsidRPr="003F452B">
        <w:t>uzupełniające</w:t>
      </w:r>
      <w:r>
        <w:t>go</w:t>
      </w:r>
      <w:r w:rsidRPr="003F452B">
        <w:t xml:space="preserve"> dyrektywę Parlamentu Europejskiego i Rady 2014/65/UE w odniesieniu do wymogów organizacyjnych i warunków prowadzenia działalności przez firmy inwestycyjne oraz pojęć zdefiniowanych na potrzeby tej dyrektywy</w:t>
      </w:r>
      <w:r>
        <w:t xml:space="preserve"> (Dz. Urz. UE L 87 z 31.03.2017, str. 1</w:t>
      </w:r>
      <w:r w:rsidR="002955C0">
        <w:t>, z późn. zm.</w:t>
      </w:r>
      <w:r>
        <w:t>)</w:t>
      </w:r>
      <w:r w:rsidRPr="003F452B">
        <w:t>. W celach porządkowych doprecyzowano również, że firma inwestycyjna oznacza datę i dokładny czas sporządzania, przekazania lub otrzymania informacji, o których mowa w ust. 4 i 4a, w przypadku, gdy dane te nie są zawarte w ich treści.</w:t>
      </w:r>
      <w:r w:rsidR="00C55A4D">
        <w:t xml:space="preserve"> Ust. 4g przewiduje natomiast, że pracownicy firmy inwestycyjnej nie będą mogli używać swoich własnych urządzeń do prowadzenia rozmów lub korespondencji z klientami, chyba że za pośrednictwem tych prywatnych urządzeń będzie możliwe rejestrowanie rozmów i korespondencji. Przepis ten służy wzmocnieniu ochrony klientów firm inwestycyjnych poprzez wyeliminowanie sytuacji, w których ustalenia z klientem nie zostaną zarejestrowane.</w:t>
      </w:r>
    </w:p>
    <w:p w14:paraId="258F054B" w14:textId="77777777" w:rsidR="006E505A" w:rsidRDefault="00355A96" w:rsidP="007F388C">
      <w:pPr>
        <w:pStyle w:val="ARTartustawynprozporzdzenia"/>
      </w:pPr>
      <w:r>
        <w:rPr>
          <w:rStyle w:val="Ppogrubienie"/>
        </w:rPr>
        <w:t>Art. 13</w:t>
      </w:r>
      <w:r w:rsidR="003F452B">
        <w:rPr>
          <w:rStyle w:val="Ppogrubienie"/>
        </w:rPr>
        <w:t xml:space="preserve"> pkt </w:t>
      </w:r>
      <w:r w:rsidR="00EF05EC">
        <w:rPr>
          <w:rStyle w:val="Ppogrubienie"/>
        </w:rPr>
        <w:t>32</w:t>
      </w:r>
      <w:r w:rsidR="006E505A">
        <w:t xml:space="preserve"> zastępuje występujące w art. 106 ust. 9 ustawy o obrocie instrumentami finansowymi pojęcie umowy o subemisję inwestycyjną pojęciem umowy o gwarancję</w:t>
      </w:r>
      <w:r w:rsidR="00EC044C">
        <w:t xml:space="preserve"> emisji</w:t>
      </w:r>
      <w:r w:rsidR="006E505A">
        <w:t>.</w:t>
      </w:r>
    </w:p>
    <w:p w14:paraId="7ACADCEB" w14:textId="19ABCC97" w:rsidR="00B54ED8" w:rsidRDefault="00B54ED8" w:rsidP="007F388C">
      <w:pPr>
        <w:pStyle w:val="ARTartustawynprozporzdzenia"/>
      </w:pPr>
      <w:r>
        <w:t xml:space="preserve">Zmiany przewidziane w </w:t>
      </w:r>
      <w:r w:rsidR="006D4778">
        <w:rPr>
          <w:rStyle w:val="Ppogrubienie"/>
        </w:rPr>
        <w:t xml:space="preserve">art. 13 pkt </w:t>
      </w:r>
      <w:r w:rsidR="00EF05EC">
        <w:rPr>
          <w:rStyle w:val="Ppogrubienie"/>
        </w:rPr>
        <w:t>33</w:t>
      </w:r>
      <w:r w:rsidRPr="00B54ED8">
        <w:rPr>
          <w:rStyle w:val="Ppogrubienie"/>
        </w:rPr>
        <w:t xml:space="preserve"> i </w:t>
      </w:r>
      <w:r w:rsidR="00F55CB4">
        <w:rPr>
          <w:rStyle w:val="Ppogrubienie"/>
        </w:rPr>
        <w:t xml:space="preserve">pkt </w:t>
      </w:r>
      <w:r w:rsidR="00EF05EC">
        <w:rPr>
          <w:rStyle w:val="Ppogrubienie"/>
        </w:rPr>
        <w:t>34</w:t>
      </w:r>
      <w:r w:rsidR="00F55CB4">
        <w:rPr>
          <w:rStyle w:val="Ppogrubienie"/>
        </w:rPr>
        <w:t xml:space="preserve"> lit. a</w:t>
      </w:r>
      <w:r>
        <w:t xml:space="preserve"> zapewniają k</w:t>
      </w:r>
      <w:r w:rsidRPr="00B54ED8">
        <w:t xml:space="preserve">ompletność wdrożenia przepisu art. 73 ust. 2 dyrektywy </w:t>
      </w:r>
      <w:r>
        <w:t>2014/65/UE.</w:t>
      </w:r>
      <w:r w:rsidRPr="00B54ED8">
        <w:t xml:space="preserve"> </w:t>
      </w:r>
      <w:r>
        <w:t>Określają one w</w:t>
      </w:r>
      <w:r w:rsidRPr="00B54ED8">
        <w:t xml:space="preserve">ymóg odpowiedniego stosowania </w:t>
      </w:r>
      <w:r>
        <w:t xml:space="preserve">art. 25e ustawy o obrocie instrumentami finansowymi, </w:t>
      </w:r>
      <w:r w:rsidRPr="00B54ED8">
        <w:t>wprowadzony w art. 114 ust. 1 ustawy względem banków prowadzących działalność maklerską oraz w art. 115 ust. 5a ustawy względem zagranicznych osób prawnych, prowadzących na terytorium Rzeczypospolitej Polskiej działalność maklerską.</w:t>
      </w:r>
    </w:p>
    <w:p w14:paraId="6ED47067" w14:textId="10B3F9C3" w:rsidR="00F55CB4" w:rsidRPr="00BF2F19" w:rsidRDefault="00F55CB4" w:rsidP="00F55CB4">
      <w:pPr>
        <w:pStyle w:val="ARTartustawynprozporzdzenia"/>
      </w:pPr>
      <w:r w:rsidRPr="00F55CB4">
        <w:rPr>
          <w:rStyle w:val="Ppogrubienie"/>
        </w:rPr>
        <w:t>Art. 1 pkt 34 lit. b</w:t>
      </w:r>
      <w:r>
        <w:t xml:space="preserve"> </w:t>
      </w:r>
      <w:r w:rsidRPr="00F55CB4">
        <w:t>ma na ce</w:t>
      </w:r>
      <w:r>
        <w:t xml:space="preserve">lu przesądzenie, że zagraniczna </w:t>
      </w:r>
      <w:r w:rsidRPr="00F55CB4">
        <w:t>osoba prawna nieprowadząca działalności maklerskiej na terytorium Rzeczypospolitej</w:t>
      </w:r>
      <w:r>
        <w:t xml:space="preserve"> </w:t>
      </w:r>
      <w:r w:rsidRPr="00F55CB4">
        <w:t>Polskiej, o której mowa w art. 31 ust. 1 pkt 2a, po wpisaniu jej do rejestru</w:t>
      </w:r>
      <w:r>
        <w:t xml:space="preserve"> </w:t>
      </w:r>
      <w:r w:rsidRPr="00F55CB4">
        <w:t xml:space="preserve">ESMA wskazanego w art. 48 </w:t>
      </w:r>
      <w:r w:rsidR="005A0630">
        <w:t>r</w:t>
      </w:r>
      <w:r w:rsidR="005A0630" w:rsidRPr="00F55CB4">
        <w:t xml:space="preserve">ozporządzenia </w:t>
      </w:r>
      <w:r>
        <w:t>600/2014</w:t>
      </w:r>
      <w:r w:rsidRPr="00F55CB4">
        <w:t xml:space="preserve"> będzie mogła nadal prowadzić</w:t>
      </w:r>
      <w:r>
        <w:t xml:space="preserve"> </w:t>
      </w:r>
      <w:r w:rsidRPr="00F55CB4">
        <w:t>działalność w zakresie, o którym mowa w art. 31 ust. 3b, na rachunek własny lub na rzecz</w:t>
      </w:r>
      <w:r>
        <w:t xml:space="preserve"> </w:t>
      </w:r>
      <w:r w:rsidRPr="00F55CB4">
        <w:t>swoich klientów spoza Unii Europejskiej.</w:t>
      </w:r>
    </w:p>
    <w:p w14:paraId="538A18EF" w14:textId="0D90DF67" w:rsidR="007F388C" w:rsidRDefault="00355A96" w:rsidP="007F388C">
      <w:pPr>
        <w:pStyle w:val="ARTartustawynprozporzdzenia"/>
      </w:pPr>
      <w:r>
        <w:rPr>
          <w:rStyle w:val="Ppogrubienie"/>
        </w:rPr>
        <w:t>Art. 13</w:t>
      </w:r>
      <w:r w:rsidR="006D4778">
        <w:rPr>
          <w:rStyle w:val="Ppogrubienie"/>
        </w:rPr>
        <w:t xml:space="preserve"> pkt </w:t>
      </w:r>
      <w:r w:rsidR="00EF05EC">
        <w:rPr>
          <w:rStyle w:val="Ppogrubienie"/>
        </w:rPr>
        <w:t>35</w:t>
      </w:r>
      <w:r w:rsidR="007F388C" w:rsidRPr="00BF2F19">
        <w:t xml:space="preserve"> naprawia błąd legislacyjny pole</w:t>
      </w:r>
      <w:r w:rsidR="009E36EB" w:rsidRPr="00BF2F19">
        <w:t xml:space="preserve">gający na zniesieniu obowiązku zarejestrowania oddziału zagranicznej firmy inwestycyjnej w Krajowym Rejestrze Sądowym. W związku z wejściem w życie ustawy z dnia 6 marca 2018 r. o zasadach uczestnictwa przedsiębiorców zagranicznych i innych osób zagranicznych w obrocie gospodarczym na terytorium Rzeczypospolitej Polskiej (Dz. U. </w:t>
      </w:r>
      <w:r w:rsidR="004D1977">
        <w:t xml:space="preserve">z 2019 r. </w:t>
      </w:r>
      <w:r w:rsidR="009E36EB" w:rsidRPr="00BF2F19">
        <w:t xml:space="preserve">poz. </w:t>
      </w:r>
      <w:r w:rsidR="004D1977">
        <w:t>1079</w:t>
      </w:r>
      <w:r w:rsidR="009E36EB" w:rsidRPr="00BF2F19">
        <w:t>, z późn. zm.) ustawodawca dokonał stosownej nowelizacji art. 117 ust. 6 ustawy o obrocie instrumentami finansowymi. Przed nowelizacją przepis ten brzmiał: „Do tworzenia i działalności oddziałów zagranicznych nie stosuje się przepisów ustawy z dnia 2 lipca 2004 r. o swobodzie działalności gospodarczej, z wyłączeniem art. 14 tej ustawy.”. Przywoływany przepis art. 14 ustawy o swobodzie działalności gospodarczej nakładał obowiązek zarejestrowania oddziału w Krajowym Rejestrze Sądowym. Odpowiednikiem art. 14 ustawy o swobodzie działalności gospodarczej jest art. 17 ustawy o zasadach uczestnictwa przedsiębiorców zagranicznych i innych osób zagranicznych w obrocie gospodarczym na terytorium Rzeczypospolitej Polskiej, jednak w znowelizowanym przepisie zabrakło do niego odwołania</w:t>
      </w:r>
      <w:r w:rsidR="0087310B" w:rsidRPr="00BF2F19">
        <w:t>. Brak obowiązku zarejestrowania oddziału sprawia, że nie ma oficjalnej informacji o adresie oddziału lub o jego władzach</w:t>
      </w:r>
      <w:r w:rsidR="009E36EB" w:rsidRPr="00BF2F19">
        <w:t>.</w:t>
      </w:r>
      <w:r w:rsidR="0087310B" w:rsidRPr="00BF2F19">
        <w:t xml:space="preserve"> Dodatkowo, dzięki rejestracji w KRS oddział posiadał numer, który jest niezbędny nadzorcy krajowemu choćby na potrzeby raportowania do ESMA. Co więcej, przywołana wyżej ustawa z dnia 6 marca 2018 r. przewiduje generalny obowiązek rejestracji oddziału przedsiębiorcy zagranicznego. Brak takiego obowiązku względem oddziału firmy inwestycyjnej należy więc uznać za błąd ustawodawcy wymagający jak najszybszej naprawy.</w:t>
      </w:r>
    </w:p>
    <w:p w14:paraId="73EB6283" w14:textId="0B2386C0" w:rsidR="00EF05EC" w:rsidRDefault="00F55CB4" w:rsidP="00F55CB4">
      <w:pPr>
        <w:pStyle w:val="ARTartustawynprozporzdzenia"/>
      </w:pPr>
      <w:r>
        <w:t xml:space="preserve">Zmiany proponowane w </w:t>
      </w:r>
      <w:r w:rsidRPr="00F55CB4">
        <w:rPr>
          <w:rStyle w:val="Ppogrubienie"/>
        </w:rPr>
        <w:t>a</w:t>
      </w:r>
      <w:r w:rsidR="00EF05EC" w:rsidRPr="00F55CB4">
        <w:rPr>
          <w:rStyle w:val="Ppogrubienie"/>
        </w:rPr>
        <w:t>rt. 13 pkt 36</w:t>
      </w:r>
      <w:r>
        <w:t xml:space="preserve"> </w:t>
      </w:r>
      <w:r w:rsidRPr="00F55CB4">
        <w:t>wynikają z konieczności dostosowania przepisów dotyczących</w:t>
      </w:r>
      <w:r>
        <w:t xml:space="preserve"> </w:t>
      </w:r>
      <w:r w:rsidRPr="00F55CB4">
        <w:t>działalności banków powierniczych w związku z poszerzeniem katalogu podmiotów</w:t>
      </w:r>
      <w:r>
        <w:t xml:space="preserve"> </w:t>
      </w:r>
      <w:r w:rsidRPr="00F55CB4">
        <w:t>mogących być stroną transakcji na rynku regulowanym o zagraniczne osoby prawne</w:t>
      </w:r>
      <w:r>
        <w:t xml:space="preserve"> </w:t>
      </w:r>
      <w:r w:rsidRPr="00F55CB4">
        <w:t>nieprowadzące działalności maklerskiej na terytorium Rzeczypospolitej Polskiej, o których</w:t>
      </w:r>
      <w:r>
        <w:t xml:space="preserve"> mowa w art. 31 ust. 1 pkt 2a u</w:t>
      </w:r>
      <w:r w:rsidRPr="00F55CB4">
        <w:t>stawy</w:t>
      </w:r>
      <w:r>
        <w:t xml:space="preserve"> o obrocie instrumentami finansowymi</w:t>
      </w:r>
      <w:r w:rsidRPr="00F55CB4">
        <w:t>.</w:t>
      </w:r>
    </w:p>
    <w:p w14:paraId="282F25B1" w14:textId="77777777" w:rsidR="00B54ED8" w:rsidRDefault="00B54ED8" w:rsidP="00B54ED8">
      <w:pPr>
        <w:pStyle w:val="ARTartustawynprozporzdzenia"/>
      </w:pPr>
      <w:r w:rsidRPr="00B54ED8">
        <w:rPr>
          <w:rStyle w:val="Ppogrubienie"/>
        </w:rPr>
        <w:t xml:space="preserve">Art. 13 pkt </w:t>
      </w:r>
      <w:r w:rsidR="00EF05EC">
        <w:rPr>
          <w:rStyle w:val="Ppogrubienie"/>
        </w:rPr>
        <w:t>37</w:t>
      </w:r>
      <w:r w:rsidRPr="00B54ED8">
        <w:t xml:space="preserve"> wprowadza zmiany redakcyjne w art. </w:t>
      </w:r>
      <w:r>
        <w:t>123</w:t>
      </w:r>
      <w:r w:rsidRPr="00B54ED8">
        <w:t xml:space="preserve"> ustawy o obrocie instrumentami finansowymi, spowodowane koniecznością dokonania korekty odesłań w związku ze zmianami w art. 83a tej ustawy.</w:t>
      </w:r>
    </w:p>
    <w:p w14:paraId="33C5B292" w14:textId="46B03A20" w:rsidR="00EF05EC" w:rsidRPr="00BF2F19" w:rsidRDefault="00EF05EC" w:rsidP="00B54ED8">
      <w:pPr>
        <w:pStyle w:val="ARTartustawynprozporzdzenia"/>
      </w:pPr>
      <w:r w:rsidRPr="0006463F">
        <w:rPr>
          <w:rStyle w:val="Ppogrubienie"/>
        </w:rPr>
        <w:t>Art. 13 pkt 38</w:t>
      </w:r>
      <w:r w:rsidR="00F55CB4">
        <w:t xml:space="preserve"> wprowadza wymóg przedłożenia przez członków zarządu i rady nadzorczej podmiotu świadczącego usługi w zakresie udostępniania informacji o transakcjach </w:t>
      </w:r>
      <w:r w:rsidR="0006463F">
        <w:t xml:space="preserve">oświadczenia, że </w:t>
      </w:r>
      <w:r w:rsidR="0006463F" w:rsidRPr="0006463F">
        <w:t xml:space="preserve">nie byli uznani prawomocnym orzeczeniem za </w:t>
      </w:r>
      <w:r w:rsidR="0006463F">
        <w:t>winnych popełnienia przestępstw wskazanych w tym przepisie. Wiąże się to z wymogiem niekaralności wprowadzanym na mocy art. 131f ust. 2a ustawy o obrocie instrumentami finansowymi.</w:t>
      </w:r>
    </w:p>
    <w:p w14:paraId="42605884" w14:textId="7614AB5F" w:rsidR="0087310B" w:rsidRDefault="00355A96" w:rsidP="007F388C">
      <w:pPr>
        <w:pStyle w:val="ARTartustawynprozporzdzenia"/>
      </w:pPr>
      <w:r>
        <w:rPr>
          <w:rStyle w:val="Ppogrubienie"/>
        </w:rPr>
        <w:t>Art. 13</w:t>
      </w:r>
      <w:r w:rsidR="006D4778">
        <w:rPr>
          <w:rStyle w:val="Ppogrubienie"/>
        </w:rPr>
        <w:t xml:space="preserve"> pkt </w:t>
      </w:r>
      <w:r w:rsidR="00EF05EC">
        <w:rPr>
          <w:rStyle w:val="Ppogrubienie"/>
        </w:rPr>
        <w:t>3</w:t>
      </w:r>
      <w:r w:rsidR="00F1262F">
        <w:rPr>
          <w:rStyle w:val="Ppogrubienie"/>
        </w:rPr>
        <w:t>9</w:t>
      </w:r>
      <w:r w:rsidR="0087310B" w:rsidRPr="00BF2F19">
        <w:t xml:space="preserve"> </w:t>
      </w:r>
      <w:r w:rsidR="00C10D2C" w:rsidRPr="00BF2F19">
        <w:rPr>
          <w:rStyle w:val="Ppogrubienie"/>
        </w:rPr>
        <w:t>lit. a i b</w:t>
      </w:r>
      <w:r w:rsidR="00C10D2C" w:rsidRPr="00BF2F19">
        <w:t xml:space="preserve"> </w:t>
      </w:r>
      <w:r w:rsidR="0087310B" w:rsidRPr="00BF2F19">
        <w:t>ma</w:t>
      </w:r>
      <w:r w:rsidR="00F1262F">
        <w:t>ją</w:t>
      </w:r>
      <w:r w:rsidR="0087310B" w:rsidRPr="00BF2F19">
        <w:t xml:space="preserve"> cel analogiczny do art. </w:t>
      </w:r>
      <w:r w:rsidR="00AA3FAB" w:rsidRPr="00BF2F19">
        <w:t>1</w:t>
      </w:r>
      <w:r w:rsidR="00AA3FAB">
        <w:t>3</w:t>
      </w:r>
      <w:r w:rsidR="00AA3FAB" w:rsidRPr="00BF2F19">
        <w:t xml:space="preserve"> </w:t>
      </w:r>
      <w:r w:rsidR="00C10D2C" w:rsidRPr="00BF2F19">
        <w:t xml:space="preserve">pkt </w:t>
      </w:r>
      <w:r w:rsidR="00AA3FAB">
        <w:t>15</w:t>
      </w:r>
      <w:r w:rsidR="00C10D2C" w:rsidRPr="00BF2F19">
        <w:t>, poprzez</w:t>
      </w:r>
      <w:r w:rsidR="0087310B" w:rsidRPr="00BF2F19">
        <w:t xml:space="preserve"> </w:t>
      </w:r>
      <w:r w:rsidR="00C10D2C" w:rsidRPr="00BF2F19">
        <w:t xml:space="preserve">zmianę brzmienia art. 131f, tak aby zawrzeć w nim wymogi analogiczne jak te wprowadzane dla członków zarządu i rady nadzorczej spółki prowadzącej rynek regulowany. </w:t>
      </w:r>
      <w:r w:rsidR="00C10D2C" w:rsidRPr="00BF2F19">
        <w:rPr>
          <w:rStyle w:val="Ppogrubienie"/>
        </w:rPr>
        <w:t>Lit. c</w:t>
      </w:r>
      <w:r w:rsidR="00C10D2C" w:rsidRPr="00BF2F19">
        <w:t xml:space="preserve"> </w:t>
      </w:r>
      <w:r w:rsidR="0087310B" w:rsidRPr="00BF2F19">
        <w:t xml:space="preserve">przewiduje </w:t>
      </w:r>
      <w:r w:rsidR="00C10D2C" w:rsidRPr="00BF2F19">
        <w:t xml:space="preserve">natomiast </w:t>
      </w:r>
      <w:r w:rsidR="0087310B" w:rsidRPr="00BF2F19">
        <w:t>zmianę delegacji dla ministra właściwego do spraw instytucji finansowych do wydania rozporządzenia określającego wymagania dla członków zarządu i rady nadzorczej podmiotu świadczącego usługi w zakresie udostępniania informacji o transakcjach</w:t>
      </w:r>
      <w:r w:rsidR="00C10D2C" w:rsidRPr="00BF2F19">
        <w:t>.</w:t>
      </w:r>
    </w:p>
    <w:p w14:paraId="7F212955" w14:textId="66C104E9" w:rsidR="0006463F" w:rsidRPr="0006463F" w:rsidRDefault="0006463F" w:rsidP="0006463F">
      <w:pPr>
        <w:pStyle w:val="ARTartustawynprozporzdzenia"/>
      </w:pPr>
      <w:r w:rsidRPr="0006463F">
        <w:t>Zmiana</w:t>
      </w:r>
      <w:r>
        <w:t xml:space="preserve"> proponowana</w:t>
      </w:r>
      <w:r w:rsidRPr="0006463F">
        <w:t xml:space="preserve"> w </w:t>
      </w:r>
      <w:r w:rsidRPr="0006463F">
        <w:rPr>
          <w:rStyle w:val="Ppogrubienie"/>
        </w:rPr>
        <w:t xml:space="preserve">art. 13 pkt 40 </w:t>
      </w:r>
      <w:r w:rsidRPr="0006463F">
        <w:t>zapewnia systemowi obrotu instrumentami finansowymi</w:t>
      </w:r>
      <w:r>
        <w:t xml:space="preserve"> </w:t>
      </w:r>
      <w:r w:rsidRPr="0006463F">
        <w:t>możliwość przekazywania informacji wymaganych na podstawie art. 26 ust. 5</w:t>
      </w:r>
      <w:r>
        <w:t xml:space="preserve"> </w:t>
      </w:r>
      <w:r w:rsidR="001933AC">
        <w:t>r</w:t>
      </w:r>
      <w:r w:rsidRPr="0006463F">
        <w:t xml:space="preserve">ozporządzenia </w:t>
      </w:r>
      <w:r w:rsidR="001933AC">
        <w:t>600/2014</w:t>
      </w:r>
      <w:r w:rsidRPr="0006463F">
        <w:t xml:space="preserve"> za pośrednictwem zatwierdzonego mechanizmu sprawozdawczego</w:t>
      </w:r>
      <w:r>
        <w:t xml:space="preserve"> </w:t>
      </w:r>
      <w:r w:rsidRPr="0006463F">
        <w:t xml:space="preserve">(ARM). Zgodnie z art. 26 ust. 5 </w:t>
      </w:r>
      <w:r w:rsidR="001933AC">
        <w:t>r</w:t>
      </w:r>
      <w:r w:rsidRPr="0006463F">
        <w:t xml:space="preserve">ozporządzenia </w:t>
      </w:r>
      <w:r w:rsidR="001933AC">
        <w:t>600/2014</w:t>
      </w:r>
      <w:r w:rsidRPr="0006463F">
        <w:t xml:space="preserve"> w przypadku transakcji zawieranych</w:t>
      </w:r>
      <w:r>
        <w:t xml:space="preserve"> </w:t>
      </w:r>
      <w:r w:rsidRPr="0006463F">
        <w:t>w systemie obrotu przez podmioty niebędące firmami inwestycyjnymi lub instytucjami</w:t>
      </w:r>
      <w:r>
        <w:t xml:space="preserve"> </w:t>
      </w:r>
      <w:r w:rsidRPr="0006463F">
        <w:t>kredytowymi, obowiązek przekazywania organowi nadzoru raportów o transakcjach</w:t>
      </w:r>
      <w:r>
        <w:t xml:space="preserve"> </w:t>
      </w:r>
      <w:r w:rsidRPr="0006463F">
        <w:t>spoczywa nie na członku czy uczestniku rynku będącym stroną transakcji giełdowej, lecz</w:t>
      </w:r>
      <w:r>
        <w:t xml:space="preserve"> </w:t>
      </w:r>
      <w:r w:rsidRPr="0006463F">
        <w:t>bezpośrednio na organizatorze danego systemu obrotu. Bez wprowadzenia zmian w art.</w:t>
      </w:r>
      <w:r>
        <w:t xml:space="preserve"> </w:t>
      </w:r>
      <w:r w:rsidR="001933AC">
        <w:t>131j u</w:t>
      </w:r>
      <w:r w:rsidRPr="0006463F">
        <w:t xml:space="preserve">stawy </w:t>
      </w:r>
      <w:r w:rsidR="001933AC">
        <w:t xml:space="preserve">o obrocie instrumentami finansowymi </w:t>
      </w:r>
      <w:r w:rsidRPr="0006463F">
        <w:t>system obrotu, aby dopuścić do działania podmiot z kraju trzeciego musiałby</w:t>
      </w:r>
      <w:r>
        <w:t xml:space="preserve"> </w:t>
      </w:r>
      <w:r w:rsidRPr="0006463F">
        <w:t>tworzyć od podstaw rozwiązanie niezbędne do samodzielnego raportowania transakcji do</w:t>
      </w:r>
      <w:r>
        <w:t xml:space="preserve"> </w:t>
      </w:r>
      <w:r w:rsidR="001933AC">
        <w:t>KNF. Regulacje unijn</w:t>
      </w:r>
      <w:r w:rsidRPr="0006463F">
        <w:t>e ni</w:t>
      </w:r>
      <w:r w:rsidR="001933AC">
        <w:t>e zabraniają wykorzystania ARM</w:t>
      </w:r>
      <w:r w:rsidRPr="0006463F">
        <w:t xml:space="preserve"> w tym celu. Natomiast</w:t>
      </w:r>
      <w:r>
        <w:t xml:space="preserve"> </w:t>
      </w:r>
      <w:r w:rsidRPr="0006463F">
        <w:t>obecne przepisy krajowe,</w:t>
      </w:r>
      <w:r w:rsidR="001933AC">
        <w:t xml:space="preserve"> w szczególności definicja ARM w art. 3 pkt 33c u</w:t>
      </w:r>
      <w:r w:rsidRPr="0006463F">
        <w:t>stawy, mogą</w:t>
      </w:r>
      <w:r>
        <w:t xml:space="preserve"> </w:t>
      </w:r>
      <w:r w:rsidRPr="0006463F">
        <w:t>bez zaproponowanych zmian w prawie stanowić problem przy próbie skorzystania z takiego</w:t>
      </w:r>
      <w:r>
        <w:t xml:space="preserve"> </w:t>
      </w:r>
      <w:r w:rsidRPr="0006463F">
        <w:t>rozwiązania.</w:t>
      </w:r>
    </w:p>
    <w:p w14:paraId="053092C1" w14:textId="11FF44CA" w:rsidR="00EF05EC" w:rsidRDefault="0006463F" w:rsidP="0006463F">
      <w:pPr>
        <w:pStyle w:val="ARTartustawynprozporzdzenia"/>
      </w:pPr>
      <w:r w:rsidRPr="0006463F">
        <w:t xml:space="preserve">Nałożony na organizatora systemu obrotu przez art. 26 ust. 5 </w:t>
      </w:r>
      <w:r w:rsidR="001933AC">
        <w:t>r</w:t>
      </w:r>
      <w:r w:rsidRPr="0006463F">
        <w:t xml:space="preserve">ozporządzenia </w:t>
      </w:r>
      <w:r w:rsidR="001933AC">
        <w:t>600/2014</w:t>
      </w:r>
      <w:r>
        <w:t xml:space="preserve"> </w:t>
      </w:r>
      <w:r w:rsidRPr="0006463F">
        <w:t>obowiązek przekazywania organowi nadzoru raportów o transakcjach zgodnych</w:t>
      </w:r>
      <w:r>
        <w:t xml:space="preserve"> </w:t>
      </w:r>
      <w:r w:rsidR="001933AC">
        <w:t>z art. 26 ust. 1</w:t>
      </w:r>
      <w:r w:rsidRPr="0006463F">
        <w:t xml:space="preserve"> i 3 tego rozporządzenia zapewnia </w:t>
      </w:r>
      <w:r w:rsidR="001933AC">
        <w:t>KNF</w:t>
      </w:r>
      <w:r w:rsidRPr="0006463F">
        <w:t xml:space="preserve"> dostęp do takiego samego zakresu</w:t>
      </w:r>
      <w:r>
        <w:t xml:space="preserve"> </w:t>
      </w:r>
      <w:r w:rsidRPr="0006463F">
        <w:t>informacji o transakcjach zawieranych w tym systemie jakie otrzymuje obecnie od</w:t>
      </w:r>
      <w:r>
        <w:t xml:space="preserve"> </w:t>
      </w:r>
      <w:r w:rsidRPr="0006463F">
        <w:t>krajowych firm inwestycyjnych. W praktyce oznacza to, że organizator obrotu będzie</w:t>
      </w:r>
      <w:r>
        <w:t xml:space="preserve"> </w:t>
      </w:r>
      <w:r w:rsidRPr="0006463F">
        <w:t>musiał na poziomie regulacji danego rynku zobowiązać zagraniczną osobę prawną, o której</w:t>
      </w:r>
      <w:r>
        <w:t xml:space="preserve"> </w:t>
      </w:r>
      <w:r w:rsidR="001933AC">
        <w:t>mowa w</w:t>
      </w:r>
      <w:r w:rsidRPr="0006463F">
        <w:t xml:space="preserve"> art. 31 ust.</w:t>
      </w:r>
      <w:r w:rsidR="001933AC">
        <w:t xml:space="preserve"> </w:t>
      </w:r>
      <w:r w:rsidRPr="0006463F">
        <w:t xml:space="preserve">1 </w:t>
      </w:r>
      <w:r w:rsidR="001933AC">
        <w:t>pkt</w:t>
      </w:r>
      <w:r w:rsidR="001933AC" w:rsidRPr="0006463F">
        <w:t xml:space="preserve"> 2a </w:t>
      </w:r>
      <w:r w:rsidR="001933AC">
        <w:t>u</w:t>
      </w:r>
      <w:r w:rsidRPr="0006463F">
        <w:t>stawy</w:t>
      </w:r>
      <w:r w:rsidR="001933AC">
        <w:t xml:space="preserve"> o obrocie instrumentami finansowymi</w:t>
      </w:r>
      <w:r w:rsidRPr="0006463F">
        <w:t>, posiadającą jednocześnie status</w:t>
      </w:r>
      <w:r>
        <w:t xml:space="preserve"> </w:t>
      </w:r>
      <w:r w:rsidRPr="0006463F">
        <w:t>członka lub uczestnika tego rynku, do dostarczania mu informacji niezbędnych do</w:t>
      </w:r>
      <w:r>
        <w:t xml:space="preserve"> </w:t>
      </w:r>
      <w:r w:rsidRPr="0006463F">
        <w:t>skompletowania raportu o transakcjach zgodnego z rozporządzaniem delegowanym</w:t>
      </w:r>
      <w:r>
        <w:t xml:space="preserve"> </w:t>
      </w:r>
      <w:r w:rsidRPr="0006463F">
        <w:t xml:space="preserve">Komisji (UE) 2017/590 z dnia 28 lipca 2016 r. uzupełniającym </w:t>
      </w:r>
      <w:r w:rsidR="00767CB9">
        <w:t>r</w:t>
      </w:r>
      <w:r w:rsidR="00767CB9" w:rsidRPr="0006463F">
        <w:t xml:space="preserve">ozporządzenie </w:t>
      </w:r>
      <w:r w:rsidRPr="0006463F">
        <w:t>Parlamentu</w:t>
      </w:r>
      <w:r>
        <w:t xml:space="preserve"> </w:t>
      </w:r>
      <w:r w:rsidRPr="0006463F">
        <w:t>Europejskiego i Rady (UE) nr 600/2014 w odniesieniu do regulacyjnych standardów</w:t>
      </w:r>
      <w:r>
        <w:t xml:space="preserve"> </w:t>
      </w:r>
      <w:r w:rsidRPr="0006463F">
        <w:t>technicznych dotyczących zgłaszania transakcji właściwym organom</w:t>
      </w:r>
      <w:r w:rsidR="00767CB9">
        <w:t xml:space="preserve"> (</w:t>
      </w:r>
      <w:r w:rsidR="00767CB9" w:rsidRPr="00767CB9">
        <w:t>Dz.</w:t>
      </w:r>
      <w:r w:rsidR="00767CB9">
        <w:t xml:space="preserve"> </w:t>
      </w:r>
      <w:r w:rsidR="00767CB9" w:rsidRPr="00767CB9">
        <w:t>U</w:t>
      </w:r>
      <w:r w:rsidR="00767CB9">
        <w:t>rz</w:t>
      </w:r>
      <w:r w:rsidR="00767CB9" w:rsidRPr="00767CB9">
        <w:t xml:space="preserve">. </w:t>
      </w:r>
      <w:r w:rsidR="00767CB9">
        <w:t xml:space="preserve">UE </w:t>
      </w:r>
      <w:r w:rsidR="00767CB9" w:rsidRPr="00767CB9">
        <w:t>L 87 z 31.</w:t>
      </w:r>
      <w:r w:rsidR="00767CB9">
        <w:t>0</w:t>
      </w:r>
      <w:r w:rsidR="00767CB9" w:rsidRPr="00767CB9">
        <w:t>3.2017, str. 449</w:t>
      </w:r>
      <w:r w:rsidR="00767CB9">
        <w:t>)</w:t>
      </w:r>
      <w:r w:rsidRPr="0006463F">
        <w:t>. Organizator systemu</w:t>
      </w:r>
      <w:r>
        <w:t xml:space="preserve"> </w:t>
      </w:r>
      <w:r w:rsidRPr="0006463F">
        <w:t>obrotu będzie musiał zatem zapewnić, że zagraniczna osoba prawna dopuszczona do</w:t>
      </w:r>
      <w:r>
        <w:t xml:space="preserve"> </w:t>
      </w:r>
      <w:r w:rsidRPr="0006463F">
        <w:t>działania na rynku dostarczy mu wymagane prawem informacje w formacie i czasie przez</w:t>
      </w:r>
      <w:r>
        <w:t xml:space="preserve"> </w:t>
      </w:r>
      <w:r w:rsidRPr="0006463F">
        <w:t>niego ustalonym, tak by następnie był on w stanie prawidłowo wykonać obowiązek</w:t>
      </w:r>
      <w:r>
        <w:t xml:space="preserve"> </w:t>
      </w:r>
      <w:r w:rsidRPr="0006463F">
        <w:t>raportowania o transakcjach zawieranych przez te podmioty na prowadzonych przez</w:t>
      </w:r>
      <w:r>
        <w:t xml:space="preserve"> </w:t>
      </w:r>
      <w:r w:rsidRPr="0006463F">
        <w:t>siebie rynkach.</w:t>
      </w:r>
    </w:p>
    <w:p w14:paraId="46997E58" w14:textId="51F0041E" w:rsidR="0006463F" w:rsidRDefault="001933AC" w:rsidP="0006463F">
      <w:pPr>
        <w:pStyle w:val="ARTartustawynprozporzdzenia"/>
      </w:pPr>
      <w:r>
        <w:t>Przyjęta w art. 29 u</w:t>
      </w:r>
      <w:r w:rsidR="0006463F" w:rsidRPr="0006463F">
        <w:t xml:space="preserve">stawy </w:t>
      </w:r>
      <w:r>
        <w:t xml:space="preserve">o obrocie instrumentami finansowymi </w:t>
      </w:r>
      <w:r w:rsidR="0006463F" w:rsidRPr="0006463F">
        <w:t>konstrukcja dokonywania zmian w regulaminie rynku</w:t>
      </w:r>
      <w:r w:rsidR="0006463F">
        <w:t xml:space="preserve"> </w:t>
      </w:r>
      <w:r w:rsidR="0006463F" w:rsidRPr="0006463F">
        <w:t xml:space="preserve">regulowanego, zgodnie z którą każda zmiana tego regulaminu wymaga zgody </w:t>
      </w:r>
      <w:r>
        <w:t>KNF</w:t>
      </w:r>
      <w:r w:rsidR="0006463F">
        <w:t xml:space="preserve"> </w:t>
      </w:r>
      <w:r w:rsidR="0006463F" w:rsidRPr="0006463F">
        <w:t>wyrażonej w formie decyzji administracyjnej, daje również organowi nadzoru wpływ na</w:t>
      </w:r>
      <w:r w:rsidR="0006463F">
        <w:t xml:space="preserve"> </w:t>
      </w:r>
      <w:r w:rsidR="0006463F" w:rsidRPr="0006463F">
        <w:t>kształt przyjętych przez organizatora systemu obrotu regulacji i zasad, na jakich firmy z</w:t>
      </w:r>
      <w:r w:rsidR="0006463F">
        <w:t xml:space="preserve"> </w:t>
      </w:r>
      <w:r w:rsidR="0006463F" w:rsidRPr="0006463F">
        <w:t>państw trzecich będą mogły zostać dopuszczone do działania na rynku regulowanym. W</w:t>
      </w:r>
      <w:r w:rsidR="0006463F">
        <w:t xml:space="preserve"> </w:t>
      </w:r>
      <w:r w:rsidR="0006463F" w:rsidRPr="0006463F">
        <w:t xml:space="preserve">praktyce </w:t>
      </w:r>
      <w:r>
        <w:t>KNF</w:t>
      </w:r>
      <w:r w:rsidR="0006463F" w:rsidRPr="0006463F">
        <w:t xml:space="preserve"> będzie miała też wpływ na kształt środków zaradczych oraz sankcji</w:t>
      </w:r>
      <w:r w:rsidR="0006463F">
        <w:t xml:space="preserve"> </w:t>
      </w:r>
      <w:r w:rsidR="0006463F" w:rsidRPr="0006463F">
        <w:t>stosowanych przez organizatora wobec zagranicznych podmiotów w przypadku</w:t>
      </w:r>
      <w:r w:rsidR="0006463F">
        <w:t xml:space="preserve"> </w:t>
      </w:r>
      <w:r w:rsidR="0006463F" w:rsidRPr="0006463F">
        <w:t>dostarczania przez te podmioty błędnych lub niekompletnych danych uniemożliwiających</w:t>
      </w:r>
      <w:r w:rsidR="0006463F">
        <w:t xml:space="preserve"> </w:t>
      </w:r>
      <w:r w:rsidR="0006463F" w:rsidRPr="0006463F">
        <w:t xml:space="preserve">organizatorowi rynku prawidłowe wypełnienie obowiązku z art. 26 ust. 5 </w:t>
      </w:r>
      <w:r>
        <w:t>rozporządzenia 600/2014</w:t>
      </w:r>
      <w:r w:rsidR="0006463F" w:rsidRPr="0006463F">
        <w:t>, łącznie</w:t>
      </w:r>
      <w:r w:rsidR="0006463F">
        <w:t xml:space="preserve"> </w:t>
      </w:r>
      <w:r w:rsidR="0006463F" w:rsidRPr="0006463F">
        <w:t>z możliwością wymagania by regulamin tego rynku przewidywał sankcję w postaci</w:t>
      </w:r>
      <w:r w:rsidR="0006463F">
        <w:t xml:space="preserve"> </w:t>
      </w:r>
      <w:r w:rsidR="0006463F" w:rsidRPr="0006463F">
        <w:t>zawieszenia, a ostatecznie nawet wykluczenia takiego podmiotu z działalności na rynku.</w:t>
      </w:r>
    </w:p>
    <w:p w14:paraId="337A9E93" w14:textId="77777777" w:rsidR="00B54ED8" w:rsidRPr="00BF2F19" w:rsidRDefault="00B54ED8" w:rsidP="007F388C">
      <w:pPr>
        <w:pStyle w:val="ARTartustawynprozporzdzenia"/>
      </w:pPr>
      <w:r>
        <w:t>W celu</w:t>
      </w:r>
      <w:r w:rsidRPr="00B54ED8">
        <w:t xml:space="preserve"> </w:t>
      </w:r>
      <w:r>
        <w:t>zapewnienia</w:t>
      </w:r>
      <w:r w:rsidRPr="00B54ED8">
        <w:t xml:space="preserve"> k</w:t>
      </w:r>
      <w:r>
        <w:t>ompletności</w:t>
      </w:r>
      <w:r w:rsidRPr="00B54ED8">
        <w:t xml:space="preserve"> wdrożenia przepisu art. 73 ust. 2 dyrektywy 2014/65/UE</w:t>
      </w:r>
      <w:r>
        <w:t xml:space="preserve">, </w:t>
      </w:r>
      <w:r w:rsidRPr="00B54ED8">
        <w:rPr>
          <w:rStyle w:val="Ppogrubienie"/>
        </w:rPr>
        <w:t xml:space="preserve">art. 13 pkt </w:t>
      </w:r>
      <w:r w:rsidR="00EF05EC">
        <w:rPr>
          <w:rStyle w:val="Ppogrubienie"/>
        </w:rPr>
        <w:t>41</w:t>
      </w:r>
      <w:r w:rsidRPr="00B54ED8">
        <w:t xml:space="preserve"> </w:t>
      </w:r>
      <w:r>
        <w:t>określa</w:t>
      </w:r>
      <w:r w:rsidRPr="00B54ED8">
        <w:t xml:space="preserve"> </w:t>
      </w:r>
      <w:r w:rsidR="00F1262F">
        <w:t>obowiązki analogiczne do tych określonych w</w:t>
      </w:r>
      <w:r w:rsidRPr="00B54ED8">
        <w:t xml:space="preserve"> art. 25e ustawy o obrocie instrumentami finansowymi</w:t>
      </w:r>
      <w:r>
        <w:t xml:space="preserve"> w</w:t>
      </w:r>
      <w:r w:rsidRPr="00B54ED8">
        <w:t xml:space="preserve"> odniesieniu do podmiotów świadczących usługi w zakresie udostępn</w:t>
      </w:r>
      <w:r>
        <w:t>iania informacji o transakcjach</w:t>
      </w:r>
      <w:r w:rsidRPr="00B54ED8">
        <w:t>.</w:t>
      </w:r>
    </w:p>
    <w:p w14:paraId="7FDADA39" w14:textId="41BB0079" w:rsidR="001933AC" w:rsidRPr="001933AC" w:rsidRDefault="0008513A" w:rsidP="001933AC">
      <w:pPr>
        <w:pStyle w:val="NIEARTTEKSTtekstnieartykuowanynppodstprawnarozplubpreambua"/>
      </w:pPr>
      <w:r w:rsidRPr="00BF2F19">
        <w:t xml:space="preserve">Zmiany przewidziane w </w:t>
      </w:r>
      <w:r w:rsidR="00355A96">
        <w:rPr>
          <w:rStyle w:val="Ppogrubienie"/>
        </w:rPr>
        <w:t>art. 13</w:t>
      </w:r>
      <w:r w:rsidR="006D4778">
        <w:rPr>
          <w:rStyle w:val="Ppogrubienie"/>
        </w:rPr>
        <w:t xml:space="preserve"> pkt </w:t>
      </w:r>
      <w:r w:rsidR="00EF05EC">
        <w:rPr>
          <w:rStyle w:val="Ppogrubienie"/>
        </w:rPr>
        <w:t>42</w:t>
      </w:r>
      <w:r w:rsidRPr="00BF2F19">
        <w:rPr>
          <w:rStyle w:val="Ppogrubienie"/>
        </w:rPr>
        <w:t xml:space="preserve"> projektowanej ustawy</w:t>
      </w:r>
      <w:r w:rsidRPr="00BF2F19">
        <w:t xml:space="preserve"> są analogiczne do przepisów dodawanych do ustawy o funduszach inwestycyjnych</w:t>
      </w:r>
      <w:r w:rsidR="00FC7913" w:rsidRPr="00BF2F19">
        <w:t>, jako że firmy inwestycyjne prowadzące działalność w zakresie zarządzania portfelami, w skład których wchodzi jeden lub większa liczba instrumentów finansowych, są podmiotami zarządzającymi aktywami w rozumieniu dyrektywy 2007/36/WE.</w:t>
      </w:r>
      <w:r w:rsidR="001933AC">
        <w:t xml:space="preserve"> Art. 131r </w:t>
      </w:r>
      <w:r w:rsidR="001933AC" w:rsidRPr="007A0F13">
        <w:t>przewiduje odpowiedzialność</w:t>
      </w:r>
      <w:r w:rsidR="001933AC">
        <w:t>, co do zasady,</w:t>
      </w:r>
      <w:r w:rsidR="001933AC" w:rsidRPr="007A0F13">
        <w:t xml:space="preserve"> członków zarządu </w:t>
      </w:r>
      <w:r w:rsidR="001933AC">
        <w:t>firmy inwestycyjnej</w:t>
      </w:r>
      <w:r w:rsidR="001933AC" w:rsidRPr="007A0F13">
        <w:t xml:space="preserve"> za opracowanie i publikację </w:t>
      </w:r>
      <w:r w:rsidR="001933AC">
        <w:t xml:space="preserve">dokumentów określonych w dodawanych przepisach </w:t>
      </w:r>
      <w:r w:rsidR="001933AC" w:rsidRPr="007A0F13">
        <w:t>oraz za informacje zawarte w tych dokumentach</w:t>
      </w:r>
      <w:r w:rsidR="001933AC">
        <w:t xml:space="preserve">. Natomiast </w:t>
      </w:r>
      <w:r w:rsidR="001933AC" w:rsidRPr="001933AC">
        <w:t>w przypadku firmy inwesty</w:t>
      </w:r>
      <w:r w:rsidR="001933AC">
        <w:t xml:space="preserve">cyjnej będącej spółką osobową odpowiedzialność taką będą ponosić </w:t>
      </w:r>
      <w:r w:rsidR="001933AC" w:rsidRPr="001933AC">
        <w:t xml:space="preserve">wspólnicy lub komplementariusze w tej spółce, którym przysługuje prawo prowadzenia spraw spółki lub jej reprezentowania zgodnie z przepisami </w:t>
      </w:r>
      <w:r w:rsidR="001933AC">
        <w:t>KSH.</w:t>
      </w:r>
    </w:p>
    <w:p w14:paraId="78926180" w14:textId="77777777" w:rsidR="00707FFE" w:rsidRDefault="00707FFE" w:rsidP="00707FFE">
      <w:pPr>
        <w:pStyle w:val="ARTartustawynprozporzdzenia"/>
      </w:pPr>
      <w:r w:rsidRPr="006E505A">
        <w:rPr>
          <w:rStyle w:val="Ppogrubienie"/>
        </w:rPr>
        <w:t>Art.</w:t>
      </w:r>
      <w:r w:rsidR="00355A96">
        <w:rPr>
          <w:rStyle w:val="Ppogrubienie"/>
        </w:rPr>
        <w:t xml:space="preserve"> 13</w:t>
      </w:r>
      <w:r w:rsidR="006E505A">
        <w:rPr>
          <w:rStyle w:val="Ppogrubienie"/>
        </w:rPr>
        <w:t xml:space="preserve"> </w:t>
      </w:r>
      <w:r w:rsidR="006D4778">
        <w:rPr>
          <w:rStyle w:val="Ppogrubienie"/>
        </w:rPr>
        <w:t xml:space="preserve">pkt </w:t>
      </w:r>
      <w:r w:rsidR="00EF05EC">
        <w:rPr>
          <w:rStyle w:val="Ppogrubienie"/>
        </w:rPr>
        <w:t>43</w:t>
      </w:r>
      <w:r w:rsidR="005003B0">
        <w:rPr>
          <w:rStyle w:val="Ppogrubienie"/>
        </w:rPr>
        <w:t xml:space="preserve"> lit. a</w:t>
      </w:r>
      <w:r>
        <w:t xml:space="preserve"> dokonuje zmiany redakc</w:t>
      </w:r>
      <w:r w:rsidR="006E505A">
        <w:t>yjnej związanej ze zmianami w art. 91 ustawy o ofercie publicznej. Przepis odpowiadający treścią obecnemu art. 91 ust. 11 tej ustawy będzi</w:t>
      </w:r>
      <w:r w:rsidR="00ED080F">
        <w:t>e oznaczony jako art. 91 ust. 1</w:t>
      </w:r>
      <w:r w:rsidR="00D34944">
        <w:t>5</w:t>
      </w:r>
      <w:r w:rsidR="006E505A">
        <w:t>. W związku z tym należy poprawić odesłanie w art. 150 ust. 1 pkt 11 ustawy o obrocie instrumentami finansowymi.</w:t>
      </w:r>
    </w:p>
    <w:p w14:paraId="22B375BF" w14:textId="77777777" w:rsidR="005003B0" w:rsidRPr="00707FFE" w:rsidRDefault="005003B0" w:rsidP="00707FFE">
      <w:pPr>
        <w:pStyle w:val="ARTartustawynprozporzdzenia"/>
      </w:pPr>
      <w:r w:rsidRPr="005003B0">
        <w:rPr>
          <w:rStyle w:val="Ppogrubienie"/>
        </w:rPr>
        <w:t>Lit. b</w:t>
      </w:r>
      <w:r>
        <w:t xml:space="preserve"> umożliwia natomiast podmiotom odpowiedzialnym za identyfikację akcjonariuszy oraz przekazywanie informacji pomiędzy spółkami a akcjonariuszami, przekazywanie informacji stanowiących tajemnicę zawodową</w:t>
      </w:r>
      <w:r w:rsidR="00B713F9">
        <w:t>, z wyłączeniem odpowiedzialności za naruszenie obowiązku zachowania takiej tajemnicy</w:t>
      </w:r>
      <w:r>
        <w:t>.</w:t>
      </w:r>
    </w:p>
    <w:p w14:paraId="59B8EFBC" w14:textId="77777777" w:rsidR="00FC7913" w:rsidRPr="00BF2F19" w:rsidRDefault="00FC7913" w:rsidP="00FC7913">
      <w:pPr>
        <w:pStyle w:val="ARTartustawynprozporzdzenia"/>
      </w:pPr>
      <w:r w:rsidRPr="00BF2F19">
        <w:t xml:space="preserve">Zmiana przewidziana w </w:t>
      </w:r>
      <w:r w:rsidR="00355A96">
        <w:rPr>
          <w:rStyle w:val="Ppogrubienie"/>
        </w:rPr>
        <w:t>art. 13</w:t>
      </w:r>
      <w:r w:rsidR="006D4778">
        <w:rPr>
          <w:rStyle w:val="Ppogrubienie"/>
        </w:rPr>
        <w:t xml:space="preserve"> pkt </w:t>
      </w:r>
      <w:r w:rsidR="00EF05EC">
        <w:rPr>
          <w:rStyle w:val="Ppogrubienie"/>
        </w:rPr>
        <w:t>44</w:t>
      </w:r>
      <w:r w:rsidRPr="00BF2F19">
        <w:rPr>
          <w:rStyle w:val="Ppogrubienie"/>
        </w:rPr>
        <w:t xml:space="preserve"> projektu ustawy</w:t>
      </w:r>
      <w:r w:rsidRPr="00BF2F19">
        <w:t xml:space="preserve"> związana jest z wydanym przez Trybunał Sprawiedliwości Unii Europejskiej </w:t>
      </w:r>
      <w:r w:rsidR="00F8553F" w:rsidRPr="00BF2F19">
        <w:t>wyrokiem</w:t>
      </w:r>
      <w:r w:rsidRPr="00BF2F19">
        <w:t xml:space="preserve"> </w:t>
      </w:r>
      <w:r w:rsidR="00F8553F" w:rsidRPr="00BF2F19">
        <w:t xml:space="preserve">z dnia 19 czerwca 2018 r. </w:t>
      </w:r>
      <w:r w:rsidRPr="00BF2F19">
        <w:t>w sprawie C-15/16 Baumeister</w:t>
      </w:r>
      <w:r w:rsidR="00F8553F" w:rsidRPr="00BF2F19">
        <w:t>, którego sentencja została opublikowana w Dz. Urz. UE C 285 z 13.08.2018, str. 3. W wyroku dotyczącym zakresu obowiązku zachowania tajemnicy zawodowej spoczywającego na krajowych organach nadzoru finansowego Trybunał orzekł m.in., że „wszystkie informacje dotyczące nadzorowanego przedsiębiorstwa i przekazane przez nie właściwemu organowi, a także wszystkie oświadczenia tego organu zawarte w jego dokumentacji nadzorczej włącznie z korespondencją z innymi organami, nie stanowią bezwarunkowo poufnych informacji, objętych w związku z tym przewidzianym w tym przepisie obowiązkiem zachowania tajemnicy zawodowej. Za takie informacje należy uznać informacje będące w posiadaniu władz wyznaczonych przez państwa członkowskie do wypełniania funkcji określonych tą dyrektywą, które to informacje, po pierwsze, nie mają publicznego charakteru i, po drugie, których ujawnienie mogłoby naruszać interesy przekazującej je osoby fizycznej lub prawnej lub interesy osób trzecich, lub też zagrażać prawidłowemu funkcjonowaniu systemu nadzoru działalności przedsiębiorstw inwestycyjnych”.</w:t>
      </w:r>
    </w:p>
    <w:p w14:paraId="26D1E6DA" w14:textId="77777777" w:rsidR="00F8553F" w:rsidRDefault="00F8553F" w:rsidP="00FC7913">
      <w:pPr>
        <w:pStyle w:val="ARTartustawynprozporzdzenia"/>
      </w:pPr>
      <w:r w:rsidRPr="00BF2F19">
        <w:t>W związku z sentencją wyroku, projektowana ustawa wprowadza do ustawy o obrocie instrumentami finansowymi wyjątek od obowiązku zachowania tajemnicy zawodowej</w:t>
      </w:r>
      <w:r w:rsidR="005E0D5A" w:rsidRPr="00BF2F19">
        <w:t>, określający, że pod pewnymi warunkami ujawnienie informacji dotyczących nadzorowanej firmy inwestycyjnej nie będzie stanowiło naruszenia przepisów.</w:t>
      </w:r>
    </w:p>
    <w:p w14:paraId="6F164F9C" w14:textId="312B9529" w:rsidR="001933AC" w:rsidRDefault="001933AC" w:rsidP="001933AC">
      <w:pPr>
        <w:pStyle w:val="ARTartustawynprozporzdzenia"/>
      </w:pPr>
      <w:r>
        <w:t>W art. 163 w</w:t>
      </w:r>
      <w:r w:rsidRPr="001933AC">
        <w:t xml:space="preserve"> ust. 10a</w:t>
      </w:r>
      <w:r>
        <w:t xml:space="preserve"> ustawy o obrocie instrumentami finansowymi, dodawanym przez </w:t>
      </w:r>
      <w:r w:rsidRPr="001933AC">
        <w:rPr>
          <w:rStyle w:val="Ppogrubienie"/>
        </w:rPr>
        <w:t>art. 13 pkt 45</w:t>
      </w:r>
      <w:r>
        <w:t xml:space="preserve">, </w:t>
      </w:r>
      <w:r w:rsidRPr="001933AC">
        <w:t xml:space="preserve">na zagraniczne osoby prawne, o których mowa w art. 31 ust. </w:t>
      </w:r>
      <w:r>
        <w:t>1 pkt 2a tej u</w:t>
      </w:r>
      <w:r w:rsidRPr="001933AC">
        <w:t>stawy, będące stroną transakcji zawieranych na rynku regulowanym nałożony</w:t>
      </w:r>
      <w:r>
        <w:t xml:space="preserve"> </w:t>
      </w:r>
      <w:r w:rsidRPr="001933AC">
        <w:t>został obowiązek wnoszenia opłat rocznych na rzecz nadzoru w wysokości równowartości</w:t>
      </w:r>
      <w:r>
        <w:t xml:space="preserve"> </w:t>
      </w:r>
      <w:r w:rsidRPr="001933AC">
        <w:t>w złotych 10</w:t>
      </w:r>
      <w:r>
        <w:t> </w:t>
      </w:r>
      <w:r w:rsidRPr="001933AC">
        <w:t>000 euro. Obowiązek taki przewidziany jest obecnie w odniesieniu do</w:t>
      </w:r>
      <w:r>
        <w:t xml:space="preserve"> </w:t>
      </w:r>
      <w:r w:rsidRPr="001933AC">
        <w:t>zdalnych członków giełdy mających siedzi</w:t>
      </w:r>
      <w:r>
        <w:t>bę w krajach Unii Europejskiej.</w:t>
      </w:r>
      <w:r w:rsidR="004F02D0">
        <w:t xml:space="preserve"> Przepis ten odnosi się tylko do zagranicznych osób prawnych, o których mowa w art. 31 ust. 1 pkt 2a, nie nakładając opłat na podmioty, o których mowa w art. 78 ust. 1ba. Już obecne p</w:t>
      </w:r>
      <w:r w:rsidR="004F02D0" w:rsidRPr="004F02D0">
        <w:t xml:space="preserve">rzepisy ustawy </w:t>
      </w:r>
      <w:r w:rsidR="004F02D0">
        <w:t xml:space="preserve">o obrocie instrumentami finansowymi </w:t>
      </w:r>
      <w:r w:rsidR="004F02D0" w:rsidRPr="004F02D0">
        <w:t>nie przewidują pobierania opłaty na rzecz KNF od zagranicznych firm inwestycyjnych zawier</w:t>
      </w:r>
      <w:r w:rsidR="004F02D0">
        <w:t>ających transakcje na ASO i OTF. A</w:t>
      </w:r>
      <w:r w:rsidR="004F02D0" w:rsidRPr="004F02D0">
        <w:t>nalogicznie zrezygnowano</w:t>
      </w:r>
      <w:r w:rsidR="004F02D0">
        <w:t xml:space="preserve"> więc</w:t>
      </w:r>
      <w:r w:rsidR="004F02D0" w:rsidRPr="004F02D0">
        <w:t xml:space="preserve"> z pobierania opłat o</w:t>
      </w:r>
      <w:r w:rsidR="004F02D0">
        <w:t>d</w:t>
      </w:r>
      <w:r w:rsidR="004F02D0" w:rsidRPr="004F02D0">
        <w:t xml:space="preserve"> zagranicznych osób prawnych zawierających transakcje w tych systemach.</w:t>
      </w:r>
    </w:p>
    <w:p w14:paraId="5D91EDB8" w14:textId="397D3F28" w:rsidR="00EF05EC" w:rsidRDefault="001933AC" w:rsidP="001933AC">
      <w:pPr>
        <w:pStyle w:val="ARTartustawynprozporzdzenia"/>
      </w:pPr>
      <w:r w:rsidRPr="001933AC">
        <w:t>Jednocześnie</w:t>
      </w:r>
      <w:r>
        <w:t xml:space="preserve"> </w:t>
      </w:r>
      <w:r w:rsidRPr="001933AC">
        <w:t>doda</w:t>
      </w:r>
      <w:r>
        <w:t>wa</w:t>
      </w:r>
      <w:r w:rsidRPr="001933AC">
        <w:t xml:space="preserve">ny </w:t>
      </w:r>
      <w:r>
        <w:t xml:space="preserve">przez </w:t>
      </w:r>
      <w:r w:rsidRPr="001933AC">
        <w:rPr>
          <w:rStyle w:val="Ppogrubienie"/>
        </w:rPr>
        <w:t>art. 13 pkt 46</w:t>
      </w:r>
      <w:r>
        <w:t xml:space="preserve"> </w:t>
      </w:r>
      <w:r w:rsidRPr="001933AC">
        <w:t>ust. 6 w art. 163a</w:t>
      </w:r>
      <w:r w:rsidR="00740BBE">
        <w:t xml:space="preserve"> ustawy o obrocie instrumentami finansowymi</w:t>
      </w:r>
      <w:r w:rsidRPr="001933AC">
        <w:t xml:space="preserve"> zapewnia stosowanie wobec podmiotów z krajów trzecich</w:t>
      </w:r>
      <w:r>
        <w:t xml:space="preserve"> </w:t>
      </w:r>
      <w:r w:rsidRPr="001933AC">
        <w:t>jednakowych zasad postępowania w przypadku nieuiszczenia przez te podmioty opłaty</w:t>
      </w:r>
      <w:r>
        <w:t xml:space="preserve"> </w:t>
      </w:r>
      <w:r w:rsidRPr="001933AC">
        <w:t>z tytułu nadzoru, o której mowa w art. 163 ust. 10a.</w:t>
      </w:r>
    </w:p>
    <w:p w14:paraId="01502665" w14:textId="77777777" w:rsidR="00102244" w:rsidRDefault="00355A96" w:rsidP="00FC7913">
      <w:pPr>
        <w:pStyle w:val="ARTartustawynprozporzdzenia"/>
      </w:pPr>
      <w:r>
        <w:rPr>
          <w:rStyle w:val="Ppogrubienie"/>
        </w:rPr>
        <w:t>Art. 13</w:t>
      </w:r>
      <w:r w:rsidR="00102244" w:rsidRPr="00BF2F19">
        <w:rPr>
          <w:rStyle w:val="Ppogrubienie"/>
        </w:rPr>
        <w:t xml:space="preserve"> pkt </w:t>
      </w:r>
      <w:r w:rsidR="00EF05EC">
        <w:rPr>
          <w:rStyle w:val="Ppogrubienie"/>
        </w:rPr>
        <w:t>47</w:t>
      </w:r>
      <w:r w:rsidR="00102244" w:rsidRPr="00BF2F19">
        <w:t xml:space="preserve"> wprowadza kary administracyjne i pieniężne za naruszanie przez pośredników przepisów </w:t>
      </w:r>
      <w:r w:rsidR="00B54ED8">
        <w:t xml:space="preserve">działu IIIA </w:t>
      </w:r>
      <w:r w:rsidR="00102244" w:rsidRPr="00BF2F19">
        <w:t xml:space="preserve">dotyczących </w:t>
      </w:r>
      <w:r w:rsidR="00B54ED8">
        <w:t>identyfikacji akcjonariuszy, przekazywania</w:t>
      </w:r>
      <w:r w:rsidR="00102244" w:rsidRPr="00BF2F19">
        <w:t xml:space="preserve"> inform</w:t>
      </w:r>
      <w:r w:rsidR="00B54ED8">
        <w:t>acji akcjonariuszom i ułatwiania</w:t>
      </w:r>
      <w:r w:rsidR="00102244" w:rsidRPr="00BF2F19">
        <w:t xml:space="preserve"> wykonywania praw akcjonariuszy. </w:t>
      </w:r>
      <w:r w:rsidR="00B54ED8">
        <w:t>KNF będzie mógł nakazać podmiotom naruszającym przepisy zaprzestanie działań skutkujących naruszeniami oraz nałożyć karę pieniężną do wysokości 500 000 zł</w:t>
      </w:r>
      <w:r w:rsidR="00102244" w:rsidRPr="00BF2F19">
        <w:t>.</w:t>
      </w:r>
    </w:p>
    <w:p w14:paraId="7ADD9DCC" w14:textId="77777777" w:rsidR="00952A8E" w:rsidRPr="00BF2F19" w:rsidRDefault="00355A96" w:rsidP="00FC7913">
      <w:pPr>
        <w:pStyle w:val="ARTartustawynprozporzdzenia"/>
      </w:pPr>
      <w:r>
        <w:rPr>
          <w:rStyle w:val="Ppogrubienie"/>
        </w:rPr>
        <w:t>Art. 13</w:t>
      </w:r>
      <w:r w:rsidR="006D4778">
        <w:rPr>
          <w:rStyle w:val="Ppogrubienie"/>
        </w:rPr>
        <w:t xml:space="preserve"> pkt </w:t>
      </w:r>
      <w:r w:rsidR="00EF05EC">
        <w:rPr>
          <w:rStyle w:val="Ppogrubienie"/>
        </w:rPr>
        <w:t>48</w:t>
      </w:r>
      <w:r w:rsidR="00952A8E">
        <w:t xml:space="preserve"> </w:t>
      </w:r>
      <w:r w:rsidR="00F1262F">
        <w:t>rezygnuje ze wskazywania sprzedającego</w:t>
      </w:r>
      <w:r w:rsidR="00952A8E">
        <w:t xml:space="preserve"> </w:t>
      </w:r>
      <w:r w:rsidR="00F1262F">
        <w:t xml:space="preserve">(obecnie: oferującego) </w:t>
      </w:r>
      <w:r w:rsidR="00952A8E">
        <w:t>w przepisie nakładającym sankcje na podmioty niewykonujące lub nienależycie wykonujące obowiązki, o których mowa w art. 5 ustawy o obrocie instrumentami finansowymi.</w:t>
      </w:r>
      <w:r w:rsidR="00F1262F">
        <w:t xml:space="preserve"> Obowiązki określone w art. 5 dotyczą bowiem jedynie emitenta i nie dotyczą sprzedających (oferujących).</w:t>
      </w:r>
      <w:r w:rsidR="00952A8E">
        <w:t xml:space="preserve"> Rodzaj i wysokość sankcji pozostają bez zmian.</w:t>
      </w:r>
    </w:p>
    <w:p w14:paraId="22FB824A" w14:textId="028B33C8" w:rsidR="00102244" w:rsidRPr="00BF2F19" w:rsidRDefault="00102244" w:rsidP="00FC7913">
      <w:pPr>
        <w:pStyle w:val="ARTartustawynprozporzdzenia"/>
      </w:pPr>
      <w:r w:rsidRPr="00BF2F19">
        <w:rPr>
          <w:rStyle w:val="Ppogrubienie"/>
        </w:rPr>
        <w:t>Art.</w:t>
      </w:r>
      <w:r w:rsidR="00355A96">
        <w:rPr>
          <w:rStyle w:val="Ppogrubienie"/>
        </w:rPr>
        <w:t xml:space="preserve"> 13</w:t>
      </w:r>
      <w:r w:rsidRPr="00BF2F19">
        <w:rPr>
          <w:rStyle w:val="Ppogrubienie"/>
        </w:rPr>
        <w:t xml:space="preserve"> pkt </w:t>
      </w:r>
      <w:r w:rsidR="00EF05EC">
        <w:rPr>
          <w:rStyle w:val="Ppogrubienie"/>
        </w:rPr>
        <w:t>49</w:t>
      </w:r>
      <w:r w:rsidRPr="00BF2F19">
        <w:t xml:space="preserve"> wprowadza natomiast sankcje karne za </w:t>
      </w:r>
      <w:r w:rsidR="00740BBE">
        <w:t>nieopracowanie</w:t>
      </w:r>
      <w:r w:rsidR="00B530AD">
        <w:t>, nieprzekazanie</w:t>
      </w:r>
      <w:r w:rsidR="00740BBE">
        <w:t xml:space="preserve"> lub nieopublikowanie polityki dotyczącej zaangażowania lub informacji, o których mowa w art. 131q, a także za</w:t>
      </w:r>
      <w:r w:rsidR="00740BBE" w:rsidRPr="00BF2F19">
        <w:t xml:space="preserve"> </w:t>
      </w:r>
      <w:r w:rsidRPr="00BF2F19">
        <w:t xml:space="preserve">przekazywanie nieprawdziwych lub zatajanie prawdziwych </w:t>
      </w:r>
      <w:r w:rsidR="00740BBE">
        <w:t>danych</w:t>
      </w:r>
      <w:r w:rsidRPr="00BF2F19">
        <w:t xml:space="preserve"> w</w:t>
      </w:r>
      <w:r w:rsidR="00740BBE">
        <w:t xml:space="preserve"> tych dokumentach</w:t>
      </w:r>
      <w:r w:rsidRPr="00BF2F19">
        <w:t>. Działanie takie będzie zagrożone karą grzywny</w:t>
      </w:r>
      <w:r w:rsidR="00B54ED8">
        <w:t>, ograniczenia wolności</w:t>
      </w:r>
      <w:r w:rsidRPr="00BF2F19">
        <w:t xml:space="preserve"> lub pozbawienia wolności</w:t>
      </w:r>
      <w:r w:rsidR="00B54ED8">
        <w:t xml:space="preserve"> do roku</w:t>
      </w:r>
      <w:r w:rsidRPr="00BF2F19">
        <w:t>, co z jednej strony zapewni odstraszający charakter kary, z drugiej zaś strony zachowany zostanie wymóg jej proporcjonalności. Wysokość tych kar skorelowana jest z wysokością sankcji za naruszenie analogicznych przepisów dotyczących pracowniczych funduszy emerytalnych, funduszy inwestycyjnych, zakładów ubezpieczeń i zakładów reasekuracji.</w:t>
      </w:r>
    </w:p>
    <w:p w14:paraId="25C2148C" w14:textId="77777777" w:rsidR="005D5CD9" w:rsidRDefault="005D5CD9" w:rsidP="005D5CD9">
      <w:pPr>
        <w:pStyle w:val="ARTartustawynprozporzdzenia"/>
      </w:pPr>
      <w:r w:rsidRPr="00BF2F19">
        <w:rPr>
          <w:rStyle w:val="Ppogrubienie"/>
        </w:rPr>
        <w:t xml:space="preserve">Art. </w:t>
      </w:r>
      <w:r w:rsidR="00C10D2C" w:rsidRPr="00BF2F19">
        <w:rPr>
          <w:rStyle w:val="Ppogrubienie"/>
        </w:rPr>
        <w:t>1</w:t>
      </w:r>
      <w:r w:rsidR="00355A96">
        <w:rPr>
          <w:rStyle w:val="Ppogrubienie"/>
        </w:rPr>
        <w:t>4</w:t>
      </w:r>
      <w:r w:rsidR="000C6351">
        <w:rPr>
          <w:rStyle w:val="Ppogrubienie"/>
        </w:rPr>
        <w:t xml:space="preserve"> pkt 1</w:t>
      </w:r>
      <w:r w:rsidRPr="00BF2F19">
        <w:t xml:space="preserve"> zmienia ustawę o nadzorze nad rynkiem finansowym, tak aby w art. 1 ust. 2 pkt 4 doprecyzować, że nadzór nad rynkiem kapitałowym obejmuje również nadzór sprawowany zgodnie z przepisami rozporządzenia 2017/1129.</w:t>
      </w:r>
    </w:p>
    <w:p w14:paraId="219AF329" w14:textId="08FEB4CE" w:rsidR="000C6351" w:rsidRPr="000C6351" w:rsidRDefault="000C6351" w:rsidP="000C6351">
      <w:pPr>
        <w:pStyle w:val="ARTartustawynprozporzdzenia"/>
      </w:pPr>
      <w:r w:rsidRPr="000C6351">
        <w:t xml:space="preserve">Zmiana </w:t>
      </w:r>
      <w:r>
        <w:t xml:space="preserve">proponowana w </w:t>
      </w:r>
      <w:r w:rsidRPr="000C6351">
        <w:rPr>
          <w:rStyle w:val="Ppogrubienie"/>
        </w:rPr>
        <w:t>art. 14 pkt 2</w:t>
      </w:r>
      <w:r>
        <w:t xml:space="preserve"> </w:t>
      </w:r>
      <w:r w:rsidRPr="000C6351">
        <w:t xml:space="preserve">polega na rozszerzeniu składu </w:t>
      </w:r>
      <w:r>
        <w:t>KNF</w:t>
      </w:r>
      <w:r w:rsidRPr="000C6351">
        <w:t xml:space="preserve"> o trzeciego Zastępcę Przewodniczącego Komisji Nadzoru Finansowego. Postulowana zmiana wiąże się z sukcesywnym zwiększaniem zakresu zadań i kompetencji </w:t>
      </w:r>
      <w:r>
        <w:t>KNF</w:t>
      </w:r>
      <w:r w:rsidRPr="000C6351">
        <w:t>. O ile kwestie finansowania działalności Komisji i Urzędu Komisji w dużej mierze zostały rozwiązane nowelizacją dokonaną ustawą z dnia 9 listopada 2018 r. o zmianie niektórych ustaw w związku ze wzmocnieniem nadzoru nad rynkiem finansowym oraz ochrony inwe</w:t>
      </w:r>
      <w:r>
        <w:t>storów na tym rynku</w:t>
      </w:r>
      <w:r w:rsidRPr="000C6351">
        <w:t xml:space="preserve">, o tyle dalszemu poszerzeniu zakresu zadań </w:t>
      </w:r>
      <w:r>
        <w:t>KNF</w:t>
      </w:r>
      <w:r w:rsidRPr="000C6351">
        <w:t xml:space="preserve"> powinno konsekwentnie towarzyszyć poszerzenie składu etatowych (stałych) członków o dodatkowego Zastępcę Przewodniczącego Komisji. Przy obecnych rozwiązaniach ustawowych Przewodniczący Komisji Nadzoru Finansowego kieruje Urzędem Komisji Nadzoru Finansowego przy pomocy dwóch Zastępców. Nie pozwala to dokonać równomiernego i proporcjonalnego podziału zakresu obowiązków pomiędzy trzy </w:t>
      </w:r>
      <w:r w:rsidR="00952EB2" w:rsidRPr="000C6351">
        <w:t>podstaw</w:t>
      </w:r>
      <w:r w:rsidR="00952EB2">
        <w:t>ow</w:t>
      </w:r>
      <w:r w:rsidR="00952EB2" w:rsidRPr="000C6351">
        <w:t xml:space="preserve">e </w:t>
      </w:r>
      <w:r w:rsidRPr="000C6351">
        <w:t>sektory rynku finansowego: rynek bankowy, rynek ubezpieczeniowy i rynek kapitałowy. Zakres regulacji, zwłaszcza wynikających z prawa Unii Europejskiej, i poziom ich skomplikowania, tworzy zupełnie nowe obszary zadaniowe.</w:t>
      </w:r>
    </w:p>
    <w:p w14:paraId="506F3D7E" w14:textId="77777777" w:rsidR="000C6351" w:rsidRPr="000C6351" w:rsidRDefault="000C6351" w:rsidP="000C6351">
      <w:pPr>
        <w:pStyle w:val="ARTartustawynprozporzdzenia"/>
      </w:pPr>
      <w:r w:rsidRPr="000C6351">
        <w:t xml:space="preserve">Także rosnący poziom ryzyka dla klientów na rynku finansowym powoduje, że dla każdego z sektorów potrzebny jest stały organizacyjny nadzór. Zadań tych nie może pełnić Przewodniczący Komisji Nadzoru Finansowego ze względu na inny charakter jego obowiązków, zarówno zewnętrznych, jak i związanych z kierowaniem dużą organizacją, jaką jest Urząd Komisji Nadzoru Finansowego </w:t>
      </w:r>
      <w:r>
        <w:t>–</w:t>
      </w:r>
      <w:r w:rsidRPr="000C6351">
        <w:t xml:space="preserve"> tu konieczne jest bowiem rozwijanie takich funkcji jak compliance i audyt wewnętrzny. Rolą Przewodniczącego Komisji Nadzoru Finansowego powinno być w większym stopniu koordynowanie zagadnień międzysektorowych i dbanie o spójność polityki nadzorczej, a także rozwój strategicznych obszarów takich jak Fintech czy problemy cyberbezpieczeństwa, a nie szczegółowe zaangażowanie w problemy jednego z sektorów.</w:t>
      </w:r>
    </w:p>
    <w:p w14:paraId="5696DD32" w14:textId="77777777" w:rsidR="000C6351" w:rsidRDefault="000C6351" w:rsidP="000C6351">
      <w:pPr>
        <w:pStyle w:val="ARTartustawynprozporzdzenia"/>
      </w:pPr>
      <w:r w:rsidRPr="000C6351">
        <w:t>Warto zauważyć, że w związku z tym, że Urząd Komisji Nadzoru Finansowego działa od 1 stycznia 2019 r. jako państwowa osoba prawna, która finansowana jest bezpośrednio z wpłat pochodzących od podmiotów nadzorowanych, zmiana nie będzie miała wpływu na budżet państwa i może być wdrożona w trakcie roku budżetowego bez obciążania rezerw celowych.</w:t>
      </w:r>
    </w:p>
    <w:p w14:paraId="74B09982" w14:textId="77777777" w:rsidR="000C6351" w:rsidRDefault="000C6351" w:rsidP="000C6351">
      <w:pPr>
        <w:pStyle w:val="ARTartustawynprozporzdzenia"/>
      </w:pPr>
      <w:r>
        <w:t xml:space="preserve">Propozycja zawarta w </w:t>
      </w:r>
      <w:r w:rsidRPr="000C6351">
        <w:rPr>
          <w:rStyle w:val="Ppogrubienie"/>
        </w:rPr>
        <w:t>art. 14 pkt 3</w:t>
      </w:r>
      <w:r>
        <w:t xml:space="preserve"> wynika z poszerzenia składu osobowego KNF</w:t>
      </w:r>
      <w:r w:rsidRPr="000C6351">
        <w:t xml:space="preserve"> </w:t>
      </w:r>
      <w:r>
        <w:t xml:space="preserve">i zakłada </w:t>
      </w:r>
      <w:r w:rsidRPr="000C6351">
        <w:t>odpowiednie podniesienie kworum niez</w:t>
      </w:r>
      <w:r>
        <w:t>będnego do podejmowania uchwał –</w:t>
      </w:r>
      <w:r w:rsidRPr="000C6351">
        <w:t xml:space="preserve"> z czterech do pięciu osób wchodzących w skład </w:t>
      </w:r>
      <w:r>
        <w:t>KNF.</w:t>
      </w:r>
    </w:p>
    <w:p w14:paraId="35FE01F8" w14:textId="7E257165" w:rsidR="00EF05EC" w:rsidRPr="00BF2F19" w:rsidRDefault="00EF05EC" w:rsidP="000C6351">
      <w:pPr>
        <w:pStyle w:val="ARTartustawynprozporzdzenia"/>
      </w:pPr>
      <w:r w:rsidRPr="00740BBE">
        <w:rPr>
          <w:rStyle w:val="Ppogrubienie"/>
        </w:rPr>
        <w:t>Art. 14 pkt 4</w:t>
      </w:r>
      <w:r w:rsidR="00740BBE">
        <w:t xml:space="preserve"> eliminuje występujące w art. 12 ust. 2 pkt 4 lit. b ustawy o nadzorze nad rynkiem finansowym pojęcie </w:t>
      </w:r>
      <w:r w:rsidR="00740BBE" w:rsidRPr="00FF64CE">
        <w:t>„</w:t>
      </w:r>
      <w:r w:rsidR="00740BBE">
        <w:t>zniesienia dematerializacji akcji</w:t>
      </w:r>
      <w:r w:rsidR="00740BBE" w:rsidRPr="00FF64CE">
        <w:t>”</w:t>
      </w:r>
      <w:r w:rsidR="00740BBE">
        <w:t xml:space="preserve">, które na skutek zmian w art. 91 ustawy o ofercie publicznej nie będzie już występować w porządku prawnym. Sformułowanie to zostało zastąpione pojęciem </w:t>
      </w:r>
      <w:r w:rsidR="00740BBE" w:rsidRPr="00FF64CE">
        <w:t>„</w:t>
      </w:r>
      <w:r w:rsidR="00740BBE">
        <w:t>wycofania akcji z obrotu zorganizowanego</w:t>
      </w:r>
      <w:r w:rsidR="00740BBE" w:rsidRPr="00FF64CE">
        <w:t>”</w:t>
      </w:r>
      <w:r w:rsidR="00740BBE">
        <w:t>.</w:t>
      </w:r>
    </w:p>
    <w:p w14:paraId="6C9E56BD" w14:textId="77777777" w:rsidR="00C10D2C" w:rsidRDefault="00C10D2C" w:rsidP="00D234E6">
      <w:pPr>
        <w:pStyle w:val="NIEARTTEKSTtekstnieartykuowanynppodstprawnarozplubpreambua"/>
      </w:pPr>
      <w:r w:rsidRPr="00BF2F19">
        <w:rPr>
          <w:rStyle w:val="Ppogrubienie"/>
        </w:rPr>
        <w:t>Art. 1</w:t>
      </w:r>
      <w:r w:rsidR="00355A96">
        <w:rPr>
          <w:rStyle w:val="Ppogrubienie"/>
        </w:rPr>
        <w:t>5</w:t>
      </w:r>
      <w:r w:rsidR="00683AA8" w:rsidRPr="00BF2F19">
        <w:t xml:space="preserve"> wprowadza zmiany w ustawie </w:t>
      </w:r>
      <w:r w:rsidR="00BE388F">
        <w:t>o obligacjach</w:t>
      </w:r>
      <w:r w:rsidR="00683AA8" w:rsidRPr="00BF2F19">
        <w:t xml:space="preserve">. W </w:t>
      </w:r>
      <w:r w:rsidR="00683AA8" w:rsidRPr="00BF2F19">
        <w:rPr>
          <w:rStyle w:val="Ppogrubienie"/>
        </w:rPr>
        <w:t>pkt 1</w:t>
      </w:r>
      <w:r w:rsidR="00D234E6">
        <w:rPr>
          <w:rStyle w:val="Ppogrubienie"/>
        </w:rPr>
        <w:t xml:space="preserve"> lit. a</w:t>
      </w:r>
      <w:r w:rsidR="00FE7DA0">
        <w:t xml:space="preserve"> </w:t>
      </w:r>
      <w:r w:rsidR="00D234E6">
        <w:t xml:space="preserve">zmienia się brzmienie art. </w:t>
      </w:r>
      <w:r w:rsidR="00FE7DA0">
        <w:t xml:space="preserve">8 ust. 3, który </w:t>
      </w:r>
      <w:r w:rsidR="00D234E6">
        <w:t xml:space="preserve">będzie </w:t>
      </w:r>
      <w:r w:rsidR="00FE7DA0">
        <w:t>stanowi</w:t>
      </w:r>
      <w:r w:rsidR="00D234E6">
        <w:t>ć</w:t>
      </w:r>
      <w:r w:rsidR="00683AA8" w:rsidRPr="00BF2F19">
        <w:t>, że do powstania i przenoszenia praw z obligacji będą miały zastosowanie przepisy ustawy o obrocie instrumentami finansowymi.</w:t>
      </w:r>
    </w:p>
    <w:p w14:paraId="11729416" w14:textId="77777777" w:rsidR="00A234DF" w:rsidRPr="00A234DF" w:rsidRDefault="00B54ED8" w:rsidP="00A234DF">
      <w:pPr>
        <w:pStyle w:val="ARTartustawynprozporzdzenia"/>
      </w:pPr>
      <w:r w:rsidRPr="00A234DF">
        <w:rPr>
          <w:rStyle w:val="Ppogrubienie"/>
        </w:rPr>
        <w:t xml:space="preserve">Lit. </w:t>
      </w:r>
      <w:r w:rsidR="00D234E6">
        <w:rPr>
          <w:rStyle w:val="Ppogrubienie"/>
        </w:rPr>
        <w:t>b</w:t>
      </w:r>
      <w:r>
        <w:t xml:space="preserve"> </w:t>
      </w:r>
      <w:r w:rsidR="00A234DF">
        <w:t>ma na celu umożliwienie dokonywania</w:t>
      </w:r>
      <w:r w:rsidR="00A234DF" w:rsidRPr="00A234DF">
        <w:t xml:space="preserve"> obrotu obligacjami niewykupionymi w terminie. Obecnie przepisy ustawy o obligacjach, zakazują przenoszenia praw z obligacji po ustaleniu osób uprawnionych do świadczeń z tytułu ich wykupu. Co do zasady restrykcja ta jest uzasadniona zważywszy na to, że emitent obligacji nieposiadających postaci dokumentu określa w warunkach emisji takich obligacji dzień, według stanu, na który ustala się osoby uprawnione do otrzymania świadczeń z tytułu ich wykupu. Tym samym obligacje takie zobowiązują emitenta do spełnienia tych świadczeń wy</w:t>
      </w:r>
      <w:r w:rsidR="00A234DF">
        <w:t>łącznie na rzecz osób będących o</w:t>
      </w:r>
      <w:r w:rsidR="00A234DF" w:rsidRPr="00A234DF">
        <w:t>bligatariuszami według</w:t>
      </w:r>
      <w:r w:rsidR="00A234DF">
        <w:t xml:space="preserve"> </w:t>
      </w:r>
      <w:r w:rsidR="00A234DF" w:rsidRPr="00A234DF">
        <w:t>stanu na ten dzień, a spełnienie świadczenia z tytułu wykupu obligacji</w:t>
      </w:r>
      <w:r w:rsidR="00A234DF">
        <w:t xml:space="preserve"> </w:t>
      </w:r>
      <w:r w:rsidR="00A234DF" w:rsidRPr="00A234DF">
        <w:t>nie zwalniałoby emitenta z zobowiązań wynikających z obligacji oraz nie prowadziłoby do ich umorzenia. W konsekwencji przeniesienie obligacji na inną osobę, następujące po określonym w warunkach emisji dniu ustalenia osób uprawnionych do ich wykupu, nie mogłoby prowadzić</w:t>
      </w:r>
      <w:r w:rsidR="00A234DF">
        <w:t xml:space="preserve"> </w:t>
      </w:r>
      <w:r w:rsidR="00A234DF" w:rsidRPr="00A234DF">
        <w:t>do przeniesienia na tę osobę prawa do otrzymania od emitenta świadczenia</w:t>
      </w:r>
      <w:r w:rsidR="00A234DF">
        <w:t xml:space="preserve"> z tego tytułu, ponieważ </w:t>
      </w:r>
      <w:r w:rsidR="00A234DF" w:rsidRPr="00A234DF">
        <w:t>nie pozwala na to treść wynikającego z tych obligacji zobowiązania emitenta. Przeniesienie takie</w:t>
      </w:r>
      <w:r w:rsidR="00A234DF">
        <w:t xml:space="preserve"> </w:t>
      </w:r>
      <w:r w:rsidR="00A234DF" w:rsidRPr="00A234DF">
        <w:t xml:space="preserve">skutkowałoby więc </w:t>
      </w:r>
      <w:r w:rsidR="00A234DF">
        <w:t>wykreowaniem w obrocie „pustych</w:t>
      </w:r>
      <w:r w:rsidR="00A234DF" w:rsidRPr="00BF2F19">
        <w:t>”</w:t>
      </w:r>
      <w:r w:rsidR="00A234DF" w:rsidRPr="00A234DF">
        <w:t>, pozbawionych praw</w:t>
      </w:r>
      <w:r w:rsidR="00A234DF">
        <w:t xml:space="preserve"> obligacji. Z</w:t>
      </w:r>
      <w:r w:rsidR="00A234DF" w:rsidRPr="00A234DF">
        <w:t>akaz ten wywołuje</w:t>
      </w:r>
      <w:r w:rsidR="00A234DF">
        <w:t xml:space="preserve"> jednak</w:t>
      </w:r>
      <w:r w:rsidR="00A234DF" w:rsidRPr="00A234DF">
        <w:t xml:space="preserve"> szereg problemów praktycznych. </w:t>
      </w:r>
      <w:r w:rsidR="00A234DF">
        <w:t xml:space="preserve">Opisane wyżej </w:t>
      </w:r>
      <w:r w:rsidR="00A234DF" w:rsidRPr="00A234DF">
        <w:t>problemy powstają wyłącznie w</w:t>
      </w:r>
      <w:r w:rsidR="00A234DF">
        <w:t xml:space="preserve"> razie niewykupienia obligacji </w:t>
      </w:r>
      <w:r w:rsidR="00A234DF" w:rsidRPr="00A234DF">
        <w:t>we właściwym terminie. W takim bowiem przypadku obligatariusz nie ma obecnie możliwości „w</w:t>
      </w:r>
      <w:r w:rsidR="00A234DF">
        <w:t>yjścia</w:t>
      </w:r>
      <w:r w:rsidR="00A234DF" w:rsidRPr="00BF2F19">
        <w:t>”</w:t>
      </w:r>
      <w:r w:rsidR="00A234DF" w:rsidRPr="00A234DF">
        <w:t xml:space="preserve"> z inwestycji. </w:t>
      </w:r>
      <w:r w:rsidR="00A234DF">
        <w:t>Zdaniem projektodawcy</w:t>
      </w:r>
      <w:r w:rsidR="00A234DF" w:rsidRPr="00A234DF">
        <w:t xml:space="preserve"> przepisy ustawy o obligacjach powinny stwarzać taką możliwość obligatariuszowi.</w:t>
      </w:r>
    </w:p>
    <w:p w14:paraId="73A7DA8B" w14:textId="77777777" w:rsidR="00A234DF" w:rsidRPr="00A234DF" w:rsidRDefault="00A234DF" w:rsidP="003D1093">
      <w:pPr>
        <w:pStyle w:val="NIEARTTEKSTtekstnieartykuowanynppodstprawnarozplubpreambua"/>
      </w:pPr>
      <w:r w:rsidRPr="00A234DF">
        <w:t>Proponowane</w:t>
      </w:r>
      <w:r>
        <w:t xml:space="preserve"> w związku z tym</w:t>
      </w:r>
      <w:r w:rsidRPr="00A234DF">
        <w:t xml:space="preserve"> zmiany zakładają utrzymanie zakazu obrotu obligacjami po dniu ustalenia osób uprawnionych do ich wykupu z tym, że jeżeli emitent nie wykupi w całości obligacji w terminie określonym w warunkach emisji, możliwość ich zbywania zostanie przywrócona z mocy ustawy wraz z upływem tego terminu. W takim przypadku</w:t>
      </w:r>
      <w:r>
        <w:t xml:space="preserve"> możliwość przenoszenia praw z </w:t>
      </w:r>
      <w:r w:rsidRPr="00A234DF">
        <w:t>obligacji trwać będzie aż do dnia ustalenia osób uprawnionych do otrzymania spełnianych z opóźnieniem świadczeń z tytułu wykupu obligacji, a osoby takie ustalać się będzie zgodnie z ustawą o obligacjach, a nie zgodnie z warunkami emisji obligacji. Uprawnionymi do spełnianych z opóźnieniem świadczeń z tytułu wykupu obligacji będą osoby uprawnione z obligacji według stanu na drugi dzień roboczy po dniu, w którym nastąpi ostatnia z następujących przesłanek:</w:t>
      </w:r>
    </w:p>
    <w:p w14:paraId="0977FC70" w14:textId="77777777" w:rsidR="00A234DF" w:rsidRPr="00A234DF" w:rsidRDefault="003D1093" w:rsidP="003D1093">
      <w:pPr>
        <w:pStyle w:val="PKTpunkt"/>
      </w:pPr>
      <w:r>
        <w:t>1)</w:t>
      </w:r>
      <w:r>
        <w:tab/>
      </w:r>
      <w:r w:rsidR="00A234DF" w:rsidRPr="00A234DF">
        <w:t>kwota świadczenia do wypłaty zostanie przekazana KDPW oraz</w:t>
      </w:r>
    </w:p>
    <w:p w14:paraId="5B1C0491" w14:textId="77777777" w:rsidR="00A234DF" w:rsidRPr="00A234DF" w:rsidRDefault="003D1093" w:rsidP="003D1093">
      <w:pPr>
        <w:pStyle w:val="PKTpunkt"/>
      </w:pPr>
      <w:r>
        <w:t>2)</w:t>
      </w:r>
      <w:r>
        <w:tab/>
      </w:r>
      <w:r w:rsidR="00A234DF" w:rsidRPr="00A234DF">
        <w:t>podmiot przekazuj</w:t>
      </w:r>
      <w:r w:rsidR="00A234DF">
        <w:t>ący świadczenie wskaże KDPW</w:t>
      </w:r>
      <w:r w:rsidR="00A234DF" w:rsidRPr="00A234DF">
        <w:t xml:space="preserve"> obligacje, które mają podlegać opóźnionemu wykupowi.</w:t>
      </w:r>
    </w:p>
    <w:p w14:paraId="5CE80B23" w14:textId="77777777" w:rsidR="00A234DF" w:rsidRPr="00A234DF" w:rsidRDefault="00A234DF" w:rsidP="00A234DF">
      <w:pPr>
        <w:pStyle w:val="ARTartustawynprozporzdzenia"/>
      </w:pPr>
      <w:r w:rsidRPr="00A234DF">
        <w:t>Takie określenie dnia ustalenia osób uprawnionych do spełnianych z opóźnieniem świadczeń z tytułu wykupu obligacji jest uzasadnione z jednej strony koniecznością przeprowadzenia rozrachunku transakcji zawartych w obrocie zorganizowanym w razie ewentualnego uruchomienia możliwości zawierania w tym obrocie transakcji obligacjami przeterminowanymi, a także koniec</w:t>
      </w:r>
      <w:r>
        <w:t>znością zebrania przez KDPW</w:t>
      </w:r>
      <w:r w:rsidRPr="00A234DF">
        <w:t xml:space="preserve"> co najmniej minimum informacji niezbędnych d</w:t>
      </w:r>
      <w:r>
        <w:t>la uruchomienia obsługi wykupu</w:t>
      </w:r>
      <w:r w:rsidRPr="00A234DF">
        <w:t>.</w:t>
      </w:r>
    </w:p>
    <w:p w14:paraId="4D001D19" w14:textId="77777777" w:rsidR="00A234DF" w:rsidRPr="00A234DF" w:rsidRDefault="00A234DF" w:rsidP="00A234DF">
      <w:pPr>
        <w:pStyle w:val="ARTartustawynprozporzdzenia"/>
      </w:pPr>
      <w:r w:rsidRPr="00A234DF">
        <w:t xml:space="preserve">W okresie pomiędzy nowym, ustalonym zgodnie z ustawą dniem ustalenia osób uprawnionych do świadczeń z tytułu wykupu obligacji, a dniem dokonania opóźnionej wypłaty tych świadczeń (którym zgodnie z propozycją będzie następny dzień roboczy po </w:t>
      </w:r>
      <w:r w:rsidRPr="00A234DF">
        <w:rPr>
          <w:rStyle w:val="Kkursywa"/>
        </w:rPr>
        <w:t>record day</w:t>
      </w:r>
      <w:r w:rsidRPr="00A234DF">
        <w:t xml:space="preserve">, albo inny późniejszy dzień wskazany przez emitenta) ponownie nie będzie można przenosić praw z obligacji. Jeżeli jednak obligacje wskutek tej wypłaty nie zostaną w całości umorzone, wówczas po dniu jej dokonania możliwość zbywania obligacji zostanie ponownie przywrócona, aż do nastąpienia ewentualnego kolejnego </w:t>
      </w:r>
      <w:r w:rsidRPr="00A234DF">
        <w:rPr>
          <w:rStyle w:val="Kkursywa"/>
        </w:rPr>
        <w:t>record day</w:t>
      </w:r>
      <w:r w:rsidRPr="00A234DF">
        <w:t xml:space="preserve"> do kolejnej spełnianej z opóźnieniem cząstki świadczenia z tytułu wykupu obligacji.</w:t>
      </w:r>
    </w:p>
    <w:p w14:paraId="18692AB1" w14:textId="77777777" w:rsidR="00683AA8" w:rsidRDefault="00355A96" w:rsidP="005D5CD9">
      <w:pPr>
        <w:pStyle w:val="ARTartustawynprozporzdzenia"/>
      </w:pPr>
      <w:r>
        <w:rPr>
          <w:rStyle w:val="Ppogrubienie"/>
        </w:rPr>
        <w:t>Art. 15</w:t>
      </w:r>
      <w:r w:rsidR="00683AA8" w:rsidRPr="00BF2F19">
        <w:rPr>
          <w:rStyle w:val="Ppogrubienie"/>
        </w:rPr>
        <w:t xml:space="preserve"> pkt 2</w:t>
      </w:r>
      <w:r w:rsidR="00683AA8" w:rsidRPr="00BF2F19">
        <w:t xml:space="preserve"> wskazuje, że tytułem do wykreślenia hipoteki ustanowionej w celu zabezpieczenia wierzytelności wynikających z obligacji może być oświadczenie agenta emisji potwierdzające, że za jego pośrednictwem emitent dokonał wykupu obligacji.</w:t>
      </w:r>
    </w:p>
    <w:p w14:paraId="15977D47" w14:textId="77777777" w:rsidR="00053FCF" w:rsidRDefault="00355A96" w:rsidP="005D5CD9">
      <w:pPr>
        <w:pStyle w:val="ARTartustawynprozporzdzenia"/>
      </w:pPr>
      <w:r>
        <w:rPr>
          <w:rStyle w:val="Ppogrubienie"/>
        </w:rPr>
        <w:t>Art. 15</w:t>
      </w:r>
      <w:r w:rsidR="00053FCF" w:rsidRPr="00053FCF">
        <w:rPr>
          <w:rStyle w:val="Ppogrubienie"/>
        </w:rPr>
        <w:t xml:space="preserve"> pkt 3</w:t>
      </w:r>
      <w:r w:rsidR="00053FCF">
        <w:t xml:space="preserve"> wskazuje, że do emisji obligacji w trybie oferty publicznej będą miały zastosowanie przepisy rozporządzenia 2017/1129, a nie przepisy ustawy o ofercie publicznej.</w:t>
      </w:r>
    </w:p>
    <w:p w14:paraId="6FADD060" w14:textId="77777777" w:rsidR="00053FCF" w:rsidRDefault="00355A96" w:rsidP="005D5CD9">
      <w:pPr>
        <w:pStyle w:val="ARTartustawynprozporzdzenia"/>
      </w:pPr>
      <w:r>
        <w:rPr>
          <w:rStyle w:val="Ppogrubienie"/>
        </w:rPr>
        <w:t>Art. 15</w:t>
      </w:r>
      <w:r w:rsidR="00053FCF" w:rsidRPr="00053FCF">
        <w:rPr>
          <w:rStyle w:val="Ppogrubienie"/>
        </w:rPr>
        <w:t xml:space="preserve"> pkt 4</w:t>
      </w:r>
      <w:r w:rsidR="00053FCF">
        <w:t xml:space="preserve"> precyzuje, że emitent będzie obowiązany udostępnić propozycję nabycia wówczas, gdy przepisy rozporządzenia 2017/1129 nie wymagają sporządzenia prospektu.</w:t>
      </w:r>
    </w:p>
    <w:p w14:paraId="7A1FECEE" w14:textId="2CAFA58C" w:rsidR="00EF05EC" w:rsidRDefault="00EF05EC" w:rsidP="005D5CD9">
      <w:pPr>
        <w:pStyle w:val="ARTartustawynprozporzdzenia"/>
      </w:pPr>
      <w:r w:rsidRPr="008E7780">
        <w:rPr>
          <w:rStyle w:val="Ppogrubienie"/>
        </w:rPr>
        <w:t>Art. 15 pkt 5</w:t>
      </w:r>
      <w:r w:rsidR="008E7780">
        <w:t xml:space="preserve"> zastępuje wyrażenie </w:t>
      </w:r>
      <w:r w:rsidR="008E7780" w:rsidRPr="0076785F">
        <w:t>„</w:t>
      </w:r>
      <w:r w:rsidR="008E7780">
        <w:t>prospekt emisyjny</w:t>
      </w:r>
      <w:r w:rsidR="008E7780" w:rsidRPr="0076785F">
        <w:t>”</w:t>
      </w:r>
      <w:r w:rsidR="008E7780">
        <w:t xml:space="preserve"> wyrazem </w:t>
      </w:r>
      <w:r w:rsidR="008E7780" w:rsidRPr="0076785F">
        <w:t>„</w:t>
      </w:r>
      <w:r w:rsidR="008E7780">
        <w:t>prospekt</w:t>
      </w:r>
      <w:r w:rsidR="008E7780" w:rsidRPr="0076785F">
        <w:t>”</w:t>
      </w:r>
      <w:r w:rsidR="008E7780">
        <w:t>.</w:t>
      </w:r>
    </w:p>
    <w:p w14:paraId="35D1629E" w14:textId="77777777" w:rsidR="00053FCF" w:rsidRPr="00BF2F19" w:rsidRDefault="00355A96" w:rsidP="005D5CD9">
      <w:pPr>
        <w:pStyle w:val="ARTartustawynprozporzdzenia"/>
      </w:pPr>
      <w:r>
        <w:rPr>
          <w:rStyle w:val="Ppogrubienie"/>
        </w:rPr>
        <w:t>Art. 15</w:t>
      </w:r>
      <w:r w:rsidR="00053FCF" w:rsidRPr="00053FCF">
        <w:rPr>
          <w:rStyle w:val="Ppogrubienie"/>
        </w:rPr>
        <w:t xml:space="preserve"> pkt </w:t>
      </w:r>
      <w:r w:rsidR="00EF05EC">
        <w:rPr>
          <w:rStyle w:val="Ppogrubienie"/>
        </w:rPr>
        <w:t>6</w:t>
      </w:r>
      <w:r w:rsidR="00053FCF">
        <w:t xml:space="preserve"> zastępuje wyrażenie </w:t>
      </w:r>
      <w:r w:rsidR="00053FCF" w:rsidRPr="0076785F">
        <w:t>„</w:t>
      </w:r>
      <w:r w:rsidR="00053FCF">
        <w:t>prospekt emisyjny</w:t>
      </w:r>
      <w:r w:rsidR="00053FCF" w:rsidRPr="0076785F">
        <w:t>”</w:t>
      </w:r>
      <w:r w:rsidR="00053FCF">
        <w:t xml:space="preserve"> wyrazem </w:t>
      </w:r>
      <w:r w:rsidR="00053FCF" w:rsidRPr="0076785F">
        <w:t>„</w:t>
      </w:r>
      <w:r w:rsidR="00053FCF">
        <w:t>prospekt</w:t>
      </w:r>
      <w:r w:rsidR="00053FCF" w:rsidRPr="0076785F">
        <w:t>”</w:t>
      </w:r>
      <w:r w:rsidR="00053FCF">
        <w:t>, jednocześnie zmieniając odesłanie do uchylanego przepisu ustawy o ofercie publicznej odesłaniem do przepisu rozporządzenia 2017/1129.</w:t>
      </w:r>
    </w:p>
    <w:p w14:paraId="3CC1207D" w14:textId="77777777" w:rsidR="00683AA8" w:rsidRPr="00BF2F19" w:rsidRDefault="00355A96" w:rsidP="005D5CD9">
      <w:pPr>
        <w:pStyle w:val="ARTartustawynprozporzdzenia"/>
      </w:pPr>
      <w:r>
        <w:rPr>
          <w:rStyle w:val="Ppogrubienie"/>
        </w:rPr>
        <w:t>Art. 15</w:t>
      </w:r>
      <w:r w:rsidR="00683AA8" w:rsidRPr="00BF2F19">
        <w:rPr>
          <w:rStyle w:val="Ppogrubienie"/>
        </w:rPr>
        <w:t xml:space="preserve"> pkt </w:t>
      </w:r>
      <w:r w:rsidR="00EF05EC">
        <w:rPr>
          <w:rStyle w:val="Ppogrubienie"/>
        </w:rPr>
        <w:t>7</w:t>
      </w:r>
      <w:r w:rsidR="00683AA8" w:rsidRPr="00BF2F19">
        <w:t xml:space="preserve"> dodaje do katalogu informacji zamieszczanych w ogłoszeniu o zwołaniu zgromadzenia obligatariuszy, informację o miejscu </w:t>
      </w:r>
      <w:r w:rsidR="00C656D0" w:rsidRPr="00BF2F19">
        <w:t>złożenia zaświadczenia wystawionego przez agenta emisji, potwierdzającego, że obligacje nie będą przedmiotem obrotu do chwili utraty ważności przez to zaświadczenie albo jego zwrotu przed upływem terminu ważności.</w:t>
      </w:r>
    </w:p>
    <w:p w14:paraId="58083420" w14:textId="77777777" w:rsidR="00C656D0" w:rsidRDefault="00355A96" w:rsidP="005D5CD9">
      <w:pPr>
        <w:pStyle w:val="ARTartustawynprozporzdzenia"/>
      </w:pPr>
      <w:r>
        <w:rPr>
          <w:rStyle w:val="Ppogrubienie"/>
        </w:rPr>
        <w:t>Art. 15</w:t>
      </w:r>
      <w:r w:rsidR="00053FCF">
        <w:rPr>
          <w:rStyle w:val="Ppogrubienie"/>
        </w:rPr>
        <w:t xml:space="preserve"> pkt </w:t>
      </w:r>
      <w:r w:rsidR="00EF05EC">
        <w:rPr>
          <w:rStyle w:val="Ppogrubienie"/>
        </w:rPr>
        <w:t>8</w:t>
      </w:r>
      <w:r w:rsidR="00C656D0" w:rsidRPr="00BF2F19">
        <w:rPr>
          <w:rStyle w:val="Ppogrubienie"/>
        </w:rPr>
        <w:t xml:space="preserve"> lit. a</w:t>
      </w:r>
      <w:r w:rsidR="00C656D0" w:rsidRPr="00BF2F19">
        <w:t xml:space="preserve"> określa zasady uczestnictwa w zgromadzeniu obligatariuszy w okresie rejestrowania obligacji w ewidencji prowadzonej przez agenta emisji. </w:t>
      </w:r>
      <w:r w:rsidR="00C656D0" w:rsidRPr="00BF2F19">
        <w:rPr>
          <w:rStyle w:val="Ppogrubienie"/>
        </w:rPr>
        <w:t>Lit. b</w:t>
      </w:r>
      <w:r w:rsidR="00C656D0" w:rsidRPr="00BF2F19">
        <w:t xml:space="preserve"> precyzuje, że termin 7 dni przed terminem zgromadzenia obligatariuszy stosuje się również do złożenia zaświadczenia wystawionego przez agenta emisji.</w:t>
      </w:r>
    </w:p>
    <w:p w14:paraId="4DC48BDC" w14:textId="77777777" w:rsidR="00680B5F" w:rsidRDefault="00355A96" w:rsidP="005D5CD9">
      <w:pPr>
        <w:pStyle w:val="ARTartustawynprozporzdzenia"/>
      </w:pPr>
      <w:r>
        <w:rPr>
          <w:rStyle w:val="Ppogrubienie"/>
        </w:rPr>
        <w:t>Art. 15</w:t>
      </w:r>
      <w:r w:rsidR="00680B5F" w:rsidRPr="00680B5F">
        <w:rPr>
          <w:rStyle w:val="Ppogrubienie"/>
        </w:rPr>
        <w:t xml:space="preserve"> pkt </w:t>
      </w:r>
      <w:r w:rsidR="00EF05EC">
        <w:rPr>
          <w:rStyle w:val="Ppogrubienie"/>
        </w:rPr>
        <w:t>9</w:t>
      </w:r>
      <w:r w:rsidR="00680B5F">
        <w:t xml:space="preserve"> zastępuje pojęcie sprzedającego pojęciem oferującego i odsyła bezpośrednio do definicji zawartej w rozporządzeniu 2017/1129.</w:t>
      </w:r>
    </w:p>
    <w:p w14:paraId="083667C5" w14:textId="77777777" w:rsidR="00053FCF" w:rsidRPr="00BF2F19" w:rsidRDefault="00355A96" w:rsidP="005D5CD9">
      <w:pPr>
        <w:pStyle w:val="ARTartustawynprozporzdzenia"/>
      </w:pPr>
      <w:r>
        <w:rPr>
          <w:rStyle w:val="Ppogrubienie"/>
        </w:rPr>
        <w:t>Art. 15</w:t>
      </w:r>
      <w:r w:rsidR="00053FCF" w:rsidRPr="00053FCF">
        <w:rPr>
          <w:rStyle w:val="Ppogrubienie"/>
        </w:rPr>
        <w:t xml:space="preserve"> pkt </w:t>
      </w:r>
      <w:r w:rsidR="00EF05EC">
        <w:rPr>
          <w:rStyle w:val="Ppogrubienie"/>
        </w:rPr>
        <w:t>10</w:t>
      </w:r>
      <w:r w:rsidR="00053FCF">
        <w:t xml:space="preserve"> zastępuje wyrażenie </w:t>
      </w:r>
      <w:r w:rsidR="00053FCF" w:rsidRPr="0076785F">
        <w:t>„</w:t>
      </w:r>
      <w:r w:rsidR="00053FCF">
        <w:t>prospekt emisyjny</w:t>
      </w:r>
      <w:r w:rsidR="00053FCF" w:rsidRPr="0076785F">
        <w:t>”</w:t>
      </w:r>
      <w:r w:rsidR="00053FCF">
        <w:t xml:space="preserve"> wyrazem </w:t>
      </w:r>
      <w:r w:rsidR="00053FCF" w:rsidRPr="0076785F">
        <w:t>„</w:t>
      </w:r>
      <w:r w:rsidR="00053FCF">
        <w:t>prospekt</w:t>
      </w:r>
      <w:r w:rsidR="00053FCF" w:rsidRPr="0076785F">
        <w:t>”</w:t>
      </w:r>
      <w:r w:rsidR="00053FCF">
        <w:t>, jednocześnie wprowadzając do nowelizowanego przepisu pełną nazwę ustawy o ofercie publicznej. W związku z tym, że po nowelizacji odesłania do ustawy o ofercie publicznej będą pojawiały się w całej ustawie o obligacjach jedynie dwukrotnie, zdecydowano się zrezygnować z wprowadzania skrótowej nazwy tej ustawy.</w:t>
      </w:r>
    </w:p>
    <w:p w14:paraId="2A3792CF" w14:textId="77777777" w:rsidR="00C656D0" w:rsidRDefault="00355A96" w:rsidP="005D5CD9">
      <w:pPr>
        <w:pStyle w:val="ARTartustawynprozporzdzenia"/>
      </w:pPr>
      <w:r>
        <w:rPr>
          <w:rStyle w:val="Ppogrubienie"/>
        </w:rPr>
        <w:t>Art. 15</w:t>
      </w:r>
      <w:r w:rsidR="00C656D0" w:rsidRPr="00BF2F19">
        <w:rPr>
          <w:rStyle w:val="Ppogrubienie"/>
        </w:rPr>
        <w:t xml:space="preserve"> pkt </w:t>
      </w:r>
      <w:r w:rsidR="00053FCF">
        <w:rPr>
          <w:rStyle w:val="Ppogrubienie"/>
        </w:rPr>
        <w:t>1</w:t>
      </w:r>
      <w:r w:rsidR="00EF05EC">
        <w:rPr>
          <w:rStyle w:val="Ppogrubienie"/>
        </w:rPr>
        <w:t>1</w:t>
      </w:r>
      <w:r w:rsidR="00C656D0" w:rsidRPr="00BF2F19">
        <w:t xml:space="preserve"> utrzymuje penalizację czynów polegających na wystawieniu albo posługiwaniu się fałszywym zaświadczeniem potwierdzającym zablokowanie obligacji w ewidencji prowadzonej przez agenta emisji.</w:t>
      </w:r>
    </w:p>
    <w:p w14:paraId="3107E96A" w14:textId="211FB164" w:rsidR="0076785F" w:rsidRDefault="0076785F" w:rsidP="005D5CD9">
      <w:pPr>
        <w:pStyle w:val="ARTartustawynprozporzdzenia"/>
      </w:pPr>
      <w:r w:rsidRPr="00465AC9">
        <w:rPr>
          <w:rStyle w:val="Ppogrubienie"/>
        </w:rPr>
        <w:t>Art. 1</w:t>
      </w:r>
      <w:r w:rsidR="00355A96">
        <w:rPr>
          <w:rStyle w:val="Ppogrubienie"/>
        </w:rPr>
        <w:t>6</w:t>
      </w:r>
      <w:r w:rsidR="00465AC9">
        <w:t xml:space="preserve"> </w:t>
      </w:r>
      <w:r w:rsidR="00465AC9" w:rsidRPr="00465AC9">
        <w:t xml:space="preserve">wprowadza zmianę do art. </w:t>
      </w:r>
      <w:r w:rsidR="00465AC9">
        <w:t>156 ust. 6</w:t>
      </w:r>
      <w:r w:rsidR="00465AC9" w:rsidRPr="00465AC9">
        <w:t xml:space="preserve"> </w:t>
      </w:r>
      <w:r w:rsidR="00465AC9">
        <w:t>ustawy z dnia 15 maja 2015 r. – Prawo r</w:t>
      </w:r>
      <w:r w:rsidR="00981F03">
        <w:t>estrukturyzacyjne (Dz. U. z 2019</w:t>
      </w:r>
      <w:r w:rsidR="00465AC9">
        <w:t xml:space="preserve"> r. poz. </w:t>
      </w:r>
      <w:r w:rsidR="00981F03">
        <w:t>243</w:t>
      </w:r>
      <w:r w:rsidR="00504210">
        <w:t>, z późn. zm.</w:t>
      </w:r>
      <w:r w:rsidR="00465AC9">
        <w:t>)</w:t>
      </w:r>
      <w:r w:rsidR="00465AC9" w:rsidRPr="00465AC9">
        <w:t xml:space="preserve">, której celem jest sprecyzowanie, że propozycja układowa przewidująca konwersję wierzytelności na akcje nie stanowi oferty publicznej w rozumieniu przepisów rozporządzenia 2017/1129. Zmiana w tym przepisie polega na zastąpieniu dotychczasowego odwołania do przepisów ustawy o ofercie publicznej odwołaniem do bezpośrednio obowiązującego rozporządzenia 2017/1129. </w:t>
      </w:r>
      <w:r w:rsidR="007946FC">
        <w:t>U</w:t>
      </w:r>
      <w:r w:rsidR="007946FC" w:rsidRPr="007946FC">
        <w:t xml:space="preserve">życie w </w:t>
      </w:r>
      <w:r w:rsidR="007946FC">
        <w:t>projektowanym przepisie sformułowania</w:t>
      </w:r>
      <w:r w:rsidR="007946FC" w:rsidRPr="007946FC">
        <w:t xml:space="preserve"> „Nie stanowi oferty publicznej w rozumieniu rozporządzenia Parlamentu Europejskiego i Rady (UE) 2017/1129 (…)</w:t>
      </w:r>
      <w:r w:rsidR="0006463F">
        <w:t xml:space="preserve"> </w:t>
      </w:r>
      <w:r w:rsidR="0006463F" w:rsidRPr="0006463F">
        <w:t>propozycja układowa przewidująca konwersję wierzytelności na akcje</w:t>
      </w:r>
      <w:r w:rsidR="007946FC" w:rsidRPr="007946FC">
        <w:t>” nie stanowi niedopuszczalnej modyfikacji definicji oferty publicznej zawartej w rozporządzeniu 2017/1129, ponieważ</w:t>
      </w:r>
      <w:r w:rsidR="007946FC">
        <w:t xml:space="preserve">, ze względu na specyfikę postępowania restrukturyzacyjnego, którego celem, co </w:t>
      </w:r>
      <w:r w:rsidR="0006463F">
        <w:t>do zasady, powinno być jak najszybsze</w:t>
      </w:r>
      <w:r w:rsidR="007946FC">
        <w:t xml:space="preserve"> uzyskanie zaspokojenia wierzycieli, nie jest zasadne obejmowanie </w:t>
      </w:r>
      <w:r w:rsidR="0006463F">
        <w:t>propozycji układowych</w:t>
      </w:r>
      <w:r w:rsidR="007946FC">
        <w:t xml:space="preserve"> obowiązkiem </w:t>
      </w:r>
      <w:r w:rsidR="0006463F">
        <w:t>prospektowym</w:t>
      </w:r>
      <w:r w:rsidR="007946FC">
        <w:t xml:space="preserve"> i </w:t>
      </w:r>
      <w:r w:rsidR="0006463F">
        <w:t xml:space="preserve">obowiązkiem </w:t>
      </w:r>
      <w:r w:rsidR="007946FC">
        <w:t xml:space="preserve">spełniania </w:t>
      </w:r>
      <w:r w:rsidR="0006463F">
        <w:t xml:space="preserve">innych </w:t>
      </w:r>
      <w:r w:rsidR="007946FC">
        <w:t>rygorystycznych wymogów związanych z ofertą publiczną</w:t>
      </w:r>
      <w:r w:rsidR="0006463F">
        <w:t>.</w:t>
      </w:r>
    </w:p>
    <w:p w14:paraId="179255A9" w14:textId="4FCDF9EF" w:rsidR="00EF05EC" w:rsidRDefault="00EF05EC" w:rsidP="005D5CD9">
      <w:pPr>
        <w:pStyle w:val="ARTartustawynprozporzdzenia"/>
      </w:pPr>
      <w:r w:rsidRPr="008E7780">
        <w:rPr>
          <w:rStyle w:val="Ppogrubienie"/>
        </w:rPr>
        <w:t>Art. 17 pkt 1</w:t>
      </w:r>
      <w:r w:rsidR="008E7780">
        <w:t xml:space="preserve"> eliminuje występujące w art. 81 ust. 5 ustawy o działalności ubezpieczeniowej i reasekuracyjnej pojęcie </w:t>
      </w:r>
      <w:r w:rsidR="008E7780" w:rsidRPr="00FF64CE">
        <w:t>„</w:t>
      </w:r>
      <w:r w:rsidR="008E7780">
        <w:t>zniesienia dematerializacji akcji</w:t>
      </w:r>
      <w:r w:rsidR="008E7780" w:rsidRPr="00FF64CE">
        <w:t>”</w:t>
      </w:r>
      <w:r w:rsidR="008E7780">
        <w:t xml:space="preserve">, które na skutek zmian w art. 91 ustawy o ofercie publicznej nie będzie już występować w porządku prawnym. Sformułowanie to zostało zastąpione pojęciem </w:t>
      </w:r>
      <w:r w:rsidR="008E7780" w:rsidRPr="00FF64CE">
        <w:t>„</w:t>
      </w:r>
      <w:r w:rsidR="008E7780">
        <w:t>wycofania akcji z obrotu zorganizowanego</w:t>
      </w:r>
      <w:r w:rsidR="008E7780" w:rsidRPr="00FF64CE">
        <w:t>”</w:t>
      </w:r>
      <w:r w:rsidR="008E7780">
        <w:t>.</w:t>
      </w:r>
    </w:p>
    <w:p w14:paraId="63ECF92D" w14:textId="77777777" w:rsidR="001976A3" w:rsidRDefault="001976A3" w:rsidP="005D5CD9">
      <w:pPr>
        <w:pStyle w:val="ARTartustawynprozporzdzenia"/>
      </w:pPr>
      <w:r w:rsidRPr="0076785F">
        <w:rPr>
          <w:rStyle w:val="Ppogrubienie"/>
        </w:rPr>
        <w:t>Art.</w:t>
      </w:r>
      <w:r w:rsidR="00355A96">
        <w:rPr>
          <w:rStyle w:val="Ppogrubienie"/>
        </w:rPr>
        <w:t xml:space="preserve"> 17</w:t>
      </w:r>
      <w:r w:rsidRPr="0076785F">
        <w:rPr>
          <w:rStyle w:val="Ppogrubienie"/>
        </w:rPr>
        <w:t xml:space="preserve"> pkt </w:t>
      </w:r>
      <w:r w:rsidR="00EF05EC">
        <w:rPr>
          <w:rStyle w:val="Ppogrubienie"/>
        </w:rPr>
        <w:t>2</w:t>
      </w:r>
      <w:r>
        <w:t xml:space="preserve"> dostosowuje przepis art. 82 ust. 9 ustawy o działalności ubezpieczeniowej i reasekuracyjnej</w:t>
      </w:r>
      <w:r w:rsidR="0076785F">
        <w:t xml:space="preserve"> do siatki pojęciowej używanej w ustawie o ofercie publicznej poprzez zastąpienie wyrażenia </w:t>
      </w:r>
      <w:r w:rsidR="0076785F" w:rsidRPr="0076785F">
        <w:t>„</w:t>
      </w:r>
      <w:r w:rsidR="0076785F">
        <w:t>umowa o subemisję inwestycyjną</w:t>
      </w:r>
      <w:r w:rsidR="0076785F" w:rsidRPr="0076785F">
        <w:t>”</w:t>
      </w:r>
      <w:r w:rsidR="0076785F">
        <w:t xml:space="preserve"> wyrażeniem </w:t>
      </w:r>
      <w:r w:rsidR="0076785F" w:rsidRPr="0076785F">
        <w:t>„</w:t>
      </w:r>
      <w:r w:rsidR="0076785F">
        <w:t>umowa o gwarancję</w:t>
      </w:r>
      <w:r w:rsidR="00EC044C">
        <w:t xml:space="preserve"> emisji</w:t>
      </w:r>
      <w:r w:rsidR="0076785F" w:rsidRPr="0076785F">
        <w:t>”</w:t>
      </w:r>
      <w:r w:rsidR="0076785F">
        <w:t>.</w:t>
      </w:r>
    </w:p>
    <w:p w14:paraId="152029D0" w14:textId="77777777" w:rsidR="007A4273" w:rsidRPr="007A4273" w:rsidRDefault="007A4273" w:rsidP="007A4273">
      <w:pPr>
        <w:pStyle w:val="NIEARTTEKSTtekstnieartykuowanynppodstprawnarozplubpreambua"/>
      </w:pPr>
      <w:r>
        <w:t xml:space="preserve">Proponowana w </w:t>
      </w:r>
      <w:r w:rsidRPr="007A4273">
        <w:rPr>
          <w:rStyle w:val="Ppogrubienie"/>
        </w:rPr>
        <w:t xml:space="preserve">art. 17 pkt </w:t>
      </w:r>
      <w:r w:rsidR="00EF05EC">
        <w:rPr>
          <w:rStyle w:val="Ppogrubienie"/>
        </w:rPr>
        <w:t>3</w:t>
      </w:r>
      <w:r>
        <w:t xml:space="preserve"> zmiana</w:t>
      </w:r>
      <w:r w:rsidRPr="007A4273">
        <w:t xml:space="preserve"> treści art. 177 ustawy o działalności ubezpieczeniowej i reasekuracyjnej wiąże się z zawarciem umowy dwustronnej pomiędzy Unią Europejską a Stanami Zjednoczonymi Ameryki w sprawie środków ostrożnościowych odnoszących się do ubezpieczeń i reasekuracji, </w:t>
      </w:r>
      <w:r>
        <w:t>zwanej dalej „umową dwustronną</w:t>
      </w:r>
      <w:r w:rsidRPr="007A4273">
        <w:t>”</w:t>
      </w:r>
      <w:r>
        <w:t xml:space="preserve">, </w:t>
      </w:r>
      <w:r w:rsidRPr="007A4273">
        <w:t>która została podpisana w dniu 22 września 2017 r. i weszła w życie w dniu 4 kwietnia 2018 r. Umowa dwustronna ma charakter traktatu międzynarodowego za</w:t>
      </w:r>
      <w:r>
        <w:t xml:space="preserve">wartego przez Unię Europejską i w </w:t>
      </w:r>
      <w:r w:rsidRPr="007A4273">
        <w:t>związku z powyższym stoi ponad wtórnym prawem Unii Europejskiej oraz prawem krajowym poszczególnych państw członkowskich. Umowa dwustronna będzie obowiązywała wprost i nie wymaga transpozycji do prawa krajowego poszczególnych państw członkowskich, w szczególności do prawa polskiego. Tym niemniej państwa członkowskie zostały zobowiązane przez Komisję Europejską do weryfikacji czy przepisy krajowe dotyczące działalności reasekuracyjnej wykonywanej przez reasekuratorów z siedzibą w państwach trzecich (niebędących państwami członkowskimi Unii Europejskiej) nie pozostają w sprzeczności z treścią umowy dwustronnej. Z informacji przedstawionych przez Komisję Europejską wynika, że takie sprzeczności najczęściej wynikają z obowiązywania regulacji dotyczących wymogów związanych z zabezpieczeniem dla reasekuratorów amer</w:t>
      </w:r>
      <w:r>
        <w:t xml:space="preserve">ykańskich oraz obligatoryjnego </w:t>
      </w:r>
      <w:r w:rsidRPr="007A4273">
        <w:t>wymogu utworzenia przez reasekuratorów amerykańskich głównego oddziału, w przypadku wykonywania przez reasekuratora amerykańskiego działalności reasekuracyjnej na terytorium danego państwa członkowskiego. Zgodność przepisów dotyczących wykonywania działalności reasekuracyjnej przez reasekuratorów z państw trzecich obowiązujących w poszczególnych państwach członkowskich z umową dwustronną powinna zostać zapewni</w:t>
      </w:r>
      <w:r>
        <w:t>ona do dnia 22 września 2019 r.</w:t>
      </w:r>
    </w:p>
    <w:p w14:paraId="0DF0CAB6" w14:textId="77777777" w:rsidR="007A4273" w:rsidRPr="007A4273" w:rsidRDefault="007A4273" w:rsidP="007A4273">
      <w:pPr>
        <w:pStyle w:val="NIEARTTEKSTtekstnieartykuowanynppodstprawnarozplubpreambua"/>
      </w:pPr>
      <w:r w:rsidRPr="007A4273">
        <w:t>Zgodność wskazanych przepisów z umową dwustronną była omawiana podczas posiedzenia grupy eksperckiej Komisji Europejskiej ds. bankowości, us</w:t>
      </w:r>
      <w:r>
        <w:t>ług płatniczych i ubezpieczeń w dniu 29 marca 2019 r.</w:t>
      </w:r>
      <w:r w:rsidRPr="007A4273">
        <w:t xml:space="preserve"> w Brukseli (formacja ubezpieczeniowa). Z a</w:t>
      </w:r>
      <w:r>
        <w:t>nalizy treści art. 177 ustawy z</w:t>
      </w:r>
      <w:r w:rsidRPr="007A4273">
        <w:t xml:space="preserve"> dnia 11 września 2015 r. o działalności ubezpieczeniowej i reasekuracyjnej oraz treści umowy dwustronnej wynika, że wskazany przepis powinien zostać zmodyfikowany. Dotychczas obowiązujący przepis art. 177 nie zawiera regulacji określających zabezpieczenia wymagane od reasekuratorów z państw trzecich</w:t>
      </w:r>
      <w:r>
        <w:t xml:space="preserve">. Art. 177 nie zawiera również </w:t>
      </w:r>
      <w:r w:rsidRPr="007A4273">
        <w:t xml:space="preserve">obligatoryjnego wymogu wykonywania działalności reasekuracyjnej przez zakłady reasekuracji z państw trzecich w formie głównego oddziału. Wskazany przepis umożliwia takim zakładom reasekuracji wykonywanie działalności bezpośrednio z terytorium państwa, w którym dany zakład ma siedzibę, jeżeli system wypłacalności tego państwa został uznany za równoważny lub czasowo równoważny z systemem wypłacalności ustanowionym w Unii Europejskiej zgodnie z art. 172 dyrektywy </w:t>
      </w:r>
      <w:r w:rsidRPr="00A86495">
        <w:t>Parlamentu Europejskiego i Rady 2009/138/WE z dnia 25 listopada 2009 r. w sprawie podejmowania i prowadzenia działalności ubezpieczeniowej i reasekuracyjnej (Wypłacalność II)</w:t>
      </w:r>
      <w:r>
        <w:t xml:space="preserve"> (Dz. Urz. UE L 335 z 17.12.2009, str. 1), zwanej dalej </w:t>
      </w:r>
      <w:r w:rsidRPr="00A86495">
        <w:t>„</w:t>
      </w:r>
      <w:r>
        <w:t>dyrektywą 2009/138/WE</w:t>
      </w:r>
      <w:r w:rsidRPr="00A86495">
        <w:t>”</w:t>
      </w:r>
      <w:r>
        <w:t xml:space="preserve">, </w:t>
      </w:r>
      <w:r w:rsidRPr="007A4273">
        <w:t>albo z państwem tym została zawarta umowa, o której mowa w art. 175 ww. dyrektywy. Jedna</w:t>
      </w:r>
      <w:r>
        <w:t xml:space="preserve">kże system wypłacalności w USA </w:t>
      </w:r>
      <w:r w:rsidRPr="007A4273">
        <w:t xml:space="preserve">nie został uznany za równoważny lub czasowo równoważny z systemem wypłacalności w Unii Europejskiej. W ocenie przedstawicieli Komisji Europejskiej przepis art. 175 dyrektywy </w:t>
      </w:r>
      <w:r>
        <w:t>2009/138/WE</w:t>
      </w:r>
      <w:r w:rsidRPr="007A4273">
        <w:t xml:space="preserve"> nie ma zas</w:t>
      </w:r>
      <w:r>
        <w:t>tosowania do umowy dwustronnej.</w:t>
      </w:r>
    </w:p>
    <w:p w14:paraId="699D59CB" w14:textId="049FE166" w:rsidR="007A4273" w:rsidRPr="00BF2F19" w:rsidRDefault="007A4273" w:rsidP="007A4273">
      <w:pPr>
        <w:pStyle w:val="NIEARTTEKSTtekstnieartykuowanynppodstprawnarozplubpreambua"/>
      </w:pPr>
      <w:r w:rsidRPr="007A4273">
        <w:t xml:space="preserve">W celu usunięcia wskazanych sprzeczności proponuje się dodanie w art. 177 ustawy o działalności ubezpieczeniowej i reasekuracyjnej ogólnej regulacji, zgodnie z którą w przypadku </w:t>
      </w:r>
      <w:r w:rsidR="00863A5A" w:rsidRPr="00863A5A">
        <w:t>zawarcia przez Unię Europejską umowy międzynarodowej</w:t>
      </w:r>
      <w:r w:rsidR="00B021DE">
        <w:t xml:space="preserve"> odnoszącej się do reasekuracji</w:t>
      </w:r>
      <w:r w:rsidR="00863A5A" w:rsidRPr="00863A5A">
        <w:t xml:space="preserve">, działalność reasekuracyjna wykonywana przez zakłady z siedzibą w państwie niebędącym państwem członkowskim Unii Europejskiej, którego system wypłacalności nie został uznany za równoważny lub czasowo równoważny zgodnie z art. 172 dyrektywy </w:t>
      </w:r>
      <w:r w:rsidR="00863A5A">
        <w:t>2009/138/WE</w:t>
      </w:r>
      <w:r w:rsidR="00863A5A" w:rsidRPr="00863A5A">
        <w:t>, i które jest stroną umowy, będzie wykonywana zgodnie z warunkami tej umowy. W ocenie projektodawcy taka konstrukcja dodanego przepisu zapewni zgodność prawa krajowego w zakresie działalności reasekuracyjnej z umową dwustronną. Przy opracowaniu proponowanej dodanej regulacji wykorzystano rozwiązania wprowadzone w Portugalii</w:t>
      </w:r>
      <w:r w:rsidRPr="007A4273">
        <w:t>.</w:t>
      </w:r>
    </w:p>
    <w:p w14:paraId="548AAAFE" w14:textId="57E51F6B" w:rsidR="0008513A" w:rsidRDefault="0008513A" w:rsidP="0008513A">
      <w:pPr>
        <w:pStyle w:val="NIEARTTEKSTtekstnieartykuowanynppodstprawnarozplubpreambua"/>
      </w:pPr>
      <w:r w:rsidRPr="00BF2F19">
        <w:rPr>
          <w:rStyle w:val="Ppogrubienie"/>
        </w:rPr>
        <w:t xml:space="preserve">Art. </w:t>
      </w:r>
      <w:r w:rsidR="00355A96">
        <w:rPr>
          <w:rStyle w:val="Ppogrubienie"/>
        </w:rPr>
        <w:t>17</w:t>
      </w:r>
      <w:r w:rsidR="00102244" w:rsidRPr="00BF2F19">
        <w:rPr>
          <w:rStyle w:val="Ppogrubienie"/>
        </w:rPr>
        <w:t xml:space="preserve"> pkt </w:t>
      </w:r>
      <w:r w:rsidR="00EF05EC">
        <w:rPr>
          <w:rStyle w:val="Ppogrubienie"/>
        </w:rPr>
        <w:t>4</w:t>
      </w:r>
      <w:r w:rsidRPr="00BF2F19">
        <w:t xml:space="preserve"> dodaje do ustawy o działalności ubezpieczeniowej i reasekuracyjnej nowy rozdział 8a dotyczący polityki dotyczącej zaangażowania i strategii </w:t>
      </w:r>
      <w:r w:rsidR="008E7780">
        <w:t>inwestycji kapitałowych</w:t>
      </w:r>
      <w:r w:rsidRPr="00BF2F19">
        <w:t>. Przepisy dodawane na mocy tego artykułu odnoszą się do zakładów ubezpieczeń i zakładów reasekuracji</w:t>
      </w:r>
      <w:r w:rsidR="00351C62" w:rsidRPr="00BF2F19">
        <w:t xml:space="preserve"> wykonujących działalność w zakresie ubezpieczeń na życie</w:t>
      </w:r>
      <w:r w:rsidR="002B1E30" w:rsidRPr="00BF2F19">
        <w:t>, które w rozumieniu dyrektywy 2007/36/WE należą do kategorii inwestorów instytucjonalnych.</w:t>
      </w:r>
      <w:r w:rsidRPr="00BF2F19">
        <w:t xml:space="preserve"> </w:t>
      </w:r>
      <w:r w:rsidR="002B1E30" w:rsidRPr="00BF2F19">
        <w:t>W związku z tym przepisy dodawane do ustawy o działalności ubezpieczeniowej i reasekuracyjnej co do zasady</w:t>
      </w:r>
      <w:r w:rsidRPr="00BF2F19">
        <w:t xml:space="preserve"> stanowią powtórzenie przepisów dodawanych do ustawy o </w:t>
      </w:r>
      <w:r w:rsidR="002B1E30" w:rsidRPr="00BF2F19">
        <w:t>organizacji i funkcjonowaniu funduszy emerytalnych</w:t>
      </w:r>
      <w:r w:rsidRPr="00BF2F19">
        <w:t>.</w:t>
      </w:r>
      <w:r w:rsidR="008E7780">
        <w:t xml:space="preserve"> </w:t>
      </w:r>
      <w:r w:rsidR="00B021DE">
        <w:t>Z</w:t>
      </w:r>
      <w:r w:rsidR="008E7780">
        <w:t xml:space="preserve">a opracowanie i publikację dokumentów, o których mowa w dodawanym rozdziale, a także za informacje w nich zawarte, będą odpowiedzialni członkowie zarządu </w:t>
      </w:r>
      <w:r w:rsidR="008E7780" w:rsidRPr="008E7780">
        <w:t>odpowiednio zakładu ubezpieczeń albo zakładu reasekuracji</w:t>
      </w:r>
      <w:r w:rsidR="008E7780">
        <w:t>.</w:t>
      </w:r>
    </w:p>
    <w:p w14:paraId="66CEC1D7" w14:textId="77777777" w:rsidR="00D234E6" w:rsidRPr="00D234E6" w:rsidRDefault="00D234E6" w:rsidP="00D234E6">
      <w:pPr>
        <w:pStyle w:val="NIEARTTEKSTtekstnieartykuowanynppodstprawnarozplubpreambua"/>
      </w:pPr>
      <w:r>
        <w:rPr>
          <w:rFonts w:ascii="Times New Roman" w:hAnsi="Times New Roman"/>
        </w:rPr>
        <w:t xml:space="preserve">Proponowane </w:t>
      </w:r>
      <w:r>
        <w:t xml:space="preserve">w </w:t>
      </w:r>
      <w:r w:rsidRPr="00D234E6">
        <w:rPr>
          <w:rStyle w:val="Ppogrubienie"/>
        </w:rPr>
        <w:t xml:space="preserve">art. 17 pkt </w:t>
      </w:r>
      <w:r w:rsidR="00EF05EC">
        <w:rPr>
          <w:rStyle w:val="Ppogrubienie"/>
        </w:rPr>
        <w:t>5</w:t>
      </w:r>
      <w:r w:rsidRPr="00D234E6">
        <w:rPr>
          <w:rStyle w:val="Ppogrubienie"/>
        </w:rPr>
        <w:t>–</w:t>
      </w:r>
      <w:r w:rsidR="00EF05EC">
        <w:rPr>
          <w:rStyle w:val="Ppogrubienie"/>
        </w:rPr>
        <w:t>7</w:t>
      </w:r>
      <w:r>
        <w:t xml:space="preserve"> </w:t>
      </w:r>
      <w:r>
        <w:rPr>
          <w:rFonts w:ascii="Times New Roman" w:hAnsi="Times New Roman"/>
        </w:rPr>
        <w:t xml:space="preserve">zmiany </w:t>
      </w:r>
      <w:r w:rsidRPr="00D234E6">
        <w:t xml:space="preserve">wynikają z procedury weryfikacji prawidłowości transpozycji dyrektywy </w:t>
      </w:r>
      <w:r w:rsidR="00A86495" w:rsidRPr="00A86495">
        <w:t xml:space="preserve">2009/138/WE </w:t>
      </w:r>
      <w:r w:rsidRPr="00D234E6">
        <w:t xml:space="preserve">i dyrektywy </w:t>
      </w:r>
      <w:r w:rsidR="00A86495" w:rsidRPr="00A86495">
        <w:t>Parlamentu Europejskiego i Rady 2014/51/UE z dnia 16 kwietnia 2014 r. zmieniając</w:t>
      </w:r>
      <w:r w:rsidR="00A86495">
        <w:t>ej</w:t>
      </w:r>
      <w:r w:rsidR="00A86495" w:rsidRPr="00A86495">
        <w:t xml:space="preserve"> dyrektywy 2003/71/WE i 2009/138/WE oraz rozporządzenia (WE) nr 1060/2009, (UE) nr 1094/2010 i (UE) nr 1095/2010 w zakresie uprawnień Europejskiego Urzędu Nadzoru (Europejskiego Urzędu Nadzoru Ubezpieczeń i Pracowniczych Programów Emerytalnych) oraz Europejskiego Urzędu Nadzoru (Europejskiego Urzędu Nadzoru Giełd i Papierów Wartościowych)</w:t>
      </w:r>
      <w:r w:rsidR="00A86495">
        <w:t xml:space="preserve"> (Dz. Urz. UE L 153 z 22.05.2014, str. 1), zwanej dalej </w:t>
      </w:r>
      <w:r w:rsidR="00A86495" w:rsidRPr="00A86495">
        <w:t>„</w:t>
      </w:r>
      <w:r w:rsidR="00A86495">
        <w:t>dyrektywą 2014/51/UE</w:t>
      </w:r>
      <w:r w:rsidR="00A86495" w:rsidRPr="00A86495">
        <w:t>”</w:t>
      </w:r>
      <w:r w:rsidR="00A86495">
        <w:t xml:space="preserve"> </w:t>
      </w:r>
      <w:r w:rsidRPr="00D234E6">
        <w:t>do prawa krajowego, prowadzonej przez Komisję Europejską w okresie od lipca 2018 r.</w:t>
      </w:r>
    </w:p>
    <w:p w14:paraId="24EF40B4" w14:textId="77777777" w:rsidR="00D234E6" w:rsidRDefault="00D234E6" w:rsidP="00D234E6">
      <w:pPr>
        <w:pStyle w:val="NIEARTTEKSTtekstnieartykuowanynppodstprawnarozplubpreambua"/>
      </w:pPr>
      <w:r w:rsidRPr="00D234E6">
        <w:t>Uwagi i zastrzeżenia K</w:t>
      </w:r>
      <w:r w:rsidR="00A86495">
        <w:t xml:space="preserve">omisji </w:t>
      </w:r>
      <w:r w:rsidRPr="00D234E6">
        <w:t>E</w:t>
      </w:r>
      <w:r w:rsidR="00A86495">
        <w:t>uropejskiej</w:t>
      </w:r>
      <w:r w:rsidRPr="00D234E6">
        <w:t>, z którymi strona polska się zgodziła, dotyczą kilku przepisów określających uprawnienia organu nadzoru do ograniczania regularnej sprawozdawczości zakładów ubezpieczeń i zakładów reasekuracji oraz zasady sprawowania nadzoru nad grupą w</w:t>
      </w:r>
      <w:r w:rsidR="00A86495">
        <w:t xml:space="preserve"> </w:t>
      </w:r>
      <w:r w:rsidRPr="00D234E6">
        <w:t>zakresie weryfikacji równoważności.</w:t>
      </w:r>
    </w:p>
    <w:p w14:paraId="09920CF0" w14:textId="2FE5F6C2" w:rsidR="00A86495" w:rsidRPr="00A86495" w:rsidRDefault="00A86495" w:rsidP="00A86495">
      <w:pPr>
        <w:pStyle w:val="NIEARTTEKSTtekstnieartykuowanynppodstprawnarozplubpreambua"/>
      </w:pPr>
      <w:r w:rsidRPr="00A86495">
        <w:t xml:space="preserve">Obecnie obowiązujące przepisy ustawy o działalności ubezpieczeniowej i reasekuracyjnej nie dają organowi nadzoru uprawnienia do zwalniania zakładów ubezpieczeń i zakładów reasekuracji ze składania sprawozdań z częstotliwością większą niż raz w roku. W związku z powyższym </w:t>
      </w:r>
      <w:r>
        <w:t xml:space="preserve">w </w:t>
      </w:r>
      <w:r w:rsidR="007A4273">
        <w:rPr>
          <w:rStyle w:val="Ppogrubienie"/>
        </w:rPr>
        <w:t xml:space="preserve">art. 17 pkt </w:t>
      </w:r>
      <w:r w:rsidR="00EF05EC">
        <w:rPr>
          <w:rStyle w:val="Ppogrubienie"/>
        </w:rPr>
        <w:t>5</w:t>
      </w:r>
      <w:r w:rsidRPr="00A86495">
        <w:rPr>
          <w:rStyle w:val="Ppogrubienie"/>
        </w:rPr>
        <w:t xml:space="preserve"> projektu</w:t>
      </w:r>
      <w:r>
        <w:t xml:space="preserve"> </w:t>
      </w:r>
      <w:r w:rsidRPr="00A86495">
        <w:t>proponuje się dodanie art. 339a.</w:t>
      </w:r>
      <w:r w:rsidR="00740D89">
        <w:t xml:space="preserve"> Proponowane regulacje zawarte </w:t>
      </w:r>
      <w:r w:rsidRPr="00A86495">
        <w:t xml:space="preserve">w dodanym art. 339a stanowią implementację przepisów art. 35 ust. 6 i 8 dyrektywy </w:t>
      </w:r>
      <w:r>
        <w:t>2009/138/WE</w:t>
      </w:r>
      <w:r w:rsidRPr="00A86495">
        <w:t>, określających uprawnienia organu nadzoru w zakresie ograniczania regularnej sprawozdawczości zakładów ubezpieczeń i zakładów reasekuracji do organu nadzoru, warunki, które muszą być spełnione aby organ nadzoru mógł te uprawnienia stosować oraz czynniki związane z danym zakładem ubezpieczeń lub zakładem reasekuracji, które organ nadzoru powinien brać pod uwagę przy ograniczaniu regularnej sprawozdawczości.</w:t>
      </w:r>
    </w:p>
    <w:p w14:paraId="43071AF8" w14:textId="1B8579C2" w:rsidR="00A86495" w:rsidRDefault="00A86495" w:rsidP="00A86495">
      <w:pPr>
        <w:pStyle w:val="ARTartustawynprozporzdzenia"/>
      </w:pPr>
      <w:r w:rsidRPr="00A86495">
        <w:t>Proponowana regulacja zawarta w doda</w:t>
      </w:r>
      <w:r>
        <w:t>wa</w:t>
      </w:r>
      <w:r w:rsidRPr="00A86495">
        <w:t xml:space="preserve">nym </w:t>
      </w:r>
      <w:r>
        <w:t xml:space="preserve">przez </w:t>
      </w:r>
      <w:r w:rsidR="007A4273">
        <w:rPr>
          <w:rStyle w:val="Ppogrubienie"/>
        </w:rPr>
        <w:t xml:space="preserve">art. 17 pkt </w:t>
      </w:r>
      <w:r w:rsidR="00EF05EC">
        <w:rPr>
          <w:rStyle w:val="Ppogrubienie"/>
        </w:rPr>
        <w:t>6</w:t>
      </w:r>
      <w:r w:rsidRPr="00A86495">
        <w:rPr>
          <w:rStyle w:val="Ppogrubienie"/>
        </w:rPr>
        <w:t xml:space="preserve"> projektu</w:t>
      </w:r>
      <w:r>
        <w:t xml:space="preserve"> </w:t>
      </w:r>
      <w:r w:rsidRPr="00A86495">
        <w:t>art. 410 ust. 3a stanowi implementację art. 254 ust.</w:t>
      </w:r>
      <w:r>
        <w:t xml:space="preserve"> </w:t>
      </w:r>
      <w:r w:rsidRPr="00A86495">
        <w:t xml:space="preserve">2 akapit drugi dyrektywy </w:t>
      </w:r>
      <w:r>
        <w:t>2009/138/WE</w:t>
      </w:r>
      <w:r w:rsidRPr="00A86495">
        <w:t>, określającej uprawnienia organu nadzoru, będącego organe</w:t>
      </w:r>
      <w:r w:rsidR="00740D89">
        <w:t xml:space="preserve">m sprawującym nadzór nad grupą </w:t>
      </w:r>
      <w:r w:rsidRPr="00A86495">
        <w:t>do zwalniania zakładów ubezpieczeń posiadających udziały w innych zakładach ubezpieczeń lub zakładach reasekuracji, zakładów reasekuracji posiadających udziały w innych zakładach ubezpieczeń lub zakładach reasekuracji, dominujących podmiotów ubezpieczeniowych i dominujących podmiotów nieregulowanych ze składania sprawozdań na poziomie grupy z częstotliwością większą niż raz w</w:t>
      </w:r>
      <w:r w:rsidR="00C32D97">
        <w:t xml:space="preserve"> r</w:t>
      </w:r>
      <w:r w:rsidRPr="00A86495">
        <w:t>oku. Zgodnie z proponowaną regulacją organ nadzoru będący organem sprawującym nadzór nad grupą będzie mógł skorzystać ze wskazanego uprawnienia, jeżeli wszystkie zakłady ubezpieczeń lub zakłady reasekuracji wchodzące w skład grupy uzyskały uprawnienie, o którym mowa w art. 339a ust. 1–4, lub odpowiednie uprawnienie przyznane na podstawie przepisów obowiązujących w innym niż Rzeczpospolita Polska państwie członkowskim Unii Europejskiej, biorąc pod uwagę charakter, skalę oraz złożoność ryzyk właściwych dla działalności wykonywanej przez grupę.</w:t>
      </w:r>
    </w:p>
    <w:p w14:paraId="02A27663" w14:textId="77777777" w:rsidR="00C32D97" w:rsidRPr="00C32D97" w:rsidRDefault="00C32D97" w:rsidP="00C32D97">
      <w:pPr>
        <w:pStyle w:val="NIEARTTEKSTtekstnieartykuowanynppodstprawnarozplubpreambua"/>
      </w:pPr>
      <w:r w:rsidRPr="00C32D97">
        <w:t xml:space="preserve">Proponowane </w:t>
      </w:r>
      <w:r>
        <w:t xml:space="preserve">w </w:t>
      </w:r>
      <w:r w:rsidR="007A4273">
        <w:rPr>
          <w:rStyle w:val="Ppogrubienie"/>
        </w:rPr>
        <w:t xml:space="preserve">art. 17 pkt </w:t>
      </w:r>
      <w:r w:rsidR="00EF05EC">
        <w:rPr>
          <w:rStyle w:val="Ppogrubienie"/>
        </w:rPr>
        <w:t>7</w:t>
      </w:r>
      <w:r w:rsidRPr="00C32D97">
        <w:rPr>
          <w:rStyle w:val="Ppogrubienie"/>
        </w:rPr>
        <w:t xml:space="preserve"> projektu</w:t>
      </w:r>
      <w:r>
        <w:t xml:space="preserve"> </w:t>
      </w:r>
      <w:r w:rsidRPr="00C32D97">
        <w:t xml:space="preserve">regulacje zawarte w art. 416 ust. </w:t>
      </w:r>
      <w:r>
        <w:t xml:space="preserve">1 i </w:t>
      </w:r>
      <w:r w:rsidRPr="00C32D97">
        <w:t xml:space="preserve">3a </w:t>
      </w:r>
      <w:r>
        <w:t>oraz</w:t>
      </w:r>
      <w:r w:rsidRPr="00C32D97">
        <w:t xml:space="preserve"> art. 416 ust. 5a stanowią odpowiednio uzupełnienie implementacji art. 260 ust. 1 oraz ust. 7 dyrektywy </w:t>
      </w:r>
      <w:r>
        <w:t>2009/138/WE</w:t>
      </w:r>
      <w:r w:rsidRPr="00C32D97">
        <w:t>.</w:t>
      </w:r>
    </w:p>
    <w:p w14:paraId="2DA462B9" w14:textId="77777777" w:rsidR="00C32D97" w:rsidRPr="00C32D97" w:rsidRDefault="00C32D97" w:rsidP="00C32D97">
      <w:pPr>
        <w:pStyle w:val="NIEARTTEKSTtekstnieartykuowanynppodstprawnarozplubpreambua"/>
      </w:pPr>
      <w:r>
        <w:t>Z</w:t>
      </w:r>
      <w:r w:rsidRPr="00C32D97">
        <w:t xml:space="preserve">miana w treści art. 416 ust. 1 </w:t>
      </w:r>
      <w:r>
        <w:t>(</w:t>
      </w:r>
      <w:r w:rsidRPr="00C32D97">
        <w:rPr>
          <w:rStyle w:val="Ppogrubienie"/>
        </w:rPr>
        <w:t>lit. a</w:t>
      </w:r>
      <w:r>
        <w:t xml:space="preserve">) </w:t>
      </w:r>
      <w:r w:rsidRPr="00C32D97">
        <w:t xml:space="preserve">polega na zastąpieniu wyrazów „może dokonać” wyrazem „dokonuje”, gdyż art. 260 ust. 1 dyrektywy </w:t>
      </w:r>
      <w:r>
        <w:t>2009/138/WE</w:t>
      </w:r>
      <w:r w:rsidRPr="00C32D97">
        <w:t xml:space="preserve"> ustanawia obowiązek a nie uprawnienie organu nadzoru pełniącego obowiązki organu sprawującego nadzór nad grupą.</w:t>
      </w:r>
    </w:p>
    <w:p w14:paraId="166C13E0" w14:textId="77777777" w:rsidR="00C32D97" w:rsidRPr="00C32D97" w:rsidRDefault="00C32D97" w:rsidP="00C32D97">
      <w:pPr>
        <w:pStyle w:val="NIEARTTEKSTtekstnieartykuowanynppodstprawnarozplubpreambua"/>
      </w:pPr>
      <w:r w:rsidRPr="00C32D97">
        <w:t xml:space="preserve">W ocenie KE do ustawy o działalności ubezpieczeniowej i reasekuracyjnej nie został implementowany art. 260 ust. 1 akapit 3 zdanie trzecie dyrektywy. Dotychczas obowiązujący art. 416 ustawy o działalności ubezpieczeniowej i reasekuracyjnej nie zawiera przepisu zobowiązującego organ nadzoru będący organem sprawującym nadzór nad grupą do niedokonywania weryfikacji równoważności systemu nadzoru państwa trzeciego z nadzorem sprawowanym na podstawie dyrektywy </w:t>
      </w:r>
      <w:r>
        <w:t>2009/138/WE</w:t>
      </w:r>
      <w:r w:rsidRPr="00C32D97">
        <w:t xml:space="preserve">, jeżeli w odniesieniu do danego państwa dokonano takiej weryfikacji w przeszłości. Wyjątek stanowi sytuacja, gdy dokonano istotnych zmian w systemie nadzoru określonym w dyrektywie </w:t>
      </w:r>
      <w:r>
        <w:t>2009/138/WE</w:t>
      </w:r>
      <w:r w:rsidRPr="00C32D97">
        <w:t xml:space="preserve"> oraz w systemie nadzoru państwa trzeciego. W związku z powyższym proponuje się dodanie regulacji zawartej w art. 416 ust. 3a ustawy</w:t>
      </w:r>
      <w:r>
        <w:t xml:space="preserve"> (</w:t>
      </w:r>
      <w:r w:rsidRPr="00C32D97">
        <w:rPr>
          <w:rStyle w:val="Ppogrubienie"/>
        </w:rPr>
        <w:t>lit. b</w:t>
      </w:r>
      <w:r>
        <w:t>)</w:t>
      </w:r>
      <w:r w:rsidRPr="00C32D97">
        <w:t>.</w:t>
      </w:r>
    </w:p>
    <w:p w14:paraId="4B43397D" w14:textId="77777777" w:rsidR="00C32D97" w:rsidRPr="00C32D97" w:rsidRDefault="00C32D97" w:rsidP="00C32D97">
      <w:pPr>
        <w:pStyle w:val="NIEARTTEKSTtekstnieartykuowanynppodstprawnarozplubpreambua"/>
      </w:pPr>
      <w:r w:rsidRPr="00C32D97">
        <w:t>Z kolei dodanie ust. 5a w art. 416</w:t>
      </w:r>
      <w:r>
        <w:t xml:space="preserve"> (</w:t>
      </w:r>
      <w:r w:rsidRPr="00C32D97">
        <w:rPr>
          <w:rStyle w:val="Ppogrubienie"/>
        </w:rPr>
        <w:t>lit. c</w:t>
      </w:r>
      <w:r>
        <w:t>)</w:t>
      </w:r>
      <w:r w:rsidRPr="00C32D97">
        <w:t xml:space="preserve"> stanowi uzupełninie implementacji art. 260 ust. 7 dyrektywy </w:t>
      </w:r>
      <w:r>
        <w:t>2009/138/WE</w:t>
      </w:r>
      <w:r w:rsidRPr="00C32D97">
        <w:t>. Zgodnie z proponowaną regulacją organ nadzoru pełniący obowiązki organu sprawującego nadzór nad grupą powinien wykonywać zadania organu sprawującego nadzór nad grupą, jeżeli w skład grupy wchodzi zakład ubezpieczeń lub zakład reasekuracji z siedzibą w państwie członkowskim Unii Europejskiej, którego suma aktywów bilansu jest wyższa niż suma aktywów bilansu jednostki dominującej z siedzibą w państwie niebędącym państwem członkowskim Unii Europejskiej. Jeżeli w skład grupy wchodzi taki zakład ubezpieczeń lub zakład reasekuracji, organ nadzoru nie polega na nadzorze sprawowanym przez organy nadzorcze państwa trzeciego, pomimo uznania systemu nadzoru tego państwa za równoważny.</w:t>
      </w:r>
    </w:p>
    <w:p w14:paraId="6D014454" w14:textId="33248C34" w:rsidR="00102244" w:rsidRDefault="00102244" w:rsidP="00102244">
      <w:pPr>
        <w:pStyle w:val="ARTartustawynprozporzdzenia"/>
      </w:pPr>
      <w:r w:rsidRPr="00BF2F19">
        <w:rPr>
          <w:rStyle w:val="Ppogrubienie"/>
        </w:rPr>
        <w:t>Art.</w:t>
      </w:r>
      <w:r w:rsidR="00355A96">
        <w:rPr>
          <w:rStyle w:val="Ppogrubienie"/>
        </w:rPr>
        <w:t xml:space="preserve"> 17</w:t>
      </w:r>
      <w:r w:rsidRPr="00BF2F19">
        <w:rPr>
          <w:rStyle w:val="Ppogrubienie"/>
        </w:rPr>
        <w:t xml:space="preserve"> pkt </w:t>
      </w:r>
      <w:r w:rsidR="00EF05EC">
        <w:rPr>
          <w:rStyle w:val="Ppogrubienie"/>
        </w:rPr>
        <w:t>8</w:t>
      </w:r>
      <w:r w:rsidRPr="00BF2F19">
        <w:t xml:space="preserve"> wprowadza natomiast sankcje karne za </w:t>
      </w:r>
      <w:r w:rsidR="008E7780">
        <w:t>nieopracowanie lub nieopublikowanie polityki dotyczącej zaangażowania lub</w:t>
      </w:r>
      <w:r w:rsidR="008E7780" w:rsidRPr="00BF2F19">
        <w:t xml:space="preserve"> informac</w:t>
      </w:r>
      <w:r w:rsidR="008E7780">
        <w:t>ji, o których mowa w art. 222d, a także za</w:t>
      </w:r>
      <w:r w:rsidR="008E7780" w:rsidRPr="00BF2F19">
        <w:t xml:space="preserve"> </w:t>
      </w:r>
      <w:r w:rsidRPr="00BF2F19">
        <w:t xml:space="preserve">przekazywanie nieprawdziwych lub zatajanie prawdziwych </w:t>
      </w:r>
      <w:r w:rsidR="008E7780">
        <w:t>danych</w:t>
      </w:r>
      <w:r w:rsidRPr="00BF2F19">
        <w:t xml:space="preserve"> w </w:t>
      </w:r>
      <w:r w:rsidR="008E7780">
        <w:t>tych dokumentach</w:t>
      </w:r>
      <w:r w:rsidRPr="00BF2F19">
        <w:t>. Działanie takie będzie zagrożone karą grzywny</w:t>
      </w:r>
      <w:r w:rsidR="00964C2E">
        <w:t>, ograniczenia wolności</w:t>
      </w:r>
      <w:r w:rsidRPr="00BF2F19">
        <w:t xml:space="preserve"> lub pozbawienia wolności</w:t>
      </w:r>
      <w:r w:rsidR="00964C2E">
        <w:t xml:space="preserve"> do roku,</w:t>
      </w:r>
      <w:r w:rsidRPr="00BF2F19">
        <w:t xml:space="preserve"> co z jednej strony zapewni odstraszający charakter kary, z drugiej zaś strony zachowany zostanie wymóg jej proporcjonalności. Wysokość tych kar skorelowana jest z wysokością sankcji za naruszenie analogicznych przepisów dotyczących pracowniczych funduszy emerytalnych, funduszy inwestycyjnych i firm inwestycyjnych.</w:t>
      </w:r>
    </w:p>
    <w:p w14:paraId="64A73523" w14:textId="77777777" w:rsidR="00863A5A" w:rsidRPr="00BF2F19" w:rsidRDefault="00863A5A" w:rsidP="00102244">
      <w:pPr>
        <w:pStyle w:val="ARTartustawynprozporzdzenia"/>
      </w:pPr>
      <w:r w:rsidRPr="00863A5A">
        <w:rPr>
          <w:rStyle w:val="Ppogrubienie"/>
        </w:rPr>
        <w:t>Art. 18</w:t>
      </w:r>
      <w:r>
        <w:t xml:space="preserve"> wprowadza jedną zmianę do ustawy z dnia 9 czerwca 2016 r. o zasadach kształtowania wynagrodzeń osób kierujących niektórymi spółkami (Dz. U. z 2017 r. poz. 2190, z późn. zm.). Zmiana ta polega na ujednoliceniu definicji spółki publicznej, zawartej w tej ustawie z definicją występującą w ustawie o ofercie publicznej.</w:t>
      </w:r>
    </w:p>
    <w:p w14:paraId="7DAE6BD5" w14:textId="7E2C3F1C" w:rsidR="00351C62" w:rsidRPr="00BF2F19" w:rsidRDefault="003E3275" w:rsidP="00102244">
      <w:pPr>
        <w:pStyle w:val="ARTartustawynprozporzdzenia"/>
      </w:pPr>
      <w:r w:rsidRPr="00BF2F19">
        <w:rPr>
          <w:rStyle w:val="Ppogrubienie"/>
        </w:rPr>
        <w:t>Art. 1</w:t>
      </w:r>
      <w:r w:rsidR="00863A5A">
        <w:rPr>
          <w:rStyle w:val="Ppogrubienie"/>
        </w:rPr>
        <w:t>9</w:t>
      </w:r>
      <w:r w:rsidRPr="00BF2F19">
        <w:t xml:space="preserve"> wprowadza zmiany do ustawy z dnia 10 czerwca 2016 r. o Bankowym Funduszu Gwarancyjnym, systemie gwarantowania depozytów oraz przymusowej restrukturyzacji</w:t>
      </w:r>
      <w:r w:rsidR="00B55C8B">
        <w:t xml:space="preserve"> (Dz. U. z 2017 r. poz. 1937, z późn. zm.)</w:t>
      </w:r>
      <w:r w:rsidR="00EA091B">
        <w:t xml:space="preserve">, zwanej dalej </w:t>
      </w:r>
      <w:r w:rsidR="00EA091B" w:rsidRPr="00A86495">
        <w:t>„</w:t>
      </w:r>
      <w:r w:rsidR="00EA091B">
        <w:t>ustawą o Bankowym Funduszu Gwarancyjnym</w:t>
      </w:r>
      <w:r w:rsidR="00EA091B" w:rsidRPr="00A86495">
        <w:t>”</w:t>
      </w:r>
      <w:r w:rsidR="00787D68">
        <w:t>.</w:t>
      </w:r>
    </w:p>
    <w:p w14:paraId="276BCEB4" w14:textId="77777777" w:rsidR="003E3275" w:rsidRDefault="00863A5A" w:rsidP="00102244">
      <w:pPr>
        <w:pStyle w:val="ARTartustawynprozporzdzenia"/>
      </w:pPr>
      <w:r>
        <w:rPr>
          <w:rStyle w:val="Ppogrubienie"/>
        </w:rPr>
        <w:t>Art. 19</w:t>
      </w:r>
      <w:r w:rsidR="003E3275" w:rsidRPr="00BF2F19">
        <w:rPr>
          <w:rStyle w:val="Ppogrubienie"/>
        </w:rPr>
        <w:t xml:space="preserve"> pkt 1</w:t>
      </w:r>
      <w:r w:rsidR="003E3275" w:rsidRPr="00BF2F19">
        <w:t xml:space="preserve"> dodaje w słowniczku ustawowym skrótowe oznaczenia dwóch rozporządzeń, tj. rozporządzenia 596/2014 i rozporządzenia 2017/1129.</w:t>
      </w:r>
    </w:p>
    <w:p w14:paraId="6DE5A0D6" w14:textId="77777777" w:rsidR="00B55C8B" w:rsidRPr="00BF2F19" w:rsidRDefault="00863A5A" w:rsidP="00102244">
      <w:pPr>
        <w:pStyle w:val="ARTartustawynprozporzdzenia"/>
      </w:pPr>
      <w:r>
        <w:rPr>
          <w:rStyle w:val="Ppogrubienie"/>
        </w:rPr>
        <w:t>Art. 19</w:t>
      </w:r>
      <w:r w:rsidR="00B55C8B" w:rsidRPr="00B55C8B">
        <w:rPr>
          <w:rStyle w:val="Ppogrubienie"/>
        </w:rPr>
        <w:t xml:space="preserve"> pkt 2</w:t>
      </w:r>
      <w:r w:rsidR="00B55C8B">
        <w:t xml:space="preserve"> dodaje odwołanie do rozporządzenia 2017/1129 w art. 109 ust. 5, który mówi o papierach wartościowych dopuszczonych do obrotu na rynku regulowanym.</w:t>
      </w:r>
    </w:p>
    <w:p w14:paraId="1D581C98" w14:textId="77777777" w:rsidR="00425F49" w:rsidRPr="00425F49" w:rsidRDefault="00863A5A" w:rsidP="00425F49">
      <w:pPr>
        <w:pStyle w:val="ARTartustawynprozporzdzenia"/>
      </w:pPr>
      <w:r>
        <w:rPr>
          <w:rStyle w:val="Ppogrubienie"/>
        </w:rPr>
        <w:t>Art. 19</w:t>
      </w:r>
      <w:r w:rsidR="00B55C8B" w:rsidRPr="00425F49">
        <w:rPr>
          <w:rStyle w:val="Ppogrubienie"/>
        </w:rPr>
        <w:t xml:space="preserve"> pkt 3</w:t>
      </w:r>
      <w:r w:rsidR="007D2802">
        <w:t xml:space="preserve"> </w:t>
      </w:r>
      <w:r w:rsidR="00425F49">
        <w:t xml:space="preserve">służy wyłączeniu </w:t>
      </w:r>
      <w:r w:rsidR="00425F49" w:rsidRPr="00425F49">
        <w:t>stosowania wobec spółki prawa handlowego, która jest podmiotem przymusowej restrukturyzacji, przepisów</w:t>
      </w:r>
      <w:r w:rsidR="00425F49">
        <w:t xml:space="preserve"> rozdziałów 4a i 4b ustawy o ofercie publicznej. W</w:t>
      </w:r>
      <w:r w:rsidR="00425F49" w:rsidRPr="00425F49">
        <w:t xml:space="preserve"> przymusowej restrukturyzacji kompetencje walnego zgromadzenia akcjonariuszy przechodzą na </w:t>
      </w:r>
      <w:r w:rsidR="00425F49">
        <w:t xml:space="preserve">Bankowy </w:t>
      </w:r>
      <w:r w:rsidR="00425F49" w:rsidRPr="00425F49">
        <w:t>Fundusz</w:t>
      </w:r>
      <w:r w:rsidR="00425F49">
        <w:t xml:space="preserve"> Gwarancyjny</w:t>
      </w:r>
      <w:r w:rsidR="00425F49" w:rsidRPr="00425F49">
        <w:t>, a sam organ ulega zawieszeniu. Oznacza to, że z chwilą wszczęcia przymusowej restrukturyzacji kompetencja do określenia polityki wynagrodzeń dla członków zarządu i rady nadzorczej przechodzi na Fundusz. Należy jednak zauważyć, że wydanie decyzji o wszczęciu przymusowej restrukturyzacji ma ten skutek, że zarząd ulega rozwiązaniu, a kompetencje rady nadzorczej zostają zawieszone (z wyjątkami przewidzianymi w ustawie). Kolejną konsekwencją wszczęcia przymusowej restrukturyzacji jest wygaśn</w:t>
      </w:r>
      <w:r w:rsidR="00425F49">
        <w:t xml:space="preserve">ięcie prawa osób wchodzących w </w:t>
      </w:r>
      <w:r w:rsidR="00425F49" w:rsidRPr="00425F49">
        <w:t xml:space="preserve">skład organów podmiotu w restrukturyzacji do wynagrodzenia od dnia wszczęcia przymusowej restrukturyzacji. Z powyższych względów </w:t>
      </w:r>
      <w:r w:rsidR="00425F49">
        <w:t>zasadne jest wyłączenie</w:t>
      </w:r>
      <w:r w:rsidR="00425F49" w:rsidRPr="00425F49">
        <w:t xml:space="preserve"> w</w:t>
      </w:r>
      <w:r w:rsidR="00425F49">
        <w:t xml:space="preserve"> przypadku</w:t>
      </w:r>
      <w:r w:rsidR="00425F49" w:rsidRPr="00425F49">
        <w:t xml:space="preserve"> przymusowej restrukturyzacji pr</w:t>
      </w:r>
      <w:r w:rsidR="00425F49">
        <w:t>zepisów</w:t>
      </w:r>
      <w:r w:rsidR="00425F49" w:rsidRPr="00425F49">
        <w:t xml:space="preserve"> </w:t>
      </w:r>
      <w:r w:rsidR="00425F49">
        <w:t>rozdziału 4a ustawy o ofercie publicznej dotyczących</w:t>
      </w:r>
      <w:r w:rsidR="00425F49" w:rsidRPr="00425F49">
        <w:t xml:space="preserve"> polityki wynagrodzeń.</w:t>
      </w:r>
    </w:p>
    <w:p w14:paraId="584DA798" w14:textId="4DC7E0CF" w:rsidR="003E3275" w:rsidRDefault="00425F49" w:rsidP="00425F49">
      <w:pPr>
        <w:pStyle w:val="ARTartustawynprozporzdzenia"/>
      </w:pPr>
      <w:r>
        <w:t>Istnieje także konieczność</w:t>
      </w:r>
      <w:r w:rsidRPr="00425F49">
        <w:t xml:space="preserve"> wyłączenia z procedury przymusowej restrukturyzacji przepisów dotyczących transakcji z podmiotami powiązanymi, określonymi w </w:t>
      </w:r>
      <w:r>
        <w:t>rozdziale 4b ustawy o ofercie publicznej</w:t>
      </w:r>
      <w:r w:rsidRPr="00425F49">
        <w:t>. Projektowane przepisy mają charakter ograniczający, w tym sensie, że na dokonanie istotnej transakcji z podmiotami powiązanymi wymagana jest zgoda rady nadzorczej spółki</w:t>
      </w:r>
      <w:r>
        <w:t>, a jak wskazano wcześniej, kompetencje rady nadzorczej ulegają w przymusowej restrukturyzacji zawieszeniu</w:t>
      </w:r>
      <w:r w:rsidRPr="00425F49">
        <w:t xml:space="preserve">. Dodatkowe projektowane przepisy mają charakter informacyjny, bowiem nakładają na spółkę obowiązek informowania o istotnych transakcjach z podmiotami powiązanymi. Ze względu na funkcję jaką w systemie prawa ma spełniać przymusowa restrukturyzacja, a w szczególności na szybkość i efektywność przymusowej restrukturyzacji, </w:t>
      </w:r>
      <w:r>
        <w:t>zasadne jest więc wyłączenie stosowania także tych przepisów</w:t>
      </w:r>
      <w:r w:rsidRPr="00425F49">
        <w:t>.</w:t>
      </w:r>
    </w:p>
    <w:p w14:paraId="36234AC9" w14:textId="18A9F325" w:rsidR="00BF2F19" w:rsidRPr="00BF2F19" w:rsidRDefault="00BF2F19" w:rsidP="00102244">
      <w:pPr>
        <w:pStyle w:val="ARTartustawynprozporzdzenia"/>
      </w:pPr>
      <w:r>
        <w:t xml:space="preserve">Zmiana zaproponowana w </w:t>
      </w:r>
      <w:r w:rsidR="00863A5A">
        <w:rPr>
          <w:rStyle w:val="Ppogrubienie"/>
        </w:rPr>
        <w:t>art. 19</w:t>
      </w:r>
      <w:r w:rsidRPr="00B55C8B">
        <w:rPr>
          <w:rStyle w:val="Ppogrubienie"/>
        </w:rPr>
        <w:t xml:space="preserve"> pkt </w:t>
      </w:r>
      <w:r w:rsidR="006302BF">
        <w:rPr>
          <w:rStyle w:val="Ppogrubienie"/>
        </w:rPr>
        <w:t>4</w:t>
      </w:r>
      <w:r>
        <w:t xml:space="preserve"> związana jest z projektowanym uchyleniem art. 57 ustawy o ofercie publicznej, a jednocześnie ma na celu dostosowanie polskiego prawa do rozporządzenia 596/2014. Proponowany przepis jest zgodny z art. 39 ust. 2 akapit trzeci dyrektywy Parlamentu Europejskiego i Rady 2014/59/UE z dnia 15 maja 2014 r. ustanawiającej ramy na potrzeby prowadzenia działań naprawczych oraz restrukturyzacji i uporządkowanej likwidacji w odniesieniu do instytucji kredytowych i firm inwestycyjnych oraz zmieniającej dyrektywę Rady 82/891/EWG i dyrektywy Parlamentu Europejskiego i Rady 2001/24/WE, 2002/47/WE, 2004/25/WE, 2005/56/WE, 2007/36/WE, 2011/35/UE, 2012/30/UE i 2013/36/UE oraz rozporządzenia Parlamentu Europejskiego i Rady (UE) nr 1093/2010 i (UE) nr 648/2012 (Dz. Urz. UE L 173 z 12.06.2014, str. 190, z późn. zm.).</w:t>
      </w:r>
    </w:p>
    <w:p w14:paraId="02F8CF53" w14:textId="4CF48AD7" w:rsidR="003E3275" w:rsidRDefault="003E3275" w:rsidP="00102244">
      <w:pPr>
        <w:pStyle w:val="ARTartustawynprozporzdzenia"/>
      </w:pPr>
      <w:r w:rsidRPr="00BF2F19">
        <w:t xml:space="preserve">Na mocy </w:t>
      </w:r>
      <w:r w:rsidR="00863A5A">
        <w:rPr>
          <w:rStyle w:val="Ppogrubienie"/>
        </w:rPr>
        <w:t>art. 19</w:t>
      </w:r>
      <w:r w:rsidR="00B55C8B">
        <w:rPr>
          <w:rStyle w:val="Ppogrubienie"/>
        </w:rPr>
        <w:t xml:space="preserve"> pkt </w:t>
      </w:r>
      <w:r w:rsidR="006302BF">
        <w:rPr>
          <w:rStyle w:val="Ppogrubienie"/>
        </w:rPr>
        <w:t>5</w:t>
      </w:r>
      <w:r w:rsidRPr="00BF2F19">
        <w:rPr>
          <w:rStyle w:val="Ppogrubienie"/>
        </w:rPr>
        <w:t xml:space="preserve"> projektu ustawy</w:t>
      </w:r>
      <w:r w:rsidRPr="00BF2F19">
        <w:t>, w art. 212 nowelizowanej ustawy dotychczasowe odesłanie do uchylanego art. 7 ustawy o ofercie publicznej zostało zastąpione odesłaniem do analogicznych przepisów art. 3 ust. 1 i 3 rozporządzenia 2017/1129.</w:t>
      </w:r>
    </w:p>
    <w:p w14:paraId="1E364F83" w14:textId="77777777" w:rsidR="00100480" w:rsidRDefault="00D62E0D" w:rsidP="00D62E0D">
      <w:pPr>
        <w:pStyle w:val="ARTartustawynprozporzdzenia"/>
      </w:pPr>
      <w:r w:rsidRPr="00D62E0D">
        <w:t xml:space="preserve">Projektowane </w:t>
      </w:r>
      <w:r>
        <w:t xml:space="preserve">w </w:t>
      </w:r>
      <w:r w:rsidR="00863A5A">
        <w:rPr>
          <w:rStyle w:val="Ppogrubienie"/>
        </w:rPr>
        <w:t>art. 20</w:t>
      </w:r>
      <w:r w:rsidRPr="00D62E0D">
        <w:rPr>
          <w:rStyle w:val="Ppogrubienie"/>
        </w:rPr>
        <w:t xml:space="preserve"> projektu ustawy</w:t>
      </w:r>
      <w:r>
        <w:t xml:space="preserve"> </w:t>
      </w:r>
      <w:r w:rsidR="004A60EA">
        <w:t xml:space="preserve">przepisy nowelizują </w:t>
      </w:r>
      <w:r w:rsidRPr="00D62E0D">
        <w:t>ustawę z dnia 23 marca 2017 r. o kredycie hipotecznym oraz o nadzorze nad pośrednikami kredytu hipotecznego i agentami (Dz. U. poz. 819</w:t>
      </w:r>
      <w:r>
        <w:t>, z późn. zm.</w:t>
      </w:r>
      <w:r w:rsidR="00100480">
        <w:t>).</w:t>
      </w:r>
    </w:p>
    <w:p w14:paraId="24951C73" w14:textId="77777777" w:rsidR="00100480" w:rsidRPr="00C86928" w:rsidRDefault="00100480" w:rsidP="00100480">
      <w:pPr>
        <w:pStyle w:val="ARTartustawynprozporzdzenia"/>
      </w:pPr>
      <w:r>
        <w:t>Przedmiotowa u</w:t>
      </w:r>
      <w:r w:rsidRPr="00CE5060">
        <w:t>staw</w:t>
      </w:r>
      <w:r>
        <w:t>a</w:t>
      </w:r>
      <w:r w:rsidRPr="00CE5060">
        <w:t xml:space="preserve"> w zakresie swojej regulacji wdraża postanowienia dyrektywy Parlamentu Europejskiego i Rady 2014/17/UE z dnia 4 lutego 2014 r. w sprawie konsumenckich umów o kredyt związanych z nieruchomościami mieszkalnymi i zmieniającej dyrektywy 2008/48/WE i 2013/36/UE oraz r</w:t>
      </w:r>
      <w:r>
        <w:t xml:space="preserve">ozporządzenie (UE) nr 1093/2010 (Dz. Urz. UE L 60 z 28.02.2014, str. 34), zwanej dalej </w:t>
      </w:r>
      <w:r w:rsidRPr="00BF2F19">
        <w:t>„</w:t>
      </w:r>
      <w:r>
        <w:t>dyrektywą 2014/17/UE</w:t>
      </w:r>
      <w:r w:rsidRPr="0076785F">
        <w:t>”</w:t>
      </w:r>
      <w:r>
        <w:t>,</w:t>
      </w:r>
      <w:r w:rsidRPr="00C86928">
        <w:t xml:space="preserve"> a jej przepisy co do zasady obowiązują od dnia 22 lipca 2017 r.</w:t>
      </w:r>
    </w:p>
    <w:p w14:paraId="077139AE" w14:textId="77777777" w:rsidR="00100480" w:rsidRDefault="00100480" w:rsidP="00100480">
      <w:pPr>
        <w:pStyle w:val="ARTartustawynprozporzdzenia"/>
      </w:pPr>
      <w:r w:rsidRPr="00C86928">
        <w:t xml:space="preserve">W </w:t>
      </w:r>
      <w:r>
        <w:t xml:space="preserve">związku z dokonanym przeglądem regulacji ustawy </w:t>
      </w:r>
      <w:r w:rsidRPr="0080252A">
        <w:t>o kredycie hipotecznym oraz o nadzorze nad pośrednikami kredytu hipotecznego</w:t>
      </w:r>
      <w:r>
        <w:t xml:space="preserve">, Komisja Europejska zgłosiła wątpliwości co do wdrożenia kliku artykułów dyrektywy </w:t>
      </w:r>
      <w:r w:rsidRPr="00766330">
        <w:t>2014/17/UE</w:t>
      </w:r>
      <w:r>
        <w:t xml:space="preserve">, które w opinii KE nie znajdują odzwierciedlenia w prawie krajowym. Zakres wskazanych przez Komisję Europejską unijnych regulacji obejmuje następujące przepisy dyrektywy </w:t>
      </w:r>
      <w:r w:rsidRPr="007E7108">
        <w:t>2014/17/UE</w:t>
      </w:r>
      <w:r>
        <w:t>: art. 29 ust. 5, art. 29 ust. 9, art. 34 ust. 5 i art. 36 ust. 4.</w:t>
      </w:r>
    </w:p>
    <w:p w14:paraId="1DBE69C8" w14:textId="77777777" w:rsidR="00100480" w:rsidRPr="00100480" w:rsidRDefault="00100480" w:rsidP="00100480">
      <w:pPr>
        <w:pStyle w:val="ARTartustawynprozporzdzenia"/>
      </w:pPr>
      <w:r>
        <w:t xml:space="preserve">Przepisy te dotyczą </w:t>
      </w:r>
      <w:r w:rsidRPr="00100480">
        <w:t>wprowadzenia wymogów odnośnie do miejsca siedziby zarządu przedsiębiorcy prowadzącego działalność w zakresie pośrednictwa kredytu hipotecznego, możliwości przeprowadzania kontroli przez właściwe organy nadzorcze pośredników i agentów prowadzących działalności na terytorium RP poprzez oddział oraz zasad wymiany informacji, w tym odmowy jej przekazania, pomiędzy organami nadzorczymi państwa macierzystego i goszczącego dla celów sprawowanego nadzoru.</w:t>
      </w:r>
    </w:p>
    <w:p w14:paraId="2CECDF85" w14:textId="77777777" w:rsidR="00100480" w:rsidRDefault="00100480" w:rsidP="00100480">
      <w:pPr>
        <w:pStyle w:val="ARTartustawynprozporzdzenia"/>
      </w:pPr>
      <w:r>
        <w:t>Projektowany art. 48</w:t>
      </w:r>
      <w:r w:rsidRPr="00D62E0D">
        <w:t xml:space="preserve">a ustawy o kredycie hipotecznym oraz o nadzorze nad pośrednikami kredytu hipotecznego i agentami </w:t>
      </w:r>
      <w:r>
        <w:t>(</w:t>
      </w:r>
      <w:r w:rsidR="0045347A">
        <w:rPr>
          <w:rStyle w:val="Ppogrubienie"/>
        </w:rPr>
        <w:t>art. 20</w:t>
      </w:r>
      <w:r w:rsidRPr="00D62E0D">
        <w:rPr>
          <w:rStyle w:val="Ppogrubienie"/>
        </w:rPr>
        <w:t xml:space="preserve"> pkt 1 projektu ustawy</w:t>
      </w:r>
      <w:r>
        <w:t xml:space="preserve">) </w:t>
      </w:r>
      <w:r w:rsidRPr="00D62E0D">
        <w:t>ma na celu implementację art. 29 ust. 5 dyrektywy 2014/17/UE</w:t>
      </w:r>
      <w:r>
        <w:t>.</w:t>
      </w:r>
    </w:p>
    <w:p w14:paraId="1647BE32" w14:textId="77777777" w:rsidR="00D62E0D" w:rsidRDefault="00D62E0D" w:rsidP="00D62E0D">
      <w:pPr>
        <w:pStyle w:val="ARTartustawynprozporzdzenia"/>
      </w:pPr>
      <w:r w:rsidRPr="00D62E0D">
        <w:t>Przepisy</w:t>
      </w:r>
      <w:r>
        <w:t xml:space="preserve"> nowelizowanego art. 70 ust. 6 i </w:t>
      </w:r>
      <w:r w:rsidRPr="00D62E0D">
        <w:t xml:space="preserve">7 </w:t>
      </w:r>
      <w:r>
        <w:t>(</w:t>
      </w:r>
      <w:r w:rsidR="0045347A">
        <w:rPr>
          <w:rStyle w:val="Ppogrubienie"/>
        </w:rPr>
        <w:t>art. 20</w:t>
      </w:r>
      <w:r w:rsidRPr="00D62E0D">
        <w:rPr>
          <w:rStyle w:val="Ppogrubienie"/>
        </w:rPr>
        <w:t xml:space="preserve"> pkt 2 projektu ustawy</w:t>
      </w:r>
      <w:r>
        <w:t xml:space="preserve">) </w:t>
      </w:r>
      <w:r w:rsidRPr="00D62E0D">
        <w:t>wdrażają natomiast art. 36 ust. 4 dyrektywy</w:t>
      </w:r>
      <w:r>
        <w:t xml:space="preserve"> 2014/17/UE.</w:t>
      </w:r>
    </w:p>
    <w:p w14:paraId="59584593" w14:textId="77777777" w:rsidR="00D62E0D" w:rsidRDefault="0045347A" w:rsidP="00D62E0D">
      <w:pPr>
        <w:pStyle w:val="ARTartustawynprozporzdzenia"/>
      </w:pPr>
      <w:r>
        <w:rPr>
          <w:rStyle w:val="Ppogrubienie"/>
        </w:rPr>
        <w:t>Art. 20</w:t>
      </w:r>
      <w:r w:rsidR="00D62E0D" w:rsidRPr="00D62E0D">
        <w:rPr>
          <w:rStyle w:val="Ppogrubienie"/>
        </w:rPr>
        <w:t xml:space="preserve"> pkt 3</w:t>
      </w:r>
      <w:r w:rsidR="00D62E0D">
        <w:t>, dodając art. 72a ust. 5 i 6, także służy implementacji art. 36 ust. 4 dyrektywy 2014/17/UE</w:t>
      </w:r>
      <w:r w:rsidR="00D62E0D" w:rsidRPr="00D62E0D">
        <w:t>.</w:t>
      </w:r>
      <w:r w:rsidR="00D62E0D">
        <w:t xml:space="preserve"> Dodawane</w:t>
      </w:r>
      <w:r w:rsidR="00D62E0D" w:rsidRPr="00D62E0D">
        <w:t xml:space="preserve"> </w:t>
      </w:r>
      <w:r w:rsidR="00D62E0D">
        <w:t>tym samym przepisem</w:t>
      </w:r>
      <w:r w:rsidR="00D62E0D" w:rsidRPr="00D62E0D">
        <w:t xml:space="preserve"> art. 72a ust. 1</w:t>
      </w:r>
      <w:r w:rsidR="00D62E0D">
        <w:t>–</w:t>
      </w:r>
      <w:r w:rsidR="00D62E0D" w:rsidRPr="00D62E0D">
        <w:t>4 wdraża</w:t>
      </w:r>
      <w:r w:rsidR="00D62E0D">
        <w:t>ją z kolei</w:t>
      </w:r>
      <w:r w:rsidR="00D62E0D" w:rsidRPr="00D62E0D">
        <w:t xml:space="preserve"> postanowienia art.</w:t>
      </w:r>
      <w:r w:rsidR="00D62E0D">
        <w:t xml:space="preserve"> 34 ust. 5 dyrektywy 2014/17/UE.</w:t>
      </w:r>
    </w:p>
    <w:p w14:paraId="2A720832" w14:textId="77777777" w:rsidR="00100480" w:rsidRPr="00542392" w:rsidRDefault="00100480" w:rsidP="00100480">
      <w:pPr>
        <w:pStyle w:val="ARTartustawynprozporzdzenia"/>
      </w:pPr>
      <w:r w:rsidRPr="00542392">
        <w:t>Zgodnie z art. 29 ust. 9 dyrektywy 2014/17/UE wymogi określone w art. 29 dotyczące dopuszczenia do działalności pośredników kredytu hipotecznego nie mają zastosowania do instytucji kredytowych oraz innych instytucji finansowych, na warunkach wymienionych w dyrektywie.</w:t>
      </w:r>
      <w:r>
        <w:t xml:space="preserve"> </w:t>
      </w:r>
      <w:r w:rsidRPr="00542392">
        <w:t>Należy wskazać, iż zakres wyłączeń wymogów w dotychczasowym art. 61 ustawy o kredycie hipotecznym odpowiada artykułowi 29 dyrektywy, przy czym zakres ten uległ rozszerzeniu w związku z dodanym</w:t>
      </w:r>
      <w:r>
        <w:t xml:space="preserve"> art. 48a</w:t>
      </w:r>
      <w:r w:rsidRPr="00542392">
        <w:t xml:space="preserve"> nowelizowanej ustaw</w:t>
      </w:r>
      <w:r>
        <w:t>y w art. 19 projektu. Tym samym</w:t>
      </w:r>
      <w:r w:rsidRPr="00542392">
        <w:t xml:space="preserve"> obecnie art. 61</w:t>
      </w:r>
      <w:r>
        <w:t>,</w:t>
      </w:r>
      <w:r w:rsidRPr="00542392">
        <w:t xml:space="preserve"> </w:t>
      </w:r>
      <w:r>
        <w:t xml:space="preserve">który wyłącza m.in. art. 48–51, </w:t>
      </w:r>
      <w:r w:rsidRPr="00542392">
        <w:t>obejmować będzie również wyłączenie wymogu zawartego w art. 29 ust. 5 dyrektywy (na konieczność ww. wyłączenia wskazano w opinii Komisji Europejskiej).</w:t>
      </w:r>
    </w:p>
    <w:p w14:paraId="73B1404D" w14:textId="77777777" w:rsidR="00100480" w:rsidRDefault="00100480" w:rsidP="00100480">
      <w:pPr>
        <w:pStyle w:val="ARTartustawynprozporzdzenia"/>
      </w:pPr>
      <w:r w:rsidRPr="00542392">
        <w:t xml:space="preserve">Wyłączenia przewidziane w art. 61 dotyczą kredytodawców, którymi w myśl art. 4 pkt 8 ustawy </w:t>
      </w:r>
      <w:r w:rsidRPr="00D62E0D">
        <w:t>z dnia 23 marca 2017 r.</w:t>
      </w:r>
      <w:r>
        <w:t xml:space="preserve"> </w:t>
      </w:r>
      <w:r w:rsidRPr="00542392">
        <w:t>o kredycie hipotecznym oraz o nadzorze nad pośrednikami kredytu hipotecznego i agentami są instytucje kredytowe, prowadzące działalność w oparciu o zezwolenie wydane przez organ nadzoru (posiadają zezwolenie zgodnie z dyrektywą Parlamentu Europejskiego i Rady 2013/36/UE).</w:t>
      </w:r>
    </w:p>
    <w:p w14:paraId="71FCB784" w14:textId="77777777" w:rsidR="00A93C9D" w:rsidRDefault="0045347A" w:rsidP="00102244">
      <w:pPr>
        <w:pStyle w:val="ARTartustawynprozporzdzenia"/>
      </w:pPr>
      <w:r>
        <w:rPr>
          <w:rStyle w:val="Ppogrubienie"/>
        </w:rPr>
        <w:t>Art. 21</w:t>
      </w:r>
      <w:r w:rsidR="00A93C9D" w:rsidRPr="00A93C9D">
        <w:rPr>
          <w:rStyle w:val="Ppogrubienie"/>
        </w:rPr>
        <w:t xml:space="preserve"> projektu ustawy</w:t>
      </w:r>
      <w:r w:rsidR="00A93C9D">
        <w:t xml:space="preserve"> dokonuje zmiany w ustawie z dnia 11 maja 2017 r. o biegłych rewidentach, firmach audytor</w:t>
      </w:r>
      <w:r w:rsidR="004A6A00">
        <w:t>skich oraz nadzorze publicznym</w:t>
      </w:r>
      <w:r w:rsidR="00A93C9D">
        <w:t xml:space="preserve"> przez nowelizację art. 130 ust. 5 tej ustawy. Ponieważ przepis ten odwołuje się do art. 25 ustawy o ofercie publicznej, który zgodnie z niniejszym projektem ma zostać uchylony, konieczne jest odesłanie w tym przepisie do definicji małych i średnich przedsiębiorstw oraz do kryteriów uznania </w:t>
      </w:r>
      <w:r w:rsidR="00BA5A90">
        <w:t>emitenta</w:t>
      </w:r>
      <w:r w:rsidR="00A93C9D">
        <w:t xml:space="preserve"> za </w:t>
      </w:r>
      <w:r w:rsidR="00BA5A90">
        <w:t>podmiot o obniżonej kapitalizacji zawartych w rozporządzeniu 2017/1129.</w:t>
      </w:r>
    </w:p>
    <w:p w14:paraId="07193260" w14:textId="6C9ABC16" w:rsidR="00D966D1" w:rsidRPr="00BF2F19" w:rsidRDefault="00355A96" w:rsidP="00102244">
      <w:pPr>
        <w:pStyle w:val="ARTartustawynprozporzdzenia"/>
      </w:pPr>
      <w:r>
        <w:rPr>
          <w:rStyle w:val="Ppogrubienie"/>
        </w:rPr>
        <w:t>Art. 2</w:t>
      </w:r>
      <w:r w:rsidR="0045347A">
        <w:rPr>
          <w:rStyle w:val="Ppogrubienie"/>
        </w:rPr>
        <w:t>2</w:t>
      </w:r>
      <w:r w:rsidR="009D3E96">
        <w:t xml:space="preserve"> zmienia ustawę z dnia 12 kwietnia 2018 r. o zasadach pozyskiwania informacji o niekaralności osób ubiegających się o zatrudnienie i osób zatrudnionych w podmiotach sektora finansowego (Dz. U. poz. 1130). Projektowany przepis uzupełnia katalog przestępstw, o których informacji ma prawo żądać podmiot sektora finansowego od osoby ubiegającej się o zatrudnienie lub os</w:t>
      </w:r>
      <w:r w:rsidR="001C1F91">
        <w:t>oby zatrudnionej, o przestępstwa z dodawanych</w:t>
      </w:r>
      <w:r w:rsidR="009D3E96">
        <w:t xml:space="preserve"> projektem ustawy art. 104b</w:t>
      </w:r>
      <w:r w:rsidR="001C1F91">
        <w:t>–104e</w:t>
      </w:r>
      <w:r w:rsidR="009D3E96">
        <w:t xml:space="preserve"> ustawy o ofercie publicznej.</w:t>
      </w:r>
    </w:p>
    <w:p w14:paraId="6CAE443F" w14:textId="77777777" w:rsidR="00351C62" w:rsidRDefault="0045347A" w:rsidP="00102244">
      <w:pPr>
        <w:pStyle w:val="ARTartustawynprozporzdzenia"/>
      </w:pPr>
      <w:r>
        <w:rPr>
          <w:rStyle w:val="Ppogrubienie"/>
        </w:rPr>
        <w:t>Art. 23</w:t>
      </w:r>
      <w:r w:rsidR="00351C62" w:rsidRPr="00BF2F19">
        <w:rPr>
          <w:rStyle w:val="Ppogrubienie"/>
        </w:rPr>
        <w:t xml:space="preserve"> </w:t>
      </w:r>
      <w:r w:rsidR="00351C62" w:rsidRPr="00BF2F19">
        <w:t>wprowadza jedną zmianę do ustawy z dnia 9 listopada 2018 r. o zmianie niektórych ustaw w związku ze wzmocnieniem nadzoru nad rynkiem finansowym oraz ochrony inwestorów na tym rynku. Zmiana ta jest analogiczna do z</w:t>
      </w:r>
      <w:r w:rsidR="00ED080F">
        <w:t>miany wprowadzanej przez art. 12</w:t>
      </w:r>
      <w:r w:rsidR="00351C62" w:rsidRPr="00BF2F19">
        <w:t xml:space="preserve"> pkt 7 lit. b i polega na dodaniu ust. 5a w art. 44, przewidującego że dane o dłużnych papierach wartościowych wyemitowanych przed dniem 1 lipca 2019 r. będą przekazywane za pomocą oprogramowania udostępnianego na stronie internetowej KDPW.</w:t>
      </w:r>
    </w:p>
    <w:p w14:paraId="747D07A4" w14:textId="77777777" w:rsidR="00160B1F" w:rsidRPr="00BF2F19" w:rsidRDefault="00160B1F" w:rsidP="00102244">
      <w:pPr>
        <w:pStyle w:val="ARTartustawynprozporzdzenia"/>
      </w:pPr>
      <w:r w:rsidRPr="00BF2F19">
        <w:t xml:space="preserve">Przepis przejściowy zawarty w </w:t>
      </w:r>
      <w:r w:rsidR="009A4B24">
        <w:rPr>
          <w:rStyle w:val="Ppogrubienie"/>
        </w:rPr>
        <w:t>art. 2</w:t>
      </w:r>
      <w:r w:rsidR="0045347A">
        <w:rPr>
          <w:rStyle w:val="Ppogrubienie"/>
        </w:rPr>
        <w:t>4</w:t>
      </w:r>
      <w:r w:rsidRPr="00BF2F19">
        <w:rPr>
          <w:rStyle w:val="Ppogrubienie"/>
        </w:rPr>
        <w:t xml:space="preserve"> </w:t>
      </w:r>
      <w:r w:rsidRPr="00BF2F19">
        <w:t>reguluje status spółek publicznych, których akcje nie były dopuszczone do obrotu na rynku regulowanym lub wprowadzone do obrotu w alternatywnym systemie obrotu.</w:t>
      </w:r>
    </w:p>
    <w:p w14:paraId="7B9B0800" w14:textId="77777777" w:rsidR="007B03CD" w:rsidRPr="00BF2F19" w:rsidRDefault="003A2945" w:rsidP="00102244">
      <w:pPr>
        <w:pStyle w:val="ARTartustawynprozporzdzenia"/>
      </w:pPr>
      <w:r>
        <w:rPr>
          <w:rStyle w:val="Ppogrubienie"/>
        </w:rPr>
        <w:t>Art. 2</w:t>
      </w:r>
      <w:r w:rsidR="0045347A">
        <w:rPr>
          <w:rStyle w:val="Ppogrubienie"/>
        </w:rPr>
        <w:t>5</w:t>
      </w:r>
      <w:r w:rsidR="007B03CD" w:rsidRPr="00BF2F19">
        <w:t xml:space="preserve"> przesądza, że wpisy dokonane do ewidencji papierów wartościowych będących przedmiotem oferty publicznej oraz dopuszczonych do obrotu na rynku regulowanym bądź wprowadzonych do alternatywnego systemu obrotu, które zostały dokonane przed dniem wejścia w życie projektowanej ustawy, zachowają moc.</w:t>
      </w:r>
    </w:p>
    <w:p w14:paraId="058ED7B9" w14:textId="77777777" w:rsidR="00715012" w:rsidRPr="00BF2F19" w:rsidRDefault="003A2945" w:rsidP="00102244">
      <w:pPr>
        <w:pStyle w:val="ARTartustawynprozporzdzenia"/>
      </w:pPr>
      <w:r>
        <w:rPr>
          <w:rStyle w:val="Ppogrubienie"/>
        </w:rPr>
        <w:t>Ar</w:t>
      </w:r>
      <w:r w:rsidR="009A4B24">
        <w:rPr>
          <w:rStyle w:val="Ppogrubienie"/>
        </w:rPr>
        <w:t>t. 2</w:t>
      </w:r>
      <w:r w:rsidR="0045347A">
        <w:rPr>
          <w:rStyle w:val="Ppogrubienie"/>
        </w:rPr>
        <w:t>6</w:t>
      </w:r>
      <w:r w:rsidR="00355A96">
        <w:rPr>
          <w:rStyle w:val="Ppogrubienie"/>
        </w:rPr>
        <w:t>–2</w:t>
      </w:r>
      <w:r w:rsidR="0045347A">
        <w:rPr>
          <w:rStyle w:val="Ppogrubienie"/>
        </w:rPr>
        <w:t>9</w:t>
      </w:r>
      <w:r w:rsidR="00715012" w:rsidRPr="00BF2F19">
        <w:rPr>
          <w:rStyle w:val="Ppogrubienie"/>
        </w:rPr>
        <w:t xml:space="preserve"> </w:t>
      </w:r>
      <w:r w:rsidR="00715012" w:rsidRPr="00BF2F19">
        <w:t>są przepisami przejściowymi regulującymi termin opracowania i publikacji przez podmioty do tego obowiązane pierwszej polityki dotyczącej zaangażowania, pierwszego sprawozdania z realizacji polityki dotyczącej zaangażowania oraz publikacji i przekazywania informacji dotyczących ustaleń z podmiotami zarządzającymi aktywami. Półroczny termin na opracowanie polityki dotyczącej zaangażowania oraz informacji dotyczących ustaleń z podmiotami zarządzającymi aktywami jest wystarczająco długi, aby podmioty, na które zostanie nałożony ten obowiązek, mogły rzetelnie się z niego wywiązać. Jednocześnie jest to termin zapewniający, że postanowienia dyrektywy 2017/828 zostaną wdrożone w praktyce wystarczająco szybko.</w:t>
      </w:r>
    </w:p>
    <w:p w14:paraId="53F68117" w14:textId="77777777" w:rsidR="00363F08" w:rsidRDefault="00715012" w:rsidP="00102244">
      <w:pPr>
        <w:pStyle w:val="ARTartustawynprozporzdzenia"/>
      </w:pPr>
      <w:r w:rsidRPr="00BF2F19">
        <w:t xml:space="preserve">Z kolei pierwsze sprawozdania z realizacji polityki dotyczącej </w:t>
      </w:r>
      <w:r w:rsidR="003F1D7C">
        <w:t>zaangażowania</w:t>
      </w:r>
      <w:r w:rsidRPr="00BF2F19">
        <w:t xml:space="preserve"> zostaną opracowane łącznie za 2019 i 2020 rok. </w:t>
      </w:r>
      <w:r w:rsidR="008F064A" w:rsidRPr="00BF2F19">
        <w:t>Biorąc pod uwagę, że podmioty do tego obowiązane będą mogły opracować pierwszą politykę dotyczącą zaangażowania do 10 grudnia 201</w:t>
      </w:r>
      <w:r w:rsidR="00EB525F">
        <w:t>9</w:t>
      </w:r>
      <w:r w:rsidR="008F064A" w:rsidRPr="00BF2F19">
        <w:t xml:space="preserve"> r.,</w:t>
      </w:r>
      <w:r w:rsidR="00363F08" w:rsidRPr="00BF2F19">
        <w:t xml:space="preserve"> zasadne jest umożliwienie im połączenia sprawozdań za dwa pierwsze lata kalendarzowe, aby nie musiały one sporządzać sprawozdania za bardzo krótki okres.</w:t>
      </w:r>
    </w:p>
    <w:p w14:paraId="32C321A1" w14:textId="7650D2DE" w:rsidR="001847FB" w:rsidRDefault="001847FB" w:rsidP="00102244">
      <w:pPr>
        <w:pStyle w:val="ARTartustawynprozporzdzenia"/>
      </w:pPr>
      <w:r w:rsidRPr="001C1F91">
        <w:rPr>
          <w:rStyle w:val="Ppogrubienie"/>
        </w:rPr>
        <w:t>Art. 30</w:t>
      </w:r>
      <w:r w:rsidR="001C1F91" w:rsidRPr="001C1F91">
        <w:rPr>
          <w:rStyle w:val="Ppogrubienie"/>
        </w:rPr>
        <w:t xml:space="preserve"> i art. 31</w:t>
      </w:r>
      <w:r w:rsidR="001C1F91">
        <w:t xml:space="preserve"> regulują sytuację akcjonariuszy spółek publicznych, którym na podstawie przepisów dotychczasowych przysługiwało </w:t>
      </w:r>
      <w:r w:rsidR="001C1F91" w:rsidRPr="001C1F91">
        <w:t>prawo do żądania od pozostałych akcjonariuszy sprzedaży akcji</w:t>
      </w:r>
      <w:r w:rsidR="001C1F91">
        <w:t xml:space="preserve"> lub </w:t>
      </w:r>
      <w:r w:rsidR="001C1F91" w:rsidRPr="001C1F91">
        <w:t>prawo do żądania wykupienia posiadanych przez nich akcji</w:t>
      </w:r>
      <w:r w:rsidR="001C1F91">
        <w:t>. Prawa te będą przysługiwać im nadal, pod warunkiem, że nie upłynęły</w:t>
      </w:r>
      <w:r w:rsidR="001C1F91" w:rsidRPr="001C1F91">
        <w:t xml:space="preserve"> termin</w:t>
      </w:r>
      <w:r w:rsidR="001C1F91">
        <w:t>y, o których</w:t>
      </w:r>
      <w:r w:rsidR="001C1F91" w:rsidRPr="001C1F91">
        <w:t xml:space="preserve"> mowa </w:t>
      </w:r>
      <w:r w:rsidR="001C1F91">
        <w:t xml:space="preserve">odpowiednio </w:t>
      </w:r>
      <w:r w:rsidR="001C1F91" w:rsidRPr="001C1F91">
        <w:t>w art. 82 ust. 1</w:t>
      </w:r>
      <w:r w:rsidR="001C1F91">
        <w:t xml:space="preserve"> oraz w art. 83 ust. 1</w:t>
      </w:r>
      <w:r w:rsidR="001C1F91" w:rsidRPr="001C1F91">
        <w:t xml:space="preserve"> w brzmieniu dotychczasowym</w:t>
      </w:r>
      <w:r w:rsidR="00FF21D3">
        <w:t>.</w:t>
      </w:r>
    </w:p>
    <w:p w14:paraId="7B00082C" w14:textId="7FE40B71" w:rsidR="001847FB" w:rsidRPr="00BF2F19" w:rsidRDefault="001847FB" w:rsidP="00102244">
      <w:pPr>
        <w:pStyle w:val="ARTartustawynprozporzdzenia"/>
      </w:pPr>
      <w:r w:rsidRPr="001C1F91">
        <w:rPr>
          <w:rStyle w:val="Ppogrubienie"/>
        </w:rPr>
        <w:t>Art. 32</w:t>
      </w:r>
      <w:r w:rsidR="001C1F91">
        <w:t xml:space="preserve"> przesądza, że do umów o subemisję inwestycyjną i o subemisję usługową, zawartych na podstawie przepisów dotychczasowych, będzie się stosować przepisy dotyczące umów o gwarancję emisji.</w:t>
      </w:r>
    </w:p>
    <w:p w14:paraId="4B467519" w14:textId="77777777" w:rsidR="00EB525F" w:rsidRPr="00EB525F" w:rsidRDefault="00EB525F" w:rsidP="00EB525F">
      <w:pPr>
        <w:pStyle w:val="NIEARTTEKSTtekstnieartykuowanynppodstprawnarozplubpreambua"/>
      </w:pPr>
      <w:r>
        <w:rPr>
          <w:rStyle w:val="Ppogrubienie"/>
        </w:rPr>
        <w:t>A</w:t>
      </w:r>
      <w:r w:rsidR="009A4B24">
        <w:rPr>
          <w:rStyle w:val="Ppogrubienie"/>
        </w:rPr>
        <w:t xml:space="preserve">rt. </w:t>
      </w:r>
      <w:r w:rsidR="0045347A">
        <w:rPr>
          <w:rStyle w:val="Ppogrubienie"/>
        </w:rPr>
        <w:t>3</w:t>
      </w:r>
      <w:r w:rsidR="001847FB">
        <w:rPr>
          <w:rStyle w:val="Ppogrubienie"/>
        </w:rPr>
        <w:t>3</w:t>
      </w:r>
      <w:r w:rsidR="00715012" w:rsidRPr="00BF2F19">
        <w:t xml:space="preserve"> </w:t>
      </w:r>
      <w:r>
        <w:t>wyznacza dla</w:t>
      </w:r>
      <w:r w:rsidR="00715012" w:rsidRPr="00BF2F19">
        <w:t xml:space="preserve"> organów spółek publicznych </w:t>
      </w:r>
      <w:r>
        <w:t xml:space="preserve">termin </w:t>
      </w:r>
      <w:r w:rsidR="00715012" w:rsidRPr="00BF2F19">
        <w:t xml:space="preserve">na przyjęcie pierwszej polityki wynagrodzeń </w:t>
      </w:r>
      <w:r>
        <w:t>do dnia 30 czerwca 2020 r. W większości spółek</w:t>
      </w:r>
      <w:r w:rsidRPr="00EB525F">
        <w:t xml:space="preserve"> w ciągu roku obrotowego odbywa</w:t>
      </w:r>
      <w:r>
        <w:t xml:space="preserve"> się</w:t>
      </w:r>
      <w:r w:rsidRPr="00EB525F">
        <w:t xml:space="preserve"> jedno walne zgromadzenie, czyli zwyczajne walne zgromadzenie, które musi odbyć się w terminie do dnia 30 czerwca każdego roku</w:t>
      </w:r>
      <w:r>
        <w:t>.</w:t>
      </w:r>
      <w:r w:rsidRPr="00EB525F">
        <w:t xml:space="preserve"> </w:t>
      </w:r>
      <w:r>
        <w:t>W przypadku nieustanowienia żadnego okresu przejściowego, lub ustanowienia jedynie kilkumiesięcznego okresu, o</w:t>
      </w:r>
      <w:r w:rsidRPr="00EB525F">
        <w:t>bowiązek podjęcia uchwały w sprawie polityki wynagrodzeń członków zarządu i rady nadzorczej spowod</w:t>
      </w:r>
      <w:r>
        <w:t>owałby</w:t>
      </w:r>
      <w:r w:rsidRPr="00EB525F">
        <w:t xml:space="preserve"> w istocie konieczność zwołania dodatkowego walnego zgromadzenia – wyłącznie w celu podjęcia jednej uchwały</w:t>
      </w:r>
      <w:r>
        <w:t>. W dniu wejścia w życie przepisów o polityce wynagrodzeń</w:t>
      </w:r>
      <w:r w:rsidR="003F1D7C">
        <w:t>, tj. 10 czerwca 2019 r.,</w:t>
      </w:r>
      <w:r>
        <w:t xml:space="preserve"> niektóre spółki</w:t>
      </w:r>
      <w:r w:rsidRPr="00EB525F">
        <w:t xml:space="preserve"> </w:t>
      </w:r>
      <w:r w:rsidR="003F1D7C">
        <w:t xml:space="preserve">odbyłyby już bowiem zwyczajne walne zgromadzenie za rok 2018, a pozostałe miałyby jedynie 3 tygodnie na podjęcie takiej uchwały, co biorąc pod uwagę jej doniosłość dla spółki i obszerność prezentowanych informacji, sprawiłoby, że prawdopodobnie i tak </w:t>
      </w:r>
      <w:r w:rsidRPr="00EB525F">
        <w:t>nie zdąż</w:t>
      </w:r>
      <w:r>
        <w:t>y</w:t>
      </w:r>
      <w:r w:rsidR="003F1D7C">
        <w:t>ły</w:t>
      </w:r>
      <w:r>
        <w:t>by</w:t>
      </w:r>
      <w:r w:rsidRPr="00EB525F">
        <w:t xml:space="preserve"> podjąć </w:t>
      </w:r>
      <w:r w:rsidR="003F1D7C">
        <w:t>tej</w:t>
      </w:r>
      <w:r w:rsidRPr="00EB525F">
        <w:t xml:space="preserve"> uchwały na </w:t>
      </w:r>
      <w:r w:rsidR="003F1D7C">
        <w:t>zwyczajnym walnym zgromadzeniu</w:t>
      </w:r>
      <w:r w:rsidRPr="00EB525F">
        <w:t xml:space="preserve"> za 2018 r.</w:t>
      </w:r>
      <w:r w:rsidR="003F1D7C">
        <w:t xml:space="preserve"> Termin 30 czerwca 2020 r. pozwoli natomiast wszystkim spółkom na przygotowanie przemyślanej polityki wynagrodzeń i jej przyjęcie na zwyczajnym walnym zgromadzeniu za rok 2019, bez konieczności zwoływania dodatkowego zgromadzenia w ciągu roku.</w:t>
      </w:r>
    </w:p>
    <w:p w14:paraId="69072D40" w14:textId="77777777" w:rsidR="00715012" w:rsidRPr="00BF2F19" w:rsidRDefault="002F6D8A" w:rsidP="00EB525F">
      <w:pPr>
        <w:pStyle w:val="NIEARTTEKSTtekstnieartykuowanynppodstprawnarozplubpreambua"/>
      </w:pPr>
      <w:r>
        <w:t>O</w:t>
      </w:r>
      <w:r w:rsidR="00715012" w:rsidRPr="00BF2F19">
        <w:t>pracowanie pierwszego sprawozdania o wynagrodzeniach</w:t>
      </w:r>
      <w:r w:rsidR="003F1D7C">
        <w:t xml:space="preserve"> będzie natomiast </w:t>
      </w:r>
      <w:r>
        <w:t>możliwe wspólnie za rok 2019 i 2020</w:t>
      </w:r>
      <w:r w:rsidR="00715012" w:rsidRPr="00BF2F19">
        <w:t>.</w:t>
      </w:r>
      <w:r>
        <w:t xml:space="preserve"> Biorąc pod uwagę, że przepis przejściowy umożliwia opracowanie pierwszej polityki wynagrodzeń również w roku 2020, należy liczyć się z tym, że w większości spółek pierwsze sprawozdanie będzie obejmowało jedynie rok 2020. Art. 29 ust. 2 daje jednak możliwość spółkom, które zdecydują się przyjąć politykę wynagrodzeń już w 2019 r., aby nie musiały one sporządzać sprawozdania za krótki okres.</w:t>
      </w:r>
    </w:p>
    <w:p w14:paraId="535FE30A" w14:textId="3405420E" w:rsidR="00363F08" w:rsidRDefault="00D62E0D" w:rsidP="00102244">
      <w:pPr>
        <w:pStyle w:val="ARTartustawynprozporzdzenia"/>
      </w:pPr>
      <w:r>
        <w:rPr>
          <w:rStyle w:val="Ppogrubienie"/>
        </w:rPr>
        <w:t>Art. 3</w:t>
      </w:r>
      <w:r w:rsidR="001847FB">
        <w:rPr>
          <w:rStyle w:val="Ppogrubienie"/>
        </w:rPr>
        <w:t>4</w:t>
      </w:r>
      <w:r w:rsidR="00363F08" w:rsidRPr="00BF2F19">
        <w:t xml:space="preserve"> przesądza, że </w:t>
      </w:r>
      <w:r w:rsidR="00AA7078">
        <w:t>sprawy</w:t>
      </w:r>
      <w:r w:rsidR="00363F08" w:rsidRPr="00BF2F19">
        <w:t xml:space="preserve"> wszczęte na podstawie ustawy o ofercie publicznej przed dniem wejścia w życie niniejszej </w:t>
      </w:r>
      <w:r w:rsidR="006D10AA" w:rsidRPr="00BF2F19">
        <w:t>nowelizacji</w:t>
      </w:r>
      <w:r w:rsidR="00363F08" w:rsidRPr="00BF2F19">
        <w:t xml:space="preserve"> będą</w:t>
      </w:r>
      <w:r w:rsidR="00B01C3C">
        <w:t>, co do zasady,</w:t>
      </w:r>
      <w:r w:rsidR="00363F08" w:rsidRPr="00BF2F19">
        <w:t xml:space="preserve"> toczyć się dalej na podstawie przepisów dotychczasowych.</w:t>
      </w:r>
    </w:p>
    <w:p w14:paraId="2095DAF7" w14:textId="0CF7AAF1" w:rsidR="001847FB" w:rsidRDefault="001847FB" w:rsidP="00102244">
      <w:pPr>
        <w:pStyle w:val="ARTartustawynprozporzdzenia"/>
      </w:pPr>
      <w:r w:rsidRPr="001C1F91">
        <w:rPr>
          <w:rStyle w:val="Ppogrubienie"/>
        </w:rPr>
        <w:t>Art. 35</w:t>
      </w:r>
      <w:r w:rsidR="001C1F91">
        <w:t xml:space="preserve"> daje bankom prowadzącym działalność w zakresie lokat strukturyzowanych okres 12 miesięcy na dostosowanie się do zasad nagrywania i archiwizowania rozmów z klientami wynikających z nowych przepisów.</w:t>
      </w:r>
    </w:p>
    <w:p w14:paraId="2FFDF186" w14:textId="77777777" w:rsidR="000275C8" w:rsidRDefault="000275C8" w:rsidP="00102244">
      <w:pPr>
        <w:pStyle w:val="ARTartustawynprozporzdzenia"/>
      </w:pPr>
      <w:r w:rsidRPr="000275C8">
        <w:rPr>
          <w:rStyle w:val="Ppogrubienie"/>
        </w:rPr>
        <w:t>Art. 3</w:t>
      </w:r>
      <w:r w:rsidR="001847FB">
        <w:rPr>
          <w:rStyle w:val="Ppogrubienie"/>
        </w:rPr>
        <w:t>6</w:t>
      </w:r>
      <w:r w:rsidRPr="000275C8">
        <w:rPr>
          <w:rStyle w:val="Ppogrubienie"/>
        </w:rPr>
        <w:t xml:space="preserve"> ust. 1 </w:t>
      </w:r>
      <w:r>
        <w:t xml:space="preserve">ustanawia 18-miesięczny okres przejściowy dla towarzystw funduszy inwestycyjnych na dostosowanie swojej działalności do nowych zasad wynikających ze znowelizowanych przepisów ustawy o funduszach inwestycyjnych. Dotyczy to w szczególności dokonania zmian w zarządach towarzystw i uzyskania </w:t>
      </w:r>
      <w:r w:rsidR="00D12E8D">
        <w:t xml:space="preserve">wymaganych zgód na sprawowanie funkcji przez członków zarządu. </w:t>
      </w:r>
      <w:r w:rsidR="00D12E8D" w:rsidRPr="00D12E8D">
        <w:rPr>
          <w:rStyle w:val="Ppogrubienie"/>
        </w:rPr>
        <w:t>Ust. 2</w:t>
      </w:r>
      <w:r w:rsidR="00D12E8D">
        <w:t xml:space="preserve"> ustanawia obowiązek informacyjny polegający na przekazaniu przez towarzystwa funduszy inwestycyjnych informacji o podziale kompetencji w zarządach towarzystw na dzień wejścia w życie projektowanej ustawy.</w:t>
      </w:r>
    </w:p>
    <w:p w14:paraId="3C277992" w14:textId="302BA4D0" w:rsidR="001847FB" w:rsidRDefault="001847FB" w:rsidP="00102244">
      <w:pPr>
        <w:pStyle w:val="ARTartustawynprozporzdzenia"/>
      </w:pPr>
      <w:r w:rsidRPr="00962584">
        <w:rPr>
          <w:rStyle w:val="Ppogrubienie"/>
        </w:rPr>
        <w:t>Art. 37</w:t>
      </w:r>
      <w:r w:rsidR="001C1F91">
        <w:t xml:space="preserve"> wprowadza obowiązek dostosowania działalności podmiotów </w:t>
      </w:r>
      <w:r w:rsidR="00962584">
        <w:t>prowadzących działalność na podstawie ustawy o obrocie instrumentami finansowymi do nowych przepisów w terminie 12 miesięcy od dnia wejścia w życie projektowanej ustawy. Zezwolenia udzielone firmom inwestycyjnym na prowadzenie działalności związanej z umowami o subemisję inwestycyjną i subemisję usługową będą przy tym uprawniały do świadczenia usług związanych z umowami o gwarancję emisji.</w:t>
      </w:r>
    </w:p>
    <w:p w14:paraId="516FB25A" w14:textId="1A2D5707" w:rsidR="001847FB" w:rsidRDefault="001847FB" w:rsidP="00102244">
      <w:pPr>
        <w:pStyle w:val="ARTartustawynprozporzdzenia"/>
      </w:pPr>
      <w:r w:rsidRPr="001C1F91">
        <w:rPr>
          <w:rStyle w:val="Ppogrubienie"/>
        </w:rPr>
        <w:t>Art. 38</w:t>
      </w:r>
      <w:r w:rsidR="001C1F91">
        <w:t xml:space="preserve"> wprowadza zasadę, że z</w:t>
      </w:r>
      <w:r w:rsidR="001C1F91" w:rsidRPr="001C1F91">
        <w:t xml:space="preserve">a zachowania zaistniałe przed dniem wejścia w życie </w:t>
      </w:r>
      <w:r w:rsidR="001C1F91">
        <w:t>projektowanej</w:t>
      </w:r>
      <w:r w:rsidR="001C1F91" w:rsidRPr="001C1F91">
        <w:t xml:space="preserve"> ustawy, stanowiące naruszenie przepisów ustawy </w:t>
      </w:r>
      <w:r w:rsidR="001C1F91">
        <w:t>o ofercie publicznej</w:t>
      </w:r>
      <w:r w:rsidR="001C1F91" w:rsidRPr="001C1F91">
        <w:t xml:space="preserve"> w brzmieniu dotychczasowym, </w:t>
      </w:r>
      <w:r w:rsidR="001C1F91">
        <w:t>KNF</w:t>
      </w:r>
      <w:r w:rsidR="001C1F91" w:rsidRPr="001C1F91">
        <w:t xml:space="preserve"> wymierza sankcję administracyjną według przepisów dotychczasowych, chyba że sankcja administracyjna wymierzona według przepisów ustawy </w:t>
      </w:r>
      <w:r w:rsidR="001C1F91">
        <w:t>o ofercie publicznej</w:t>
      </w:r>
      <w:r w:rsidR="001C1F91" w:rsidRPr="001C1F91">
        <w:t xml:space="preserve"> w brzmieniu nadanym </w:t>
      </w:r>
      <w:r w:rsidR="001C1F91">
        <w:t>projektowaną</w:t>
      </w:r>
      <w:r w:rsidR="001C1F91" w:rsidRPr="001C1F91">
        <w:t xml:space="preserve"> ustawą, byłaby względniejsza dla strony postępowania</w:t>
      </w:r>
      <w:r w:rsidR="001C1F91">
        <w:t>.</w:t>
      </w:r>
    </w:p>
    <w:p w14:paraId="4519F824" w14:textId="77777777" w:rsidR="000275C8" w:rsidRDefault="000275C8" w:rsidP="00102244">
      <w:pPr>
        <w:pStyle w:val="ARTartustawynprozporzdzenia"/>
      </w:pPr>
      <w:r>
        <w:t xml:space="preserve">W </w:t>
      </w:r>
      <w:r w:rsidRPr="000275C8">
        <w:rPr>
          <w:rStyle w:val="Ppogrubienie"/>
        </w:rPr>
        <w:t>art. 3</w:t>
      </w:r>
      <w:r w:rsidR="001847FB">
        <w:rPr>
          <w:rStyle w:val="Ppogrubienie"/>
        </w:rPr>
        <w:t>9</w:t>
      </w:r>
      <w:r>
        <w:t xml:space="preserve"> wprowadza się przepis przejściowy stanowiący, że nowych przepisów dotyczących zasad nabywania przez osoby fizyczne certyfikatów inwestycyjnych niepublicznych </w:t>
      </w:r>
      <w:r w:rsidR="0055137E">
        <w:t>FIZ</w:t>
      </w:r>
      <w:r>
        <w:t xml:space="preserve"> nie będzie się stosować do funduszy, które zostały utworzone przed wejściem w życie proponowanych przepisów oraz do funduszy, w przypadku których przed wejściem w życie tych przepisów złożono wniosek o wpis do rejestru funduszy inwestycyjnych.</w:t>
      </w:r>
    </w:p>
    <w:p w14:paraId="105167EE" w14:textId="77777777" w:rsidR="00D62E0D" w:rsidRDefault="00D62E0D" w:rsidP="00102244">
      <w:pPr>
        <w:pStyle w:val="ARTartustawynprozporzdzenia"/>
      </w:pPr>
      <w:r w:rsidRPr="00D62E0D">
        <w:rPr>
          <w:rStyle w:val="Ppogrubienie"/>
        </w:rPr>
        <w:t xml:space="preserve">Art. </w:t>
      </w:r>
      <w:r w:rsidR="001847FB">
        <w:rPr>
          <w:rStyle w:val="Ppogrubienie"/>
        </w:rPr>
        <w:t>40</w:t>
      </w:r>
      <w:r>
        <w:t xml:space="preserve"> ma na celu przyznanie dodatkowego czasu dla pośredników kredytu hipotecznego na dostosowanie swojej działalności do nowego przepisu art. 48a ustawy z dnia 23 marca 2017 r. o kredycie hipotecznym oraz nadzorze nad pośrednikami kredytu hipotecznego i agentami.</w:t>
      </w:r>
    </w:p>
    <w:p w14:paraId="1E0CC9B0" w14:textId="77777777" w:rsidR="0071352C" w:rsidRDefault="002F6386" w:rsidP="00102244">
      <w:pPr>
        <w:pStyle w:val="ARTartustawynprozporzdzenia"/>
      </w:pPr>
      <w:r>
        <w:t xml:space="preserve">W </w:t>
      </w:r>
      <w:r w:rsidRPr="002F6386">
        <w:rPr>
          <w:rStyle w:val="Ppogrubienie"/>
        </w:rPr>
        <w:t>a</w:t>
      </w:r>
      <w:r w:rsidR="0071352C" w:rsidRPr="002F6386">
        <w:rPr>
          <w:rStyle w:val="Ppogrubienie"/>
        </w:rPr>
        <w:t xml:space="preserve">rt. </w:t>
      </w:r>
      <w:r w:rsidR="001847FB">
        <w:rPr>
          <w:rStyle w:val="Ppogrubienie"/>
        </w:rPr>
        <w:t>41</w:t>
      </w:r>
      <w:r w:rsidR="0071352C">
        <w:t xml:space="preserve"> wprowadzono przepis przejściowy określający sposób i termin powołania trzeciego Zastępcy Przewodniczącego KNF.</w:t>
      </w:r>
    </w:p>
    <w:p w14:paraId="6BA22F90" w14:textId="77777777" w:rsidR="00363F08" w:rsidRDefault="00355A96" w:rsidP="00102244">
      <w:pPr>
        <w:pStyle w:val="ARTartustawynprozporzdzenia"/>
      </w:pPr>
      <w:r>
        <w:rPr>
          <w:rStyle w:val="Ppogrubienie"/>
        </w:rPr>
        <w:t xml:space="preserve">Art. </w:t>
      </w:r>
      <w:r w:rsidR="001847FB">
        <w:rPr>
          <w:rStyle w:val="Ppogrubienie"/>
        </w:rPr>
        <w:t>42</w:t>
      </w:r>
      <w:r w:rsidR="00363F08" w:rsidRPr="00BF2F19">
        <w:t xml:space="preserve"> ma na celu utrzymanie mocy obowiązującej rozporządzeń wydanych na podstawie ustawy o ofercie publicznej</w:t>
      </w:r>
      <w:r w:rsidR="00BC4108">
        <w:t>,</w:t>
      </w:r>
      <w:r w:rsidR="00363F08" w:rsidRPr="00BF2F19">
        <w:t xml:space="preserve"> ustawy o </w:t>
      </w:r>
      <w:r w:rsidR="000275C8">
        <w:t xml:space="preserve">funduszach inwestycyjnych, ustawy o </w:t>
      </w:r>
      <w:r w:rsidR="00363F08" w:rsidRPr="00BF2F19">
        <w:t>nadzorze nad rynkiem kapitałowym</w:t>
      </w:r>
      <w:r w:rsidR="00BC4108">
        <w:t xml:space="preserve"> oraz ustawy o obrocie instrumentami finansowymi</w:t>
      </w:r>
      <w:r w:rsidR="00363F08" w:rsidRPr="00BF2F19">
        <w:t>, w związku ze zmianą delegacji ustawowych dla ministra właściwego do spraw instytucji finansowych.</w:t>
      </w:r>
    </w:p>
    <w:p w14:paraId="4807A438" w14:textId="21B0D025" w:rsidR="0008513A" w:rsidRPr="00BF2F19" w:rsidRDefault="000275C8" w:rsidP="0008513A">
      <w:pPr>
        <w:pStyle w:val="NIEARTTEKSTtekstnieartykuowanynppodstprawnarozplubpreambua"/>
      </w:pPr>
      <w:r>
        <w:rPr>
          <w:rStyle w:val="Ppogrubienie"/>
        </w:rPr>
        <w:t xml:space="preserve">Art. </w:t>
      </w:r>
      <w:r w:rsidR="0029744E">
        <w:rPr>
          <w:rStyle w:val="Ppogrubienie"/>
        </w:rPr>
        <w:t>4</w:t>
      </w:r>
      <w:r w:rsidR="008847EA">
        <w:rPr>
          <w:rStyle w:val="Ppogrubienie"/>
        </w:rPr>
        <w:t>3</w:t>
      </w:r>
      <w:r w:rsidR="0008513A" w:rsidRPr="00BF2F19">
        <w:rPr>
          <w:rStyle w:val="Ppogrubienie"/>
        </w:rPr>
        <w:t xml:space="preserve"> projektowanej ustawy</w:t>
      </w:r>
      <w:r w:rsidR="0008513A" w:rsidRPr="00BF2F19">
        <w:t xml:space="preserve"> przewiduje termin jej wejścia w życie </w:t>
      </w:r>
      <w:r w:rsidR="00755422">
        <w:t xml:space="preserve">po upływie 14 dni od dnia ogłoszenia, w celu jak najszybszego wejścia w życie przepisów zapewniających </w:t>
      </w:r>
      <w:r w:rsidR="00755422" w:rsidRPr="00BF2F19">
        <w:t>stosowani</w:t>
      </w:r>
      <w:r w:rsidR="00755422">
        <w:t>e</w:t>
      </w:r>
      <w:r w:rsidR="00755422" w:rsidRPr="00BF2F19">
        <w:t xml:space="preserve"> </w:t>
      </w:r>
      <w:r w:rsidR="0008513A" w:rsidRPr="00BF2F19">
        <w:t xml:space="preserve">rozporządzenia 2017/1129. </w:t>
      </w:r>
      <w:r w:rsidR="0045347A">
        <w:t>W związku z tym, że dyrektywa</w:t>
      </w:r>
      <w:r w:rsidR="00BE388F">
        <w:t xml:space="preserve"> 2017/828 </w:t>
      </w:r>
      <w:r w:rsidR="0045347A">
        <w:t xml:space="preserve">powinna była zostać implementowana do dnia </w:t>
      </w:r>
      <w:r w:rsidR="0008513A" w:rsidRPr="00BF2F19">
        <w:t>10 czerwca 2019 r.</w:t>
      </w:r>
      <w:r w:rsidR="0045347A">
        <w:t xml:space="preserve">, </w:t>
      </w:r>
      <w:r w:rsidR="005C3FED">
        <w:t xml:space="preserve">także </w:t>
      </w:r>
      <w:r w:rsidR="0045347A">
        <w:t>większość przepisów</w:t>
      </w:r>
      <w:r w:rsidR="0008513A" w:rsidRPr="00BF2F19">
        <w:t xml:space="preserve"> </w:t>
      </w:r>
      <w:r w:rsidR="0045347A">
        <w:t xml:space="preserve">implementujących tę dyrektywę wejdzie </w:t>
      </w:r>
      <w:r w:rsidR="005C3FED">
        <w:t xml:space="preserve">tym samym </w:t>
      </w:r>
      <w:r w:rsidR="0045347A">
        <w:t xml:space="preserve">w życie po upływie 14 dni od dnia ogłoszenia. </w:t>
      </w:r>
      <w:r w:rsidR="00BE388F">
        <w:t xml:space="preserve">Wyjątkiem są tu przepisy implementujące art. 3a–3c dyrektywy 2007/36/WE, które wejdą w życie z dniem 3 września 2020 r., tj. z dniem rozpoczęcia stosowania rozporządzenia 2018/1212. </w:t>
      </w:r>
      <w:r w:rsidR="00D76A9B">
        <w:t xml:space="preserve">Po upływie 14 dni od dnia ogłoszenia wejdzie w życie także </w:t>
      </w:r>
      <w:r w:rsidR="0008513A" w:rsidRPr="00BF2F19">
        <w:t>art.</w:t>
      </w:r>
      <w:r w:rsidR="00EE3C0D">
        <w:t xml:space="preserve"> 13 pkt </w:t>
      </w:r>
      <w:r w:rsidR="002B5E16">
        <w:t xml:space="preserve">44 </w:t>
      </w:r>
      <w:r w:rsidR="00D76A9B">
        <w:t>projektowanej ustawy</w:t>
      </w:r>
      <w:r w:rsidR="00E45D12" w:rsidRPr="00BF2F19">
        <w:t>, co jest uzasadnione koniecznością jak najszybszego dostosowania polskiego prawa do wymogów wynikających z orzecznictwa Trybunału Sprawiedliwości Unii Europejskiej.</w:t>
      </w:r>
      <w:r w:rsidR="004E6416" w:rsidRPr="00BF2F19">
        <w:t xml:space="preserve"> </w:t>
      </w:r>
      <w:r w:rsidR="00D76A9B">
        <w:t>Ten sam termin wejścia</w:t>
      </w:r>
      <w:r w:rsidR="00FE7DA0">
        <w:t xml:space="preserve"> w życie </w:t>
      </w:r>
      <w:r w:rsidR="00D76A9B">
        <w:t xml:space="preserve">dotyczy </w:t>
      </w:r>
      <w:r w:rsidR="00FE7DA0">
        <w:t xml:space="preserve">art. </w:t>
      </w:r>
      <w:r w:rsidR="00483BDE">
        <w:t xml:space="preserve">20 </w:t>
      </w:r>
      <w:r w:rsidR="00D76A9B">
        <w:t xml:space="preserve">i art. </w:t>
      </w:r>
      <w:r w:rsidR="005C3FED">
        <w:t>40</w:t>
      </w:r>
      <w:r w:rsidR="00D76A9B">
        <w:t>, których</w:t>
      </w:r>
      <w:r w:rsidR="00FE7DA0">
        <w:t xml:space="preserve"> celem jest implementacja dyrektywy 2014/17/UE. </w:t>
      </w:r>
      <w:r w:rsidR="004E6416" w:rsidRPr="00BF2F19">
        <w:t xml:space="preserve">Odrębny termin wejścia w życie, wyznaczony na dzień 1 stycznia 2020 r., został przewidziany również dla art. 1 pkt 10, wprowadzającego zmiany w ewidencji papierów wartościowych. Wynika to z konieczności </w:t>
      </w:r>
      <w:r w:rsidR="00BC4108">
        <w:t xml:space="preserve">zapewnienia wystarczającego czasu niezbędnego do </w:t>
      </w:r>
      <w:r w:rsidR="004E6416" w:rsidRPr="00BF2F19">
        <w:t>wprowadzenia odpowiednich rozwiązań informatycznych.</w:t>
      </w:r>
      <w:r w:rsidR="00EE3C0D">
        <w:t xml:space="preserve"> W tym samym terminie wejdzie w życie także art. 1 pkt </w:t>
      </w:r>
      <w:r w:rsidR="00FC5DF0">
        <w:t>77</w:t>
      </w:r>
      <w:r w:rsidR="00EE3C0D">
        <w:t>, uchylający przepis o opłatach za dokonanie wpisu do ewidencji, a także art. 25 projektowanej ustawy, który jest przepisem przejściowym zachowującym w mocy dotychczas dokonane w ewidencji wpisy.</w:t>
      </w:r>
    </w:p>
    <w:p w14:paraId="6833CA63" w14:textId="580C65AF" w:rsidR="0008513A" w:rsidRPr="00BF2F19" w:rsidRDefault="0008513A" w:rsidP="0008513A">
      <w:pPr>
        <w:pStyle w:val="NIEARTTEKSTtekstnieartykuowanynppodstprawnarozplubpreambua"/>
      </w:pPr>
      <w:r w:rsidRPr="00BF2F19">
        <w:t>Projektowana ustawa nie wymaga przedstawiania jej organom i instytucjom Unii Europejskiej w celu uzyskania opinii, dokonania powiadomienia, konsultacji albo uzgodnienia. W szczególności regulacja nie mieści się w zakresie przedmiotowym zagadnień podlegających konsultacjom z Europejskim Bankiem Centralnym, zgodnie z art. 2 ust. 1 decyzji Rady z dnia 29 czerwca 1998 r. (98/415/WE) w sprawie konsultacji Europejskiego Banku Centralnego udzielanych władzom krajowym w sprawie projektów przepisów prawnych (Dz. Urz. UE L 189 z 03.07.1998, s</w:t>
      </w:r>
      <w:r w:rsidR="00C86740">
        <w:t>tr</w:t>
      </w:r>
      <w:r w:rsidRPr="00BF2F19">
        <w:t>. 42).</w:t>
      </w:r>
    </w:p>
    <w:p w14:paraId="25E83433" w14:textId="172DE9F8" w:rsidR="0008513A" w:rsidRPr="00BF2F19" w:rsidRDefault="0008513A" w:rsidP="0008513A">
      <w:pPr>
        <w:pStyle w:val="NIEARTTEKSTtekstnieartykuowanynppodstprawnarozplubpreambua"/>
      </w:pPr>
      <w:r w:rsidRPr="00BF2F19">
        <w:t xml:space="preserve">Zawarte w projekcie regulacje nie stanowią przepisów technicznych w rozumieniu rozporządzenia Rady Ministrów z dnia 23 grudnia 2002 r. w sprawie sposobu funkcjonowania krajowego systemu notyfikacji norm i aktów prawnych (Dz. U. poz. 2039 </w:t>
      </w:r>
      <w:r w:rsidR="009717F4">
        <w:t>z późn. zm.</w:t>
      </w:r>
      <w:r w:rsidRPr="00BF2F19">
        <w:t>), dlatego też projekt ustawy nie podlega procedurze notyfikacji.</w:t>
      </w:r>
    </w:p>
    <w:p w14:paraId="58274225" w14:textId="77777777" w:rsidR="0008513A" w:rsidRPr="00BF2F19" w:rsidRDefault="0008513A" w:rsidP="0008513A">
      <w:pPr>
        <w:pStyle w:val="NIEARTTEKSTtekstnieartykuowanynppodstprawnarozplubpreambua"/>
      </w:pPr>
      <w:r w:rsidRPr="00BF2F19">
        <w:t>Stosownie do art. 4 ustawy z dnia 7 lipca 2005 r. o działalności lobbingowej w procesie stanowienia prawa (Dz. U. z 2017 r. poz. 248) projekt został zamieszczony w wykazie prac legislacyjnych i programowych Rady Ministrów.</w:t>
      </w:r>
    </w:p>
    <w:p w14:paraId="7521796D" w14:textId="77777777" w:rsidR="00830696" w:rsidRPr="00BF2F19" w:rsidRDefault="009D789D" w:rsidP="0008513A">
      <w:pPr>
        <w:pStyle w:val="NIEARTTEKSTtekstnieartykuowanynppodstprawnarozplubpreambua"/>
      </w:pPr>
      <w:r w:rsidRPr="00BF2F19">
        <w:t>Projekt będzie miał wpływ na małych i średnich przedsiębiorców, będący</w:t>
      </w:r>
      <w:r w:rsidR="00830696" w:rsidRPr="00BF2F19">
        <w:t>ch spółkami publicznymi. Wprowadzenie nowego rodzaju prospektu emisyjnego – prospektu UE na rzecz rozwoju – pozytywnie wpłynie na mikro-, małych i średnich przedsiębiorców poprzez uproszczenie nałożonych na nich obowiązków informacyjnych przy sporządzaniu prospektu emisyjnego, co w dłuższej perspektywie może zachęcić nowe przedsiębiorstwa do publicznego oferowania swoich papierów wartościowych i tym samym przyczynić się do rozwoju całego sektora MŚP.</w:t>
      </w:r>
    </w:p>
    <w:p w14:paraId="203C51B2" w14:textId="77777777" w:rsidR="0008513A" w:rsidRPr="00BF2F19" w:rsidRDefault="009D789D" w:rsidP="0008513A">
      <w:pPr>
        <w:pStyle w:val="NIEARTTEKSTtekstnieartykuowanynppodstprawnarozplubpreambua"/>
      </w:pPr>
      <w:r w:rsidRPr="00BF2F19">
        <w:t xml:space="preserve">Na </w:t>
      </w:r>
      <w:r w:rsidR="00830696" w:rsidRPr="00BF2F19">
        <w:t>spółki publiczne</w:t>
      </w:r>
      <w:r w:rsidRPr="00BF2F19">
        <w:t xml:space="preserve"> zostaną nałożone wymogi sporządzania polityki wynagrodzeń i sprawozdań o wynagrodzeniach, a także wymogi informowania o zawarciu istotnych transakcji. </w:t>
      </w:r>
      <w:r w:rsidR="0012158E" w:rsidRPr="00BF2F19">
        <w:t xml:space="preserve">Ogólne wymogi nakładane na </w:t>
      </w:r>
      <w:r w:rsidR="00830696" w:rsidRPr="00BF2F19">
        <w:t>te podmioty</w:t>
      </w:r>
      <w:r w:rsidR="0012158E" w:rsidRPr="00BF2F19">
        <w:t xml:space="preserve"> zostaną jednak złagodzone w stosunku do małych i średnich przedsiębiorców, w szczególności poprzez umożliwienie takim podmiotom przeprowadzania dyskusji w sprawie sprawozdania o wynagrodzeniach, zamiast konieczności przyjmowania uchwały walnego zgromadzenia akcjonariuszy.</w:t>
      </w:r>
    </w:p>
    <w:p w14:paraId="4516E052" w14:textId="77777777" w:rsidR="00261A16" w:rsidRPr="00BF2F19" w:rsidRDefault="0008513A" w:rsidP="0008513A">
      <w:pPr>
        <w:pStyle w:val="NIEARTTEKSTtekstnieartykuowanynppodstprawnarozplubpreambua"/>
      </w:pPr>
      <w:r w:rsidRPr="00BF2F19">
        <w:t>Projekt ustawy jest zgodny z prawem Unii Europejskiej.</w:t>
      </w:r>
    </w:p>
    <w:sectPr w:rsidR="00261A16" w:rsidRPr="00BF2F19"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D62977" w16cid:durableId="20B76A82"/>
  <w16cid:commentId w16cid:paraId="4A017952" w16cid:durableId="20B76BFC"/>
  <w16cid:commentId w16cid:paraId="35981662" w16cid:durableId="20B76C68"/>
  <w16cid:commentId w16cid:paraId="269F6E0B" w16cid:durableId="20B76D02"/>
  <w16cid:commentId w16cid:paraId="4D4D5790" w16cid:durableId="20B76D7E"/>
  <w16cid:commentId w16cid:paraId="2B2518AA" w16cid:durableId="20B76DC6"/>
  <w16cid:commentId w16cid:paraId="4F9B30D0" w16cid:durableId="20B9FB0B"/>
  <w16cid:commentId w16cid:paraId="492FF412" w16cid:durableId="20B76ED6"/>
  <w16cid:commentId w16cid:paraId="4FB326DD" w16cid:durableId="20B76FBD"/>
  <w16cid:commentId w16cid:paraId="26E6BB56" w16cid:durableId="20B76FDF"/>
  <w16cid:commentId w16cid:paraId="7CAD9DEB" w16cid:durableId="20B7706B"/>
  <w16cid:commentId w16cid:paraId="2B902BBF" w16cid:durableId="20B77098"/>
  <w16cid:commentId w16cid:paraId="54EAFD1A" w16cid:durableId="20B770BF"/>
  <w16cid:commentId w16cid:paraId="55FCA98F" w16cid:durableId="20B770F4"/>
  <w16cid:commentId w16cid:paraId="5901A7FE" w16cid:durableId="20B77268"/>
  <w16cid:commentId w16cid:paraId="2F969B55" w16cid:durableId="20B772A5"/>
  <w16cid:commentId w16cid:paraId="3FD1E079" w16cid:durableId="20B77305"/>
  <w16cid:commentId w16cid:paraId="719D5E91" w16cid:durableId="20B77342"/>
  <w16cid:commentId w16cid:paraId="3D41CDFF" w16cid:durableId="20B77362"/>
  <w16cid:commentId w16cid:paraId="20888A14" w16cid:durableId="20B77392"/>
  <w16cid:commentId w16cid:paraId="3125DDF5" w16cid:durableId="20B773D0"/>
  <w16cid:commentId w16cid:paraId="14C0DECB" w16cid:durableId="20B773D2"/>
  <w16cid:commentId w16cid:paraId="462FBC9B" w16cid:durableId="20B77405"/>
  <w16cid:commentId w16cid:paraId="30635C41" w16cid:durableId="20B7741B"/>
  <w16cid:commentId w16cid:paraId="6ED6EA33" w16cid:durableId="20B77450"/>
  <w16cid:commentId w16cid:paraId="7CEDE753" w16cid:durableId="20BB5A8E"/>
  <w16cid:commentId w16cid:paraId="45E39665" w16cid:durableId="20B7749B"/>
  <w16cid:commentId w16cid:paraId="470D81E0" w16cid:durableId="20B774CA"/>
  <w16cid:commentId w16cid:paraId="6C3C3867" w16cid:durableId="20B774CC"/>
  <w16cid:commentId w16cid:paraId="5D4CB2F0" w16cid:durableId="20B774CE"/>
  <w16cid:commentId w16cid:paraId="62799433" w16cid:durableId="20B774E5"/>
  <w16cid:commentId w16cid:paraId="6D3761C2" w16cid:durableId="20B77511"/>
  <w16cid:commentId w16cid:paraId="00AE4BA3" w16cid:durableId="20B775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CBD69" w14:textId="77777777" w:rsidR="00033F71" w:rsidRDefault="00033F71">
      <w:r>
        <w:separator/>
      </w:r>
    </w:p>
  </w:endnote>
  <w:endnote w:type="continuationSeparator" w:id="0">
    <w:p w14:paraId="778DAD35" w14:textId="77777777" w:rsidR="00033F71" w:rsidRDefault="00033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35E23" w14:textId="77777777" w:rsidR="00033F71" w:rsidRDefault="00033F71">
      <w:r>
        <w:separator/>
      </w:r>
    </w:p>
  </w:footnote>
  <w:footnote w:type="continuationSeparator" w:id="0">
    <w:p w14:paraId="38618C86" w14:textId="77777777" w:rsidR="00033F71" w:rsidRDefault="00033F71">
      <w:r>
        <w:continuationSeparator/>
      </w:r>
    </w:p>
  </w:footnote>
  <w:footnote w:id="1">
    <w:p w14:paraId="718FC99D" w14:textId="12A3544B" w:rsidR="003B6F14" w:rsidRPr="002A47D7" w:rsidRDefault="003B6F14" w:rsidP="002A47D7">
      <w:pPr>
        <w:pStyle w:val="ODNONIKtreodnonika"/>
        <w:rPr>
          <w:lang w:val="en-GB"/>
        </w:rPr>
      </w:pPr>
      <w:r>
        <w:rPr>
          <w:rStyle w:val="Odwoanieprzypisudolnego"/>
        </w:rPr>
        <w:footnoteRef/>
      </w:r>
      <w:r w:rsidRPr="002A47D7">
        <w:rPr>
          <w:rStyle w:val="IGindeksgrny"/>
          <w:lang w:val="en-GB"/>
        </w:rPr>
        <w:t>)</w:t>
      </w:r>
      <w:r w:rsidRPr="002A47D7">
        <w:rPr>
          <w:lang w:val="en-GB"/>
        </w:rPr>
        <w:t xml:space="preserve"> </w:t>
      </w:r>
      <w:r w:rsidRPr="002A47D7">
        <w:rPr>
          <w:lang w:val="en-GB"/>
        </w:rPr>
        <w:tab/>
      </w:r>
      <w:r w:rsidRPr="0084086B">
        <w:rPr>
          <w:lang w:val="en-GB"/>
        </w:rPr>
        <w:t xml:space="preserve">ESMA, </w:t>
      </w:r>
      <w:r w:rsidRPr="0084086B">
        <w:rPr>
          <w:rStyle w:val="Kkursywa"/>
          <w:lang w:val="en-GB"/>
        </w:rPr>
        <w:t>National thresholds below which the obligation to publish a prospectus does not apply</w:t>
      </w:r>
      <w:r w:rsidRPr="002A47D7">
        <w:rPr>
          <w:lang w:val="en-GB"/>
        </w:rPr>
        <w:t>, ESMA31-62-1193</w:t>
      </w:r>
      <w:r>
        <w:rPr>
          <w:lang w:val="en-GB"/>
        </w:rPr>
        <w:t>, dostę</w:t>
      </w:r>
      <w:r w:rsidRPr="002A47D7">
        <w:rPr>
          <w:lang w:val="en-GB"/>
        </w:rPr>
        <w:t>p</w:t>
      </w:r>
      <w:r w:rsidRPr="0084086B">
        <w:rPr>
          <w:lang w:val="en-GB"/>
        </w:rPr>
        <w:t>n</w:t>
      </w:r>
      <w:r w:rsidRPr="002A47D7">
        <w:rPr>
          <w:lang w:val="en-GB"/>
        </w:rPr>
        <w:t xml:space="preserve">y pod adresem </w:t>
      </w:r>
      <w:r w:rsidRPr="002F42F0">
        <w:rPr>
          <w:lang w:val="en-GB"/>
        </w:rPr>
        <w:t>https://www.esma.europa.eu/sites/default/files/library/esma31-62-1193_prospectus_thresholds.pdf</w:t>
      </w:r>
      <w:r w:rsidRPr="0084086B">
        <w:rPr>
          <w:lang w:val="en-GB"/>
        </w:rPr>
        <w:t>.</w:t>
      </w:r>
    </w:p>
  </w:footnote>
  <w:footnote w:id="2">
    <w:p w14:paraId="34367B9B" w14:textId="1B9ABC73" w:rsidR="003B6F14" w:rsidRDefault="003B6F14" w:rsidP="00432A1E">
      <w:pPr>
        <w:pStyle w:val="ODNONIKtreodnonika"/>
      </w:pPr>
      <w:r>
        <w:rPr>
          <w:rStyle w:val="Odwoanieprzypisudolnego"/>
        </w:rPr>
        <w:footnoteRef/>
      </w:r>
      <w:r w:rsidRPr="00432A1E">
        <w:rPr>
          <w:rStyle w:val="IGindeksgrny"/>
        </w:rPr>
        <w:t>)</w:t>
      </w:r>
      <w:r>
        <w:tab/>
        <w:t xml:space="preserve">Dostępny na stronie internetowej </w:t>
      </w:r>
      <w:r w:rsidRPr="002F42F0">
        <w:t>https://ec.europa.eu/info/consultations/public-consultation-remuneration-report-guidelines-implementing-shareholders-rights-directive_en</w:t>
      </w:r>
      <w:r>
        <w:t>.</w:t>
      </w:r>
    </w:p>
  </w:footnote>
  <w:footnote w:id="3">
    <w:p w14:paraId="2930AE9E" w14:textId="55CDA2F5" w:rsidR="003B6F14" w:rsidRPr="000C3F99" w:rsidRDefault="003B6F14" w:rsidP="000C3F99">
      <w:pPr>
        <w:pStyle w:val="ODNONIKtreodnonika"/>
      </w:pPr>
      <w:r>
        <w:rPr>
          <w:rStyle w:val="Odwoanieprzypisudolnego"/>
        </w:rPr>
        <w:footnoteRef/>
      </w:r>
      <w:r>
        <w:rPr>
          <w:rStyle w:val="IGindeksgrny"/>
        </w:rPr>
        <w:t>)</w:t>
      </w:r>
      <w:r>
        <w:tab/>
        <w:t xml:space="preserve">Dostępne pod adresem: </w:t>
      </w:r>
      <w:r w:rsidRPr="002F42F0">
        <w:t>https://www.esma.europa.eu/sites/default/files/library/esma70-154-271_guidelines_on_the_management_body_of_market_operators_and_data_reporting_services_providers_pl.pdf</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ECBDA" w14:textId="2C323D5A" w:rsidR="003B6F14" w:rsidRPr="00B371CC" w:rsidRDefault="003B6F14" w:rsidP="00B371CC">
    <w:pPr>
      <w:pStyle w:val="Nagwek"/>
      <w:jc w:val="center"/>
    </w:pPr>
    <w:r>
      <w:t xml:space="preserve">– </w:t>
    </w:r>
    <w:r>
      <w:fldChar w:fldCharType="begin"/>
    </w:r>
    <w:r>
      <w:instrText xml:space="preserve"> PAGE  \* MERGEFORMAT </w:instrText>
    </w:r>
    <w:r>
      <w:fldChar w:fldCharType="separate"/>
    </w:r>
    <w:r w:rsidR="004D20C1">
      <w:rPr>
        <w:noProof/>
      </w:rPr>
      <w:t>21</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F948C76"/>
    <w:lvl w:ilvl="0">
      <w:start w:val="1"/>
      <w:numFmt w:val="decimal"/>
      <w:lvlText w:val="%1."/>
      <w:lvlJc w:val="left"/>
      <w:pPr>
        <w:tabs>
          <w:tab w:val="num" w:pos="1492"/>
        </w:tabs>
        <w:ind w:left="1492" w:hanging="360"/>
      </w:pPr>
    </w:lvl>
  </w:abstractNum>
  <w:abstractNum w:abstractNumId="1">
    <w:nsid w:val="FFFFFF7D"/>
    <w:multiLevelType w:val="singleLevel"/>
    <w:tmpl w:val="CCBCD792"/>
    <w:lvl w:ilvl="0">
      <w:start w:val="1"/>
      <w:numFmt w:val="decimal"/>
      <w:lvlText w:val="%1."/>
      <w:lvlJc w:val="left"/>
      <w:pPr>
        <w:tabs>
          <w:tab w:val="num" w:pos="1209"/>
        </w:tabs>
        <w:ind w:left="1209" w:hanging="360"/>
      </w:pPr>
    </w:lvl>
  </w:abstractNum>
  <w:abstractNum w:abstractNumId="2">
    <w:nsid w:val="FFFFFF7E"/>
    <w:multiLevelType w:val="singleLevel"/>
    <w:tmpl w:val="5AF618F0"/>
    <w:lvl w:ilvl="0">
      <w:start w:val="1"/>
      <w:numFmt w:val="decimal"/>
      <w:lvlText w:val="%1."/>
      <w:lvlJc w:val="left"/>
      <w:pPr>
        <w:tabs>
          <w:tab w:val="num" w:pos="926"/>
        </w:tabs>
        <w:ind w:left="926" w:hanging="360"/>
      </w:pPr>
    </w:lvl>
  </w:abstractNum>
  <w:abstractNum w:abstractNumId="3">
    <w:nsid w:val="FFFFFF7F"/>
    <w:multiLevelType w:val="singleLevel"/>
    <w:tmpl w:val="6F3CF332"/>
    <w:lvl w:ilvl="0">
      <w:start w:val="1"/>
      <w:numFmt w:val="decimal"/>
      <w:lvlText w:val="%1."/>
      <w:lvlJc w:val="left"/>
      <w:pPr>
        <w:tabs>
          <w:tab w:val="num" w:pos="643"/>
        </w:tabs>
        <w:ind w:left="643" w:hanging="360"/>
      </w:pPr>
    </w:lvl>
  </w:abstractNum>
  <w:abstractNum w:abstractNumId="4">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9ACF32"/>
    <w:lvl w:ilvl="0">
      <w:start w:val="1"/>
      <w:numFmt w:val="decimal"/>
      <w:lvlText w:val="%1."/>
      <w:lvlJc w:val="left"/>
      <w:pPr>
        <w:tabs>
          <w:tab w:val="num" w:pos="360"/>
        </w:tabs>
        <w:ind w:left="360" w:hanging="360"/>
      </w:pPr>
    </w:lvl>
  </w:abstractNum>
  <w:abstractNum w:abstractNumId="9">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13A"/>
    <w:rsid w:val="000006A7"/>
    <w:rsid w:val="000012DA"/>
    <w:rsid w:val="0000246E"/>
    <w:rsid w:val="00003862"/>
    <w:rsid w:val="0001055B"/>
    <w:rsid w:val="00012A35"/>
    <w:rsid w:val="00016099"/>
    <w:rsid w:val="00017DC2"/>
    <w:rsid w:val="00021522"/>
    <w:rsid w:val="00023471"/>
    <w:rsid w:val="00023F13"/>
    <w:rsid w:val="0002542A"/>
    <w:rsid w:val="000275C8"/>
    <w:rsid w:val="00030634"/>
    <w:rsid w:val="000319C1"/>
    <w:rsid w:val="00031A8B"/>
    <w:rsid w:val="00031BCA"/>
    <w:rsid w:val="000330FA"/>
    <w:rsid w:val="0003362F"/>
    <w:rsid w:val="00033F71"/>
    <w:rsid w:val="0003601C"/>
    <w:rsid w:val="00036B63"/>
    <w:rsid w:val="00037E1A"/>
    <w:rsid w:val="00043495"/>
    <w:rsid w:val="0004585A"/>
    <w:rsid w:val="0004628E"/>
    <w:rsid w:val="00046A75"/>
    <w:rsid w:val="00047312"/>
    <w:rsid w:val="000508BD"/>
    <w:rsid w:val="000517AB"/>
    <w:rsid w:val="0005339C"/>
    <w:rsid w:val="00053FCF"/>
    <w:rsid w:val="0005571B"/>
    <w:rsid w:val="00055F2A"/>
    <w:rsid w:val="00057AB3"/>
    <w:rsid w:val="00060076"/>
    <w:rsid w:val="00060432"/>
    <w:rsid w:val="00060D87"/>
    <w:rsid w:val="000615A5"/>
    <w:rsid w:val="0006463F"/>
    <w:rsid w:val="00064E4C"/>
    <w:rsid w:val="00066901"/>
    <w:rsid w:val="00071BEE"/>
    <w:rsid w:val="000736CD"/>
    <w:rsid w:val="00074A87"/>
    <w:rsid w:val="0007533B"/>
    <w:rsid w:val="0007545D"/>
    <w:rsid w:val="000760BF"/>
    <w:rsid w:val="0007613E"/>
    <w:rsid w:val="00076BFC"/>
    <w:rsid w:val="0008030A"/>
    <w:rsid w:val="000814A7"/>
    <w:rsid w:val="0008513A"/>
    <w:rsid w:val="0008557B"/>
    <w:rsid w:val="00085CE7"/>
    <w:rsid w:val="0008651F"/>
    <w:rsid w:val="000906EE"/>
    <w:rsid w:val="00091BA2"/>
    <w:rsid w:val="000921B6"/>
    <w:rsid w:val="000944EF"/>
    <w:rsid w:val="0009453A"/>
    <w:rsid w:val="00095372"/>
    <w:rsid w:val="00096F85"/>
    <w:rsid w:val="0009732D"/>
    <w:rsid w:val="000973F0"/>
    <w:rsid w:val="000A1296"/>
    <w:rsid w:val="000A1C27"/>
    <w:rsid w:val="000A1DAD"/>
    <w:rsid w:val="000A2649"/>
    <w:rsid w:val="000A323B"/>
    <w:rsid w:val="000A5717"/>
    <w:rsid w:val="000A6A93"/>
    <w:rsid w:val="000B298D"/>
    <w:rsid w:val="000B37CD"/>
    <w:rsid w:val="000B4156"/>
    <w:rsid w:val="000B460F"/>
    <w:rsid w:val="000B5B2D"/>
    <w:rsid w:val="000B5DCE"/>
    <w:rsid w:val="000C05BA"/>
    <w:rsid w:val="000C0E8F"/>
    <w:rsid w:val="000C3F99"/>
    <w:rsid w:val="000C4BC4"/>
    <w:rsid w:val="000C6351"/>
    <w:rsid w:val="000C6AAA"/>
    <w:rsid w:val="000C73F2"/>
    <w:rsid w:val="000D0110"/>
    <w:rsid w:val="000D06F1"/>
    <w:rsid w:val="000D2468"/>
    <w:rsid w:val="000D318A"/>
    <w:rsid w:val="000D33C5"/>
    <w:rsid w:val="000D6173"/>
    <w:rsid w:val="000D6F83"/>
    <w:rsid w:val="000E2143"/>
    <w:rsid w:val="000E25CC"/>
    <w:rsid w:val="000E3694"/>
    <w:rsid w:val="000E490F"/>
    <w:rsid w:val="000E6241"/>
    <w:rsid w:val="000F2BE3"/>
    <w:rsid w:val="000F3D0D"/>
    <w:rsid w:val="000F6ED4"/>
    <w:rsid w:val="000F7554"/>
    <w:rsid w:val="000F7A6E"/>
    <w:rsid w:val="00100480"/>
    <w:rsid w:val="00102244"/>
    <w:rsid w:val="001042BA"/>
    <w:rsid w:val="00104FFF"/>
    <w:rsid w:val="00106D03"/>
    <w:rsid w:val="00107BC0"/>
    <w:rsid w:val="00110465"/>
    <w:rsid w:val="00110628"/>
    <w:rsid w:val="0011245A"/>
    <w:rsid w:val="0011493E"/>
    <w:rsid w:val="00115B72"/>
    <w:rsid w:val="001209EC"/>
    <w:rsid w:val="00120A9E"/>
    <w:rsid w:val="0012158E"/>
    <w:rsid w:val="0012348B"/>
    <w:rsid w:val="001235E0"/>
    <w:rsid w:val="00125A9C"/>
    <w:rsid w:val="001270A2"/>
    <w:rsid w:val="00131237"/>
    <w:rsid w:val="001329AC"/>
    <w:rsid w:val="00134CA0"/>
    <w:rsid w:val="0014026F"/>
    <w:rsid w:val="00147A47"/>
    <w:rsid w:val="00147AA1"/>
    <w:rsid w:val="00151ABB"/>
    <w:rsid w:val="001520CF"/>
    <w:rsid w:val="001523CD"/>
    <w:rsid w:val="001533D9"/>
    <w:rsid w:val="0015667C"/>
    <w:rsid w:val="00157110"/>
    <w:rsid w:val="0015742A"/>
    <w:rsid w:val="00157DA1"/>
    <w:rsid w:val="00160B1F"/>
    <w:rsid w:val="0016301B"/>
    <w:rsid w:val="00163147"/>
    <w:rsid w:val="00164C57"/>
    <w:rsid w:val="00164C9D"/>
    <w:rsid w:val="001667D9"/>
    <w:rsid w:val="00171956"/>
    <w:rsid w:val="00172F7A"/>
    <w:rsid w:val="00173150"/>
    <w:rsid w:val="00173390"/>
    <w:rsid w:val="001736F0"/>
    <w:rsid w:val="00173BB3"/>
    <w:rsid w:val="001740D0"/>
    <w:rsid w:val="00174F2C"/>
    <w:rsid w:val="001758B2"/>
    <w:rsid w:val="00180F2A"/>
    <w:rsid w:val="00181CA0"/>
    <w:rsid w:val="001824BB"/>
    <w:rsid w:val="001847FB"/>
    <w:rsid w:val="00184B91"/>
    <w:rsid w:val="00184D4A"/>
    <w:rsid w:val="00186EC1"/>
    <w:rsid w:val="00190C8E"/>
    <w:rsid w:val="00191E1F"/>
    <w:rsid w:val="001933AC"/>
    <w:rsid w:val="0019473B"/>
    <w:rsid w:val="001952B1"/>
    <w:rsid w:val="00196E39"/>
    <w:rsid w:val="00197649"/>
    <w:rsid w:val="001976A3"/>
    <w:rsid w:val="001A01FB"/>
    <w:rsid w:val="001A10E9"/>
    <w:rsid w:val="001A183D"/>
    <w:rsid w:val="001A1DD9"/>
    <w:rsid w:val="001A2B65"/>
    <w:rsid w:val="001A3CD3"/>
    <w:rsid w:val="001A45D5"/>
    <w:rsid w:val="001A5BEF"/>
    <w:rsid w:val="001A7F15"/>
    <w:rsid w:val="001B0E91"/>
    <w:rsid w:val="001B342E"/>
    <w:rsid w:val="001B5C43"/>
    <w:rsid w:val="001B6304"/>
    <w:rsid w:val="001C0F20"/>
    <w:rsid w:val="001C15DE"/>
    <w:rsid w:val="001C1832"/>
    <w:rsid w:val="001C188C"/>
    <w:rsid w:val="001C1F91"/>
    <w:rsid w:val="001C557F"/>
    <w:rsid w:val="001C58DE"/>
    <w:rsid w:val="001C68C6"/>
    <w:rsid w:val="001D078B"/>
    <w:rsid w:val="001D1783"/>
    <w:rsid w:val="001D30D7"/>
    <w:rsid w:val="001D53CD"/>
    <w:rsid w:val="001D55A3"/>
    <w:rsid w:val="001D5AF5"/>
    <w:rsid w:val="001E1E73"/>
    <w:rsid w:val="001E3E5F"/>
    <w:rsid w:val="001E4E0C"/>
    <w:rsid w:val="001E526D"/>
    <w:rsid w:val="001E5655"/>
    <w:rsid w:val="001F1809"/>
    <w:rsid w:val="001F1832"/>
    <w:rsid w:val="001F220F"/>
    <w:rsid w:val="001F25B3"/>
    <w:rsid w:val="001F6616"/>
    <w:rsid w:val="001F6AE0"/>
    <w:rsid w:val="0020054B"/>
    <w:rsid w:val="00202BD4"/>
    <w:rsid w:val="00204A97"/>
    <w:rsid w:val="002101CC"/>
    <w:rsid w:val="002114EF"/>
    <w:rsid w:val="0021171D"/>
    <w:rsid w:val="00214A56"/>
    <w:rsid w:val="00215B51"/>
    <w:rsid w:val="002166AD"/>
    <w:rsid w:val="00217871"/>
    <w:rsid w:val="00217B0F"/>
    <w:rsid w:val="00220AC5"/>
    <w:rsid w:val="00221ED8"/>
    <w:rsid w:val="00222BF5"/>
    <w:rsid w:val="002231EA"/>
    <w:rsid w:val="00223FDF"/>
    <w:rsid w:val="0022405B"/>
    <w:rsid w:val="00224931"/>
    <w:rsid w:val="002279C0"/>
    <w:rsid w:val="0023727E"/>
    <w:rsid w:val="00242081"/>
    <w:rsid w:val="00243777"/>
    <w:rsid w:val="002441CD"/>
    <w:rsid w:val="002501A3"/>
    <w:rsid w:val="00250546"/>
    <w:rsid w:val="00250C63"/>
    <w:rsid w:val="0025166C"/>
    <w:rsid w:val="0025372F"/>
    <w:rsid w:val="002555D4"/>
    <w:rsid w:val="00256A86"/>
    <w:rsid w:val="00257CE9"/>
    <w:rsid w:val="00260E09"/>
    <w:rsid w:val="00261A16"/>
    <w:rsid w:val="00261D55"/>
    <w:rsid w:val="00263522"/>
    <w:rsid w:val="00264CF7"/>
    <w:rsid w:val="00264EC6"/>
    <w:rsid w:val="00271013"/>
    <w:rsid w:val="00272379"/>
    <w:rsid w:val="00272F0C"/>
    <w:rsid w:val="00273FE4"/>
    <w:rsid w:val="002765B4"/>
    <w:rsid w:val="00276A94"/>
    <w:rsid w:val="00283AD9"/>
    <w:rsid w:val="0029405D"/>
    <w:rsid w:val="00294FA6"/>
    <w:rsid w:val="002955C0"/>
    <w:rsid w:val="00295A6F"/>
    <w:rsid w:val="00295B69"/>
    <w:rsid w:val="0029744E"/>
    <w:rsid w:val="002A2089"/>
    <w:rsid w:val="002A20C4"/>
    <w:rsid w:val="002A47D7"/>
    <w:rsid w:val="002A570F"/>
    <w:rsid w:val="002A7292"/>
    <w:rsid w:val="002A7358"/>
    <w:rsid w:val="002A743C"/>
    <w:rsid w:val="002A7902"/>
    <w:rsid w:val="002A7FD3"/>
    <w:rsid w:val="002B0F6B"/>
    <w:rsid w:val="002B1E30"/>
    <w:rsid w:val="002B23B8"/>
    <w:rsid w:val="002B2A86"/>
    <w:rsid w:val="002B4429"/>
    <w:rsid w:val="002B5E16"/>
    <w:rsid w:val="002B68A6"/>
    <w:rsid w:val="002B6C0B"/>
    <w:rsid w:val="002B7FAF"/>
    <w:rsid w:val="002C5A1B"/>
    <w:rsid w:val="002D0C4F"/>
    <w:rsid w:val="002D0D6B"/>
    <w:rsid w:val="002D1364"/>
    <w:rsid w:val="002D4D30"/>
    <w:rsid w:val="002D5000"/>
    <w:rsid w:val="002D598D"/>
    <w:rsid w:val="002D7188"/>
    <w:rsid w:val="002E1DE3"/>
    <w:rsid w:val="002E2AB6"/>
    <w:rsid w:val="002E3F34"/>
    <w:rsid w:val="002E5F79"/>
    <w:rsid w:val="002E64FA"/>
    <w:rsid w:val="002F0388"/>
    <w:rsid w:val="002F0A00"/>
    <w:rsid w:val="002F0CFA"/>
    <w:rsid w:val="002F125D"/>
    <w:rsid w:val="002F191B"/>
    <w:rsid w:val="002F2E2B"/>
    <w:rsid w:val="002F42F0"/>
    <w:rsid w:val="002F6386"/>
    <w:rsid w:val="002F669F"/>
    <w:rsid w:val="002F6D8A"/>
    <w:rsid w:val="00301C97"/>
    <w:rsid w:val="00303EC3"/>
    <w:rsid w:val="0031004C"/>
    <w:rsid w:val="003105F6"/>
    <w:rsid w:val="00311297"/>
    <w:rsid w:val="003113BE"/>
    <w:rsid w:val="003122CA"/>
    <w:rsid w:val="003148FD"/>
    <w:rsid w:val="00314BA7"/>
    <w:rsid w:val="003160F2"/>
    <w:rsid w:val="003170A9"/>
    <w:rsid w:val="003200F2"/>
    <w:rsid w:val="00321080"/>
    <w:rsid w:val="00322D45"/>
    <w:rsid w:val="0032569A"/>
    <w:rsid w:val="00325A1F"/>
    <w:rsid w:val="003268F9"/>
    <w:rsid w:val="00326906"/>
    <w:rsid w:val="00330BAF"/>
    <w:rsid w:val="003311FD"/>
    <w:rsid w:val="00334E3A"/>
    <w:rsid w:val="003361DD"/>
    <w:rsid w:val="0033684E"/>
    <w:rsid w:val="00341A6A"/>
    <w:rsid w:val="00345B9C"/>
    <w:rsid w:val="0034792F"/>
    <w:rsid w:val="00351C62"/>
    <w:rsid w:val="00352DAE"/>
    <w:rsid w:val="00354EB9"/>
    <w:rsid w:val="00355A96"/>
    <w:rsid w:val="003602AE"/>
    <w:rsid w:val="003605FD"/>
    <w:rsid w:val="00360929"/>
    <w:rsid w:val="00363F08"/>
    <w:rsid w:val="0036449C"/>
    <w:rsid w:val="003647D5"/>
    <w:rsid w:val="003674B0"/>
    <w:rsid w:val="00374564"/>
    <w:rsid w:val="003767CF"/>
    <w:rsid w:val="0037727C"/>
    <w:rsid w:val="00377E70"/>
    <w:rsid w:val="00380904"/>
    <w:rsid w:val="003823EE"/>
    <w:rsid w:val="00382960"/>
    <w:rsid w:val="00383D75"/>
    <w:rsid w:val="003846F7"/>
    <w:rsid w:val="003851ED"/>
    <w:rsid w:val="00385B39"/>
    <w:rsid w:val="00386785"/>
    <w:rsid w:val="00390E89"/>
    <w:rsid w:val="00391B1A"/>
    <w:rsid w:val="00392FC6"/>
    <w:rsid w:val="00394423"/>
    <w:rsid w:val="00396942"/>
    <w:rsid w:val="00396B49"/>
    <w:rsid w:val="00396E3E"/>
    <w:rsid w:val="003A2945"/>
    <w:rsid w:val="003A306E"/>
    <w:rsid w:val="003A60DC"/>
    <w:rsid w:val="003A6A46"/>
    <w:rsid w:val="003A7A63"/>
    <w:rsid w:val="003B000C"/>
    <w:rsid w:val="003B0F1D"/>
    <w:rsid w:val="003B3209"/>
    <w:rsid w:val="003B4A57"/>
    <w:rsid w:val="003B6F14"/>
    <w:rsid w:val="003C0AD9"/>
    <w:rsid w:val="003C0ED0"/>
    <w:rsid w:val="003C1AAB"/>
    <w:rsid w:val="003C1D49"/>
    <w:rsid w:val="003C35C4"/>
    <w:rsid w:val="003C6E51"/>
    <w:rsid w:val="003D07BB"/>
    <w:rsid w:val="003D1093"/>
    <w:rsid w:val="003D12C2"/>
    <w:rsid w:val="003D1326"/>
    <w:rsid w:val="003D31B9"/>
    <w:rsid w:val="003D3867"/>
    <w:rsid w:val="003D4C90"/>
    <w:rsid w:val="003D7C1A"/>
    <w:rsid w:val="003E0D1A"/>
    <w:rsid w:val="003E15CE"/>
    <w:rsid w:val="003E2DA3"/>
    <w:rsid w:val="003E3275"/>
    <w:rsid w:val="003F020D"/>
    <w:rsid w:val="003F03D9"/>
    <w:rsid w:val="003F11BE"/>
    <w:rsid w:val="003F1D7C"/>
    <w:rsid w:val="003F2FBE"/>
    <w:rsid w:val="003F318D"/>
    <w:rsid w:val="003F452B"/>
    <w:rsid w:val="003F5BAE"/>
    <w:rsid w:val="003F61A0"/>
    <w:rsid w:val="003F6ED7"/>
    <w:rsid w:val="003F74A4"/>
    <w:rsid w:val="00401C84"/>
    <w:rsid w:val="00403210"/>
    <w:rsid w:val="004035BB"/>
    <w:rsid w:val="004035EB"/>
    <w:rsid w:val="00403F7E"/>
    <w:rsid w:val="00404FBA"/>
    <w:rsid w:val="00407332"/>
    <w:rsid w:val="00407828"/>
    <w:rsid w:val="00412A32"/>
    <w:rsid w:val="00413D8E"/>
    <w:rsid w:val="004140F2"/>
    <w:rsid w:val="00417B22"/>
    <w:rsid w:val="00421085"/>
    <w:rsid w:val="004235BE"/>
    <w:rsid w:val="0042465E"/>
    <w:rsid w:val="00424DF7"/>
    <w:rsid w:val="00425F49"/>
    <w:rsid w:val="00432A1E"/>
    <w:rsid w:val="00432B76"/>
    <w:rsid w:val="00434ABC"/>
    <w:rsid w:val="00434D01"/>
    <w:rsid w:val="0043525E"/>
    <w:rsid w:val="00435D26"/>
    <w:rsid w:val="0043638C"/>
    <w:rsid w:val="00440C99"/>
    <w:rsid w:val="0044175C"/>
    <w:rsid w:val="00445F4D"/>
    <w:rsid w:val="004504C0"/>
    <w:rsid w:val="0045347A"/>
    <w:rsid w:val="004550FB"/>
    <w:rsid w:val="004600B3"/>
    <w:rsid w:val="0046111A"/>
    <w:rsid w:val="004620CF"/>
    <w:rsid w:val="00462946"/>
    <w:rsid w:val="00463F43"/>
    <w:rsid w:val="00464B94"/>
    <w:rsid w:val="004653A8"/>
    <w:rsid w:val="00465A0B"/>
    <w:rsid w:val="00465AC9"/>
    <w:rsid w:val="004679F2"/>
    <w:rsid w:val="0047077C"/>
    <w:rsid w:val="00470B05"/>
    <w:rsid w:val="0047207C"/>
    <w:rsid w:val="00472CD6"/>
    <w:rsid w:val="00474522"/>
    <w:rsid w:val="00474E3C"/>
    <w:rsid w:val="00480A58"/>
    <w:rsid w:val="004812A3"/>
    <w:rsid w:val="00482151"/>
    <w:rsid w:val="00483348"/>
    <w:rsid w:val="00483BDE"/>
    <w:rsid w:val="00485FAD"/>
    <w:rsid w:val="00487AED"/>
    <w:rsid w:val="0049134E"/>
    <w:rsid w:val="00491ACE"/>
    <w:rsid w:val="00491EDF"/>
    <w:rsid w:val="00492A3F"/>
    <w:rsid w:val="00492C36"/>
    <w:rsid w:val="00494F62"/>
    <w:rsid w:val="004A1F2D"/>
    <w:rsid w:val="004A2001"/>
    <w:rsid w:val="004A3590"/>
    <w:rsid w:val="004A60EA"/>
    <w:rsid w:val="004A6A00"/>
    <w:rsid w:val="004B00A7"/>
    <w:rsid w:val="004B25E2"/>
    <w:rsid w:val="004B30A5"/>
    <w:rsid w:val="004B34D7"/>
    <w:rsid w:val="004B4AE9"/>
    <w:rsid w:val="004B5037"/>
    <w:rsid w:val="004B5B2F"/>
    <w:rsid w:val="004B626A"/>
    <w:rsid w:val="004B660E"/>
    <w:rsid w:val="004B6762"/>
    <w:rsid w:val="004C05BD"/>
    <w:rsid w:val="004C3B06"/>
    <w:rsid w:val="004C3F97"/>
    <w:rsid w:val="004C7A62"/>
    <w:rsid w:val="004C7EE7"/>
    <w:rsid w:val="004D1977"/>
    <w:rsid w:val="004D20C1"/>
    <w:rsid w:val="004D2DEE"/>
    <w:rsid w:val="004D2E1F"/>
    <w:rsid w:val="004D7FD9"/>
    <w:rsid w:val="004E1324"/>
    <w:rsid w:val="004E19A5"/>
    <w:rsid w:val="004E1F92"/>
    <w:rsid w:val="004E37E5"/>
    <w:rsid w:val="004E3FDB"/>
    <w:rsid w:val="004E487D"/>
    <w:rsid w:val="004E6416"/>
    <w:rsid w:val="004F02D0"/>
    <w:rsid w:val="004F1F4A"/>
    <w:rsid w:val="004F296D"/>
    <w:rsid w:val="004F3FAF"/>
    <w:rsid w:val="004F508B"/>
    <w:rsid w:val="004F53A7"/>
    <w:rsid w:val="004F695F"/>
    <w:rsid w:val="004F6CA4"/>
    <w:rsid w:val="005003B0"/>
    <w:rsid w:val="00500752"/>
    <w:rsid w:val="00501A50"/>
    <w:rsid w:val="0050222D"/>
    <w:rsid w:val="00503AF3"/>
    <w:rsid w:val="00504210"/>
    <w:rsid w:val="0050696D"/>
    <w:rsid w:val="0051094B"/>
    <w:rsid w:val="005110D7"/>
    <w:rsid w:val="00511D99"/>
    <w:rsid w:val="005128D3"/>
    <w:rsid w:val="005147E8"/>
    <w:rsid w:val="005158F2"/>
    <w:rsid w:val="00526D69"/>
    <w:rsid w:val="00526DFC"/>
    <w:rsid w:val="00526F43"/>
    <w:rsid w:val="0052707A"/>
    <w:rsid w:val="00527651"/>
    <w:rsid w:val="005277F9"/>
    <w:rsid w:val="00535D56"/>
    <w:rsid w:val="005360A9"/>
    <w:rsid w:val="005363AB"/>
    <w:rsid w:val="00540E9B"/>
    <w:rsid w:val="00542B37"/>
    <w:rsid w:val="0054349C"/>
    <w:rsid w:val="00544EF4"/>
    <w:rsid w:val="00545E53"/>
    <w:rsid w:val="005479D9"/>
    <w:rsid w:val="0055137E"/>
    <w:rsid w:val="005525D6"/>
    <w:rsid w:val="005572BD"/>
    <w:rsid w:val="00557A12"/>
    <w:rsid w:val="00560AC7"/>
    <w:rsid w:val="00561AFB"/>
    <w:rsid w:val="00561FA8"/>
    <w:rsid w:val="005635ED"/>
    <w:rsid w:val="00565201"/>
    <w:rsid w:val="00565253"/>
    <w:rsid w:val="00570191"/>
    <w:rsid w:val="00570570"/>
    <w:rsid w:val="00572512"/>
    <w:rsid w:val="00573EE6"/>
    <w:rsid w:val="0057547F"/>
    <w:rsid w:val="005754EE"/>
    <w:rsid w:val="0057617E"/>
    <w:rsid w:val="00576497"/>
    <w:rsid w:val="00580155"/>
    <w:rsid w:val="00581570"/>
    <w:rsid w:val="005835E7"/>
    <w:rsid w:val="0058397F"/>
    <w:rsid w:val="00583BF8"/>
    <w:rsid w:val="00585F33"/>
    <w:rsid w:val="005865B9"/>
    <w:rsid w:val="005872B9"/>
    <w:rsid w:val="00591124"/>
    <w:rsid w:val="00591162"/>
    <w:rsid w:val="00595C42"/>
    <w:rsid w:val="00596D81"/>
    <w:rsid w:val="00597024"/>
    <w:rsid w:val="0059724B"/>
    <w:rsid w:val="00597BD9"/>
    <w:rsid w:val="005A0274"/>
    <w:rsid w:val="005A0630"/>
    <w:rsid w:val="005A095C"/>
    <w:rsid w:val="005A2450"/>
    <w:rsid w:val="005A669D"/>
    <w:rsid w:val="005A75D8"/>
    <w:rsid w:val="005B45C0"/>
    <w:rsid w:val="005B713E"/>
    <w:rsid w:val="005C03B6"/>
    <w:rsid w:val="005C348E"/>
    <w:rsid w:val="005C3FED"/>
    <w:rsid w:val="005C68E1"/>
    <w:rsid w:val="005C7214"/>
    <w:rsid w:val="005D3153"/>
    <w:rsid w:val="005D353A"/>
    <w:rsid w:val="005D3763"/>
    <w:rsid w:val="005D5009"/>
    <w:rsid w:val="005D55E1"/>
    <w:rsid w:val="005D5CD9"/>
    <w:rsid w:val="005D633B"/>
    <w:rsid w:val="005D6685"/>
    <w:rsid w:val="005E0D5A"/>
    <w:rsid w:val="005E19F7"/>
    <w:rsid w:val="005E4F04"/>
    <w:rsid w:val="005E625B"/>
    <w:rsid w:val="005E62C2"/>
    <w:rsid w:val="005E6C71"/>
    <w:rsid w:val="005F0732"/>
    <w:rsid w:val="005F0963"/>
    <w:rsid w:val="005F2824"/>
    <w:rsid w:val="005F2EBA"/>
    <w:rsid w:val="005F35ED"/>
    <w:rsid w:val="005F7812"/>
    <w:rsid w:val="005F7A88"/>
    <w:rsid w:val="00601321"/>
    <w:rsid w:val="00603A1A"/>
    <w:rsid w:val="006046D5"/>
    <w:rsid w:val="00607A93"/>
    <w:rsid w:val="00610C08"/>
    <w:rsid w:val="0061106F"/>
    <w:rsid w:val="00611F74"/>
    <w:rsid w:val="00612587"/>
    <w:rsid w:val="00615772"/>
    <w:rsid w:val="006161D0"/>
    <w:rsid w:val="00621256"/>
    <w:rsid w:val="00621FCC"/>
    <w:rsid w:val="00622E4B"/>
    <w:rsid w:val="0062467F"/>
    <w:rsid w:val="00626186"/>
    <w:rsid w:val="00626EC1"/>
    <w:rsid w:val="006302BF"/>
    <w:rsid w:val="006333DA"/>
    <w:rsid w:val="00635134"/>
    <w:rsid w:val="006356E2"/>
    <w:rsid w:val="00642A65"/>
    <w:rsid w:val="00644875"/>
    <w:rsid w:val="00645DCE"/>
    <w:rsid w:val="00646527"/>
    <w:rsid w:val="006465AC"/>
    <w:rsid w:val="006465BF"/>
    <w:rsid w:val="00653B22"/>
    <w:rsid w:val="0065407A"/>
    <w:rsid w:val="00657BF4"/>
    <w:rsid w:val="006603FB"/>
    <w:rsid w:val="006608D4"/>
    <w:rsid w:val="006608DF"/>
    <w:rsid w:val="006622F3"/>
    <w:rsid w:val="006623AC"/>
    <w:rsid w:val="006678AF"/>
    <w:rsid w:val="006678B5"/>
    <w:rsid w:val="006701EF"/>
    <w:rsid w:val="006702D9"/>
    <w:rsid w:val="00673BA5"/>
    <w:rsid w:val="0067627C"/>
    <w:rsid w:val="00680058"/>
    <w:rsid w:val="00680B5F"/>
    <w:rsid w:val="00681F9F"/>
    <w:rsid w:val="00683AA8"/>
    <w:rsid w:val="006840EA"/>
    <w:rsid w:val="006844E2"/>
    <w:rsid w:val="00685267"/>
    <w:rsid w:val="00686AC7"/>
    <w:rsid w:val="006872AE"/>
    <w:rsid w:val="00690082"/>
    <w:rsid w:val="00690252"/>
    <w:rsid w:val="006946BB"/>
    <w:rsid w:val="006969FA"/>
    <w:rsid w:val="00696C8A"/>
    <w:rsid w:val="006A35D5"/>
    <w:rsid w:val="006A748A"/>
    <w:rsid w:val="006C419E"/>
    <w:rsid w:val="006C4A31"/>
    <w:rsid w:val="006C5AC2"/>
    <w:rsid w:val="006C6AFB"/>
    <w:rsid w:val="006D10AA"/>
    <w:rsid w:val="006D14C9"/>
    <w:rsid w:val="006D2735"/>
    <w:rsid w:val="006D45B2"/>
    <w:rsid w:val="006D4778"/>
    <w:rsid w:val="006D553B"/>
    <w:rsid w:val="006D6CF9"/>
    <w:rsid w:val="006E0FCC"/>
    <w:rsid w:val="006E1E96"/>
    <w:rsid w:val="006E2A46"/>
    <w:rsid w:val="006E505A"/>
    <w:rsid w:val="006E5567"/>
    <w:rsid w:val="006E5E21"/>
    <w:rsid w:val="006F2648"/>
    <w:rsid w:val="006F2F10"/>
    <w:rsid w:val="006F482B"/>
    <w:rsid w:val="006F4EB1"/>
    <w:rsid w:val="006F6311"/>
    <w:rsid w:val="00701952"/>
    <w:rsid w:val="00702556"/>
    <w:rsid w:val="0070277E"/>
    <w:rsid w:val="00704156"/>
    <w:rsid w:val="0070433E"/>
    <w:rsid w:val="00704CE8"/>
    <w:rsid w:val="007069FC"/>
    <w:rsid w:val="00707FFE"/>
    <w:rsid w:val="00711221"/>
    <w:rsid w:val="00712675"/>
    <w:rsid w:val="0071352C"/>
    <w:rsid w:val="00713808"/>
    <w:rsid w:val="00715012"/>
    <w:rsid w:val="007151B6"/>
    <w:rsid w:val="0071520D"/>
    <w:rsid w:val="00715EDB"/>
    <w:rsid w:val="007160D5"/>
    <w:rsid w:val="007163FB"/>
    <w:rsid w:val="0071743E"/>
    <w:rsid w:val="00717C2E"/>
    <w:rsid w:val="007204FA"/>
    <w:rsid w:val="007213B3"/>
    <w:rsid w:val="00721781"/>
    <w:rsid w:val="0072457F"/>
    <w:rsid w:val="00725406"/>
    <w:rsid w:val="0072621B"/>
    <w:rsid w:val="00730555"/>
    <w:rsid w:val="007312CC"/>
    <w:rsid w:val="00732AF2"/>
    <w:rsid w:val="00736A64"/>
    <w:rsid w:val="00737F6A"/>
    <w:rsid w:val="00740207"/>
    <w:rsid w:val="00740623"/>
    <w:rsid w:val="00740BBE"/>
    <w:rsid w:val="00740D89"/>
    <w:rsid w:val="007410B6"/>
    <w:rsid w:val="00744C6F"/>
    <w:rsid w:val="007457F6"/>
    <w:rsid w:val="00745ABB"/>
    <w:rsid w:val="00746E38"/>
    <w:rsid w:val="00747CD5"/>
    <w:rsid w:val="00753B51"/>
    <w:rsid w:val="00755422"/>
    <w:rsid w:val="00756629"/>
    <w:rsid w:val="007575D2"/>
    <w:rsid w:val="00757B23"/>
    <w:rsid w:val="00757B4F"/>
    <w:rsid w:val="00757B6A"/>
    <w:rsid w:val="007610E0"/>
    <w:rsid w:val="007621AA"/>
    <w:rsid w:val="0076260A"/>
    <w:rsid w:val="00762902"/>
    <w:rsid w:val="00764A67"/>
    <w:rsid w:val="00765853"/>
    <w:rsid w:val="0076785F"/>
    <w:rsid w:val="00767CB9"/>
    <w:rsid w:val="00770264"/>
    <w:rsid w:val="00770F6B"/>
    <w:rsid w:val="00771118"/>
    <w:rsid w:val="00771849"/>
    <w:rsid w:val="00771883"/>
    <w:rsid w:val="00772CF3"/>
    <w:rsid w:val="0077375D"/>
    <w:rsid w:val="007763F3"/>
    <w:rsid w:val="00776DC2"/>
    <w:rsid w:val="00776F6E"/>
    <w:rsid w:val="00780122"/>
    <w:rsid w:val="0078214B"/>
    <w:rsid w:val="0078498A"/>
    <w:rsid w:val="00787753"/>
    <w:rsid w:val="007878FE"/>
    <w:rsid w:val="00787D68"/>
    <w:rsid w:val="007914A4"/>
    <w:rsid w:val="00792207"/>
    <w:rsid w:val="00792B64"/>
    <w:rsid w:val="00792E29"/>
    <w:rsid w:val="0079379A"/>
    <w:rsid w:val="007946FC"/>
    <w:rsid w:val="00794953"/>
    <w:rsid w:val="007A0F13"/>
    <w:rsid w:val="007A1F2F"/>
    <w:rsid w:val="007A2A5C"/>
    <w:rsid w:val="007A3961"/>
    <w:rsid w:val="007A4273"/>
    <w:rsid w:val="007A5150"/>
    <w:rsid w:val="007A5373"/>
    <w:rsid w:val="007A5DAD"/>
    <w:rsid w:val="007A76C6"/>
    <w:rsid w:val="007A789F"/>
    <w:rsid w:val="007B03CD"/>
    <w:rsid w:val="007B75BC"/>
    <w:rsid w:val="007C0BD6"/>
    <w:rsid w:val="007C3806"/>
    <w:rsid w:val="007C5BB7"/>
    <w:rsid w:val="007D07D5"/>
    <w:rsid w:val="007D1C64"/>
    <w:rsid w:val="007D2802"/>
    <w:rsid w:val="007D32DD"/>
    <w:rsid w:val="007D6DCE"/>
    <w:rsid w:val="007D6E23"/>
    <w:rsid w:val="007D72C4"/>
    <w:rsid w:val="007E2CFE"/>
    <w:rsid w:val="007E2D0E"/>
    <w:rsid w:val="007E59C9"/>
    <w:rsid w:val="007E6170"/>
    <w:rsid w:val="007E7178"/>
    <w:rsid w:val="007F0072"/>
    <w:rsid w:val="007F2EB6"/>
    <w:rsid w:val="007F388C"/>
    <w:rsid w:val="007F54C3"/>
    <w:rsid w:val="00802949"/>
    <w:rsid w:val="0080301E"/>
    <w:rsid w:val="0080365F"/>
    <w:rsid w:val="00812BE5"/>
    <w:rsid w:val="00813014"/>
    <w:rsid w:val="0081323B"/>
    <w:rsid w:val="00817429"/>
    <w:rsid w:val="00817709"/>
    <w:rsid w:val="00820DC5"/>
    <w:rsid w:val="00821514"/>
    <w:rsid w:val="00821E35"/>
    <w:rsid w:val="00824591"/>
    <w:rsid w:val="00824AED"/>
    <w:rsid w:val="00827820"/>
    <w:rsid w:val="00830696"/>
    <w:rsid w:val="008319FA"/>
    <w:rsid w:val="00831B8B"/>
    <w:rsid w:val="0083405D"/>
    <w:rsid w:val="00835184"/>
    <w:rsid w:val="008352D4"/>
    <w:rsid w:val="00836DB9"/>
    <w:rsid w:val="00837C67"/>
    <w:rsid w:val="0084020A"/>
    <w:rsid w:val="008403CD"/>
    <w:rsid w:val="0084086B"/>
    <w:rsid w:val="008415B0"/>
    <w:rsid w:val="00842028"/>
    <w:rsid w:val="008424B6"/>
    <w:rsid w:val="00842B9E"/>
    <w:rsid w:val="008436B8"/>
    <w:rsid w:val="008460B6"/>
    <w:rsid w:val="00850C9D"/>
    <w:rsid w:val="00852B59"/>
    <w:rsid w:val="00856033"/>
    <w:rsid w:val="00856256"/>
    <w:rsid w:val="00856272"/>
    <w:rsid w:val="008563FF"/>
    <w:rsid w:val="0086018B"/>
    <w:rsid w:val="008611DD"/>
    <w:rsid w:val="008620DE"/>
    <w:rsid w:val="00863A5A"/>
    <w:rsid w:val="008640DE"/>
    <w:rsid w:val="00866867"/>
    <w:rsid w:val="00872257"/>
    <w:rsid w:val="0087310B"/>
    <w:rsid w:val="008753E6"/>
    <w:rsid w:val="0087738C"/>
    <w:rsid w:val="008802AF"/>
    <w:rsid w:val="00881926"/>
    <w:rsid w:val="008825D3"/>
    <w:rsid w:val="0088318F"/>
    <w:rsid w:val="0088331D"/>
    <w:rsid w:val="008847EA"/>
    <w:rsid w:val="008852B0"/>
    <w:rsid w:val="00885AE7"/>
    <w:rsid w:val="00886B60"/>
    <w:rsid w:val="00887889"/>
    <w:rsid w:val="008920FF"/>
    <w:rsid w:val="008926E8"/>
    <w:rsid w:val="00894F19"/>
    <w:rsid w:val="00895403"/>
    <w:rsid w:val="008966A0"/>
    <w:rsid w:val="00896A10"/>
    <w:rsid w:val="008971B5"/>
    <w:rsid w:val="00897393"/>
    <w:rsid w:val="008A5191"/>
    <w:rsid w:val="008A5D26"/>
    <w:rsid w:val="008A6B13"/>
    <w:rsid w:val="008A6ECB"/>
    <w:rsid w:val="008B0BF9"/>
    <w:rsid w:val="008B2866"/>
    <w:rsid w:val="008B3859"/>
    <w:rsid w:val="008B436D"/>
    <w:rsid w:val="008B4E49"/>
    <w:rsid w:val="008B7219"/>
    <w:rsid w:val="008B7712"/>
    <w:rsid w:val="008B7B26"/>
    <w:rsid w:val="008C3524"/>
    <w:rsid w:val="008C4061"/>
    <w:rsid w:val="008C4229"/>
    <w:rsid w:val="008C568D"/>
    <w:rsid w:val="008C5BE0"/>
    <w:rsid w:val="008C7233"/>
    <w:rsid w:val="008D0440"/>
    <w:rsid w:val="008D2434"/>
    <w:rsid w:val="008D75EB"/>
    <w:rsid w:val="008E171D"/>
    <w:rsid w:val="008E2785"/>
    <w:rsid w:val="008E307D"/>
    <w:rsid w:val="008E39CD"/>
    <w:rsid w:val="008E7780"/>
    <w:rsid w:val="008E78A3"/>
    <w:rsid w:val="008F064A"/>
    <w:rsid w:val="008F0654"/>
    <w:rsid w:val="008F06CB"/>
    <w:rsid w:val="008F2E83"/>
    <w:rsid w:val="008F612A"/>
    <w:rsid w:val="008F62D7"/>
    <w:rsid w:val="008F6485"/>
    <w:rsid w:val="0090293D"/>
    <w:rsid w:val="009034DE"/>
    <w:rsid w:val="00903BE9"/>
    <w:rsid w:val="00905396"/>
    <w:rsid w:val="0090605D"/>
    <w:rsid w:val="00906419"/>
    <w:rsid w:val="00911A7C"/>
    <w:rsid w:val="00912889"/>
    <w:rsid w:val="00913A42"/>
    <w:rsid w:val="00914167"/>
    <w:rsid w:val="009143DB"/>
    <w:rsid w:val="00915065"/>
    <w:rsid w:val="00915151"/>
    <w:rsid w:val="00917CE5"/>
    <w:rsid w:val="009217C0"/>
    <w:rsid w:val="009218F0"/>
    <w:rsid w:val="0092488F"/>
    <w:rsid w:val="00925241"/>
    <w:rsid w:val="00925CEC"/>
    <w:rsid w:val="00926A3F"/>
    <w:rsid w:val="0092794E"/>
    <w:rsid w:val="00930D30"/>
    <w:rsid w:val="009332A2"/>
    <w:rsid w:val="00934B6B"/>
    <w:rsid w:val="0093643B"/>
    <w:rsid w:val="009366C2"/>
    <w:rsid w:val="00937598"/>
    <w:rsid w:val="00937725"/>
    <w:rsid w:val="0093790B"/>
    <w:rsid w:val="00942E6E"/>
    <w:rsid w:val="00943751"/>
    <w:rsid w:val="00946DD0"/>
    <w:rsid w:val="009509E6"/>
    <w:rsid w:val="00952018"/>
    <w:rsid w:val="00952800"/>
    <w:rsid w:val="00952A8E"/>
    <w:rsid w:val="00952EB2"/>
    <w:rsid w:val="0095300D"/>
    <w:rsid w:val="009544D7"/>
    <w:rsid w:val="00956812"/>
    <w:rsid w:val="0095719A"/>
    <w:rsid w:val="009623E9"/>
    <w:rsid w:val="00962584"/>
    <w:rsid w:val="00963EEB"/>
    <w:rsid w:val="00964641"/>
    <w:rsid w:val="009648BC"/>
    <w:rsid w:val="00964C2E"/>
    <w:rsid w:val="00964C2F"/>
    <w:rsid w:val="009655A7"/>
    <w:rsid w:val="00965F88"/>
    <w:rsid w:val="0097067A"/>
    <w:rsid w:val="009717F4"/>
    <w:rsid w:val="0097180F"/>
    <w:rsid w:val="00973B38"/>
    <w:rsid w:val="00981F03"/>
    <w:rsid w:val="00982AEB"/>
    <w:rsid w:val="00984E03"/>
    <w:rsid w:val="00985138"/>
    <w:rsid w:val="00987E85"/>
    <w:rsid w:val="00992953"/>
    <w:rsid w:val="009A0BE5"/>
    <w:rsid w:val="009A0D12"/>
    <w:rsid w:val="009A1987"/>
    <w:rsid w:val="009A2BEE"/>
    <w:rsid w:val="009A3AF6"/>
    <w:rsid w:val="009A4B24"/>
    <w:rsid w:val="009A5289"/>
    <w:rsid w:val="009A7A53"/>
    <w:rsid w:val="009B0402"/>
    <w:rsid w:val="009B0B75"/>
    <w:rsid w:val="009B16DF"/>
    <w:rsid w:val="009B2CB8"/>
    <w:rsid w:val="009B4CB2"/>
    <w:rsid w:val="009B6322"/>
    <w:rsid w:val="009B6701"/>
    <w:rsid w:val="009B6EF7"/>
    <w:rsid w:val="009B7000"/>
    <w:rsid w:val="009B739C"/>
    <w:rsid w:val="009C04EC"/>
    <w:rsid w:val="009C328C"/>
    <w:rsid w:val="009C4444"/>
    <w:rsid w:val="009C79AD"/>
    <w:rsid w:val="009C7CA6"/>
    <w:rsid w:val="009C7E40"/>
    <w:rsid w:val="009D0160"/>
    <w:rsid w:val="009D3316"/>
    <w:rsid w:val="009D3E96"/>
    <w:rsid w:val="009D55AA"/>
    <w:rsid w:val="009D789D"/>
    <w:rsid w:val="009E0CF3"/>
    <w:rsid w:val="009E0D7E"/>
    <w:rsid w:val="009E36EB"/>
    <w:rsid w:val="009E3E77"/>
    <w:rsid w:val="009E3FAB"/>
    <w:rsid w:val="009E5B3F"/>
    <w:rsid w:val="009E614B"/>
    <w:rsid w:val="009E6BD7"/>
    <w:rsid w:val="009E7D90"/>
    <w:rsid w:val="009F14C3"/>
    <w:rsid w:val="009F1AB0"/>
    <w:rsid w:val="009F1DE0"/>
    <w:rsid w:val="009F28E6"/>
    <w:rsid w:val="009F501D"/>
    <w:rsid w:val="009F7E64"/>
    <w:rsid w:val="00A039D5"/>
    <w:rsid w:val="00A046AD"/>
    <w:rsid w:val="00A079C1"/>
    <w:rsid w:val="00A11BE8"/>
    <w:rsid w:val="00A12520"/>
    <w:rsid w:val="00A130FD"/>
    <w:rsid w:val="00A13510"/>
    <w:rsid w:val="00A13D6D"/>
    <w:rsid w:val="00A14769"/>
    <w:rsid w:val="00A155CA"/>
    <w:rsid w:val="00A15B2F"/>
    <w:rsid w:val="00A16151"/>
    <w:rsid w:val="00A16EC6"/>
    <w:rsid w:val="00A17C06"/>
    <w:rsid w:val="00A2126E"/>
    <w:rsid w:val="00A21706"/>
    <w:rsid w:val="00A234DF"/>
    <w:rsid w:val="00A24FCC"/>
    <w:rsid w:val="00A26289"/>
    <w:rsid w:val="00A26A90"/>
    <w:rsid w:val="00A26B27"/>
    <w:rsid w:val="00A30E4F"/>
    <w:rsid w:val="00A32253"/>
    <w:rsid w:val="00A3310E"/>
    <w:rsid w:val="00A333A0"/>
    <w:rsid w:val="00A37E70"/>
    <w:rsid w:val="00A43047"/>
    <w:rsid w:val="00A437E1"/>
    <w:rsid w:val="00A4685E"/>
    <w:rsid w:val="00A50CD4"/>
    <w:rsid w:val="00A51191"/>
    <w:rsid w:val="00A56D62"/>
    <w:rsid w:val="00A56F07"/>
    <w:rsid w:val="00A5762C"/>
    <w:rsid w:val="00A600FC"/>
    <w:rsid w:val="00A60BCA"/>
    <w:rsid w:val="00A638DA"/>
    <w:rsid w:val="00A65B41"/>
    <w:rsid w:val="00A65E00"/>
    <w:rsid w:val="00A66A78"/>
    <w:rsid w:val="00A713A1"/>
    <w:rsid w:val="00A7436E"/>
    <w:rsid w:val="00A74DDF"/>
    <w:rsid w:val="00A74E96"/>
    <w:rsid w:val="00A758E6"/>
    <w:rsid w:val="00A75A8E"/>
    <w:rsid w:val="00A824DD"/>
    <w:rsid w:val="00A8318A"/>
    <w:rsid w:val="00A83676"/>
    <w:rsid w:val="00A83B7B"/>
    <w:rsid w:val="00A84274"/>
    <w:rsid w:val="00A850F3"/>
    <w:rsid w:val="00A86495"/>
    <w:rsid w:val="00A864E3"/>
    <w:rsid w:val="00A8777C"/>
    <w:rsid w:val="00A93C9D"/>
    <w:rsid w:val="00A94574"/>
    <w:rsid w:val="00A95936"/>
    <w:rsid w:val="00A96265"/>
    <w:rsid w:val="00A97084"/>
    <w:rsid w:val="00AA1C2C"/>
    <w:rsid w:val="00AA35F6"/>
    <w:rsid w:val="00AA3FAB"/>
    <w:rsid w:val="00AA667C"/>
    <w:rsid w:val="00AA6E91"/>
    <w:rsid w:val="00AA7078"/>
    <w:rsid w:val="00AA7439"/>
    <w:rsid w:val="00AB047E"/>
    <w:rsid w:val="00AB0B0A"/>
    <w:rsid w:val="00AB0BB7"/>
    <w:rsid w:val="00AB1CDF"/>
    <w:rsid w:val="00AB22C6"/>
    <w:rsid w:val="00AB2AD0"/>
    <w:rsid w:val="00AB67FC"/>
    <w:rsid w:val="00AC00F2"/>
    <w:rsid w:val="00AC2C23"/>
    <w:rsid w:val="00AC31B5"/>
    <w:rsid w:val="00AC3334"/>
    <w:rsid w:val="00AC3D27"/>
    <w:rsid w:val="00AC4EA1"/>
    <w:rsid w:val="00AC5381"/>
    <w:rsid w:val="00AC5920"/>
    <w:rsid w:val="00AC6778"/>
    <w:rsid w:val="00AC7B22"/>
    <w:rsid w:val="00AD0E65"/>
    <w:rsid w:val="00AD2BF2"/>
    <w:rsid w:val="00AD2FB2"/>
    <w:rsid w:val="00AD4760"/>
    <w:rsid w:val="00AD48FB"/>
    <w:rsid w:val="00AD4E90"/>
    <w:rsid w:val="00AD5422"/>
    <w:rsid w:val="00AE0185"/>
    <w:rsid w:val="00AE1C50"/>
    <w:rsid w:val="00AE4179"/>
    <w:rsid w:val="00AE4425"/>
    <w:rsid w:val="00AE4FBE"/>
    <w:rsid w:val="00AE650F"/>
    <w:rsid w:val="00AE6555"/>
    <w:rsid w:val="00AE7D16"/>
    <w:rsid w:val="00AF4CAA"/>
    <w:rsid w:val="00AF571A"/>
    <w:rsid w:val="00AF60A0"/>
    <w:rsid w:val="00AF67FC"/>
    <w:rsid w:val="00AF6B86"/>
    <w:rsid w:val="00AF7DF5"/>
    <w:rsid w:val="00B00254"/>
    <w:rsid w:val="00B006E5"/>
    <w:rsid w:val="00B01C3C"/>
    <w:rsid w:val="00B021DE"/>
    <w:rsid w:val="00B024C2"/>
    <w:rsid w:val="00B02DAF"/>
    <w:rsid w:val="00B07700"/>
    <w:rsid w:val="00B1198B"/>
    <w:rsid w:val="00B12929"/>
    <w:rsid w:val="00B13921"/>
    <w:rsid w:val="00B1528C"/>
    <w:rsid w:val="00B16ACD"/>
    <w:rsid w:val="00B21487"/>
    <w:rsid w:val="00B232D1"/>
    <w:rsid w:val="00B24DB5"/>
    <w:rsid w:val="00B263A4"/>
    <w:rsid w:val="00B31F9E"/>
    <w:rsid w:val="00B3268F"/>
    <w:rsid w:val="00B32C2C"/>
    <w:rsid w:val="00B3331A"/>
    <w:rsid w:val="00B33A1A"/>
    <w:rsid w:val="00B33E6C"/>
    <w:rsid w:val="00B3421A"/>
    <w:rsid w:val="00B35BE5"/>
    <w:rsid w:val="00B371CC"/>
    <w:rsid w:val="00B37D6E"/>
    <w:rsid w:val="00B409B2"/>
    <w:rsid w:val="00B41CD9"/>
    <w:rsid w:val="00B427E6"/>
    <w:rsid w:val="00B428A6"/>
    <w:rsid w:val="00B43E1F"/>
    <w:rsid w:val="00B45FBC"/>
    <w:rsid w:val="00B509C1"/>
    <w:rsid w:val="00B51A7D"/>
    <w:rsid w:val="00B530AD"/>
    <w:rsid w:val="00B535C2"/>
    <w:rsid w:val="00B54ED8"/>
    <w:rsid w:val="00B55544"/>
    <w:rsid w:val="00B55C8B"/>
    <w:rsid w:val="00B642FC"/>
    <w:rsid w:val="00B64D26"/>
    <w:rsid w:val="00B64FBB"/>
    <w:rsid w:val="00B70E22"/>
    <w:rsid w:val="00B713F9"/>
    <w:rsid w:val="00B72935"/>
    <w:rsid w:val="00B76503"/>
    <w:rsid w:val="00B774CB"/>
    <w:rsid w:val="00B80402"/>
    <w:rsid w:val="00B80B9A"/>
    <w:rsid w:val="00B830B7"/>
    <w:rsid w:val="00B848EA"/>
    <w:rsid w:val="00B84B2B"/>
    <w:rsid w:val="00B867A0"/>
    <w:rsid w:val="00B90500"/>
    <w:rsid w:val="00B9176C"/>
    <w:rsid w:val="00B935A4"/>
    <w:rsid w:val="00BA2C63"/>
    <w:rsid w:val="00BA561A"/>
    <w:rsid w:val="00BA5A90"/>
    <w:rsid w:val="00BA5E3E"/>
    <w:rsid w:val="00BB0DC6"/>
    <w:rsid w:val="00BB15E4"/>
    <w:rsid w:val="00BB1E19"/>
    <w:rsid w:val="00BB21D1"/>
    <w:rsid w:val="00BB32F2"/>
    <w:rsid w:val="00BB4338"/>
    <w:rsid w:val="00BB5D40"/>
    <w:rsid w:val="00BB6C0E"/>
    <w:rsid w:val="00BB7B38"/>
    <w:rsid w:val="00BC03D3"/>
    <w:rsid w:val="00BC11E5"/>
    <w:rsid w:val="00BC4108"/>
    <w:rsid w:val="00BC4BC6"/>
    <w:rsid w:val="00BC52FD"/>
    <w:rsid w:val="00BC6E62"/>
    <w:rsid w:val="00BC7443"/>
    <w:rsid w:val="00BD0648"/>
    <w:rsid w:val="00BD1040"/>
    <w:rsid w:val="00BD2A72"/>
    <w:rsid w:val="00BD34AA"/>
    <w:rsid w:val="00BD6776"/>
    <w:rsid w:val="00BE0C44"/>
    <w:rsid w:val="00BE1B8B"/>
    <w:rsid w:val="00BE2A18"/>
    <w:rsid w:val="00BE2C01"/>
    <w:rsid w:val="00BE367F"/>
    <w:rsid w:val="00BE388F"/>
    <w:rsid w:val="00BE41EC"/>
    <w:rsid w:val="00BE4D8F"/>
    <w:rsid w:val="00BE56FB"/>
    <w:rsid w:val="00BF2F19"/>
    <w:rsid w:val="00BF3DDE"/>
    <w:rsid w:val="00BF55D5"/>
    <w:rsid w:val="00BF6526"/>
    <w:rsid w:val="00BF6589"/>
    <w:rsid w:val="00BF6F7F"/>
    <w:rsid w:val="00C00647"/>
    <w:rsid w:val="00C02764"/>
    <w:rsid w:val="00C04CEF"/>
    <w:rsid w:val="00C057E7"/>
    <w:rsid w:val="00C0662F"/>
    <w:rsid w:val="00C10D21"/>
    <w:rsid w:val="00C10D2C"/>
    <w:rsid w:val="00C11943"/>
    <w:rsid w:val="00C12E96"/>
    <w:rsid w:val="00C12F33"/>
    <w:rsid w:val="00C14763"/>
    <w:rsid w:val="00C15C79"/>
    <w:rsid w:val="00C16141"/>
    <w:rsid w:val="00C2363F"/>
    <w:rsid w:val="00C236C8"/>
    <w:rsid w:val="00C25F44"/>
    <w:rsid w:val="00C260B1"/>
    <w:rsid w:val="00C26E56"/>
    <w:rsid w:val="00C31406"/>
    <w:rsid w:val="00C3165D"/>
    <w:rsid w:val="00C32D97"/>
    <w:rsid w:val="00C36BE4"/>
    <w:rsid w:val="00C37194"/>
    <w:rsid w:val="00C40637"/>
    <w:rsid w:val="00C40F6C"/>
    <w:rsid w:val="00C44426"/>
    <w:rsid w:val="00C445F3"/>
    <w:rsid w:val="00C451F4"/>
    <w:rsid w:val="00C454E9"/>
    <w:rsid w:val="00C45EB1"/>
    <w:rsid w:val="00C5029B"/>
    <w:rsid w:val="00C54A3A"/>
    <w:rsid w:val="00C55566"/>
    <w:rsid w:val="00C5589E"/>
    <w:rsid w:val="00C55A4D"/>
    <w:rsid w:val="00C56448"/>
    <w:rsid w:val="00C571BB"/>
    <w:rsid w:val="00C57E6D"/>
    <w:rsid w:val="00C629BF"/>
    <w:rsid w:val="00C656D0"/>
    <w:rsid w:val="00C667BE"/>
    <w:rsid w:val="00C6766B"/>
    <w:rsid w:val="00C71C36"/>
    <w:rsid w:val="00C72223"/>
    <w:rsid w:val="00C72A38"/>
    <w:rsid w:val="00C75131"/>
    <w:rsid w:val="00C76417"/>
    <w:rsid w:val="00C7726F"/>
    <w:rsid w:val="00C823DA"/>
    <w:rsid w:val="00C8259F"/>
    <w:rsid w:val="00C82746"/>
    <w:rsid w:val="00C8312F"/>
    <w:rsid w:val="00C84C47"/>
    <w:rsid w:val="00C858A4"/>
    <w:rsid w:val="00C86740"/>
    <w:rsid w:val="00C86AFA"/>
    <w:rsid w:val="00CA2DD9"/>
    <w:rsid w:val="00CB18D0"/>
    <w:rsid w:val="00CB1C8A"/>
    <w:rsid w:val="00CB24F5"/>
    <w:rsid w:val="00CB2663"/>
    <w:rsid w:val="00CB3BBE"/>
    <w:rsid w:val="00CB59E9"/>
    <w:rsid w:val="00CC0D6A"/>
    <w:rsid w:val="00CC2A25"/>
    <w:rsid w:val="00CC3831"/>
    <w:rsid w:val="00CC3DE0"/>
    <w:rsid w:val="00CC3E3D"/>
    <w:rsid w:val="00CC519B"/>
    <w:rsid w:val="00CC6005"/>
    <w:rsid w:val="00CD0457"/>
    <w:rsid w:val="00CD07CA"/>
    <w:rsid w:val="00CD12C1"/>
    <w:rsid w:val="00CD214E"/>
    <w:rsid w:val="00CD46FA"/>
    <w:rsid w:val="00CD47BE"/>
    <w:rsid w:val="00CD5544"/>
    <w:rsid w:val="00CD5973"/>
    <w:rsid w:val="00CD6413"/>
    <w:rsid w:val="00CD72C6"/>
    <w:rsid w:val="00CE20C7"/>
    <w:rsid w:val="00CE31A6"/>
    <w:rsid w:val="00CE41F6"/>
    <w:rsid w:val="00CE5A96"/>
    <w:rsid w:val="00CF09AA"/>
    <w:rsid w:val="00CF19AB"/>
    <w:rsid w:val="00CF320B"/>
    <w:rsid w:val="00CF4813"/>
    <w:rsid w:val="00CF4CB3"/>
    <w:rsid w:val="00CF5233"/>
    <w:rsid w:val="00D029B8"/>
    <w:rsid w:val="00D02F60"/>
    <w:rsid w:val="00D0464E"/>
    <w:rsid w:val="00D04A96"/>
    <w:rsid w:val="00D07A70"/>
    <w:rsid w:val="00D07A7B"/>
    <w:rsid w:val="00D10E06"/>
    <w:rsid w:val="00D11AB2"/>
    <w:rsid w:val="00D12E8D"/>
    <w:rsid w:val="00D15197"/>
    <w:rsid w:val="00D16820"/>
    <w:rsid w:val="00D169C8"/>
    <w:rsid w:val="00D1793F"/>
    <w:rsid w:val="00D22AF5"/>
    <w:rsid w:val="00D234E6"/>
    <w:rsid w:val="00D235EA"/>
    <w:rsid w:val="00D247A9"/>
    <w:rsid w:val="00D31094"/>
    <w:rsid w:val="00D32721"/>
    <w:rsid w:val="00D328DC"/>
    <w:rsid w:val="00D32B7C"/>
    <w:rsid w:val="00D33387"/>
    <w:rsid w:val="00D34944"/>
    <w:rsid w:val="00D401B2"/>
    <w:rsid w:val="00D402FB"/>
    <w:rsid w:val="00D44982"/>
    <w:rsid w:val="00D47D7A"/>
    <w:rsid w:val="00D50ABD"/>
    <w:rsid w:val="00D55290"/>
    <w:rsid w:val="00D57791"/>
    <w:rsid w:val="00D6046A"/>
    <w:rsid w:val="00D62870"/>
    <w:rsid w:val="00D62E0D"/>
    <w:rsid w:val="00D62FE4"/>
    <w:rsid w:val="00D655D9"/>
    <w:rsid w:val="00D65872"/>
    <w:rsid w:val="00D676F3"/>
    <w:rsid w:val="00D70EF5"/>
    <w:rsid w:val="00D71024"/>
    <w:rsid w:val="00D71A25"/>
    <w:rsid w:val="00D71FCF"/>
    <w:rsid w:val="00D72A54"/>
    <w:rsid w:val="00D72CC1"/>
    <w:rsid w:val="00D76A9B"/>
    <w:rsid w:val="00D76E70"/>
    <w:rsid w:val="00D76EC9"/>
    <w:rsid w:val="00D80E7D"/>
    <w:rsid w:val="00D81397"/>
    <w:rsid w:val="00D83733"/>
    <w:rsid w:val="00D848B9"/>
    <w:rsid w:val="00D87893"/>
    <w:rsid w:val="00D90E69"/>
    <w:rsid w:val="00D91368"/>
    <w:rsid w:val="00D91D6E"/>
    <w:rsid w:val="00D93106"/>
    <w:rsid w:val="00D933E9"/>
    <w:rsid w:val="00D9505D"/>
    <w:rsid w:val="00D953D0"/>
    <w:rsid w:val="00D959F5"/>
    <w:rsid w:val="00D966D1"/>
    <w:rsid w:val="00D96884"/>
    <w:rsid w:val="00DA3FDD"/>
    <w:rsid w:val="00DA7017"/>
    <w:rsid w:val="00DA7028"/>
    <w:rsid w:val="00DB1AD2"/>
    <w:rsid w:val="00DB1EA0"/>
    <w:rsid w:val="00DB2B58"/>
    <w:rsid w:val="00DB5206"/>
    <w:rsid w:val="00DB6276"/>
    <w:rsid w:val="00DB63F5"/>
    <w:rsid w:val="00DB7AC1"/>
    <w:rsid w:val="00DC1C6B"/>
    <w:rsid w:val="00DC2025"/>
    <w:rsid w:val="00DC2C2E"/>
    <w:rsid w:val="00DC3398"/>
    <w:rsid w:val="00DC4AF0"/>
    <w:rsid w:val="00DC5D53"/>
    <w:rsid w:val="00DC7886"/>
    <w:rsid w:val="00DD09B0"/>
    <w:rsid w:val="00DD0BF1"/>
    <w:rsid w:val="00DD0CF2"/>
    <w:rsid w:val="00DE0FA1"/>
    <w:rsid w:val="00DE1554"/>
    <w:rsid w:val="00DE2335"/>
    <w:rsid w:val="00DE2901"/>
    <w:rsid w:val="00DE590F"/>
    <w:rsid w:val="00DE64AE"/>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3AA1"/>
    <w:rsid w:val="00E24728"/>
    <w:rsid w:val="00E26038"/>
    <w:rsid w:val="00E276AC"/>
    <w:rsid w:val="00E34A35"/>
    <w:rsid w:val="00E37AEC"/>
    <w:rsid w:val="00E37BFB"/>
    <w:rsid w:val="00E37C2F"/>
    <w:rsid w:val="00E4081E"/>
    <w:rsid w:val="00E41C28"/>
    <w:rsid w:val="00E45D12"/>
    <w:rsid w:val="00E4621C"/>
    <w:rsid w:val="00E46308"/>
    <w:rsid w:val="00E51E17"/>
    <w:rsid w:val="00E52DAB"/>
    <w:rsid w:val="00E53643"/>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4FD"/>
    <w:rsid w:val="00E84F38"/>
    <w:rsid w:val="00E85623"/>
    <w:rsid w:val="00E856B3"/>
    <w:rsid w:val="00E87441"/>
    <w:rsid w:val="00E9039B"/>
    <w:rsid w:val="00E91FAE"/>
    <w:rsid w:val="00E94695"/>
    <w:rsid w:val="00E95904"/>
    <w:rsid w:val="00E96BAA"/>
    <w:rsid w:val="00E96E3F"/>
    <w:rsid w:val="00EA091B"/>
    <w:rsid w:val="00EA270C"/>
    <w:rsid w:val="00EA4974"/>
    <w:rsid w:val="00EA532E"/>
    <w:rsid w:val="00EB06D9"/>
    <w:rsid w:val="00EB192B"/>
    <w:rsid w:val="00EB19ED"/>
    <w:rsid w:val="00EB1CAB"/>
    <w:rsid w:val="00EB3BF8"/>
    <w:rsid w:val="00EB4673"/>
    <w:rsid w:val="00EB525F"/>
    <w:rsid w:val="00EB6733"/>
    <w:rsid w:val="00EC044C"/>
    <w:rsid w:val="00EC0F5A"/>
    <w:rsid w:val="00EC4265"/>
    <w:rsid w:val="00EC4CEB"/>
    <w:rsid w:val="00EC659E"/>
    <w:rsid w:val="00ED080F"/>
    <w:rsid w:val="00ED2072"/>
    <w:rsid w:val="00ED2AE0"/>
    <w:rsid w:val="00ED5553"/>
    <w:rsid w:val="00ED5E36"/>
    <w:rsid w:val="00ED6961"/>
    <w:rsid w:val="00EE0F06"/>
    <w:rsid w:val="00EE3C0D"/>
    <w:rsid w:val="00EE40FD"/>
    <w:rsid w:val="00EF05EC"/>
    <w:rsid w:val="00EF0B96"/>
    <w:rsid w:val="00EF3486"/>
    <w:rsid w:val="00EF47AF"/>
    <w:rsid w:val="00EF53B6"/>
    <w:rsid w:val="00F00B73"/>
    <w:rsid w:val="00F04CFB"/>
    <w:rsid w:val="00F0516A"/>
    <w:rsid w:val="00F115CA"/>
    <w:rsid w:val="00F1262F"/>
    <w:rsid w:val="00F14817"/>
    <w:rsid w:val="00F14EBA"/>
    <w:rsid w:val="00F1510F"/>
    <w:rsid w:val="00F1533A"/>
    <w:rsid w:val="00F15E5A"/>
    <w:rsid w:val="00F17F0A"/>
    <w:rsid w:val="00F21B4F"/>
    <w:rsid w:val="00F2668F"/>
    <w:rsid w:val="00F2742F"/>
    <w:rsid w:val="00F2753B"/>
    <w:rsid w:val="00F33F8B"/>
    <w:rsid w:val="00F340B2"/>
    <w:rsid w:val="00F40676"/>
    <w:rsid w:val="00F43390"/>
    <w:rsid w:val="00F443B2"/>
    <w:rsid w:val="00F458D8"/>
    <w:rsid w:val="00F50237"/>
    <w:rsid w:val="00F53596"/>
    <w:rsid w:val="00F55BA8"/>
    <w:rsid w:val="00F55CB4"/>
    <w:rsid w:val="00F55DB1"/>
    <w:rsid w:val="00F56ACA"/>
    <w:rsid w:val="00F600FE"/>
    <w:rsid w:val="00F62E4D"/>
    <w:rsid w:val="00F65CBB"/>
    <w:rsid w:val="00F66B34"/>
    <w:rsid w:val="00F675B9"/>
    <w:rsid w:val="00F711C9"/>
    <w:rsid w:val="00F74C59"/>
    <w:rsid w:val="00F75C08"/>
    <w:rsid w:val="00F75C3A"/>
    <w:rsid w:val="00F82E30"/>
    <w:rsid w:val="00F831CB"/>
    <w:rsid w:val="00F836AF"/>
    <w:rsid w:val="00F848A3"/>
    <w:rsid w:val="00F84ACF"/>
    <w:rsid w:val="00F8553F"/>
    <w:rsid w:val="00F85742"/>
    <w:rsid w:val="00F85BF8"/>
    <w:rsid w:val="00F865F2"/>
    <w:rsid w:val="00F871CE"/>
    <w:rsid w:val="00F87802"/>
    <w:rsid w:val="00F87AB1"/>
    <w:rsid w:val="00F92C0A"/>
    <w:rsid w:val="00F9415B"/>
    <w:rsid w:val="00FA13C2"/>
    <w:rsid w:val="00FA7F91"/>
    <w:rsid w:val="00FB121C"/>
    <w:rsid w:val="00FB1CDD"/>
    <w:rsid w:val="00FB1FBF"/>
    <w:rsid w:val="00FB2C2F"/>
    <w:rsid w:val="00FB305C"/>
    <w:rsid w:val="00FC08D3"/>
    <w:rsid w:val="00FC2E3D"/>
    <w:rsid w:val="00FC3BDE"/>
    <w:rsid w:val="00FC5DF0"/>
    <w:rsid w:val="00FC7913"/>
    <w:rsid w:val="00FC7BCD"/>
    <w:rsid w:val="00FD1DBE"/>
    <w:rsid w:val="00FD25A7"/>
    <w:rsid w:val="00FD27B6"/>
    <w:rsid w:val="00FD3689"/>
    <w:rsid w:val="00FD42A3"/>
    <w:rsid w:val="00FD7166"/>
    <w:rsid w:val="00FD7468"/>
    <w:rsid w:val="00FD7CE0"/>
    <w:rsid w:val="00FE0B3B"/>
    <w:rsid w:val="00FE1BE2"/>
    <w:rsid w:val="00FE649F"/>
    <w:rsid w:val="00FE716C"/>
    <w:rsid w:val="00FE730A"/>
    <w:rsid w:val="00FE7DA0"/>
    <w:rsid w:val="00FF1DD7"/>
    <w:rsid w:val="00FF21D3"/>
    <w:rsid w:val="00FF4453"/>
    <w:rsid w:val="00FF64C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167C4"/>
  <w15:docId w15:val="{3B00A66C-F631-4065-AF12-A0244A7B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number,SUPERS,Footnote Reference Superscript,BVI fnr,Footnote symbol,Footnote,(Footnote Reference),Footnote reference number,note TESI,EN Footnote Reference,Voetnootverwijzing,Times 10 Point,Exposant 3 Point,Odwołanie przypisu"/>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Elegancki">
    <w:name w:val="Table Elegant"/>
    <w:basedOn w:val="Standardowy"/>
    <w:locked/>
    <w:rsid w:val="001952B1"/>
    <w:pPr>
      <w:widowControl w:val="0"/>
      <w:autoSpaceDE w:val="0"/>
      <w:autoSpaceDN w:val="0"/>
      <w:adjustRightInd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Ind w:w="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0" w:type="dxa"/>
        <w:left w:w="108" w:type="dxa"/>
        <w:bottom w:w="0" w:type="dxa"/>
        <w:right w:w="108" w:type="dxa"/>
      </w:tblCellMar>
    </w:tblPr>
    <w:trPr>
      <w:jc w:val="center"/>
    </w:trPr>
  </w:style>
  <w:style w:type="table" w:customStyle="1" w:styleId="TABELA3zszablonu">
    <w:name w:val="TABELA 3 z szablonu"/>
    <w:basedOn w:val="TABELA2zszablonu"/>
    <w:uiPriority w:val="99"/>
    <w:rsid w:val="001329AC"/>
    <w:tblPr>
      <w:jc w:val="cente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Tekstprzypisukocowego">
    <w:name w:val="endnote text"/>
    <w:basedOn w:val="Normalny"/>
    <w:link w:val="TekstprzypisukocowegoZnak"/>
    <w:uiPriority w:val="99"/>
    <w:semiHidden/>
    <w:unhideWhenUsed/>
    <w:rsid w:val="00AB1CDF"/>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AB1CDF"/>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unhideWhenUsed/>
    <w:rsid w:val="00AB1CDF"/>
    <w:rPr>
      <w:vertAlign w:val="superscript"/>
    </w:rPr>
  </w:style>
  <w:style w:type="character" w:styleId="Hipercze">
    <w:name w:val="Hyperlink"/>
    <w:basedOn w:val="Domylnaczcionkaakapitu"/>
    <w:uiPriority w:val="99"/>
    <w:unhideWhenUsed/>
    <w:rsid w:val="00432A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4435">
      <w:bodyDiv w:val="1"/>
      <w:marLeft w:val="0"/>
      <w:marRight w:val="0"/>
      <w:marTop w:val="0"/>
      <w:marBottom w:val="0"/>
      <w:divBdr>
        <w:top w:val="none" w:sz="0" w:space="0" w:color="auto"/>
        <w:left w:val="none" w:sz="0" w:space="0" w:color="auto"/>
        <w:bottom w:val="none" w:sz="0" w:space="0" w:color="auto"/>
        <w:right w:val="none" w:sz="0" w:space="0" w:color="auto"/>
      </w:divBdr>
      <w:divsChild>
        <w:div w:id="546532107">
          <w:marLeft w:val="0"/>
          <w:marRight w:val="0"/>
          <w:marTop w:val="0"/>
          <w:marBottom w:val="0"/>
          <w:divBdr>
            <w:top w:val="none" w:sz="0" w:space="0" w:color="auto"/>
            <w:left w:val="none" w:sz="0" w:space="0" w:color="auto"/>
            <w:bottom w:val="none" w:sz="0" w:space="0" w:color="auto"/>
            <w:right w:val="none" w:sz="0" w:space="0" w:color="auto"/>
          </w:divBdr>
        </w:div>
        <w:div w:id="801074592">
          <w:marLeft w:val="0"/>
          <w:marRight w:val="0"/>
          <w:marTop w:val="0"/>
          <w:marBottom w:val="0"/>
          <w:divBdr>
            <w:top w:val="none" w:sz="0" w:space="0" w:color="auto"/>
            <w:left w:val="none" w:sz="0" w:space="0" w:color="auto"/>
            <w:bottom w:val="none" w:sz="0" w:space="0" w:color="auto"/>
            <w:right w:val="none" w:sz="0" w:space="0" w:color="auto"/>
          </w:divBdr>
        </w:div>
        <w:div w:id="1266687812">
          <w:marLeft w:val="0"/>
          <w:marRight w:val="0"/>
          <w:marTop w:val="0"/>
          <w:marBottom w:val="0"/>
          <w:divBdr>
            <w:top w:val="none" w:sz="0" w:space="0" w:color="auto"/>
            <w:left w:val="none" w:sz="0" w:space="0" w:color="auto"/>
            <w:bottom w:val="none" w:sz="0" w:space="0" w:color="auto"/>
            <w:right w:val="none" w:sz="0" w:space="0" w:color="auto"/>
          </w:divBdr>
        </w:div>
      </w:divsChild>
    </w:div>
    <w:div w:id="134838768">
      <w:bodyDiv w:val="1"/>
      <w:marLeft w:val="0"/>
      <w:marRight w:val="0"/>
      <w:marTop w:val="0"/>
      <w:marBottom w:val="0"/>
      <w:divBdr>
        <w:top w:val="none" w:sz="0" w:space="0" w:color="auto"/>
        <w:left w:val="none" w:sz="0" w:space="0" w:color="auto"/>
        <w:bottom w:val="none" w:sz="0" w:space="0" w:color="auto"/>
        <w:right w:val="none" w:sz="0" w:space="0" w:color="auto"/>
      </w:divBdr>
    </w:div>
    <w:div w:id="457838186">
      <w:bodyDiv w:val="1"/>
      <w:marLeft w:val="0"/>
      <w:marRight w:val="0"/>
      <w:marTop w:val="0"/>
      <w:marBottom w:val="0"/>
      <w:divBdr>
        <w:top w:val="none" w:sz="0" w:space="0" w:color="auto"/>
        <w:left w:val="none" w:sz="0" w:space="0" w:color="auto"/>
        <w:bottom w:val="none" w:sz="0" w:space="0" w:color="auto"/>
        <w:right w:val="none" w:sz="0" w:space="0" w:color="auto"/>
      </w:divBdr>
    </w:div>
    <w:div w:id="877855458">
      <w:bodyDiv w:val="1"/>
      <w:marLeft w:val="0"/>
      <w:marRight w:val="0"/>
      <w:marTop w:val="0"/>
      <w:marBottom w:val="0"/>
      <w:divBdr>
        <w:top w:val="none" w:sz="0" w:space="0" w:color="auto"/>
        <w:left w:val="none" w:sz="0" w:space="0" w:color="auto"/>
        <w:bottom w:val="none" w:sz="0" w:space="0" w:color="auto"/>
        <w:right w:val="none" w:sz="0" w:space="0" w:color="auto"/>
      </w:divBdr>
    </w:div>
    <w:div w:id="908420930">
      <w:bodyDiv w:val="1"/>
      <w:marLeft w:val="0"/>
      <w:marRight w:val="0"/>
      <w:marTop w:val="0"/>
      <w:marBottom w:val="0"/>
      <w:divBdr>
        <w:top w:val="none" w:sz="0" w:space="0" w:color="auto"/>
        <w:left w:val="none" w:sz="0" w:space="0" w:color="auto"/>
        <w:bottom w:val="none" w:sz="0" w:space="0" w:color="auto"/>
        <w:right w:val="none" w:sz="0" w:space="0" w:color="auto"/>
      </w:divBdr>
    </w:div>
    <w:div w:id="1474131579">
      <w:bodyDiv w:val="1"/>
      <w:marLeft w:val="0"/>
      <w:marRight w:val="0"/>
      <w:marTop w:val="0"/>
      <w:marBottom w:val="0"/>
      <w:divBdr>
        <w:top w:val="none" w:sz="0" w:space="0" w:color="auto"/>
        <w:left w:val="none" w:sz="0" w:space="0" w:color="auto"/>
        <w:bottom w:val="none" w:sz="0" w:space="0" w:color="auto"/>
        <w:right w:val="none" w:sz="0" w:space="0" w:color="auto"/>
      </w:divBdr>
    </w:div>
    <w:div w:id="1505778114">
      <w:bodyDiv w:val="1"/>
      <w:marLeft w:val="0"/>
      <w:marRight w:val="0"/>
      <w:marTop w:val="0"/>
      <w:marBottom w:val="0"/>
      <w:divBdr>
        <w:top w:val="none" w:sz="0" w:space="0" w:color="auto"/>
        <w:left w:val="none" w:sz="0" w:space="0" w:color="auto"/>
        <w:bottom w:val="none" w:sz="0" w:space="0" w:color="auto"/>
        <w:right w:val="none" w:sz="0" w:space="0" w:color="auto"/>
      </w:divBdr>
    </w:div>
    <w:div w:id="204952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5249AE-BAA8-4F04-A257-614D279B7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37804</Words>
  <Characters>226828</Characters>
  <Application>Microsoft Office Word</Application>
  <DocSecurity>0</DocSecurity>
  <Lines>1890</Lines>
  <Paragraphs>528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264104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Kącki Jakub</dc:creator>
  <cp:lastModifiedBy>Czarnecka Grażyna</cp:lastModifiedBy>
  <cp:revision>2</cp:revision>
  <cp:lastPrinted>2019-07-31T12:36:00Z</cp:lastPrinted>
  <dcterms:created xsi:type="dcterms:W3CDTF">2019-08-01T07:28:00Z</dcterms:created>
  <dcterms:modified xsi:type="dcterms:W3CDTF">2019-08-01T07:28:00Z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