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72B" w:rsidRPr="00DA1166" w:rsidRDefault="0052272B" w:rsidP="005227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A1166">
        <w:rPr>
          <w:rFonts w:ascii="Times New Roman" w:hAnsi="Times New Roman" w:cs="Times New Roman"/>
          <w:b/>
          <w:sz w:val="24"/>
          <w:szCs w:val="24"/>
        </w:rPr>
        <w:t xml:space="preserve">Uzasadnienie </w:t>
      </w:r>
    </w:p>
    <w:p w:rsidR="00154ED6" w:rsidRDefault="0052272B" w:rsidP="0052272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ED6">
        <w:rPr>
          <w:rFonts w:ascii="Times New Roman" w:hAnsi="Times New Roman" w:cs="Times New Roman"/>
          <w:sz w:val="24"/>
          <w:szCs w:val="24"/>
        </w:rPr>
        <w:t>Uzasadnieniem dla wprowadzenia projektowanych zmian w ustawie z dnia 17 grudnia 1998 r. o rentach i emeryturach z Funduszu Ubezpieczeń Społecznych jest zróżnicowanie pozycji ubezpieczonych, którzy nabyli prawo do świadczeń emerytalnych i rentowych na podstawie ustawy z dnia 1 lutego 1983 r. o zaopatrzeniu emerytalnym górników i ich rodzin (Dz.U. 19</w:t>
      </w:r>
      <w:r w:rsidR="00763CD2">
        <w:rPr>
          <w:rFonts w:ascii="Times New Roman" w:hAnsi="Times New Roman" w:cs="Times New Roman"/>
          <w:sz w:val="24"/>
          <w:szCs w:val="24"/>
        </w:rPr>
        <w:t>95 poz. 154, z późn.zm)</w:t>
      </w:r>
      <w:r w:rsidRPr="00154ED6">
        <w:rPr>
          <w:rFonts w:ascii="Times New Roman" w:hAnsi="Times New Roman" w:cs="Times New Roman"/>
          <w:sz w:val="24"/>
          <w:szCs w:val="24"/>
        </w:rPr>
        <w:t>. Przepisy te zostały uchylone z dniem 31 grudnia 1998 r. przez art. 195 ust. 6 ustawy o  emeryturach i rentach z FUS.</w:t>
      </w:r>
      <w:r w:rsidR="00154ED6">
        <w:rPr>
          <w:rFonts w:ascii="Times New Roman" w:hAnsi="Times New Roman" w:cs="Times New Roman"/>
          <w:sz w:val="24"/>
          <w:szCs w:val="24"/>
        </w:rPr>
        <w:t xml:space="preserve"> Obecna sytuacja prawna i faktyczna jest niekorzystna dla wielu ubezpieczonych i wymaga interwencji ustawodawcy. </w:t>
      </w:r>
    </w:p>
    <w:p w:rsidR="00154ED6" w:rsidRDefault="00154ED6" w:rsidP="00154ED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154ED6" w:rsidRPr="00154ED6" w:rsidRDefault="00154ED6" w:rsidP="0052272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ED6">
        <w:rPr>
          <w:rFonts w:ascii="Times New Roman" w:hAnsi="Times New Roman" w:cs="Times New Roman"/>
          <w:sz w:val="24"/>
          <w:szCs w:val="24"/>
        </w:rPr>
        <w:t xml:space="preserve">Należy przypomnieć, że </w:t>
      </w:r>
      <w:r w:rsidR="00763CD2">
        <w:rPr>
          <w:rFonts w:ascii="Times New Roman" w:hAnsi="Times New Roman" w:cs="Times New Roman"/>
          <w:sz w:val="24"/>
          <w:szCs w:val="24"/>
        </w:rPr>
        <w:t>m</w:t>
      </w:r>
      <w:r w:rsidR="0052272B" w:rsidRPr="00154ED6">
        <w:rPr>
          <w:rFonts w:ascii="Times New Roman" w:hAnsi="Times New Roman" w:cs="Times New Roman"/>
          <w:sz w:val="24"/>
          <w:szCs w:val="24"/>
        </w:rPr>
        <w:t xml:space="preserve">echanizm obliczania emerytur według pierwotnego brzmienia </w:t>
      </w:r>
      <w:r w:rsidRPr="00154ED6">
        <w:rPr>
          <w:rFonts w:ascii="Times New Roman" w:hAnsi="Times New Roman" w:cs="Times New Roman"/>
          <w:sz w:val="24"/>
          <w:szCs w:val="24"/>
        </w:rPr>
        <w:t xml:space="preserve">wskazanej powyżej </w:t>
      </w:r>
      <w:r w:rsidR="0052272B" w:rsidRPr="00154ED6">
        <w:rPr>
          <w:rFonts w:ascii="Times New Roman" w:hAnsi="Times New Roman" w:cs="Times New Roman"/>
          <w:sz w:val="24"/>
          <w:szCs w:val="24"/>
        </w:rPr>
        <w:t>ustawy zawierał art. 11 ustawy o zaopatrzeniu emerytalnym</w:t>
      </w:r>
      <w:r w:rsidRPr="00154ED6">
        <w:rPr>
          <w:rFonts w:ascii="Times New Roman" w:hAnsi="Times New Roman" w:cs="Times New Roman"/>
          <w:sz w:val="24"/>
          <w:szCs w:val="24"/>
        </w:rPr>
        <w:t xml:space="preserve"> górników i ich rodzin</w:t>
      </w:r>
      <w:r w:rsidR="0052272B" w:rsidRPr="00154ED6">
        <w:rPr>
          <w:rFonts w:ascii="Times New Roman" w:hAnsi="Times New Roman" w:cs="Times New Roman"/>
          <w:sz w:val="24"/>
          <w:szCs w:val="24"/>
        </w:rPr>
        <w:t xml:space="preserve">. Należy zauważyć, że w latach 90-tych XX w. ograniczono wysokość tych świadczeń do poziomu 250% wskaźnika wysokości podstawy wymiaru świadczenia. </w:t>
      </w:r>
      <w:r w:rsidRPr="00154ED6">
        <w:rPr>
          <w:rFonts w:ascii="Times New Roman" w:hAnsi="Times New Roman" w:cs="Times New Roman"/>
          <w:sz w:val="24"/>
          <w:szCs w:val="24"/>
        </w:rPr>
        <w:t xml:space="preserve"> Natomiast </w:t>
      </w:r>
      <w:r>
        <w:rPr>
          <w:rFonts w:ascii="Times New Roman" w:hAnsi="Times New Roman" w:cs="Times New Roman"/>
          <w:sz w:val="24"/>
          <w:szCs w:val="24"/>
        </w:rPr>
        <w:t>w</w:t>
      </w:r>
      <w:r w:rsidR="0052272B" w:rsidRPr="00154ED6">
        <w:rPr>
          <w:rFonts w:ascii="Times New Roman" w:hAnsi="Times New Roman" w:cs="Times New Roman"/>
          <w:sz w:val="24"/>
          <w:szCs w:val="24"/>
        </w:rPr>
        <w:t xml:space="preserve"> obecnym stanie prawnym powstała możliwość wystąpienia przez świadczeniobiorców z wnioskami o ponowne obliczenie wysokości emerytury górniczej na podstawie art. 110a ustawy o emeryturach i rentach </w:t>
      </w:r>
      <w:r w:rsidRPr="00154ED6">
        <w:rPr>
          <w:rFonts w:ascii="Times New Roman" w:hAnsi="Times New Roman" w:cs="Times New Roman"/>
          <w:sz w:val="24"/>
          <w:szCs w:val="24"/>
        </w:rPr>
        <w:t xml:space="preserve">z Funduszu Ubezpieczeń Społecznych </w:t>
      </w:r>
      <w:r w:rsidR="0052272B" w:rsidRPr="00154ED6">
        <w:rPr>
          <w:rFonts w:ascii="Times New Roman" w:hAnsi="Times New Roman" w:cs="Times New Roman"/>
          <w:sz w:val="24"/>
          <w:szCs w:val="24"/>
        </w:rPr>
        <w:t>i uzyskanie świadczenia wyższego niż 250%. Jednak praktyka postępowań w tym przedmiocie wskazuje, że możliwość ta jest iluzoryczna z uwagi na fakt, że to od świadczeniobiorców wymaga się dostarczenia dokumentacji płacowej, na której podstawie organ emerytalny ma dokonać ponownego przeliczenia świadczenia. W postępowaniach sądowych wynikających z</w:t>
      </w:r>
      <w:r w:rsidR="00610620" w:rsidRPr="00154ED6">
        <w:rPr>
          <w:rFonts w:ascii="Times New Roman" w:hAnsi="Times New Roman" w:cs="Times New Roman"/>
          <w:sz w:val="24"/>
          <w:szCs w:val="24"/>
        </w:rPr>
        <w:t xml:space="preserve"> odwołań </w:t>
      </w:r>
      <w:r w:rsidR="0052272B" w:rsidRPr="00154ED6">
        <w:rPr>
          <w:rFonts w:ascii="Times New Roman" w:hAnsi="Times New Roman" w:cs="Times New Roman"/>
          <w:sz w:val="24"/>
          <w:szCs w:val="24"/>
        </w:rPr>
        <w:t xml:space="preserve">od decyzji organów </w:t>
      </w:r>
      <w:r w:rsidRPr="00154ED6">
        <w:rPr>
          <w:rFonts w:ascii="Times New Roman" w:hAnsi="Times New Roman" w:cs="Times New Roman"/>
          <w:sz w:val="24"/>
          <w:szCs w:val="24"/>
        </w:rPr>
        <w:t xml:space="preserve">rentowych </w:t>
      </w:r>
      <w:r w:rsidR="0052272B" w:rsidRPr="00154ED6">
        <w:rPr>
          <w:rFonts w:ascii="Times New Roman" w:hAnsi="Times New Roman" w:cs="Times New Roman"/>
          <w:sz w:val="24"/>
          <w:szCs w:val="24"/>
        </w:rPr>
        <w:t xml:space="preserve">brak kompletnej dokumentacji powoduje oddalenie wniosków dowodowych o przeprowadzenie dowodu z opinii biegłego na okoliczność przybliżonej wielkości wskaźnika wysokości podstawy wymiaru świadczenia. </w:t>
      </w:r>
    </w:p>
    <w:p w:rsidR="00154ED6" w:rsidRPr="00154ED6" w:rsidRDefault="00154ED6" w:rsidP="00154ED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52272B" w:rsidRPr="00154ED6" w:rsidRDefault="0052272B" w:rsidP="0052272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4ED6">
        <w:rPr>
          <w:rFonts w:ascii="Times New Roman" w:hAnsi="Times New Roman" w:cs="Times New Roman"/>
          <w:sz w:val="24"/>
          <w:szCs w:val="24"/>
        </w:rPr>
        <w:t xml:space="preserve">Wyżej wskazane kwestie dowodowe powodują często bardzo duże trudności dla wnioskodawców, a nawet </w:t>
      </w:r>
      <w:r w:rsidR="00154ED6" w:rsidRPr="00154ED6">
        <w:rPr>
          <w:rFonts w:ascii="Times New Roman" w:hAnsi="Times New Roman" w:cs="Times New Roman"/>
          <w:sz w:val="24"/>
          <w:szCs w:val="24"/>
        </w:rPr>
        <w:t>uniemożliwiaj</w:t>
      </w:r>
      <w:r w:rsidR="00154ED6">
        <w:rPr>
          <w:rFonts w:ascii="Times New Roman" w:hAnsi="Times New Roman" w:cs="Times New Roman"/>
          <w:sz w:val="24"/>
          <w:szCs w:val="24"/>
        </w:rPr>
        <w:t>ą</w:t>
      </w:r>
      <w:r w:rsidRPr="00154ED6">
        <w:rPr>
          <w:rFonts w:ascii="Times New Roman" w:hAnsi="Times New Roman" w:cs="Times New Roman"/>
          <w:sz w:val="24"/>
          <w:szCs w:val="24"/>
        </w:rPr>
        <w:t xml:space="preserve"> prowadzenie postępowań w tym przedmiocie. Ubezpieczeni w większości nie posiadają takiej dokumentacji, gdyż zakłady pracy rzadko wydawały takie dokumenty. Ewentualnie ubezpieczeni </w:t>
      </w:r>
      <w:r w:rsidR="00154ED6">
        <w:rPr>
          <w:rFonts w:ascii="Times New Roman" w:hAnsi="Times New Roman" w:cs="Times New Roman"/>
          <w:sz w:val="24"/>
          <w:szCs w:val="24"/>
        </w:rPr>
        <w:t xml:space="preserve">próbują dokumentować </w:t>
      </w:r>
      <w:r w:rsidRPr="00154ED6">
        <w:rPr>
          <w:rFonts w:ascii="Times New Roman" w:hAnsi="Times New Roman" w:cs="Times New Roman"/>
          <w:sz w:val="24"/>
          <w:szCs w:val="24"/>
        </w:rPr>
        <w:t xml:space="preserve">wysokość </w:t>
      </w:r>
      <w:r w:rsidR="00154ED6">
        <w:rPr>
          <w:rFonts w:ascii="Times New Roman" w:hAnsi="Times New Roman" w:cs="Times New Roman"/>
          <w:sz w:val="24"/>
          <w:szCs w:val="24"/>
        </w:rPr>
        <w:t xml:space="preserve">osiąganych przez nich </w:t>
      </w:r>
      <w:r w:rsidRPr="00154ED6">
        <w:rPr>
          <w:rFonts w:ascii="Times New Roman" w:hAnsi="Times New Roman" w:cs="Times New Roman"/>
          <w:sz w:val="24"/>
          <w:szCs w:val="24"/>
        </w:rPr>
        <w:t xml:space="preserve">zarobków poprzez </w:t>
      </w:r>
      <w:r w:rsidR="00154ED6">
        <w:rPr>
          <w:rFonts w:ascii="Times New Roman" w:hAnsi="Times New Roman" w:cs="Times New Roman"/>
          <w:sz w:val="24"/>
          <w:szCs w:val="24"/>
        </w:rPr>
        <w:t xml:space="preserve">przedstawianie zebranych </w:t>
      </w:r>
      <w:r w:rsidRPr="00154ED6">
        <w:rPr>
          <w:rFonts w:ascii="Times New Roman" w:hAnsi="Times New Roman" w:cs="Times New Roman"/>
          <w:sz w:val="24"/>
          <w:szCs w:val="24"/>
        </w:rPr>
        <w:t xml:space="preserve">wpisów w </w:t>
      </w:r>
      <w:r w:rsidR="00154ED6">
        <w:rPr>
          <w:rFonts w:ascii="Times New Roman" w:hAnsi="Times New Roman" w:cs="Times New Roman"/>
          <w:sz w:val="24"/>
          <w:szCs w:val="24"/>
        </w:rPr>
        <w:t xml:space="preserve">indywidualnych </w:t>
      </w:r>
      <w:r w:rsidRPr="00154ED6">
        <w:rPr>
          <w:rFonts w:ascii="Times New Roman" w:hAnsi="Times New Roman" w:cs="Times New Roman"/>
          <w:sz w:val="24"/>
          <w:szCs w:val="24"/>
        </w:rPr>
        <w:t xml:space="preserve">legitymacjach ubezpieczeniowych. </w:t>
      </w:r>
      <w:r w:rsidR="00154ED6">
        <w:rPr>
          <w:rFonts w:ascii="Times New Roman" w:hAnsi="Times New Roman" w:cs="Times New Roman"/>
          <w:sz w:val="24"/>
          <w:szCs w:val="24"/>
        </w:rPr>
        <w:t xml:space="preserve">Należy przy tym wskazać, że w zakresie </w:t>
      </w:r>
      <w:r w:rsidR="00154ED6" w:rsidRPr="00154ED6">
        <w:rPr>
          <w:rFonts w:ascii="Times New Roman" w:hAnsi="Times New Roman" w:cs="Times New Roman"/>
          <w:sz w:val="24"/>
          <w:szCs w:val="24"/>
        </w:rPr>
        <w:t>dokumentacji</w:t>
      </w:r>
      <w:r w:rsidRPr="00154ED6">
        <w:rPr>
          <w:rFonts w:ascii="Times New Roman" w:hAnsi="Times New Roman" w:cs="Times New Roman"/>
          <w:sz w:val="24"/>
          <w:szCs w:val="24"/>
        </w:rPr>
        <w:t xml:space="preserve"> płacowej zgromadzonej w publicznym zasobie archiwalnym jest ona z wielu przyczyn niekompletna (zaniedbania w prowadzeniu, przekazanie jej niekompletnej z dawnych przedsiębiorstw państwowych, nieprzekazanie jej w ogóle do archiwów po likwidacji zakładów górniczych)</w:t>
      </w:r>
      <w:r w:rsidR="00154ED6">
        <w:rPr>
          <w:rFonts w:ascii="Times New Roman" w:hAnsi="Times New Roman" w:cs="Times New Roman"/>
          <w:sz w:val="24"/>
          <w:szCs w:val="24"/>
        </w:rPr>
        <w:t>, co pozwala przypuszczać, że nie odpowiada ona w pełni stanowi faktycznemu</w:t>
      </w:r>
      <w:r w:rsidRPr="00154ED6">
        <w:rPr>
          <w:rFonts w:ascii="Times New Roman" w:hAnsi="Times New Roman" w:cs="Times New Roman"/>
          <w:sz w:val="24"/>
          <w:szCs w:val="24"/>
        </w:rPr>
        <w:t>.</w:t>
      </w:r>
      <w:r w:rsidR="00154ED6">
        <w:rPr>
          <w:rFonts w:ascii="Times New Roman" w:hAnsi="Times New Roman" w:cs="Times New Roman"/>
          <w:sz w:val="24"/>
          <w:szCs w:val="24"/>
        </w:rPr>
        <w:t xml:space="preserve"> W związku z powyższym zasadną i konieczną jest odpowiednia interwencja ustawodawcy w tym zakresie</w:t>
      </w:r>
      <w:r w:rsidR="000C12D2">
        <w:rPr>
          <w:rFonts w:ascii="Times New Roman" w:hAnsi="Times New Roman" w:cs="Times New Roman"/>
          <w:sz w:val="24"/>
          <w:szCs w:val="24"/>
        </w:rPr>
        <w:t xml:space="preserve">, właśnie w postaci modyfikacji przepisów ustawy </w:t>
      </w:r>
      <w:r w:rsidR="000C12D2" w:rsidRPr="00154ED6">
        <w:rPr>
          <w:rFonts w:ascii="Times New Roman" w:hAnsi="Times New Roman" w:cs="Times New Roman"/>
          <w:sz w:val="24"/>
          <w:szCs w:val="24"/>
        </w:rPr>
        <w:t>z dnia 17 grudnia 1998 r. o rentach i emeryturach z Funduszu Ubezpieczeń Społecznych</w:t>
      </w:r>
      <w:r w:rsidR="00154ED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272B" w:rsidRPr="00BE335F" w:rsidRDefault="0052272B" w:rsidP="00154ED6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335F">
        <w:rPr>
          <w:rFonts w:ascii="Times New Roman" w:hAnsi="Times New Roman" w:cs="Times New Roman"/>
          <w:sz w:val="24"/>
          <w:szCs w:val="24"/>
        </w:rPr>
        <w:t xml:space="preserve">Projektowane rozwiązania zmierzają do przerzucenia ciężaru dowodzenia w tych postępowaniach na organ </w:t>
      </w:r>
      <w:r w:rsidR="00F4379B">
        <w:rPr>
          <w:rFonts w:ascii="Times New Roman" w:hAnsi="Times New Roman" w:cs="Times New Roman"/>
          <w:sz w:val="24"/>
          <w:szCs w:val="24"/>
        </w:rPr>
        <w:t>rentowy</w:t>
      </w:r>
      <w:r w:rsidRPr="00BE335F">
        <w:rPr>
          <w:rFonts w:ascii="Times New Roman" w:hAnsi="Times New Roman" w:cs="Times New Roman"/>
          <w:sz w:val="24"/>
          <w:szCs w:val="24"/>
        </w:rPr>
        <w:t>, gdyż w/w posiada często wiedzę o tym, gdzie znajdują się zbiory dokumentów ze zlikwidowanych</w:t>
      </w:r>
      <w:r w:rsidR="00F4379B">
        <w:rPr>
          <w:rFonts w:ascii="Times New Roman" w:hAnsi="Times New Roman" w:cs="Times New Roman"/>
          <w:sz w:val="24"/>
          <w:szCs w:val="24"/>
        </w:rPr>
        <w:t xml:space="preserve"> zakładów pracy</w:t>
      </w:r>
      <w:r w:rsidRPr="00BE335F">
        <w:rPr>
          <w:rFonts w:ascii="Times New Roman" w:hAnsi="Times New Roman" w:cs="Times New Roman"/>
          <w:sz w:val="24"/>
          <w:szCs w:val="24"/>
        </w:rPr>
        <w:t xml:space="preserve">, </w:t>
      </w:r>
      <w:r w:rsidR="00F4379B">
        <w:rPr>
          <w:rFonts w:ascii="Times New Roman" w:hAnsi="Times New Roman" w:cs="Times New Roman"/>
          <w:sz w:val="24"/>
          <w:szCs w:val="24"/>
        </w:rPr>
        <w:t xml:space="preserve">a także co do </w:t>
      </w:r>
      <w:r w:rsidRPr="00BE335F">
        <w:rPr>
          <w:rFonts w:ascii="Times New Roman" w:hAnsi="Times New Roman" w:cs="Times New Roman"/>
          <w:sz w:val="24"/>
          <w:szCs w:val="24"/>
        </w:rPr>
        <w:t xml:space="preserve">ich </w:t>
      </w:r>
      <w:r w:rsidRPr="00BE335F">
        <w:rPr>
          <w:rFonts w:ascii="Times New Roman" w:hAnsi="Times New Roman" w:cs="Times New Roman"/>
          <w:sz w:val="24"/>
          <w:szCs w:val="24"/>
        </w:rPr>
        <w:lastRenderedPageBreak/>
        <w:t xml:space="preserve">kompletności, </w:t>
      </w:r>
      <w:r w:rsidR="00F4379B">
        <w:rPr>
          <w:rFonts w:ascii="Times New Roman" w:hAnsi="Times New Roman" w:cs="Times New Roman"/>
          <w:sz w:val="24"/>
          <w:szCs w:val="24"/>
        </w:rPr>
        <w:t xml:space="preserve">a także </w:t>
      </w:r>
      <w:r w:rsidRPr="00BE335F">
        <w:rPr>
          <w:rFonts w:ascii="Times New Roman" w:hAnsi="Times New Roman" w:cs="Times New Roman"/>
          <w:sz w:val="24"/>
          <w:szCs w:val="24"/>
        </w:rPr>
        <w:t xml:space="preserve">możliwości </w:t>
      </w:r>
      <w:r w:rsidR="00F4379B">
        <w:rPr>
          <w:rFonts w:ascii="Times New Roman" w:hAnsi="Times New Roman" w:cs="Times New Roman"/>
          <w:sz w:val="24"/>
          <w:szCs w:val="24"/>
        </w:rPr>
        <w:t xml:space="preserve">i zasadności </w:t>
      </w:r>
      <w:r w:rsidRPr="00BE335F">
        <w:rPr>
          <w:rFonts w:ascii="Times New Roman" w:hAnsi="Times New Roman" w:cs="Times New Roman"/>
          <w:sz w:val="24"/>
          <w:szCs w:val="24"/>
        </w:rPr>
        <w:t xml:space="preserve">uzupełnienia materiału dowodowego innymi środkami dowodowymi. </w:t>
      </w:r>
      <w:r w:rsidR="00F4379B">
        <w:rPr>
          <w:rFonts w:ascii="Times New Roman" w:hAnsi="Times New Roman" w:cs="Times New Roman"/>
          <w:sz w:val="24"/>
          <w:szCs w:val="24"/>
        </w:rPr>
        <w:t xml:space="preserve">Proponowane rozwiązanie stanowić będzie </w:t>
      </w:r>
      <w:r w:rsidRPr="00BE335F">
        <w:rPr>
          <w:rFonts w:ascii="Times New Roman" w:hAnsi="Times New Roman" w:cs="Times New Roman"/>
          <w:sz w:val="24"/>
          <w:szCs w:val="24"/>
        </w:rPr>
        <w:t>duże</w:t>
      </w:r>
      <w:r w:rsidR="00F4379B">
        <w:rPr>
          <w:rFonts w:ascii="Times New Roman" w:hAnsi="Times New Roman" w:cs="Times New Roman"/>
          <w:sz w:val="24"/>
          <w:szCs w:val="24"/>
        </w:rPr>
        <w:t xml:space="preserve"> wymierne </w:t>
      </w:r>
      <w:r w:rsidRPr="00BE335F">
        <w:rPr>
          <w:rFonts w:ascii="Times New Roman" w:hAnsi="Times New Roman" w:cs="Times New Roman"/>
          <w:sz w:val="24"/>
          <w:szCs w:val="24"/>
        </w:rPr>
        <w:t>ułatwienie dla wnioskujący</w:t>
      </w:r>
      <w:r w:rsidR="00763CD2">
        <w:rPr>
          <w:rFonts w:ascii="Times New Roman" w:hAnsi="Times New Roman" w:cs="Times New Roman"/>
          <w:sz w:val="24"/>
          <w:szCs w:val="24"/>
        </w:rPr>
        <w:t>ch</w:t>
      </w:r>
      <w:r w:rsidRPr="00BE335F">
        <w:rPr>
          <w:rFonts w:ascii="Times New Roman" w:hAnsi="Times New Roman" w:cs="Times New Roman"/>
          <w:sz w:val="24"/>
          <w:szCs w:val="24"/>
        </w:rPr>
        <w:t xml:space="preserve"> o ponowne obliczenie emerytury górniczej. Jednocześnie brak dokumentacji nie powinien niweczyć działań podjętych w celu zwiększenia wskaźnika podstawy wymiaru emerytury górniczej – w tym przypadku wyliczenie sumy zarobków za dany rok następowałby przy uśrednieniu zarobków z danego roku przy uwzględnieniu dodatków niepodlegających oskładkowaniu (13-a pensja, nagrody, barbórki).</w:t>
      </w:r>
      <w:r>
        <w:rPr>
          <w:rFonts w:ascii="Times New Roman" w:hAnsi="Times New Roman" w:cs="Times New Roman"/>
          <w:sz w:val="24"/>
          <w:szCs w:val="24"/>
        </w:rPr>
        <w:t xml:space="preserve"> Powyższe zmiany powinny ułatwić ponowne obliczanie emerytur górniczych świadczeniobiorcom i uzyskanie świadczeń we właściwej wysokości.   </w:t>
      </w:r>
    </w:p>
    <w:p w:rsidR="00F4379B" w:rsidRDefault="00F4379B" w:rsidP="00F4379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52272B" w:rsidRPr="00BE335F" w:rsidRDefault="0052272B" w:rsidP="00F4379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379B">
        <w:rPr>
          <w:rFonts w:ascii="Times New Roman" w:hAnsi="Times New Roman" w:cs="Times New Roman"/>
          <w:sz w:val="24"/>
          <w:szCs w:val="24"/>
        </w:rPr>
        <w:t>Ocena skutków finansowych</w:t>
      </w:r>
      <w:r w:rsidR="00F4379B">
        <w:rPr>
          <w:rFonts w:ascii="Times New Roman" w:hAnsi="Times New Roman" w:cs="Times New Roman"/>
          <w:sz w:val="24"/>
          <w:szCs w:val="24"/>
        </w:rPr>
        <w:t xml:space="preserve">. Szacuje </w:t>
      </w:r>
      <w:r w:rsidR="000B4DC2">
        <w:rPr>
          <w:rFonts w:ascii="Times New Roman" w:hAnsi="Times New Roman" w:cs="Times New Roman"/>
          <w:sz w:val="24"/>
          <w:szCs w:val="24"/>
        </w:rPr>
        <w:t>się,</w:t>
      </w:r>
      <w:r w:rsidR="00F4379B">
        <w:rPr>
          <w:rFonts w:ascii="Times New Roman" w:hAnsi="Times New Roman" w:cs="Times New Roman"/>
          <w:sz w:val="24"/>
          <w:szCs w:val="24"/>
        </w:rPr>
        <w:t xml:space="preserve"> że kwestia regulowana w niniejszym projekcie może dotyczyć </w:t>
      </w:r>
      <w:r w:rsidR="00AC53F2">
        <w:rPr>
          <w:rFonts w:ascii="Times New Roman" w:hAnsi="Times New Roman" w:cs="Times New Roman"/>
          <w:sz w:val="24"/>
          <w:szCs w:val="24"/>
        </w:rPr>
        <w:t>grupy do 10,000 o</w:t>
      </w:r>
      <w:r w:rsidR="00F4379B">
        <w:rPr>
          <w:rFonts w:ascii="Times New Roman" w:hAnsi="Times New Roman" w:cs="Times New Roman"/>
          <w:sz w:val="24"/>
          <w:szCs w:val="24"/>
        </w:rPr>
        <w:t xml:space="preserve">sób, a jej skutki finansowe dla budżetu Funduszu Ubezpieczeń Społecznych należy szacować na  </w:t>
      </w:r>
      <w:r w:rsidR="00AC53F2">
        <w:rPr>
          <w:rFonts w:ascii="Times New Roman" w:hAnsi="Times New Roman" w:cs="Times New Roman"/>
          <w:sz w:val="24"/>
          <w:szCs w:val="24"/>
        </w:rPr>
        <w:t xml:space="preserve">240 </w:t>
      </w:r>
      <w:r w:rsidR="00F4379B">
        <w:rPr>
          <w:rFonts w:ascii="Times New Roman" w:hAnsi="Times New Roman" w:cs="Times New Roman"/>
          <w:sz w:val="24"/>
          <w:szCs w:val="24"/>
        </w:rPr>
        <w:t xml:space="preserve">mln złotych </w:t>
      </w:r>
      <w:r w:rsidR="00AC53F2">
        <w:rPr>
          <w:rFonts w:ascii="Times New Roman" w:hAnsi="Times New Roman" w:cs="Times New Roman"/>
          <w:sz w:val="24"/>
          <w:szCs w:val="24"/>
        </w:rPr>
        <w:t>w skali roku</w:t>
      </w:r>
      <w:r w:rsidR="00F437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379B" w:rsidRDefault="00F4379B" w:rsidP="00F4379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52272B" w:rsidRDefault="0052272B" w:rsidP="00F4379B">
      <w:pPr>
        <w:pStyle w:val="Akapitzlist"/>
        <w:numPr>
          <w:ilvl w:val="0"/>
          <w:numId w:val="3"/>
        </w:numPr>
        <w:jc w:val="both"/>
      </w:pPr>
      <w:r w:rsidRPr="00F4379B">
        <w:rPr>
          <w:rFonts w:ascii="Times New Roman" w:hAnsi="Times New Roman" w:cs="Times New Roman"/>
          <w:sz w:val="24"/>
          <w:szCs w:val="24"/>
        </w:rPr>
        <w:t>Zakres regulacji nie narusza prawa Unii Europejskiej.</w:t>
      </w:r>
    </w:p>
    <w:sectPr w:rsidR="005227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921" w:rsidRDefault="00453921" w:rsidP="00763CD2">
      <w:pPr>
        <w:spacing w:after="0" w:line="240" w:lineRule="auto"/>
      </w:pPr>
      <w:r>
        <w:separator/>
      </w:r>
    </w:p>
  </w:endnote>
  <w:endnote w:type="continuationSeparator" w:id="0">
    <w:p w:rsidR="00453921" w:rsidRDefault="00453921" w:rsidP="00763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921" w:rsidRDefault="00453921" w:rsidP="00763CD2">
      <w:pPr>
        <w:spacing w:after="0" w:line="240" w:lineRule="auto"/>
      </w:pPr>
      <w:r>
        <w:separator/>
      </w:r>
    </w:p>
  </w:footnote>
  <w:footnote w:type="continuationSeparator" w:id="0">
    <w:p w:rsidR="00453921" w:rsidRDefault="00453921" w:rsidP="00763C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23359"/>
    <w:multiLevelType w:val="hybridMultilevel"/>
    <w:tmpl w:val="DFAA2546"/>
    <w:lvl w:ilvl="0" w:tplc="8ED29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5F5DFF"/>
    <w:multiLevelType w:val="hybridMultilevel"/>
    <w:tmpl w:val="E33AD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26718E"/>
    <w:multiLevelType w:val="hybridMultilevel"/>
    <w:tmpl w:val="31F856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464873"/>
    <w:multiLevelType w:val="hybridMultilevel"/>
    <w:tmpl w:val="A972F094"/>
    <w:lvl w:ilvl="0" w:tplc="6FF8F1B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F884148"/>
    <w:multiLevelType w:val="hybridMultilevel"/>
    <w:tmpl w:val="93B28C5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72B"/>
    <w:rsid w:val="000B4DC2"/>
    <w:rsid w:val="000C12D2"/>
    <w:rsid w:val="001022C3"/>
    <w:rsid w:val="00154ED6"/>
    <w:rsid w:val="00175C68"/>
    <w:rsid w:val="001E70DE"/>
    <w:rsid w:val="00217351"/>
    <w:rsid w:val="0026458A"/>
    <w:rsid w:val="00453921"/>
    <w:rsid w:val="0052272B"/>
    <w:rsid w:val="005B505B"/>
    <w:rsid w:val="00610620"/>
    <w:rsid w:val="00645631"/>
    <w:rsid w:val="00763CD2"/>
    <w:rsid w:val="00802AF9"/>
    <w:rsid w:val="00AC53F2"/>
    <w:rsid w:val="00BA4270"/>
    <w:rsid w:val="00BE536B"/>
    <w:rsid w:val="00C356E2"/>
    <w:rsid w:val="00CD1C13"/>
    <w:rsid w:val="00D41F93"/>
    <w:rsid w:val="00DD53A8"/>
    <w:rsid w:val="00DF3B9F"/>
    <w:rsid w:val="00E144D1"/>
    <w:rsid w:val="00F4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98A13-C7FD-42F3-8AFC-DA170EDA3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272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272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A4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270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63CD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63CD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63CD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3C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3CD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3CD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3C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3C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5B361-8544-4256-9868-49AD32524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WiW</Company>
  <LinksUpToDate>false</LinksUpToDate>
  <CharactersWithSpaces>4080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 Wojewódka</dc:creator>
  <cp:keywords/>
  <dc:description/>
  <cp:lastModifiedBy>Grzegorz Molesztak</cp:lastModifiedBy>
  <cp:revision>3</cp:revision>
  <cp:lastPrinted>2019-07-31T07:13:00Z</cp:lastPrinted>
  <dcterms:created xsi:type="dcterms:W3CDTF">2019-07-31T17:02:00Z</dcterms:created>
  <dcterms:modified xsi:type="dcterms:W3CDTF">2019-08-09T13:45:00Z</dcterms:modified>
</cp:coreProperties>
</file>