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D1DC0" w14:textId="77777777" w:rsidR="00DB10B9" w:rsidRPr="00665701" w:rsidRDefault="002F3BCA" w:rsidP="00C652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701">
        <w:rPr>
          <w:rFonts w:ascii="Times New Roman" w:hAnsi="Times New Roman" w:cs="Times New Roman"/>
          <w:bCs/>
          <w:sz w:val="24"/>
          <w:szCs w:val="24"/>
        </w:rPr>
        <w:t>UZASADNIENIE</w:t>
      </w:r>
    </w:p>
    <w:p w14:paraId="6938719E" w14:textId="7F8E4CC3" w:rsidR="002F3BCA" w:rsidRPr="00C652D0" w:rsidRDefault="002F3BCA" w:rsidP="0066570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 xml:space="preserve">Celem projektowanych zmian w przepisach ustawy z dnia 1 marca 2018 r.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6570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 przeciwdziałaniu</w:t>
      </w:r>
      <w:r w:rsidR="00DB10B9" w:rsidRPr="00C65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praniu pieniędzy oraz finansowaniu terroryzmu </w:t>
      </w:r>
      <w:r w:rsidRPr="00C652D0">
        <w:rPr>
          <w:rFonts w:ascii="Times New Roman" w:hAnsi="Times New Roman" w:cs="Times New Roman"/>
          <w:sz w:val="24"/>
          <w:szCs w:val="24"/>
        </w:rPr>
        <w:t>(Dz. U. z 201</w:t>
      </w:r>
      <w:r w:rsidR="009B1ACA" w:rsidRPr="00C652D0">
        <w:rPr>
          <w:rFonts w:ascii="Times New Roman" w:hAnsi="Times New Roman" w:cs="Times New Roman"/>
          <w:sz w:val="24"/>
          <w:szCs w:val="24"/>
        </w:rPr>
        <w:t>9</w:t>
      </w:r>
      <w:r w:rsidRPr="00C652D0">
        <w:rPr>
          <w:rFonts w:ascii="Times New Roman" w:hAnsi="Times New Roman" w:cs="Times New Roman"/>
          <w:sz w:val="24"/>
          <w:szCs w:val="24"/>
        </w:rPr>
        <w:t xml:space="preserve"> r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. poz. </w:t>
      </w:r>
      <w:r w:rsidR="009B1ACA" w:rsidRPr="00C652D0">
        <w:rPr>
          <w:rFonts w:ascii="Times New Roman" w:hAnsi="Times New Roman" w:cs="Times New Roman"/>
          <w:sz w:val="24"/>
          <w:szCs w:val="24"/>
        </w:rPr>
        <w:t>1115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) (dalej </w:t>
      </w:r>
      <w:r w:rsidR="008A0754" w:rsidRPr="00C652D0">
        <w:rPr>
          <w:rFonts w:ascii="Times New Roman" w:hAnsi="Times New Roman" w:cs="Times New Roman"/>
          <w:sz w:val="24"/>
          <w:szCs w:val="24"/>
        </w:rPr>
        <w:t>„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ustawa</w:t>
      </w:r>
      <w:r w:rsidR="008A0754" w:rsidRPr="00C652D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C652D0">
        <w:rPr>
          <w:rFonts w:ascii="Times New Roman" w:hAnsi="Times New Roman" w:cs="Times New Roman"/>
          <w:sz w:val="24"/>
          <w:szCs w:val="24"/>
        </w:rPr>
        <w:t>) jest pełne i prawidłowe wdrożenie do polskiego porzą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dku prawnego dyrektywy </w:t>
      </w:r>
      <w:r w:rsidRPr="00C652D0">
        <w:rPr>
          <w:rFonts w:ascii="Times New Roman" w:hAnsi="Times New Roman" w:cs="Times New Roman"/>
          <w:sz w:val="24"/>
          <w:szCs w:val="24"/>
        </w:rPr>
        <w:t xml:space="preserve">Parlamentu Europejskiego i Rady (UE) 2015/849 z dnia 20 maja 2015 r. </w:t>
      </w:r>
      <w:r w:rsidR="00DB10B9"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zapobiegania wykorzystywaniu systemu finansowego do prania pienię</w:t>
      </w:r>
      <w:r w:rsidR="00DB10B9"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dzy lub finansowania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terroryzmu, zmieniającej rozporządzenie Parlamentu Europejskiego i R</w:t>
      </w:r>
      <w:r w:rsidR="00DB10B9"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ady (UE) nr 648/2012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i uchylającej dyrektywę Parlamentu Europejskiego i Rady 2005/60/WE oraz dyrektywę </w:t>
      </w:r>
      <w:r w:rsidR="00DB10B9"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Komisji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2006/70/WE </w:t>
      </w:r>
      <w:r w:rsidRPr="00C652D0">
        <w:rPr>
          <w:rFonts w:ascii="Times New Roman" w:hAnsi="Times New Roman" w:cs="Times New Roman"/>
          <w:sz w:val="24"/>
          <w:szCs w:val="24"/>
        </w:rPr>
        <w:t xml:space="preserve">(dalej </w:t>
      </w:r>
      <w:r w:rsidR="008A0754" w:rsidRPr="00C652D0">
        <w:rPr>
          <w:rFonts w:ascii="Times New Roman" w:hAnsi="Times New Roman" w:cs="Times New Roman"/>
          <w:sz w:val="24"/>
          <w:szCs w:val="24"/>
        </w:rPr>
        <w:t>„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dyrektywa 2015/849</w:t>
      </w:r>
      <w:r w:rsidR="008A0754" w:rsidRPr="00C652D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C652D0">
        <w:rPr>
          <w:rFonts w:ascii="Times New Roman" w:hAnsi="Times New Roman" w:cs="Times New Roman"/>
          <w:sz w:val="24"/>
          <w:szCs w:val="24"/>
        </w:rPr>
        <w:t>).</w:t>
      </w:r>
    </w:p>
    <w:p w14:paraId="7F72882B" w14:textId="715F50C7" w:rsidR="002F3BCA" w:rsidRPr="00C652D0" w:rsidRDefault="002F3BCA" w:rsidP="0066570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 xml:space="preserve">Prawidłowość implementacji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dyrektywy 2015/849 </w:t>
      </w:r>
      <w:r w:rsidRPr="00C652D0">
        <w:rPr>
          <w:rFonts w:ascii="Times New Roman" w:hAnsi="Times New Roman" w:cs="Times New Roman"/>
          <w:sz w:val="24"/>
          <w:szCs w:val="24"/>
        </w:rPr>
        <w:t>jest obecnie przedmiotem postę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powania </w:t>
      </w:r>
      <w:r w:rsidRPr="00C652D0">
        <w:rPr>
          <w:rFonts w:ascii="Times New Roman" w:hAnsi="Times New Roman" w:cs="Times New Roman"/>
          <w:sz w:val="24"/>
          <w:szCs w:val="24"/>
        </w:rPr>
        <w:t xml:space="preserve">prowadzonego przez Komisję Europejską na podstawie art. 258 </w:t>
      </w:r>
      <w:r w:rsidR="00DB10B9"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Traktatu o funkcjonowaniu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Unii Europejskiej </w:t>
      </w:r>
      <w:r w:rsidRPr="00C652D0">
        <w:rPr>
          <w:rFonts w:ascii="Times New Roman" w:hAnsi="Times New Roman" w:cs="Times New Roman"/>
          <w:sz w:val="24"/>
          <w:szCs w:val="24"/>
        </w:rPr>
        <w:t>(naruszenie nr 2017/041). W ramach przedmiotowego postępowania</w:t>
      </w:r>
      <w:r w:rsidR="009736E1" w:rsidRPr="00C652D0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>Komisja Europejska wystosowała dodatkową uzasadnioną opinię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, w której poddała </w:t>
      </w:r>
      <w:r w:rsidRPr="00C652D0">
        <w:rPr>
          <w:rFonts w:ascii="Times New Roman" w:hAnsi="Times New Roman" w:cs="Times New Roman"/>
          <w:sz w:val="24"/>
          <w:szCs w:val="24"/>
        </w:rPr>
        <w:t xml:space="preserve">w wątpliwość fakt transpozycji do prawa krajowego szeregu przepisów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dyrektywy 2015/849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. </w:t>
      </w:r>
      <w:r w:rsidRPr="00C652D0">
        <w:rPr>
          <w:rFonts w:ascii="Times New Roman" w:hAnsi="Times New Roman" w:cs="Times New Roman"/>
          <w:sz w:val="24"/>
          <w:szCs w:val="24"/>
        </w:rPr>
        <w:t>W wyniku weryfikacji krajowych przepisów o przeciwdziałaniu praniu pieniędzy, przyję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tych </w:t>
      </w:r>
      <w:r w:rsidRPr="00C652D0">
        <w:rPr>
          <w:rFonts w:ascii="Times New Roman" w:hAnsi="Times New Roman" w:cs="Times New Roman"/>
          <w:sz w:val="24"/>
          <w:szCs w:val="24"/>
        </w:rPr>
        <w:t xml:space="preserve">w celu transpozycji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dyrektywy 2015/849</w:t>
      </w:r>
      <w:r w:rsidR="0066570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 xml:space="preserve">zidentyfikowano jednostki redakcyjne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ustawy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C652D0">
        <w:rPr>
          <w:rFonts w:ascii="Times New Roman" w:hAnsi="Times New Roman" w:cs="Times New Roman"/>
          <w:sz w:val="24"/>
          <w:szCs w:val="24"/>
        </w:rPr>
        <w:t>w celu zapewnienia przejrzystości niezbędnej do stosowania i wdraż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ania prawa Unii </w:t>
      </w:r>
      <w:r w:rsidRPr="00C652D0">
        <w:rPr>
          <w:rFonts w:ascii="Times New Roman" w:hAnsi="Times New Roman" w:cs="Times New Roman"/>
          <w:sz w:val="24"/>
          <w:szCs w:val="24"/>
        </w:rPr>
        <w:t xml:space="preserve">Europejskiej w prawidłowy sposób powinny zostać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poddane nowelizacji. Deklaracja </w:t>
      </w:r>
      <w:r w:rsidRPr="00C652D0">
        <w:rPr>
          <w:rFonts w:ascii="Times New Roman" w:hAnsi="Times New Roman" w:cs="Times New Roman"/>
          <w:sz w:val="24"/>
          <w:szCs w:val="24"/>
        </w:rPr>
        <w:t xml:space="preserve">proponowanych zmian w przepisach 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 xml:space="preserve">ustawy </w:t>
      </w:r>
      <w:r w:rsidRPr="00C652D0">
        <w:rPr>
          <w:rFonts w:ascii="Times New Roman" w:hAnsi="Times New Roman" w:cs="Times New Roman"/>
          <w:sz w:val="24"/>
          <w:szCs w:val="24"/>
        </w:rPr>
        <w:t>została zawart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a w odpowiedzi Rzeczypospolitej </w:t>
      </w:r>
      <w:r w:rsidRPr="00C652D0">
        <w:rPr>
          <w:rFonts w:ascii="Times New Roman" w:hAnsi="Times New Roman" w:cs="Times New Roman"/>
          <w:sz w:val="24"/>
          <w:szCs w:val="24"/>
        </w:rPr>
        <w:t>Polskiej na dodatkową uzasadnioną opinię Komisji Europejskiej.</w:t>
      </w:r>
    </w:p>
    <w:p w14:paraId="67DECFC8" w14:textId="77777777" w:rsidR="00DB10B9" w:rsidRPr="00C652D0" w:rsidRDefault="002F3BCA" w:rsidP="0066570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W szczególności wskazać należy, iż proponowane zmiany wynikają z następują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cych </w:t>
      </w:r>
      <w:r w:rsidRPr="00C652D0">
        <w:rPr>
          <w:rFonts w:ascii="Times New Roman" w:hAnsi="Times New Roman" w:cs="Times New Roman"/>
          <w:sz w:val="24"/>
          <w:szCs w:val="24"/>
        </w:rPr>
        <w:t>okolicznoś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ci: </w:t>
      </w:r>
    </w:p>
    <w:p w14:paraId="69D616BA" w14:textId="7613EFB1" w:rsidR="00DB10B9" w:rsidRPr="00C652D0" w:rsidRDefault="002F3BCA" w:rsidP="0066570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Art. 54 ust. 2 pkt 1 ustawy – przedmiotowy artykuł reguluje mię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dzy innymi kwestie wymiany </w:t>
      </w:r>
      <w:r w:rsidRPr="00C652D0">
        <w:rPr>
          <w:rFonts w:ascii="Times New Roman" w:hAnsi="Times New Roman" w:cs="Times New Roman"/>
          <w:sz w:val="24"/>
          <w:szCs w:val="24"/>
        </w:rPr>
        <w:t>informacji pomiędzy instytucjami obowiązanymi wchodzącymi w skład grupy, wprowadzają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c </w:t>
      </w:r>
      <w:r w:rsidRPr="00C652D0">
        <w:rPr>
          <w:rFonts w:ascii="Times New Roman" w:hAnsi="Times New Roman" w:cs="Times New Roman"/>
          <w:sz w:val="24"/>
          <w:szCs w:val="24"/>
        </w:rPr>
        <w:t xml:space="preserve">do prawa polskiego wymogi wynikające z art. 45 ust. 8 dyrektywy 2015/849. Zauważyć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przy </w:t>
      </w:r>
      <w:r w:rsidRPr="00C652D0">
        <w:rPr>
          <w:rFonts w:ascii="Times New Roman" w:hAnsi="Times New Roman" w:cs="Times New Roman"/>
          <w:sz w:val="24"/>
          <w:szCs w:val="24"/>
        </w:rPr>
        <w:t>tym należy, iż art. 54 ust. 2 pkt 1 ustawy w dotychczasowym brzmieniu zawęż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ał katalog </w:t>
      </w:r>
      <w:r w:rsidRPr="00C652D0">
        <w:rPr>
          <w:rFonts w:ascii="Times New Roman" w:hAnsi="Times New Roman" w:cs="Times New Roman"/>
          <w:sz w:val="24"/>
          <w:szCs w:val="24"/>
        </w:rPr>
        <w:t>podmiotów, które mogły wymieniać się w obrębie grupy informacjami dotyczą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cymi </w:t>
      </w:r>
      <w:r w:rsidRPr="00C652D0">
        <w:rPr>
          <w:rFonts w:ascii="Times New Roman" w:hAnsi="Times New Roman" w:cs="Times New Roman"/>
          <w:sz w:val="24"/>
          <w:szCs w:val="24"/>
        </w:rPr>
        <w:t>podejmowanych działań z zakresu przeciwdziałania praniu pienię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dzy oraz finansowaniu </w:t>
      </w:r>
      <w:r w:rsidRPr="00C652D0">
        <w:rPr>
          <w:rFonts w:ascii="Times New Roman" w:hAnsi="Times New Roman" w:cs="Times New Roman"/>
          <w:sz w:val="24"/>
          <w:szCs w:val="24"/>
        </w:rPr>
        <w:t>terroryzmu. Art. 45 ust. 8 dyrektywy 2015/849 nie przewiduje analogicznych ograniczeń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, tym </w:t>
      </w:r>
      <w:r w:rsidRPr="00C652D0">
        <w:rPr>
          <w:rFonts w:ascii="Times New Roman" w:hAnsi="Times New Roman" w:cs="Times New Roman"/>
          <w:sz w:val="24"/>
          <w:szCs w:val="24"/>
        </w:rPr>
        <w:t xml:space="preserve">samym uznano za </w:t>
      </w:r>
      <w:r w:rsidRPr="00C652D0">
        <w:rPr>
          <w:rFonts w:ascii="Times New Roman" w:hAnsi="Times New Roman" w:cs="Times New Roman"/>
          <w:sz w:val="24"/>
          <w:szCs w:val="24"/>
        </w:rPr>
        <w:lastRenderedPageBreak/>
        <w:t>zasadne znowelizowanie art. 54 ust. 2 pkt 1 ustawy poprzez rezygnacj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ę </w:t>
      </w:r>
      <w:r w:rsidR="00665701" w:rsidRPr="00C652D0">
        <w:rPr>
          <w:rFonts w:ascii="Times New Roman" w:hAnsi="Times New Roman" w:cs="Times New Roman"/>
          <w:sz w:val="24"/>
          <w:szCs w:val="24"/>
        </w:rPr>
        <w:t>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 xml:space="preserve">wyszczególnienia podmiotów uprawnionych do wymiany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informacji, a tym samym poprzez </w:t>
      </w:r>
      <w:r w:rsidRPr="00C652D0">
        <w:rPr>
          <w:rFonts w:ascii="Times New Roman" w:hAnsi="Times New Roman" w:cs="Times New Roman"/>
          <w:sz w:val="24"/>
          <w:szCs w:val="24"/>
        </w:rPr>
        <w:t>otwarcie katalogu podmiotów uprawnionych do wymiany informacji w obrębie grupy.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CD10" w14:textId="0AA35792" w:rsidR="00DB10B9" w:rsidRPr="00C652D0" w:rsidRDefault="002F3BCA" w:rsidP="0066570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Art. 54 ust. 2 pkt 2</w:t>
      </w:r>
      <w:r w:rsidR="00943DC8" w:rsidRPr="00C652D0">
        <w:rPr>
          <w:rFonts w:ascii="Times New Roman" w:hAnsi="Times New Roman" w:cs="Times New Roman"/>
          <w:sz w:val="24"/>
          <w:szCs w:val="24"/>
        </w:rPr>
        <w:t>, 3 i 4</w:t>
      </w:r>
      <w:r w:rsidRPr="00C652D0">
        <w:rPr>
          <w:rFonts w:ascii="Times New Roman" w:hAnsi="Times New Roman" w:cs="Times New Roman"/>
          <w:sz w:val="24"/>
          <w:szCs w:val="24"/>
        </w:rPr>
        <w:t xml:space="preserve"> ustawy –</w:t>
      </w:r>
      <w:r w:rsidR="00294FF8" w:rsidRPr="00C652D0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>wprowadza regulacje wynikające z art. 39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>ust. 4</w:t>
      </w:r>
      <w:r w:rsidR="00943DC8" w:rsidRPr="00C652D0">
        <w:rPr>
          <w:rFonts w:ascii="Times New Roman" w:hAnsi="Times New Roman" w:cs="Times New Roman"/>
          <w:sz w:val="24"/>
          <w:szCs w:val="24"/>
        </w:rPr>
        <w:t>, 5 i 6</w:t>
      </w:r>
      <w:r w:rsidRPr="00C652D0">
        <w:rPr>
          <w:rFonts w:ascii="Times New Roman" w:hAnsi="Times New Roman" w:cs="Times New Roman"/>
          <w:sz w:val="24"/>
          <w:szCs w:val="24"/>
        </w:rPr>
        <w:t xml:space="preserve"> dyrektywy 2015/849, dotyczące zwolnienia okreś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lonych podmiotów z tajemnicy </w:t>
      </w:r>
      <w:r w:rsidRPr="00C652D0">
        <w:rPr>
          <w:rFonts w:ascii="Times New Roman" w:hAnsi="Times New Roman" w:cs="Times New Roman"/>
          <w:sz w:val="24"/>
          <w:szCs w:val="24"/>
        </w:rPr>
        <w:t>dotyczącej przekazania informacji jednostce analityki finansowej lub innym właś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ciwym </w:t>
      </w:r>
      <w:r w:rsidRPr="00C652D0">
        <w:rPr>
          <w:rFonts w:ascii="Times New Roman" w:hAnsi="Times New Roman" w:cs="Times New Roman"/>
          <w:sz w:val="24"/>
          <w:szCs w:val="24"/>
        </w:rPr>
        <w:t>organom. W wyniku weryfi</w:t>
      </w:r>
      <w:r w:rsidR="00DB10B9" w:rsidRPr="00C652D0">
        <w:rPr>
          <w:rFonts w:ascii="Times New Roman" w:hAnsi="Times New Roman" w:cs="Times New Roman"/>
          <w:sz w:val="24"/>
          <w:szCs w:val="24"/>
        </w:rPr>
        <w:t>kacji przepisów prawa krajowego</w:t>
      </w:r>
      <w:r w:rsidR="00665701">
        <w:rPr>
          <w:rFonts w:ascii="Times New Roman" w:hAnsi="Times New Roman" w:cs="Times New Roman"/>
          <w:sz w:val="24"/>
          <w:szCs w:val="24"/>
        </w:rPr>
        <w:t>,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 xml:space="preserve">dokonanej w związku </w:t>
      </w:r>
      <w:r w:rsidR="00665701" w:rsidRPr="00C652D0">
        <w:rPr>
          <w:rFonts w:ascii="Times New Roman" w:hAnsi="Times New Roman" w:cs="Times New Roman"/>
          <w:sz w:val="24"/>
          <w:szCs w:val="24"/>
        </w:rPr>
        <w:t>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 xml:space="preserve">analizą uwag podniesionych przez Komisję Europejską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w dodatkowej </w:t>
      </w:r>
      <w:r w:rsidRPr="00C652D0">
        <w:rPr>
          <w:rFonts w:ascii="Times New Roman" w:hAnsi="Times New Roman" w:cs="Times New Roman"/>
          <w:sz w:val="24"/>
          <w:szCs w:val="24"/>
        </w:rPr>
        <w:t>uzasadnionej opinii, dostrzeżono konieczność rozszerzeni</w:t>
      </w:r>
      <w:r w:rsidR="00DB10B9" w:rsidRPr="00C652D0">
        <w:rPr>
          <w:rFonts w:ascii="Times New Roman" w:hAnsi="Times New Roman" w:cs="Times New Roman"/>
          <w:sz w:val="24"/>
          <w:szCs w:val="24"/>
        </w:rPr>
        <w:t>a zakresu podmiotow</w:t>
      </w:r>
      <w:r w:rsidR="00594B30" w:rsidRPr="00C652D0">
        <w:rPr>
          <w:rFonts w:ascii="Times New Roman" w:hAnsi="Times New Roman" w:cs="Times New Roman"/>
          <w:sz w:val="24"/>
          <w:szCs w:val="24"/>
        </w:rPr>
        <w:t>ego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przepis</w:t>
      </w:r>
      <w:r w:rsidR="004D7A74" w:rsidRPr="00C652D0">
        <w:rPr>
          <w:rFonts w:ascii="Times New Roman" w:hAnsi="Times New Roman" w:cs="Times New Roman"/>
          <w:sz w:val="24"/>
          <w:szCs w:val="24"/>
        </w:rPr>
        <w:t>ów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>art. 54 ust. 2 pkt 2</w:t>
      </w:r>
      <w:r w:rsidR="00943DC8" w:rsidRPr="00C652D0">
        <w:rPr>
          <w:rFonts w:ascii="Times New Roman" w:hAnsi="Times New Roman" w:cs="Times New Roman"/>
          <w:sz w:val="24"/>
          <w:szCs w:val="24"/>
        </w:rPr>
        <w:t>, 3 i 4</w:t>
      </w:r>
      <w:r w:rsidRPr="00C652D0">
        <w:rPr>
          <w:rFonts w:ascii="Times New Roman" w:hAnsi="Times New Roman" w:cs="Times New Roman"/>
          <w:sz w:val="24"/>
          <w:szCs w:val="24"/>
        </w:rPr>
        <w:t xml:space="preserve"> ustawy również o instytucje obowiązane, o któ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rych mowa w art. 2 ust. 1 pkt </w:t>
      </w:r>
      <w:r w:rsidRPr="00C652D0">
        <w:rPr>
          <w:rFonts w:ascii="Times New Roman" w:hAnsi="Times New Roman" w:cs="Times New Roman"/>
          <w:sz w:val="24"/>
          <w:szCs w:val="24"/>
        </w:rPr>
        <w:t>17 ustawy, tj. o podmioty prowadzące działalność w zakresie usługowego prowadzenia ksią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g </w:t>
      </w:r>
      <w:r w:rsidRPr="00C652D0">
        <w:rPr>
          <w:rFonts w:ascii="Times New Roman" w:hAnsi="Times New Roman" w:cs="Times New Roman"/>
          <w:sz w:val="24"/>
          <w:szCs w:val="24"/>
        </w:rPr>
        <w:t>rachunkowych („</w:t>
      </w:r>
      <w:r w:rsidRPr="00C652D0">
        <w:rPr>
          <w:rFonts w:ascii="Times New Roman" w:hAnsi="Times New Roman" w:cs="Times New Roman"/>
          <w:i/>
          <w:iCs/>
          <w:sz w:val="24"/>
          <w:szCs w:val="24"/>
        </w:rPr>
        <w:t>zewnętrznych księgowych</w:t>
      </w:r>
      <w:r w:rsidRPr="00C652D0">
        <w:rPr>
          <w:rFonts w:ascii="Times New Roman" w:hAnsi="Times New Roman" w:cs="Times New Roman"/>
          <w:sz w:val="24"/>
          <w:szCs w:val="24"/>
        </w:rPr>
        <w:t xml:space="preserve">” w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rozumieniu dyrektywy 2015/849). </w:t>
      </w:r>
    </w:p>
    <w:p w14:paraId="7026633F" w14:textId="77777777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Art. 129 ust. 1 ustawy – przedmiotowy artykuł ma na celu wpr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owadzenie regulacji wynikającej </w:t>
      </w:r>
      <w:r w:rsidRPr="00C652D0">
        <w:rPr>
          <w:rFonts w:ascii="Times New Roman" w:hAnsi="Times New Roman" w:cs="Times New Roman"/>
          <w:sz w:val="24"/>
          <w:szCs w:val="24"/>
        </w:rPr>
        <w:t>z art. 47 ust. 3 dyrektywy 2015/849, dotyczącej zapobieg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ania przez państwa członkowskie </w:t>
      </w:r>
      <w:r w:rsidRPr="00C652D0">
        <w:rPr>
          <w:rFonts w:ascii="Times New Roman" w:hAnsi="Times New Roman" w:cs="Times New Roman"/>
          <w:sz w:val="24"/>
          <w:szCs w:val="24"/>
        </w:rPr>
        <w:t>sytuacjom, w których osoby będące beneficjentami rzeczywistymi podmiotów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wymienionych </w:t>
      </w:r>
      <w:r w:rsidRPr="00C652D0">
        <w:rPr>
          <w:rFonts w:ascii="Times New Roman" w:hAnsi="Times New Roman" w:cs="Times New Roman"/>
          <w:sz w:val="24"/>
          <w:szCs w:val="24"/>
        </w:rPr>
        <w:t>w art. 2 ust. 1 pkt 3 lit. a), b) oraz d) dyrektywy 2015/849, a ta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kże osoby zajmujące kierownicze </w:t>
      </w:r>
      <w:r w:rsidRPr="00C652D0">
        <w:rPr>
          <w:rFonts w:ascii="Times New Roman" w:hAnsi="Times New Roman" w:cs="Times New Roman"/>
          <w:sz w:val="24"/>
          <w:szCs w:val="24"/>
        </w:rPr>
        <w:t>stanowiska w takich podmiotach, były osobami karanymi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. Wymóg niekaralności dotyczący </w:t>
      </w:r>
      <w:r w:rsidRPr="00C652D0">
        <w:rPr>
          <w:rFonts w:ascii="Times New Roman" w:hAnsi="Times New Roman" w:cs="Times New Roman"/>
          <w:sz w:val="24"/>
          <w:szCs w:val="24"/>
        </w:rPr>
        <w:t>osób wykonujących działalność podmiotów zobowiązanych, o kt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órych mowa w art. 2 ust. 1 pkt </w:t>
      </w:r>
      <w:r w:rsidRPr="00C652D0">
        <w:rPr>
          <w:rFonts w:ascii="Times New Roman" w:hAnsi="Times New Roman" w:cs="Times New Roman"/>
          <w:sz w:val="24"/>
          <w:szCs w:val="24"/>
        </w:rPr>
        <w:t>3 lit. a) i b) dyrektywy 2015/849, w zakresie wykon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ywania zawodów: radcy prawnego, </w:t>
      </w:r>
      <w:r w:rsidRPr="00C652D0">
        <w:rPr>
          <w:rFonts w:ascii="Times New Roman" w:hAnsi="Times New Roman" w:cs="Times New Roman"/>
          <w:sz w:val="24"/>
          <w:szCs w:val="24"/>
        </w:rPr>
        <w:t>adwokata, doradcy podatkowego, notariusza oraz bieg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łego rewidenta, regulują ustawy </w:t>
      </w:r>
      <w:r w:rsidRPr="00C652D0">
        <w:rPr>
          <w:rFonts w:ascii="Times New Roman" w:hAnsi="Times New Roman" w:cs="Times New Roman"/>
          <w:sz w:val="24"/>
          <w:szCs w:val="24"/>
        </w:rPr>
        <w:t>ustrojowe tych zawodów. Niemniej w celu prawidłowej i pełne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j transpozycji dyrektywy </w:t>
      </w:r>
      <w:r w:rsidRPr="00C652D0">
        <w:rPr>
          <w:rFonts w:ascii="Times New Roman" w:hAnsi="Times New Roman" w:cs="Times New Roman"/>
          <w:sz w:val="24"/>
          <w:szCs w:val="24"/>
        </w:rPr>
        <w:t>2015/849 konieczne jest wprowadzenie przepisów zapob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iegających sytuacjom, w których </w:t>
      </w:r>
      <w:r w:rsidRPr="00C652D0">
        <w:rPr>
          <w:rFonts w:ascii="Times New Roman" w:hAnsi="Times New Roman" w:cs="Times New Roman"/>
          <w:sz w:val="24"/>
          <w:szCs w:val="24"/>
        </w:rPr>
        <w:t>osoby będące beneficjentami rzeczywistymi pod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miotów wykonujących działalność </w:t>
      </w:r>
      <w:r w:rsidRPr="00C652D0">
        <w:rPr>
          <w:rFonts w:ascii="Times New Roman" w:hAnsi="Times New Roman" w:cs="Times New Roman"/>
          <w:sz w:val="24"/>
          <w:szCs w:val="24"/>
        </w:rPr>
        <w:t>wymienioną w art. 2 ust. 1 pkt 3 lit. d) dyrektywy 2015/849 (pośrednic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y w obrocie </w:t>
      </w:r>
      <w:r w:rsidRPr="00C652D0">
        <w:rPr>
          <w:rFonts w:ascii="Times New Roman" w:hAnsi="Times New Roman" w:cs="Times New Roman"/>
          <w:sz w:val="24"/>
          <w:szCs w:val="24"/>
        </w:rPr>
        <w:t xml:space="preserve">nieruchomościami), a także osoby zajmujące kierownicze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stanowiska w takich podmiotach, </w:t>
      </w:r>
      <w:r w:rsidRPr="00C652D0">
        <w:rPr>
          <w:rFonts w:ascii="Times New Roman" w:hAnsi="Times New Roman" w:cs="Times New Roman"/>
          <w:sz w:val="24"/>
          <w:szCs w:val="24"/>
        </w:rPr>
        <w:t>były osobami karanymi. Uznano zatem za zasadne wprowadzeni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e odpowiedniej regulacji w art. </w:t>
      </w:r>
      <w:r w:rsidRPr="00C652D0">
        <w:rPr>
          <w:rFonts w:ascii="Times New Roman" w:hAnsi="Times New Roman" w:cs="Times New Roman"/>
          <w:sz w:val="24"/>
          <w:szCs w:val="24"/>
        </w:rPr>
        <w:t>129 ust</w:t>
      </w:r>
      <w:r w:rsidR="00574AA8" w:rsidRPr="00C652D0">
        <w:rPr>
          <w:rFonts w:ascii="Times New Roman" w:hAnsi="Times New Roman" w:cs="Times New Roman"/>
          <w:sz w:val="24"/>
          <w:szCs w:val="24"/>
        </w:rPr>
        <w:t>.</w:t>
      </w:r>
      <w:r w:rsidRPr="00C652D0">
        <w:rPr>
          <w:rFonts w:ascii="Times New Roman" w:hAnsi="Times New Roman" w:cs="Times New Roman"/>
          <w:sz w:val="24"/>
          <w:szCs w:val="24"/>
        </w:rPr>
        <w:t xml:space="preserve"> 1 ustawy.</w:t>
      </w:r>
    </w:p>
    <w:p w14:paraId="0BBA6C10" w14:textId="0B671F80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lastRenderedPageBreak/>
        <w:t>Art. 129 ust. 1a i 1b ustawy – przedmiotowy artykuł wprowadza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regulacje wynikające </w:t>
      </w:r>
      <w:r w:rsidR="00665701" w:rsidRPr="00C652D0">
        <w:rPr>
          <w:rFonts w:ascii="Times New Roman" w:hAnsi="Times New Roman" w:cs="Times New Roman"/>
          <w:sz w:val="24"/>
          <w:szCs w:val="24"/>
        </w:rPr>
        <w:t>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art. 47 </w:t>
      </w:r>
      <w:r w:rsidRPr="00C652D0">
        <w:rPr>
          <w:rFonts w:ascii="Times New Roman" w:hAnsi="Times New Roman" w:cs="Times New Roman"/>
          <w:sz w:val="24"/>
          <w:szCs w:val="24"/>
        </w:rPr>
        <w:t>ust. 2 dyrektywy 2015/849, dotyczące zapewnienia przez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 państwa członkowskie, </w:t>
      </w:r>
      <w:r w:rsidR="00574AA8" w:rsidRPr="00C652D0">
        <w:rPr>
          <w:rFonts w:ascii="Times New Roman" w:hAnsi="Times New Roman" w:cs="Times New Roman"/>
          <w:sz w:val="24"/>
          <w:szCs w:val="24"/>
        </w:rPr>
        <w:t>a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by osoby </w:t>
      </w:r>
      <w:r w:rsidRPr="00C652D0">
        <w:rPr>
          <w:rFonts w:ascii="Times New Roman" w:hAnsi="Times New Roman" w:cs="Times New Roman"/>
          <w:sz w:val="24"/>
          <w:szCs w:val="24"/>
        </w:rPr>
        <w:t>będące beneficjentami rzeczywistymi podmiotów wymienio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nych w art. 47 ust. 1 dyrektywy </w:t>
      </w:r>
      <w:r w:rsidRPr="00C652D0">
        <w:rPr>
          <w:rFonts w:ascii="Times New Roman" w:hAnsi="Times New Roman" w:cs="Times New Roman"/>
          <w:sz w:val="24"/>
          <w:szCs w:val="24"/>
        </w:rPr>
        <w:t xml:space="preserve">2015/849, a także osoby zajmujące kierownicze stanowiska w 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takich podmiotach, były osobami </w:t>
      </w:r>
      <w:r w:rsidRPr="00C652D0">
        <w:rPr>
          <w:rFonts w:ascii="Times New Roman" w:hAnsi="Times New Roman" w:cs="Times New Roman"/>
          <w:sz w:val="24"/>
          <w:szCs w:val="24"/>
        </w:rPr>
        <w:t>spełniającymi kryteria kompetencji i reputacji. W dotychcza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sowym brzmieniu art. 129 ustawy </w:t>
      </w:r>
      <w:r w:rsidRPr="00C652D0">
        <w:rPr>
          <w:rFonts w:ascii="Times New Roman" w:hAnsi="Times New Roman" w:cs="Times New Roman"/>
          <w:sz w:val="24"/>
          <w:szCs w:val="24"/>
        </w:rPr>
        <w:t>nie uwzględniał wszystkich potencjalnych beneficjentów rzeczywistych podmi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otów, o których </w:t>
      </w:r>
      <w:r w:rsidRPr="00C652D0">
        <w:rPr>
          <w:rFonts w:ascii="Times New Roman" w:hAnsi="Times New Roman" w:cs="Times New Roman"/>
          <w:sz w:val="24"/>
          <w:szCs w:val="24"/>
        </w:rPr>
        <w:t xml:space="preserve">mowa </w:t>
      </w:r>
      <w:r w:rsidR="00665701" w:rsidRPr="00C652D0">
        <w:rPr>
          <w:rFonts w:ascii="Times New Roman" w:hAnsi="Times New Roman" w:cs="Times New Roman"/>
          <w:sz w:val="24"/>
          <w:szCs w:val="24"/>
        </w:rPr>
        <w:t>w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>art. 2 ust. 1 pkt 16 ustawy, co za tym idzie zasadne jes</w:t>
      </w:r>
      <w:r w:rsidR="00DB10B9" w:rsidRPr="00C652D0">
        <w:rPr>
          <w:rFonts w:ascii="Times New Roman" w:hAnsi="Times New Roman" w:cs="Times New Roman"/>
          <w:sz w:val="24"/>
          <w:szCs w:val="24"/>
        </w:rPr>
        <w:t xml:space="preserve">t doprecyzowanie tego przepisu, </w:t>
      </w:r>
      <w:r w:rsidRPr="00C652D0">
        <w:rPr>
          <w:rFonts w:ascii="Times New Roman" w:hAnsi="Times New Roman" w:cs="Times New Roman"/>
          <w:sz w:val="24"/>
          <w:szCs w:val="24"/>
        </w:rPr>
        <w:t>poprzez bezpośrednie uwzględnienie w nim beneficjentów rzeczywistych tychże podmiotów.</w:t>
      </w:r>
    </w:p>
    <w:p w14:paraId="09D0652D" w14:textId="3ECA16AF" w:rsidR="00146027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w celu dokonania pełnej i prawidłowej transpozycji art. 47 ust. 2 dyrektywy 2015/849 konieczne jest wprowadzenie do ustawy przepisów gwarantujących spełnienie wymogu kompetencji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reputacji </w:t>
      </w:r>
      <w:r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osoby zajmujące stanowiska kierownicze w podmiotach wymienionych w art. 2 ust. 1 pkt 16 ustawy oraz przez beneficjentów rzeczywistych takich podmiotów. Uznano zatem za zasadne poszerzenie zakresu art. 129 ustawy o zapis dotyczący obowiązku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posiadania wiedzy lub doświadczenia w zakresie działalności, o której mowa w art.</w:t>
      </w:r>
      <w:r w:rsidR="00CD3455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ust. 1 pkt 16.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Projektowan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(art. 129 ust. 1a i 1b) 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precyzują przesłanki</w:t>
      </w:r>
      <w:r w:rsidR="00BE30FA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których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obowiązek 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posiadania wiedzy lub doświadczenia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</w:t>
      </w:r>
      <w:r w:rsidR="00BD542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uznany za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spełniony </w:t>
      </w:r>
      <w:r w:rsidR="00CD3455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przesłanka pierwsza </w:t>
      </w:r>
      <w:r w:rsidR="00C652D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ukończenie szkolenia lub kursu obejmując</w:t>
      </w:r>
      <w:r w:rsidR="00D92C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prawne lub praktyczne zagadnienia związane ze świadczeniem tego rodzaju usług lub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przesłanka druga</w:t>
      </w:r>
      <w:r w:rsidR="004D7A74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21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wykonywani</w:t>
      </w:r>
      <w:r w:rsidR="00301613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przez okres </w:t>
      </w:r>
      <w:r w:rsidR="007D721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 najmniej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="00D92C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21F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czynności związanych </w:t>
      </w:r>
      <w:r w:rsidR="00DB10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świadczeniem takich usług). </w:t>
      </w:r>
      <w:r w:rsidR="00D2704D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stwierdzić, że obowiązek posiadania wiedzy lub doświadczenia zostanie uznany za spełniony w przypadku realizacji przynajmniej jednej z przesłanek. </w:t>
      </w:r>
      <w:r w:rsidR="00146027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Przesłanka </w:t>
      </w:r>
      <w:r w:rsidR="00A82C76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wykonywania, przez okres co najmniej roku</w:t>
      </w:r>
      <w:r w:rsidR="00D92CB9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2C76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czynności </w:t>
      </w:r>
      <w:r w:rsidR="00146027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związan</w:t>
      </w:r>
      <w:r w:rsidR="00A82C76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146027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świadczeniem usług, o których mowa w art. 2 ust. 1 pkt 16 </w:t>
      </w:r>
      <w:r w:rsidR="00574AA8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ustawy, </w:t>
      </w:r>
      <w:r w:rsidR="00146027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zrealizowana wskutek wykonywania zadań i czynności merytorycznie związanych z przedmiotem działalności gospodarczej </w:t>
      </w:r>
      <w:r w:rsidR="00F626DE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(w tym zarządzanie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działalnością, wykonywanie czynności na rzecz klientów, sporzą</w:t>
      </w:r>
      <w:r w:rsidR="003C5CE8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dzanie dokumentacji związanej z</w:t>
      </w:r>
      <w:r w:rsidR="0066570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prowadzoną działalnością</w:t>
      </w:r>
      <w:r w:rsidR="00F626DE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W związku z tym 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uznać, że </w:t>
      </w:r>
      <w:r w:rsidR="00F626DE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przesłanka nie zostanie zrealizowana w sytuacji wykonywania wyłącznie czynności usługowych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, technicznych</w:t>
      </w:r>
      <w:r w:rsidR="00A1332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</w:t>
      </w:r>
      <w:r w:rsidR="00F626DE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pomocniczych</w:t>
      </w:r>
      <w:r w:rsidR="00A1332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>mających merytorycznego związku z prowadzoną działalnością</w:t>
      </w:r>
      <w:r w:rsidR="00A1332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gospodarczą</w:t>
      </w:r>
      <w:r w:rsidR="0037391B" w:rsidRPr="00C6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AC62E24" w14:textId="2EED8C9C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lastRenderedPageBreak/>
        <w:t>Art. 129 ust. 2 ustawy – konieczność wprowadzenia zmiany wiąże się z propozycją wprowadzenia zmian w art. 129 ust. 1 oraz dodania art. 129 ust. 1a</w:t>
      </w:r>
      <w:r w:rsidR="00B6418E">
        <w:rPr>
          <w:rFonts w:ascii="Times New Roman" w:hAnsi="Times New Roman" w:cs="Times New Roman"/>
          <w:sz w:val="24"/>
          <w:szCs w:val="24"/>
        </w:rPr>
        <w:t xml:space="preserve"> </w:t>
      </w:r>
      <w:r w:rsidRPr="00C652D0">
        <w:rPr>
          <w:rFonts w:ascii="Times New Roman" w:hAnsi="Times New Roman" w:cs="Times New Roman"/>
          <w:sz w:val="24"/>
          <w:szCs w:val="24"/>
        </w:rPr>
        <w:t>ustawy.</w:t>
      </w:r>
    </w:p>
    <w:p w14:paraId="3FE4D6CC" w14:textId="329E0860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Art. 151 ust. 1 pkt 1 ustawy – konieczność wprowadzenia zmiany wynika z potrzeby likwidacji luki, polegającej na nieuwzględnieniu w dotychczas obowiązującej ustawie organu uprawnionego do nałożenia kary administracyjnej na instytucje obowiązane skontrolowane na podstawie art. 130 ust. 2 pkt 1 lit. c</w:t>
      </w:r>
      <w:r w:rsidR="00C652D0">
        <w:rPr>
          <w:rFonts w:ascii="Times New Roman" w:hAnsi="Times New Roman" w:cs="Times New Roman"/>
          <w:sz w:val="24"/>
          <w:szCs w:val="24"/>
        </w:rPr>
        <w:t>–</w:t>
      </w:r>
      <w:r w:rsidRPr="00C652D0">
        <w:rPr>
          <w:rFonts w:ascii="Times New Roman" w:hAnsi="Times New Roman" w:cs="Times New Roman"/>
          <w:sz w:val="24"/>
          <w:szCs w:val="24"/>
        </w:rPr>
        <w:t>e oraz pkt 2 i 3 ustawy.</w:t>
      </w:r>
    </w:p>
    <w:p w14:paraId="5E4D4120" w14:textId="489CB912" w:rsidR="00BE30FA" w:rsidRPr="00C652D0" w:rsidRDefault="00BE30F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 xml:space="preserve">Art. 153 ust. 2 ustawy – wprowadzenie zmian w art. 129 ustawy, wynikających </w:t>
      </w:r>
      <w:r w:rsidR="00665701" w:rsidRPr="00C652D0">
        <w:rPr>
          <w:rFonts w:ascii="Times New Roman" w:hAnsi="Times New Roman" w:cs="Times New Roman"/>
          <w:sz w:val="24"/>
          <w:szCs w:val="24"/>
        </w:rPr>
        <w:t>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 xml:space="preserve">uzupełnienia transpozycji art. 47 ust. 2 i 3 dyrektywy 2015/849, wiąże się </w:t>
      </w:r>
      <w:r w:rsidR="00665701" w:rsidRPr="00C652D0">
        <w:rPr>
          <w:rFonts w:ascii="Times New Roman" w:hAnsi="Times New Roman" w:cs="Times New Roman"/>
          <w:sz w:val="24"/>
          <w:szCs w:val="24"/>
        </w:rPr>
        <w:t>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>koniecznością uzupełnienia art. 153 ust. 2 ustawy o niezbędne uprawnienia umożliwiające egzekwowanie obowiązków wynikających z art. 129 ustawy w nowym brzmieniu.</w:t>
      </w:r>
    </w:p>
    <w:p w14:paraId="312D1057" w14:textId="6A380713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 xml:space="preserve">Art. 154 ust. 1 ustawy – przedmiotowy </w:t>
      </w:r>
      <w:r w:rsidR="00212FE7" w:rsidRPr="00C652D0">
        <w:rPr>
          <w:rFonts w:ascii="Times New Roman" w:hAnsi="Times New Roman" w:cs="Times New Roman"/>
          <w:sz w:val="24"/>
          <w:szCs w:val="24"/>
        </w:rPr>
        <w:t xml:space="preserve">przepis </w:t>
      </w:r>
      <w:r w:rsidRPr="00C652D0">
        <w:rPr>
          <w:rFonts w:ascii="Times New Roman" w:hAnsi="Times New Roman" w:cs="Times New Roman"/>
          <w:sz w:val="24"/>
          <w:szCs w:val="24"/>
        </w:rPr>
        <w:t>wprowadza regulacje wynikające z art. 58 ust. 3 dyrektywy 2015/849, dotyczące możliwości stosowania kar i środków wobec członków organu zarządzającego oraz innych osób fizycznych odpowiedzialnych za naruszenia przez instytucje obowiązane przepisów o przeciwdziałaniu praniu pieniędzy oraz finansowaniu terroryzmu. W dotychczasowym brzmieniu ustawy</w:t>
      </w:r>
      <w:bookmarkStart w:id="0" w:name="_GoBack"/>
      <w:bookmarkEnd w:id="0"/>
      <w:r w:rsidRPr="00C652D0">
        <w:rPr>
          <w:rFonts w:ascii="Times New Roman" w:hAnsi="Times New Roman" w:cs="Times New Roman"/>
          <w:sz w:val="24"/>
          <w:szCs w:val="24"/>
        </w:rPr>
        <w:t xml:space="preserve"> przewidziano możliwość nałożenia kary administracyjnej jedynie na osoby wyznaczone na podstawie art. 7 ustawy, pomijając możliwość pociągnięcia do odpowiedzialności przedstawicieli kadry kierowniczej wyznaczonych na podstawie art. 6 oraz art. 8 ustawy. Prawidłowa </w:t>
      </w:r>
      <w:r w:rsidR="00665701" w:rsidRPr="00C652D0">
        <w:rPr>
          <w:rFonts w:ascii="Times New Roman" w:hAnsi="Times New Roman" w:cs="Times New Roman"/>
          <w:sz w:val="24"/>
          <w:szCs w:val="24"/>
        </w:rPr>
        <w:t>i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 xml:space="preserve">pełna implementacja art. 58 ust. 3 dyrektywy 2015/849 wymaga uzupełnienia art. 154 ust. 1 </w:t>
      </w:r>
      <w:r w:rsidR="005F5F5F" w:rsidRPr="00C652D0">
        <w:rPr>
          <w:rFonts w:ascii="Times New Roman" w:hAnsi="Times New Roman" w:cs="Times New Roman"/>
          <w:sz w:val="24"/>
          <w:szCs w:val="24"/>
        </w:rPr>
        <w:t xml:space="preserve">ustawy </w:t>
      </w:r>
      <w:r w:rsidRPr="00C652D0">
        <w:rPr>
          <w:rFonts w:ascii="Times New Roman" w:hAnsi="Times New Roman" w:cs="Times New Roman"/>
          <w:sz w:val="24"/>
          <w:szCs w:val="24"/>
        </w:rPr>
        <w:t>o możliwość nałożenia kary także na osoby wymienione w art. 6 oraz art. 8 ustawy.</w:t>
      </w:r>
    </w:p>
    <w:p w14:paraId="2EDF1206" w14:textId="73B40A7C" w:rsidR="007D721F" w:rsidRPr="00C652D0" w:rsidRDefault="00BE30F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W art</w:t>
      </w:r>
      <w:r w:rsidR="007D721F" w:rsidRPr="00C652D0">
        <w:rPr>
          <w:rFonts w:ascii="Times New Roman" w:hAnsi="Times New Roman" w:cs="Times New Roman"/>
          <w:sz w:val="24"/>
          <w:szCs w:val="24"/>
        </w:rPr>
        <w:t xml:space="preserve">. 2 </w:t>
      </w:r>
      <w:r w:rsidRPr="00C652D0">
        <w:rPr>
          <w:rFonts w:ascii="Times New Roman" w:hAnsi="Times New Roman" w:cs="Times New Roman"/>
          <w:sz w:val="24"/>
          <w:szCs w:val="24"/>
        </w:rPr>
        <w:t xml:space="preserve">projektu ustawy wprowadzono rozwiązania dostosowujące, których konieczność </w:t>
      </w:r>
      <w:r w:rsidR="007D721F" w:rsidRPr="00C652D0">
        <w:rPr>
          <w:rFonts w:ascii="Times New Roman" w:hAnsi="Times New Roman" w:cs="Times New Roman"/>
          <w:sz w:val="24"/>
          <w:szCs w:val="24"/>
        </w:rPr>
        <w:t xml:space="preserve">wynika </w:t>
      </w:r>
      <w:r w:rsidRPr="00C652D0">
        <w:rPr>
          <w:rFonts w:ascii="Times New Roman" w:hAnsi="Times New Roman" w:cs="Times New Roman"/>
          <w:sz w:val="24"/>
          <w:szCs w:val="24"/>
        </w:rPr>
        <w:t>z</w:t>
      </w:r>
      <w:r w:rsidR="00C652D0">
        <w:rPr>
          <w:rFonts w:ascii="Times New Roman" w:hAnsi="Times New Roman" w:cs="Times New Roman"/>
          <w:sz w:val="24"/>
          <w:szCs w:val="24"/>
        </w:rPr>
        <w:t xml:space="preserve"> </w:t>
      </w:r>
      <w:r w:rsidR="007D721F" w:rsidRPr="00C652D0">
        <w:rPr>
          <w:rFonts w:ascii="Times New Roman" w:hAnsi="Times New Roman" w:cs="Times New Roman"/>
          <w:sz w:val="24"/>
          <w:szCs w:val="24"/>
        </w:rPr>
        <w:t xml:space="preserve">wprowadzenia zmian w </w:t>
      </w:r>
      <w:r w:rsidR="00B67BF3" w:rsidRPr="00C652D0">
        <w:rPr>
          <w:rFonts w:ascii="Times New Roman" w:hAnsi="Times New Roman" w:cs="Times New Roman"/>
          <w:sz w:val="24"/>
          <w:szCs w:val="24"/>
        </w:rPr>
        <w:t xml:space="preserve">art. 129 </w:t>
      </w:r>
      <w:r w:rsidR="007D721F" w:rsidRPr="00C652D0">
        <w:rPr>
          <w:rFonts w:ascii="Times New Roman" w:hAnsi="Times New Roman" w:cs="Times New Roman"/>
          <w:sz w:val="24"/>
          <w:szCs w:val="24"/>
        </w:rPr>
        <w:t xml:space="preserve">ust. 1 i 1a </w:t>
      </w:r>
      <w:r w:rsidR="00F202DD" w:rsidRPr="00C652D0">
        <w:rPr>
          <w:rFonts w:ascii="Times New Roman" w:hAnsi="Times New Roman" w:cs="Times New Roman"/>
          <w:sz w:val="24"/>
          <w:szCs w:val="24"/>
        </w:rPr>
        <w:t>ustawy</w:t>
      </w:r>
      <w:r w:rsidRPr="00C652D0">
        <w:rPr>
          <w:rFonts w:ascii="Times New Roman" w:hAnsi="Times New Roman" w:cs="Times New Roman"/>
          <w:sz w:val="24"/>
          <w:szCs w:val="24"/>
        </w:rPr>
        <w:t>.</w:t>
      </w:r>
    </w:p>
    <w:p w14:paraId="28D8AAAE" w14:textId="22DC9156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 xml:space="preserve">W art. 3 projektu ustawy przewidziano, że ustawa </w:t>
      </w:r>
      <w:r w:rsidR="005F5F5F" w:rsidRPr="00C652D0">
        <w:rPr>
          <w:rFonts w:ascii="Times New Roman" w:hAnsi="Times New Roman" w:cs="Times New Roman"/>
          <w:sz w:val="24"/>
          <w:szCs w:val="24"/>
        </w:rPr>
        <w:t xml:space="preserve">zmieniająca </w:t>
      </w:r>
      <w:r w:rsidRPr="00C652D0">
        <w:rPr>
          <w:rFonts w:ascii="Times New Roman" w:hAnsi="Times New Roman" w:cs="Times New Roman"/>
          <w:sz w:val="24"/>
          <w:szCs w:val="24"/>
        </w:rPr>
        <w:t xml:space="preserve">wejdzie w życie </w:t>
      </w:r>
      <w:r w:rsidR="006074EC" w:rsidRPr="00C652D0">
        <w:rPr>
          <w:rFonts w:ascii="Times New Roman" w:hAnsi="Times New Roman" w:cs="Times New Roman"/>
          <w:sz w:val="24"/>
          <w:szCs w:val="24"/>
        </w:rPr>
        <w:t>po upływie</w:t>
      </w:r>
      <w:r w:rsidRPr="00C652D0">
        <w:rPr>
          <w:rFonts w:ascii="Times New Roman" w:hAnsi="Times New Roman" w:cs="Times New Roman"/>
          <w:sz w:val="24"/>
          <w:szCs w:val="24"/>
        </w:rPr>
        <w:t xml:space="preserve"> 30 dni od dnia ogłoszenia.</w:t>
      </w:r>
    </w:p>
    <w:p w14:paraId="22CD14FC" w14:textId="7303DD19" w:rsidR="00A16F6F" w:rsidRPr="00C652D0" w:rsidRDefault="00A16F6F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01">
        <w:rPr>
          <w:rFonts w:ascii="Times New Roman" w:hAnsi="Times New Roman"/>
          <w:color w:val="000000"/>
          <w:sz w:val="24"/>
          <w:szCs w:val="24"/>
        </w:rPr>
        <w:t>Przepisy projektowanej ustawy będą miały wpływ na sektor mikro-,</w:t>
      </w:r>
      <w:r w:rsidR="00486222" w:rsidRPr="006657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701">
        <w:rPr>
          <w:rFonts w:ascii="Times New Roman" w:hAnsi="Times New Roman"/>
          <w:color w:val="000000"/>
          <w:sz w:val="24"/>
          <w:szCs w:val="24"/>
        </w:rPr>
        <w:t>małych i średnich przedsiębiorstw w związku z nałożeniem na przedsiębiorców prowadzących działalność, o której mowa w art. 2 ust. 1 pkt 16 ustawy, wymogu posiadania wiedzy lub doświadczenia w zakresie prowadzonej działalności.</w:t>
      </w:r>
      <w:r w:rsidRPr="00665701" w:rsidDel="00987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701">
        <w:rPr>
          <w:rFonts w:ascii="Times New Roman" w:hAnsi="Times New Roman"/>
          <w:color w:val="000000"/>
          <w:sz w:val="24"/>
          <w:szCs w:val="24"/>
        </w:rPr>
        <w:t xml:space="preserve">Zapewni to większy profesjonalizm przedsiębiorców wykonujących ww. działalność, a w konsekwencji </w:t>
      </w:r>
      <w:r w:rsidRPr="00665701">
        <w:rPr>
          <w:rFonts w:ascii="Times New Roman" w:hAnsi="Times New Roman"/>
          <w:color w:val="000000"/>
          <w:sz w:val="24"/>
          <w:szCs w:val="24"/>
        </w:rPr>
        <w:lastRenderedPageBreak/>
        <w:t>pozytywnie wpłynie na poziom bezpieczeństwa podmiotów korzystających z usług takich przedsiębiorców.</w:t>
      </w:r>
    </w:p>
    <w:p w14:paraId="1B189D38" w14:textId="77777777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Projektowane regulacje nie stoją w sprzeczności z prawem Unii Europejskiej. Projekt nie wymaga zasięgnięcia opinii, dokonania konsultacji oraz uzgodnienia z właściwymi organami i instytucjami Unii Europejskiej, w tym Europejskim Bankiem Centralnym.</w:t>
      </w:r>
    </w:p>
    <w:p w14:paraId="1A54362D" w14:textId="77777777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Projekt nie zawiera przepisów technicznych. Projekt nie podlega obowiązkowi notyfikacji, zgodnie z trybem przewidzianym w przepisach dotyczących sposobu funkcjonowania krajowego systemu notyfikacji norm i aktów prawnych.</w:t>
      </w:r>
    </w:p>
    <w:p w14:paraId="2BAF251B" w14:textId="5D34CB1A" w:rsidR="002F3BCA" w:rsidRPr="00C652D0" w:rsidRDefault="002F3BCA" w:rsidP="0066570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D0">
        <w:rPr>
          <w:rFonts w:ascii="Times New Roman" w:hAnsi="Times New Roman" w:cs="Times New Roman"/>
          <w:sz w:val="24"/>
          <w:szCs w:val="24"/>
        </w:rPr>
        <w:t>Stosownie do art. 5 ustawy z dnia 7 lipca 2005 r. o działalności lobbingowej w procesie stanowienia prawa (Dz. U. z 2017 r. poz. 248) oraz § 4 i § 52 uchwały nr 190 Rady Ministrów z dnia 29 października 2013 r. – Regulamin pracy Rady Ministrów (M.P. z</w:t>
      </w:r>
      <w:r w:rsidR="00665701">
        <w:rPr>
          <w:rFonts w:ascii="Times New Roman" w:hAnsi="Times New Roman" w:cs="Times New Roman"/>
          <w:sz w:val="24"/>
          <w:szCs w:val="24"/>
        </w:rPr>
        <w:t> </w:t>
      </w:r>
      <w:r w:rsidRPr="00C652D0">
        <w:rPr>
          <w:rFonts w:ascii="Times New Roman" w:hAnsi="Times New Roman" w:cs="Times New Roman"/>
          <w:sz w:val="24"/>
          <w:szCs w:val="24"/>
        </w:rPr>
        <w:t xml:space="preserve"> 2016 r. poz. 1006, z </w:t>
      </w:r>
      <w:proofErr w:type="spellStart"/>
      <w:r w:rsidRPr="00C652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652D0">
        <w:rPr>
          <w:rFonts w:ascii="Times New Roman" w:hAnsi="Times New Roman" w:cs="Times New Roman"/>
          <w:sz w:val="24"/>
          <w:szCs w:val="24"/>
        </w:rPr>
        <w:t xml:space="preserve">. zm.), projekt </w:t>
      </w:r>
      <w:r w:rsidR="00A82C76" w:rsidRPr="00C652D0">
        <w:rPr>
          <w:rFonts w:ascii="Times New Roman" w:hAnsi="Times New Roman" w:cs="Times New Roman"/>
          <w:sz w:val="24"/>
          <w:szCs w:val="24"/>
        </w:rPr>
        <w:t xml:space="preserve">został </w:t>
      </w:r>
      <w:r w:rsidRPr="00C652D0">
        <w:rPr>
          <w:rFonts w:ascii="Times New Roman" w:hAnsi="Times New Roman" w:cs="Times New Roman"/>
          <w:sz w:val="24"/>
          <w:szCs w:val="24"/>
        </w:rPr>
        <w:t>udostępniony w Biuletynie Informacji Publicznej na stronie podmiotowej Rządowego Centrum Legislacji, w serwisie Rządowy Proces Legislacyjny.</w:t>
      </w:r>
    </w:p>
    <w:sectPr w:rsidR="002F3BCA" w:rsidRPr="00C652D0" w:rsidSect="00665701">
      <w:footerReference w:type="default" r:id="rId8"/>
      <w:pgSz w:w="11906" w:h="16838" w:code="9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75039" w14:textId="77777777" w:rsidR="00036764" w:rsidRDefault="00036764" w:rsidP="00C652D0">
      <w:pPr>
        <w:spacing w:after="0" w:line="240" w:lineRule="auto"/>
      </w:pPr>
      <w:r>
        <w:separator/>
      </w:r>
    </w:p>
  </w:endnote>
  <w:endnote w:type="continuationSeparator" w:id="0">
    <w:p w14:paraId="3F017560" w14:textId="77777777" w:rsidR="00036764" w:rsidRDefault="00036764" w:rsidP="00C6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756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8FB773" w14:textId="60FBD52F" w:rsidR="00C652D0" w:rsidRPr="00665701" w:rsidRDefault="00C652D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5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57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5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18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657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3BA997" w14:textId="77777777" w:rsidR="00C652D0" w:rsidRDefault="00C65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65B1D" w14:textId="77777777" w:rsidR="00036764" w:rsidRDefault="00036764" w:rsidP="00C652D0">
      <w:pPr>
        <w:spacing w:after="0" w:line="240" w:lineRule="auto"/>
      </w:pPr>
      <w:r>
        <w:separator/>
      </w:r>
    </w:p>
  </w:footnote>
  <w:footnote w:type="continuationSeparator" w:id="0">
    <w:p w14:paraId="58D01D2F" w14:textId="77777777" w:rsidR="00036764" w:rsidRDefault="00036764" w:rsidP="00C652D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bkowska Bożena">
    <w15:presenceInfo w15:providerId="AD" w15:userId="S-1-5-21-1346247845-3881836822-2677420573-18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67"/>
    <w:rsid w:val="00005146"/>
    <w:rsid w:val="00036764"/>
    <w:rsid w:val="00045DF4"/>
    <w:rsid w:val="000A4E18"/>
    <w:rsid w:val="00146027"/>
    <w:rsid w:val="00175C6A"/>
    <w:rsid w:val="00212FE7"/>
    <w:rsid w:val="00222D90"/>
    <w:rsid w:val="00235B11"/>
    <w:rsid w:val="002622B8"/>
    <w:rsid w:val="00294FF8"/>
    <w:rsid w:val="002E4D17"/>
    <w:rsid w:val="002F3BCA"/>
    <w:rsid w:val="00301613"/>
    <w:rsid w:val="0034585C"/>
    <w:rsid w:val="003523FF"/>
    <w:rsid w:val="0037391B"/>
    <w:rsid w:val="00385F67"/>
    <w:rsid w:val="003B43BE"/>
    <w:rsid w:val="003B7E50"/>
    <w:rsid w:val="003C5CE8"/>
    <w:rsid w:val="003D5D3E"/>
    <w:rsid w:val="00414F58"/>
    <w:rsid w:val="00471BE6"/>
    <w:rsid w:val="00486222"/>
    <w:rsid w:val="004D7A74"/>
    <w:rsid w:val="00504120"/>
    <w:rsid w:val="00524144"/>
    <w:rsid w:val="0056375A"/>
    <w:rsid w:val="00565349"/>
    <w:rsid w:val="00574AA8"/>
    <w:rsid w:val="00594B30"/>
    <w:rsid w:val="005A35BC"/>
    <w:rsid w:val="005F5F5F"/>
    <w:rsid w:val="006074EC"/>
    <w:rsid w:val="00665701"/>
    <w:rsid w:val="006A7A9D"/>
    <w:rsid w:val="006D5893"/>
    <w:rsid w:val="00775356"/>
    <w:rsid w:val="007D721F"/>
    <w:rsid w:val="007F2523"/>
    <w:rsid w:val="00825DFD"/>
    <w:rsid w:val="008A0754"/>
    <w:rsid w:val="008C0742"/>
    <w:rsid w:val="00900C48"/>
    <w:rsid w:val="00943DC8"/>
    <w:rsid w:val="009736E1"/>
    <w:rsid w:val="009A6D76"/>
    <w:rsid w:val="009B1ACA"/>
    <w:rsid w:val="009D18BA"/>
    <w:rsid w:val="00A1332B"/>
    <w:rsid w:val="00A16F6F"/>
    <w:rsid w:val="00A82C76"/>
    <w:rsid w:val="00B5545B"/>
    <w:rsid w:val="00B55C33"/>
    <w:rsid w:val="00B6418E"/>
    <w:rsid w:val="00B67BF3"/>
    <w:rsid w:val="00B91131"/>
    <w:rsid w:val="00BD542F"/>
    <w:rsid w:val="00BE30FA"/>
    <w:rsid w:val="00BF4346"/>
    <w:rsid w:val="00C549E4"/>
    <w:rsid w:val="00C652D0"/>
    <w:rsid w:val="00C76E95"/>
    <w:rsid w:val="00CD3455"/>
    <w:rsid w:val="00D2704D"/>
    <w:rsid w:val="00D33E9D"/>
    <w:rsid w:val="00D41854"/>
    <w:rsid w:val="00D92CB9"/>
    <w:rsid w:val="00DB10B9"/>
    <w:rsid w:val="00DC4FB2"/>
    <w:rsid w:val="00E84A62"/>
    <w:rsid w:val="00EA145A"/>
    <w:rsid w:val="00ED5114"/>
    <w:rsid w:val="00F202DD"/>
    <w:rsid w:val="00F31D56"/>
    <w:rsid w:val="00F43153"/>
    <w:rsid w:val="00F626DE"/>
    <w:rsid w:val="00F85D73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7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4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4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2D0"/>
  </w:style>
  <w:style w:type="paragraph" w:styleId="Stopka">
    <w:name w:val="footer"/>
    <w:basedOn w:val="Normalny"/>
    <w:link w:val="StopkaZnak"/>
    <w:uiPriority w:val="99"/>
    <w:unhideWhenUsed/>
    <w:rsid w:val="00C6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4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4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2D0"/>
  </w:style>
  <w:style w:type="paragraph" w:styleId="Stopka">
    <w:name w:val="footer"/>
    <w:basedOn w:val="Normalny"/>
    <w:link w:val="StopkaZnak"/>
    <w:uiPriority w:val="99"/>
    <w:unhideWhenUsed/>
    <w:rsid w:val="00C6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A071-298E-4CA4-9A46-A02CE31F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Fałat-Radziejewska Natalia</dc:creator>
  <cp:lastModifiedBy>Salamonczyk Monika</cp:lastModifiedBy>
  <cp:revision>4</cp:revision>
  <cp:lastPrinted>2019-07-09T16:03:00Z</cp:lastPrinted>
  <dcterms:created xsi:type="dcterms:W3CDTF">2019-08-14T12:58:00Z</dcterms:created>
  <dcterms:modified xsi:type="dcterms:W3CDTF">2019-08-14T14:02:00Z</dcterms:modified>
</cp:coreProperties>
</file>