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FCBE8" w14:textId="77777777" w:rsidR="002157B4" w:rsidRPr="002D4028" w:rsidRDefault="002157B4" w:rsidP="002157B4">
      <w:pPr>
        <w:pStyle w:val="OZNRODZAKTUtznustawalubrozporzdzenieiorganwydajcy"/>
        <w:rPr>
          <w:rStyle w:val="Ppogrubienie"/>
          <w:spacing w:val="0"/>
        </w:rPr>
      </w:pPr>
      <w:r w:rsidRPr="002D4028">
        <w:rPr>
          <w:rStyle w:val="Ppogrubienie"/>
          <w:spacing w:val="0"/>
        </w:rPr>
        <w:t>UZASADNIENIE</w:t>
      </w:r>
    </w:p>
    <w:p w14:paraId="27FE4DD6" w14:textId="419F78CB" w:rsidR="002157B4" w:rsidRDefault="002157B4" w:rsidP="002157B4">
      <w:pPr>
        <w:pStyle w:val="NIEARTTEKSTtekstnieartykuowanynppodstprawnarozplubpreambua"/>
      </w:pPr>
      <w:r>
        <w:t>P</w:t>
      </w:r>
      <w:r w:rsidRPr="00736C86">
        <w:t>rojekt ustawy o zmianie ustawy – Prawo farmaceutyczne</w:t>
      </w:r>
      <w:r>
        <w:t xml:space="preserve"> oraz niektórych innych ustaw </w:t>
      </w:r>
      <w:r w:rsidRPr="00736C86">
        <w:t>służy zapewnieniu stosowania rozporządzenia delegowanego</w:t>
      </w:r>
      <w:r w:rsidR="00E2654B">
        <w:t xml:space="preserve"> Komisji (UE) 2016/161 z dnia 2 </w:t>
      </w:r>
      <w:r w:rsidRPr="00736C86">
        <w:t>października 2015 r. uzupełniającego dyrektywę 2001/8</w:t>
      </w:r>
      <w:r w:rsidR="00E2654B">
        <w:t>3/WE Parlamentu Europejskiego i </w:t>
      </w:r>
      <w:r w:rsidRPr="00736C86">
        <w:t>Rady przez określenie szczegółowych zasad dotyczących zabezpieczeń umieszczanych na opakowaniach produktów leczniczych stosowanych u ludzi (Dz. Urz. UE L 32 z 09.02.2016, str. 1)</w:t>
      </w:r>
      <w:r>
        <w:t>,</w:t>
      </w:r>
      <w:r w:rsidRPr="002647BD">
        <w:t xml:space="preserve"> zwane</w:t>
      </w:r>
      <w:r>
        <w:t>go</w:t>
      </w:r>
      <w:r w:rsidRPr="002647BD">
        <w:t xml:space="preserve"> dalej „rozporządzeniem nr 2016/161”.</w:t>
      </w:r>
    </w:p>
    <w:p w14:paraId="61FCDA50" w14:textId="00B102A5" w:rsidR="002157B4" w:rsidRPr="002647BD" w:rsidRDefault="002157B4" w:rsidP="002157B4">
      <w:pPr>
        <w:pStyle w:val="ARTartustawynprozporzdzenia"/>
      </w:pPr>
      <w:r>
        <w:t>R</w:t>
      </w:r>
      <w:r w:rsidRPr="002647BD">
        <w:t>ozporządzenie nr 2016/161</w:t>
      </w:r>
      <w:r>
        <w:t xml:space="preserve"> </w:t>
      </w:r>
      <w:r w:rsidRPr="002647BD">
        <w:t xml:space="preserve">weszło w życie </w:t>
      </w:r>
      <w:r>
        <w:t xml:space="preserve">z dniem </w:t>
      </w:r>
      <w:r w:rsidRPr="002647BD">
        <w:t xml:space="preserve">29 lutego 2016 r., </w:t>
      </w:r>
      <w:r>
        <w:t xml:space="preserve">ale z uwagi na obowiązki, które są w nim nakładane </w:t>
      </w:r>
      <w:r w:rsidRPr="002647BD">
        <w:t>na podmioty odpowiedzialne, wytwórców lub importerów produktów leczniczych oraz przedsiębiorców prowadzących obrót produktami leczniczymi</w:t>
      </w:r>
      <w:r w:rsidR="005E13A0">
        <w:t>,</w:t>
      </w:r>
      <w:r>
        <w:t xml:space="preserve"> </w:t>
      </w:r>
      <w:r w:rsidR="005E13A0">
        <w:t>jest</w:t>
      </w:r>
      <w:r w:rsidRPr="002647BD">
        <w:t xml:space="preserve"> stosowane od </w:t>
      </w:r>
      <w:r>
        <w:t xml:space="preserve">dnia </w:t>
      </w:r>
      <w:r w:rsidRPr="002647BD">
        <w:t>9 lutego 2019 r.</w:t>
      </w:r>
    </w:p>
    <w:p w14:paraId="3C502B85" w14:textId="77777777" w:rsidR="002157B4" w:rsidRPr="00EA4287" w:rsidRDefault="002157B4" w:rsidP="002157B4">
      <w:pPr>
        <w:pStyle w:val="NIEARTTEKSTtekstnieartykuowanynppodstprawnarozplubpreambua"/>
      </w:pPr>
      <w:r w:rsidRPr="00EA4287">
        <w:t xml:space="preserve">W rozporządzeniu nr 2016/161 określono: </w:t>
      </w:r>
    </w:p>
    <w:p w14:paraId="6AA25BD7" w14:textId="77777777" w:rsidR="002157B4" w:rsidRPr="00EA4287" w:rsidRDefault="002157B4" w:rsidP="002157B4">
      <w:pPr>
        <w:pStyle w:val="PKTpunkt"/>
      </w:pPr>
      <w:r w:rsidRPr="00EA4287">
        <w:t>1)</w:t>
      </w:r>
      <w:r w:rsidRPr="00EA4287">
        <w:tab/>
        <w:t>cechy i specyfikacje techniczne niepowtarzalnego identyfikatora umożliwiającego weryfikację autentyczności produktów leczniczych oraz identyfikację opakowań jednostkowych;</w:t>
      </w:r>
    </w:p>
    <w:p w14:paraId="71AA2EBB" w14:textId="77777777" w:rsidR="002157B4" w:rsidRPr="00EA4287" w:rsidRDefault="002157B4" w:rsidP="002157B4">
      <w:pPr>
        <w:pStyle w:val="PKTpunkt"/>
      </w:pPr>
      <w:r w:rsidRPr="00EA4287">
        <w:t>2)</w:t>
      </w:r>
      <w:r w:rsidRPr="00EA4287">
        <w:tab/>
        <w:t>sposoby weryfikacji zabezpieczeń;</w:t>
      </w:r>
    </w:p>
    <w:p w14:paraId="28CF9DCB" w14:textId="77777777" w:rsidR="002157B4" w:rsidRPr="00EA4287" w:rsidRDefault="002157B4" w:rsidP="002157B4">
      <w:pPr>
        <w:pStyle w:val="PKTpunkt"/>
      </w:pPr>
      <w:r w:rsidRPr="00EA4287">
        <w:t>3)</w:t>
      </w:r>
      <w:r w:rsidRPr="00EA4287">
        <w:tab/>
        <w:t xml:space="preserve">przepisy dotyczące tworzenia i dostępności </w:t>
      </w:r>
      <w:r>
        <w:t>systemu baz, w którym są zawarte</w:t>
      </w:r>
      <w:r w:rsidRPr="00EA4287">
        <w:t xml:space="preserve"> informacje na temat zabezpieczeń, oraz zarządzania tym systemem;</w:t>
      </w:r>
    </w:p>
    <w:p w14:paraId="3FE530EA" w14:textId="77777777" w:rsidR="002157B4" w:rsidRPr="00EA4287" w:rsidRDefault="002157B4" w:rsidP="002157B4">
      <w:pPr>
        <w:pStyle w:val="PKTpunkt"/>
      </w:pPr>
      <w:r w:rsidRPr="00EA4287">
        <w:t>4)</w:t>
      </w:r>
      <w:r w:rsidRPr="00EA4287">
        <w:tab/>
        <w:t>wykaz produktów leczniczych i kategorii produktów wydawanych na receptę, które nie zawierają zabezpieczeń;</w:t>
      </w:r>
    </w:p>
    <w:p w14:paraId="56925560" w14:textId="77777777" w:rsidR="002157B4" w:rsidRPr="00EA4287" w:rsidRDefault="002157B4" w:rsidP="002157B4">
      <w:pPr>
        <w:pStyle w:val="PKTpunkt"/>
      </w:pPr>
      <w:r w:rsidRPr="00EA4287">
        <w:t>5)</w:t>
      </w:r>
      <w:r w:rsidRPr="00EA4287">
        <w:tab/>
        <w:t>wykaz produktów leczniczych i kategorii produktów wydawanych bez recepty, które zawierają zabezpieczenia;</w:t>
      </w:r>
    </w:p>
    <w:p w14:paraId="46E231F2" w14:textId="0B85CD0F" w:rsidR="002157B4" w:rsidRPr="00EA4287" w:rsidRDefault="002157B4" w:rsidP="002157B4">
      <w:pPr>
        <w:pStyle w:val="PKTpunkt"/>
      </w:pPr>
      <w:r w:rsidRPr="00EA4287">
        <w:t>6)</w:t>
      </w:r>
      <w:r w:rsidRPr="00EA4287">
        <w:tab/>
        <w:t>procedury powiadamiania Komisji Europejskiej przez</w:t>
      </w:r>
      <w:r w:rsidR="00E2654B">
        <w:t xml:space="preserve"> właściwe organy krajowe o </w:t>
      </w:r>
      <w:r w:rsidRPr="00EA4287">
        <w:t>produktach leczniczych wydawanych bez recepty, uznanych za narażone na ryzyko fałszowania, oraz produktach leczniczych wydawanych na receptę, nieuznanych za narażone na ryzyko fałszowania zgodnie z kryteriami określonymi w art. 54a ust. 2 lit. b dyrektywy</w:t>
      </w:r>
      <w:r w:rsidRPr="002647BD">
        <w:t xml:space="preserve"> 2001/83/WE Parlamentu Europejskiego i Ra</w:t>
      </w:r>
      <w:r w:rsidR="00E2654B">
        <w:t>dy z dnia 6 listopada 2001 r. w </w:t>
      </w:r>
      <w:r w:rsidRPr="002647BD">
        <w:t>sprawie wspólnotowego kodeksu odnoszącego się do produktów leczniczych stosowanych u ludzi (Dz. Urz. WE L 311 z 28.11.2001, str. 67, z późn. zm. – Dz. Urz. UE Polskie wydanie specjalne</w:t>
      </w:r>
      <w:r w:rsidR="005E13A0">
        <w:t>,</w:t>
      </w:r>
      <w:r w:rsidRPr="002647BD">
        <w:t xml:space="preserve"> rozdz. 13, t. 27, str. 69, z późn.</w:t>
      </w:r>
      <w:r>
        <w:t xml:space="preserve"> zm.), zwanej dalej „dyrektywą”</w:t>
      </w:r>
      <w:r w:rsidRPr="00EA4287">
        <w:t>;</w:t>
      </w:r>
    </w:p>
    <w:p w14:paraId="6EA2E43B" w14:textId="77777777" w:rsidR="002157B4" w:rsidRPr="00EA4287" w:rsidRDefault="002157B4" w:rsidP="002157B4">
      <w:pPr>
        <w:pStyle w:val="PKTpunkt"/>
      </w:pPr>
      <w:r w:rsidRPr="00EA4287">
        <w:lastRenderedPageBreak/>
        <w:t>7)</w:t>
      </w:r>
      <w:r w:rsidRPr="00EA4287">
        <w:tab/>
        <w:t xml:space="preserve">procedury szybkiej oceny i decyzji w sprawie powiadomień, o których mowa w art. 54a ust. 2 lit. </w:t>
      </w:r>
      <w:r>
        <w:t>c</w:t>
      </w:r>
      <w:r w:rsidRPr="00EA4287">
        <w:t xml:space="preserve"> dyrektywy.</w:t>
      </w:r>
    </w:p>
    <w:p w14:paraId="7A1AAB09" w14:textId="14F11873" w:rsidR="002157B4" w:rsidRDefault="002157B4" w:rsidP="002157B4">
      <w:pPr>
        <w:pStyle w:val="NIEARTTEKSTtekstnieartykuowanynppodstprawnarozplubpreambua"/>
      </w:pPr>
      <w:r w:rsidRPr="00EA4287">
        <w:t>Projektowana nowelizacja ustawy z dnia 6 września 2001</w:t>
      </w:r>
      <w:r w:rsidR="005E13A0">
        <w:t xml:space="preserve"> r. – Prawo farmaceutyczne (Dz. </w:t>
      </w:r>
      <w:r w:rsidRPr="00EA4287">
        <w:t xml:space="preserve">U. z </w:t>
      </w:r>
      <w:r>
        <w:t>2019 r. poz. 499, z późn. zm.</w:t>
      </w:r>
      <w:r w:rsidRPr="00EA4287">
        <w:t xml:space="preserve">) określa nowe zadania oraz kompetencje </w:t>
      </w:r>
      <w:r w:rsidRPr="005B1914">
        <w:t xml:space="preserve">Głównego Inspektora Farmaceutycznego oraz </w:t>
      </w:r>
      <w:r>
        <w:t>w</w:t>
      </w:r>
      <w:r w:rsidRPr="005B1914">
        <w:t xml:space="preserve">ojewódzkich </w:t>
      </w:r>
      <w:r>
        <w:t>i</w:t>
      </w:r>
      <w:r w:rsidRPr="005B1914">
        <w:t xml:space="preserve">nspektorów </w:t>
      </w:r>
      <w:r>
        <w:t>f</w:t>
      </w:r>
      <w:r w:rsidRPr="005B1914">
        <w:t xml:space="preserve">armaceutycznych </w:t>
      </w:r>
      <w:r w:rsidRPr="00EA4287">
        <w:t xml:space="preserve">związane z </w:t>
      </w:r>
      <w:r>
        <w:t xml:space="preserve">nadzorem nad realizacją obowiązków, określonych w art. 4–30 oraz </w:t>
      </w:r>
      <w:r w:rsidR="005E13A0">
        <w:t xml:space="preserve">art. </w:t>
      </w:r>
      <w:r>
        <w:t>35–42 rozporządzenia nr 2016/161. Obowiązki te rozporządzenie nakłada na podmioty odpowiedzialne, wytwórców lub importerów produktów leczniczych, przedsiębiorców prowadzących hurtownie farmaceutyczne oraz na podmioty uprawnione do detalicznego obrotu produktami leczniczymi.</w:t>
      </w:r>
      <w:r w:rsidRPr="00EA4287">
        <w:t xml:space="preserve"> </w:t>
      </w:r>
    </w:p>
    <w:p w14:paraId="6C205EFE" w14:textId="77777777" w:rsidR="002157B4" w:rsidRPr="005B1914" w:rsidRDefault="002157B4" w:rsidP="002157B4">
      <w:pPr>
        <w:pStyle w:val="ARTartustawynprozporzdzenia"/>
      </w:pPr>
      <w:r>
        <w:t xml:space="preserve">Ponadto projektowana nowelizacja nadaje nową kompetencję Głównemu Inspektorowi Farmaceutycznemu polegającą na nadzorze nad podmiotem niekomercyjnym, który zgodnie z rozporządzeniem </w:t>
      </w:r>
      <w:r w:rsidRPr="00AE4BBB">
        <w:t>nr 2016/161</w:t>
      </w:r>
      <w:r>
        <w:t xml:space="preserve"> ma za zadanie utworzenie oraz obsługę systemu baz, obsługującego terytorium Rzeczypospolitej Polskiej.</w:t>
      </w:r>
    </w:p>
    <w:p w14:paraId="30E937AD" w14:textId="3E3C5341" w:rsidR="002157B4" w:rsidRDefault="002157B4" w:rsidP="002157B4">
      <w:pPr>
        <w:pStyle w:val="ARTartustawynprozporzdzenia"/>
      </w:pPr>
      <w:r w:rsidRPr="00AB72D0">
        <w:t>W projekcie ujednolicono nazewnictwo w zakresie numerów nadawanych produktom leczniczym</w:t>
      </w:r>
      <w:r w:rsidR="005E13A0">
        <w:t>,</w:t>
      </w:r>
      <w:r w:rsidRPr="00AB72D0">
        <w:t xml:space="preserve"> </w:t>
      </w:r>
      <w:r>
        <w:t xml:space="preserve">zastępując oznaczenie „kod EAN” „numerem GTIN” zgodnym z systemem GS1. </w:t>
      </w:r>
      <w:r w:rsidRPr="00BF4CD6">
        <w:t>Numer GTIN to Globalny Numer Jednostki Handlowej służący do identyfikacji dowolnej jednostki (produktu lub usługi), która może być wycenia</w:t>
      </w:r>
      <w:r w:rsidR="00E2654B">
        <w:t>na, zamawiana lub fakturowana w </w:t>
      </w:r>
      <w:r w:rsidRPr="00BF4CD6">
        <w:t>celach handlowych pomiędzy uczestnikami w dowolnym punkcie łańcucha dostaw. Struktura numeru GTIN może być 8</w:t>
      </w:r>
      <w:r w:rsidR="005E13A0">
        <w:t>-</w:t>
      </w:r>
      <w:r w:rsidRPr="00BF4CD6">
        <w:t>, 12</w:t>
      </w:r>
      <w:r w:rsidR="005E13A0">
        <w:t>-</w:t>
      </w:r>
      <w:r w:rsidRPr="00BF4CD6">
        <w:t>, 13</w:t>
      </w:r>
      <w:r w:rsidR="005E13A0">
        <w:t>-</w:t>
      </w:r>
      <w:r w:rsidRPr="00BF4CD6">
        <w:t xml:space="preserve"> lub 14-cyfrowa. Najbardziej popularnym identyfikatorem jest numer 13-cyfrowy. W celu automatycznego odczytu tego numeru jest on odwzorowany graficznie w formie kodu kreskowego EAN-13. W tym kodzie istnieje możliwość zakodowania wyłącznie numeru GTIN. W celu przedstawienia danych dodatkowych w kodzie kreskowym należy posłużyć się innym symbolem, np. kodem GS1 DataMatrix. W tym kodzie można przedstawić graficznie: numer GTIN, numer serii, datę ważności itp</w:t>
      </w:r>
      <w:r>
        <w:t xml:space="preserve">. Zatem kod </w:t>
      </w:r>
      <w:r w:rsidRPr="00B72E1B">
        <w:t>EAN to nośnik kodu GTIN w formie kodu kreskowego 1D</w:t>
      </w:r>
      <w:r w:rsidR="005E13A0">
        <w:t>,</w:t>
      </w:r>
      <w:r>
        <w:t xml:space="preserve"> czyli wyłącznie jego </w:t>
      </w:r>
      <w:r w:rsidRPr="00B72E1B">
        <w:t>prezentac</w:t>
      </w:r>
      <w:r>
        <w:t xml:space="preserve">ja.  Produkty lecznicze mają nadawane  </w:t>
      </w:r>
      <w:r w:rsidRPr="00BF4CD6">
        <w:t xml:space="preserve">numery identyfikacyjne </w:t>
      </w:r>
      <w:r>
        <w:t>GTIN zgodne z systemem</w:t>
      </w:r>
      <w:r w:rsidRPr="00BF4CD6">
        <w:t xml:space="preserve"> GS1, który wcześniej nazywany był systemem EAN UCC. </w:t>
      </w:r>
      <w:r w:rsidRPr="00B72E1B">
        <w:t xml:space="preserve">Jednocześnie w odniesieniu do wyrobów medycznych zasadne jest ujednolicenie nazewnictwa przez odstąpienie od sformułowania stosowanego w odnośnych regulacjach, wskazujących na </w:t>
      </w:r>
      <w:r>
        <w:t>„</w:t>
      </w:r>
      <w:r w:rsidRPr="00B72E1B">
        <w:t>kod EAN lub inny kod odpowiadający kodowi EAN</w:t>
      </w:r>
      <w:r>
        <w:t>”</w:t>
      </w:r>
      <w:r w:rsidRPr="00B72E1B">
        <w:t>. W ce</w:t>
      </w:r>
      <w:r w:rsidR="00E2654B">
        <w:t>lu zapewnienia przejrzystości i </w:t>
      </w:r>
      <w:r w:rsidRPr="00B72E1B">
        <w:t xml:space="preserve">identyfikowalności w przypadku wyrobów medycznych należy mieć na względzie regulacje określone odpowiednio w przepisach rozporządzenia Parlamentu Europejskiego i Rady (UE) </w:t>
      </w:r>
      <w:r w:rsidRPr="00B72E1B">
        <w:lastRenderedPageBreak/>
        <w:t>2017/745 z dnia 5</w:t>
      </w:r>
      <w:r w:rsidR="00E2654B">
        <w:t> </w:t>
      </w:r>
      <w:r w:rsidRPr="00B72E1B">
        <w:t>kwietnia 2017 r. w sprawie wyrobów medycznych, zmiany dyrektywy 2001/83/WE, rozporządzenia (WE) nr 178/2002 i rozporządzenia (WE) nr 1223/2009 oraz uchylenia dyrektyw Rady 90/385/EWG i 93/42/EWG (Dz. Urz. UE L 117 z 05.05.2017, str. 1) oraz rozporządzenia Parlamentu Europejskiego i Rady (UE) 2017/746 z dnia 5 kwietnia 2017 r. w sprawie wyrobów medycznych do diagnostyki in vitro oraz uchylenia dyrektywy 98/79/WE i decyzji Komisji 2010/227/UE (Dz. Urz. UE L 117 z 05.</w:t>
      </w:r>
      <w:r w:rsidR="005E13A0">
        <w:t>0</w:t>
      </w:r>
      <w:r w:rsidRPr="00B72E1B">
        <w:t>5.2017, str. 176). Zgodnie z treścią odpowiednio art. 110 ust. 10 rozporządzenia Parlamentu Europejskiego i Rady (UE) 2017/745 oraz art. 120 ust. 12 rozporządzenia Parlamentu Europejskiego i Rady (UE) 2017/746 do czasu wyznaczenia przez Komisję Europejską podmiotów wydających niepowtarzalny kod identyfikacyjny wyrobu („kod UDI”), za wyznaczone podmioty wydające uznaje się GS1, HIBCC (Health Industry Business Communications Council) i ICCBBA (International Council for Commonality in Blood Banking Automation). Mając powyższe na względzie</w:t>
      </w:r>
      <w:r w:rsidR="005E13A0">
        <w:t>,</w:t>
      </w:r>
      <w:r w:rsidRPr="00B72E1B">
        <w:t xml:space="preserve"> zasadne jest zastąpienie</w:t>
      </w:r>
      <w:r>
        <w:t xml:space="preserve"> dotychczasowego sformułowania </w:t>
      </w:r>
      <w:r w:rsidRPr="00C45322">
        <w:t>„</w:t>
      </w:r>
      <w:r w:rsidRPr="00B72E1B">
        <w:t>kod EAN lub inny kod odpowiadający kodowi EAN</w:t>
      </w:r>
      <w:r>
        <w:t>”</w:t>
      </w:r>
      <w:r w:rsidRPr="00B72E1B">
        <w:t xml:space="preserve"> w odniesieniu do wyrobów medycznych ogólnym pojęciem wskazującym na kod jednoznacznie identyfikujący dany wyrób.</w:t>
      </w:r>
      <w:r>
        <w:t xml:space="preserve"> Mając na uwadze powyższe, w projektowanych przepisach przewidziano, że w przypadku produktów leczniczych należy podawać numer GTIN, natomiast w zakresie </w:t>
      </w:r>
      <w:r w:rsidRPr="00BF4CD6">
        <w:t>wyr</w:t>
      </w:r>
      <w:r>
        <w:t>obów</w:t>
      </w:r>
      <w:r w:rsidRPr="00BF4CD6">
        <w:t xml:space="preserve"> medyczny</w:t>
      </w:r>
      <w:r>
        <w:t>ch</w:t>
      </w:r>
      <w:r w:rsidRPr="00BF4CD6">
        <w:t xml:space="preserve"> </w:t>
      </w:r>
      <w:r>
        <w:t>i</w:t>
      </w:r>
      <w:r w:rsidRPr="00BF4CD6">
        <w:t xml:space="preserve"> środ</w:t>
      </w:r>
      <w:r>
        <w:t>ków</w:t>
      </w:r>
      <w:r w:rsidRPr="00BF4CD6">
        <w:t xml:space="preserve"> spożywczy</w:t>
      </w:r>
      <w:r>
        <w:t>ch</w:t>
      </w:r>
      <w:r w:rsidRPr="00BF4CD6">
        <w:t xml:space="preserve"> specjalnego przeznaczenia żywieniowego</w:t>
      </w:r>
      <w:r>
        <w:t xml:space="preserve"> można podawać również </w:t>
      </w:r>
      <w:r w:rsidRPr="00BF4CD6">
        <w:t xml:space="preserve">inny </w:t>
      </w:r>
      <w:r>
        <w:t xml:space="preserve">niż </w:t>
      </w:r>
      <w:r w:rsidRPr="00BF4CD6">
        <w:t xml:space="preserve">numer </w:t>
      </w:r>
      <w:r>
        <w:t>umożliwiający jednoznaczną</w:t>
      </w:r>
      <w:r w:rsidRPr="00BF4CD6">
        <w:t xml:space="preserve"> identyfik</w:t>
      </w:r>
      <w:r>
        <w:t>ację tego wyrobu.</w:t>
      </w:r>
    </w:p>
    <w:p w14:paraId="7E09B5FF" w14:textId="2B52BD42" w:rsidR="002157B4" w:rsidRDefault="002157B4" w:rsidP="002157B4">
      <w:pPr>
        <w:pStyle w:val="ARTartustawynprozporzdzenia"/>
      </w:pPr>
      <w:r>
        <w:t>W związku z powyższym</w:t>
      </w:r>
      <w:r w:rsidRPr="00306EB3">
        <w:t xml:space="preserve"> zmiany w ustawach zawarte w art. 2</w:t>
      </w:r>
      <w:r w:rsidR="005E13A0">
        <w:t>–</w:t>
      </w:r>
      <w:r w:rsidRPr="00306EB3">
        <w:t>5 projektu ustawy nie wymagają żadnych regulacji przejściowych, bo od strony merytorycznej w</w:t>
      </w:r>
      <w:r>
        <w:t xml:space="preserve"> stosunku do konkretnego leku, wyrobu medycznego lub środka spożywczego</w:t>
      </w:r>
      <w:r w:rsidRPr="00306EB3">
        <w:t xml:space="preserve"> specjalnego przeznaczenia żywieniowego</w:t>
      </w:r>
      <w:r>
        <w:t xml:space="preserve"> nie następuje żadna zmiana merytoryczna. Zmian</w:t>
      </w:r>
      <w:r w:rsidR="005E13A0">
        <w:t>y</w:t>
      </w:r>
      <w:r>
        <w:t xml:space="preserve"> te mają  na celu zaprzestanie stosowania niewłaściwego nazewnictwa. </w:t>
      </w:r>
    </w:p>
    <w:p w14:paraId="5597E2C8" w14:textId="77777777" w:rsidR="002157B4" w:rsidRPr="00325E20" w:rsidRDefault="002157B4" w:rsidP="002157B4">
      <w:pPr>
        <w:pStyle w:val="ARTartustawynprozporzdzenia"/>
      </w:pPr>
      <w:r w:rsidRPr="00325E20">
        <w:t xml:space="preserve">Rozporządzenie </w:t>
      </w:r>
      <w:r>
        <w:t xml:space="preserve">nr </w:t>
      </w:r>
      <w:r w:rsidRPr="00325E20">
        <w:t xml:space="preserve">2016/161 nakłada </w:t>
      </w:r>
      <w:r>
        <w:t xml:space="preserve">na producentów </w:t>
      </w:r>
      <w:r w:rsidRPr="00325E20">
        <w:t xml:space="preserve">obowiązek umieszczenia elementu uniemożliwiającego naruszenie opakowania tylko na ściśle określone w tym rozporządzeniu produkty. </w:t>
      </w:r>
      <w:r>
        <w:t>Prze</w:t>
      </w:r>
      <w:r w:rsidRPr="00325E20">
        <w:t xml:space="preserve">pisy </w:t>
      </w:r>
      <w:r>
        <w:t xml:space="preserve">dodawanego </w:t>
      </w:r>
      <w:r w:rsidRPr="00325E20">
        <w:t xml:space="preserve">art. 26a </w:t>
      </w:r>
      <w:r>
        <w:t xml:space="preserve">w </w:t>
      </w:r>
      <w:r w:rsidRPr="00325E20">
        <w:t>projektowanej ustaw</w:t>
      </w:r>
      <w:r>
        <w:t>ie</w:t>
      </w:r>
      <w:r w:rsidRPr="00325E20">
        <w:t xml:space="preserve"> dają możliwość, ale nie obowiązek umieszczenia zabezp</w:t>
      </w:r>
      <w:r>
        <w:t xml:space="preserve">ieczenia na innych produktach, </w:t>
      </w:r>
      <w:r w:rsidRPr="00325E20">
        <w:t xml:space="preserve">co zwiększy ich bezpieczeństwo, a co za tym idzie będzie korzystne dla pacjenta. </w:t>
      </w:r>
      <w:r>
        <w:t>Niemniej w</w:t>
      </w:r>
      <w:r w:rsidRPr="00325E20">
        <w:t xml:space="preserve">prowadzenie takiego obowiązku dla wszystkich produktów jest nieuzasadnione i </w:t>
      </w:r>
      <w:r>
        <w:t xml:space="preserve">stanowiłoby dodatkowe </w:t>
      </w:r>
      <w:r w:rsidRPr="00325E20">
        <w:t>obciążenie</w:t>
      </w:r>
      <w:r>
        <w:t xml:space="preserve"> finansowe</w:t>
      </w:r>
      <w:r w:rsidRPr="00325E20">
        <w:t xml:space="preserve"> dla </w:t>
      </w:r>
      <w:r>
        <w:t>podmiotów odpowiedzialnych lub wytwórców</w:t>
      </w:r>
      <w:r w:rsidRPr="00325E20">
        <w:t xml:space="preserve">. </w:t>
      </w:r>
    </w:p>
    <w:p w14:paraId="3EE40945" w14:textId="77777777" w:rsidR="002157B4" w:rsidRDefault="002157B4" w:rsidP="002157B4">
      <w:pPr>
        <w:pStyle w:val="ARTartustawynprozporzdzenia"/>
      </w:pPr>
      <w:r w:rsidRPr="00325E20">
        <w:lastRenderedPageBreak/>
        <w:t>W większości krajów członkowskich Unii Europejskiej przyjęto, że k</w:t>
      </w:r>
      <w:r>
        <w:t xml:space="preserve">westię umieszczenia </w:t>
      </w:r>
      <w:r w:rsidRPr="00325E20">
        <w:t xml:space="preserve">na </w:t>
      </w:r>
      <w:r>
        <w:t xml:space="preserve">opakowaniach zewnętrznych </w:t>
      </w:r>
      <w:r w:rsidRPr="00325E20">
        <w:t>produkt</w:t>
      </w:r>
      <w:r>
        <w:t>ów</w:t>
      </w:r>
      <w:r w:rsidRPr="00325E20">
        <w:t xml:space="preserve"> leczniczych</w:t>
      </w:r>
      <w:r>
        <w:t xml:space="preserve"> elementu uniemożliwiającego otwarcie</w:t>
      </w:r>
      <w:r w:rsidRPr="00325E20">
        <w:t xml:space="preserve">, które nie są objęte obowiązkiem zabezpieczania, należy pozostawić w gestii producenta. </w:t>
      </w:r>
      <w:r>
        <w:t xml:space="preserve">Dlatego zdecydowano, że stosowanie zabezpieczenia przed otwarciem (Anti Tampering Device, w skrócie: ATD) na </w:t>
      </w:r>
      <w:r w:rsidRPr="005D04DC">
        <w:t>wszystkich produkt</w:t>
      </w:r>
      <w:r>
        <w:t>ach</w:t>
      </w:r>
      <w:r w:rsidRPr="005D04DC">
        <w:t xml:space="preserve"> leczniczych </w:t>
      </w:r>
      <w:r>
        <w:t>będzie fakultatywne, podobnie jak to ma miejsce w innych krajach członkowskich Unii Europejskiej.</w:t>
      </w:r>
    </w:p>
    <w:p w14:paraId="4D446426" w14:textId="203352E3" w:rsidR="002157B4" w:rsidRDefault="002157B4" w:rsidP="002157B4">
      <w:pPr>
        <w:pStyle w:val="ARTartustawynprozporzdzenia"/>
      </w:pPr>
      <w:r>
        <w:t>Powyższe rozwiązanie będzie korzystne dla przedsiębiorców, którzy np. ze względów technologicznych będą chcieli umieszczać, na innych niż określone w r</w:t>
      </w:r>
      <w:r w:rsidR="005E13A0">
        <w:t>ozporządzeniu nr </w:t>
      </w:r>
      <w:r>
        <w:t>2016/161 produktach leczniczych</w:t>
      </w:r>
      <w:r w:rsidR="005E13A0">
        <w:t>,</w:t>
      </w:r>
      <w:r>
        <w:t xml:space="preserve"> zabezpieczenie ATD.</w:t>
      </w:r>
    </w:p>
    <w:p w14:paraId="53C2D59A" w14:textId="77777777" w:rsidR="002157B4" w:rsidRDefault="002157B4" w:rsidP="002157B4">
      <w:pPr>
        <w:pStyle w:val="NIEARTTEKSTtekstnieartykuowanynppodstprawnarozplubpreambua"/>
      </w:pPr>
      <w:r w:rsidRPr="00EA4287">
        <w:t xml:space="preserve">W projektowanym art. 26a ustawy z dnia 6 września 2001 r. – Prawo farmaceutyczne wprowadzono zatem możliwość podjęcia przez podmiot odpowiedzialny decyzji </w:t>
      </w:r>
      <w:r>
        <w:br/>
      </w:r>
      <w:r w:rsidRPr="00EA4287">
        <w:t xml:space="preserve">o umieszczaniu na opakowaniu produktu leczniczego zabezpieczenia </w:t>
      </w:r>
      <w:r>
        <w:t xml:space="preserve">ATD </w:t>
      </w:r>
      <w:r w:rsidRPr="00EA4287">
        <w:t>na opakowaniach produktów spoza katalogu określonego w rozporządzeniu nr 2016/161.</w:t>
      </w:r>
      <w:r>
        <w:t xml:space="preserve"> Decyzja </w:t>
      </w:r>
      <w:r>
        <w:br/>
        <w:t>o umieszczaniu ATD na opakowaniu produktu leczniczego będzie się wiązać z obowiązkiem realizacji odpowiednich procedur dotyczących zmiany wzoru opakowania produktu leczniczego.</w:t>
      </w:r>
    </w:p>
    <w:p w14:paraId="74895FF1" w14:textId="69A9B69A" w:rsidR="002157B4" w:rsidRDefault="002157B4" w:rsidP="002157B4">
      <w:pPr>
        <w:pStyle w:val="NIEARTTEKSTtekstnieartykuowanynppodstprawnarozplubpreambua"/>
      </w:pPr>
      <w:r>
        <w:t>Przesądzenie w projektowanym art. 26a, że umieszczenie ATD na opakowaniach produktów leczniczych innych niż określone w rozporządzeniu nr 2016/161 jest dobrowolne</w:t>
      </w:r>
      <w:r w:rsidR="005E13A0">
        <w:t>,</w:t>
      </w:r>
      <w:r>
        <w:t xml:space="preserve"> </w:t>
      </w:r>
      <w:r w:rsidRPr="00EA4287">
        <w:t xml:space="preserve">przyczyni się </w:t>
      </w:r>
      <w:r>
        <w:t xml:space="preserve">również do </w:t>
      </w:r>
      <w:r w:rsidRPr="00EA4287">
        <w:t>zwiększenia pewności obrotu prawnego</w:t>
      </w:r>
      <w:r>
        <w:t xml:space="preserve">, eliminuje bowiem mogące się pojawić wątpliwości interpretacyjne co do tego, czy podmiot odpowiedzialny może samodzielnie zdecydować o umieszczaniu na produktach leczniczych nieobjętych obligatoryjnymi zabezpieczeniami zabezpieczenia ATD.  </w:t>
      </w:r>
    </w:p>
    <w:p w14:paraId="55328913" w14:textId="58B4999A" w:rsidR="002157B4" w:rsidRDefault="002157B4" w:rsidP="002157B4">
      <w:pPr>
        <w:pStyle w:val="NIEARTTEKSTtekstnieartykuowanynppodstprawnarozplubpreambua"/>
      </w:pPr>
      <w:r w:rsidRPr="00EA4287">
        <w:t xml:space="preserve">W </w:t>
      </w:r>
      <w:r>
        <w:t xml:space="preserve">projektowanym </w:t>
      </w:r>
      <w:r w:rsidRPr="00EA4287">
        <w:t xml:space="preserve">art. 42 ust. 1 </w:t>
      </w:r>
      <w:r>
        <w:t>uchylono</w:t>
      </w:r>
      <w:r w:rsidRPr="00EA4287">
        <w:t xml:space="preserve"> pkt 14. Zgodnie z dotychczasowym brzmieniem pkt 14 obowiązkiem wytwórcy lub importera jest „(.</w:t>
      </w:r>
      <w:r>
        <w:t>.</w:t>
      </w:r>
      <w:r w:rsidRPr="00EA4287">
        <w:t>.) tworzenie i zarządzanie systemem baz, w którym są zawarte informacje dotyczące zabezpiecz</w:t>
      </w:r>
      <w:bookmarkStart w:id="0" w:name="_GoBack"/>
      <w:bookmarkEnd w:id="0"/>
      <w:r w:rsidRPr="00EA4287">
        <w:t>eń umożliwiających weryfikację autentyczności i identyfikacji produktów leczniczych, z</w:t>
      </w:r>
      <w:r w:rsidR="00E2654B">
        <w:t>godnie z wymogami określonymi w </w:t>
      </w:r>
      <w:r w:rsidRPr="00EA4287">
        <w:t xml:space="preserve">aktach delegowanych przyjętych na podstawie </w:t>
      </w:r>
      <w:r w:rsidRPr="0036322F">
        <w:rPr>
          <w:bCs w:val="0"/>
        </w:rPr>
        <w:t>art. 54a ust. 2 dyrektywy 2001/83/WE</w:t>
      </w:r>
      <w:r w:rsidRPr="00EA4287">
        <w:t xml:space="preserve">.”. </w:t>
      </w:r>
    </w:p>
    <w:p w14:paraId="0EC186BB" w14:textId="77777777" w:rsidR="002157B4" w:rsidRDefault="002157B4" w:rsidP="002157B4">
      <w:pPr>
        <w:pStyle w:val="NIEARTTEKSTtekstnieartykuowanynppodstprawnarozplubpreambua"/>
      </w:pPr>
      <w:r w:rsidRPr="00EA4287">
        <w:t xml:space="preserve">Powyższy przepis został uchwalony przed publikacją rozporządzenia nr 2016/161. Zgodnie z art. 31 ust. 1 rozporządzenia nr 2016/161 „System baz, w którym zawarte są informacje o zabezpieczeniach zgodnie z art. 54a ust. 2 lit. </w:t>
      </w:r>
      <w:r>
        <w:t>e</w:t>
      </w:r>
      <w:r w:rsidRPr="00EA4287">
        <w:t xml:space="preserve"> dyrektywy 2001/83/WE, jest tworzony i zarządzany przez podmiot prawny niekomercyjny lub podmioty prawne </w:t>
      </w:r>
      <w:r w:rsidRPr="00EA4287">
        <w:lastRenderedPageBreak/>
        <w:t xml:space="preserve">niekomercyjne, utworzony lub utworzone w Unii przez producentów i posiadaczy pozwoleń na dopuszczenie do obrotu produktów leczniczych zawierających zabezpieczenia.”. </w:t>
      </w:r>
    </w:p>
    <w:p w14:paraId="315A6BD5" w14:textId="77777777" w:rsidR="002157B4" w:rsidRDefault="002157B4" w:rsidP="002157B4">
      <w:pPr>
        <w:pStyle w:val="NIEARTTEKSTtekstnieartykuowanynppodstprawnarozplubpreambua"/>
      </w:pPr>
      <w:r w:rsidRPr="00EA4287">
        <w:t xml:space="preserve">Z treści rozporządzenia nr 2016/161 </w:t>
      </w:r>
      <w:r>
        <w:t xml:space="preserve">wprost </w:t>
      </w:r>
      <w:r w:rsidRPr="00EA4287">
        <w:t xml:space="preserve">wynika, że utworzenie systemu baz i ich zarządzanie zostało powierzone niekomercyjnemu podmiotowi i tym samym taki obowiązek nie może być nałożony na wytwórców. Należało zatem </w:t>
      </w:r>
      <w:r>
        <w:t>uchylić</w:t>
      </w:r>
      <w:r w:rsidRPr="00EA4287">
        <w:t xml:space="preserve"> treść </w:t>
      </w:r>
      <w:r>
        <w:t xml:space="preserve">ww. </w:t>
      </w:r>
      <w:r w:rsidRPr="00EA4287">
        <w:t xml:space="preserve">przepisu </w:t>
      </w:r>
      <w:r>
        <w:t>jako</w:t>
      </w:r>
      <w:r w:rsidRPr="00EA4287">
        <w:t xml:space="preserve"> </w:t>
      </w:r>
      <w:r>
        <w:t>nie</w:t>
      </w:r>
      <w:r w:rsidRPr="00EA4287">
        <w:t>zgod</w:t>
      </w:r>
      <w:r>
        <w:t>nego</w:t>
      </w:r>
      <w:r w:rsidRPr="00EA4287">
        <w:t xml:space="preserve"> z brzmieniem rozporządzenia nr 2016/161. </w:t>
      </w:r>
    </w:p>
    <w:p w14:paraId="74E7912F" w14:textId="6BFF93FF" w:rsidR="002157B4" w:rsidRPr="003F3DE9" w:rsidRDefault="002157B4" w:rsidP="002157B4">
      <w:pPr>
        <w:pStyle w:val="ARTartustawynprozporzdzenia"/>
      </w:pPr>
      <w:r>
        <w:t>Jednocześnie dodano</w:t>
      </w:r>
      <w:r w:rsidRPr="002E597D">
        <w:t xml:space="preserve"> art. 42 ust. 1 </w:t>
      </w:r>
      <w:r>
        <w:t xml:space="preserve">pkt 15, tak aby jednoznacznie przesądzić, że </w:t>
      </w:r>
      <w:r w:rsidRPr="002E597D">
        <w:t>umieszczanie zabezpieczeń umożliwiających weryfikację autentyczności i identyfikacji produktów leczniczych, o których mowa w art.</w:t>
      </w:r>
      <w:r>
        <w:t xml:space="preserve"> 54 lit. o dyrektywy 2001/83/WE</w:t>
      </w:r>
      <w:r w:rsidR="005E13A0">
        <w:t>,</w:t>
      </w:r>
      <w:r>
        <w:t xml:space="preserve"> należy do </w:t>
      </w:r>
      <w:r w:rsidRPr="002E597D">
        <w:t xml:space="preserve">obowiązków wytwórcy lub </w:t>
      </w:r>
      <w:r>
        <w:t>importera produktów leczniczych.</w:t>
      </w:r>
    </w:p>
    <w:p w14:paraId="72B9AADD" w14:textId="4C8A52CC" w:rsidR="002157B4" w:rsidRPr="002E597D" w:rsidRDefault="002157B4" w:rsidP="002157B4">
      <w:pPr>
        <w:pStyle w:val="NIEARTTEKSTtekstnieartykuowanynppodstprawnarozplubpreambua"/>
      </w:pPr>
      <w:r w:rsidRPr="002E597D">
        <w:t>P</w:t>
      </w:r>
      <w:r>
        <w:t xml:space="preserve">owyższe uznano za niezbędne z uwagi na fakt, że przepisy </w:t>
      </w:r>
      <w:r w:rsidRPr="002E597D">
        <w:t>rozporządzenia nr 2016/161 posługują się sformułowaniem „producent umieszczający zabezpieczenia”</w:t>
      </w:r>
      <w:r>
        <w:t xml:space="preserve"> (art. 14 i </w:t>
      </w:r>
      <w:r w:rsidR="005E13A0">
        <w:t xml:space="preserve">art. </w:t>
      </w:r>
      <w:r w:rsidR="00E2654B">
        <w:t>15), a </w:t>
      </w:r>
      <w:r>
        <w:t>tym samym nie określają wprost obowiązku umieszczania zabezpieczeń</w:t>
      </w:r>
      <w:r w:rsidRPr="002E597D">
        <w:t>.</w:t>
      </w:r>
    </w:p>
    <w:p w14:paraId="57DCC49D" w14:textId="12785FD9" w:rsidR="002157B4" w:rsidRDefault="002157B4" w:rsidP="002157B4">
      <w:pPr>
        <w:pStyle w:val="NIEARTTEKSTtekstnieartykuowanynppodstprawnarozplubpreambua"/>
      </w:pPr>
      <w:r w:rsidRPr="002E597D">
        <w:t>Z tego względu, w ocenie Głównego Inspektora Farmaceutycznego</w:t>
      </w:r>
      <w:r w:rsidR="005E13A0">
        <w:t>,</w:t>
      </w:r>
      <w:r w:rsidRPr="002E597D">
        <w:t xml:space="preserve"> jest niezbędne przesądzenie w akcie prawnym o randze ustawy, że do</w:t>
      </w:r>
      <w:r>
        <w:t xml:space="preserve"> obowiązków wytwórcy lub importera należy umieszczanie na opakowaniach zewnętrznych produ</w:t>
      </w:r>
      <w:r w:rsidR="00E2654B">
        <w:t>ktu leczniczego zabezpieczeń, o </w:t>
      </w:r>
      <w:r>
        <w:t>których mowa w art. 3 ust. 2 lit. a i b rozporządzenia nr 2016/161.</w:t>
      </w:r>
    </w:p>
    <w:p w14:paraId="4B6F9D44" w14:textId="46A3E6C0" w:rsidR="002157B4" w:rsidRDefault="002157B4" w:rsidP="002157B4">
      <w:pPr>
        <w:pStyle w:val="NIEARTTEKSTtekstnieartykuowanynppodstprawnarozplubpreambua"/>
      </w:pPr>
      <w:r>
        <w:t>Projektowany</w:t>
      </w:r>
      <w:r w:rsidRPr="00EA4287">
        <w:t xml:space="preserve"> art. 77a służy zapewnieniu stosowania a</w:t>
      </w:r>
      <w:r w:rsidR="00E2654B">
        <w:t>rt. 20 lit. b rozporządzenia nr </w:t>
      </w:r>
      <w:r w:rsidRPr="00EA4287">
        <w:t xml:space="preserve">2016/161, który przewiduje obowiązek weryfikacji niepowtarzalnego identyfikatora produktu leczniczego fizycznie znajdującego się w hurtowni farmaceutycznej, chyba że taki produkt leczniczy został przekazany z wyznaczonej w pisemnej umowie przez podmiot odpowiedzialny hurtowni farmaceutycznej, która w imieniu tego podmiotu odpowiedzialnego ma prowadzić dystrybucję danego produktu leczniczego. </w:t>
      </w:r>
    </w:p>
    <w:p w14:paraId="13F11891" w14:textId="2AA7F5C6" w:rsidR="002157B4" w:rsidRDefault="002157B4" w:rsidP="002157B4">
      <w:pPr>
        <w:pStyle w:val="ARTartustawynprozporzdzenia"/>
      </w:pPr>
      <w:r>
        <w:t>Nowelizowana ustawa</w:t>
      </w:r>
      <w:r w:rsidRPr="00F62AE6">
        <w:t xml:space="preserve"> </w:t>
      </w:r>
      <w:r w:rsidRPr="00EA4287">
        <w:t>z dnia 6 września 2001 r. – Prawo farmaceutyczne</w:t>
      </w:r>
      <w:r>
        <w:t xml:space="preserve"> w obecnym brzmieniu nie zawiera zapisów stanowiących o możliwości zawierania umów pomiędzy podmiotem odpowiedzialnym a hurtownią o przecho</w:t>
      </w:r>
      <w:r w:rsidR="00E2654B">
        <w:t>wywanie produktów leczniczych w </w:t>
      </w:r>
      <w:r>
        <w:t xml:space="preserve">hurtowni. Jednocześnie rozporządzenie nr 2016/161 odwołuje się do takich umów. Tym samym stało się konieczne uregulowanie możliwości zawierania tych umów przy jednoczesnym określeniu niezbędnych elementów treści samej umowy, jak i sposobu przekazywania informacji do Głównego Inspektora Farmaceutycznego. </w:t>
      </w:r>
    </w:p>
    <w:p w14:paraId="23482481" w14:textId="17007A1A" w:rsidR="002157B4" w:rsidRDefault="002157B4" w:rsidP="002157B4">
      <w:pPr>
        <w:pStyle w:val="ARTartustawynprozporzdzenia"/>
      </w:pPr>
      <w:r>
        <w:lastRenderedPageBreak/>
        <w:t>Projektowany art. 77a stanowi odrębną regulację od prze</w:t>
      </w:r>
      <w:r w:rsidR="00E2654B">
        <w:t>pisów rozdziału 7 załącznika do</w:t>
      </w:r>
      <w:r>
        <w:t xml:space="preserve"> rozporządzenia Ministra Zdrowia z dnia 13 marca 2015 r. w sprawie Wymagań Dobrej Praktyki Dystrybucyjnej (Dz. U. z 2017 r. poz. 509) dotyczącego czynności zlecanych pomiędzy przedsiębiorcami posiadającymi zezwolenie na prowadzen</w:t>
      </w:r>
      <w:r w:rsidR="00E2654B">
        <w:t>ie hurtowni farmaceutycznej.</w:t>
      </w:r>
    </w:p>
    <w:p w14:paraId="21AD3AB0" w14:textId="3C792FD2" w:rsidR="002157B4" w:rsidRDefault="002157B4" w:rsidP="002157B4">
      <w:pPr>
        <w:pStyle w:val="ARTartustawynprozporzdzenia"/>
      </w:pPr>
      <w:r>
        <w:t>Wprowadzenie ograniczenia w projektowanym art. 77a ust. 4, który przewiduje</w:t>
      </w:r>
      <w:r w:rsidR="005E13A0">
        <w:t>,</w:t>
      </w:r>
      <w:r>
        <w:t xml:space="preserve"> że czynności określonych w umowie, o której mowa w art. 77a ust. 1, </w:t>
      </w:r>
      <w:r w:rsidRPr="000C6BF8">
        <w:t>przedsiębiorca prowadzący działalność polegającą na prowadzeniu hurtowni farmaceutycznej nie może zlecać podwykonawcom</w:t>
      </w:r>
      <w:r>
        <w:t>,</w:t>
      </w:r>
      <w:r w:rsidRPr="000C6BF8">
        <w:t xml:space="preserve"> </w:t>
      </w:r>
      <w:r>
        <w:t xml:space="preserve">ma na celu zapewnienie prawidłowej realizacji obowiązku weryfikacji autentyczności produktów leczniczych. Treść art. 20 lit. b rozporządzenia nr 161/2016 określa, że hurtownik nie weryfikuje autentyczności produktu leczniczego otrzymanego od hurtownika wyznaczonego w pisemnej umowie </w:t>
      </w:r>
      <w:r w:rsidRPr="00CF009D">
        <w:t>przez posiadacza pozwolenia na dopuszczenie do obrotu do dystrybucji w jego imieniu produktów objętych pozwoleniem na dopuszczenie do obrotu.</w:t>
      </w:r>
      <w:r>
        <w:t xml:space="preserve"> W przypadku zatem, gdy istniałaby możliwość podzlecania czynności będących przedmiotem umowy, o której mowa w art. 77a ust. 1 projektowanej ustawy, mogłoby dochodzić do sytuacji, że weryfikacja autentycznoś</w:t>
      </w:r>
      <w:r w:rsidR="005E13A0">
        <w:t>ci</w:t>
      </w:r>
      <w:r>
        <w:t xml:space="preserve"> produktu leczniczego następowałaby dopiero na końcowym etapie obrotu, tj. w momencie jego dostarczenia do apteki. Taki model powodowałby obejście obowiązku weryfikacji autentyczności produktów leczniczych na etapie obrotu hurtowego. </w:t>
      </w:r>
    </w:p>
    <w:p w14:paraId="0DB132E7" w14:textId="77777777" w:rsidR="002157B4" w:rsidRPr="00B73EBC" w:rsidRDefault="002157B4" w:rsidP="002157B4">
      <w:pPr>
        <w:pStyle w:val="ARTartustawynprozporzdzenia"/>
      </w:pPr>
      <w:r w:rsidRPr="00B73EBC">
        <w:t xml:space="preserve">Wprowadzenie przepisów o możliwości zawierania umów </w:t>
      </w:r>
      <w:r>
        <w:t xml:space="preserve">pomiędzy podmiotem odpowiedzialnym a hurtownią farmaceutyczną </w:t>
      </w:r>
      <w:r w:rsidRPr="00B73EBC">
        <w:t xml:space="preserve">pozwoli też na uregulowanie kwestii przechowywania w hurtowniach farmaceutycznych bezpłatnych próbek </w:t>
      </w:r>
      <w:r>
        <w:t xml:space="preserve">reklamowych </w:t>
      </w:r>
      <w:r w:rsidRPr="00B73EBC">
        <w:t xml:space="preserve">produktów leczniczych należących do podmiotu odpowiedzialnego. </w:t>
      </w:r>
    </w:p>
    <w:p w14:paraId="61FA8DE6" w14:textId="77777777" w:rsidR="002157B4" w:rsidRDefault="002157B4" w:rsidP="002157B4">
      <w:pPr>
        <w:pStyle w:val="NIEARTTEKSTtekstnieartykuowanynppodstprawnarozplubpreambua"/>
      </w:pPr>
      <w:r>
        <w:t>Norma a</w:t>
      </w:r>
      <w:r w:rsidRPr="00EA4287">
        <w:t>rt. 23 rozporządzenia nr 2016/161, wskazując na różnice cech łańcucha dostaw obowiązując</w:t>
      </w:r>
      <w:r>
        <w:t>ych</w:t>
      </w:r>
      <w:r w:rsidRPr="00EA4287">
        <w:t xml:space="preserve"> w poszczególnych państwach członkowskich, pozostawił</w:t>
      </w:r>
      <w:r>
        <w:t>a</w:t>
      </w:r>
      <w:r w:rsidRPr="00EA4287">
        <w:t xml:space="preserve"> do uregulowania na poziomie krajowym wyłączeń w zakresie weryfikacji oraz wycofania z bazy danych niepowtarzalnego identyfikatora. Określ</w:t>
      </w:r>
      <w:r>
        <w:t>iła</w:t>
      </w:r>
      <w:r w:rsidRPr="00EA4287">
        <w:t xml:space="preserve">, iż obowiązek ten zostanie nałożony na hurtownika, który dokonuje dostawy produktów leczniczych do podmiotów prowadzących obrót detaliczny produktami leczniczymi. Stąd też zaszła konieczność uregulowania przez polskiego ustawodawcę tych wyłączeń przy uwzględnieniu uregulowań krajowych. </w:t>
      </w:r>
    </w:p>
    <w:p w14:paraId="6422A36B" w14:textId="20A17A2C" w:rsidR="002157B4" w:rsidRDefault="002157B4" w:rsidP="002157B4">
      <w:pPr>
        <w:pStyle w:val="NIEARTTEKSTtekstnieartykuowanynppodstprawnarozplubpreambua"/>
      </w:pPr>
      <w:r w:rsidRPr="00EA4287">
        <w:t>W projektowanym art. 78 ust. 1 pkt 3a określono listę podmiotów</w:t>
      </w:r>
      <w:r>
        <w:t>,</w:t>
      </w:r>
      <w:r w:rsidRPr="00EA4287">
        <w:t xml:space="preserve"> dla których dostawy produktów leczniczych będą weryfikowane przez hurtownika. Lista ta dotyczy podmiotów, które ze względu na charakter prowadzonej działalności nie prowadzą obrotu produktami leczniczymi i tym samym nie ma potrzeby</w:t>
      </w:r>
      <w:r>
        <w:t>,</w:t>
      </w:r>
      <w:r w:rsidRPr="00EA4287">
        <w:t xml:space="preserve"> aby realizowały obowiązki określone w</w:t>
      </w:r>
      <w:r w:rsidR="00E2654B">
        <w:t> </w:t>
      </w:r>
      <w:r w:rsidRPr="00EA4287">
        <w:t xml:space="preserve">rozporządzeniu nr 2016/161. Są to jednak podmioty, które są uprawnione do nabywania </w:t>
      </w:r>
      <w:r>
        <w:br/>
      </w:r>
      <w:r w:rsidRPr="00EA4287">
        <w:t>w hurtowniach farmaceu</w:t>
      </w:r>
      <w:r>
        <w:t xml:space="preserve">tycznych produktów leczniczych – </w:t>
      </w:r>
      <w:r w:rsidRPr="00EA4287">
        <w:t xml:space="preserve">są wymienione w rozporządzeniu Ministra Zdrowia </w:t>
      </w:r>
      <w:r>
        <w:t xml:space="preserve">wydanym na podstawie </w:t>
      </w:r>
      <w:r w:rsidRPr="006530D5">
        <w:t>art. 78 ust. 2 ustawy z dnia 6 września</w:t>
      </w:r>
      <w:r>
        <w:t xml:space="preserve"> 2001 r. – Prawo farmaceutyczne.</w:t>
      </w:r>
    </w:p>
    <w:p w14:paraId="1FE42B2C" w14:textId="445F4D5E" w:rsidR="002157B4" w:rsidRPr="00EA4287" w:rsidRDefault="002157B4" w:rsidP="002157B4">
      <w:pPr>
        <w:pStyle w:val="NIEARTTEKSTtekstnieartykuowanynppodstprawnarozplubpreambua"/>
      </w:pPr>
      <w:r w:rsidRPr="007A1D69">
        <w:t xml:space="preserve">W projektowanym art. 115 ust. 1 pkt 5d określono nowe kompetencje Głównego Inspektora Farmaceutycznego polegające na sprawowaniu nadzoru nad przestrzeganiem przez podmiot odpowiedzialny, wytwórcę lub importera produktów leczniczych oraz przedsiębiorcę prowadzącego obrót produktami leczniczymi obowiązków </w:t>
      </w:r>
      <w:r w:rsidRPr="00C3352D">
        <w:t>w zakresie weryfikacji autentyczności i wycofania niepowtarzalnego identyfikatora, o którym mowa w art. 3 ust. 2 lit. a rozporządzenia nr 2016/161</w:t>
      </w:r>
      <w:r w:rsidR="003D4C64">
        <w:t>,</w:t>
      </w:r>
      <w:r w:rsidRPr="00C3352D">
        <w:t xml:space="preserve"> oraz prawidłowością przesyłanych danych i wykonanych operacji w krajowym systemie baz, o którym mowa w art. 3</w:t>
      </w:r>
      <w:r>
        <w:t xml:space="preserve">2 ust. 1 rozporządzenia nr </w:t>
      </w:r>
      <w:r w:rsidRPr="00C3352D">
        <w:t>161</w:t>
      </w:r>
      <w:r>
        <w:t>/2016</w:t>
      </w:r>
      <w:r w:rsidRPr="007A1D69">
        <w:t>.</w:t>
      </w:r>
    </w:p>
    <w:p w14:paraId="0F58EEA9" w14:textId="61FE2F6F" w:rsidR="002157B4" w:rsidRDefault="002157B4" w:rsidP="002157B4">
      <w:pPr>
        <w:pStyle w:val="NIEARTTEKSTtekstnieartykuowanynppodstprawnarozplubpreambua"/>
      </w:pPr>
      <w:r w:rsidRPr="00EA4287">
        <w:t>W projektowanym art. 115a określono nową kompetencję Głównego Inspektora Farmaceutycznego polegającą na nadzorowaniu funkcjonowania</w:t>
      </w:r>
      <w:r>
        <w:t xml:space="preserve"> krajowego</w:t>
      </w:r>
      <w:r w:rsidRPr="00EA4287">
        <w:t xml:space="preserve"> systemu baz. Przepisy art. 44 ust. 1 rozporządzenia nr 2016/161 stanowią, iż właściwe organy krajowe nadzorują funkcjonowanie każdego systemu fizycznie zlok</w:t>
      </w:r>
      <w:r w:rsidR="00E2654B">
        <w:t>alizowanego na ich terytorium w </w:t>
      </w:r>
      <w:r w:rsidRPr="00EA4287">
        <w:t xml:space="preserve">celu sprawdzenia, w razie potrzeby w drodze inspekcji, że system i podmiot prawny odpowiedzialny za utworzenie systemu i zarządzanie nim spełniają wymogi </w:t>
      </w:r>
      <w:r w:rsidR="00E2654B">
        <w:t>wynikające z art. </w:t>
      </w:r>
      <w:r>
        <w:t xml:space="preserve">44 </w:t>
      </w:r>
      <w:r w:rsidRPr="00EA4287">
        <w:t>rozporządzenia</w:t>
      </w:r>
      <w:r>
        <w:t xml:space="preserve"> nr 161/2016.</w:t>
      </w:r>
      <w:r w:rsidRPr="00845BC0">
        <w:t xml:space="preserve"> </w:t>
      </w:r>
      <w:r w:rsidRPr="00EA4287">
        <w:t>Z uwagi, iż rozporządzenie posługuje się ogólnym określeniem „właściwy organ krajowy”</w:t>
      </w:r>
      <w:r w:rsidR="003D4C64">
        <w:t>,</w:t>
      </w:r>
      <w:r w:rsidRPr="00EA4287">
        <w:t xml:space="preserve"> należało w ustawie</w:t>
      </w:r>
      <w:r w:rsidRPr="00F62AE6">
        <w:t xml:space="preserve"> </w:t>
      </w:r>
      <w:r w:rsidRPr="00EA4287">
        <w:t>z dnia 6 września 2001 r. – Prawo farmaceutyczne określić normę kompetencyjną w celu określenia</w:t>
      </w:r>
      <w:r w:rsidR="003D4C64">
        <w:t>,</w:t>
      </w:r>
      <w:r w:rsidRPr="00EA4287">
        <w:t xml:space="preserve"> jaki organ wykonuje nadzór nad funkcjonowaniem systemu baz na terytorium Rzeczypospolitej Polskiej.</w:t>
      </w:r>
    </w:p>
    <w:p w14:paraId="61C87B4C" w14:textId="13868546" w:rsidR="002157B4" w:rsidRDefault="002157B4" w:rsidP="002157B4">
      <w:pPr>
        <w:pStyle w:val="NIEARTTEKSTtekstnieartykuowanynppodstprawnarozplubpreambua"/>
      </w:pPr>
      <w:r>
        <w:t xml:space="preserve">W projektowanym art. 127cb przewidziano, że podmiot odpowiedzialny, </w:t>
      </w:r>
      <w:r w:rsidRPr="00EA4287">
        <w:t>w</w:t>
      </w:r>
      <w:r>
        <w:t>ytwórca, importer, przedsiębiorca</w:t>
      </w:r>
      <w:r w:rsidRPr="00EA4287">
        <w:t xml:space="preserve"> prowadząc</w:t>
      </w:r>
      <w:r>
        <w:t>y</w:t>
      </w:r>
      <w:r w:rsidRPr="00EA4287">
        <w:t xml:space="preserve"> działalność polegającą na prowadzeniu hurtowni farmaceutycznej albo podmiot prowadzący aptekę ogólnodostępną, punkt apteczny</w:t>
      </w:r>
      <w:r>
        <w:t xml:space="preserve"> lub </w:t>
      </w:r>
      <w:r w:rsidRPr="00EA4287">
        <w:t xml:space="preserve">aptekę szpitalną, który nie realizuje obowiązków </w:t>
      </w:r>
      <w:r>
        <w:t xml:space="preserve">określonych w art. 33 ust. 1 i 2 (podmiot odpowiedzialny), art. 4–7, art. 9–11, art. 13–19 (wytwórca lub importer), art. 10–13, art. 20 i art. 22–24 (przedsiębiorca prowadzący hurtownię farmaceutyczną) oraz art. 10–13, </w:t>
      </w:r>
      <w:r w:rsidR="003D4C64">
        <w:t xml:space="preserve">art. </w:t>
      </w:r>
      <w:r>
        <w:t xml:space="preserve">27–30 (podmiot prowadzący aptekę ogólnodostępną, aptekę szpitalną, punkt apteczny lub dział farmacji szpitalnej) </w:t>
      </w:r>
      <w:r w:rsidRPr="00EA4287">
        <w:t xml:space="preserve">rozporządzenia nr 2016/161, </w:t>
      </w:r>
      <w:r>
        <w:t>będzie podlegał karze pieniężnej</w:t>
      </w:r>
      <w:r w:rsidRPr="00EA4287">
        <w:t>.</w:t>
      </w:r>
      <w:r>
        <w:t xml:space="preserve"> </w:t>
      </w:r>
    </w:p>
    <w:p w14:paraId="632EEB66" w14:textId="2AB389C6" w:rsidR="002157B4" w:rsidRDefault="002157B4" w:rsidP="002157B4">
      <w:pPr>
        <w:pStyle w:val="ARTartustawynprozporzdzenia"/>
      </w:pPr>
      <w:r>
        <w:t>Przesłan</w:t>
      </w:r>
      <w:r w:rsidRPr="005E1976">
        <w:t>k</w:t>
      </w:r>
      <w:r>
        <w:t>i</w:t>
      </w:r>
      <w:r w:rsidRPr="005E1976">
        <w:t xml:space="preserve"> wymiaru </w:t>
      </w:r>
      <w:r>
        <w:t xml:space="preserve">ww. </w:t>
      </w:r>
      <w:r w:rsidRPr="005E1976">
        <w:t xml:space="preserve">kary pieniężnej </w:t>
      </w:r>
      <w:r>
        <w:t>uregulowa</w:t>
      </w:r>
      <w:r w:rsidR="00E2654B">
        <w:t>no w przepisach ustawy z dnia 6 </w:t>
      </w:r>
      <w:r>
        <w:t xml:space="preserve">września 2001 r. – Prawo farmaceutyczne, przesądzając, że przesłanki wskazane w </w:t>
      </w:r>
      <w:r w:rsidRPr="005E1976">
        <w:t xml:space="preserve">art. 189d ustawy z dnia 14 czerwca 1960 r. </w:t>
      </w:r>
      <w:r>
        <w:t>–</w:t>
      </w:r>
      <w:r w:rsidRPr="005E1976">
        <w:t xml:space="preserve"> Kodeks postępowania administracyjnego (Dz. U. z 2018 r. poz. 2096 oraz z 2019 r. poz. 60</w:t>
      </w:r>
      <w:r>
        <w:t>, 730 i 1133</w:t>
      </w:r>
      <w:r w:rsidRPr="005E1976">
        <w:t>)</w:t>
      </w:r>
      <w:r>
        <w:t xml:space="preserve"> nie są adekwatne w przypadku wytwórców</w:t>
      </w:r>
      <w:r w:rsidRPr="005E1976">
        <w:t>, importer</w:t>
      </w:r>
      <w:r>
        <w:t>ów, przedsiębiorców</w:t>
      </w:r>
      <w:r w:rsidRPr="005E1976">
        <w:t xml:space="preserve"> prowadzący</w:t>
      </w:r>
      <w:r>
        <w:t>ch</w:t>
      </w:r>
      <w:r w:rsidRPr="005E1976">
        <w:t xml:space="preserve"> działalność polegającą na prowadzeniu hurtowni farmaceutycznej albo podmiot</w:t>
      </w:r>
      <w:r>
        <w:t>ów</w:t>
      </w:r>
      <w:r w:rsidRPr="005E1976">
        <w:t xml:space="preserve"> prowadzący</w:t>
      </w:r>
      <w:r>
        <w:t>ch</w:t>
      </w:r>
      <w:r w:rsidRPr="005E1976">
        <w:t xml:space="preserve"> aptekę ogólnodostępną, p</w:t>
      </w:r>
      <w:r>
        <w:t>unkt apteczny, aptekę szpitalną.</w:t>
      </w:r>
    </w:p>
    <w:p w14:paraId="1A098B43" w14:textId="44B94560" w:rsidR="002157B4" w:rsidRDefault="002157B4" w:rsidP="002157B4">
      <w:pPr>
        <w:pStyle w:val="ARTartustawynprozporzdzenia"/>
      </w:pPr>
      <w:r>
        <w:t xml:space="preserve">Analogicznie jak to ma miejsce w przepisie art. 127b ust. 2 oraz art. 127c ust. 2 ustawy </w:t>
      </w:r>
      <w:r w:rsidRPr="00EA4287">
        <w:t>z dnia 6 września 2001 r. – Prawo farmaceutyczne</w:t>
      </w:r>
      <w:r>
        <w:t xml:space="preserve"> przesądzono w art. 127cb ust. 5, że wysokość kary pieniężnej będzie ustalana z uwzględnieniem</w:t>
      </w:r>
      <w:r w:rsidRPr="005E1976">
        <w:t xml:space="preserve"> okoliczności, zakres</w:t>
      </w:r>
      <w:r>
        <w:t>u</w:t>
      </w:r>
      <w:r w:rsidRPr="005E1976">
        <w:t xml:space="preserve"> oraz uprzednie</w:t>
      </w:r>
      <w:r>
        <w:t>go</w:t>
      </w:r>
      <w:r w:rsidRPr="005E1976">
        <w:t xml:space="preserve"> naruszeni</w:t>
      </w:r>
      <w:r w:rsidR="003D4C64">
        <w:t>a</w:t>
      </w:r>
      <w:r w:rsidRPr="005E1976">
        <w:t xml:space="preserve"> przepisów </w:t>
      </w:r>
      <w:r w:rsidRPr="00647696">
        <w:t>rozporządzenia nr 2016/161</w:t>
      </w:r>
      <w:r>
        <w:t xml:space="preserve"> lub art. 78 ust. 3 pkt 3a.</w:t>
      </w:r>
    </w:p>
    <w:p w14:paraId="7B304FB2" w14:textId="228D045D" w:rsidR="002157B4" w:rsidRDefault="002157B4" w:rsidP="002157B4">
      <w:pPr>
        <w:pStyle w:val="NIEARTTEKSTtekstnieartykuowanynppodstprawnarozplubpreambua"/>
      </w:pPr>
      <w:r>
        <w:t>Zgodnie z projektowanym art. 127d</w:t>
      </w:r>
      <w:r w:rsidRPr="007A1D69">
        <w:t xml:space="preserve"> </w:t>
      </w:r>
      <w:r>
        <w:t>kary pieniężne,</w:t>
      </w:r>
      <w:r w:rsidRPr="007A1D69">
        <w:t xml:space="preserve"> </w:t>
      </w:r>
      <w:r w:rsidR="003D4C64">
        <w:t xml:space="preserve">o których mowa w art. 127 </w:t>
      </w:r>
      <w:r w:rsidR="003D4C64">
        <w:br/>
        <w:t xml:space="preserve">i art. </w:t>
      </w:r>
      <w:r w:rsidRPr="007A1D69">
        <w:t>127b–127ca oraz art. 127cb ust. 1</w:t>
      </w:r>
      <w:r>
        <w:t>–3</w:t>
      </w:r>
      <w:r w:rsidR="003D4C64">
        <w:t>,</w:t>
      </w:r>
      <w:r w:rsidRPr="007A1D69">
        <w:t xml:space="preserve"> nakłada Główny Inspektor Farmaceutyczny w drodze decyzji.</w:t>
      </w:r>
      <w:r>
        <w:t xml:space="preserve"> Natomiast k</w:t>
      </w:r>
      <w:r w:rsidRPr="007A1D69">
        <w:t xml:space="preserve">ary pieniężne, o których mowa w art. 127cb ust. </w:t>
      </w:r>
      <w:r>
        <w:t>4</w:t>
      </w:r>
      <w:r w:rsidRPr="007A1D69">
        <w:t xml:space="preserve">, nakłada właściwy </w:t>
      </w:r>
      <w:r>
        <w:t>w</w:t>
      </w:r>
      <w:r w:rsidRPr="007A1D69">
        <w:t xml:space="preserve">ojewódzki </w:t>
      </w:r>
      <w:r>
        <w:t>i</w:t>
      </w:r>
      <w:r w:rsidRPr="007A1D69">
        <w:t xml:space="preserve">nspektor </w:t>
      </w:r>
      <w:r>
        <w:t>f</w:t>
      </w:r>
      <w:r w:rsidRPr="007A1D69">
        <w:t xml:space="preserve">armaceutyczny w drodze decyzji. </w:t>
      </w:r>
      <w:r>
        <w:t xml:space="preserve">Organ ten bowiem sprawuje nadzór nad działalnością podmiotów detalicznych. </w:t>
      </w:r>
    </w:p>
    <w:p w14:paraId="076E4F03" w14:textId="5C81A297" w:rsidR="002157B4" w:rsidRDefault="002157B4" w:rsidP="002157B4">
      <w:pPr>
        <w:pStyle w:val="NIEARTTEKSTtekstnieartykuowanynppodstprawnarozplubpreambua"/>
      </w:pPr>
      <w:r>
        <w:t>Przewidziano przepis przejściowy, zgodnie z którym przedsiębiorca prowadzący</w:t>
      </w:r>
      <w:r w:rsidRPr="001B3A58">
        <w:t xml:space="preserve"> działalność polegającą na prowadzeniu hurtowni farmaceutycznej, </w:t>
      </w:r>
      <w:r w:rsidRPr="00C45322">
        <w:t>który przed dniem wejścia w życie niniejszej ustawy zawarł umowę z podmiotem odpowiedzialnym o przechowywanie lub dostarczenie w imieniu podmiotu odpowiedzialnego produktu leczniczego, co do którego podmiot odpowiedziany uzyskał pozwolenie na dopuszczenie do obrotu, w terminie 30 dni od dnia wejścia w życie niniejszej ustawy przekazuje do Głównego Inspektora F</w:t>
      </w:r>
      <w:r>
        <w:t>armaceutycznego kopię tej umowy,</w:t>
      </w:r>
      <w:r w:rsidRPr="00C45322">
        <w:t xml:space="preserve"> z wyłączeniem danych dotyczących sposobu i warunków finansowania oraz rozliczenia umowy. </w:t>
      </w:r>
      <w:r>
        <w:t>Przewiduje się, że u</w:t>
      </w:r>
      <w:r w:rsidRPr="001B3A58">
        <w:t>st</w:t>
      </w:r>
      <w:r>
        <w:t>awa wejdzie</w:t>
      </w:r>
      <w:r w:rsidRPr="001B3A58">
        <w:t xml:space="preserve"> w życie po upływie 14 dni od dnia</w:t>
      </w:r>
      <w:r>
        <w:t xml:space="preserve"> jej</w:t>
      </w:r>
      <w:r w:rsidRPr="001B3A58">
        <w:t xml:space="preserve"> ogłoszenia, </w:t>
      </w:r>
      <w:r>
        <w:t xml:space="preserve">z </w:t>
      </w:r>
      <w:r w:rsidRPr="001B3A58">
        <w:t xml:space="preserve">wyjątkiem </w:t>
      </w:r>
      <w:r>
        <w:t>przepisów dotyczących nakładania kar pieniężnych określonych w</w:t>
      </w:r>
      <w:r w:rsidR="00E2654B">
        <w:t> art. </w:t>
      </w:r>
      <w:r w:rsidRPr="001B3A58">
        <w:t>127cb</w:t>
      </w:r>
      <w:r>
        <w:t xml:space="preserve"> projektowanej ustawy, które</w:t>
      </w:r>
      <w:r w:rsidRPr="001B3A58">
        <w:t xml:space="preserve"> w</w:t>
      </w:r>
      <w:r>
        <w:t>ejdą</w:t>
      </w:r>
      <w:r w:rsidRPr="001B3A58">
        <w:t xml:space="preserve"> w życie </w:t>
      </w:r>
      <w:r>
        <w:t xml:space="preserve">z </w:t>
      </w:r>
      <w:r w:rsidRPr="001B3A58">
        <w:t>dni</w:t>
      </w:r>
      <w:r>
        <w:t>em</w:t>
      </w:r>
      <w:r w:rsidRPr="001B3A58">
        <w:t xml:space="preserve"> 1 stycznia 2020 r.</w:t>
      </w:r>
      <w:r>
        <w:t xml:space="preserve">, z uwagi na obiektywne trudności przedsiębiorców związane z brakiem dostępu do informacji </w:t>
      </w:r>
      <w:r w:rsidRPr="00DA12FB">
        <w:t xml:space="preserve">o zwolnionych po </w:t>
      </w:r>
      <w:r>
        <w:t xml:space="preserve">dniu </w:t>
      </w:r>
      <w:r w:rsidRPr="00DA12FB">
        <w:t>9 lutym 2019 r. seriach produktów leczniczych i wyrobów medycznych</w:t>
      </w:r>
      <w:r>
        <w:t>.</w:t>
      </w:r>
    </w:p>
    <w:p w14:paraId="2DD9D692" w14:textId="77777777" w:rsidR="002157B4" w:rsidRPr="00EA4287" w:rsidRDefault="002157B4" w:rsidP="002157B4">
      <w:pPr>
        <w:pStyle w:val="NIEARTTEKSTtekstnieartykuowanynppodstprawnarozplubpreambua"/>
      </w:pPr>
      <w:r w:rsidRPr="00EA4287">
        <w:t>Projekt ustawy jest zgodny z prawem Unii Europejskiej.</w:t>
      </w:r>
    </w:p>
    <w:p w14:paraId="19096686" w14:textId="01FF80B4" w:rsidR="002157B4" w:rsidRPr="00EA4287" w:rsidRDefault="002157B4" w:rsidP="002157B4">
      <w:pPr>
        <w:pStyle w:val="NIEARTTEKSTtekstnieartykuowanynppodstprawnarozplubpreambua"/>
      </w:pPr>
      <w:r w:rsidRPr="00EA4287">
        <w:t xml:space="preserve">Projekt ustawy nie podlega przedstawieniu właściwym organom i instytucjom Unii Europejskiej, w tym </w:t>
      </w:r>
      <w:r w:rsidR="003D4C64">
        <w:t xml:space="preserve">Europejskiemu </w:t>
      </w:r>
      <w:r w:rsidRPr="00EA4287">
        <w:t>Bankowi Centralnemu.</w:t>
      </w:r>
    </w:p>
    <w:p w14:paraId="18AEE119" w14:textId="77777777" w:rsidR="002157B4" w:rsidRPr="00EA4287" w:rsidRDefault="002157B4" w:rsidP="002157B4">
      <w:pPr>
        <w:pStyle w:val="NIEARTTEKSTtekstnieartykuowanynppodstprawnarozplubpreambua"/>
      </w:pPr>
      <w:r w:rsidRPr="00EA4287">
        <w:t>Projekt ustawy nie zawiera norm technicznych w rozumieniu przepisów rozporządzenia Rady Ministrów z dnia 23 grudnia 2002 r. w sprawie sposobu funkcjonowania krajowego systemu notyfikacji norm i aktów prawnych (Dz. U. poz. 2039</w:t>
      </w:r>
      <w:r>
        <w:t xml:space="preserve"> oraz z 2004 r. poz. 597</w:t>
      </w:r>
      <w:r w:rsidRPr="00EA4287">
        <w:t>), zatem nie podlega notyfikacji.</w:t>
      </w:r>
    </w:p>
    <w:p w14:paraId="07FE3B53" w14:textId="759333F5" w:rsidR="002157B4" w:rsidRPr="00EA4287" w:rsidRDefault="002157B4" w:rsidP="002157B4">
      <w:pPr>
        <w:pStyle w:val="NIEARTTEKSTtekstnieartykuowanynppodstprawnarozplubpreambua"/>
      </w:pPr>
      <w:r w:rsidRPr="00EA4287">
        <w:t>Projekt ustawy nie ma wpływu na mikroprzedsiębiorców, ma</w:t>
      </w:r>
      <w:r>
        <w:t>łych i średnich przedsiębiorców i</w:t>
      </w:r>
      <w:r w:rsidRPr="00EA4287">
        <w:t xml:space="preserve"> jest zgodny z ustawą z dnia 6 marca 2018 </w:t>
      </w:r>
      <w:r w:rsidR="00E2654B">
        <w:t>r. – Prawo przedsiębiorców (Dz. </w:t>
      </w:r>
      <w:r w:rsidRPr="00EA4287">
        <w:t xml:space="preserve">U. </w:t>
      </w:r>
      <w:r>
        <w:t>z 2019 r. poz. 1292</w:t>
      </w:r>
      <w:r w:rsidRPr="00EA4287">
        <w:t xml:space="preserve">). </w:t>
      </w:r>
    </w:p>
    <w:p w14:paraId="637AE9CC" w14:textId="55AEB976" w:rsidR="00000586" w:rsidRPr="002157B4" w:rsidRDefault="002157B4" w:rsidP="00092957">
      <w:pPr>
        <w:pStyle w:val="NIEARTTEKSTtekstnieartykuowanynppodstprawnarozplubpreambua"/>
      </w:pPr>
      <w:r w:rsidRPr="00EA4287">
        <w:t xml:space="preserve">Jednocześnie należy wskazać, że brak jest możliwości podjęcia alternatywnych </w:t>
      </w:r>
      <w:r>
        <w:br/>
      </w:r>
      <w:r w:rsidRPr="00EA4287">
        <w:t>w stosunku do uchwalenia projektowanej ustawy środków umożliwiających osiągnięcie zamierzonego celu.</w:t>
      </w:r>
    </w:p>
    <w:sectPr w:rsidR="00000586" w:rsidRPr="002157B4"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5E839B" w16cid:durableId="2058CEF6"/>
  <w16cid:commentId w16cid:paraId="2BEB908D" w16cid:durableId="2058D0F5"/>
  <w16cid:commentId w16cid:paraId="07153064" w16cid:durableId="2058CEF7"/>
  <w16cid:commentId w16cid:paraId="52EE2486" w16cid:durableId="2058CEF8"/>
  <w16cid:commentId w16cid:paraId="14FC0B5D" w16cid:durableId="2058CEF9"/>
  <w16cid:commentId w16cid:paraId="2C3E8766" w16cid:durableId="2058CEFA"/>
  <w16cid:commentId w16cid:paraId="75DD281F" w16cid:durableId="2058CEFB"/>
  <w16cid:commentId w16cid:paraId="405925D2" w16cid:durableId="2058CEFC"/>
  <w16cid:commentId w16cid:paraId="370CCD2B" w16cid:durableId="2058D2DA"/>
  <w16cid:commentId w16cid:paraId="0127C956" w16cid:durableId="2058CEFD"/>
  <w16cid:commentId w16cid:paraId="6E638C21" w16cid:durableId="2058CEFE"/>
  <w16cid:commentId w16cid:paraId="7C03CE6A" w16cid:durableId="2058CEFF"/>
  <w16cid:commentId w16cid:paraId="3912AAA0" w16cid:durableId="2058D4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55BBD" w14:textId="77777777" w:rsidR="00F1252E" w:rsidRDefault="00F1252E">
      <w:r>
        <w:separator/>
      </w:r>
    </w:p>
  </w:endnote>
  <w:endnote w:type="continuationSeparator" w:id="0">
    <w:p w14:paraId="2113FB2F" w14:textId="77777777" w:rsidR="00F1252E" w:rsidRDefault="00F1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D7819" w14:textId="77777777" w:rsidR="00F1252E" w:rsidRDefault="00F1252E">
      <w:r>
        <w:separator/>
      </w:r>
    </w:p>
  </w:footnote>
  <w:footnote w:type="continuationSeparator" w:id="0">
    <w:p w14:paraId="52624CB6" w14:textId="77777777" w:rsidR="00F1252E" w:rsidRDefault="00F12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2CAB" w14:textId="01156E77" w:rsidR="00002070" w:rsidRPr="00B371CC" w:rsidRDefault="00002070" w:rsidP="00B371CC">
    <w:pPr>
      <w:pStyle w:val="Nagwek"/>
      <w:jc w:val="center"/>
    </w:pPr>
    <w:r>
      <w:t xml:space="preserve">– </w:t>
    </w:r>
    <w:r>
      <w:fldChar w:fldCharType="begin"/>
    </w:r>
    <w:r>
      <w:instrText xml:space="preserve"> PAGE  \* MERGEFORMAT </w:instrText>
    </w:r>
    <w:r>
      <w:fldChar w:fldCharType="separate"/>
    </w:r>
    <w:r w:rsidR="0036322F">
      <w:rPr>
        <w:noProof/>
      </w:rPr>
      <w:t>9</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1C6"/>
    <w:rsid w:val="00000586"/>
    <w:rsid w:val="000012DA"/>
    <w:rsid w:val="00002070"/>
    <w:rsid w:val="0000246E"/>
    <w:rsid w:val="00003862"/>
    <w:rsid w:val="00007907"/>
    <w:rsid w:val="000113BE"/>
    <w:rsid w:val="00012A35"/>
    <w:rsid w:val="00016099"/>
    <w:rsid w:val="000167F2"/>
    <w:rsid w:val="00017234"/>
    <w:rsid w:val="00017DC2"/>
    <w:rsid w:val="000208BE"/>
    <w:rsid w:val="00020C7D"/>
    <w:rsid w:val="0002106F"/>
    <w:rsid w:val="00021522"/>
    <w:rsid w:val="00021674"/>
    <w:rsid w:val="00023471"/>
    <w:rsid w:val="00023F13"/>
    <w:rsid w:val="00026F35"/>
    <w:rsid w:val="00030634"/>
    <w:rsid w:val="000319C1"/>
    <w:rsid w:val="00031A8B"/>
    <w:rsid w:val="00031BCA"/>
    <w:rsid w:val="00031E09"/>
    <w:rsid w:val="0003213C"/>
    <w:rsid w:val="000330FA"/>
    <w:rsid w:val="0003362F"/>
    <w:rsid w:val="0003396B"/>
    <w:rsid w:val="000339D4"/>
    <w:rsid w:val="00036B63"/>
    <w:rsid w:val="00037E1A"/>
    <w:rsid w:val="00042F74"/>
    <w:rsid w:val="00043495"/>
    <w:rsid w:val="00046A75"/>
    <w:rsid w:val="00047312"/>
    <w:rsid w:val="000503D7"/>
    <w:rsid w:val="000508BD"/>
    <w:rsid w:val="000517AB"/>
    <w:rsid w:val="00052AE8"/>
    <w:rsid w:val="0005339C"/>
    <w:rsid w:val="00053C84"/>
    <w:rsid w:val="0005571B"/>
    <w:rsid w:val="00055785"/>
    <w:rsid w:val="00057AB3"/>
    <w:rsid w:val="00060076"/>
    <w:rsid w:val="00060432"/>
    <w:rsid w:val="00060D87"/>
    <w:rsid w:val="000615A5"/>
    <w:rsid w:val="00061604"/>
    <w:rsid w:val="00062272"/>
    <w:rsid w:val="00062355"/>
    <w:rsid w:val="0006305B"/>
    <w:rsid w:val="00064E4C"/>
    <w:rsid w:val="00066901"/>
    <w:rsid w:val="0007152C"/>
    <w:rsid w:val="00071BEE"/>
    <w:rsid w:val="000724E1"/>
    <w:rsid w:val="000724F6"/>
    <w:rsid w:val="000736CD"/>
    <w:rsid w:val="0007533B"/>
    <w:rsid w:val="0007545D"/>
    <w:rsid w:val="000760BF"/>
    <w:rsid w:val="0007613E"/>
    <w:rsid w:val="000763B7"/>
    <w:rsid w:val="000766B6"/>
    <w:rsid w:val="00076BFC"/>
    <w:rsid w:val="00076C34"/>
    <w:rsid w:val="000814A7"/>
    <w:rsid w:val="0008557B"/>
    <w:rsid w:val="00085CE7"/>
    <w:rsid w:val="00086F69"/>
    <w:rsid w:val="00087BCE"/>
    <w:rsid w:val="000906EE"/>
    <w:rsid w:val="00090A5E"/>
    <w:rsid w:val="00091B9E"/>
    <w:rsid w:val="00091BA2"/>
    <w:rsid w:val="00092957"/>
    <w:rsid w:val="00093DB1"/>
    <w:rsid w:val="000944EF"/>
    <w:rsid w:val="0009732D"/>
    <w:rsid w:val="000973F0"/>
    <w:rsid w:val="000A1296"/>
    <w:rsid w:val="000A1A99"/>
    <w:rsid w:val="000A1C27"/>
    <w:rsid w:val="000A1DAD"/>
    <w:rsid w:val="000A2649"/>
    <w:rsid w:val="000A323B"/>
    <w:rsid w:val="000A51C6"/>
    <w:rsid w:val="000A51DD"/>
    <w:rsid w:val="000B298D"/>
    <w:rsid w:val="000B5B2D"/>
    <w:rsid w:val="000B5DCE"/>
    <w:rsid w:val="000B63B0"/>
    <w:rsid w:val="000C05BA"/>
    <w:rsid w:val="000C0E8F"/>
    <w:rsid w:val="000C12B7"/>
    <w:rsid w:val="000C4BC4"/>
    <w:rsid w:val="000C6BF8"/>
    <w:rsid w:val="000D0110"/>
    <w:rsid w:val="000D2468"/>
    <w:rsid w:val="000D2691"/>
    <w:rsid w:val="000D299D"/>
    <w:rsid w:val="000D318A"/>
    <w:rsid w:val="000D3865"/>
    <w:rsid w:val="000D507B"/>
    <w:rsid w:val="000D6173"/>
    <w:rsid w:val="000D6F83"/>
    <w:rsid w:val="000E25CC"/>
    <w:rsid w:val="000E2BE7"/>
    <w:rsid w:val="000E312B"/>
    <w:rsid w:val="000E3694"/>
    <w:rsid w:val="000E490F"/>
    <w:rsid w:val="000E5638"/>
    <w:rsid w:val="000E6241"/>
    <w:rsid w:val="000F0EA0"/>
    <w:rsid w:val="000F0EF1"/>
    <w:rsid w:val="000F2BE3"/>
    <w:rsid w:val="000F39A0"/>
    <w:rsid w:val="000F3A18"/>
    <w:rsid w:val="000F3D0D"/>
    <w:rsid w:val="000F6ED4"/>
    <w:rsid w:val="000F7A6E"/>
    <w:rsid w:val="0010035A"/>
    <w:rsid w:val="001042BA"/>
    <w:rsid w:val="00105A18"/>
    <w:rsid w:val="001069A2"/>
    <w:rsid w:val="00106D03"/>
    <w:rsid w:val="00110465"/>
    <w:rsid w:val="00110628"/>
    <w:rsid w:val="0011245A"/>
    <w:rsid w:val="00112DFB"/>
    <w:rsid w:val="00114381"/>
    <w:rsid w:val="001143DC"/>
    <w:rsid w:val="0011493E"/>
    <w:rsid w:val="00115B72"/>
    <w:rsid w:val="001209EC"/>
    <w:rsid w:val="00120A9E"/>
    <w:rsid w:val="001221D7"/>
    <w:rsid w:val="00122482"/>
    <w:rsid w:val="00123C86"/>
    <w:rsid w:val="00125A9C"/>
    <w:rsid w:val="001261D6"/>
    <w:rsid w:val="0012631B"/>
    <w:rsid w:val="001270A2"/>
    <w:rsid w:val="00127227"/>
    <w:rsid w:val="00127653"/>
    <w:rsid w:val="00130BAE"/>
    <w:rsid w:val="00131237"/>
    <w:rsid w:val="00132369"/>
    <w:rsid w:val="001329AC"/>
    <w:rsid w:val="00134CA0"/>
    <w:rsid w:val="0014026F"/>
    <w:rsid w:val="00144E6B"/>
    <w:rsid w:val="00147A47"/>
    <w:rsid w:val="00147AA1"/>
    <w:rsid w:val="0015078F"/>
    <w:rsid w:val="001520CF"/>
    <w:rsid w:val="00154C01"/>
    <w:rsid w:val="001551EB"/>
    <w:rsid w:val="00156085"/>
    <w:rsid w:val="0015667C"/>
    <w:rsid w:val="00157110"/>
    <w:rsid w:val="0015742A"/>
    <w:rsid w:val="00157DA1"/>
    <w:rsid w:val="00163147"/>
    <w:rsid w:val="00164C57"/>
    <w:rsid w:val="00164C9D"/>
    <w:rsid w:val="001659A6"/>
    <w:rsid w:val="001729A8"/>
    <w:rsid w:val="00172F34"/>
    <w:rsid w:val="00172F7A"/>
    <w:rsid w:val="00173150"/>
    <w:rsid w:val="00173390"/>
    <w:rsid w:val="001736F0"/>
    <w:rsid w:val="00173BB3"/>
    <w:rsid w:val="001740D0"/>
    <w:rsid w:val="00174F2C"/>
    <w:rsid w:val="00177E1F"/>
    <w:rsid w:val="00180F2A"/>
    <w:rsid w:val="00180FEE"/>
    <w:rsid w:val="00184B91"/>
    <w:rsid w:val="00184D4A"/>
    <w:rsid w:val="0018585C"/>
    <w:rsid w:val="00186EC1"/>
    <w:rsid w:val="00191E1F"/>
    <w:rsid w:val="0019473B"/>
    <w:rsid w:val="001952B1"/>
    <w:rsid w:val="00196E39"/>
    <w:rsid w:val="00197649"/>
    <w:rsid w:val="00197A3B"/>
    <w:rsid w:val="001A01FB"/>
    <w:rsid w:val="001A0696"/>
    <w:rsid w:val="001A10E9"/>
    <w:rsid w:val="001A183D"/>
    <w:rsid w:val="001A2B65"/>
    <w:rsid w:val="001A2D1A"/>
    <w:rsid w:val="001A348D"/>
    <w:rsid w:val="001A385C"/>
    <w:rsid w:val="001A3CD3"/>
    <w:rsid w:val="001A54AD"/>
    <w:rsid w:val="001A5BEF"/>
    <w:rsid w:val="001A6069"/>
    <w:rsid w:val="001A7F15"/>
    <w:rsid w:val="001B2365"/>
    <w:rsid w:val="001B342E"/>
    <w:rsid w:val="001B3A58"/>
    <w:rsid w:val="001B4B08"/>
    <w:rsid w:val="001B66F3"/>
    <w:rsid w:val="001B69A2"/>
    <w:rsid w:val="001B70B5"/>
    <w:rsid w:val="001B76A0"/>
    <w:rsid w:val="001C0FCE"/>
    <w:rsid w:val="001C1832"/>
    <w:rsid w:val="001C188C"/>
    <w:rsid w:val="001D06A6"/>
    <w:rsid w:val="001D1783"/>
    <w:rsid w:val="001D4DA8"/>
    <w:rsid w:val="001D53CD"/>
    <w:rsid w:val="001D55A3"/>
    <w:rsid w:val="001D5AF5"/>
    <w:rsid w:val="001D65DB"/>
    <w:rsid w:val="001E1E73"/>
    <w:rsid w:val="001E4E0C"/>
    <w:rsid w:val="001E526D"/>
    <w:rsid w:val="001E5655"/>
    <w:rsid w:val="001E720A"/>
    <w:rsid w:val="001F043F"/>
    <w:rsid w:val="001F0BAB"/>
    <w:rsid w:val="001F1832"/>
    <w:rsid w:val="001F220F"/>
    <w:rsid w:val="001F253B"/>
    <w:rsid w:val="001F25B3"/>
    <w:rsid w:val="001F6616"/>
    <w:rsid w:val="0020253A"/>
    <w:rsid w:val="00202BD4"/>
    <w:rsid w:val="00203C14"/>
    <w:rsid w:val="00204A97"/>
    <w:rsid w:val="00205BD7"/>
    <w:rsid w:val="002066C2"/>
    <w:rsid w:val="00207BDA"/>
    <w:rsid w:val="00210B28"/>
    <w:rsid w:val="00210B38"/>
    <w:rsid w:val="00210C51"/>
    <w:rsid w:val="002111C4"/>
    <w:rsid w:val="002114EF"/>
    <w:rsid w:val="00211C8C"/>
    <w:rsid w:val="00212FD3"/>
    <w:rsid w:val="00213F18"/>
    <w:rsid w:val="002151C1"/>
    <w:rsid w:val="002157B4"/>
    <w:rsid w:val="00215FC0"/>
    <w:rsid w:val="002166AD"/>
    <w:rsid w:val="00217871"/>
    <w:rsid w:val="0021788D"/>
    <w:rsid w:val="002218C6"/>
    <w:rsid w:val="00221ED8"/>
    <w:rsid w:val="002231EA"/>
    <w:rsid w:val="00223FDF"/>
    <w:rsid w:val="002279C0"/>
    <w:rsid w:val="002356CA"/>
    <w:rsid w:val="0023727E"/>
    <w:rsid w:val="00237AA6"/>
    <w:rsid w:val="0024032A"/>
    <w:rsid w:val="00241325"/>
    <w:rsid w:val="00242081"/>
    <w:rsid w:val="00243777"/>
    <w:rsid w:val="00243E10"/>
    <w:rsid w:val="002441CD"/>
    <w:rsid w:val="00247D03"/>
    <w:rsid w:val="002501A3"/>
    <w:rsid w:val="0025166C"/>
    <w:rsid w:val="00253AB5"/>
    <w:rsid w:val="002555D4"/>
    <w:rsid w:val="0025755A"/>
    <w:rsid w:val="00257B8A"/>
    <w:rsid w:val="00261A16"/>
    <w:rsid w:val="0026267F"/>
    <w:rsid w:val="00263522"/>
    <w:rsid w:val="002647BD"/>
    <w:rsid w:val="00264A66"/>
    <w:rsid w:val="00264EC6"/>
    <w:rsid w:val="00266031"/>
    <w:rsid w:val="00266448"/>
    <w:rsid w:val="00271013"/>
    <w:rsid w:val="00272B7B"/>
    <w:rsid w:val="00273D54"/>
    <w:rsid w:val="00273FE4"/>
    <w:rsid w:val="00276418"/>
    <w:rsid w:val="002765B4"/>
    <w:rsid w:val="002767A0"/>
    <w:rsid w:val="002769F6"/>
    <w:rsid w:val="00276A94"/>
    <w:rsid w:val="00276C74"/>
    <w:rsid w:val="0028054F"/>
    <w:rsid w:val="00281BD0"/>
    <w:rsid w:val="002824FC"/>
    <w:rsid w:val="00283281"/>
    <w:rsid w:val="00285162"/>
    <w:rsid w:val="00291297"/>
    <w:rsid w:val="00292AF7"/>
    <w:rsid w:val="0029405D"/>
    <w:rsid w:val="00294DF0"/>
    <w:rsid w:val="00294FA6"/>
    <w:rsid w:val="00294FE4"/>
    <w:rsid w:val="00295A6F"/>
    <w:rsid w:val="002A1627"/>
    <w:rsid w:val="002A20C4"/>
    <w:rsid w:val="002A31B4"/>
    <w:rsid w:val="002A570F"/>
    <w:rsid w:val="002A7292"/>
    <w:rsid w:val="002A7358"/>
    <w:rsid w:val="002A7902"/>
    <w:rsid w:val="002A7B2A"/>
    <w:rsid w:val="002A7EED"/>
    <w:rsid w:val="002B0F6B"/>
    <w:rsid w:val="002B23B8"/>
    <w:rsid w:val="002B26A3"/>
    <w:rsid w:val="002B4429"/>
    <w:rsid w:val="002B68A6"/>
    <w:rsid w:val="002B79E8"/>
    <w:rsid w:val="002B7FAF"/>
    <w:rsid w:val="002C5BDA"/>
    <w:rsid w:val="002C7BDE"/>
    <w:rsid w:val="002D0694"/>
    <w:rsid w:val="002D0C4F"/>
    <w:rsid w:val="002D133A"/>
    <w:rsid w:val="002D1364"/>
    <w:rsid w:val="002D3ADE"/>
    <w:rsid w:val="002D4028"/>
    <w:rsid w:val="002D4D30"/>
    <w:rsid w:val="002D5000"/>
    <w:rsid w:val="002D598D"/>
    <w:rsid w:val="002D7188"/>
    <w:rsid w:val="002E077F"/>
    <w:rsid w:val="002E1DE3"/>
    <w:rsid w:val="002E2AB6"/>
    <w:rsid w:val="002E3F34"/>
    <w:rsid w:val="002E597D"/>
    <w:rsid w:val="002E5F79"/>
    <w:rsid w:val="002E64FA"/>
    <w:rsid w:val="002E65D0"/>
    <w:rsid w:val="002F0A00"/>
    <w:rsid w:val="002F0CFA"/>
    <w:rsid w:val="002F1C00"/>
    <w:rsid w:val="002F216B"/>
    <w:rsid w:val="002F3A27"/>
    <w:rsid w:val="002F669F"/>
    <w:rsid w:val="002F7E16"/>
    <w:rsid w:val="002F7FE8"/>
    <w:rsid w:val="00300497"/>
    <w:rsid w:val="0030067E"/>
    <w:rsid w:val="003006B2"/>
    <w:rsid w:val="00301C97"/>
    <w:rsid w:val="00301CCA"/>
    <w:rsid w:val="00306EB3"/>
    <w:rsid w:val="0031004C"/>
    <w:rsid w:val="003105F6"/>
    <w:rsid w:val="00311297"/>
    <w:rsid w:val="003113BE"/>
    <w:rsid w:val="003122CA"/>
    <w:rsid w:val="003128DB"/>
    <w:rsid w:val="003131ED"/>
    <w:rsid w:val="00313AD5"/>
    <w:rsid w:val="003148FD"/>
    <w:rsid w:val="0031576C"/>
    <w:rsid w:val="00317C76"/>
    <w:rsid w:val="00317F10"/>
    <w:rsid w:val="00320249"/>
    <w:rsid w:val="00321080"/>
    <w:rsid w:val="00321243"/>
    <w:rsid w:val="00322D45"/>
    <w:rsid w:val="0032569A"/>
    <w:rsid w:val="00325A1F"/>
    <w:rsid w:val="00325E20"/>
    <w:rsid w:val="003268F9"/>
    <w:rsid w:val="00326CEC"/>
    <w:rsid w:val="00330BAF"/>
    <w:rsid w:val="00331278"/>
    <w:rsid w:val="00334E3A"/>
    <w:rsid w:val="003361DD"/>
    <w:rsid w:val="0033643E"/>
    <w:rsid w:val="003379A8"/>
    <w:rsid w:val="003416ED"/>
    <w:rsid w:val="00341A6A"/>
    <w:rsid w:val="00341F7C"/>
    <w:rsid w:val="00343650"/>
    <w:rsid w:val="00345B9C"/>
    <w:rsid w:val="00347EEF"/>
    <w:rsid w:val="003505C2"/>
    <w:rsid w:val="00350E02"/>
    <w:rsid w:val="00351EBD"/>
    <w:rsid w:val="00352C28"/>
    <w:rsid w:val="00352DAE"/>
    <w:rsid w:val="00352F57"/>
    <w:rsid w:val="003547A8"/>
    <w:rsid w:val="00354A18"/>
    <w:rsid w:val="00354EB9"/>
    <w:rsid w:val="00355BAE"/>
    <w:rsid w:val="003602AE"/>
    <w:rsid w:val="00360929"/>
    <w:rsid w:val="0036102E"/>
    <w:rsid w:val="003627F2"/>
    <w:rsid w:val="00362F88"/>
    <w:rsid w:val="0036322F"/>
    <w:rsid w:val="003642EC"/>
    <w:rsid w:val="003643D0"/>
    <w:rsid w:val="003647D5"/>
    <w:rsid w:val="003674B0"/>
    <w:rsid w:val="00372189"/>
    <w:rsid w:val="00374433"/>
    <w:rsid w:val="00374E6A"/>
    <w:rsid w:val="0037727C"/>
    <w:rsid w:val="00377E70"/>
    <w:rsid w:val="00380904"/>
    <w:rsid w:val="00381FF0"/>
    <w:rsid w:val="003823EE"/>
    <w:rsid w:val="00382960"/>
    <w:rsid w:val="00383124"/>
    <w:rsid w:val="00383B49"/>
    <w:rsid w:val="003840FD"/>
    <w:rsid w:val="0038434C"/>
    <w:rsid w:val="003846F7"/>
    <w:rsid w:val="003851ED"/>
    <w:rsid w:val="00385B39"/>
    <w:rsid w:val="003866EB"/>
    <w:rsid w:val="00386785"/>
    <w:rsid w:val="00390DF9"/>
    <w:rsid w:val="00390E89"/>
    <w:rsid w:val="00391237"/>
    <w:rsid w:val="00391B1A"/>
    <w:rsid w:val="00392802"/>
    <w:rsid w:val="00394423"/>
    <w:rsid w:val="0039456A"/>
    <w:rsid w:val="003961EC"/>
    <w:rsid w:val="00396942"/>
    <w:rsid w:val="00396B49"/>
    <w:rsid w:val="00396E3E"/>
    <w:rsid w:val="00396F3D"/>
    <w:rsid w:val="00397469"/>
    <w:rsid w:val="003A13F3"/>
    <w:rsid w:val="003A1F9B"/>
    <w:rsid w:val="003A2D2F"/>
    <w:rsid w:val="003A306E"/>
    <w:rsid w:val="003A60DC"/>
    <w:rsid w:val="003A6A46"/>
    <w:rsid w:val="003A7A63"/>
    <w:rsid w:val="003B000C"/>
    <w:rsid w:val="003B0049"/>
    <w:rsid w:val="003B0F1D"/>
    <w:rsid w:val="003B15A7"/>
    <w:rsid w:val="003B209F"/>
    <w:rsid w:val="003B4A57"/>
    <w:rsid w:val="003B520F"/>
    <w:rsid w:val="003C0AD9"/>
    <w:rsid w:val="003C0ED0"/>
    <w:rsid w:val="003C1932"/>
    <w:rsid w:val="003C1D49"/>
    <w:rsid w:val="003C35C4"/>
    <w:rsid w:val="003C4452"/>
    <w:rsid w:val="003C6721"/>
    <w:rsid w:val="003C6CCC"/>
    <w:rsid w:val="003D0CAC"/>
    <w:rsid w:val="003D12C2"/>
    <w:rsid w:val="003D295A"/>
    <w:rsid w:val="003D31B9"/>
    <w:rsid w:val="003D3867"/>
    <w:rsid w:val="003D4C64"/>
    <w:rsid w:val="003D5663"/>
    <w:rsid w:val="003E0787"/>
    <w:rsid w:val="003E0D1A"/>
    <w:rsid w:val="003E0E5A"/>
    <w:rsid w:val="003E121B"/>
    <w:rsid w:val="003E2DA3"/>
    <w:rsid w:val="003E3B2F"/>
    <w:rsid w:val="003E56AB"/>
    <w:rsid w:val="003E6F12"/>
    <w:rsid w:val="003E709D"/>
    <w:rsid w:val="003F020D"/>
    <w:rsid w:val="003F03D9"/>
    <w:rsid w:val="003F133B"/>
    <w:rsid w:val="003F1576"/>
    <w:rsid w:val="003F19F2"/>
    <w:rsid w:val="003F1A4B"/>
    <w:rsid w:val="003F2FBE"/>
    <w:rsid w:val="003F30D6"/>
    <w:rsid w:val="003F318D"/>
    <w:rsid w:val="003F3DE9"/>
    <w:rsid w:val="003F5BAE"/>
    <w:rsid w:val="003F5C5A"/>
    <w:rsid w:val="003F6ED7"/>
    <w:rsid w:val="00401C84"/>
    <w:rsid w:val="00403210"/>
    <w:rsid w:val="004035BB"/>
    <w:rsid w:val="004035EB"/>
    <w:rsid w:val="00407332"/>
    <w:rsid w:val="00407828"/>
    <w:rsid w:val="004109A3"/>
    <w:rsid w:val="00413D8E"/>
    <w:rsid w:val="004140F2"/>
    <w:rsid w:val="004176F1"/>
    <w:rsid w:val="00417B22"/>
    <w:rsid w:val="00421085"/>
    <w:rsid w:val="00423692"/>
    <w:rsid w:val="0042465E"/>
    <w:rsid w:val="00424DF7"/>
    <w:rsid w:val="00426ED3"/>
    <w:rsid w:val="00427948"/>
    <w:rsid w:val="00427CB8"/>
    <w:rsid w:val="00432B76"/>
    <w:rsid w:val="00434D01"/>
    <w:rsid w:val="00435956"/>
    <w:rsid w:val="00435D26"/>
    <w:rsid w:val="00440C99"/>
    <w:rsid w:val="00441110"/>
    <w:rsid w:val="0044175C"/>
    <w:rsid w:val="004432EF"/>
    <w:rsid w:val="00444EF3"/>
    <w:rsid w:val="00445089"/>
    <w:rsid w:val="00445F4D"/>
    <w:rsid w:val="004467BA"/>
    <w:rsid w:val="004504C0"/>
    <w:rsid w:val="004520BA"/>
    <w:rsid w:val="00453012"/>
    <w:rsid w:val="004547E9"/>
    <w:rsid w:val="00454BFA"/>
    <w:rsid w:val="00455014"/>
    <w:rsid w:val="004550FB"/>
    <w:rsid w:val="004551EC"/>
    <w:rsid w:val="00457093"/>
    <w:rsid w:val="0046111A"/>
    <w:rsid w:val="00462946"/>
    <w:rsid w:val="00463F43"/>
    <w:rsid w:val="00464B94"/>
    <w:rsid w:val="004653A8"/>
    <w:rsid w:val="00465A0B"/>
    <w:rsid w:val="0047077C"/>
    <w:rsid w:val="00470B05"/>
    <w:rsid w:val="00470D8D"/>
    <w:rsid w:val="0047207C"/>
    <w:rsid w:val="00472CD6"/>
    <w:rsid w:val="00474E3C"/>
    <w:rsid w:val="00480A58"/>
    <w:rsid w:val="00480D30"/>
    <w:rsid w:val="00482151"/>
    <w:rsid w:val="0048472C"/>
    <w:rsid w:val="00484AAA"/>
    <w:rsid w:val="00485FAD"/>
    <w:rsid w:val="00486138"/>
    <w:rsid w:val="00487AED"/>
    <w:rsid w:val="00491EDF"/>
    <w:rsid w:val="00492A3F"/>
    <w:rsid w:val="0049391E"/>
    <w:rsid w:val="00494F62"/>
    <w:rsid w:val="004969EA"/>
    <w:rsid w:val="004A2001"/>
    <w:rsid w:val="004A3590"/>
    <w:rsid w:val="004B00A7"/>
    <w:rsid w:val="004B0586"/>
    <w:rsid w:val="004B1E0B"/>
    <w:rsid w:val="004B25E2"/>
    <w:rsid w:val="004B34D7"/>
    <w:rsid w:val="004B5037"/>
    <w:rsid w:val="004B55C0"/>
    <w:rsid w:val="004B5B2F"/>
    <w:rsid w:val="004B5F8C"/>
    <w:rsid w:val="004B626A"/>
    <w:rsid w:val="004B65E3"/>
    <w:rsid w:val="004B660E"/>
    <w:rsid w:val="004B6C3C"/>
    <w:rsid w:val="004B7CC2"/>
    <w:rsid w:val="004C05BD"/>
    <w:rsid w:val="004C1098"/>
    <w:rsid w:val="004C14CC"/>
    <w:rsid w:val="004C3B06"/>
    <w:rsid w:val="004C3F97"/>
    <w:rsid w:val="004C42DF"/>
    <w:rsid w:val="004C7EE7"/>
    <w:rsid w:val="004D14CE"/>
    <w:rsid w:val="004D2C4C"/>
    <w:rsid w:val="004D2DC5"/>
    <w:rsid w:val="004D2DEE"/>
    <w:rsid w:val="004D2E1F"/>
    <w:rsid w:val="004D333C"/>
    <w:rsid w:val="004D51B5"/>
    <w:rsid w:val="004D7FD9"/>
    <w:rsid w:val="004E1324"/>
    <w:rsid w:val="004E19A5"/>
    <w:rsid w:val="004E37E5"/>
    <w:rsid w:val="004E3FDB"/>
    <w:rsid w:val="004E417D"/>
    <w:rsid w:val="004E469D"/>
    <w:rsid w:val="004E7046"/>
    <w:rsid w:val="004E76D2"/>
    <w:rsid w:val="004F06F8"/>
    <w:rsid w:val="004F1576"/>
    <w:rsid w:val="004F1F4A"/>
    <w:rsid w:val="004F296D"/>
    <w:rsid w:val="004F3F9C"/>
    <w:rsid w:val="004F406F"/>
    <w:rsid w:val="004F508B"/>
    <w:rsid w:val="004F695F"/>
    <w:rsid w:val="004F6CA4"/>
    <w:rsid w:val="00500752"/>
    <w:rsid w:val="005018C6"/>
    <w:rsid w:val="00501A50"/>
    <w:rsid w:val="0050222D"/>
    <w:rsid w:val="00503AF3"/>
    <w:rsid w:val="005045DF"/>
    <w:rsid w:val="00505446"/>
    <w:rsid w:val="005054C7"/>
    <w:rsid w:val="0050696D"/>
    <w:rsid w:val="00507042"/>
    <w:rsid w:val="0051094B"/>
    <w:rsid w:val="005110D7"/>
    <w:rsid w:val="00511D99"/>
    <w:rsid w:val="005128D3"/>
    <w:rsid w:val="00512EBB"/>
    <w:rsid w:val="0051464C"/>
    <w:rsid w:val="005147E8"/>
    <w:rsid w:val="005158F2"/>
    <w:rsid w:val="0051779F"/>
    <w:rsid w:val="005212C0"/>
    <w:rsid w:val="0052289A"/>
    <w:rsid w:val="00526DFC"/>
    <w:rsid w:val="00526F43"/>
    <w:rsid w:val="00527651"/>
    <w:rsid w:val="005309D1"/>
    <w:rsid w:val="005363AB"/>
    <w:rsid w:val="00540A7F"/>
    <w:rsid w:val="0054352F"/>
    <w:rsid w:val="00544EF4"/>
    <w:rsid w:val="00545E53"/>
    <w:rsid w:val="00546167"/>
    <w:rsid w:val="005464FC"/>
    <w:rsid w:val="00547992"/>
    <w:rsid w:val="005479D9"/>
    <w:rsid w:val="00550347"/>
    <w:rsid w:val="00552E39"/>
    <w:rsid w:val="005541E8"/>
    <w:rsid w:val="00556BF2"/>
    <w:rsid w:val="005572BD"/>
    <w:rsid w:val="00557A12"/>
    <w:rsid w:val="00557BAA"/>
    <w:rsid w:val="00560AC7"/>
    <w:rsid w:val="00561AFB"/>
    <w:rsid w:val="00561FA8"/>
    <w:rsid w:val="005635ED"/>
    <w:rsid w:val="00565253"/>
    <w:rsid w:val="00567FCB"/>
    <w:rsid w:val="00570191"/>
    <w:rsid w:val="00570570"/>
    <w:rsid w:val="00570F21"/>
    <w:rsid w:val="00572512"/>
    <w:rsid w:val="00573355"/>
    <w:rsid w:val="00573EE6"/>
    <w:rsid w:val="005745B5"/>
    <w:rsid w:val="0057547F"/>
    <w:rsid w:val="005754EE"/>
    <w:rsid w:val="0057617E"/>
    <w:rsid w:val="00576497"/>
    <w:rsid w:val="00580655"/>
    <w:rsid w:val="00581AD1"/>
    <w:rsid w:val="005835E7"/>
    <w:rsid w:val="0058397F"/>
    <w:rsid w:val="00583BF8"/>
    <w:rsid w:val="00585F33"/>
    <w:rsid w:val="00587978"/>
    <w:rsid w:val="00590C71"/>
    <w:rsid w:val="00591124"/>
    <w:rsid w:val="005918CE"/>
    <w:rsid w:val="005924AC"/>
    <w:rsid w:val="00594C21"/>
    <w:rsid w:val="0059555B"/>
    <w:rsid w:val="00597024"/>
    <w:rsid w:val="005A0274"/>
    <w:rsid w:val="005A095C"/>
    <w:rsid w:val="005A2D9D"/>
    <w:rsid w:val="005A4424"/>
    <w:rsid w:val="005A5F92"/>
    <w:rsid w:val="005A669D"/>
    <w:rsid w:val="005A75D8"/>
    <w:rsid w:val="005B1914"/>
    <w:rsid w:val="005B259F"/>
    <w:rsid w:val="005B2BB7"/>
    <w:rsid w:val="005B2C0B"/>
    <w:rsid w:val="005B713E"/>
    <w:rsid w:val="005C03B6"/>
    <w:rsid w:val="005C348E"/>
    <w:rsid w:val="005C3C2B"/>
    <w:rsid w:val="005C68E1"/>
    <w:rsid w:val="005D04DC"/>
    <w:rsid w:val="005D2A6B"/>
    <w:rsid w:val="005D3763"/>
    <w:rsid w:val="005D55E1"/>
    <w:rsid w:val="005D5F97"/>
    <w:rsid w:val="005E13A0"/>
    <w:rsid w:val="005E180B"/>
    <w:rsid w:val="005E1976"/>
    <w:rsid w:val="005E19F7"/>
    <w:rsid w:val="005E4F04"/>
    <w:rsid w:val="005E62C2"/>
    <w:rsid w:val="005E6C71"/>
    <w:rsid w:val="005F0963"/>
    <w:rsid w:val="005F0F8F"/>
    <w:rsid w:val="005F10D1"/>
    <w:rsid w:val="005F2824"/>
    <w:rsid w:val="005F2EBA"/>
    <w:rsid w:val="005F35ED"/>
    <w:rsid w:val="005F7812"/>
    <w:rsid w:val="005F7A88"/>
    <w:rsid w:val="00601B09"/>
    <w:rsid w:val="00602E88"/>
    <w:rsid w:val="00603A1A"/>
    <w:rsid w:val="006046D5"/>
    <w:rsid w:val="006052F1"/>
    <w:rsid w:val="0060551D"/>
    <w:rsid w:val="00606155"/>
    <w:rsid w:val="00607A93"/>
    <w:rsid w:val="00610C08"/>
    <w:rsid w:val="0061135F"/>
    <w:rsid w:val="00611F74"/>
    <w:rsid w:val="00613242"/>
    <w:rsid w:val="00614DCB"/>
    <w:rsid w:val="00615772"/>
    <w:rsid w:val="00620F2E"/>
    <w:rsid w:val="00621256"/>
    <w:rsid w:val="00621E6A"/>
    <w:rsid w:val="00621FCC"/>
    <w:rsid w:val="0062279A"/>
    <w:rsid w:val="00622E4B"/>
    <w:rsid w:val="006265E7"/>
    <w:rsid w:val="00626D4A"/>
    <w:rsid w:val="00632442"/>
    <w:rsid w:val="006333DA"/>
    <w:rsid w:val="00635134"/>
    <w:rsid w:val="006356E2"/>
    <w:rsid w:val="00641003"/>
    <w:rsid w:val="00642A65"/>
    <w:rsid w:val="006447EC"/>
    <w:rsid w:val="00645DCE"/>
    <w:rsid w:val="00645E2C"/>
    <w:rsid w:val="006465AC"/>
    <w:rsid w:val="006465BF"/>
    <w:rsid w:val="00647696"/>
    <w:rsid w:val="006525AB"/>
    <w:rsid w:val="006530D5"/>
    <w:rsid w:val="00653827"/>
    <w:rsid w:val="00653B22"/>
    <w:rsid w:val="00653F15"/>
    <w:rsid w:val="0065583F"/>
    <w:rsid w:val="00656A36"/>
    <w:rsid w:val="0065783F"/>
    <w:rsid w:val="00657BF4"/>
    <w:rsid w:val="006603FB"/>
    <w:rsid w:val="006608DF"/>
    <w:rsid w:val="006623AC"/>
    <w:rsid w:val="0066602E"/>
    <w:rsid w:val="006678AF"/>
    <w:rsid w:val="006700AB"/>
    <w:rsid w:val="006701EF"/>
    <w:rsid w:val="00672F23"/>
    <w:rsid w:val="00673785"/>
    <w:rsid w:val="00673BA5"/>
    <w:rsid w:val="006743EC"/>
    <w:rsid w:val="00674AA5"/>
    <w:rsid w:val="006754FB"/>
    <w:rsid w:val="00680058"/>
    <w:rsid w:val="00681F9F"/>
    <w:rsid w:val="00682C53"/>
    <w:rsid w:val="006840EA"/>
    <w:rsid w:val="006844E2"/>
    <w:rsid w:val="00685267"/>
    <w:rsid w:val="006872AE"/>
    <w:rsid w:val="00690082"/>
    <w:rsid w:val="00690252"/>
    <w:rsid w:val="006917A6"/>
    <w:rsid w:val="00693336"/>
    <w:rsid w:val="00694078"/>
    <w:rsid w:val="006946BB"/>
    <w:rsid w:val="0069603D"/>
    <w:rsid w:val="006969FA"/>
    <w:rsid w:val="006A35D5"/>
    <w:rsid w:val="006A5C6D"/>
    <w:rsid w:val="006A6734"/>
    <w:rsid w:val="006A748A"/>
    <w:rsid w:val="006B28BF"/>
    <w:rsid w:val="006C2036"/>
    <w:rsid w:val="006C2CB0"/>
    <w:rsid w:val="006C419E"/>
    <w:rsid w:val="006C4A31"/>
    <w:rsid w:val="006C4E4E"/>
    <w:rsid w:val="006C5113"/>
    <w:rsid w:val="006C5AC2"/>
    <w:rsid w:val="006C69ED"/>
    <w:rsid w:val="006C6AFB"/>
    <w:rsid w:val="006C7635"/>
    <w:rsid w:val="006D0184"/>
    <w:rsid w:val="006D2735"/>
    <w:rsid w:val="006D2774"/>
    <w:rsid w:val="006D45B2"/>
    <w:rsid w:val="006D7FE9"/>
    <w:rsid w:val="006E019E"/>
    <w:rsid w:val="006E0FCC"/>
    <w:rsid w:val="006E1E96"/>
    <w:rsid w:val="006E5E21"/>
    <w:rsid w:val="006F2648"/>
    <w:rsid w:val="006F2F10"/>
    <w:rsid w:val="006F482B"/>
    <w:rsid w:val="006F5D67"/>
    <w:rsid w:val="006F6311"/>
    <w:rsid w:val="00700D94"/>
    <w:rsid w:val="00701952"/>
    <w:rsid w:val="00702451"/>
    <w:rsid w:val="00702556"/>
    <w:rsid w:val="00702584"/>
    <w:rsid w:val="0070277E"/>
    <w:rsid w:val="0070297F"/>
    <w:rsid w:val="00704156"/>
    <w:rsid w:val="00704FAF"/>
    <w:rsid w:val="007065D0"/>
    <w:rsid w:val="007069FC"/>
    <w:rsid w:val="00710274"/>
    <w:rsid w:val="007102B5"/>
    <w:rsid w:val="00711221"/>
    <w:rsid w:val="00712675"/>
    <w:rsid w:val="00713808"/>
    <w:rsid w:val="00714868"/>
    <w:rsid w:val="007151B6"/>
    <w:rsid w:val="0071520D"/>
    <w:rsid w:val="00715EDB"/>
    <w:rsid w:val="007160D5"/>
    <w:rsid w:val="007163FB"/>
    <w:rsid w:val="00717C2E"/>
    <w:rsid w:val="007204FA"/>
    <w:rsid w:val="007213B3"/>
    <w:rsid w:val="00721401"/>
    <w:rsid w:val="00724060"/>
    <w:rsid w:val="0072457F"/>
    <w:rsid w:val="00725406"/>
    <w:rsid w:val="0072621B"/>
    <w:rsid w:val="0072629D"/>
    <w:rsid w:val="00730555"/>
    <w:rsid w:val="00730D6C"/>
    <w:rsid w:val="0073129B"/>
    <w:rsid w:val="007312CC"/>
    <w:rsid w:val="00733644"/>
    <w:rsid w:val="00736A64"/>
    <w:rsid w:val="00736C86"/>
    <w:rsid w:val="00737F6A"/>
    <w:rsid w:val="007404BD"/>
    <w:rsid w:val="007410B6"/>
    <w:rsid w:val="00744C6F"/>
    <w:rsid w:val="007454B3"/>
    <w:rsid w:val="007457F6"/>
    <w:rsid w:val="00745ABB"/>
    <w:rsid w:val="007467FF"/>
    <w:rsid w:val="00746811"/>
    <w:rsid w:val="00746E38"/>
    <w:rsid w:val="00747CD5"/>
    <w:rsid w:val="007517AF"/>
    <w:rsid w:val="00753B51"/>
    <w:rsid w:val="007557CF"/>
    <w:rsid w:val="00756629"/>
    <w:rsid w:val="00756CEB"/>
    <w:rsid w:val="00756D66"/>
    <w:rsid w:val="007575D2"/>
    <w:rsid w:val="00757800"/>
    <w:rsid w:val="00757B4F"/>
    <w:rsid w:val="00757B6A"/>
    <w:rsid w:val="007610E0"/>
    <w:rsid w:val="007621AA"/>
    <w:rsid w:val="007624E5"/>
    <w:rsid w:val="0076260A"/>
    <w:rsid w:val="007642A6"/>
    <w:rsid w:val="00764A67"/>
    <w:rsid w:val="00765E17"/>
    <w:rsid w:val="00770F6B"/>
    <w:rsid w:val="00771883"/>
    <w:rsid w:val="00773DCD"/>
    <w:rsid w:val="007758F1"/>
    <w:rsid w:val="00775995"/>
    <w:rsid w:val="00775A66"/>
    <w:rsid w:val="007766AD"/>
    <w:rsid w:val="00776DC2"/>
    <w:rsid w:val="00777AFE"/>
    <w:rsid w:val="00780122"/>
    <w:rsid w:val="0078214B"/>
    <w:rsid w:val="0078498A"/>
    <w:rsid w:val="007860D5"/>
    <w:rsid w:val="00791AAB"/>
    <w:rsid w:val="00792207"/>
    <w:rsid w:val="0079237B"/>
    <w:rsid w:val="00792B64"/>
    <w:rsid w:val="00792E29"/>
    <w:rsid w:val="0079379A"/>
    <w:rsid w:val="00794953"/>
    <w:rsid w:val="007962B2"/>
    <w:rsid w:val="007965A9"/>
    <w:rsid w:val="007A1D69"/>
    <w:rsid w:val="007A1F2F"/>
    <w:rsid w:val="007A268B"/>
    <w:rsid w:val="007A2A5C"/>
    <w:rsid w:val="007A42D5"/>
    <w:rsid w:val="007A5150"/>
    <w:rsid w:val="007A5373"/>
    <w:rsid w:val="007A569F"/>
    <w:rsid w:val="007A789F"/>
    <w:rsid w:val="007B01CC"/>
    <w:rsid w:val="007B0514"/>
    <w:rsid w:val="007B5607"/>
    <w:rsid w:val="007B593B"/>
    <w:rsid w:val="007B75BC"/>
    <w:rsid w:val="007B7BE6"/>
    <w:rsid w:val="007C0BD6"/>
    <w:rsid w:val="007C3806"/>
    <w:rsid w:val="007C5BB7"/>
    <w:rsid w:val="007D041A"/>
    <w:rsid w:val="007D07D5"/>
    <w:rsid w:val="007D1C64"/>
    <w:rsid w:val="007D29C7"/>
    <w:rsid w:val="007D32DD"/>
    <w:rsid w:val="007D3969"/>
    <w:rsid w:val="007D4586"/>
    <w:rsid w:val="007D5FA0"/>
    <w:rsid w:val="007D6DCE"/>
    <w:rsid w:val="007D72C4"/>
    <w:rsid w:val="007D793B"/>
    <w:rsid w:val="007E2827"/>
    <w:rsid w:val="007E2CFE"/>
    <w:rsid w:val="007E41F5"/>
    <w:rsid w:val="007E59C9"/>
    <w:rsid w:val="007F0072"/>
    <w:rsid w:val="007F1959"/>
    <w:rsid w:val="007F2EB6"/>
    <w:rsid w:val="007F33FD"/>
    <w:rsid w:val="007F347D"/>
    <w:rsid w:val="007F54C3"/>
    <w:rsid w:val="00801946"/>
    <w:rsid w:val="00802949"/>
    <w:rsid w:val="0080301E"/>
    <w:rsid w:val="0080365F"/>
    <w:rsid w:val="00804684"/>
    <w:rsid w:val="00807A72"/>
    <w:rsid w:val="00812BE5"/>
    <w:rsid w:val="00812C85"/>
    <w:rsid w:val="00815F5E"/>
    <w:rsid w:val="0081699A"/>
    <w:rsid w:val="00817429"/>
    <w:rsid w:val="00817AAB"/>
    <w:rsid w:val="00821514"/>
    <w:rsid w:val="00821E35"/>
    <w:rsid w:val="0082438B"/>
    <w:rsid w:val="00824591"/>
    <w:rsid w:val="00824AED"/>
    <w:rsid w:val="00827820"/>
    <w:rsid w:val="00831B8B"/>
    <w:rsid w:val="00832ABF"/>
    <w:rsid w:val="0083405D"/>
    <w:rsid w:val="008352D4"/>
    <w:rsid w:val="00836DB9"/>
    <w:rsid w:val="00837685"/>
    <w:rsid w:val="00837C67"/>
    <w:rsid w:val="008415B0"/>
    <w:rsid w:val="00841802"/>
    <w:rsid w:val="0084188C"/>
    <w:rsid w:val="00841DF4"/>
    <w:rsid w:val="00842028"/>
    <w:rsid w:val="008429C6"/>
    <w:rsid w:val="008436B8"/>
    <w:rsid w:val="00844186"/>
    <w:rsid w:val="00845B58"/>
    <w:rsid w:val="00845BC0"/>
    <w:rsid w:val="008460B6"/>
    <w:rsid w:val="00846698"/>
    <w:rsid w:val="00850C9D"/>
    <w:rsid w:val="00852B59"/>
    <w:rsid w:val="008537D3"/>
    <w:rsid w:val="00855C2B"/>
    <w:rsid w:val="00856272"/>
    <w:rsid w:val="0085632F"/>
    <w:rsid w:val="008563FF"/>
    <w:rsid w:val="0086018B"/>
    <w:rsid w:val="008609E5"/>
    <w:rsid w:val="008611DD"/>
    <w:rsid w:val="0086181B"/>
    <w:rsid w:val="008620DE"/>
    <w:rsid w:val="008652A4"/>
    <w:rsid w:val="00865B87"/>
    <w:rsid w:val="00866867"/>
    <w:rsid w:val="008678A1"/>
    <w:rsid w:val="00872257"/>
    <w:rsid w:val="008753E6"/>
    <w:rsid w:val="0087563B"/>
    <w:rsid w:val="0087738C"/>
    <w:rsid w:val="008802AF"/>
    <w:rsid w:val="00881926"/>
    <w:rsid w:val="0088318F"/>
    <w:rsid w:val="0088331D"/>
    <w:rsid w:val="0088391F"/>
    <w:rsid w:val="00883C2A"/>
    <w:rsid w:val="00884578"/>
    <w:rsid w:val="008852B0"/>
    <w:rsid w:val="008854A3"/>
    <w:rsid w:val="00885AE7"/>
    <w:rsid w:val="00886B60"/>
    <w:rsid w:val="00887889"/>
    <w:rsid w:val="008920FF"/>
    <w:rsid w:val="008926E8"/>
    <w:rsid w:val="00892CA2"/>
    <w:rsid w:val="00893183"/>
    <w:rsid w:val="00894F19"/>
    <w:rsid w:val="0089623E"/>
    <w:rsid w:val="00896A10"/>
    <w:rsid w:val="008971B5"/>
    <w:rsid w:val="008A4EE8"/>
    <w:rsid w:val="008A5D26"/>
    <w:rsid w:val="008A5F1C"/>
    <w:rsid w:val="008A6B13"/>
    <w:rsid w:val="008A6E48"/>
    <w:rsid w:val="008A6ECB"/>
    <w:rsid w:val="008B0BF9"/>
    <w:rsid w:val="008B2866"/>
    <w:rsid w:val="008B2F71"/>
    <w:rsid w:val="008B3859"/>
    <w:rsid w:val="008B436D"/>
    <w:rsid w:val="008B4B7B"/>
    <w:rsid w:val="008B4E49"/>
    <w:rsid w:val="008B7712"/>
    <w:rsid w:val="008B7A58"/>
    <w:rsid w:val="008B7B26"/>
    <w:rsid w:val="008B7DD2"/>
    <w:rsid w:val="008C0AFE"/>
    <w:rsid w:val="008C3524"/>
    <w:rsid w:val="008C4061"/>
    <w:rsid w:val="008C4229"/>
    <w:rsid w:val="008C445C"/>
    <w:rsid w:val="008C5BE0"/>
    <w:rsid w:val="008C7233"/>
    <w:rsid w:val="008D0291"/>
    <w:rsid w:val="008D2434"/>
    <w:rsid w:val="008D2A93"/>
    <w:rsid w:val="008D58FB"/>
    <w:rsid w:val="008E171D"/>
    <w:rsid w:val="008E2785"/>
    <w:rsid w:val="008E2EB8"/>
    <w:rsid w:val="008E6A7E"/>
    <w:rsid w:val="008E78A3"/>
    <w:rsid w:val="008F0261"/>
    <w:rsid w:val="008F0654"/>
    <w:rsid w:val="008F06CB"/>
    <w:rsid w:val="008F2E83"/>
    <w:rsid w:val="008F4384"/>
    <w:rsid w:val="008F52F5"/>
    <w:rsid w:val="008F612A"/>
    <w:rsid w:val="00900D37"/>
    <w:rsid w:val="0090293D"/>
    <w:rsid w:val="009034DE"/>
    <w:rsid w:val="00905396"/>
    <w:rsid w:val="0090605D"/>
    <w:rsid w:val="00906419"/>
    <w:rsid w:val="00910DD5"/>
    <w:rsid w:val="00911500"/>
    <w:rsid w:val="00912889"/>
    <w:rsid w:val="009128D3"/>
    <w:rsid w:val="00913A42"/>
    <w:rsid w:val="00914167"/>
    <w:rsid w:val="009143DB"/>
    <w:rsid w:val="00915065"/>
    <w:rsid w:val="00917CE5"/>
    <w:rsid w:val="009217C0"/>
    <w:rsid w:val="00923BBC"/>
    <w:rsid w:val="00925241"/>
    <w:rsid w:val="00925713"/>
    <w:rsid w:val="00925940"/>
    <w:rsid w:val="00925971"/>
    <w:rsid w:val="00925CEC"/>
    <w:rsid w:val="009267C5"/>
    <w:rsid w:val="00926A3F"/>
    <w:rsid w:val="0092794E"/>
    <w:rsid w:val="00930D30"/>
    <w:rsid w:val="009325A4"/>
    <w:rsid w:val="009332A2"/>
    <w:rsid w:val="00933542"/>
    <w:rsid w:val="00937598"/>
    <w:rsid w:val="0093790B"/>
    <w:rsid w:val="00941713"/>
    <w:rsid w:val="00942906"/>
    <w:rsid w:val="009430CD"/>
    <w:rsid w:val="00943477"/>
    <w:rsid w:val="00943751"/>
    <w:rsid w:val="0094564B"/>
    <w:rsid w:val="00945EFC"/>
    <w:rsid w:val="00946DD0"/>
    <w:rsid w:val="00946DDD"/>
    <w:rsid w:val="009509E6"/>
    <w:rsid w:val="00952018"/>
    <w:rsid w:val="00952800"/>
    <w:rsid w:val="00952EB2"/>
    <w:rsid w:val="0095300D"/>
    <w:rsid w:val="0095375F"/>
    <w:rsid w:val="00953795"/>
    <w:rsid w:val="00954477"/>
    <w:rsid w:val="00956812"/>
    <w:rsid w:val="0095719A"/>
    <w:rsid w:val="00961F72"/>
    <w:rsid w:val="009623E9"/>
    <w:rsid w:val="009628AC"/>
    <w:rsid w:val="00963082"/>
    <w:rsid w:val="00963EEB"/>
    <w:rsid w:val="009648BC"/>
    <w:rsid w:val="00964C2F"/>
    <w:rsid w:val="00965C88"/>
    <w:rsid w:val="00965F88"/>
    <w:rsid w:val="0096713D"/>
    <w:rsid w:val="009808B5"/>
    <w:rsid w:val="00981B75"/>
    <w:rsid w:val="009835D7"/>
    <w:rsid w:val="00984C38"/>
    <w:rsid w:val="00984E03"/>
    <w:rsid w:val="00986B3C"/>
    <w:rsid w:val="00987E85"/>
    <w:rsid w:val="00994B4D"/>
    <w:rsid w:val="00995913"/>
    <w:rsid w:val="00996A56"/>
    <w:rsid w:val="00996AEF"/>
    <w:rsid w:val="009A0D12"/>
    <w:rsid w:val="009A1987"/>
    <w:rsid w:val="009A2BEE"/>
    <w:rsid w:val="009A5289"/>
    <w:rsid w:val="009A5B0F"/>
    <w:rsid w:val="009A5D79"/>
    <w:rsid w:val="009A6BBE"/>
    <w:rsid w:val="009A70CC"/>
    <w:rsid w:val="009A76FA"/>
    <w:rsid w:val="009A7A53"/>
    <w:rsid w:val="009B0070"/>
    <w:rsid w:val="009B0402"/>
    <w:rsid w:val="009B0B75"/>
    <w:rsid w:val="009B109A"/>
    <w:rsid w:val="009B16DF"/>
    <w:rsid w:val="009B352E"/>
    <w:rsid w:val="009B3B56"/>
    <w:rsid w:val="009B4CB2"/>
    <w:rsid w:val="009B6701"/>
    <w:rsid w:val="009B6EF7"/>
    <w:rsid w:val="009B7000"/>
    <w:rsid w:val="009B7165"/>
    <w:rsid w:val="009B739C"/>
    <w:rsid w:val="009C04EC"/>
    <w:rsid w:val="009C328C"/>
    <w:rsid w:val="009C4444"/>
    <w:rsid w:val="009C5C73"/>
    <w:rsid w:val="009C79AD"/>
    <w:rsid w:val="009C7CA6"/>
    <w:rsid w:val="009D1477"/>
    <w:rsid w:val="009D328E"/>
    <w:rsid w:val="009D3316"/>
    <w:rsid w:val="009D55AA"/>
    <w:rsid w:val="009D78A3"/>
    <w:rsid w:val="009E3E77"/>
    <w:rsid w:val="009E3FAB"/>
    <w:rsid w:val="009E444D"/>
    <w:rsid w:val="009E5B3F"/>
    <w:rsid w:val="009E6982"/>
    <w:rsid w:val="009E7D90"/>
    <w:rsid w:val="009F1AB0"/>
    <w:rsid w:val="009F501D"/>
    <w:rsid w:val="009F5346"/>
    <w:rsid w:val="00A03992"/>
    <w:rsid w:val="00A039D5"/>
    <w:rsid w:val="00A04540"/>
    <w:rsid w:val="00A046AD"/>
    <w:rsid w:val="00A06999"/>
    <w:rsid w:val="00A079C1"/>
    <w:rsid w:val="00A07CEA"/>
    <w:rsid w:val="00A11401"/>
    <w:rsid w:val="00A12520"/>
    <w:rsid w:val="00A130FD"/>
    <w:rsid w:val="00A13C48"/>
    <w:rsid w:val="00A13D6D"/>
    <w:rsid w:val="00A14299"/>
    <w:rsid w:val="00A14327"/>
    <w:rsid w:val="00A14769"/>
    <w:rsid w:val="00A148DC"/>
    <w:rsid w:val="00A16151"/>
    <w:rsid w:val="00A16EC6"/>
    <w:rsid w:val="00A17C06"/>
    <w:rsid w:val="00A20A17"/>
    <w:rsid w:val="00A2126E"/>
    <w:rsid w:val="00A21706"/>
    <w:rsid w:val="00A22CCC"/>
    <w:rsid w:val="00A24FCC"/>
    <w:rsid w:val="00A2606C"/>
    <w:rsid w:val="00A2623C"/>
    <w:rsid w:val="00A26A55"/>
    <w:rsid w:val="00A26A90"/>
    <w:rsid w:val="00A26B27"/>
    <w:rsid w:val="00A279F0"/>
    <w:rsid w:val="00A30E4F"/>
    <w:rsid w:val="00A32253"/>
    <w:rsid w:val="00A3310E"/>
    <w:rsid w:val="00A333A0"/>
    <w:rsid w:val="00A33E72"/>
    <w:rsid w:val="00A378FF"/>
    <w:rsid w:val="00A37E70"/>
    <w:rsid w:val="00A41380"/>
    <w:rsid w:val="00A42B4C"/>
    <w:rsid w:val="00A437E1"/>
    <w:rsid w:val="00A44673"/>
    <w:rsid w:val="00A45F4B"/>
    <w:rsid w:val="00A4685E"/>
    <w:rsid w:val="00A47D8E"/>
    <w:rsid w:val="00A50CD4"/>
    <w:rsid w:val="00A51191"/>
    <w:rsid w:val="00A526B9"/>
    <w:rsid w:val="00A55807"/>
    <w:rsid w:val="00A55CEC"/>
    <w:rsid w:val="00A56D62"/>
    <w:rsid w:val="00A56F07"/>
    <w:rsid w:val="00A5762C"/>
    <w:rsid w:val="00A600FC"/>
    <w:rsid w:val="00A60BCA"/>
    <w:rsid w:val="00A613B7"/>
    <w:rsid w:val="00A61850"/>
    <w:rsid w:val="00A619E6"/>
    <w:rsid w:val="00A619F9"/>
    <w:rsid w:val="00A61BBB"/>
    <w:rsid w:val="00A62283"/>
    <w:rsid w:val="00A638DA"/>
    <w:rsid w:val="00A63A9D"/>
    <w:rsid w:val="00A649F3"/>
    <w:rsid w:val="00A65B41"/>
    <w:rsid w:val="00A65E00"/>
    <w:rsid w:val="00A66A78"/>
    <w:rsid w:val="00A741CE"/>
    <w:rsid w:val="00A7436E"/>
    <w:rsid w:val="00A74E75"/>
    <w:rsid w:val="00A74E96"/>
    <w:rsid w:val="00A759E0"/>
    <w:rsid w:val="00A75A8E"/>
    <w:rsid w:val="00A76305"/>
    <w:rsid w:val="00A824DD"/>
    <w:rsid w:val="00A83676"/>
    <w:rsid w:val="00A83B7B"/>
    <w:rsid w:val="00A84274"/>
    <w:rsid w:val="00A850F3"/>
    <w:rsid w:val="00A864E3"/>
    <w:rsid w:val="00A919C1"/>
    <w:rsid w:val="00A94574"/>
    <w:rsid w:val="00A95936"/>
    <w:rsid w:val="00A96265"/>
    <w:rsid w:val="00A97084"/>
    <w:rsid w:val="00AA1C2C"/>
    <w:rsid w:val="00AA35F6"/>
    <w:rsid w:val="00AA4335"/>
    <w:rsid w:val="00AA667C"/>
    <w:rsid w:val="00AA6E91"/>
    <w:rsid w:val="00AA7439"/>
    <w:rsid w:val="00AB047E"/>
    <w:rsid w:val="00AB0B0A"/>
    <w:rsid w:val="00AB0BB7"/>
    <w:rsid w:val="00AB1BAF"/>
    <w:rsid w:val="00AB22C6"/>
    <w:rsid w:val="00AB2AD0"/>
    <w:rsid w:val="00AB39F1"/>
    <w:rsid w:val="00AB41E6"/>
    <w:rsid w:val="00AB43F3"/>
    <w:rsid w:val="00AB4E15"/>
    <w:rsid w:val="00AB67FC"/>
    <w:rsid w:val="00AB72D0"/>
    <w:rsid w:val="00AC00F2"/>
    <w:rsid w:val="00AC1B41"/>
    <w:rsid w:val="00AC31B5"/>
    <w:rsid w:val="00AC4EA1"/>
    <w:rsid w:val="00AC5381"/>
    <w:rsid w:val="00AC5920"/>
    <w:rsid w:val="00AC6843"/>
    <w:rsid w:val="00AC7C62"/>
    <w:rsid w:val="00AD0E65"/>
    <w:rsid w:val="00AD2B8F"/>
    <w:rsid w:val="00AD2BF2"/>
    <w:rsid w:val="00AD2C41"/>
    <w:rsid w:val="00AD4E90"/>
    <w:rsid w:val="00AD5422"/>
    <w:rsid w:val="00AD5D09"/>
    <w:rsid w:val="00AD6C8D"/>
    <w:rsid w:val="00AD702A"/>
    <w:rsid w:val="00AD7567"/>
    <w:rsid w:val="00AD78F9"/>
    <w:rsid w:val="00AE0373"/>
    <w:rsid w:val="00AE4179"/>
    <w:rsid w:val="00AE41AC"/>
    <w:rsid w:val="00AE4425"/>
    <w:rsid w:val="00AE4BBB"/>
    <w:rsid w:val="00AE4FBE"/>
    <w:rsid w:val="00AE59DC"/>
    <w:rsid w:val="00AE650F"/>
    <w:rsid w:val="00AE6555"/>
    <w:rsid w:val="00AE7D16"/>
    <w:rsid w:val="00AF1188"/>
    <w:rsid w:val="00AF2B36"/>
    <w:rsid w:val="00AF3BC2"/>
    <w:rsid w:val="00AF3ED4"/>
    <w:rsid w:val="00AF4CAA"/>
    <w:rsid w:val="00AF571A"/>
    <w:rsid w:val="00AF60A0"/>
    <w:rsid w:val="00AF67FC"/>
    <w:rsid w:val="00AF7DF5"/>
    <w:rsid w:val="00B006E5"/>
    <w:rsid w:val="00B012A6"/>
    <w:rsid w:val="00B024C2"/>
    <w:rsid w:val="00B03A1A"/>
    <w:rsid w:val="00B06FA7"/>
    <w:rsid w:val="00B07700"/>
    <w:rsid w:val="00B104A2"/>
    <w:rsid w:val="00B127D4"/>
    <w:rsid w:val="00B13921"/>
    <w:rsid w:val="00B1528C"/>
    <w:rsid w:val="00B16ACD"/>
    <w:rsid w:val="00B173F7"/>
    <w:rsid w:val="00B21487"/>
    <w:rsid w:val="00B22B2E"/>
    <w:rsid w:val="00B232D1"/>
    <w:rsid w:val="00B23A58"/>
    <w:rsid w:val="00B24DB5"/>
    <w:rsid w:val="00B2519B"/>
    <w:rsid w:val="00B25EB4"/>
    <w:rsid w:val="00B26AFD"/>
    <w:rsid w:val="00B30365"/>
    <w:rsid w:val="00B30BE7"/>
    <w:rsid w:val="00B30C92"/>
    <w:rsid w:val="00B312E2"/>
    <w:rsid w:val="00B31F9E"/>
    <w:rsid w:val="00B3268F"/>
    <w:rsid w:val="00B32884"/>
    <w:rsid w:val="00B32C2C"/>
    <w:rsid w:val="00B33A1A"/>
    <w:rsid w:val="00B33E6C"/>
    <w:rsid w:val="00B34C4B"/>
    <w:rsid w:val="00B3539D"/>
    <w:rsid w:val="00B371CC"/>
    <w:rsid w:val="00B37395"/>
    <w:rsid w:val="00B41CD9"/>
    <w:rsid w:val="00B427E6"/>
    <w:rsid w:val="00B428A6"/>
    <w:rsid w:val="00B43E1F"/>
    <w:rsid w:val="00B45A6E"/>
    <w:rsid w:val="00B45FBC"/>
    <w:rsid w:val="00B46026"/>
    <w:rsid w:val="00B470A8"/>
    <w:rsid w:val="00B51A7D"/>
    <w:rsid w:val="00B52D0A"/>
    <w:rsid w:val="00B535C2"/>
    <w:rsid w:val="00B55544"/>
    <w:rsid w:val="00B62750"/>
    <w:rsid w:val="00B642FC"/>
    <w:rsid w:val="00B64D26"/>
    <w:rsid w:val="00B64FBB"/>
    <w:rsid w:val="00B65FFE"/>
    <w:rsid w:val="00B66182"/>
    <w:rsid w:val="00B67E49"/>
    <w:rsid w:val="00B70E22"/>
    <w:rsid w:val="00B72E1B"/>
    <w:rsid w:val="00B73EBC"/>
    <w:rsid w:val="00B743F6"/>
    <w:rsid w:val="00B74522"/>
    <w:rsid w:val="00B76912"/>
    <w:rsid w:val="00B774CB"/>
    <w:rsid w:val="00B77706"/>
    <w:rsid w:val="00B80402"/>
    <w:rsid w:val="00B80B9A"/>
    <w:rsid w:val="00B830B7"/>
    <w:rsid w:val="00B848EA"/>
    <w:rsid w:val="00B84B2B"/>
    <w:rsid w:val="00B90500"/>
    <w:rsid w:val="00B9058A"/>
    <w:rsid w:val="00B9176C"/>
    <w:rsid w:val="00B91A28"/>
    <w:rsid w:val="00B935A4"/>
    <w:rsid w:val="00B94007"/>
    <w:rsid w:val="00B94FFB"/>
    <w:rsid w:val="00B96A1B"/>
    <w:rsid w:val="00BA3DF6"/>
    <w:rsid w:val="00BA561A"/>
    <w:rsid w:val="00BA692F"/>
    <w:rsid w:val="00BB00A1"/>
    <w:rsid w:val="00BB07BA"/>
    <w:rsid w:val="00BB0DC6"/>
    <w:rsid w:val="00BB15E4"/>
    <w:rsid w:val="00BB1E19"/>
    <w:rsid w:val="00BB21D1"/>
    <w:rsid w:val="00BB32F2"/>
    <w:rsid w:val="00BB4338"/>
    <w:rsid w:val="00BB4645"/>
    <w:rsid w:val="00BB52F7"/>
    <w:rsid w:val="00BB55F1"/>
    <w:rsid w:val="00BB6C0E"/>
    <w:rsid w:val="00BB6E96"/>
    <w:rsid w:val="00BB7B38"/>
    <w:rsid w:val="00BC11E5"/>
    <w:rsid w:val="00BC3CCE"/>
    <w:rsid w:val="00BC4BC6"/>
    <w:rsid w:val="00BC52FD"/>
    <w:rsid w:val="00BC6E62"/>
    <w:rsid w:val="00BC7443"/>
    <w:rsid w:val="00BD0648"/>
    <w:rsid w:val="00BD1040"/>
    <w:rsid w:val="00BD22EC"/>
    <w:rsid w:val="00BD34AA"/>
    <w:rsid w:val="00BE0C44"/>
    <w:rsid w:val="00BE1B8B"/>
    <w:rsid w:val="00BE2A18"/>
    <w:rsid w:val="00BE2C01"/>
    <w:rsid w:val="00BE41EC"/>
    <w:rsid w:val="00BE5506"/>
    <w:rsid w:val="00BE56FB"/>
    <w:rsid w:val="00BE5E03"/>
    <w:rsid w:val="00BF0F6E"/>
    <w:rsid w:val="00BF3DDE"/>
    <w:rsid w:val="00BF4CD6"/>
    <w:rsid w:val="00BF5C82"/>
    <w:rsid w:val="00BF6589"/>
    <w:rsid w:val="00BF6DDF"/>
    <w:rsid w:val="00BF6F7F"/>
    <w:rsid w:val="00C00647"/>
    <w:rsid w:val="00C02764"/>
    <w:rsid w:val="00C03A09"/>
    <w:rsid w:val="00C04CEF"/>
    <w:rsid w:val="00C05EC2"/>
    <w:rsid w:val="00C0662F"/>
    <w:rsid w:val="00C11943"/>
    <w:rsid w:val="00C11ED6"/>
    <w:rsid w:val="00C1256F"/>
    <w:rsid w:val="00C12E96"/>
    <w:rsid w:val="00C14011"/>
    <w:rsid w:val="00C14763"/>
    <w:rsid w:val="00C16141"/>
    <w:rsid w:val="00C178EA"/>
    <w:rsid w:val="00C17F1B"/>
    <w:rsid w:val="00C21554"/>
    <w:rsid w:val="00C218D5"/>
    <w:rsid w:val="00C21C34"/>
    <w:rsid w:val="00C21F4A"/>
    <w:rsid w:val="00C2363F"/>
    <w:rsid w:val="00C236C8"/>
    <w:rsid w:val="00C25A1C"/>
    <w:rsid w:val="00C260B1"/>
    <w:rsid w:val="00C26E56"/>
    <w:rsid w:val="00C31406"/>
    <w:rsid w:val="00C31AED"/>
    <w:rsid w:val="00C31BBB"/>
    <w:rsid w:val="00C31D6D"/>
    <w:rsid w:val="00C32815"/>
    <w:rsid w:val="00C3352D"/>
    <w:rsid w:val="00C37194"/>
    <w:rsid w:val="00C40637"/>
    <w:rsid w:val="00C40EDF"/>
    <w:rsid w:val="00C40F6C"/>
    <w:rsid w:val="00C42512"/>
    <w:rsid w:val="00C44426"/>
    <w:rsid w:val="00C445F3"/>
    <w:rsid w:val="00C44720"/>
    <w:rsid w:val="00C451F4"/>
    <w:rsid w:val="00C45322"/>
    <w:rsid w:val="00C45EB1"/>
    <w:rsid w:val="00C51993"/>
    <w:rsid w:val="00C54A3A"/>
    <w:rsid w:val="00C55566"/>
    <w:rsid w:val="00C56448"/>
    <w:rsid w:val="00C611C8"/>
    <w:rsid w:val="00C662E3"/>
    <w:rsid w:val="00C667BE"/>
    <w:rsid w:val="00C6766B"/>
    <w:rsid w:val="00C72223"/>
    <w:rsid w:val="00C75DB8"/>
    <w:rsid w:val="00C76417"/>
    <w:rsid w:val="00C7726F"/>
    <w:rsid w:val="00C77DB0"/>
    <w:rsid w:val="00C81737"/>
    <w:rsid w:val="00C81BB5"/>
    <w:rsid w:val="00C823DA"/>
    <w:rsid w:val="00C8259F"/>
    <w:rsid w:val="00C82746"/>
    <w:rsid w:val="00C8312F"/>
    <w:rsid w:val="00C84C47"/>
    <w:rsid w:val="00C858A4"/>
    <w:rsid w:val="00C86AFA"/>
    <w:rsid w:val="00C87972"/>
    <w:rsid w:val="00C92C99"/>
    <w:rsid w:val="00C97648"/>
    <w:rsid w:val="00CA4FE9"/>
    <w:rsid w:val="00CB10F5"/>
    <w:rsid w:val="00CB18D0"/>
    <w:rsid w:val="00CB1C8A"/>
    <w:rsid w:val="00CB24F5"/>
    <w:rsid w:val="00CB2663"/>
    <w:rsid w:val="00CB3BBE"/>
    <w:rsid w:val="00CB59E9"/>
    <w:rsid w:val="00CB7114"/>
    <w:rsid w:val="00CC0D6A"/>
    <w:rsid w:val="00CC1B35"/>
    <w:rsid w:val="00CC35DC"/>
    <w:rsid w:val="00CC3831"/>
    <w:rsid w:val="00CC3E3D"/>
    <w:rsid w:val="00CC4399"/>
    <w:rsid w:val="00CC519B"/>
    <w:rsid w:val="00CC5273"/>
    <w:rsid w:val="00CD11D3"/>
    <w:rsid w:val="00CD12C1"/>
    <w:rsid w:val="00CD214E"/>
    <w:rsid w:val="00CD46FA"/>
    <w:rsid w:val="00CD5973"/>
    <w:rsid w:val="00CD5F86"/>
    <w:rsid w:val="00CD6BD1"/>
    <w:rsid w:val="00CE245E"/>
    <w:rsid w:val="00CE31A6"/>
    <w:rsid w:val="00CF009D"/>
    <w:rsid w:val="00CF09AA"/>
    <w:rsid w:val="00CF189A"/>
    <w:rsid w:val="00CF4813"/>
    <w:rsid w:val="00CF5233"/>
    <w:rsid w:val="00CF550B"/>
    <w:rsid w:val="00D00727"/>
    <w:rsid w:val="00D029B8"/>
    <w:rsid w:val="00D02F60"/>
    <w:rsid w:val="00D02FB5"/>
    <w:rsid w:val="00D04202"/>
    <w:rsid w:val="00D0464E"/>
    <w:rsid w:val="00D04A96"/>
    <w:rsid w:val="00D07A7B"/>
    <w:rsid w:val="00D10621"/>
    <w:rsid w:val="00D10B62"/>
    <w:rsid w:val="00D10E06"/>
    <w:rsid w:val="00D12D81"/>
    <w:rsid w:val="00D15197"/>
    <w:rsid w:val="00D16392"/>
    <w:rsid w:val="00D16820"/>
    <w:rsid w:val="00D169C8"/>
    <w:rsid w:val="00D1793F"/>
    <w:rsid w:val="00D208EF"/>
    <w:rsid w:val="00D22AF5"/>
    <w:rsid w:val="00D23076"/>
    <w:rsid w:val="00D235EA"/>
    <w:rsid w:val="00D247A9"/>
    <w:rsid w:val="00D25F2F"/>
    <w:rsid w:val="00D32188"/>
    <w:rsid w:val="00D32721"/>
    <w:rsid w:val="00D328DC"/>
    <w:rsid w:val="00D33387"/>
    <w:rsid w:val="00D336D5"/>
    <w:rsid w:val="00D34BF7"/>
    <w:rsid w:val="00D402FB"/>
    <w:rsid w:val="00D405DB"/>
    <w:rsid w:val="00D41D51"/>
    <w:rsid w:val="00D44003"/>
    <w:rsid w:val="00D441B3"/>
    <w:rsid w:val="00D46CA4"/>
    <w:rsid w:val="00D47149"/>
    <w:rsid w:val="00D47D7A"/>
    <w:rsid w:val="00D50ABD"/>
    <w:rsid w:val="00D51216"/>
    <w:rsid w:val="00D55290"/>
    <w:rsid w:val="00D57791"/>
    <w:rsid w:val="00D6005D"/>
    <w:rsid w:val="00D6046A"/>
    <w:rsid w:val="00D62870"/>
    <w:rsid w:val="00D655D9"/>
    <w:rsid w:val="00D65872"/>
    <w:rsid w:val="00D65B2F"/>
    <w:rsid w:val="00D676F3"/>
    <w:rsid w:val="00D70EF5"/>
    <w:rsid w:val="00D70F5F"/>
    <w:rsid w:val="00D71024"/>
    <w:rsid w:val="00D71147"/>
    <w:rsid w:val="00D71A25"/>
    <w:rsid w:val="00D71D52"/>
    <w:rsid w:val="00D71FCF"/>
    <w:rsid w:val="00D72181"/>
    <w:rsid w:val="00D72A54"/>
    <w:rsid w:val="00D72CC1"/>
    <w:rsid w:val="00D73BEE"/>
    <w:rsid w:val="00D76EC9"/>
    <w:rsid w:val="00D80E7D"/>
    <w:rsid w:val="00D81397"/>
    <w:rsid w:val="00D81433"/>
    <w:rsid w:val="00D81CE2"/>
    <w:rsid w:val="00D8281D"/>
    <w:rsid w:val="00D835D8"/>
    <w:rsid w:val="00D848B9"/>
    <w:rsid w:val="00D8670B"/>
    <w:rsid w:val="00D90E69"/>
    <w:rsid w:val="00D91368"/>
    <w:rsid w:val="00D93106"/>
    <w:rsid w:val="00D933E9"/>
    <w:rsid w:val="00D93E30"/>
    <w:rsid w:val="00D9505D"/>
    <w:rsid w:val="00D953D0"/>
    <w:rsid w:val="00D958BB"/>
    <w:rsid w:val="00D959F5"/>
    <w:rsid w:val="00D96884"/>
    <w:rsid w:val="00D96989"/>
    <w:rsid w:val="00DA0934"/>
    <w:rsid w:val="00DA12FB"/>
    <w:rsid w:val="00DA134E"/>
    <w:rsid w:val="00DA3FDD"/>
    <w:rsid w:val="00DA4F55"/>
    <w:rsid w:val="00DA7017"/>
    <w:rsid w:val="00DA7028"/>
    <w:rsid w:val="00DB0FA2"/>
    <w:rsid w:val="00DB1AD2"/>
    <w:rsid w:val="00DB2B58"/>
    <w:rsid w:val="00DB5206"/>
    <w:rsid w:val="00DB6276"/>
    <w:rsid w:val="00DB63F5"/>
    <w:rsid w:val="00DC1C6B"/>
    <w:rsid w:val="00DC2C2E"/>
    <w:rsid w:val="00DC4AF0"/>
    <w:rsid w:val="00DC6876"/>
    <w:rsid w:val="00DC7886"/>
    <w:rsid w:val="00DD0CF2"/>
    <w:rsid w:val="00DD0F82"/>
    <w:rsid w:val="00DD3EF1"/>
    <w:rsid w:val="00DE1554"/>
    <w:rsid w:val="00DE2901"/>
    <w:rsid w:val="00DE590F"/>
    <w:rsid w:val="00DE7808"/>
    <w:rsid w:val="00DE7DC1"/>
    <w:rsid w:val="00DF10EB"/>
    <w:rsid w:val="00DF302F"/>
    <w:rsid w:val="00DF3F7E"/>
    <w:rsid w:val="00DF7648"/>
    <w:rsid w:val="00E00E29"/>
    <w:rsid w:val="00E0154D"/>
    <w:rsid w:val="00E02BAB"/>
    <w:rsid w:val="00E03E80"/>
    <w:rsid w:val="00E04CEB"/>
    <w:rsid w:val="00E060BC"/>
    <w:rsid w:val="00E07BD6"/>
    <w:rsid w:val="00E103B2"/>
    <w:rsid w:val="00E11420"/>
    <w:rsid w:val="00E132FB"/>
    <w:rsid w:val="00E14A3B"/>
    <w:rsid w:val="00E170B7"/>
    <w:rsid w:val="00E177DD"/>
    <w:rsid w:val="00E17A49"/>
    <w:rsid w:val="00E2012F"/>
    <w:rsid w:val="00E20900"/>
    <w:rsid w:val="00E20C7F"/>
    <w:rsid w:val="00E2396E"/>
    <w:rsid w:val="00E2446C"/>
    <w:rsid w:val="00E24728"/>
    <w:rsid w:val="00E25046"/>
    <w:rsid w:val="00E2654B"/>
    <w:rsid w:val="00E276AC"/>
    <w:rsid w:val="00E30A44"/>
    <w:rsid w:val="00E34A35"/>
    <w:rsid w:val="00E3571C"/>
    <w:rsid w:val="00E376E8"/>
    <w:rsid w:val="00E37C2F"/>
    <w:rsid w:val="00E41C28"/>
    <w:rsid w:val="00E42BCC"/>
    <w:rsid w:val="00E43D11"/>
    <w:rsid w:val="00E44EF0"/>
    <w:rsid w:val="00E46308"/>
    <w:rsid w:val="00E51E17"/>
    <w:rsid w:val="00E52DAB"/>
    <w:rsid w:val="00E539B0"/>
    <w:rsid w:val="00E55685"/>
    <w:rsid w:val="00E55994"/>
    <w:rsid w:val="00E60606"/>
    <w:rsid w:val="00E60C66"/>
    <w:rsid w:val="00E6164D"/>
    <w:rsid w:val="00E618C9"/>
    <w:rsid w:val="00E62774"/>
    <w:rsid w:val="00E6307C"/>
    <w:rsid w:val="00E636FA"/>
    <w:rsid w:val="00E66868"/>
    <w:rsid w:val="00E66C50"/>
    <w:rsid w:val="00E679D3"/>
    <w:rsid w:val="00E71208"/>
    <w:rsid w:val="00E71444"/>
    <w:rsid w:val="00E71C91"/>
    <w:rsid w:val="00E720A1"/>
    <w:rsid w:val="00E72AA2"/>
    <w:rsid w:val="00E72FFE"/>
    <w:rsid w:val="00E74DF2"/>
    <w:rsid w:val="00E75DDA"/>
    <w:rsid w:val="00E773E8"/>
    <w:rsid w:val="00E80B91"/>
    <w:rsid w:val="00E811A9"/>
    <w:rsid w:val="00E8388F"/>
    <w:rsid w:val="00E83ADD"/>
    <w:rsid w:val="00E84F38"/>
    <w:rsid w:val="00E85623"/>
    <w:rsid w:val="00E86A80"/>
    <w:rsid w:val="00E87441"/>
    <w:rsid w:val="00E8794F"/>
    <w:rsid w:val="00E91FAE"/>
    <w:rsid w:val="00E9300D"/>
    <w:rsid w:val="00E95F1A"/>
    <w:rsid w:val="00E969B6"/>
    <w:rsid w:val="00E96E3F"/>
    <w:rsid w:val="00EA270C"/>
    <w:rsid w:val="00EA420A"/>
    <w:rsid w:val="00EA4287"/>
    <w:rsid w:val="00EA4974"/>
    <w:rsid w:val="00EA532E"/>
    <w:rsid w:val="00EA7F48"/>
    <w:rsid w:val="00EB06D9"/>
    <w:rsid w:val="00EB192B"/>
    <w:rsid w:val="00EB19ED"/>
    <w:rsid w:val="00EB1CAB"/>
    <w:rsid w:val="00EC0F5A"/>
    <w:rsid w:val="00EC4265"/>
    <w:rsid w:val="00EC481C"/>
    <w:rsid w:val="00EC4CEB"/>
    <w:rsid w:val="00EC6168"/>
    <w:rsid w:val="00EC659E"/>
    <w:rsid w:val="00ED2072"/>
    <w:rsid w:val="00ED2AE0"/>
    <w:rsid w:val="00ED463A"/>
    <w:rsid w:val="00ED49C8"/>
    <w:rsid w:val="00ED4C60"/>
    <w:rsid w:val="00ED5553"/>
    <w:rsid w:val="00ED5E36"/>
    <w:rsid w:val="00ED626C"/>
    <w:rsid w:val="00ED6961"/>
    <w:rsid w:val="00ED7FBE"/>
    <w:rsid w:val="00EE0F0E"/>
    <w:rsid w:val="00EE6F08"/>
    <w:rsid w:val="00EE7E79"/>
    <w:rsid w:val="00EF0B96"/>
    <w:rsid w:val="00EF3486"/>
    <w:rsid w:val="00EF47AF"/>
    <w:rsid w:val="00EF53B6"/>
    <w:rsid w:val="00EF7B2A"/>
    <w:rsid w:val="00F00B73"/>
    <w:rsid w:val="00F02FBE"/>
    <w:rsid w:val="00F0511A"/>
    <w:rsid w:val="00F05C83"/>
    <w:rsid w:val="00F0730A"/>
    <w:rsid w:val="00F115CA"/>
    <w:rsid w:val="00F1252E"/>
    <w:rsid w:val="00F13B1D"/>
    <w:rsid w:val="00F14817"/>
    <w:rsid w:val="00F14EBA"/>
    <w:rsid w:val="00F1510F"/>
    <w:rsid w:val="00F1533A"/>
    <w:rsid w:val="00F1598F"/>
    <w:rsid w:val="00F15E5A"/>
    <w:rsid w:val="00F17F0A"/>
    <w:rsid w:val="00F17F43"/>
    <w:rsid w:val="00F201DE"/>
    <w:rsid w:val="00F21935"/>
    <w:rsid w:val="00F2398B"/>
    <w:rsid w:val="00F2668F"/>
    <w:rsid w:val="00F2742F"/>
    <w:rsid w:val="00F2753B"/>
    <w:rsid w:val="00F33325"/>
    <w:rsid w:val="00F33F8B"/>
    <w:rsid w:val="00F340B2"/>
    <w:rsid w:val="00F346CE"/>
    <w:rsid w:val="00F41054"/>
    <w:rsid w:val="00F43390"/>
    <w:rsid w:val="00F4383D"/>
    <w:rsid w:val="00F43DF5"/>
    <w:rsid w:val="00F443B2"/>
    <w:rsid w:val="00F450C9"/>
    <w:rsid w:val="00F458D8"/>
    <w:rsid w:val="00F46303"/>
    <w:rsid w:val="00F474A0"/>
    <w:rsid w:val="00F50237"/>
    <w:rsid w:val="00F53596"/>
    <w:rsid w:val="00F5436E"/>
    <w:rsid w:val="00F55BA8"/>
    <w:rsid w:val="00F55DB1"/>
    <w:rsid w:val="00F56ACA"/>
    <w:rsid w:val="00F600FE"/>
    <w:rsid w:val="00F62AE6"/>
    <w:rsid w:val="00F62E4D"/>
    <w:rsid w:val="00F66B34"/>
    <w:rsid w:val="00F675B9"/>
    <w:rsid w:val="00F679B8"/>
    <w:rsid w:val="00F711C9"/>
    <w:rsid w:val="00F7215E"/>
    <w:rsid w:val="00F727B6"/>
    <w:rsid w:val="00F74A30"/>
    <w:rsid w:val="00F74C59"/>
    <w:rsid w:val="00F75C3A"/>
    <w:rsid w:val="00F82E30"/>
    <w:rsid w:val="00F831CB"/>
    <w:rsid w:val="00F84602"/>
    <w:rsid w:val="00F848A3"/>
    <w:rsid w:val="00F84ACF"/>
    <w:rsid w:val="00F85742"/>
    <w:rsid w:val="00F85BF8"/>
    <w:rsid w:val="00F85FF1"/>
    <w:rsid w:val="00F86B38"/>
    <w:rsid w:val="00F871CE"/>
    <w:rsid w:val="00F87802"/>
    <w:rsid w:val="00F87D4B"/>
    <w:rsid w:val="00F92C0A"/>
    <w:rsid w:val="00F93AA6"/>
    <w:rsid w:val="00F9415B"/>
    <w:rsid w:val="00F96BED"/>
    <w:rsid w:val="00FA13C2"/>
    <w:rsid w:val="00FA4E1F"/>
    <w:rsid w:val="00FA671E"/>
    <w:rsid w:val="00FA7F91"/>
    <w:rsid w:val="00FB121C"/>
    <w:rsid w:val="00FB196B"/>
    <w:rsid w:val="00FB1CDD"/>
    <w:rsid w:val="00FB2AF5"/>
    <w:rsid w:val="00FB2C2F"/>
    <w:rsid w:val="00FB2D3D"/>
    <w:rsid w:val="00FB305C"/>
    <w:rsid w:val="00FB48EF"/>
    <w:rsid w:val="00FB50E6"/>
    <w:rsid w:val="00FB66A5"/>
    <w:rsid w:val="00FB6B69"/>
    <w:rsid w:val="00FC0573"/>
    <w:rsid w:val="00FC07DC"/>
    <w:rsid w:val="00FC141E"/>
    <w:rsid w:val="00FC2668"/>
    <w:rsid w:val="00FC2E3D"/>
    <w:rsid w:val="00FC3BDE"/>
    <w:rsid w:val="00FC4418"/>
    <w:rsid w:val="00FC44C5"/>
    <w:rsid w:val="00FC7B78"/>
    <w:rsid w:val="00FD0BEC"/>
    <w:rsid w:val="00FD1347"/>
    <w:rsid w:val="00FD1DBE"/>
    <w:rsid w:val="00FD25A7"/>
    <w:rsid w:val="00FD27B6"/>
    <w:rsid w:val="00FD2B0B"/>
    <w:rsid w:val="00FD3689"/>
    <w:rsid w:val="00FD42A3"/>
    <w:rsid w:val="00FD7468"/>
    <w:rsid w:val="00FD7CE0"/>
    <w:rsid w:val="00FE0B3B"/>
    <w:rsid w:val="00FE1BE2"/>
    <w:rsid w:val="00FE2DB6"/>
    <w:rsid w:val="00FE2FCA"/>
    <w:rsid w:val="00FE311B"/>
    <w:rsid w:val="00FE4ED1"/>
    <w:rsid w:val="00FE5749"/>
    <w:rsid w:val="00FE5F72"/>
    <w:rsid w:val="00FE730A"/>
    <w:rsid w:val="00FF1A6B"/>
    <w:rsid w:val="00FF1DD7"/>
    <w:rsid w:val="00FF4453"/>
    <w:rsid w:val="00FF60DA"/>
    <w:rsid w:val="00FF6123"/>
    <w:rsid w:val="00FF6FB4"/>
    <w:rsid w:val="00FF79B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9F64AAC"/>
  <w15:docId w15:val="{02AF3EE3-63B8-4F5B-ACCA-0201230A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7CB8"/>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A61850"/>
    <w:rPr>
      <w:color w:val="0000FF" w:themeColor="hyperlink"/>
      <w:u w:val="single"/>
    </w:rPr>
  </w:style>
  <w:style w:type="paragraph" w:styleId="Tekstprzypisukocowego">
    <w:name w:val="endnote text"/>
    <w:basedOn w:val="Normalny"/>
    <w:link w:val="TekstprzypisukocowegoZnak"/>
    <w:uiPriority w:val="99"/>
    <w:semiHidden/>
    <w:unhideWhenUsed/>
    <w:rsid w:val="00B46026"/>
    <w:pPr>
      <w:spacing w:line="240" w:lineRule="auto"/>
    </w:pPr>
    <w:rPr>
      <w:rFonts w:ascii="Arial" w:eastAsia="Times New Roman" w:hAnsi="Arial" w:cs="Times New Roman"/>
      <w:sz w:val="20"/>
    </w:rPr>
  </w:style>
  <w:style w:type="character" w:customStyle="1" w:styleId="TekstprzypisukocowegoZnak">
    <w:name w:val="Tekst przypisu końcowego Znak"/>
    <w:basedOn w:val="Domylnaczcionkaakapitu"/>
    <w:link w:val="Tekstprzypisukocowego"/>
    <w:uiPriority w:val="99"/>
    <w:semiHidden/>
    <w:rsid w:val="00B46026"/>
    <w:rPr>
      <w:rFonts w:ascii="Arial" w:hAnsi="Arial"/>
      <w:sz w:val="20"/>
      <w:szCs w:val="20"/>
    </w:rPr>
  </w:style>
  <w:style w:type="paragraph" w:styleId="Poprawka">
    <w:name w:val="Revision"/>
    <w:uiPriority w:val="99"/>
    <w:semiHidden/>
    <w:rsid w:val="00B46026"/>
    <w:pPr>
      <w:spacing w:line="240" w:lineRule="auto"/>
    </w:pPr>
    <w:rPr>
      <w:rFonts w:ascii="Arial" w:hAnsi="Arial"/>
      <w:sz w:val="20"/>
      <w:szCs w:val="20"/>
    </w:rPr>
  </w:style>
  <w:style w:type="paragraph" w:styleId="Akapitzlist">
    <w:name w:val="List Paragraph"/>
    <w:basedOn w:val="Normalny"/>
    <w:uiPriority w:val="34"/>
    <w:qFormat/>
    <w:rsid w:val="00B46026"/>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character" w:styleId="Odwoanieprzypisukocowego">
    <w:name w:val="endnote reference"/>
    <w:basedOn w:val="Domylnaczcionkaakapitu"/>
    <w:uiPriority w:val="99"/>
    <w:semiHidden/>
    <w:unhideWhenUsed/>
    <w:rsid w:val="00B46026"/>
    <w:rPr>
      <w:rFonts w:ascii="Times New Roman" w:hAnsi="Times New Roman" w:cs="Times New Roman" w:hint="default"/>
      <w:vertAlign w:val="superscript"/>
    </w:rPr>
  </w:style>
  <w:style w:type="character" w:styleId="UyteHipercze">
    <w:name w:val="FollowedHyperlink"/>
    <w:basedOn w:val="Domylnaczcionkaakapitu"/>
    <w:uiPriority w:val="99"/>
    <w:unhideWhenUsed/>
    <w:rsid w:val="00EA42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3547">
      <w:bodyDiv w:val="1"/>
      <w:marLeft w:val="0"/>
      <w:marRight w:val="0"/>
      <w:marTop w:val="0"/>
      <w:marBottom w:val="0"/>
      <w:divBdr>
        <w:top w:val="none" w:sz="0" w:space="0" w:color="auto"/>
        <w:left w:val="none" w:sz="0" w:space="0" w:color="auto"/>
        <w:bottom w:val="none" w:sz="0" w:space="0" w:color="auto"/>
        <w:right w:val="none" w:sz="0" w:space="0" w:color="auto"/>
      </w:divBdr>
    </w:div>
    <w:div w:id="5834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4470\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AB33C1-36D3-4794-9E47-7A68483D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9</Pages>
  <Words>2653</Words>
  <Characters>17589</Characters>
  <Application>Microsoft Office Word</Application>
  <DocSecurity>0</DocSecurity>
  <Lines>146</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Monika Okrzesik</dc:creator>
  <cp:lastModifiedBy>Grzegorz Molesztak</cp:lastModifiedBy>
  <cp:revision>3</cp:revision>
  <cp:lastPrinted>2019-07-03T07:53:00Z</cp:lastPrinted>
  <dcterms:created xsi:type="dcterms:W3CDTF">2019-08-14T14:40:00Z</dcterms:created>
  <dcterms:modified xsi:type="dcterms:W3CDTF">2019-08-20T07:33:00Z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