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399" w:rsidRDefault="00537DDB">
      <w:pPr>
        <w:widowControl/>
        <w:spacing w:line="240" w:lineRule="auto"/>
        <w:jc w:val="right"/>
        <w:rPr>
          <w:szCs w:val="24"/>
          <w:u w:val="single"/>
        </w:rPr>
      </w:pPr>
      <w:bookmarkStart w:id="0" w:name="_GoBack"/>
      <w:bookmarkEnd w:id="0"/>
      <w:r>
        <w:rPr>
          <w:szCs w:val="24"/>
          <w:u w:val="single"/>
        </w:rPr>
        <w:t>projekt</w:t>
      </w:r>
    </w:p>
    <w:p w:rsidR="00001399" w:rsidRDefault="00001399">
      <w:pPr>
        <w:keepNext/>
        <w:widowControl/>
        <w:suppressAutoHyphens/>
        <w:spacing w:before="120" w:after="120" w:line="240" w:lineRule="auto"/>
        <w:jc w:val="center"/>
        <w:rPr>
          <w:rFonts w:ascii="Times" w:hAnsi="Times"/>
          <w:bCs/>
          <w:szCs w:val="24"/>
        </w:rPr>
      </w:pPr>
    </w:p>
    <w:p w:rsidR="00001399" w:rsidRDefault="00537DDB">
      <w:pPr>
        <w:keepNext/>
        <w:widowControl/>
        <w:suppressAutoHyphens/>
        <w:spacing w:after="120" w:line="240" w:lineRule="auto"/>
        <w:jc w:val="center"/>
        <w:rPr>
          <w:rFonts w:eastAsia="Times New Roman" w:cs="Times New Roman"/>
          <w:b/>
          <w:bCs/>
          <w:caps/>
          <w:spacing w:val="54"/>
          <w:szCs w:val="24"/>
        </w:rPr>
      </w:pPr>
      <w:r>
        <w:rPr>
          <w:rFonts w:eastAsia="Times New Roman" w:cs="Times New Roman"/>
          <w:b/>
          <w:bCs/>
          <w:caps/>
          <w:spacing w:val="54"/>
          <w:szCs w:val="24"/>
        </w:rPr>
        <w:t>ustawa</w:t>
      </w:r>
    </w:p>
    <w:p w:rsidR="00001399" w:rsidRDefault="00537DDB">
      <w:pPr>
        <w:keepNext/>
        <w:widowControl/>
        <w:suppressAutoHyphens/>
        <w:spacing w:before="120" w:after="120"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z dnia </w:t>
      </w:r>
    </w:p>
    <w:p w:rsidR="00001399" w:rsidRDefault="00537DDB" w:rsidP="004F3274">
      <w:pPr>
        <w:keepNext/>
        <w:widowControl/>
        <w:suppressAutoHyphens/>
        <w:spacing w:before="120" w:after="360" w:line="276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o zmianie ustawy o podatku akcyzowym </w:t>
      </w:r>
    </w:p>
    <w:p w:rsidR="00001399" w:rsidRDefault="00537DDB" w:rsidP="004F3274">
      <w:pPr>
        <w:widowControl/>
        <w:suppressAutoHyphens/>
        <w:spacing w:before="120" w:after="120" w:line="276" w:lineRule="auto"/>
        <w:ind w:firstLine="51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Art. 1.</w:t>
      </w:r>
      <w:r>
        <w:rPr>
          <w:rFonts w:cs="Times New Roman"/>
          <w:szCs w:val="24"/>
        </w:rPr>
        <w:t xml:space="preserve"> W ustawie z dnia 6 grudnia 2008 r. o podatku akcyzowym (Dz. U. z 2019 r. poz.  864, 1123, 1495, 1501, 1520 i 1556)  art. 105 otrzymuje następujące brzmienie:</w:t>
      </w:r>
    </w:p>
    <w:p w:rsidR="00001399" w:rsidRDefault="00537DDB" w:rsidP="004F3274">
      <w:pPr>
        <w:widowControl/>
        <w:suppressAutoHyphens/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„Art.105. Stawka akcyzy na samochody osobowe wynosi:</w:t>
      </w:r>
    </w:p>
    <w:p w:rsidR="00001399" w:rsidRDefault="00537DDB" w:rsidP="004F3274">
      <w:pPr>
        <w:widowControl/>
        <w:suppressAutoHyphens/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1) 18,6% podstawy opodatkowania – dla samochodów osobowych o pojemności silnika powyżej 2000 centymetrów sześciennych;</w:t>
      </w:r>
    </w:p>
    <w:p w:rsidR="00001399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2) 9,3% podstawy opodatkowania – dla samochodów osobowych:</w:t>
      </w:r>
    </w:p>
    <w:p w:rsidR="00001399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a) stanowiących pojazd samochodowy w rozumieniu art. 2 pkt 33 ustawy z dnia 20 czerwca 1997 r. - Prawo o ruchu drogowym (Dz. U.</w:t>
      </w:r>
      <w:r>
        <w:rPr>
          <w:szCs w:val="24"/>
        </w:rPr>
        <w:t xml:space="preserve">  z 2018 r. poz. 1990, z </w:t>
      </w:r>
      <w:proofErr w:type="spellStart"/>
      <w:r>
        <w:rPr>
          <w:szCs w:val="24"/>
        </w:rPr>
        <w:t>późn</w:t>
      </w:r>
      <w:proofErr w:type="spellEnd"/>
      <w:r>
        <w:rPr>
          <w:szCs w:val="24"/>
        </w:rPr>
        <w:t>. zm.</w:t>
      </w:r>
      <w:r>
        <w:rPr>
          <w:rStyle w:val="Zakotwiczenieprzypisudolnego"/>
          <w:szCs w:val="24"/>
        </w:rPr>
        <w:footnoteReference w:id="1"/>
      </w:r>
      <w:r>
        <w:rPr>
          <w:szCs w:val="24"/>
        </w:rPr>
        <w:t>)</w:t>
      </w:r>
      <w:r>
        <w:rPr>
          <w:rFonts w:cs="Times New Roman"/>
          <w:szCs w:val="24"/>
        </w:rPr>
        <w:t xml:space="preserve">, o hybrydowym napędzie </w:t>
      </w:r>
      <w:proofErr w:type="spellStart"/>
      <w:r>
        <w:rPr>
          <w:rFonts w:cs="Times New Roman"/>
          <w:szCs w:val="24"/>
        </w:rPr>
        <w:t>spalinowo-elektrycznym</w:t>
      </w:r>
      <w:proofErr w:type="spellEnd"/>
      <w:r>
        <w:rPr>
          <w:rFonts w:cs="Times New Roman"/>
          <w:szCs w:val="24"/>
        </w:rPr>
        <w:t>, w którym energia elektryczna nie jest akumulowana przez podłączenie do zewnętrznego źródła zasilania, o pojemności silnika wyższej niż 2000 centymetrów sześciennych, ale nie wyższej niż 3500 centymetrów sześciennych,</w:t>
      </w:r>
    </w:p>
    <w:p w:rsidR="00001399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b) stanowiących pojazd hybrydowy w rozumieniu art. 2 pkt 13 ustawy z dnia 16  maja 2019 r. o </w:t>
      </w:r>
      <w:proofErr w:type="spellStart"/>
      <w:r>
        <w:rPr>
          <w:rFonts w:cs="Times New Roman"/>
          <w:szCs w:val="24"/>
        </w:rPr>
        <w:t>elektromobilności</w:t>
      </w:r>
      <w:proofErr w:type="spellEnd"/>
      <w:r>
        <w:rPr>
          <w:rFonts w:cs="Times New Roman"/>
          <w:szCs w:val="24"/>
        </w:rPr>
        <w:t xml:space="preserve"> i paliwach alternatywnych (Dz.U. poz. 1124 i 1527) o pojemności silnika wyższej niż 2000 centymetrów sześciennych, ale nie wyższej niż 3500 centymetrów sześciennych;</w:t>
      </w:r>
    </w:p>
    <w:p w:rsidR="00001399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3) 1,55% podstawy opodatkowania – dla samochodów osobowych stanowiących pojazd samochodowy w rozumieniu art. 2 pkt 33 ustawy z dnia 20 czerwca 1997 r. - Prawo o ruchu drogowym, o hybrydowym napędzie </w:t>
      </w:r>
      <w:proofErr w:type="spellStart"/>
      <w:r>
        <w:rPr>
          <w:rFonts w:cs="Times New Roman"/>
          <w:szCs w:val="24"/>
        </w:rPr>
        <w:t>spalinowo-elektrycznym</w:t>
      </w:r>
      <w:proofErr w:type="spellEnd"/>
      <w:r>
        <w:rPr>
          <w:rFonts w:cs="Times New Roman"/>
          <w:szCs w:val="24"/>
        </w:rPr>
        <w:t>, w którym energia elektryczna nie jest akumulowana przez podłączenie do zewnętrznego źródła zasilania, o pojemności silnika spalinowego równej 2000 centymetrów sześciennych lub niższej;</w:t>
      </w:r>
    </w:p>
    <w:p w:rsidR="00001399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4) 3,1% podstawy opodatkowania – dla pozostałych samochodów osobowych.”</w:t>
      </w:r>
    </w:p>
    <w:p w:rsidR="00001399" w:rsidRDefault="00537DDB" w:rsidP="004F3274">
      <w:pPr>
        <w:spacing w:before="120" w:after="120" w:line="276" w:lineRule="auto"/>
        <w:ind w:firstLine="708"/>
      </w:pPr>
      <w:r>
        <w:rPr>
          <w:rFonts w:cs="Times New Roman"/>
          <w:b/>
          <w:szCs w:val="24"/>
        </w:rPr>
        <w:t>Art. 2.</w:t>
      </w:r>
      <w:r>
        <w:rPr>
          <w:rFonts w:cs="Times New Roman"/>
          <w:szCs w:val="24"/>
        </w:rPr>
        <w:t xml:space="preserve"> Jeżeli obowiązek podatkowy w akcyzie w stosunku  do samochodów osobowych, o których mowa w art. 105 pkt 2 i 3 ustawy zmienianej w art. 1, w brzmieniu nadanym niniejsza ustawą, powstał przed dniem wejścia w życie tej ustawy, do opodatkowania akcyzą tych samochodów stosuje się przepisy dotychczasowe.</w:t>
      </w:r>
    </w:p>
    <w:p w:rsidR="00001399" w:rsidRDefault="00537DDB" w:rsidP="004F3274">
      <w:pPr>
        <w:spacing w:before="120" w:after="120" w:line="276" w:lineRule="auto"/>
        <w:ind w:firstLine="708"/>
        <w:rPr>
          <w:rFonts w:cs="Times New Roman"/>
          <w:szCs w:val="24"/>
        </w:rPr>
      </w:pPr>
      <w:r>
        <w:rPr>
          <w:rFonts w:cs="Times New Roman"/>
          <w:b/>
          <w:szCs w:val="24"/>
        </w:rPr>
        <w:t>Art. 3.</w:t>
      </w:r>
      <w:r>
        <w:rPr>
          <w:rFonts w:cs="Times New Roman"/>
          <w:szCs w:val="24"/>
        </w:rPr>
        <w:t xml:space="preserve"> Ustawa wchodzi w życie pierwszego dnia drugiego miesiąca następującego po </w:t>
      </w:r>
    </w:p>
    <w:p w:rsidR="004F3274" w:rsidRDefault="00537DDB" w:rsidP="004F3274">
      <w:pPr>
        <w:spacing w:before="120" w:after="12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miesiącu ogłoszenia.</w:t>
      </w:r>
    </w:p>
    <w:p w:rsidR="004F3274" w:rsidRDefault="004F3274">
      <w:pPr>
        <w:spacing w:before="120" w:after="120" w:line="240" w:lineRule="auto"/>
        <w:rPr>
          <w:rFonts w:cs="Times New Roman"/>
          <w:szCs w:val="24"/>
        </w:rPr>
      </w:pPr>
    </w:p>
    <w:p w:rsidR="00001399" w:rsidRDefault="00001399">
      <w:pPr>
        <w:spacing w:before="120" w:after="120" w:line="240" w:lineRule="auto"/>
        <w:rPr>
          <w:rFonts w:cs="Times New Roman"/>
          <w:szCs w:val="24"/>
        </w:rPr>
      </w:pPr>
    </w:p>
    <w:sectPr w:rsidR="00001399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7F1" w:rsidRDefault="00F577F1">
      <w:pPr>
        <w:spacing w:line="240" w:lineRule="auto"/>
      </w:pPr>
      <w:r>
        <w:separator/>
      </w:r>
    </w:p>
  </w:endnote>
  <w:endnote w:type="continuationSeparator" w:id="0">
    <w:p w:rsidR="00F577F1" w:rsidRDefault="00F577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7F1" w:rsidRDefault="00F577F1">
      <w:r>
        <w:separator/>
      </w:r>
    </w:p>
  </w:footnote>
  <w:footnote w:type="continuationSeparator" w:id="0">
    <w:p w:rsidR="00F577F1" w:rsidRDefault="00F577F1">
      <w:r>
        <w:continuationSeparator/>
      </w:r>
    </w:p>
  </w:footnote>
  <w:footnote w:id="1">
    <w:p w:rsidR="00001399" w:rsidRDefault="00537DDB">
      <w:pPr>
        <w:pStyle w:val="Tekstprzypisudolnego"/>
      </w:pPr>
      <w:r>
        <w:rPr>
          <w:rStyle w:val="Odwoanieprzypisudolnego"/>
        </w:rPr>
        <w:footnoteRef/>
      </w:r>
      <w:r>
        <w:rPr>
          <w:rStyle w:val="Odwoanieprzypisudolnego"/>
        </w:rPr>
        <w:tab/>
      </w:r>
      <w:r>
        <w:t xml:space="preserve"> Zmiany tekstu jednolitego wymienionej ustawy zostały ogłoszone w Dz. U. z 2018 r. poz. 2244 i 2322 oraz z 2019 r. poz. 53, 60, 730, 752, 870, 1123, 1180, 1466 i 1501.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399"/>
    <w:rsid w:val="00001399"/>
    <w:rsid w:val="0019167F"/>
    <w:rsid w:val="00450F0B"/>
    <w:rsid w:val="004F3274"/>
    <w:rsid w:val="00537DDB"/>
    <w:rsid w:val="00551276"/>
    <w:rsid w:val="00F5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58369-633E-4E29-A7B4-EF35FF7C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3E4"/>
    <w:pPr>
      <w:widowControl w:val="0"/>
      <w:spacing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unhideWhenUsed/>
    <w:qFormat/>
    <w:rsid w:val="00EB63E4"/>
    <w:rPr>
      <w:rFonts w:ascii="Times New Roman" w:hAnsi="Times New Roman" w:cs="Times New Roman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EB63E4"/>
    <w:rPr>
      <w:b w:val="0"/>
      <w:bCs w:val="0"/>
      <w:i w:val="0"/>
      <w:iCs w:val="0"/>
      <w:vanish w:val="0"/>
      <w:spacing w:val="0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B63E4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1228D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1069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1069B"/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1069B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1069B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34764E"/>
    <w:rPr>
      <w:color w:val="0000FF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ODNONIKtreodnonika">
    <w:name w:val="ODNOŚNIK – treść odnośnika"/>
    <w:uiPriority w:val="19"/>
    <w:qFormat/>
    <w:rsid w:val="00EB63E4"/>
    <w:pPr>
      <w:spacing w:after="160" w:line="360" w:lineRule="auto"/>
      <w:ind w:left="284" w:hanging="284"/>
    </w:pPr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EB63E4"/>
    <w:pPr>
      <w:spacing w:line="240" w:lineRule="auto"/>
    </w:pPr>
    <w:rPr>
      <w:sz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1069B"/>
    <w:pPr>
      <w:spacing w:line="240" w:lineRule="auto"/>
    </w:pPr>
    <w:rPr>
      <w:sz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106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1069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Przypisdolny">
    <w:name w:val="Przypis dolny"/>
    <w:basedOn w:val="Normalny"/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customStyle="1" w:styleId="Tekstwstpniesformatowany">
    <w:name w:val="Tekst wstępnie sformatowany"/>
    <w:basedOn w:val="Normalny"/>
    <w:qFormat/>
    <w:rsid w:val="004F3274"/>
    <w:pPr>
      <w:spacing w:line="240" w:lineRule="auto"/>
      <w:jc w:val="left"/>
    </w:pPr>
    <w:rPr>
      <w:rFonts w:ascii="Liberation Mono" w:eastAsia="NSimSun" w:hAnsi="Liberation Mono" w:cs="Liberation Mono"/>
      <w:sz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23E47-DB7C-4201-958A-92A77096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2019-09-10T07:32:00Z</cp:lastPrinted>
  <dcterms:created xsi:type="dcterms:W3CDTF">2019-09-10T15:18:00Z</dcterms:created>
  <dcterms:modified xsi:type="dcterms:W3CDTF">2019-09-10T15:18:00Z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