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274" w:rsidRPr="004F3274" w:rsidRDefault="004F3274" w:rsidP="004F3274">
      <w:pPr>
        <w:pStyle w:val="Tretekstu"/>
        <w:widowControl/>
        <w:spacing w:after="0" w:line="276" w:lineRule="auto"/>
        <w:jc w:val="center"/>
        <w:rPr>
          <w:rFonts w:cs="Times New Roman"/>
          <w:b/>
          <w:color w:val="222222"/>
        </w:rPr>
      </w:pPr>
      <w:bookmarkStart w:id="0" w:name="_GoBack"/>
      <w:bookmarkEnd w:id="0"/>
      <w:r w:rsidRPr="004F3274">
        <w:rPr>
          <w:rFonts w:cs="Times New Roman"/>
          <w:b/>
          <w:color w:val="222222"/>
        </w:rPr>
        <w:t>UZASADNIENIE</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Dyrektywa 2014/94/UE nałożyła na państwa członkowskie obowiązek opracowania Krajowych ram polityki rozwoju infrastruktury paliw alternatywnych. Dokument ten stanowi strategię wyznaczającą cele w zakresie rozwoju rynku i infrastruktury paliw alternatywnych w transporcie. Zgodnie z wymaganiami dyrektywy 2014/94/UE oraz przewidywanym rozwojem rynku paliw alternatywnych w Polsce, dokument wyznacza cele dla infrastruktury służącej do ładowania pojazdów elektrycznych, tankowania gazem ziemnym pojazdów oraz bunkrowania gazem ziemnym jednostek pływających.</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Jednocześnie w Krajowych ramach polityki rozwoju infrastruktury paliw alternatywnych wskazano komplementarne środki w zakresie stymulacji rozwoju transportu nisko-emisyjnego niezwiązane bezpośrednio z infrastrukturą paliw alternatywnych spełniające jednak wymóg przynajmniej częściowego zastępowania źródeł energii pochodzących z ropy naftowej. W powołanym dokumencie wskazano na możliwość wykorzystania elektrycznych pojazdów hybrydowych jako jednego ze środków rozwoju rynku pojazdów napędzanych paliwami alternatywnymi, wskazując na obniżenie stawek podatku akcyzowego jako metodę realizacji tego celu. Niniejsza regulacja wdraża postanowienia Krajowych ram polityki rozwoju paliw alternatywnych w tym zakresie.</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W Planie Rozwoju Elektromobilności w Polsce (strategiczny dokument przyjęty przez Radę Ministrów w dniu 16 marca 2017 r.) zidentyfikowano szereg barier rozwoju elektromobilności. Stwierdzono, że równie ważne w kontekście wspierania budowy infrastruktury paliw alternatywnych jest jednoczesne promowanie całego ekosystemu elektromobilności, w tym przede wszystkim tworzenie zachęt dla nabywców pojazdów napędzanych paliwami alternatywnymi oraz producentów tego typu pojazdów. Wspomniany ekosystem nie będzie prawidłowo funkcjonował, jeżeli wraz z rozwojem infrastruktury i wzrostem podaży pojazdów, nie zostanie zwiększona promocja w zakresie ich wykorzystania, co przyczyni się do wzmocnienia społecznej świadomości dotyczącej zmiany modelu transportu na nisko- i zero-emisyjny.</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Przewidziano, że tworzenie się ekosystemu elektromobilności będzie procesem długotrwałym i musi uwzględniać istniejące w Polsce bariery. Zidentyfikowane problemy wynikają nie tylko z aktualnej fazy rozwoju rynku, ale w wielu aspektach z jego fakt</w:t>
      </w:r>
      <w:r>
        <w:rPr>
          <w:rFonts w:cs="Times New Roman"/>
          <w:color w:val="222222"/>
        </w:rPr>
        <w:t xml:space="preserve">ycznych braków lub zbyt wolnego </w:t>
      </w:r>
      <w:r w:rsidRPr="004F3274">
        <w:rPr>
          <w:rFonts w:cs="Times New Roman"/>
          <w:color w:val="222222"/>
        </w:rPr>
        <w:t>r</w:t>
      </w:r>
      <w:r>
        <w:rPr>
          <w:rFonts w:cs="Times New Roman"/>
          <w:color w:val="222222"/>
        </w:rPr>
        <w:t xml:space="preserve">ozwoju w perspektywie potrzeb i </w:t>
      </w:r>
      <w:r w:rsidRPr="004F3274">
        <w:rPr>
          <w:rFonts w:cs="Times New Roman"/>
          <w:color w:val="222222"/>
        </w:rPr>
        <w:t>celów związanych</w:t>
      </w:r>
      <w:r w:rsidRPr="004F3274">
        <w:rPr>
          <w:rFonts w:cs="Times New Roman"/>
          <w:color w:val="222222"/>
        </w:rPr>
        <w:br/>
        <w:t>z upowszechnieniem stosowania paliw alternatywnych w transporcie. Dodatkowo pożądane jest wprowadzenie dodatkowych instrumentów służących redukcji emisji CO</w:t>
      </w:r>
      <w:r w:rsidRPr="004F3274">
        <w:rPr>
          <w:rFonts w:cs="Times New Roman"/>
          <w:color w:val="222222"/>
        </w:rPr>
        <w:br/>
        <w:t xml:space="preserve">z sektora transportu przy konieczności - wpisanej m.in. w Polityce Energetycznej Polski do 2030 i dokumentach UE - znaczącego zmniejszania emisji CO. </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 xml:space="preserve">Ustawa o Elektromobiności i paliwach alternatywnych wprowadziła katalog pojazdów zero- i nisko-emisyjnych związanych bezpośrednio z wykorzystywaniem infrastruktury przygotowywanej dla tych paliw, tj. pojazd elektryczny, hybrydowy, napędzany wodorem oraz napędzany gazem ziemnym. Najbardziej dostępnym spośród tych pojazdów jest pojazd </w:t>
      </w:r>
      <w:r w:rsidRPr="004F3274">
        <w:rPr>
          <w:rFonts w:cs="Times New Roman"/>
          <w:color w:val="222222"/>
        </w:rPr>
        <w:lastRenderedPageBreak/>
        <w:t>hybrydowy. Dane rynkowe wskazują, że w Polsce zarejestrowano ok. 90 tys. tego rodzaju pojazdów i ten segment rynku stwarza poważne możliwości dla upowszechniania pojazdów nisko-emisyjnych i dalszej stymulacji stopniowego przechodzenia do pojazdów zero-emisyjnych. W związku ze skalą sprzedaży, pojazdy te mogą również spełnić niebagatelną rolę dla przyspieszenia procesu poprawy jakości powietrza w Polsce, szczególnie w zakresie emisji tlenków azotu i tlenku węgla. Z tego względu wdrożenie ograniczonego wsparcia przewidzianego dla tego typu pojazdów w Krajowych ramach polityki rozwoju infrastruktury paliw alternatywnych oraz w Planie Rozwoju Elektromobilności w Polsce jest w pełni uzasadnione.</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Dotychczas obowiązujące instrumenty w tym zakresie, wprowadzone Ustawą</w:t>
      </w:r>
      <w:r w:rsidRPr="004F3274">
        <w:rPr>
          <w:rFonts w:cs="Times New Roman"/>
          <w:color w:val="222222"/>
        </w:rPr>
        <w:br/>
        <w:t>o Elektromobilności, przewidywały czasowe zwolnienie z podatku akcyzowego dla pojazdów hybrydowych. Projektowane przepisy stanowią uzupełnienie tego instrumentu wprowadzane w celu przyspieszenia pożądanych zmian rynkowych oraz dostosowania stosowanych środków do właściwości technologii hybrydowej. Zespół napędowy</w:t>
      </w:r>
      <w:r w:rsidRPr="004F3274">
        <w:rPr>
          <w:rFonts w:cs="Times New Roman"/>
          <w:color w:val="222222"/>
        </w:rPr>
        <w:br/>
        <w:t>w elektrycznych pojazdach hybrydowych opiera się w przeważającej większości na jednostkach elektrycznych dużej mocy oraz współpracujących z nimi silnikach o dużej sprawności cieplnej, mniejszym stopniu sprężania i niższych temperaturach pracy. Taki układ napędowy zapewnia znaczne obniżenie emisji szkodliwych substancji. Dotychczasowa regulacja nie uwzględniała specyfiki tych napędów i stanowiła barierę dla rozwoju rynku napędów nisko-emisyjnych w tym zakresie.</w:t>
      </w:r>
    </w:p>
    <w:p w:rsidR="004F3274" w:rsidRPr="004F3274" w:rsidRDefault="004F3274" w:rsidP="004F3274">
      <w:pPr>
        <w:pStyle w:val="Tretekstu"/>
        <w:widowControl/>
        <w:spacing w:after="0" w:line="276" w:lineRule="auto"/>
        <w:rPr>
          <w:rFonts w:cs="Times New Roman"/>
          <w:color w:val="222222"/>
        </w:rPr>
      </w:pPr>
    </w:p>
    <w:p w:rsidR="004F3274" w:rsidRPr="004F3274" w:rsidRDefault="004F3274" w:rsidP="004F3274">
      <w:pPr>
        <w:pStyle w:val="Tretekstu"/>
        <w:widowControl/>
        <w:spacing w:after="0" w:line="276" w:lineRule="auto"/>
        <w:rPr>
          <w:rFonts w:cs="Times New Roman"/>
          <w:color w:val="222222"/>
        </w:rPr>
      </w:pPr>
      <w:r w:rsidRPr="004F3274">
        <w:rPr>
          <w:rFonts w:cs="Times New Roman"/>
          <w:color w:val="222222"/>
        </w:rPr>
        <w:t>Projektowane przepisy wprowadzają zmiany do ustawy z dnia 6 grudnia 2008 r. o podatku akcyzowym, wprowadzając obniżoną o 50% stawkę tego podatku dla pojazdów hybrydowych. Rozwiązanie to jest spójne z obowiązującym i utrzymanym w mocy całkowitym zwolnieniem z podatku dla elektrycznych pojazdów zero-emisyjnych. Zdaniem projektodawcy, zmiana korzystnie wpłynie na wzrost użytkowania pojazdów nisko-emisyjnych i przyczyni się do upowszechnienia i przyspieszenia transformacji rynkowej</w:t>
      </w:r>
      <w:r w:rsidRPr="004F3274">
        <w:rPr>
          <w:rFonts w:cs="Times New Roman"/>
          <w:color w:val="222222"/>
        </w:rPr>
        <w:br/>
        <w:t>w kierunku dalszego rozwoju rynku pojazdów napędzanych paliwami alternatywnymi,</w:t>
      </w:r>
      <w:r w:rsidRPr="004F3274">
        <w:rPr>
          <w:rFonts w:cs="Times New Roman"/>
          <w:color w:val="222222"/>
        </w:rPr>
        <w:br/>
        <w:t>a w konsekwencji ograniczenia emisji szkodliwych substancji i poprawy jakości powietrza w Polsce.</w:t>
      </w:r>
    </w:p>
    <w:p w:rsidR="004F3274" w:rsidRPr="004F3274" w:rsidRDefault="004F3274" w:rsidP="004F3274">
      <w:pPr>
        <w:pStyle w:val="Tekstwstpniesformatowany"/>
        <w:spacing w:line="276" w:lineRule="auto"/>
        <w:jc w:val="both"/>
        <w:rPr>
          <w:rFonts w:ascii="Times New Roman" w:hAnsi="Times New Roman" w:cs="Times New Roman"/>
          <w:sz w:val="24"/>
          <w:szCs w:val="24"/>
        </w:rPr>
      </w:pPr>
    </w:p>
    <w:p w:rsidR="004F3274" w:rsidRPr="004F3274" w:rsidRDefault="004F3274" w:rsidP="004F3274">
      <w:pPr>
        <w:pStyle w:val="Tekstwstpniesformatowany"/>
        <w:spacing w:line="276" w:lineRule="auto"/>
        <w:jc w:val="both"/>
        <w:rPr>
          <w:rFonts w:ascii="Times New Roman" w:hAnsi="Times New Roman" w:cs="Times New Roman"/>
          <w:sz w:val="24"/>
          <w:szCs w:val="24"/>
        </w:rPr>
      </w:pPr>
      <w:r w:rsidRPr="004F3274">
        <w:rPr>
          <w:rFonts w:ascii="Times New Roman" w:hAnsi="Times New Roman" w:cs="Times New Roman"/>
          <w:color w:val="222222"/>
          <w:sz w:val="24"/>
          <w:szCs w:val="24"/>
        </w:rPr>
        <w:t>Wpływ na sektor małych i średnich przedsiębiorstw.</w:t>
      </w:r>
    </w:p>
    <w:p w:rsidR="004F3274" w:rsidRPr="004F3274" w:rsidRDefault="004F3274" w:rsidP="004F3274">
      <w:pPr>
        <w:pStyle w:val="Tekstwstpniesformatowany"/>
        <w:spacing w:line="276" w:lineRule="auto"/>
        <w:jc w:val="both"/>
        <w:rPr>
          <w:rFonts w:ascii="Times New Roman" w:hAnsi="Times New Roman" w:cs="Times New Roman"/>
          <w:sz w:val="24"/>
          <w:szCs w:val="24"/>
        </w:rPr>
      </w:pPr>
      <w:r w:rsidRPr="004F3274">
        <w:rPr>
          <w:rFonts w:ascii="Times New Roman" w:hAnsi="Times New Roman" w:cs="Times New Roman"/>
          <w:color w:val="222222"/>
          <w:sz w:val="24"/>
          <w:szCs w:val="24"/>
        </w:rPr>
        <w:t>Przemysł samochodowy ze względu na swój rozmiar jest strategiczną gałęzią polskiej produkcji. Motoryzacyjne zakłady produkcyjne zlokalizowane są w całej Polsce. Stanowią nie tylko centra lokalnej przedsiębiorczości, ale także generują wiele miejsc pracy</w:t>
      </w:r>
      <w:r w:rsidRPr="004F3274">
        <w:rPr>
          <w:rFonts w:ascii="Times New Roman" w:hAnsi="Times New Roman" w:cs="Times New Roman"/>
          <w:color w:val="222222"/>
          <w:sz w:val="24"/>
          <w:szCs w:val="24"/>
        </w:rPr>
        <w:br/>
        <w:t>o wysokiej jakości, zarówno w bezpośredniej produkcji pojazdów, części i podzespołów, jak również w jej otoczeniu. Istotna część produkcji komponentów samochodowych jest wykonywana przez rodzime małe i średnie przedsiębiorstwa. Zwiększenie popularności napędów nisko-emisyjnych może doprowadzić do rozwoju nowego, innowacyjnego otoczenia produkcyjnego i serwisowego. Włączenie polskich producentów w produkcję komponentów w nowoczesnych napędach alternatywnych przyczyniłoby się do transferu technologii oraz podniesienia pozycji krajowego przemysłu w globalnych łańcuchach wartości.</w:t>
      </w:r>
    </w:p>
    <w:p w:rsidR="004F3274" w:rsidRPr="004F3274" w:rsidRDefault="004F3274" w:rsidP="004F3274">
      <w:pPr>
        <w:pStyle w:val="Tekstwstpniesformatowany"/>
        <w:spacing w:line="276" w:lineRule="auto"/>
        <w:jc w:val="both"/>
        <w:rPr>
          <w:rFonts w:ascii="Times New Roman" w:hAnsi="Times New Roman" w:cs="Times New Roman"/>
          <w:sz w:val="24"/>
          <w:szCs w:val="24"/>
        </w:rPr>
      </w:pPr>
    </w:p>
    <w:p w:rsidR="004F3274" w:rsidRPr="004F3274" w:rsidRDefault="004F3274" w:rsidP="004F3274">
      <w:pPr>
        <w:spacing w:line="276" w:lineRule="auto"/>
        <w:rPr>
          <w:rFonts w:cs="Times New Roman"/>
          <w:color w:val="222222"/>
        </w:rPr>
      </w:pPr>
      <w:r w:rsidRPr="004F3274">
        <w:rPr>
          <w:rFonts w:cs="Times New Roman"/>
          <w:color w:val="222222"/>
        </w:rPr>
        <w:lastRenderedPageBreak/>
        <w:t>Wpływ na sektor finansów publicznych.</w:t>
      </w:r>
    </w:p>
    <w:p w:rsidR="004F3274" w:rsidRPr="004F3274" w:rsidRDefault="004F3274" w:rsidP="004F3274">
      <w:pPr>
        <w:widowControl/>
        <w:spacing w:line="276" w:lineRule="auto"/>
        <w:rPr>
          <w:rFonts w:cs="Times New Roman"/>
          <w:color w:val="222222"/>
        </w:rPr>
      </w:pPr>
      <w:r w:rsidRPr="004F3274">
        <w:rPr>
          <w:rFonts w:cs="Times New Roman"/>
          <w:color w:val="222222"/>
        </w:rPr>
        <w:t>Dokładny wpływ regulacji na dochody budżetu państwa pozostaje trudny do oszacowania. Zakłada się jednak brak wpływu na dochody budżetu ze względu na przesunięcie popytu, w ramach tych samych linii pojazdów. Pojazdy o hybrydowym napędzie spalinowo-elektrycznym, w których energia elektryczna nie jest akumulowana przez podłączenie do zewnętrznego źródła zasilania, ze względów technologicznych, wymagają większej pojemności silnika, przy podobnej mocy i istotnie obniżonej emisyjności. Obecna, wyższa stawka akcyzy obniża jednak znacząco popyt na tego typu samochody, pomimo dużo niższego śladu emisyjnego. Dlatego też, dzięki obniżeniu obciążenia akcyzowego na pojazdy hybrydowe o napędzie spalinowo-elektrycznym, w których energia elektryczna nie jest akumulowana przez podłączenie do zewnętrznego źródła zasilania, przewiduje się, że pomimo wyższej ceny, będą one w długiej perspektywie, ze względu na obniżoną konsumpcję paliwa, równie atrakcyjne cenowo, jak pojazdy o klasycznym napędzie spalinowym. Spowoduje to przesunięcie zainteresowania rynku na pojazdy o hybrydowym napędzie spalinowo-elektrycznym, w których energia elektryczna nie jest akumulowana przez podłączenie do zewnętrznego źródła zasilania i wyrównanie dochodów budżetu przy jednoczesnym obniżeniu emisji szkodliwych substancji w transporcie.</w:t>
      </w:r>
    </w:p>
    <w:p w:rsidR="004F3274" w:rsidRPr="004F3274" w:rsidRDefault="004F3274" w:rsidP="004F3274">
      <w:pPr>
        <w:widowControl/>
        <w:spacing w:line="276" w:lineRule="auto"/>
        <w:rPr>
          <w:rFonts w:cs="Times New Roman"/>
          <w:color w:val="222222"/>
        </w:rPr>
      </w:pPr>
    </w:p>
    <w:p w:rsidR="004F3274" w:rsidRPr="004F3274" w:rsidRDefault="004F3274" w:rsidP="004F3274">
      <w:pPr>
        <w:widowControl/>
        <w:spacing w:line="276" w:lineRule="auto"/>
        <w:rPr>
          <w:rFonts w:cs="Times New Roman"/>
          <w:color w:val="222222"/>
        </w:rPr>
      </w:pPr>
      <w:r>
        <w:rPr>
          <w:rFonts w:eastAsia="MS Mincho" w:cs="Times New Roman"/>
        </w:rPr>
        <w:t>P</w:t>
      </w:r>
      <w:r w:rsidRPr="004F3274">
        <w:rPr>
          <w:rFonts w:eastAsia="MS Mincho" w:cs="Times New Roman"/>
        </w:rPr>
        <w:t xml:space="preserve">rojekt </w:t>
      </w:r>
      <w:r>
        <w:rPr>
          <w:rFonts w:eastAsia="MS Mincho" w:cs="Times New Roman"/>
        </w:rPr>
        <w:t xml:space="preserve">ustawy </w:t>
      </w:r>
      <w:r w:rsidRPr="004F3274">
        <w:rPr>
          <w:rFonts w:eastAsia="MS Mincho" w:cs="Times New Roman"/>
        </w:rPr>
        <w:t>rodzi pozytywne skutki społeczno-gospodarcze.</w:t>
      </w:r>
    </w:p>
    <w:p w:rsidR="004F3274" w:rsidRPr="004F3274" w:rsidRDefault="004F3274" w:rsidP="004F3274">
      <w:pPr>
        <w:pStyle w:val="Tekstwstpniesformatowany"/>
        <w:spacing w:line="276" w:lineRule="auto"/>
        <w:jc w:val="both"/>
        <w:rPr>
          <w:rFonts w:ascii="Times New Roman" w:hAnsi="Times New Roman" w:cs="Times New Roman"/>
          <w:color w:val="222222"/>
        </w:rPr>
      </w:pPr>
    </w:p>
    <w:p w:rsidR="004F3274" w:rsidRPr="004F3274" w:rsidRDefault="004F3274" w:rsidP="004F3274">
      <w:pPr>
        <w:pStyle w:val="Tekstwstpniesformatowany"/>
        <w:spacing w:line="276" w:lineRule="auto"/>
        <w:jc w:val="both"/>
        <w:rPr>
          <w:rFonts w:ascii="Times New Roman" w:hAnsi="Times New Roman" w:cs="Times New Roman"/>
          <w:sz w:val="24"/>
          <w:szCs w:val="24"/>
        </w:rPr>
      </w:pPr>
      <w:r w:rsidRPr="004F3274">
        <w:rPr>
          <w:rFonts w:ascii="Times New Roman" w:hAnsi="Times New Roman" w:cs="Times New Roman"/>
          <w:sz w:val="24"/>
          <w:szCs w:val="24"/>
        </w:rPr>
        <w:t xml:space="preserve">Projekt </w:t>
      </w:r>
      <w:r>
        <w:rPr>
          <w:rFonts w:ascii="Times New Roman" w:hAnsi="Times New Roman" w:cs="Times New Roman"/>
          <w:sz w:val="24"/>
          <w:szCs w:val="24"/>
        </w:rPr>
        <w:t xml:space="preserve">ustawy </w:t>
      </w:r>
      <w:r w:rsidRPr="004F3274">
        <w:rPr>
          <w:rFonts w:ascii="Times New Roman" w:hAnsi="Times New Roman" w:cs="Times New Roman"/>
          <w:sz w:val="24"/>
          <w:szCs w:val="24"/>
        </w:rPr>
        <w:t xml:space="preserve">jest zgodny z prawem Unii Europejskiej. </w:t>
      </w:r>
    </w:p>
    <w:p w:rsidR="004F3274" w:rsidRPr="004F3274" w:rsidRDefault="004F3274" w:rsidP="004F3274">
      <w:pPr>
        <w:pStyle w:val="Tekstwstpniesformatowany"/>
        <w:spacing w:line="276" w:lineRule="auto"/>
        <w:jc w:val="both"/>
        <w:rPr>
          <w:rFonts w:ascii="Times New Roman" w:hAnsi="Times New Roman" w:cs="Times New Roman"/>
          <w:sz w:val="24"/>
          <w:szCs w:val="24"/>
        </w:rPr>
      </w:pPr>
    </w:p>
    <w:p w:rsidR="00001399" w:rsidRPr="004F3274" w:rsidRDefault="00001399" w:rsidP="004F3274">
      <w:pPr>
        <w:spacing w:before="120" w:after="120" w:line="276" w:lineRule="auto"/>
        <w:rPr>
          <w:rFonts w:cs="Times New Roman"/>
        </w:rPr>
      </w:pPr>
    </w:p>
    <w:sectPr w:rsidR="00001399" w:rsidRPr="004F3274">
      <w:pgSz w:w="11906" w:h="16838"/>
      <w:pgMar w:top="1417" w:right="1417" w:bottom="1417" w:left="1417" w:header="0" w:footer="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9F9" w:rsidRDefault="009429F9">
      <w:pPr>
        <w:spacing w:line="240" w:lineRule="auto"/>
      </w:pPr>
      <w:r>
        <w:separator/>
      </w:r>
    </w:p>
  </w:endnote>
  <w:endnote w:type="continuationSeparator" w:id="0">
    <w:p w:rsidR="009429F9" w:rsidRDefault="009429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20B0602030504020204"/>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Mono">
    <w:altName w:val="Courier New"/>
    <w:charset w:val="EE"/>
    <w:family w:val="modern"/>
    <w:pitch w:val="fixed"/>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9F9" w:rsidRDefault="009429F9">
      <w:r>
        <w:separator/>
      </w:r>
    </w:p>
  </w:footnote>
  <w:footnote w:type="continuationSeparator" w:id="0">
    <w:p w:rsidR="009429F9" w:rsidRDefault="009429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99"/>
    <w:rsid w:val="00001399"/>
    <w:rsid w:val="001C585D"/>
    <w:rsid w:val="004F3274"/>
    <w:rsid w:val="00537DDB"/>
    <w:rsid w:val="00551276"/>
    <w:rsid w:val="009429F9"/>
    <w:rsid w:val="00F2115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58369-633E-4E29-A7B4-EF35FF7C1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pl-P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B63E4"/>
    <w:pPr>
      <w:widowControl w:val="0"/>
      <w:spacing w:line="360" w:lineRule="auto"/>
      <w:jc w:val="both"/>
    </w:pPr>
    <w:rPr>
      <w:rFonts w:ascii="Times New Roman" w:eastAsiaTheme="minorEastAsia" w:hAnsi="Times New Roman" w:cs="Arial"/>
      <w:sz w:val="24"/>
      <w:szCs w:val="20"/>
      <w:lang w:eastAsia="pl-PL"/>
    </w:rPr>
  </w:style>
  <w:style w:type="paragraph" w:styleId="Nagwek1">
    <w:name w:val="heading 1"/>
    <w:basedOn w:val="Nagwek"/>
    <w:pPr>
      <w:outlineLvl w:val="0"/>
    </w:pPr>
  </w:style>
  <w:style w:type="paragraph" w:styleId="Nagwek2">
    <w:name w:val="heading 2"/>
    <w:basedOn w:val="Nagwek"/>
    <w:pPr>
      <w:outlineLvl w:val="1"/>
    </w:pPr>
  </w:style>
  <w:style w:type="paragraph" w:styleId="Nagwek3">
    <w:name w:val="heading 3"/>
    <w:basedOn w:val="Nagwek"/>
    <w:pPr>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unhideWhenUsed/>
    <w:qFormat/>
    <w:rsid w:val="00EB63E4"/>
    <w:rPr>
      <w:rFonts w:ascii="Times New Roman" w:hAnsi="Times New Roman" w:cs="Times New Roman"/>
      <w:vertAlign w:val="superscript"/>
    </w:rPr>
  </w:style>
  <w:style w:type="character" w:customStyle="1" w:styleId="IGindeksgrny">
    <w:name w:val="_IG_ – indeks górny"/>
    <w:basedOn w:val="Domylnaczcionkaakapitu"/>
    <w:uiPriority w:val="2"/>
    <w:qFormat/>
    <w:rsid w:val="00EB63E4"/>
    <w:rPr>
      <w:b w:val="0"/>
      <w:bCs w:val="0"/>
      <w:i w:val="0"/>
      <w:iCs w:val="0"/>
      <w:vanish w:val="0"/>
      <w:spacing w:val="0"/>
      <w:vertAlign w:val="superscript"/>
    </w:rPr>
  </w:style>
  <w:style w:type="character" w:customStyle="1" w:styleId="TekstprzypisudolnegoZnak">
    <w:name w:val="Tekst przypisu dolnego Znak"/>
    <w:basedOn w:val="Domylnaczcionkaakapitu"/>
    <w:link w:val="Tekstprzypisudolnego"/>
    <w:uiPriority w:val="99"/>
    <w:semiHidden/>
    <w:qFormat/>
    <w:rsid w:val="00EB63E4"/>
    <w:rPr>
      <w:rFonts w:ascii="Times New Roman" w:eastAsiaTheme="minorEastAsia" w:hAnsi="Times New Roman" w:cs="Arial"/>
      <w:sz w:val="20"/>
      <w:szCs w:val="20"/>
      <w:lang w:eastAsia="pl-PL"/>
    </w:rPr>
  </w:style>
  <w:style w:type="character" w:styleId="Pogrubienie">
    <w:name w:val="Strong"/>
    <w:basedOn w:val="Domylnaczcionkaakapitu"/>
    <w:uiPriority w:val="22"/>
    <w:qFormat/>
    <w:rsid w:val="001228D2"/>
    <w:rPr>
      <w:b/>
      <w:bCs/>
    </w:rPr>
  </w:style>
  <w:style w:type="character" w:styleId="Odwoaniedokomentarza">
    <w:name w:val="annotation reference"/>
    <w:basedOn w:val="Domylnaczcionkaakapitu"/>
    <w:uiPriority w:val="99"/>
    <w:semiHidden/>
    <w:unhideWhenUsed/>
    <w:qFormat/>
    <w:rsid w:val="0091069B"/>
    <w:rPr>
      <w:sz w:val="16"/>
      <w:szCs w:val="16"/>
    </w:rPr>
  </w:style>
  <w:style w:type="character" w:customStyle="1" w:styleId="TekstkomentarzaZnak">
    <w:name w:val="Tekst komentarza Znak"/>
    <w:basedOn w:val="Domylnaczcionkaakapitu"/>
    <w:link w:val="Tekstkomentarza"/>
    <w:uiPriority w:val="99"/>
    <w:qFormat/>
    <w:rsid w:val="0091069B"/>
    <w:rPr>
      <w:rFonts w:ascii="Times New Roman" w:eastAsiaTheme="minorEastAsia" w:hAnsi="Times New Roman" w:cs="Arial"/>
      <w:sz w:val="20"/>
      <w:szCs w:val="20"/>
      <w:lang w:eastAsia="pl-PL"/>
    </w:rPr>
  </w:style>
  <w:style w:type="character" w:customStyle="1" w:styleId="TematkomentarzaZnak">
    <w:name w:val="Temat komentarza Znak"/>
    <w:basedOn w:val="TekstkomentarzaZnak"/>
    <w:link w:val="Tematkomentarza"/>
    <w:uiPriority w:val="99"/>
    <w:semiHidden/>
    <w:qFormat/>
    <w:rsid w:val="0091069B"/>
    <w:rPr>
      <w:rFonts w:ascii="Times New Roman" w:eastAsiaTheme="minorEastAsia" w:hAnsi="Times New Roman" w:cs="Arial"/>
      <w:b/>
      <w:bCs/>
      <w:sz w:val="20"/>
      <w:szCs w:val="20"/>
      <w:lang w:eastAsia="pl-PL"/>
    </w:rPr>
  </w:style>
  <w:style w:type="character" w:customStyle="1" w:styleId="TekstdymkaZnak">
    <w:name w:val="Tekst dymka Znak"/>
    <w:basedOn w:val="Domylnaczcionkaakapitu"/>
    <w:link w:val="Tekstdymka"/>
    <w:uiPriority w:val="99"/>
    <w:semiHidden/>
    <w:qFormat/>
    <w:rsid w:val="0091069B"/>
    <w:rPr>
      <w:rFonts w:ascii="Tahoma" w:eastAsiaTheme="minorEastAsia" w:hAnsi="Tahoma" w:cs="Tahoma"/>
      <w:sz w:val="16"/>
      <w:szCs w:val="16"/>
      <w:lang w:eastAsia="pl-PL"/>
    </w:rPr>
  </w:style>
  <w:style w:type="character" w:customStyle="1" w:styleId="czeinternetowe">
    <w:name w:val="Łącze internetowe"/>
    <w:basedOn w:val="Domylnaczcionkaakapitu"/>
    <w:uiPriority w:val="99"/>
    <w:semiHidden/>
    <w:unhideWhenUsed/>
    <w:rsid w:val="0034764E"/>
    <w:rPr>
      <w:color w:val="0000FF"/>
      <w:u w:val="single"/>
    </w:rPr>
  </w:style>
  <w:style w:type="character" w:customStyle="1" w:styleId="Znakiprzypiswdolnych">
    <w:name w:val="Znaki przypisów dolnych"/>
    <w:qFormat/>
  </w:style>
  <w:style w:type="character" w:customStyle="1" w:styleId="Zakotwiczenieprzypisudolnego">
    <w:name w:val="Zakotwiczenie przypisu dolnego"/>
    <w:rPr>
      <w:vertAlign w:val="superscript"/>
    </w:rPr>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paragraph" w:styleId="Nagwek">
    <w:name w:val="header"/>
    <w:basedOn w:val="Normalny"/>
    <w:next w:val="Tretekstu"/>
    <w:qFormat/>
    <w:pPr>
      <w:keepNext/>
      <w:spacing w:before="240" w:after="120"/>
    </w:pPr>
    <w:rPr>
      <w:rFonts w:ascii="Liberation Sans" w:eastAsia="Microsoft YaHei" w:hAnsi="Liberation Sans" w:cs="Lucida Sans"/>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Lucida Sans"/>
    </w:rPr>
  </w:style>
  <w:style w:type="paragraph" w:styleId="Podpis">
    <w:name w:val="Signature"/>
    <w:basedOn w:val="Normalny"/>
    <w:pPr>
      <w:suppressLineNumbers/>
      <w:spacing w:before="120" w:after="120"/>
    </w:pPr>
    <w:rPr>
      <w:rFonts w:cs="Lucida Sans"/>
      <w:i/>
      <w:iCs/>
      <w:szCs w:val="24"/>
    </w:rPr>
  </w:style>
  <w:style w:type="paragraph" w:customStyle="1" w:styleId="Indeks">
    <w:name w:val="Indeks"/>
    <w:basedOn w:val="Normalny"/>
    <w:qFormat/>
    <w:pPr>
      <w:suppressLineNumbers/>
    </w:pPr>
    <w:rPr>
      <w:rFonts w:cs="Lucida Sans"/>
    </w:rPr>
  </w:style>
  <w:style w:type="paragraph" w:customStyle="1" w:styleId="ODNONIKtreodnonika">
    <w:name w:val="ODNOŚNIK – treść odnośnika"/>
    <w:uiPriority w:val="19"/>
    <w:qFormat/>
    <w:rsid w:val="00EB63E4"/>
    <w:pPr>
      <w:spacing w:after="160" w:line="360" w:lineRule="auto"/>
      <w:ind w:left="284" w:hanging="284"/>
    </w:pPr>
    <w:rPr>
      <w:sz w:val="24"/>
    </w:rPr>
  </w:style>
  <w:style w:type="paragraph" w:styleId="Tekstprzypisudolnego">
    <w:name w:val="footnote text"/>
    <w:basedOn w:val="Normalny"/>
    <w:link w:val="TekstprzypisudolnegoZnak"/>
    <w:uiPriority w:val="99"/>
    <w:semiHidden/>
    <w:unhideWhenUsed/>
    <w:qFormat/>
    <w:rsid w:val="00EB63E4"/>
    <w:pPr>
      <w:spacing w:line="240" w:lineRule="auto"/>
    </w:pPr>
    <w:rPr>
      <w:sz w:val="20"/>
    </w:rPr>
  </w:style>
  <w:style w:type="paragraph" w:styleId="Tekstkomentarza">
    <w:name w:val="annotation text"/>
    <w:basedOn w:val="Normalny"/>
    <w:link w:val="TekstkomentarzaZnak"/>
    <w:uiPriority w:val="99"/>
    <w:unhideWhenUsed/>
    <w:qFormat/>
    <w:rsid w:val="0091069B"/>
    <w:pPr>
      <w:spacing w:line="240" w:lineRule="auto"/>
    </w:pPr>
    <w:rPr>
      <w:sz w:val="20"/>
    </w:rPr>
  </w:style>
  <w:style w:type="paragraph" w:styleId="Tematkomentarza">
    <w:name w:val="annotation subject"/>
    <w:basedOn w:val="Tekstkomentarza"/>
    <w:link w:val="TematkomentarzaZnak"/>
    <w:uiPriority w:val="99"/>
    <w:semiHidden/>
    <w:unhideWhenUsed/>
    <w:qFormat/>
    <w:rsid w:val="0091069B"/>
    <w:rPr>
      <w:b/>
      <w:bCs/>
    </w:rPr>
  </w:style>
  <w:style w:type="paragraph" w:styleId="Tekstdymka">
    <w:name w:val="Balloon Text"/>
    <w:basedOn w:val="Normalny"/>
    <w:link w:val="TekstdymkaZnak"/>
    <w:uiPriority w:val="99"/>
    <w:semiHidden/>
    <w:unhideWhenUsed/>
    <w:qFormat/>
    <w:rsid w:val="0091069B"/>
    <w:pPr>
      <w:spacing w:line="240" w:lineRule="auto"/>
    </w:pPr>
    <w:rPr>
      <w:rFonts w:ascii="Tahoma" w:hAnsi="Tahoma" w:cs="Tahoma"/>
      <w:sz w:val="16"/>
      <w:szCs w:val="16"/>
    </w:rPr>
  </w:style>
  <w:style w:type="paragraph" w:customStyle="1" w:styleId="Przypisdolny">
    <w:name w:val="Przypis dolny"/>
    <w:basedOn w:val="Normalny"/>
  </w:style>
  <w:style w:type="paragraph" w:customStyle="1" w:styleId="Cytaty">
    <w:name w:val="Cytaty"/>
    <w:basedOn w:val="Normalny"/>
    <w:qFormat/>
  </w:style>
  <w:style w:type="paragraph" w:styleId="Tytu">
    <w:name w:val="Title"/>
    <w:basedOn w:val="Nagwek"/>
  </w:style>
  <w:style w:type="paragraph" w:styleId="Podtytu">
    <w:name w:val="Subtitle"/>
    <w:basedOn w:val="Nagwek"/>
  </w:style>
  <w:style w:type="paragraph" w:customStyle="1" w:styleId="Tekstwstpniesformatowany">
    <w:name w:val="Tekst wstępnie sformatowany"/>
    <w:basedOn w:val="Normalny"/>
    <w:qFormat/>
    <w:rsid w:val="004F3274"/>
    <w:pPr>
      <w:spacing w:line="240" w:lineRule="auto"/>
      <w:jc w:val="left"/>
    </w:pPr>
    <w:rPr>
      <w:rFonts w:ascii="Liberation Mono" w:eastAsia="NSimSun" w:hAnsi="Liberation Mono" w:cs="Liberation Mono"/>
      <w:sz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19F19-0F87-415C-9CBC-C0BFDBE3C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6528</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2019-08-30T08:00:00Z</cp:lastPrinted>
  <dcterms:created xsi:type="dcterms:W3CDTF">2019-09-10T15:19:00Z</dcterms:created>
  <dcterms:modified xsi:type="dcterms:W3CDTF">2019-09-10T15:19:00Z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