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791" w:rsidRPr="00331892" w:rsidRDefault="00331892" w:rsidP="006771FF">
      <w:pPr>
        <w:spacing w:before="60" w:after="60" w:line="360" w:lineRule="auto"/>
        <w:jc w:val="center"/>
        <w:outlineLvl w:val="0"/>
      </w:pPr>
      <w:bookmarkStart w:id="0" w:name="_GoBack"/>
      <w:bookmarkEnd w:id="0"/>
      <w:r>
        <w:t>UZASAD</w:t>
      </w:r>
      <w:r w:rsidR="002A0618" w:rsidRPr="00331892">
        <w:t>N</w:t>
      </w:r>
      <w:r>
        <w:t>IENI</w:t>
      </w:r>
      <w:r w:rsidR="002A0618" w:rsidRPr="00331892">
        <w:t>E</w:t>
      </w:r>
    </w:p>
    <w:p w:rsidR="00331892" w:rsidRPr="0099437F" w:rsidRDefault="00F0694A" w:rsidP="006771FF">
      <w:pPr>
        <w:ind w:firstLine="708"/>
        <w:jc w:val="both"/>
      </w:pPr>
      <w:r w:rsidRPr="0099437F">
        <w:t>I. Wstęp</w:t>
      </w:r>
    </w:p>
    <w:p w:rsidR="005424D3" w:rsidRPr="00331892" w:rsidRDefault="007742A7" w:rsidP="006771FF">
      <w:pPr>
        <w:spacing w:before="240" w:line="360" w:lineRule="auto"/>
        <w:jc w:val="both"/>
      </w:pPr>
      <w:r w:rsidRPr="00331892">
        <w:t>Projekt ustawy określa sposób realizacji</w:t>
      </w:r>
      <w:r w:rsidR="00C934FF" w:rsidRPr="00331892">
        <w:t xml:space="preserve"> niektórych projektów informatycznych </w:t>
      </w:r>
      <w:r w:rsidRPr="00331892">
        <w:t>o</w:t>
      </w:r>
      <w:r w:rsidR="0079505C" w:rsidRPr="00331892">
        <w:t> </w:t>
      </w:r>
      <w:r w:rsidRPr="00331892">
        <w:t>publicznym zastosowaniu w rozumieniu ustawy z dnia 17 lutego 2005 r. o informatyzacji działalności podmiotów publicznych (Dz. U</w:t>
      </w:r>
      <w:r w:rsidR="00704E13">
        <w:t>.</w:t>
      </w:r>
      <w:r w:rsidRPr="00331892">
        <w:t xml:space="preserve"> z 2014</w:t>
      </w:r>
      <w:r w:rsidR="00B366D4" w:rsidRPr="00331892">
        <w:t xml:space="preserve"> </w:t>
      </w:r>
      <w:r w:rsidRPr="00331892">
        <w:t>r. poz. 1114</w:t>
      </w:r>
      <w:r w:rsidR="005954C9">
        <w:t>, z późn. zm.</w:t>
      </w:r>
      <w:r w:rsidRPr="00331892">
        <w:t xml:space="preserve">) z zakresu spraw należących do działu finanse publiczne, </w:t>
      </w:r>
      <w:r w:rsidR="00C934FF" w:rsidRPr="00331892">
        <w:t xml:space="preserve">których celem jest zapewnienie organom administracji podatkowej, służby celnej i kontroli skarbowej </w:t>
      </w:r>
      <w:r w:rsidRPr="00331892">
        <w:t xml:space="preserve"> system</w:t>
      </w:r>
      <w:r w:rsidR="00C934FF" w:rsidRPr="00331892">
        <w:t>ów</w:t>
      </w:r>
      <w:r w:rsidRPr="00331892">
        <w:t xml:space="preserve"> teleinformatyczn</w:t>
      </w:r>
      <w:r w:rsidR="00C934FF" w:rsidRPr="00331892">
        <w:t>ych</w:t>
      </w:r>
      <w:r w:rsidRPr="00331892">
        <w:t xml:space="preserve"> </w:t>
      </w:r>
      <w:r w:rsidR="00C934FF" w:rsidRPr="00331892">
        <w:t xml:space="preserve">wspierających wykrywanie </w:t>
      </w:r>
      <w:r w:rsidRPr="00331892">
        <w:t>naruszenia prawa podatkowego</w:t>
      </w:r>
      <w:r w:rsidR="00224B78" w:rsidRPr="00331892">
        <w:t>,</w:t>
      </w:r>
      <w:r w:rsidRPr="00331892">
        <w:t xml:space="preserve"> w</w:t>
      </w:r>
      <w:r w:rsidR="00E869C2" w:rsidRPr="00331892">
        <w:t xml:space="preserve"> oparciu o dane znajdujące się </w:t>
      </w:r>
      <w:r w:rsidRPr="00331892">
        <w:t>w systemach teleinformatycznych ministra właściwego do spraw finansów publicznych</w:t>
      </w:r>
      <w:r w:rsidR="007556BE" w:rsidRPr="00331892">
        <w:t>, organów administracji podatkowej</w:t>
      </w:r>
      <w:r w:rsidR="00700576" w:rsidRPr="00331892">
        <w:t>, służby celnej</w:t>
      </w:r>
      <w:r w:rsidR="007556BE" w:rsidRPr="00331892">
        <w:t xml:space="preserve"> oraz kontroli skarbowej.</w:t>
      </w:r>
      <w:r w:rsidRPr="00331892">
        <w:t xml:space="preserve"> </w:t>
      </w:r>
      <w:r w:rsidR="00C934FF" w:rsidRPr="00331892">
        <w:t xml:space="preserve">Intencją projektodawców jest </w:t>
      </w:r>
      <w:r w:rsidR="00224B78" w:rsidRPr="00331892">
        <w:t xml:space="preserve">tym samym, </w:t>
      </w:r>
      <w:r w:rsidR="00C934FF" w:rsidRPr="00331892">
        <w:t xml:space="preserve">aby </w:t>
      </w:r>
      <w:r w:rsidR="00224B78" w:rsidRPr="00331892">
        <w:t xml:space="preserve">niektóre </w:t>
      </w:r>
      <w:r w:rsidR="00C934FF" w:rsidRPr="00331892">
        <w:t>projekty informatyczne</w:t>
      </w:r>
      <w:r w:rsidR="00224B78" w:rsidRPr="00331892">
        <w:t xml:space="preserve"> (w</w:t>
      </w:r>
      <w:r w:rsidR="00331892">
        <w:t xml:space="preserve">ybrane spośród tych projektów, </w:t>
      </w:r>
      <w:r w:rsidR="00C934FF" w:rsidRPr="00331892">
        <w:t>których celem</w:t>
      </w:r>
      <w:r w:rsidR="00224B78" w:rsidRPr="00331892">
        <w:t xml:space="preserve"> jest realizacja systemów teleinformatycznych</w:t>
      </w:r>
      <w:r w:rsidR="00C934FF" w:rsidRPr="00331892">
        <w:t xml:space="preserve"> wspiera</w:t>
      </w:r>
      <w:r w:rsidR="00224B78" w:rsidRPr="00331892">
        <w:t>jących wykrywanie naruszenia prawa podatkowego) były realizowane przez spółkę celową.</w:t>
      </w:r>
      <w:r w:rsidR="00C934FF" w:rsidRPr="00331892">
        <w:t xml:space="preserve"> </w:t>
      </w:r>
    </w:p>
    <w:p w:rsidR="005D0D2F" w:rsidRPr="00331892" w:rsidRDefault="004A6C6E" w:rsidP="006771FF">
      <w:pPr>
        <w:spacing w:line="360" w:lineRule="auto"/>
        <w:jc w:val="both"/>
        <w:rPr>
          <w:lang w:eastAsia="en-US"/>
        </w:rPr>
      </w:pPr>
      <w:r w:rsidRPr="00331892">
        <w:t>Wprowadzane zmiany</w:t>
      </w:r>
      <w:r w:rsidR="00E869C2" w:rsidRPr="00331892">
        <w:t xml:space="preserve"> służą </w:t>
      </w:r>
      <w:r w:rsidR="004B255E" w:rsidRPr="00331892">
        <w:t>ograniczeni</w:t>
      </w:r>
      <w:r w:rsidR="00E869C2" w:rsidRPr="00331892">
        <w:t>u</w:t>
      </w:r>
      <w:r w:rsidR="004B255E" w:rsidRPr="00331892">
        <w:t xml:space="preserve"> nieprawidłowości w obszarze finansów publicznych oraz obrotu towarowego, zapobieganie nadużyciom i</w:t>
      </w:r>
      <w:r w:rsidR="00E869C2" w:rsidRPr="00331892">
        <w:t xml:space="preserve"> sprawne ich wykrywanie, ochronie</w:t>
      </w:r>
      <w:r w:rsidR="00D93F50">
        <w:t xml:space="preserve"> rynku </w:t>
      </w:r>
      <w:r w:rsidR="004B255E" w:rsidRPr="00331892">
        <w:t>przez ograniczenie szarej strefy</w:t>
      </w:r>
      <w:r w:rsidR="00A62E34" w:rsidRPr="00331892">
        <w:t xml:space="preserve"> i </w:t>
      </w:r>
      <w:r w:rsidR="004B255E" w:rsidRPr="00331892">
        <w:t>zmniejszenie luki podatkowej.</w:t>
      </w:r>
      <w:r w:rsidRPr="00331892">
        <w:t xml:space="preserve"> Celem jest również </w:t>
      </w:r>
      <w:r w:rsidR="004B255E" w:rsidRPr="00331892">
        <w:t xml:space="preserve">osiągnięcie wyższej efektywności poboru dochodów i </w:t>
      </w:r>
      <w:r w:rsidRPr="00331892">
        <w:t>zwiększenie bezpieczeństwa</w:t>
      </w:r>
      <w:r w:rsidR="00331892">
        <w:t xml:space="preserve"> i </w:t>
      </w:r>
      <w:r w:rsidR="00D93F50">
        <w:t>ochrony rynku</w:t>
      </w:r>
      <w:r w:rsidRPr="00331892">
        <w:t xml:space="preserve"> </w:t>
      </w:r>
      <w:r w:rsidR="0036121D" w:rsidRPr="00331892">
        <w:t xml:space="preserve">przez zwiększenie wykorzystania technologii informatycznych w obszarze </w:t>
      </w:r>
      <w:r w:rsidR="00A62E34" w:rsidRPr="00331892">
        <w:t xml:space="preserve">administracji podatkowej i </w:t>
      </w:r>
      <w:r w:rsidR="0036121D" w:rsidRPr="00331892">
        <w:t>kontroli skarbowej</w:t>
      </w:r>
      <w:r w:rsidR="00A62E34" w:rsidRPr="00331892">
        <w:t xml:space="preserve">, </w:t>
      </w:r>
      <w:r w:rsidR="0036121D" w:rsidRPr="00331892">
        <w:t xml:space="preserve"> w </w:t>
      </w:r>
      <w:r w:rsidR="00A62E34" w:rsidRPr="00331892">
        <w:t xml:space="preserve">zakresie </w:t>
      </w:r>
      <w:r w:rsidR="0036121D" w:rsidRPr="00331892">
        <w:t>realizacji zadań pozwalających na wzrost skuteczności wykrywania i karania sprawcó</w:t>
      </w:r>
      <w:r w:rsidR="00D93F50">
        <w:t xml:space="preserve">w przestępstw i </w:t>
      </w:r>
      <w:r w:rsidR="0036121D" w:rsidRPr="00331892">
        <w:t>wykroczeń skarbowych.</w:t>
      </w:r>
      <w:r w:rsidRPr="00331892">
        <w:t xml:space="preserve"> </w:t>
      </w:r>
      <w:r w:rsidR="00B366D4" w:rsidRPr="00331892">
        <w:t xml:space="preserve">W szczególności dotyczy to usprawnienia procesu (zwiększenia efektywności) poboru podatku VAT i przeciwdziałania nadużyciom w tym obszarze. </w:t>
      </w:r>
      <w:r w:rsidR="005D0D2F" w:rsidRPr="00331892">
        <w:t>Niedobór podatku VAT</w:t>
      </w:r>
      <w:r w:rsidR="00D93F50">
        <w:t>,</w:t>
      </w:r>
      <w:r w:rsidR="005D0D2F" w:rsidRPr="00331892">
        <w:t xml:space="preserve"> tzw</w:t>
      </w:r>
      <w:r w:rsidR="002A073C" w:rsidRPr="00331892">
        <w:t>.</w:t>
      </w:r>
      <w:r w:rsidR="00331892">
        <w:t> </w:t>
      </w:r>
      <w:r w:rsidR="005D0D2F" w:rsidRPr="00331892">
        <w:t>luka Vatowska</w:t>
      </w:r>
      <w:r w:rsidR="00D93F50">
        <w:t>,</w:t>
      </w:r>
      <w:r w:rsidR="005D0D2F" w:rsidRPr="00331892">
        <w:t xml:space="preserve"> jest szacowany przez różne źródła na 25 do </w:t>
      </w:r>
      <w:r w:rsidR="0087218B" w:rsidRPr="00331892">
        <w:t>4</w:t>
      </w:r>
      <w:r w:rsidR="005D0D2F" w:rsidRPr="00331892">
        <w:t>0 mld zł, przykładowo raport pt</w:t>
      </w:r>
      <w:r w:rsidR="002A073C" w:rsidRPr="00331892">
        <w:t>.</w:t>
      </w:r>
      <w:r w:rsidR="005D0D2F" w:rsidRPr="00331892">
        <w:t xml:space="preserve"> </w:t>
      </w:r>
      <w:r w:rsidR="002A073C" w:rsidRPr="00331892">
        <w:t>„</w:t>
      </w:r>
      <w:r w:rsidR="005D0D2F" w:rsidRPr="00331892">
        <w:t xml:space="preserve">Study to quantify and analyse the VAT Gap in the EU </w:t>
      </w:r>
      <w:r w:rsidR="009F701E" w:rsidRPr="00331892">
        <w:t>M</w:t>
      </w:r>
      <w:r w:rsidR="005D0D2F" w:rsidRPr="00331892">
        <w:t>ember States</w:t>
      </w:r>
      <w:r w:rsidR="002A073C" w:rsidRPr="00331892">
        <w:t>”</w:t>
      </w:r>
      <w:r w:rsidR="005D0D2F" w:rsidRPr="00331892">
        <w:t xml:space="preserve"> sporządzony na zlecenie </w:t>
      </w:r>
      <w:r w:rsidR="00B355F5" w:rsidRPr="00331892">
        <w:t>K</w:t>
      </w:r>
      <w:r w:rsidR="005D0D2F" w:rsidRPr="00331892">
        <w:t>omisji Euro</w:t>
      </w:r>
      <w:r w:rsidR="00D93F50">
        <w:t>pejskiej przez CASE szacował tę</w:t>
      </w:r>
      <w:r w:rsidR="005D0D2F" w:rsidRPr="00331892">
        <w:t xml:space="preserve"> </w:t>
      </w:r>
      <w:r w:rsidR="002A073C" w:rsidRPr="00331892">
        <w:t>kwotę</w:t>
      </w:r>
      <w:r w:rsidR="005D0D2F" w:rsidRPr="00331892">
        <w:t xml:space="preserve"> </w:t>
      </w:r>
      <w:r w:rsidR="00526491">
        <w:t>dla Polski na 10 mld E</w:t>
      </w:r>
      <w:r w:rsidR="000D7083" w:rsidRPr="00331892">
        <w:t>uro w 2013</w:t>
      </w:r>
      <w:r w:rsidR="00D93F50">
        <w:t xml:space="preserve"> </w:t>
      </w:r>
      <w:r w:rsidR="009F701E" w:rsidRPr="00331892">
        <w:t>r</w:t>
      </w:r>
      <w:r w:rsidR="00D93F50">
        <w:t>.</w:t>
      </w:r>
    </w:p>
    <w:p w:rsidR="005424D3" w:rsidRPr="00331892" w:rsidRDefault="002A073C" w:rsidP="006771FF">
      <w:pPr>
        <w:pStyle w:val="Default"/>
        <w:spacing w:line="360" w:lineRule="auto"/>
        <w:jc w:val="both"/>
        <w:rPr>
          <w:rFonts w:ascii="Times New Roman" w:hAnsi="Times New Roman" w:cs="Times New Roman"/>
        </w:rPr>
      </w:pPr>
      <w:r w:rsidRPr="00331892">
        <w:rPr>
          <w:rFonts w:ascii="Times New Roman" w:hAnsi="Times New Roman"/>
        </w:rPr>
        <w:t>Str</w:t>
      </w:r>
      <w:r w:rsidR="005D0D2F" w:rsidRPr="00331892">
        <w:rPr>
          <w:rFonts w:ascii="Times New Roman" w:hAnsi="Times New Roman"/>
        </w:rPr>
        <w:t xml:space="preserve">aty w VAT wynikają  </w:t>
      </w:r>
      <w:r w:rsidR="00B75788" w:rsidRPr="00331892">
        <w:rPr>
          <w:rFonts w:ascii="Times New Roman" w:hAnsi="Times New Roman"/>
        </w:rPr>
        <w:t xml:space="preserve">w dużej części </w:t>
      </w:r>
      <w:r w:rsidR="005D0D2F" w:rsidRPr="00331892">
        <w:rPr>
          <w:rFonts w:ascii="Times New Roman" w:hAnsi="Times New Roman"/>
        </w:rPr>
        <w:t>z działalności podmiotów, które nie prowadzą rzeczywistej działalności</w:t>
      </w:r>
      <w:r w:rsidR="001601CA">
        <w:rPr>
          <w:rFonts w:ascii="Times New Roman" w:hAnsi="Times New Roman"/>
        </w:rPr>
        <w:t>,</w:t>
      </w:r>
      <w:r w:rsidR="005D0D2F" w:rsidRPr="00331892">
        <w:rPr>
          <w:rFonts w:ascii="Times New Roman" w:hAnsi="Times New Roman"/>
        </w:rPr>
        <w:t xml:space="preserve"> a jedynie wykorzystują transakcje gospodarcze do dokonywania wyłudzeń. Straty w VAT powoduje również szara strefa, czyli działalność tych podmiotów, które nie ujawniają swojej działalności gospodarczej organom skarbowym lub zaniżają jej skalę. Zatem środkiem do zwalczania działalności tych podmiotów nie mogą być jedynie same przepisy ustawy o VAT, lecz zwiększenie efektywności kontroli (szybkie wykrywani</w:t>
      </w:r>
      <w:r w:rsidRPr="00331892">
        <w:rPr>
          <w:rFonts w:ascii="Times New Roman" w:hAnsi="Times New Roman"/>
        </w:rPr>
        <w:t>e</w:t>
      </w:r>
      <w:r w:rsidR="005D0D2F" w:rsidRPr="00331892">
        <w:rPr>
          <w:rFonts w:ascii="Times New Roman" w:hAnsi="Times New Roman"/>
        </w:rPr>
        <w:t xml:space="preserve"> </w:t>
      </w:r>
      <w:r w:rsidRPr="00331892">
        <w:rPr>
          <w:rFonts w:ascii="Times New Roman" w:hAnsi="Times New Roman"/>
        </w:rPr>
        <w:t>nieprawidłowości</w:t>
      </w:r>
      <w:r w:rsidR="005D0D2F" w:rsidRPr="00331892">
        <w:rPr>
          <w:rFonts w:ascii="Times New Roman" w:hAnsi="Times New Roman"/>
        </w:rPr>
        <w:t>) i egzekwowani</w:t>
      </w:r>
      <w:r w:rsidR="007A42E4" w:rsidRPr="00331892">
        <w:rPr>
          <w:rFonts w:ascii="Times New Roman" w:hAnsi="Times New Roman"/>
        </w:rPr>
        <w:t>e</w:t>
      </w:r>
      <w:r w:rsidR="005D0D2F" w:rsidRPr="00331892">
        <w:rPr>
          <w:rFonts w:ascii="Times New Roman" w:hAnsi="Times New Roman"/>
        </w:rPr>
        <w:t xml:space="preserve"> wyłudzonych lub niezapłaconych kwot. Kluczem do </w:t>
      </w:r>
      <w:r w:rsidR="005D0D2F" w:rsidRPr="00331892">
        <w:rPr>
          <w:rFonts w:ascii="Times New Roman" w:hAnsi="Times New Roman"/>
        </w:rPr>
        <w:lastRenderedPageBreak/>
        <w:t xml:space="preserve">ograniczania tych niekorzystnych zjawisk będzie reorganizacja i modyfikacja funkcjonowania organów  podatkowych, czyli powołanie Krajowej Administracji Skarbowej. Jednak nawet po reorganizacji skuteczna walka z luką </w:t>
      </w:r>
      <w:r w:rsidR="00350611" w:rsidRPr="00331892">
        <w:rPr>
          <w:rFonts w:ascii="Times New Roman" w:hAnsi="Times New Roman"/>
        </w:rPr>
        <w:t>V</w:t>
      </w:r>
      <w:r w:rsidR="005D0D2F" w:rsidRPr="00331892">
        <w:rPr>
          <w:rFonts w:ascii="Times New Roman" w:hAnsi="Times New Roman"/>
        </w:rPr>
        <w:t xml:space="preserve">atowską nie będzie możliwa bez udostępnienia organom skarbowym odpowiednich narzędzi informatycznych dostarczających w czasie rzeczywistym informacji o potencjalnych oszustwach (typu centralny rejestr faktur). </w:t>
      </w:r>
      <w:r w:rsidR="005424D3" w:rsidRPr="00331892">
        <w:rPr>
          <w:rFonts w:ascii="Times New Roman" w:hAnsi="Times New Roman"/>
        </w:rPr>
        <w:t xml:space="preserve">Jak zauważają autorzy raportu </w:t>
      </w:r>
      <w:r w:rsidR="004F5B36" w:rsidRPr="00331892">
        <w:rPr>
          <w:rFonts w:ascii="Times New Roman" w:hAnsi="Times New Roman"/>
        </w:rPr>
        <w:t>„</w:t>
      </w:r>
      <w:r w:rsidR="00AD30CA" w:rsidRPr="00331892">
        <w:rPr>
          <w:rFonts w:ascii="Times New Roman" w:hAnsi="Times New Roman"/>
        </w:rPr>
        <w:t>Luka podatkowa w VAT – jak to zwalczać?</w:t>
      </w:r>
      <w:r w:rsidR="004F5B36" w:rsidRPr="00331892">
        <w:rPr>
          <w:rFonts w:ascii="Times New Roman" w:hAnsi="Times New Roman"/>
        </w:rPr>
        <w:t>” (</w:t>
      </w:r>
      <w:r w:rsidR="0044009B" w:rsidRPr="00331892">
        <w:rPr>
          <w:rFonts w:ascii="Times New Roman" w:hAnsi="Times New Roman"/>
        </w:rPr>
        <w:t xml:space="preserve">PWC, </w:t>
      </w:r>
      <w:r w:rsidR="00C84F2A">
        <w:rPr>
          <w:rFonts w:ascii="Times New Roman" w:hAnsi="Times New Roman"/>
        </w:rPr>
        <w:t>styczeń 2014 </w:t>
      </w:r>
      <w:r w:rsidR="004F5B36" w:rsidRPr="00331892">
        <w:rPr>
          <w:rFonts w:ascii="Times New Roman" w:hAnsi="Times New Roman"/>
        </w:rPr>
        <w:t>r.):</w:t>
      </w:r>
      <w:r w:rsidR="004F5B36" w:rsidRPr="00331892" w:rsidDel="004F5B36">
        <w:rPr>
          <w:rFonts w:ascii="Times New Roman" w:hAnsi="Times New Roman"/>
        </w:rPr>
        <w:t xml:space="preserve"> </w:t>
      </w:r>
      <w:r w:rsidR="00964490" w:rsidRPr="00331892">
        <w:rPr>
          <w:rFonts w:ascii="Times New Roman" w:hAnsi="Times New Roman" w:cs="Times New Roman"/>
        </w:rPr>
        <w:t>„</w:t>
      </w:r>
      <w:r w:rsidR="005424D3" w:rsidRPr="00331892">
        <w:rPr>
          <w:rFonts w:ascii="Times New Roman" w:hAnsi="Times New Roman" w:cs="Times New Roman"/>
        </w:rPr>
        <w:t xml:space="preserve">System zarządzania ryzykiem na podstawie ustalonych reguł (jak przykładowo obroty, deklarowane nadwyżki VAT naliczonego, żądane zwroty czy przedmiot działalności) pozwoli dokonać automatycznej preselekcji podatników, którzy powinni zostać poddani kontroli ze względu na podwyższone ryzyko nadużyć podatkowych. </w:t>
      </w:r>
    </w:p>
    <w:p w:rsidR="005424D3" w:rsidRPr="00331892" w:rsidRDefault="005424D3" w:rsidP="006771FF">
      <w:pPr>
        <w:pStyle w:val="Default"/>
        <w:spacing w:line="360" w:lineRule="auto"/>
        <w:jc w:val="both"/>
        <w:rPr>
          <w:rFonts w:ascii="Times New Roman" w:hAnsi="Times New Roman" w:cs="Times New Roman"/>
        </w:rPr>
      </w:pPr>
      <w:r w:rsidRPr="00331892">
        <w:rPr>
          <w:rFonts w:ascii="Times New Roman" w:hAnsi="Times New Roman" w:cs="Times New Roman"/>
        </w:rPr>
        <w:t>Preselekcja ta w znacznym stopniu zwiększyłaby efektywność kontroli podatkowych i</w:t>
      </w:r>
      <w:r w:rsidR="0079505C" w:rsidRPr="00331892">
        <w:rPr>
          <w:rFonts w:ascii="Times New Roman" w:hAnsi="Times New Roman" w:cs="Times New Roman"/>
        </w:rPr>
        <w:t> </w:t>
      </w:r>
      <w:r w:rsidRPr="00331892">
        <w:rPr>
          <w:rFonts w:ascii="Times New Roman" w:hAnsi="Times New Roman" w:cs="Times New Roman"/>
        </w:rPr>
        <w:t>skarbowych, umożliwiając eliminację spośród p</w:t>
      </w:r>
      <w:r w:rsidR="00D93F50">
        <w:rPr>
          <w:rFonts w:ascii="Times New Roman" w:hAnsi="Times New Roman" w:cs="Times New Roman"/>
        </w:rPr>
        <w:t>odmiotów typowanych do kontroli</w:t>
      </w:r>
      <w:r w:rsidRPr="00331892">
        <w:rPr>
          <w:rFonts w:ascii="Times New Roman" w:hAnsi="Times New Roman" w:cs="Times New Roman"/>
        </w:rPr>
        <w:t xml:space="preserve"> podatników, u których ryzyko występowania nieprawidłowości jest niewielkie. </w:t>
      </w:r>
    </w:p>
    <w:p w:rsidR="005424D3" w:rsidRPr="00331892" w:rsidRDefault="005424D3" w:rsidP="006771FF">
      <w:pPr>
        <w:pStyle w:val="Default"/>
        <w:spacing w:line="360" w:lineRule="auto"/>
        <w:jc w:val="both"/>
        <w:rPr>
          <w:rFonts w:ascii="Times New Roman" w:hAnsi="Times New Roman" w:cs="Times New Roman"/>
        </w:rPr>
      </w:pPr>
      <w:r w:rsidRPr="00331892">
        <w:rPr>
          <w:rFonts w:ascii="Times New Roman" w:hAnsi="Times New Roman" w:cs="Times New Roman"/>
        </w:rPr>
        <w:t>Reguły zarządzania ryzykiem powinny być przy tym stale monitorowane i aktualizowane na podstawie informacj</w:t>
      </w:r>
      <w:r w:rsidR="00D93F50">
        <w:rPr>
          <w:rFonts w:ascii="Times New Roman" w:hAnsi="Times New Roman" w:cs="Times New Roman"/>
        </w:rPr>
        <w:t>i płynących z wykrytych nadużyć</w:t>
      </w:r>
      <w:r w:rsidRPr="00331892">
        <w:rPr>
          <w:rFonts w:ascii="Times New Roman" w:hAnsi="Times New Roman" w:cs="Times New Roman"/>
        </w:rPr>
        <w:t xml:space="preserve"> czy informacji przekazywanych przez przedsiębiorców i inne organy. </w:t>
      </w:r>
    </w:p>
    <w:p w:rsidR="005424D3" w:rsidRPr="00331892" w:rsidRDefault="005424D3" w:rsidP="006771FF">
      <w:pPr>
        <w:pStyle w:val="Default"/>
        <w:spacing w:line="360" w:lineRule="auto"/>
        <w:jc w:val="both"/>
        <w:rPr>
          <w:rFonts w:ascii="Times New Roman" w:hAnsi="Times New Roman" w:cs="Times New Roman"/>
        </w:rPr>
      </w:pPr>
      <w:r w:rsidRPr="00331892">
        <w:rPr>
          <w:rFonts w:ascii="Times New Roman" w:hAnsi="Times New Roman" w:cs="Times New Roman"/>
        </w:rPr>
        <w:t>Wdrożenie w ramach administracji podatkowej i skarbowej rozległego wsparcia technologii informatycznej może wiązać się ze znacznymi kosztami,</w:t>
      </w:r>
      <w:r w:rsidR="00331892">
        <w:rPr>
          <w:rFonts w:ascii="Times New Roman" w:hAnsi="Times New Roman" w:cs="Times New Roman"/>
        </w:rPr>
        <w:t xml:space="preserve"> które Skarb Państwa musiałby w </w:t>
      </w:r>
      <w:r w:rsidRPr="00331892">
        <w:rPr>
          <w:rFonts w:ascii="Times New Roman" w:hAnsi="Times New Roman" w:cs="Times New Roman"/>
        </w:rPr>
        <w:t>związku z tym przedsięwzięciem ponieść. Mając jednak na</w:t>
      </w:r>
      <w:r w:rsidR="00331892">
        <w:rPr>
          <w:rFonts w:ascii="Times New Roman" w:hAnsi="Times New Roman" w:cs="Times New Roman"/>
        </w:rPr>
        <w:t xml:space="preserve"> uwadze rozmiar strat budżetu z </w:t>
      </w:r>
      <w:r w:rsidRPr="00331892">
        <w:rPr>
          <w:rFonts w:ascii="Times New Roman" w:hAnsi="Times New Roman" w:cs="Times New Roman"/>
        </w:rPr>
        <w:t>tytułu oszustw podatkowych, a także tempo wzrostu</w:t>
      </w:r>
      <w:r w:rsidR="00331892">
        <w:rPr>
          <w:rFonts w:ascii="Times New Roman" w:hAnsi="Times New Roman" w:cs="Times New Roman"/>
        </w:rPr>
        <w:t xml:space="preserve"> rozmiarów luki podatkowej czy </w:t>
      </w:r>
      <w:r w:rsidRPr="00331892">
        <w:rPr>
          <w:rFonts w:ascii="Times New Roman" w:hAnsi="Times New Roman" w:cs="Times New Roman"/>
        </w:rPr>
        <w:t>przykłady wspierania efektywności administracji podatkowych innych państw przez rozwiązania technologiczne, są to koszty niezbędne, bez których usprawnienie zwalczania nadużyć VAT i tym samym stopnio</w:t>
      </w:r>
      <w:r w:rsidR="00D93F50">
        <w:rPr>
          <w:rFonts w:ascii="Times New Roman" w:hAnsi="Times New Roman" w:cs="Times New Roman"/>
        </w:rPr>
        <w:t>we zmniejszenie luki podatkowej</w:t>
      </w:r>
      <w:r w:rsidRPr="00331892">
        <w:rPr>
          <w:rFonts w:ascii="Times New Roman" w:hAnsi="Times New Roman" w:cs="Times New Roman"/>
        </w:rPr>
        <w:t xml:space="preserve"> będzie niemożliwe. </w:t>
      </w:r>
    </w:p>
    <w:p w:rsidR="005424D3" w:rsidRPr="00331892" w:rsidRDefault="005424D3" w:rsidP="006771FF">
      <w:pPr>
        <w:pStyle w:val="Tre"/>
        <w:shd w:val="clear" w:color="auto" w:fill="FFFFFF"/>
        <w:spacing w:line="360" w:lineRule="auto"/>
        <w:jc w:val="both"/>
        <w:rPr>
          <w:rFonts w:ascii="Times New Roman" w:hAnsi="Times New Roman"/>
        </w:rPr>
      </w:pPr>
      <w:r w:rsidRPr="00331892">
        <w:rPr>
          <w:rFonts w:ascii="Times New Roman" w:hAnsi="Times New Roman"/>
        </w:rPr>
        <w:t>W administracjach podatkowych innych państw funkcjonują liczne rozwiązania technologiczne wspierające efektywne zwalczanie przestępczości podatkowej, jak przykładowo omawiane w niniejszym raporcie systemy: ZAUBER (Niemcy), VRT</w:t>
      </w:r>
      <w:r w:rsidR="00D93F50">
        <w:rPr>
          <w:rFonts w:ascii="Times New Roman" w:hAnsi="Times New Roman"/>
        </w:rPr>
        <w:t xml:space="preserve"> czy </w:t>
      </w:r>
      <w:r w:rsidRPr="00331892">
        <w:rPr>
          <w:rFonts w:ascii="Times New Roman" w:hAnsi="Times New Roman"/>
        </w:rPr>
        <w:t>FEAST (Wielka Brytania).</w:t>
      </w:r>
      <w:r w:rsidR="00AD30CA" w:rsidRPr="00331892">
        <w:rPr>
          <w:rFonts w:ascii="Times New Roman" w:hAnsi="Times New Roman"/>
        </w:rPr>
        <w:t>”</w:t>
      </w:r>
    </w:p>
    <w:p w:rsidR="005D0D2F" w:rsidRPr="00331892" w:rsidRDefault="005D0D2F" w:rsidP="006771FF">
      <w:pPr>
        <w:pStyle w:val="Tre"/>
        <w:spacing w:line="360" w:lineRule="auto"/>
        <w:jc w:val="both"/>
        <w:rPr>
          <w:rFonts w:ascii="Times New Roman" w:hAnsi="Times New Roman"/>
        </w:rPr>
      </w:pPr>
      <w:r w:rsidRPr="00331892">
        <w:rPr>
          <w:rFonts w:ascii="Times New Roman" w:hAnsi="Times New Roman"/>
        </w:rPr>
        <w:t>Praktyka informatyzacji dużych instytucji pozwala na zdefiniowanie podstawowego zestawu najlepszych praktyk w tym zakresie, w wymiarze tak zarządczym, jak i inżynierskim:</w:t>
      </w:r>
    </w:p>
    <w:p w:rsidR="005D0D2F" w:rsidRPr="00331892" w:rsidRDefault="00BD5E43" w:rsidP="006771FF">
      <w:pPr>
        <w:spacing w:line="360" w:lineRule="auto"/>
        <w:jc w:val="both"/>
      </w:pPr>
      <w:r>
        <w:t>–</w:t>
      </w:r>
      <w:r w:rsidR="00F0694A" w:rsidRPr="00331892">
        <w:t xml:space="preserve"> </w:t>
      </w:r>
      <w:r w:rsidR="005D0D2F" w:rsidRPr="00331892">
        <w:t>należy precyzyjnie zdefiniować cel informatyzacji lub jej etapu (taki jak np. zwiększenie ściągalności podatków, zwiększenie szybkości przebiegu określonych procesów kontrolnych)</w:t>
      </w:r>
      <w:r w:rsidR="00F0694A" w:rsidRPr="00331892">
        <w:t>,</w:t>
      </w:r>
    </w:p>
    <w:p w:rsidR="005D0D2F" w:rsidRPr="00331892" w:rsidRDefault="00BD5E43" w:rsidP="006771FF">
      <w:pPr>
        <w:spacing w:line="360" w:lineRule="auto"/>
        <w:jc w:val="both"/>
      </w:pPr>
      <w:r>
        <w:t>–</w:t>
      </w:r>
      <w:r w:rsidR="00F0694A" w:rsidRPr="00331892">
        <w:t xml:space="preserve"> p</w:t>
      </w:r>
      <w:r w:rsidR="005D0D2F" w:rsidRPr="00331892">
        <w:t xml:space="preserve">roces informatyzacji należy podzielić na takie etapy, </w:t>
      </w:r>
      <w:r w:rsidR="00D93F50">
        <w:t>a</w:t>
      </w:r>
      <w:r w:rsidR="005D0D2F" w:rsidRPr="00331892">
        <w:t xml:space="preserve">by w perspektywie kilkumiesięcznej otrzymać nie tylko produkty informatyczne etapu (takie jak działający program </w:t>
      </w:r>
      <w:r w:rsidR="005D0D2F" w:rsidRPr="00331892">
        <w:lastRenderedPageBreak/>
        <w:t>komputerowy), ale także uzyskać założone instytucjonalne lub biznesowe efekty jego działania,</w:t>
      </w:r>
    </w:p>
    <w:p w:rsidR="00893D20" w:rsidRPr="00331892" w:rsidRDefault="00BD5E43" w:rsidP="006771FF">
      <w:pPr>
        <w:spacing w:line="360" w:lineRule="auto"/>
        <w:jc w:val="both"/>
      </w:pPr>
      <w:r>
        <w:t>–</w:t>
      </w:r>
      <w:r w:rsidR="00F0694A" w:rsidRPr="00331892">
        <w:t xml:space="preserve"> </w:t>
      </w:r>
      <w:r w:rsidR="005D0D2F" w:rsidRPr="00331892">
        <w:t>skuteczne wdrożenie systemu informatycznego (w sensie uzyskania rezultatów instytucjonalnych) oznacza zawsze zmianę sposobu działania instytucji; instytucja musi więc wcześniej zaplanować, jak będzie działała po wdrożeniu systemu informatycznego. Oznacza to, że system informatyczny i nowe procedury instytucjonalne tworzone muszą być równolegle, w stałym wzajemnym sprzężeniu, niewielkimi krokami (tzw. podejście iteracyjne)</w:t>
      </w:r>
      <w:r w:rsidR="0087218B" w:rsidRPr="00331892">
        <w:t xml:space="preserve">. </w:t>
      </w:r>
      <w:r w:rsidR="005D0D2F" w:rsidRPr="00331892">
        <w:t>Kluczowe czynniki sukcesu są następujące:</w:t>
      </w:r>
      <w:r w:rsidR="0087218B" w:rsidRPr="00331892">
        <w:t xml:space="preserve"> </w:t>
      </w:r>
      <w:r w:rsidR="005D0D2F" w:rsidRPr="00331892">
        <w:t>wydzielenie jednostki organizacyjnej z jasno zdefiniowanym celem biznesowym (instytucjonalnym)</w:t>
      </w:r>
      <w:r w:rsidR="00F0694A" w:rsidRPr="00331892">
        <w:t xml:space="preserve">, </w:t>
      </w:r>
      <w:r w:rsidR="00331892">
        <w:t>zarządzanie projektem w </w:t>
      </w:r>
      <w:r w:rsidR="005D0D2F" w:rsidRPr="00331892">
        <w:t>sposób adekwatny do specyfiki przedsięwzięcia i jego harmonogramu</w:t>
      </w:r>
      <w:r w:rsidR="0087218B" w:rsidRPr="00331892">
        <w:t xml:space="preserve"> oraz </w:t>
      </w:r>
      <w:r w:rsidR="005D0D2F" w:rsidRPr="00331892">
        <w:t>zastosowanie sprawdzonej architektury rozwiązań, zintegrowanej z istniejącymi systemami i zasobami danych</w:t>
      </w:r>
      <w:r w:rsidR="00F0694A" w:rsidRPr="00331892">
        <w:t xml:space="preserve">. </w:t>
      </w:r>
    </w:p>
    <w:p w:rsidR="00806A5B" w:rsidRPr="00331892" w:rsidRDefault="00806A5B" w:rsidP="006771FF">
      <w:pPr>
        <w:spacing w:line="360" w:lineRule="auto"/>
        <w:jc w:val="both"/>
      </w:pPr>
    </w:p>
    <w:p w:rsidR="00F0694A" w:rsidRPr="0099437F" w:rsidRDefault="00D37791" w:rsidP="006771FF">
      <w:pPr>
        <w:spacing w:line="360" w:lineRule="auto"/>
        <w:ind w:firstLine="708"/>
        <w:jc w:val="both"/>
      </w:pPr>
      <w:r w:rsidRPr="0099437F">
        <w:t xml:space="preserve">II. </w:t>
      </w:r>
      <w:r w:rsidR="00F0694A" w:rsidRPr="0099437F">
        <w:t>Uzasadnienie powołania spółki celowej – zagadnienia szczegółowe</w:t>
      </w:r>
    </w:p>
    <w:p w:rsidR="00F0694A" w:rsidRPr="00331892" w:rsidRDefault="00F0694A" w:rsidP="006771FF">
      <w:pPr>
        <w:spacing w:before="120" w:line="360" w:lineRule="auto"/>
        <w:jc w:val="both"/>
      </w:pPr>
      <w:r w:rsidRPr="00331892">
        <w:t xml:space="preserve">Walka z oszustwami VAT stanowi jedno z najważniejszych wyzwań stojących przed rządem w Polsce. Skala oszustw zaczyna zagrażać fundamentom finansowym  państwa. Skuteczne ograniczenie ubytków w dochodach wymaga zidentyfikowania źródła uszczupleń oraz skategoryzowania grup dopuszczających się działań skutkujących  uszczupleniem dochodów budżetowych, przy czym uszczuplenia wynikające z agresywnych działań optymalizacyjnych dokonywanych przez podatników wykorzystujących luki w prawie powinny być zwalczane odmiennie (w takim wypadku wystarczające są odpowiednie zmiany w przepisach)  od wyłudzenia podatku dokonywane przez zorganizowane grupy przestępcze. </w:t>
      </w:r>
    </w:p>
    <w:p w:rsidR="00F0694A" w:rsidRPr="00331892" w:rsidRDefault="00F0694A" w:rsidP="006771FF">
      <w:pPr>
        <w:spacing w:line="360" w:lineRule="auto"/>
        <w:jc w:val="both"/>
      </w:pPr>
      <w:r w:rsidRPr="00331892">
        <w:t>Straty w VAT wynikają:</w:t>
      </w:r>
    </w:p>
    <w:p w:rsidR="00F0694A" w:rsidRPr="00331892" w:rsidRDefault="003C1C5C" w:rsidP="006771FF">
      <w:pPr>
        <w:spacing w:line="360" w:lineRule="auto"/>
        <w:jc w:val="both"/>
      </w:pPr>
      <w:r>
        <w:t>–</w:t>
      </w:r>
      <w:r w:rsidR="00F0694A" w:rsidRPr="00331892">
        <w:t xml:space="preserve"> z działalności przestępców (którzy nie prowadzą rzeczywistej działalności, a jedynie wykorzystują transakcje gospodarcze do wyłudzeń zwrotu VAT),</w:t>
      </w:r>
    </w:p>
    <w:p w:rsidR="00F0694A" w:rsidRPr="00331892" w:rsidRDefault="003C1C5C" w:rsidP="006771FF">
      <w:pPr>
        <w:spacing w:line="360" w:lineRule="auto"/>
        <w:jc w:val="both"/>
      </w:pPr>
      <w:r>
        <w:t>–</w:t>
      </w:r>
      <w:r w:rsidR="00F0694A" w:rsidRPr="00331892">
        <w:t xml:space="preserve"> tzw. szarej strefy, czyli działalności tych podmiotów, które nie ujawniają swojej aktywności gospodarczej organom skarbowym lub zaniżają jej skalę. </w:t>
      </w:r>
    </w:p>
    <w:p w:rsidR="00F0694A" w:rsidRPr="00331892" w:rsidRDefault="00F0694A" w:rsidP="006771FF">
      <w:pPr>
        <w:spacing w:line="360" w:lineRule="auto"/>
        <w:jc w:val="both"/>
      </w:pPr>
      <w:r w:rsidRPr="00331892">
        <w:t>Zdecydowanie najmniejszym źródłem strat w VAT są zwykli podatnicy, którzy</w:t>
      </w:r>
      <w:r w:rsidR="00331892">
        <w:t xml:space="preserve"> popadają w </w:t>
      </w:r>
      <w:r w:rsidR="00A662AE" w:rsidRPr="00331892">
        <w:t>zwykłe biznesowe kłopoty</w:t>
      </w:r>
      <w:r w:rsidR="00A56048" w:rsidRPr="00331892">
        <w:t xml:space="preserve"> związane z utratą </w:t>
      </w:r>
      <w:r w:rsidR="00EE2D80" w:rsidRPr="00331892">
        <w:t>płynnoś</w:t>
      </w:r>
      <w:r w:rsidR="00A56048" w:rsidRPr="00331892">
        <w:t>ci</w:t>
      </w:r>
      <w:r w:rsidR="00A662AE" w:rsidRPr="00331892">
        <w:t xml:space="preserve"> i np. </w:t>
      </w:r>
      <w:r w:rsidR="00A56048" w:rsidRPr="00331892">
        <w:t>nie regulują na bieżąco sw</w:t>
      </w:r>
      <w:r w:rsidR="00D93F50">
        <w:t>oic</w:t>
      </w:r>
      <w:r w:rsidR="00A56048" w:rsidRPr="00331892">
        <w:t>h należności podatkowych</w:t>
      </w:r>
      <w:r w:rsidR="00A13F0C" w:rsidRPr="00331892">
        <w:t xml:space="preserve">. </w:t>
      </w:r>
      <w:r w:rsidRPr="00331892">
        <w:t xml:space="preserve">Grupy przestępcze działają poza prawem. Wszelkie regulacje ustawowe wprowadzające dodatkowe restrykcje czy obowiązki są zatem </w:t>
      </w:r>
      <w:r w:rsidR="00DA538E" w:rsidRPr="00331892">
        <w:t xml:space="preserve">w dużej części </w:t>
      </w:r>
      <w:r w:rsidRPr="00331892">
        <w:t>nieskuteczne wobec tej grupy. Dosyć podobna sytuacja występuje w przypadku po</w:t>
      </w:r>
      <w:r w:rsidR="00D93F50">
        <w:t>dmiotów działających w szarej strefie</w:t>
      </w:r>
      <w:r w:rsidRPr="00331892">
        <w:t xml:space="preserve">. </w:t>
      </w:r>
    </w:p>
    <w:p w:rsidR="00F0694A" w:rsidRPr="00331892" w:rsidRDefault="00F0694A" w:rsidP="006771FF">
      <w:pPr>
        <w:spacing w:line="360" w:lineRule="auto"/>
        <w:jc w:val="both"/>
      </w:pPr>
      <w:r w:rsidRPr="00331892">
        <w:lastRenderedPageBreak/>
        <w:t>Środkiem do zwalczania działalności przestępców wyłudzających VAT oraz podmiotów działających w szarej strefie nie powinny być więc same przepisy ustawy o VAT, lecz zwiększenie efektywno</w:t>
      </w:r>
      <w:r w:rsidR="00D93F50">
        <w:t>ści kontroli (szybkie wykrywanie</w:t>
      </w:r>
      <w:r w:rsidRPr="00331892">
        <w:t xml:space="preserve"> oszustw) i egzekwowania wyłudzonych lub niezap</w:t>
      </w:r>
      <w:r w:rsidR="001138BA">
        <w:t>łaconych kwot. W odniesieniu do oszustw w zakresie VAT,</w:t>
      </w:r>
      <w:r w:rsidRPr="00331892">
        <w:t xml:space="preserve"> </w:t>
      </w:r>
      <w:r w:rsidR="00526491">
        <w:t xml:space="preserve">to </w:t>
      </w:r>
      <w:r w:rsidRPr="00331892">
        <w:t xml:space="preserve">zasadniczym problemem w ocenie Ministra Finansów nie są </w:t>
      </w:r>
      <w:r w:rsidR="00526491">
        <w:t xml:space="preserve">w chwili obecnej </w:t>
      </w:r>
      <w:r w:rsidR="00331892">
        <w:t>złe przepisy o </w:t>
      </w:r>
      <w:r w:rsidRPr="00331892">
        <w:t>VAT, lecz powolność i słaba wykrywalność oszustw.</w:t>
      </w:r>
    </w:p>
    <w:p w:rsidR="00F0694A" w:rsidRPr="00331892" w:rsidRDefault="00F0694A" w:rsidP="006771FF">
      <w:pPr>
        <w:spacing w:line="360" w:lineRule="auto"/>
        <w:jc w:val="both"/>
      </w:pPr>
      <w:r w:rsidRPr="00331892">
        <w:t>Organy podatkowe w obecnym kształcie są praktycznie bezradne w przypadku oszustów, którzy zakładają firmę („na słupa”), dokonują licznych transakcji przez miesiąc i znikają. Zanim organy podejmą jakiekolwiek czynności weryfikacyjne (związane z niezłożeniem deklaracji kwartalnej), oszuści są już nieuchwytni, a wyłudzone kwoty VAT wytransferowane za granicę.</w:t>
      </w:r>
    </w:p>
    <w:p w:rsidR="00F0694A" w:rsidRPr="00331892" w:rsidRDefault="00F0694A" w:rsidP="006771FF">
      <w:pPr>
        <w:spacing w:line="360" w:lineRule="auto"/>
        <w:jc w:val="both"/>
      </w:pPr>
      <w:r w:rsidRPr="00331892">
        <w:t>Wobec powyższego uprawniony jest pogląd, iż skuteczna walka z oszustami nie będzie możliwa bez:</w:t>
      </w:r>
    </w:p>
    <w:p w:rsidR="00F0694A" w:rsidRPr="00331892" w:rsidRDefault="003C1C5C" w:rsidP="006771FF">
      <w:pPr>
        <w:spacing w:line="360" w:lineRule="auto"/>
        <w:jc w:val="both"/>
      </w:pPr>
      <w:r>
        <w:t>–</w:t>
      </w:r>
      <w:r w:rsidR="00F0694A" w:rsidRPr="00331892">
        <w:t xml:space="preserve"> udostępnienia organom skarbowym odpowiednich narzędzi informatycznych dostarczających w czasie rzeczywistym informacji o potencjalnych oszustwach (centralny rejestr faktur), </w:t>
      </w:r>
    </w:p>
    <w:p w:rsidR="00F0694A" w:rsidRPr="00331892" w:rsidRDefault="003C1C5C" w:rsidP="006771FF">
      <w:pPr>
        <w:spacing w:line="360" w:lineRule="auto"/>
        <w:jc w:val="both"/>
      </w:pPr>
      <w:r>
        <w:t>–</w:t>
      </w:r>
      <w:r w:rsidR="00F0694A" w:rsidRPr="00331892">
        <w:t xml:space="preserve"> efektywnego wykorzystania zasobów ludzkich przez organy podatkowe (niezbędne jest przesunięcie urzędników zajmujących się weryfikacją PIT emerytów do rzeczywistej kontroli),  </w:t>
      </w:r>
    </w:p>
    <w:p w:rsidR="00F0694A" w:rsidRPr="00331892" w:rsidRDefault="003C1C5C" w:rsidP="006771FF">
      <w:pPr>
        <w:spacing w:line="360" w:lineRule="auto"/>
        <w:jc w:val="both"/>
      </w:pPr>
      <w:r>
        <w:t>–</w:t>
      </w:r>
      <w:r w:rsidR="00F0694A" w:rsidRPr="00331892">
        <w:t xml:space="preserve"> współdziałania organów podatkowych z innymi organami państwa powołanymi do zwalczania przestępstw.</w:t>
      </w:r>
    </w:p>
    <w:p w:rsidR="00A75D83" w:rsidRPr="00331892" w:rsidRDefault="00526491" w:rsidP="006771FF">
      <w:pPr>
        <w:spacing w:line="360" w:lineRule="auto"/>
        <w:jc w:val="both"/>
      </w:pPr>
      <w:r>
        <w:t xml:space="preserve">Kapitalne </w:t>
      </w:r>
      <w:r w:rsidR="00F0694A" w:rsidRPr="00331892">
        <w:t>znaczenie dla powodzenia zamierzeń państwa w obszarze zwalczania luki VAT  jest zatem stworzenie systemu teleinformatycznego, który będzie wspomagał pracę organów podatkowych, a tym samym także organów państwa powołanych do zwalczania przestępczości.</w:t>
      </w:r>
      <w:r w:rsidR="0087218B" w:rsidRPr="00331892">
        <w:t xml:space="preserve"> </w:t>
      </w:r>
      <w:r w:rsidR="00F0694A" w:rsidRPr="00331892">
        <w:t>Wdrożenie rozwiązania polegającego na stworzeniu systemów teleinformatycznych dedykowanych uszczelnieniu systemu poboru podatku VAT bądź uszczelnieniu całego systemu poboru podatków jest rozwiązaniem już przyjętym przez szereg państw, które stworzyły  wyspecjalizowane systemy teleinformatyczne wspomagające organa podatkowe w tropieniu oszustw.</w:t>
      </w:r>
      <w:r w:rsidR="0087218B" w:rsidRPr="00331892">
        <w:t xml:space="preserve"> </w:t>
      </w:r>
      <w:r w:rsidR="00F0694A" w:rsidRPr="00331892">
        <w:t xml:space="preserve">Dobrym przykładem wdrożenia takiego systemu wspomagającego uszczelnienie systemu poboru podatku jest w USA stan Iowa. Stanowe biuro podatkowe pobiera 21 typów podatków stanowych, </w:t>
      </w:r>
      <w:r w:rsidR="00331892">
        <w:t>które rocznie dają stanowi ok</w:t>
      </w:r>
      <w:r w:rsidR="00023595">
        <w:t>.</w:t>
      </w:r>
      <w:r w:rsidR="00331892">
        <w:t> 7 </w:t>
      </w:r>
      <w:r w:rsidR="00F0694A" w:rsidRPr="00331892">
        <w:t>miliardów dolarów. System informatyczny ma wskazywać tych podatników, którzy powinni uiścić podatek, ale ni</w:t>
      </w:r>
      <w:r w:rsidR="00C63D19">
        <w:t>e czynią tego w sposób planowy.</w:t>
      </w:r>
      <w:r w:rsidR="00F0694A" w:rsidRPr="00331892">
        <w:t xml:space="preserve"> Ze względu na niski poziom oszustw czy nadużyć dzięki systemowi wygenerowano dodatkowe przychody na poziomie </w:t>
      </w:r>
      <w:r w:rsidR="00F0694A" w:rsidRPr="00331892">
        <w:lastRenderedPageBreak/>
        <w:t>do</w:t>
      </w:r>
      <w:r w:rsidR="00580384">
        <w:t> </w:t>
      </w:r>
      <w:r w:rsidR="009D3026">
        <w:t>2</w:t>
      </w:r>
      <w:r w:rsidR="00F0694A" w:rsidRPr="00331892">
        <w:t>% przychodów w skali rocznej. Mamy tu zatem doskonały przykład sytuacji, gdy dobrze skonstruowany system informatyczny pozwala „doszczelnić” już szczelny system.</w:t>
      </w:r>
      <w:r w:rsidR="0087218B" w:rsidRPr="00331892">
        <w:t xml:space="preserve"> </w:t>
      </w:r>
      <w:r w:rsidR="00F0694A" w:rsidRPr="00331892">
        <w:t>Na drugim biegunie</w:t>
      </w:r>
      <w:r w:rsidR="0087218B" w:rsidRPr="00331892">
        <w:t xml:space="preserve">, </w:t>
      </w:r>
      <w:r w:rsidR="00F0694A" w:rsidRPr="00331892">
        <w:t>jeśli chodzi o skalę czynów, których wykrycie system informatyczny ma wspomagać</w:t>
      </w:r>
      <w:r w:rsidR="0087218B" w:rsidRPr="00331892">
        <w:t xml:space="preserve">, </w:t>
      </w:r>
      <w:r w:rsidR="00F0694A" w:rsidRPr="00331892">
        <w:t>jest Rosja, gdzie wdrożenie systemu informatycznego, podobnego architektonicznie do tego w stanie Iowa</w:t>
      </w:r>
      <w:r w:rsidR="00D93F50">
        <w:t>,</w:t>
      </w:r>
      <w:r w:rsidR="00F0694A" w:rsidRPr="00331892">
        <w:t xml:space="preserve"> dało roczny wzrost przychodu z podatku VAT</w:t>
      </w:r>
      <w:r w:rsidR="0087218B" w:rsidRPr="00331892">
        <w:t xml:space="preserve"> </w:t>
      </w:r>
      <w:r w:rsidR="00D93F50">
        <w:t>o </w:t>
      </w:r>
      <w:r w:rsidR="009D3026">
        <w:t>20</w:t>
      </w:r>
      <w:r w:rsidR="00F0694A" w:rsidRPr="00331892">
        <w:t>%, co z kolei stanowi doskonały przykład tego</w:t>
      </w:r>
      <w:r w:rsidR="00D93F50">
        <w:t xml:space="preserve">, jaki skutek dla nieszczelnego </w:t>
      </w:r>
      <w:r w:rsidR="00F0694A" w:rsidRPr="00331892">
        <w:t>systemu podatkowego może przynieść wdrożenie odpowiedniego narzędzia informatycznego.</w:t>
      </w:r>
      <w:r w:rsidR="0087218B" w:rsidRPr="00331892">
        <w:t xml:space="preserve"> </w:t>
      </w:r>
    </w:p>
    <w:p w:rsidR="00F0694A" w:rsidRPr="00331892" w:rsidRDefault="00F0694A" w:rsidP="006771FF">
      <w:pPr>
        <w:spacing w:line="360" w:lineRule="auto"/>
        <w:jc w:val="both"/>
      </w:pPr>
      <w:r w:rsidRPr="00331892">
        <w:t xml:space="preserve">W krajach </w:t>
      </w:r>
      <w:r w:rsidR="00A75D83" w:rsidRPr="00331892">
        <w:t xml:space="preserve">Unii Europejskiej dedykowane </w:t>
      </w:r>
      <w:r w:rsidRPr="00331892">
        <w:t xml:space="preserve">systemy informatyczne </w:t>
      </w:r>
      <w:r w:rsidR="00430029" w:rsidRPr="00331892">
        <w:t xml:space="preserve">dotyczące VAT </w:t>
      </w:r>
      <w:r w:rsidR="00A75D83" w:rsidRPr="00331892">
        <w:t>wdrożyły m</w:t>
      </w:r>
      <w:r w:rsidR="00D93F50">
        <w:t>.</w:t>
      </w:r>
      <w:r w:rsidR="00A75D83" w:rsidRPr="00331892">
        <w:t xml:space="preserve">in. Portugalia, </w:t>
      </w:r>
      <w:r w:rsidRPr="00331892">
        <w:t>Słowacja, Holandia</w:t>
      </w:r>
      <w:r w:rsidR="00A75D83" w:rsidRPr="00331892">
        <w:t>, Wielka Brytania</w:t>
      </w:r>
      <w:r w:rsidRPr="00331892">
        <w:t>.</w:t>
      </w:r>
      <w:r w:rsidR="0087218B" w:rsidRPr="00331892">
        <w:t xml:space="preserve"> </w:t>
      </w:r>
      <w:r w:rsidR="00AA70EA" w:rsidRPr="00331892">
        <w:t xml:space="preserve">Z podanych przykładów warto podkreślić przypadek Portugalii, która wdrożyła kompleksowy system e-faktur w latach </w:t>
      </w:r>
      <w:r w:rsidR="00331892">
        <w:t>2012–</w:t>
      </w:r>
      <w:r w:rsidR="00AA70EA" w:rsidRPr="00331892">
        <w:t xml:space="preserve">2013. </w:t>
      </w:r>
      <w:r w:rsidR="00791257" w:rsidRPr="00331892">
        <w:t>Rozwiązanie portugalskie przewiduje m</w:t>
      </w:r>
      <w:r w:rsidR="00D93F50">
        <w:t>.</w:t>
      </w:r>
      <w:r w:rsidR="00791257" w:rsidRPr="00331892">
        <w:t xml:space="preserve">in. wysyłanie kopii elektronicznej faktur w czasie rzeczywistym przez podatników na serwery administracji podatkowej, która dzięki temu na bieżąco jest w stanie identyfikować nieprawidłowości, w tym znikającego płatnika. Fakturowanie odbywa się jedynie za pomocą certyfikowanego oprogramowania. </w:t>
      </w:r>
      <w:r w:rsidRPr="00331892">
        <w:t>Cechą wspólną tych wszystkich systemów jest fakt, że pełnią rol</w:t>
      </w:r>
      <w:r w:rsidR="00331892">
        <w:t>ę wspomagającą</w:t>
      </w:r>
      <w:r w:rsidR="00D93F50">
        <w:t>,</w:t>
      </w:r>
      <w:r w:rsidR="00331892">
        <w:t xml:space="preserve"> tzn. w oparciu o </w:t>
      </w:r>
      <w:r w:rsidRPr="00331892">
        <w:t>dostarczone przez nie informacje właściwe organ</w:t>
      </w:r>
      <w:r w:rsidR="00700576" w:rsidRPr="00331892">
        <w:t>y</w:t>
      </w:r>
      <w:r w:rsidRPr="00331892">
        <w:t xml:space="preserve"> państwa podejmują działania (których skutkiem jest zmniejszenie luki finansowej w dochodach państwa z tytułu podatków</w:t>
      </w:r>
      <w:r w:rsidR="00700576" w:rsidRPr="00331892">
        <w:t>)</w:t>
      </w:r>
      <w:r w:rsidRPr="00331892">
        <w:t>.</w:t>
      </w:r>
    </w:p>
    <w:p w:rsidR="0044009B" w:rsidRPr="00331892" w:rsidRDefault="00F0694A" w:rsidP="006771FF">
      <w:pPr>
        <w:spacing w:line="360" w:lineRule="auto"/>
        <w:jc w:val="both"/>
      </w:pPr>
      <w:r w:rsidRPr="00331892">
        <w:t>Z wyżej wymienionych względów zamierzeniem Ministra Finansów jest</w:t>
      </w:r>
      <w:r w:rsidR="00806A5B" w:rsidRPr="00331892">
        <w:t>, a</w:t>
      </w:r>
      <w:r w:rsidRPr="00331892">
        <w:t>by niektóre projekty informatyczne z zakresu spraw należących do działu finanse publiczne, szczególnie istotne dla bezpieczeństwa finansowego państwa (których celem jest zapewnienie  organom administracji podatkowej, służby celnej i kontroli</w:t>
      </w:r>
      <w:r w:rsidR="00331892">
        <w:t xml:space="preserve"> skarbowej narzędzi do analizy </w:t>
      </w:r>
      <w:r w:rsidRPr="00331892">
        <w:t>prawdopodobieństwa wystąpienia naruszenia prawa podatk</w:t>
      </w:r>
      <w:r w:rsidR="00331892">
        <w:t>owego) były powierzane spółce z </w:t>
      </w:r>
      <w:r w:rsidRPr="00331892">
        <w:t xml:space="preserve">ograniczoną odpowiedzialnością utworzonej w tym celu przez </w:t>
      </w:r>
      <w:r w:rsidR="002A0863">
        <w:t>Skarb Państwa. Powyższe pozwoli –</w:t>
      </w:r>
      <w:r w:rsidRPr="00331892">
        <w:t xml:space="preserve"> z jednej strony </w:t>
      </w:r>
      <w:r w:rsidR="002A0863">
        <w:t xml:space="preserve">– </w:t>
      </w:r>
      <w:r w:rsidRPr="00331892">
        <w:t>na zastosowanie biznesowych rozwiązań zarządczych powszechnych przy realizacji tego typu projektów informa</w:t>
      </w:r>
      <w:r w:rsidR="002A0863">
        <w:t>tycznych w sektorze prywatnym i </w:t>
      </w:r>
      <w:r w:rsidRPr="00331892">
        <w:t xml:space="preserve">sprawne realizowanie projektów przy wykorzystaniu </w:t>
      </w:r>
      <w:r w:rsidR="002A0863">
        <w:t>własnych zasobów podmiotu lub z </w:t>
      </w:r>
      <w:r w:rsidRPr="00331892">
        <w:t xml:space="preserve">udziałem kooperantów o </w:t>
      </w:r>
      <w:r w:rsidR="002A0863">
        <w:t>uznanej renomie, z drugiej zaś –</w:t>
      </w:r>
      <w:r w:rsidRPr="00331892">
        <w:t xml:space="preserve"> na zapewnienie bezpieczeństwa informacji koncepcjom i rozwiązaniom projektowanym w systemach, które w zamierzeniu Ministra Finansów będą narzędziem analitycznym służącym do wykrywania uszczu</w:t>
      </w:r>
      <w:r w:rsidR="002A0863">
        <w:t>pleń i </w:t>
      </w:r>
      <w:r w:rsidR="0087218B" w:rsidRPr="00331892">
        <w:t xml:space="preserve">oszustw </w:t>
      </w:r>
      <w:r w:rsidR="002A0863">
        <w:t xml:space="preserve">w </w:t>
      </w:r>
      <w:r w:rsidR="0087218B" w:rsidRPr="00331892">
        <w:t xml:space="preserve">podatku VAT. </w:t>
      </w:r>
    </w:p>
    <w:p w:rsidR="00F0694A" w:rsidRPr="00331892" w:rsidRDefault="00F0694A" w:rsidP="006771FF">
      <w:pPr>
        <w:spacing w:line="360" w:lineRule="auto"/>
        <w:jc w:val="both"/>
      </w:pPr>
      <w:r w:rsidRPr="00331892">
        <w:t xml:space="preserve">Projekty informatyczne, które w ocenie Ministra Finansów powinien realizować podmiot specjalnie w tym celu powołany, to projekty polegające na budowie, rozbudowie lub unowocześnieniu istniejących systemów teleinformatycznych oraz budowie systemów teleinformatycznych do analizy prawdopodobieństwa wystąpienia naruszenia prawa </w:t>
      </w:r>
      <w:r w:rsidRPr="00331892">
        <w:lastRenderedPageBreak/>
        <w:t>podatkowego.</w:t>
      </w:r>
      <w:r w:rsidR="0087218B" w:rsidRPr="00331892">
        <w:t xml:space="preserve"> </w:t>
      </w:r>
      <w:r w:rsidR="00D93F50">
        <w:t xml:space="preserve">Systemy te będą wykorzystywane </w:t>
      </w:r>
      <w:r w:rsidRPr="00331892">
        <w:t>do przetwarzania informacji niejawnych oraz innych informacji zawierających tajemnice ustawowo chronione i będą służyły ochronie istotnego interesu bezpieczeń</w:t>
      </w:r>
      <w:r w:rsidR="00D93F50">
        <w:t xml:space="preserve">stwa państwa – w tym przypadku </w:t>
      </w:r>
      <w:r w:rsidRPr="00331892">
        <w:t>bezpieczeństwa finansowego.</w:t>
      </w:r>
      <w:r w:rsidR="001C67FB" w:rsidRPr="00331892">
        <w:t xml:space="preserve"> </w:t>
      </w:r>
    </w:p>
    <w:p w:rsidR="00213BE7" w:rsidRPr="00331892" w:rsidRDefault="00213BE7" w:rsidP="006771FF">
      <w:pPr>
        <w:spacing w:line="360" w:lineRule="auto"/>
        <w:jc w:val="both"/>
      </w:pPr>
      <w:r w:rsidRPr="00331892">
        <w:t>Zakłada się, że powołanie spółki celowej oraz zrealizowanie przez nią założonych celów, którym będzie towarzyszyć nowa operacyjność analityczno-kontroln</w:t>
      </w:r>
      <w:r w:rsidR="005C139A" w:rsidRPr="00331892">
        <w:t>a</w:t>
      </w:r>
      <w:r w:rsidRPr="00331892">
        <w:t xml:space="preserve"> służb skarbowych wykorzystujących narzędzia zawarte w otrzymanym od spółki system</w:t>
      </w:r>
      <w:r w:rsidR="005C139A" w:rsidRPr="00331892">
        <w:t>ie teleinformatycznym</w:t>
      </w:r>
      <w:r w:rsidRPr="00331892">
        <w:t xml:space="preserve">, </w:t>
      </w:r>
      <w:r w:rsidR="00C80390" w:rsidRPr="00331892">
        <w:t>pozwoli ograniczyć lukę w VAT</w:t>
      </w:r>
      <w:r w:rsidRPr="00331892">
        <w:t xml:space="preserve"> </w:t>
      </w:r>
      <w:r w:rsidR="005F2F22" w:rsidRPr="00331892">
        <w:t xml:space="preserve">od </w:t>
      </w:r>
      <w:r w:rsidRPr="00331892">
        <w:t xml:space="preserve">2017 </w:t>
      </w:r>
      <w:r w:rsidR="005F2F22" w:rsidRPr="00331892">
        <w:t xml:space="preserve">r. </w:t>
      </w:r>
      <w:r w:rsidRPr="00331892">
        <w:t xml:space="preserve">(uwzględniając wdrożenie przygotowanego przez spółkę systemu od </w:t>
      </w:r>
      <w:r w:rsidR="00D93F50">
        <w:t xml:space="preserve">dnia </w:t>
      </w:r>
      <w:r w:rsidRPr="00331892">
        <w:t xml:space="preserve">1 </w:t>
      </w:r>
      <w:r w:rsidR="002B5EDA" w:rsidRPr="00331892">
        <w:t>kwietnia</w:t>
      </w:r>
      <w:r w:rsidRPr="00331892">
        <w:t xml:space="preserve"> 2017 r.)</w:t>
      </w:r>
      <w:r w:rsidR="005F2F22" w:rsidRPr="00331892">
        <w:t>. W związku z wprowadzeniem nowych instrumentów informatycznych, stanowiących rezultat działania spółki tworzonej niniejszą ustawą</w:t>
      </w:r>
      <w:r w:rsidR="00D93F50">
        <w:t>,</w:t>
      </w:r>
      <w:r w:rsidR="005F2F22" w:rsidRPr="00331892">
        <w:t xml:space="preserve"> oraz biorąc pod uwagę reformę Krajowej Administracji Skarbowej, efektywność działań analityczno-kontrolnych administracji skarbowej będzie rosła, a tym </w:t>
      </w:r>
      <w:r w:rsidR="00D93F50">
        <w:t>samym luka w </w:t>
      </w:r>
      <w:r w:rsidR="005F2F22" w:rsidRPr="00331892">
        <w:t xml:space="preserve">VAT ograniczona zostanie </w:t>
      </w:r>
      <w:r w:rsidR="005E129A" w:rsidRPr="00331892">
        <w:t xml:space="preserve">trwale </w:t>
      </w:r>
      <w:r w:rsidR="005F2F22" w:rsidRPr="00331892">
        <w:t>do poziomu średnieg</w:t>
      </w:r>
      <w:r w:rsidR="00D93F50">
        <w:t>o dla państw członkowskich UE w </w:t>
      </w:r>
      <w:r w:rsidR="005F2F22" w:rsidRPr="00331892">
        <w:t>2019 r</w:t>
      </w:r>
      <w:r w:rsidR="00D93F50">
        <w:t xml:space="preserve">., tj. </w:t>
      </w:r>
      <w:r w:rsidR="00B25ACA" w:rsidRPr="00331892">
        <w:t xml:space="preserve">spadnie z 26,7% </w:t>
      </w:r>
      <w:r w:rsidR="009F3B02" w:rsidRPr="00331892">
        <w:t xml:space="preserve">dla Polski </w:t>
      </w:r>
      <w:r w:rsidR="00B25ACA" w:rsidRPr="00331892">
        <w:t>do ca 15</w:t>
      </w:r>
      <w:r w:rsidR="009F3B02" w:rsidRPr="00331892">
        <w:t>%</w:t>
      </w:r>
      <w:r w:rsidR="005F2F22" w:rsidRPr="00331892">
        <w:t xml:space="preserve"> </w:t>
      </w:r>
      <w:r w:rsidR="005F2F22" w:rsidRPr="00D93F50">
        <w:t xml:space="preserve">(spadek o </w:t>
      </w:r>
      <w:r w:rsidR="00B25ACA" w:rsidRPr="00D93F50">
        <w:t xml:space="preserve">ponad </w:t>
      </w:r>
      <w:r w:rsidR="00D93F50">
        <w:t>10 pkt</w:t>
      </w:r>
      <w:r w:rsidR="00D93F50" w:rsidRPr="00D93F50">
        <w:t xml:space="preserve"> proc. wpływów z </w:t>
      </w:r>
      <w:r w:rsidR="005F2F22" w:rsidRPr="00D93F50">
        <w:t>VAT</w:t>
      </w:r>
      <w:r w:rsidR="00D93F50">
        <w:t>,</w:t>
      </w:r>
      <w:r w:rsidR="00B25ACA" w:rsidRPr="00D93F50">
        <w:t xml:space="preserve"> dane za Study to quantify and analyse the VAT gap in the EU Member States, 2015 Report, TAXUD/2013DE/321</w:t>
      </w:r>
      <w:r w:rsidR="009F3B02" w:rsidRPr="00D93F50">
        <w:t>)</w:t>
      </w:r>
      <w:r w:rsidR="00B25ACA" w:rsidRPr="00D93F50">
        <w:t xml:space="preserve">. </w:t>
      </w:r>
      <w:r w:rsidR="00CD7D17" w:rsidRPr="00331892">
        <w:t>W liczbach bezwzględ</w:t>
      </w:r>
      <w:r w:rsidR="00526491">
        <w:t>nych spadek wynosiłby z 10 mld E</w:t>
      </w:r>
      <w:r w:rsidR="00CD7D17" w:rsidRPr="00331892">
        <w:t xml:space="preserve">uro do </w:t>
      </w:r>
      <w:r w:rsidR="00D93F50">
        <w:t xml:space="preserve">ok. </w:t>
      </w:r>
      <w:r w:rsidR="00CD7D17" w:rsidRPr="00331892">
        <w:t xml:space="preserve">5,8 mld. </w:t>
      </w:r>
      <w:r w:rsidR="00597B82" w:rsidRPr="00331892">
        <w:t xml:space="preserve">W ocenie Ministra Finansów jest to poziom realistyczny, który może zostać przekroczony. </w:t>
      </w:r>
      <w:r w:rsidR="00B25ACA" w:rsidRPr="00331892">
        <w:t>Ponadto</w:t>
      </w:r>
      <w:r w:rsidR="000D7083" w:rsidRPr="00331892">
        <w:t>,</w:t>
      </w:r>
      <w:r w:rsidR="00B25ACA" w:rsidRPr="00331892">
        <w:t xml:space="preserve"> w okresie od chwili obecnej do docelowego roku </w:t>
      </w:r>
      <w:r w:rsidR="005F2F22" w:rsidRPr="00331892">
        <w:t>2019 r.</w:t>
      </w:r>
      <w:r w:rsidR="00D93F50">
        <w:t>, luka w </w:t>
      </w:r>
      <w:r w:rsidR="005F2F22" w:rsidRPr="00331892">
        <w:t xml:space="preserve">VAT ograniczana </w:t>
      </w:r>
      <w:r w:rsidR="005E129A" w:rsidRPr="00331892">
        <w:t>zostanie</w:t>
      </w:r>
      <w:r w:rsidR="005F2F22" w:rsidRPr="00331892">
        <w:t xml:space="preserve"> </w:t>
      </w:r>
      <w:r w:rsidR="00597B82" w:rsidRPr="00331892">
        <w:t xml:space="preserve">równolegle </w:t>
      </w:r>
      <w:r w:rsidR="00B25ACA" w:rsidRPr="00331892">
        <w:t xml:space="preserve">innymi </w:t>
      </w:r>
      <w:r w:rsidR="005F2F22" w:rsidRPr="00331892">
        <w:t>działaniami (zmiany prawne</w:t>
      </w:r>
      <w:r w:rsidR="00597B82" w:rsidRPr="00331892">
        <w:t xml:space="preserve"> – tzw. pakiet uszczelniający</w:t>
      </w:r>
      <w:r w:rsidR="005F2F22" w:rsidRPr="00331892">
        <w:t xml:space="preserve">, poprawa efektywności działań kontroli skarbowej, </w:t>
      </w:r>
      <w:r w:rsidR="00F32BBA" w:rsidRPr="00331892">
        <w:t xml:space="preserve">działania edukacyjne </w:t>
      </w:r>
      <w:r w:rsidR="005F2F22" w:rsidRPr="00331892">
        <w:t xml:space="preserve">itp.). </w:t>
      </w:r>
    </w:p>
    <w:p w:rsidR="00F0694A" w:rsidRPr="00331892" w:rsidRDefault="00F0694A" w:rsidP="006771FF">
      <w:pPr>
        <w:spacing w:line="360" w:lineRule="auto"/>
        <w:ind w:firstLine="708"/>
        <w:jc w:val="both"/>
      </w:pPr>
    </w:p>
    <w:p w:rsidR="00D37791" w:rsidRPr="00BD5E43" w:rsidRDefault="00806A5B" w:rsidP="006771FF">
      <w:pPr>
        <w:spacing w:line="360" w:lineRule="auto"/>
        <w:ind w:firstLine="708"/>
        <w:jc w:val="both"/>
      </w:pPr>
      <w:r w:rsidRPr="00BD5E43">
        <w:t>III. Istotne rozwiązania projektu</w:t>
      </w:r>
    </w:p>
    <w:p w:rsidR="004D130B" w:rsidRPr="00331892" w:rsidRDefault="007B3D0A" w:rsidP="006771FF">
      <w:pPr>
        <w:spacing w:before="120" w:line="360" w:lineRule="auto"/>
        <w:jc w:val="both"/>
      </w:pPr>
      <w:r>
        <w:t>Z uwagi na powyższe</w:t>
      </w:r>
      <w:r w:rsidR="005D0D2F" w:rsidRPr="00331892">
        <w:t xml:space="preserve"> przewiduje się, że </w:t>
      </w:r>
      <w:r w:rsidR="00B366D4" w:rsidRPr="00331892">
        <w:t xml:space="preserve">Skarb Państwa będzie </w:t>
      </w:r>
      <w:r w:rsidR="0077532A" w:rsidRPr="00331892">
        <w:t xml:space="preserve">mógł </w:t>
      </w:r>
      <w:r w:rsidR="00B845DC" w:rsidRPr="00331892">
        <w:t>u</w:t>
      </w:r>
      <w:r w:rsidR="00B366D4" w:rsidRPr="00331892">
        <w:t>tworzyć spółk</w:t>
      </w:r>
      <w:r w:rsidR="00B845DC" w:rsidRPr="00331892">
        <w:t>ę</w:t>
      </w:r>
      <w:r w:rsidR="00BD5E43">
        <w:t xml:space="preserve"> z </w:t>
      </w:r>
      <w:r w:rsidR="00B366D4" w:rsidRPr="00331892">
        <w:t>ograniczoną odpowiedzialnością, zwan</w:t>
      </w:r>
      <w:r w:rsidR="00B845DC" w:rsidRPr="00331892">
        <w:t>ą</w:t>
      </w:r>
      <w:r w:rsidR="00B366D4" w:rsidRPr="00331892">
        <w:t xml:space="preserve"> dalej „spółk</w:t>
      </w:r>
      <w:r w:rsidR="00B845DC" w:rsidRPr="00331892">
        <w:t>ą</w:t>
      </w:r>
      <w:r w:rsidR="00B366D4" w:rsidRPr="00331892">
        <w:t xml:space="preserve"> celow</w:t>
      </w:r>
      <w:r w:rsidR="00B845DC" w:rsidRPr="00331892">
        <w:t>ą</w:t>
      </w:r>
      <w:r w:rsidR="00B366D4" w:rsidRPr="00331892">
        <w:t>”.</w:t>
      </w:r>
      <w:r w:rsidR="0077532A" w:rsidRPr="00331892">
        <w:t xml:space="preserve"> </w:t>
      </w:r>
      <w:r w:rsidR="00F0576B" w:rsidRPr="00331892">
        <w:t xml:space="preserve">Ustawa stworzy podstawę (możliwość) jej utworzenia (wejście w życie ustawy nie utworzy spółki </w:t>
      </w:r>
      <w:r w:rsidR="00F0576B" w:rsidRPr="00331892">
        <w:rPr>
          <w:i/>
        </w:rPr>
        <w:t>ex lege</w:t>
      </w:r>
      <w:r w:rsidR="00BD5E43">
        <w:t xml:space="preserve">). </w:t>
      </w:r>
      <w:r w:rsidR="004D130B" w:rsidRPr="00331892">
        <w:t>Proponowany mechanizm ma charakter nowy. Jeżeli jego zakładana efektywność zostanie osiągnięta (co będzie można stwierdzić po określonym okresie funkcjonowania proponowanych rozwiązań), analogiczne rozwiązania będą mogły być stosowane w innych obszarach.</w:t>
      </w:r>
    </w:p>
    <w:p w:rsidR="00EA700D" w:rsidRPr="00331892" w:rsidRDefault="00EA700D" w:rsidP="006771FF">
      <w:pPr>
        <w:spacing w:line="360" w:lineRule="auto"/>
        <w:jc w:val="both"/>
      </w:pPr>
      <w:r w:rsidRPr="00331892">
        <w:t xml:space="preserve">Zakres ustawy wskazany w art. 1 jest rozwinięty w kolejnych postanowieniach ustawy, ponieważ w celu realizacji zadań wskazanych w art. 1 zostanie powołana przez Ministra Finansów, zgodnie z art. 2, spółka celowa. Zakres wskazany w art. 1 będzie odnosił się tylko do działań powołanej spółki celowej.  Zgodnie z ustawą nie będą podejmowane inne działania. Niezależnie od powyższego ustawa w sposób prawidłowy rozwija (przez wskazanie </w:t>
      </w:r>
      <w:r w:rsidRPr="00331892">
        <w:lastRenderedPageBreak/>
        <w:t xml:space="preserve">sposobu) obowiązujące organy administracji  rządowej zasady realizacji zadań wynikających z  ustawy z dnia 17 lutego 2005 r. o informatyzacji działalności podmiotów publicznych, przy zachowaniu celu, jakim jest  ochrona interesu publicznego, w tym zachowanie przez </w:t>
      </w:r>
      <w:r w:rsidR="00526491">
        <w:t>P</w:t>
      </w:r>
      <w:r w:rsidRPr="00331892">
        <w:t>aństwo możliwości swobody wyboru technologii w procesach informatyzacji realizacji zadań publicznych.</w:t>
      </w:r>
    </w:p>
    <w:p w:rsidR="00EA700D" w:rsidRPr="00331892" w:rsidRDefault="00EA700D" w:rsidP="006771FF">
      <w:pPr>
        <w:spacing w:line="360" w:lineRule="auto"/>
        <w:jc w:val="both"/>
      </w:pPr>
      <w:r w:rsidRPr="00331892">
        <w:t xml:space="preserve">Ustawa wskazuje zakres zadań realizowanych przez spółkę. Zgodnie z art. </w:t>
      </w:r>
      <w:r w:rsidR="00291846" w:rsidRPr="00331892">
        <w:t>19</w:t>
      </w:r>
      <w:r w:rsidR="00331892">
        <w:t>, w </w:t>
      </w:r>
      <w:r w:rsidRPr="00331892">
        <w:t xml:space="preserve">sprawach nieuregulowanych w ustawie, do spółki celowej będą miały zastosowanie przepisy Kodeksu spółek handlowych. W związku z tym przedmiot działalności, tj. konkretne działania służące realizacji celu, będą określone w aktach korporacyjnych. </w:t>
      </w:r>
    </w:p>
    <w:p w:rsidR="004D130B" w:rsidRPr="00331892" w:rsidRDefault="0077532A" w:rsidP="006771FF">
      <w:pPr>
        <w:spacing w:line="360" w:lineRule="auto"/>
        <w:jc w:val="both"/>
      </w:pPr>
      <w:r w:rsidRPr="00331892">
        <w:t>Uprawnienia Skarbu Państwa w stosunku do spół</w:t>
      </w:r>
      <w:r w:rsidR="00B845DC" w:rsidRPr="00331892">
        <w:t>ki</w:t>
      </w:r>
      <w:r w:rsidRPr="00331892">
        <w:t xml:space="preserve"> celow</w:t>
      </w:r>
      <w:r w:rsidR="00B845DC" w:rsidRPr="00331892">
        <w:t>ej</w:t>
      </w:r>
      <w:r w:rsidRPr="00331892">
        <w:t xml:space="preserve"> będzie wykonywał minister właściwy do spraw finansów publicznych, w szczególności będzie spółk</w:t>
      </w:r>
      <w:r w:rsidR="00B845DC" w:rsidRPr="00331892">
        <w:t>ę</w:t>
      </w:r>
      <w:r w:rsidRPr="00331892">
        <w:t xml:space="preserve"> t</w:t>
      </w:r>
      <w:r w:rsidR="00D80755">
        <w:t>ę</w:t>
      </w:r>
      <w:r w:rsidRPr="00331892">
        <w:t xml:space="preserve"> tworzył, wyposażał w kapitał, dzielił i przekształcał oraz podejmował decyzję o ich rozwiązaniu. Minister właściwy do spraw finansów publicznych będzie także powoływał i odwoływał organy t</w:t>
      </w:r>
      <w:r w:rsidR="00B845DC" w:rsidRPr="00331892">
        <w:t>ej</w:t>
      </w:r>
      <w:r w:rsidRPr="00331892">
        <w:t xml:space="preserve"> spół</w:t>
      </w:r>
      <w:r w:rsidR="00B845DC" w:rsidRPr="00331892">
        <w:t>ki</w:t>
      </w:r>
      <w:r w:rsidR="002C2236">
        <w:t>.</w:t>
      </w:r>
    </w:p>
    <w:p w:rsidR="0077532A" w:rsidRPr="00331892" w:rsidRDefault="004D130B" w:rsidP="006771FF">
      <w:pPr>
        <w:spacing w:line="360" w:lineRule="auto"/>
        <w:jc w:val="both"/>
      </w:pPr>
      <w:r w:rsidRPr="00331892">
        <w:t>Uprawnienia ministra właściwego do spraw Skarbu Państwa określone</w:t>
      </w:r>
      <w:r w:rsidR="00AB2705">
        <w:t xml:space="preserve"> w przepisach ustawy z </w:t>
      </w:r>
      <w:r w:rsidRPr="00331892">
        <w:t xml:space="preserve">dnia 8 sierpnia 1996 r. o zasadach wykonywania uprawnień przysługujących </w:t>
      </w:r>
      <w:r w:rsidR="00291846" w:rsidRPr="00331892">
        <w:t xml:space="preserve">Skarbowi </w:t>
      </w:r>
      <w:r w:rsidRPr="00331892">
        <w:t>Pa</w:t>
      </w:r>
      <w:r w:rsidR="003C1C5C">
        <w:t>ń</w:t>
      </w:r>
      <w:r w:rsidRPr="00331892">
        <w:t>stwa (Dz. U. z 2016 r. poz. 154) w stosunku do spółki celowej wykonuje wyłącznie minister właściwy do spra</w:t>
      </w:r>
      <w:r w:rsidR="003C1C5C">
        <w:t xml:space="preserve">w finansów publicznych. </w:t>
      </w:r>
      <w:r w:rsidRPr="00331892">
        <w:t>Analogiczne rozwiązanie przyjęto w art. 8 ustawy z dnia 7 września 2007 r. o przygotowaniu finałowe</w:t>
      </w:r>
      <w:r w:rsidR="00AB2705">
        <w:t>go turnieju Mistrzostw Europy w </w:t>
      </w:r>
      <w:r w:rsidRPr="00331892">
        <w:t xml:space="preserve">Piłce Nożnej UEFA EURO 2012 </w:t>
      </w:r>
      <w:r w:rsidR="00C75F5F" w:rsidRPr="00331892">
        <w:t xml:space="preserve">(Dz. U. </w:t>
      </w:r>
      <w:r w:rsidR="003C1C5C">
        <w:t xml:space="preserve">z </w:t>
      </w:r>
      <w:r w:rsidR="00C75F5F" w:rsidRPr="00331892">
        <w:t>20</w:t>
      </w:r>
      <w:r w:rsidR="005954C9">
        <w:t>10</w:t>
      </w:r>
      <w:r w:rsidR="003C1C5C">
        <w:t xml:space="preserve"> r.</w:t>
      </w:r>
      <w:r w:rsidR="005954C9">
        <w:t xml:space="preserve"> Nr 26</w:t>
      </w:r>
      <w:r w:rsidR="003C1C5C">
        <w:t>,</w:t>
      </w:r>
      <w:r w:rsidR="00C75F5F" w:rsidRPr="00331892">
        <w:t xml:space="preserve"> poz. 1</w:t>
      </w:r>
      <w:r w:rsidR="005954C9">
        <w:t>33, z późn. zm.</w:t>
      </w:r>
      <w:r w:rsidR="00C75F5F" w:rsidRPr="00331892">
        <w:t>).</w:t>
      </w:r>
    </w:p>
    <w:p w:rsidR="0077532A" w:rsidRPr="00331892" w:rsidRDefault="00616E8C" w:rsidP="006771FF">
      <w:pPr>
        <w:spacing w:line="360" w:lineRule="auto"/>
        <w:jc w:val="both"/>
      </w:pPr>
      <w:r w:rsidRPr="00331892">
        <w:t>Spółk</w:t>
      </w:r>
      <w:r w:rsidR="00B845DC" w:rsidRPr="00331892">
        <w:t>a</w:t>
      </w:r>
      <w:r w:rsidRPr="00331892">
        <w:t xml:space="preserve"> celow</w:t>
      </w:r>
      <w:r w:rsidR="00B845DC" w:rsidRPr="00331892">
        <w:t>a</w:t>
      </w:r>
      <w:r w:rsidRPr="00331892">
        <w:t xml:space="preserve"> będ</w:t>
      </w:r>
      <w:r w:rsidR="00B845DC" w:rsidRPr="00331892">
        <w:t>zie</w:t>
      </w:r>
      <w:r w:rsidRPr="00331892">
        <w:t xml:space="preserve"> mogł</w:t>
      </w:r>
      <w:r w:rsidR="00B845DC" w:rsidRPr="00331892">
        <w:t>a</w:t>
      </w:r>
      <w:r w:rsidRPr="00331892">
        <w:t xml:space="preserve"> otrzymywać dotacje z budżetu państwa</w:t>
      </w:r>
      <w:r w:rsidR="008C0637" w:rsidRPr="00331892">
        <w:t xml:space="preserve">. </w:t>
      </w:r>
      <w:r w:rsidR="005152A4" w:rsidRPr="00331892">
        <w:t>Ze względu na fakt, że przychodami spółki będą dotacje z budżetu państwa oraz wynagrodzenia dla spółki celowej pokrywane z części 19 budżetu państwa, której dysponentem jest Minister Finansów</w:t>
      </w:r>
      <w:r w:rsidR="00651645">
        <w:t>,</w:t>
      </w:r>
      <w:r w:rsidR="005152A4" w:rsidRPr="00331892">
        <w:t xml:space="preserve"> nie będzie zatem zachodziło ryzyko, o którym mowa w art. </w:t>
      </w:r>
      <w:r w:rsidR="00FD46CD" w:rsidRPr="00331892">
        <w:t>50 ust. 4 ustawy z dnia 27 sierpnia 2009 r. o finansach publicznych (Dz. U. z 2013 r. poz. 885, z późn. zm.).</w:t>
      </w:r>
      <w:r w:rsidR="003C1C5C">
        <w:t xml:space="preserve"> </w:t>
      </w:r>
      <w:r w:rsidR="00331892">
        <w:t>Zasady udzielania i </w:t>
      </w:r>
      <w:r w:rsidR="008D30ED" w:rsidRPr="00331892">
        <w:t>rozliczania dotacji będą podlegać ustawie o finansach publicznych; w projekcie wyłączono jedynie art. 1</w:t>
      </w:r>
      <w:r w:rsidR="005954C9">
        <w:t>33</w:t>
      </w:r>
      <w:r w:rsidR="008D30ED" w:rsidRPr="00331892">
        <w:t xml:space="preserve"> tej ustawy, z uwagi na regulacje art. </w:t>
      </w:r>
      <w:r w:rsidR="00291846" w:rsidRPr="00331892">
        <w:t xml:space="preserve">10 </w:t>
      </w:r>
      <w:r w:rsidR="008D30ED" w:rsidRPr="00331892">
        <w:t xml:space="preserve">i </w:t>
      </w:r>
      <w:r w:rsidR="00C36A08">
        <w:t xml:space="preserve">art. </w:t>
      </w:r>
      <w:r w:rsidR="00291846" w:rsidRPr="00331892">
        <w:t>1</w:t>
      </w:r>
      <w:r w:rsidR="000E2182" w:rsidRPr="00331892">
        <w:t>1</w:t>
      </w:r>
      <w:r w:rsidR="00291846" w:rsidRPr="00331892">
        <w:t xml:space="preserve"> </w:t>
      </w:r>
      <w:r w:rsidR="008D30ED" w:rsidRPr="00331892">
        <w:t>projektu. Jeżeli minister właściwy do spraw finansów publicznych podejmie decyzję o likwidacji jednostki budżetowej w całości lub części</w:t>
      </w:r>
      <w:r w:rsidR="001601CA">
        <w:t>,</w:t>
      </w:r>
      <w:r w:rsidR="008D30ED" w:rsidRPr="00331892">
        <w:t xml:space="preserve"> będzie mógł podjąć decyzje o przekazaniu jej mienia spółce celowej. Przepis ten umożliwi spółce przyjęcie tego mienia (nadaje spółce status potencjalnego odbiorcy-beneficjenta tego mienia).  Należy wyraźnie podkreślić, że finansowanie w formie wynagrodzenia i dotacji ma charakter rozłączny. Spółka będzie otrzymywała wynagrodzenie z tytułu realizacji zadania albo dotacje zgodnie z ustawą o finansach publicznych. </w:t>
      </w:r>
    </w:p>
    <w:p w:rsidR="004D130B" w:rsidRPr="00331892" w:rsidRDefault="004D130B" w:rsidP="006771FF">
      <w:pPr>
        <w:spacing w:line="360" w:lineRule="auto"/>
        <w:jc w:val="both"/>
      </w:pPr>
      <w:r w:rsidRPr="00331892">
        <w:lastRenderedPageBreak/>
        <w:t>Działalność</w:t>
      </w:r>
      <w:r w:rsidR="00C36A08">
        <w:t xml:space="preserve"> spółki celowej będzie poddana </w:t>
      </w:r>
      <w:r w:rsidRPr="00331892">
        <w:t>określonym</w:t>
      </w:r>
      <w:r w:rsidR="00C36A08">
        <w:t xml:space="preserve"> </w:t>
      </w:r>
      <w:r w:rsidRPr="00331892">
        <w:t>ograniczeniom w</w:t>
      </w:r>
      <w:r w:rsidR="00C36A08">
        <w:t xml:space="preserve"> </w:t>
      </w:r>
      <w:r w:rsidRPr="00331892">
        <w:t>zakresie prowadzonej działalności</w:t>
      </w:r>
      <w:r w:rsidR="00964490" w:rsidRPr="00331892">
        <w:t xml:space="preserve">. </w:t>
      </w:r>
      <w:r w:rsidRPr="00331892">
        <w:t>W tym miejscu należy zauważyć, że „Skarb Państwa, jako osoba prawna, posiada kompetencję do podejmowania i prowadzen</w:t>
      </w:r>
      <w:r w:rsidR="00331892">
        <w:t>ia działalności gospodarczej, w </w:t>
      </w:r>
      <w:r w:rsidRPr="00331892">
        <w:t xml:space="preserve">tym w formach organizacyjno-prawnych wskazanych w </w:t>
      </w:r>
      <w:r w:rsidR="00C36A08">
        <w:t>K</w:t>
      </w:r>
      <w:r w:rsidRPr="00331892">
        <w:t>odeksie spółek handlowych czy prawie bankowym, jednakże cel, dla którego utworzono daną osobę prawną z udziałem Skarbu Państwa, poza celami typowymi dla prawa prywatnego, tj. celami gospodarczymi, winien obejmować także regulację celu publicznego, czyli określonego interesu publicznego. Przez cele publiczne (społeczne) rozumie się cele, których realizacją zainteresowana jest opinia publiczna, gdyż działania te są społecznie pożądane lub użyteczne. Ukierunkowanie publicznej działalności gospodarczej na cele publiczne ma chronić gospodarkę przed nieograniczoną ekspansj</w:t>
      </w:r>
      <w:r w:rsidR="00C36A08">
        <w:t>ą</w:t>
      </w:r>
      <w:r w:rsidRPr="00331892">
        <w:t xml:space="preserve"> państwa, a podmioty publiczne przed b</w:t>
      </w:r>
      <w:r w:rsidR="00A44689" w:rsidRPr="00331892">
        <w:t>łę</w:t>
      </w:r>
      <w:r w:rsidR="005954C9">
        <w:t xml:space="preserve">dną oceną ich zadań i </w:t>
      </w:r>
      <w:r w:rsidRPr="00331892">
        <w:t>niepotrzebnym ryzykiem działalności gos</w:t>
      </w:r>
      <w:r w:rsidR="00C36A08">
        <w:t>podarczej oraz przed konkurencją</w:t>
      </w:r>
      <w:r w:rsidRPr="00331892">
        <w:t xml:space="preserve"> prywatnych przedsiębiorców.” (Andrzej Kidyba „Skarb Państwa a działalność gospodarcza”, LEX 2014). Utworzona przez Ministra Finansów spółka celowa będzie </w:t>
      </w:r>
      <w:r w:rsidR="00331892">
        <w:t>służyć realizacji określonych w </w:t>
      </w:r>
      <w:r w:rsidRPr="00331892">
        <w:t>ustawie zadań p</w:t>
      </w:r>
      <w:r w:rsidR="005954C9">
        <w:t xml:space="preserve">ublicznych. </w:t>
      </w:r>
      <w:r w:rsidRPr="00331892">
        <w:t>W związku z powyższym nie zachodzi przypadek uznania rozwiązania przyjętego w projektowanej ustaw</w:t>
      </w:r>
      <w:r w:rsidR="00C36A08">
        <w:t>ie</w:t>
      </w:r>
      <w:r w:rsidRPr="00331892">
        <w:t xml:space="preserve"> za niedozwoloną pomoc publi</w:t>
      </w:r>
      <w:r w:rsidR="00331892">
        <w:t>czną w </w:t>
      </w:r>
      <w:r w:rsidR="00596647" w:rsidRPr="00331892">
        <w:t>rozumieniu art. 107 TFUE.</w:t>
      </w:r>
    </w:p>
    <w:p w:rsidR="0034723B" w:rsidRPr="00331892" w:rsidRDefault="0034723B" w:rsidP="006771FF">
      <w:pPr>
        <w:spacing w:line="360" w:lineRule="auto"/>
        <w:jc w:val="both"/>
      </w:pPr>
      <w:r w:rsidRPr="00331892">
        <w:t>Do umów zawieranych przez Skarb Państwa reprezentowanym przez ministra właściwego do spraw finansów publicznych ze spółką celową nie będą miał</w:t>
      </w:r>
      <w:r w:rsidR="00AB2705">
        <w:t>y zastosowania ustawy z dnia 29 </w:t>
      </w:r>
      <w:r w:rsidRPr="00331892">
        <w:t>stycznia 2004 r. – Prawo zamówień publicznych (Dz. U. z 2015 r. po</w:t>
      </w:r>
      <w:r w:rsidR="00331892">
        <w:t>z. </w:t>
      </w:r>
      <w:r w:rsidR="00291846" w:rsidRPr="00331892">
        <w:t>2164), ponieważ będzie ona realizować określone zadania z mocy ustawy.</w:t>
      </w:r>
    </w:p>
    <w:p w:rsidR="0077532A" w:rsidRPr="00331892" w:rsidRDefault="0077532A" w:rsidP="006771FF">
      <w:pPr>
        <w:spacing w:line="360" w:lineRule="auto"/>
        <w:jc w:val="both"/>
      </w:pPr>
      <w:r w:rsidRPr="00331892">
        <w:t xml:space="preserve">Specyfika </w:t>
      </w:r>
      <w:r w:rsidR="00E869C2" w:rsidRPr="00331892">
        <w:t>zawiązania</w:t>
      </w:r>
      <w:r w:rsidRPr="00331892">
        <w:t xml:space="preserve"> sp</w:t>
      </w:r>
      <w:r w:rsidR="00596647" w:rsidRPr="00331892">
        <w:t>ółki wymaga także wyłączenia sto</w:t>
      </w:r>
      <w:r w:rsidRPr="00331892">
        <w:t>sowania niektórych przepisów</w:t>
      </w:r>
      <w:r w:rsidR="0034723B" w:rsidRPr="00331892">
        <w:t>.</w:t>
      </w:r>
      <w:r w:rsidRPr="00331892">
        <w:t xml:space="preserve"> </w:t>
      </w:r>
      <w:r w:rsidR="0034723B" w:rsidRPr="00331892">
        <w:t xml:space="preserve">Do </w:t>
      </w:r>
      <w:r w:rsidRPr="00331892">
        <w:t>spółki celowej nie będą miały zastosowania przepisy us</w:t>
      </w:r>
      <w:r w:rsidR="00AB2705">
        <w:t>tawy z dnia 1 grudnia 1995 r. o </w:t>
      </w:r>
      <w:r w:rsidRPr="00331892">
        <w:t>wpłatach z zysku przez jednoosobowe spółki Ska</w:t>
      </w:r>
      <w:r w:rsidR="00331892">
        <w:t xml:space="preserve">rbu Państwa (Dz. U. </w:t>
      </w:r>
      <w:r w:rsidR="005954C9">
        <w:t xml:space="preserve">z 2016 r. </w:t>
      </w:r>
      <w:r w:rsidR="00331892">
        <w:t xml:space="preserve">poz. </w:t>
      </w:r>
      <w:r w:rsidR="005954C9">
        <w:t>286)</w:t>
      </w:r>
      <w:r w:rsidRPr="00331892">
        <w:t>.</w:t>
      </w:r>
      <w:r w:rsidR="00596647" w:rsidRPr="00331892">
        <w:t xml:space="preserve"> </w:t>
      </w:r>
      <w:r w:rsidR="00F0576B" w:rsidRPr="00331892">
        <w:t xml:space="preserve">Spółka celowa </w:t>
      </w:r>
      <w:r w:rsidR="00EE4695" w:rsidRPr="00331892">
        <w:t>t</w:t>
      </w:r>
      <w:r w:rsidR="00A44689" w:rsidRPr="00331892">
        <w:t xml:space="preserve">o podmiot </w:t>
      </w:r>
      <w:r w:rsidR="00F0576B" w:rsidRPr="00331892">
        <w:t>wykonując</w:t>
      </w:r>
      <w:r w:rsidR="00A44689" w:rsidRPr="00331892">
        <w:t>y</w:t>
      </w:r>
      <w:r w:rsidR="00F0576B" w:rsidRPr="00331892">
        <w:t xml:space="preserve"> tylko zadania na rzecz państwa i jego celem nie będzie generowan</w:t>
      </w:r>
      <w:r w:rsidR="00C36A08">
        <w:t>i</w:t>
      </w:r>
      <w:r w:rsidR="00F0576B" w:rsidRPr="00331892">
        <w:t>e zysku. Przychodami spółki cel</w:t>
      </w:r>
      <w:r w:rsidR="00331892">
        <w:t>owej będą dotacje i przychody z </w:t>
      </w:r>
      <w:r w:rsidR="00F0576B" w:rsidRPr="00331892">
        <w:t>tytułu finansowania zadań powierzonych spółce. Jednak spółk</w:t>
      </w:r>
      <w:r w:rsidR="00AB2705">
        <w:t>a celowa może osiągnąć zysk i w </w:t>
      </w:r>
      <w:r w:rsidR="00F0576B" w:rsidRPr="00331892">
        <w:t>związku z tym konieczne jest wyłączenie ustawy z dnia</w:t>
      </w:r>
      <w:r w:rsidR="00331892">
        <w:t xml:space="preserve"> 1 grudnia 1995 r. o wpłatach z </w:t>
      </w:r>
      <w:r w:rsidR="00F0576B" w:rsidRPr="00331892">
        <w:t>zysku przez jednoosobowe spółki Skarbu Państwa.</w:t>
      </w:r>
      <w:r w:rsidR="00331892">
        <w:t xml:space="preserve"> Wyłączenie stosowania ustawy o </w:t>
      </w:r>
      <w:r w:rsidR="00F0576B" w:rsidRPr="00331892">
        <w:t>wpłatach z zysku przez jednoosobowe spółki Skarbu Pańs</w:t>
      </w:r>
      <w:r w:rsidR="00331892">
        <w:t>twa było już zastosowane w art. </w:t>
      </w:r>
      <w:r w:rsidR="00F0576B" w:rsidRPr="00331892">
        <w:t>15 ustawy z dnia 7 września 2007 r. o przygotowaniu finałowego turnieju Mistrzostw Europy w Piłce Nożnej UEFA EURO 2012, w stosunku do powoływanych w tej ustawie spółek celowych.</w:t>
      </w:r>
    </w:p>
    <w:p w:rsidR="00C1596E" w:rsidRPr="00331892" w:rsidRDefault="00C1596E" w:rsidP="006771FF">
      <w:pPr>
        <w:spacing w:line="360" w:lineRule="auto"/>
        <w:jc w:val="both"/>
      </w:pPr>
      <w:r w:rsidRPr="00331892">
        <w:lastRenderedPageBreak/>
        <w:t xml:space="preserve">Powierzenie spółce celowej zadań nastąpi w drodze umowy zawartej pomiędzy ministrem właściwym do spraw finansów publicznych a tą spółką. Ustawa określi, jakie </w:t>
      </w:r>
      <w:r w:rsidR="00E51477" w:rsidRPr="00331892">
        <w:t>elementy</w:t>
      </w:r>
      <w:r w:rsidRPr="00331892">
        <w:t xml:space="preserve"> będzie zawierała </w:t>
      </w:r>
      <w:r w:rsidR="006D5AC2" w:rsidRPr="00331892">
        <w:t>taka umowa</w:t>
      </w:r>
      <w:r w:rsidRPr="00331892">
        <w:t xml:space="preserve">. </w:t>
      </w:r>
      <w:r w:rsidR="006D5AC2" w:rsidRPr="00331892">
        <w:t xml:space="preserve">Z uwagi na różnice finansowania (dofinansowania) zleconych zadań, w przypadku udzielenia spółce dotacji na ich realizację zastosowanie znajdzie art. 150 ustawy z dnia 27 sierpnia 2009 r. o finansach publicznych  (Dz. U. z 2013 r. poz. 885, z późn. zm.), tj. umowa </w:t>
      </w:r>
      <w:r w:rsidR="00291846" w:rsidRPr="00331892">
        <w:t xml:space="preserve">o dotację </w:t>
      </w:r>
      <w:r w:rsidR="006D5AC2" w:rsidRPr="00331892">
        <w:t>określi jednocześnie zakres tych zadań.</w:t>
      </w:r>
    </w:p>
    <w:p w:rsidR="00F0576B" w:rsidRPr="00331892" w:rsidRDefault="00F0576B" w:rsidP="006771FF">
      <w:pPr>
        <w:spacing w:line="360" w:lineRule="auto"/>
        <w:jc w:val="both"/>
      </w:pPr>
      <w:r w:rsidRPr="00331892">
        <w:t>Ustawa określa zasady (sposób) nabyw</w:t>
      </w:r>
      <w:r w:rsidR="00331892">
        <w:t>ania urządzeń informatycznych i </w:t>
      </w:r>
      <w:r w:rsidR="00AB2705">
        <w:t>oprogramowania z </w:t>
      </w:r>
      <w:r w:rsidRPr="00331892">
        <w:t xml:space="preserve">uwagi na fakt, że następnie będą one podlegać przekazaniu na rzecz Skarbu Państwa – będzie to stanowić realizację celu, do którego spółka została powołana. Nie ma podstaw ani merytorycznego uzasadnienia do szczegółowego uregulowania na poziomie ustawy materii właściwej dla umowy, </w:t>
      </w:r>
      <w:r w:rsidR="00526491">
        <w:t xml:space="preserve">dlatego </w:t>
      </w:r>
      <w:r w:rsidRPr="00331892">
        <w:t>ustawa przewid</w:t>
      </w:r>
      <w:r w:rsidR="00592031">
        <w:t>uje elementy niezbędne umowy. W </w:t>
      </w:r>
      <w:r w:rsidRPr="00331892">
        <w:t xml:space="preserve">pozostałym zakresie spółka będzie podlegać zasadom ogólnym (KC, KSH). </w:t>
      </w:r>
    </w:p>
    <w:p w:rsidR="00F0576B" w:rsidRPr="00331892" w:rsidRDefault="0077532A" w:rsidP="006771FF">
      <w:pPr>
        <w:spacing w:line="360" w:lineRule="auto"/>
        <w:jc w:val="both"/>
      </w:pPr>
      <w:r w:rsidRPr="00331892">
        <w:t>Do osób pełniących funkcje członk</w:t>
      </w:r>
      <w:r w:rsidR="007E5275" w:rsidRPr="00331892">
        <w:t>a zarządu spółki</w:t>
      </w:r>
      <w:r w:rsidRPr="00331892">
        <w:t xml:space="preserve"> celow</w:t>
      </w:r>
      <w:r w:rsidR="007E5275" w:rsidRPr="00331892">
        <w:t>ej</w:t>
      </w:r>
      <w:r w:rsidRPr="00331892">
        <w:t xml:space="preserve"> nie będą miały zastosowania przepisy ustawy z dnia 3 marca 2000 r. o wynagrodzeniu osób kierujących niektórymi podmiotami prawnymi (Dz. U. z 2015 r. poz. 2099)</w:t>
      </w:r>
      <w:r w:rsidR="007E5275" w:rsidRPr="00331892">
        <w:t xml:space="preserve">. </w:t>
      </w:r>
      <w:r w:rsidR="00F0576B" w:rsidRPr="00331892">
        <w:t>Wyłączenie tzw. ustawy kominowej ma na celu umożliwienie kształtowania wynagrodzeń w zależności od potrzeby pozyskania ekspertów w danej dziedzinie.  Poziom wynagrodzeń ma korelować z wyższą efektywnością realizacji działań – celu, dla którego spółk</w:t>
      </w:r>
      <w:r w:rsidR="00331892">
        <w:t>a została powołana (wyłączona z </w:t>
      </w:r>
      <w:r w:rsidR="00F0576B" w:rsidRPr="00331892">
        <w:t>administracji publicznej). Nie oznacza to, że wynagrodzenia będą co do zasady kształtowane na wyższym poziomie. Ustaw</w:t>
      </w:r>
      <w:r w:rsidR="003C1C5C">
        <w:t xml:space="preserve">a kominowa wprowadza mechanizm </w:t>
      </w:r>
      <w:r w:rsidR="00F0576B" w:rsidRPr="00331892">
        <w:t xml:space="preserve">wynagrodzenia nadmiarowego, którego przestrzeganie służy ochronie spółki Skarbu Państwa przed nadmiernymi wydatkami. </w:t>
      </w:r>
    </w:p>
    <w:p w:rsidR="008C0637" w:rsidRPr="00331892" w:rsidRDefault="007E5275" w:rsidP="006771FF">
      <w:pPr>
        <w:spacing w:line="360" w:lineRule="auto"/>
        <w:jc w:val="both"/>
      </w:pPr>
      <w:r w:rsidRPr="00331892">
        <w:t>Do członków zarządu i rady nadzorczej nie będą miały zastosowania przepisy</w:t>
      </w:r>
      <w:r w:rsidR="00F0576B" w:rsidRPr="00331892">
        <w:t xml:space="preserve"> ustawy </w:t>
      </w:r>
      <w:r w:rsidR="0077532A" w:rsidRPr="00331892">
        <w:t xml:space="preserve">z dnia 30 sierpnia 1996 r. </w:t>
      </w:r>
      <w:r w:rsidR="00F0576B" w:rsidRPr="00331892">
        <w:t xml:space="preserve"> </w:t>
      </w:r>
      <w:r w:rsidR="0077532A" w:rsidRPr="00331892">
        <w:t>o komercjalizacji i prywatyzacji (Dz. U. z 2015 r. poz. 747</w:t>
      </w:r>
      <w:r w:rsidR="00331892">
        <w:t>, z późn. </w:t>
      </w:r>
      <w:r w:rsidR="00461633" w:rsidRPr="00331892">
        <w:t>zm.</w:t>
      </w:r>
      <w:r w:rsidR="0077532A" w:rsidRPr="00331892">
        <w:t xml:space="preserve">). </w:t>
      </w:r>
      <w:r w:rsidR="007556BE" w:rsidRPr="00331892">
        <w:t>M</w:t>
      </w:r>
      <w:r w:rsidR="0077532A" w:rsidRPr="00331892">
        <w:t>inister właściwy do spraw finansów pu</w:t>
      </w:r>
      <w:r w:rsidR="00331892">
        <w:t>blicznych będzie mógł powołać w </w:t>
      </w:r>
      <w:r w:rsidR="0077532A" w:rsidRPr="00331892">
        <w:t>skład rady nadzorczej spół</w:t>
      </w:r>
      <w:r w:rsidR="00B845DC" w:rsidRPr="00331892">
        <w:t>ki</w:t>
      </w:r>
      <w:r w:rsidR="009F4C6B" w:rsidRPr="00331892">
        <w:t xml:space="preserve"> celowej </w:t>
      </w:r>
      <w:r w:rsidR="0077532A" w:rsidRPr="00331892">
        <w:t xml:space="preserve">sekretarza stanu lub podsekretarza stanu w </w:t>
      </w:r>
      <w:r w:rsidR="00BA45DE" w:rsidRPr="00331892">
        <w:t>urzędzie obsługującym ministra właściwego do spraw finansów publ</w:t>
      </w:r>
      <w:r w:rsidR="00590D6B" w:rsidRPr="00331892">
        <w:t>i</w:t>
      </w:r>
      <w:r w:rsidR="00BA45DE" w:rsidRPr="00331892">
        <w:t>cznych</w:t>
      </w:r>
      <w:r w:rsidR="0077532A" w:rsidRPr="00331892">
        <w:t>.</w:t>
      </w:r>
      <w:r w:rsidR="00596647" w:rsidRPr="00331892">
        <w:t xml:space="preserve"> W tym zakresie zastosowano wyjątek od uregulowań ogólnych </w:t>
      </w:r>
      <w:r w:rsidR="00596647" w:rsidRPr="00331892">
        <w:rPr>
          <w:i/>
        </w:rPr>
        <w:t xml:space="preserve">(lex specialis). </w:t>
      </w:r>
      <w:r w:rsidR="0034723B" w:rsidRPr="00331892">
        <w:t>Wymog</w:t>
      </w:r>
      <w:r w:rsidR="00331892">
        <w:t>i wynikające z </w:t>
      </w:r>
      <w:r w:rsidR="0034723B" w:rsidRPr="00331892">
        <w:t xml:space="preserve">przepisów o komercjalizacji i prywatyzacji dotyczą </w:t>
      </w:r>
      <w:r w:rsidR="000E2182" w:rsidRPr="00331892">
        <w:t>członków organów spółek nie</w:t>
      </w:r>
      <w:r w:rsidR="0034723B" w:rsidRPr="00331892">
        <w:t>będących podmiotami publicznymi, działającymi na rynku w warunkach konkurencji i swobody gospodarczej. Specyfika spółki celowej wymaga kompetencji innego rodzaju, ponieważ jest ona podmiotem quasi publicznym.</w:t>
      </w:r>
      <w:r w:rsidR="0034723B" w:rsidRPr="00331892">
        <w:rPr>
          <w:i/>
        </w:rPr>
        <w:t xml:space="preserve"> </w:t>
      </w:r>
      <w:r w:rsidR="004F5B36" w:rsidRPr="00331892">
        <w:t>I</w:t>
      </w:r>
      <w:r w:rsidR="00596647" w:rsidRPr="00331892">
        <w:t>stot</w:t>
      </w:r>
      <w:r w:rsidR="004F5B36" w:rsidRPr="00331892">
        <w:t>ne</w:t>
      </w:r>
      <w:r w:rsidR="00596647" w:rsidRPr="00331892">
        <w:t xml:space="preserve"> jest</w:t>
      </w:r>
      <w:r w:rsidR="004F5B36" w:rsidRPr="00331892">
        <w:t>,</w:t>
      </w:r>
      <w:r w:rsidR="00596647" w:rsidRPr="00331892">
        <w:t xml:space="preserve"> </w:t>
      </w:r>
      <w:r w:rsidR="004F5B36" w:rsidRPr="00331892">
        <w:t>a</w:t>
      </w:r>
      <w:r w:rsidR="00596647" w:rsidRPr="00331892">
        <w:t xml:space="preserve">by projektem informatycznym, który realizuje </w:t>
      </w:r>
      <w:r w:rsidR="004F5B36" w:rsidRPr="00331892">
        <w:t xml:space="preserve">spółka celowa, </w:t>
      </w:r>
      <w:r w:rsidR="00596647" w:rsidRPr="00331892">
        <w:t xml:space="preserve">zarządzali wysokiej </w:t>
      </w:r>
      <w:r w:rsidR="00C36A08">
        <w:t xml:space="preserve">klasy </w:t>
      </w:r>
      <w:r w:rsidR="00596647" w:rsidRPr="00331892">
        <w:t>specjaliści z branży IT.</w:t>
      </w:r>
      <w:r w:rsidR="004F5B36" w:rsidRPr="00331892">
        <w:t xml:space="preserve"> Jednocześnie ważne jest powiązanie nadzoru ministra właściwego do spraw finansów publicznych z bieżącą  realizacją zadań </w:t>
      </w:r>
      <w:r w:rsidR="004F5B36" w:rsidRPr="00331892">
        <w:lastRenderedPageBreak/>
        <w:t>spółki</w:t>
      </w:r>
      <w:r w:rsidR="0034723B" w:rsidRPr="00331892">
        <w:t xml:space="preserve">. Temu celowi służy bezpośredni udział w radzie nadzorczej sekretarza stanu lub podsekretarza stanu w urzędzie obsługującym tego ministra. </w:t>
      </w:r>
    </w:p>
    <w:p w:rsidR="0077532A" w:rsidRPr="00331892" w:rsidRDefault="0077532A" w:rsidP="006771FF">
      <w:pPr>
        <w:spacing w:line="360" w:lineRule="auto"/>
        <w:jc w:val="both"/>
      </w:pPr>
      <w:r w:rsidRPr="00331892">
        <w:t>W sprawach nieuregul</w:t>
      </w:r>
      <w:r w:rsidR="00BD5E43">
        <w:t>owanych w projektowanej ustawie</w:t>
      </w:r>
      <w:r w:rsidRPr="00331892">
        <w:t xml:space="preserve"> do spółki celowej będą stosowane przepisy ustawy z dnia 15 września 2000 r. </w:t>
      </w:r>
      <w:r w:rsidR="00461633" w:rsidRPr="00331892">
        <w:t xml:space="preserve">– </w:t>
      </w:r>
      <w:r w:rsidRPr="00331892">
        <w:t>Kodeks spółek</w:t>
      </w:r>
      <w:r w:rsidR="00AB2705">
        <w:t xml:space="preserve"> handlowych (Dz. U. </w:t>
      </w:r>
      <w:r w:rsidR="00EF18AC">
        <w:t xml:space="preserve">z 2013 r. </w:t>
      </w:r>
      <w:r w:rsidR="00AB2705">
        <w:t>poz. </w:t>
      </w:r>
      <w:r w:rsidR="00EF18AC">
        <w:t>1030</w:t>
      </w:r>
      <w:r w:rsidRPr="00331892">
        <w:t>, z późn. zm.).</w:t>
      </w:r>
    </w:p>
    <w:p w:rsidR="0077532A" w:rsidRPr="00331892" w:rsidRDefault="0077532A" w:rsidP="006771FF">
      <w:pPr>
        <w:spacing w:line="360" w:lineRule="auto"/>
        <w:ind w:firstLine="708"/>
        <w:jc w:val="both"/>
      </w:pPr>
    </w:p>
    <w:p w:rsidR="00EE329B" w:rsidRPr="00BD5E43" w:rsidRDefault="00EE329B" w:rsidP="006771FF">
      <w:pPr>
        <w:spacing w:line="360" w:lineRule="auto"/>
        <w:ind w:firstLine="708"/>
        <w:jc w:val="both"/>
      </w:pPr>
      <w:r w:rsidRPr="00BD5E43">
        <w:t>IV. Ochrona danych</w:t>
      </w:r>
    </w:p>
    <w:p w:rsidR="00EE329B" w:rsidRPr="00331892" w:rsidRDefault="00EE329B" w:rsidP="006771FF">
      <w:pPr>
        <w:spacing w:before="120" w:line="360" w:lineRule="auto"/>
        <w:jc w:val="both"/>
      </w:pPr>
      <w:r w:rsidRPr="00331892">
        <w:t>Projekt przewiduje szczegółowe i wyczerpujące uregulowani</w:t>
      </w:r>
      <w:r w:rsidR="00291846" w:rsidRPr="00331892">
        <w:t>a</w:t>
      </w:r>
      <w:r w:rsidRPr="00331892">
        <w:t xml:space="preserve"> w zakresie ochrony danych osobowych. Jak stwierdził Trybunał Konstytucyjny </w:t>
      </w:r>
      <w:r w:rsidR="00331892">
        <w:t>w wyroku z dnia 23 czerwca 2009 </w:t>
      </w:r>
      <w:r w:rsidRPr="00331892">
        <w:t>r</w:t>
      </w:r>
      <w:r w:rsidR="00AB2705">
        <w:t>. o </w:t>
      </w:r>
      <w:r w:rsidRPr="00331892">
        <w:t>sygn. akt K 54/07, „w dotychczasowym orzecznictwie Trybunału Konstytucyjnego został wypowiedziany pogląd, że „pozostające do dyspozycji władz publicznych środki pozwalają na daleko idącą ingerencję w prawo do prywatności”. Niemniej jednak, jeśli nie zostanie zachowana proporcjonalność wyznaczająca miarę zakresu i procedury tej ingerencji, ingerencja władz zdolna jest przekreślić istotę prawa do prywatności. To zaś – z uwagi na immanentny związek między prywatnością i godnością – może zagrozić godności jednostki, pozbawiając ją zarazem autonomii informacyjnej. W spr</w:t>
      </w:r>
      <w:r w:rsidR="00331892">
        <w:t>awie o sygn. K 4/04 (wyrok z 20 </w:t>
      </w:r>
      <w:r w:rsidRPr="00331892">
        <w:t>czerwca 2005 r., OTK ZU nr 6/A/2005, poz. 64) Trybunał orzekł, że autonomia informacyjna jednostki sprowadza się do ochrony każdej informacji osobowej oraz do przyznania podstawowego znaczenia zgodzie osoby zainteresowanej na udostępnienie informacji o niej. Dotyczy to również – praktycznie nieograniczonej – inwigilacji w ramach czynności operacyjnych służb państwowych, jak też m</w:t>
      </w:r>
      <w:r w:rsidR="00331892">
        <w:t>ożliwości rozpowszechniania – z </w:t>
      </w:r>
      <w:r w:rsidRPr="00331892">
        <w:t xml:space="preserve">udziałem lub bez udziału władz – zgromadzonych w ten sposób informacji. Zdarzenia te prowadzą do pozbawienia jednostki prawa do prywatności. Mogą też w pewnych uwarunkowaniach skutkować naruszeniem godności ludzkiej. Trybunał Konstytucyjny podkreślił (w uzasadnieniu wyroku w sprawie o sygn. K 4/04), że konstruując przepis ingerujący głęboko w sferę prywatności jednostki, ustawodawca winien uwzględnić nie tylko ogólne zasady poprawnej legislacji (w tym wymóg określoności i konkretności), ale także – proporcjonalność zastosowanego środka. (…) W ocenie Trybunału Konstytucyjnego, model państwa demokratycznego wymaga respektowania zasady proporcjonalności w regulowaniu (ograniczaniu) swobody zachowań jednostek. Zasada ta jest spełniona, gdy: 1) wprowadzona regulacja jest w stanie doprowadzić do zamierzonych przez nią skutków, 2) regulacja jest niezbędna dla ochrony interesu publicznego, z którym jest powiązana, 3) efekty wprowadzonej regulacji pozostają w proporcji do ciężarów nakładanych przez nią na </w:t>
      </w:r>
      <w:r w:rsidRPr="00331892">
        <w:lastRenderedPageBreak/>
        <w:t>obywatela. Zasada proporcjonalności pozostaje w immanentnej więzi z zakazem nadmiernej ingerencji w sferę praw i wolności konstytucyjnych jednostki. Przy ocenie, czy ingerencja była wyrazem konieczności i została przeprowadzona tylko w niezbędnym wymiarze, uwzględnia się specyfikę poszczególnych praw i wolności. Surowsze standardy dotyczą praw osobistych i politycznych</w:t>
      </w:r>
      <w:r w:rsidR="00526491">
        <w:t xml:space="preserve"> niż </w:t>
      </w:r>
      <w:r w:rsidRPr="00331892">
        <w:t>ekonomicznych i socja</w:t>
      </w:r>
      <w:r w:rsidR="00592031">
        <w:t>lnych (por. orzeczenia TK z: 26 </w:t>
      </w:r>
      <w:r w:rsidRPr="00331892">
        <w:t>kwietnia 1995 r., sygn. K. 11/94, OTK w 1995 r., cz. I, poz. 12; 31 stycznia 1996 r., sygn. K. 9/95, OTK ZU nr 1/1996, poz. 2). W przypadku konkurencyjności chronionych konstytucyjnie dóbr, jaka występuje w niniejszej sprawie – jako konflikt pomiędzy konstytucyjnym prawem do prywatności, tajemnicą porozumiewania się oraz oc</w:t>
      </w:r>
      <w:r w:rsidR="0091625F">
        <w:t xml:space="preserve">hroną autonomii informacyjnej a </w:t>
      </w:r>
      <w:r w:rsidRPr="00331892">
        <w:t>względami bezpieczeństwa publicznego – konieczne jest zachowanie przez ustawodawcę czytelnej równowagi mi</w:t>
      </w:r>
      <w:r w:rsidR="00592031">
        <w:t>ędzy interesami pozostającymi w </w:t>
      </w:r>
      <w:r w:rsidRPr="00331892">
        <w:t>kolizji.”(…) „W ocenie Europejskiego Trybunału Praw Człowieka dotyczącej prywatności jednostki (objętej gwarancjami ochrony prawnej z art. 8 Konwencji), dopuszczalna jest ingerencja władzy (ustawodawczej, wykonawczej, sądowej) w sferę tej prywatności, o ile odpowiada ona określonym kryteriom. Każda i</w:t>
      </w:r>
      <w:r w:rsidR="00592031">
        <w:t>ngerencja ograniczająca winna w </w:t>
      </w:r>
      <w:r w:rsidRPr="00331892">
        <w:t>szczególności sprostać wymogom trójszczeblowego testu oceny. Dotyczą one: źródła ograniczenia, jego potrzeby oraz wartości, ze względu na które ograniczenie się wprowa</w:t>
      </w:r>
      <w:r w:rsidR="00331892">
        <w:t>dza. Niezbędne jest, zgodnie z </w:t>
      </w:r>
      <w:r w:rsidRPr="00331892">
        <w:t>poglądem Europejskiego Trybunału Praw Człowieka, zaistnienie:</w:t>
      </w:r>
    </w:p>
    <w:p w:rsidR="00EE329B" w:rsidRPr="00331892" w:rsidRDefault="00BD5E43" w:rsidP="006771FF">
      <w:pPr>
        <w:spacing w:line="360" w:lineRule="auto"/>
        <w:ind w:firstLine="708"/>
        <w:jc w:val="both"/>
      </w:pPr>
      <w:r>
        <w:t>a)</w:t>
      </w:r>
      <w:r>
        <w:tab/>
      </w:r>
      <w:r w:rsidR="00EE329B" w:rsidRPr="00331892">
        <w:t>dostatecznie precyzyjnej, a zarazem konkretne</w:t>
      </w:r>
      <w:r w:rsidR="00331892">
        <w:t>j podstawy prawnej wkroczenia w </w:t>
      </w:r>
      <w:r w:rsidR="00EE329B" w:rsidRPr="00331892">
        <w:t>sferę wolności (praw) w drodze ustawy; nie jest dopuszczalne wprowadzanie ograniczeń (tu: prywatności) aktami innej rangi (zob. wyrok ETPC z 2 sierpnia 1984 r. w sprawie Malone przeciw Wielkiej Brytanii, sygn. 8691/79; wyrok z 26 marca 1987 r. w sprawie Leander przeciwko Szwecji, sygn. 9248/81),</w:t>
      </w:r>
    </w:p>
    <w:p w:rsidR="00EE329B" w:rsidRPr="00331892" w:rsidRDefault="00BD5E43" w:rsidP="006771FF">
      <w:pPr>
        <w:spacing w:line="360" w:lineRule="auto"/>
        <w:ind w:firstLine="708"/>
        <w:jc w:val="both"/>
      </w:pPr>
      <w:r>
        <w:t>b)</w:t>
      </w:r>
      <w:r>
        <w:tab/>
      </w:r>
      <w:r w:rsidR="00EE329B" w:rsidRPr="00331892">
        <w:t>konieczności tego wkroczenia, rozważanej z punktu widzenia wymogów demokratycznego państwa prawa; niewys</w:t>
      </w:r>
      <w:r w:rsidR="003C1C5C">
        <w:t>tarczające jest odwołanie się</w:t>
      </w:r>
      <w:r w:rsidR="00EE329B" w:rsidRPr="00331892">
        <w:t xml:space="preserve"> </w:t>
      </w:r>
      <w:r w:rsidR="00526491">
        <w:t xml:space="preserve">li </w:t>
      </w:r>
      <w:r w:rsidR="00EE329B" w:rsidRPr="00331892">
        <w:t xml:space="preserve">tylko do czynnika celowości; niezbędne jest wykazanie konieczności, i to co do konkretnego (opisanego co do zakresu i sposobu) ograniczenia wprowadzonego w ustawie zwykłej, respektującej standard państwa oświeconego, otwartego, tolerancyjnego, dysponującego fachowym aparatem policyjnym zdolnym działać w sposób rzetelny, profesjonalny i niemałostkowy, traktujący wkroczenie w sferę chronionych praw jednostki jako zło konieczne, a nie jako czynnik usprawniający pracę policji (zob. wyroki ETPC: z 6 września 1978 r. w sprawie Klass i inni przeciwko Niemcom, sygn. 5029/71; z 6 czerwca 2006 r. w sprawie Segerstedt-Wilberg i inni przeciwko Szwecji, sygn. 62332/00; z 22 maja 2008 r. w sprawie Iliya Stefanov przeciwko Bułgarii, sygn. 65755/01; z 22 maja 2008 r. w sprawie Kirov przeciwko Bułgarii, </w:t>
      </w:r>
      <w:r w:rsidR="00EE329B" w:rsidRPr="00331892">
        <w:lastRenderedPageBreak/>
        <w:t>sygn.</w:t>
      </w:r>
      <w:r w:rsidR="00331892">
        <w:t> </w:t>
      </w:r>
      <w:r w:rsidR="00EE329B" w:rsidRPr="00331892">
        <w:t>5182/02; z 1 lipca 2008 r. w sprawie Liberty i inni prz</w:t>
      </w:r>
      <w:r w:rsidR="003C1C5C">
        <w:t>eciwko Wielkiej Brytanii, sygn. </w:t>
      </w:r>
      <w:r w:rsidR="00EE329B" w:rsidRPr="00331892">
        <w:t>58243/00),</w:t>
      </w:r>
    </w:p>
    <w:p w:rsidR="00EE329B" w:rsidRPr="00331892" w:rsidRDefault="00BD5E43" w:rsidP="006771FF">
      <w:pPr>
        <w:spacing w:line="360" w:lineRule="auto"/>
        <w:ind w:firstLine="708"/>
        <w:jc w:val="both"/>
      </w:pPr>
      <w:r>
        <w:t>c)</w:t>
      </w:r>
      <w:r>
        <w:tab/>
      </w:r>
      <w:r w:rsidR="00EE329B" w:rsidRPr="00331892">
        <w:t>celu ingerencji (chronionego interesu publicznego), wymienionego w art. 8 Konwencji o ochronie praw człowieka (tj. bezpieczeństwa państwowego, bezpieczeństwa publicznego, dobrobytu gospodarczego kraju, ochrony porządku i zapobiegania przestępstwom, ochrony zdrowia i moralności oraz wolności innych osób).”</w:t>
      </w:r>
    </w:p>
    <w:p w:rsidR="00EE329B" w:rsidRPr="00331892" w:rsidRDefault="00EE329B" w:rsidP="006771FF">
      <w:pPr>
        <w:spacing w:line="360" w:lineRule="auto"/>
        <w:jc w:val="both"/>
      </w:pPr>
      <w:r w:rsidRPr="00331892">
        <w:t xml:space="preserve">Jak stwierdził Trybunał Konstytucyjny w wyroku z dnia 22 </w:t>
      </w:r>
      <w:r w:rsidR="00C36A08">
        <w:t>lipca 2014 r. o sygn. akt K 25/</w:t>
      </w:r>
      <w:r w:rsidRPr="00331892">
        <w:t xml:space="preserve">13, </w:t>
      </w:r>
      <w:r w:rsidR="00AB08E6" w:rsidRPr="00331892">
        <w:t xml:space="preserve">„proporcjonalność jest przez Trybunał Konstytucyjny rozumiana jako suma trzech zasad składowych: zasady przydatności, zasady konieczności oraz zasady proporcjonalności </w:t>
      </w:r>
      <w:r w:rsidR="00AB08E6" w:rsidRPr="00592031">
        <w:rPr>
          <w:i/>
        </w:rPr>
        <w:t>sensu stricto</w:t>
      </w:r>
      <w:r w:rsidR="00AB08E6" w:rsidRPr="00331892">
        <w:t>, tzn. zakazu nadmiernej ingerencji (por. wyrok z 11 kwietnia 2000 r., sygn. K 15/98, OTK ZU nr 3/2000, poz. 86; takie ujęcie zasady proporcjonalności zostało następnie powtórzone w kolejnych wyrokach TK). (…) Zasada przydatności polega na przeprowadzeniu testu racjonalności instrumentalnej, tzn. ustaleniu, czy według dostępnego stanu wiedzy wprowadzona regulacja jest w stanie doprowadzić do zamierzonych przez nią skutków</w:t>
      </w:r>
      <w:r w:rsidR="0091625F">
        <w:t>”</w:t>
      </w:r>
      <w:r w:rsidR="00AB08E6" w:rsidRPr="00331892">
        <w:t>.</w:t>
      </w:r>
      <w:r w:rsidR="0091625F">
        <w:t xml:space="preserve"> </w:t>
      </w:r>
      <w:r w:rsidR="00AB08E6" w:rsidRPr="00331892">
        <w:t xml:space="preserve">Ocena z punktu widzenia zasady konieczności wymaga </w:t>
      </w:r>
      <w:r w:rsidR="0091625F">
        <w:t>„</w:t>
      </w:r>
      <w:r w:rsidR="00AB08E6" w:rsidRPr="00331892">
        <w:t>ustalenia, czy przepis ten jest niezbędny dla ochrony dóbr wskazanych w art. 31 ust. 3 Konstytucji</w:t>
      </w:r>
      <w:r w:rsidR="00C36A08">
        <w:t xml:space="preserve"> </w:t>
      </w:r>
      <w:r w:rsidR="00AB08E6" w:rsidRPr="00331892">
        <w:t>(pięciu dóbr ogólnospołecznych lub indywidualnych „wolności i praw innych osób”), a ponadto</w:t>
      </w:r>
      <w:r w:rsidR="00C36A08">
        <w:t>,</w:t>
      </w:r>
      <w:r w:rsidR="00AB08E6" w:rsidRPr="00331892">
        <w:t xml:space="preserve"> czy spośród środków skutecznie chroniących te wartości stanowi środek możliwie najmniej ingerujący w prawa dawców i niezbędny w demokratycznym państwie prawnym (por. art. 51 ust. 2 Konstytucji). (…) Ostatnim elementem testu proporcjonalności jest sprawdzenie, czy efekty zaskarżonej regulacji pozostają w odpowiedniej proporcji do ciężarów nakładanych przez nią na obywatela (zakaz nadmiernej ingerencji, zasada proporcjonalności w ścisłym tego słowa znaczeniu). Należy więc dokonać swoistego rachunku aksjologicznego, badając – mówiąc w pewnym uproszczeniu – czy zalety badanej regulacji przeważają nad jej wadami. Ta ocena powinna uwzględniać specyfikę wartości chronionych przez zaskarżoną regulację (wymienionych w art. 31 ust. 3 Konstytucji) i praw, które w jej rezultacie doznają ograniczenia, a także aksjologię Konstytucji jako całości. Im ce</w:t>
      </w:r>
      <w:r w:rsidR="00331892">
        <w:t>nniejsze jest dobro naruszane i </w:t>
      </w:r>
      <w:r w:rsidR="00AB08E6" w:rsidRPr="00331892">
        <w:t>im wyższy stopień jego naruszenia, tym cenniejs</w:t>
      </w:r>
      <w:r w:rsidR="00592031">
        <w:t>za musi być wartość chroniona i </w:t>
      </w:r>
      <w:r w:rsidR="00AB08E6" w:rsidRPr="00331892">
        <w:t xml:space="preserve">wyższy stopień jej realizacji, przy czym w żadnym wypadku ograniczenia nie mogą naruszać istoty wolności i praw (por. art. 31 ust. 3 Konstytucji).”. </w:t>
      </w:r>
    </w:p>
    <w:p w:rsidR="00EE329B" w:rsidRPr="00331892" w:rsidRDefault="00AB08E6" w:rsidP="006771FF">
      <w:pPr>
        <w:spacing w:line="360" w:lineRule="auto"/>
        <w:jc w:val="both"/>
      </w:pPr>
      <w:r w:rsidRPr="00331892">
        <w:t>Projektowane przepisy wychodzą naprzeciw tym stwierdzeniom</w:t>
      </w:r>
      <w:r w:rsidR="009F451F" w:rsidRPr="00331892">
        <w:t>, z uwagi na wskazane wyżej cele, jakie ma realizować powołana spółka</w:t>
      </w:r>
      <w:r w:rsidRPr="00331892">
        <w:t xml:space="preserve">. </w:t>
      </w:r>
      <w:r w:rsidR="00291846" w:rsidRPr="00331892">
        <w:t xml:space="preserve">Projekt przewiduje, że </w:t>
      </w:r>
      <w:r w:rsidR="00610F71" w:rsidRPr="00331892">
        <w:t xml:space="preserve">w celu realizacji zadań spółki spółka celowa może przetwarzać dane osobowe bez wiedzy i zgody osoby, której te dane dotyczą, jednak spółka celowa przetwarza dane osobowe przez okres, w którym są one </w:t>
      </w:r>
      <w:r w:rsidR="00610F71" w:rsidRPr="00331892">
        <w:lastRenderedPageBreak/>
        <w:t xml:space="preserve">niezbędne do realizacji zadań spółki. Spółka celowa </w:t>
      </w:r>
      <w:r w:rsidR="00331892">
        <w:t>dokonuje, nie rzadziej niż co 2 </w:t>
      </w:r>
      <w:r w:rsidR="00610F71" w:rsidRPr="00331892">
        <w:t>lat</w:t>
      </w:r>
      <w:r w:rsidR="00331892">
        <w:t>a</w:t>
      </w:r>
      <w:r w:rsidR="00610F71" w:rsidRPr="00331892">
        <w:t>, weryfikacji potrzeby dalszego przetwarzania tych danych, usuwając dane zbędne. Nadzór nad zgodnością przetwarzania danych osobowych będzie sprawował pełnomocnik powołany przez radę nadzorczą, któremu będą przy</w:t>
      </w:r>
      <w:r w:rsidR="00331892">
        <w:t>sługiwały również uprawnienia i </w:t>
      </w:r>
      <w:r w:rsidR="00610F71" w:rsidRPr="00331892">
        <w:t>obowiązki administratora bezpieczeństwa informacji. W przypadku stwierdzenia naruszenia przepisów pełnomocnik podejmie niezbędne działania.</w:t>
      </w:r>
    </w:p>
    <w:p w:rsidR="00291846" w:rsidRPr="00331892" w:rsidRDefault="00291846" w:rsidP="006771FF">
      <w:pPr>
        <w:spacing w:line="360" w:lineRule="auto"/>
        <w:jc w:val="both"/>
        <w:rPr>
          <w:rFonts w:cs="Arial"/>
          <w:szCs w:val="20"/>
        </w:rPr>
      </w:pPr>
      <w:r w:rsidRPr="00331892">
        <w:t>Projekt przewiduje także szczegółowe rozwiązania w zakresie ochrony tajemnic prawnie chronionych.</w:t>
      </w:r>
      <w:r w:rsidRPr="00331892">
        <w:rPr>
          <w:rFonts w:cs="Arial"/>
          <w:szCs w:val="20"/>
        </w:rPr>
        <w:t xml:space="preserve"> Do ochrony danych uzyskanych przez spółkę celową stanowiących tajemnice prawnie chronione będą miały zastosowanie przepisy regulujące zasady ochrony tych tajemnic. W szczególności dotyczy to tajemnicy skarbowej i tajemnicy bankowej. Nadzór nad przestrzeganiem tych przepisów będzie sprawował </w:t>
      </w:r>
      <w:r w:rsidR="00610F71" w:rsidRPr="00331892">
        <w:rPr>
          <w:rFonts w:cs="Arial"/>
          <w:szCs w:val="20"/>
        </w:rPr>
        <w:t xml:space="preserve">ww. </w:t>
      </w:r>
      <w:r w:rsidRPr="00331892">
        <w:rPr>
          <w:rFonts w:cs="Arial"/>
          <w:szCs w:val="20"/>
        </w:rPr>
        <w:t>pełnomocnik</w:t>
      </w:r>
      <w:r w:rsidR="00610F71" w:rsidRPr="00331892">
        <w:rPr>
          <w:rFonts w:cs="Arial"/>
          <w:szCs w:val="20"/>
        </w:rPr>
        <w:t>,</w:t>
      </w:r>
      <w:r w:rsidRPr="00331892">
        <w:rPr>
          <w:rFonts w:cs="Arial"/>
          <w:szCs w:val="20"/>
        </w:rPr>
        <w:t xml:space="preserve"> </w:t>
      </w:r>
      <w:r w:rsidR="00610F71" w:rsidRPr="00331892">
        <w:rPr>
          <w:rFonts w:cs="Arial"/>
          <w:szCs w:val="20"/>
        </w:rPr>
        <w:t xml:space="preserve">na analogicznych zasadach jak w przypadku danych osobowych. </w:t>
      </w:r>
    </w:p>
    <w:p w:rsidR="0054639F" w:rsidRPr="00331892" w:rsidRDefault="0054639F" w:rsidP="006771FF">
      <w:pPr>
        <w:spacing w:line="360" w:lineRule="auto"/>
        <w:jc w:val="both"/>
      </w:pPr>
      <w:r w:rsidRPr="00331892">
        <w:rPr>
          <w:rFonts w:cs="Arial"/>
          <w:szCs w:val="20"/>
        </w:rPr>
        <w:t>Tak ukształtowana ochrona danych jest uzasadniona tym, że dla realizacji ustawowych zadań spółka celowa uzyska możliwość dostępu do szerokiego zakresu danych. Jak wskazano wyżej (str.</w:t>
      </w:r>
      <w:r w:rsidR="00C36A08">
        <w:rPr>
          <w:rFonts w:cs="Arial"/>
          <w:szCs w:val="20"/>
        </w:rPr>
        <w:t xml:space="preserve"> </w:t>
      </w:r>
      <w:r w:rsidRPr="00331892">
        <w:rPr>
          <w:rFonts w:cs="Arial"/>
          <w:szCs w:val="20"/>
        </w:rPr>
        <w:t>3 uzasadnienia), walka z oszustwami podatkowymi (VAT) wymaga zastosowania różnorodnych narzędzi, do budowy których niezbędne są dane pochodzące z różnych źródeł. Ich analiza i weryfikacja pozwoli także na stworzenie mechanizmów odciążających uczciwych przedsiębiorców (podatników) w szczególności przez trafne typowanie kontroli podatkowych.</w:t>
      </w:r>
    </w:p>
    <w:p w:rsidR="009E4A3B" w:rsidRPr="00331892" w:rsidRDefault="009E4A3B" w:rsidP="006771FF">
      <w:pPr>
        <w:spacing w:line="360" w:lineRule="auto"/>
        <w:jc w:val="both"/>
      </w:pPr>
      <w:r w:rsidRPr="00331892">
        <w:t xml:space="preserve">Przewiduje się, że ustawa wejdzie w życie po upływie </w:t>
      </w:r>
      <w:r w:rsidR="005D0D2F" w:rsidRPr="00331892">
        <w:t xml:space="preserve">7 </w:t>
      </w:r>
      <w:r w:rsidRPr="00331892">
        <w:t>dni od dnia ogłoszenia. Konieczność niezwłocznego wdrożenia projektowanych rozwiązań,</w:t>
      </w:r>
      <w:r w:rsidR="00AB2705">
        <w:t xml:space="preserve"> w zakresie wykonywania zadań z </w:t>
      </w:r>
      <w:r w:rsidRPr="00331892">
        <w:t>zakresu informatyzacji administracji podatkowej i kontroli skarbowej, przemawia za jak najszybszym wejściem w życie ustawy</w:t>
      </w:r>
      <w:r w:rsidR="00F53DD9" w:rsidRPr="00331892">
        <w:t xml:space="preserve"> i nie stoi w sprzeczności z zasadami państwa prawnego, o których mowa w </w:t>
      </w:r>
      <w:r w:rsidR="00F27F37" w:rsidRPr="00331892">
        <w:t xml:space="preserve">art. 4 ust. 2 ustawy z dnia 20 lipca 2000 r. o ogłaszaniu aktów prawnych (Dz. U. z 2015 r. poz. 1484) oraz </w:t>
      </w:r>
      <w:r w:rsidRPr="00331892">
        <w:t xml:space="preserve">uzasadnia odstąpienie od wynikającej </w:t>
      </w:r>
      <w:r w:rsidR="00331892">
        <w:t>z </w:t>
      </w:r>
      <w:r w:rsidRPr="00331892">
        <w:t>postanowień uchwały Rady Ministrów z dnia 18 lutego 2014 r. w sprawie zaleceń ujednolicenia terminów wejścia w życie niektórych aktów normatywnych (M.P. poz. 205) zasady ustalania na dzień 1 stycznia albo 1 czerwca daty wejścia w życie przepisów określających warunki prowadzenia działalności gospodarczej.</w:t>
      </w:r>
    </w:p>
    <w:p w:rsidR="003C6BD2" w:rsidRPr="00331892" w:rsidRDefault="003C6BD2" w:rsidP="006771FF">
      <w:pPr>
        <w:spacing w:line="360" w:lineRule="auto"/>
        <w:jc w:val="both"/>
      </w:pPr>
      <w:r w:rsidRPr="00331892">
        <w:t>Zawarte w projekcie regulacje nie stanowią przepisów technicznych w rozumieniu rozporządzenia Rady Ministrów z dnia 23 grudnia 2002 r. w sprawie funkcjonowania krajowego systemu notyfikacji norm i aktów prawnych (Dz. U. Nr 239, poz. 2039</w:t>
      </w:r>
      <w:r w:rsidR="00AB2705">
        <w:t>, z późn. </w:t>
      </w:r>
      <w:r w:rsidR="00E800C7" w:rsidRPr="00331892">
        <w:t>zm.</w:t>
      </w:r>
      <w:r w:rsidRPr="00331892">
        <w:t>), dlatego też projekt nie podlega procedurze notyfikacji.</w:t>
      </w:r>
    </w:p>
    <w:p w:rsidR="00BD1452" w:rsidRPr="00331892" w:rsidRDefault="00BD1452" w:rsidP="006771FF">
      <w:pPr>
        <w:spacing w:line="360" w:lineRule="auto"/>
        <w:jc w:val="both"/>
      </w:pPr>
      <w:r w:rsidRPr="00331892">
        <w:lastRenderedPageBreak/>
        <w:t>Stosownie do art. 4 ustawy z dnia 7 lipca 2005 r. o działalności lobbin</w:t>
      </w:r>
      <w:r w:rsidR="00AB2705">
        <w:t xml:space="preserve">gowej w </w:t>
      </w:r>
      <w:r w:rsidRPr="00331892">
        <w:t>procesie stanowienia prawa (Dz. U. Nr 169, poz. 1414, z późn. zm.</w:t>
      </w:r>
      <w:r w:rsidR="00AB2705">
        <w:t>) projekt został zamieszczony w </w:t>
      </w:r>
      <w:r w:rsidRPr="00331892">
        <w:t xml:space="preserve">wykazie prac legislacyjnych </w:t>
      </w:r>
      <w:r w:rsidR="004F5B36" w:rsidRPr="00331892">
        <w:t>Rady Ministrów</w:t>
      </w:r>
      <w:r w:rsidR="00526491">
        <w:t>.</w:t>
      </w:r>
    </w:p>
    <w:p w:rsidR="00BD5E43" w:rsidRPr="00331892" w:rsidRDefault="00BD1452" w:rsidP="006771FF">
      <w:pPr>
        <w:spacing w:line="360" w:lineRule="auto"/>
        <w:jc w:val="both"/>
      </w:pPr>
      <w:r w:rsidRPr="00331892">
        <w:t xml:space="preserve">Zgodnie z art. 5 ustawy z dnia 7 lipca 2005 r. o działalności lobbingowej w procesie stanowienia prawa, w związku z art. § 52 uchwały </w:t>
      </w:r>
      <w:r w:rsidR="00331892">
        <w:t>nr 190 Rady Ministrów z dnia 29 </w:t>
      </w:r>
      <w:r w:rsidRPr="00331892">
        <w:t>października 2013 r.</w:t>
      </w:r>
      <w:r w:rsidR="004F5B36" w:rsidRPr="00331892">
        <w:t xml:space="preserve"> –</w:t>
      </w:r>
      <w:r w:rsidR="0079505C" w:rsidRPr="00331892">
        <w:t xml:space="preserve"> </w:t>
      </w:r>
      <w:r w:rsidRPr="00331892">
        <w:t>Reg</w:t>
      </w:r>
      <w:r w:rsidR="00331892">
        <w:t>ulamin pracy Rady Ministrów (M.</w:t>
      </w:r>
      <w:r w:rsidRPr="00331892">
        <w:t>P. p</w:t>
      </w:r>
      <w:r w:rsidR="00331892">
        <w:t>oz. 979 oraz z 2015 r. poz. 1063</w:t>
      </w:r>
      <w:r w:rsidRPr="00331892">
        <w:t>), projekt został udostępniony w Biuletynie Informacji Publicznej na stronie podmiotowej Rządowego Centrum Legislacji, w  serwisie Rządowy Proces Legislacyjny. Żaden podmiot nie zgłosił zainteresowania pracami nad projektem w ww. trybie.</w:t>
      </w:r>
    </w:p>
    <w:p w:rsidR="003C6BD2" w:rsidRPr="00331892" w:rsidRDefault="00814DA0" w:rsidP="006771FF">
      <w:pPr>
        <w:spacing w:line="360" w:lineRule="auto"/>
        <w:jc w:val="both"/>
      </w:pPr>
      <w:r w:rsidRPr="00331892">
        <w:t xml:space="preserve">Projekt ustawy </w:t>
      </w:r>
      <w:r w:rsidR="009E4A3B" w:rsidRPr="00331892">
        <w:t xml:space="preserve">nie jest objęty </w:t>
      </w:r>
      <w:r w:rsidRPr="00331892">
        <w:t>prawem Unii Europejskiej.</w:t>
      </w:r>
    </w:p>
    <w:sectPr w:rsidR="003C6BD2" w:rsidRPr="00331892" w:rsidSect="006771FF">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6A5" w:rsidRDefault="004266A5" w:rsidP="002C6B07">
      <w:r>
        <w:separator/>
      </w:r>
    </w:p>
  </w:endnote>
  <w:endnote w:type="continuationSeparator" w:id="0">
    <w:p w:rsidR="004266A5" w:rsidRDefault="004266A5" w:rsidP="002C6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Georgia">
    <w:altName w:val="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747645"/>
      <w:docPartObj>
        <w:docPartGallery w:val="Page Numbers (Bottom of Page)"/>
        <w:docPartUnique/>
      </w:docPartObj>
    </w:sdtPr>
    <w:sdtEndPr/>
    <w:sdtContent>
      <w:p w:rsidR="00331892" w:rsidRDefault="00331892">
        <w:pPr>
          <w:pStyle w:val="Stopka"/>
          <w:jc w:val="center"/>
        </w:pPr>
        <w:r>
          <w:fldChar w:fldCharType="begin"/>
        </w:r>
        <w:r>
          <w:instrText>PAGE   \* MERGEFORMAT</w:instrText>
        </w:r>
        <w:r>
          <w:fldChar w:fldCharType="separate"/>
        </w:r>
        <w:r w:rsidR="0024397A">
          <w:rPr>
            <w:noProof/>
          </w:rPr>
          <w:t>14</w:t>
        </w:r>
        <w:r>
          <w:fldChar w:fldCharType="end"/>
        </w:r>
      </w:p>
    </w:sdtContent>
  </w:sdt>
  <w:p w:rsidR="002C6B07" w:rsidRDefault="002C6B0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6A5" w:rsidRDefault="004266A5" w:rsidP="002C6B07">
      <w:r>
        <w:separator/>
      </w:r>
    </w:p>
  </w:footnote>
  <w:footnote w:type="continuationSeparator" w:id="0">
    <w:p w:rsidR="004266A5" w:rsidRDefault="004266A5" w:rsidP="002C6B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0A55"/>
    <w:multiLevelType w:val="multilevel"/>
    <w:tmpl w:val="31422CF2"/>
    <w:styleLink w:val="List51"/>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1">
    <w:nsid w:val="0244216A"/>
    <w:multiLevelType w:val="multilevel"/>
    <w:tmpl w:val="318E95E6"/>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2">
    <w:nsid w:val="07656ACF"/>
    <w:multiLevelType w:val="multilevel"/>
    <w:tmpl w:val="AEB620F2"/>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3">
    <w:nsid w:val="08C175FD"/>
    <w:multiLevelType w:val="multilevel"/>
    <w:tmpl w:val="8B6C2BBE"/>
    <w:styleLink w:val="List31"/>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4">
    <w:nsid w:val="0F6A7E36"/>
    <w:multiLevelType w:val="multilevel"/>
    <w:tmpl w:val="4D52D42C"/>
    <w:styleLink w:val="List41"/>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5">
    <w:nsid w:val="1B3447AF"/>
    <w:multiLevelType w:val="multilevel"/>
    <w:tmpl w:val="903A8140"/>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num w:numId="1">
    <w:abstractNumId w:val="1"/>
  </w:num>
  <w:num w:numId="2">
    <w:abstractNumId w:val="2"/>
  </w:num>
  <w:num w:numId="3">
    <w:abstractNumId w:val="3"/>
  </w:num>
  <w:num w:numId="4">
    <w:abstractNumId w:val="3"/>
  </w:num>
  <w:num w:numId="5">
    <w:abstractNumId w:val="4"/>
  </w:num>
  <w:num w:numId="6">
    <w:abstractNumId w:val="4"/>
  </w:num>
  <w:num w:numId="7">
    <w:abstractNumId w:val="5"/>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618"/>
    <w:rsid w:val="00001BD5"/>
    <w:rsid w:val="00002426"/>
    <w:rsid w:val="00016015"/>
    <w:rsid w:val="00023595"/>
    <w:rsid w:val="00043798"/>
    <w:rsid w:val="0006096A"/>
    <w:rsid w:val="000C3C46"/>
    <w:rsid w:val="000D7083"/>
    <w:rsid w:val="000E2182"/>
    <w:rsid w:val="00107399"/>
    <w:rsid w:val="001138BA"/>
    <w:rsid w:val="001165EA"/>
    <w:rsid w:val="001259D6"/>
    <w:rsid w:val="00145306"/>
    <w:rsid w:val="00153B8F"/>
    <w:rsid w:val="001601CA"/>
    <w:rsid w:val="001C201C"/>
    <w:rsid w:val="001C4A60"/>
    <w:rsid w:val="001C67FB"/>
    <w:rsid w:val="001D2E6C"/>
    <w:rsid w:val="001F552A"/>
    <w:rsid w:val="00203E32"/>
    <w:rsid w:val="0021059E"/>
    <w:rsid w:val="00213BE7"/>
    <w:rsid w:val="00224B78"/>
    <w:rsid w:val="0024397A"/>
    <w:rsid w:val="00264281"/>
    <w:rsid w:val="00291846"/>
    <w:rsid w:val="002A0618"/>
    <w:rsid w:val="002A073C"/>
    <w:rsid w:val="002A0863"/>
    <w:rsid w:val="002B5EDA"/>
    <w:rsid w:val="002C2236"/>
    <w:rsid w:val="002C6B07"/>
    <w:rsid w:val="00331892"/>
    <w:rsid w:val="0034723B"/>
    <w:rsid w:val="00350611"/>
    <w:rsid w:val="0036121D"/>
    <w:rsid w:val="00374663"/>
    <w:rsid w:val="003843B0"/>
    <w:rsid w:val="003A3DF8"/>
    <w:rsid w:val="003A7106"/>
    <w:rsid w:val="003C1C5C"/>
    <w:rsid w:val="003C5D4E"/>
    <w:rsid w:val="003C6BD2"/>
    <w:rsid w:val="00420660"/>
    <w:rsid w:val="004266A5"/>
    <w:rsid w:val="00430029"/>
    <w:rsid w:val="0044009B"/>
    <w:rsid w:val="00456C6E"/>
    <w:rsid w:val="00461633"/>
    <w:rsid w:val="00487182"/>
    <w:rsid w:val="004A6C6E"/>
    <w:rsid w:val="004B255E"/>
    <w:rsid w:val="004B2CEB"/>
    <w:rsid w:val="004D130B"/>
    <w:rsid w:val="004F5B36"/>
    <w:rsid w:val="005152A4"/>
    <w:rsid w:val="00526491"/>
    <w:rsid w:val="005424D3"/>
    <w:rsid w:val="0054639F"/>
    <w:rsid w:val="00553A6A"/>
    <w:rsid w:val="00580384"/>
    <w:rsid w:val="00590D6B"/>
    <w:rsid w:val="00592031"/>
    <w:rsid w:val="005954C9"/>
    <w:rsid w:val="00596647"/>
    <w:rsid w:val="00597B82"/>
    <w:rsid w:val="005C139A"/>
    <w:rsid w:val="005D0D2F"/>
    <w:rsid w:val="005E129A"/>
    <w:rsid w:val="005E679F"/>
    <w:rsid w:val="005F2F22"/>
    <w:rsid w:val="00602ECD"/>
    <w:rsid w:val="00610F71"/>
    <w:rsid w:val="00616E8C"/>
    <w:rsid w:val="00645574"/>
    <w:rsid w:val="00651645"/>
    <w:rsid w:val="00656719"/>
    <w:rsid w:val="006654EC"/>
    <w:rsid w:val="0067043E"/>
    <w:rsid w:val="0067536E"/>
    <w:rsid w:val="00676AD2"/>
    <w:rsid w:val="006771FF"/>
    <w:rsid w:val="00683D87"/>
    <w:rsid w:val="006B08CF"/>
    <w:rsid w:val="006B0943"/>
    <w:rsid w:val="006D5AC2"/>
    <w:rsid w:val="00700576"/>
    <w:rsid w:val="00704E13"/>
    <w:rsid w:val="00744CFA"/>
    <w:rsid w:val="007535C0"/>
    <w:rsid w:val="007556BE"/>
    <w:rsid w:val="007742A7"/>
    <w:rsid w:val="0077532A"/>
    <w:rsid w:val="00784BD4"/>
    <w:rsid w:val="00791257"/>
    <w:rsid w:val="0079505C"/>
    <w:rsid w:val="007A42E4"/>
    <w:rsid w:val="007B3D0A"/>
    <w:rsid w:val="007C4FAD"/>
    <w:rsid w:val="007C6DCC"/>
    <w:rsid w:val="007D0618"/>
    <w:rsid w:val="007E5275"/>
    <w:rsid w:val="00806A5B"/>
    <w:rsid w:val="00814DA0"/>
    <w:rsid w:val="0086559B"/>
    <w:rsid w:val="0087218B"/>
    <w:rsid w:val="0087691F"/>
    <w:rsid w:val="00876D4D"/>
    <w:rsid w:val="008905E7"/>
    <w:rsid w:val="008917E6"/>
    <w:rsid w:val="00893D20"/>
    <w:rsid w:val="008C0637"/>
    <w:rsid w:val="008C2F23"/>
    <w:rsid w:val="008C30D3"/>
    <w:rsid w:val="008D10F5"/>
    <w:rsid w:val="008D30ED"/>
    <w:rsid w:val="008E3AE6"/>
    <w:rsid w:val="008E435A"/>
    <w:rsid w:val="008F4EDA"/>
    <w:rsid w:val="0091625F"/>
    <w:rsid w:val="00923AF5"/>
    <w:rsid w:val="00935EC1"/>
    <w:rsid w:val="0094763A"/>
    <w:rsid w:val="00952AF6"/>
    <w:rsid w:val="0096039F"/>
    <w:rsid w:val="00964490"/>
    <w:rsid w:val="00973ECB"/>
    <w:rsid w:val="00982239"/>
    <w:rsid w:val="00985CAE"/>
    <w:rsid w:val="0099437F"/>
    <w:rsid w:val="009C7896"/>
    <w:rsid w:val="009D24E0"/>
    <w:rsid w:val="009D3026"/>
    <w:rsid w:val="009E4A3B"/>
    <w:rsid w:val="009E5B95"/>
    <w:rsid w:val="009F3B02"/>
    <w:rsid w:val="009F451F"/>
    <w:rsid w:val="009F4C6B"/>
    <w:rsid w:val="009F701E"/>
    <w:rsid w:val="009F798C"/>
    <w:rsid w:val="00A13F0C"/>
    <w:rsid w:val="00A412E9"/>
    <w:rsid w:val="00A41852"/>
    <w:rsid w:val="00A44689"/>
    <w:rsid w:val="00A56048"/>
    <w:rsid w:val="00A62E34"/>
    <w:rsid w:val="00A64477"/>
    <w:rsid w:val="00A662AE"/>
    <w:rsid w:val="00A75D83"/>
    <w:rsid w:val="00A772BE"/>
    <w:rsid w:val="00A84CC6"/>
    <w:rsid w:val="00A877B2"/>
    <w:rsid w:val="00A960E0"/>
    <w:rsid w:val="00AA70EA"/>
    <w:rsid w:val="00AB08E6"/>
    <w:rsid w:val="00AB2705"/>
    <w:rsid w:val="00AD30CA"/>
    <w:rsid w:val="00AF09CD"/>
    <w:rsid w:val="00B25ACA"/>
    <w:rsid w:val="00B355F5"/>
    <w:rsid w:val="00B366D4"/>
    <w:rsid w:val="00B73994"/>
    <w:rsid w:val="00B75788"/>
    <w:rsid w:val="00B77FF6"/>
    <w:rsid w:val="00B813A8"/>
    <w:rsid w:val="00B82BFF"/>
    <w:rsid w:val="00B845DC"/>
    <w:rsid w:val="00B856A2"/>
    <w:rsid w:val="00B943AE"/>
    <w:rsid w:val="00BA45DE"/>
    <w:rsid w:val="00BB3483"/>
    <w:rsid w:val="00BB7BB4"/>
    <w:rsid w:val="00BD016B"/>
    <w:rsid w:val="00BD1452"/>
    <w:rsid w:val="00BD5E43"/>
    <w:rsid w:val="00BF1710"/>
    <w:rsid w:val="00C02C7B"/>
    <w:rsid w:val="00C1596E"/>
    <w:rsid w:val="00C2176D"/>
    <w:rsid w:val="00C36A08"/>
    <w:rsid w:val="00C63D19"/>
    <w:rsid w:val="00C70473"/>
    <w:rsid w:val="00C75F5F"/>
    <w:rsid w:val="00C80390"/>
    <w:rsid w:val="00C83DB5"/>
    <w:rsid w:val="00C84F2A"/>
    <w:rsid w:val="00C934FF"/>
    <w:rsid w:val="00CA08AC"/>
    <w:rsid w:val="00CD7D17"/>
    <w:rsid w:val="00CF5644"/>
    <w:rsid w:val="00D12DDB"/>
    <w:rsid w:val="00D13AC3"/>
    <w:rsid w:val="00D32E9A"/>
    <w:rsid w:val="00D37791"/>
    <w:rsid w:val="00D478F1"/>
    <w:rsid w:val="00D518E2"/>
    <w:rsid w:val="00D705AD"/>
    <w:rsid w:val="00D80755"/>
    <w:rsid w:val="00D9187F"/>
    <w:rsid w:val="00D93F50"/>
    <w:rsid w:val="00DA314A"/>
    <w:rsid w:val="00DA538E"/>
    <w:rsid w:val="00DB0FCF"/>
    <w:rsid w:val="00DE1F68"/>
    <w:rsid w:val="00E02723"/>
    <w:rsid w:val="00E03F38"/>
    <w:rsid w:val="00E06FD4"/>
    <w:rsid w:val="00E14D0F"/>
    <w:rsid w:val="00E51477"/>
    <w:rsid w:val="00E800C7"/>
    <w:rsid w:val="00E869C2"/>
    <w:rsid w:val="00E903B3"/>
    <w:rsid w:val="00EA700D"/>
    <w:rsid w:val="00ED452A"/>
    <w:rsid w:val="00ED6B41"/>
    <w:rsid w:val="00EE2D80"/>
    <w:rsid w:val="00EE329B"/>
    <w:rsid w:val="00EE4695"/>
    <w:rsid w:val="00EF18AC"/>
    <w:rsid w:val="00EF344F"/>
    <w:rsid w:val="00F0576B"/>
    <w:rsid w:val="00F0694A"/>
    <w:rsid w:val="00F27F37"/>
    <w:rsid w:val="00F32BBA"/>
    <w:rsid w:val="00F53DD9"/>
    <w:rsid w:val="00FD3B7B"/>
    <w:rsid w:val="00FD46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A0618"/>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C6B07"/>
    <w:pPr>
      <w:tabs>
        <w:tab w:val="center" w:pos="4536"/>
        <w:tab w:val="right" w:pos="9072"/>
      </w:tabs>
    </w:pPr>
  </w:style>
  <w:style w:type="character" w:customStyle="1" w:styleId="NagwekZnak">
    <w:name w:val="Nagłówek Znak"/>
    <w:basedOn w:val="Domylnaczcionkaakapitu"/>
    <w:link w:val="Nagwek"/>
    <w:rsid w:val="002C6B07"/>
    <w:rPr>
      <w:sz w:val="24"/>
      <w:szCs w:val="24"/>
    </w:rPr>
  </w:style>
  <w:style w:type="paragraph" w:styleId="Stopka">
    <w:name w:val="footer"/>
    <w:basedOn w:val="Normalny"/>
    <w:link w:val="StopkaZnak"/>
    <w:uiPriority w:val="99"/>
    <w:rsid w:val="002C6B07"/>
    <w:pPr>
      <w:tabs>
        <w:tab w:val="center" w:pos="4536"/>
        <w:tab w:val="right" w:pos="9072"/>
      </w:tabs>
    </w:pPr>
  </w:style>
  <w:style w:type="character" w:customStyle="1" w:styleId="StopkaZnak">
    <w:name w:val="Stopka Znak"/>
    <w:basedOn w:val="Domylnaczcionkaakapitu"/>
    <w:link w:val="Stopka"/>
    <w:uiPriority w:val="99"/>
    <w:rsid w:val="002C6B07"/>
    <w:rPr>
      <w:sz w:val="24"/>
      <w:szCs w:val="24"/>
    </w:rPr>
  </w:style>
  <w:style w:type="paragraph" w:styleId="Tekstdymka">
    <w:name w:val="Balloon Text"/>
    <w:basedOn w:val="Normalny"/>
    <w:link w:val="TekstdymkaZnak"/>
    <w:rsid w:val="006654EC"/>
    <w:rPr>
      <w:rFonts w:ascii="Tahoma" w:hAnsi="Tahoma" w:cs="Tahoma"/>
      <w:sz w:val="16"/>
      <w:szCs w:val="16"/>
    </w:rPr>
  </w:style>
  <w:style w:type="character" w:customStyle="1" w:styleId="TekstdymkaZnak">
    <w:name w:val="Tekst dymka Znak"/>
    <w:basedOn w:val="Domylnaczcionkaakapitu"/>
    <w:link w:val="Tekstdymka"/>
    <w:rsid w:val="006654EC"/>
    <w:rPr>
      <w:rFonts w:ascii="Tahoma" w:hAnsi="Tahoma" w:cs="Tahoma"/>
      <w:sz w:val="16"/>
      <w:szCs w:val="16"/>
    </w:rPr>
  </w:style>
  <w:style w:type="paragraph" w:styleId="Akapitzlist">
    <w:name w:val="List Paragraph"/>
    <w:basedOn w:val="Normalny"/>
    <w:uiPriority w:val="34"/>
    <w:qFormat/>
    <w:rsid w:val="005D0D2F"/>
    <w:pPr>
      <w:ind w:left="720"/>
    </w:pPr>
    <w:rPr>
      <w:rFonts w:ascii="Calibri" w:eastAsiaTheme="minorHAnsi" w:hAnsi="Calibri"/>
      <w:color w:val="000000"/>
      <w:lang w:eastAsia="en-US"/>
    </w:rPr>
  </w:style>
  <w:style w:type="paragraph" w:customStyle="1" w:styleId="Tre">
    <w:name w:val="Treść"/>
    <w:basedOn w:val="Normalny"/>
    <w:rsid w:val="005D0D2F"/>
    <w:rPr>
      <w:rFonts w:ascii="Calibri" w:eastAsiaTheme="minorHAnsi" w:hAnsi="Calibri"/>
      <w:color w:val="000000"/>
      <w:lang w:eastAsia="en-US"/>
    </w:rPr>
  </w:style>
  <w:style w:type="numbering" w:customStyle="1" w:styleId="List31">
    <w:name w:val="List 31"/>
    <w:rsid w:val="005D0D2F"/>
    <w:pPr>
      <w:numPr>
        <w:numId w:val="3"/>
      </w:numPr>
    </w:pPr>
  </w:style>
  <w:style w:type="numbering" w:customStyle="1" w:styleId="List41">
    <w:name w:val="List 41"/>
    <w:rsid w:val="005D0D2F"/>
    <w:pPr>
      <w:numPr>
        <w:numId w:val="5"/>
      </w:numPr>
    </w:pPr>
  </w:style>
  <w:style w:type="numbering" w:customStyle="1" w:styleId="List51">
    <w:name w:val="List 51"/>
    <w:rsid w:val="005D0D2F"/>
    <w:pPr>
      <w:numPr>
        <w:numId w:val="8"/>
      </w:numPr>
    </w:pPr>
  </w:style>
  <w:style w:type="paragraph" w:customStyle="1" w:styleId="Default">
    <w:name w:val="Default"/>
    <w:rsid w:val="005424D3"/>
    <w:pPr>
      <w:autoSpaceDE w:val="0"/>
      <w:autoSpaceDN w:val="0"/>
      <w:adjustRightInd w:val="0"/>
    </w:pPr>
    <w:rPr>
      <w:rFonts w:ascii="Georgia" w:hAnsi="Georgia" w:cs="Georg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A0618"/>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C6B07"/>
    <w:pPr>
      <w:tabs>
        <w:tab w:val="center" w:pos="4536"/>
        <w:tab w:val="right" w:pos="9072"/>
      </w:tabs>
    </w:pPr>
  </w:style>
  <w:style w:type="character" w:customStyle="1" w:styleId="NagwekZnak">
    <w:name w:val="Nagłówek Znak"/>
    <w:basedOn w:val="Domylnaczcionkaakapitu"/>
    <w:link w:val="Nagwek"/>
    <w:rsid w:val="002C6B07"/>
    <w:rPr>
      <w:sz w:val="24"/>
      <w:szCs w:val="24"/>
    </w:rPr>
  </w:style>
  <w:style w:type="paragraph" w:styleId="Stopka">
    <w:name w:val="footer"/>
    <w:basedOn w:val="Normalny"/>
    <w:link w:val="StopkaZnak"/>
    <w:uiPriority w:val="99"/>
    <w:rsid w:val="002C6B07"/>
    <w:pPr>
      <w:tabs>
        <w:tab w:val="center" w:pos="4536"/>
        <w:tab w:val="right" w:pos="9072"/>
      </w:tabs>
    </w:pPr>
  </w:style>
  <w:style w:type="character" w:customStyle="1" w:styleId="StopkaZnak">
    <w:name w:val="Stopka Znak"/>
    <w:basedOn w:val="Domylnaczcionkaakapitu"/>
    <w:link w:val="Stopka"/>
    <w:uiPriority w:val="99"/>
    <w:rsid w:val="002C6B07"/>
    <w:rPr>
      <w:sz w:val="24"/>
      <w:szCs w:val="24"/>
    </w:rPr>
  </w:style>
  <w:style w:type="paragraph" w:styleId="Tekstdymka">
    <w:name w:val="Balloon Text"/>
    <w:basedOn w:val="Normalny"/>
    <w:link w:val="TekstdymkaZnak"/>
    <w:rsid w:val="006654EC"/>
    <w:rPr>
      <w:rFonts w:ascii="Tahoma" w:hAnsi="Tahoma" w:cs="Tahoma"/>
      <w:sz w:val="16"/>
      <w:szCs w:val="16"/>
    </w:rPr>
  </w:style>
  <w:style w:type="character" w:customStyle="1" w:styleId="TekstdymkaZnak">
    <w:name w:val="Tekst dymka Znak"/>
    <w:basedOn w:val="Domylnaczcionkaakapitu"/>
    <w:link w:val="Tekstdymka"/>
    <w:rsid w:val="006654EC"/>
    <w:rPr>
      <w:rFonts w:ascii="Tahoma" w:hAnsi="Tahoma" w:cs="Tahoma"/>
      <w:sz w:val="16"/>
      <w:szCs w:val="16"/>
    </w:rPr>
  </w:style>
  <w:style w:type="paragraph" w:styleId="Akapitzlist">
    <w:name w:val="List Paragraph"/>
    <w:basedOn w:val="Normalny"/>
    <w:uiPriority w:val="34"/>
    <w:qFormat/>
    <w:rsid w:val="005D0D2F"/>
    <w:pPr>
      <w:ind w:left="720"/>
    </w:pPr>
    <w:rPr>
      <w:rFonts w:ascii="Calibri" w:eastAsiaTheme="minorHAnsi" w:hAnsi="Calibri"/>
      <w:color w:val="000000"/>
      <w:lang w:eastAsia="en-US"/>
    </w:rPr>
  </w:style>
  <w:style w:type="paragraph" w:customStyle="1" w:styleId="Tre">
    <w:name w:val="Treść"/>
    <w:basedOn w:val="Normalny"/>
    <w:rsid w:val="005D0D2F"/>
    <w:rPr>
      <w:rFonts w:ascii="Calibri" w:eastAsiaTheme="minorHAnsi" w:hAnsi="Calibri"/>
      <w:color w:val="000000"/>
      <w:lang w:eastAsia="en-US"/>
    </w:rPr>
  </w:style>
  <w:style w:type="numbering" w:customStyle="1" w:styleId="List31">
    <w:name w:val="List 31"/>
    <w:rsid w:val="005D0D2F"/>
    <w:pPr>
      <w:numPr>
        <w:numId w:val="3"/>
      </w:numPr>
    </w:pPr>
  </w:style>
  <w:style w:type="numbering" w:customStyle="1" w:styleId="List41">
    <w:name w:val="List 41"/>
    <w:rsid w:val="005D0D2F"/>
    <w:pPr>
      <w:numPr>
        <w:numId w:val="5"/>
      </w:numPr>
    </w:pPr>
  </w:style>
  <w:style w:type="numbering" w:customStyle="1" w:styleId="List51">
    <w:name w:val="List 51"/>
    <w:rsid w:val="005D0D2F"/>
    <w:pPr>
      <w:numPr>
        <w:numId w:val="8"/>
      </w:numPr>
    </w:pPr>
  </w:style>
  <w:style w:type="paragraph" w:customStyle="1" w:styleId="Default">
    <w:name w:val="Default"/>
    <w:rsid w:val="005424D3"/>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825668">
      <w:bodyDiv w:val="1"/>
      <w:marLeft w:val="0"/>
      <w:marRight w:val="0"/>
      <w:marTop w:val="0"/>
      <w:marBottom w:val="0"/>
      <w:divBdr>
        <w:top w:val="none" w:sz="0" w:space="0" w:color="auto"/>
        <w:left w:val="none" w:sz="0" w:space="0" w:color="auto"/>
        <w:bottom w:val="none" w:sz="0" w:space="0" w:color="auto"/>
        <w:right w:val="none" w:sz="0" w:space="0" w:color="auto"/>
      </w:divBdr>
    </w:div>
    <w:div w:id="1731804993">
      <w:bodyDiv w:val="1"/>
      <w:marLeft w:val="0"/>
      <w:marRight w:val="0"/>
      <w:marTop w:val="0"/>
      <w:marBottom w:val="0"/>
      <w:divBdr>
        <w:top w:val="none" w:sz="0" w:space="0" w:color="auto"/>
        <w:left w:val="none" w:sz="0" w:space="0" w:color="auto"/>
        <w:bottom w:val="none" w:sz="0" w:space="0" w:color="auto"/>
        <w:right w:val="none" w:sz="0" w:space="0" w:color="auto"/>
      </w:divBdr>
    </w:div>
    <w:div w:id="187599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4629</Words>
  <Characters>30584</Characters>
  <Application>Microsoft Office Word</Application>
  <DocSecurity>0</DocSecurity>
  <Lines>254</Lines>
  <Paragraphs>70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Materkowski Paweł</dc:creator>
  <cp:lastModifiedBy>Ewa A. Genert</cp:lastModifiedBy>
  <cp:revision>2</cp:revision>
  <cp:lastPrinted>2016-04-05T12:58:00Z</cp:lastPrinted>
  <dcterms:created xsi:type="dcterms:W3CDTF">2016-04-07T06:58:00Z</dcterms:created>
  <dcterms:modified xsi:type="dcterms:W3CDTF">2016-04-07T06:58:00Z</dcterms:modified>
</cp:coreProperties>
</file>