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993" w:rsidRPr="00C52993" w:rsidRDefault="00C52993" w:rsidP="00C52993">
      <w:pPr>
        <w:keepNext/>
        <w:spacing w:after="0" w:line="360" w:lineRule="auto"/>
        <w:ind w:left="510"/>
        <w:jc w:val="center"/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</w:pPr>
      <w:bookmarkStart w:id="0" w:name="_GoBack"/>
      <w:bookmarkEnd w:id="0"/>
      <w:r w:rsidRPr="00C52993"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  <w:t>UZASADNIENIE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Projekt ustawy o zmianie ustawy o finansowaniu wspólnej polityki rolnej wynika głównie z</w:t>
      </w:r>
      <w:r w:rsidR="00AE0FA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potrzeby umożliwienia jednostkom samorządu terytorialnego otrzymania środków na wyprzedzające finansowanie operacji realizowanych w ramach poddziałania wsparcie na inwestycje związane z rozwojem, moderniza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cją i dostosowaniem rolnictwa i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leśnictwa objętego Programem Rozwoju Obszarów Wiejskich na lata 2014–2020 przed zawarciem umowy o przyznaniu pomocy oraz wprowadzeniem możliwości przywrócenia terminu na: złożenie wniosku o zaliczkę w działaniach inwestycyjnych oraz wniosku o wyprzedzające finansowanie pomocy w działaniu tworzenie grup producentów i organizacji producentów, w ramach PROW 2014–2020.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Zmiany zaproponowane w art. 10 ust. 2, 3 i 5 mają na celu ujednolicenie zasad dotyczących przekazywania środków agencji płatniczej na finansowanie wspólnej polityki rolnej w części podlegającej refundacji ze środków Europejskiego Funduszu Rolniczego Gwarancji (EFRG) i Europejskiego Funduszu Rolnego na rzecz Rozwoju Obszarów Wiejskich (EFRROW). W obecnie obowiąz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ującej ustawie jedynie środki w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części dotyczącej EFRROW są przekazywane agencji płatniczej na wniosek ministra właściwego do spraw rozwoju wsi, sporządzanego na podstawie zapotrzebowania agencji płatniczej. W proponowanej zmianie analogiczna zasada będzie dotyczyła środków w części dotyczącej EFRG. Mając na uwadze zaproponowane zmiany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konieczne będzie wydanie nowego rozporządzenia Ministra Finansów w sprawie środków na realizację wspólnej polityki rolnej, o którym mowa w art. 10 ust. 6 zmienianej ustawy. W związku 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z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powyższym zaproponowano odpowiednio dłuższy czas wejścia w życie przepisów art. 1 pkt 1 projektowanej ustawy, tj. proponuje się, aby przepisy te weszły w życie po upływie 60 dni od dnia ogłoszenia. 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Zmiany zaproponowane w art. 11 ust. 4 zmienianej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ustawy polegają na usunięciu z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przepisu decyzji o przyznaniu pomocy, ponieważ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zarówno pomoc techniczna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jak i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pomoc w ramach poddziałania wsparcie na inwestycje związane z rozwojem, modernizacją i dostosowaniem rolnictwa i leśnictwa jest przyznawana w drodze umowy o przyznaniu pomocy.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proponowanej zmianie w art. 11 ust. 7 zmienianej ustawy uporządkowano zasady dotyczące obowiązku zwrotu części niezrefundowanej z EFRROW. W obecnie obowiązującym przepisie jedynie środki niezrefundo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wane przez agencję płatniczą z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przyczyn leżących po stronie jednostki samorządu terytorialnego, dotyczące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poddziałania wsparcie na inwestycje zwią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zane z rozwojem, modernizacją i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dostosowaniem rolnictwa i leśnictwa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podlegają zwrotowi, wraz z odsetkami liczonymi jak dla zaległości podatkowych od dnia przekazania środków, w terminie 60 dni od dnia otrzymania informacji o odmowie wypłaty środków z tytułu tej pomocy. Nie jest to merytorycznie uzasadnione, ponieważ zarówno środki na finansowanie poddziałania wsparcie na inwestycje związane z rozwojem, moderniza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cją i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dostosowaniem rolnictwa i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leśnictwa, jak i pomocy technicznej pochodzą z budżetu państwa. Zaproponowana zmiana ma na celu wyjaśnienie wątpliwości co do obowiązku zwrotu niezrefundowanych środków z pomocy technicznej na dochody budżetu państwa.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zaproponowanej zmianie w art. 11 ust. 8 zmienianej ustawy wprowadzono możliwość otrzymania przez jednostki samorządu terytorialnego środków na wyprzedzające finansowanie kosztów realizacji operacji w ramach poddziałania wsparcie na inwestycje związane z rozwojem, moderniza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cją i dostosowaniem rolnictwa i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leśnictwa objętego PROW 2014–2020 przed zawarciem umowy o przyznaniu pomocy. W ramach tego działania jednostki samorządu terytorialnego realizują operacje w ramach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operacji typu scalanie gruntów. Środki te są niezbędne 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do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sfinansowani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a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prac przygotowawczych, w tym 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do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sfinansowani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a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kosztów przygotowania dokumentacji technicznej, niezbędnych do przygotowania wniosku o przyznanie pomocy w ramach PROW 2014–2020 przez starostów. W obecnie obowiązującym przepisie otrzymanie środków na wyprzedzające finansowanie możliwe jest tylko na podstawie harmonogramów płatności wynikających z zawartych umów o przyznaniu pomocy. Tymczasem część wydatków musi zostać poniesiona 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jeszcze przed zawarciem umowy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przyznaniu pomocy. Mając na uwadze, że zgodnie z pr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zepisami art. 3 ust. 1 ustawy z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dnia 26 marca 1982 r. o scalaniu i wymianie gruntów (Dz. U.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z 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2014 r. poz. 700, z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późn. zm.) postępowanie scaleniowe oraz zagospodarowa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nie poscaleniowe przeprowadza i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wykonuje starosta jako zadanie z zakresu administracji rządowej, brak środków na prace przygotowawcze uniemożliwi w praktyce realizację tego poddziałania PROW 2014–2020, a środki finansowe przeznaczone na ten cel w tym programie nie zostaną wykorzystane.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projektowanej zmianie art. 12 zmienianej ustawy w dodanym ust. 3 jednoznacznie wskazano, że w przypadku niedokonan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ia zwrotu, o którym mowa w art.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12 ust. 1 zmienianej ustawy, w terminie, właściwy dysponent, o 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którym mowa w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art. 11 ust. 3 zmienianej ustawy, wydaje decyzję określającą kwotę przypadającą do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zwrotu i termin, od którego nalicza się odsetki. Projektowany przepis jest analogiczny do art. 169 ust. 6 ustawy z dnia 27 sierpnia 2009 r. o finansach publicz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nych (Dz. U. z 2013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r. poz. 885, z późn zm.).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projektowanej zmianie art. 18 zmienianej ustawy doprecyzowano, że w umowie o przyznaniu pomocy zawieranej z beneficjentem określone zostaną również warunki wypłaty i zasady rozliczania środków przeznaczonych na wyprzedzające finansowanie kosztów kwalifikowalnych ponoszonych na realizację operacji w ramach działania wsparcie dla rozwoju lokalnego w ramach inicjatywy LEADER.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projektowanej zmianie art. 17 zmienianej ustawy proponuje się wprowadzenie możliwości przywrócenia terminu na złożenie wniosku o wyprzedzające finansowanie pomocy w ramach działania tworzenie grup producent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ów i organizacji producentów. W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obecnie obowiązującym przepisie beneficjent może złożyć taki wniosek w terminie 30 dni od dnia, w którym decyzja administracyjna, na której podstawie pomoc została przyznana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stała się ostateczna. W projektowanej zmianie możliwe będzie przywrócenie tego terminu, na prośbę beneficjenta, w terminie 21 dni od dnia ustania przyczyny uchybienia terminu, np. spowodowanego pobytem beneficjenta w szpitalu. Nie będzie możliwe przywrócenie terminu do złożenia prośby beneficjenta o przywrócenie terminu na złożenie wniosku o wyprzedzające finansowanie pomocy. Ponadto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w przypadku gdy wniosek beneficjenta o wyprzedzające finansowanie pomocy nie będzie zawierał takich informacji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jak: nazwa, siedziba grupy lub organizacji producentów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i nie będzie możności ustalenia tych informacji na podstawie posiadanych danych, agencja płatnicza, realizująca płatności z EFRROW, pozostawi wniosek bez rozpatrzenia, informując beneficjenta o przyczynach pozostawienia wniosku bez r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ozpatrzenia oraz pouczając go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prawie do wniesienia skargi do sądu administracyjnego.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projektowanej zmianie art. 20 ust. 3 zmienianej ustawy doprecyzowano, na stronie internetowej której instytucji, tj.:</w:t>
      </w:r>
    </w:p>
    <w:p w:rsidR="00C52993" w:rsidRPr="00C52993" w:rsidRDefault="00C52993" w:rsidP="00C52993">
      <w:pPr>
        <w:spacing w:after="0" w:line="360" w:lineRule="auto"/>
        <w:ind w:left="1497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agencji płatniczej realizując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ej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płatności z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EFRROW – w przypadku działań i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poddziałań wymienionych w ust. 1 pkt 1, 2 i 4 zmienianej ustawy,</w:t>
      </w:r>
    </w:p>
    <w:p w:rsidR="00C52993" w:rsidRPr="00C52993" w:rsidRDefault="00C52993" w:rsidP="00C52993">
      <w:pPr>
        <w:spacing w:after="0" w:line="360" w:lineRule="auto"/>
        <w:ind w:left="1497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Agencji Rynku Rolnego – w przypadku działania wymienionego w ust. 1 pkt 3 zmienianej ustawy,</w:t>
      </w:r>
    </w:p>
    <w:p w:rsidR="00C52993" w:rsidRPr="00C52993" w:rsidRDefault="00C52993" w:rsidP="00C52993">
      <w:pPr>
        <w:spacing w:after="0" w:line="360" w:lineRule="auto"/>
        <w:ind w:left="1497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3)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samorządu województwa – w przypadku dzia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łania wymienionego w ust. 1 pkt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5 zmienianej ustawy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– dostępny będzie wniosek o wypłatę zaliczki oraz do której instytucji należy taki wniosek złożyć.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dodawanych w art. 20 zmienianej ustawy ust. 4a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–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4c proponuje się wprowadzenie możliwości przywrócenia terminu na złożenie wniosku o wypłatę zaliczki po zawarciu umowy o przyznaniu pomocy oraz uporządkowanie sposobu postępowania z wnioskami złożonymi po terminie. W obecnie obowiązującym przepisie beneficjent może złożyć wniosek o wypłatę zaliczki wraz z wnios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kiem o przyznanie pomocy albo w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terminie 30 dni od dnia zawarcia umowy o przyznaniu pomocy. Obecnie obowiązujące przepisy nie przewidują przywrócenia tego terminu. W projektowanej zmianie, w przypadku złożenia wniosku o wypłatę zaliczki po upływie 30 dni od zawarcia umowy o przyznaniu pomocy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agencja pł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atnicza realizująca płatności z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EFRROW albo Agencja Rynku Rolnego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albo samorząd województwa – w zależności od działania – pozostawia wniosek bez rozpatrz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enia, informując beneficjenta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przyczynach pozostawienia wniosku bez rozpatrzenia oraz pouczając go o prawie do wniesienia skargi do sądu administracyjnego. Jednocześnie możliwe będzie przywrócenie tego terminu, na prośbę beneficjenta, w terminie 21 dni od dnia ustania przyczyny uchybienia terminu, np. spowodowanego pobytem beneficjenta w szpitalu. Nie będzie możliwe przywrócenie terminu do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złożenia prośby beneficjenta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przywrócenie terminu na złożenie wniosku o wypłatę zaliczki. Ponadto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w przypadku gdy wniosek beneficjenta nie będzie zawierał takich informacji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jak: imię, nazwisko, miejsce zamieszkania, adres albo nazwa, siedziba, adres beneficjenta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i nie będzie możności ustalenia tych informacji na podstawie posiadanych danych, agencja płatnicza realizująca płatności z EFRROW albo Agencja Rynku Rolnego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albo samorząd województwa – w zależności od działania –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pozostawi wniosek bez rozpatrzenia, informując beneficjenta o przyczynach pozostawienia wniosku bez rozpatrzenia oraz pouczając go o prawie do wniesienia skargi do sądu administracyjnego.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projektowanej zmianie art. 20 ust. 7 zmienianej ustawy doprecyzowano, która instytucja (w zależności od działania) jest właściwa d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o poinformowania beneficjenta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terminie zawarcia umowy zmieniającej u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mowę o przyznaniu pomocy albo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przyczynach odmowy udzielenia zaliczki.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Zmiana zawarta w art. 1 pkt 7 projektowanej ustawy ma charakter techniczny i jest konsekwencją zrezygnowania w art. 18 ust. 2 pkt 3 zmienianej ustawy ze stosowania skrótu dotyczącego wyrażenia „umowy o przyznanie pomocy, o której mowa w art. 34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ust. 1 ustawy PROW 2014–2020”</w:t>
      </w:r>
      <w:r w:rsidR="00E329D2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oraz ma na celu ujednolicenie terminologii używanej w zmienianej ustawie z terminologią stosowaną w ust</w:t>
      </w:r>
      <w:r w:rsidR="007E35ED">
        <w:rPr>
          <w:rFonts w:ascii="Times" w:eastAsia="Times New Roman" w:hAnsi="Times" w:cs="Arial"/>
          <w:bCs/>
          <w:sz w:val="24"/>
          <w:szCs w:val="20"/>
          <w:lang w:eastAsia="pl-PL"/>
        </w:rPr>
        <w:t>awie z dnia 20 lutego 2015 r. o 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wspieraniu rozwoju obszarów wiejskich z udziałem środków Europejskiego Funduszu Rolnego na rzecz Rozwoju Obszarów Wiejskich w ramach Programu Rozwoju Obszarów Wiejskich na lata 2014–2020 (Dz. U. poz. 349, z późn. zm.).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W celu umożliwienia przekazania agencji płatniczej środków na finansowanie płatności w ramach wspólnej polityki rolnej w części podlegającej refundacji ze środków Europejskiego Funduszu Rolniczego Gwarancji na podstawie złożonego przez nią zapotrzebowania przed dniem wejścia w życie art. 1 pkt 1 projektowanej ustawy proponuje się przepis przejściowy, zgodnie z którym przekazanie tych środków nastąpi na dotychczasowych zasadach. Pozostałe zmiany zawarte w projektowanej ustawie nie wymagają wprowadzenia regulacji przejściowych. W odniesieniu do tych zmian będą miały zastosowanie nowe przepisy, w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tym zasady zwrotu płatności, które będą wypłacane z PROW 2014–2020.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Projektowana ustawa jest zgodna z prawem Unii Europejskiej.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Proponuje się, aby projektowana ustawa weszła w życie po upływie 14 dni od dnia ogłoszenia, z wyjątkiem art. 1 pkt 1 projektowanej ustawy, który wchodzi w życie po upływie 60 dni od dnia ogłoszenia.</w:t>
      </w:r>
    </w:p>
    <w:p w:rsidR="00C52993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Projektowana ustawa została ujęta w wykazie prac legislacyjnych Rady Ministrów na okres styczeń – czerwiec 2016 r. (UC50).</w:t>
      </w:r>
    </w:p>
    <w:p w:rsidR="00910094" w:rsidRPr="00C52993" w:rsidRDefault="00C52993" w:rsidP="00C52993">
      <w:pPr>
        <w:suppressAutoHyphens/>
        <w:autoSpaceDE w:val="0"/>
        <w:autoSpaceDN w:val="0"/>
        <w:adjustRightInd w:val="0"/>
        <w:spacing w:before="120" w:after="0" w:line="360" w:lineRule="auto"/>
        <w:ind w:left="510"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>Projektowana ustawa nie zawiera norm technicznych w rozumieniu przepisów rozporządzenia Rady Ministrów z dnia 23 grudnia 2002 r. w sprawie sposobu funkcjonowania krajowego systemu notyfikacji norm i aktów prawnych (Dz. U. Nr 239, poz. 2039 oraz z 2004 r. Nr 65, poz. 597)</w:t>
      </w:r>
      <w:r w:rsidR="00FD1CD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C5299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dlatego nie podlega notyfikacji.</w:t>
      </w:r>
    </w:p>
    <w:sectPr w:rsidR="00910094" w:rsidRPr="00C52993" w:rsidSect="002D4BF0">
      <w:footerReference w:type="default" r:id="rId8"/>
      <w:pgSz w:w="11907" w:h="16840"/>
      <w:pgMar w:top="1400" w:right="1400" w:bottom="1400" w:left="1400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BF0" w:rsidRDefault="002D4BF0" w:rsidP="002D4BF0">
      <w:pPr>
        <w:spacing w:after="0" w:line="240" w:lineRule="auto"/>
      </w:pPr>
      <w:r>
        <w:separator/>
      </w:r>
    </w:p>
  </w:endnote>
  <w:endnote w:type="continuationSeparator" w:id="0">
    <w:p w:rsidR="002D4BF0" w:rsidRDefault="002D4BF0" w:rsidP="002D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678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D4BF0" w:rsidRPr="002D4BF0" w:rsidRDefault="002D4BF0" w:rsidP="002D4BF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4B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4B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4B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0D0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D4B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BF0" w:rsidRDefault="002D4BF0" w:rsidP="002D4BF0">
      <w:pPr>
        <w:spacing w:after="0" w:line="240" w:lineRule="auto"/>
      </w:pPr>
      <w:r>
        <w:separator/>
      </w:r>
    </w:p>
  </w:footnote>
  <w:footnote w:type="continuationSeparator" w:id="0">
    <w:p w:rsidR="002D4BF0" w:rsidRDefault="002D4BF0" w:rsidP="002D4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727"/>
    <w:rsid w:val="00037022"/>
    <w:rsid w:val="00096847"/>
    <w:rsid w:val="00114291"/>
    <w:rsid w:val="001C0BA8"/>
    <w:rsid w:val="001E2107"/>
    <w:rsid w:val="001E2646"/>
    <w:rsid w:val="001E55D9"/>
    <w:rsid w:val="00213B8E"/>
    <w:rsid w:val="00276486"/>
    <w:rsid w:val="002D4BF0"/>
    <w:rsid w:val="002F21BD"/>
    <w:rsid w:val="0033292D"/>
    <w:rsid w:val="00381423"/>
    <w:rsid w:val="003A34A2"/>
    <w:rsid w:val="003A7CC3"/>
    <w:rsid w:val="003B2E18"/>
    <w:rsid w:val="003C2D6B"/>
    <w:rsid w:val="00406842"/>
    <w:rsid w:val="0044526B"/>
    <w:rsid w:val="004C5574"/>
    <w:rsid w:val="004D27BB"/>
    <w:rsid w:val="004D335C"/>
    <w:rsid w:val="004D5099"/>
    <w:rsid w:val="00501838"/>
    <w:rsid w:val="0056757E"/>
    <w:rsid w:val="005756CD"/>
    <w:rsid w:val="005F6952"/>
    <w:rsid w:val="006416FE"/>
    <w:rsid w:val="0066417F"/>
    <w:rsid w:val="006707F9"/>
    <w:rsid w:val="00751384"/>
    <w:rsid w:val="00763D86"/>
    <w:rsid w:val="007642C0"/>
    <w:rsid w:val="007E35ED"/>
    <w:rsid w:val="007E76C0"/>
    <w:rsid w:val="007F543C"/>
    <w:rsid w:val="008E4F0C"/>
    <w:rsid w:val="00910094"/>
    <w:rsid w:val="009D6EA4"/>
    <w:rsid w:val="00A04C48"/>
    <w:rsid w:val="00A31B19"/>
    <w:rsid w:val="00A32BC6"/>
    <w:rsid w:val="00A45BBB"/>
    <w:rsid w:val="00A6426C"/>
    <w:rsid w:val="00A779DA"/>
    <w:rsid w:val="00A84521"/>
    <w:rsid w:val="00AD693B"/>
    <w:rsid w:val="00AE0FAD"/>
    <w:rsid w:val="00AF0D0C"/>
    <w:rsid w:val="00B1402B"/>
    <w:rsid w:val="00B86727"/>
    <w:rsid w:val="00BA7F1F"/>
    <w:rsid w:val="00BB3727"/>
    <w:rsid w:val="00BF3004"/>
    <w:rsid w:val="00C173E0"/>
    <w:rsid w:val="00C33E69"/>
    <w:rsid w:val="00C41F0E"/>
    <w:rsid w:val="00C46386"/>
    <w:rsid w:val="00C507A3"/>
    <w:rsid w:val="00C52993"/>
    <w:rsid w:val="00C7129B"/>
    <w:rsid w:val="00C85C76"/>
    <w:rsid w:val="00CF2CEF"/>
    <w:rsid w:val="00D56402"/>
    <w:rsid w:val="00D62BAC"/>
    <w:rsid w:val="00D75FDA"/>
    <w:rsid w:val="00DF7EAA"/>
    <w:rsid w:val="00E03B29"/>
    <w:rsid w:val="00E329D2"/>
    <w:rsid w:val="00E83424"/>
    <w:rsid w:val="00EB23D8"/>
    <w:rsid w:val="00F5348F"/>
    <w:rsid w:val="00F81898"/>
    <w:rsid w:val="00FD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changed">
    <w:name w:val="p.changed"/>
    <w:uiPriority w:val="99"/>
    <w:rsid w:val="00276486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Arial" w:eastAsiaTheme="minorEastAsia" w:hAnsi="Arial" w:cs="Arial"/>
      <w:color w:val="FF0000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6486"/>
    <w:rPr>
      <w:rFonts w:ascii="Tahoma" w:hAnsi="Tahoma" w:cs="Tahoma"/>
      <w:sz w:val="16"/>
      <w:szCs w:val="16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01838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BF0"/>
  </w:style>
  <w:style w:type="paragraph" w:styleId="Stopka">
    <w:name w:val="footer"/>
    <w:basedOn w:val="Normalny"/>
    <w:link w:val="StopkaZnak"/>
    <w:uiPriority w:val="99"/>
    <w:unhideWhenUsed/>
    <w:rsid w:val="002D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B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changed">
    <w:name w:val="p.changed"/>
    <w:uiPriority w:val="99"/>
    <w:rsid w:val="00276486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Arial" w:eastAsiaTheme="minorEastAsia" w:hAnsi="Arial" w:cs="Arial"/>
      <w:color w:val="FF0000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6486"/>
    <w:rPr>
      <w:rFonts w:ascii="Tahoma" w:hAnsi="Tahoma" w:cs="Tahoma"/>
      <w:sz w:val="16"/>
      <w:szCs w:val="16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01838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BF0"/>
  </w:style>
  <w:style w:type="paragraph" w:styleId="Stopka">
    <w:name w:val="footer"/>
    <w:basedOn w:val="Normalny"/>
    <w:link w:val="StopkaZnak"/>
    <w:uiPriority w:val="99"/>
    <w:unhideWhenUsed/>
    <w:rsid w:val="002D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47AB5-1233-431A-A1D8-6DA06957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1647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Demusiak Anna</dc:creator>
  <cp:lastModifiedBy>Ewa A. Genert</cp:lastModifiedBy>
  <cp:revision>2</cp:revision>
  <cp:lastPrinted>2015-08-21T07:55:00Z</cp:lastPrinted>
  <dcterms:created xsi:type="dcterms:W3CDTF">2016-04-11T09:52:00Z</dcterms:created>
  <dcterms:modified xsi:type="dcterms:W3CDTF">2016-04-11T09:52:00Z</dcterms:modified>
</cp:coreProperties>
</file>