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0A99" w:rsidRPr="00A94359" w:rsidRDefault="00A94359" w:rsidP="00A94359">
      <w:pPr>
        <w:pStyle w:val="Nagwek1"/>
        <w:tabs>
          <w:tab w:val="left" w:pos="2835"/>
        </w:tabs>
        <w:spacing w:before="120" w:line="360" w:lineRule="auto"/>
        <w:ind w:left="567" w:hanging="567"/>
        <w:jc w:val="center"/>
        <w:rPr>
          <w:sz w:val="24"/>
          <w:szCs w:val="24"/>
        </w:rPr>
      </w:pPr>
      <w:bookmarkStart w:id="0" w:name="_GoBack"/>
      <w:bookmarkEnd w:id="0"/>
      <w:r w:rsidRPr="00A94359">
        <w:rPr>
          <w:sz w:val="24"/>
          <w:szCs w:val="24"/>
        </w:rPr>
        <w:t>UZASADNIENIE</w:t>
      </w:r>
    </w:p>
    <w:p w:rsidR="002F0A99" w:rsidRPr="00A94359" w:rsidRDefault="002F0A99" w:rsidP="005B269D">
      <w:pPr>
        <w:pStyle w:val="Nagwek2"/>
        <w:spacing w:before="240" w:line="360" w:lineRule="auto"/>
        <w:rPr>
          <w:sz w:val="24"/>
          <w:szCs w:val="24"/>
        </w:rPr>
      </w:pPr>
      <w:r w:rsidRPr="00A94359">
        <w:rPr>
          <w:sz w:val="24"/>
          <w:szCs w:val="24"/>
        </w:rPr>
        <w:t>1. Wprowadzenie</w:t>
      </w:r>
      <w:r w:rsidR="00B17D20" w:rsidRPr="00A94359">
        <w:rPr>
          <w:sz w:val="24"/>
          <w:szCs w:val="24"/>
        </w:rPr>
        <w:t xml:space="preserve"> </w:t>
      </w:r>
    </w:p>
    <w:p w:rsidR="002F0A99" w:rsidRPr="00A94359" w:rsidRDefault="002F0A99" w:rsidP="00A94359">
      <w:pPr>
        <w:pStyle w:val="ODNONIKtreodnonika"/>
        <w:spacing w:before="120" w:line="360" w:lineRule="auto"/>
        <w:ind w:left="0" w:firstLine="0"/>
        <w:rPr>
          <w:rFonts w:cs="Times New Roman"/>
          <w:sz w:val="24"/>
          <w:szCs w:val="24"/>
        </w:rPr>
      </w:pPr>
      <w:r w:rsidRPr="00A94359">
        <w:rPr>
          <w:rFonts w:cs="Times New Roman"/>
          <w:sz w:val="24"/>
          <w:szCs w:val="24"/>
        </w:rPr>
        <w:t xml:space="preserve">Projekt ustawy o efektywności energetycznej wdraża </w:t>
      </w:r>
      <w:r w:rsidRPr="00A94359">
        <w:rPr>
          <w:rStyle w:val="IDindeksdolny"/>
          <w:sz w:val="24"/>
          <w:szCs w:val="24"/>
          <w:vertAlign w:val="baseline"/>
        </w:rPr>
        <w:t>dyrektywę</w:t>
      </w:r>
      <w:r w:rsidRPr="00A94359">
        <w:rPr>
          <w:rStyle w:val="IDindeksdolny"/>
          <w:sz w:val="24"/>
          <w:szCs w:val="24"/>
        </w:rPr>
        <w:t xml:space="preserve"> </w:t>
      </w:r>
      <w:r w:rsidRPr="00A94359">
        <w:rPr>
          <w:rFonts w:cs="Times New Roman"/>
          <w:sz w:val="24"/>
          <w:szCs w:val="24"/>
        </w:rPr>
        <w:t>Parlamentu Europejskiego i Rady 2012/27/UE z dnia 25 października 2012 r. w sprawie efektywności energetycznej, zmiany dyrektyw 2009/125/WE i 2010/30/UE oraz uchylenia dyrektyw 2004/8/WE i</w:t>
      </w:r>
      <w:r w:rsidR="00A94359">
        <w:rPr>
          <w:rFonts w:cs="Times New Roman"/>
          <w:sz w:val="24"/>
          <w:szCs w:val="24"/>
        </w:rPr>
        <w:t xml:space="preserve"> </w:t>
      </w:r>
      <w:r w:rsidRPr="00A94359">
        <w:rPr>
          <w:rFonts w:cs="Times New Roman"/>
          <w:sz w:val="24"/>
          <w:szCs w:val="24"/>
        </w:rPr>
        <w:t>2006/32/WE (Dz. Urz. UE L 315 z 14. 11. 2012, str.</w:t>
      </w:r>
      <w:r w:rsidR="00A94359">
        <w:rPr>
          <w:rFonts w:cs="Times New Roman"/>
          <w:sz w:val="24"/>
          <w:szCs w:val="24"/>
        </w:rPr>
        <w:t> </w:t>
      </w:r>
      <w:r w:rsidRPr="00A94359">
        <w:rPr>
          <w:rFonts w:cs="Times New Roman"/>
          <w:sz w:val="24"/>
          <w:szCs w:val="24"/>
        </w:rPr>
        <w:t xml:space="preserve">1), zwaną dalej „dyrektywą 2012/27/UE”. </w:t>
      </w:r>
    </w:p>
    <w:p w:rsidR="002F0A99" w:rsidRPr="00A94359" w:rsidRDefault="002F0A99" w:rsidP="00A94359">
      <w:pPr>
        <w:pStyle w:val="Nagwek2"/>
        <w:spacing w:before="120" w:line="360" w:lineRule="auto"/>
        <w:ind w:left="0" w:firstLine="0"/>
        <w:rPr>
          <w:b w:val="0"/>
          <w:sz w:val="24"/>
          <w:szCs w:val="24"/>
        </w:rPr>
      </w:pPr>
      <w:r w:rsidRPr="00A94359">
        <w:rPr>
          <w:b w:val="0"/>
          <w:sz w:val="24"/>
          <w:szCs w:val="24"/>
        </w:rPr>
        <w:t>Projekt ustawy zastępuje ustawę z dnia 15 kwietnia 2011 r. o efektywności energetycznej</w:t>
      </w:r>
      <w:r w:rsidRPr="00A94359">
        <w:rPr>
          <w:b w:val="0"/>
          <w:i/>
          <w:sz w:val="24"/>
          <w:szCs w:val="24"/>
        </w:rPr>
        <w:t xml:space="preserve"> </w:t>
      </w:r>
      <w:r w:rsidRPr="00A94359">
        <w:rPr>
          <w:b w:val="0"/>
          <w:sz w:val="24"/>
          <w:szCs w:val="24"/>
        </w:rPr>
        <w:t>(Dz.</w:t>
      </w:r>
      <w:r w:rsidR="00A94359">
        <w:rPr>
          <w:b w:val="0"/>
          <w:sz w:val="24"/>
          <w:szCs w:val="24"/>
        </w:rPr>
        <w:t xml:space="preserve"> </w:t>
      </w:r>
      <w:r w:rsidRPr="00A94359">
        <w:rPr>
          <w:b w:val="0"/>
          <w:sz w:val="24"/>
          <w:szCs w:val="24"/>
        </w:rPr>
        <w:t>U.</w:t>
      </w:r>
      <w:r w:rsidR="00A94359">
        <w:rPr>
          <w:b w:val="0"/>
          <w:sz w:val="24"/>
          <w:szCs w:val="24"/>
        </w:rPr>
        <w:t xml:space="preserve"> </w:t>
      </w:r>
      <w:r w:rsidR="00CB6598" w:rsidRPr="00A94359">
        <w:rPr>
          <w:b w:val="0"/>
          <w:sz w:val="24"/>
          <w:szCs w:val="24"/>
        </w:rPr>
        <w:t xml:space="preserve">z 2015 r. </w:t>
      </w:r>
      <w:r w:rsidRPr="00A94359">
        <w:rPr>
          <w:b w:val="0"/>
          <w:sz w:val="24"/>
          <w:szCs w:val="24"/>
        </w:rPr>
        <w:t>poz</w:t>
      </w:r>
      <w:r w:rsidR="00CB6598" w:rsidRPr="00A94359">
        <w:rPr>
          <w:b w:val="0"/>
          <w:sz w:val="24"/>
          <w:szCs w:val="24"/>
        </w:rPr>
        <w:t>. 2167 i 2359</w:t>
      </w:r>
      <w:r w:rsidR="0084765A">
        <w:rPr>
          <w:b w:val="0"/>
          <w:sz w:val="24"/>
          <w:szCs w:val="24"/>
        </w:rPr>
        <w:t xml:space="preserve"> oraz z 2016 r. poz. 266</w:t>
      </w:r>
      <w:r w:rsidRPr="00A94359">
        <w:rPr>
          <w:b w:val="0"/>
          <w:sz w:val="24"/>
          <w:szCs w:val="24"/>
        </w:rPr>
        <w:t>), zwaną dalej „ustawą”.</w:t>
      </w:r>
    </w:p>
    <w:p w:rsidR="002F0A99" w:rsidRPr="00A94359" w:rsidRDefault="002F0A99" w:rsidP="00A94359">
      <w:pPr>
        <w:pStyle w:val="Nagwek2"/>
        <w:spacing w:before="120" w:line="360" w:lineRule="auto"/>
        <w:ind w:left="0" w:firstLine="0"/>
        <w:rPr>
          <w:b w:val="0"/>
          <w:sz w:val="24"/>
          <w:szCs w:val="24"/>
        </w:rPr>
      </w:pPr>
      <w:r w:rsidRPr="00A94359">
        <w:rPr>
          <w:b w:val="0"/>
          <w:sz w:val="24"/>
          <w:szCs w:val="24"/>
        </w:rPr>
        <w:t>Zgodnie z art. 48 ustawy – przepisy ustawy obowiązują do dnia 31 grudnia 201</w:t>
      </w:r>
      <w:r w:rsidR="00A70C2E" w:rsidRPr="00A94359">
        <w:rPr>
          <w:b w:val="0"/>
          <w:sz w:val="24"/>
          <w:szCs w:val="24"/>
        </w:rPr>
        <w:t>7</w:t>
      </w:r>
      <w:r w:rsidRPr="00A94359">
        <w:rPr>
          <w:b w:val="0"/>
          <w:sz w:val="24"/>
          <w:szCs w:val="24"/>
        </w:rPr>
        <w:t xml:space="preserve"> r., z</w:t>
      </w:r>
      <w:r w:rsidR="00A94359">
        <w:rPr>
          <w:b w:val="0"/>
          <w:sz w:val="24"/>
          <w:szCs w:val="24"/>
        </w:rPr>
        <w:t> </w:t>
      </w:r>
      <w:r w:rsidRPr="00A94359">
        <w:rPr>
          <w:b w:val="0"/>
          <w:sz w:val="24"/>
          <w:szCs w:val="24"/>
        </w:rPr>
        <w:t>wyjątkiem:</w:t>
      </w:r>
    </w:p>
    <w:p w:rsidR="002F0A99" w:rsidRPr="00A94359" w:rsidRDefault="00A94359" w:rsidP="00A94359">
      <w:pPr>
        <w:pStyle w:val="Nagwek2"/>
        <w:spacing w:line="360" w:lineRule="auto"/>
        <w:rPr>
          <w:b w:val="0"/>
          <w:sz w:val="24"/>
          <w:szCs w:val="24"/>
        </w:rPr>
      </w:pPr>
      <w:r>
        <w:rPr>
          <w:b w:val="0"/>
          <w:sz w:val="24"/>
          <w:szCs w:val="24"/>
        </w:rPr>
        <w:t>1)</w:t>
      </w:r>
      <w:r w:rsidR="002F0A99" w:rsidRPr="00A94359">
        <w:rPr>
          <w:b w:val="0"/>
          <w:sz w:val="24"/>
          <w:szCs w:val="24"/>
        </w:rPr>
        <w:tab/>
        <w:t>art. 24, któr</w:t>
      </w:r>
      <w:r w:rsidR="00CB6598" w:rsidRPr="00A94359">
        <w:rPr>
          <w:b w:val="0"/>
          <w:sz w:val="24"/>
          <w:szCs w:val="24"/>
        </w:rPr>
        <w:t>y</w:t>
      </w:r>
      <w:r w:rsidR="002F0A99" w:rsidRPr="00A94359">
        <w:rPr>
          <w:b w:val="0"/>
          <w:sz w:val="24"/>
          <w:szCs w:val="24"/>
        </w:rPr>
        <w:t xml:space="preserve"> obowiązuj</w:t>
      </w:r>
      <w:r w:rsidR="00CB6598" w:rsidRPr="00A94359">
        <w:rPr>
          <w:b w:val="0"/>
          <w:sz w:val="24"/>
          <w:szCs w:val="24"/>
        </w:rPr>
        <w:t>e</w:t>
      </w:r>
      <w:r w:rsidR="002F0A99" w:rsidRPr="00A94359">
        <w:rPr>
          <w:b w:val="0"/>
          <w:sz w:val="24"/>
          <w:szCs w:val="24"/>
        </w:rPr>
        <w:t xml:space="preserve"> do dnia 31 grudnia 201</w:t>
      </w:r>
      <w:r w:rsidR="00CB6598" w:rsidRPr="00A94359">
        <w:rPr>
          <w:b w:val="0"/>
          <w:sz w:val="24"/>
          <w:szCs w:val="24"/>
        </w:rPr>
        <w:t>6</w:t>
      </w:r>
      <w:r w:rsidR="002F0A99" w:rsidRPr="00A94359">
        <w:rPr>
          <w:b w:val="0"/>
          <w:sz w:val="24"/>
          <w:szCs w:val="24"/>
        </w:rPr>
        <w:t xml:space="preserve"> r.;</w:t>
      </w:r>
    </w:p>
    <w:p w:rsidR="002F0A99" w:rsidRPr="00A94359" w:rsidRDefault="00A94359" w:rsidP="00A94359">
      <w:pPr>
        <w:pStyle w:val="Nagwek2"/>
        <w:spacing w:line="360" w:lineRule="auto"/>
        <w:rPr>
          <w:b w:val="0"/>
          <w:sz w:val="24"/>
          <w:szCs w:val="24"/>
        </w:rPr>
      </w:pPr>
      <w:r>
        <w:rPr>
          <w:b w:val="0"/>
          <w:sz w:val="24"/>
          <w:szCs w:val="24"/>
        </w:rPr>
        <w:t>2)</w:t>
      </w:r>
      <w:r w:rsidR="002F0A99" w:rsidRPr="00A94359">
        <w:rPr>
          <w:b w:val="0"/>
          <w:sz w:val="24"/>
          <w:szCs w:val="24"/>
        </w:rPr>
        <w:tab/>
        <w:t>art. 12</w:t>
      </w:r>
      <w:r w:rsidR="00CB6598" w:rsidRPr="00A94359">
        <w:rPr>
          <w:b w:val="0"/>
          <w:sz w:val="24"/>
          <w:szCs w:val="24"/>
        </w:rPr>
        <w:t xml:space="preserve">, art. 13, art. </w:t>
      </w:r>
      <w:r w:rsidR="002F0A99" w:rsidRPr="00A94359">
        <w:rPr>
          <w:b w:val="0"/>
          <w:sz w:val="24"/>
          <w:szCs w:val="24"/>
        </w:rPr>
        <w:t>15,</w:t>
      </w:r>
      <w:r w:rsidR="00CB6598" w:rsidRPr="00A94359">
        <w:rPr>
          <w:b w:val="0"/>
          <w:sz w:val="24"/>
          <w:szCs w:val="24"/>
        </w:rPr>
        <w:t xml:space="preserve"> art. 16, art. 18</w:t>
      </w:r>
      <w:r w:rsidR="00014458">
        <w:rPr>
          <w:b w:val="0"/>
          <w:sz w:val="24"/>
          <w:szCs w:val="24"/>
        </w:rPr>
        <w:t>–</w:t>
      </w:r>
      <w:r w:rsidR="00CB6598" w:rsidRPr="00A94359">
        <w:rPr>
          <w:b w:val="0"/>
          <w:sz w:val="24"/>
          <w:szCs w:val="24"/>
        </w:rPr>
        <w:t xml:space="preserve">21, </w:t>
      </w:r>
      <w:r w:rsidR="002F0A99" w:rsidRPr="00A94359">
        <w:rPr>
          <w:b w:val="0"/>
          <w:sz w:val="24"/>
          <w:szCs w:val="24"/>
        </w:rPr>
        <w:t>art. 23 ust. 3</w:t>
      </w:r>
      <w:r w:rsidR="00014458">
        <w:rPr>
          <w:b w:val="0"/>
          <w:sz w:val="24"/>
          <w:szCs w:val="24"/>
        </w:rPr>
        <w:t>–</w:t>
      </w:r>
      <w:r w:rsidR="002F0A99" w:rsidRPr="00A94359">
        <w:rPr>
          <w:b w:val="0"/>
          <w:sz w:val="24"/>
          <w:szCs w:val="24"/>
        </w:rPr>
        <w:t>6, art. 26 i art. 27, które obowiązują do dnia 31 marca 201</w:t>
      </w:r>
      <w:r w:rsidR="00CB6598" w:rsidRPr="00A94359">
        <w:rPr>
          <w:b w:val="0"/>
          <w:sz w:val="24"/>
          <w:szCs w:val="24"/>
        </w:rPr>
        <w:t>7</w:t>
      </w:r>
      <w:r w:rsidR="002F0A99" w:rsidRPr="00A94359">
        <w:rPr>
          <w:b w:val="0"/>
          <w:sz w:val="24"/>
          <w:szCs w:val="24"/>
        </w:rPr>
        <w:t xml:space="preserve"> r.;</w:t>
      </w:r>
    </w:p>
    <w:p w:rsidR="002F0A99" w:rsidRPr="00A94359" w:rsidRDefault="00A94359" w:rsidP="00A94359">
      <w:pPr>
        <w:pStyle w:val="Nagwek2"/>
        <w:spacing w:line="360" w:lineRule="auto"/>
        <w:rPr>
          <w:b w:val="0"/>
          <w:sz w:val="24"/>
          <w:szCs w:val="24"/>
        </w:rPr>
      </w:pPr>
      <w:r>
        <w:rPr>
          <w:b w:val="0"/>
          <w:sz w:val="24"/>
          <w:szCs w:val="24"/>
        </w:rPr>
        <w:t>3)</w:t>
      </w:r>
      <w:r w:rsidR="002F0A99" w:rsidRPr="00A94359">
        <w:rPr>
          <w:b w:val="0"/>
          <w:sz w:val="24"/>
          <w:szCs w:val="24"/>
        </w:rPr>
        <w:tab/>
        <w:t>art. 25, który obowiązuje do dnia 1 kwietnia 201</w:t>
      </w:r>
      <w:r w:rsidR="00CB6598" w:rsidRPr="00A94359">
        <w:rPr>
          <w:b w:val="0"/>
          <w:sz w:val="24"/>
          <w:szCs w:val="24"/>
        </w:rPr>
        <w:t>7</w:t>
      </w:r>
      <w:r w:rsidR="002F0A99" w:rsidRPr="00A94359">
        <w:rPr>
          <w:b w:val="0"/>
          <w:sz w:val="24"/>
          <w:szCs w:val="24"/>
        </w:rPr>
        <w:t xml:space="preserve"> r. </w:t>
      </w:r>
    </w:p>
    <w:p w:rsidR="002F0A99" w:rsidRPr="00A94359" w:rsidRDefault="002F0A99" w:rsidP="00A94359">
      <w:pPr>
        <w:pStyle w:val="Nagwek2"/>
        <w:spacing w:before="120" w:line="360" w:lineRule="auto"/>
        <w:ind w:left="0" w:firstLine="0"/>
        <w:rPr>
          <w:b w:val="0"/>
          <w:sz w:val="24"/>
          <w:szCs w:val="24"/>
        </w:rPr>
      </w:pPr>
      <w:r w:rsidRPr="00A94359">
        <w:rPr>
          <w:b w:val="0"/>
          <w:sz w:val="24"/>
          <w:szCs w:val="24"/>
        </w:rPr>
        <w:t>W związku z wejściem w życie dyrektywy 2012/27/UE oraz ograniczonym w czasie obowiązywaniem ustawy, podjęto decyzję o opracowaniu projektu nowej ustawy o</w:t>
      </w:r>
      <w:r w:rsidR="00A94359">
        <w:rPr>
          <w:b w:val="0"/>
          <w:sz w:val="24"/>
          <w:szCs w:val="24"/>
        </w:rPr>
        <w:t> </w:t>
      </w:r>
      <w:r w:rsidRPr="00A94359">
        <w:rPr>
          <w:b w:val="0"/>
          <w:sz w:val="24"/>
          <w:szCs w:val="24"/>
        </w:rPr>
        <w:t>efektywności energetycznej.</w:t>
      </w:r>
    </w:p>
    <w:p w:rsidR="002F0A99" w:rsidRPr="00A94359" w:rsidRDefault="002F0A99" w:rsidP="00A94359">
      <w:pPr>
        <w:pStyle w:val="Nagwek2"/>
        <w:spacing w:before="120" w:line="360" w:lineRule="auto"/>
        <w:ind w:left="0" w:firstLine="0"/>
        <w:rPr>
          <w:b w:val="0"/>
          <w:sz w:val="24"/>
          <w:szCs w:val="24"/>
        </w:rPr>
      </w:pPr>
      <w:r w:rsidRPr="00A94359">
        <w:rPr>
          <w:b w:val="0"/>
          <w:sz w:val="24"/>
          <w:szCs w:val="24"/>
        </w:rPr>
        <w:t xml:space="preserve">Za koniecznością opracowania projektu ustawy przemawiała także </w:t>
      </w:r>
      <w:r w:rsidR="00014458">
        <w:rPr>
          <w:b w:val="0"/>
          <w:sz w:val="24"/>
          <w:szCs w:val="24"/>
        </w:rPr>
        <w:t>liczba</w:t>
      </w:r>
      <w:r w:rsidRPr="00A94359">
        <w:rPr>
          <w:b w:val="0"/>
          <w:sz w:val="24"/>
          <w:szCs w:val="24"/>
        </w:rPr>
        <w:t xml:space="preserve"> zmian, które należałoby wprowadzić</w:t>
      </w:r>
      <w:r w:rsidR="006A22CB">
        <w:rPr>
          <w:b w:val="0"/>
          <w:sz w:val="24"/>
          <w:szCs w:val="24"/>
        </w:rPr>
        <w:t>,</w:t>
      </w:r>
      <w:r w:rsidRPr="00A94359">
        <w:rPr>
          <w:b w:val="0"/>
          <w:sz w:val="24"/>
          <w:szCs w:val="24"/>
        </w:rPr>
        <w:t xml:space="preserve"> wdrażając dyrektywę 2012/27/UE. Z analizy przepisów dyrektywy 2012/27/UE wynikało, że zagadnienia w niej zawarte wymuszają istotną zmianę w</w:t>
      </w:r>
      <w:r w:rsidR="00A94359">
        <w:rPr>
          <w:b w:val="0"/>
          <w:sz w:val="24"/>
          <w:szCs w:val="24"/>
        </w:rPr>
        <w:t xml:space="preserve"> </w:t>
      </w:r>
      <w:r w:rsidRPr="00A94359">
        <w:rPr>
          <w:b w:val="0"/>
          <w:sz w:val="24"/>
          <w:szCs w:val="24"/>
        </w:rPr>
        <w:t>obowiązującym systemie świadectw efektywności energetycznej.</w:t>
      </w:r>
    </w:p>
    <w:p w:rsidR="002F0A99" w:rsidRPr="00A94359" w:rsidRDefault="002F0A99" w:rsidP="00A94359">
      <w:pPr>
        <w:pStyle w:val="Nagwek2"/>
        <w:spacing w:before="120" w:line="360" w:lineRule="auto"/>
        <w:ind w:left="0" w:firstLine="0"/>
        <w:rPr>
          <w:b w:val="0"/>
          <w:sz w:val="24"/>
          <w:szCs w:val="24"/>
        </w:rPr>
      </w:pPr>
      <w:r w:rsidRPr="00A94359">
        <w:rPr>
          <w:b w:val="0"/>
          <w:sz w:val="24"/>
          <w:szCs w:val="24"/>
        </w:rPr>
        <w:t>W tym miejscu należy wskazać, że Polska osiągnęła istotny postęp w realizacji krajowego celu w zakresie oszczędnego gospodarowania energią, tj. uzyskania w</w:t>
      </w:r>
      <w:r w:rsidR="00A94359">
        <w:rPr>
          <w:b w:val="0"/>
          <w:sz w:val="24"/>
          <w:szCs w:val="24"/>
        </w:rPr>
        <w:t> </w:t>
      </w:r>
      <w:r w:rsidRPr="00A94359">
        <w:rPr>
          <w:b w:val="0"/>
          <w:sz w:val="24"/>
          <w:szCs w:val="24"/>
        </w:rPr>
        <w:t>2016</w:t>
      </w:r>
      <w:r w:rsidR="00A94359">
        <w:rPr>
          <w:b w:val="0"/>
          <w:sz w:val="24"/>
          <w:szCs w:val="24"/>
        </w:rPr>
        <w:t> </w:t>
      </w:r>
      <w:r w:rsidRPr="00A94359">
        <w:rPr>
          <w:b w:val="0"/>
          <w:sz w:val="24"/>
          <w:szCs w:val="24"/>
        </w:rPr>
        <w:t>r. oszczędności energii finalnej w ilości nie mniejszej niż 9% średniego krajowego zużycia tej energii z lat 2001</w:t>
      </w:r>
      <w:r w:rsidR="00014458">
        <w:rPr>
          <w:b w:val="0"/>
          <w:sz w:val="24"/>
          <w:szCs w:val="24"/>
        </w:rPr>
        <w:t>–</w:t>
      </w:r>
      <w:r w:rsidRPr="00A94359">
        <w:rPr>
          <w:b w:val="0"/>
          <w:sz w:val="24"/>
          <w:szCs w:val="24"/>
        </w:rPr>
        <w:t>2005. Efektem wzrostu PKB, szybszego od tempa zużycia energii, jest zaobserwowana malejąca energochłonność pierwotna i</w:t>
      </w:r>
      <w:r w:rsidR="00A94359">
        <w:rPr>
          <w:b w:val="0"/>
          <w:sz w:val="24"/>
          <w:szCs w:val="24"/>
        </w:rPr>
        <w:t> </w:t>
      </w:r>
      <w:r w:rsidRPr="00A94359">
        <w:rPr>
          <w:b w:val="0"/>
          <w:sz w:val="24"/>
          <w:szCs w:val="24"/>
        </w:rPr>
        <w:t xml:space="preserve">finalna PKB. </w:t>
      </w:r>
    </w:p>
    <w:p w:rsidR="002F0A99" w:rsidRPr="00A94359" w:rsidRDefault="002F0A99" w:rsidP="00A94359">
      <w:pPr>
        <w:pStyle w:val="Nagwek2"/>
        <w:spacing w:before="120" w:line="360" w:lineRule="auto"/>
        <w:ind w:left="0" w:firstLine="0"/>
        <w:rPr>
          <w:b w:val="0"/>
          <w:sz w:val="24"/>
          <w:szCs w:val="24"/>
        </w:rPr>
      </w:pPr>
      <w:r w:rsidRPr="00A94359">
        <w:rPr>
          <w:b w:val="0"/>
          <w:sz w:val="24"/>
          <w:szCs w:val="24"/>
        </w:rPr>
        <w:lastRenderedPageBreak/>
        <w:t>Dystans Polski do średniej europejskiej w zakresie najważniejszych wskaźników efektywności energetycznej obniżył się do kilkunastu procent, jednak w stosunku do najefektywniejszych gospodarek ciągle pozostaje znaczący. Bardzo ważnymi instrumentami finansowymi wspierającymi realizację inwestycji energooszczędnych są programy finansowane ze środków krajowych, wdrażane przez Narodowy Fundusz Ochrony Środowiska i Gospodarki Wodnej (NFOŚiGW) oraz środki zagraniczne niepodlegające zwrotowi, w</w:t>
      </w:r>
      <w:r w:rsidR="00A94359">
        <w:rPr>
          <w:b w:val="0"/>
          <w:sz w:val="24"/>
          <w:szCs w:val="24"/>
        </w:rPr>
        <w:t xml:space="preserve"> </w:t>
      </w:r>
      <w:r w:rsidRPr="00A94359">
        <w:rPr>
          <w:b w:val="0"/>
          <w:sz w:val="24"/>
          <w:szCs w:val="24"/>
        </w:rPr>
        <w:t xml:space="preserve">szczególności fundusze Unii Europejskiej na lata </w:t>
      </w:r>
      <w:r w:rsidR="00A94359">
        <w:rPr>
          <w:b w:val="0"/>
          <w:sz w:val="24"/>
          <w:szCs w:val="24"/>
        </w:rPr>
        <w:br/>
      </w:r>
      <w:r w:rsidRPr="00A94359">
        <w:rPr>
          <w:b w:val="0"/>
          <w:sz w:val="24"/>
          <w:szCs w:val="24"/>
        </w:rPr>
        <w:t>2007</w:t>
      </w:r>
      <w:r w:rsidR="00A94359">
        <w:rPr>
          <w:b w:val="0"/>
          <w:sz w:val="24"/>
          <w:szCs w:val="24"/>
        </w:rPr>
        <w:t>–</w:t>
      </w:r>
      <w:r w:rsidRPr="00A94359">
        <w:rPr>
          <w:b w:val="0"/>
          <w:sz w:val="24"/>
          <w:szCs w:val="24"/>
        </w:rPr>
        <w:t xml:space="preserve">2013 oraz </w:t>
      </w:r>
      <w:r w:rsidR="00A94359">
        <w:rPr>
          <w:b w:val="0"/>
          <w:sz w:val="24"/>
          <w:szCs w:val="24"/>
        </w:rPr>
        <w:t>2014–</w:t>
      </w:r>
      <w:r w:rsidRPr="00A94359">
        <w:rPr>
          <w:b w:val="0"/>
          <w:sz w:val="24"/>
          <w:szCs w:val="24"/>
        </w:rPr>
        <w:t>2020 (w</w:t>
      </w:r>
      <w:r w:rsidR="00A94359">
        <w:rPr>
          <w:b w:val="0"/>
          <w:sz w:val="24"/>
          <w:szCs w:val="24"/>
        </w:rPr>
        <w:t xml:space="preserve"> </w:t>
      </w:r>
      <w:r w:rsidRPr="00A94359">
        <w:rPr>
          <w:b w:val="0"/>
          <w:sz w:val="24"/>
          <w:szCs w:val="24"/>
        </w:rPr>
        <w:t>tym środki z</w:t>
      </w:r>
      <w:r w:rsidR="00A94359">
        <w:rPr>
          <w:b w:val="0"/>
          <w:sz w:val="24"/>
          <w:szCs w:val="24"/>
        </w:rPr>
        <w:t xml:space="preserve"> </w:t>
      </w:r>
      <w:r w:rsidRPr="00A94359">
        <w:rPr>
          <w:b w:val="0"/>
          <w:sz w:val="24"/>
          <w:szCs w:val="24"/>
        </w:rPr>
        <w:t>Funduszu Spójności Unii Europejskiej w</w:t>
      </w:r>
      <w:r w:rsidR="00A94359">
        <w:rPr>
          <w:b w:val="0"/>
          <w:sz w:val="24"/>
          <w:szCs w:val="24"/>
        </w:rPr>
        <w:t> </w:t>
      </w:r>
      <w:r w:rsidRPr="00A94359">
        <w:rPr>
          <w:b w:val="0"/>
          <w:sz w:val="24"/>
          <w:szCs w:val="24"/>
        </w:rPr>
        <w:t>ramach Programu Operacyjnego Infrastruktura i Środowisko).</w:t>
      </w:r>
    </w:p>
    <w:p w:rsidR="002F0A99" w:rsidRPr="00A94359" w:rsidRDefault="002F0A99" w:rsidP="00A94359">
      <w:pPr>
        <w:pStyle w:val="Nagwek2"/>
        <w:spacing w:before="120" w:line="360" w:lineRule="auto"/>
        <w:ind w:left="0" w:firstLine="0"/>
        <w:rPr>
          <w:b w:val="0"/>
          <w:sz w:val="24"/>
          <w:szCs w:val="24"/>
        </w:rPr>
      </w:pPr>
      <w:r w:rsidRPr="00A94359">
        <w:rPr>
          <w:b w:val="0"/>
          <w:sz w:val="24"/>
          <w:szCs w:val="24"/>
        </w:rPr>
        <w:t>Od 2010 r. jest realizowana „Polityka energetyczna Polski do 2030 roku.”. Dokument ten, opracowany na podstawie ustawy z dnia 10 kwietnia 1997 r. – Prawo energetyczne (Dz. U. z</w:t>
      </w:r>
      <w:r w:rsidR="00A94359">
        <w:rPr>
          <w:b w:val="0"/>
          <w:sz w:val="24"/>
          <w:szCs w:val="24"/>
        </w:rPr>
        <w:t xml:space="preserve"> </w:t>
      </w:r>
      <w:r w:rsidRPr="00A94359">
        <w:rPr>
          <w:b w:val="0"/>
          <w:sz w:val="24"/>
          <w:szCs w:val="24"/>
        </w:rPr>
        <w:t>2012 r. poz. 1059, z późn. zm.</w:t>
      </w:r>
      <w:r w:rsidRPr="00A94359">
        <w:rPr>
          <w:rStyle w:val="Odwoanieprzypisudolnego"/>
          <w:b w:val="0"/>
          <w:sz w:val="24"/>
          <w:szCs w:val="24"/>
        </w:rPr>
        <w:footnoteReference w:id="1"/>
      </w:r>
      <w:r w:rsidRPr="00A94359">
        <w:rPr>
          <w:b w:val="0"/>
          <w:sz w:val="24"/>
          <w:szCs w:val="24"/>
          <w:vertAlign w:val="superscript"/>
        </w:rPr>
        <w:t>)</w:t>
      </w:r>
      <w:r w:rsidRPr="00A94359">
        <w:rPr>
          <w:b w:val="0"/>
          <w:sz w:val="24"/>
          <w:szCs w:val="24"/>
        </w:rPr>
        <w:t>)</w:t>
      </w:r>
      <w:r w:rsidR="00014458">
        <w:rPr>
          <w:b w:val="0"/>
          <w:sz w:val="24"/>
          <w:szCs w:val="24"/>
        </w:rPr>
        <w:t>,</w:t>
      </w:r>
      <w:r w:rsidRPr="00A94359">
        <w:rPr>
          <w:b w:val="0"/>
          <w:sz w:val="24"/>
          <w:szCs w:val="24"/>
        </w:rPr>
        <w:t xml:space="preserve"> odpowiada na najważniejsze wyzwania </w:t>
      </w:r>
      <w:r w:rsidR="00014458">
        <w:rPr>
          <w:b w:val="0"/>
          <w:sz w:val="24"/>
          <w:szCs w:val="24"/>
        </w:rPr>
        <w:t>stojące przed polską energetyką</w:t>
      </w:r>
      <w:r w:rsidRPr="00A94359">
        <w:rPr>
          <w:b w:val="0"/>
          <w:sz w:val="24"/>
          <w:szCs w:val="24"/>
        </w:rPr>
        <w:t xml:space="preserve"> zarówno w perspektywie krótkoterminowej</w:t>
      </w:r>
      <w:r w:rsidR="00014458">
        <w:rPr>
          <w:b w:val="0"/>
          <w:sz w:val="24"/>
          <w:szCs w:val="24"/>
        </w:rPr>
        <w:t>,</w:t>
      </w:r>
      <w:r w:rsidRPr="00A94359">
        <w:rPr>
          <w:b w:val="0"/>
          <w:sz w:val="24"/>
          <w:szCs w:val="24"/>
        </w:rPr>
        <w:t xml:space="preserve"> jak i</w:t>
      </w:r>
      <w:r w:rsidR="00A94359">
        <w:rPr>
          <w:b w:val="0"/>
          <w:sz w:val="24"/>
          <w:szCs w:val="24"/>
        </w:rPr>
        <w:t xml:space="preserve"> </w:t>
      </w:r>
      <w:r w:rsidRPr="00A94359">
        <w:rPr>
          <w:b w:val="0"/>
          <w:sz w:val="24"/>
          <w:szCs w:val="24"/>
        </w:rPr>
        <w:t xml:space="preserve">do 2030 r. W wyniku wdrażania działań przewidzianych w tym dokumencie, nastąpiła znacząca poprawa efektywności energetycznej, a dzięki temu zwiększenie bezpieczeństwa energetycznego państwa. Stymulowanie inwestycji w nowoczesne, energooszczędne technologie oraz produkty przyczynia się do wzrostu innowacyjności polskiej gospodarki. </w:t>
      </w:r>
    </w:p>
    <w:p w:rsidR="002F0A99" w:rsidRPr="00A94359" w:rsidRDefault="002F0A99" w:rsidP="00A94359">
      <w:pPr>
        <w:pStyle w:val="Nagwek2"/>
        <w:spacing w:before="120" w:line="360" w:lineRule="auto"/>
        <w:ind w:left="0" w:firstLine="0"/>
        <w:rPr>
          <w:b w:val="0"/>
          <w:sz w:val="24"/>
          <w:szCs w:val="24"/>
        </w:rPr>
      </w:pPr>
      <w:r w:rsidRPr="00A94359">
        <w:rPr>
          <w:b w:val="0"/>
          <w:sz w:val="24"/>
          <w:szCs w:val="24"/>
        </w:rPr>
        <w:t>Podjęte działania w zakresie oszczędności energii mają też istotny wpływ na poprawę efektywności ekonomicznej polskiej gospodarki oraz jej konkurencyjność.</w:t>
      </w:r>
    </w:p>
    <w:p w:rsidR="002F0A99" w:rsidRPr="00A94359" w:rsidRDefault="002F0A99" w:rsidP="00A94359">
      <w:pPr>
        <w:pStyle w:val="Nagwek2"/>
        <w:spacing w:before="120" w:line="360" w:lineRule="auto"/>
        <w:ind w:left="0" w:firstLine="0"/>
        <w:rPr>
          <w:b w:val="0"/>
          <w:sz w:val="24"/>
          <w:szCs w:val="24"/>
        </w:rPr>
      </w:pPr>
      <w:r w:rsidRPr="00A94359">
        <w:rPr>
          <w:b w:val="0"/>
          <w:sz w:val="24"/>
          <w:szCs w:val="24"/>
        </w:rPr>
        <w:t>Celem projektu ustawy jest ustanowienie ram prawnych dla działań na rzecz poprawy efektywności energetycznej gospodarki zakreślonych przez dyrektywę 2006/32/WE Parlamentu Europejskiego i Rady z dnia 5 kwietnia 2006 r. w sprawie efektywności końcowego wykorzystania energii i usług energetycznych oraz uchylającą dyrektywę Rady 93/76/EWG (Dz. Urz. UE L 114 z 27.04.2006, str. 64) oraz stworzenie podstaw w</w:t>
      </w:r>
      <w:r w:rsidR="00A94359">
        <w:rPr>
          <w:b w:val="0"/>
          <w:sz w:val="24"/>
          <w:szCs w:val="24"/>
        </w:rPr>
        <w:t> </w:t>
      </w:r>
      <w:r w:rsidRPr="00A94359">
        <w:rPr>
          <w:b w:val="0"/>
          <w:sz w:val="24"/>
          <w:szCs w:val="24"/>
        </w:rPr>
        <w:t>krajowym porządku prawnym dla nowych rozwiązań przewidzianych w dyrektywie 2012/27/UE.</w:t>
      </w:r>
    </w:p>
    <w:p w:rsidR="002F0A99" w:rsidRPr="00A94359" w:rsidRDefault="002F0A99" w:rsidP="00A94359">
      <w:pPr>
        <w:pStyle w:val="Nagwek2"/>
        <w:spacing w:before="120" w:line="360" w:lineRule="auto"/>
        <w:ind w:left="0" w:firstLine="426"/>
        <w:rPr>
          <w:b w:val="0"/>
          <w:sz w:val="24"/>
          <w:szCs w:val="24"/>
        </w:rPr>
      </w:pPr>
      <w:r w:rsidRPr="00A94359">
        <w:rPr>
          <w:b w:val="0"/>
          <w:sz w:val="24"/>
          <w:szCs w:val="24"/>
        </w:rPr>
        <w:t xml:space="preserve">Dyrektywa 2012/27/UE zastępuje od dnia 5 czerwca 2014 r. dwie, dotychczas obowiązujące dyrektywy: </w:t>
      </w:r>
    </w:p>
    <w:p w:rsidR="002F0A99" w:rsidRPr="00A94359" w:rsidRDefault="002F0A99" w:rsidP="00A94359">
      <w:pPr>
        <w:spacing w:line="360" w:lineRule="auto"/>
        <w:ind w:left="567" w:hanging="567"/>
        <w:jc w:val="both"/>
      </w:pPr>
      <w:r w:rsidRPr="00A94359">
        <w:lastRenderedPageBreak/>
        <w:t>1)</w:t>
      </w:r>
      <w:r w:rsidRPr="00A94359">
        <w:tab/>
        <w:t xml:space="preserve">dyrektywę 2004/8/WE </w:t>
      </w:r>
      <w:r w:rsidRPr="00A94359">
        <w:tab/>
        <w:t>Parlamentu Europejskiego i Rady z dnia 11 lutego 2004 r. w</w:t>
      </w:r>
      <w:r w:rsidR="00A94359">
        <w:t xml:space="preserve"> </w:t>
      </w:r>
      <w:r w:rsidRPr="00A94359">
        <w:t>sprawie promowania kogeneracji w oparciu o zapotrzebowanie na ciepło użytkowe na rynku wewnętrznym energii oraz zmieniającej dyrektywę 92/42/EWG oraz</w:t>
      </w:r>
    </w:p>
    <w:p w:rsidR="002F0A99" w:rsidRPr="00A94359" w:rsidRDefault="002F0A99" w:rsidP="00A94359">
      <w:pPr>
        <w:pStyle w:val="Nagwek2"/>
        <w:spacing w:line="360" w:lineRule="auto"/>
        <w:ind w:left="567" w:hanging="567"/>
        <w:rPr>
          <w:b w:val="0"/>
          <w:sz w:val="24"/>
          <w:szCs w:val="24"/>
        </w:rPr>
      </w:pPr>
      <w:r w:rsidRPr="00A94359">
        <w:rPr>
          <w:b w:val="0"/>
          <w:sz w:val="24"/>
          <w:szCs w:val="24"/>
        </w:rPr>
        <w:t xml:space="preserve">2) </w:t>
      </w:r>
      <w:r w:rsidRPr="00A94359">
        <w:rPr>
          <w:b w:val="0"/>
          <w:sz w:val="24"/>
          <w:szCs w:val="24"/>
        </w:rPr>
        <w:tab/>
        <w:t>dyrektywę 2006/32/WE Parlamentu Europejskiego i Rady z dnia 5 kwietnia 2006</w:t>
      </w:r>
      <w:r w:rsidR="00A94359">
        <w:rPr>
          <w:b w:val="0"/>
          <w:sz w:val="24"/>
          <w:szCs w:val="24"/>
        </w:rPr>
        <w:t> </w:t>
      </w:r>
      <w:r w:rsidRPr="00A94359">
        <w:rPr>
          <w:b w:val="0"/>
          <w:sz w:val="24"/>
          <w:szCs w:val="24"/>
        </w:rPr>
        <w:t>r. w</w:t>
      </w:r>
      <w:r w:rsidR="00A94359">
        <w:rPr>
          <w:b w:val="0"/>
          <w:sz w:val="24"/>
          <w:szCs w:val="24"/>
        </w:rPr>
        <w:t xml:space="preserve"> </w:t>
      </w:r>
      <w:r w:rsidRPr="00A94359">
        <w:rPr>
          <w:b w:val="0"/>
          <w:sz w:val="24"/>
          <w:szCs w:val="24"/>
        </w:rPr>
        <w:t>sprawie efektywności końcowego wykorzystania energii i usług energetycznych oraz uchylającą dyrektywę Rady 93/76/EWG.</w:t>
      </w:r>
    </w:p>
    <w:p w:rsidR="002F0A99" w:rsidRPr="00A94359" w:rsidRDefault="002F0A99" w:rsidP="00A94359">
      <w:pPr>
        <w:pStyle w:val="Nagwek2"/>
        <w:spacing w:before="120" w:line="360" w:lineRule="auto"/>
        <w:rPr>
          <w:b w:val="0"/>
          <w:sz w:val="24"/>
          <w:szCs w:val="24"/>
        </w:rPr>
      </w:pPr>
      <w:r w:rsidRPr="00A94359">
        <w:rPr>
          <w:b w:val="0"/>
          <w:sz w:val="24"/>
          <w:szCs w:val="24"/>
        </w:rPr>
        <w:t>Projekt ustawy przewiduje działania dotyczące zwiększenia oszczędności energii:</w:t>
      </w:r>
    </w:p>
    <w:p w:rsidR="002F0A99" w:rsidRPr="00A94359" w:rsidRDefault="002F0A99" w:rsidP="00A94359">
      <w:pPr>
        <w:pStyle w:val="Nagwek2"/>
        <w:tabs>
          <w:tab w:val="clear" w:pos="4536"/>
          <w:tab w:val="left" w:pos="567"/>
        </w:tabs>
        <w:spacing w:line="360" w:lineRule="auto"/>
        <w:ind w:left="0" w:firstLine="0"/>
        <w:rPr>
          <w:b w:val="0"/>
          <w:sz w:val="24"/>
          <w:szCs w:val="24"/>
        </w:rPr>
      </w:pPr>
      <w:r w:rsidRPr="00A94359">
        <w:rPr>
          <w:b w:val="0"/>
          <w:sz w:val="24"/>
          <w:szCs w:val="24"/>
        </w:rPr>
        <w:t>1)</w:t>
      </w:r>
      <w:r w:rsidRPr="00A94359">
        <w:rPr>
          <w:b w:val="0"/>
          <w:sz w:val="24"/>
          <w:szCs w:val="24"/>
        </w:rPr>
        <w:tab/>
        <w:t>przez odbiorców końcowych;</w:t>
      </w:r>
    </w:p>
    <w:p w:rsidR="002F0A99" w:rsidRPr="00A94359" w:rsidRDefault="00A94359" w:rsidP="00A94359">
      <w:pPr>
        <w:pStyle w:val="Nagwek2"/>
        <w:tabs>
          <w:tab w:val="clear" w:pos="4536"/>
          <w:tab w:val="left" w:pos="567"/>
        </w:tabs>
        <w:spacing w:line="360" w:lineRule="auto"/>
        <w:ind w:left="0" w:firstLine="0"/>
        <w:rPr>
          <w:b w:val="0"/>
          <w:sz w:val="24"/>
          <w:szCs w:val="24"/>
        </w:rPr>
      </w:pPr>
      <w:r>
        <w:rPr>
          <w:b w:val="0"/>
          <w:sz w:val="24"/>
          <w:szCs w:val="24"/>
        </w:rPr>
        <w:t>2)</w:t>
      </w:r>
      <w:r w:rsidR="002F0A99" w:rsidRPr="00A94359">
        <w:rPr>
          <w:b w:val="0"/>
          <w:sz w:val="24"/>
          <w:szCs w:val="24"/>
        </w:rPr>
        <w:tab/>
        <w:t>w</w:t>
      </w:r>
      <w:r>
        <w:rPr>
          <w:b w:val="0"/>
          <w:sz w:val="24"/>
          <w:szCs w:val="24"/>
        </w:rPr>
        <w:t xml:space="preserve"> </w:t>
      </w:r>
      <w:r w:rsidR="002F0A99" w:rsidRPr="00A94359">
        <w:rPr>
          <w:b w:val="0"/>
          <w:sz w:val="24"/>
          <w:szCs w:val="24"/>
        </w:rPr>
        <w:t>zakresie wytwarzania oraz</w:t>
      </w:r>
    </w:p>
    <w:p w:rsidR="002F0A99" w:rsidRPr="00A94359" w:rsidRDefault="002F0A99" w:rsidP="00A94359">
      <w:pPr>
        <w:pStyle w:val="Nagwek2"/>
        <w:tabs>
          <w:tab w:val="clear" w:pos="4536"/>
          <w:tab w:val="center" w:pos="567"/>
        </w:tabs>
        <w:spacing w:line="360" w:lineRule="auto"/>
        <w:jc w:val="left"/>
        <w:rPr>
          <w:b w:val="0"/>
          <w:sz w:val="24"/>
          <w:szCs w:val="24"/>
        </w:rPr>
      </w:pPr>
      <w:r w:rsidRPr="00A94359">
        <w:rPr>
          <w:b w:val="0"/>
          <w:sz w:val="24"/>
          <w:szCs w:val="24"/>
        </w:rPr>
        <w:t>3)</w:t>
      </w:r>
      <w:r w:rsidRPr="00A94359">
        <w:rPr>
          <w:b w:val="0"/>
          <w:sz w:val="24"/>
          <w:szCs w:val="24"/>
        </w:rPr>
        <w:tab/>
        <w:t>w przesyłaniu i</w:t>
      </w:r>
      <w:r w:rsidR="00A94359">
        <w:rPr>
          <w:b w:val="0"/>
          <w:sz w:val="24"/>
          <w:szCs w:val="24"/>
        </w:rPr>
        <w:t xml:space="preserve"> </w:t>
      </w:r>
      <w:r w:rsidRPr="00A94359">
        <w:rPr>
          <w:b w:val="0"/>
          <w:sz w:val="24"/>
          <w:szCs w:val="24"/>
        </w:rPr>
        <w:t>dystrybucji.</w:t>
      </w:r>
    </w:p>
    <w:p w:rsidR="002F0A99" w:rsidRPr="00A94359" w:rsidRDefault="002F0A99" w:rsidP="00A94359">
      <w:pPr>
        <w:pStyle w:val="Nagwek2"/>
        <w:spacing w:before="120" w:line="360" w:lineRule="auto"/>
        <w:ind w:left="0" w:firstLine="0"/>
        <w:rPr>
          <w:b w:val="0"/>
          <w:sz w:val="24"/>
          <w:szCs w:val="24"/>
        </w:rPr>
      </w:pPr>
      <w:r w:rsidRPr="00A94359">
        <w:rPr>
          <w:b w:val="0"/>
          <w:sz w:val="24"/>
          <w:szCs w:val="24"/>
        </w:rPr>
        <w:t>Jedynie kompleksowy mechanizm wsparcia dla działań mających na celu poprawę efektywności energetycznej gospodarki może doprowadzić do ograniczenia szkodliwego oddziaływania sektora energetycznego na środowisko oraz przyczynić się do poprawy bezpieczeństwa energetycznego kraju.</w:t>
      </w:r>
    </w:p>
    <w:p w:rsidR="002F0A99" w:rsidRPr="00A94359" w:rsidRDefault="002F0A99" w:rsidP="00A94359">
      <w:pPr>
        <w:pStyle w:val="Nagwek2"/>
        <w:spacing w:before="120" w:line="360" w:lineRule="auto"/>
        <w:rPr>
          <w:b w:val="0"/>
          <w:sz w:val="24"/>
          <w:szCs w:val="24"/>
        </w:rPr>
      </w:pPr>
      <w:r w:rsidRPr="00A94359">
        <w:rPr>
          <w:b w:val="0"/>
          <w:sz w:val="24"/>
          <w:szCs w:val="24"/>
        </w:rPr>
        <w:t xml:space="preserve">Projektowana ustawa w stosunku do materii uregulowanej w obowiązującej ustawie: </w:t>
      </w:r>
    </w:p>
    <w:p w:rsidR="002F0A99" w:rsidRPr="00A94359" w:rsidRDefault="002F0A99" w:rsidP="00A94359">
      <w:pPr>
        <w:pStyle w:val="Nagwek2"/>
        <w:spacing w:line="360" w:lineRule="auto"/>
        <w:ind w:left="284" w:hanging="284"/>
        <w:rPr>
          <w:b w:val="0"/>
          <w:sz w:val="24"/>
          <w:szCs w:val="24"/>
        </w:rPr>
      </w:pPr>
      <w:r w:rsidRPr="00A94359">
        <w:rPr>
          <w:b w:val="0"/>
          <w:sz w:val="24"/>
          <w:szCs w:val="24"/>
        </w:rPr>
        <w:t>1)</w:t>
      </w:r>
      <w:r w:rsidRPr="00A94359">
        <w:rPr>
          <w:b w:val="0"/>
          <w:sz w:val="24"/>
          <w:szCs w:val="24"/>
        </w:rPr>
        <w:tab/>
        <w:t>zobowiązuje określone podmioty do:</w:t>
      </w:r>
    </w:p>
    <w:p w:rsidR="002F0A99" w:rsidRPr="00A94359" w:rsidRDefault="002F0A99" w:rsidP="00A94359">
      <w:pPr>
        <w:pStyle w:val="PKTpunkt"/>
        <w:ind w:left="767" w:hanging="483"/>
        <w:rPr>
          <w:rFonts w:ascii="Times New Roman" w:hAnsi="Times New Roman" w:cs="Times New Roman"/>
          <w:b/>
          <w:szCs w:val="24"/>
        </w:rPr>
      </w:pPr>
      <w:r w:rsidRPr="00A94359">
        <w:rPr>
          <w:rFonts w:ascii="Times New Roman" w:hAnsi="Times New Roman" w:cs="Times New Roman"/>
          <w:szCs w:val="24"/>
        </w:rPr>
        <w:t>a)</w:t>
      </w:r>
      <w:r w:rsidR="00A94359">
        <w:rPr>
          <w:rFonts w:ascii="Times New Roman" w:hAnsi="Times New Roman" w:cs="Times New Roman"/>
          <w:szCs w:val="24"/>
        </w:rPr>
        <w:tab/>
      </w:r>
      <w:r w:rsidRPr="00A94359">
        <w:rPr>
          <w:rFonts w:ascii="Times New Roman" w:hAnsi="Times New Roman" w:cs="Times New Roman"/>
          <w:szCs w:val="24"/>
        </w:rPr>
        <w:t>realizacji przedsięwzięcia służącego poprawie efektywności energetycznej u</w:t>
      </w:r>
      <w:r w:rsidR="00A94359">
        <w:rPr>
          <w:rFonts w:ascii="Times New Roman" w:hAnsi="Times New Roman" w:cs="Times New Roman"/>
          <w:szCs w:val="24"/>
        </w:rPr>
        <w:t> </w:t>
      </w:r>
      <w:r w:rsidRPr="00A94359">
        <w:rPr>
          <w:rFonts w:ascii="Times New Roman" w:hAnsi="Times New Roman" w:cs="Times New Roman"/>
          <w:szCs w:val="24"/>
        </w:rPr>
        <w:t xml:space="preserve">odbiorcy końcowego, potwierdzonego audytem efektywności energetycznej, lub </w:t>
      </w:r>
    </w:p>
    <w:p w:rsidR="002F0A99" w:rsidRPr="00A94359" w:rsidRDefault="002F0A99" w:rsidP="00A94359">
      <w:pPr>
        <w:pStyle w:val="Nagwek2"/>
        <w:tabs>
          <w:tab w:val="left" w:pos="142"/>
          <w:tab w:val="left" w:pos="709"/>
        </w:tabs>
        <w:spacing w:line="360" w:lineRule="auto"/>
        <w:ind w:left="767" w:hanging="426"/>
        <w:rPr>
          <w:sz w:val="24"/>
          <w:szCs w:val="24"/>
        </w:rPr>
      </w:pPr>
      <w:r w:rsidRPr="00A94359">
        <w:rPr>
          <w:b w:val="0"/>
          <w:sz w:val="24"/>
          <w:szCs w:val="24"/>
        </w:rPr>
        <w:t>b)</w:t>
      </w:r>
      <w:r w:rsidR="00A94359">
        <w:rPr>
          <w:b w:val="0"/>
          <w:sz w:val="24"/>
          <w:szCs w:val="24"/>
        </w:rPr>
        <w:tab/>
      </w:r>
      <w:r w:rsidRPr="00A94359">
        <w:rPr>
          <w:b w:val="0"/>
          <w:sz w:val="24"/>
          <w:szCs w:val="24"/>
        </w:rPr>
        <w:t>uzyskania i przedstawienia do umorzenia Prezesowi Urzędu Regulacji Energetyki świadectwa efektywno</w:t>
      </w:r>
      <w:r w:rsidR="00014458">
        <w:rPr>
          <w:b w:val="0"/>
          <w:sz w:val="24"/>
          <w:szCs w:val="24"/>
        </w:rPr>
        <w:t>ści energetycznej;</w:t>
      </w:r>
      <w:r w:rsidR="00A94359">
        <w:rPr>
          <w:b w:val="0"/>
          <w:sz w:val="24"/>
          <w:szCs w:val="24"/>
        </w:rPr>
        <w:t xml:space="preserve"> </w:t>
      </w:r>
    </w:p>
    <w:p w:rsidR="002F0A99" w:rsidRPr="00A94359" w:rsidRDefault="002F0A99" w:rsidP="00A94359">
      <w:pPr>
        <w:pStyle w:val="Nagwek2"/>
        <w:tabs>
          <w:tab w:val="clear" w:pos="4536"/>
          <w:tab w:val="center" w:pos="567"/>
        </w:tabs>
        <w:spacing w:line="360" w:lineRule="auto"/>
        <w:ind w:left="284" w:hanging="284"/>
        <w:rPr>
          <w:b w:val="0"/>
          <w:sz w:val="24"/>
          <w:szCs w:val="24"/>
        </w:rPr>
      </w:pPr>
      <w:r w:rsidRPr="00A94359">
        <w:rPr>
          <w:b w:val="0"/>
          <w:sz w:val="24"/>
          <w:szCs w:val="24"/>
        </w:rPr>
        <w:t>2)</w:t>
      </w:r>
      <w:r w:rsidRPr="00A94359">
        <w:rPr>
          <w:b w:val="0"/>
          <w:sz w:val="24"/>
          <w:szCs w:val="24"/>
        </w:rPr>
        <w:tab/>
      </w:r>
      <w:r w:rsidRPr="00A94359">
        <w:rPr>
          <w:b w:val="0"/>
          <w:sz w:val="24"/>
          <w:szCs w:val="24"/>
        </w:rPr>
        <w:tab/>
        <w:t>wprowadza nowy rozdział, w którym określa zasady przeprowadzania audytu energetycznego</w:t>
      </w:r>
      <w:r w:rsidR="00862666" w:rsidRPr="00A94359">
        <w:rPr>
          <w:b w:val="0"/>
          <w:sz w:val="24"/>
          <w:szCs w:val="24"/>
        </w:rPr>
        <w:t xml:space="preserve"> przedsiębiorstwa</w:t>
      </w:r>
      <w:r w:rsidR="00014458">
        <w:rPr>
          <w:b w:val="0"/>
          <w:sz w:val="24"/>
          <w:szCs w:val="24"/>
        </w:rPr>
        <w:t>;</w:t>
      </w:r>
    </w:p>
    <w:p w:rsidR="002F0A99" w:rsidRPr="00A94359" w:rsidRDefault="002F0A99" w:rsidP="00A94359">
      <w:pPr>
        <w:pStyle w:val="Nagwek2"/>
        <w:tabs>
          <w:tab w:val="clear" w:pos="4536"/>
          <w:tab w:val="center" w:pos="567"/>
        </w:tabs>
        <w:spacing w:line="360" w:lineRule="auto"/>
        <w:ind w:left="284" w:hanging="284"/>
        <w:jc w:val="left"/>
        <w:rPr>
          <w:b w:val="0"/>
          <w:sz w:val="24"/>
          <w:szCs w:val="24"/>
        </w:rPr>
      </w:pPr>
      <w:r w:rsidRPr="00A94359">
        <w:rPr>
          <w:b w:val="0"/>
          <w:sz w:val="24"/>
          <w:szCs w:val="24"/>
        </w:rPr>
        <w:t>3)</w:t>
      </w:r>
      <w:r w:rsidRPr="00A94359">
        <w:rPr>
          <w:b w:val="0"/>
          <w:sz w:val="24"/>
          <w:szCs w:val="24"/>
        </w:rPr>
        <w:tab/>
        <w:t>dokonuje zmian w:</w:t>
      </w:r>
    </w:p>
    <w:p w:rsidR="002F0A99" w:rsidRPr="00A94359" w:rsidRDefault="00A94359" w:rsidP="00A94359">
      <w:pPr>
        <w:pStyle w:val="PKTpunkt"/>
        <w:ind w:left="767" w:hanging="483"/>
        <w:rPr>
          <w:rFonts w:ascii="Times New Roman" w:hAnsi="Times New Roman" w:cs="Times New Roman"/>
          <w:szCs w:val="24"/>
        </w:rPr>
      </w:pPr>
      <w:r w:rsidRPr="00A94359">
        <w:rPr>
          <w:szCs w:val="24"/>
        </w:rPr>
        <w:t>a)</w:t>
      </w:r>
      <w:r w:rsidRPr="00A94359">
        <w:rPr>
          <w:rFonts w:ascii="Times New Roman" w:hAnsi="Times New Roman" w:cs="Times New Roman"/>
          <w:szCs w:val="24"/>
        </w:rPr>
        <w:tab/>
      </w:r>
      <w:r w:rsidR="002F0A99" w:rsidRPr="00A94359">
        <w:rPr>
          <w:rFonts w:ascii="Times New Roman" w:hAnsi="Times New Roman" w:cs="Times New Roman"/>
          <w:szCs w:val="24"/>
        </w:rPr>
        <w:t xml:space="preserve">ustawie z dnia 10 kwietnia 1997 r. – Prawo energetyczne, </w:t>
      </w:r>
    </w:p>
    <w:p w:rsidR="002F0A99" w:rsidRPr="00A94359" w:rsidRDefault="00A94359" w:rsidP="00A94359">
      <w:pPr>
        <w:pStyle w:val="PKTpunkt"/>
        <w:ind w:left="767" w:hanging="483"/>
        <w:rPr>
          <w:rFonts w:ascii="Times New Roman" w:hAnsi="Times New Roman" w:cs="Times New Roman"/>
          <w:szCs w:val="24"/>
        </w:rPr>
      </w:pPr>
      <w:r>
        <w:rPr>
          <w:rFonts w:ascii="Times New Roman" w:hAnsi="Times New Roman" w:cs="Times New Roman"/>
          <w:szCs w:val="24"/>
        </w:rPr>
        <w:t>b)</w:t>
      </w:r>
      <w:r>
        <w:rPr>
          <w:rFonts w:ascii="Times New Roman" w:hAnsi="Times New Roman" w:cs="Times New Roman"/>
          <w:szCs w:val="24"/>
        </w:rPr>
        <w:tab/>
      </w:r>
      <w:r w:rsidR="002F0A99" w:rsidRPr="00A94359">
        <w:rPr>
          <w:rFonts w:ascii="Times New Roman" w:hAnsi="Times New Roman" w:cs="Times New Roman"/>
          <w:szCs w:val="24"/>
        </w:rPr>
        <w:t>ustawie z dnia 27 kwietnia 2001 r. – Prawo ochro</w:t>
      </w:r>
      <w:r>
        <w:rPr>
          <w:rFonts w:ascii="Times New Roman" w:hAnsi="Times New Roman" w:cs="Times New Roman"/>
          <w:szCs w:val="24"/>
        </w:rPr>
        <w:t>ny środowiska (Dz. U. z 2013 </w:t>
      </w:r>
      <w:r w:rsidR="002F0A99" w:rsidRPr="00A94359">
        <w:rPr>
          <w:rFonts w:ascii="Times New Roman" w:hAnsi="Times New Roman" w:cs="Times New Roman"/>
          <w:szCs w:val="24"/>
        </w:rPr>
        <w:t>r. poz. 1232, z późn. zm.</w:t>
      </w:r>
      <w:r>
        <w:rPr>
          <w:rStyle w:val="Odwoanieprzypisudolnego"/>
          <w:rFonts w:ascii="Times New Roman" w:hAnsi="Times New Roman"/>
          <w:szCs w:val="24"/>
        </w:rPr>
        <w:footnoteReference w:id="2"/>
      </w:r>
      <w:r>
        <w:rPr>
          <w:rFonts w:ascii="Times New Roman" w:hAnsi="Times New Roman" w:cs="Times New Roman"/>
          <w:szCs w:val="24"/>
          <w:vertAlign w:val="superscript"/>
        </w:rPr>
        <w:t>)</w:t>
      </w:r>
      <w:r w:rsidR="002F0A99" w:rsidRPr="00A94359">
        <w:rPr>
          <w:rFonts w:ascii="Times New Roman" w:hAnsi="Times New Roman" w:cs="Times New Roman"/>
          <w:szCs w:val="24"/>
        </w:rPr>
        <w:t>),</w:t>
      </w:r>
    </w:p>
    <w:p w:rsidR="002F0A99" w:rsidRDefault="002F0A99" w:rsidP="00A94359">
      <w:pPr>
        <w:pStyle w:val="PKTpunkt"/>
        <w:ind w:left="767" w:hanging="483"/>
        <w:rPr>
          <w:rStyle w:val="Ppogrubienie"/>
          <w:rFonts w:ascii="Times New Roman" w:hAnsi="Times New Roman" w:cs="Times New Roman"/>
          <w:b w:val="0"/>
          <w:szCs w:val="24"/>
        </w:rPr>
      </w:pPr>
      <w:r w:rsidRPr="00A94359">
        <w:rPr>
          <w:rFonts w:ascii="Times New Roman" w:hAnsi="Times New Roman" w:cs="Times New Roman"/>
          <w:szCs w:val="24"/>
        </w:rPr>
        <w:t>c)</w:t>
      </w:r>
      <w:r w:rsidR="00A94359">
        <w:rPr>
          <w:rFonts w:ascii="Times New Roman" w:hAnsi="Times New Roman" w:cs="Times New Roman"/>
          <w:szCs w:val="24"/>
        </w:rPr>
        <w:tab/>
      </w:r>
      <w:r w:rsidRPr="00A94359">
        <w:t>ustawie z dnia 3</w:t>
      </w:r>
      <w:r w:rsidRPr="00A94359">
        <w:rPr>
          <w:rStyle w:val="Ppogrubienie"/>
          <w:rFonts w:ascii="Times New Roman" w:hAnsi="Times New Roman" w:cs="Times New Roman"/>
          <w:b w:val="0"/>
          <w:szCs w:val="24"/>
        </w:rPr>
        <w:t xml:space="preserve"> października 2008 r. o udostępn</w:t>
      </w:r>
      <w:r w:rsidR="00A94359">
        <w:rPr>
          <w:rStyle w:val="Ppogrubienie"/>
          <w:rFonts w:ascii="Times New Roman" w:hAnsi="Times New Roman" w:cs="Times New Roman"/>
          <w:b w:val="0"/>
          <w:szCs w:val="24"/>
        </w:rPr>
        <w:t>ianiu informacji o środowisku i </w:t>
      </w:r>
      <w:r w:rsidRPr="00A94359">
        <w:rPr>
          <w:rStyle w:val="Ppogrubienie"/>
          <w:rFonts w:ascii="Times New Roman" w:hAnsi="Times New Roman" w:cs="Times New Roman"/>
          <w:b w:val="0"/>
          <w:szCs w:val="24"/>
        </w:rPr>
        <w:t>jego ochronie, udziale społeczeństwa w ochronie środowiska oraz o ocenie oddziaływania na środowisko (Dz. U. z 201</w:t>
      </w:r>
      <w:r w:rsidR="0084765A">
        <w:rPr>
          <w:rStyle w:val="Ppogrubienie"/>
          <w:rFonts w:ascii="Times New Roman" w:hAnsi="Times New Roman" w:cs="Times New Roman"/>
          <w:b w:val="0"/>
          <w:szCs w:val="24"/>
        </w:rPr>
        <w:t>6 r. poz. 3</w:t>
      </w:r>
      <w:r w:rsidRPr="00A94359">
        <w:rPr>
          <w:rStyle w:val="Ppogrubienie"/>
          <w:rFonts w:ascii="Times New Roman" w:hAnsi="Times New Roman" w:cs="Times New Roman"/>
          <w:b w:val="0"/>
          <w:szCs w:val="24"/>
        </w:rPr>
        <w:t>5</w:t>
      </w:r>
      <w:r w:rsidR="0084765A">
        <w:rPr>
          <w:rStyle w:val="Ppogrubienie"/>
          <w:rFonts w:ascii="Times New Roman" w:hAnsi="Times New Roman" w:cs="Times New Roman"/>
          <w:b w:val="0"/>
          <w:szCs w:val="24"/>
        </w:rPr>
        <w:t>3</w:t>
      </w:r>
      <w:r w:rsidRPr="00A94359">
        <w:rPr>
          <w:rStyle w:val="Ppogrubienie"/>
          <w:rFonts w:ascii="Times New Roman" w:hAnsi="Times New Roman" w:cs="Times New Roman"/>
          <w:b w:val="0"/>
          <w:szCs w:val="24"/>
        </w:rPr>
        <w:t>)</w:t>
      </w:r>
      <w:r w:rsidR="0084765A">
        <w:rPr>
          <w:rStyle w:val="Ppogrubienie"/>
          <w:rFonts w:ascii="Times New Roman" w:hAnsi="Times New Roman" w:cs="Times New Roman"/>
          <w:b w:val="0"/>
          <w:szCs w:val="24"/>
        </w:rPr>
        <w:t>,</w:t>
      </w:r>
    </w:p>
    <w:p w:rsidR="0084765A" w:rsidRPr="00A94359" w:rsidRDefault="0084765A" w:rsidP="00A94359">
      <w:pPr>
        <w:pStyle w:val="PKTpunkt"/>
        <w:ind w:left="767" w:hanging="483"/>
        <w:rPr>
          <w:rFonts w:ascii="Times New Roman" w:hAnsi="Times New Roman" w:cs="Times New Roman"/>
          <w:szCs w:val="24"/>
        </w:rPr>
      </w:pPr>
      <w:r>
        <w:rPr>
          <w:rStyle w:val="Ppogrubienie"/>
          <w:rFonts w:ascii="Times New Roman" w:hAnsi="Times New Roman" w:cs="Times New Roman"/>
          <w:b w:val="0"/>
          <w:szCs w:val="24"/>
        </w:rPr>
        <w:t>d)</w:t>
      </w:r>
      <w:r>
        <w:rPr>
          <w:rStyle w:val="Ppogrubienie"/>
          <w:rFonts w:ascii="Times New Roman" w:hAnsi="Times New Roman" w:cs="Times New Roman"/>
          <w:b w:val="0"/>
          <w:szCs w:val="24"/>
        </w:rPr>
        <w:tab/>
        <w:t>ustawie z dnia 29 grudnia 2015 r. o zmianie ustawy o efektywności energetycznej (Dz. U. poz. 2359).</w:t>
      </w:r>
    </w:p>
    <w:p w:rsidR="002F0A99" w:rsidRPr="00A94359" w:rsidRDefault="002F0A99" w:rsidP="00A94359">
      <w:pPr>
        <w:pStyle w:val="Nagwek2"/>
        <w:spacing w:before="120" w:line="360" w:lineRule="auto"/>
        <w:ind w:left="0" w:firstLine="0"/>
        <w:rPr>
          <w:sz w:val="24"/>
          <w:szCs w:val="24"/>
        </w:rPr>
      </w:pPr>
    </w:p>
    <w:p w:rsidR="002F0A99" w:rsidRPr="00A94359" w:rsidRDefault="002F0A99" w:rsidP="00A94359">
      <w:pPr>
        <w:pStyle w:val="Nagwek2"/>
        <w:spacing w:before="120" w:line="360" w:lineRule="auto"/>
        <w:ind w:left="0" w:firstLine="0"/>
        <w:rPr>
          <w:sz w:val="24"/>
          <w:szCs w:val="24"/>
        </w:rPr>
      </w:pPr>
      <w:r w:rsidRPr="00A94359">
        <w:rPr>
          <w:sz w:val="24"/>
          <w:szCs w:val="24"/>
        </w:rPr>
        <w:t>2.</w:t>
      </w:r>
      <w:r w:rsidR="00A94359">
        <w:rPr>
          <w:sz w:val="24"/>
          <w:szCs w:val="24"/>
        </w:rPr>
        <w:t xml:space="preserve"> </w:t>
      </w:r>
      <w:r w:rsidRPr="00A94359">
        <w:rPr>
          <w:sz w:val="24"/>
          <w:szCs w:val="24"/>
        </w:rPr>
        <w:t xml:space="preserve">Uzasadnienie projektowanych rozwiązań prawnych </w:t>
      </w:r>
    </w:p>
    <w:p w:rsidR="002F0A99" w:rsidRPr="00A94359" w:rsidRDefault="002F0A99" w:rsidP="00A94359">
      <w:pPr>
        <w:pStyle w:val="Nagwek2"/>
        <w:spacing w:before="120" w:line="360" w:lineRule="auto"/>
        <w:rPr>
          <w:sz w:val="24"/>
          <w:szCs w:val="24"/>
        </w:rPr>
      </w:pPr>
      <w:r w:rsidRPr="00A94359">
        <w:rPr>
          <w:sz w:val="24"/>
          <w:szCs w:val="24"/>
        </w:rPr>
        <w:t>Przepisy ogólne</w:t>
      </w:r>
    </w:p>
    <w:p w:rsidR="002F0A99" w:rsidRPr="00A94359" w:rsidRDefault="002F0A99" w:rsidP="005F0A8A">
      <w:pPr>
        <w:pStyle w:val="Tekstpodstawowy2"/>
        <w:spacing w:before="120"/>
        <w:ind w:firstLine="0"/>
      </w:pPr>
      <w:r w:rsidRPr="00A94359">
        <w:t xml:space="preserve">W art. 1 projektu ustawy określony został zakres przedmiotowy. Projektowana ustawa określa zasady opracowania krajowego planu działań dotyczącego efektywności energetycznej, zadania jednostek sektora publicznego w zakresie efektywności energetycznej, zasady realizacji obowiązku </w:t>
      </w:r>
      <w:r w:rsidR="00C07B78" w:rsidRPr="00A94359">
        <w:t>uzyskania</w:t>
      </w:r>
      <w:r w:rsidRPr="00A94359">
        <w:t xml:space="preserve"> oszczędności energii oraz zasady przeprowadzania audytu energetycznego przedsiębiorstwa. </w:t>
      </w:r>
    </w:p>
    <w:p w:rsidR="002F0A99" w:rsidRPr="00A94359" w:rsidRDefault="002F0A99" w:rsidP="005F0A8A">
      <w:pPr>
        <w:pStyle w:val="Tekstpodstawowy2"/>
        <w:spacing w:before="120"/>
        <w:ind w:firstLine="0"/>
      </w:pPr>
      <w:r w:rsidRPr="00A94359">
        <w:t xml:space="preserve">W art. 2 projektu ustawy, w słowniczku, </w:t>
      </w:r>
      <w:r w:rsidR="00AF212C" w:rsidRPr="00A94359">
        <w:t>wprowadzono</w:t>
      </w:r>
      <w:r w:rsidRPr="00A94359">
        <w:t xml:space="preserve"> </w:t>
      </w:r>
      <w:r w:rsidR="00AF212C" w:rsidRPr="00A94359">
        <w:t>m.in. definicję „</w:t>
      </w:r>
      <w:r w:rsidRPr="00A94359">
        <w:t>jednostk</w:t>
      </w:r>
      <w:r w:rsidR="00AF212C" w:rsidRPr="00A94359">
        <w:t>i</w:t>
      </w:r>
      <w:r w:rsidRPr="00A94359">
        <w:t xml:space="preserve"> sektora publiczneg</w:t>
      </w:r>
      <w:r w:rsidR="00AF212C" w:rsidRPr="00A94359">
        <w:t xml:space="preserve">o” </w:t>
      </w:r>
      <w:r w:rsidR="00014458">
        <w:t>–</w:t>
      </w:r>
      <w:r w:rsidRPr="00A94359">
        <w:t xml:space="preserve"> rozumian</w:t>
      </w:r>
      <w:r w:rsidR="00AF212C" w:rsidRPr="00A94359">
        <w:t>ej</w:t>
      </w:r>
      <w:r w:rsidRPr="00A94359">
        <w:t xml:space="preserve"> jako podmiot, o który</w:t>
      </w:r>
      <w:r w:rsidR="00065F17" w:rsidRPr="00A94359">
        <w:t>m</w:t>
      </w:r>
      <w:r w:rsidRPr="00A94359">
        <w:t xml:space="preserve"> mowa w</w:t>
      </w:r>
      <w:r w:rsidR="00AF212C" w:rsidRPr="00A94359">
        <w:t xml:space="preserve"> </w:t>
      </w:r>
      <w:r w:rsidRPr="00A94359">
        <w:t>art. 3 ust.</w:t>
      </w:r>
      <w:r w:rsidR="001B4DE2">
        <w:t xml:space="preserve"> </w:t>
      </w:r>
      <w:r w:rsidRPr="00A94359">
        <w:t xml:space="preserve">1 </w:t>
      </w:r>
      <w:r w:rsidR="00EE7593">
        <w:br/>
      </w:r>
      <w:r w:rsidRPr="00A94359">
        <w:t>pkt 1</w:t>
      </w:r>
      <w:r w:rsidR="001B4DE2">
        <w:t>–</w:t>
      </w:r>
      <w:r w:rsidRPr="00A94359">
        <w:t>3a ustawy z</w:t>
      </w:r>
      <w:r w:rsidR="00A94359">
        <w:t xml:space="preserve"> </w:t>
      </w:r>
      <w:r w:rsidRPr="00A94359">
        <w:t>dnia 29 stycznia 2004 r. – Prawo zamówień publicznych.</w:t>
      </w:r>
    </w:p>
    <w:p w:rsidR="002F0A99" w:rsidRPr="00A94359" w:rsidRDefault="002F0A99" w:rsidP="005F0A8A">
      <w:pPr>
        <w:pStyle w:val="Tekstpodstawowy2"/>
        <w:spacing w:before="120"/>
        <w:ind w:firstLine="0"/>
      </w:pPr>
      <w:r w:rsidRPr="00A94359">
        <w:t xml:space="preserve">Definicje legalne takie jak: „audyt efektywności energetycznej”, „efektywność energetyczna”, „efekt użytkowy”, „energia”, „energia pierwotna”, „energia finalna”, „oszczędność energii”, „przedsiębiorstwo energetyczne”, „przedsięwzięcie służące poprawie efektywności energetycznej” oraz „tona oleju ekwiwalentnego” pozostawiono w brzmieniu dotychczasowym. </w:t>
      </w:r>
    </w:p>
    <w:p w:rsidR="002F0A99" w:rsidRPr="00A94359" w:rsidRDefault="002F0A99" w:rsidP="005F0A8A">
      <w:pPr>
        <w:pStyle w:val="Tekstpodstawowy2"/>
        <w:spacing w:before="120"/>
        <w:ind w:firstLine="0"/>
      </w:pPr>
      <w:r w:rsidRPr="00A94359">
        <w:t>Zrezygnowano z definicji urządzenia potrzeb własnych, bowiem zgodnie z nowym systemem zobowiązującym do efektywności energetycznej, uregulowanym w art. 7 dyrektywy 2012/27/UE, nie przewiduje się objęcia nim urządzeń potrzeb własnych.</w:t>
      </w:r>
    </w:p>
    <w:p w:rsidR="002F0A99" w:rsidRPr="00A94359" w:rsidRDefault="002F0A99" w:rsidP="005F0A8A">
      <w:pPr>
        <w:pStyle w:val="Tekstpodstawowy2"/>
        <w:spacing w:before="120"/>
        <w:ind w:firstLine="0"/>
      </w:pPr>
      <w:r w:rsidRPr="00A94359">
        <w:t>Słowniczek pojęć ustawowych jest także wypełnieniem art. 2 dyrektywy 2012/27/UE.</w:t>
      </w:r>
      <w:r w:rsidR="00AF212C" w:rsidRPr="00A94359">
        <w:t xml:space="preserve"> </w:t>
      </w:r>
      <w:r w:rsidRPr="00A94359">
        <w:t>W</w:t>
      </w:r>
      <w:r w:rsidR="00A94359">
        <w:t xml:space="preserve"> </w:t>
      </w:r>
      <w:r w:rsidRPr="00A94359">
        <w:t>słowniczku nie zdefiniowano pojęć powszechnie znanych i nie</w:t>
      </w:r>
      <w:r w:rsidR="00893C50" w:rsidRPr="00A94359">
        <w:t xml:space="preserve"> </w:t>
      </w:r>
      <w:r w:rsidRPr="00A94359">
        <w:t xml:space="preserve">wymagających transpozycji do polskiego porządku prawnego. </w:t>
      </w:r>
    </w:p>
    <w:p w:rsidR="002F0A99" w:rsidRPr="00A94359" w:rsidRDefault="002F0A99" w:rsidP="005F0A8A">
      <w:pPr>
        <w:pStyle w:val="Tekstpodstawowy2"/>
        <w:spacing w:before="120"/>
        <w:ind w:firstLine="0"/>
      </w:pPr>
      <w:r w:rsidRPr="00A94359">
        <w:t>Przepisy projektu ustawy adresowane są w szczególności do odbiorców końcowych, rozumianych zgodnie z art. 3 dyrektywy 2012/27/UE, jako osoby fizyczne lub prawne, które dokonują zakupu energii na własny użytek oraz do przedsiębiorstw energetycznych.</w:t>
      </w:r>
    </w:p>
    <w:p w:rsidR="002F0A99" w:rsidRPr="00A94359" w:rsidRDefault="002F0A99" w:rsidP="005F0A8A">
      <w:pPr>
        <w:spacing w:before="120" w:line="360" w:lineRule="auto"/>
        <w:jc w:val="both"/>
      </w:pPr>
      <w:r w:rsidRPr="00A94359">
        <w:t>W przeciwieństwie do dyrektywy 2006/32/WE, dyrektywa 2012/27/UE nie przewiduje generalnych wyłączeń jej stosowania do:</w:t>
      </w:r>
    </w:p>
    <w:p w:rsidR="002F0A99" w:rsidRPr="00A94359" w:rsidRDefault="002F0A99" w:rsidP="00A94359">
      <w:pPr>
        <w:numPr>
          <w:ilvl w:val="0"/>
          <w:numId w:val="8"/>
        </w:numPr>
        <w:tabs>
          <w:tab w:val="clear" w:pos="780"/>
          <w:tab w:val="num" w:pos="360"/>
        </w:tabs>
        <w:spacing w:before="120" w:line="360" w:lineRule="auto"/>
        <w:ind w:left="360"/>
        <w:jc w:val="both"/>
      </w:pPr>
      <w:r w:rsidRPr="00A94359">
        <w:t>urządzeń technicznych i instalacji używanych wyłącznie w celach wojskowych;</w:t>
      </w:r>
    </w:p>
    <w:p w:rsidR="002F0A99" w:rsidRPr="00A94359" w:rsidRDefault="002F0A99" w:rsidP="00A94359">
      <w:pPr>
        <w:numPr>
          <w:ilvl w:val="0"/>
          <w:numId w:val="8"/>
        </w:numPr>
        <w:tabs>
          <w:tab w:val="clear" w:pos="780"/>
          <w:tab w:val="num" w:pos="360"/>
        </w:tabs>
        <w:spacing w:before="120" w:line="360" w:lineRule="auto"/>
        <w:ind w:left="360"/>
        <w:jc w:val="both"/>
      </w:pPr>
      <w:r w:rsidRPr="00A94359">
        <w:t>instalacji objętych systemem handlu uprawnieniami do emisji.</w:t>
      </w:r>
    </w:p>
    <w:p w:rsidR="002F0A99" w:rsidRPr="00A94359" w:rsidRDefault="002F0A99" w:rsidP="005F0A8A">
      <w:pPr>
        <w:spacing w:before="120" w:line="360" w:lineRule="auto"/>
        <w:jc w:val="both"/>
      </w:pPr>
      <w:r w:rsidRPr="00A94359">
        <w:t>Z tego też powodu nie przeniesiono do projektu ustawy art. 2 ust. 2 obecnej ustawy.</w:t>
      </w:r>
    </w:p>
    <w:p w:rsidR="002F0A99" w:rsidRPr="00A94359" w:rsidRDefault="002F0A99" w:rsidP="005F0A8A">
      <w:pPr>
        <w:spacing w:before="120" w:line="360" w:lineRule="auto"/>
        <w:jc w:val="both"/>
      </w:pPr>
      <w:r w:rsidRPr="00A94359">
        <w:t xml:space="preserve">W projekcie ustawy wyłączenia zamieszczone są w poszczególnych jednostkach redakcyjnych regulujących określoną materię, jak np. zadania jednostek sektora publicznego, czy analiza kosztów i korzyści budowy lub znacznej modernizacji jednostki wytwórczej oraz budowy sieci. </w:t>
      </w:r>
    </w:p>
    <w:p w:rsidR="002F0A99" w:rsidRPr="00A94359" w:rsidRDefault="002F0A99" w:rsidP="00A94359">
      <w:pPr>
        <w:pStyle w:val="Nagwek2"/>
        <w:keepNext/>
        <w:spacing w:before="120" w:line="360" w:lineRule="auto"/>
        <w:rPr>
          <w:sz w:val="24"/>
          <w:szCs w:val="24"/>
        </w:rPr>
      </w:pPr>
      <w:r w:rsidRPr="00A94359">
        <w:rPr>
          <w:sz w:val="24"/>
          <w:szCs w:val="24"/>
        </w:rPr>
        <w:t>Krajowy plan działań dotyczący efektywności energetycznej</w:t>
      </w:r>
    </w:p>
    <w:p w:rsidR="002F0A99" w:rsidRPr="00A94359" w:rsidRDefault="002F0A99" w:rsidP="005F0A8A">
      <w:pPr>
        <w:pStyle w:val="Tekstpodstawowy2"/>
        <w:spacing w:before="120"/>
        <w:ind w:firstLine="0"/>
      </w:pPr>
      <w:r w:rsidRPr="00A94359">
        <w:t>Przepisy rozdziału 2 projektu ustawy zawierają zasady opracowania krajowego planu działań dotyczącego efektywności energetycznej, zwanego dalej „krajowym planem”. Organem odpowiedzialnym za sporządzenie krajowego planu jest Minister Energii.</w:t>
      </w:r>
      <w:r w:rsidR="00893C50" w:rsidRPr="00A94359">
        <w:t xml:space="preserve"> </w:t>
      </w:r>
      <w:r w:rsidRPr="00A94359">
        <w:t>Krajowy</w:t>
      </w:r>
      <w:r w:rsidR="00A94359">
        <w:t xml:space="preserve"> </w:t>
      </w:r>
      <w:r w:rsidRPr="00A94359">
        <w:t xml:space="preserve">plan zawiera w szczególności: </w:t>
      </w:r>
    </w:p>
    <w:p w:rsidR="002F0A99" w:rsidRPr="00A94359" w:rsidRDefault="005F0A8A" w:rsidP="005F0A8A">
      <w:pPr>
        <w:pStyle w:val="PKTpunkt"/>
        <w:rPr>
          <w:rFonts w:ascii="Times New Roman" w:hAnsi="Times New Roman" w:cs="Times New Roman"/>
          <w:szCs w:val="24"/>
        </w:rPr>
      </w:pPr>
      <w:r>
        <w:rPr>
          <w:rFonts w:ascii="Times New Roman" w:hAnsi="Times New Roman" w:cs="Times New Roman"/>
          <w:szCs w:val="24"/>
        </w:rPr>
        <w:t>1)</w:t>
      </w:r>
      <w:r w:rsidR="002F0A99" w:rsidRPr="00A94359">
        <w:rPr>
          <w:rFonts w:ascii="Times New Roman" w:hAnsi="Times New Roman" w:cs="Times New Roman"/>
          <w:szCs w:val="24"/>
        </w:rPr>
        <w:tab/>
        <w:t>opis planowanych programów zawierających działania w zakresie poprawy efektywności energetycznej w poszczególnych sektorach gospodarki;</w:t>
      </w:r>
    </w:p>
    <w:p w:rsidR="002F0A99" w:rsidRPr="00A94359" w:rsidRDefault="005F0A8A" w:rsidP="005F0A8A">
      <w:pPr>
        <w:pStyle w:val="PKTpunkt"/>
        <w:rPr>
          <w:rFonts w:ascii="Times New Roman" w:hAnsi="Times New Roman" w:cs="Times New Roman"/>
          <w:szCs w:val="24"/>
        </w:rPr>
      </w:pPr>
      <w:r>
        <w:rPr>
          <w:rFonts w:ascii="Times New Roman" w:hAnsi="Times New Roman" w:cs="Times New Roman"/>
          <w:szCs w:val="24"/>
        </w:rPr>
        <w:t>2)</w:t>
      </w:r>
      <w:r w:rsidR="002F0A99" w:rsidRPr="00A94359">
        <w:rPr>
          <w:rFonts w:ascii="Times New Roman" w:hAnsi="Times New Roman" w:cs="Times New Roman"/>
          <w:szCs w:val="24"/>
        </w:rPr>
        <w:tab/>
        <w:t>określenie krajowego celu w zakresie efektywności energetycznej;</w:t>
      </w:r>
    </w:p>
    <w:p w:rsidR="002F0A99" w:rsidRPr="00A94359" w:rsidRDefault="005F0A8A" w:rsidP="005F0A8A">
      <w:pPr>
        <w:pStyle w:val="PKTpunkt"/>
        <w:rPr>
          <w:rFonts w:ascii="Times New Roman" w:hAnsi="Times New Roman" w:cs="Times New Roman"/>
          <w:szCs w:val="24"/>
        </w:rPr>
      </w:pPr>
      <w:r>
        <w:rPr>
          <w:rFonts w:ascii="Times New Roman" w:hAnsi="Times New Roman" w:cs="Times New Roman"/>
          <w:szCs w:val="24"/>
        </w:rPr>
        <w:t>3)</w:t>
      </w:r>
      <w:r w:rsidR="002F0A99" w:rsidRPr="00A94359">
        <w:rPr>
          <w:rFonts w:ascii="Times New Roman" w:hAnsi="Times New Roman" w:cs="Times New Roman"/>
          <w:szCs w:val="24"/>
        </w:rPr>
        <w:tab/>
        <w:t>informacje o osiągniętej oszczędności ene</w:t>
      </w:r>
      <w:r>
        <w:rPr>
          <w:rFonts w:ascii="Times New Roman" w:hAnsi="Times New Roman" w:cs="Times New Roman"/>
          <w:szCs w:val="24"/>
        </w:rPr>
        <w:t>rgii, w tym w przesyłaniu lub w </w:t>
      </w:r>
      <w:r w:rsidR="002F0A99" w:rsidRPr="00A94359">
        <w:rPr>
          <w:rFonts w:ascii="Times New Roman" w:hAnsi="Times New Roman" w:cs="Times New Roman"/>
          <w:szCs w:val="24"/>
        </w:rPr>
        <w:t>dystrybucji, w</w:t>
      </w:r>
      <w:r w:rsidR="00A94359">
        <w:rPr>
          <w:rFonts w:ascii="Times New Roman" w:hAnsi="Times New Roman" w:cs="Times New Roman"/>
          <w:szCs w:val="24"/>
        </w:rPr>
        <w:t xml:space="preserve"> </w:t>
      </w:r>
      <w:r w:rsidR="002F0A99" w:rsidRPr="00A94359">
        <w:rPr>
          <w:rFonts w:ascii="Times New Roman" w:hAnsi="Times New Roman" w:cs="Times New Roman"/>
          <w:szCs w:val="24"/>
        </w:rPr>
        <w:t>dostarczaniu oraz w końcowym zużyciu energii;</w:t>
      </w:r>
    </w:p>
    <w:p w:rsidR="002F0A99" w:rsidRPr="00A94359" w:rsidRDefault="005F0A8A" w:rsidP="005F0A8A">
      <w:pPr>
        <w:pStyle w:val="PKTpunkt"/>
        <w:rPr>
          <w:rFonts w:ascii="Times New Roman" w:hAnsi="Times New Roman" w:cs="Times New Roman"/>
          <w:szCs w:val="24"/>
        </w:rPr>
      </w:pPr>
      <w:r>
        <w:rPr>
          <w:rFonts w:ascii="Times New Roman" w:hAnsi="Times New Roman" w:cs="Times New Roman"/>
          <w:szCs w:val="24"/>
        </w:rPr>
        <w:t>4)</w:t>
      </w:r>
      <w:r w:rsidR="002F0A99" w:rsidRPr="00A94359">
        <w:rPr>
          <w:rFonts w:ascii="Times New Roman" w:hAnsi="Times New Roman" w:cs="Times New Roman"/>
          <w:szCs w:val="24"/>
        </w:rPr>
        <w:tab/>
        <w:t>strategię wspierania inwestycji w renowację budynków.</w:t>
      </w:r>
    </w:p>
    <w:p w:rsidR="002F0A99" w:rsidRPr="00A94359" w:rsidRDefault="002F0A99" w:rsidP="005F0A8A">
      <w:pPr>
        <w:pStyle w:val="Tekstpodstawowy2"/>
        <w:spacing w:before="120"/>
        <w:ind w:firstLine="0"/>
      </w:pPr>
      <w:r w:rsidRPr="00A94359">
        <w:t>Zgodnie z projekt</w:t>
      </w:r>
      <w:r w:rsidR="004F067C" w:rsidRPr="00A94359">
        <w:t>em</w:t>
      </w:r>
      <w:r w:rsidRPr="00A94359">
        <w:t xml:space="preserve"> ustawy, krajowy plan będzie przyjmowany, w drodze uchwały, przez Radę Ministrów, na wniosek ministra właściwego do spraw energii, a</w:t>
      </w:r>
      <w:r w:rsidR="00A94359">
        <w:t xml:space="preserve"> </w:t>
      </w:r>
      <w:r w:rsidRPr="00A94359">
        <w:t>następnie przekazywany Komisji Europejskiej, w terminie do dnia 30 kwietnia. Przepisy regulujące krajowy plan wdrażają art. 24 ust. 2 i Załącznik XIV dyrektywy 2012/27/UE.</w:t>
      </w:r>
    </w:p>
    <w:p w:rsidR="002F0A99" w:rsidRPr="00A94359" w:rsidRDefault="002F0A99" w:rsidP="005F0A8A">
      <w:pPr>
        <w:pStyle w:val="Tekstpodstawowy2"/>
        <w:spacing w:before="120"/>
        <w:ind w:firstLine="0"/>
      </w:pPr>
      <w:r w:rsidRPr="00A94359">
        <w:t>Krajowy plan został przygotowany po raz pierwszy i przekazany Komisji Europejskiej w</w:t>
      </w:r>
      <w:r w:rsidR="00A94359">
        <w:t xml:space="preserve"> </w:t>
      </w:r>
      <w:r w:rsidRPr="00A94359">
        <w:t>2007 r. W dokumencie tym przedstawiono wyliczenie krajowego celu w zakresie oszczędnego gospodarowania energią na 2016 r. Cel</w:t>
      </w:r>
      <w:r w:rsidR="00A94359">
        <w:t xml:space="preserve"> </w:t>
      </w:r>
      <w:r w:rsidRPr="00A94359">
        <w:t>ten wyznacza uzyskanie do 2016 r. oszczędności energii finalnej w ilości nie mniejszej niż 9% średniego krajowego zużycia tej energii w ciągu roku − tj. 53 452 GWh oszczędności energii finalnej do 2016 r.</w:t>
      </w:r>
    </w:p>
    <w:p w:rsidR="002F0A99" w:rsidRPr="00A94359" w:rsidRDefault="002F0A99" w:rsidP="005F0A8A">
      <w:pPr>
        <w:pStyle w:val="Tekstpodstawowy2"/>
        <w:spacing w:before="120"/>
        <w:ind w:firstLine="0"/>
      </w:pPr>
      <w:r w:rsidRPr="00A94359">
        <w:t>Drugi Krajowy Plan Działań dotyczący efektywności energetycznej dla Polski 2011 zawierał informacje o postępie w realizacji krajowego celu w zakresie oszczędnego gospodarowania energią i podjętych działaniach mających na celu usunięcie przeszkód w</w:t>
      </w:r>
      <w:r w:rsidR="00A94359">
        <w:t xml:space="preserve"> </w:t>
      </w:r>
      <w:r w:rsidRPr="00A94359">
        <w:t>realizacji tego celu. Dokument ten został zatwierdzony przez Radę Ministrów w</w:t>
      </w:r>
      <w:r w:rsidR="005F0A8A">
        <w:t> </w:t>
      </w:r>
      <w:r w:rsidRPr="00A94359">
        <w:t xml:space="preserve">kwietniu 2012 r., a następnie przekazany Komisji Europejskiej. </w:t>
      </w:r>
    </w:p>
    <w:p w:rsidR="002F0A99" w:rsidRPr="00A94359" w:rsidRDefault="002F0A99" w:rsidP="005F0A8A">
      <w:pPr>
        <w:pStyle w:val="Tekstpodstawowy2"/>
        <w:spacing w:before="120"/>
        <w:ind w:firstLine="0"/>
      </w:pPr>
      <w:r w:rsidRPr="00A94359">
        <w:t>W 2014 r. został opracowany trzeci krajowy plan („Krajowy Plan Działań dotyczący efektywności energetycznej dla Polski 2014”). Plan ten został zatwierdzony przez Radę Ministrów w kwietniu 2014 r., a następnie przekazany Komisji Europejskiej. Określa on między innymi działania w zakresie efektywności energetycznej budynków i</w:t>
      </w:r>
      <w:r w:rsidR="005F0A8A">
        <w:t> </w:t>
      </w:r>
      <w:r w:rsidRPr="00A94359">
        <w:t>w</w:t>
      </w:r>
      <w:r w:rsidR="005F0A8A">
        <w:t> </w:t>
      </w:r>
      <w:r w:rsidRPr="00A94359">
        <w:t>instytucjach publicznych, w przemyśle i w Małych i Średnich Przedsiębiorstwach, w transporcie oraz w</w:t>
      </w:r>
      <w:r w:rsidR="00A94359">
        <w:t xml:space="preserve"> </w:t>
      </w:r>
      <w:r w:rsidRPr="00A94359">
        <w:t xml:space="preserve">zakresie efektywności wytwarzania i dostaw energii. Ministrowie kierujący działami administracji rządowej są zobowiązani realizować krajowy plan. </w:t>
      </w:r>
    </w:p>
    <w:p w:rsidR="002F0A99" w:rsidRPr="00A94359" w:rsidRDefault="002F0A99" w:rsidP="00A94359">
      <w:pPr>
        <w:pStyle w:val="Tekstpodstawowy31"/>
        <w:tabs>
          <w:tab w:val="clear" w:pos="360"/>
          <w:tab w:val="left" w:pos="0"/>
        </w:tabs>
        <w:spacing w:before="120" w:line="360" w:lineRule="auto"/>
        <w:rPr>
          <w:szCs w:val="24"/>
        </w:rPr>
      </w:pPr>
      <w:r w:rsidRPr="00A94359">
        <w:rPr>
          <w:szCs w:val="24"/>
        </w:rPr>
        <w:t xml:space="preserve">Zgodnie z art. </w:t>
      </w:r>
      <w:r w:rsidR="004F067C" w:rsidRPr="00A94359">
        <w:rPr>
          <w:szCs w:val="24"/>
        </w:rPr>
        <w:t>4</w:t>
      </w:r>
      <w:r w:rsidRPr="00A94359">
        <w:rPr>
          <w:szCs w:val="24"/>
        </w:rPr>
        <w:t xml:space="preserve"> ust. 3 projektu ustawy </w:t>
      </w:r>
      <w:r w:rsidR="00014458">
        <w:rPr>
          <w:szCs w:val="24"/>
        </w:rPr>
        <w:t>–</w:t>
      </w:r>
      <w:r w:rsidRPr="00A94359">
        <w:rPr>
          <w:szCs w:val="24"/>
        </w:rPr>
        <w:t xml:space="preserve"> minister właściwy do spraw budownictwa, planowania i zagospodarowania przestrzennego oraz mieszkalnictwa będzie zobowiązany do przekazania strategii wspierania inwestycji w renowację budynków ministrowi właściwemu do spraw energii, do dnia 31 grudnia roku poprzedzającego rok, w którym jest obowiązek opracowania krajowego planu. </w:t>
      </w:r>
    </w:p>
    <w:p w:rsidR="002F0A99" w:rsidRPr="00A94359" w:rsidRDefault="002F0A99" w:rsidP="00A94359">
      <w:pPr>
        <w:pStyle w:val="Tekstpodstawowy31"/>
        <w:tabs>
          <w:tab w:val="clear" w:pos="360"/>
          <w:tab w:val="left" w:pos="0"/>
        </w:tabs>
        <w:spacing w:before="120" w:line="360" w:lineRule="auto"/>
        <w:ind w:firstLine="284"/>
        <w:rPr>
          <w:szCs w:val="24"/>
        </w:rPr>
      </w:pPr>
      <w:r w:rsidRPr="00A94359">
        <w:rPr>
          <w:szCs w:val="24"/>
        </w:rPr>
        <w:t xml:space="preserve">Powyższa strategia zawierać będzie: </w:t>
      </w:r>
    </w:p>
    <w:p w:rsidR="002F0A99" w:rsidRPr="00A94359" w:rsidRDefault="005F0A8A" w:rsidP="005F0A8A">
      <w:pPr>
        <w:pStyle w:val="Tekstpodstawowy31"/>
        <w:tabs>
          <w:tab w:val="clear" w:pos="360"/>
          <w:tab w:val="left" w:pos="364"/>
        </w:tabs>
        <w:spacing w:line="360" w:lineRule="auto"/>
        <w:rPr>
          <w:szCs w:val="24"/>
        </w:rPr>
      </w:pPr>
      <w:r>
        <w:rPr>
          <w:szCs w:val="24"/>
        </w:rPr>
        <w:t>1)</w:t>
      </w:r>
      <w:r>
        <w:rPr>
          <w:szCs w:val="24"/>
        </w:rPr>
        <w:tab/>
      </w:r>
      <w:r w:rsidR="002F0A99" w:rsidRPr="00A94359">
        <w:rPr>
          <w:szCs w:val="24"/>
        </w:rPr>
        <w:t>wyniki dokonanego przeglądu budynków zn</w:t>
      </w:r>
      <w:r w:rsidR="00014458">
        <w:rPr>
          <w:szCs w:val="24"/>
        </w:rPr>
        <w:t>ajdujących się na terytorium RP;</w:t>
      </w:r>
    </w:p>
    <w:p w:rsidR="002F0A99" w:rsidRPr="00A94359" w:rsidRDefault="005F0A8A" w:rsidP="005F0A8A">
      <w:pPr>
        <w:pStyle w:val="Tekstpodstawowy31"/>
        <w:tabs>
          <w:tab w:val="clear" w:pos="360"/>
          <w:tab w:val="left" w:pos="364"/>
        </w:tabs>
        <w:spacing w:line="360" w:lineRule="auto"/>
        <w:rPr>
          <w:szCs w:val="24"/>
        </w:rPr>
      </w:pPr>
      <w:r>
        <w:rPr>
          <w:szCs w:val="24"/>
        </w:rPr>
        <w:t>2)</w:t>
      </w:r>
      <w:r>
        <w:rPr>
          <w:szCs w:val="24"/>
        </w:rPr>
        <w:tab/>
      </w:r>
      <w:r w:rsidR="002F0A99" w:rsidRPr="00A94359">
        <w:rPr>
          <w:szCs w:val="24"/>
        </w:rPr>
        <w:t>określenie sposobów przebudowy lub remontu budynków;</w:t>
      </w:r>
    </w:p>
    <w:p w:rsidR="002F0A99" w:rsidRPr="00A94359" w:rsidRDefault="002F0A99" w:rsidP="005F0A8A">
      <w:pPr>
        <w:pStyle w:val="Tekstpodstawowy31"/>
        <w:tabs>
          <w:tab w:val="clear" w:pos="360"/>
          <w:tab w:val="left" w:pos="364"/>
        </w:tabs>
        <w:spacing w:line="360" w:lineRule="auto"/>
        <w:ind w:left="364" w:hanging="364"/>
        <w:rPr>
          <w:szCs w:val="24"/>
        </w:rPr>
      </w:pPr>
      <w:r w:rsidRPr="00A94359">
        <w:rPr>
          <w:szCs w:val="24"/>
        </w:rPr>
        <w:t>3)</w:t>
      </w:r>
      <w:r w:rsidRPr="00A94359">
        <w:rPr>
          <w:szCs w:val="24"/>
        </w:rPr>
        <w:tab/>
        <w:t xml:space="preserve">dane szacunkowe o możliwej do uzyskania oszczędności energii w wyniku przebudowy lub remontu budynków. </w:t>
      </w:r>
    </w:p>
    <w:p w:rsidR="002F0A99" w:rsidRPr="00A94359" w:rsidRDefault="002F0A99" w:rsidP="005F0A8A">
      <w:pPr>
        <w:pStyle w:val="USTustnpkodeksu"/>
        <w:spacing w:before="120"/>
        <w:ind w:firstLine="0"/>
        <w:rPr>
          <w:rFonts w:ascii="Times New Roman" w:hAnsi="Times New Roman" w:cs="Times New Roman"/>
          <w:szCs w:val="24"/>
        </w:rPr>
      </w:pPr>
      <w:r w:rsidRPr="00A94359">
        <w:rPr>
          <w:rFonts w:ascii="Times New Roman" w:hAnsi="Times New Roman" w:cs="Times New Roman"/>
          <w:szCs w:val="24"/>
        </w:rPr>
        <w:t xml:space="preserve">Strategia ta przekazywana będzie Komisji Europejskiej w ramach krajowego planu działań. </w:t>
      </w:r>
    </w:p>
    <w:p w:rsidR="002F0A99" w:rsidRPr="00A94359" w:rsidRDefault="002F0A99" w:rsidP="005F0A8A">
      <w:pPr>
        <w:pStyle w:val="USTustnpkodeksu"/>
        <w:spacing w:before="120"/>
        <w:ind w:firstLine="0"/>
        <w:rPr>
          <w:rFonts w:ascii="Times New Roman" w:hAnsi="Times New Roman" w:cs="Times New Roman"/>
          <w:szCs w:val="24"/>
        </w:rPr>
      </w:pPr>
      <w:r w:rsidRPr="00A94359">
        <w:rPr>
          <w:rFonts w:ascii="Times New Roman" w:hAnsi="Times New Roman" w:cs="Times New Roman"/>
          <w:szCs w:val="24"/>
        </w:rPr>
        <w:t xml:space="preserve">Materia uregulowana w art. </w:t>
      </w:r>
      <w:r w:rsidR="004F067C" w:rsidRPr="00A94359">
        <w:rPr>
          <w:rFonts w:ascii="Times New Roman" w:hAnsi="Times New Roman" w:cs="Times New Roman"/>
          <w:szCs w:val="24"/>
        </w:rPr>
        <w:t>4</w:t>
      </w:r>
      <w:r w:rsidRPr="00A94359">
        <w:rPr>
          <w:rFonts w:ascii="Times New Roman" w:hAnsi="Times New Roman" w:cs="Times New Roman"/>
          <w:szCs w:val="24"/>
        </w:rPr>
        <w:t xml:space="preserve"> i </w:t>
      </w:r>
      <w:r w:rsidR="00014458">
        <w:rPr>
          <w:rFonts w:ascii="Times New Roman" w:hAnsi="Times New Roman" w:cs="Times New Roman"/>
          <w:szCs w:val="24"/>
        </w:rPr>
        <w:t xml:space="preserve">art. </w:t>
      </w:r>
      <w:r w:rsidR="004F067C" w:rsidRPr="00A94359">
        <w:rPr>
          <w:rFonts w:ascii="Times New Roman" w:hAnsi="Times New Roman" w:cs="Times New Roman"/>
          <w:szCs w:val="24"/>
        </w:rPr>
        <w:t>5</w:t>
      </w:r>
      <w:r w:rsidRPr="00A94359">
        <w:rPr>
          <w:rFonts w:ascii="Times New Roman" w:hAnsi="Times New Roman" w:cs="Times New Roman"/>
          <w:szCs w:val="24"/>
        </w:rPr>
        <w:t xml:space="preserve"> projektu ustawy wdraża art. 4 dyrektywy 2012/27/UE zatytułowany „Renowacja budynków”. </w:t>
      </w:r>
    </w:p>
    <w:p w:rsidR="002F0A99" w:rsidRPr="00A94359" w:rsidRDefault="002F0A99" w:rsidP="00A94359">
      <w:pPr>
        <w:pStyle w:val="Nagwek2"/>
        <w:spacing w:before="120" w:line="360" w:lineRule="auto"/>
        <w:ind w:left="0" w:firstLine="0"/>
        <w:rPr>
          <w:noProof/>
          <w:sz w:val="24"/>
          <w:szCs w:val="24"/>
        </w:rPr>
      </w:pPr>
      <w:r w:rsidRPr="00A94359">
        <w:rPr>
          <w:noProof/>
          <w:sz w:val="24"/>
          <w:szCs w:val="24"/>
        </w:rPr>
        <w:t>Zadania jednostek sektora publicznego w zakresie efektywności energetycznej</w:t>
      </w:r>
    </w:p>
    <w:p w:rsidR="002F0A99" w:rsidRPr="00A94359" w:rsidRDefault="002F0A99" w:rsidP="005F0A8A">
      <w:pPr>
        <w:pStyle w:val="USTustnpkodeksu"/>
        <w:spacing w:before="120"/>
        <w:ind w:firstLine="0"/>
        <w:rPr>
          <w:rFonts w:ascii="Times New Roman" w:hAnsi="Times New Roman" w:cs="Times New Roman"/>
          <w:szCs w:val="24"/>
        </w:rPr>
      </w:pPr>
      <w:r w:rsidRPr="00A94359">
        <w:rPr>
          <w:rFonts w:ascii="Times New Roman" w:hAnsi="Times New Roman" w:cs="Times New Roman"/>
          <w:szCs w:val="24"/>
        </w:rPr>
        <w:t>Proponowane w rozdziale 3 projektu ustawy rozwiązania stanowią wypełnienie art. 5 i</w:t>
      </w:r>
      <w:r w:rsidR="005F0A8A">
        <w:rPr>
          <w:rFonts w:ascii="Times New Roman" w:hAnsi="Times New Roman" w:cs="Times New Roman"/>
          <w:szCs w:val="24"/>
        </w:rPr>
        <w:t> </w:t>
      </w:r>
      <w:r w:rsidRPr="00A94359">
        <w:rPr>
          <w:rFonts w:ascii="Times New Roman" w:hAnsi="Times New Roman" w:cs="Times New Roman"/>
          <w:szCs w:val="24"/>
        </w:rPr>
        <w:t>art.</w:t>
      </w:r>
      <w:r w:rsidR="00A94359">
        <w:rPr>
          <w:rFonts w:ascii="Times New Roman" w:hAnsi="Times New Roman" w:cs="Times New Roman"/>
          <w:szCs w:val="24"/>
        </w:rPr>
        <w:t xml:space="preserve"> </w:t>
      </w:r>
      <w:r w:rsidRPr="00A94359">
        <w:rPr>
          <w:rFonts w:ascii="Times New Roman" w:hAnsi="Times New Roman" w:cs="Times New Roman"/>
          <w:szCs w:val="24"/>
        </w:rPr>
        <w:t xml:space="preserve">6 dyrektywy 2012/27/UE, i stanowią rozszerzenie art. 10 i art. 11 obecnie obowiązującej ustawy. </w:t>
      </w:r>
    </w:p>
    <w:p w:rsidR="002F0A99" w:rsidRPr="00A94359" w:rsidRDefault="002F0A99" w:rsidP="005F0A8A">
      <w:pPr>
        <w:pStyle w:val="USTustnpkodeksu"/>
        <w:spacing w:before="120"/>
        <w:ind w:firstLine="0"/>
        <w:rPr>
          <w:rFonts w:ascii="Times New Roman" w:hAnsi="Times New Roman" w:cs="Times New Roman"/>
          <w:szCs w:val="24"/>
        </w:rPr>
      </w:pPr>
      <w:r w:rsidRPr="00A94359">
        <w:rPr>
          <w:rFonts w:ascii="Times New Roman" w:hAnsi="Times New Roman" w:cs="Times New Roman"/>
          <w:szCs w:val="24"/>
        </w:rPr>
        <w:t xml:space="preserve">W stosunku do obowiązującego stanu prawnego </w:t>
      </w:r>
      <w:r w:rsidR="00014458">
        <w:rPr>
          <w:rFonts w:ascii="Times New Roman" w:hAnsi="Times New Roman" w:cs="Times New Roman"/>
          <w:szCs w:val="24"/>
        </w:rPr>
        <w:t>–</w:t>
      </w:r>
      <w:r w:rsidRPr="00A94359">
        <w:rPr>
          <w:rFonts w:ascii="Times New Roman" w:hAnsi="Times New Roman" w:cs="Times New Roman"/>
          <w:szCs w:val="24"/>
        </w:rPr>
        <w:t xml:space="preserve"> ograniczono obowiązkowe stosowanie przez jednostkę sektora publicznego środków poprawy efektywności energetycznej z dwóch do jednego (dyrektywa 2012/27/UE nie wymaga zrealizowania co najmniej dwóch wybranych środków poprawy</w:t>
      </w:r>
      <w:r w:rsidR="005F0A8A">
        <w:rPr>
          <w:rFonts w:ascii="Times New Roman" w:hAnsi="Times New Roman" w:cs="Times New Roman"/>
          <w:szCs w:val="24"/>
        </w:rPr>
        <w:t xml:space="preserve"> efektywności energetycznej). W </w:t>
      </w:r>
      <w:r w:rsidRPr="00A94359">
        <w:rPr>
          <w:rFonts w:ascii="Times New Roman" w:hAnsi="Times New Roman" w:cs="Times New Roman"/>
          <w:szCs w:val="24"/>
        </w:rPr>
        <w:t>konsekwencji dokonano zmian w wykazie środków poprawy efektywności energetycznej. Ze względu na to, że sporządzenie audytu energetycznego nie może być traktowane jako zrealizowanie przedsięwzięcia służącego poprawie efektywności energetycznej, zapewniającego określoną oszczędność energii finalnej, zrezygnowano z</w:t>
      </w:r>
      <w:r w:rsidR="005F0A8A">
        <w:rPr>
          <w:rFonts w:ascii="Times New Roman" w:hAnsi="Times New Roman" w:cs="Times New Roman"/>
          <w:szCs w:val="24"/>
        </w:rPr>
        <w:t> </w:t>
      </w:r>
      <w:r w:rsidRPr="00A94359">
        <w:rPr>
          <w:rFonts w:ascii="Times New Roman" w:hAnsi="Times New Roman" w:cs="Times New Roman"/>
          <w:szCs w:val="24"/>
        </w:rPr>
        <w:t>umieszczania go w wykazie. W zamian za to, jako nowy środek poprawy efektywności energetycznej, wprowadzono wdrażanie systemu zarządzania środowiskowego, o którym mowa w art. 2 pkt 13 rozporządzenia Parlamentu Europejskiego i Rady (WE) nr 1221/2009 z 25 listopada 2009 r. w sprawie dobrowolnego udziału organizacji w systemie ekozarządzania i audytu we Wspólnocie (EMAS), uchylającego rozporządzenie (WE) nr 761/2001 oraz decyzje Komisji 2001/681/WE i</w:t>
      </w:r>
      <w:r w:rsidR="00A94359">
        <w:rPr>
          <w:rFonts w:ascii="Times New Roman" w:hAnsi="Times New Roman" w:cs="Times New Roman"/>
          <w:szCs w:val="24"/>
        </w:rPr>
        <w:t xml:space="preserve"> </w:t>
      </w:r>
      <w:r w:rsidRPr="00A94359">
        <w:rPr>
          <w:rFonts w:ascii="Times New Roman" w:hAnsi="Times New Roman" w:cs="Times New Roman"/>
          <w:szCs w:val="24"/>
        </w:rPr>
        <w:t>2006/193/WE (Dz. Urz. UE L 342 z</w:t>
      </w:r>
      <w:r w:rsidR="00A94359">
        <w:rPr>
          <w:rFonts w:ascii="Times New Roman" w:hAnsi="Times New Roman" w:cs="Times New Roman"/>
          <w:szCs w:val="24"/>
        </w:rPr>
        <w:t xml:space="preserve"> </w:t>
      </w:r>
      <w:r w:rsidRPr="00A94359">
        <w:rPr>
          <w:rFonts w:ascii="Times New Roman" w:hAnsi="Times New Roman" w:cs="Times New Roman"/>
          <w:szCs w:val="24"/>
        </w:rPr>
        <w:t>22</w:t>
      </w:r>
      <w:r w:rsidR="00014458">
        <w:rPr>
          <w:rFonts w:ascii="Times New Roman" w:hAnsi="Times New Roman" w:cs="Times New Roman"/>
          <w:szCs w:val="24"/>
        </w:rPr>
        <w:t>.</w:t>
      </w:r>
      <w:r w:rsidRPr="00A94359">
        <w:rPr>
          <w:rFonts w:ascii="Times New Roman" w:hAnsi="Times New Roman" w:cs="Times New Roman"/>
          <w:szCs w:val="24"/>
        </w:rPr>
        <w:t>12.2009, str. 1) potwierdzone uzyskaniem wpisu do rejestru EMAS, o którym mowa w art. 5 ust. 1 ustawy z dnia 15</w:t>
      </w:r>
      <w:r w:rsidR="005F0A8A">
        <w:rPr>
          <w:rFonts w:ascii="Times New Roman" w:hAnsi="Times New Roman" w:cs="Times New Roman"/>
          <w:szCs w:val="24"/>
        </w:rPr>
        <w:t> </w:t>
      </w:r>
      <w:r w:rsidRPr="00A94359">
        <w:rPr>
          <w:rFonts w:ascii="Times New Roman" w:hAnsi="Times New Roman" w:cs="Times New Roman"/>
          <w:szCs w:val="24"/>
        </w:rPr>
        <w:t>lipca 2011 r. o krajowym systemie ekozarządzania i audytu (EMAS) (Dz. U. Nr 178, poz. 1060).</w:t>
      </w:r>
    </w:p>
    <w:p w:rsidR="004B780A" w:rsidRPr="00A94359" w:rsidRDefault="002F0A99" w:rsidP="005F0A8A">
      <w:pPr>
        <w:pStyle w:val="USTustnpkodeksu"/>
        <w:spacing w:before="120"/>
        <w:ind w:firstLine="0"/>
        <w:rPr>
          <w:rFonts w:ascii="Times New Roman" w:hAnsi="Times New Roman" w:cs="Times New Roman"/>
          <w:szCs w:val="24"/>
        </w:rPr>
      </w:pPr>
      <w:r w:rsidRPr="00A94359">
        <w:rPr>
          <w:rFonts w:ascii="Times New Roman" w:hAnsi="Times New Roman" w:cs="Times New Roman"/>
          <w:szCs w:val="24"/>
        </w:rPr>
        <w:t xml:space="preserve">Wprowadzono </w:t>
      </w:r>
      <w:r w:rsidR="006A568B" w:rsidRPr="00A94359">
        <w:rPr>
          <w:rFonts w:ascii="Times New Roman" w:hAnsi="Times New Roman" w:cs="Times New Roman"/>
          <w:szCs w:val="24"/>
        </w:rPr>
        <w:t>też</w:t>
      </w:r>
      <w:r w:rsidRPr="00A94359">
        <w:rPr>
          <w:rFonts w:ascii="Times New Roman" w:hAnsi="Times New Roman" w:cs="Times New Roman"/>
          <w:szCs w:val="24"/>
        </w:rPr>
        <w:t xml:space="preserve"> regulację, zgodnie z którą jednostka sektora publicznego będzie mogła stosować środek poprawy efektywności energetyc</w:t>
      </w:r>
      <w:r w:rsidR="005F0A8A">
        <w:rPr>
          <w:rFonts w:ascii="Times New Roman" w:hAnsi="Times New Roman" w:cs="Times New Roman"/>
          <w:szCs w:val="24"/>
        </w:rPr>
        <w:t>znej na podstawie umowy o </w:t>
      </w:r>
      <w:r w:rsidRPr="00A94359">
        <w:rPr>
          <w:rFonts w:ascii="Times New Roman" w:hAnsi="Times New Roman" w:cs="Times New Roman"/>
          <w:szCs w:val="24"/>
        </w:rPr>
        <w:t>poprawę efektywności energetycznej.</w:t>
      </w:r>
      <w:r w:rsidR="006A568B" w:rsidRPr="00A94359">
        <w:rPr>
          <w:rFonts w:ascii="Times New Roman" w:hAnsi="Times New Roman" w:cs="Times New Roman"/>
          <w:szCs w:val="24"/>
        </w:rPr>
        <w:t xml:space="preserve"> Zgodnie bowiem z art. 5 ust. 7</w:t>
      </w:r>
      <w:r w:rsidRPr="00A94359">
        <w:rPr>
          <w:rFonts w:ascii="Times New Roman" w:hAnsi="Times New Roman" w:cs="Times New Roman"/>
          <w:szCs w:val="24"/>
        </w:rPr>
        <w:t xml:space="preserve"> </w:t>
      </w:r>
      <w:r w:rsidR="006A568B" w:rsidRPr="00A94359">
        <w:rPr>
          <w:rFonts w:ascii="Times New Roman" w:hAnsi="Times New Roman" w:cs="Times New Roman"/>
          <w:szCs w:val="24"/>
        </w:rPr>
        <w:t>dyrektywy 2012/27/UE korzystanie z tych umów jest fakultatywne, tj. w stosownych przypadkach do finansowania renowacji w perspektywie długoterminowej. W</w:t>
      </w:r>
      <w:r w:rsidRPr="00A94359">
        <w:rPr>
          <w:rFonts w:ascii="Times New Roman" w:hAnsi="Times New Roman" w:cs="Times New Roman"/>
          <w:szCs w:val="24"/>
        </w:rPr>
        <w:t xml:space="preserve"> art. </w:t>
      </w:r>
      <w:r w:rsidR="006A568B" w:rsidRPr="00A94359">
        <w:rPr>
          <w:rFonts w:ascii="Times New Roman" w:hAnsi="Times New Roman" w:cs="Times New Roman"/>
          <w:szCs w:val="24"/>
        </w:rPr>
        <w:t>7</w:t>
      </w:r>
      <w:r w:rsidRPr="00A94359">
        <w:rPr>
          <w:rFonts w:ascii="Times New Roman" w:hAnsi="Times New Roman" w:cs="Times New Roman"/>
          <w:szCs w:val="24"/>
        </w:rPr>
        <w:t xml:space="preserve"> </w:t>
      </w:r>
      <w:r w:rsidR="004B780A" w:rsidRPr="00A94359">
        <w:rPr>
          <w:rFonts w:ascii="Times New Roman" w:hAnsi="Times New Roman" w:cs="Times New Roman"/>
          <w:szCs w:val="24"/>
        </w:rPr>
        <w:t xml:space="preserve">ust. 2 </w:t>
      </w:r>
      <w:r w:rsidRPr="00A94359">
        <w:rPr>
          <w:rFonts w:ascii="Times New Roman" w:hAnsi="Times New Roman" w:cs="Times New Roman"/>
          <w:szCs w:val="24"/>
        </w:rPr>
        <w:t>projektu ustawy określono podstawowe elementy takiej umowy</w:t>
      </w:r>
      <w:r w:rsidR="006A568B" w:rsidRPr="00A94359">
        <w:rPr>
          <w:rFonts w:ascii="Times New Roman" w:hAnsi="Times New Roman" w:cs="Times New Roman"/>
          <w:szCs w:val="24"/>
        </w:rPr>
        <w:t xml:space="preserve">, zgodnie z </w:t>
      </w:r>
      <w:r w:rsidRPr="00A94359">
        <w:rPr>
          <w:rFonts w:ascii="Times New Roman" w:hAnsi="Times New Roman" w:cs="Times New Roman"/>
          <w:szCs w:val="24"/>
        </w:rPr>
        <w:t>definicj</w:t>
      </w:r>
      <w:r w:rsidR="006A568B" w:rsidRPr="00A94359">
        <w:rPr>
          <w:rFonts w:ascii="Times New Roman" w:hAnsi="Times New Roman" w:cs="Times New Roman"/>
          <w:szCs w:val="24"/>
        </w:rPr>
        <w:t>ą</w:t>
      </w:r>
      <w:r w:rsidRPr="00A94359">
        <w:rPr>
          <w:rFonts w:ascii="Times New Roman" w:hAnsi="Times New Roman" w:cs="Times New Roman"/>
          <w:szCs w:val="24"/>
        </w:rPr>
        <w:t xml:space="preserve"> z art. 2 ust.</w:t>
      </w:r>
      <w:r w:rsidR="005F0A8A">
        <w:rPr>
          <w:rFonts w:ascii="Times New Roman" w:hAnsi="Times New Roman" w:cs="Times New Roman"/>
          <w:szCs w:val="24"/>
        </w:rPr>
        <w:t> </w:t>
      </w:r>
      <w:r w:rsidRPr="00A94359">
        <w:rPr>
          <w:rFonts w:ascii="Times New Roman" w:hAnsi="Times New Roman" w:cs="Times New Roman"/>
          <w:szCs w:val="24"/>
        </w:rPr>
        <w:t xml:space="preserve">27 dyrektywy. </w:t>
      </w:r>
      <w:r w:rsidR="004B780A" w:rsidRPr="00A94359">
        <w:rPr>
          <w:rFonts w:ascii="Times New Roman" w:hAnsi="Times New Roman" w:cs="Times New Roman"/>
          <w:szCs w:val="24"/>
        </w:rPr>
        <w:t>Umowa o</w:t>
      </w:r>
      <w:r w:rsidR="00A94359">
        <w:rPr>
          <w:rFonts w:ascii="Times New Roman" w:hAnsi="Times New Roman" w:cs="Times New Roman"/>
          <w:szCs w:val="24"/>
        </w:rPr>
        <w:t xml:space="preserve"> </w:t>
      </w:r>
      <w:r w:rsidR="004B780A" w:rsidRPr="00A94359">
        <w:rPr>
          <w:rFonts w:ascii="Times New Roman" w:hAnsi="Times New Roman" w:cs="Times New Roman"/>
          <w:szCs w:val="24"/>
        </w:rPr>
        <w:t>poprawę efektywności energetycznej określa w</w:t>
      </w:r>
      <w:r w:rsidR="005F0A8A">
        <w:rPr>
          <w:rFonts w:ascii="Times New Roman" w:hAnsi="Times New Roman" w:cs="Times New Roman"/>
          <w:szCs w:val="24"/>
        </w:rPr>
        <w:t> </w:t>
      </w:r>
      <w:r w:rsidR="004B780A" w:rsidRPr="00A94359">
        <w:rPr>
          <w:rFonts w:ascii="Times New Roman" w:hAnsi="Times New Roman" w:cs="Times New Roman"/>
          <w:szCs w:val="24"/>
        </w:rPr>
        <w:t>szczególności możliwe do uzyskania oszczędności energii w wyniku realizacji przedsięwzięcia z zastosowaniem środka poprawy efektywności energetycznej oraz sposób ustalania wynagrodzenia, którego wysokość jest uzależniona od oszczędności energii uzyskanej w wyniku realizacji tego przedsięwzięcia.</w:t>
      </w:r>
    </w:p>
    <w:p w:rsidR="002F0A99" w:rsidRPr="00A94359" w:rsidRDefault="002F0A99" w:rsidP="005F0A8A">
      <w:pPr>
        <w:autoSpaceDE w:val="0"/>
        <w:autoSpaceDN w:val="0"/>
        <w:adjustRightInd w:val="0"/>
        <w:spacing w:before="120" w:line="360" w:lineRule="auto"/>
        <w:jc w:val="both"/>
        <w:rPr>
          <w:spacing w:val="4"/>
        </w:rPr>
      </w:pPr>
      <w:r w:rsidRPr="00A94359">
        <w:rPr>
          <w:spacing w:val="4"/>
        </w:rPr>
        <w:t xml:space="preserve">Zgodnie z art. 5 ust. 1 dyrektywy 2012/27/UE należy zapewnić, aby od dnia </w:t>
      </w:r>
      <w:r w:rsidR="00014458">
        <w:rPr>
          <w:spacing w:val="4"/>
        </w:rPr>
        <w:br/>
      </w:r>
      <w:r w:rsidRPr="00A94359">
        <w:rPr>
          <w:spacing w:val="4"/>
        </w:rPr>
        <w:t xml:space="preserve">1 stycznia 2014 r. 3% całkowitej powierzchni ogrzewanych lub chłodzonych budynków będących własnością instytucji rządowych oraz przez te instytucje zajmowanych było poddawanych corocznie renowacji, w celu spełnienia przynajmniej wymogów minimalnych dotyczących charakterystyki energetycznej, które dane państwo ustaliło przy zastosowaniu art. 4 dyrektywy 2010/31/UE </w:t>
      </w:r>
      <w:r w:rsidRPr="00A94359">
        <w:rPr>
          <w:lang w:eastAsia="en-US"/>
        </w:rPr>
        <w:t>w</w:t>
      </w:r>
      <w:r w:rsidR="005F0A8A">
        <w:rPr>
          <w:lang w:eastAsia="en-US"/>
        </w:rPr>
        <w:t> </w:t>
      </w:r>
      <w:r w:rsidRPr="00A94359">
        <w:rPr>
          <w:lang w:eastAsia="en-US"/>
        </w:rPr>
        <w:t>sprawie charakterystyki energetycznej budynków</w:t>
      </w:r>
      <w:r w:rsidRPr="00A94359">
        <w:rPr>
          <w:spacing w:val="4"/>
        </w:rPr>
        <w:t>.</w:t>
      </w:r>
    </w:p>
    <w:p w:rsidR="002F0A99" w:rsidRPr="00A94359" w:rsidRDefault="002F0A99" w:rsidP="005F0A8A">
      <w:pPr>
        <w:autoSpaceDE w:val="0"/>
        <w:autoSpaceDN w:val="0"/>
        <w:adjustRightInd w:val="0"/>
        <w:spacing w:before="120" w:line="360" w:lineRule="auto"/>
        <w:jc w:val="both"/>
        <w:rPr>
          <w:spacing w:val="4"/>
        </w:rPr>
      </w:pPr>
      <w:r w:rsidRPr="00A94359">
        <w:rPr>
          <w:spacing w:val="4"/>
        </w:rPr>
        <w:t>W celu wdrożenia art. 5 ust. 1</w:t>
      </w:r>
      <w:r w:rsidR="00014458">
        <w:rPr>
          <w:spacing w:val="4"/>
        </w:rPr>
        <w:t>–</w:t>
      </w:r>
      <w:r w:rsidRPr="00A94359">
        <w:rPr>
          <w:spacing w:val="4"/>
        </w:rPr>
        <w:t>5 dyrektywy 2012/27/UE wybrano jednak metodę alternatywną, którą dopuszcza art. 5 ust. 6 dyrektywy. W związku z tym, zgodnie z</w:t>
      </w:r>
      <w:r w:rsidR="005F0A8A">
        <w:rPr>
          <w:spacing w:val="4"/>
        </w:rPr>
        <w:t> </w:t>
      </w:r>
      <w:r w:rsidRPr="00A94359">
        <w:rPr>
          <w:spacing w:val="4"/>
        </w:rPr>
        <w:t>art.</w:t>
      </w:r>
      <w:r w:rsidR="00A94359">
        <w:rPr>
          <w:spacing w:val="4"/>
        </w:rPr>
        <w:t xml:space="preserve"> </w:t>
      </w:r>
      <w:r w:rsidRPr="00A94359">
        <w:rPr>
          <w:spacing w:val="4"/>
        </w:rPr>
        <w:t>5 ust. 6 akapit 3 dyrektywy, w 2013 r. powiadomiono Komisję Europejską o</w:t>
      </w:r>
      <w:r w:rsidR="005F0A8A">
        <w:rPr>
          <w:spacing w:val="4"/>
        </w:rPr>
        <w:t> </w:t>
      </w:r>
      <w:r w:rsidRPr="00A94359">
        <w:rPr>
          <w:spacing w:val="4"/>
        </w:rPr>
        <w:t>alternatywnych środkach, które Polska planuje przedsięwziąć, określając sposób w</w:t>
      </w:r>
      <w:r w:rsidR="005F0A8A">
        <w:rPr>
          <w:spacing w:val="4"/>
        </w:rPr>
        <w:t> </w:t>
      </w:r>
      <w:r w:rsidRPr="00A94359">
        <w:rPr>
          <w:spacing w:val="4"/>
        </w:rPr>
        <w:t xml:space="preserve">jaki zamierza uzyskać równoważną poprawę charakterystyki energetycznej budynków stanowiących własność instytucji rządowych. </w:t>
      </w:r>
    </w:p>
    <w:p w:rsidR="002F0A99" w:rsidRPr="00A94359" w:rsidRDefault="002F0A99" w:rsidP="005F0A8A">
      <w:pPr>
        <w:pStyle w:val="PKTpunkt"/>
        <w:spacing w:before="120"/>
        <w:ind w:left="0" w:firstLine="0"/>
        <w:rPr>
          <w:rFonts w:ascii="Times New Roman" w:hAnsi="Times New Roman" w:cs="Times New Roman"/>
          <w:szCs w:val="24"/>
        </w:rPr>
      </w:pPr>
      <w:r w:rsidRPr="00A94359">
        <w:rPr>
          <w:rFonts w:ascii="Times New Roman" w:hAnsi="Times New Roman" w:cs="Times New Roman"/>
          <w:szCs w:val="24"/>
        </w:rPr>
        <w:t xml:space="preserve">Zgodnie z art. </w:t>
      </w:r>
      <w:r w:rsidR="004B780A" w:rsidRPr="00A94359">
        <w:rPr>
          <w:rFonts w:ascii="Times New Roman" w:hAnsi="Times New Roman" w:cs="Times New Roman"/>
          <w:szCs w:val="24"/>
        </w:rPr>
        <w:t>8</w:t>
      </w:r>
      <w:r w:rsidRPr="00A94359">
        <w:rPr>
          <w:rFonts w:ascii="Times New Roman" w:hAnsi="Times New Roman" w:cs="Times New Roman"/>
          <w:szCs w:val="24"/>
        </w:rPr>
        <w:t xml:space="preserve"> projektu ustawy, na organy władzy publicznej w rozumieniu ustawy z</w:t>
      </w:r>
      <w:r w:rsidR="005F0A8A">
        <w:rPr>
          <w:rFonts w:ascii="Times New Roman" w:hAnsi="Times New Roman" w:cs="Times New Roman"/>
          <w:szCs w:val="24"/>
        </w:rPr>
        <w:t> </w:t>
      </w:r>
      <w:r w:rsidRPr="00A94359">
        <w:rPr>
          <w:rFonts w:ascii="Times New Roman" w:hAnsi="Times New Roman" w:cs="Times New Roman"/>
          <w:szCs w:val="24"/>
        </w:rPr>
        <w:t>dnia 27 sierpnia 2009 r. o finansach publicznych (Dz. U z 2013 r. poz. 885, z</w:t>
      </w:r>
      <w:r w:rsidR="005F0A8A">
        <w:rPr>
          <w:rFonts w:ascii="Times New Roman" w:hAnsi="Times New Roman" w:cs="Times New Roman"/>
          <w:szCs w:val="24"/>
        </w:rPr>
        <w:t> </w:t>
      </w:r>
      <w:r w:rsidRPr="00A94359">
        <w:rPr>
          <w:rFonts w:ascii="Times New Roman" w:hAnsi="Times New Roman" w:cs="Times New Roman"/>
          <w:szCs w:val="24"/>
        </w:rPr>
        <w:t>późn.</w:t>
      </w:r>
      <w:r w:rsidR="005F0A8A">
        <w:rPr>
          <w:rFonts w:ascii="Times New Roman" w:hAnsi="Times New Roman" w:cs="Times New Roman"/>
          <w:szCs w:val="24"/>
        </w:rPr>
        <w:t> </w:t>
      </w:r>
      <w:r w:rsidRPr="00A94359">
        <w:rPr>
          <w:rFonts w:ascii="Times New Roman" w:hAnsi="Times New Roman" w:cs="Times New Roman"/>
          <w:szCs w:val="24"/>
        </w:rPr>
        <w:t>zm.</w:t>
      </w:r>
      <w:r w:rsidRPr="00A94359">
        <w:rPr>
          <w:rStyle w:val="Odwoanieprzypisudolnego"/>
          <w:rFonts w:ascii="Times New Roman" w:hAnsi="Times New Roman"/>
          <w:szCs w:val="24"/>
        </w:rPr>
        <w:footnoteReference w:id="3"/>
      </w:r>
      <w:r w:rsidRPr="00A94359">
        <w:rPr>
          <w:rFonts w:ascii="Times New Roman" w:hAnsi="Times New Roman" w:cs="Times New Roman"/>
          <w:szCs w:val="24"/>
          <w:vertAlign w:val="superscript"/>
        </w:rPr>
        <w:t>)</w:t>
      </w:r>
      <w:r w:rsidRPr="00A94359">
        <w:rPr>
          <w:rFonts w:ascii="Times New Roman" w:hAnsi="Times New Roman" w:cs="Times New Roman"/>
          <w:szCs w:val="24"/>
        </w:rPr>
        <w:t>), których obszar działania obejmuje całe terytorium Rzeczypospolitej Polskiej, nałożono obowiązek nabywania efektywnych energetycznie produktów lub zlecania wykonania usług</w:t>
      </w:r>
      <w:r w:rsidR="00F66990" w:rsidRPr="00A94359">
        <w:rPr>
          <w:rFonts w:ascii="Times New Roman" w:hAnsi="Times New Roman" w:cs="Times New Roman"/>
          <w:szCs w:val="24"/>
        </w:rPr>
        <w:t>, oraz</w:t>
      </w:r>
      <w:r w:rsidRPr="00A94359">
        <w:rPr>
          <w:rFonts w:ascii="Times New Roman" w:hAnsi="Times New Roman" w:cs="Times New Roman"/>
          <w:szCs w:val="24"/>
        </w:rPr>
        <w:t xml:space="preserve"> </w:t>
      </w:r>
      <w:r w:rsidR="00F66990" w:rsidRPr="00A94359">
        <w:rPr>
          <w:rFonts w:ascii="Times New Roman" w:hAnsi="Times New Roman" w:cs="Times New Roman"/>
          <w:szCs w:val="24"/>
        </w:rPr>
        <w:t xml:space="preserve">nabywania lub </w:t>
      </w:r>
      <w:r w:rsidRPr="00A94359">
        <w:rPr>
          <w:rFonts w:ascii="Times New Roman" w:hAnsi="Times New Roman" w:cs="Times New Roman"/>
          <w:szCs w:val="24"/>
        </w:rPr>
        <w:t xml:space="preserve">wynajmowania efektywnych energetycznie budynków lub ich części, </w:t>
      </w:r>
      <w:r w:rsidR="00F66990" w:rsidRPr="00A94359">
        <w:rPr>
          <w:rFonts w:ascii="Times New Roman" w:hAnsi="Times New Roman" w:cs="Times New Roman"/>
          <w:szCs w:val="24"/>
        </w:rPr>
        <w:t>lub</w:t>
      </w:r>
      <w:r w:rsidRPr="00A94359">
        <w:rPr>
          <w:rFonts w:ascii="Times New Roman" w:hAnsi="Times New Roman" w:cs="Times New Roman"/>
          <w:szCs w:val="24"/>
        </w:rPr>
        <w:t xml:space="preserve"> w</w:t>
      </w:r>
      <w:r w:rsidR="00A94359">
        <w:rPr>
          <w:rFonts w:ascii="Times New Roman" w:hAnsi="Times New Roman" w:cs="Times New Roman"/>
          <w:szCs w:val="24"/>
        </w:rPr>
        <w:t xml:space="preserve"> </w:t>
      </w:r>
      <w:r w:rsidRPr="00A94359">
        <w:rPr>
          <w:rFonts w:ascii="Times New Roman" w:hAnsi="Times New Roman" w:cs="Times New Roman"/>
          <w:szCs w:val="24"/>
        </w:rPr>
        <w:t>użytkowanych budynkach należących do Skarbu Państwa poddawanych przebudowie zapewnienia wypełnienia zaleceń, o</w:t>
      </w:r>
      <w:r w:rsidR="005F0A8A">
        <w:rPr>
          <w:rFonts w:ascii="Times New Roman" w:hAnsi="Times New Roman" w:cs="Times New Roman"/>
          <w:szCs w:val="24"/>
        </w:rPr>
        <w:t> </w:t>
      </w:r>
      <w:r w:rsidRPr="00A94359">
        <w:rPr>
          <w:rFonts w:ascii="Times New Roman" w:hAnsi="Times New Roman" w:cs="Times New Roman"/>
          <w:szCs w:val="24"/>
        </w:rPr>
        <w:t>których mowa w art. 10 pkt 3 ustawy z dnia 29 sierpnia 2014 r. o charakterystyce energetycznej budynków (Dz. U. poz. 1200 oraz z 2015 r. poz. 151)</w:t>
      </w:r>
      <w:r w:rsidR="00F66990" w:rsidRPr="00A94359">
        <w:rPr>
          <w:rFonts w:ascii="Times New Roman" w:hAnsi="Times New Roman" w:cs="Times New Roman"/>
          <w:szCs w:val="24"/>
        </w:rPr>
        <w:t xml:space="preserve">, lub realizowania innych środków poprawy efektywności energetycznej w zakresie charakterystyki energetycznej budynków. </w:t>
      </w:r>
    </w:p>
    <w:p w:rsidR="002F0A99" w:rsidRPr="00A94359" w:rsidRDefault="002F0A99" w:rsidP="005F0A8A">
      <w:pPr>
        <w:pStyle w:val="USTustnpkodeksu"/>
        <w:spacing w:before="120"/>
        <w:ind w:firstLine="0"/>
        <w:rPr>
          <w:rFonts w:ascii="Times New Roman" w:hAnsi="Times New Roman" w:cs="Times New Roman"/>
          <w:szCs w:val="24"/>
        </w:rPr>
      </w:pPr>
      <w:r w:rsidRPr="00A94359">
        <w:rPr>
          <w:rFonts w:ascii="Times New Roman" w:hAnsi="Times New Roman" w:cs="Times New Roman"/>
          <w:szCs w:val="24"/>
        </w:rPr>
        <w:t>Z powyższego obowiązku zwolniono, zgodnie z art. 5 dyrektywy 2012/27/UE, budynki zabytkowe oraz wykorzystywane na</w:t>
      </w:r>
      <w:r w:rsidR="00014458">
        <w:rPr>
          <w:rFonts w:ascii="Times New Roman" w:hAnsi="Times New Roman" w:cs="Times New Roman"/>
          <w:szCs w:val="24"/>
        </w:rPr>
        <w:t xml:space="preserve"> potrzeby obronności państwa, z</w:t>
      </w:r>
      <w:r w:rsidRPr="00A94359">
        <w:rPr>
          <w:rFonts w:ascii="Times New Roman" w:hAnsi="Times New Roman" w:cs="Times New Roman"/>
          <w:szCs w:val="24"/>
        </w:rPr>
        <w:t xml:space="preserve"> wyjątkiem kwater w</w:t>
      </w:r>
      <w:r w:rsidR="00A94359">
        <w:rPr>
          <w:rFonts w:ascii="Times New Roman" w:hAnsi="Times New Roman" w:cs="Times New Roman"/>
          <w:szCs w:val="24"/>
        </w:rPr>
        <w:t xml:space="preserve"> </w:t>
      </w:r>
      <w:r w:rsidRPr="00A94359">
        <w:rPr>
          <w:rFonts w:ascii="Times New Roman" w:hAnsi="Times New Roman" w:cs="Times New Roman"/>
          <w:szCs w:val="24"/>
        </w:rPr>
        <w:t>rozumieniu ustawy z dnia 22 czerwca 1995 r. o zakwaterowaniu Sił Zbrojnych Rzeczypospolitej Polskiej (Dz. U. z 201</w:t>
      </w:r>
      <w:r w:rsidR="000545DB">
        <w:rPr>
          <w:rFonts w:ascii="Times New Roman" w:hAnsi="Times New Roman" w:cs="Times New Roman"/>
          <w:szCs w:val="24"/>
        </w:rPr>
        <w:t>6</w:t>
      </w:r>
      <w:r w:rsidRPr="00A94359">
        <w:rPr>
          <w:rFonts w:ascii="Times New Roman" w:hAnsi="Times New Roman" w:cs="Times New Roman"/>
          <w:szCs w:val="24"/>
        </w:rPr>
        <w:t xml:space="preserve"> r. poz. </w:t>
      </w:r>
      <w:r w:rsidR="000545DB">
        <w:rPr>
          <w:rFonts w:ascii="Times New Roman" w:hAnsi="Times New Roman" w:cs="Times New Roman"/>
          <w:szCs w:val="24"/>
        </w:rPr>
        <w:t>20</w:t>
      </w:r>
      <w:r w:rsidRPr="00A94359">
        <w:rPr>
          <w:rFonts w:ascii="Times New Roman" w:hAnsi="Times New Roman" w:cs="Times New Roman"/>
          <w:szCs w:val="24"/>
        </w:rPr>
        <w:t xml:space="preserve">7) oraz budynków przeznaczonych na cele biurowe oraz użytkowanych przez jednostki organizacyjne podległe Ministrowi Obrony Narodowej lub przez niego nadzorowane. </w:t>
      </w:r>
    </w:p>
    <w:p w:rsidR="002F0A99" w:rsidRPr="00A94359" w:rsidRDefault="002F0A99" w:rsidP="005F0A8A">
      <w:pPr>
        <w:pStyle w:val="USTustnpkodeksu"/>
        <w:spacing w:before="120"/>
        <w:ind w:firstLine="0"/>
        <w:rPr>
          <w:rFonts w:ascii="Times New Roman" w:hAnsi="Times New Roman" w:cs="Times New Roman"/>
          <w:szCs w:val="24"/>
        </w:rPr>
      </w:pPr>
      <w:r w:rsidRPr="00A94359">
        <w:rPr>
          <w:rFonts w:ascii="Times New Roman" w:hAnsi="Times New Roman" w:cs="Times New Roman"/>
          <w:szCs w:val="24"/>
        </w:rPr>
        <w:t xml:space="preserve">Art. </w:t>
      </w:r>
      <w:r w:rsidR="00722257" w:rsidRPr="00A94359">
        <w:rPr>
          <w:rFonts w:ascii="Times New Roman" w:hAnsi="Times New Roman" w:cs="Times New Roman"/>
          <w:szCs w:val="24"/>
        </w:rPr>
        <w:t>8</w:t>
      </w:r>
      <w:r w:rsidRPr="00A94359">
        <w:rPr>
          <w:rFonts w:ascii="Times New Roman" w:hAnsi="Times New Roman" w:cs="Times New Roman"/>
          <w:szCs w:val="24"/>
        </w:rPr>
        <w:t xml:space="preserve"> ust. 3 projektu ustawy wdraża art. 6 akapit pierwszy dyrektywy 2012/27/UE, zgodnie z którym obowiązek określony w ust. 1 art. </w:t>
      </w:r>
      <w:r w:rsidR="00722257" w:rsidRPr="00A94359">
        <w:rPr>
          <w:rFonts w:ascii="Times New Roman" w:hAnsi="Times New Roman" w:cs="Times New Roman"/>
          <w:szCs w:val="24"/>
        </w:rPr>
        <w:t>8</w:t>
      </w:r>
      <w:r w:rsidRPr="00A94359">
        <w:rPr>
          <w:rFonts w:ascii="Times New Roman" w:hAnsi="Times New Roman" w:cs="Times New Roman"/>
          <w:szCs w:val="24"/>
        </w:rPr>
        <w:t xml:space="preserve"> projektu ustawy ma zastosowanie do zakupów przez organy władzy publicznej w rozumieniu ustawy z dnia 27 sierpnia 2009 r. o</w:t>
      </w:r>
      <w:r w:rsidR="00A94359">
        <w:rPr>
          <w:rFonts w:ascii="Times New Roman" w:hAnsi="Times New Roman" w:cs="Times New Roman"/>
          <w:szCs w:val="24"/>
        </w:rPr>
        <w:t xml:space="preserve"> </w:t>
      </w:r>
      <w:r w:rsidRPr="00A94359">
        <w:rPr>
          <w:rFonts w:ascii="Times New Roman" w:hAnsi="Times New Roman" w:cs="Times New Roman"/>
          <w:szCs w:val="24"/>
        </w:rPr>
        <w:t>finansach publicznych, produktów, usług lub budynków w takim zakresie, w</w:t>
      </w:r>
      <w:r w:rsidR="005F0A8A">
        <w:rPr>
          <w:rFonts w:ascii="Times New Roman" w:hAnsi="Times New Roman" w:cs="Times New Roman"/>
          <w:szCs w:val="24"/>
        </w:rPr>
        <w:t> </w:t>
      </w:r>
      <w:r w:rsidRPr="00A94359">
        <w:rPr>
          <w:rFonts w:ascii="Times New Roman" w:hAnsi="Times New Roman" w:cs="Times New Roman"/>
          <w:szCs w:val="24"/>
        </w:rPr>
        <w:t>jakim zakupy te mają wartość równą lub większą niż poziomy ustalone w art. 7 dyrektywy</w:t>
      </w:r>
      <w:r w:rsidRPr="00A94359">
        <w:rPr>
          <w:rFonts w:ascii="Times New Roman" w:hAnsi="Times New Roman" w:cs="Times New Roman"/>
          <w:b/>
          <w:szCs w:val="24"/>
        </w:rPr>
        <w:t xml:space="preserve"> </w:t>
      </w:r>
      <w:r w:rsidRPr="00A94359">
        <w:rPr>
          <w:rFonts w:ascii="Times New Roman" w:hAnsi="Times New Roman" w:cs="Times New Roman"/>
          <w:szCs w:val="24"/>
        </w:rPr>
        <w:t>2004/18/WE Parlamentu Europejskiego i Rady z dnia 31 marca 2004 r. w</w:t>
      </w:r>
      <w:r w:rsidR="005F0A8A">
        <w:rPr>
          <w:rFonts w:ascii="Times New Roman" w:hAnsi="Times New Roman" w:cs="Times New Roman"/>
          <w:szCs w:val="24"/>
        </w:rPr>
        <w:t> </w:t>
      </w:r>
      <w:r w:rsidRPr="00A94359">
        <w:rPr>
          <w:rFonts w:ascii="Times New Roman" w:hAnsi="Times New Roman" w:cs="Times New Roman"/>
          <w:szCs w:val="24"/>
        </w:rPr>
        <w:t>sprawie koordynacji procedur udzielania zamówień publicznych na roboty budowlane, dostawy i usługi (Dz. Urz. UE L 134 z 30.04.2004, str. 114, z późn. zm.; Dz. Urz. UE Polskie wydanie specjalne, rozdz. 6, t. 7, str. 132) – (w przepisach wydanych na podstawie art. 11 ust. 8 ustawy z dnia 29 stycznia 2004 r. – Prawo zamówień publicznych).</w:t>
      </w:r>
    </w:p>
    <w:p w:rsidR="002F0A99" w:rsidRPr="00A94359" w:rsidRDefault="002F0A99" w:rsidP="005F0A8A">
      <w:pPr>
        <w:pStyle w:val="USTustnpkodeksu"/>
        <w:spacing w:before="120"/>
        <w:ind w:firstLine="0"/>
        <w:rPr>
          <w:rFonts w:ascii="Times New Roman" w:hAnsi="Times New Roman" w:cs="Times New Roman"/>
          <w:szCs w:val="24"/>
        </w:rPr>
      </w:pPr>
      <w:r w:rsidRPr="00A94359">
        <w:rPr>
          <w:rFonts w:ascii="Times New Roman" w:hAnsi="Times New Roman" w:cs="Times New Roman"/>
          <w:szCs w:val="24"/>
        </w:rPr>
        <w:t xml:space="preserve">W celu zapewnienia zgodności z Załącznikiem III dyrektywy 2012/27/UE, w projekcie ustawy wskazano, że produkty lub usługi, o których mowa powyżej będą musiały spełniać określone w tym Załączniku wymagania. </w:t>
      </w:r>
    </w:p>
    <w:p w:rsidR="002F0A99" w:rsidRPr="00A94359" w:rsidRDefault="002F0A99" w:rsidP="005F0A8A">
      <w:pPr>
        <w:pStyle w:val="USTustnpkodeksu"/>
        <w:spacing w:before="120"/>
        <w:ind w:firstLine="0"/>
        <w:rPr>
          <w:rFonts w:ascii="Times New Roman" w:hAnsi="Times New Roman" w:cs="Times New Roman"/>
          <w:szCs w:val="24"/>
        </w:rPr>
      </w:pPr>
      <w:r w:rsidRPr="00A94359">
        <w:rPr>
          <w:rFonts w:ascii="Times New Roman" w:hAnsi="Times New Roman" w:cs="Times New Roman"/>
          <w:szCs w:val="24"/>
        </w:rPr>
        <w:t>Ministerstwo Infrastruktury i Rozwoju sporządziło zestawienie budynków o</w:t>
      </w:r>
      <w:r w:rsidR="005F0A8A">
        <w:rPr>
          <w:rFonts w:ascii="Times New Roman" w:hAnsi="Times New Roman" w:cs="Times New Roman"/>
          <w:szCs w:val="24"/>
        </w:rPr>
        <w:t> </w:t>
      </w:r>
      <w:r w:rsidRPr="00A94359">
        <w:rPr>
          <w:rFonts w:ascii="Times New Roman" w:hAnsi="Times New Roman" w:cs="Times New Roman"/>
          <w:szCs w:val="24"/>
        </w:rPr>
        <w:t>powierzchni użytkowej powyżej 500 m</w:t>
      </w:r>
      <w:r w:rsidRPr="00A94359">
        <w:rPr>
          <w:rFonts w:ascii="Times New Roman" w:hAnsi="Times New Roman" w:cs="Times New Roman"/>
          <w:szCs w:val="24"/>
          <w:vertAlign w:val="superscript"/>
        </w:rPr>
        <w:t>2</w:t>
      </w:r>
      <w:r w:rsidRPr="00A94359">
        <w:rPr>
          <w:rFonts w:ascii="Times New Roman" w:hAnsi="Times New Roman" w:cs="Times New Roman"/>
          <w:szCs w:val="24"/>
        </w:rPr>
        <w:t xml:space="preserve"> będących własnością organów władzy publicznej oraz przez te organy zajmowanych, które w dniu 1 stycznia 2014 r. nie spełniały minimalnych wymagań dotyczących charakterystyki energetycznej ustalonych zgodnie z art. 4 dyrektywy 2010/31/UE w sprawie charakterystyki energetycznej budynków. Następnie dokonano oszacowania wartości docelowej, tj. rocznej oszczędności energii pierwotnej, która powinna zostać uzyskana w wyniku działań podjętych w tych budynkach. Wartość docelowa rocznej oszczędności energii pierwotnej dla 2014 r. wyniosła 4536 MWh, tj. 390 ton oleju ekwiwalentnego (toe). Przyjmując założenie, że obowiązek uzyskiwania oszczędności energii pierwotnej będzie corocznie na takim samym poziomie, wartość docelowa tej oszczędności uzyskana do dnia 31 grudnia 2020 r. wyniesie 7 x 390 toe = 2730 toe.</w:t>
      </w:r>
    </w:p>
    <w:p w:rsidR="002F0A99" w:rsidRPr="00A94359" w:rsidRDefault="002F0A99" w:rsidP="005F0A8A">
      <w:pPr>
        <w:pStyle w:val="USTustnpkodeksu"/>
        <w:spacing w:before="120"/>
        <w:ind w:firstLine="0"/>
        <w:rPr>
          <w:rFonts w:ascii="Times New Roman" w:hAnsi="Times New Roman" w:cs="Times New Roman"/>
          <w:szCs w:val="24"/>
        </w:rPr>
      </w:pPr>
      <w:r w:rsidRPr="00A94359">
        <w:rPr>
          <w:rFonts w:ascii="Times New Roman" w:hAnsi="Times New Roman" w:cs="Times New Roman"/>
          <w:szCs w:val="24"/>
        </w:rPr>
        <w:t>Minister właściwy do spraw budownictwa, planowania i zagospodarowania przestrzennego oraz mieszkalnictwa został zobowiązany do przekazywania ministrowi właściwemu do spraw energii, w terminie do dnia 31 marca każdego roku, informacji o</w:t>
      </w:r>
      <w:r w:rsidR="005F0A8A">
        <w:rPr>
          <w:rFonts w:ascii="Times New Roman" w:hAnsi="Times New Roman" w:cs="Times New Roman"/>
          <w:szCs w:val="24"/>
        </w:rPr>
        <w:t> </w:t>
      </w:r>
      <w:r w:rsidRPr="00A94359">
        <w:rPr>
          <w:rFonts w:ascii="Times New Roman" w:hAnsi="Times New Roman" w:cs="Times New Roman"/>
          <w:szCs w:val="24"/>
        </w:rPr>
        <w:t>uzyskanych przez organy władzy publicznej oszczędnościach energii pierwotnej w</w:t>
      </w:r>
      <w:r w:rsidR="005F0A8A">
        <w:rPr>
          <w:rFonts w:ascii="Times New Roman" w:hAnsi="Times New Roman" w:cs="Times New Roman"/>
          <w:szCs w:val="24"/>
        </w:rPr>
        <w:t> </w:t>
      </w:r>
      <w:r w:rsidRPr="00A94359">
        <w:rPr>
          <w:rFonts w:ascii="Times New Roman" w:hAnsi="Times New Roman" w:cs="Times New Roman"/>
          <w:szCs w:val="24"/>
        </w:rPr>
        <w:t>budynkach użytkowanych przez te organy.</w:t>
      </w:r>
    </w:p>
    <w:p w:rsidR="002F0A99" w:rsidRPr="00A94359" w:rsidRDefault="002F0A99" w:rsidP="005F0A8A">
      <w:pPr>
        <w:pStyle w:val="USTustnpkodeksu"/>
        <w:spacing w:before="120"/>
        <w:ind w:firstLine="0"/>
        <w:rPr>
          <w:rFonts w:ascii="Times New Roman" w:hAnsi="Times New Roman" w:cs="Times New Roman"/>
          <w:szCs w:val="24"/>
        </w:rPr>
      </w:pPr>
      <w:r w:rsidRPr="00A94359">
        <w:rPr>
          <w:rFonts w:ascii="Times New Roman" w:hAnsi="Times New Roman" w:cs="Times New Roman"/>
          <w:szCs w:val="24"/>
        </w:rPr>
        <w:t xml:space="preserve">Na mocy art. </w:t>
      </w:r>
      <w:r w:rsidR="00722257" w:rsidRPr="00A94359">
        <w:rPr>
          <w:rFonts w:ascii="Times New Roman" w:hAnsi="Times New Roman" w:cs="Times New Roman"/>
          <w:szCs w:val="24"/>
        </w:rPr>
        <w:t>9</w:t>
      </w:r>
      <w:r w:rsidRPr="00A94359">
        <w:rPr>
          <w:rFonts w:ascii="Times New Roman" w:hAnsi="Times New Roman" w:cs="Times New Roman"/>
          <w:szCs w:val="24"/>
        </w:rPr>
        <w:t xml:space="preserve"> projektu ustawy, na ministra właściwego do spraw energii, ministra właściwego do spraw transportu oraz ministra właściwego do spraw budownictwa, planowania i zagospodarowania przestrzennego oraz mieszkalnictwa nałożono (tak jak to ma miejsce w obecnej ustawie) szereg obowiązków o charakterze </w:t>
      </w:r>
      <w:r w:rsidR="005F0A8A">
        <w:rPr>
          <w:rFonts w:ascii="Times New Roman" w:hAnsi="Times New Roman" w:cs="Times New Roman"/>
          <w:szCs w:val="24"/>
        </w:rPr>
        <w:t>promocyjnym oraz informacyjno-</w:t>
      </w:r>
      <w:r w:rsidRPr="00A94359">
        <w:rPr>
          <w:rFonts w:ascii="Times New Roman" w:hAnsi="Times New Roman" w:cs="Times New Roman"/>
          <w:szCs w:val="24"/>
        </w:rPr>
        <w:t xml:space="preserve">edukacyjnym w zakresie środków poprawy efektywności energetycznej. </w:t>
      </w:r>
    </w:p>
    <w:p w:rsidR="002F0A99" w:rsidRPr="00A94359" w:rsidRDefault="002F0A99" w:rsidP="005F0A8A">
      <w:pPr>
        <w:pStyle w:val="USTustnpkodeksu"/>
        <w:spacing w:before="120"/>
        <w:ind w:firstLine="0"/>
        <w:rPr>
          <w:rFonts w:ascii="Times New Roman" w:hAnsi="Times New Roman" w:cs="Times New Roman"/>
          <w:szCs w:val="24"/>
        </w:rPr>
      </w:pPr>
      <w:r w:rsidRPr="00A94359">
        <w:rPr>
          <w:rFonts w:ascii="Times New Roman" w:hAnsi="Times New Roman" w:cs="Times New Roman"/>
          <w:szCs w:val="24"/>
        </w:rPr>
        <w:t>Minister właściwy do spraw energii został zobowiązany, w ramach promowania środków poprawy efektywności energetycznej, do prowadzenia działań informacyjno</w:t>
      </w:r>
      <w:r w:rsidR="005F0A8A">
        <w:rPr>
          <w:rFonts w:ascii="Times New Roman" w:hAnsi="Times New Roman" w:cs="Times New Roman"/>
          <w:szCs w:val="24"/>
        </w:rPr>
        <w:t>-</w:t>
      </w:r>
      <w:r w:rsidR="005F0A8A">
        <w:rPr>
          <w:rFonts w:ascii="Times New Roman" w:hAnsi="Times New Roman" w:cs="Times New Roman"/>
          <w:szCs w:val="24"/>
        </w:rPr>
        <w:br/>
      </w:r>
      <w:r w:rsidRPr="00A94359">
        <w:rPr>
          <w:rFonts w:ascii="Times New Roman" w:hAnsi="Times New Roman" w:cs="Times New Roman"/>
          <w:szCs w:val="24"/>
        </w:rPr>
        <w:t>-edukacyjnych o zużyciu energii przez produkty wykorzystujące energię w rozumieniu ustawy z dnia 14</w:t>
      </w:r>
      <w:r w:rsidR="00A94359">
        <w:rPr>
          <w:rFonts w:ascii="Times New Roman" w:hAnsi="Times New Roman" w:cs="Times New Roman"/>
          <w:szCs w:val="24"/>
        </w:rPr>
        <w:t xml:space="preserve"> </w:t>
      </w:r>
      <w:r w:rsidRPr="00A94359">
        <w:rPr>
          <w:rFonts w:ascii="Times New Roman" w:hAnsi="Times New Roman" w:cs="Times New Roman"/>
          <w:szCs w:val="24"/>
        </w:rPr>
        <w:t>września 2012 r. o informowaniu o zużyciu energii przez produkty wykorzystujące energię oraz o kontroli realizacji programu znakowania urządzeń biurowych (Dz. U. poz.</w:t>
      </w:r>
      <w:r w:rsidR="00A94359">
        <w:rPr>
          <w:rFonts w:ascii="Times New Roman" w:hAnsi="Times New Roman" w:cs="Times New Roman"/>
          <w:szCs w:val="24"/>
        </w:rPr>
        <w:t xml:space="preserve"> </w:t>
      </w:r>
      <w:r w:rsidRPr="00A94359">
        <w:rPr>
          <w:rFonts w:ascii="Times New Roman" w:hAnsi="Times New Roman" w:cs="Times New Roman"/>
          <w:szCs w:val="24"/>
        </w:rPr>
        <w:t>1203</w:t>
      </w:r>
      <w:r w:rsidR="000545DB">
        <w:rPr>
          <w:rFonts w:ascii="Times New Roman" w:hAnsi="Times New Roman" w:cs="Times New Roman"/>
          <w:szCs w:val="24"/>
        </w:rPr>
        <w:t>,</w:t>
      </w:r>
      <w:r w:rsidRPr="00A94359">
        <w:rPr>
          <w:rFonts w:ascii="Times New Roman" w:hAnsi="Times New Roman" w:cs="Times New Roman"/>
          <w:szCs w:val="24"/>
        </w:rPr>
        <w:t xml:space="preserve"> z 2015 r. poz. 1069</w:t>
      </w:r>
      <w:r w:rsidR="000545DB">
        <w:rPr>
          <w:rFonts w:ascii="Times New Roman" w:hAnsi="Times New Roman" w:cs="Times New Roman"/>
          <w:szCs w:val="24"/>
        </w:rPr>
        <w:t xml:space="preserve"> oraz z 2016 r. poz. 266</w:t>
      </w:r>
      <w:r w:rsidRPr="00A94359">
        <w:rPr>
          <w:rFonts w:ascii="Times New Roman" w:hAnsi="Times New Roman" w:cs="Times New Roman"/>
          <w:szCs w:val="24"/>
        </w:rPr>
        <w:t>).</w:t>
      </w:r>
    </w:p>
    <w:p w:rsidR="002F0A99" w:rsidRPr="00A94359" w:rsidRDefault="002F0A99" w:rsidP="005F0A8A">
      <w:pPr>
        <w:pStyle w:val="USTustnpkodeksu"/>
        <w:spacing w:before="120"/>
        <w:ind w:firstLine="0"/>
        <w:rPr>
          <w:rFonts w:ascii="Times New Roman" w:hAnsi="Times New Roman" w:cs="Times New Roman"/>
          <w:szCs w:val="24"/>
        </w:rPr>
      </w:pPr>
      <w:r w:rsidRPr="00A94359">
        <w:rPr>
          <w:rFonts w:ascii="Times New Roman" w:hAnsi="Times New Roman" w:cs="Times New Roman"/>
          <w:szCs w:val="24"/>
        </w:rPr>
        <w:t>Minister właściwy do spraw energii został też zobowiązany do monitorowania stosowania środków poprawy efektywności energetycznej oraz do zamieszczania w Biuletynie Informacji Publicznej Ministerstwa Energii informacji o instrumentach służących finansowaniu środków poprawy efektywności energetycznej oraz sposobie ich pozyskiwania, a także wytycznych dotyczących sposobu uwzględniania kryterium efektywności energetycznej w postępowaniu o udzielenie zamówienia publicznego.</w:t>
      </w:r>
    </w:p>
    <w:p w:rsidR="002F0A99" w:rsidRPr="00A94359" w:rsidRDefault="002F0A99" w:rsidP="00A94359">
      <w:pPr>
        <w:pStyle w:val="Nagwek2"/>
        <w:spacing w:before="120" w:line="360" w:lineRule="auto"/>
        <w:rPr>
          <w:sz w:val="24"/>
          <w:szCs w:val="24"/>
        </w:rPr>
      </w:pPr>
      <w:r w:rsidRPr="00A94359">
        <w:rPr>
          <w:sz w:val="24"/>
          <w:szCs w:val="24"/>
        </w:rPr>
        <w:t>Zasady realizacji obowiązku w zakresie oszczędności energii</w:t>
      </w:r>
    </w:p>
    <w:p w:rsidR="002F0A99" w:rsidRPr="00A94359" w:rsidRDefault="002F0A99" w:rsidP="005F0A8A">
      <w:pPr>
        <w:pStyle w:val="USTustnpkodeksu"/>
        <w:spacing w:before="120"/>
        <w:ind w:firstLine="0"/>
        <w:rPr>
          <w:rFonts w:ascii="Times New Roman" w:hAnsi="Times New Roman" w:cs="Times New Roman"/>
          <w:szCs w:val="24"/>
        </w:rPr>
      </w:pPr>
      <w:r w:rsidRPr="00A94359">
        <w:rPr>
          <w:rFonts w:ascii="Times New Roman" w:hAnsi="Times New Roman" w:cs="Times New Roman"/>
          <w:szCs w:val="24"/>
        </w:rPr>
        <w:t xml:space="preserve">W rozdziale 4 projektu ustawy określono zasady realizacji obowiązku w zakresie oszczędności energii. Przepisy tego rozdziału stanowią wypełnienie postanowień art. 7 dyrektywy 2012/27/UE. </w:t>
      </w:r>
    </w:p>
    <w:p w:rsidR="002F0A99" w:rsidRPr="00A94359" w:rsidRDefault="002F0A99" w:rsidP="005F0A8A">
      <w:pPr>
        <w:pStyle w:val="USTustnpkodeksu"/>
        <w:spacing w:before="120"/>
        <w:ind w:firstLine="0"/>
        <w:rPr>
          <w:rFonts w:ascii="Times New Roman" w:hAnsi="Times New Roman" w:cs="Times New Roman"/>
          <w:szCs w:val="24"/>
        </w:rPr>
      </w:pPr>
      <w:r w:rsidRPr="00A94359">
        <w:rPr>
          <w:rFonts w:ascii="Times New Roman" w:hAnsi="Times New Roman" w:cs="Times New Roman"/>
          <w:szCs w:val="24"/>
        </w:rPr>
        <w:t xml:space="preserve">Art. 7 dyrektywy 2012/27/UE wprowadza obowiązek ustanowienia przez każde państwo członkowskie systemu zobowiązującego do efektywności energetycznej lub do zastosowania alternatywnych środków w celu osiągnięcia określonej docelowej wielkości oszczędności energii wśród odbiorców końcowych. </w:t>
      </w:r>
    </w:p>
    <w:p w:rsidR="002F0A99" w:rsidRPr="00A94359" w:rsidRDefault="002F0A99" w:rsidP="005F0A8A">
      <w:pPr>
        <w:pStyle w:val="USTustnpkodeksu"/>
        <w:spacing w:before="120"/>
        <w:ind w:firstLine="0"/>
        <w:rPr>
          <w:rFonts w:ascii="Times New Roman" w:hAnsi="Times New Roman" w:cs="Times New Roman"/>
          <w:szCs w:val="24"/>
        </w:rPr>
      </w:pPr>
      <w:r w:rsidRPr="00A94359">
        <w:rPr>
          <w:rFonts w:ascii="Times New Roman" w:hAnsi="Times New Roman" w:cs="Times New Roman"/>
          <w:szCs w:val="24"/>
        </w:rPr>
        <w:t>Oszczędności energii, które mają zostać osiągnięte w ramach systemu zobowiązującego do efektywności energetycznej lub dzięki alternatywnym środkom stosowanym zgodnie z</w:t>
      </w:r>
      <w:r w:rsidR="00A94359">
        <w:rPr>
          <w:rFonts w:ascii="Times New Roman" w:hAnsi="Times New Roman" w:cs="Times New Roman"/>
          <w:szCs w:val="24"/>
        </w:rPr>
        <w:t xml:space="preserve"> </w:t>
      </w:r>
      <w:r w:rsidRPr="00A94359">
        <w:rPr>
          <w:rFonts w:ascii="Times New Roman" w:hAnsi="Times New Roman" w:cs="Times New Roman"/>
          <w:szCs w:val="24"/>
        </w:rPr>
        <w:t>art.</w:t>
      </w:r>
      <w:r w:rsidR="00A94359">
        <w:rPr>
          <w:rFonts w:ascii="Times New Roman" w:hAnsi="Times New Roman" w:cs="Times New Roman"/>
          <w:szCs w:val="24"/>
        </w:rPr>
        <w:t xml:space="preserve"> </w:t>
      </w:r>
      <w:r w:rsidRPr="00A94359">
        <w:rPr>
          <w:rFonts w:ascii="Times New Roman" w:hAnsi="Times New Roman" w:cs="Times New Roman"/>
          <w:szCs w:val="24"/>
        </w:rPr>
        <w:t>7 ust. 9 dyrektywy 2012/27/UE, muszą być co najmniej równoważne osiąganiu, przez dystrybutorów energii lub przedsiębiorstwa prowadzące detaliczną sprzedaż energii, w</w:t>
      </w:r>
      <w:r w:rsidR="00A94359">
        <w:rPr>
          <w:rFonts w:ascii="Times New Roman" w:hAnsi="Times New Roman" w:cs="Times New Roman"/>
          <w:szCs w:val="24"/>
        </w:rPr>
        <w:t xml:space="preserve"> </w:t>
      </w:r>
      <w:r w:rsidRPr="00A94359">
        <w:rPr>
          <w:rFonts w:ascii="Times New Roman" w:hAnsi="Times New Roman" w:cs="Times New Roman"/>
          <w:szCs w:val="24"/>
        </w:rPr>
        <w:t xml:space="preserve">okresie od dnia 1 stycznia 2014 r. do dnia 31 grudnia 2020 r., oszczędności energii finalnej </w:t>
      </w:r>
      <w:r w:rsidR="005F0A8A">
        <w:rPr>
          <w:rFonts w:ascii="Times New Roman" w:hAnsi="Times New Roman" w:cs="Times New Roman"/>
          <w:szCs w:val="24"/>
        </w:rPr>
        <w:t>w wysokości 1,5</w:t>
      </w:r>
      <w:r w:rsidRPr="00A94359">
        <w:rPr>
          <w:rFonts w:ascii="Times New Roman" w:hAnsi="Times New Roman" w:cs="Times New Roman"/>
          <w:szCs w:val="24"/>
        </w:rPr>
        <w:t>% rocznego wolumenu sprzedaży tej energii odbiorcom końcowym, uśrednionej w latach 2010</w:t>
      </w:r>
      <w:r w:rsidR="005F0A8A">
        <w:rPr>
          <w:rFonts w:ascii="Times New Roman" w:hAnsi="Times New Roman" w:cs="Times New Roman"/>
          <w:szCs w:val="24"/>
        </w:rPr>
        <w:t>−</w:t>
      </w:r>
      <w:r w:rsidRPr="00A94359">
        <w:rPr>
          <w:rFonts w:ascii="Times New Roman" w:hAnsi="Times New Roman" w:cs="Times New Roman"/>
          <w:szCs w:val="24"/>
        </w:rPr>
        <w:t>2012.</w:t>
      </w:r>
    </w:p>
    <w:p w:rsidR="002F0A99" w:rsidRPr="00A94359" w:rsidRDefault="002F0A99" w:rsidP="005F0A8A">
      <w:pPr>
        <w:pStyle w:val="USTustnpkodeksu"/>
        <w:spacing w:before="120"/>
        <w:ind w:firstLine="0"/>
        <w:rPr>
          <w:rFonts w:ascii="Times New Roman" w:hAnsi="Times New Roman" w:cs="Times New Roman"/>
          <w:szCs w:val="24"/>
        </w:rPr>
      </w:pPr>
      <w:r w:rsidRPr="00A94359">
        <w:rPr>
          <w:rFonts w:ascii="Times New Roman" w:hAnsi="Times New Roman" w:cs="Times New Roman"/>
          <w:szCs w:val="24"/>
        </w:rPr>
        <w:t>W projekcie ustawy przeniesiono obowiązujący system świadectw efektywności energetycznej, gdyż umożliwia on wykorzystanie istniejącego potencjału oszczędności energii w</w:t>
      </w:r>
      <w:r w:rsidR="00A94359">
        <w:rPr>
          <w:rFonts w:ascii="Times New Roman" w:hAnsi="Times New Roman" w:cs="Times New Roman"/>
          <w:szCs w:val="24"/>
        </w:rPr>
        <w:t xml:space="preserve"> </w:t>
      </w:r>
      <w:r w:rsidRPr="00A94359">
        <w:rPr>
          <w:rFonts w:ascii="Times New Roman" w:hAnsi="Times New Roman" w:cs="Times New Roman"/>
          <w:szCs w:val="24"/>
        </w:rPr>
        <w:t xml:space="preserve">sposób efektywny i pozwala osiągnąć wymagane przez dyrektywę 2012/27/UE oszczędności energii finalnej. Niewątpliwą przewagą systemu świadectw nad innymi mechanizmami poprawiającymi efektywność energetyczną jest fakt, iż system ten obejmuje szeroką grupę podmiotów realizujących przedsięwzięcia służące poprawie efektywności energetycznej w różnych obszarach i sektorach gospodarki. </w:t>
      </w:r>
    </w:p>
    <w:p w:rsidR="002F0A99" w:rsidRPr="00A94359" w:rsidRDefault="002F0A99" w:rsidP="005F0A8A">
      <w:pPr>
        <w:pStyle w:val="USTustnpkodeksu"/>
        <w:spacing w:before="120"/>
        <w:ind w:firstLine="0"/>
        <w:rPr>
          <w:rFonts w:ascii="Times New Roman" w:hAnsi="Times New Roman" w:cs="Times New Roman"/>
          <w:szCs w:val="24"/>
        </w:rPr>
      </w:pPr>
      <w:r w:rsidRPr="00A94359">
        <w:rPr>
          <w:rFonts w:ascii="Times New Roman" w:hAnsi="Times New Roman" w:cs="Times New Roman"/>
          <w:szCs w:val="24"/>
        </w:rPr>
        <w:t>Wydawanie świadectw efektywności energetycznej ma na celu zmotywowanie podmiotów określonych w projekcie ustawy, w tym w szczególności przedsiębiorstw energetycznych i odbiorców końcowych, do podjęcia działań inwestycyjnych przyśpieszających osiągni</w:t>
      </w:r>
      <w:r w:rsidR="00014458">
        <w:rPr>
          <w:rFonts w:ascii="Times New Roman" w:hAnsi="Times New Roman" w:cs="Times New Roman"/>
          <w:szCs w:val="24"/>
        </w:rPr>
        <w:t>ę</w:t>
      </w:r>
      <w:r w:rsidRPr="00A94359">
        <w:rPr>
          <w:rFonts w:ascii="Times New Roman" w:hAnsi="Times New Roman" w:cs="Times New Roman"/>
          <w:szCs w:val="24"/>
        </w:rPr>
        <w:t xml:space="preserve">cie krajowego celu w zakresie efektywności energetycznej oraz przyczyniających się, przez zmniejszenie zużycia energii, do ograniczenia emisji gazów cieplarnianych i innych substancji szkodliwych do atmosfery. Obowiązujący system świadectw efektywności energetycznej jest rozwiązaniem sprawdzonym i często bywa przytaczany, jako wzorzec do naśladowania. Zmiana w podejściu do mechanizmu wsparcia mogłaby prowadzić do trudnych do przewidzenia konsekwencji. </w:t>
      </w:r>
    </w:p>
    <w:p w:rsidR="002F0A99" w:rsidRPr="00A94359" w:rsidRDefault="002F0A99" w:rsidP="005F0A8A">
      <w:pPr>
        <w:pStyle w:val="USTustnpkodeksu"/>
        <w:spacing w:before="120"/>
        <w:ind w:firstLine="0"/>
        <w:rPr>
          <w:rFonts w:ascii="Times New Roman" w:hAnsi="Times New Roman" w:cs="Times New Roman"/>
          <w:szCs w:val="24"/>
        </w:rPr>
      </w:pPr>
      <w:r w:rsidRPr="00A94359">
        <w:rPr>
          <w:rFonts w:ascii="Times New Roman" w:hAnsi="Times New Roman" w:cs="Times New Roman"/>
          <w:szCs w:val="24"/>
        </w:rPr>
        <w:t>W Polsce system zobowiązujący do efektywności energetycznej został wprowadzony na podstawie ustawy z dnia 15 kwietnia 2011 r. o efektywności energetycznej (Dz.</w:t>
      </w:r>
      <w:r w:rsidR="00A94359">
        <w:rPr>
          <w:rFonts w:ascii="Times New Roman" w:hAnsi="Times New Roman" w:cs="Times New Roman"/>
          <w:szCs w:val="24"/>
        </w:rPr>
        <w:t xml:space="preserve"> </w:t>
      </w:r>
      <w:r w:rsidRPr="00A94359">
        <w:rPr>
          <w:rFonts w:ascii="Times New Roman" w:hAnsi="Times New Roman" w:cs="Times New Roman"/>
          <w:szCs w:val="24"/>
        </w:rPr>
        <w:t xml:space="preserve">U. </w:t>
      </w:r>
      <w:r w:rsidR="00D80159" w:rsidRPr="00A94359">
        <w:rPr>
          <w:rFonts w:ascii="Times New Roman" w:hAnsi="Times New Roman" w:cs="Times New Roman"/>
          <w:szCs w:val="24"/>
        </w:rPr>
        <w:t>z</w:t>
      </w:r>
      <w:r w:rsidR="005F0A8A">
        <w:rPr>
          <w:rFonts w:ascii="Times New Roman" w:hAnsi="Times New Roman" w:cs="Times New Roman"/>
          <w:szCs w:val="24"/>
        </w:rPr>
        <w:t> </w:t>
      </w:r>
      <w:r w:rsidR="00D80159" w:rsidRPr="00A94359">
        <w:rPr>
          <w:rFonts w:ascii="Times New Roman" w:hAnsi="Times New Roman" w:cs="Times New Roman"/>
          <w:szCs w:val="24"/>
        </w:rPr>
        <w:t xml:space="preserve">2015 </w:t>
      </w:r>
      <w:r w:rsidR="00014458">
        <w:rPr>
          <w:rFonts w:ascii="Times New Roman" w:hAnsi="Times New Roman" w:cs="Times New Roman"/>
          <w:szCs w:val="24"/>
        </w:rPr>
        <w:t xml:space="preserve">r. </w:t>
      </w:r>
      <w:r w:rsidRPr="00A94359">
        <w:rPr>
          <w:rFonts w:ascii="Times New Roman" w:hAnsi="Times New Roman" w:cs="Times New Roman"/>
          <w:szCs w:val="24"/>
        </w:rPr>
        <w:t>poz.</w:t>
      </w:r>
      <w:r w:rsidR="00014458">
        <w:rPr>
          <w:rFonts w:ascii="Times New Roman" w:hAnsi="Times New Roman" w:cs="Times New Roman"/>
          <w:szCs w:val="24"/>
        </w:rPr>
        <w:t xml:space="preserve"> </w:t>
      </w:r>
      <w:r w:rsidR="00D80159" w:rsidRPr="00A94359">
        <w:rPr>
          <w:rFonts w:ascii="Times New Roman" w:hAnsi="Times New Roman" w:cs="Times New Roman"/>
          <w:szCs w:val="24"/>
        </w:rPr>
        <w:t>2167 i 2359</w:t>
      </w:r>
      <w:r w:rsidR="000545DB">
        <w:rPr>
          <w:rFonts w:ascii="Times New Roman" w:hAnsi="Times New Roman" w:cs="Times New Roman"/>
          <w:szCs w:val="24"/>
        </w:rPr>
        <w:t xml:space="preserve"> oraz z 2016 r. poz. 266</w:t>
      </w:r>
      <w:r w:rsidRPr="00A94359">
        <w:rPr>
          <w:rFonts w:ascii="Times New Roman" w:hAnsi="Times New Roman" w:cs="Times New Roman"/>
          <w:szCs w:val="24"/>
        </w:rPr>
        <w:t>). System funkcjonuje od dnia 1 stycznia 2013 r. Ustawa nakłada na przedsiębiorstwa energetyczne sprzedające energię elektryczną, ciepło lub gaz ziemny odbiorcom końcowym, obowiązek uzyskania i przedstawienia do umorzenia Prezesowi Urzędu Regulacji Energetyki (URE) świadectwa efektywności energetycznej, zwane (potocznie „białymi certyfikatami”), lub uiszczenia opłaty zastępczej. Ze świadectwa efektywności energetycznej wynikają zbywalne prawa majątkowe, które są towarem giełdowym w rozumieniu ustawy z dnia 26 października 2000 r. o giełdach towarowych (Dz.</w:t>
      </w:r>
      <w:r w:rsidR="00A94359">
        <w:rPr>
          <w:rFonts w:ascii="Times New Roman" w:hAnsi="Times New Roman" w:cs="Times New Roman"/>
          <w:szCs w:val="24"/>
        </w:rPr>
        <w:t xml:space="preserve"> </w:t>
      </w:r>
      <w:r w:rsidRPr="00A94359">
        <w:rPr>
          <w:rFonts w:ascii="Times New Roman" w:hAnsi="Times New Roman" w:cs="Times New Roman"/>
          <w:szCs w:val="24"/>
        </w:rPr>
        <w:t xml:space="preserve">U. z 2014 r. poz. 197), a więc podlegają obrotowi na Towarowej Giełdzie Energii. </w:t>
      </w:r>
    </w:p>
    <w:p w:rsidR="002F0A99" w:rsidRPr="00A94359" w:rsidRDefault="002F0A99" w:rsidP="005F0A8A">
      <w:pPr>
        <w:pStyle w:val="USTustnpkodeksu"/>
        <w:spacing w:before="120"/>
        <w:ind w:firstLine="0"/>
        <w:rPr>
          <w:rFonts w:ascii="Times New Roman" w:hAnsi="Times New Roman" w:cs="Times New Roman"/>
          <w:szCs w:val="24"/>
        </w:rPr>
      </w:pPr>
      <w:r w:rsidRPr="00A94359">
        <w:rPr>
          <w:rFonts w:ascii="Times New Roman" w:hAnsi="Times New Roman" w:cs="Times New Roman"/>
          <w:szCs w:val="24"/>
        </w:rPr>
        <w:t>Wartość świadectwa efektywności energetycznej wymaganą do pozyskania i umorzenia w</w:t>
      </w:r>
      <w:r w:rsidR="00A94359">
        <w:rPr>
          <w:rFonts w:ascii="Times New Roman" w:hAnsi="Times New Roman" w:cs="Times New Roman"/>
          <w:szCs w:val="24"/>
        </w:rPr>
        <w:t xml:space="preserve"> </w:t>
      </w:r>
      <w:r w:rsidR="005F0A8A">
        <w:rPr>
          <w:rFonts w:ascii="Times New Roman" w:hAnsi="Times New Roman" w:cs="Times New Roman"/>
          <w:szCs w:val="24"/>
        </w:rPr>
        <w:t>latach 2013–</w:t>
      </w:r>
      <w:r w:rsidRPr="00A94359">
        <w:rPr>
          <w:rFonts w:ascii="Times New Roman" w:hAnsi="Times New Roman" w:cs="Times New Roman"/>
          <w:szCs w:val="24"/>
        </w:rPr>
        <w:t>2015 określa się na podstawie rozporządzenia Ministra Gospodarki z</w:t>
      </w:r>
      <w:r w:rsidR="005F0A8A">
        <w:rPr>
          <w:rFonts w:ascii="Times New Roman" w:hAnsi="Times New Roman" w:cs="Times New Roman"/>
          <w:szCs w:val="24"/>
        </w:rPr>
        <w:t> </w:t>
      </w:r>
      <w:r w:rsidRPr="00A94359">
        <w:rPr>
          <w:rFonts w:ascii="Times New Roman" w:hAnsi="Times New Roman" w:cs="Times New Roman"/>
          <w:szCs w:val="24"/>
        </w:rPr>
        <w:t>dnia 4</w:t>
      </w:r>
      <w:r w:rsidR="00A94359">
        <w:rPr>
          <w:rFonts w:ascii="Times New Roman" w:hAnsi="Times New Roman" w:cs="Times New Roman"/>
          <w:szCs w:val="24"/>
        </w:rPr>
        <w:t xml:space="preserve"> </w:t>
      </w:r>
      <w:r w:rsidRPr="00A94359">
        <w:rPr>
          <w:rFonts w:ascii="Times New Roman" w:hAnsi="Times New Roman" w:cs="Times New Roman"/>
          <w:szCs w:val="24"/>
        </w:rPr>
        <w:t>września 2012 r. w sprawie sposobu obliczania ilości energii pierwotnej odpowiadającej wartości świadectwa efektywności energetycznej oraz wysokości jednostkowej opłaty zastępczej</w:t>
      </w:r>
      <w:r w:rsidRPr="00A94359">
        <w:rPr>
          <w:rFonts w:ascii="Times New Roman" w:hAnsi="Times New Roman" w:cs="Times New Roman"/>
          <w:i/>
          <w:szCs w:val="24"/>
        </w:rPr>
        <w:t xml:space="preserve"> </w:t>
      </w:r>
      <w:r w:rsidRPr="00A94359">
        <w:rPr>
          <w:rFonts w:ascii="Times New Roman" w:hAnsi="Times New Roman" w:cs="Times New Roman"/>
          <w:szCs w:val="24"/>
        </w:rPr>
        <w:t xml:space="preserve">(Dz. U. poz. 1039). </w:t>
      </w:r>
    </w:p>
    <w:p w:rsidR="002F0A99" w:rsidRPr="00A94359" w:rsidRDefault="002F0A99" w:rsidP="005F0A8A">
      <w:pPr>
        <w:pStyle w:val="USTustnpkodeksu"/>
        <w:spacing w:before="120"/>
        <w:ind w:firstLine="0"/>
        <w:rPr>
          <w:rFonts w:ascii="Times New Roman" w:hAnsi="Times New Roman" w:cs="Times New Roman"/>
          <w:szCs w:val="24"/>
        </w:rPr>
      </w:pPr>
      <w:r w:rsidRPr="00A94359">
        <w:rPr>
          <w:rFonts w:ascii="Times New Roman" w:hAnsi="Times New Roman" w:cs="Times New Roman"/>
          <w:szCs w:val="24"/>
        </w:rPr>
        <w:t>W odróżnieniu od obowiązującej ustawy, w projekcie ustawy:</w:t>
      </w:r>
    </w:p>
    <w:p w:rsidR="002F0A99" w:rsidRPr="00A94359" w:rsidRDefault="002F0A99" w:rsidP="005F0A8A">
      <w:pPr>
        <w:pStyle w:val="USTustnpkodeksu"/>
        <w:ind w:left="425" w:hanging="425"/>
        <w:rPr>
          <w:rFonts w:ascii="Times New Roman" w:hAnsi="Times New Roman" w:cs="Times New Roman"/>
          <w:szCs w:val="24"/>
        </w:rPr>
      </w:pPr>
      <w:r w:rsidRPr="00A94359">
        <w:rPr>
          <w:rFonts w:ascii="Times New Roman" w:hAnsi="Times New Roman" w:cs="Times New Roman"/>
          <w:szCs w:val="24"/>
        </w:rPr>
        <w:t>1)</w:t>
      </w:r>
      <w:r w:rsidR="005F0A8A">
        <w:rPr>
          <w:rFonts w:ascii="Times New Roman" w:hAnsi="Times New Roman" w:cs="Times New Roman"/>
          <w:szCs w:val="24"/>
        </w:rPr>
        <w:tab/>
      </w:r>
      <w:r w:rsidRPr="00A94359">
        <w:rPr>
          <w:rFonts w:ascii="Times New Roman" w:hAnsi="Times New Roman" w:cs="Times New Roman"/>
          <w:szCs w:val="24"/>
        </w:rPr>
        <w:t>ustalono zakres obowiązku na tym samym poziomie, tj. w wysokości 1,5% w</w:t>
      </w:r>
      <w:r w:rsidR="005F0A8A">
        <w:rPr>
          <w:rFonts w:ascii="Times New Roman" w:hAnsi="Times New Roman" w:cs="Times New Roman"/>
          <w:szCs w:val="24"/>
        </w:rPr>
        <w:t> </w:t>
      </w:r>
      <w:r w:rsidRPr="00A94359">
        <w:rPr>
          <w:rFonts w:ascii="Times New Roman" w:hAnsi="Times New Roman" w:cs="Times New Roman"/>
          <w:szCs w:val="24"/>
        </w:rPr>
        <w:t>każdym</w:t>
      </w:r>
      <w:r w:rsidR="00A94359">
        <w:rPr>
          <w:rFonts w:ascii="Times New Roman" w:hAnsi="Times New Roman" w:cs="Times New Roman"/>
          <w:szCs w:val="24"/>
        </w:rPr>
        <w:t xml:space="preserve"> </w:t>
      </w:r>
      <w:r w:rsidRPr="00A94359">
        <w:rPr>
          <w:rFonts w:ascii="Times New Roman" w:hAnsi="Times New Roman" w:cs="Times New Roman"/>
          <w:szCs w:val="24"/>
        </w:rPr>
        <w:t>roku, począwszy od 2016 r.;</w:t>
      </w:r>
    </w:p>
    <w:p w:rsidR="002F0A99" w:rsidRPr="00A94359" w:rsidRDefault="005F0A8A" w:rsidP="005F0A8A">
      <w:pPr>
        <w:pStyle w:val="USTustnpkodeksu"/>
        <w:ind w:left="425" w:hanging="425"/>
        <w:rPr>
          <w:rFonts w:ascii="Times New Roman" w:hAnsi="Times New Roman" w:cs="Times New Roman"/>
          <w:szCs w:val="24"/>
        </w:rPr>
      </w:pPr>
      <w:r>
        <w:rPr>
          <w:rFonts w:ascii="Times New Roman" w:hAnsi="Times New Roman" w:cs="Times New Roman"/>
          <w:szCs w:val="24"/>
        </w:rPr>
        <w:t>2)</w:t>
      </w:r>
      <w:r>
        <w:rPr>
          <w:rFonts w:ascii="Times New Roman" w:hAnsi="Times New Roman" w:cs="Times New Roman"/>
          <w:szCs w:val="24"/>
        </w:rPr>
        <w:tab/>
      </w:r>
      <w:r w:rsidR="002F0A99" w:rsidRPr="00A94359">
        <w:rPr>
          <w:rFonts w:ascii="Times New Roman" w:hAnsi="Times New Roman" w:cs="Times New Roman"/>
          <w:szCs w:val="24"/>
        </w:rPr>
        <w:t>dopuszczono możliwość realizacji obowiązku nałożonego na podmioty zobowiązane, w</w:t>
      </w:r>
      <w:r w:rsidR="00A94359">
        <w:rPr>
          <w:rFonts w:ascii="Times New Roman" w:hAnsi="Times New Roman" w:cs="Times New Roman"/>
          <w:szCs w:val="24"/>
        </w:rPr>
        <w:t xml:space="preserve"> </w:t>
      </w:r>
      <w:r w:rsidR="002F0A99" w:rsidRPr="00A94359">
        <w:rPr>
          <w:rFonts w:ascii="Times New Roman" w:hAnsi="Times New Roman" w:cs="Times New Roman"/>
          <w:szCs w:val="24"/>
        </w:rPr>
        <w:t xml:space="preserve">zakresie: 30% tego obowiązku </w:t>
      </w:r>
      <w:r>
        <w:rPr>
          <w:rFonts w:ascii="Times New Roman" w:hAnsi="Times New Roman" w:cs="Times New Roman"/>
          <w:szCs w:val="24"/>
        </w:rPr>
        <w:t>w 2016 r., 20% tego obowiązku w </w:t>
      </w:r>
      <w:r w:rsidR="002F0A99" w:rsidRPr="00A94359">
        <w:rPr>
          <w:rFonts w:ascii="Times New Roman" w:hAnsi="Times New Roman" w:cs="Times New Roman"/>
          <w:szCs w:val="24"/>
        </w:rPr>
        <w:t>2017 r., 10% tego obowiązku w 2018 r., przez uiszczanie opłaty zastępczej;</w:t>
      </w:r>
    </w:p>
    <w:p w:rsidR="002F0A99" w:rsidRPr="00A94359" w:rsidRDefault="005F0A8A" w:rsidP="005F0A8A">
      <w:pPr>
        <w:pStyle w:val="USTustnpkodeksu"/>
        <w:ind w:left="425" w:hanging="425"/>
        <w:rPr>
          <w:rFonts w:ascii="Times New Roman" w:hAnsi="Times New Roman" w:cs="Times New Roman"/>
          <w:szCs w:val="24"/>
        </w:rPr>
      </w:pPr>
      <w:r>
        <w:rPr>
          <w:rFonts w:ascii="Times New Roman" w:hAnsi="Times New Roman" w:cs="Times New Roman"/>
          <w:szCs w:val="24"/>
        </w:rPr>
        <w:t>3)</w:t>
      </w:r>
      <w:r>
        <w:rPr>
          <w:rFonts w:ascii="Times New Roman" w:hAnsi="Times New Roman" w:cs="Times New Roman"/>
          <w:szCs w:val="24"/>
        </w:rPr>
        <w:tab/>
      </w:r>
      <w:r w:rsidR="002F0A99" w:rsidRPr="00A94359">
        <w:rPr>
          <w:rFonts w:ascii="Times New Roman" w:hAnsi="Times New Roman" w:cs="Times New Roman"/>
          <w:szCs w:val="24"/>
        </w:rPr>
        <w:t xml:space="preserve">określono </w:t>
      </w:r>
      <w:r w:rsidR="00F61E06" w:rsidRPr="00A94359">
        <w:rPr>
          <w:rFonts w:ascii="Times New Roman" w:hAnsi="Times New Roman" w:cs="Times New Roman"/>
          <w:szCs w:val="24"/>
        </w:rPr>
        <w:t xml:space="preserve">wysokość </w:t>
      </w:r>
      <w:r w:rsidR="002F0A99" w:rsidRPr="00A94359">
        <w:rPr>
          <w:rFonts w:ascii="Times New Roman" w:hAnsi="Times New Roman" w:cs="Times New Roman"/>
          <w:szCs w:val="24"/>
        </w:rPr>
        <w:t xml:space="preserve">jednostkowej opłaty zastępczej, która będzie wynosić </w:t>
      </w:r>
      <w:r w:rsidR="008A43CF" w:rsidRPr="00A94359">
        <w:rPr>
          <w:rFonts w:ascii="Times New Roman" w:hAnsi="Times New Roman" w:cs="Times New Roman"/>
          <w:szCs w:val="24"/>
        </w:rPr>
        <w:t xml:space="preserve">1000 </w:t>
      </w:r>
      <w:r w:rsidR="008962AD" w:rsidRPr="00A94359">
        <w:rPr>
          <w:rFonts w:ascii="Times New Roman" w:hAnsi="Times New Roman" w:cs="Times New Roman"/>
          <w:szCs w:val="24"/>
        </w:rPr>
        <w:t xml:space="preserve">zł </w:t>
      </w:r>
      <w:r w:rsidR="00F61E06" w:rsidRPr="00A94359">
        <w:rPr>
          <w:rFonts w:ascii="Times New Roman" w:hAnsi="Times New Roman" w:cs="Times New Roman"/>
          <w:szCs w:val="24"/>
        </w:rPr>
        <w:t>za</w:t>
      </w:r>
      <w:r w:rsidR="008962AD" w:rsidRPr="00A94359">
        <w:rPr>
          <w:rFonts w:ascii="Times New Roman" w:hAnsi="Times New Roman" w:cs="Times New Roman"/>
          <w:szCs w:val="24"/>
        </w:rPr>
        <w:t xml:space="preserve"> 2016</w:t>
      </w:r>
      <w:r w:rsidR="00A94359">
        <w:rPr>
          <w:rFonts w:ascii="Times New Roman" w:hAnsi="Times New Roman" w:cs="Times New Roman"/>
          <w:szCs w:val="24"/>
        </w:rPr>
        <w:t xml:space="preserve"> </w:t>
      </w:r>
      <w:r w:rsidR="008962AD" w:rsidRPr="00A94359">
        <w:rPr>
          <w:rFonts w:ascii="Times New Roman" w:hAnsi="Times New Roman" w:cs="Times New Roman"/>
          <w:szCs w:val="24"/>
        </w:rPr>
        <w:t xml:space="preserve">r. i </w:t>
      </w:r>
      <w:r w:rsidR="002F0A99" w:rsidRPr="00A94359">
        <w:rPr>
          <w:rFonts w:ascii="Times New Roman" w:hAnsi="Times New Roman" w:cs="Times New Roman"/>
          <w:szCs w:val="24"/>
        </w:rPr>
        <w:t>1500</w:t>
      </w:r>
      <w:r w:rsidR="00F61E06" w:rsidRPr="00A94359">
        <w:rPr>
          <w:rFonts w:ascii="Times New Roman" w:hAnsi="Times New Roman" w:cs="Times New Roman"/>
          <w:szCs w:val="24"/>
        </w:rPr>
        <w:t xml:space="preserve"> </w:t>
      </w:r>
      <w:r w:rsidR="002F0A99" w:rsidRPr="00A94359">
        <w:rPr>
          <w:rFonts w:ascii="Times New Roman" w:hAnsi="Times New Roman" w:cs="Times New Roman"/>
          <w:szCs w:val="24"/>
        </w:rPr>
        <w:t>zł</w:t>
      </w:r>
      <w:r w:rsidR="00F61E06" w:rsidRPr="00A94359">
        <w:rPr>
          <w:rFonts w:ascii="Times New Roman" w:hAnsi="Times New Roman" w:cs="Times New Roman"/>
          <w:szCs w:val="24"/>
        </w:rPr>
        <w:t xml:space="preserve"> za 2017 r. </w:t>
      </w:r>
      <w:r>
        <w:rPr>
          <w:rFonts w:ascii="Times New Roman" w:hAnsi="Times New Roman" w:cs="Times New Roman"/>
          <w:szCs w:val="24"/>
        </w:rPr>
        <w:t>–</w:t>
      </w:r>
      <w:r w:rsidR="00F61E06" w:rsidRPr="00A94359">
        <w:rPr>
          <w:rFonts w:ascii="Times New Roman" w:hAnsi="Times New Roman" w:cs="Times New Roman"/>
          <w:szCs w:val="24"/>
        </w:rPr>
        <w:t xml:space="preserve"> </w:t>
      </w:r>
      <w:r w:rsidR="002F0A99" w:rsidRPr="00A94359">
        <w:rPr>
          <w:rFonts w:ascii="Times New Roman" w:hAnsi="Times New Roman" w:cs="Times New Roman"/>
          <w:szCs w:val="24"/>
        </w:rPr>
        <w:t>za tonę oleju ekwiwalentnego</w:t>
      </w:r>
      <w:r w:rsidR="00F61E06" w:rsidRPr="00A94359">
        <w:rPr>
          <w:rFonts w:ascii="Times New Roman" w:hAnsi="Times New Roman" w:cs="Times New Roman"/>
          <w:szCs w:val="24"/>
        </w:rPr>
        <w:t>, i będzie ona zwiększana od 2018 r. corocznie o 5%</w:t>
      </w:r>
      <w:r w:rsidR="002F0A99" w:rsidRPr="00A94359">
        <w:rPr>
          <w:rFonts w:ascii="Times New Roman" w:hAnsi="Times New Roman" w:cs="Times New Roman"/>
          <w:szCs w:val="24"/>
        </w:rPr>
        <w:t xml:space="preserve">. </w:t>
      </w:r>
    </w:p>
    <w:p w:rsidR="002F0A99" w:rsidRPr="00A94359" w:rsidRDefault="002F0A99" w:rsidP="005F0A8A">
      <w:pPr>
        <w:pStyle w:val="USTustnpkodeksu"/>
        <w:spacing w:before="120"/>
        <w:ind w:firstLine="0"/>
        <w:rPr>
          <w:rFonts w:ascii="Times New Roman" w:hAnsi="Times New Roman" w:cs="Times New Roman"/>
          <w:szCs w:val="24"/>
        </w:rPr>
      </w:pPr>
      <w:r w:rsidRPr="00A94359">
        <w:rPr>
          <w:rFonts w:ascii="Times New Roman" w:hAnsi="Times New Roman" w:cs="Times New Roman"/>
          <w:szCs w:val="24"/>
        </w:rPr>
        <w:t>Ograniczenie możliwości wypełnienia obowiązku przez podmioty zobowiązane przez uiszczenie opłaty zastępczej zaliczyć należy do podstawowych zmian wprowadzonych w</w:t>
      </w:r>
      <w:r w:rsidR="00A94359">
        <w:rPr>
          <w:rFonts w:ascii="Times New Roman" w:hAnsi="Times New Roman" w:cs="Times New Roman"/>
          <w:szCs w:val="24"/>
        </w:rPr>
        <w:t xml:space="preserve"> </w:t>
      </w:r>
      <w:r w:rsidRPr="00A94359">
        <w:rPr>
          <w:rFonts w:ascii="Times New Roman" w:hAnsi="Times New Roman" w:cs="Times New Roman"/>
          <w:szCs w:val="24"/>
        </w:rPr>
        <w:t>projekcie ustawy w porównaniu do obowiązującej ustawy. Obecnie wiele podmiotów zobowiązanych korzysta z możliwości uiszczenia opłaty zastępczej zamiast uzyskiwać i</w:t>
      </w:r>
      <w:r w:rsidR="005F0A8A">
        <w:rPr>
          <w:rFonts w:ascii="Times New Roman" w:hAnsi="Times New Roman" w:cs="Times New Roman"/>
          <w:szCs w:val="24"/>
        </w:rPr>
        <w:t> </w:t>
      </w:r>
      <w:r w:rsidRPr="00A94359">
        <w:rPr>
          <w:rFonts w:ascii="Times New Roman" w:hAnsi="Times New Roman" w:cs="Times New Roman"/>
          <w:szCs w:val="24"/>
        </w:rPr>
        <w:t>przedstawiać do umorzenia Prezesowi URE świadectwa efektywności energetycznej. Taki sposób wypełniania obowiązku wypacza ideę systemu świadectw efektywności energetycznej, negatywnie wpływa na rynek środków poprawy efektywności energetycznej i</w:t>
      </w:r>
      <w:r w:rsidR="00A94359">
        <w:rPr>
          <w:rFonts w:ascii="Times New Roman" w:hAnsi="Times New Roman" w:cs="Times New Roman"/>
          <w:szCs w:val="24"/>
        </w:rPr>
        <w:t xml:space="preserve"> </w:t>
      </w:r>
      <w:r w:rsidRPr="00A94359">
        <w:rPr>
          <w:rFonts w:ascii="Times New Roman" w:hAnsi="Times New Roman" w:cs="Times New Roman"/>
          <w:szCs w:val="24"/>
        </w:rPr>
        <w:t xml:space="preserve">jest niezgodny z dyrektywą 2012/27/UE. Zaproponowana zmiana ma zapobiec temu zjawisku. </w:t>
      </w:r>
    </w:p>
    <w:p w:rsidR="002F0A99" w:rsidRPr="00A94359" w:rsidRDefault="002F0A99" w:rsidP="005F0A8A">
      <w:pPr>
        <w:pStyle w:val="USTustnpkodeksu"/>
        <w:spacing w:before="120"/>
        <w:ind w:firstLine="0"/>
        <w:rPr>
          <w:rFonts w:ascii="Times New Roman" w:hAnsi="Times New Roman" w:cs="Times New Roman"/>
          <w:szCs w:val="24"/>
        </w:rPr>
      </w:pPr>
      <w:r w:rsidRPr="00A94359">
        <w:rPr>
          <w:rFonts w:ascii="Times New Roman" w:hAnsi="Times New Roman" w:cs="Times New Roman"/>
          <w:szCs w:val="24"/>
        </w:rPr>
        <w:t>W projekcie ustawy zmieniono sposób wykonywania obowiązku przez podmioty zobowiązane oraz zasady uzyskania i przedstawienia do umorzenia świadectwa efektywności energetycznej.</w:t>
      </w:r>
    </w:p>
    <w:p w:rsidR="002F0A99" w:rsidRPr="00A94359" w:rsidRDefault="002F0A99" w:rsidP="005F0A8A">
      <w:pPr>
        <w:pStyle w:val="Tekstpodstawowy2"/>
        <w:spacing w:before="120"/>
        <w:ind w:firstLine="0"/>
      </w:pPr>
      <w:r w:rsidRPr="00A94359">
        <w:t xml:space="preserve">Zgodnie z art. </w:t>
      </w:r>
      <w:r w:rsidR="008A43CF" w:rsidRPr="00A94359">
        <w:t>10</w:t>
      </w:r>
      <w:r w:rsidRPr="00A94359">
        <w:t xml:space="preserve"> ust.</w:t>
      </w:r>
      <w:r w:rsidR="00014458">
        <w:t xml:space="preserve"> </w:t>
      </w:r>
      <w:r w:rsidRPr="00A94359">
        <w:t>1 projektu ustawy – podmiot zobowiązany będzie musiał:</w:t>
      </w:r>
    </w:p>
    <w:p w:rsidR="002F0A99" w:rsidRPr="00A94359" w:rsidRDefault="002F0A99" w:rsidP="005F0A8A">
      <w:pPr>
        <w:pStyle w:val="PKTpunkt"/>
        <w:ind w:left="434" w:hanging="434"/>
        <w:rPr>
          <w:rFonts w:ascii="Times New Roman" w:hAnsi="Times New Roman" w:cs="Times New Roman"/>
          <w:szCs w:val="24"/>
        </w:rPr>
      </w:pPr>
      <w:r w:rsidRPr="00A94359">
        <w:rPr>
          <w:rFonts w:ascii="Times New Roman" w:hAnsi="Times New Roman" w:cs="Times New Roman"/>
          <w:szCs w:val="24"/>
        </w:rPr>
        <w:t>1)</w:t>
      </w:r>
      <w:r w:rsidRPr="00A94359">
        <w:rPr>
          <w:rFonts w:ascii="Times New Roman" w:hAnsi="Times New Roman" w:cs="Times New Roman"/>
          <w:szCs w:val="24"/>
        </w:rPr>
        <w:tab/>
        <w:t>zrealizować przedsięwzięcie lub przedsięwzięcia służące poprawie efektywności energetycznej u odbiorcy końcowego, w wyniku których uzyskuje się określone oszczędności energii finalnej, potwierdzone audytem efektywności energetycznej, lub</w:t>
      </w:r>
    </w:p>
    <w:p w:rsidR="002F0A99" w:rsidRPr="00A94359" w:rsidRDefault="002F0A99" w:rsidP="005F0A8A">
      <w:pPr>
        <w:pStyle w:val="USTustnpkodeksu"/>
        <w:ind w:left="434" w:hanging="434"/>
        <w:rPr>
          <w:rFonts w:ascii="Times New Roman" w:hAnsi="Times New Roman" w:cs="Times New Roman"/>
          <w:szCs w:val="24"/>
        </w:rPr>
      </w:pPr>
      <w:r w:rsidRPr="00A94359">
        <w:rPr>
          <w:rFonts w:ascii="Times New Roman" w:hAnsi="Times New Roman" w:cs="Times New Roman"/>
          <w:szCs w:val="24"/>
        </w:rPr>
        <w:t xml:space="preserve">2) </w:t>
      </w:r>
      <w:r w:rsidRPr="00A94359">
        <w:rPr>
          <w:rFonts w:ascii="Times New Roman" w:hAnsi="Times New Roman" w:cs="Times New Roman"/>
          <w:szCs w:val="24"/>
        </w:rPr>
        <w:tab/>
        <w:t>uzyskać i przedstawić do umorzenia Prezesowi URE świadectwo efektywności energetycznej.</w:t>
      </w:r>
    </w:p>
    <w:p w:rsidR="002F0A99" w:rsidRPr="00A94359" w:rsidRDefault="002F0A99" w:rsidP="005F0A8A">
      <w:pPr>
        <w:pStyle w:val="USTustnpkodeksu"/>
        <w:spacing w:before="120"/>
        <w:ind w:firstLine="0"/>
        <w:rPr>
          <w:rFonts w:ascii="Times New Roman" w:hAnsi="Times New Roman" w:cs="Times New Roman"/>
          <w:szCs w:val="24"/>
        </w:rPr>
      </w:pPr>
      <w:r w:rsidRPr="00A94359">
        <w:rPr>
          <w:rFonts w:ascii="Times New Roman" w:hAnsi="Times New Roman" w:cs="Times New Roman"/>
          <w:szCs w:val="24"/>
        </w:rPr>
        <w:t>Obowiązek może być rozliczony przez podmiot zobowiązany do dnia 30 czerwca trzeciego roku następującego po roku, k</w:t>
      </w:r>
      <w:r w:rsidR="00014458">
        <w:rPr>
          <w:rFonts w:ascii="Times New Roman" w:hAnsi="Times New Roman" w:cs="Times New Roman"/>
          <w:szCs w:val="24"/>
        </w:rPr>
        <w:t>tórego dotyczy obowiązek, chyba</w:t>
      </w:r>
      <w:r w:rsidRPr="00A94359">
        <w:rPr>
          <w:rFonts w:ascii="Times New Roman" w:hAnsi="Times New Roman" w:cs="Times New Roman"/>
          <w:szCs w:val="24"/>
        </w:rPr>
        <w:t xml:space="preserve"> że podmiot ten wystąpi do Prezesa URE z wnioskiem o łączne rozliczenie obowiązku, w okresie dwu lub trzyletnim. W</w:t>
      </w:r>
      <w:r w:rsidR="00A94359">
        <w:rPr>
          <w:rFonts w:ascii="Times New Roman" w:hAnsi="Times New Roman" w:cs="Times New Roman"/>
          <w:szCs w:val="24"/>
        </w:rPr>
        <w:t xml:space="preserve"> </w:t>
      </w:r>
      <w:r w:rsidRPr="00A94359">
        <w:rPr>
          <w:rFonts w:ascii="Times New Roman" w:hAnsi="Times New Roman" w:cs="Times New Roman"/>
          <w:szCs w:val="24"/>
        </w:rPr>
        <w:t>takim przypadku realizacja obowiązku następuje do dnia 30</w:t>
      </w:r>
      <w:r w:rsidR="005F0A8A">
        <w:rPr>
          <w:rFonts w:ascii="Times New Roman" w:hAnsi="Times New Roman" w:cs="Times New Roman"/>
          <w:szCs w:val="24"/>
        </w:rPr>
        <w:t> </w:t>
      </w:r>
      <w:r w:rsidRPr="00A94359">
        <w:rPr>
          <w:rFonts w:ascii="Times New Roman" w:hAnsi="Times New Roman" w:cs="Times New Roman"/>
          <w:szCs w:val="24"/>
        </w:rPr>
        <w:t>czerwca roku następującego po ostatnim roku z dwu lub trzy-letniego okresu realizacji obowiązku.</w:t>
      </w:r>
      <w:r w:rsidR="00A94359">
        <w:rPr>
          <w:rFonts w:ascii="Times New Roman" w:hAnsi="Times New Roman" w:cs="Times New Roman"/>
          <w:szCs w:val="24"/>
        </w:rPr>
        <w:t xml:space="preserve"> </w:t>
      </w:r>
    </w:p>
    <w:p w:rsidR="002F0A99" w:rsidRPr="00A94359" w:rsidRDefault="002F0A99" w:rsidP="005F0A8A">
      <w:pPr>
        <w:pStyle w:val="USTustnpkodeksu"/>
        <w:spacing w:before="120"/>
        <w:ind w:firstLine="0"/>
        <w:rPr>
          <w:rFonts w:ascii="Times New Roman" w:hAnsi="Times New Roman" w:cs="Times New Roman"/>
          <w:szCs w:val="24"/>
        </w:rPr>
      </w:pPr>
      <w:r w:rsidRPr="00A94359">
        <w:rPr>
          <w:rFonts w:ascii="Times New Roman" w:hAnsi="Times New Roman" w:cs="Times New Roman"/>
          <w:szCs w:val="24"/>
          <w:lang w:eastAsia="en-US"/>
        </w:rPr>
        <w:t xml:space="preserve">Podmiot zobowiązany może w całości zrealizować swój obowiązek przez uiszczenie opłaty zastępczej, ale tylko wtedy, jeżeli wykaże, że w roku kalendarzowym, którego dotyczy ten obowiązek składał zlecenia kupna praw majątkowych wynikających ze świadectw efektywności energetycznej w transakcjach sesyjnych, lecz z powodu </w:t>
      </w:r>
      <w:r w:rsidR="009069DF" w:rsidRPr="00A94359">
        <w:rPr>
          <w:rFonts w:ascii="Times New Roman" w:hAnsi="Times New Roman" w:cs="Times New Roman"/>
          <w:szCs w:val="24"/>
          <w:lang w:eastAsia="en-US"/>
        </w:rPr>
        <w:t>niewystarczającej ilości ofert sprzedaży tych praw, lub gdy oferowana cena tych praw była wyższa niż jednostkowa opłata zastępcza,</w:t>
      </w:r>
      <w:r w:rsidRPr="00A94359">
        <w:rPr>
          <w:rFonts w:ascii="Times New Roman" w:hAnsi="Times New Roman" w:cs="Times New Roman"/>
          <w:szCs w:val="24"/>
          <w:lang w:eastAsia="en-US"/>
        </w:rPr>
        <w:t xml:space="preserve"> </w:t>
      </w:r>
      <w:r w:rsidR="009069DF" w:rsidRPr="00A94359">
        <w:rPr>
          <w:rFonts w:ascii="Times New Roman" w:hAnsi="Times New Roman" w:cs="Times New Roman"/>
          <w:szCs w:val="24"/>
          <w:lang w:eastAsia="en-US"/>
        </w:rPr>
        <w:t>nie nabył praw na sześciu sesjach w</w:t>
      </w:r>
      <w:r w:rsidR="005F0A8A">
        <w:rPr>
          <w:rFonts w:ascii="Times New Roman" w:hAnsi="Times New Roman" w:cs="Times New Roman"/>
          <w:szCs w:val="24"/>
          <w:lang w:eastAsia="en-US"/>
        </w:rPr>
        <w:t> </w:t>
      </w:r>
      <w:r w:rsidR="009069DF" w:rsidRPr="00A94359">
        <w:rPr>
          <w:rFonts w:ascii="Times New Roman" w:hAnsi="Times New Roman" w:cs="Times New Roman"/>
          <w:szCs w:val="24"/>
          <w:lang w:eastAsia="en-US"/>
        </w:rPr>
        <w:t>ciągu roku kalendarzowego, którego dotyczy obowiązek</w:t>
      </w:r>
      <w:r w:rsidRPr="00A94359">
        <w:rPr>
          <w:rFonts w:ascii="Times New Roman" w:hAnsi="Times New Roman" w:cs="Times New Roman"/>
          <w:szCs w:val="24"/>
          <w:lang w:eastAsia="en-US"/>
        </w:rPr>
        <w:t>.</w:t>
      </w:r>
    </w:p>
    <w:p w:rsidR="002F0A99" w:rsidRPr="00A94359" w:rsidRDefault="002F0A99" w:rsidP="005F0A8A">
      <w:pPr>
        <w:pStyle w:val="USTustnpkodeksu"/>
        <w:spacing w:before="120"/>
        <w:ind w:firstLine="0"/>
        <w:rPr>
          <w:rFonts w:ascii="Times New Roman" w:hAnsi="Times New Roman" w:cs="Times New Roman"/>
          <w:szCs w:val="24"/>
        </w:rPr>
      </w:pPr>
      <w:r w:rsidRPr="00A94359">
        <w:rPr>
          <w:rFonts w:ascii="Times New Roman" w:hAnsi="Times New Roman" w:cs="Times New Roman"/>
          <w:szCs w:val="24"/>
        </w:rPr>
        <w:t>Świadectwo efektywności energetycznej będzie wydawane dla potwierdzenia deklarowanej oszczędności energii finalnej wynikającej z realizacji określonego przedsięwzięcia lub przedsięwzięć tego samego rodzaju służących poprawie efektywności energetycznej (rodzaje przedsięwzięć określono w art. 1</w:t>
      </w:r>
      <w:r w:rsidR="009069DF" w:rsidRPr="00A94359">
        <w:rPr>
          <w:rFonts w:ascii="Times New Roman" w:hAnsi="Times New Roman" w:cs="Times New Roman"/>
          <w:szCs w:val="24"/>
        </w:rPr>
        <w:t>9</w:t>
      </w:r>
      <w:r w:rsidRPr="00A94359">
        <w:rPr>
          <w:rFonts w:ascii="Times New Roman" w:hAnsi="Times New Roman" w:cs="Times New Roman"/>
          <w:szCs w:val="24"/>
        </w:rPr>
        <w:t xml:space="preserve"> projektu ustawy; stanowią one katalog zamknięty). Znajduje to uzasadnienie w tym, że dyrektywa 2006/32/WE nie określała szczegółowo systemu zobowiązującego do efektywności energetycznej. Natomiast dyrektywa 2012/27/UE stanowi, że łączny cel w</w:t>
      </w:r>
      <w:r w:rsidR="005F0A8A">
        <w:rPr>
          <w:rFonts w:ascii="Times New Roman" w:hAnsi="Times New Roman" w:cs="Times New Roman"/>
          <w:szCs w:val="24"/>
        </w:rPr>
        <w:t> </w:t>
      </w:r>
      <w:r w:rsidRPr="00A94359">
        <w:rPr>
          <w:rFonts w:ascii="Times New Roman" w:hAnsi="Times New Roman" w:cs="Times New Roman"/>
          <w:szCs w:val="24"/>
        </w:rPr>
        <w:t xml:space="preserve">zakresie oszczędności energii końcowej, który ma być osiągnięty do dnia 31 grudnia 2020 r., jest co najmniej równoważny osiąganiu przez dystrybutorów energii lub przedsiębiorstwa prowadzące detaliczną sprzedaż energii nowych oszczędności energii każdego roku, w okresie od dnia 1 stycznia 2014 r. do dnia 31 grudnia 2020 r. </w:t>
      </w:r>
    </w:p>
    <w:p w:rsidR="002F0A99" w:rsidRPr="00A94359" w:rsidRDefault="002F0A99" w:rsidP="005F0A8A">
      <w:pPr>
        <w:pStyle w:val="USTustnpkodeksu"/>
        <w:spacing w:before="120"/>
        <w:ind w:firstLine="0"/>
        <w:rPr>
          <w:rFonts w:ascii="Times New Roman" w:hAnsi="Times New Roman" w:cs="Times New Roman"/>
          <w:szCs w:val="24"/>
        </w:rPr>
      </w:pPr>
      <w:r w:rsidRPr="00A94359">
        <w:rPr>
          <w:rFonts w:ascii="Times New Roman" w:hAnsi="Times New Roman" w:cs="Times New Roman"/>
          <w:szCs w:val="24"/>
        </w:rPr>
        <w:t>Wielkość oszczędności e</w:t>
      </w:r>
      <w:r w:rsidR="005F0A8A">
        <w:rPr>
          <w:rFonts w:ascii="Times New Roman" w:hAnsi="Times New Roman" w:cs="Times New Roman"/>
          <w:szCs w:val="24"/>
        </w:rPr>
        <w:t>nergii ustalono w wysokości 1,5</w:t>
      </w:r>
      <w:r w:rsidRPr="00A94359">
        <w:rPr>
          <w:rFonts w:ascii="Times New Roman" w:hAnsi="Times New Roman" w:cs="Times New Roman"/>
          <w:szCs w:val="24"/>
        </w:rPr>
        <w:t>% rocznego wolumenu sprzedaży energii odbiorcom końcowym, uśrednionego w ostatnim trzyletnim okresie przed dniem 1</w:t>
      </w:r>
      <w:r w:rsidR="00A94359">
        <w:rPr>
          <w:rFonts w:ascii="Times New Roman" w:hAnsi="Times New Roman" w:cs="Times New Roman"/>
          <w:szCs w:val="24"/>
        </w:rPr>
        <w:t xml:space="preserve"> </w:t>
      </w:r>
      <w:r w:rsidRPr="00A94359">
        <w:rPr>
          <w:rFonts w:ascii="Times New Roman" w:hAnsi="Times New Roman" w:cs="Times New Roman"/>
          <w:szCs w:val="24"/>
        </w:rPr>
        <w:t>stycznia 2013 r. W związku z tym, zgodnie z art. 1</w:t>
      </w:r>
      <w:r w:rsidR="009069DF" w:rsidRPr="00A94359">
        <w:rPr>
          <w:rFonts w:ascii="Times New Roman" w:hAnsi="Times New Roman" w:cs="Times New Roman"/>
          <w:szCs w:val="24"/>
        </w:rPr>
        <w:t>4</w:t>
      </w:r>
      <w:r w:rsidRPr="00A94359">
        <w:rPr>
          <w:rFonts w:ascii="Times New Roman" w:hAnsi="Times New Roman" w:cs="Times New Roman"/>
          <w:szCs w:val="24"/>
        </w:rPr>
        <w:t xml:space="preserve"> projektu ustawy, zakres obowiązku dotyczącego realizacji przedsięwzięcia służącego poprawie efektywności energetycznej lub uzyskania i przedstawienia do umorzenia świadectwa efektywności energetycznej określono, począwszy od 2016 r., jako uzyskanie w każdym roku oszczędności energii finalnej w</w:t>
      </w:r>
      <w:r w:rsidR="00A94359">
        <w:rPr>
          <w:rFonts w:ascii="Times New Roman" w:hAnsi="Times New Roman" w:cs="Times New Roman"/>
          <w:szCs w:val="24"/>
        </w:rPr>
        <w:t xml:space="preserve"> </w:t>
      </w:r>
      <w:r w:rsidR="005F0A8A">
        <w:rPr>
          <w:rFonts w:ascii="Times New Roman" w:hAnsi="Times New Roman" w:cs="Times New Roman"/>
          <w:szCs w:val="24"/>
        </w:rPr>
        <w:t>wysokości 1,5</w:t>
      </w:r>
      <w:r w:rsidRPr="00A94359">
        <w:rPr>
          <w:rFonts w:ascii="Times New Roman" w:hAnsi="Times New Roman" w:cs="Times New Roman"/>
          <w:szCs w:val="24"/>
        </w:rPr>
        <w:t>%:</w:t>
      </w:r>
    </w:p>
    <w:p w:rsidR="002F0A99" w:rsidRPr="00A94359" w:rsidRDefault="00521759" w:rsidP="00521759">
      <w:pPr>
        <w:pStyle w:val="PKTpunkt"/>
        <w:ind w:left="392" w:hanging="392"/>
        <w:rPr>
          <w:rFonts w:ascii="Times New Roman" w:hAnsi="Times New Roman" w:cs="Times New Roman"/>
          <w:szCs w:val="24"/>
        </w:rPr>
      </w:pPr>
      <w:r>
        <w:rPr>
          <w:rFonts w:ascii="Times New Roman" w:hAnsi="Times New Roman" w:cs="Times New Roman"/>
          <w:szCs w:val="24"/>
        </w:rPr>
        <w:t>1)</w:t>
      </w:r>
      <w:r>
        <w:rPr>
          <w:rFonts w:ascii="Times New Roman" w:hAnsi="Times New Roman" w:cs="Times New Roman"/>
          <w:szCs w:val="24"/>
        </w:rPr>
        <w:tab/>
      </w:r>
      <w:r w:rsidR="002F0A99" w:rsidRPr="00A94359">
        <w:rPr>
          <w:rFonts w:ascii="Times New Roman" w:hAnsi="Times New Roman" w:cs="Times New Roman"/>
          <w:szCs w:val="24"/>
        </w:rPr>
        <w:t>ilości energii elektrycznej, ciepła lub gazu ziemnego, wyrażonej w toe, sprzedanych w</w:t>
      </w:r>
      <w:r w:rsidR="00A94359">
        <w:rPr>
          <w:rFonts w:ascii="Times New Roman" w:hAnsi="Times New Roman" w:cs="Times New Roman"/>
          <w:szCs w:val="24"/>
        </w:rPr>
        <w:t xml:space="preserve"> </w:t>
      </w:r>
      <w:r w:rsidR="002F0A99" w:rsidRPr="00A94359">
        <w:rPr>
          <w:rFonts w:ascii="Times New Roman" w:hAnsi="Times New Roman" w:cs="Times New Roman"/>
          <w:szCs w:val="24"/>
        </w:rPr>
        <w:t>danym roku odbiorcom końcowym przyłączonym do sieci na terytorium RP, pomniejszonej o ilość energii zaoszczędzonej przez odbiorców końcowych, określonej w oświadczeniu przedkładanym przez tych odbiorców;</w:t>
      </w:r>
    </w:p>
    <w:p w:rsidR="002F0A99" w:rsidRPr="00A94359" w:rsidRDefault="00521759" w:rsidP="00521759">
      <w:pPr>
        <w:pStyle w:val="PKTpunkt"/>
        <w:ind w:left="392" w:hanging="392"/>
        <w:rPr>
          <w:rFonts w:ascii="Times New Roman" w:hAnsi="Times New Roman" w:cs="Times New Roman"/>
          <w:szCs w:val="24"/>
        </w:rPr>
      </w:pPr>
      <w:r>
        <w:rPr>
          <w:rFonts w:ascii="Times New Roman" w:hAnsi="Times New Roman" w:cs="Times New Roman"/>
          <w:szCs w:val="24"/>
        </w:rPr>
        <w:t>2)</w:t>
      </w:r>
      <w:r>
        <w:rPr>
          <w:rFonts w:ascii="Times New Roman" w:hAnsi="Times New Roman" w:cs="Times New Roman"/>
          <w:szCs w:val="24"/>
        </w:rPr>
        <w:tab/>
      </w:r>
      <w:r w:rsidR="002F0A99" w:rsidRPr="00A94359">
        <w:rPr>
          <w:rFonts w:ascii="Times New Roman" w:hAnsi="Times New Roman" w:cs="Times New Roman"/>
          <w:szCs w:val="24"/>
        </w:rPr>
        <w:t>ilości energii elektrycznej lub gazu ziemnego, wyrażonej w toe, zakupionych w</w:t>
      </w:r>
      <w:r>
        <w:rPr>
          <w:rFonts w:ascii="Times New Roman" w:hAnsi="Times New Roman" w:cs="Times New Roman"/>
          <w:szCs w:val="24"/>
        </w:rPr>
        <w:t> </w:t>
      </w:r>
      <w:r w:rsidR="002F0A99" w:rsidRPr="00A94359">
        <w:rPr>
          <w:rFonts w:ascii="Times New Roman" w:hAnsi="Times New Roman" w:cs="Times New Roman"/>
          <w:szCs w:val="24"/>
        </w:rPr>
        <w:t>danym roku:</w:t>
      </w:r>
    </w:p>
    <w:p w:rsidR="002F0A99" w:rsidRPr="00A94359" w:rsidRDefault="002F0A99" w:rsidP="005F0A8A">
      <w:pPr>
        <w:pStyle w:val="Tekstpodstawowy2"/>
        <w:numPr>
          <w:ilvl w:val="0"/>
          <w:numId w:val="22"/>
        </w:numPr>
      </w:pPr>
      <w:r w:rsidRPr="00A94359">
        <w:t>na giełdzie towarowej lub na rynku organizowanym przez podmiot prowadzący na terytorium RP rynek regulowany, w transakcjach zawieranych we własnym imieniu przez odbiorców końcowych będących członkami giełdy towarowej lub członkami rynku organizowanego przez podmiot prowadzący na terytorium RP rynek regulowany,</w:t>
      </w:r>
    </w:p>
    <w:p w:rsidR="002F0A99" w:rsidRPr="00A94359" w:rsidRDefault="002F0A99" w:rsidP="005F0A8A">
      <w:pPr>
        <w:pStyle w:val="Tekstpodstawowy2"/>
        <w:numPr>
          <w:ilvl w:val="0"/>
          <w:numId w:val="22"/>
        </w:numPr>
      </w:pPr>
      <w:r w:rsidRPr="00A94359">
        <w:rPr>
          <w:lang w:eastAsia="en-US"/>
        </w:rPr>
        <w:t>poza giełdą towarową lub rynkiem organizowanym przez podmiot prowadzący na terytorium Rzeczypospolitej Polskiej rynek regulowany lub przez spółkę, której Krajowy Depozyt Papierów Wartościowych S.A. przekazał wykonywanie czynności z</w:t>
      </w:r>
      <w:r w:rsidR="00A94359">
        <w:rPr>
          <w:lang w:eastAsia="en-US"/>
        </w:rPr>
        <w:t xml:space="preserve"> </w:t>
      </w:r>
      <w:r w:rsidRPr="00A94359">
        <w:rPr>
          <w:lang w:eastAsia="en-US"/>
        </w:rPr>
        <w:t>zakresu zadań, o</w:t>
      </w:r>
      <w:r w:rsidR="00D970EC" w:rsidRPr="00A94359">
        <w:rPr>
          <w:lang w:eastAsia="en-US"/>
        </w:rPr>
        <w:t xml:space="preserve"> </w:t>
      </w:r>
      <w:r w:rsidRPr="00A94359">
        <w:rPr>
          <w:lang w:eastAsia="en-US"/>
        </w:rPr>
        <w:t>których mowa w art. 48 ust. 2 ustawy z dnia 29</w:t>
      </w:r>
      <w:r w:rsidR="00521759">
        <w:rPr>
          <w:lang w:eastAsia="en-US"/>
        </w:rPr>
        <w:t> </w:t>
      </w:r>
      <w:r w:rsidRPr="00A94359">
        <w:rPr>
          <w:lang w:eastAsia="en-US"/>
        </w:rPr>
        <w:t>lipca 2005 r. o</w:t>
      </w:r>
      <w:r w:rsidR="00A94359">
        <w:rPr>
          <w:lang w:eastAsia="en-US"/>
        </w:rPr>
        <w:t xml:space="preserve"> </w:t>
      </w:r>
      <w:r w:rsidRPr="00A94359">
        <w:rPr>
          <w:lang w:eastAsia="en-US"/>
        </w:rPr>
        <w:t>obrocie instrumentami finansowym, w transakcjach zawieranych we własnym imieniu przez odbiorców końcowych,</w:t>
      </w:r>
    </w:p>
    <w:p w:rsidR="002F0A99" w:rsidRPr="00A94359" w:rsidRDefault="002F0A99" w:rsidP="00521759">
      <w:pPr>
        <w:pStyle w:val="Tekstpodstawowy2"/>
        <w:numPr>
          <w:ilvl w:val="0"/>
          <w:numId w:val="22"/>
        </w:numPr>
        <w:rPr>
          <w:lang w:eastAsia="en-US"/>
        </w:rPr>
      </w:pPr>
      <w:r w:rsidRPr="00A94359">
        <w:t xml:space="preserve">przez </w:t>
      </w:r>
      <w:r w:rsidRPr="00A94359">
        <w:rPr>
          <w:lang w:eastAsia="en-US"/>
        </w:rPr>
        <w:t>towarowy dom maklerski lub dom maklerski w rozumieniu ustawy z dnia 26</w:t>
      </w:r>
      <w:r w:rsidR="00A94359">
        <w:rPr>
          <w:lang w:eastAsia="en-US"/>
        </w:rPr>
        <w:t xml:space="preserve"> </w:t>
      </w:r>
      <w:r w:rsidRPr="00A94359">
        <w:rPr>
          <w:lang w:eastAsia="en-US"/>
        </w:rPr>
        <w:t xml:space="preserve">października 2000 r. o giełdach towarowych, w odniesieniu do transakcji realizowanych </w:t>
      </w:r>
      <w:r w:rsidR="00014458">
        <w:rPr>
          <w:lang w:eastAsia="en-US"/>
        </w:rPr>
        <w:t>na zlecenie odbiorców końcowych;</w:t>
      </w:r>
    </w:p>
    <w:p w:rsidR="002F0A99" w:rsidRPr="00A94359" w:rsidRDefault="002F0A99" w:rsidP="00521759">
      <w:pPr>
        <w:pStyle w:val="PKTpunkt"/>
        <w:ind w:left="392" w:hanging="392"/>
        <w:rPr>
          <w:rFonts w:ascii="Times New Roman" w:hAnsi="Times New Roman" w:cs="Times New Roman"/>
          <w:szCs w:val="24"/>
        </w:rPr>
      </w:pPr>
      <w:r w:rsidRPr="00A94359">
        <w:rPr>
          <w:rFonts w:ascii="Times New Roman" w:hAnsi="Times New Roman" w:cs="Times New Roman"/>
          <w:szCs w:val="24"/>
          <w:lang w:eastAsia="en-US"/>
        </w:rPr>
        <w:t>3)</w:t>
      </w:r>
      <w:r w:rsidR="00521759">
        <w:rPr>
          <w:lang w:eastAsia="en-US"/>
        </w:rPr>
        <w:tab/>
      </w:r>
      <w:r w:rsidRPr="00A94359">
        <w:rPr>
          <w:rFonts w:ascii="Times New Roman" w:hAnsi="Times New Roman" w:cs="Times New Roman"/>
          <w:szCs w:val="24"/>
          <w:lang w:eastAsia="en-US"/>
        </w:rPr>
        <w:t>ilości gazu ziemnego</w:t>
      </w:r>
      <w:r w:rsidRPr="00A94359">
        <w:rPr>
          <w:rFonts w:ascii="Times New Roman" w:hAnsi="Times New Roman" w:cs="Times New Roman"/>
          <w:szCs w:val="24"/>
        </w:rPr>
        <w:t xml:space="preserve">, wyrażonej w toe, </w:t>
      </w:r>
      <w:r w:rsidR="00273A2C" w:rsidRPr="00A94359">
        <w:rPr>
          <w:rFonts w:ascii="Times New Roman" w:hAnsi="Times New Roman" w:cs="Times New Roman"/>
          <w:szCs w:val="24"/>
        </w:rPr>
        <w:t xml:space="preserve">sprowadzonego </w:t>
      </w:r>
      <w:r w:rsidRPr="00A94359">
        <w:rPr>
          <w:rFonts w:ascii="Times New Roman" w:hAnsi="Times New Roman" w:cs="Times New Roman"/>
          <w:szCs w:val="24"/>
        </w:rPr>
        <w:t>w danym roku na terytorium RP i</w:t>
      </w:r>
      <w:r w:rsidR="00A94359">
        <w:t xml:space="preserve"> </w:t>
      </w:r>
      <w:r w:rsidRPr="00A94359">
        <w:rPr>
          <w:rFonts w:ascii="Times New Roman" w:hAnsi="Times New Roman" w:cs="Times New Roman"/>
          <w:szCs w:val="24"/>
        </w:rPr>
        <w:t xml:space="preserve">zużytego na własny użytek inny, niż cele nieenergetyczne. </w:t>
      </w:r>
    </w:p>
    <w:p w:rsidR="002F0A99" w:rsidRPr="00A94359" w:rsidRDefault="002F0A99" w:rsidP="00521759">
      <w:pPr>
        <w:pStyle w:val="Tekstpodstawowy2"/>
        <w:spacing w:before="120"/>
        <w:ind w:firstLine="0"/>
      </w:pPr>
      <w:r w:rsidRPr="00A94359">
        <w:t>Konsekwencją możliwości realizacji ustawowego obowiązku przez odbiorcę końcowego za pośrednictwem towarowego domu maklerskiego lub domu maklerskiego, jest nałożenie na przedsiębiorstwo energetyczne posiadające koncesję na obrót energią elektryczną lub gazem ziemnym obowiązku przekazania towarowemu domowi maklerskiemu lub domowi maklerskiemu deklaracji o ilości energii elektrycznej lub gazu ziemnego zakupionej w</w:t>
      </w:r>
      <w:r w:rsidR="00A94359">
        <w:t xml:space="preserve"> </w:t>
      </w:r>
      <w:r w:rsidRPr="00A94359">
        <w:t>wyniku transakcji zawartej za pośrednictwem towarowego domu maklerskiego lub domu maklerskiego na giełdzie towarowej lub na rynku organizowanym przez podmiot prowadzący na terytorium RP rynek regulowany i</w:t>
      </w:r>
      <w:r w:rsidR="00521759">
        <w:t> </w:t>
      </w:r>
      <w:r w:rsidRPr="00A94359">
        <w:t>zużytej na własny użytek oraz przeznaczonej do dalszej odsprzedaży, w terminie miesiąca od zakończenia roku kalendarzowego, w którym zakupiło energię elektryczną lub gaz ziemny w wyniku tej transakcji. Ponadto określono, że realizacja zlecenia nabycia energii elektrycznej lub gazu ziemnego na giełdzie towarowej lub na rynku organizowanym przez podmiot prowadzący na terytorium Rzeczypospolitej Polskiej rynek regulowany, przez towarowy dom maklerski lub dom maklerski może nastąpić po złożeniu przez składającego zlecenie zabezpieczenia na pokrycie kosztów wykonania przez towarowy dom maklerski lub dom maklerski obowiązków uzyskania i</w:t>
      </w:r>
      <w:r w:rsidR="00521759">
        <w:t> </w:t>
      </w:r>
      <w:r w:rsidRPr="00A94359">
        <w:t xml:space="preserve">przedstawienia do umorzenia świadectw efektywności energetycznej. </w:t>
      </w:r>
    </w:p>
    <w:p w:rsidR="002F0A99" w:rsidRPr="00A94359" w:rsidRDefault="002F0A99" w:rsidP="00521759">
      <w:pPr>
        <w:pStyle w:val="Tekstpodstawowy2"/>
        <w:spacing w:before="120"/>
        <w:ind w:firstLine="0"/>
      </w:pPr>
      <w:r w:rsidRPr="00A94359">
        <w:t>Zgodnie z art. 1</w:t>
      </w:r>
      <w:r w:rsidR="009069DF" w:rsidRPr="00A94359">
        <w:t>5</w:t>
      </w:r>
      <w:r w:rsidRPr="00A94359">
        <w:t xml:space="preserve"> ust. 1 projektu ustawy, dla odbiorcy końcowego zużywającego energię elektryczną, który przedstawi oświadczenie o zrealizowaniu przedsięwzięcia służącego poprawie efektywności energetycznej, obniżono próg zużycia energii elektrycznej do 100</w:t>
      </w:r>
      <w:r w:rsidR="00A94359">
        <w:t xml:space="preserve"> </w:t>
      </w:r>
      <w:r w:rsidRPr="00A94359">
        <w:t>GWh oraz przesunięto termin zako</w:t>
      </w:r>
      <w:r w:rsidR="000545DB">
        <w:t>ńczenia tego przedsięwzięcia na</w:t>
      </w:r>
      <w:r w:rsidRPr="00A94359">
        <w:t xml:space="preserve"> nie wcześniej niż w</w:t>
      </w:r>
      <w:r w:rsidR="00A94359">
        <w:t xml:space="preserve"> </w:t>
      </w:r>
      <w:r w:rsidRPr="00A94359">
        <w:t>dniu 1</w:t>
      </w:r>
      <w:r w:rsidR="00A94359">
        <w:t xml:space="preserve"> </w:t>
      </w:r>
      <w:r w:rsidRPr="00A94359">
        <w:t xml:space="preserve">stycznia 2014 r. </w:t>
      </w:r>
    </w:p>
    <w:p w:rsidR="002F0A99" w:rsidRPr="00A94359" w:rsidRDefault="002F0A99" w:rsidP="00521759">
      <w:pPr>
        <w:pStyle w:val="USTustnpkodeksu"/>
        <w:spacing w:before="120"/>
        <w:ind w:firstLine="0"/>
        <w:rPr>
          <w:rFonts w:ascii="Times New Roman" w:hAnsi="Times New Roman" w:cs="Times New Roman"/>
          <w:szCs w:val="24"/>
        </w:rPr>
      </w:pPr>
      <w:r w:rsidRPr="00A94359">
        <w:rPr>
          <w:rFonts w:ascii="Times New Roman" w:hAnsi="Times New Roman" w:cs="Times New Roman"/>
          <w:szCs w:val="24"/>
        </w:rPr>
        <w:t>Zrezygnowano również z obowiązku przeprowadzenia przetargu, w wyniku którego Prezes URE dokonuje wyboru przedsięwzięć służących poprawie efektywności energetycznej, za które można uzyskać świadectwa efektywności energetycznej. Projektowana ustawa nie przewiduje już powyższego obowiązku. Stanowić to będzie znaczne uproszczenie procedury wydawania świadectw efektywności energetycznej. Rezygnacja</w:t>
      </w:r>
      <w:r w:rsidR="008D17A4" w:rsidRPr="00A94359">
        <w:rPr>
          <w:rFonts w:ascii="Times New Roman" w:hAnsi="Times New Roman" w:cs="Times New Roman"/>
          <w:szCs w:val="24"/>
        </w:rPr>
        <w:t xml:space="preserve"> </w:t>
      </w:r>
      <w:r w:rsidRPr="00A94359">
        <w:rPr>
          <w:rFonts w:ascii="Times New Roman" w:hAnsi="Times New Roman" w:cs="Times New Roman"/>
          <w:szCs w:val="24"/>
        </w:rPr>
        <w:t>z</w:t>
      </w:r>
      <w:r w:rsidR="00A94359">
        <w:rPr>
          <w:rFonts w:ascii="Times New Roman" w:hAnsi="Times New Roman" w:cs="Times New Roman"/>
          <w:szCs w:val="24"/>
        </w:rPr>
        <w:t xml:space="preserve"> </w:t>
      </w:r>
      <w:r w:rsidRPr="00A94359">
        <w:rPr>
          <w:rFonts w:ascii="Times New Roman" w:hAnsi="Times New Roman" w:cs="Times New Roman"/>
          <w:szCs w:val="24"/>
        </w:rPr>
        <w:t>przetargów jest wynikiem negatywnych doświadczeń związanych z ich przeprowadzaniem w 2013 r. i 2014 r. Takie uproszczenie przepisów powinno znacznie przyśpieszyć wydawanie świadectw efektywności energetycznej.</w:t>
      </w:r>
    </w:p>
    <w:p w:rsidR="002F0A99" w:rsidRPr="00A94359" w:rsidRDefault="002F0A99" w:rsidP="00521759">
      <w:pPr>
        <w:pStyle w:val="ARTartustawynprozporzdzenia"/>
        <w:ind w:firstLine="0"/>
        <w:rPr>
          <w:rFonts w:ascii="Times New Roman" w:hAnsi="Times New Roman" w:cs="Times New Roman"/>
          <w:szCs w:val="24"/>
        </w:rPr>
      </w:pPr>
      <w:r w:rsidRPr="00A94359">
        <w:rPr>
          <w:rFonts w:ascii="Times New Roman" w:hAnsi="Times New Roman" w:cs="Times New Roman"/>
          <w:szCs w:val="24"/>
        </w:rPr>
        <w:t xml:space="preserve">Projekt ustawy przewiduje wydawanie przez Prezesa URE, świadectwa efektywności energetycznej na wniosek podmiotu, u którego będzie realizowane przedsięwzięcie lub przedsięwzięcia tego samego rodzaju służące poprawie efektywności energetycznej; lub podmiotu przez niego upoważnionego. </w:t>
      </w:r>
    </w:p>
    <w:p w:rsidR="002F0A99" w:rsidRPr="00521759" w:rsidRDefault="002F0A99" w:rsidP="00521759">
      <w:pPr>
        <w:pStyle w:val="ARTartustawynprozporzdzenia"/>
        <w:ind w:firstLine="0"/>
        <w:rPr>
          <w:rFonts w:ascii="Times New Roman" w:hAnsi="Times New Roman" w:cs="Times New Roman"/>
          <w:szCs w:val="24"/>
        </w:rPr>
      </w:pPr>
      <w:r w:rsidRPr="00A94359">
        <w:rPr>
          <w:rFonts w:ascii="Times New Roman" w:hAnsi="Times New Roman" w:cs="Times New Roman"/>
          <w:szCs w:val="24"/>
        </w:rPr>
        <w:t xml:space="preserve">Zgodnie z projektem ustawy, świadectwa efektywności energetycznej nie będą wydawane za przedsięwzięcia, które zostały już zrealizowane. Jest to podyktowane koniecznością zapewnienia zgodności projektowanego systemu świadectw efektywności energetycznej z nowymi wytycznymi Komisji Europejskiej </w:t>
      </w:r>
      <w:r w:rsidRPr="00A94359">
        <w:rPr>
          <w:rFonts w:ascii="Times New Roman" w:hAnsi="Times New Roman" w:cs="Times New Roman"/>
          <w:bCs/>
          <w:szCs w:val="24"/>
        </w:rPr>
        <w:t>w sprawie pomocy państwa na ochronę środowiska i cele z</w:t>
      </w:r>
      <w:r w:rsidR="00521759">
        <w:rPr>
          <w:rFonts w:ascii="Times New Roman" w:hAnsi="Times New Roman" w:cs="Times New Roman"/>
          <w:bCs/>
          <w:szCs w:val="24"/>
        </w:rPr>
        <w:t>wiązane z energią w latach 2014–</w:t>
      </w:r>
      <w:r w:rsidRPr="00A94359">
        <w:rPr>
          <w:rFonts w:ascii="Times New Roman" w:hAnsi="Times New Roman" w:cs="Times New Roman"/>
          <w:bCs/>
          <w:szCs w:val="24"/>
        </w:rPr>
        <w:t>2020</w:t>
      </w:r>
      <w:r w:rsidRPr="00A94359">
        <w:rPr>
          <w:rFonts w:ascii="Times New Roman" w:hAnsi="Times New Roman" w:cs="Times New Roman"/>
          <w:b/>
          <w:bCs/>
          <w:szCs w:val="24"/>
        </w:rPr>
        <w:t xml:space="preserve"> </w:t>
      </w:r>
      <w:r w:rsidRPr="00A94359">
        <w:rPr>
          <w:rFonts w:ascii="Times New Roman" w:hAnsi="Times New Roman" w:cs="Times New Roman"/>
          <w:szCs w:val="24"/>
        </w:rPr>
        <w:t>(2014/C 200/01), a</w:t>
      </w:r>
      <w:r w:rsidR="00A94359">
        <w:rPr>
          <w:rFonts w:ascii="Times New Roman" w:hAnsi="Times New Roman" w:cs="Times New Roman"/>
          <w:szCs w:val="24"/>
        </w:rPr>
        <w:t xml:space="preserve"> </w:t>
      </w:r>
      <w:r w:rsidRPr="00A94359">
        <w:rPr>
          <w:rFonts w:ascii="Times New Roman" w:hAnsi="Times New Roman" w:cs="Times New Roman"/>
          <w:szCs w:val="24"/>
        </w:rPr>
        <w:t>w</w:t>
      </w:r>
      <w:r w:rsidR="00A94359">
        <w:rPr>
          <w:rFonts w:ascii="Times New Roman" w:hAnsi="Times New Roman" w:cs="Times New Roman"/>
          <w:szCs w:val="24"/>
        </w:rPr>
        <w:t xml:space="preserve"> </w:t>
      </w:r>
      <w:r w:rsidRPr="00A94359">
        <w:rPr>
          <w:rFonts w:ascii="Times New Roman" w:hAnsi="Times New Roman" w:cs="Times New Roman"/>
          <w:szCs w:val="24"/>
        </w:rPr>
        <w:t xml:space="preserve">szczególności z koniecznością zapewnienia tzw. efektu zachęty, warunkującego uznanie pomocy na cele związane z energią, jako zgodnej z rynkiem </w:t>
      </w:r>
      <w:r w:rsidRPr="00521759">
        <w:rPr>
          <w:rFonts w:ascii="Times New Roman" w:hAnsi="Times New Roman" w:cs="Times New Roman"/>
          <w:szCs w:val="24"/>
        </w:rPr>
        <w:t>wewnętrznym. Należy zauważyć, iż zgodnie z ww. wytycznymi (tj. częścią 3.2.4.1 (50) – cytat: „Komisja uznaje, że pomoc nie stanowi zachęty dla beneficjenta w tych wszystkich przypadkach, w których prace nad projektem zostały rozpoczęte przed złożeniem przez beneficjenta wniosku o przyznanie pomocy do władz krajowych. W</w:t>
      </w:r>
      <w:r w:rsidR="00521759">
        <w:rPr>
          <w:rFonts w:ascii="Times New Roman" w:hAnsi="Times New Roman" w:cs="Times New Roman"/>
          <w:szCs w:val="24"/>
        </w:rPr>
        <w:t> </w:t>
      </w:r>
      <w:r w:rsidRPr="00521759">
        <w:rPr>
          <w:rFonts w:ascii="Times New Roman" w:hAnsi="Times New Roman" w:cs="Times New Roman"/>
          <w:szCs w:val="24"/>
        </w:rPr>
        <w:t>takich przypadkach, jeśli beneficjent rozpoczyna realizację projektu przed złożeniem wniosku o pomoc, żadnej pomocy przyznanej na taki projekt nie uważa się za zgodną z</w:t>
      </w:r>
      <w:r w:rsidR="00521759">
        <w:rPr>
          <w:rFonts w:ascii="Times New Roman" w:hAnsi="Times New Roman" w:cs="Times New Roman"/>
          <w:szCs w:val="24"/>
        </w:rPr>
        <w:t> </w:t>
      </w:r>
      <w:r w:rsidRPr="00521759">
        <w:rPr>
          <w:rFonts w:ascii="Times New Roman" w:hAnsi="Times New Roman" w:cs="Times New Roman"/>
          <w:szCs w:val="24"/>
        </w:rPr>
        <w:t>rynkiem wewnętrznym.”.</w:t>
      </w:r>
    </w:p>
    <w:p w:rsidR="002F0A99" w:rsidRPr="00A94359" w:rsidRDefault="002F0A99" w:rsidP="00521759">
      <w:pPr>
        <w:pStyle w:val="ARTartustawynprozporzdzenia"/>
        <w:ind w:firstLine="0"/>
        <w:rPr>
          <w:rFonts w:ascii="Times New Roman" w:hAnsi="Times New Roman" w:cs="Times New Roman"/>
          <w:szCs w:val="24"/>
        </w:rPr>
      </w:pPr>
      <w:r w:rsidRPr="00A94359">
        <w:rPr>
          <w:rFonts w:ascii="Times New Roman" w:hAnsi="Times New Roman" w:cs="Times New Roman"/>
          <w:szCs w:val="24"/>
        </w:rPr>
        <w:t xml:space="preserve">Zgodnie z art. </w:t>
      </w:r>
      <w:r w:rsidR="009069DF" w:rsidRPr="00A94359">
        <w:rPr>
          <w:rFonts w:ascii="Times New Roman" w:hAnsi="Times New Roman" w:cs="Times New Roman"/>
          <w:szCs w:val="24"/>
        </w:rPr>
        <w:t>20</w:t>
      </w:r>
      <w:r w:rsidRPr="00A94359">
        <w:rPr>
          <w:rFonts w:ascii="Times New Roman" w:hAnsi="Times New Roman" w:cs="Times New Roman"/>
          <w:szCs w:val="24"/>
        </w:rPr>
        <w:t xml:space="preserve"> ust. 2 projektu ustawy nie będzie można otrzymać świadectwa efektywności energetycznej dla przedsięwzięcia lub przedsięwzięć tego samego rodzaju służących poprawie efektywności energetycznej w</w:t>
      </w:r>
      <w:r w:rsidR="00A94359">
        <w:rPr>
          <w:rFonts w:ascii="Times New Roman" w:hAnsi="Times New Roman" w:cs="Times New Roman"/>
          <w:szCs w:val="24"/>
        </w:rPr>
        <w:t xml:space="preserve"> </w:t>
      </w:r>
      <w:r w:rsidRPr="00A94359">
        <w:rPr>
          <w:rFonts w:ascii="Times New Roman" w:hAnsi="Times New Roman" w:cs="Times New Roman"/>
          <w:szCs w:val="24"/>
        </w:rPr>
        <w:t xml:space="preserve">następujących przypadkach: </w:t>
      </w:r>
    </w:p>
    <w:p w:rsidR="002F0A99" w:rsidRPr="00A94359" w:rsidRDefault="002F0A99" w:rsidP="00521759">
      <w:pPr>
        <w:pStyle w:val="PKTpunkt"/>
        <w:tabs>
          <w:tab w:val="left" w:pos="426"/>
        </w:tabs>
        <w:ind w:left="426" w:hanging="426"/>
        <w:rPr>
          <w:rFonts w:ascii="Times New Roman" w:hAnsi="Times New Roman" w:cs="Times New Roman"/>
          <w:szCs w:val="24"/>
        </w:rPr>
      </w:pPr>
      <w:r w:rsidRPr="00A94359">
        <w:rPr>
          <w:rFonts w:ascii="Times New Roman" w:hAnsi="Times New Roman" w:cs="Times New Roman"/>
          <w:szCs w:val="24"/>
        </w:rPr>
        <w:t>1)</w:t>
      </w:r>
      <w:r w:rsidRPr="00A94359">
        <w:rPr>
          <w:rFonts w:ascii="Times New Roman" w:hAnsi="Times New Roman" w:cs="Times New Roman"/>
          <w:szCs w:val="24"/>
        </w:rPr>
        <w:tab/>
        <w:t>jeżeli na ich realizację przyznano:</w:t>
      </w:r>
    </w:p>
    <w:p w:rsidR="002F0A99" w:rsidRPr="00A94359" w:rsidRDefault="002F0A99" w:rsidP="00521759">
      <w:pPr>
        <w:pStyle w:val="PKTpunkt"/>
        <w:numPr>
          <w:ilvl w:val="0"/>
          <w:numId w:val="11"/>
        </w:numPr>
        <w:ind w:left="851" w:hanging="425"/>
        <w:rPr>
          <w:rFonts w:ascii="Times New Roman" w:hAnsi="Times New Roman" w:cs="Times New Roman"/>
          <w:szCs w:val="24"/>
        </w:rPr>
      </w:pPr>
      <w:r w:rsidRPr="00A94359">
        <w:rPr>
          <w:rFonts w:ascii="Times New Roman" w:hAnsi="Times New Roman" w:cs="Times New Roman"/>
          <w:szCs w:val="24"/>
        </w:rPr>
        <w:t>premię termomodernizacyjną w rozumieniu ustawy z dnia 21 listopada 2008 r. o</w:t>
      </w:r>
      <w:r w:rsidR="00A94359">
        <w:rPr>
          <w:rFonts w:ascii="Times New Roman" w:hAnsi="Times New Roman" w:cs="Times New Roman"/>
          <w:szCs w:val="24"/>
        </w:rPr>
        <w:t xml:space="preserve"> </w:t>
      </w:r>
      <w:r w:rsidRPr="00A94359">
        <w:rPr>
          <w:rFonts w:ascii="Times New Roman" w:hAnsi="Times New Roman" w:cs="Times New Roman"/>
          <w:szCs w:val="24"/>
        </w:rPr>
        <w:t>wspieraniu termomodernizacji i remontów,</w:t>
      </w:r>
    </w:p>
    <w:p w:rsidR="002F0A99" w:rsidRPr="00A94359" w:rsidRDefault="002F0A99" w:rsidP="00521759">
      <w:pPr>
        <w:pStyle w:val="PKTpunkt"/>
        <w:numPr>
          <w:ilvl w:val="0"/>
          <w:numId w:val="11"/>
        </w:numPr>
        <w:ind w:left="851" w:hanging="425"/>
        <w:rPr>
          <w:rFonts w:ascii="Times New Roman" w:hAnsi="Times New Roman" w:cs="Times New Roman"/>
          <w:szCs w:val="24"/>
        </w:rPr>
      </w:pPr>
      <w:r w:rsidRPr="00A94359">
        <w:rPr>
          <w:rFonts w:ascii="Times New Roman" w:hAnsi="Times New Roman" w:cs="Times New Roman"/>
          <w:szCs w:val="24"/>
        </w:rPr>
        <w:t xml:space="preserve">pomoc inwestycyjną, </w:t>
      </w:r>
      <w:r w:rsidR="00B90AB0" w:rsidRPr="00A94359">
        <w:rPr>
          <w:rFonts w:ascii="Times New Roman" w:hAnsi="Times New Roman" w:cs="Times New Roman"/>
          <w:szCs w:val="24"/>
        </w:rPr>
        <w:t>w przypadku gdy przyznanie tego świadectwa spowoduje przekroczenie dopuszczalnej wysokości pomocy publicznej na to przedsięwzięcie, przyjmując, że wartość praw majątkowych wynikających ze świadectwa stanowi iloczyn kwoty 1500 zł za tonę oleju ekwiwalentnego oraz ilości energii finalnej, planowanej do zaoszczędzenia średnio w ciągu roku, w</w:t>
      </w:r>
      <w:r w:rsidR="00521759">
        <w:rPr>
          <w:rFonts w:ascii="Times New Roman" w:hAnsi="Times New Roman" w:cs="Times New Roman"/>
          <w:szCs w:val="24"/>
        </w:rPr>
        <w:t> </w:t>
      </w:r>
      <w:r w:rsidR="00B90AB0" w:rsidRPr="00A94359">
        <w:rPr>
          <w:rFonts w:ascii="Times New Roman" w:hAnsi="Times New Roman" w:cs="Times New Roman"/>
          <w:szCs w:val="24"/>
        </w:rPr>
        <w:t>wyniku realizacji tego przedsięwzięcia</w:t>
      </w:r>
      <w:r w:rsidRPr="00A94359">
        <w:rPr>
          <w:rFonts w:ascii="Times New Roman" w:hAnsi="Times New Roman" w:cs="Times New Roman"/>
          <w:szCs w:val="24"/>
        </w:rPr>
        <w:t>;</w:t>
      </w:r>
    </w:p>
    <w:p w:rsidR="002F0A99" w:rsidRPr="00A94359" w:rsidRDefault="002F0A99" w:rsidP="00521759">
      <w:pPr>
        <w:pStyle w:val="PKTpunkt"/>
        <w:numPr>
          <w:ilvl w:val="0"/>
          <w:numId w:val="13"/>
        </w:numPr>
        <w:tabs>
          <w:tab w:val="clear" w:pos="780"/>
          <w:tab w:val="num" w:pos="426"/>
        </w:tabs>
        <w:ind w:left="426" w:hanging="426"/>
        <w:rPr>
          <w:rFonts w:ascii="Times New Roman" w:hAnsi="Times New Roman" w:cs="Times New Roman"/>
          <w:szCs w:val="24"/>
        </w:rPr>
      </w:pPr>
      <w:r w:rsidRPr="00A94359">
        <w:rPr>
          <w:rFonts w:ascii="Times New Roman" w:hAnsi="Times New Roman" w:cs="Times New Roman"/>
          <w:szCs w:val="24"/>
        </w:rPr>
        <w:t>jeżeli w wyniku ich realizacji uzyskuje się oszczędność energii albo łączną oszczędność energii w ilości mniejszej niż 10 ton oleju ekwiwalentnego średnio w</w:t>
      </w:r>
      <w:r w:rsidR="00521759">
        <w:rPr>
          <w:rFonts w:ascii="Times New Roman" w:hAnsi="Times New Roman" w:cs="Times New Roman"/>
          <w:szCs w:val="24"/>
        </w:rPr>
        <w:t> </w:t>
      </w:r>
      <w:r w:rsidRPr="00A94359">
        <w:rPr>
          <w:rFonts w:ascii="Times New Roman" w:hAnsi="Times New Roman" w:cs="Times New Roman"/>
          <w:szCs w:val="24"/>
        </w:rPr>
        <w:t>ciągu roku;</w:t>
      </w:r>
    </w:p>
    <w:p w:rsidR="002F0A99" w:rsidRPr="00A94359" w:rsidRDefault="002F0A99" w:rsidP="00521759">
      <w:pPr>
        <w:pStyle w:val="PKTpunkt"/>
        <w:numPr>
          <w:ilvl w:val="0"/>
          <w:numId w:val="12"/>
        </w:numPr>
        <w:tabs>
          <w:tab w:val="clear" w:pos="780"/>
          <w:tab w:val="num" w:pos="426"/>
        </w:tabs>
        <w:ind w:left="426" w:hanging="426"/>
        <w:rPr>
          <w:rFonts w:ascii="Times New Roman" w:hAnsi="Times New Roman" w:cs="Times New Roman"/>
          <w:szCs w:val="24"/>
        </w:rPr>
      </w:pPr>
      <w:r w:rsidRPr="00A94359">
        <w:rPr>
          <w:rFonts w:ascii="Times New Roman" w:hAnsi="Times New Roman" w:cs="Times New Roman"/>
          <w:szCs w:val="24"/>
        </w:rPr>
        <w:t>określonych w oświadczeniu, o którym mowa w art. 1</w:t>
      </w:r>
      <w:r w:rsidR="009069DF" w:rsidRPr="00A94359">
        <w:rPr>
          <w:rFonts w:ascii="Times New Roman" w:hAnsi="Times New Roman" w:cs="Times New Roman"/>
          <w:szCs w:val="24"/>
        </w:rPr>
        <w:t>5</w:t>
      </w:r>
      <w:r w:rsidRPr="00A94359">
        <w:rPr>
          <w:rFonts w:ascii="Times New Roman" w:hAnsi="Times New Roman" w:cs="Times New Roman"/>
          <w:szCs w:val="24"/>
        </w:rPr>
        <w:t xml:space="preserve"> ust.1;</w:t>
      </w:r>
    </w:p>
    <w:p w:rsidR="002F0A99" w:rsidRPr="00A94359" w:rsidRDefault="002F0A99" w:rsidP="00521759">
      <w:pPr>
        <w:pStyle w:val="PKTpunkt"/>
        <w:numPr>
          <w:ilvl w:val="0"/>
          <w:numId w:val="12"/>
        </w:numPr>
        <w:tabs>
          <w:tab w:val="clear" w:pos="780"/>
          <w:tab w:val="num" w:pos="426"/>
        </w:tabs>
        <w:ind w:left="567" w:hanging="567"/>
        <w:rPr>
          <w:rFonts w:ascii="Times New Roman" w:hAnsi="Times New Roman" w:cs="Times New Roman"/>
          <w:szCs w:val="24"/>
        </w:rPr>
      </w:pPr>
      <w:r w:rsidRPr="00A94359">
        <w:rPr>
          <w:rFonts w:ascii="Times New Roman" w:hAnsi="Times New Roman" w:cs="Times New Roman"/>
          <w:szCs w:val="24"/>
        </w:rPr>
        <w:t xml:space="preserve">zrealizowanych w celu wypełnienia obowiązku, o którym mowa w art. </w:t>
      </w:r>
      <w:r w:rsidR="009069DF" w:rsidRPr="00A94359">
        <w:rPr>
          <w:rFonts w:ascii="Times New Roman" w:hAnsi="Times New Roman" w:cs="Times New Roman"/>
          <w:szCs w:val="24"/>
        </w:rPr>
        <w:t>10</w:t>
      </w:r>
      <w:r w:rsidRPr="00A94359">
        <w:rPr>
          <w:rFonts w:ascii="Times New Roman" w:hAnsi="Times New Roman" w:cs="Times New Roman"/>
          <w:szCs w:val="24"/>
        </w:rPr>
        <w:t xml:space="preserve"> ust. 1 pkt</w:t>
      </w:r>
      <w:r w:rsidR="00521759">
        <w:rPr>
          <w:rFonts w:ascii="Times New Roman" w:hAnsi="Times New Roman" w:cs="Times New Roman"/>
          <w:szCs w:val="24"/>
        </w:rPr>
        <w:t> </w:t>
      </w:r>
      <w:r w:rsidRPr="00A94359">
        <w:rPr>
          <w:rFonts w:ascii="Times New Roman" w:hAnsi="Times New Roman" w:cs="Times New Roman"/>
          <w:szCs w:val="24"/>
        </w:rPr>
        <w:t>1.</w:t>
      </w:r>
    </w:p>
    <w:p w:rsidR="002F0A99" w:rsidRPr="00A94359" w:rsidRDefault="002F0A99" w:rsidP="00A94359">
      <w:pPr>
        <w:pStyle w:val="USTustnpkodeksu"/>
        <w:spacing w:before="120"/>
        <w:ind w:firstLine="0"/>
        <w:rPr>
          <w:rFonts w:ascii="Times New Roman" w:hAnsi="Times New Roman" w:cs="Times New Roman"/>
          <w:szCs w:val="24"/>
        </w:rPr>
      </w:pPr>
      <w:r w:rsidRPr="00A94359">
        <w:rPr>
          <w:rFonts w:ascii="Times New Roman" w:hAnsi="Times New Roman" w:cs="Times New Roman"/>
          <w:szCs w:val="24"/>
        </w:rPr>
        <w:t>Do wydawania świadectwa efektywności energetycznej stosuje się przepisy ustawy z</w:t>
      </w:r>
      <w:r w:rsidR="00521759">
        <w:rPr>
          <w:rFonts w:ascii="Times New Roman" w:hAnsi="Times New Roman" w:cs="Times New Roman"/>
          <w:szCs w:val="24"/>
        </w:rPr>
        <w:t> </w:t>
      </w:r>
      <w:r w:rsidR="008D17A4" w:rsidRPr="00A94359">
        <w:rPr>
          <w:rFonts w:ascii="Times New Roman" w:hAnsi="Times New Roman" w:cs="Times New Roman"/>
          <w:szCs w:val="24"/>
        </w:rPr>
        <w:t>d</w:t>
      </w:r>
      <w:r w:rsidRPr="00A94359">
        <w:rPr>
          <w:rFonts w:ascii="Times New Roman" w:hAnsi="Times New Roman" w:cs="Times New Roman"/>
          <w:szCs w:val="24"/>
        </w:rPr>
        <w:t>nia 14</w:t>
      </w:r>
      <w:r w:rsidR="008D17A4" w:rsidRPr="00A94359">
        <w:rPr>
          <w:rFonts w:ascii="Times New Roman" w:hAnsi="Times New Roman" w:cs="Times New Roman"/>
          <w:szCs w:val="24"/>
        </w:rPr>
        <w:t xml:space="preserve"> </w:t>
      </w:r>
      <w:r w:rsidRPr="00A94359">
        <w:rPr>
          <w:rFonts w:ascii="Times New Roman" w:hAnsi="Times New Roman" w:cs="Times New Roman"/>
          <w:szCs w:val="24"/>
        </w:rPr>
        <w:t xml:space="preserve">czerwca 1960 r. </w:t>
      </w:r>
      <w:r w:rsidR="00014458">
        <w:rPr>
          <w:rFonts w:ascii="Times New Roman" w:hAnsi="Times New Roman" w:cs="Times New Roman"/>
          <w:szCs w:val="24"/>
        </w:rPr>
        <w:t>–</w:t>
      </w:r>
      <w:r w:rsidRPr="00A94359">
        <w:rPr>
          <w:rFonts w:ascii="Times New Roman" w:hAnsi="Times New Roman" w:cs="Times New Roman"/>
          <w:szCs w:val="24"/>
        </w:rPr>
        <w:t xml:space="preserve"> Kodeks postępowania administracyjnego (Dz. U. z 201</w:t>
      </w:r>
      <w:r w:rsidR="00981E79" w:rsidRPr="00A94359">
        <w:rPr>
          <w:rFonts w:ascii="Times New Roman" w:hAnsi="Times New Roman" w:cs="Times New Roman"/>
          <w:szCs w:val="24"/>
        </w:rPr>
        <w:t>6</w:t>
      </w:r>
      <w:r w:rsidRPr="00A94359">
        <w:rPr>
          <w:rFonts w:ascii="Times New Roman" w:hAnsi="Times New Roman" w:cs="Times New Roman"/>
          <w:szCs w:val="24"/>
        </w:rPr>
        <w:t xml:space="preserve"> r. poz.</w:t>
      </w:r>
      <w:r w:rsidR="00A94359">
        <w:rPr>
          <w:rFonts w:ascii="Times New Roman" w:hAnsi="Times New Roman" w:cs="Times New Roman"/>
          <w:szCs w:val="24"/>
        </w:rPr>
        <w:t xml:space="preserve"> </w:t>
      </w:r>
      <w:r w:rsidR="00981E79" w:rsidRPr="00A94359">
        <w:rPr>
          <w:rFonts w:ascii="Times New Roman" w:hAnsi="Times New Roman" w:cs="Times New Roman"/>
          <w:szCs w:val="24"/>
        </w:rPr>
        <w:t>23</w:t>
      </w:r>
      <w:r w:rsidRPr="00A94359">
        <w:rPr>
          <w:rFonts w:ascii="Times New Roman" w:hAnsi="Times New Roman" w:cs="Times New Roman"/>
          <w:szCs w:val="24"/>
        </w:rPr>
        <w:t>) o wydawaniu zaświadczeń, jak miało to miejsce w obowiązującej ustawie. Ponadto wniosek o wydanie świadectwa efektywności energetycznej może być złożony za pomocą środków komunikacji elektronicznej, o których mowa w ustawie z dnia 18</w:t>
      </w:r>
      <w:r w:rsidR="00521759">
        <w:rPr>
          <w:rFonts w:ascii="Times New Roman" w:hAnsi="Times New Roman" w:cs="Times New Roman"/>
          <w:szCs w:val="24"/>
        </w:rPr>
        <w:t> </w:t>
      </w:r>
      <w:r w:rsidRPr="00A94359">
        <w:rPr>
          <w:rFonts w:ascii="Times New Roman" w:hAnsi="Times New Roman" w:cs="Times New Roman"/>
          <w:szCs w:val="24"/>
        </w:rPr>
        <w:t>lipca 2002</w:t>
      </w:r>
      <w:r w:rsidR="00A94359">
        <w:rPr>
          <w:rFonts w:ascii="Times New Roman" w:hAnsi="Times New Roman" w:cs="Times New Roman"/>
          <w:szCs w:val="24"/>
        </w:rPr>
        <w:t xml:space="preserve"> </w:t>
      </w:r>
      <w:r w:rsidRPr="00A94359">
        <w:rPr>
          <w:rFonts w:ascii="Times New Roman" w:hAnsi="Times New Roman" w:cs="Times New Roman"/>
          <w:szCs w:val="24"/>
        </w:rPr>
        <w:t>r. o</w:t>
      </w:r>
      <w:r w:rsidR="00A94359">
        <w:rPr>
          <w:rFonts w:ascii="Times New Roman" w:hAnsi="Times New Roman" w:cs="Times New Roman"/>
          <w:szCs w:val="24"/>
        </w:rPr>
        <w:t xml:space="preserve"> </w:t>
      </w:r>
      <w:r w:rsidR="00014458">
        <w:rPr>
          <w:rFonts w:ascii="Times New Roman" w:hAnsi="Times New Roman" w:cs="Times New Roman"/>
          <w:szCs w:val="24"/>
        </w:rPr>
        <w:t xml:space="preserve">świadczeniu usług drogą </w:t>
      </w:r>
      <w:r w:rsidRPr="00A94359">
        <w:rPr>
          <w:rFonts w:ascii="Times New Roman" w:hAnsi="Times New Roman" w:cs="Times New Roman"/>
          <w:szCs w:val="24"/>
        </w:rPr>
        <w:t>elektroniczną (Dz. U. z 2013 r. poz. 1422</w:t>
      </w:r>
      <w:r w:rsidR="000545DB">
        <w:rPr>
          <w:rFonts w:ascii="Times New Roman" w:hAnsi="Times New Roman" w:cs="Times New Roman"/>
          <w:szCs w:val="24"/>
        </w:rPr>
        <w:t xml:space="preserve">, </w:t>
      </w:r>
      <w:r w:rsidR="007B7639">
        <w:rPr>
          <w:rFonts w:ascii="Times New Roman" w:hAnsi="Times New Roman" w:cs="Times New Roman"/>
          <w:szCs w:val="24"/>
        </w:rPr>
        <w:br/>
      </w:r>
      <w:r w:rsidR="000545DB">
        <w:rPr>
          <w:rFonts w:ascii="Times New Roman" w:hAnsi="Times New Roman" w:cs="Times New Roman"/>
          <w:szCs w:val="24"/>
        </w:rPr>
        <w:t>z 2015 r. poz. 1844 oraz z 2016 r. poz. 147</w:t>
      </w:r>
      <w:r w:rsidRPr="00A94359">
        <w:rPr>
          <w:rFonts w:ascii="Times New Roman" w:hAnsi="Times New Roman" w:cs="Times New Roman"/>
          <w:szCs w:val="24"/>
        </w:rPr>
        <w:t>).</w:t>
      </w:r>
    </w:p>
    <w:p w:rsidR="002F0A99" w:rsidRPr="00A94359" w:rsidRDefault="002F0A99" w:rsidP="00A94359">
      <w:pPr>
        <w:pStyle w:val="Tekstpodstawowy"/>
        <w:rPr>
          <w:lang w:val="pl-PL"/>
        </w:rPr>
      </w:pPr>
      <w:r w:rsidRPr="00A94359">
        <w:rPr>
          <w:lang w:val="pl-PL"/>
        </w:rPr>
        <w:tab/>
        <w:t>Na podstawie sporządzonej „Ekspertyzy w zakresie efektywności energetycznej niezbędnej dla przygotowania projektu ustawy i rozporządzeń wykonawczych implementujących postanowienia dyrektywy 2012/27/UE – Systemy zobowiązujące do efektywności energetycznej” zdecydowano skorzystać z możliwości przewidzianej w</w:t>
      </w:r>
      <w:r w:rsidR="00521759">
        <w:rPr>
          <w:lang w:val="pl-PL"/>
        </w:rPr>
        <w:t> </w:t>
      </w:r>
      <w:r w:rsidRPr="00A94359">
        <w:rPr>
          <w:lang w:val="pl-PL"/>
        </w:rPr>
        <w:t>art. 7 ust. 2 lit. b dyrektywy, co powoduje, iż oszczędność energii finalnej możliwa do uzyskania do 2020 r. w</w:t>
      </w:r>
      <w:r w:rsidR="00A94359">
        <w:rPr>
          <w:lang w:val="pl-PL"/>
        </w:rPr>
        <w:t xml:space="preserve"> </w:t>
      </w:r>
      <w:r w:rsidRPr="00A94359">
        <w:rPr>
          <w:lang w:val="pl-PL"/>
        </w:rPr>
        <w:t>wyniku wykonania obowiązku przez podmioty zobowiązane zależy od zużycia energii w</w:t>
      </w:r>
      <w:r w:rsidR="00A94359">
        <w:rPr>
          <w:lang w:val="pl-PL"/>
        </w:rPr>
        <w:t xml:space="preserve"> </w:t>
      </w:r>
      <w:r w:rsidRPr="00A94359">
        <w:rPr>
          <w:lang w:val="pl-PL"/>
        </w:rPr>
        <w:t>przemysłowej części sektora EU-ETS. Zgodnie z</w:t>
      </w:r>
      <w:r w:rsidR="00521759">
        <w:rPr>
          <w:lang w:val="pl-PL"/>
        </w:rPr>
        <w:t> </w:t>
      </w:r>
      <w:r w:rsidRPr="00A94359">
        <w:rPr>
          <w:lang w:val="pl-PL"/>
        </w:rPr>
        <w:t>przeprowadzonymi obliczeniami oszczędność energii finalnej z uwzględnieniem odliczenia przemysłowej części EU-ETS, która</w:t>
      </w:r>
      <w:r w:rsidR="00521759">
        <w:rPr>
          <w:lang w:val="pl-PL"/>
        </w:rPr>
        <w:t xml:space="preserve"> ma być uzyskana w okresie 2016–</w:t>
      </w:r>
      <w:r w:rsidRPr="00A94359">
        <w:rPr>
          <w:lang w:val="pl-PL"/>
        </w:rPr>
        <w:t>2020 powinna wynosić nie mniej niż 2645 tys. ton oleju ekwiwalentnego (art. 1</w:t>
      </w:r>
      <w:r w:rsidR="00981E79" w:rsidRPr="00A94359">
        <w:rPr>
          <w:lang w:val="pl-PL"/>
        </w:rPr>
        <w:t>8</w:t>
      </w:r>
      <w:r w:rsidRPr="00A94359">
        <w:rPr>
          <w:lang w:val="pl-PL"/>
        </w:rPr>
        <w:t xml:space="preserve"> projektu ustawy). </w:t>
      </w:r>
    </w:p>
    <w:p w:rsidR="002F0A99" w:rsidRPr="00521759" w:rsidRDefault="002F0A99" w:rsidP="00A94359">
      <w:pPr>
        <w:pStyle w:val="Tekstpodstawowy"/>
        <w:rPr>
          <w:lang w:val="pl-PL"/>
        </w:rPr>
      </w:pPr>
      <w:r w:rsidRPr="00A94359">
        <w:rPr>
          <w:lang w:val="pl-PL"/>
        </w:rPr>
        <w:t>W pozostałym zakresie przepisy dotyczące zasad uzyskiwania i umarzania świadectw efektywności energetycznej oraz sporządzania audytu efektywności energetycznej nie uległy istotnym zmianom.</w:t>
      </w:r>
    </w:p>
    <w:p w:rsidR="002F0A99" w:rsidRPr="00A94359" w:rsidRDefault="002F0A99" w:rsidP="00A94359">
      <w:pPr>
        <w:pStyle w:val="Tekstpodstawowy"/>
        <w:rPr>
          <w:b/>
          <w:lang w:val="pl-PL"/>
        </w:rPr>
      </w:pPr>
      <w:r w:rsidRPr="00A94359">
        <w:rPr>
          <w:b/>
          <w:lang w:val="pl-PL"/>
        </w:rPr>
        <w:t>Zasady przeprowadzania audytu energetycznego przedsiębiorstwa</w:t>
      </w:r>
    </w:p>
    <w:p w:rsidR="002F0A99" w:rsidRPr="00A94359" w:rsidRDefault="002F0A99" w:rsidP="00521759">
      <w:pPr>
        <w:pStyle w:val="USTustnpkodeksu"/>
        <w:spacing w:before="120"/>
        <w:ind w:firstLine="0"/>
        <w:rPr>
          <w:rFonts w:ascii="Times New Roman" w:hAnsi="Times New Roman" w:cs="Times New Roman"/>
          <w:szCs w:val="24"/>
        </w:rPr>
      </w:pPr>
      <w:r w:rsidRPr="00A94359">
        <w:rPr>
          <w:rFonts w:ascii="Times New Roman" w:hAnsi="Times New Roman" w:cs="Times New Roman"/>
          <w:szCs w:val="24"/>
        </w:rPr>
        <w:t xml:space="preserve">Przepisy rozdziału 5 projektu ustawy wdrażają art. 8 dyrektywy 2012/27/UE. </w:t>
      </w:r>
    </w:p>
    <w:p w:rsidR="002F0A99" w:rsidRPr="00A94359" w:rsidRDefault="002F0A99" w:rsidP="00521759">
      <w:pPr>
        <w:pStyle w:val="USTustnpkodeksu"/>
        <w:spacing w:before="120"/>
        <w:ind w:firstLine="0"/>
        <w:rPr>
          <w:rFonts w:ascii="Times New Roman" w:hAnsi="Times New Roman" w:cs="Times New Roman"/>
          <w:szCs w:val="24"/>
        </w:rPr>
      </w:pPr>
      <w:r w:rsidRPr="00A94359">
        <w:rPr>
          <w:rFonts w:ascii="Times New Roman" w:hAnsi="Times New Roman" w:cs="Times New Roman"/>
          <w:szCs w:val="24"/>
        </w:rPr>
        <w:t>Zgodnie z projektowan</w:t>
      </w:r>
      <w:r w:rsidR="00274B00" w:rsidRPr="00A94359">
        <w:rPr>
          <w:rFonts w:ascii="Times New Roman" w:hAnsi="Times New Roman" w:cs="Times New Roman"/>
          <w:szCs w:val="24"/>
        </w:rPr>
        <w:t>ą</w:t>
      </w:r>
      <w:r w:rsidRPr="00A94359">
        <w:rPr>
          <w:rFonts w:ascii="Times New Roman" w:hAnsi="Times New Roman" w:cs="Times New Roman"/>
          <w:szCs w:val="24"/>
        </w:rPr>
        <w:t xml:space="preserve"> ustawą, audyt energetyczny przedsiębiorstwa </w:t>
      </w:r>
      <w:r w:rsidR="00274B00" w:rsidRPr="00A94359">
        <w:rPr>
          <w:rFonts w:ascii="Times New Roman" w:hAnsi="Times New Roman" w:cs="Times New Roman"/>
          <w:szCs w:val="24"/>
        </w:rPr>
        <w:t xml:space="preserve">jest procedurą mającą </w:t>
      </w:r>
      <w:r w:rsidRPr="00A94359">
        <w:rPr>
          <w:rFonts w:ascii="Times New Roman" w:hAnsi="Times New Roman" w:cs="Times New Roman"/>
          <w:szCs w:val="24"/>
        </w:rPr>
        <w:t>na celu przeprowadzenie szczegółowych i potwierdzonych obliczeń dotyczących proponowanych przedsięwzięć służących poprawie efektywności energetycznej oraz dostarczenie informacji o</w:t>
      </w:r>
      <w:r w:rsidR="00A94359">
        <w:rPr>
          <w:rFonts w:ascii="Times New Roman" w:hAnsi="Times New Roman" w:cs="Times New Roman"/>
          <w:szCs w:val="24"/>
        </w:rPr>
        <w:t xml:space="preserve"> </w:t>
      </w:r>
      <w:r w:rsidRPr="00A94359">
        <w:rPr>
          <w:rFonts w:ascii="Times New Roman" w:hAnsi="Times New Roman" w:cs="Times New Roman"/>
          <w:szCs w:val="24"/>
        </w:rPr>
        <w:t>potencjalnych oszczędnościach energii. Zobowiązanym do jego przeprowadzenia lub do zlecenia jego przeprowadzenia, co cztery lata, będzie przedsiębiorca w rozumieniu ustawy z</w:t>
      </w:r>
      <w:r w:rsidR="00A94359">
        <w:rPr>
          <w:rFonts w:ascii="Times New Roman" w:hAnsi="Times New Roman" w:cs="Times New Roman"/>
          <w:szCs w:val="24"/>
        </w:rPr>
        <w:t xml:space="preserve"> </w:t>
      </w:r>
      <w:r w:rsidRPr="00A94359">
        <w:rPr>
          <w:rFonts w:ascii="Times New Roman" w:hAnsi="Times New Roman" w:cs="Times New Roman"/>
          <w:szCs w:val="24"/>
        </w:rPr>
        <w:t>dnia 2 lipca 2004 r. o</w:t>
      </w:r>
      <w:r w:rsidR="00521759">
        <w:rPr>
          <w:rFonts w:ascii="Times New Roman" w:hAnsi="Times New Roman" w:cs="Times New Roman"/>
          <w:szCs w:val="24"/>
        </w:rPr>
        <w:t> </w:t>
      </w:r>
      <w:r w:rsidRPr="00A94359">
        <w:rPr>
          <w:rFonts w:ascii="Times New Roman" w:hAnsi="Times New Roman" w:cs="Times New Roman"/>
          <w:szCs w:val="24"/>
        </w:rPr>
        <w:t>swobodzie działalności gospodarczej (Dz. U. z</w:t>
      </w:r>
      <w:r w:rsidR="00A94359">
        <w:rPr>
          <w:rFonts w:ascii="Times New Roman" w:hAnsi="Times New Roman" w:cs="Times New Roman"/>
          <w:szCs w:val="24"/>
        </w:rPr>
        <w:t xml:space="preserve"> </w:t>
      </w:r>
      <w:r w:rsidRPr="00A94359">
        <w:rPr>
          <w:rFonts w:ascii="Times New Roman" w:hAnsi="Times New Roman" w:cs="Times New Roman"/>
          <w:szCs w:val="24"/>
        </w:rPr>
        <w:t>2015 r. poz. 584, z</w:t>
      </w:r>
      <w:r w:rsidR="00A94359">
        <w:rPr>
          <w:rFonts w:ascii="Times New Roman" w:hAnsi="Times New Roman" w:cs="Times New Roman"/>
          <w:szCs w:val="24"/>
        </w:rPr>
        <w:t xml:space="preserve"> </w:t>
      </w:r>
      <w:r w:rsidRPr="00A94359">
        <w:rPr>
          <w:rFonts w:ascii="Times New Roman" w:hAnsi="Times New Roman" w:cs="Times New Roman"/>
          <w:szCs w:val="24"/>
        </w:rPr>
        <w:t>późn. zm.</w:t>
      </w:r>
      <w:r w:rsidR="00521759">
        <w:rPr>
          <w:rStyle w:val="Odwoanieprzypisudolnego"/>
          <w:rFonts w:ascii="Times New Roman" w:hAnsi="Times New Roman"/>
          <w:szCs w:val="24"/>
        </w:rPr>
        <w:footnoteReference w:id="4"/>
      </w:r>
      <w:r w:rsidR="00521759">
        <w:rPr>
          <w:rFonts w:ascii="Times New Roman" w:hAnsi="Times New Roman" w:cs="Times New Roman"/>
          <w:szCs w:val="24"/>
          <w:vertAlign w:val="superscript"/>
        </w:rPr>
        <w:t>)</w:t>
      </w:r>
      <w:r w:rsidRPr="00A94359">
        <w:rPr>
          <w:rFonts w:ascii="Times New Roman" w:hAnsi="Times New Roman" w:cs="Times New Roman"/>
          <w:szCs w:val="24"/>
        </w:rPr>
        <w:t xml:space="preserve">), </w:t>
      </w:r>
      <w:r w:rsidR="006A22CB">
        <w:rPr>
          <w:rFonts w:ascii="Times New Roman" w:hAnsi="Times New Roman" w:cs="Times New Roman"/>
          <w:szCs w:val="24"/>
        </w:rPr>
        <w:br/>
      </w:r>
      <w:r w:rsidRPr="00A94359">
        <w:rPr>
          <w:rFonts w:ascii="Times New Roman" w:hAnsi="Times New Roman" w:cs="Times New Roman"/>
          <w:szCs w:val="24"/>
        </w:rPr>
        <w:t>z wyjątkiem mikroprzedsiębiorcy, małego lub średniego przedsiębiorcy w</w:t>
      </w:r>
      <w:r w:rsidR="00A94359">
        <w:rPr>
          <w:rFonts w:ascii="Times New Roman" w:hAnsi="Times New Roman" w:cs="Times New Roman"/>
          <w:szCs w:val="24"/>
        </w:rPr>
        <w:t xml:space="preserve"> </w:t>
      </w:r>
      <w:r w:rsidRPr="00A94359">
        <w:rPr>
          <w:rFonts w:ascii="Times New Roman" w:hAnsi="Times New Roman" w:cs="Times New Roman"/>
          <w:szCs w:val="24"/>
        </w:rPr>
        <w:t>rozumieniu art.</w:t>
      </w:r>
      <w:r w:rsidR="00521759">
        <w:rPr>
          <w:rFonts w:ascii="Times New Roman" w:hAnsi="Times New Roman" w:cs="Times New Roman"/>
          <w:szCs w:val="24"/>
        </w:rPr>
        <w:t> 104–</w:t>
      </w:r>
      <w:r w:rsidRPr="00A94359">
        <w:rPr>
          <w:rFonts w:ascii="Times New Roman" w:hAnsi="Times New Roman" w:cs="Times New Roman"/>
          <w:szCs w:val="24"/>
        </w:rPr>
        <w:t>106 tej ustawy.</w:t>
      </w:r>
    </w:p>
    <w:p w:rsidR="002F0A99" w:rsidRPr="00A94359" w:rsidRDefault="002F0A99" w:rsidP="00521759">
      <w:pPr>
        <w:pStyle w:val="USTustnpkodeksu"/>
        <w:spacing w:before="120"/>
        <w:ind w:firstLine="0"/>
        <w:rPr>
          <w:rFonts w:ascii="Times New Roman" w:hAnsi="Times New Roman" w:cs="Times New Roman"/>
          <w:szCs w:val="24"/>
        </w:rPr>
      </w:pPr>
      <w:r w:rsidRPr="00A94359">
        <w:rPr>
          <w:rFonts w:ascii="Times New Roman" w:hAnsi="Times New Roman" w:cs="Times New Roman"/>
          <w:szCs w:val="24"/>
        </w:rPr>
        <w:t>Z obowiązku tego będzie zwolniony przedsiębiorca:</w:t>
      </w:r>
    </w:p>
    <w:p w:rsidR="002F0A99" w:rsidRPr="00A94359" w:rsidRDefault="002F0A99" w:rsidP="00521759">
      <w:pPr>
        <w:pStyle w:val="Tekstpodstawowy"/>
        <w:numPr>
          <w:ilvl w:val="0"/>
          <w:numId w:val="9"/>
        </w:numPr>
        <w:spacing w:before="0"/>
        <w:ind w:left="284" w:hanging="284"/>
        <w:rPr>
          <w:color w:val="auto"/>
          <w:lang w:val="pl-PL" w:eastAsia="en-US"/>
        </w:rPr>
      </w:pPr>
      <w:r w:rsidRPr="00A94359">
        <w:rPr>
          <w:lang w:val="pl-PL"/>
        </w:rPr>
        <w:t xml:space="preserve">posiadający system zarządzania energią określony we właściwych normach lub </w:t>
      </w:r>
    </w:p>
    <w:p w:rsidR="002F0A99" w:rsidRPr="00A94359" w:rsidRDefault="002F0A99" w:rsidP="00521759">
      <w:pPr>
        <w:pStyle w:val="Tekstpodstawowy"/>
        <w:numPr>
          <w:ilvl w:val="0"/>
          <w:numId w:val="9"/>
        </w:numPr>
        <w:spacing w:before="0"/>
        <w:ind w:left="284" w:hanging="284"/>
        <w:rPr>
          <w:color w:val="auto"/>
          <w:lang w:val="pl-PL" w:eastAsia="en-US"/>
        </w:rPr>
      </w:pPr>
      <w:r w:rsidRPr="00A94359">
        <w:rPr>
          <w:lang w:val="pl-PL"/>
        </w:rPr>
        <w:t xml:space="preserve">posiadający system zarządzania środowiskowego, </w:t>
      </w:r>
      <w:r w:rsidRPr="00A94359">
        <w:rPr>
          <w:color w:val="auto"/>
          <w:lang w:val="pl-PL" w:eastAsia="en-US"/>
        </w:rPr>
        <w:t>o którym mowa w art. 2 pkt 13 rozporządzenia Parlamentu Europejskiego i Rady (WE) nr 1221/2009 z 25 listopada 2009</w:t>
      </w:r>
      <w:r w:rsidR="00A94359">
        <w:rPr>
          <w:color w:val="auto"/>
          <w:lang w:val="pl-PL" w:eastAsia="en-US"/>
        </w:rPr>
        <w:t xml:space="preserve"> </w:t>
      </w:r>
      <w:r w:rsidRPr="00A94359">
        <w:rPr>
          <w:color w:val="auto"/>
          <w:lang w:val="pl-PL" w:eastAsia="en-US"/>
        </w:rPr>
        <w:t>r. w sprawie dobrowolnego udziału organizacji w systemie ekozarządzania i</w:t>
      </w:r>
      <w:r w:rsidR="00521759">
        <w:rPr>
          <w:color w:val="auto"/>
          <w:lang w:val="pl-PL" w:eastAsia="en-US"/>
        </w:rPr>
        <w:t> </w:t>
      </w:r>
      <w:r w:rsidRPr="00A94359">
        <w:rPr>
          <w:color w:val="auto"/>
          <w:lang w:val="pl-PL" w:eastAsia="en-US"/>
        </w:rPr>
        <w:t xml:space="preserve">audytu we Wspólnocie </w:t>
      </w:r>
    </w:p>
    <w:p w:rsidR="002F0A99" w:rsidRPr="00A94359" w:rsidRDefault="00521759" w:rsidP="00521759">
      <w:pPr>
        <w:pStyle w:val="Tekstpodstawowy"/>
        <w:spacing w:before="0"/>
        <w:rPr>
          <w:color w:val="auto"/>
          <w:lang w:val="pl-PL" w:eastAsia="en-US"/>
        </w:rPr>
      </w:pPr>
      <w:r>
        <w:rPr>
          <w:color w:val="auto"/>
          <w:lang w:val="pl-PL" w:eastAsia="en-US"/>
        </w:rPr>
        <w:t>–</w:t>
      </w:r>
      <w:r>
        <w:rPr>
          <w:color w:val="auto"/>
          <w:lang w:val="pl-PL" w:eastAsia="en-US"/>
        </w:rPr>
        <w:tab/>
      </w:r>
      <w:r w:rsidR="002F0A99" w:rsidRPr="00A94359">
        <w:rPr>
          <w:color w:val="auto"/>
          <w:lang w:val="pl-PL" w:eastAsia="en-US"/>
        </w:rPr>
        <w:t>jeżeli w ramach tych systemów przeprowadzono audyt energetyczny przedsiębiorstwa.</w:t>
      </w:r>
    </w:p>
    <w:p w:rsidR="002F0A99" w:rsidRPr="00A94359" w:rsidRDefault="002F0A99" w:rsidP="00521759">
      <w:pPr>
        <w:pStyle w:val="Tekstpodstawowy"/>
        <w:rPr>
          <w:lang w:val="pl-PL"/>
        </w:rPr>
      </w:pPr>
      <w:r w:rsidRPr="00A94359">
        <w:rPr>
          <w:lang w:val="pl-PL"/>
        </w:rPr>
        <w:t>Audyt energetyczny przedsiębiorstwa powinien być przeprowadzany przez podmiot niezależny od audytowanego przedsiębiorcy, posiadający wiedzę oraz doświadczenie zawodowe w przeprowadzaniu tego r</w:t>
      </w:r>
      <w:r w:rsidR="003F2AA4">
        <w:rPr>
          <w:lang w:val="pl-PL"/>
        </w:rPr>
        <w:t>odzaju audytu. Stąd w przypadku</w:t>
      </w:r>
      <w:r w:rsidRPr="00A94359">
        <w:rPr>
          <w:lang w:val="pl-PL"/>
        </w:rPr>
        <w:t xml:space="preserve"> gdy audyt energetyczny przedsiębiorstwa jest przeprowadzany przez ekspertów audytowanego przedsiębiorcy, nie mogą oni być bezpośrednio zaangażowani w audytowaną działalność tego przedsiębiorcy.</w:t>
      </w:r>
    </w:p>
    <w:p w:rsidR="005B284C" w:rsidRPr="00A94359" w:rsidRDefault="00532551" w:rsidP="00521759">
      <w:pPr>
        <w:pStyle w:val="Tekstpodstawowy"/>
        <w:rPr>
          <w:bCs/>
          <w:lang w:val="pl-PL"/>
        </w:rPr>
      </w:pPr>
      <w:r w:rsidRPr="00A94359">
        <w:rPr>
          <w:lang w:val="pl-PL"/>
        </w:rPr>
        <w:t>A</w:t>
      </w:r>
      <w:r w:rsidR="005B284C" w:rsidRPr="00A94359">
        <w:rPr>
          <w:bCs/>
          <w:lang w:val="pl-PL"/>
        </w:rPr>
        <w:t>udyt energetyczny przedsiębiorstwa:</w:t>
      </w:r>
    </w:p>
    <w:p w:rsidR="005B284C" w:rsidRPr="00A94359" w:rsidRDefault="005B284C" w:rsidP="00521759">
      <w:pPr>
        <w:spacing w:line="360" w:lineRule="auto"/>
        <w:ind w:left="437" w:hanging="437"/>
        <w:jc w:val="both"/>
        <w:rPr>
          <w:bCs/>
        </w:rPr>
      </w:pPr>
      <w:r w:rsidRPr="00A94359">
        <w:rPr>
          <w:bCs/>
        </w:rPr>
        <w:t>1)</w:t>
      </w:r>
      <w:r w:rsidR="00521759">
        <w:rPr>
          <w:bCs/>
        </w:rPr>
        <w:tab/>
      </w:r>
      <w:r w:rsidRPr="00A94359">
        <w:rPr>
          <w:bCs/>
        </w:rPr>
        <w:t>należy przeprowadzać na podstawie aktualnych, reprezentatywnych, mierzonych i</w:t>
      </w:r>
      <w:r w:rsidR="00521759">
        <w:rPr>
          <w:bCs/>
        </w:rPr>
        <w:t> </w:t>
      </w:r>
      <w:r w:rsidRPr="00A94359">
        <w:rPr>
          <w:bCs/>
        </w:rPr>
        <w:t>możliwych do zidentyfikowania danych dotyczących zużycia energii oraz, w</w:t>
      </w:r>
      <w:r w:rsidR="00521759">
        <w:rPr>
          <w:bCs/>
        </w:rPr>
        <w:t> </w:t>
      </w:r>
      <w:r w:rsidRPr="00A94359">
        <w:rPr>
          <w:bCs/>
        </w:rPr>
        <w:t>przypadku energii elektrycznej, zapotrzebowania na moc;</w:t>
      </w:r>
    </w:p>
    <w:p w:rsidR="005B284C" w:rsidRPr="00A94359" w:rsidRDefault="005B284C" w:rsidP="00521759">
      <w:pPr>
        <w:spacing w:line="360" w:lineRule="auto"/>
        <w:ind w:left="437" w:hanging="437"/>
        <w:jc w:val="both"/>
        <w:rPr>
          <w:bCs/>
        </w:rPr>
      </w:pPr>
      <w:r w:rsidRPr="00A94359">
        <w:rPr>
          <w:bCs/>
        </w:rPr>
        <w:t>2)</w:t>
      </w:r>
      <w:r w:rsidR="00521759">
        <w:rPr>
          <w:bCs/>
        </w:rPr>
        <w:tab/>
      </w:r>
      <w:r w:rsidRPr="00A94359">
        <w:rPr>
          <w:bCs/>
        </w:rPr>
        <w:t>powinien zawierać szczegółowy przegląd zużycia energii w budynkach lub zespołach budynków, w instalacjach przemysłowych oraz w transporcie;</w:t>
      </w:r>
    </w:p>
    <w:p w:rsidR="008D17A4" w:rsidRPr="00A94359" w:rsidRDefault="00521759" w:rsidP="00521759">
      <w:pPr>
        <w:pStyle w:val="Tekstpodstawowy"/>
        <w:spacing w:before="0"/>
        <w:ind w:left="437" w:hanging="437"/>
        <w:rPr>
          <w:bCs/>
          <w:color w:val="auto"/>
          <w:lang w:val="pl-PL"/>
        </w:rPr>
      </w:pPr>
      <w:r>
        <w:rPr>
          <w:bCs/>
          <w:color w:val="auto"/>
          <w:lang w:val="pl-PL"/>
        </w:rPr>
        <w:t>3)</w:t>
      </w:r>
      <w:r w:rsidR="005B284C" w:rsidRPr="00A94359">
        <w:rPr>
          <w:bCs/>
          <w:color w:val="auto"/>
          <w:lang w:val="pl-PL"/>
        </w:rPr>
        <w:tab/>
        <w:t>powinien opierać się, o ile to możliwe, na analizie kosztowej cyklu życia budynku lub zespołu budynków oraz instalacji przemysłowych, a nie na okresie zwrotu nakładów tak, aby uwzględnić oszczędności energii w dłuższym okresie, wartości rezydualne inwestycji długoterminowych oraz stopy dyskonta.</w:t>
      </w:r>
    </w:p>
    <w:p w:rsidR="002F0A99" w:rsidRPr="00A94359" w:rsidRDefault="002F0A99" w:rsidP="00A94359">
      <w:pPr>
        <w:pStyle w:val="Tekstpodstawowy"/>
        <w:rPr>
          <w:lang w:val="pl-PL"/>
        </w:rPr>
      </w:pPr>
      <w:r w:rsidRPr="00A94359">
        <w:rPr>
          <w:lang w:val="pl-PL"/>
        </w:rPr>
        <w:t>Przedsiębiorca będzie zobowiązany przechowywać, do celów kontrolnych, dane związane z</w:t>
      </w:r>
      <w:r w:rsidR="00A94359">
        <w:rPr>
          <w:lang w:val="pl-PL"/>
        </w:rPr>
        <w:t xml:space="preserve"> </w:t>
      </w:r>
      <w:r w:rsidRPr="00A94359">
        <w:rPr>
          <w:lang w:val="pl-PL"/>
        </w:rPr>
        <w:t>audytem energetycznym przedsiębiorstwa, przez okres 5 lat. Będzie on również zobowiązany do zawiadomienia Prezesa URE o przeprowadzonym audycie energetycznym przedsiębiorstwa, w terminie 30 dni od dnia zakończenia jego przeprowadzania i dołączenia informacji o możliwych do uzyskania oszczędnościach energii, wynikających z</w:t>
      </w:r>
      <w:r w:rsidR="00A94359">
        <w:rPr>
          <w:lang w:val="pl-PL"/>
        </w:rPr>
        <w:t xml:space="preserve"> </w:t>
      </w:r>
      <w:r w:rsidRPr="00A94359">
        <w:rPr>
          <w:lang w:val="pl-PL"/>
        </w:rPr>
        <w:t>przeprowadzonego audytu energetycznego przedsiębiorstwa.</w:t>
      </w:r>
    </w:p>
    <w:p w:rsidR="002F0A99" w:rsidRPr="00A94359" w:rsidRDefault="002F0A99" w:rsidP="00521759">
      <w:pPr>
        <w:pStyle w:val="Tekstpodstawowy"/>
        <w:rPr>
          <w:lang w:val="pl-PL"/>
        </w:rPr>
      </w:pPr>
      <w:r w:rsidRPr="00A94359">
        <w:rPr>
          <w:lang w:val="pl-PL"/>
        </w:rPr>
        <w:t>Prezes URE na podstawie informacji przekazywanych przez przedsiębiorców będzie przekazywał ministrowi właściwemu do spraw gospodarki informacje o:</w:t>
      </w:r>
    </w:p>
    <w:p w:rsidR="002F0A99" w:rsidRPr="00A94359" w:rsidRDefault="00521759" w:rsidP="00521759">
      <w:pPr>
        <w:spacing w:line="360" w:lineRule="auto"/>
        <w:ind w:left="510" w:hanging="510"/>
        <w:jc w:val="both"/>
        <w:rPr>
          <w:bCs/>
        </w:rPr>
      </w:pPr>
      <w:r>
        <w:rPr>
          <w:bCs/>
        </w:rPr>
        <w:t>1)</w:t>
      </w:r>
      <w:r>
        <w:rPr>
          <w:bCs/>
        </w:rPr>
        <w:tab/>
      </w:r>
      <w:r w:rsidR="002F0A99" w:rsidRPr="00A94359">
        <w:rPr>
          <w:bCs/>
        </w:rPr>
        <w:t xml:space="preserve">liczbie przeprowadzonych audytów </w:t>
      </w:r>
      <w:r w:rsidR="006E70A1">
        <w:rPr>
          <w:bCs/>
        </w:rPr>
        <w:t>energetycznych przedsiębiorstwa;</w:t>
      </w:r>
    </w:p>
    <w:p w:rsidR="002F0A99" w:rsidRPr="00A94359" w:rsidRDefault="00521759" w:rsidP="00521759">
      <w:pPr>
        <w:spacing w:line="360" w:lineRule="auto"/>
        <w:ind w:left="510" w:hanging="510"/>
        <w:jc w:val="both"/>
        <w:rPr>
          <w:bCs/>
        </w:rPr>
      </w:pPr>
      <w:r>
        <w:rPr>
          <w:bCs/>
        </w:rPr>
        <w:t>2)</w:t>
      </w:r>
      <w:r>
        <w:rPr>
          <w:bCs/>
        </w:rPr>
        <w:tab/>
      </w:r>
      <w:r w:rsidR="002F0A99" w:rsidRPr="00A94359">
        <w:rPr>
          <w:bCs/>
        </w:rPr>
        <w:t>liczbie przedsiębiorców, którzy przeprowadzili audyt energetyczny przedsiębiorstwa;</w:t>
      </w:r>
    </w:p>
    <w:p w:rsidR="002F0A99" w:rsidRPr="00A94359" w:rsidRDefault="002F0A99" w:rsidP="00521759">
      <w:pPr>
        <w:pStyle w:val="Akapitzlist"/>
        <w:numPr>
          <w:ilvl w:val="0"/>
          <w:numId w:val="15"/>
        </w:numPr>
        <w:spacing w:after="0" w:line="360" w:lineRule="auto"/>
        <w:ind w:left="426" w:hanging="426"/>
        <w:jc w:val="both"/>
        <w:rPr>
          <w:rFonts w:ascii="Times New Roman" w:hAnsi="Times New Roman"/>
          <w:bCs/>
          <w:sz w:val="24"/>
          <w:szCs w:val="24"/>
        </w:rPr>
      </w:pPr>
      <w:r w:rsidRPr="00A94359">
        <w:rPr>
          <w:rFonts w:ascii="Times New Roman" w:hAnsi="Times New Roman"/>
          <w:bCs/>
          <w:sz w:val="24"/>
          <w:szCs w:val="24"/>
        </w:rPr>
        <w:t>liczbie przedsiębiorców posiadających systemy zarządzania energią lub sys</w:t>
      </w:r>
      <w:r w:rsidR="006E70A1">
        <w:rPr>
          <w:rFonts w:ascii="Times New Roman" w:hAnsi="Times New Roman"/>
          <w:bCs/>
          <w:sz w:val="24"/>
          <w:szCs w:val="24"/>
        </w:rPr>
        <w:t>temy zarządzania środowiskowego;</w:t>
      </w:r>
      <w:r w:rsidRPr="00A94359">
        <w:rPr>
          <w:rFonts w:ascii="Times New Roman" w:hAnsi="Times New Roman"/>
          <w:bCs/>
          <w:sz w:val="24"/>
          <w:szCs w:val="24"/>
        </w:rPr>
        <w:t xml:space="preserve"> </w:t>
      </w:r>
    </w:p>
    <w:p w:rsidR="002F0A99" w:rsidRPr="00A94359" w:rsidRDefault="002F0A99" w:rsidP="00521759">
      <w:pPr>
        <w:pStyle w:val="Akapitzlist"/>
        <w:numPr>
          <w:ilvl w:val="0"/>
          <w:numId w:val="15"/>
        </w:numPr>
        <w:spacing w:after="0" w:line="360" w:lineRule="auto"/>
        <w:ind w:left="426" w:hanging="426"/>
        <w:jc w:val="both"/>
        <w:rPr>
          <w:rFonts w:ascii="Times New Roman" w:hAnsi="Times New Roman"/>
          <w:bCs/>
          <w:sz w:val="24"/>
          <w:szCs w:val="24"/>
        </w:rPr>
      </w:pPr>
      <w:r w:rsidRPr="00A94359">
        <w:rPr>
          <w:rFonts w:ascii="Times New Roman" w:hAnsi="Times New Roman"/>
          <w:bCs/>
          <w:sz w:val="24"/>
          <w:szCs w:val="24"/>
        </w:rPr>
        <w:t>możliwych do uzyskania oszczędnościach energii, wynikających z</w:t>
      </w:r>
      <w:r w:rsidR="00521759">
        <w:rPr>
          <w:rFonts w:ascii="Times New Roman" w:hAnsi="Times New Roman"/>
          <w:bCs/>
          <w:sz w:val="24"/>
          <w:szCs w:val="24"/>
        </w:rPr>
        <w:t> </w:t>
      </w:r>
      <w:r w:rsidRPr="00A94359">
        <w:rPr>
          <w:rFonts w:ascii="Times New Roman" w:hAnsi="Times New Roman"/>
          <w:bCs/>
          <w:sz w:val="24"/>
          <w:szCs w:val="24"/>
        </w:rPr>
        <w:t>przeprowadzonych audytów energetycznych przedsiębiorstwa.</w:t>
      </w:r>
    </w:p>
    <w:p w:rsidR="002F0A99" w:rsidRPr="00A94359" w:rsidRDefault="002F0A99" w:rsidP="00A94359">
      <w:pPr>
        <w:pStyle w:val="Tekstpodstawowy"/>
        <w:keepNext/>
        <w:rPr>
          <w:b/>
          <w:lang w:val="pl-PL"/>
        </w:rPr>
      </w:pPr>
      <w:r w:rsidRPr="00A94359">
        <w:rPr>
          <w:b/>
          <w:lang w:val="pl-PL"/>
        </w:rPr>
        <w:t>Kary pieniężne</w:t>
      </w:r>
    </w:p>
    <w:p w:rsidR="002F0A99" w:rsidRPr="00A94359" w:rsidRDefault="002F0A99" w:rsidP="00521759">
      <w:pPr>
        <w:spacing w:before="120" w:line="360" w:lineRule="auto"/>
        <w:jc w:val="both"/>
      </w:pPr>
      <w:r w:rsidRPr="00A94359">
        <w:t>W projektowanych przepisach regulujących zasady nakładania kar pieniężnych za niewykonanie obowiązków wynikających z ustawy, kary pieniężne mają charakter kar administracyjnych. Kara pieniężna jest rodzajem sankcji karnoadministracyjnej. Kara ta nakładana jest w formie indywidualnego aktu administracyjnego za naruszenie obowiązujących przepisów prawa. Jest środkiem administracyjnokarnym o charakterze pieniężnym. Zasadność zastosowania, jak i wysokość administracyjnych kar pieniężnych podlega uznaniu administracyjnemu organu nakładającemu te kary. Jednakże organ nakładający administracyjne kary pieniężne ma obowiązek zastosowania nie tylko krajowych norm prawnych w tym zakresie, ale także aktów o</w:t>
      </w:r>
      <w:r w:rsidR="00521759">
        <w:t> </w:t>
      </w:r>
      <w:r w:rsidRPr="00A94359">
        <w:t>charakterze międzynarodowym. Do aktów tych zaliczyć należy m.in.:</w:t>
      </w:r>
    </w:p>
    <w:p w:rsidR="002F0A99" w:rsidRPr="00A94359" w:rsidRDefault="002F0A99" w:rsidP="00521759">
      <w:pPr>
        <w:autoSpaceDE w:val="0"/>
        <w:autoSpaceDN w:val="0"/>
        <w:adjustRightInd w:val="0"/>
        <w:spacing w:line="360" w:lineRule="auto"/>
        <w:ind w:left="425" w:hanging="425"/>
        <w:jc w:val="both"/>
        <w:rPr>
          <w:lang w:val="en-US"/>
        </w:rPr>
      </w:pPr>
      <w:r w:rsidRPr="00A94359">
        <w:t>1)</w:t>
      </w:r>
      <w:r w:rsidR="00521759">
        <w:tab/>
      </w:r>
      <w:r w:rsidRPr="00A94359">
        <w:t xml:space="preserve">zalecenia Komitetu Ministrów Rady Europy z dnia 13.02.1991 r. w sprawie sankcji administracyjnych (zob. </w:t>
      </w:r>
      <w:r w:rsidRPr="00A94359">
        <w:rPr>
          <w:lang w:val="en-US"/>
        </w:rPr>
        <w:t xml:space="preserve">Recommendation No R (91) 1 of the Committee of Ministers to Member States on Administrative Sanctions, Recommendations, Resolutions and Declarations of the Committee of Ministers 1991, Council of Europe, Strasbourg 1995); </w:t>
      </w:r>
    </w:p>
    <w:p w:rsidR="002F0A99" w:rsidRPr="00A94359" w:rsidRDefault="002F0A99" w:rsidP="00521759">
      <w:pPr>
        <w:autoSpaceDE w:val="0"/>
        <w:autoSpaceDN w:val="0"/>
        <w:adjustRightInd w:val="0"/>
        <w:spacing w:line="360" w:lineRule="auto"/>
        <w:ind w:left="425" w:hanging="425"/>
        <w:jc w:val="both"/>
        <w:rPr>
          <w:lang w:val="en-US"/>
        </w:rPr>
      </w:pPr>
      <w:r w:rsidRPr="00A94359">
        <w:rPr>
          <w:lang w:val="en-US"/>
        </w:rPr>
        <w:t>2)</w:t>
      </w:r>
      <w:r w:rsidR="00521759">
        <w:rPr>
          <w:lang w:val="en-US"/>
        </w:rPr>
        <w:tab/>
      </w:r>
      <w:r w:rsidRPr="00A94359">
        <w:rPr>
          <w:lang w:val="en-US"/>
        </w:rPr>
        <w:t>rezolucję Komitetu Ministrów Rady Europy z dnia 28.09.1977 r. (Resolution No R</w:t>
      </w:r>
      <w:r w:rsidR="00521759">
        <w:rPr>
          <w:lang w:val="en-US"/>
        </w:rPr>
        <w:t> </w:t>
      </w:r>
      <w:r w:rsidRPr="00A94359">
        <w:rPr>
          <w:lang w:val="en-US"/>
        </w:rPr>
        <w:t>(77) 31 on the Protection of the Individual in Relation to the Acts of Administrative Authorities, Resolutions of the Committee of Ministers 1977, Council of Europe, Strasbourg 1979), dotyczącą ochrony jednostki w sprawach rozstrzyganych aktami administracyjnymi.</w:t>
      </w:r>
    </w:p>
    <w:p w:rsidR="002F0A99" w:rsidRPr="00A94359" w:rsidRDefault="002F0A99" w:rsidP="00A94359">
      <w:pPr>
        <w:autoSpaceDE w:val="0"/>
        <w:autoSpaceDN w:val="0"/>
        <w:adjustRightInd w:val="0"/>
        <w:spacing w:before="120" w:line="360" w:lineRule="auto"/>
        <w:jc w:val="both"/>
      </w:pPr>
      <w:r w:rsidRPr="00A94359">
        <w:t>W projekcie ustawy enumeratywnie wymieniono czyny podlegające karze. Określono, które czyny podlegają karze w wysokości do 10% przychodu ukaranego przedsiębiorstwa energetycznego lub odbiorcy końcowego, lub towarowego domu maklerskiego lub domu maklerskiego, osiągniętego w roku podatkowym poprzedzającym rok nałożenia kary, a które w wysokości nieprzekraczającej 3</w:t>
      </w:r>
      <w:r w:rsidR="00521759">
        <w:t> </w:t>
      </w:r>
      <w:r w:rsidRPr="00A94359">
        <w:t>000</w:t>
      </w:r>
      <w:r w:rsidR="00521759">
        <w:t> </w:t>
      </w:r>
      <w:r w:rsidRPr="00A94359">
        <w:t>000</w:t>
      </w:r>
      <w:r w:rsidR="00521759">
        <w:t> </w:t>
      </w:r>
      <w:r w:rsidRPr="00A94359">
        <w:t>zł</w:t>
      </w:r>
      <w:r w:rsidR="00C9369F" w:rsidRPr="00A94359">
        <w:t xml:space="preserve">, i które w wysokości </w:t>
      </w:r>
      <w:r w:rsidR="00C9369F" w:rsidRPr="00A94359">
        <w:rPr>
          <w:bCs/>
        </w:rPr>
        <w:t>nie wyższej niż 5% przychodu ukaranego przedsiębiorcy, osiągniętego w</w:t>
      </w:r>
      <w:r w:rsidR="00A94359">
        <w:rPr>
          <w:bCs/>
        </w:rPr>
        <w:t xml:space="preserve"> </w:t>
      </w:r>
      <w:r w:rsidR="00C9369F" w:rsidRPr="00A94359">
        <w:rPr>
          <w:bCs/>
        </w:rPr>
        <w:t>poprzednim roku podatkowym.</w:t>
      </w:r>
      <w:r w:rsidR="00532551" w:rsidRPr="00A94359">
        <w:rPr>
          <w:bCs/>
        </w:rPr>
        <w:t xml:space="preserve"> </w:t>
      </w:r>
      <w:r w:rsidRPr="00A94359">
        <w:t>Zmniejszono w drugim przypadku górną granicę kary, która do tej pory wynosiła 2</w:t>
      </w:r>
      <w:r w:rsidR="00A94359">
        <w:t xml:space="preserve"> </w:t>
      </w:r>
      <w:r w:rsidRPr="00A94359">
        <w:t>000</w:t>
      </w:r>
      <w:r w:rsidR="00A94359">
        <w:t xml:space="preserve"> </w:t>
      </w:r>
      <w:r w:rsidRPr="00A94359">
        <w:t>000 euro i w ocenie odbiorców i wykonawców przepisów ustawy była niewspółmiernie wysoka do przewinienia.</w:t>
      </w:r>
    </w:p>
    <w:p w:rsidR="002F0A99" w:rsidRPr="00A94359" w:rsidRDefault="002F0A99" w:rsidP="00521759">
      <w:pPr>
        <w:pStyle w:val="Tekstpodstawowy"/>
        <w:rPr>
          <w:lang w:val="pl-PL"/>
        </w:rPr>
      </w:pPr>
      <w:r w:rsidRPr="00A94359">
        <w:rPr>
          <w:lang w:val="pl-PL"/>
        </w:rPr>
        <w:t>Ustalając wysokość kar pieniężnych</w:t>
      </w:r>
      <w:r w:rsidR="003F2AA4">
        <w:rPr>
          <w:lang w:val="pl-PL"/>
        </w:rPr>
        <w:t>,</w:t>
      </w:r>
      <w:r w:rsidRPr="00A94359">
        <w:rPr>
          <w:lang w:val="pl-PL"/>
        </w:rPr>
        <w:t xml:space="preserve"> Prezes URE będzie uwzględniał zakres naruszeń, powtarzalność naruszeń </w:t>
      </w:r>
      <w:r w:rsidR="00532551" w:rsidRPr="00A94359">
        <w:rPr>
          <w:lang w:val="pl-PL"/>
        </w:rPr>
        <w:t>oraz możliwości</w:t>
      </w:r>
      <w:r w:rsidRPr="00A94359">
        <w:rPr>
          <w:lang w:val="pl-PL"/>
        </w:rPr>
        <w:t xml:space="preserve"> finansowe </w:t>
      </w:r>
      <w:r w:rsidR="00532551" w:rsidRPr="00A94359">
        <w:rPr>
          <w:lang w:val="pl-PL"/>
        </w:rPr>
        <w:t>ukaranego podmiotu</w:t>
      </w:r>
      <w:r w:rsidRPr="00A94359">
        <w:rPr>
          <w:lang w:val="pl-PL"/>
        </w:rPr>
        <w:t>. Jednocześnie dodano przepis, że Prezes URE będzie mógł odstąpić od wymierzenia kary, jeżeli zakres naruszeń jest znikomy, a podmiot zaprzestał naruszania prawa lub zrealizował obowiązek, zanim Prezes URE powziął o tym wiadomość.</w:t>
      </w:r>
    </w:p>
    <w:p w:rsidR="002F0A99" w:rsidRPr="00A94359" w:rsidRDefault="002F0A99" w:rsidP="00521759">
      <w:pPr>
        <w:pStyle w:val="Tekstpodstawowy"/>
        <w:rPr>
          <w:lang w:val="pl-PL"/>
        </w:rPr>
      </w:pPr>
      <w:r w:rsidRPr="00A94359">
        <w:rPr>
          <w:lang w:val="pl-PL"/>
        </w:rPr>
        <w:t>Celem instytucji odstąpienia od wymierzenia kary pieniężnej jest zliberalizowanie norm w</w:t>
      </w:r>
      <w:r w:rsidR="00A94359">
        <w:rPr>
          <w:lang w:val="pl-PL"/>
        </w:rPr>
        <w:t xml:space="preserve"> </w:t>
      </w:r>
      <w:r w:rsidRPr="00A94359">
        <w:rPr>
          <w:lang w:val="pl-PL"/>
        </w:rPr>
        <w:t>zakresie kar pieniężnych, w szczególności przez przyznanie Prezesowi URE (i</w:t>
      </w:r>
      <w:r w:rsidR="00521759">
        <w:rPr>
          <w:lang w:val="pl-PL"/>
        </w:rPr>
        <w:t> </w:t>
      </w:r>
      <w:r w:rsidRPr="00A94359">
        <w:rPr>
          <w:lang w:val="pl-PL"/>
        </w:rPr>
        <w:t>tylko Prezesowi URE) uprawnienia do podjęcia przedmiotowej decyzji w sytuacji, gdy adresat kary pieniężnej w przeszłości zachowywał się sprzecznie z normami jednakże następnie zmienił swoje postępowanie. Odstąpienie od wymierzenia kary pieniężnej stanowi nowy instrument formalnoprawny, uprawniający Prezesa URE do wykorzystania, w sytuacji zaistnienia przesłanek pozytywnych dla adresata kary pieniężnej.</w:t>
      </w:r>
    </w:p>
    <w:p w:rsidR="002F0A99" w:rsidRPr="00A94359" w:rsidRDefault="002F0A99" w:rsidP="00521759">
      <w:pPr>
        <w:pStyle w:val="Tekstpodstawowy"/>
        <w:rPr>
          <w:lang w:val="pl-PL"/>
        </w:rPr>
      </w:pPr>
      <w:r w:rsidRPr="00A94359">
        <w:rPr>
          <w:lang w:val="pl-PL"/>
        </w:rPr>
        <w:t>Kara pieniężna wymierzana będzie w drodze decyzji, na którą służy odwołanie do Sądu Okręgowego w Warszawie − sądu ochrony konkurencji i konsumentów, w terminie 14</w:t>
      </w:r>
      <w:r w:rsidR="00521759">
        <w:rPr>
          <w:lang w:val="pl-PL"/>
        </w:rPr>
        <w:t> </w:t>
      </w:r>
      <w:r w:rsidRPr="00A94359">
        <w:rPr>
          <w:lang w:val="pl-PL"/>
        </w:rPr>
        <w:t>dni od dnia doręczenia decyzji. Postępowanie w sprawie odwołania od decyzji Prezesa URE będzie toczyć się według przepisów ustawy z dnia 17 listopada 1964 r. − Kodeks postępowania cywilnego. Tryb wskazany w projekcie ustawy jest tożsamy z</w:t>
      </w:r>
      <w:r w:rsidR="00521759">
        <w:rPr>
          <w:lang w:val="pl-PL"/>
        </w:rPr>
        <w:t> </w:t>
      </w:r>
      <w:r w:rsidRPr="00A94359">
        <w:rPr>
          <w:lang w:val="pl-PL"/>
        </w:rPr>
        <w:t>trybem wymierzania kar pieniężnych za niedopełnienie obowiązków określonych w</w:t>
      </w:r>
      <w:r w:rsidR="00521759">
        <w:rPr>
          <w:lang w:val="pl-PL"/>
        </w:rPr>
        <w:t> </w:t>
      </w:r>
      <w:r w:rsidRPr="00A94359">
        <w:rPr>
          <w:lang w:val="pl-PL"/>
        </w:rPr>
        <w:t>ustawie z dnia 10</w:t>
      </w:r>
      <w:r w:rsidR="00A94359">
        <w:rPr>
          <w:lang w:val="pl-PL"/>
        </w:rPr>
        <w:t xml:space="preserve"> </w:t>
      </w:r>
      <w:r w:rsidRPr="00A94359">
        <w:rPr>
          <w:lang w:val="pl-PL"/>
        </w:rPr>
        <w:t xml:space="preserve">kwietnia 1997 r. – Prawo energetyczne. </w:t>
      </w:r>
    </w:p>
    <w:p w:rsidR="002F0A99" w:rsidRPr="00A94359" w:rsidRDefault="002F0A99" w:rsidP="00521759">
      <w:pPr>
        <w:pStyle w:val="Tekstpodstawowy"/>
        <w:rPr>
          <w:lang w:val="pl-PL"/>
        </w:rPr>
      </w:pPr>
      <w:r w:rsidRPr="00A94359">
        <w:rPr>
          <w:lang w:val="pl-PL"/>
        </w:rPr>
        <w:t xml:space="preserve">Zgodnie z projektem ustawy </w:t>
      </w:r>
      <w:r w:rsidR="003F2AA4">
        <w:rPr>
          <w:lang w:val="pl-PL"/>
        </w:rPr>
        <w:t>–</w:t>
      </w:r>
      <w:r w:rsidRPr="00A94359">
        <w:rPr>
          <w:lang w:val="pl-PL"/>
        </w:rPr>
        <w:t xml:space="preserve"> kara pieniężna za niedopełnienie obowiązków będzie uiszczana na rachunek bankowy właściwego urzędu skarbowego, w terminie 14 dni od dnia, w którym decyzja Prezesa URE o</w:t>
      </w:r>
      <w:r w:rsidR="00A94359">
        <w:rPr>
          <w:lang w:val="pl-PL"/>
        </w:rPr>
        <w:t xml:space="preserve"> </w:t>
      </w:r>
      <w:r w:rsidRPr="00A94359">
        <w:rPr>
          <w:lang w:val="pl-PL"/>
        </w:rPr>
        <w:t xml:space="preserve">wymierzeniu kary pieniężnej stała się prawomocna. </w:t>
      </w:r>
    </w:p>
    <w:p w:rsidR="002F0A99" w:rsidRPr="00A94359" w:rsidRDefault="002F0A99" w:rsidP="00521759">
      <w:pPr>
        <w:pStyle w:val="Tekstpodstawowy"/>
        <w:rPr>
          <w:lang w:val="pl-PL"/>
        </w:rPr>
      </w:pPr>
      <w:r w:rsidRPr="00A94359">
        <w:rPr>
          <w:lang w:val="pl-PL"/>
        </w:rPr>
        <w:t>Wpływy z tytułu kar pieniężnych będą stanowić dochód budżetu państwa. Kary pieniężne będą podlegać ściągnięciu w trybie przepisów o postępowaniu egzekucyjnym w administracji.</w:t>
      </w:r>
    </w:p>
    <w:p w:rsidR="00663885" w:rsidRPr="00521759" w:rsidRDefault="002F0A99" w:rsidP="00521759">
      <w:pPr>
        <w:pStyle w:val="Tekstpodstawowy"/>
        <w:rPr>
          <w:lang w:val="pl-PL"/>
        </w:rPr>
      </w:pPr>
      <w:r w:rsidRPr="00A94359">
        <w:rPr>
          <w:lang w:val="pl-PL"/>
        </w:rPr>
        <w:tab/>
      </w:r>
      <w:r w:rsidR="00A94359">
        <w:rPr>
          <w:lang w:val="pl-PL"/>
        </w:rPr>
        <w:t xml:space="preserve"> </w:t>
      </w:r>
      <w:r w:rsidRPr="00A94359">
        <w:rPr>
          <w:lang w:val="pl-PL"/>
        </w:rPr>
        <w:t>Natomiast zgodnie z art. 5</w:t>
      </w:r>
      <w:r w:rsidR="00DA5734" w:rsidRPr="00A94359">
        <w:rPr>
          <w:lang w:val="pl-PL"/>
        </w:rPr>
        <w:t>2</w:t>
      </w:r>
      <w:r w:rsidRPr="00A94359">
        <w:rPr>
          <w:lang w:val="pl-PL"/>
        </w:rPr>
        <w:t xml:space="preserve"> ust. 2 projektu ustawy, kary pieniężne wymierzane na podstawie art.</w:t>
      </w:r>
      <w:r w:rsidR="00A94359">
        <w:rPr>
          <w:lang w:val="pl-PL"/>
        </w:rPr>
        <w:t xml:space="preserve"> </w:t>
      </w:r>
      <w:r w:rsidRPr="00A94359">
        <w:rPr>
          <w:lang w:val="pl-PL"/>
        </w:rPr>
        <w:t xml:space="preserve">35 ustawy z dnia 15 kwietnia 2011 r. o efektywności energetycznej, płatne po dniu </w:t>
      </w:r>
      <w:r w:rsidR="00DA5734" w:rsidRPr="00A94359">
        <w:rPr>
          <w:lang w:val="pl-PL"/>
        </w:rPr>
        <w:t>wejścia w życie ustawy</w:t>
      </w:r>
      <w:r w:rsidRPr="00A94359">
        <w:rPr>
          <w:lang w:val="pl-PL"/>
        </w:rPr>
        <w:t xml:space="preserve"> będą uiszczane na rachunek bankowy właściwego urzędu skarbowego. </w:t>
      </w:r>
    </w:p>
    <w:p w:rsidR="002F0A99" w:rsidRPr="00A94359" w:rsidRDefault="002F0A99" w:rsidP="00A94359">
      <w:pPr>
        <w:pStyle w:val="Nagwek2"/>
        <w:spacing w:before="120" w:line="360" w:lineRule="auto"/>
        <w:rPr>
          <w:sz w:val="24"/>
          <w:szCs w:val="24"/>
        </w:rPr>
      </w:pPr>
      <w:r w:rsidRPr="00A94359">
        <w:rPr>
          <w:sz w:val="24"/>
          <w:szCs w:val="24"/>
        </w:rPr>
        <w:t>Zmiany w przepisach obowiązujących</w:t>
      </w:r>
    </w:p>
    <w:p w:rsidR="002F0A99" w:rsidRPr="00A94359" w:rsidRDefault="002F0A99" w:rsidP="00521759">
      <w:pPr>
        <w:spacing w:before="120" w:line="360" w:lineRule="auto"/>
        <w:jc w:val="both"/>
      </w:pPr>
      <w:r w:rsidRPr="00A94359">
        <w:t>Projekt ustawy w rozdziale 8 wprowadza zmiany w ustaw</w:t>
      </w:r>
      <w:r w:rsidR="00A44658" w:rsidRPr="00A94359">
        <w:t xml:space="preserve">ach: </w:t>
      </w:r>
      <w:r w:rsidRPr="00A94359">
        <w:t>z dnia 10 kwietnia 1997</w:t>
      </w:r>
      <w:r w:rsidR="00521759">
        <w:t> </w:t>
      </w:r>
      <w:r w:rsidRPr="00A94359">
        <w:t>r.</w:t>
      </w:r>
      <w:r w:rsidR="00EA05A1">
        <w:t xml:space="preserve"> </w:t>
      </w:r>
      <w:r w:rsidR="00521759">
        <w:t>–</w:t>
      </w:r>
      <w:r w:rsidRPr="00A94359">
        <w:t xml:space="preserve"> Prawo energetyczne</w:t>
      </w:r>
      <w:r w:rsidR="00A44658" w:rsidRPr="00A94359">
        <w:t xml:space="preserve">, </w:t>
      </w:r>
      <w:r w:rsidRPr="00A94359">
        <w:t>z dnia 27 kwietnia 2001 r. – Prawo ochrony środowiska</w:t>
      </w:r>
      <w:r w:rsidR="007B7639">
        <w:t xml:space="preserve">, </w:t>
      </w:r>
      <w:r w:rsidRPr="00A94359">
        <w:t>z dnia 3</w:t>
      </w:r>
      <w:r w:rsidR="00A94359">
        <w:t xml:space="preserve"> </w:t>
      </w:r>
      <w:r w:rsidRPr="00A94359">
        <w:t>października 2008 r. o udostępnianiu informacji o środowisku i jego ochronie, udziale społeczeństwa w ochronie środowiska oraz o ocenie oddziaływania na środowisko</w:t>
      </w:r>
      <w:r w:rsidR="007B7639">
        <w:t xml:space="preserve"> oraz z dnia 29 grudnia 2015 r. o zmianie ustawy o efektywności energetycznej.</w:t>
      </w:r>
    </w:p>
    <w:p w:rsidR="002F0A99" w:rsidRPr="00A94359" w:rsidRDefault="002F0A99" w:rsidP="00521759">
      <w:pPr>
        <w:spacing w:before="120" w:line="360" w:lineRule="auto"/>
        <w:jc w:val="both"/>
      </w:pPr>
      <w:r w:rsidRPr="00A94359">
        <w:t>Najwięcej zmian wprowadzono w ustawie z</w:t>
      </w:r>
      <w:r w:rsidR="00521759">
        <w:t xml:space="preserve"> dnia 10 kwietnia 1997 r. –</w:t>
      </w:r>
      <w:r w:rsidRPr="00A94359">
        <w:t xml:space="preserve"> Prawo energetyczne, gdyż dyrektywa 2012/27/UE obejmuje swoim zakresem również zagadnienia na styku tej ustawy i ustawy o efektywności energetycznej. </w:t>
      </w:r>
    </w:p>
    <w:p w:rsidR="002F0A99" w:rsidRPr="00A94359" w:rsidRDefault="002F0A99" w:rsidP="00521759">
      <w:pPr>
        <w:spacing w:before="120" w:line="360" w:lineRule="auto"/>
        <w:jc w:val="both"/>
      </w:pPr>
      <w:r w:rsidRPr="00A94359">
        <w:t xml:space="preserve">W ustawie z dnia 10 kwietnia 1997 r. </w:t>
      </w:r>
      <w:r w:rsidR="00521759">
        <w:t>–</w:t>
      </w:r>
      <w:r w:rsidRPr="00A94359">
        <w:t xml:space="preserve"> Prawo energetyczne</w:t>
      </w:r>
      <w:r w:rsidR="00521759">
        <w:t xml:space="preserve"> wprowadzono art. 9y–</w:t>
      </w:r>
      <w:r w:rsidRPr="00A94359">
        <w:t>9zb i</w:t>
      </w:r>
      <w:r w:rsidR="00521759">
        <w:t> art. 10a–</w:t>
      </w:r>
      <w:r w:rsidRPr="00A94359">
        <w:t xml:space="preserve">10c oraz dokonano odpowiednich </w:t>
      </w:r>
      <w:r w:rsidR="00521759">
        <w:t xml:space="preserve">zmian w art. 5, </w:t>
      </w:r>
      <w:r w:rsidR="003F2AA4">
        <w:t xml:space="preserve">art. </w:t>
      </w:r>
      <w:r w:rsidR="00521759">
        <w:t xml:space="preserve">7b, </w:t>
      </w:r>
      <w:r w:rsidR="003F2AA4">
        <w:t xml:space="preserve">art. </w:t>
      </w:r>
      <w:r w:rsidR="00521759">
        <w:t xml:space="preserve">9a, </w:t>
      </w:r>
      <w:r w:rsidR="003F2AA4">
        <w:t xml:space="preserve">art. </w:t>
      </w:r>
      <w:r w:rsidR="00521759">
        <w:t xml:space="preserve">16a, </w:t>
      </w:r>
      <w:r w:rsidR="003F2AA4">
        <w:br/>
        <w:t xml:space="preserve">art. </w:t>
      </w:r>
      <w:r w:rsidR="00521759">
        <w:t>18–</w:t>
      </w:r>
      <w:r w:rsidRPr="00A94359">
        <w:t xml:space="preserve">20 i </w:t>
      </w:r>
      <w:r w:rsidR="003F2AA4">
        <w:t xml:space="preserve">art. </w:t>
      </w:r>
      <w:r w:rsidRPr="00A94359">
        <w:t xml:space="preserve">45a oraz uchylono art. 9n. Projektowane przepisy wdrażają </w:t>
      </w:r>
      <w:r w:rsidR="003F2AA4">
        <w:br/>
      </w:r>
      <w:r w:rsidRPr="00A94359">
        <w:t>art. 14 i art.</w:t>
      </w:r>
      <w:r w:rsidR="003F2AA4">
        <w:t xml:space="preserve"> </w:t>
      </w:r>
      <w:r w:rsidRPr="00A94359">
        <w:t xml:space="preserve">9 dyrektywy 2012/27/UE. </w:t>
      </w:r>
    </w:p>
    <w:p w:rsidR="002F0A99" w:rsidRPr="00A94359" w:rsidRDefault="002F0A99" w:rsidP="00521759">
      <w:pPr>
        <w:spacing w:before="120" w:line="360" w:lineRule="auto"/>
        <w:jc w:val="both"/>
      </w:pPr>
      <w:r w:rsidRPr="00A94359">
        <w:t>Projektowane artykuły 9y</w:t>
      </w:r>
      <w:r w:rsidR="00B52410">
        <w:t>–</w:t>
      </w:r>
      <w:r w:rsidRPr="00A94359">
        <w:t xml:space="preserve">9zb </w:t>
      </w:r>
      <w:r w:rsidR="00A44658" w:rsidRPr="00A94359">
        <w:t xml:space="preserve">dodane w </w:t>
      </w:r>
      <w:r w:rsidRPr="00A94359">
        <w:t>ustaw</w:t>
      </w:r>
      <w:r w:rsidR="00A44658" w:rsidRPr="00A94359">
        <w:t>ie</w:t>
      </w:r>
      <w:r w:rsidRPr="00A94359">
        <w:t xml:space="preserve"> – Prawo energetyczne transponują </w:t>
      </w:r>
      <w:r w:rsidR="003F2AA4">
        <w:br/>
      </w:r>
      <w:r w:rsidRPr="00A94359">
        <w:t>art.</w:t>
      </w:r>
      <w:r w:rsidR="003F2AA4">
        <w:t xml:space="preserve"> </w:t>
      </w:r>
      <w:r w:rsidRPr="00A94359">
        <w:t>14 ust. 10 dyrektywy 2012/27/UE.</w:t>
      </w:r>
    </w:p>
    <w:p w:rsidR="002F0A99" w:rsidRPr="00521759" w:rsidRDefault="002F0A99" w:rsidP="00521759">
      <w:pPr>
        <w:spacing w:before="120" w:line="360" w:lineRule="auto"/>
        <w:jc w:val="both"/>
      </w:pPr>
      <w:r w:rsidRPr="00521759">
        <w:t>Zgodnie z art. 14 ust. 10 dyrektywy 2012/27/UE „…państwa członkowskie zapewniają, aby można było zagwarantować pochodzenie energii elektrycznej wytworzonej w</w:t>
      </w:r>
      <w:r w:rsidR="00521759">
        <w:t> </w:t>
      </w:r>
      <w:r w:rsidRPr="00521759">
        <w:t>procesie wysokosprawnej kogeneracji zgodnie z obiektywnymi, przejrzystymi i</w:t>
      </w:r>
      <w:r w:rsidR="00521759">
        <w:t> </w:t>
      </w:r>
      <w:r w:rsidRPr="00521759">
        <w:t>niedyskryminacyjnymi kryteriami określonymi przez każde państwo członkowskie. Państwa członkowskie zapewniają, aby wspomniana gwarancja pochodzenia spełniała wymogi i zawierała co najmniej informacje określone w załączniku X. Państwa członkowskie uznają wzajemnie swoje gwarancje pochodzenia, wyłącznie jako dowód na potwierdzenie informacji, o których mo</w:t>
      </w:r>
      <w:r w:rsidR="003F2AA4">
        <w:t>wa w niniejszym ustępie….</w:t>
      </w:r>
      <w:r w:rsidRPr="00521759">
        <w:t>”</w:t>
      </w:r>
      <w:r w:rsidR="00A94359" w:rsidRPr="00521759">
        <w:t xml:space="preserve"> </w:t>
      </w:r>
    </w:p>
    <w:p w:rsidR="002F0A99" w:rsidRPr="00A94359" w:rsidRDefault="002F0A99" w:rsidP="00521759">
      <w:pPr>
        <w:spacing w:before="120" w:line="360" w:lineRule="auto"/>
        <w:jc w:val="both"/>
      </w:pPr>
      <w:r w:rsidRPr="00A94359">
        <w:t>W art. 9y zdefiniowana została gwarancja pochodzenia, która oznacza dokument poświadczający, że określona w tym dokumencie ilość energii elektrycznej wprowadzonej do sieci dystrybucyjnej lub sieci przesyłowej została wytworzona w</w:t>
      </w:r>
      <w:r w:rsidR="00521759">
        <w:t> </w:t>
      </w:r>
      <w:r w:rsidRPr="00A94359">
        <w:t>wysokosprawnej kogeneracji.</w:t>
      </w:r>
    </w:p>
    <w:p w:rsidR="002F0A99" w:rsidRPr="00A94359" w:rsidRDefault="002F0A99" w:rsidP="00521759">
      <w:pPr>
        <w:spacing w:before="120" w:line="360" w:lineRule="auto"/>
        <w:jc w:val="both"/>
      </w:pPr>
      <w:r w:rsidRPr="00A94359">
        <w:t>Zgodnie z projektowanymi przepisami gwarancję pochodzenia wydaje się na pisemny wniosek przedsiębiorstwa energetycznego zajmującego się wytwarzaniem energii elektrycznej w wysokosprawnej kogeneracji. Wniosek o wydanie gwarancji pochodzenia składa się do operatora systemu dystrybucyjnego elektroenergetycznego lub operatora systemu przesyłowego elektroenergetycznego, na którego obszarze działania została przyłączona jednostka kogeneracji, w terminie 30 dni od dnia zakończenia wytworzenia danej ilości energii elektrycznej objętej wnioskiem.</w:t>
      </w:r>
    </w:p>
    <w:p w:rsidR="002F0A99" w:rsidRPr="00A94359" w:rsidRDefault="002F0A99" w:rsidP="00521759">
      <w:pPr>
        <w:spacing w:before="120" w:line="360" w:lineRule="auto"/>
        <w:jc w:val="both"/>
      </w:pPr>
      <w:r w:rsidRPr="00A94359">
        <w:t xml:space="preserve">Zgodnie z załącznikiem X pkt b do dyrektywy 2012/27/UE, w projektowanym art. 9y ust. 4 określono, jakie szczegółowe dane powinien zawierać wniosek o wydanie gwarancji pochodzenia. </w:t>
      </w:r>
    </w:p>
    <w:p w:rsidR="002F0A99" w:rsidRPr="00A94359" w:rsidRDefault="002F0A99" w:rsidP="00521759">
      <w:pPr>
        <w:spacing w:before="120" w:line="360" w:lineRule="auto"/>
        <w:jc w:val="both"/>
      </w:pPr>
      <w:r w:rsidRPr="00A94359">
        <w:t>Projekt ustawy nakłada obowiązek na operatora systemu dystrybucyjnego elektroenergetycznego lub operatora systemu przesyłowego elektroenergetycznego, aby w terminie 30 dni od dnia otrzymania wniosku o wydanie gwarancji pochodzenia, przekazał</w:t>
      </w:r>
      <w:r w:rsidR="00A94359">
        <w:t xml:space="preserve"> </w:t>
      </w:r>
      <w:r w:rsidRPr="00A94359">
        <w:t>ten wniosek Prezesowi Urzędu Regulacji Energetyki, wraz z potwierdzeniem ilości wytworzonej energii elektrycznej w jednostce kogeneracji i wprowadzonej do sieci. W przypadku gdy wniosek o wydanie gwarancji pochodzenia nie zawiera wszystkich wymaganych danych, Prezes Urzędu Regulacji Energetyki niezwłocznie wzywa wnioskodawcę do uzupełnienia wniosku w terminie 7 dni od dnia doręczenia wezwania. Nieuzupełnienie wniosku w wyznaczonym terminie skutkuje pozostawieniem wniosku bez rozpoznania.</w:t>
      </w:r>
    </w:p>
    <w:p w:rsidR="002F0A99" w:rsidRPr="00A94359" w:rsidRDefault="002F0A99" w:rsidP="00521759">
      <w:pPr>
        <w:spacing w:before="120" w:line="360" w:lineRule="auto"/>
        <w:jc w:val="both"/>
      </w:pPr>
      <w:r w:rsidRPr="00A94359">
        <w:t xml:space="preserve">Zgodnie z projektem ustawy Prezes Urzędu Regulacji Energetyki wydaje gwarancję pochodzenia w terminie 30 dni od dnia </w:t>
      </w:r>
      <w:r w:rsidR="00A44658" w:rsidRPr="00A94359">
        <w:t>otrzymania sprawozdania rocznego określającego rzeczywiste dane dotyczące energii wytworzonej w wysokosprawnej kogeneracji</w:t>
      </w:r>
      <w:r w:rsidRPr="00A94359">
        <w:t>.</w:t>
      </w:r>
    </w:p>
    <w:p w:rsidR="002F0A99" w:rsidRPr="00A94359" w:rsidRDefault="002F0A99" w:rsidP="00521759">
      <w:pPr>
        <w:spacing w:before="120" w:line="360" w:lineRule="auto"/>
        <w:jc w:val="both"/>
      </w:pPr>
      <w:r w:rsidRPr="00A94359">
        <w:t>Gwarancję pochodzenia wydaje się w postaci elektronicznej i przekazuje się bezpośrednio do rejestru gwarancji pochodzenia, którego zasady funkcjonowania określone zostały w</w:t>
      </w:r>
      <w:r w:rsidR="00A94359">
        <w:t xml:space="preserve"> </w:t>
      </w:r>
      <w:r w:rsidRPr="00A94359">
        <w:t>projektowanym art. 9zb.</w:t>
      </w:r>
    </w:p>
    <w:p w:rsidR="002F0A99" w:rsidRPr="00A94359" w:rsidRDefault="002F0A99" w:rsidP="00521759">
      <w:pPr>
        <w:spacing w:before="120" w:line="360" w:lineRule="auto"/>
        <w:jc w:val="both"/>
      </w:pPr>
      <w:r w:rsidRPr="00A94359">
        <w:t>Rejestr ten jest prowadzony przez podmiot prowadzący:</w:t>
      </w:r>
    </w:p>
    <w:p w:rsidR="002F0A99" w:rsidRPr="00A94359" w:rsidRDefault="002F0A99" w:rsidP="00521759">
      <w:pPr>
        <w:spacing w:line="360" w:lineRule="auto"/>
        <w:ind w:left="425" w:hanging="425"/>
        <w:jc w:val="both"/>
      </w:pPr>
      <w:r w:rsidRPr="00A94359">
        <w:t>1)</w:t>
      </w:r>
      <w:r w:rsidRPr="00A94359">
        <w:tab/>
        <w:t>giełdę towarową w rozumieniu ustawy o giełdach towarowych lub</w:t>
      </w:r>
    </w:p>
    <w:p w:rsidR="002F0A99" w:rsidRPr="00A94359" w:rsidRDefault="002F0A99" w:rsidP="00521759">
      <w:pPr>
        <w:spacing w:line="360" w:lineRule="auto"/>
        <w:ind w:left="425" w:hanging="425"/>
        <w:jc w:val="both"/>
      </w:pPr>
      <w:r w:rsidRPr="00A94359">
        <w:t>2)</w:t>
      </w:r>
      <w:r w:rsidRPr="00A94359">
        <w:tab/>
        <w:t>na terytorium Rzeczypospolitej Polskiej rynek regulowany w rozumieniu ustawy o</w:t>
      </w:r>
      <w:r w:rsidR="00521759">
        <w:t> </w:t>
      </w:r>
      <w:r w:rsidRPr="00A94359">
        <w:t>obrocie instrumentami finansowymi, organizujący obrót świadectwami efektywności energetycznej</w:t>
      </w:r>
      <w:r w:rsidR="00601D8C" w:rsidRPr="00A94359">
        <w:t>.</w:t>
      </w:r>
      <w:r w:rsidRPr="00A94359">
        <w:t xml:space="preserve"> </w:t>
      </w:r>
    </w:p>
    <w:p w:rsidR="002F0A99" w:rsidRPr="00A94359" w:rsidRDefault="002F0A99" w:rsidP="00521759">
      <w:pPr>
        <w:spacing w:before="120" w:line="360" w:lineRule="auto"/>
        <w:jc w:val="both"/>
      </w:pPr>
      <w:r w:rsidRPr="00A94359">
        <w:t>Prezes URE przekazuje informacje o wydanych oraz uznanych gwarancjach pochodzenia podmiotowi prowadzącemu rejestr gwarancji pochodzenia.</w:t>
      </w:r>
    </w:p>
    <w:p w:rsidR="002F0A99" w:rsidRPr="00A94359" w:rsidRDefault="002F0A99" w:rsidP="00521759">
      <w:pPr>
        <w:spacing w:before="120" w:line="360" w:lineRule="auto"/>
        <w:jc w:val="both"/>
      </w:pPr>
      <w:r w:rsidRPr="00A94359">
        <w:t>Podmiot prowadzący rejestr gwarancji pochodzenia wydaje przedsiębiorstwu energetycznemu zajmującemu się wytwarzaniem energii elektrycznej w</w:t>
      </w:r>
      <w:r w:rsidR="00521759">
        <w:t> </w:t>
      </w:r>
      <w:r w:rsidRPr="00A94359">
        <w:t>wysokosprawnej kogeneracji wpisanemu do rejestru gwarancji pochodzenia dokument potwierdzający, że określona w tym dokumencie ilość energii wprowadzonej do sieci dystrybucyjnej lub do sieci przesyłowej została wytworzona w wysokosprawnej kogeneracji. Przedsiębiorstwo energetyczne zajmujące się wytwarzaniem energii elektrycznej w wysokosprawnej kogeneracji wpisane do rejestru gwarancji pochodzenia informuje pisemnie Prezesa URE oraz podmiot prowadzący rejestr gwarancji pochodzenia o przekazaniu gwarancji pochodzenia odbiorcy końcowemu, w terminie 7</w:t>
      </w:r>
      <w:r w:rsidR="00521759">
        <w:t> </w:t>
      </w:r>
      <w:r w:rsidRPr="00A94359">
        <w:t xml:space="preserve">dni od dnia jej przekazania. Projekt ustawy reguluje, iż wpis do rejestru gwarancji pochodzenia oraz zmiany dokonane w tym rejestrze podlegają opłacie w wysokości odzwierciedlającej koszty prowadzenia tego rejestru. </w:t>
      </w:r>
    </w:p>
    <w:p w:rsidR="002F0A99" w:rsidRPr="00A94359" w:rsidRDefault="002F0A99" w:rsidP="00521759">
      <w:pPr>
        <w:spacing w:before="120" w:line="360" w:lineRule="auto"/>
        <w:jc w:val="both"/>
      </w:pPr>
      <w:r w:rsidRPr="00A94359">
        <w:t>Zgodnie z dyrektywą 2012/27/UE Prezes URE, na pisemny wniosek podmiotu, uznaje gwarancję pochodzenia wydaną w innym państwie członkowskim Unii Europejskiej, Konfederacji Szwajcarskiej lub państwie członkowskim Europejskiego Poroz</w:t>
      </w:r>
      <w:r w:rsidR="00521759">
        <w:t>umienia o Wolnym Handlu (EFTA) –</w:t>
      </w:r>
      <w:r w:rsidRPr="00A94359">
        <w:t xml:space="preserve"> stronie umowy o Europejskim Obszarze Gospodarczym. Prezes URE odmawia uznania gwarancji pochodzenia, gdy wystąpią uzasadnione wątpliwości co do jej autentyczności lub wiarygodności. Gwarancja pochodzenia jest ważna przez okres 12 miesięcy od dnia </w:t>
      </w:r>
      <w:r w:rsidR="0020072E" w:rsidRPr="00A94359">
        <w:t xml:space="preserve">jej </w:t>
      </w:r>
      <w:r w:rsidRPr="00A94359">
        <w:t>wydan</w:t>
      </w:r>
      <w:r w:rsidR="0020072E" w:rsidRPr="00A94359">
        <w:t>i</w:t>
      </w:r>
      <w:r w:rsidRPr="00A94359">
        <w:t>a.</w:t>
      </w:r>
    </w:p>
    <w:p w:rsidR="002F0A99" w:rsidRPr="00A94359" w:rsidRDefault="002F0A99" w:rsidP="00521759">
      <w:pPr>
        <w:spacing w:before="120" w:line="360" w:lineRule="auto"/>
        <w:jc w:val="both"/>
      </w:pPr>
      <w:r w:rsidRPr="00A94359">
        <w:t xml:space="preserve">Dodane artykuły </w:t>
      </w:r>
      <w:r w:rsidR="00521759">
        <w:t>10a–</w:t>
      </w:r>
      <w:r w:rsidRPr="00A94359">
        <w:t>10c ustawy – Prawo energetyczne stanowią implementację art.</w:t>
      </w:r>
      <w:r w:rsidR="003F2AA4">
        <w:t xml:space="preserve"> </w:t>
      </w:r>
      <w:r w:rsidRPr="00A94359">
        <w:t>14 dyrektywy 2012/27/UE.</w:t>
      </w:r>
    </w:p>
    <w:p w:rsidR="002F0A99" w:rsidRPr="00521759" w:rsidRDefault="002F0A99" w:rsidP="00521759">
      <w:pPr>
        <w:spacing w:before="120" w:line="360" w:lineRule="auto"/>
        <w:jc w:val="both"/>
      </w:pPr>
      <w:r w:rsidRPr="00521759">
        <w:t>Zgodnie z art. 14 ust. 3 dyrektywy 2012/27/UE – „na użytek kompleksowej oceny potencjału zastosowania wysokosprawnej kogeneracji oraz efektywnych systemów ciepłowniczych i chłodniczych państwa członkowskie przeprowadzają analizę kosztów i</w:t>
      </w:r>
      <w:r w:rsidR="00A94359" w:rsidRPr="00521759">
        <w:t xml:space="preserve"> </w:t>
      </w:r>
      <w:r w:rsidRPr="00521759">
        <w:t>korzyści, której zakres obejmuje ich terytorium i która uwzględnia warunki klimatyczne, wykonalność ekonomiczną i poprawność techniczną, zgodnie z</w:t>
      </w:r>
      <w:r w:rsidR="00521759">
        <w:t> </w:t>
      </w:r>
      <w:r w:rsidRPr="00521759">
        <w:t>załącznikiem IX część 1. Analiza kosztów i korzyści umożliwia łatwiejsze określenie najbardziej efektywnych pod względem zasobów i najbardziej opłacalnych rozwiązań, umożliwiających spełnienie wymogów w zakresie ogrzewania i chłodzenia. (…)”.</w:t>
      </w:r>
    </w:p>
    <w:p w:rsidR="002F0A99" w:rsidRPr="00A94359" w:rsidRDefault="002F0A99" w:rsidP="00521759">
      <w:pPr>
        <w:pStyle w:val="USTustnpkodeksu"/>
        <w:spacing w:before="120"/>
        <w:ind w:firstLine="0"/>
        <w:rPr>
          <w:rFonts w:ascii="Times New Roman" w:hAnsi="Times New Roman" w:cs="Times New Roman"/>
          <w:szCs w:val="24"/>
        </w:rPr>
      </w:pPr>
      <w:r w:rsidRPr="00A94359">
        <w:rPr>
          <w:rFonts w:ascii="Times New Roman" w:hAnsi="Times New Roman" w:cs="Times New Roman"/>
          <w:szCs w:val="24"/>
        </w:rPr>
        <w:t>Na przedsiębiorstwa energetyczne zajmujące się wytwarzaniem energii elektrycznej lub</w:t>
      </w:r>
      <w:r w:rsidR="00A94359">
        <w:rPr>
          <w:rFonts w:ascii="Times New Roman" w:hAnsi="Times New Roman" w:cs="Times New Roman"/>
          <w:szCs w:val="24"/>
        </w:rPr>
        <w:t xml:space="preserve"> </w:t>
      </w:r>
      <w:r w:rsidRPr="00A94359">
        <w:rPr>
          <w:rFonts w:ascii="Times New Roman" w:hAnsi="Times New Roman" w:cs="Times New Roman"/>
          <w:szCs w:val="24"/>
        </w:rPr>
        <w:t>ciepła, przesyłaniem i dystrybucją ciepła oraz przedsiębiorców planujących budowę lub znaczną modernizację jednostki wytwórczej lub sieci ciepłowniczej lub chłodniczej po dniu 5</w:t>
      </w:r>
      <w:r w:rsidR="00A94359">
        <w:rPr>
          <w:rFonts w:ascii="Times New Roman" w:hAnsi="Times New Roman" w:cs="Times New Roman"/>
          <w:szCs w:val="24"/>
        </w:rPr>
        <w:t xml:space="preserve"> </w:t>
      </w:r>
      <w:r w:rsidRPr="00A94359">
        <w:rPr>
          <w:rFonts w:ascii="Times New Roman" w:hAnsi="Times New Roman" w:cs="Times New Roman"/>
          <w:szCs w:val="24"/>
        </w:rPr>
        <w:t xml:space="preserve">czerwca 2014 r. nałożono obowiązek sporządzenia analizy kosztów i korzyści budowy lub modernizacji tej jednostki, mającej na celu określenie najbardziej efektywnych pod względem zasobów oraz opłacalnych rozwiązań umożliwiających spełnienie wymogów w zakresie ogrzewania i chłodzenia. Analiza ta będzie zawierała analizę ekonomiczną obejmującą analizę finansową, która odzwierciedla rzeczywiste przepływy pieniężne z nakładów inwestycyjnych poniesionych na budowę jednostki wytwórczej oraz planowane koszty jej eksploatacji. Analiza będzie sporządzana na podstawie opisu planowanej budowy lub znacznej modernizacji jednostki wytwórczej. Od niniejszej analizy uzależniono możliwość uczestniczenia w przetargu na budowę nowych mocy wytwórczych lub realizację przedsięwzięć zmniejszających zapotrzebowanie na energię. </w:t>
      </w:r>
    </w:p>
    <w:p w:rsidR="002F0A99" w:rsidRPr="00A94359" w:rsidRDefault="002F0A99" w:rsidP="002C3115">
      <w:pPr>
        <w:pStyle w:val="USTustnpkodeksu"/>
        <w:spacing w:before="120"/>
        <w:ind w:firstLine="0"/>
        <w:rPr>
          <w:rFonts w:ascii="Times New Roman" w:hAnsi="Times New Roman" w:cs="Times New Roman"/>
          <w:szCs w:val="24"/>
        </w:rPr>
      </w:pPr>
      <w:r w:rsidRPr="00A94359">
        <w:rPr>
          <w:rFonts w:ascii="Times New Roman" w:hAnsi="Times New Roman" w:cs="Times New Roman"/>
          <w:szCs w:val="24"/>
        </w:rPr>
        <w:t xml:space="preserve">W projektowanym art. </w:t>
      </w:r>
      <w:r w:rsidR="002C3115">
        <w:rPr>
          <w:rFonts w:ascii="Times New Roman" w:hAnsi="Times New Roman" w:cs="Times New Roman"/>
          <w:szCs w:val="24"/>
        </w:rPr>
        <w:t>10b ustawy –</w:t>
      </w:r>
      <w:r w:rsidRPr="00A94359">
        <w:rPr>
          <w:rFonts w:ascii="Times New Roman" w:hAnsi="Times New Roman" w:cs="Times New Roman"/>
          <w:szCs w:val="24"/>
        </w:rPr>
        <w:t xml:space="preserve"> Prawo energetyczne określono szczegółowo zawartość niniejszej analizy w konkretnym przypadku. Zgodnie z dyrektywą 2012/27/UE, budowa urządzeń, instalacji lub sieci służących wychwytywaniu dwutlenku węgla w celu jego podziemnego składowania w celu przeprowadzenia projektu demonstracyjnego wychwytu i składowania dwutlenku węgla w rozumieniu ustawy z dnia 9 czerwca 2011 r. – Prawo geologiczne i górnicze (Dz. U. z</w:t>
      </w:r>
      <w:r w:rsidR="00A94359">
        <w:rPr>
          <w:rFonts w:ascii="Times New Roman" w:hAnsi="Times New Roman" w:cs="Times New Roman"/>
          <w:szCs w:val="24"/>
        </w:rPr>
        <w:t xml:space="preserve"> </w:t>
      </w:r>
      <w:r w:rsidRPr="00A94359">
        <w:rPr>
          <w:rFonts w:ascii="Times New Roman" w:hAnsi="Times New Roman" w:cs="Times New Roman"/>
          <w:szCs w:val="24"/>
        </w:rPr>
        <w:t>2015</w:t>
      </w:r>
      <w:r w:rsidR="00A94359">
        <w:rPr>
          <w:rFonts w:ascii="Times New Roman" w:hAnsi="Times New Roman" w:cs="Times New Roman"/>
          <w:szCs w:val="24"/>
        </w:rPr>
        <w:t xml:space="preserve"> </w:t>
      </w:r>
      <w:r w:rsidRPr="00A94359">
        <w:rPr>
          <w:rFonts w:ascii="Times New Roman" w:hAnsi="Times New Roman" w:cs="Times New Roman"/>
          <w:szCs w:val="24"/>
        </w:rPr>
        <w:t>r. poz.</w:t>
      </w:r>
      <w:r w:rsidR="002C3115">
        <w:rPr>
          <w:rFonts w:ascii="Times New Roman" w:hAnsi="Times New Roman" w:cs="Times New Roman"/>
          <w:szCs w:val="24"/>
        </w:rPr>
        <w:t> </w:t>
      </w:r>
      <w:r w:rsidRPr="00A94359">
        <w:rPr>
          <w:rFonts w:ascii="Times New Roman" w:hAnsi="Times New Roman" w:cs="Times New Roman"/>
          <w:szCs w:val="24"/>
        </w:rPr>
        <w:t>196</w:t>
      </w:r>
      <w:r w:rsidR="00021E38">
        <w:rPr>
          <w:rFonts w:ascii="Times New Roman" w:hAnsi="Times New Roman" w:cs="Times New Roman"/>
          <w:szCs w:val="24"/>
        </w:rPr>
        <w:t>, późn. zm.</w:t>
      </w:r>
      <w:r w:rsidRPr="00A94359">
        <w:rPr>
          <w:rFonts w:ascii="Times New Roman" w:hAnsi="Times New Roman" w:cs="Times New Roman"/>
          <w:szCs w:val="24"/>
        </w:rPr>
        <w:t>) nie będzie stanowić przebudowy jednostki wytwórczej oraz elektrowni lub elektrociepłowni przemysłowej. Ponadto, wyłączono stosowanie tego przepisu do jednostek wytwórczych w okresach szczytowego zapotrzebowania na energię elektryczną oraz do rezerw zdolności wytwórczych pracujących przez okres nie dłuższy niż 1500 godzin w roku, obiektu energetyki jądrowej, oraz urządzeń, instalacji i sieci niezbędnych do prawidłowego funkcjonowania podziemnego składowiska dwutlenku węgla. W przypadku budowy lub przebudowy elektrowni lub elektrociepłowni przemysłowej oraz budowy sieci ciepłowniczej lub chłodniczej, lub przyłączenia do tej sieci jednostki wytwórczej o łącznej mocy zainstalowanej cieplnej przekraczającej 20</w:t>
      </w:r>
      <w:r w:rsidR="002C3115">
        <w:rPr>
          <w:rFonts w:ascii="Times New Roman" w:hAnsi="Times New Roman" w:cs="Times New Roman"/>
          <w:szCs w:val="24"/>
        </w:rPr>
        <w:t> </w:t>
      </w:r>
      <w:r w:rsidRPr="00A94359">
        <w:rPr>
          <w:rFonts w:ascii="Times New Roman" w:hAnsi="Times New Roman" w:cs="Times New Roman"/>
          <w:szCs w:val="24"/>
        </w:rPr>
        <w:t xml:space="preserve">MW, lub przebudowy tej jednostki wytwórczej przedsiębiorstwo energetyczne oraz podmiot planujący budowę lub modernizację jednostki wytwórczej po dniu 5 czerwca 2014 r. przeprowadzają analizę kosztów i korzyści we współpracy z przedsiębiorstwem energetycznym zajmującym się przesyłaniem i dystrybucją ciepła lub chłodu. </w:t>
      </w:r>
    </w:p>
    <w:p w:rsidR="002F0A99" w:rsidRPr="00A94359" w:rsidRDefault="002F0A99" w:rsidP="002C3115">
      <w:pPr>
        <w:pStyle w:val="USTustnpkodeksu"/>
        <w:spacing w:before="120"/>
        <w:ind w:firstLine="0"/>
        <w:rPr>
          <w:rFonts w:ascii="Times New Roman" w:hAnsi="Times New Roman" w:cs="Times New Roman"/>
          <w:szCs w:val="24"/>
        </w:rPr>
      </w:pPr>
      <w:r w:rsidRPr="00A94359">
        <w:rPr>
          <w:rFonts w:ascii="Times New Roman" w:hAnsi="Times New Roman" w:cs="Times New Roman"/>
          <w:szCs w:val="24"/>
        </w:rPr>
        <w:t>Art. 10c projektu zmiany ustawy – Prawo energetyczne implementuje art. 14 ust. 1 dyrektywy 2012/27/UE. Zgodnie z</w:t>
      </w:r>
      <w:r w:rsidR="00A94359">
        <w:rPr>
          <w:rFonts w:ascii="Times New Roman" w:hAnsi="Times New Roman" w:cs="Times New Roman"/>
          <w:szCs w:val="24"/>
        </w:rPr>
        <w:t xml:space="preserve"> </w:t>
      </w:r>
      <w:r w:rsidRPr="00A94359">
        <w:rPr>
          <w:rFonts w:ascii="Times New Roman" w:hAnsi="Times New Roman" w:cs="Times New Roman"/>
          <w:szCs w:val="24"/>
        </w:rPr>
        <w:t>jego przepisami, na ministra właściwego do spraw energii nałożono obowiązek sporządzenia oceny potencjału wytwarzania energii elektrycznej w wysokosprawnej kogeneracji oraz efektywnych energetycznie systemów ciepłowniczych lub chłodniczych, oraz powiadomienia o jej sporządzeniu Komisji Europejskiej. Na żądanie Komisji Europejskiej minister właściwy do spraw energii będzie zobowiązany zaktualizować niniejszą ocenę. Do zadań własnych gminy również będzie należało sporządzenie niniejszej oceny, z tymże w zakresie ograniczonym do obszaru gminy. Ocenę tę ustanowiono również obligatoryjnym elementem projektu planu zaopatrzenia w ciepło, energię elektryczną i paliwa gazowe. Efektywny energetycznie system ciepłowniczy lub chłodniczy został zdefiniowany w</w:t>
      </w:r>
      <w:r w:rsidR="00A94359">
        <w:rPr>
          <w:rFonts w:ascii="Times New Roman" w:hAnsi="Times New Roman" w:cs="Times New Roman"/>
          <w:szCs w:val="24"/>
        </w:rPr>
        <w:t xml:space="preserve"> </w:t>
      </w:r>
      <w:r w:rsidRPr="00A94359">
        <w:rPr>
          <w:rFonts w:ascii="Times New Roman" w:hAnsi="Times New Roman" w:cs="Times New Roman"/>
          <w:szCs w:val="24"/>
        </w:rPr>
        <w:t>art.</w:t>
      </w:r>
      <w:r w:rsidR="00A94359">
        <w:rPr>
          <w:rFonts w:ascii="Times New Roman" w:hAnsi="Times New Roman" w:cs="Times New Roman"/>
          <w:szCs w:val="24"/>
        </w:rPr>
        <w:t xml:space="preserve"> </w:t>
      </w:r>
      <w:r w:rsidRPr="00A94359">
        <w:rPr>
          <w:rFonts w:ascii="Times New Roman" w:hAnsi="Times New Roman" w:cs="Times New Roman"/>
          <w:szCs w:val="24"/>
        </w:rPr>
        <w:t>7b ust. 4. Przez efektywny energetycznie system ciepłowniczy lub chłodniczy, zgodnie z art.</w:t>
      </w:r>
      <w:r w:rsidR="00A94359">
        <w:rPr>
          <w:rFonts w:ascii="Times New Roman" w:hAnsi="Times New Roman" w:cs="Times New Roman"/>
          <w:szCs w:val="24"/>
        </w:rPr>
        <w:t xml:space="preserve"> </w:t>
      </w:r>
      <w:r w:rsidRPr="00A94359">
        <w:rPr>
          <w:rFonts w:ascii="Times New Roman" w:hAnsi="Times New Roman" w:cs="Times New Roman"/>
          <w:szCs w:val="24"/>
        </w:rPr>
        <w:t>2 pkt 41 dyrektywy 2012/12/UE, rozumie się system ciepłowniczy lub chłodniczy, w</w:t>
      </w:r>
      <w:r w:rsidR="002C3115">
        <w:rPr>
          <w:rFonts w:ascii="Times New Roman" w:hAnsi="Times New Roman" w:cs="Times New Roman"/>
          <w:szCs w:val="24"/>
        </w:rPr>
        <w:t> </w:t>
      </w:r>
      <w:r w:rsidRPr="00A94359">
        <w:rPr>
          <w:rFonts w:ascii="Times New Roman" w:hAnsi="Times New Roman" w:cs="Times New Roman"/>
          <w:szCs w:val="24"/>
        </w:rPr>
        <w:t>którym do produkcji ciepła lub chłodu wykorzystuje się co najmniej w:</w:t>
      </w:r>
    </w:p>
    <w:p w:rsidR="002F0A99" w:rsidRPr="00A94359" w:rsidRDefault="002F0A99" w:rsidP="002C3115">
      <w:pPr>
        <w:spacing w:line="360" w:lineRule="auto"/>
        <w:ind w:left="425" w:hanging="425"/>
        <w:jc w:val="both"/>
      </w:pPr>
      <w:r w:rsidRPr="00A94359">
        <w:t>1)</w:t>
      </w:r>
      <w:r w:rsidR="00A94359">
        <w:t xml:space="preserve"> </w:t>
      </w:r>
      <w:r w:rsidR="002C3115">
        <w:t>50</w:t>
      </w:r>
      <w:r w:rsidRPr="00A94359">
        <w:t>% energię ze źródeł odnawialnych lub</w:t>
      </w:r>
    </w:p>
    <w:p w:rsidR="002F0A99" w:rsidRPr="00A94359" w:rsidRDefault="002F0A99" w:rsidP="002C3115">
      <w:pPr>
        <w:spacing w:line="360" w:lineRule="auto"/>
        <w:ind w:left="425" w:hanging="425"/>
        <w:jc w:val="both"/>
      </w:pPr>
      <w:r w:rsidRPr="00A94359">
        <w:t>2)</w:t>
      </w:r>
      <w:r w:rsidR="00A94359">
        <w:t xml:space="preserve"> </w:t>
      </w:r>
      <w:r w:rsidR="002C3115">
        <w:t>50</w:t>
      </w:r>
      <w:r w:rsidRPr="00A94359">
        <w:t>% ciepło odpadowe, lub</w:t>
      </w:r>
    </w:p>
    <w:p w:rsidR="002F0A99" w:rsidRPr="00A94359" w:rsidRDefault="002F0A99" w:rsidP="002C3115">
      <w:pPr>
        <w:spacing w:line="360" w:lineRule="auto"/>
        <w:ind w:left="425" w:hanging="425"/>
        <w:jc w:val="both"/>
      </w:pPr>
      <w:r w:rsidRPr="00A94359">
        <w:t>3)</w:t>
      </w:r>
      <w:r w:rsidR="00A94359">
        <w:t xml:space="preserve"> </w:t>
      </w:r>
      <w:r w:rsidR="002C3115">
        <w:t>75</w:t>
      </w:r>
      <w:r w:rsidRPr="00A94359">
        <w:t xml:space="preserve">% ciepło pochodzące z kogeneracji, lub </w:t>
      </w:r>
    </w:p>
    <w:p w:rsidR="002F0A99" w:rsidRPr="00A94359" w:rsidRDefault="002F0A99" w:rsidP="002C3115">
      <w:pPr>
        <w:spacing w:line="360" w:lineRule="auto"/>
        <w:ind w:left="425" w:hanging="425"/>
        <w:jc w:val="both"/>
      </w:pPr>
      <w:r w:rsidRPr="00A94359">
        <w:t>4)</w:t>
      </w:r>
      <w:r w:rsidR="00A94359">
        <w:t xml:space="preserve"> </w:t>
      </w:r>
      <w:r w:rsidR="002C3115">
        <w:t>50</w:t>
      </w:r>
      <w:r w:rsidRPr="00A94359">
        <w:t>% połączenie takiej energii i ciepła.</w:t>
      </w:r>
    </w:p>
    <w:p w:rsidR="002F0A99" w:rsidRPr="00A94359" w:rsidRDefault="002F0A99" w:rsidP="002C3115">
      <w:pPr>
        <w:spacing w:before="120" w:line="360" w:lineRule="auto"/>
        <w:jc w:val="both"/>
      </w:pPr>
      <w:r w:rsidRPr="00A94359">
        <w:t>Proponowane zmiany art. 45a ustawy – Prawo energetyczne, regulującego zasady ustalania opłat za dostarczane do odbiorcy paliwo gazowe, energię elektryczną lub ciepło, wynikają z konieczności wdrożenia art. 9 dyrektywy 2012/27/UE. Dyrektywa ta wprowadza obowiązek wyposażenia, do dnia 31 grudnia 2016 r., lokali znajdujących się w budynkach wielolokalowych, tam gdzie jest to technicznie wykonalne i opłacalne, w</w:t>
      </w:r>
      <w:r w:rsidR="002C3115">
        <w:t> </w:t>
      </w:r>
      <w:r w:rsidRPr="00A94359">
        <w:t>ciepłomierze lub wodomierze ciepłej wody. W związku z powyższym odpowiedniej zmianie uległ art. 45a ust.</w:t>
      </w:r>
      <w:r w:rsidR="00A94359">
        <w:t xml:space="preserve"> </w:t>
      </w:r>
      <w:r w:rsidRPr="00A94359">
        <w:t>7 ustawy – Prawo energetyczne. Zmiany art. 45a ust. 9 ustawy – Prawo energetyczne regulującego wymagania dla metody rozliczania kosztów zakupu ciepła na poszczególne lokale mieszkalne i użytkowe w budynku wielolokalowym, polegają na dookreśleniu zwrotu „prawidłowych warunków eksploatacji budynku i lokali” przez dodanie, że chodzi w tym przypadku o</w:t>
      </w:r>
      <w:r w:rsidR="002C3115">
        <w:t> </w:t>
      </w:r>
      <w:r w:rsidRPr="00A94359">
        <w:t>temperaturę i wentylację. Ponadto, w zależności od warunków technicznych budynków i lokali, wybrana metoda powinna uwzględniać ilości ciepła dostarczanego do lokalu z pionów grzewczych lub przenikania pomiędzy lokalami, oszacowanego w</w:t>
      </w:r>
      <w:r w:rsidR="002C3115">
        <w:t> </w:t>
      </w:r>
      <w:r w:rsidRPr="00A94359">
        <w:t>szczególności na podstawie rejestracji temperatury powietrza w lokalu, jeżeli jest to technicznie możliwe i ekonomicznie uzasadnione. Uregulowano również przypadek, gdy użytkownik lokalu nie udostępni ciepłomierzy, wodomierzy ciepłej wody lub urządzeń umożliwiających indywidualne rozliczenie koszt</w:t>
      </w:r>
      <w:r w:rsidR="006A22CB">
        <w:t>ów w celu dokonania ich odczytu lub</w:t>
      </w:r>
      <w:r w:rsidRPr="00A94359">
        <w:t xml:space="preserve"> gdy nastąpiła ingerencja w ten przyrząd lub urządzenie w celu zafałszowania jego pomiarów lub wskazań. W takiej sytuacji właściciel lub zarządca budynku może dochodzić od użytkownika lokalu odszkodowania na zasadach ogólnych albo obciążyć użytkownika lokalu (w okresie rozliczeniowym) nie więcej niż półtorakrotnością iloczynu średniej wartości kosztów ogrzewania: m</w:t>
      </w:r>
      <w:r w:rsidRPr="00A94359">
        <w:rPr>
          <w:vertAlign w:val="superscript"/>
        </w:rPr>
        <w:t>3</w:t>
      </w:r>
      <w:r w:rsidRPr="00A94359">
        <w:t xml:space="preserve"> kubatury budynku wielolokalowego i kubatury użytkowanego lokalu albo m</w:t>
      </w:r>
      <w:r w:rsidRPr="00A94359">
        <w:rPr>
          <w:vertAlign w:val="superscript"/>
        </w:rPr>
        <w:t>2</w:t>
      </w:r>
      <w:r w:rsidRPr="00A94359">
        <w:t xml:space="preserve"> powierzchni budynku wielolokalowego i powierzchni użytkowanego lokalu. W przypadku przekroczenia pewnych progów ilości ciepła dostarczanego do budynku wielolokalowego, na właściciela lub zarządcę budynku nałożono obowiązek wykonania audytu energetycznego tego budynku w celu określenia przyczyn nadmiernej energochłonności i wskazania sposobów ograniczenia zużycia ciepła przez ten budynek lub zmiany zamówionej mocy cieplnej. </w:t>
      </w:r>
    </w:p>
    <w:p w:rsidR="002F0A99" w:rsidRPr="00A94359" w:rsidRDefault="002F0A99" w:rsidP="002C3115">
      <w:pPr>
        <w:spacing w:before="120" w:line="360" w:lineRule="auto"/>
        <w:jc w:val="both"/>
      </w:pPr>
      <w:r w:rsidRPr="00A94359">
        <w:t>Projekt ustawy nie przewiduje nałożenia obowiązku wyposażenia budynków lub lokali w</w:t>
      </w:r>
      <w:r w:rsidR="00A94359">
        <w:t xml:space="preserve"> </w:t>
      </w:r>
      <w:r w:rsidRPr="00A94359">
        <w:t>liczniki do pomiaru zużycia energii chłodniczej, a także w indywidualne podzielniki kosztów ciepła, z uwagi na brak takich urządzeń, które podlegałyby prawnej kontroli metrologicznej.</w:t>
      </w:r>
    </w:p>
    <w:p w:rsidR="002F0A99" w:rsidRPr="00A94359" w:rsidRDefault="002F0A99" w:rsidP="002C3115">
      <w:pPr>
        <w:spacing w:before="120" w:line="360" w:lineRule="auto"/>
        <w:jc w:val="both"/>
      </w:pPr>
      <w:r w:rsidRPr="00A94359">
        <w:t>Zmiany wprowadzane w ustawie z dnia 27 kwietnia 2001 r. – Prawo ochrony środowiska dostosowują brzmienie art. 401 ust. 7 pkt 4a tej ustawy do projektowanej ustawy.</w:t>
      </w:r>
      <w:r w:rsidR="00A94359">
        <w:t xml:space="preserve"> </w:t>
      </w:r>
    </w:p>
    <w:p w:rsidR="002F0A99" w:rsidRPr="00A94359" w:rsidRDefault="002F0A99" w:rsidP="002C3115">
      <w:pPr>
        <w:spacing w:before="120" w:line="360" w:lineRule="auto"/>
        <w:jc w:val="both"/>
      </w:pPr>
      <w:r w:rsidRPr="00A94359">
        <w:t>Natomiast zmiany w ustawie z dnia 3 października 2008 r. o udostępnianiu informacji o</w:t>
      </w:r>
      <w:r w:rsidR="002C3115">
        <w:t> </w:t>
      </w:r>
      <w:r w:rsidRPr="00A94359">
        <w:t>środowisku i jego ochronie, udziale społeczeństwa w ochronie środowiska oraz o</w:t>
      </w:r>
      <w:r w:rsidR="002C3115">
        <w:t> </w:t>
      </w:r>
      <w:r w:rsidRPr="00A94359">
        <w:t>ocenie oddziaływania na środowisko polegają na nałożeniu obowiązku dołączania do wniosku o</w:t>
      </w:r>
      <w:r w:rsidR="00A94359">
        <w:t xml:space="preserve"> </w:t>
      </w:r>
      <w:r w:rsidRPr="00A94359">
        <w:t>wydanie decyzji o środowiskowych uwarunkowaniach analizy kosztów i</w:t>
      </w:r>
      <w:r w:rsidR="002C3115">
        <w:t> </w:t>
      </w:r>
      <w:r w:rsidRPr="00A94359">
        <w:t>korzyści, która będzie sporządzana zgodnie z projektem zmian ustawy – Prawo energetyczne. Analiza kosztów i korzyści wymagana jest dla instalacji wytwórczych już od 20 MW mocy nominalnej cieplnej, dla których to projektów (niezależnie od zainstalowanej mocy) wymagana jest ocena oddziaływania na środowisko stanowiąca podstawę wydawania zezwoleń na budowę tych instalacji. Ponadto w art. 14 dyrektywy 2012/27/UE Komisja Europejska wskazuje na możliwość zastosowania regulacji projektowanej w przedmiotowej ustawie. Zgodnie z brzmieniem tego przepisu, „analiza kosztów i korzyści może być częścią oceny wpływu na środowisko, przewidzianej w</w:t>
      </w:r>
      <w:r w:rsidR="002C3115">
        <w:t> </w:t>
      </w:r>
      <w:r w:rsidRPr="00A94359">
        <w:t>dyrektywie 2001/42/WE Parlamentu Europejskiego i Rady z dnia 27 czerwca 2001 r. w</w:t>
      </w:r>
      <w:r w:rsidR="008D17A4" w:rsidRPr="00A94359">
        <w:t xml:space="preserve"> </w:t>
      </w:r>
      <w:r w:rsidRPr="00A94359">
        <w:t>sprawie oceny wpływu niektórych planów i programów na środowisko”.</w:t>
      </w:r>
    </w:p>
    <w:p w:rsidR="002F0A99" w:rsidRPr="00A94359" w:rsidRDefault="002F0A99" w:rsidP="00A94359">
      <w:pPr>
        <w:spacing w:before="120" w:line="360" w:lineRule="auto"/>
        <w:rPr>
          <w:b/>
        </w:rPr>
      </w:pPr>
      <w:r w:rsidRPr="00A94359">
        <w:rPr>
          <w:b/>
        </w:rPr>
        <w:t>Przepisy przejściowe</w:t>
      </w:r>
    </w:p>
    <w:p w:rsidR="002F0A99" w:rsidRPr="00A94359" w:rsidRDefault="002F0A99" w:rsidP="002C3115">
      <w:pPr>
        <w:spacing w:before="120" w:line="360" w:lineRule="auto"/>
        <w:jc w:val="both"/>
      </w:pPr>
      <w:r w:rsidRPr="00A94359">
        <w:t>Art. 47 projektu ustawy nakłada na ministra właściwego do spraw energii obowiązek przekazania po raz pierwszy krajowego planu działań Komisji Europejskiej w terminie do dnia 30 kwietnia 2017 r., zaś art. 48 na Zarząd NFOŚiGW obowiązek przekazania po raz pierwszy sprawozdania ministrowi właściwemu do spraw energii w terminie do dnia 3</w:t>
      </w:r>
      <w:r w:rsidR="00FA2632" w:rsidRPr="00A94359">
        <w:t>1</w:t>
      </w:r>
      <w:r w:rsidRPr="00A94359">
        <w:t xml:space="preserve"> </w:t>
      </w:r>
      <w:r w:rsidR="00FA2632" w:rsidRPr="00A94359">
        <w:t>lipca</w:t>
      </w:r>
      <w:r w:rsidRPr="00A94359">
        <w:t xml:space="preserve"> 2017 r.</w:t>
      </w:r>
    </w:p>
    <w:p w:rsidR="002F0A99" w:rsidRPr="00A94359" w:rsidRDefault="002F0A99" w:rsidP="002C3115">
      <w:pPr>
        <w:spacing w:before="120" w:line="360" w:lineRule="auto"/>
        <w:jc w:val="both"/>
      </w:pPr>
      <w:r w:rsidRPr="00A94359">
        <w:t xml:space="preserve">Przepis art. 49 projektu ustawy, nakłada na przedsiębiorcę niebędącego mikro, małym ani średnim przedsiębiorcą obowiązek sporządzenia pierwszego audytu energetycznego przedsiębiorstwa, w terminie </w:t>
      </w:r>
      <w:r w:rsidR="00FA2632" w:rsidRPr="00A94359">
        <w:t>12 miesięcy od dnia wejścia w życie ustawy</w:t>
      </w:r>
      <w:r w:rsidRPr="00A94359">
        <w:t>.</w:t>
      </w:r>
      <w:r w:rsidR="00184BB9" w:rsidRPr="00A94359">
        <w:t xml:space="preserve"> Jednocześnie </w:t>
      </w:r>
      <w:r w:rsidR="00C30BB6" w:rsidRPr="00A94359">
        <w:t xml:space="preserve">przedsiębiorca może zgłosić jako pierwszy </w:t>
      </w:r>
      <w:r w:rsidR="00184BB9" w:rsidRPr="00A94359">
        <w:t xml:space="preserve">audyt energetyczny </w:t>
      </w:r>
      <w:r w:rsidR="00C30BB6" w:rsidRPr="00A94359">
        <w:t xml:space="preserve">przedsiębiorstwa przeprowadzony </w:t>
      </w:r>
      <w:r w:rsidR="00184BB9" w:rsidRPr="00A94359">
        <w:t>po dniu 5 grudnia 2012 r. ale przed dniem wejścia w życie ustawy</w:t>
      </w:r>
      <w:r w:rsidR="00C30BB6" w:rsidRPr="00A94359">
        <w:t xml:space="preserve">, jeżeli spełnia on wymagania określone w ustawie. </w:t>
      </w:r>
    </w:p>
    <w:p w:rsidR="002F0A99" w:rsidRPr="00A94359" w:rsidRDefault="002F0A99" w:rsidP="002C3115">
      <w:pPr>
        <w:spacing w:before="120" w:line="360" w:lineRule="auto"/>
        <w:jc w:val="both"/>
      </w:pPr>
      <w:r w:rsidRPr="00A94359">
        <w:t>Właścicieli lub zarządców lokali zobowiązano (art. 50) do wyposażenia lokali, o ile będzie to technicznie wykonalne i opłacalne, w ciepłomierze lub wodomierze ciepłej wody do dnia 31</w:t>
      </w:r>
      <w:r w:rsidR="00A94359">
        <w:t xml:space="preserve"> </w:t>
      </w:r>
      <w:r w:rsidRPr="00A94359">
        <w:t>grudnia 2016 r.</w:t>
      </w:r>
      <w:r w:rsidR="00A94359">
        <w:t xml:space="preserve"> </w:t>
      </w:r>
    </w:p>
    <w:p w:rsidR="002F0A99" w:rsidRPr="00A94359" w:rsidRDefault="002F0A99" w:rsidP="002C3115">
      <w:pPr>
        <w:spacing w:before="120" w:line="360" w:lineRule="auto"/>
        <w:jc w:val="both"/>
      </w:pPr>
      <w:r w:rsidRPr="00A94359">
        <w:t>W celu uniknięcia ewentualnych wątpliwości interpretacyjnych w projekcie ustawy (art.</w:t>
      </w:r>
      <w:r w:rsidR="002C3115">
        <w:t> </w:t>
      </w:r>
      <w:r w:rsidRPr="00A94359">
        <w:t>51) wskazano, że do wykonania i rozliczenia wykonania obowiązku, o którym mowa w</w:t>
      </w:r>
      <w:r w:rsidR="00A94359">
        <w:t xml:space="preserve"> </w:t>
      </w:r>
      <w:r w:rsidRPr="00A94359">
        <w:t>art. 12 ust. 1 oraz w art. 23 ust. 3 obowiązującej ustawy, oraz w zakresie kar pieniężnych za niedopełnienie tego obowiązku, stosuje się przepisy dotychczasowe.</w:t>
      </w:r>
    </w:p>
    <w:p w:rsidR="002F0A99" w:rsidRPr="00A94359" w:rsidRDefault="002F0A99" w:rsidP="002C3115">
      <w:pPr>
        <w:spacing w:before="120" w:line="360" w:lineRule="auto"/>
        <w:jc w:val="both"/>
      </w:pPr>
      <w:r w:rsidRPr="00A94359">
        <w:t>Zgodnie z art. 53 projektu ustawy świadectwa efektywności energetycznej wydane na podstawie obowiązującej ustawy zachowają ważność.</w:t>
      </w:r>
      <w:r w:rsidR="00A94359">
        <w:t xml:space="preserve"> </w:t>
      </w:r>
    </w:p>
    <w:p w:rsidR="002F0A99" w:rsidRPr="00A94359" w:rsidRDefault="002F0A99" w:rsidP="002C3115">
      <w:pPr>
        <w:pStyle w:val="Tekstpodstawowy"/>
        <w:rPr>
          <w:lang w:val="pl-PL"/>
        </w:rPr>
      </w:pPr>
      <w:r w:rsidRPr="00A94359">
        <w:rPr>
          <w:lang w:val="pl-PL"/>
        </w:rPr>
        <w:t>Natomiast zgodnie z przepisami art. 52 projektu ustawy opłaty zastępcze, o których mowa w art. 12 ust.</w:t>
      </w:r>
      <w:r w:rsidR="006A22CB">
        <w:rPr>
          <w:lang w:val="pl-PL"/>
        </w:rPr>
        <w:t xml:space="preserve"> </w:t>
      </w:r>
      <w:r w:rsidRPr="00A94359">
        <w:rPr>
          <w:lang w:val="pl-PL"/>
        </w:rPr>
        <w:t xml:space="preserve">1 pkt 2 obowiązującej ustawy, uiszczane na rachunek bankowy Narodowego Funduszu Ochrony Środowiska i Gospodarki Wodnej po dniu </w:t>
      </w:r>
      <w:r w:rsidR="00632BF1" w:rsidRPr="00A94359">
        <w:rPr>
          <w:lang w:val="pl-PL"/>
        </w:rPr>
        <w:t>wejścia w</w:t>
      </w:r>
      <w:r w:rsidR="002C3115">
        <w:rPr>
          <w:lang w:val="pl-PL"/>
        </w:rPr>
        <w:t> </w:t>
      </w:r>
      <w:r w:rsidR="00632BF1" w:rsidRPr="00A94359">
        <w:rPr>
          <w:lang w:val="pl-PL"/>
        </w:rPr>
        <w:t>życie ustawy</w:t>
      </w:r>
      <w:r w:rsidRPr="00A94359">
        <w:rPr>
          <w:lang w:val="pl-PL"/>
        </w:rPr>
        <w:t xml:space="preserve"> będą stanowić przychód tego Funduszu i będą uwzględniane przy ustalaniu wysokości zobowiązania określonego w art. 401c ust.</w:t>
      </w:r>
      <w:r w:rsidR="006A22CB">
        <w:rPr>
          <w:lang w:val="pl-PL"/>
        </w:rPr>
        <w:t xml:space="preserve"> </w:t>
      </w:r>
      <w:r w:rsidRPr="00A94359">
        <w:rPr>
          <w:lang w:val="pl-PL"/>
        </w:rPr>
        <w:t>5 ustawy z dnia 27</w:t>
      </w:r>
      <w:r w:rsidR="002C3115">
        <w:rPr>
          <w:lang w:val="pl-PL"/>
        </w:rPr>
        <w:t> </w:t>
      </w:r>
      <w:r w:rsidRPr="00A94359">
        <w:rPr>
          <w:lang w:val="pl-PL"/>
        </w:rPr>
        <w:t>kwietnia 2001 r. – Prawo</w:t>
      </w:r>
      <w:r w:rsidR="00A94359">
        <w:rPr>
          <w:lang w:val="pl-PL"/>
        </w:rPr>
        <w:t xml:space="preserve"> </w:t>
      </w:r>
      <w:r w:rsidRPr="00A94359">
        <w:rPr>
          <w:lang w:val="pl-PL"/>
        </w:rPr>
        <w:t xml:space="preserve">ochrony środowiska. Kary pieniężne wymierzane zaś na podstawie art. 35 obowiązującej ustawy płatne będą uiszczane na rachunek bankowy właściwego urzędu skarbowego. </w:t>
      </w:r>
    </w:p>
    <w:p w:rsidR="002F0A99" w:rsidRPr="00A94359" w:rsidRDefault="002F0A99" w:rsidP="002C3115">
      <w:pPr>
        <w:spacing w:before="120" w:line="360" w:lineRule="auto"/>
        <w:jc w:val="both"/>
      </w:pPr>
      <w:r w:rsidRPr="00A94359">
        <w:t xml:space="preserve">Do postępowań wszczętych i niezakończonych przed dniem wejścia w życie przepisów projektowanej ustawy (art. 54) dotyczących świadectw efektywności energetycznej oraz przetargów, będzie stosować się przepisy dotychczasowe. </w:t>
      </w:r>
    </w:p>
    <w:p w:rsidR="002F0A99" w:rsidRPr="00A94359" w:rsidRDefault="002F0A99" w:rsidP="002C3115">
      <w:pPr>
        <w:spacing w:before="120" w:line="360" w:lineRule="auto"/>
        <w:jc w:val="both"/>
      </w:pPr>
      <w:r w:rsidRPr="00A94359">
        <w:t xml:space="preserve">Ponadto w związku z wydłużonym obowiązywaniem niektórych przepisów (art. 48 obowiązującej ustawy) należało utrzymać w mocy odpowiednie przepisy wykonawcze. </w:t>
      </w:r>
    </w:p>
    <w:p w:rsidR="002F0A99" w:rsidRPr="00A94359" w:rsidRDefault="002F0A99" w:rsidP="00A94359">
      <w:pPr>
        <w:spacing w:before="120" w:line="360" w:lineRule="auto"/>
        <w:rPr>
          <w:b/>
        </w:rPr>
      </w:pPr>
      <w:r w:rsidRPr="00A94359">
        <w:rPr>
          <w:b/>
        </w:rPr>
        <w:t>Przepisy końcowe</w:t>
      </w:r>
    </w:p>
    <w:p w:rsidR="002F0A99" w:rsidRPr="00A94359" w:rsidRDefault="002F0A99" w:rsidP="002C3115">
      <w:pPr>
        <w:pStyle w:val="USTustnpkodeksu"/>
        <w:spacing w:before="120"/>
        <w:ind w:firstLine="0"/>
        <w:rPr>
          <w:rFonts w:ascii="Times New Roman" w:hAnsi="Times New Roman" w:cs="Times New Roman"/>
          <w:szCs w:val="24"/>
        </w:rPr>
      </w:pPr>
      <w:r w:rsidRPr="00A94359">
        <w:rPr>
          <w:rFonts w:ascii="Times New Roman" w:hAnsi="Times New Roman" w:cs="Times New Roman"/>
          <w:szCs w:val="24"/>
        </w:rPr>
        <w:t xml:space="preserve">Projektowana ustawa ma wejść w życie po upływie 30 dni od dnia ogłoszenia. </w:t>
      </w:r>
    </w:p>
    <w:p w:rsidR="002F0A99" w:rsidRPr="00A94359" w:rsidRDefault="002F0A99" w:rsidP="002C3115">
      <w:pPr>
        <w:pStyle w:val="USTustnpkodeksu"/>
        <w:spacing w:before="120"/>
        <w:ind w:firstLine="0"/>
        <w:rPr>
          <w:rFonts w:ascii="Times New Roman" w:hAnsi="Times New Roman" w:cs="Times New Roman"/>
          <w:color w:val="000000"/>
          <w:szCs w:val="24"/>
        </w:rPr>
      </w:pPr>
      <w:r w:rsidRPr="00A94359">
        <w:rPr>
          <w:rFonts w:ascii="Times New Roman" w:hAnsi="Times New Roman" w:cs="Times New Roman"/>
          <w:szCs w:val="24"/>
        </w:rPr>
        <w:t>Należy podkreślić, iż p</w:t>
      </w:r>
      <w:r w:rsidRPr="00A94359">
        <w:rPr>
          <w:rFonts w:ascii="Times New Roman" w:hAnsi="Times New Roman" w:cs="Times New Roman"/>
          <w:color w:val="000000"/>
          <w:szCs w:val="24"/>
          <w:lang w:eastAsia="en-US"/>
        </w:rPr>
        <w:t>rojektowana ustawa nie określa warunków wykonywania działalności gospodarczej (</w:t>
      </w:r>
      <w:r w:rsidRPr="00A94359">
        <w:rPr>
          <w:rFonts w:ascii="Times New Roman" w:hAnsi="Times New Roman" w:cs="Times New Roman"/>
          <w:color w:val="000000"/>
          <w:szCs w:val="24"/>
        </w:rPr>
        <w:t xml:space="preserve">kontynuacja dotychczasowej działalności). </w:t>
      </w:r>
    </w:p>
    <w:p w:rsidR="002F0A99" w:rsidRPr="00A94359" w:rsidRDefault="002F0A99" w:rsidP="002C3115">
      <w:pPr>
        <w:pStyle w:val="USTustnpkodeksu"/>
        <w:spacing w:before="120"/>
        <w:ind w:firstLine="0"/>
        <w:rPr>
          <w:rFonts w:ascii="Times New Roman" w:hAnsi="Times New Roman" w:cs="Times New Roman"/>
          <w:color w:val="000000"/>
          <w:szCs w:val="24"/>
        </w:rPr>
      </w:pPr>
      <w:r w:rsidRPr="00A94359">
        <w:rPr>
          <w:rFonts w:ascii="Times New Roman" w:hAnsi="Times New Roman" w:cs="Times New Roman"/>
          <w:color w:val="000000"/>
          <w:szCs w:val="24"/>
        </w:rPr>
        <w:t>W związku z powyższym, a także mając na uwadze przekroczenie terminu wyznaczonego na implementację dyrektywy 2012/27/U</w:t>
      </w:r>
      <w:r w:rsidR="006A22CB">
        <w:rPr>
          <w:rFonts w:ascii="Times New Roman" w:hAnsi="Times New Roman" w:cs="Times New Roman"/>
          <w:color w:val="000000"/>
          <w:szCs w:val="24"/>
        </w:rPr>
        <w:t>E, uchwała n</w:t>
      </w:r>
      <w:r w:rsidRPr="00A94359">
        <w:rPr>
          <w:rFonts w:ascii="Times New Roman" w:hAnsi="Times New Roman" w:cs="Times New Roman"/>
          <w:color w:val="000000"/>
          <w:szCs w:val="24"/>
        </w:rPr>
        <w:t xml:space="preserve">r 20 Rady Ministrów z dnia 20 lutego 2014 r. </w:t>
      </w:r>
      <w:r w:rsidRPr="00A94359">
        <w:rPr>
          <w:rFonts w:ascii="Times New Roman" w:hAnsi="Times New Roman" w:cs="Times New Roman"/>
          <w:i/>
          <w:color w:val="000000"/>
          <w:szCs w:val="24"/>
        </w:rPr>
        <w:t xml:space="preserve">w </w:t>
      </w:r>
      <w:r w:rsidRPr="00A94359">
        <w:rPr>
          <w:rFonts w:ascii="Times New Roman" w:hAnsi="Times New Roman" w:cs="Times New Roman"/>
          <w:color w:val="000000"/>
          <w:szCs w:val="24"/>
        </w:rPr>
        <w:t>sprawie zaleceń ujednolicenia terminów wejścia w</w:t>
      </w:r>
      <w:r w:rsidR="002C3115">
        <w:rPr>
          <w:rFonts w:ascii="Times New Roman" w:hAnsi="Times New Roman" w:cs="Times New Roman"/>
          <w:color w:val="000000"/>
          <w:szCs w:val="24"/>
        </w:rPr>
        <w:t> </w:t>
      </w:r>
      <w:r w:rsidRPr="00A94359">
        <w:rPr>
          <w:rFonts w:ascii="Times New Roman" w:hAnsi="Times New Roman" w:cs="Times New Roman"/>
          <w:color w:val="000000"/>
          <w:szCs w:val="24"/>
        </w:rPr>
        <w:t xml:space="preserve">życie niektórych aktów normatywnych </w:t>
      </w:r>
      <w:r w:rsidRPr="00A94359">
        <w:rPr>
          <w:rFonts w:ascii="Times New Roman" w:hAnsi="Times New Roman" w:cs="Times New Roman"/>
          <w:color w:val="000000"/>
          <w:szCs w:val="24"/>
          <w:lang w:eastAsia="en-US"/>
        </w:rPr>
        <w:t xml:space="preserve">(M.P. poz. 205) </w:t>
      </w:r>
      <w:r w:rsidRPr="00A94359">
        <w:rPr>
          <w:rFonts w:ascii="Times New Roman" w:hAnsi="Times New Roman" w:cs="Times New Roman"/>
          <w:color w:val="000000"/>
          <w:szCs w:val="24"/>
        </w:rPr>
        <w:t>nie ma zastosowania.</w:t>
      </w:r>
    </w:p>
    <w:p w:rsidR="002F0A99" w:rsidRPr="00A94359" w:rsidRDefault="002F0A99" w:rsidP="002C3115">
      <w:pPr>
        <w:pStyle w:val="USTustnpkodeksu"/>
        <w:spacing w:before="120"/>
        <w:ind w:firstLine="0"/>
        <w:rPr>
          <w:rFonts w:ascii="Times New Roman" w:hAnsi="Times New Roman" w:cs="Times New Roman"/>
          <w:color w:val="000000"/>
          <w:szCs w:val="24"/>
        </w:rPr>
      </w:pPr>
      <w:r w:rsidRPr="00A94359">
        <w:rPr>
          <w:rFonts w:ascii="Times New Roman" w:hAnsi="Times New Roman" w:cs="Times New Roman"/>
          <w:color w:val="000000"/>
          <w:szCs w:val="24"/>
        </w:rPr>
        <w:t>Niezależnie od powyższego określone w projekcie ustawy trzydziestodniowe vacatio legis jest zgodne z art. 4 ust. 1 ustawy z dnia 20 lipca 2000 r. o ogłaszaniu aktów normatywnych i niektórych innych aktów prawnych (Dz. U. z 201</w:t>
      </w:r>
      <w:r w:rsidR="00DC10CA">
        <w:rPr>
          <w:rFonts w:ascii="Times New Roman" w:hAnsi="Times New Roman" w:cs="Times New Roman"/>
          <w:color w:val="000000"/>
          <w:szCs w:val="24"/>
        </w:rPr>
        <w:t>6</w:t>
      </w:r>
      <w:r w:rsidRPr="00A94359">
        <w:rPr>
          <w:rFonts w:ascii="Times New Roman" w:hAnsi="Times New Roman" w:cs="Times New Roman"/>
          <w:color w:val="000000"/>
          <w:szCs w:val="24"/>
        </w:rPr>
        <w:t xml:space="preserve"> r. poz.</w:t>
      </w:r>
      <w:r w:rsidR="002C3115">
        <w:rPr>
          <w:rFonts w:ascii="Times New Roman" w:hAnsi="Times New Roman" w:cs="Times New Roman"/>
          <w:color w:val="000000"/>
          <w:szCs w:val="24"/>
        </w:rPr>
        <w:t> </w:t>
      </w:r>
      <w:r w:rsidRPr="00A94359">
        <w:rPr>
          <w:rFonts w:ascii="Times New Roman" w:hAnsi="Times New Roman" w:cs="Times New Roman"/>
          <w:color w:val="000000"/>
          <w:szCs w:val="24"/>
        </w:rPr>
        <w:t>2</w:t>
      </w:r>
      <w:r w:rsidR="00DC10CA">
        <w:rPr>
          <w:rFonts w:ascii="Times New Roman" w:hAnsi="Times New Roman" w:cs="Times New Roman"/>
          <w:color w:val="000000"/>
          <w:szCs w:val="24"/>
        </w:rPr>
        <w:t>96</w:t>
      </w:r>
      <w:r w:rsidRPr="00A94359">
        <w:rPr>
          <w:rFonts w:ascii="Times New Roman" w:hAnsi="Times New Roman" w:cs="Times New Roman"/>
          <w:color w:val="000000"/>
          <w:szCs w:val="24"/>
        </w:rPr>
        <w:t>).</w:t>
      </w:r>
    </w:p>
    <w:p w:rsidR="002F0A99" w:rsidRPr="00A94359" w:rsidRDefault="002F0A99" w:rsidP="002C3115">
      <w:pPr>
        <w:pStyle w:val="USTustnpkodeksu"/>
        <w:spacing w:before="120"/>
        <w:ind w:firstLine="0"/>
        <w:rPr>
          <w:rFonts w:ascii="Times New Roman" w:hAnsi="Times New Roman" w:cs="Times New Roman"/>
          <w:szCs w:val="24"/>
        </w:rPr>
      </w:pPr>
      <w:r w:rsidRPr="00A94359">
        <w:rPr>
          <w:rFonts w:ascii="Times New Roman" w:hAnsi="Times New Roman" w:cs="Times New Roman"/>
          <w:szCs w:val="24"/>
        </w:rPr>
        <w:t xml:space="preserve">Projekt ustawy nie zawiera przepisów technicznych, a zatem nie podlega notyfikacji Komisji Europejskiej zgodnie z trybem przewidzianym w przepisach rozporządzenia Rady Ministrów z dnia 23 grudnia 2002 r. </w:t>
      </w:r>
      <w:r w:rsidRPr="00A94359">
        <w:rPr>
          <w:rFonts w:ascii="Times New Roman" w:hAnsi="Times New Roman" w:cs="Times New Roman"/>
          <w:iCs/>
          <w:szCs w:val="24"/>
        </w:rPr>
        <w:t>w sprawie sposobu funkcjonowania krajowego systemu notyfikacji norm i aktów prawnych</w:t>
      </w:r>
      <w:r w:rsidRPr="00A94359">
        <w:rPr>
          <w:rFonts w:ascii="Times New Roman" w:hAnsi="Times New Roman" w:cs="Times New Roman"/>
          <w:szCs w:val="24"/>
        </w:rPr>
        <w:t xml:space="preserve"> (Dz. U. Nr 239, poz. 2039 oraz z 2004</w:t>
      </w:r>
      <w:r w:rsidR="006A22CB">
        <w:rPr>
          <w:rFonts w:ascii="Times New Roman" w:hAnsi="Times New Roman" w:cs="Times New Roman"/>
          <w:szCs w:val="24"/>
        </w:rPr>
        <w:t xml:space="preserve"> </w:t>
      </w:r>
      <w:r w:rsidRPr="00A94359">
        <w:rPr>
          <w:rFonts w:ascii="Times New Roman" w:hAnsi="Times New Roman" w:cs="Times New Roman"/>
          <w:szCs w:val="24"/>
        </w:rPr>
        <w:t>r. Nr 65, poz. 597).</w:t>
      </w:r>
    </w:p>
    <w:p w:rsidR="002F0A99" w:rsidRPr="00A94359" w:rsidRDefault="002F0A99" w:rsidP="002C3115">
      <w:pPr>
        <w:pStyle w:val="USTustnpkodeksu"/>
        <w:spacing w:before="120"/>
        <w:ind w:firstLine="0"/>
        <w:rPr>
          <w:rStyle w:val="Ppogrubienie"/>
          <w:rFonts w:ascii="Times New Roman" w:hAnsi="Times New Roman" w:cs="Times New Roman"/>
          <w:b w:val="0"/>
          <w:szCs w:val="24"/>
        </w:rPr>
      </w:pPr>
      <w:r w:rsidRPr="00A94359">
        <w:rPr>
          <w:rFonts w:ascii="Times New Roman" w:hAnsi="Times New Roman" w:cs="Times New Roman"/>
          <w:szCs w:val="24"/>
        </w:rPr>
        <w:t>Zgodnie z przepisami ustawy z dnia 7 lipca 2005 r. o działalności lobbingowej w</w:t>
      </w:r>
      <w:r w:rsidR="002C3115">
        <w:rPr>
          <w:rFonts w:ascii="Times New Roman" w:hAnsi="Times New Roman" w:cs="Times New Roman"/>
          <w:szCs w:val="24"/>
        </w:rPr>
        <w:t> </w:t>
      </w:r>
      <w:r w:rsidRPr="00A94359">
        <w:rPr>
          <w:rFonts w:ascii="Times New Roman" w:hAnsi="Times New Roman" w:cs="Times New Roman"/>
          <w:szCs w:val="24"/>
        </w:rPr>
        <w:t>procesie stanowienia prawa</w:t>
      </w:r>
      <w:r w:rsidRPr="00A94359">
        <w:rPr>
          <w:rFonts w:ascii="Times New Roman" w:hAnsi="Times New Roman" w:cs="Times New Roman"/>
          <w:i/>
          <w:szCs w:val="24"/>
        </w:rPr>
        <w:t xml:space="preserve"> </w:t>
      </w:r>
      <w:r w:rsidRPr="00A94359">
        <w:rPr>
          <w:rFonts w:ascii="Times New Roman" w:hAnsi="Times New Roman" w:cs="Times New Roman"/>
          <w:szCs w:val="24"/>
        </w:rPr>
        <w:t>(Dz. U. Nr 169, poz.</w:t>
      </w:r>
      <w:r w:rsidR="006A22CB">
        <w:rPr>
          <w:rFonts w:ascii="Times New Roman" w:hAnsi="Times New Roman" w:cs="Times New Roman"/>
          <w:szCs w:val="24"/>
        </w:rPr>
        <w:t xml:space="preserve"> </w:t>
      </w:r>
      <w:r w:rsidRPr="00A94359">
        <w:rPr>
          <w:rFonts w:ascii="Times New Roman" w:hAnsi="Times New Roman" w:cs="Times New Roman"/>
          <w:szCs w:val="24"/>
        </w:rPr>
        <w:t xml:space="preserve">1414, z późn. zm.) oraz na podstawie </w:t>
      </w:r>
      <w:r w:rsidRPr="00A94359">
        <w:rPr>
          <w:rStyle w:val="Ppogrubienie"/>
          <w:rFonts w:ascii="Times New Roman" w:hAnsi="Times New Roman" w:cs="Times New Roman"/>
          <w:b w:val="0"/>
          <w:szCs w:val="24"/>
        </w:rPr>
        <w:t xml:space="preserve">§ 52 uchwały </w:t>
      </w:r>
      <w:r w:rsidR="006A22CB">
        <w:rPr>
          <w:rStyle w:val="Ppogrubienie"/>
          <w:rFonts w:ascii="Times New Roman" w:hAnsi="Times New Roman" w:cs="Times New Roman"/>
          <w:b w:val="0"/>
          <w:szCs w:val="24"/>
        </w:rPr>
        <w:t>n</w:t>
      </w:r>
      <w:r w:rsidRPr="00A94359">
        <w:rPr>
          <w:rStyle w:val="Ppogrubienie"/>
          <w:rFonts w:ascii="Times New Roman" w:hAnsi="Times New Roman" w:cs="Times New Roman"/>
          <w:b w:val="0"/>
          <w:szCs w:val="24"/>
        </w:rPr>
        <w:t>r 190 Rady Ministrów z dnia 29 października 2013 r. – Regulamin pracy Rady</w:t>
      </w:r>
      <w:r w:rsidR="00A94359">
        <w:rPr>
          <w:rStyle w:val="Ppogrubienie"/>
          <w:rFonts w:ascii="Times New Roman" w:hAnsi="Times New Roman" w:cs="Times New Roman"/>
          <w:b w:val="0"/>
          <w:szCs w:val="24"/>
        </w:rPr>
        <w:t xml:space="preserve"> </w:t>
      </w:r>
      <w:r w:rsidRPr="00A94359">
        <w:rPr>
          <w:rStyle w:val="Ppogrubienie"/>
          <w:rFonts w:ascii="Times New Roman" w:hAnsi="Times New Roman" w:cs="Times New Roman"/>
          <w:b w:val="0"/>
          <w:szCs w:val="24"/>
        </w:rPr>
        <w:t>Ministrów (M.P. poz. 979</w:t>
      </w:r>
      <w:r w:rsidR="00DC10CA">
        <w:rPr>
          <w:rStyle w:val="Ppogrubienie"/>
          <w:rFonts w:ascii="Times New Roman" w:hAnsi="Times New Roman" w:cs="Times New Roman"/>
          <w:b w:val="0"/>
          <w:szCs w:val="24"/>
        </w:rPr>
        <w:t xml:space="preserve"> oraz z 2015 r. poz. 1063</w:t>
      </w:r>
      <w:r w:rsidRPr="00A94359">
        <w:rPr>
          <w:rStyle w:val="Ppogrubienie"/>
          <w:rFonts w:ascii="Times New Roman" w:hAnsi="Times New Roman" w:cs="Times New Roman"/>
          <w:b w:val="0"/>
          <w:szCs w:val="24"/>
        </w:rPr>
        <w:t>), projekt ustawy został opublikowany w</w:t>
      </w:r>
      <w:r w:rsidR="002C3115">
        <w:rPr>
          <w:rStyle w:val="Ppogrubienie"/>
          <w:rFonts w:ascii="Times New Roman" w:hAnsi="Times New Roman" w:cs="Times New Roman"/>
          <w:b w:val="0"/>
          <w:szCs w:val="24"/>
        </w:rPr>
        <w:t> </w:t>
      </w:r>
      <w:r w:rsidRPr="00A94359">
        <w:rPr>
          <w:rStyle w:val="Ppogrubienie"/>
          <w:rFonts w:ascii="Times New Roman" w:hAnsi="Times New Roman" w:cs="Times New Roman"/>
          <w:b w:val="0"/>
          <w:szCs w:val="24"/>
        </w:rPr>
        <w:t>Biuletynie Informacji Publicznej na stronie internetowej Rządowego Centrum Legislacji.</w:t>
      </w:r>
    </w:p>
    <w:p w:rsidR="00051CC5" w:rsidRPr="00A94359" w:rsidRDefault="00051CC5" w:rsidP="002C3115">
      <w:pPr>
        <w:pStyle w:val="USTustnpkodeksu"/>
        <w:spacing w:before="120"/>
        <w:ind w:firstLine="0"/>
        <w:rPr>
          <w:rStyle w:val="Ppogrubienie"/>
          <w:rFonts w:ascii="Times New Roman" w:hAnsi="Times New Roman" w:cs="Times New Roman"/>
          <w:b w:val="0"/>
          <w:szCs w:val="24"/>
        </w:rPr>
      </w:pPr>
      <w:r w:rsidRPr="00A94359">
        <w:rPr>
          <w:rStyle w:val="Ppogrubienie"/>
          <w:rFonts w:ascii="Times New Roman" w:hAnsi="Times New Roman" w:cs="Times New Roman"/>
          <w:b w:val="0"/>
          <w:szCs w:val="24"/>
        </w:rPr>
        <w:t>W trybie przepisów o działalności lobbingowej w procesie stanowienia prawa następujące podmioty zgłosiły zainteresowanie pracami nad projektem w 2014 r.:</w:t>
      </w:r>
    </w:p>
    <w:p w:rsidR="00051CC5" w:rsidRPr="00A94359" w:rsidRDefault="00051CC5" w:rsidP="002C3115">
      <w:pPr>
        <w:pStyle w:val="USTustnpkodeksu"/>
        <w:spacing w:before="120"/>
        <w:ind w:firstLine="284"/>
        <w:rPr>
          <w:rStyle w:val="Ppogrubienie"/>
          <w:rFonts w:ascii="Times New Roman" w:hAnsi="Times New Roman" w:cs="Times New Roman"/>
          <w:b w:val="0"/>
          <w:szCs w:val="24"/>
        </w:rPr>
      </w:pPr>
      <w:r w:rsidRPr="00A94359">
        <w:rPr>
          <w:rStyle w:val="Ppogrubienie"/>
          <w:rFonts w:ascii="Times New Roman" w:hAnsi="Times New Roman" w:cs="Times New Roman"/>
          <w:b w:val="0"/>
          <w:szCs w:val="24"/>
        </w:rPr>
        <w:t>Polska Izba Przemysłu Chemicznego</w:t>
      </w:r>
    </w:p>
    <w:p w:rsidR="00051CC5" w:rsidRPr="00A94359" w:rsidRDefault="00051CC5" w:rsidP="002C3115">
      <w:pPr>
        <w:pStyle w:val="USTustnpkodeksu"/>
        <w:spacing w:before="120"/>
        <w:ind w:firstLine="284"/>
        <w:rPr>
          <w:rStyle w:val="Ppogrubienie"/>
          <w:rFonts w:ascii="Times New Roman" w:hAnsi="Times New Roman" w:cs="Times New Roman"/>
          <w:b w:val="0"/>
          <w:szCs w:val="24"/>
        </w:rPr>
      </w:pPr>
      <w:r w:rsidRPr="00A94359">
        <w:rPr>
          <w:rStyle w:val="Ppogrubienie"/>
          <w:rFonts w:ascii="Times New Roman" w:hAnsi="Times New Roman" w:cs="Times New Roman"/>
          <w:b w:val="0"/>
          <w:szCs w:val="24"/>
        </w:rPr>
        <w:t xml:space="preserve">Forum Odbiorców Energii Elektrycznej i Gazu FOEEiG </w:t>
      </w:r>
    </w:p>
    <w:p w:rsidR="00051CC5" w:rsidRPr="00A94359" w:rsidRDefault="00051CC5" w:rsidP="002C3115">
      <w:pPr>
        <w:pStyle w:val="USTustnpkodeksu"/>
        <w:spacing w:before="120"/>
        <w:ind w:firstLine="284"/>
        <w:rPr>
          <w:rStyle w:val="Ppogrubienie"/>
          <w:rFonts w:ascii="Times New Roman" w:hAnsi="Times New Roman" w:cs="Times New Roman"/>
          <w:b w:val="0"/>
          <w:szCs w:val="24"/>
        </w:rPr>
      </w:pPr>
      <w:r w:rsidRPr="00A94359">
        <w:rPr>
          <w:rStyle w:val="Ppogrubienie"/>
          <w:rFonts w:ascii="Times New Roman" w:hAnsi="Times New Roman" w:cs="Times New Roman"/>
          <w:b w:val="0"/>
          <w:szCs w:val="24"/>
        </w:rPr>
        <w:t xml:space="preserve">Izba Gospodarcza Ciepłownictwo Polskie IGCP </w:t>
      </w:r>
    </w:p>
    <w:p w:rsidR="00051CC5" w:rsidRPr="00A94359" w:rsidRDefault="00051CC5" w:rsidP="002C3115">
      <w:pPr>
        <w:pStyle w:val="USTustnpkodeksu"/>
        <w:spacing w:before="120"/>
        <w:ind w:firstLine="284"/>
        <w:rPr>
          <w:rStyle w:val="Ppogrubienie"/>
          <w:rFonts w:ascii="Times New Roman" w:hAnsi="Times New Roman" w:cs="Times New Roman"/>
          <w:b w:val="0"/>
          <w:szCs w:val="24"/>
        </w:rPr>
      </w:pPr>
      <w:r w:rsidRPr="00A94359">
        <w:rPr>
          <w:rStyle w:val="Ppogrubienie"/>
          <w:rFonts w:ascii="Times New Roman" w:hAnsi="Times New Roman" w:cs="Times New Roman"/>
          <w:b w:val="0"/>
          <w:szCs w:val="24"/>
        </w:rPr>
        <w:t xml:space="preserve">Polskie Towarzystwo Elektrociepłowni Zawodowych PTEZ </w:t>
      </w:r>
    </w:p>
    <w:p w:rsidR="00663885" w:rsidRPr="00A94359" w:rsidRDefault="00051CC5" w:rsidP="002C3115">
      <w:pPr>
        <w:pStyle w:val="USTustnpkodeksu"/>
        <w:spacing w:before="120"/>
        <w:ind w:firstLine="284"/>
        <w:rPr>
          <w:rStyle w:val="Ppogrubienie"/>
          <w:rFonts w:ascii="Times New Roman" w:hAnsi="Times New Roman" w:cs="Times New Roman"/>
          <w:b w:val="0"/>
          <w:bCs w:val="0"/>
          <w:color w:val="000000"/>
          <w:szCs w:val="24"/>
        </w:rPr>
      </w:pPr>
      <w:r w:rsidRPr="00A94359">
        <w:rPr>
          <w:rStyle w:val="Ppogrubienie"/>
          <w:rFonts w:ascii="Times New Roman" w:hAnsi="Times New Roman" w:cs="Times New Roman"/>
          <w:b w:val="0"/>
          <w:szCs w:val="24"/>
        </w:rPr>
        <w:t>Polskie Górnictwo Naftowe i Gazownictwo PGNIG,</w:t>
      </w:r>
    </w:p>
    <w:p w:rsidR="00051CC5" w:rsidRPr="00A94359" w:rsidRDefault="00051CC5" w:rsidP="00A94359">
      <w:pPr>
        <w:pStyle w:val="USTustnpkodeksu"/>
        <w:spacing w:before="120"/>
        <w:ind w:firstLine="0"/>
        <w:rPr>
          <w:rStyle w:val="Ppogrubienie"/>
          <w:rFonts w:ascii="Times New Roman" w:hAnsi="Times New Roman" w:cs="Times New Roman"/>
          <w:b w:val="0"/>
          <w:bCs w:val="0"/>
          <w:color w:val="000000"/>
          <w:szCs w:val="24"/>
        </w:rPr>
      </w:pPr>
      <w:r w:rsidRPr="00A94359">
        <w:rPr>
          <w:rStyle w:val="Ppogrubienie"/>
          <w:rFonts w:ascii="Times New Roman" w:hAnsi="Times New Roman" w:cs="Times New Roman"/>
          <w:b w:val="0"/>
          <w:szCs w:val="24"/>
        </w:rPr>
        <w:t xml:space="preserve">a następnie do kolejnej wersji projektu w 2015 r. poniższe podmioty: </w:t>
      </w:r>
    </w:p>
    <w:p w:rsidR="00051CC5" w:rsidRPr="00A94359" w:rsidRDefault="00051CC5" w:rsidP="002C3115">
      <w:pPr>
        <w:pStyle w:val="USTustnpkodeksu"/>
        <w:spacing w:before="120"/>
        <w:ind w:left="504" w:firstLine="6"/>
        <w:rPr>
          <w:rStyle w:val="Ppogrubienie"/>
          <w:rFonts w:ascii="Times New Roman" w:hAnsi="Times New Roman" w:cs="Times New Roman"/>
          <w:b w:val="0"/>
          <w:szCs w:val="24"/>
        </w:rPr>
      </w:pPr>
      <w:r w:rsidRPr="00A94359">
        <w:rPr>
          <w:rStyle w:val="Ppogrubienie"/>
          <w:rFonts w:ascii="Times New Roman" w:hAnsi="Times New Roman" w:cs="Times New Roman"/>
          <w:b w:val="0"/>
          <w:szCs w:val="24"/>
        </w:rPr>
        <w:t>Polskie Górnictwo Naftowe i Gazownictwo PGNIG – zgłoszenie w dniu 13.02.2015 r.</w:t>
      </w:r>
    </w:p>
    <w:p w:rsidR="00051CC5" w:rsidRPr="00A94359" w:rsidRDefault="00051CC5" w:rsidP="00A94359">
      <w:pPr>
        <w:pStyle w:val="USTustnpkodeksu"/>
        <w:spacing w:before="120"/>
        <w:rPr>
          <w:rStyle w:val="Ppogrubienie"/>
          <w:rFonts w:ascii="Times New Roman" w:hAnsi="Times New Roman" w:cs="Times New Roman"/>
          <w:b w:val="0"/>
          <w:szCs w:val="24"/>
        </w:rPr>
      </w:pPr>
      <w:r w:rsidRPr="00A94359">
        <w:rPr>
          <w:rStyle w:val="Ppogrubienie"/>
          <w:rFonts w:ascii="Times New Roman" w:hAnsi="Times New Roman" w:cs="Times New Roman"/>
          <w:b w:val="0"/>
          <w:szCs w:val="24"/>
        </w:rPr>
        <w:t>Pan Jan Twardowski – zgłoszenie w dniach 19 i 20.02.2015 r.</w:t>
      </w:r>
    </w:p>
    <w:p w:rsidR="00051CC5" w:rsidRPr="00A94359" w:rsidRDefault="00051CC5" w:rsidP="00A94359">
      <w:pPr>
        <w:pStyle w:val="USTustnpkodeksu"/>
        <w:spacing w:before="120"/>
        <w:rPr>
          <w:rStyle w:val="Ppogrubienie"/>
          <w:rFonts w:ascii="Times New Roman" w:hAnsi="Times New Roman" w:cs="Times New Roman"/>
          <w:b w:val="0"/>
          <w:szCs w:val="24"/>
        </w:rPr>
      </w:pPr>
      <w:r w:rsidRPr="00A94359">
        <w:rPr>
          <w:rStyle w:val="Ppogrubienie"/>
          <w:rFonts w:ascii="Times New Roman" w:hAnsi="Times New Roman" w:cs="Times New Roman"/>
          <w:b w:val="0"/>
          <w:szCs w:val="24"/>
        </w:rPr>
        <w:t>ENERGA OPERATOR SA – zgłoszenie w dniu 20.02.2015 r.</w:t>
      </w:r>
    </w:p>
    <w:p w:rsidR="00051CC5" w:rsidRPr="00A94359" w:rsidRDefault="00051CC5" w:rsidP="00A94359">
      <w:pPr>
        <w:pStyle w:val="USTustnpkodeksu"/>
        <w:spacing w:before="120"/>
        <w:rPr>
          <w:rStyle w:val="Ppogrubienie"/>
          <w:rFonts w:ascii="Times New Roman" w:hAnsi="Times New Roman" w:cs="Times New Roman"/>
          <w:b w:val="0"/>
          <w:szCs w:val="24"/>
        </w:rPr>
      </w:pPr>
      <w:r w:rsidRPr="00A94359">
        <w:rPr>
          <w:rStyle w:val="Ppogrubienie"/>
          <w:rFonts w:ascii="Times New Roman" w:hAnsi="Times New Roman" w:cs="Times New Roman"/>
          <w:b w:val="0"/>
          <w:szCs w:val="24"/>
        </w:rPr>
        <w:t>ENERGA OBRÓT SA – zgłoszenie w dniu 27.02.2015 r.</w:t>
      </w:r>
    </w:p>
    <w:p w:rsidR="00051CC5" w:rsidRPr="00A94359" w:rsidRDefault="00051CC5" w:rsidP="00A94359">
      <w:pPr>
        <w:pStyle w:val="USTustnpkodeksu"/>
        <w:spacing w:before="120"/>
        <w:rPr>
          <w:rStyle w:val="Ppogrubienie"/>
          <w:rFonts w:ascii="Times New Roman" w:hAnsi="Times New Roman" w:cs="Times New Roman"/>
          <w:b w:val="0"/>
          <w:szCs w:val="24"/>
        </w:rPr>
      </w:pPr>
      <w:r w:rsidRPr="00A94359">
        <w:rPr>
          <w:rStyle w:val="Ppogrubienie"/>
          <w:rFonts w:ascii="Times New Roman" w:hAnsi="Times New Roman" w:cs="Times New Roman"/>
          <w:b w:val="0"/>
          <w:szCs w:val="24"/>
        </w:rPr>
        <w:t>Towarzystwo Obrotu Energią TOE – zgłoszenie w dniu 16.03.2015 r.</w:t>
      </w:r>
    </w:p>
    <w:p w:rsidR="00D7361C" w:rsidRPr="00A94359" w:rsidRDefault="00B91566" w:rsidP="00A94359">
      <w:pPr>
        <w:pStyle w:val="USTustnpkodeksu"/>
        <w:spacing w:before="120"/>
        <w:rPr>
          <w:rStyle w:val="Ppogrubienie"/>
          <w:rFonts w:ascii="Times New Roman" w:hAnsi="Times New Roman" w:cs="Times New Roman"/>
          <w:b w:val="0"/>
          <w:szCs w:val="24"/>
        </w:rPr>
      </w:pPr>
      <w:r w:rsidRPr="00A94359">
        <w:rPr>
          <w:rStyle w:val="Ppogrubienie"/>
          <w:rFonts w:ascii="Times New Roman" w:hAnsi="Times New Roman" w:cs="Times New Roman"/>
          <w:b w:val="0"/>
          <w:szCs w:val="24"/>
        </w:rPr>
        <w:t xml:space="preserve">Izba Gospodarcza Ciepłownictwo Polskie IGCP </w:t>
      </w:r>
      <w:r w:rsidR="00CA1618">
        <w:rPr>
          <w:rStyle w:val="Ppogrubienie"/>
          <w:rFonts w:ascii="Times New Roman" w:hAnsi="Times New Roman" w:cs="Times New Roman"/>
          <w:b w:val="0"/>
          <w:szCs w:val="24"/>
        </w:rPr>
        <w:t>–</w:t>
      </w:r>
      <w:r w:rsidRPr="00A94359">
        <w:rPr>
          <w:rStyle w:val="Ppogrubienie"/>
          <w:rFonts w:ascii="Times New Roman" w:hAnsi="Times New Roman" w:cs="Times New Roman"/>
          <w:b w:val="0"/>
          <w:szCs w:val="24"/>
        </w:rPr>
        <w:t xml:space="preserve"> zgłoszenie w dniu 9.06.2015 r.</w:t>
      </w:r>
    </w:p>
    <w:p w:rsidR="00B91566" w:rsidRPr="00A94359" w:rsidRDefault="00B91566" w:rsidP="00A94359">
      <w:pPr>
        <w:pStyle w:val="USTustnpkodeksu"/>
        <w:spacing w:before="120"/>
        <w:rPr>
          <w:rStyle w:val="Ppogrubienie"/>
          <w:rFonts w:ascii="Times New Roman" w:hAnsi="Times New Roman" w:cs="Times New Roman"/>
          <w:b w:val="0"/>
          <w:szCs w:val="24"/>
        </w:rPr>
      </w:pPr>
      <w:r w:rsidRPr="00A94359">
        <w:rPr>
          <w:rStyle w:val="Ppogrubienie"/>
          <w:rFonts w:ascii="Times New Roman" w:hAnsi="Times New Roman" w:cs="Times New Roman"/>
          <w:b w:val="0"/>
          <w:szCs w:val="24"/>
        </w:rPr>
        <w:t xml:space="preserve">Pan Jarosław Kapłański </w:t>
      </w:r>
      <w:r w:rsidR="006A22CB">
        <w:rPr>
          <w:rStyle w:val="Ppogrubienie"/>
          <w:rFonts w:ascii="Times New Roman" w:hAnsi="Times New Roman" w:cs="Times New Roman"/>
          <w:b w:val="0"/>
          <w:szCs w:val="24"/>
        </w:rPr>
        <w:t xml:space="preserve">– </w:t>
      </w:r>
      <w:r w:rsidRPr="00A94359">
        <w:rPr>
          <w:rStyle w:val="Ppogrubienie"/>
          <w:rFonts w:ascii="Times New Roman" w:hAnsi="Times New Roman" w:cs="Times New Roman"/>
          <w:b w:val="0"/>
          <w:szCs w:val="24"/>
        </w:rPr>
        <w:t>zgłoszenie w dniu 9.07.2015 r.</w:t>
      </w:r>
    </w:p>
    <w:p w:rsidR="00B91566" w:rsidRPr="00A94359" w:rsidRDefault="00B91566" w:rsidP="00A94359">
      <w:pPr>
        <w:pStyle w:val="USTustnpkodeksu"/>
        <w:spacing w:before="120"/>
        <w:rPr>
          <w:rStyle w:val="Ppogrubienie"/>
          <w:rFonts w:ascii="Times New Roman" w:hAnsi="Times New Roman" w:cs="Times New Roman"/>
          <w:b w:val="0"/>
          <w:szCs w:val="24"/>
        </w:rPr>
      </w:pPr>
      <w:r w:rsidRPr="00A94359">
        <w:rPr>
          <w:rStyle w:val="Ppogrubienie"/>
          <w:rFonts w:ascii="Times New Roman" w:hAnsi="Times New Roman" w:cs="Times New Roman"/>
          <w:b w:val="0"/>
          <w:szCs w:val="24"/>
        </w:rPr>
        <w:t>ENERGA SA – zgłoszenie w dniu 3.08.2015 r.</w:t>
      </w:r>
    </w:p>
    <w:p w:rsidR="00632BF1" w:rsidRPr="00A94359" w:rsidRDefault="00051CC5" w:rsidP="002C3115">
      <w:pPr>
        <w:pStyle w:val="USTustnpkodeksu"/>
        <w:spacing w:before="120"/>
        <w:ind w:firstLine="0"/>
        <w:rPr>
          <w:rStyle w:val="Ppogrubienie"/>
          <w:rFonts w:ascii="Times New Roman" w:hAnsi="Times New Roman" w:cs="Times New Roman"/>
          <w:b w:val="0"/>
          <w:szCs w:val="24"/>
        </w:rPr>
      </w:pPr>
      <w:r w:rsidRPr="00A94359">
        <w:rPr>
          <w:rStyle w:val="Ppogrubienie"/>
          <w:rFonts w:ascii="Times New Roman" w:hAnsi="Times New Roman" w:cs="Times New Roman"/>
          <w:b w:val="0"/>
          <w:szCs w:val="24"/>
        </w:rPr>
        <w:t>Zgłaszane przez te podmioty uwagi dotyczyły głównie przywrócenia opłaty zastępczej, uzupełnienia obowiązku umarzania świadectw efektywności energetycznej o kwestie związane z zakupem gazu ziemnego „na granicy” oraz wprowadzenia etapu prekwalifikacji w ich wydawaniu, rozszerzenia wykazu przedsięwzięć służących poprawie efektywności energetycznej, np. przez dodanie szkoleń i kształcenia odbiorców końcowych, a następnie uzgadniania go z zainteresowanymi stronami w</w:t>
      </w:r>
      <w:r w:rsidR="002C3115">
        <w:rPr>
          <w:rStyle w:val="Ppogrubienie"/>
          <w:rFonts w:ascii="Times New Roman" w:hAnsi="Times New Roman" w:cs="Times New Roman"/>
          <w:b w:val="0"/>
          <w:szCs w:val="24"/>
        </w:rPr>
        <w:t> </w:t>
      </w:r>
      <w:r w:rsidRPr="00A94359">
        <w:rPr>
          <w:rStyle w:val="Ppogrubienie"/>
          <w:rFonts w:ascii="Times New Roman" w:hAnsi="Times New Roman" w:cs="Times New Roman"/>
          <w:b w:val="0"/>
          <w:szCs w:val="24"/>
        </w:rPr>
        <w:t>formie rozporządzenia, czy też wprowadzenia definicji dla pojęć niewykorzystywanych w projekcie ustawy i zmiany terminów realizacji zadań określonych sztywno w dyrektywie. Odnosząc się do zgłaszanych uwag</w:t>
      </w:r>
      <w:r w:rsidR="006A22CB">
        <w:rPr>
          <w:rStyle w:val="Ppogrubienie"/>
          <w:rFonts w:ascii="Times New Roman" w:hAnsi="Times New Roman" w:cs="Times New Roman"/>
          <w:b w:val="0"/>
          <w:szCs w:val="24"/>
        </w:rPr>
        <w:t>,</w:t>
      </w:r>
      <w:r w:rsidRPr="00A94359">
        <w:rPr>
          <w:rStyle w:val="Ppogrubienie"/>
          <w:rFonts w:ascii="Times New Roman" w:hAnsi="Times New Roman" w:cs="Times New Roman"/>
          <w:b w:val="0"/>
          <w:szCs w:val="24"/>
        </w:rPr>
        <w:t xml:space="preserve"> ME rozważył możliwość realizacji malejącej co roku części obowiązku przez uiszczenie opłaty zastępczej oraz uwzględniania w zakresie obowiązku kwestii związanych z zakupem gazu ziemnego poza granicami RP, jednak w szeregu przypadkach nie uwzględnił uwag, gdyż wykraczały one poza zakres implementacji dyrektywy, powodując zbędne doszczegółowienie jej wymagań. Wiele z tych uwag wykraczało poza zakres projektowanych zmian ustawowych lub było niezgodnych z zasadami techniki legislacyjnej. Wykaz ww. podmiotów wraz ze zgło</w:t>
      </w:r>
      <w:r w:rsidR="006A22CB">
        <w:rPr>
          <w:rStyle w:val="Ppogrubienie"/>
          <w:rFonts w:ascii="Times New Roman" w:hAnsi="Times New Roman" w:cs="Times New Roman"/>
          <w:b w:val="0"/>
          <w:szCs w:val="24"/>
        </w:rPr>
        <w:t>szeniami stanowi załącznik nr 1</w:t>
      </w:r>
      <w:r w:rsidRPr="00A94359">
        <w:rPr>
          <w:rStyle w:val="Ppogrubienie"/>
          <w:rFonts w:ascii="Times New Roman" w:hAnsi="Times New Roman" w:cs="Times New Roman"/>
          <w:b w:val="0"/>
          <w:szCs w:val="24"/>
        </w:rPr>
        <w:t xml:space="preserve"> do uzasadnienia.</w:t>
      </w:r>
      <w:r w:rsidR="008B576B" w:rsidRPr="00A94359">
        <w:rPr>
          <w:rStyle w:val="Ppogrubienie"/>
          <w:rFonts w:ascii="Times New Roman" w:hAnsi="Times New Roman" w:cs="Times New Roman"/>
          <w:b w:val="0"/>
          <w:szCs w:val="24"/>
        </w:rPr>
        <w:t xml:space="preserve"> </w:t>
      </w:r>
    </w:p>
    <w:p w:rsidR="002F0A99" w:rsidRPr="00A94359" w:rsidRDefault="002F0A99" w:rsidP="002C3115">
      <w:pPr>
        <w:pStyle w:val="USTustnpkodeksu"/>
        <w:spacing w:before="120"/>
        <w:ind w:firstLine="0"/>
        <w:rPr>
          <w:rFonts w:ascii="Times New Roman" w:hAnsi="Times New Roman" w:cs="Times New Roman"/>
          <w:szCs w:val="24"/>
        </w:rPr>
      </w:pPr>
      <w:r w:rsidRPr="00A94359">
        <w:rPr>
          <w:rFonts w:ascii="Times New Roman" w:hAnsi="Times New Roman" w:cs="Times New Roman"/>
          <w:szCs w:val="24"/>
        </w:rPr>
        <w:t>Projekt ustawy jest zgodny z prawem Unii Europejskiej.</w:t>
      </w:r>
    </w:p>
    <w:p w:rsidR="002F0A99" w:rsidRDefault="002F0A99" w:rsidP="002C3115">
      <w:pPr>
        <w:pStyle w:val="ARTartustawynprozporzdzenia"/>
        <w:ind w:firstLine="0"/>
        <w:rPr>
          <w:rFonts w:ascii="Times New Roman" w:hAnsi="Times New Roman" w:cs="Times New Roman"/>
          <w:szCs w:val="24"/>
        </w:rPr>
      </w:pPr>
      <w:r w:rsidRPr="00A94359">
        <w:rPr>
          <w:rFonts w:ascii="Times New Roman" w:hAnsi="Times New Roman" w:cs="Times New Roman"/>
          <w:szCs w:val="24"/>
        </w:rPr>
        <w:t>Projekt ustawy nie podlega obowiązkowi uzyskania opinii organów i instytucji Unii Europejskiej, w tym Europejskiego Banku Centralnego, o którym mowa w § 39 uchwały nr</w:t>
      </w:r>
      <w:r w:rsidR="00A94359">
        <w:rPr>
          <w:rFonts w:ascii="Times New Roman" w:hAnsi="Times New Roman" w:cs="Times New Roman"/>
          <w:szCs w:val="24"/>
        </w:rPr>
        <w:t xml:space="preserve"> </w:t>
      </w:r>
      <w:r w:rsidRPr="00A94359">
        <w:rPr>
          <w:rFonts w:ascii="Times New Roman" w:hAnsi="Times New Roman" w:cs="Times New Roman"/>
          <w:szCs w:val="24"/>
        </w:rPr>
        <w:t>190 Rady Ministrów z dnia 29 października 2013 r. – Regulamin pracy Rady Ministrów</w:t>
      </w:r>
      <w:r w:rsidR="00DC10CA">
        <w:rPr>
          <w:rFonts w:ascii="Times New Roman" w:hAnsi="Times New Roman" w:cs="Times New Roman"/>
          <w:szCs w:val="24"/>
        </w:rPr>
        <w:t>.</w:t>
      </w:r>
    </w:p>
    <w:sectPr w:rsidR="002F0A99" w:rsidSect="00A94359">
      <w:footerReference w:type="even" r:id="rId9"/>
      <w:footerReference w:type="default" r:id="rId10"/>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1759" w:rsidRDefault="00521759">
      <w:r>
        <w:separator/>
      </w:r>
    </w:p>
  </w:endnote>
  <w:endnote w:type="continuationSeparator" w:id="0">
    <w:p w:rsidR="00521759" w:rsidRDefault="005217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PL">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EE"/>
    <w:family w:val="swiss"/>
    <w:pitch w:val="variable"/>
    <w:sig w:usb0="00000287" w:usb1="00000000" w:usb2="00000000" w:usb3="00000000" w:csb0="0000009F" w:csb1="00000000"/>
  </w:font>
  <w:font w:name="Times">
    <w:panose1 w:val="02020603050405020304"/>
    <w:charset w:val="EE"/>
    <w:family w:val="roman"/>
    <w:pitch w:val="variable"/>
    <w:sig w:usb0="E0002AFF" w:usb1="C0007841" w:usb2="00000009" w:usb3="00000000" w:csb0="000001FF" w:csb1="00000000"/>
  </w:font>
  <w:font w:name="EUAlbertina">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1759" w:rsidRDefault="0052175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521759" w:rsidRDefault="00521759">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3303978"/>
      <w:docPartObj>
        <w:docPartGallery w:val="Page Numbers (Bottom of Page)"/>
        <w:docPartUnique/>
      </w:docPartObj>
    </w:sdtPr>
    <w:sdtEndPr/>
    <w:sdtContent>
      <w:p w:rsidR="00521759" w:rsidRDefault="00521759" w:rsidP="005F0A8A">
        <w:pPr>
          <w:pStyle w:val="Stopka"/>
          <w:jc w:val="center"/>
        </w:pPr>
        <w:r>
          <w:fldChar w:fldCharType="begin"/>
        </w:r>
        <w:r>
          <w:instrText>PAGE   \* MERGEFORMAT</w:instrText>
        </w:r>
        <w:r>
          <w:fldChar w:fldCharType="separate"/>
        </w:r>
        <w:r w:rsidR="000546DE">
          <w:rPr>
            <w:noProof/>
          </w:rPr>
          <w:t>29</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1759" w:rsidRDefault="00521759">
      <w:r>
        <w:separator/>
      </w:r>
    </w:p>
  </w:footnote>
  <w:footnote w:type="continuationSeparator" w:id="0">
    <w:p w:rsidR="00521759" w:rsidRDefault="00521759">
      <w:r>
        <w:continuationSeparator/>
      </w:r>
    </w:p>
  </w:footnote>
  <w:footnote w:id="1">
    <w:p w:rsidR="00521759" w:rsidRDefault="00521759" w:rsidP="000C1618">
      <w:pPr>
        <w:pStyle w:val="ODNONIKtreodnonika"/>
      </w:pPr>
      <w:r>
        <w:rPr>
          <w:rStyle w:val="Odwoanieprzypisudolnego"/>
          <w:rFonts w:cs="Arial"/>
        </w:rPr>
        <w:footnoteRef/>
      </w:r>
      <w:r w:rsidRPr="000C1618">
        <w:rPr>
          <w:vertAlign w:val="superscript"/>
        </w:rPr>
        <w:t>)</w:t>
      </w:r>
      <w:r>
        <w:rPr>
          <w:vertAlign w:val="superscript"/>
        </w:rPr>
        <w:tab/>
      </w:r>
      <w:r w:rsidRPr="006E7751">
        <w:t xml:space="preserve">Zmiany tekstu jednolitego wymienionej ustawy zostały ogłoszone w Dz. U. z 2013 r. poz. 984 i 1238, z 2014 r. poz. </w:t>
      </w:r>
      <w:r>
        <w:t>457, 490, 900, 942, 984, 1101 i</w:t>
      </w:r>
      <w:r w:rsidR="0084765A">
        <w:t xml:space="preserve"> 1662,</w:t>
      </w:r>
      <w:r w:rsidRPr="006E7751">
        <w:t xml:space="preserve"> z 2015 r. poz. 151</w:t>
      </w:r>
      <w:r>
        <w:t>, 478, 942, 1618, 1893, 1960</w:t>
      </w:r>
      <w:r w:rsidR="0084765A">
        <w:br/>
        <w:t xml:space="preserve"> i 2365 oraz z 2016 r. poz. 266.</w:t>
      </w:r>
    </w:p>
  </w:footnote>
  <w:footnote w:id="2">
    <w:p w:rsidR="00521759" w:rsidRPr="005F0A8A" w:rsidRDefault="00521759" w:rsidP="005F0A8A">
      <w:pPr>
        <w:ind w:left="210" w:hanging="210"/>
        <w:jc w:val="both"/>
        <w:rPr>
          <w:sz w:val="20"/>
          <w:szCs w:val="20"/>
        </w:rPr>
      </w:pPr>
      <w:r w:rsidRPr="005F0A8A">
        <w:rPr>
          <w:sz w:val="20"/>
          <w:szCs w:val="20"/>
          <w:vertAlign w:val="superscript"/>
        </w:rPr>
        <w:footnoteRef/>
      </w:r>
      <w:r w:rsidRPr="005F0A8A">
        <w:rPr>
          <w:sz w:val="20"/>
          <w:szCs w:val="20"/>
          <w:vertAlign w:val="superscript"/>
        </w:rPr>
        <w:t>)</w:t>
      </w:r>
      <w:r>
        <w:rPr>
          <w:sz w:val="20"/>
          <w:szCs w:val="20"/>
        </w:rPr>
        <w:tab/>
      </w:r>
      <w:r w:rsidRPr="005F0A8A">
        <w:rPr>
          <w:sz w:val="20"/>
          <w:szCs w:val="20"/>
        </w:rPr>
        <w:t>Zmiany tekstu jednolitego wymienionej ustawy zostały ogłoszone w Dz. U. z 2013 r. poz. 1238, z 2014 r. poz. 40, 47, 457, 822, 1101, 1146, 1322 i 1662</w:t>
      </w:r>
      <w:r w:rsidR="0084765A">
        <w:rPr>
          <w:sz w:val="20"/>
          <w:szCs w:val="20"/>
        </w:rPr>
        <w:t>,</w:t>
      </w:r>
      <w:r w:rsidRPr="005F0A8A">
        <w:rPr>
          <w:sz w:val="20"/>
          <w:szCs w:val="20"/>
        </w:rPr>
        <w:t xml:space="preserve"> z 2015 r. poz. 122, 151, 277, 478, 774, 881, 933, 1045, 1233, 1434, 1593, 1688</w:t>
      </w:r>
      <w:r w:rsidR="0084765A">
        <w:rPr>
          <w:sz w:val="20"/>
          <w:szCs w:val="20"/>
        </w:rPr>
        <w:t>,</w:t>
      </w:r>
      <w:r w:rsidRPr="005F0A8A">
        <w:rPr>
          <w:sz w:val="20"/>
          <w:szCs w:val="20"/>
        </w:rPr>
        <w:t xml:space="preserve"> 1936</w:t>
      </w:r>
      <w:r w:rsidR="0084765A">
        <w:rPr>
          <w:sz w:val="20"/>
          <w:szCs w:val="20"/>
        </w:rPr>
        <w:t xml:space="preserve"> i 2278 oraz z 2016 r. poz. 266</w:t>
      </w:r>
      <w:r w:rsidRPr="005F0A8A">
        <w:rPr>
          <w:sz w:val="20"/>
          <w:szCs w:val="20"/>
        </w:rPr>
        <w:t xml:space="preserve">. </w:t>
      </w:r>
    </w:p>
  </w:footnote>
  <w:footnote w:id="3">
    <w:p w:rsidR="00521759" w:rsidRDefault="00521759" w:rsidP="007F22AF">
      <w:pPr>
        <w:pStyle w:val="ODNONIKtreodnonika"/>
      </w:pPr>
      <w:r>
        <w:rPr>
          <w:rStyle w:val="Odwoanieprzypisudolnego"/>
          <w:rFonts w:cs="Arial"/>
        </w:rPr>
        <w:footnoteRef/>
      </w:r>
      <w:r>
        <w:rPr>
          <w:vertAlign w:val="superscript"/>
        </w:rPr>
        <w:t>)</w:t>
      </w:r>
      <w:r>
        <w:tab/>
      </w:r>
      <w:r w:rsidRPr="00BE159D">
        <w:t>Zmiany tekstu jednolitego wymienionej ustawy zostały ogłoszone w Dz. U. z 2013 r. poz.</w:t>
      </w:r>
      <w:r>
        <w:t xml:space="preserve"> 938 i 1646, z 2014 r. poz. 379, 911, 1146, 1626 i 1877</w:t>
      </w:r>
      <w:r w:rsidR="000545DB">
        <w:t>,</w:t>
      </w:r>
      <w:r>
        <w:t xml:space="preserve"> z 2015 r. poz. 238, 532, 1045, 1117, 1130, 1189, 1190, 1269, 1358, 1513, 1830 i 1890</w:t>
      </w:r>
      <w:r w:rsidR="000545DB">
        <w:t xml:space="preserve"> oraz z 2016 r. poz. 195.</w:t>
      </w:r>
      <w:r>
        <w:t xml:space="preserve"> </w:t>
      </w:r>
    </w:p>
  </w:footnote>
  <w:footnote w:id="4">
    <w:p w:rsidR="00521759" w:rsidRDefault="00521759" w:rsidP="00521759">
      <w:pPr>
        <w:pStyle w:val="Tekstprzypisudolnego"/>
        <w:ind w:left="284" w:hanging="284"/>
        <w:jc w:val="both"/>
      </w:pPr>
      <w:r>
        <w:rPr>
          <w:rStyle w:val="Odwoanieprzypisudolnego"/>
        </w:rPr>
        <w:footnoteRef/>
      </w:r>
      <w:r>
        <w:rPr>
          <w:vertAlign w:val="superscript"/>
        </w:rPr>
        <w:t>)</w:t>
      </w:r>
      <w:r>
        <w:tab/>
      </w:r>
      <w:r w:rsidRPr="001A316D">
        <w:rPr>
          <w:rStyle w:val="IGindeksgrny"/>
          <w:vertAlign w:val="baseline"/>
        </w:rPr>
        <w:t xml:space="preserve">Zmiany tekstu jednolitego wymienionej ustawy zostały </w:t>
      </w:r>
      <w:r w:rsidRPr="001A316D">
        <w:rPr>
          <w:rStyle w:val="Odwoanieprzypisudolnego"/>
          <w:rFonts w:cs="Arial"/>
          <w:vertAlign w:val="baseline"/>
        </w:rPr>
        <w:t>ogłoszone w</w:t>
      </w:r>
      <w:r w:rsidRPr="00EC66CB">
        <w:t xml:space="preserve"> Dz. U. </w:t>
      </w:r>
      <w:r w:rsidRPr="00E74EBF">
        <w:t>z 2015 r. poz. 699, 875, 978, 1197, 1268</w:t>
      </w:r>
      <w:r>
        <w:t>,</w:t>
      </w:r>
      <w:r w:rsidRPr="00E74EBF">
        <w:t xml:space="preserve"> 1272</w:t>
      </w:r>
      <w:r>
        <w:t>, 1618</w:t>
      </w:r>
      <w:r w:rsidR="007B7639">
        <w:t>, 1649, 1688, 1712, 1844 i 1893 oraz z 2016 r. poz. 65 i 352.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908C0D"/>
    <w:multiLevelType w:val="hybridMultilevel"/>
    <w:tmpl w:val="2961DCE7"/>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FFFFFF89"/>
    <w:multiLevelType w:val="singleLevel"/>
    <w:tmpl w:val="FFB802B4"/>
    <w:lvl w:ilvl="0">
      <w:start w:val="1"/>
      <w:numFmt w:val="bullet"/>
      <w:lvlText w:val=""/>
      <w:lvlJc w:val="left"/>
      <w:pPr>
        <w:tabs>
          <w:tab w:val="num" w:pos="360"/>
        </w:tabs>
        <w:ind w:left="360" w:hanging="360"/>
      </w:pPr>
      <w:rPr>
        <w:rFonts w:ascii="Symbol" w:hAnsi="Symbol" w:hint="default"/>
      </w:rPr>
    </w:lvl>
  </w:abstractNum>
  <w:abstractNum w:abstractNumId="2">
    <w:nsid w:val="113F52F8"/>
    <w:multiLevelType w:val="hybridMultilevel"/>
    <w:tmpl w:val="40E4B652"/>
    <w:lvl w:ilvl="0" w:tplc="0654466E">
      <w:start w:val="1"/>
      <w:numFmt w:val="decimal"/>
      <w:pStyle w:val="pk1uzasad"/>
      <w:lvlText w:val="%1)"/>
      <w:lvlJc w:val="left"/>
      <w:pPr>
        <w:tabs>
          <w:tab w:val="num" w:pos="1040"/>
        </w:tabs>
        <w:ind w:left="1040" w:hanging="360"/>
      </w:pPr>
      <w:rPr>
        <w:rFonts w:cs="Times New Roman" w:hint="default"/>
      </w:rPr>
    </w:lvl>
    <w:lvl w:ilvl="1" w:tplc="0415000F">
      <w:start w:val="1"/>
      <w:numFmt w:val="decimal"/>
      <w:lvlText w:val="%2."/>
      <w:lvlJc w:val="left"/>
      <w:pPr>
        <w:tabs>
          <w:tab w:val="num" w:pos="1780"/>
        </w:tabs>
        <w:ind w:left="1780" w:hanging="360"/>
      </w:pPr>
      <w:rPr>
        <w:rFonts w:cs="Times New Roman"/>
      </w:rPr>
    </w:lvl>
    <w:lvl w:ilvl="2" w:tplc="0415001B" w:tentative="1">
      <w:start w:val="1"/>
      <w:numFmt w:val="lowerRoman"/>
      <w:lvlText w:val="%3."/>
      <w:lvlJc w:val="right"/>
      <w:pPr>
        <w:tabs>
          <w:tab w:val="num" w:pos="2500"/>
        </w:tabs>
        <w:ind w:left="2500" w:hanging="180"/>
      </w:pPr>
      <w:rPr>
        <w:rFonts w:cs="Times New Roman"/>
      </w:rPr>
    </w:lvl>
    <w:lvl w:ilvl="3" w:tplc="0415000F" w:tentative="1">
      <w:start w:val="1"/>
      <w:numFmt w:val="decimal"/>
      <w:lvlText w:val="%4."/>
      <w:lvlJc w:val="left"/>
      <w:pPr>
        <w:tabs>
          <w:tab w:val="num" w:pos="3220"/>
        </w:tabs>
        <w:ind w:left="3220" w:hanging="360"/>
      </w:pPr>
      <w:rPr>
        <w:rFonts w:cs="Times New Roman"/>
      </w:rPr>
    </w:lvl>
    <w:lvl w:ilvl="4" w:tplc="04150019" w:tentative="1">
      <w:start w:val="1"/>
      <w:numFmt w:val="lowerLetter"/>
      <w:lvlText w:val="%5."/>
      <w:lvlJc w:val="left"/>
      <w:pPr>
        <w:tabs>
          <w:tab w:val="num" w:pos="3940"/>
        </w:tabs>
        <w:ind w:left="3940" w:hanging="360"/>
      </w:pPr>
      <w:rPr>
        <w:rFonts w:cs="Times New Roman"/>
      </w:rPr>
    </w:lvl>
    <w:lvl w:ilvl="5" w:tplc="0415001B" w:tentative="1">
      <w:start w:val="1"/>
      <w:numFmt w:val="lowerRoman"/>
      <w:lvlText w:val="%6."/>
      <w:lvlJc w:val="right"/>
      <w:pPr>
        <w:tabs>
          <w:tab w:val="num" w:pos="4660"/>
        </w:tabs>
        <w:ind w:left="4660" w:hanging="180"/>
      </w:pPr>
      <w:rPr>
        <w:rFonts w:cs="Times New Roman"/>
      </w:rPr>
    </w:lvl>
    <w:lvl w:ilvl="6" w:tplc="0415000F" w:tentative="1">
      <w:start w:val="1"/>
      <w:numFmt w:val="decimal"/>
      <w:lvlText w:val="%7."/>
      <w:lvlJc w:val="left"/>
      <w:pPr>
        <w:tabs>
          <w:tab w:val="num" w:pos="5380"/>
        </w:tabs>
        <w:ind w:left="5380" w:hanging="360"/>
      </w:pPr>
      <w:rPr>
        <w:rFonts w:cs="Times New Roman"/>
      </w:rPr>
    </w:lvl>
    <w:lvl w:ilvl="7" w:tplc="04150019" w:tentative="1">
      <w:start w:val="1"/>
      <w:numFmt w:val="lowerLetter"/>
      <w:lvlText w:val="%8."/>
      <w:lvlJc w:val="left"/>
      <w:pPr>
        <w:tabs>
          <w:tab w:val="num" w:pos="6100"/>
        </w:tabs>
        <w:ind w:left="6100" w:hanging="360"/>
      </w:pPr>
      <w:rPr>
        <w:rFonts w:cs="Times New Roman"/>
      </w:rPr>
    </w:lvl>
    <w:lvl w:ilvl="8" w:tplc="0415001B" w:tentative="1">
      <w:start w:val="1"/>
      <w:numFmt w:val="lowerRoman"/>
      <w:lvlText w:val="%9."/>
      <w:lvlJc w:val="right"/>
      <w:pPr>
        <w:tabs>
          <w:tab w:val="num" w:pos="6820"/>
        </w:tabs>
        <w:ind w:left="6820" w:hanging="180"/>
      </w:pPr>
      <w:rPr>
        <w:rFonts w:cs="Times New Roman"/>
      </w:rPr>
    </w:lvl>
  </w:abstractNum>
  <w:abstractNum w:abstractNumId="3">
    <w:nsid w:val="12BE2C07"/>
    <w:multiLevelType w:val="multilevel"/>
    <w:tmpl w:val="0D58502A"/>
    <w:lvl w:ilvl="0">
      <w:start w:val="1"/>
      <w:numFmt w:val="decimal"/>
      <w:pStyle w:val="Rozdzia"/>
      <w:lvlText w:val="Rozdział %1."/>
      <w:lvlJc w:val="center"/>
      <w:pPr>
        <w:tabs>
          <w:tab w:val="num" w:pos="1854"/>
        </w:tabs>
        <w:ind w:left="1134"/>
      </w:pPr>
      <w:rPr>
        <w:rFonts w:ascii="Times New Roman" w:hAnsi="Times New Roman" w:cs="Times New Roman" w:hint="default"/>
        <w:b/>
        <w:i w:val="0"/>
        <w:sz w:val="28"/>
      </w:rPr>
    </w:lvl>
    <w:lvl w:ilvl="1">
      <w:start w:val="1"/>
      <w:numFmt w:val="decimal"/>
      <w:lvlRestart w:val="0"/>
      <w:suff w:val="nothing"/>
      <w:lvlText w:val="Art. %2."/>
      <w:lvlJc w:val="center"/>
      <w:pPr>
        <w:ind w:firstLine="57"/>
      </w:pPr>
      <w:rPr>
        <w:rFonts w:ascii="Arial" w:hAnsi="Arial" w:cs="Times New Roman" w:hint="default"/>
        <w:b/>
        <w:i w:val="0"/>
        <w:sz w:val="24"/>
      </w:rPr>
    </w:lvl>
    <w:lvl w:ilvl="2">
      <w:start w:val="1"/>
      <w:numFmt w:val="decimal"/>
      <w:lvlText w:val="%3."/>
      <w:lvlJc w:val="left"/>
      <w:pPr>
        <w:tabs>
          <w:tab w:val="num" w:pos="360"/>
        </w:tabs>
      </w:pPr>
      <w:rPr>
        <w:rFonts w:cs="Times New Roman" w:hint="default"/>
      </w:rPr>
    </w:lvl>
    <w:lvl w:ilvl="3">
      <w:start w:val="1"/>
      <w:numFmt w:val="decimal"/>
      <w:lvlText w:val="%4)"/>
      <w:lvlJc w:val="left"/>
      <w:pPr>
        <w:tabs>
          <w:tab w:val="num" w:pos="360"/>
        </w:tabs>
      </w:pPr>
      <w:rPr>
        <w:rFonts w:cs="Times New Roman" w:hint="default"/>
      </w:rPr>
    </w:lvl>
    <w:lvl w:ilvl="4">
      <w:start w:val="1"/>
      <w:numFmt w:val="none"/>
      <w:lvlText w:val=""/>
      <w:lvlJc w:val="left"/>
      <w:pPr>
        <w:tabs>
          <w:tab w:val="num" w:pos="360"/>
        </w:tabs>
      </w:pPr>
      <w:rPr>
        <w:rFonts w:cs="Times New Roman" w:hint="default"/>
      </w:rPr>
    </w:lvl>
    <w:lvl w:ilvl="5">
      <w:start w:val="1"/>
      <w:numFmt w:val="none"/>
      <w:lvlRestart w:val="0"/>
      <w:lvlText w:val=""/>
      <w:lvlJc w:val="left"/>
      <w:pPr>
        <w:tabs>
          <w:tab w:val="num" w:pos="757"/>
        </w:tabs>
        <w:ind w:left="577" w:hanging="180"/>
      </w:pPr>
      <w:rPr>
        <w:rFonts w:cs="Times New Roman" w:hint="default"/>
      </w:rPr>
    </w:lvl>
    <w:lvl w:ilvl="6">
      <w:start w:val="1"/>
      <w:numFmt w:val="none"/>
      <w:lvlRestart w:val="0"/>
      <w:lvlText w:val="%7."/>
      <w:lvlJc w:val="left"/>
      <w:pPr>
        <w:tabs>
          <w:tab w:val="num" w:pos="1297"/>
        </w:tabs>
        <w:ind w:left="1297" w:hanging="360"/>
      </w:pPr>
      <w:rPr>
        <w:rFonts w:cs="Times New Roman" w:hint="default"/>
      </w:rPr>
    </w:lvl>
    <w:lvl w:ilvl="7">
      <w:start w:val="1"/>
      <w:numFmt w:val="none"/>
      <w:lvlRestart w:val="0"/>
      <w:lvlText w:val="%8."/>
      <w:lvlJc w:val="left"/>
      <w:pPr>
        <w:tabs>
          <w:tab w:val="num" w:pos="2017"/>
        </w:tabs>
        <w:ind w:left="2017" w:hanging="360"/>
      </w:pPr>
      <w:rPr>
        <w:rFonts w:cs="Times New Roman" w:hint="default"/>
      </w:rPr>
    </w:lvl>
    <w:lvl w:ilvl="8">
      <w:start w:val="1"/>
      <w:numFmt w:val="none"/>
      <w:lvlRestart w:val="0"/>
      <w:lvlText w:val="%9."/>
      <w:lvlJc w:val="right"/>
      <w:pPr>
        <w:tabs>
          <w:tab w:val="num" w:pos="2737"/>
        </w:tabs>
        <w:ind w:left="2737" w:hanging="180"/>
      </w:pPr>
      <w:rPr>
        <w:rFonts w:cs="Times New Roman" w:hint="default"/>
      </w:rPr>
    </w:lvl>
  </w:abstractNum>
  <w:abstractNum w:abstractNumId="4">
    <w:nsid w:val="16F2D96E"/>
    <w:multiLevelType w:val="hybridMultilevel"/>
    <w:tmpl w:val="DB47C984"/>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nsid w:val="1C8963EA"/>
    <w:multiLevelType w:val="hybridMultilevel"/>
    <w:tmpl w:val="8B560620"/>
    <w:lvl w:ilvl="0" w:tplc="04150017">
      <w:start w:val="1"/>
      <w:numFmt w:val="lowerLetter"/>
      <w:lvlText w:val="%1)"/>
      <w:lvlJc w:val="left"/>
      <w:pPr>
        <w:ind w:left="1200" w:hanging="360"/>
      </w:pPr>
      <w:rPr>
        <w:rFonts w:cs="Times New Roman"/>
      </w:rPr>
    </w:lvl>
    <w:lvl w:ilvl="1" w:tplc="04150019" w:tentative="1">
      <w:start w:val="1"/>
      <w:numFmt w:val="lowerLetter"/>
      <w:lvlText w:val="%2."/>
      <w:lvlJc w:val="left"/>
      <w:pPr>
        <w:ind w:left="1920" w:hanging="360"/>
      </w:pPr>
      <w:rPr>
        <w:rFonts w:cs="Times New Roman"/>
      </w:rPr>
    </w:lvl>
    <w:lvl w:ilvl="2" w:tplc="0415001B" w:tentative="1">
      <w:start w:val="1"/>
      <w:numFmt w:val="lowerRoman"/>
      <w:lvlText w:val="%3."/>
      <w:lvlJc w:val="right"/>
      <w:pPr>
        <w:ind w:left="2640" w:hanging="180"/>
      </w:pPr>
      <w:rPr>
        <w:rFonts w:cs="Times New Roman"/>
      </w:rPr>
    </w:lvl>
    <w:lvl w:ilvl="3" w:tplc="0415000F" w:tentative="1">
      <w:start w:val="1"/>
      <w:numFmt w:val="decimal"/>
      <w:lvlText w:val="%4."/>
      <w:lvlJc w:val="left"/>
      <w:pPr>
        <w:ind w:left="3360" w:hanging="360"/>
      </w:pPr>
      <w:rPr>
        <w:rFonts w:cs="Times New Roman"/>
      </w:rPr>
    </w:lvl>
    <w:lvl w:ilvl="4" w:tplc="04150019" w:tentative="1">
      <w:start w:val="1"/>
      <w:numFmt w:val="lowerLetter"/>
      <w:lvlText w:val="%5."/>
      <w:lvlJc w:val="left"/>
      <w:pPr>
        <w:ind w:left="4080" w:hanging="360"/>
      </w:pPr>
      <w:rPr>
        <w:rFonts w:cs="Times New Roman"/>
      </w:rPr>
    </w:lvl>
    <w:lvl w:ilvl="5" w:tplc="0415001B" w:tentative="1">
      <w:start w:val="1"/>
      <w:numFmt w:val="lowerRoman"/>
      <w:lvlText w:val="%6."/>
      <w:lvlJc w:val="right"/>
      <w:pPr>
        <w:ind w:left="4800" w:hanging="180"/>
      </w:pPr>
      <w:rPr>
        <w:rFonts w:cs="Times New Roman"/>
      </w:rPr>
    </w:lvl>
    <w:lvl w:ilvl="6" w:tplc="0415000F" w:tentative="1">
      <w:start w:val="1"/>
      <w:numFmt w:val="decimal"/>
      <w:lvlText w:val="%7."/>
      <w:lvlJc w:val="left"/>
      <w:pPr>
        <w:ind w:left="5520" w:hanging="360"/>
      </w:pPr>
      <w:rPr>
        <w:rFonts w:cs="Times New Roman"/>
      </w:rPr>
    </w:lvl>
    <w:lvl w:ilvl="7" w:tplc="04150019" w:tentative="1">
      <w:start w:val="1"/>
      <w:numFmt w:val="lowerLetter"/>
      <w:lvlText w:val="%8."/>
      <w:lvlJc w:val="left"/>
      <w:pPr>
        <w:ind w:left="6240" w:hanging="360"/>
      </w:pPr>
      <w:rPr>
        <w:rFonts w:cs="Times New Roman"/>
      </w:rPr>
    </w:lvl>
    <w:lvl w:ilvl="8" w:tplc="0415001B" w:tentative="1">
      <w:start w:val="1"/>
      <w:numFmt w:val="lowerRoman"/>
      <w:lvlText w:val="%9."/>
      <w:lvlJc w:val="right"/>
      <w:pPr>
        <w:ind w:left="6960" w:hanging="180"/>
      </w:pPr>
      <w:rPr>
        <w:rFonts w:cs="Times New Roman"/>
      </w:rPr>
    </w:lvl>
  </w:abstractNum>
  <w:abstractNum w:abstractNumId="6">
    <w:nsid w:val="236D4BF5"/>
    <w:multiLevelType w:val="hybridMultilevel"/>
    <w:tmpl w:val="6DD61BD2"/>
    <w:lvl w:ilvl="0" w:tplc="E6840724">
      <w:start w:val="3"/>
      <w:numFmt w:val="decimal"/>
      <w:lvlText w:val="%1)"/>
      <w:lvlJc w:val="left"/>
      <w:pPr>
        <w:ind w:left="644"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nsid w:val="25114061"/>
    <w:multiLevelType w:val="hybridMultilevel"/>
    <w:tmpl w:val="34D42F6C"/>
    <w:lvl w:ilvl="0" w:tplc="E65A997A">
      <w:start w:val="3"/>
      <w:numFmt w:val="decimal"/>
      <w:lvlText w:val="%1)"/>
      <w:lvlJc w:val="left"/>
      <w:pPr>
        <w:tabs>
          <w:tab w:val="num" w:pos="780"/>
        </w:tabs>
        <w:ind w:left="78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
    <w:nsid w:val="2DFC62F4"/>
    <w:multiLevelType w:val="hybridMultilevel"/>
    <w:tmpl w:val="67B63D24"/>
    <w:lvl w:ilvl="0" w:tplc="04150017">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nsid w:val="33DD5FCD"/>
    <w:multiLevelType w:val="hybridMultilevel"/>
    <w:tmpl w:val="95B3C06E"/>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37D71EE5"/>
    <w:multiLevelType w:val="hybridMultilevel"/>
    <w:tmpl w:val="0CFD249B"/>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nsid w:val="385601D5"/>
    <w:multiLevelType w:val="hybridMultilevel"/>
    <w:tmpl w:val="DEE21A60"/>
    <w:lvl w:ilvl="0" w:tplc="A2B6BF36">
      <w:start w:val="1"/>
      <w:numFmt w:val="decimal"/>
      <w:lvlText w:val="%1)"/>
      <w:lvlJc w:val="left"/>
      <w:pPr>
        <w:tabs>
          <w:tab w:val="num" w:pos="780"/>
        </w:tabs>
        <w:ind w:left="780" w:hanging="360"/>
      </w:pPr>
      <w:rPr>
        <w:rFonts w:cs="Times New Roman" w:hint="default"/>
      </w:rPr>
    </w:lvl>
    <w:lvl w:ilvl="1" w:tplc="04150019" w:tentative="1">
      <w:start w:val="1"/>
      <w:numFmt w:val="lowerLetter"/>
      <w:lvlText w:val="%2."/>
      <w:lvlJc w:val="left"/>
      <w:pPr>
        <w:tabs>
          <w:tab w:val="num" w:pos="1500"/>
        </w:tabs>
        <w:ind w:left="1500" w:hanging="360"/>
      </w:pPr>
      <w:rPr>
        <w:rFonts w:cs="Times New Roman"/>
      </w:rPr>
    </w:lvl>
    <w:lvl w:ilvl="2" w:tplc="0415001B" w:tentative="1">
      <w:start w:val="1"/>
      <w:numFmt w:val="lowerRoman"/>
      <w:lvlText w:val="%3."/>
      <w:lvlJc w:val="right"/>
      <w:pPr>
        <w:tabs>
          <w:tab w:val="num" w:pos="2220"/>
        </w:tabs>
        <w:ind w:left="2220" w:hanging="180"/>
      </w:pPr>
      <w:rPr>
        <w:rFonts w:cs="Times New Roman"/>
      </w:rPr>
    </w:lvl>
    <w:lvl w:ilvl="3" w:tplc="0415000F" w:tentative="1">
      <w:start w:val="1"/>
      <w:numFmt w:val="decimal"/>
      <w:lvlText w:val="%4."/>
      <w:lvlJc w:val="left"/>
      <w:pPr>
        <w:tabs>
          <w:tab w:val="num" w:pos="2940"/>
        </w:tabs>
        <w:ind w:left="2940" w:hanging="360"/>
      </w:pPr>
      <w:rPr>
        <w:rFonts w:cs="Times New Roman"/>
      </w:rPr>
    </w:lvl>
    <w:lvl w:ilvl="4" w:tplc="04150019" w:tentative="1">
      <w:start w:val="1"/>
      <w:numFmt w:val="lowerLetter"/>
      <w:lvlText w:val="%5."/>
      <w:lvlJc w:val="left"/>
      <w:pPr>
        <w:tabs>
          <w:tab w:val="num" w:pos="3660"/>
        </w:tabs>
        <w:ind w:left="3660" w:hanging="360"/>
      </w:pPr>
      <w:rPr>
        <w:rFonts w:cs="Times New Roman"/>
      </w:rPr>
    </w:lvl>
    <w:lvl w:ilvl="5" w:tplc="0415001B" w:tentative="1">
      <w:start w:val="1"/>
      <w:numFmt w:val="lowerRoman"/>
      <w:lvlText w:val="%6."/>
      <w:lvlJc w:val="right"/>
      <w:pPr>
        <w:tabs>
          <w:tab w:val="num" w:pos="4380"/>
        </w:tabs>
        <w:ind w:left="4380" w:hanging="180"/>
      </w:pPr>
      <w:rPr>
        <w:rFonts w:cs="Times New Roman"/>
      </w:rPr>
    </w:lvl>
    <w:lvl w:ilvl="6" w:tplc="0415000F" w:tentative="1">
      <w:start w:val="1"/>
      <w:numFmt w:val="decimal"/>
      <w:lvlText w:val="%7."/>
      <w:lvlJc w:val="left"/>
      <w:pPr>
        <w:tabs>
          <w:tab w:val="num" w:pos="5100"/>
        </w:tabs>
        <w:ind w:left="5100" w:hanging="360"/>
      </w:pPr>
      <w:rPr>
        <w:rFonts w:cs="Times New Roman"/>
      </w:rPr>
    </w:lvl>
    <w:lvl w:ilvl="7" w:tplc="04150019" w:tentative="1">
      <w:start w:val="1"/>
      <w:numFmt w:val="lowerLetter"/>
      <w:lvlText w:val="%8."/>
      <w:lvlJc w:val="left"/>
      <w:pPr>
        <w:tabs>
          <w:tab w:val="num" w:pos="5820"/>
        </w:tabs>
        <w:ind w:left="5820" w:hanging="360"/>
      </w:pPr>
      <w:rPr>
        <w:rFonts w:cs="Times New Roman"/>
      </w:rPr>
    </w:lvl>
    <w:lvl w:ilvl="8" w:tplc="0415001B" w:tentative="1">
      <w:start w:val="1"/>
      <w:numFmt w:val="lowerRoman"/>
      <w:lvlText w:val="%9."/>
      <w:lvlJc w:val="right"/>
      <w:pPr>
        <w:tabs>
          <w:tab w:val="num" w:pos="6540"/>
        </w:tabs>
        <w:ind w:left="6540" w:hanging="180"/>
      </w:pPr>
      <w:rPr>
        <w:rFonts w:cs="Times New Roman"/>
      </w:rPr>
    </w:lvl>
  </w:abstractNum>
  <w:abstractNum w:abstractNumId="12">
    <w:nsid w:val="44E726C2"/>
    <w:multiLevelType w:val="hybridMultilevel"/>
    <w:tmpl w:val="10C497EA"/>
    <w:lvl w:ilvl="0" w:tplc="629A27A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4AE629B4"/>
    <w:multiLevelType w:val="hybridMultilevel"/>
    <w:tmpl w:val="B2B2DB58"/>
    <w:lvl w:ilvl="0" w:tplc="1F880874">
      <w:start w:val="1"/>
      <w:numFmt w:val="decimal"/>
      <w:lvlText w:val="%1)"/>
      <w:lvlJc w:val="left"/>
      <w:pPr>
        <w:ind w:left="2348" w:hanging="360"/>
      </w:pPr>
      <w:rPr>
        <w:rFonts w:cs="Times New Roman" w:hint="default"/>
        <w:color w:val="000000"/>
      </w:rPr>
    </w:lvl>
    <w:lvl w:ilvl="1" w:tplc="04150019">
      <w:start w:val="1"/>
      <w:numFmt w:val="lowerLetter"/>
      <w:lvlText w:val="%2."/>
      <w:lvlJc w:val="left"/>
      <w:pPr>
        <w:ind w:left="3068" w:hanging="360"/>
      </w:pPr>
      <w:rPr>
        <w:rFonts w:cs="Times New Roman"/>
      </w:rPr>
    </w:lvl>
    <w:lvl w:ilvl="2" w:tplc="0415001B" w:tentative="1">
      <w:start w:val="1"/>
      <w:numFmt w:val="lowerRoman"/>
      <w:lvlText w:val="%3."/>
      <w:lvlJc w:val="right"/>
      <w:pPr>
        <w:ind w:left="3788" w:hanging="180"/>
      </w:pPr>
      <w:rPr>
        <w:rFonts w:cs="Times New Roman"/>
      </w:rPr>
    </w:lvl>
    <w:lvl w:ilvl="3" w:tplc="0415000F" w:tentative="1">
      <w:start w:val="1"/>
      <w:numFmt w:val="decimal"/>
      <w:lvlText w:val="%4."/>
      <w:lvlJc w:val="left"/>
      <w:pPr>
        <w:ind w:left="4508" w:hanging="360"/>
      </w:pPr>
      <w:rPr>
        <w:rFonts w:cs="Times New Roman"/>
      </w:rPr>
    </w:lvl>
    <w:lvl w:ilvl="4" w:tplc="04150019" w:tentative="1">
      <w:start w:val="1"/>
      <w:numFmt w:val="lowerLetter"/>
      <w:lvlText w:val="%5."/>
      <w:lvlJc w:val="left"/>
      <w:pPr>
        <w:ind w:left="5228" w:hanging="360"/>
      </w:pPr>
      <w:rPr>
        <w:rFonts w:cs="Times New Roman"/>
      </w:rPr>
    </w:lvl>
    <w:lvl w:ilvl="5" w:tplc="0415001B" w:tentative="1">
      <w:start w:val="1"/>
      <w:numFmt w:val="lowerRoman"/>
      <w:lvlText w:val="%6."/>
      <w:lvlJc w:val="right"/>
      <w:pPr>
        <w:ind w:left="5948" w:hanging="180"/>
      </w:pPr>
      <w:rPr>
        <w:rFonts w:cs="Times New Roman"/>
      </w:rPr>
    </w:lvl>
    <w:lvl w:ilvl="6" w:tplc="0415000F" w:tentative="1">
      <w:start w:val="1"/>
      <w:numFmt w:val="decimal"/>
      <w:lvlText w:val="%7."/>
      <w:lvlJc w:val="left"/>
      <w:pPr>
        <w:ind w:left="6668" w:hanging="360"/>
      </w:pPr>
      <w:rPr>
        <w:rFonts w:cs="Times New Roman"/>
      </w:rPr>
    </w:lvl>
    <w:lvl w:ilvl="7" w:tplc="04150019" w:tentative="1">
      <w:start w:val="1"/>
      <w:numFmt w:val="lowerLetter"/>
      <w:lvlText w:val="%8."/>
      <w:lvlJc w:val="left"/>
      <w:pPr>
        <w:ind w:left="7388" w:hanging="360"/>
      </w:pPr>
      <w:rPr>
        <w:rFonts w:cs="Times New Roman"/>
      </w:rPr>
    </w:lvl>
    <w:lvl w:ilvl="8" w:tplc="0415001B" w:tentative="1">
      <w:start w:val="1"/>
      <w:numFmt w:val="lowerRoman"/>
      <w:lvlText w:val="%9."/>
      <w:lvlJc w:val="right"/>
      <w:pPr>
        <w:ind w:left="8108" w:hanging="180"/>
      </w:pPr>
      <w:rPr>
        <w:rFonts w:cs="Times New Roman"/>
      </w:rPr>
    </w:lvl>
  </w:abstractNum>
  <w:abstractNum w:abstractNumId="14">
    <w:nsid w:val="508D6967"/>
    <w:multiLevelType w:val="hybridMultilevel"/>
    <w:tmpl w:val="3DAC7316"/>
    <w:lvl w:ilvl="0" w:tplc="04150001">
      <w:start w:val="1"/>
      <w:numFmt w:val="bullet"/>
      <w:pStyle w:val="Listapunktowana"/>
      <w:lvlText w:val=""/>
      <w:lvlJc w:val="left"/>
      <w:pPr>
        <w:tabs>
          <w:tab w:val="num" w:pos="785"/>
        </w:tabs>
        <w:ind w:left="785" w:hanging="360"/>
      </w:pPr>
      <w:rPr>
        <w:rFonts w:ascii="Symbol" w:hAnsi="Symbol" w:hint="default"/>
      </w:rPr>
    </w:lvl>
    <w:lvl w:ilvl="1" w:tplc="04150003">
      <w:start w:val="1"/>
      <w:numFmt w:val="bullet"/>
      <w:lvlText w:val="o"/>
      <w:lvlJc w:val="left"/>
      <w:pPr>
        <w:tabs>
          <w:tab w:val="num" w:pos="1865"/>
        </w:tabs>
        <w:ind w:left="1865" w:hanging="360"/>
      </w:pPr>
      <w:rPr>
        <w:rFonts w:ascii="Courier New" w:hAnsi="Courier New" w:hint="default"/>
      </w:rPr>
    </w:lvl>
    <w:lvl w:ilvl="2" w:tplc="04150005">
      <w:start w:val="1"/>
      <w:numFmt w:val="bullet"/>
      <w:lvlText w:val=""/>
      <w:lvlJc w:val="left"/>
      <w:pPr>
        <w:tabs>
          <w:tab w:val="num" w:pos="2585"/>
        </w:tabs>
        <w:ind w:left="2585" w:hanging="360"/>
      </w:pPr>
      <w:rPr>
        <w:rFonts w:ascii="Wingdings" w:hAnsi="Wingdings" w:hint="default"/>
      </w:rPr>
    </w:lvl>
    <w:lvl w:ilvl="3" w:tplc="04150001">
      <w:start w:val="1"/>
      <w:numFmt w:val="bullet"/>
      <w:lvlText w:val=""/>
      <w:lvlJc w:val="left"/>
      <w:pPr>
        <w:tabs>
          <w:tab w:val="num" w:pos="3305"/>
        </w:tabs>
        <w:ind w:left="3305" w:hanging="360"/>
      </w:pPr>
      <w:rPr>
        <w:rFonts w:ascii="Symbol" w:hAnsi="Symbol" w:hint="default"/>
      </w:rPr>
    </w:lvl>
    <w:lvl w:ilvl="4" w:tplc="04150003">
      <w:start w:val="1"/>
      <w:numFmt w:val="bullet"/>
      <w:lvlText w:val="o"/>
      <w:lvlJc w:val="left"/>
      <w:pPr>
        <w:tabs>
          <w:tab w:val="num" w:pos="4025"/>
        </w:tabs>
        <w:ind w:left="4025" w:hanging="360"/>
      </w:pPr>
      <w:rPr>
        <w:rFonts w:ascii="Courier New" w:hAnsi="Courier New" w:hint="default"/>
      </w:rPr>
    </w:lvl>
    <w:lvl w:ilvl="5" w:tplc="04150005">
      <w:start w:val="1"/>
      <w:numFmt w:val="bullet"/>
      <w:lvlText w:val=""/>
      <w:lvlJc w:val="left"/>
      <w:pPr>
        <w:tabs>
          <w:tab w:val="num" w:pos="4745"/>
        </w:tabs>
        <w:ind w:left="4745" w:hanging="360"/>
      </w:pPr>
      <w:rPr>
        <w:rFonts w:ascii="Wingdings" w:hAnsi="Wingdings" w:hint="default"/>
      </w:rPr>
    </w:lvl>
    <w:lvl w:ilvl="6" w:tplc="04150001">
      <w:start w:val="1"/>
      <w:numFmt w:val="bullet"/>
      <w:lvlText w:val=""/>
      <w:lvlJc w:val="left"/>
      <w:pPr>
        <w:tabs>
          <w:tab w:val="num" w:pos="5465"/>
        </w:tabs>
        <w:ind w:left="5465" w:hanging="360"/>
      </w:pPr>
      <w:rPr>
        <w:rFonts w:ascii="Symbol" w:hAnsi="Symbol" w:hint="default"/>
      </w:rPr>
    </w:lvl>
    <w:lvl w:ilvl="7" w:tplc="04150003">
      <w:start w:val="1"/>
      <w:numFmt w:val="bullet"/>
      <w:lvlText w:val="o"/>
      <w:lvlJc w:val="left"/>
      <w:pPr>
        <w:tabs>
          <w:tab w:val="num" w:pos="6185"/>
        </w:tabs>
        <w:ind w:left="6185" w:hanging="360"/>
      </w:pPr>
      <w:rPr>
        <w:rFonts w:ascii="Courier New" w:hAnsi="Courier New" w:hint="default"/>
      </w:rPr>
    </w:lvl>
    <w:lvl w:ilvl="8" w:tplc="04150005">
      <w:start w:val="1"/>
      <w:numFmt w:val="bullet"/>
      <w:lvlText w:val=""/>
      <w:lvlJc w:val="left"/>
      <w:pPr>
        <w:tabs>
          <w:tab w:val="num" w:pos="6905"/>
        </w:tabs>
        <w:ind w:left="6905" w:hanging="360"/>
      </w:pPr>
      <w:rPr>
        <w:rFonts w:ascii="Wingdings" w:hAnsi="Wingdings" w:hint="default"/>
      </w:rPr>
    </w:lvl>
  </w:abstractNum>
  <w:abstractNum w:abstractNumId="15">
    <w:nsid w:val="579C4B1E"/>
    <w:multiLevelType w:val="hybridMultilevel"/>
    <w:tmpl w:val="F0745C56"/>
    <w:lvl w:ilvl="0" w:tplc="04150011">
      <w:start w:val="1"/>
      <w:numFmt w:val="decimal"/>
      <w:lvlText w:val="%1)"/>
      <w:lvlJc w:val="left"/>
      <w:pPr>
        <w:ind w:left="1080" w:hanging="360"/>
      </w:pPr>
      <w:rPr>
        <w:rFonts w:cs="Times New Roman"/>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16">
    <w:nsid w:val="70071783"/>
    <w:multiLevelType w:val="hybridMultilevel"/>
    <w:tmpl w:val="52DAE302"/>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
    <w:nsid w:val="761006DC"/>
    <w:multiLevelType w:val="hybridMultilevel"/>
    <w:tmpl w:val="988CA390"/>
    <w:lvl w:ilvl="0" w:tplc="ED6619FC">
      <w:numFmt w:val="bullet"/>
      <w:pStyle w:val="tiretl1"/>
      <w:lvlText w:val="-"/>
      <w:lvlJc w:val="left"/>
      <w:pPr>
        <w:tabs>
          <w:tab w:val="num" w:pos="1497"/>
        </w:tabs>
        <w:ind w:left="1497" w:hanging="570"/>
      </w:pPr>
      <w:rPr>
        <w:rFonts w:ascii="Times New Roman" w:eastAsia="Times New Roman" w:hAnsi="Times New Roman" w:hint="default"/>
      </w:rPr>
    </w:lvl>
    <w:lvl w:ilvl="1" w:tplc="04150003" w:tentative="1">
      <w:start w:val="1"/>
      <w:numFmt w:val="bullet"/>
      <w:lvlText w:val="o"/>
      <w:lvlJc w:val="left"/>
      <w:pPr>
        <w:tabs>
          <w:tab w:val="num" w:pos="2007"/>
        </w:tabs>
        <w:ind w:left="2007" w:hanging="360"/>
      </w:pPr>
      <w:rPr>
        <w:rFonts w:ascii="Courier New" w:hAnsi="Courier New" w:hint="default"/>
      </w:rPr>
    </w:lvl>
    <w:lvl w:ilvl="2" w:tplc="04150005" w:tentative="1">
      <w:start w:val="1"/>
      <w:numFmt w:val="bullet"/>
      <w:lvlText w:val=""/>
      <w:lvlJc w:val="left"/>
      <w:pPr>
        <w:tabs>
          <w:tab w:val="num" w:pos="2727"/>
        </w:tabs>
        <w:ind w:left="2727" w:hanging="360"/>
      </w:pPr>
      <w:rPr>
        <w:rFonts w:ascii="Wingdings" w:hAnsi="Wingdings" w:hint="default"/>
      </w:rPr>
    </w:lvl>
    <w:lvl w:ilvl="3" w:tplc="04150001" w:tentative="1">
      <w:start w:val="1"/>
      <w:numFmt w:val="bullet"/>
      <w:lvlText w:val=""/>
      <w:lvlJc w:val="left"/>
      <w:pPr>
        <w:tabs>
          <w:tab w:val="num" w:pos="3447"/>
        </w:tabs>
        <w:ind w:left="3447" w:hanging="360"/>
      </w:pPr>
      <w:rPr>
        <w:rFonts w:ascii="Symbol" w:hAnsi="Symbol" w:hint="default"/>
      </w:rPr>
    </w:lvl>
    <w:lvl w:ilvl="4" w:tplc="04150003" w:tentative="1">
      <w:start w:val="1"/>
      <w:numFmt w:val="bullet"/>
      <w:lvlText w:val="o"/>
      <w:lvlJc w:val="left"/>
      <w:pPr>
        <w:tabs>
          <w:tab w:val="num" w:pos="4167"/>
        </w:tabs>
        <w:ind w:left="4167" w:hanging="360"/>
      </w:pPr>
      <w:rPr>
        <w:rFonts w:ascii="Courier New" w:hAnsi="Courier New" w:hint="default"/>
      </w:rPr>
    </w:lvl>
    <w:lvl w:ilvl="5" w:tplc="04150005" w:tentative="1">
      <w:start w:val="1"/>
      <w:numFmt w:val="bullet"/>
      <w:lvlText w:val=""/>
      <w:lvlJc w:val="left"/>
      <w:pPr>
        <w:tabs>
          <w:tab w:val="num" w:pos="4887"/>
        </w:tabs>
        <w:ind w:left="4887" w:hanging="360"/>
      </w:pPr>
      <w:rPr>
        <w:rFonts w:ascii="Wingdings" w:hAnsi="Wingdings" w:hint="default"/>
      </w:rPr>
    </w:lvl>
    <w:lvl w:ilvl="6" w:tplc="04150001" w:tentative="1">
      <w:start w:val="1"/>
      <w:numFmt w:val="bullet"/>
      <w:lvlText w:val=""/>
      <w:lvlJc w:val="left"/>
      <w:pPr>
        <w:tabs>
          <w:tab w:val="num" w:pos="5607"/>
        </w:tabs>
        <w:ind w:left="5607" w:hanging="360"/>
      </w:pPr>
      <w:rPr>
        <w:rFonts w:ascii="Symbol" w:hAnsi="Symbol" w:hint="default"/>
      </w:rPr>
    </w:lvl>
    <w:lvl w:ilvl="7" w:tplc="04150003" w:tentative="1">
      <w:start w:val="1"/>
      <w:numFmt w:val="bullet"/>
      <w:lvlText w:val="o"/>
      <w:lvlJc w:val="left"/>
      <w:pPr>
        <w:tabs>
          <w:tab w:val="num" w:pos="6327"/>
        </w:tabs>
        <w:ind w:left="6327" w:hanging="360"/>
      </w:pPr>
      <w:rPr>
        <w:rFonts w:ascii="Courier New" w:hAnsi="Courier New" w:hint="default"/>
      </w:rPr>
    </w:lvl>
    <w:lvl w:ilvl="8" w:tplc="04150005" w:tentative="1">
      <w:start w:val="1"/>
      <w:numFmt w:val="bullet"/>
      <w:lvlText w:val=""/>
      <w:lvlJc w:val="left"/>
      <w:pPr>
        <w:tabs>
          <w:tab w:val="num" w:pos="7047"/>
        </w:tabs>
        <w:ind w:left="7047" w:hanging="360"/>
      </w:pPr>
      <w:rPr>
        <w:rFonts w:ascii="Wingdings" w:hAnsi="Wingdings" w:hint="default"/>
      </w:rPr>
    </w:lvl>
  </w:abstractNum>
  <w:abstractNum w:abstractNumId="18">
    <w:nsid w:val="7BDC0B3C"/>
    <w:multiLevelType w:val="hybridMultilevel"/>
    <w:tmpl w:val="72B4E178"/>
    <w:lvl w:ilvl="0" w:tplc="0415000F">
      <w:start w:val="1"/>
      <w:numFmt w:val="decimal"/>
      <w:lvlText w:val="%1."/>
      <w:lvlJc w:val="left"/>
      <w:pPr>
        <w:ind w:left="1080" w:hanging="360"/>
      </w:pPr>
      <w:rPr>
        <w:rFonts w:cs="Times New Roman"/>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19">
    <w:nsid w:val="7BE30C1E"/>
    <w:multiLevelType w:val="singleLevel"/>
    <w:tmpl w:val="2AEABA2A"/>
    <w:lvl w:ilvl="0">
      <w:start w:val="1"/>
      <w:numFmt w:val="decimal"/>
      <w:pStyle w:val="Stylwyliczanie"/>
      <w:lvlText w:val="%1."/>
      <w:lvlJc w:val="left"/>
      <w:pPr>
        <w:tabs>
          <w:tab w:val="num" w:pos="360"/>
        </w:tabs>
        <w:ind w:left="360" w:hanging="360"/>
      </w:pPr>
      <w:rPr>
        <w:rFonts w:cs="Times New Roman"/>
      </w:rPr>
    </w:lvl>
  </w:abstractNum>
  <w:abstractNum w:abstractNumId="20">
    <w:nsid w:val="7D3652C1"/>
    <w:multiLevelType w:val="hybridMultilevel"/>
    <w:tmpl w:val="FA46DDA8"/>
    <w:lvl w:ilvl="0" w:tplc="CD66809A">
      <w:start w:val="2"/>
      <w:numFmt w:val="decimal"/>
      <w:lvlText w:val="%1)"/>
      <w:lvlJc w:val="left"/>
      <w:pPr>
        <w:tabs>
          <w:tab w:val="num" w:pos="780"/>
        </w:tabs>
        <w:ind w:left="780" w:hanging="360"/>
      </w:pPr>
      <w:rPr>
        <w:rFonts w:cs="Times New Roman" w:hint="default"/>
      </w:rPr>
    </w:lvl>
    <w:lvl w:ilvl="1" w:tplc="04150019" w:tentative="1">
      <w:start w:val="1"/>
      <w:numFmt w:val="lowerLetter"/>
      <w:lvlText w:val="%2."/>
      <w:lvlJc w:val="left"/>
      <w:pPr>
        <w:tabs>
          <w:tab w:val="num" w:pos="1500"/>
        </w:tabs>
        <w:ind w:left="1500" w:hanging="360"/>
      </w:pPr>
      <w:rPr>
        <w:rFonts w:cs="Times New Roman"/>
      </w:rPr>
    </w:lvl>
    <w:lvl w:ilvl="2" w:tplc="0415001B" w:tentative="1">
      <w:start w:val="1"/>
      <w:numFmt w:val="lowerRoman"/>
      <w:lvlText w:val="%3."/>
      <w:lvlJc w:val="right"/>
      <w:pPr>
        <w:tabs>
          <w:tab w:val="num" w:pos="2220"/>
        </w:tabs>
        <w:ind w:left="2220" w:hanging="180"/>
      </w:pPr>
      <w:rPr>
        <w:rFonts w:cs="Times New Roman"/>
      </w:rPr>
    </w:lvl>
    <w:lvl w:ilvl="3" w:tplc="0415000F" w:tentative="1">
      <w:start w:val="1"/>
      <w:numFmt w:val="decimal"/>
      <w:lvlText w:val="%4."/>
      <w:lvlJc w:val="left"/>
      <w:pPr>
        <w:tabs>
          <w:tab w:val="num" w:pos="2940"/>
        </w:tabs>
        <w:ind w:left="2940" w:hanging="360"/>
      </w:pPr>
      <w:rPr>
        <w:rFonts w:cs="Times New Roman"/>
      </w:rPr>
    </w:lvl>
    <w:lvl w:ilvl="4" w:tplc="04150019" w:tentative="1">
      <w:start w:val="1"/>
      <w:numFmt w:val="lowerLetter"/>
      <w:lvlText w:val="%5."/>
      <w:lvlJc w:val="left"/>
      <w:pPr>
        <w:tabs>
          <w:tab w:val="num" w:pos="3660"/>
        </w:tabs>
        <w:ind w:left="3660" w:hanging="360"/>
      </w:pPr>
      <w:rPr>
        <w:rFonts w:cs="Times New Roman"/>
      </w:rPr>
    </w:lvl>
    <w:lvl w:ilvl="5" w:tplc="0415001B" w:tentative="1">
      <w:start w:val="1"/>
      <w:numFmt w:val="lowerRoman"/>
      <w:lvlText w:val="%6."/>
      <w:lvlJc w:val="right"/>
      <w:pPr>
        <w:tabs>
          <w:tab w:val="num" w:pos="4380"/>
        </w:tabs>
        <w:ind w:left="4380" w:hanging="180"/>
      </w:pPr>
      <w:rPr>
        <w:rFonts w:cs="Times New Roman"/>
      </w:rPr>
    </w:lvl>
    <w:lvl w:ilvl="6" w:tplc="0415000F" w:tentative="1">
      <w:start w:val="1"/>
      <w:numFmt w:val="decimal"/>
      <w:lvlText w:val="%7."/>
      <w:lvlJc w:val="left"/>
      <w:pPr>
        <w:tabs>
          <w:tab w:val="num" w:pos="5100"/>
        </w:tabs>
        <w:ind w:left="5100" w:hanging="360"/>
      </w:pPr>
      <w:rPr>
        <w:rFonts w:cs="Times New Roman"/>
      </w:rPr>
    </w:lvl>
    <w:lvl w:ilvl="7" w:tplc="04150019" w:tentative="1">
      <w:start w:val="1"/>
      <w:numFmt w:val="lowerLetter"/>
      <w:lvlText w:val="%8."/>
      <w:lvlJc w:val="left"/>
      <w:pPr>
        <w:tabs>
          <w:tab w:val="num" w:pos="5820"/>
        </w:tabs>
        <w:ind w:left="5820" w:hanging="360"/>
      </w:pPr>
      <w:rPr>
        <w:rFonts w:cs="Times New Roman"/>
      </w:rPr>
    </w:lvl>
    <w:lvl w:ilvl="8" w:tplc="0415001B" w:tentative="1">
      <w:start w:val="1"/>
      <w:numFmt w:val="lowerRoman"/>
      <w:lvlText w:val="%9."/>
      <w:lvlJc w:val="right"/>
      <w:pPr>
        <w:tabs>
          <w:tab w:val="num" w:pos="6540"/>
        </w:tabs>
        <w:ind w:left="6540" w:hanging="180"/>
      </w:pPr>
      <w:rPr>
        <w:rFonts w:cs="Times New Roman"/>
      </w:rPr>
    </w:lvl>
  </w:abstractNum>
  <w:abstractNum w:abstractNumId="21">
    <w:nsid w:val="7F507F7E"/>
    <w:multiLevelType w:val="hybridMultilevel"/>
    <w:tmpl w:val="B508AA76"/>
    <w:lvl w:ilvl="0" w:tplc="04150011">
      <w:start w:val="1"/>
      <w:numFmt w:val="decimal"/>
      <w:lvlText w:val="%1)"/>
      <w:lvlJc w:val="left"/>
      <w:pPr>
        <w:ind w:left="780" w:hanging="360"/>
      </w:pPr>
      <w:rPr>
        <w:rFonts w:cs="Times New Roman"/>
      </w:rPr>
    </w:lvl>
    <w:lvl w:ilvl="1" w:tplc="04150019" w:tentative="1">
      <w:start w:val="1"/>
      <w:numFmt w:val="lowerLetter"/>
      <w:lvlText w:val="%2."/>
      <w:lvlJc w:val="left"/>
      <w:pPr>
        <w:ind w:left="1500" w:hanging="360"/>
      </w:pPr>
      <w:rPr>
        <w:rFonts w:cs="Times New Roman"/>
      </w:rPr>
    </w:lvl>
    <w:lvl w:ilvl="2" w:tplc="0415001B" w:tentative="1">
      <w:start w:val="1"/>
      <w:numFmt w:val="lowerRoman"/>
      <w:lvlText w:val="%3."/>
      <w:lvlJc w:val="right"/>
      <w:pPr>
        <w:ind w:left="2220" w:hanging="180"/>
      </w:pPr>
      <w:rPr>
        <w:rFonts w:cs="Times New Roman"/>
      </w:rPr>
    </w:lvl>
    <w:lvl w:ilvl="3" w:tplc="0415000F" w:tentative="1">
      <w:start w:val="1"/>
      <w:numFmt w:val="decimal"/>
      <w:lvlText w:val="%4."/>
      <w:lvlJc w:val="left"/>
      <w:pPr>
        <w:ind w:left="2940" w:hanging="360"/>
      </w:pPr>
      <w:rPr>
        <w:rFonts w:cs="Times New Roman"/>
      </w:rPr>
    </w:lvl>
    <w:lvl w:ilvl="4" w:tplc="04150019" w:tentative="1">
      <w:start w:val="1"/>
      <w:numFmt w:val="lowerLetter"/>
      <w:lvlText w:val="%5."/>
      <w:lvlJc w:val="left"/>
      <w:pPr>
        <w:ind w:left="3660" w:hanging="360"/>
      </w:pPr>
      <w:rPr>
        <w:rFonts w:cs="Times New Roman"/>
      </w:rPr>
    </w:lvl>
    <w:lvl w:ilvl="5" w:tplc="0415001B" w:tentative="1">
      <w:start w:val="1"/>
      <w:numFmt w:val="lowerRoman"/>
      <w:lvlText w:val="%6."/>
      <w:lvlJc w:val="right"/>
      <w:pPr>
        <w:ind w:left="4380" w:hanging="180"/>
      </w:pPr>
      <w:rPr>
        <w:rFonts w:cs="Times New Roman"/>
      </w:rPr>
    </w:lvl>
    <w:lvl w:ilvl="6" w:tplc="0415000F" w:tentative="1">
      <w:start w:val="1"/>
      <w:numFmt w:val="decimal"/>
      <w:lvlText w:val="%7."/>
      <w:lvlJc w:val="left"/>
      <w:pPr>
        <w:ind w:left="5100" w:hanging="360"/>
      </w:pPr>
      <w:rPr>
        <w:rFonts w:cs="Times New Roman"/>
      </w:rPr>
    </w:lvl>
    <w:lvl w:ilvl="7" w:tplc="04150019" w:tentative="1">
      <w:start w:val="1"/>
      <w:numFmt w:val="lowerLetter"/>
      <w:lvlText w:val="%8."/>
      <w:lvlJc w:val="left"/>
      <w:pPr>
        <w:ind w:left="5820" w:hanging="360"/>
      </w:pPr>
      <w:rPr>
        <w:rFonts w:cs="Times New Roman"/>
      </w:rPr>
    </w:lvl>
    <w:lvl w:ilvl="8" w:tplc="0415001B" w:tentative="1">
      <w:start w:val="1"/>
      <w:numFmt w:val="lowerRoman"/>
      <w:lvlText w:val="%9."/>
      <w:lvlJc w:val="right"/>
      <w:pPr>
        <w:ind w:left="6540" w:hanging="180"/>
      </w:pPr>
      <w:rPr>
        <w:rFonts w:cs="Times New Roman"/>
      </w:rPr>
    </w:lvl>
  </w:abstractNum>
  <w:num w:numId="1">
    <w:abstractNumId w:val="1"/>
  </w:num>
  <w:num w:numId="2">
    <w:abstractNumId w:val="1"/>
  </w:num>
  <w:num w:numId="3">
    <w:abstractNumId w:val="19"/>
  </w:num>
  <w:num w:numId="4">
    <w:abstractNumId w:val="14"/>
  </w:num>
  <w:num w:numId="5">
    <w:abstractNumId w:val="3"/>
  </w:num>
  <w:num w:numId="6">
    <w:abstractNumId w:val="17"/>
  </w:num>
  <w:num w:numId="7">
    <w:abstractNumId w:val="2"/>
  </w:num>
  <w:num w:numId="8">
    <w:abstractNumId w:val="11"/>
  </w:num>
  <w:num w:numId="9">
    <w:abstractNumId w:val="13"/>
  </w:num>
  <w:num w:numId="10">
    <w:abstractNumId w:val="12"/>
  </w:num>
  <w:num w:numId="11">
    <w:abstractNumId w:val="5"/>
  </w:num>
  <w:num w:numId="12">
    <w:abstractNumId w:val="7"/>
  </w:num>
  <w:num w:numId="13">
    <w:abstractNumId w:val="20"/>
  </w:num>
  <w:num w:numId="14">
    <w:abstractNumId w:val="21"/>
  </w:num>
  <w:num w:numId="15">
    <w:abstractNumId w:val="6"/>
  </w:num>
  <w:num w:numId="16">
    <w:abstractNumId w:val="10"/>
  </w:num>
  <w:num w:numId="17">
    <w:abstractNumId w:val="9"/>
  </w:num>
  <w:num w:numId="18">
    <w:abstractNumId w:val="4"/>
  </w:num>
  <w:num w:numId="19">
    <w:abstractNumId w:val="0"/>
  </w:num>
  <w:num w:numId="20">
    <w:abstractNumId w:val="18"/>
  </w:num>
  <w:num w:numId="21">
    <w:abstractNumId w:val="15"/>
  </w:num>
  <w:num w:numId="22">
    <w:abstractNumId w:val="16"/>
  </w:num>
  <w:num w:numId="23">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8A1"/>
    <w:rsid w:val="000008BF"/>
    <w:rsid w:val="00000A7D"/>
    <w:rsid w:val="00000F95"/>
    <w:rsid w:val="0000269C"/>
    <w:rsid w:val="0000381A"/>
    <w:rsid w:val="000043FC"/>
    <w:rsid w:val="0000442E"/>
    <w:rsid w:val="00006328"/>
    <w:rsid w:val="00006534"/>
    <w:rsid w:val="00007064"/>
    <w:rsid w:val="00007ADB"/>
    <w:rsid w:val="00011DEA"/>
    <w:rsid w:val="0001328B"/>
    <w:rsid w:val="00013979"/>
    <w:rsid w:val="00014458"/>
    <w:rsid w:val="00017C3C"/>
    <w:rsid w:val="00020F99"/>
    <w:rsid w:val="00021E38"/>
    <w:rsid w:val="00022EF2"/>
    <w:rsid w:val="00026F76"/>
    <w:rsid w:val="0002708F"/>
    <w:rsid w:val="00030A45"/>
    <w:rsid w:val="00032E07"/>
    <w:rsid w:val="00033079"/>
    <w:rsid w:val="00033280"/>
    <w:rsid w:val="00036AE6"/>
    <w:rsid w:val="0004073A"/>
    <w:rsid w:val="00040BC8"/>
    <w:rsid w:val="00041214"/>
    <w:rsid w:val="00042BE3"/>
    <w:rsid w:val="00043669"/>
    <w:rsid w:val="0004396F"/>
    <w:rsid w:val="0004475B"/>
    <w:rsid w:val="00047C52"/>
    <w:rsid w:val="0005043D"/>
    <w:rsid w:val="00050D34"/>
    <w:rsid w:val="000512C4"/>
    <w:rsid w:val="00051AC0"/>
    <w:rsid w:val="00051CC5"/>
    <w:rsid w:val="00052576"/>
    <w:rsid w:val="00053D97"/>
    <w:rsid w:val="00053F0A"/>
    <w:rsid w:val="000545DB"/>
    <w:rsid w:val="000546DE"/>
    <w:rsid w:val="00055D78"/>
    <w:rsid w:val="00057353"/>
    <w:rsid w:val="0005768A"/>
    <w:rsid w:val="00062729"/>
    <w:rsid w:val="0006310A"/>
    <w:rsid w:val="000641CB"/>
    <w:rsid w:val="00065A16"/>
    <w:rsid w:val="00065F17"/>
    <w:rsid w:val="0006645A"/>
    <w:rsid w:val="00070E4F"/>
    <w:rsid w:val="0007173A"/>
    <w:rsid w:val="000720FF"/>
    <w:rsid w:val="000725CA"/>
    <w:rsid w:val="00072917"/>
    <w:rsid w:val="000745AF"/>
    <w:rsid w:val="00075D44"/>
    <w:rsid w:val="00076C80"/>
    <w:rsid w:val="00076EBF"/>
    <w:rsid w:val="00082450"/>
    <w:rsid w:val="0008278E"/>
    <w:rsid w:val="000827C7"/>
    <w:rsid w:val="00083825"/>
    <w:rsid w:val="0008475C"/>
    <w:rsid w:val="00085EC2"/>
    <w:rsid w:val="000867A4"/>
    <w:rsid w:val="00087030"/>
    <w:rsid w:val="00092CC9"/>
    <w:rsid w:val="0009346C"/>
    <w:rsid w:val="000940D7"/>
    <w:rsid w:val="00094964"/>
    <w:rsid w:val="00095DFB"/>
    <w:rsid w:val="00096617"/>
    <w:rsid w:val="000A014D"/>
    <w:rsid w:val="000A1E7E"/>
    <w:rsid w:val="000A227B"/>
    <w:rsid w:val="000A4344"/>
    <w:rsid w:val="000A543E"/>
    <w:rsid w:val="000A6955"/>
    <w:rsid w:val="000A6FBA"/>
    <w:rsid w:val="000B11FD"/>
    <w:rsid w:val="000B2ACE"/>
    <w:rsid w:val="000B2AFF"/>
    <w:rsid w:val="000B3FC8"/>
    <w:rsid w:val="000B5DBA"/>
    <w:rsid w:val="000B711A"/>
    <w:rsid w:val="000C0386"/>
    <w:rsid w:val="000C1618"/>
    <w:rsid w:val="000C1747"/>
    <w:rsid w:val="000C25B4"/>
    <w:rsid w:val="000C3C88"/>
    <w:rsid w:val="000C4DE6"/>
    <w:rsid w:val="000C64AD"/>
    <w:rsid w:val="000C6ED9"/>
    <w:rsid w:val="000D0936"/>
    <w:rsid w:val="000D0FA4"/>
    <w:rsid w:val="000D265E"/>
    <w:rsid w:val="000D3855"/>
    <w:rsid w:val="000D3E95"/>
    <w:rsid w:val="000D480F"/>
    <w:rsid w:val="000E0E2D"/>
    <w:rsid w:val="000E2361"/>
    <w:rsid w:val="000E275A"/>
    <w:rsid w:val="000E3CBF"/>
    <w:rsid w:val="000E515B"/>
    <w:rsid w:val="000E529C"/>
    <w:rsid w:val="000E5683"/>
    <w:rsid w:val="000E5DC9"/>
    <w:rsid w:val="000F0C66"/>
    <w:rsid w:val="000F0CF9"/>
    <w:rsid w:val="000F0D05"/>
    <w:rsid w:val="000F0E9C"/>
    <w:rsid w:val="000F11F7"/>
    <w:rsid w:val="000F2E03"/>
    <w:rsid w:val="000F3944"/>
    <w:rsid w:val="000F4535"/>
    <w:rsid w:val="000F46C4"/>
    <w:rsid w:val="000F4DB8"/>
    <w:rsid w:val="000F534B"/>
    <w:rsid w:val="000F6BB4"/>
    <w:rsid w:val="000F6C9E"/>
    <w:rsid w:val="00100F30"/>
    <w:rsid w:val="00102340"/>
    <w:rsid w:val="00102D29"/>
    <w:rsid w:val="00104D59"/>
    <w:rsid w:val="00105332"/>
    <w:rsid w:val="00106237"/>
    <w:rsid w:val="00106984"/>
    <w:rsid w:val="001105A6"/>
    <w:rsid w:val="00111512"/>
    <w:rsid w:val="0011247D"/>
    <w:rsid w:val="001153DC"/>
    <w:rsid w:val="00117BE4"/>
    <w:rsid w:val="0012000B"/>
    <w:rsid w:val="001201DF"/>
    <w:rsid w:val="001206F0"/>
    <w:rsid w:val="001217A4"/>
    <w:rsid w:val="00122039"/>
    <w:rsid w:val="001221A8"/>
    <w:rsid w:val="001225F1"/>
    <w:rsid w:val="0012268F"/>
    <w:rsid w:val="001254B4"/>
    <w:rsid w:val="00125EC6"/>
    <w:rsid w:val="001263E8"/>
    <w:rsid w:val="00126840"/>
    <w:rsid w:val="001278C4"/>
    <w:rsid w:val="0013079D"/>
    <w:rsid w:val="00132734"/>
    <w:rsid w:val="00133149"/>
    <w:rsid w:val="00133334"/>
    <w:rsid w:val="001354B0"/>
    <w:rsid w:val="0013595D"/>
    <w:rsid w:val="00136F40"/>
    <w:rsid w:val="001372FC"/>
    <w:rsid w:val="00137395"/>
    <w:rsid w:val="0014082B"/>
    <w:rsid w:val="00140B4B"/>
    <w:rsid w:val="0014111D"/>
    <w:rsid w:val="001451CE"/>
    <w:rsid w:val="00146084"/>
    <w:rsid w:val="00146365"/>
    <w:rsid w:val="00146BC5"/>
    <w:rsid w:val="00150BC4"/>
    <w:rsid w:val="00151816"/>
    <w:rsid w:val="00152EF8"/>
    <w:rsid w:val="00152F3E"/>
    <w:rsid w:val="0015370B"/>
    <w:rsid w:val="00154DD1"/>
    <w:rsid w:val="00156469"/>
    <w:rsid w:val="001616E5"/>
    <w:rsid w:val="00162EA3"/>
    <w:rsid w:val="00164000"/>
    <w:rsid w:val="00165A30"/>
    <w:rsid w:val="001668EC"/>
    <w:rsid w:val="001675BE"/>
    <w:rsid w:val="00170456"/>
    <w:rsid w:val="00170C86"/>
    <w:rsid w:val="00172289"/>
    <w:rsid w:val="001723E0"/>
    <w:rsid w:val="00172A07"/>
    <w:rsid w:val="00172DCF"/>
    <w:rsid w:val="00174844"/>
    <w:rsid w:val="001756DE"/>
    <w:rsid w:val="001816E3"/>
    <w:rsid w:val="0018285F"/>
    <w:rsid w:val="00184276"/>
    <w:rsid w:val="00184BB9"/>
    <w:rsid w:val="001873FB"/>
    <w:rsid w:val="00187D16"/>
    <w:rsid w:val="0019091B"/>
    <w:rsid w:val="00190B4E"/>
    <w:rsid w:val="00192858"/>
    <w:rsid w:val="00194152"/>
    <w:rsid w:val="0019491F"/>
    <w:rsid w:val="00194970"/>
    <w:rsid w:val="00194B4A"/>
    <w:rsid w:val="00196C2E"/>
    <w:rsid w:val="001A0076"/>
    <w:rsid w:val="001A1370"/>
    <w:rsid w:val="001A20AD"/>
    <w:rsid w:val="001A2969"/>
    <w:rsid w:val="001A316D"/>
    <w:rsid w:val="001A39D2"/>
    <w:rsid w:val="001A43C0"/>
    <w:rsid w:val="001A5819"/>
    <w:rsid w:val="001A62F5"/>
    <w:rsid w:val="001B0F2C"/>
    <w:rsid w:val="001B1241"/>
    <w:rsid w:val="001B13A7"/>
    <w:rsid w:val="001B20B9"/>
    <w:rsid w:val="001B2A1B"/>
    <w:rsid w:val="001B3901"/>
    <w:rsid w:val="001B47D2"/>
    <w:rsid w:val="001B49AA"/>
    <w:rsid w:val="001B4DE2"/>
    <w:rsid w:val="001B5AEC"/>
    <w:rsid w:val="001B650A"/>
    <w:rsid w:val="001B6EED"/>
    <w:rsid w:val="001C07D5"/>
    <w:rsid w:val="001C09A9"/>
    <w:rsid w:val="001C0AFE"/>
    <w:rsid w:val="001C1529"/>
    <w:rsid w:val="001C181A"/>
    <w:rsid w:val="001C183D"/>
    <w:rsid w:val="001C217D"/>
    <w:rsid w:val="001C3814"/>
    <w:rsid w:val="001C3816"/>
    <w:rsid w:val="001C3CDA"/>
    <w:rsid w:val="001C464D"/>
    <w:rsid w:val="001C5D0F"/>
    <w:rsid w:val="001C61D5"/>
    <w:rsid w:val="001D2738"/>
    <w:rsid w:val="001D4EE2"/>
    <w:rsid w:val="001D5C29"/>
    <w:rsid w:val="001D5F27"/>
    <w:rsid w:val="001D722A"/>
    <w:rsid w:val="001D7C52"/>
    <w:rsid w:val="001E14EE"/>
    <w:rsid w:val="001E1624"/>
    <w:rsid w:val="001E19A1"/>
    <w:rsid w:val="001E1FBB"/>
    <w:rsid w:val="001E4259"/>
    <w:rsid w:val="001F1006"/>
    <w:rsid w:val="001F1EB0"/>
    <w:rsid w:val="001F1F6F"/>
    <w:rsid w:val="001F3617"/>
    <w:rsid w:val="001F68AF"/>
    <w:rsid w:val="0020072E"/>
    <w:rsid w:val="00200C0C"/>
    <w:rsid w:val="0020188F"/>
    <w:rsid w:val="00201B9B"/>
    <w:rsid w:val="00201D19"/>
    <w:rsid w:val="00201FFD"/>
    <w:rsid w:val="00202053"/>
    <w:rsid w:val="00202420"/>
    <w:rsid w:val="00202BB5"/>
    <w:rsid w:val="002046E9"/>
    <w:rsid w:val="00204C3D"/>
    <w:rsid w:val="00204E42"/>
    <w:rsid w:val="00205117"/>
    <w:rsid w:val="0020626D"/>
    <w:rsid w:val="002066ED"/>
    <w:rsid w:val="002068A1"/>
    <w:rsid w:val="00211515"/>
    <w:rsid w:val="0021153D"/>
    <w:rsid w:val="00211F23"/>
    <w:rsid w:val="002123BA"/>
    <w:rsid w:val="00213185"/>
    <w:rsid w:val="002134C7"/>
    <w:rsid w:val="00213C97"/>
    <w:rsid w:val="0021480E"/>
    <w:rsid w:val="00214F0A"/>
    <w:rsid w:val="00214F0D"/>
    <w:rsid w:val="00216B09"/>
    <w:rsid w:val="00216EE4"/>
    <w:rsid w:val="0022125A"/>
    <w:rsid w:val="0022201B"/>
    <w:rsid w:val="00222E8F"/>
    <w:rsid w:val="00223033"/>
    <w:rsid w:val="002232F2"/>
    <w:rsid w:val="0022375E"/>
    <w:rsid w:val="00223A58"/>
    <w:rsid w:val="0022531C"/>
    <w:rsid w:val="00230E0B"/>
    <w:rsid w:val="00230E96"/>
    <w:rsid w:val="00232295"/>
    <w:rsid w:val="00232DF4"/>
    <w:rsid w:val="002331B7"/>
    <w:rsid w:val="00234ED1"/>
    <w:rsid w:val="00236CC2"/>
    <w:rsid w:val="002422DB"/>
    <w:rsid w:val="00242B5B"/>
    <w:rsid w:val="00243134"/>
    <w:rsid w:val="00243364"/>
    <w:rsid w:val="0024367A"/>
    <w:rsid w:val="002439C2"/>
    <w:rsid w:val="00245500"/>
    <w:rsid w:val="00245530"/>
    <w:rsid w:val="002475DE"/>
    <w:rsid w:val="002501FB"/>
    <w:rsid w:val="0025086B"/>
    <w:rsid w:val="00250A35"/>
    <w:rsid w:val="0025142D"/>
    <w:rsid w:val="00251BB0"/>
    <w:rsid w:val="00251E27"/>
    <w:rsid w:val="00252404"/>
    <w:rsid w:val="002529D7"/>
    <w:rsid w:val="00252C60"/>
    <w:rsid w:val="002532CD"/>
    <w:rsid w:val="0025332B"/>
    <w:rsid w:val="0025570E"/>
    <w:rsid w:val="00256673"/>
    <w:rsid w:val="00257804"/>
    <w:rsid w:val="00263ECE"/>
    <w:rsid w:val="00264943"/>
    <w:rsid w:val="0026551E"/>
    <w:rsid w:val="002663D9"/>
    <w:rsid w:val="00266A51"/>
    <w:rsid w:val="00267F11"/>
    <w:rsid w:val="0027221A"/>
    <w:rsid w:val="00272BD6"/>
    <w:rsid w:val="00273A2C"/>
    <w:rsid w:val="00274B00"/>
    <w:rsid w:val="002757C9"/>
    <w:rsid w:val="00275AB2"/>
    <w:rsid w:val="00275DB3"/>
    <w:rsid w:val="002771D7"/>
    <w:rsid w:val="00282B58"/>
    <w:rsid w:val="00282E82"/>
    <w:rsid w:val="00283932"/>
    <w:rsid w:val="002841D5"/>
    <w:rsid w:val="00284712"/>
    <w:rsid w:val="00285561"/>
    <w:rsid w:val="00286394"/>
    <w:rsid w:val="00290AC1"/>
    <w:rsid w:val="00291D64"/>
    <w:rsid w:val="00291DDF"/>
    <w:rsid w:val="002923EB"/>
    <w:rsid w:val="00292F74"/>
    <w:rsid w:val="002A0AFA"/>
    <w:rsid w:val="002A1C8C"/>
    <w:rsid w:val="002A248A"/>
    <w:rsid w:val="002A2A3D"/>
    <w:rsid w:val="002A2B0E"/>
    <w:rsid w:val="002A3F16"/>
    <w:rsid w:val="002A6496"/>
    <w:rsid w:val="002A6716"/>
    <w:rsid w:val="002A77FA"/>
    <w:rsid w:val="002A7BB0"/>
    <w:rsid w:val="002A7F6C"/>
    <w:rsid w:val="002B00C8"/>
    <w:rsid w:val="002B0ACA"/>
    <w:rsid w:val="002B2C70"/>
    <w:rsid w:val="002B4CD0"/>
    <w:rsid w:val="002B6156"/>
    <w:rsid w:val="002B7DD3"/>
    <w:rsid w:val="002C24F1"/>
    <w:rsid w:val="002C3115"/>
    <w:rsid w:val="002C38CC"/>
    <w:rsid w:val="002C4219"/>
    <w:rsid w:val="002C6210"/>
    <w:rsid w:val="002C6F82"/>
    <w:rsid w:val="002D36F6"/>
    <w:rsid w:val="002D3D58"/>
    <w:rsid w:val="002D53E7"/>
    <w:rsid w:val="002D56EF"/>
    <w:rsid w:val="002E0526"/>
    <w:rsid w:val="002E09C5"/>
    <w:rsid w:val="002E0B36"/>
    <w:rsid w:val="002E0FD7"/>
    <w:rsid w:val="002E1222"/>
    <w:rsid w:val="002E28D2"/>
    <w:rsid w:val="002E3853"/>
    <w:rsid w:val="002E507F"/>
    <w:rsid w:val="002E56BA"/>
    <w:rsid w:val="002E5C07"/>
    <w:rsid w:val="002E7782"/>
    <w:rsid w:val="002E7CA3"/>
    <w:rsid w:val="002F0A99"/>
    <w:rsid w:val="002F0FBB"/>
    <w:rsid w:val="002F4A91"/>
    <w:rsid w:val="002F4DCD"/>
    <w:rsid w:val="002F55A4"/>
    <w:rsid w:val="003017F0"/>
    <w:rsid w:val="003018B0"/>
    <w:rsid w:val="00302D51"/>
    <w:rsid w:val="00303398"/>
    <w:rsid w:val="003043D8"/>
    <w:rsid w:val="00305322"/>
    <w:rsid w:val="003054C6"/>
    <w:rsid w:val="003059BE"/>
    <w:rsid w:val="00306B12"/>
    <w:rsid w:val="00310D7E"/>
    <w:rsid w:val="003110F5"/>
    <w:rsid w:val="003114F7"/>
    <w:rsid w:val="0031327A"/>
    <w:rsid w:val="00316320"/>
    <w:rsid w:val="00316A67"/>
    <w:rsid w:val="00317AEB"/>
    <w:rsid w:val="00320048"/>
    <w:rsid w:val="00320AE6"/>
    <w:rsid w:val="0032127A"/>
    <w:rsid w:val="00321C3A"/>
    <w:rsid w:val="003221C6"/>
    <w:rsid w:val="00330305"/>
    <w:rsid w:val="00331755"/>
    <w:rsid w:val="00331D5B"/>
    <w:rsid w:val="0033202F"/>
    <w:rsid w:val="00332193"/>
    <w:rsid w:val="003324F1"/>
    <w:rsid w:val="00332C14"/>
    <w:rsid w:val="00332F26"/>
    <w:rsid w:val="003365F4"/>
    <w:rsid w:val="0033688E"/>
    <w:rsid w:val="00340FE3"/>
    <w:rsid w:val="0034141E"/>
    <w:rsid w:val="00341D1A"/>
    <w:rsid w:val="00347977"/>
    <w:rsid w:val="00350BA3"/>
    <w:rsid w:val="00351979"/>
    <w:rsid w:val="003521BF"/>
    <w:rsid w:val="00352C47"/>
    <w:rsid w:val="00354624"/>
    <w:rsid w:val="003550B6"/>
    <w:rsid w:val="00356025"/>
    <w:rsid w:val="003568DC"/>
    <w:rsid w:val="00357353"/>
    <w:rsid w:val="00357B71"/>
    <w:rsid w:val="00362A4C"/>
    <w:rsid w:val="0036394E"/>
    <w:rsid w:val="0036532F"/>
    <w:rsid w:val="00365D02"/>
    <w:rsid w:val="0036632C"/>
    <w:rsid w:val="003664AD"/>
    <w:rsid w:val="00370BE3"/>
    <w:rsid w:val="00372BB5"/>
    <w:rsid w:val="003745F2"/>
    <w:rsid w:val="00374FBC"/>
    <w:rsid w:val="003768A7"/>
    <w:rsid w:val="00380345"/>
    <w:rsid w:val="00380973"/>
    <w:rsid w:val="00381629"/>
    <w:rsid w:val="003820D1"/>
    <w:rsid w:val="00382AA4"/>
    <w:rsid w:val="00383663"/>
    <w:rsid w:val="00384CB1"/>
    <w:rsid w:val="003867BE"/>
    <w:rsid w:val="00390385"/>
    <w:rsid w:val="00390978"/>
    <w:rsid w:val="00391E47"/>
    <w:rsid w:val="00392359"/>
    <w:rsid w:val="00392A17"/>
    <w:rsid w:val="003935B3"/>
    <w:rsid w:val="00393702"/>
    <w:rsid w:val="003943A7"/>
    <w:rsid w:val="003949D4"/>
    <w:rsid w:val="00397385"/>
    <w:rsid w:val="00397E36"/>
    <w:rsid w:val="003A2D3F"/>
    <w:rsid w:val="003A2FB2"/>
    <w:rsid w:val="003A38F2"/>
    <w:rsid w:val="003A535C"/>
    <w:rsid w:val="003A7895"/>
    <w:rsid w:val="003B0385"/>
    <w:rsid w:val="003B03B9"/>
    <w:rsid w:val="003B29A4"/>
    <w:rsid w:val="003B44D4"/>
    <w:rsid w:val="003B68F6"/>
    <w:rsid w:val="003C035B"/>
    <w:rsid w:val="003C04FD"/>
    <w:rsid w:val="003C2C69"/>
    <w:rsid w:val="003C3271"/>
    <w:rsid w:val="003C5BAF"/>
    <w:rsid w:val="003C64F8"/>
    <w:rsid w:val="003C67AD"/>
    <w:rsid w:val="003C73D2"/>
    <w:rsid w:val="003D146A"/>
    <w:rsid w:val="003D171E"/>
    <w:rsid w:val="003D1B1E"/>
    <w:rsid w:val="003D2154"/>
    <w:rsid w:val="003D2C76"/>
    <w:rsid w:val="003D3C26"/>
    <w:rsid w:val="003D5196"/>
    <w:rsid w:val="003D5260"/>
    <w:rsid w:val="003D6D4A"/>
    <w:rsid w:val="003E1983"/>
    <w:rsid w:val="003E1FE1"/>
    <w:rsid w:val="003E47B6"/>
    <w:rsid w:val="003E4D39"/>
    <w:rsid w:val="003E4E4E"/>
    <w:rsid w:val="003E592E"/>
    <w:rsid w:val="003E5B1B"/>
    <w:rsid w:val="003E6608"/>
    <w:rsid w:val="003E78E9"/>
    <w:rsid w:val="003E7F91"/>
    <w:rsid w:val="003F08DD"/>
    <w:rsid w:val="003F1C04"/>
    <w:rsid w:val="003F21EA"/>
    <w:rsid w:val="003F2AA4"/>
    <w:rsid w:val="003F6A3D"/>
    <w:rsid w:val="003F7367"/>
    <w:rsid w:val="003F77B8"/>
    <w:rsid w:val="003F77EA"/>
    <w:rsid w:val="00400309"/>
    <w:rsid w:val="0040136E"/>
    <w:rsid w:val="00402698"/>
    <w:rsid w:val="004030C9"/>
    <w:rsid w:val="00404503"/>
    <w:rsid w:val="00405F22"/>
    <w:rsid w:val="004064C0"/>
    <w:rsid w:val="00407F5D"/>
    <w:rsid w:val="004105C5"/>
    <w:rsid w:val="00410C90"/>
    <w:rsid w:val="0041100E"/>
    <w:rsid w:val="0041184A"/>
    <w:rsid w:val="00411D1E"/>
    <w:rsid w:val="00412A66"/>
    <w:rsid w:val="00413A4E"/>
    <w:rsid w:val="00415B6C"/>
    <w:rsid w:val="00415D86"/>
    <w:rsid w:val="00415E05"/>
    <w:rsid w:val="0041604B"/>
    <w:rsid w:val="0041663B"/>
    <w:rsid w:val="00417BDF"/>
    <w:rsid w:val="00420C86"/>
    <w:rsid w:val="004256A0"/>
    <w:rsid w:val="00430B41"/>
    <w:rsid w:val="004316E7"/>
    <w:rsid w:val="00432264"/>
    <w:rsid w:val="00433018"/>
    <w:rsid w:val="004331CD"/>
    <w:rsid w:val="004335D1"/>
    <w:rsid w:val="00433A79"/>
    <w:rsid w:val="00434176"/>
    <w:rsid w:val="00435700"/>
    <w:rsid w:val="00437B77"/>
    <w:rsid w:val="0044116F"/>
    <w:rsid w:val="00441D45"/>
    <w:rsid w:val="00443655"/>
    <w:rsid w:val="00445374"/>
    <w:rsid w:val="00450B3A"/>
    <w:rsid w:val="00451662"/>
    <w:rsid w:val="0045186E"/>
    <w:rsid w:val="00451A7E"/>
    <w:rsid w:val="00452991"/>
    <w:rsid w:val="004540E8"/>
    <w:rsid w:val="0045576D"/>
    <w:rsid w:val="0046029D"/>
    <w:rsid w:val="0046048F"/>
    <w:rsid w:val="004611E4"/>
    <w:rsid w:val="00461596"/>
    <w:rsid w:val="004615B7"/>
    <w:rsid w:val="004627F7"/>
    <w:rsid w:val="00463D0D"/>
    <w:rsid w:val="00463EAE"/>
    <w:rsid w:val="00463EBD"/>
    <w:rsid w:val="0046728C"/>
    <w:rsid w:val="0047067F"/>
    <w:rsid w:val="00471EC4"/>
    <w:rsid w:val="00472546"/>
    <w:rsid w:val="00473226"/>
    <w:rsid w:val="0047365D"/>
    <w:rsid w:val="00473866"/>
    <w:rsid w:val="004739BA"/>
    <w:rsid w:val="00474D8C"/>
    <w:rsid w:val="004750BC"/>
    <w:rsid w:val="00476C9E"/>
    <w:rsid w:val="00477B1C"/>
    <w:rsid w:val="004819FE"/>
    <w:rsid w:val="00482D46"/>
    <w:rsid w:val="00483E63"/>
    <w:rsid w:val="00484873"/>
    <w:rsid w:val="004849E0"/>
    <w:rsid w:val="00485A3F"/>
    <w:rsid w:val="00486137"/>
    <w:rsid w:val="004863CD"/>
    <w:rsid w:val="00490A1E"/>
    <w:rsid w:val="00490F31"/>
    <w:rsid w:val="00491562"/>
    <w:rsid w:val="004916B7"/>
    <w:rsid w:val="00491E07"/>
    <w:rsid w:val="004928C7"/>
    <w:rsid w:val="00494B3A"/>
    <w:rsid w:val="00496AD2"/>
    <w:rsid w:val="00497270"/>
    <w:rsid w:val="004A2053"/>
    <w:rsid w:val="004A266C"/>
    <w:rsid w:val="004A2951"/>
    <w:rsid w:val="004A3091"/>
    <w:rsid w:val="004A3393"/>
    <w:rsid w:val="004A487C"/>
    <w:rsid w:val="004A597D"/>
    <w:rsid w:val="004B13F1"/>
    <w:rsid w:val="004B3D26"/>
    <w:rsid w:val="004B4DCE"/>
    <w:rsid w:val="004B4FD7"/>
    <w:rsid w:val="004B75E1"/>
    <w:rsid w:val="004B780A"/>
    <w:rsid w:val="004C0A7D"/>
    <w:rsid w:val="004C1267"/>
    <w:rsid w:val="004C1A12"/>
    <w:rsid w:val="004C30DA"/>
    <w:rsid w:val="004C3FDA"/>
    <w:rsid w:val="004C4922"/>
    <w:rsid w:val="004C4940"/>
    <w:rsid w:val="004C4DBE"/>
    <w:rsid w:val="004C5344"/>
    <w:rsid w:val="004C55BB"/>
    <w:rsid w:val="004C5902"/>
    <w:rsid w:val="004C6376"/>
    <w:rsid w:val="004C6E1A"/>
    <w:rsid w:val="004C6E8C"/>
    <w:rsid w:val="004C7FA3"/>
    <w:rsid w:val="004D0980"/>
    <w:rsid w:val="004D1312"/>
    <w:rsid w:val="004D1496"/>
    <w:rsid w:val="004D194D"/>
    <w:rsid w:val="004D3F5A"/>
    <w:rsid w:val="004D40E5"/>
    <w:rsid w:val="004D45CF"/>
    <w:rsid w:val="004D4650"/>
    <w:rsid w:val="004D5FC7"/>
    <w:rsid w:val="004D607B"/>
    <w:rsid w:val="004D667F"/>
    <w:rsid w:val="004E0518"/>
    <w:rsid w:val="004E0EA3"/>
    <w:rsid w:val="004E18EE"/>
    <w:rsid w:val="004E1B38"/>
    <w:rsid w:val="004E4B42"/>
    <w:rsid w:val="004E54C5"/>
    <w:rsid w:val="004F067C"/>
    <w:rsid w:val="004F0A61"/>
    <w:rsid w:val="004F1491"/>
    <w:rsid w:val="004F1842"/>
    <w:rsid w:val="004F2B8E"/>
    <w:rsid w:val="004F3CC4"/>
    <w:rsid w:val="004F4D3C"/>
    <w:rsid w:val="004F75EB"/>
    <w:rsid w:val="005010D0"/>
    <w:rsid w:val="00501C3D"/>
    <w:rsid w:val="0050244E"/>
    <w:rsid w:val="0050492B"/>
    <w:rsid w:val="005050DB"/>
    <w:rsid w:val="005066EA"/>
    <w:rsid w:val="00506D29"/>
    <w:rsid w:val="00506EA5"/>
    <w:rsid w:val="00506EB9"/>
    <w:rsid w:val="00506F9C"/>
    <w:rsid w:val="005077ED"/>
    <w:rsid w:val="00507F11"/>
    <w:rsid w:val="00507FCF"/>
    <w:rsid w:val="00510BCA"/>
    <w:rsid w:val="00513FE8"/>
    <w:rsid w:val="005146BE"/>
    <w:rsid w:val="00515DF0"/>
    <w:rsid w:val="005170BD"/>
    <w:rsid w:val="00520465"/>
    <w:rsid w:val="005206E3"/>
    <w:rsid w:val="0052087F"/>
    <w:rsid w:val="0052109A"/>
    <w:rsid w:val="00521759"/>
    <w:rsid w:val="00523A82"/>
    <w:rsid w:val="00524165"/>
    <w:rsid w:val="00526777"/>
    <w:rsid w:val="005275D2"/>
    <w:rsid w:val="00530BF5"/>
    <w:rsid w:val="00532551"/>
    <w:rsid w:val="0053442C"/>
    <w:rsid w:val="00535BF2"/>
    <w:rsid w:val="005369E5"/>
    <w:rsid w:val="00542724"/>
    <w:rsid w:val="00542DAA"/>
    <w:rsid w:val="00543DAC"/>
    <w:rsid w:val="005450BF"/>
    <w:rsid w:val="0054521A"/>
    <w:rsid w:val="00545391"/>
    <w:rsid w:val="00547682"/>
    <w:rsid w:val="005479DA"/>
    <w:rsid w:val="00551E02"/>
    <w:rsid w:val="00552E3A"/>
    <w:rsid w:val="005530F2"/>
    <w:rsid w:val="0055470F"/>
    <w:rsid w:val="0055559F"/>
    <w:rsid w:val="00556045"/>
    <w:rsid w:val="00556363"/>
    <w:rsid w:val="00560F04"/>
    <w:rsid w:val="00561704"/>
    <w:rsid w:val="00564F76"/>
    <w:rsid w:val="005652C8"/>
    <w:rsid w:val="00565A5D"/>
    <w:rsid w:val="00566D4B"/>
    <w:rsid w:val="00566E0E"/>
    <w:rsid w:val="00570990"/>
    <w:rsid w:val="00571400"/>
    <w:rsid w:val="00571D7A"/>
    <w:rsid w:val="005728DD"/>
    <w:rsid w:val="00572964"/>
    <w:rsid w:val="00572BC2"/>
    <w:rsid w:val="00573AB9"/>
    <w:rsid w:val="00573B39"/>
    <w:rsid w:val="005740B1"/>
    <w:rsid w:val="00574B39"/>
    <w:rsid w:val="0057592F"/>
    <w:rsid w:val="005763B2"/>
    <w:rsid w:val="00576BE3"/>
    <w:rsid w:val="00583B26"/>
    <w:rsid w:val="00584287"/>
    <w:rsid w:val="00586656"/>
    <w:rsid w:val="00590164"/>
    <w:rsid w:val="00592767"/>
    <w:rsid w:val="005928BF"/>
    <w:rsid w:val="00594344"/>
    <w:rsid w:val="00594EC7"/>
    <w:rsid w:val="0059517A"/>
    <w:rsid w:val="005965D7"/>
    <w:rsid w:val="00596D8D"/>
    <w:rsid w:val="00597308"/>
    <w:rsid w:val="005A0AE3"/>
    <w:rsid w:val="005A0B2A"/>
    <w:rsid w:val="005A30AD"/>
    <w:rsid w:val="005A3BFC"/>
    <w:rsid w:val="005A3E5A"/>
    <w:rsid w:val="005A5F47"/>
    <w:rsid w:val="005B0390"/>
    <w:rsid w:val="005B1A14"/>
    <w:rsid w:val="005B269D"/>
    <w:rsid w:val="005B284C"/>
    <w:rsid w:val="005B2FA6"/>
    <w:rsid w:val="005B4474"/>
    <w:rsid w:val="005B520C"/>
    <w:rsid w:val="005B635F"/>
    <w:rsid w:val="005B723D"/>
    <w:rsid w:val="005C1DB9"/>
    <w:rsid w:val="005C213E"/>
    <w:rsid w:val="005C29EA"/>
    <w:rsid w:val="005C2F53"/>
    <w:rsid w:val="005C5D31"/>
    <w:rsid w:val="005C7C6A"/>
    <w:rsid w:val="005D05EC"/>
    <w:rsid w:val="005D134F"/>
    <w:rsid w:val="005D1C0F"/>
    <w:rsid w:val="005D1FD0"/>
    <w:rsid w:val="005D2904"/>
    <w:rsid w:val="005D2A9E"/>
    <w:rsid w:val="005D2BEA"/>
    <w:rsid w:val="005D3FB7"/>
    <w:rsid w:val="005D4869"/>
    <w:rsid w:val="005D50E8"/>
    <w:rsid w:val="005D5834"/>
    <w:rsid w:val="005D5A74"/>
    <w:rsid w:val="005D7920"/>
    <w:rsid w:val="005E0EC4"/>
    <w:rsid w:val="005E11B7"/>
    <w:rsid w:val="005E1610"/>
    <w:rsid w:val="005E703C"/>
    <w:rsid w:val="005F00DC"/>
    <w:rsid w:val="005F0580"/>
    <w:rsid w:val="005F0A8A"/>
    <w:rsid w:val="005F0E1C"/>
    <w:rsid w:val="005F27FA"/>
    <w:rsid w:val="005F51AC"/>
    <w:rsid w:val="005F5724"/>
    <w:rsid w:val="005F6C30"/>
    <w:rsid w:val="005F7A0F"/>
    <w:rsid w:val="005F7D6C"/>
    <w:rsid w:val="00600806"/>
    <w:rsid w:val="00601D8C"/>
    <w:rsid w:val="006029C9"/>
    <w:rsid w:val="006046EC"/>
    <w:rsid w:val="0061051B"/>
    <w:rsid w:val="006121C8"/>
    <w:rsid w:val="00612464"/>
    <w:rsid w:val="00612B5E"/>
    <w:rsid w:val="00612F48"/>
    <w:rsid w:val="00614D40"/>
    <w:rsid w:val="00615992"/>
    <w:rsid w:val="00616E65"/>
    <w:rsid w:val="00622D2F"/>
    <w:rsid w:val="00624397"/>
    <w:rsid w:val="0062611B"/>
    <w:rsid w:val="00626379"/>
    <w:rsid w:val="006269CE"/>
    <w:rsid w:val="006273B0"/>
    <w:rsid w:val="00630D91"/>
    <w:rsid w:val="0063225E"/>
    <w:rsid w:val="00632461"/>
    <w:rsid w:val="00632BF1"/>
    <w:rsid w:val="00634E28"/>
    <w:rsid w:val="00637678"/>
    <w:rsid w:val="00640798"/>
    <w:rsid w:val="00640EC0"/>
    <w:rsid w:val="00641892"/>
    <w:rsid w:val="00641C8A"/>
    <w:rsid w:val="00641F5F"/>
    <w:rsid w:val="006421DE"/>
    <w:rsid w:val="00642CCE"/>
    <w:rsid w:val="00644A9C"/>
    <w:rsid w:val="00646767"/>
    <w:rsid w:val="00647397"/>
    <w:rsid w:val="00647AC4"/>
    <w:rsid w:val="00650101"/>
    <w:rsid w:val="00650837"/>
    <w:rsid w:val="00650942"/>
    <w:rsid w:val="00650CBB"/>
    <w:rsid w:val="00656268"/>
    <w:rsid w:val="00657C53"/>
    <w:rsid w:val="00657EA0"/>
    <w:rsid w:val="00660B79"/>
    <w:rsid w:val="00661DB1"/>
    <w:rsid w:val="00663885"/>
    <w:rsid w:val="006665C5"/>
    <w:rsid w:val="00666D4D"/>
    <w:rsid w:val="00666E0B"/>
    <w:rsid w:val="006670CD"/>
    <w:rsid w:val="006702A8"/>
    <w:rsid w:val="006705A7"/>
    <w:rsid w:val="00672049"/>
    <w:rsid w:val="00673755"/>
    <w:rsid w:val="00674A90"/>
    <w:rsid w:val="00675E2B"/>
    <w:rsid w:val="00676D32"/>
    <w:rsid w:val="00677908"/>
    <w:rsid w:val="00677B17"/>
    <w:rsid w:val="006800D2"/>
    <w:rsid w:val="00680FDC"/>
    <w:rsid w:val="006818A9"/>
    <w:rsid w:val="00681A68"/>
    <w:rsid w:val="0068273E"/>
    <w:rsid w:val="00684D6B"/>
    <w:rsid w:val="00686021"/>
    <w:rsid w:val="0068761F"/>
    <w:rsid w:val="00693A68"/>
    <w:rsid w:val="006958FD"/>
    <w:rsid w:val="0069760F"/>
    <w:rsid w:val="0069773F"/>
    <w:rsid w:val="00697829"/>
    <w:rsid w:val="0069788D"/>
    <w:rsid w:val="006A0A74"/>
    <w:rsid w:val="006A22CB"/>
    <w:rsid w:val="006A2794"/>
    <w:rsid w:val="006A519C"/>
    <w:rsid w:val="006A568B"/>
    <w:rsid w:val="006A56D2"/>
    <w:rsid w:val="006A570A"/>
    <w:rsid w:val="006A6906"/>
    <w:rsid w:val="006A7272"/>
    <w:rsid w:val="006A76AD"/>
    <w:rsid w:val="006A7E67"/>
    <w:rsid w:val="006B04B2"/>
    <w:rsid w:val="006B056C"/>
    <w:rsid w:val="006B0F62"/>
    <w:rsid w:val="006B1018"/>
    <w:rsid w:val="006B1A5A"/>
    <w:rsid w:val="006B32CE"/>
    <w:rsid w:val="006B332A"/>
    <w:rsid w:val="006B4911"/>
    <w:rsid w:val="006B5C90"/>
    <w:rsid w:val="006B671E"/>
    <w:rsid w:val="006C0424"/>
    <w:rsid w:val="006C093E"/>
    <w:rsid w:val="006C3210"/>
    <w:rsid w:val="006C5835"/>
    <w:rsid w:val="006C7008"/>
    <w:rsid w:val="006D0850"/>
    <w:rsid w:val="006D2B92"/>
    <w:rsid w:val="006D3577"/>
    <w:rsid w:val="006D3A5C"/>
    <w:rsid w:val="006D3A65"/>
    <w:rsid w:val="006D48EA"/>
    <w:rsid w:val="006D5090"/>
    <w:rsid w:val="006D59CB"/>
    <w:rsid w:val="006D773B"/>
    <w:rsid w:val="006E0082"/>
    <w:rsid w:val="006E00AB"/>
    <w:rsid w:val="006E1110"/>
    <w:rsid w:val="006E1495"/>
    <w:rsid w:val="006E1E27"/>
    <w:rsid w:val="006E2F9F"/>
    <w:rsid w:val="006E461A"/>
    <w:rsid w:val="006E4823"/>
    <w:rsid w:val="006E70A1"/>
    <w:rsid w:val="006E7751"/>
    <w:rsid w:val="006E7EB4"/>
    <w:rsid w:val="006F1011"/>
    <w:rsid w:val="006F1750"/>
    <w:rsid w:val="006F3E5E"/>
    <w:rsid w:val="006F4885"/>
    <w:rsid w:val="006F4C57"/>
    <w:rsid w:val="006F65DF"/>
    <w:rsid w:val="006F6A56"/>
    <w:rsid w:val="006F7516"/>
    <w:rsid w:val="00700499"/>
    <w:rsid w:val="007007D5"/>
    <w:rsid w:val="00700BA0"/>
    <w:rsid w:val="007011DB"/>
    <w:rsid w:val="007030AA"/>
    <w:rsid w:val="00703A8F"/>
    <w:rsid w:val="00703CE8"/>
    <w:rsid w:val="00704583"/>
    <w:rsid w:val="0070586C"/>
    <w:rsid w:val="0070588D"/>
    <w:rsid w:val="007069F1"/>
    <w:rsid w:val="00706BF6"/>
    <w:rsid w:val="00711C9B"/>
    <w:rsid w:val="00713E4E"/>
    <w:rsid w:val="0071416D"/>
    <w:rsid w:val="00714ABD"/>
    <w:rsid w:val="00716B3C"/>
    <w:rsid w:val="007170CC"/>
    <w:rsid w:val="00720519"/>
    <w:rsid w:val="007206A5"/>
    <w:rsid w:val="007207D1"/>
    <w:rsid w:val="00720C26"/>
    <w:rsid w:val="00720D36"/>
    <w:rsid w:val="00721688"/>
    <w:rsid w:val="00722257"/>
    <w:rsid w:val="00722635"/>
    <w:rsid w:val="007237C3"/>
    <w:rsid w:val="00723D88"/>
    <w:rsid w:val="007247A7"/>
    <w:rsid w:val="00725600"/>
    <w:rsid w:val="00726098"/>
    <w:rsid w:val="00726B5D"/>
    <w:rsid w:val="007270F2"/>
    <w:rsid w:val="0072779B"/>
    <w:rsid w:val="00727D41"/>
    <w:rsid w:val="00732CB5"/>
    <w:rsid w:val="007336E5"/>
    <w:rsid w:val="00736306"/>
    <w:rsid w:val="007371EE"/>
    <w:rsid w:val="007419AA"/>
    <w:rsid w:val="00743223"/>
    <w:rsid w:val="00744044"/>
    <w:rsid w:val="00744DB2"/>
    <w:rsid w:val="007455B1"/>
    <w:rsid w:val="00745C29"/>
    <w:rsid w:val="00746EFC"/>
    <w:rsid w:val="00747DB1"/>
    <w:rsid w:val="007519AF"/>
    <w:rsid w:val="0075253E"/>
    <w:rsid w:val="0075319F"/>
    <w:rsid w:val="00753912"/>
    <w:rsid w:val="00753F99"/>
    <w:rsid w:val="007548AC"/>
    <w:rsid w:val="00755853"/>
    <w:rsid w:val="00756400"/>
    <w:rsid w:val="00756778"/>
    <w:rsid w:val="007567C0"/>
    <w:rsid w:val="00760C07"/>
    <w:rsid w:val="00761729"/>
    <w:rsid w:val="00761F77"/>
    <w:rsid w:val="007635CB"/>
    <w:rsid w:val="007647D5"/>
    <w:rsid w:val="0077146B"/>
    <w:rsid w:val="00772E83"/>
    <w:rsid w:val="007733B3"/>
    <w:rsid w:val="007733DD"/>
    <w:rsid w:val="00775ACB"/>
    <w:rsid w:val="00775B00"/>
    <w:rsid w:val="00776316"/>
    <w:rsid w:val="00776864"/>
    <w:rsid w:val="00776C23"/>
    <w:rsid w:val="0077713D"/>
    <w:rsid w:val="00780C05"/>
    <w:rsid w:val="0078104B"/>
    <w:rsid w:val="00781761"/>
    <w:rsid w:val="007818E9"/>
    <w:rsid w:val="007849FC"/>
    <w:rsid w:val="00786982"/>
    <w:rsid w:val="00786EE8"/>
    <w:rsid w:val="0078749E"/>
    <w:rsid w:val="007875E2"/>
    <w:rsid w:val="00794374"/>
    <w:rsid w:val="00796D83"/>
    <w:rsid w:val="00797694"/>
    <w:rsid w:val="007A135B"/>
    <w:rsid w:val="007A315B"/>
    <w:rsid w:val="007A3D14"/>
    <w:rsid w:val="007A3EE0"/>
    <w:rsid w:val="007A58F8"/>
    <w:rsid w:val="007A657F"/>
    <w:rsid w:val="007B169B"/>
    <w:rsid w:val="007B19A3"/>
    <w:rsid w:val="007B1A5D"/>
    <w:rsid w:val="007B1FCD"/>
    <w:rsid w:val="007B2C66"/>
    <w:rsid w:val="007B347A"/>
    <w:rsid w:val="007B635D"/>
    <w:rsid w:val="007B6704"/>
    <w:rsid w:val="007B6EA2"/>
    <w:rsid w:val="007B7639"/>
    <w:rsid w:val="007B7697"/>
    <w:rsid w:val="007B7847"/>
    <w:rsid w:val="007C0D87"/>
    <w:rsid w:val="007C0EF1"/>
    <w:rsid w:val="007C1133"/>
    <w:rsid w:val="007C1D62"/>
    <w:rsid w:val="007C2949"/>
    <w:rsid w:val="007C3D35"/>
    <w:rsid w:val="007C5DD4"/>
    <w:rsid w:val="007C6A42"/>
    <w:rsid w:val="007D0750"/>
    <w:rsid w:val="007D4515"/>
    <w:rsid w:val="007D46ED"/>
    <w:rsid w:val="007D47DA"/>
    <w:rsid w:val="007D4898"/>
    <w:rsid w:val="007D4CA0"/>
    <w:rsid w:val="007D5B77"/>
    <w:rsid w:val="007D5EF7"/>
    <w:rsid w:val="007E166F"/>
    <w:rsid w:val="007E1C3B"/>
    <w:rsid w:val="007E1DA7"/>
    <w:rsid w:val="007E228B"/>
    <w:rsid w:val="007E25BE"/>
    <w:rsid w:val="007E2995"/>
    <w:rsid w:val="007E29BB"/>
    <w:rsid w:val="007E38D5"/>
    <w:rsid w:val="007E69BA"/>
    <w:rsid w:val="007E6DBB"/>
    <w:rsid w:val="007E6F01"/>
    <w:rsid w:val="007E7309"/>
    <w:rsid w:val="007F104A"/>
    <w:rsid w:val="007F16AE"/>
    <w:rsid w:val="007F22AF"/>
    <w:rsid w:val="007F25DE"/>
    <w:rsid w:val="007F74CF"/>
    <w:rsid w:val="00800179"/>
    <w:rsid w:val="00801B48"/>
    <w:rsid w:val="008028B3"/>
    <w:rsid w:val="0080381A"/>
    <w:rsid w:val="008041C2"/>
    <w:rsid w:val="0080556A"/>
    <w:rsid w:val="00805A73"/>
    <w:rsid w:val="0080728A"/>
    <w:rsid w:val="00810EDE"/>
    <w:rsid w:val="00812D3A"/>
    <w:rsid w:val="00813221"/>
    <w:rsid w:val="00814F0F"/>
    <w:rsid w:val="008152A9"/>
    <w:rsid w:val="00815FD1"/>
    <w:rsid w:val="00817410"/>
    <w:rsid w:val="0081743A"/>
    <w:rsid w:val="008202D4"/>
    <w:rsid w:val="0082180A"/>
    <w:rsid w:val="00822290"/>
    <w:rsid w:val="00822973"/>
    <w:rsid w:val="00822ECA"/>
    <w:rsid w:val="00823956"/>
    <w:rsid w:val="00825575"/>
    <w:rsid w:val="008275BA"/>
    <w:rsid w:val="0083211B"/>
    <w:rsid w:val="00832E07"/>
    <w:rsid w:val="00833569"/>
    <w:rsid w:val="008339EA"/>
    <w:rsid w:val="00834FDC"/>
    <w:rsid w:val="00836637"/>
    <w:rsid w:val="008401F5"/>
    <w:rsid w:val="008414F6"/>
    <w:rsid w:val="00842616"/>
    <w:rsid w:val="00843163"/>
    <w:rsid w:val="00844861"/>
    <w:rsid w:val="00844C8C"/>
    <w:rsid w:val="00844E6F"/>
    <w:rsid w:val="008452EF"/>
    <w:rsid w:val="00845F07"/>
    <w:rsid w:val="0084625B"/>
    <w:rsid w:val="0084695E"/>
    <w:rsid w:val="0084765A"/>
    <w:rsid w:val="00851A40"/>
    <w:rsid w:val="00852476"/>
    <w:rsid w:val="008533B1"/>
    <w:rsid w:val="008536C3"/>
    <w:rsid w:val="00853A5D"/>
    <w:rsid w:val="00854093"/>
    <w:rsid w:val="00855048"/>
    <w:rsid w:val="008555B0"/>
    <w:rsid w:val="00855966"/>
    <w:rsid w:val="008624E0"/>
    <w:rsid w:val="00862666"/>
    <w:rsid w:val="00863ED8"/>
    <w:rsid w:val="008643C7"/>
    <w:rsid w:val="00864C64"/>
    <w:rsid w:val="0086573C"/>
    <w:rsid w:val="008672FE"/>
    <w:rsid w:val="008675D0"/>
    <w:rsid w:val="00870A34"/>
    <w:rsid w:val="00871C4F"/>
    <w:rsid w:val="008723E9"/>
    <w:rsid w:val="008733E0"/>
    <w:rsid w:val="00873F6F"/>
    <w:rsid w:val="00874C65"/>
    <w:rsid w:val="008760B0"/>
    <w:rsid w:val="008767EC"/>
    <w:rsid w:val="00877C32"/>
    <w:rsid w:val="0088123F"/>
    <w:rsid w:val="00882C56"/>
    <w:rsid w:val="00883BA6"/>
    <w:rsid w:val="008850F1"/>
    <w:rsid w:val="00886B00"/>
    <w:rsid w:val="00887D7D"/>
    <w:rsid w:val="00890E37"/>
    <w:rsid w:val="00893C50"/>
    <w:rsid w:val="008953CE"/>
    <w:rsid w:val="0089545A"/>
    <w:rsid w:val="008962AD"/>
    <w:rsid w:val="008A0B7F"/>
    <w:rsid w:val="008A1DCA"/>
    <w:rsid w:val="008A1EAA"/>
    <w:rsid w:val="008A2567"/>
    <w:rsid w:val="008A2E00"/>
    <w:rsid w:val="008A43CF"/>
    <w:rsid w:val="008A443F"/>
    <w:rsid w:val="008A6078"/>
    <w:rsid w:val="008A7C54"/>
    <w:rsid w:val="008B0893"/>
    <w:rsid w:val="008B1330"/>
    <w:rsid w:val="008B16B4"/>
    <w:rsid w:val="008B365E"/>
    <w:rsid w:val="008B3697"/>
    <w:rsid w:val="008B44D1"/>
    <w:rsid w:val="008B49B7"/>
    <w:rsid w:val="008B4B02"/>
    <w:rsid w:val="008B4DC8"/>
    <w:rsid w:val="008B508A"/>
    <w:rsid w:val="008B576B"/>
    <w:rsid w:val="008B5B96"/>
    <w:rsid w:val="008B6F89"/>
    <w:rsid w:val="008B70AF"/>
    <w:rsid w:val="008B7BB6"/>
    <w:rsid w:val="008C05CE"/>
    <w:rsid w:val="008C0F80"/>
    <w:rsid w:val="008C2496"/>
    <w:rsid w:val="008C31DB"/>
    <w:rsid w:val="008C31FB"/>
    <w:rsid w:val="008C4400"/>
    <w:rsid w:val="008C55F6"/>
    <w:rsid w:val="008C59CA"/>
    <w:rsid w:val="008C66BA"/>
    <w:rsid w:val="008C69F0"/>
    <w:rsid w:val="008D17A4"/>
    <w:rsid w:val="008D4CE7"/>
    <w:rsid w:val="008D5CA5"/>
    <w:rsid w:val="008D67D6"/>
    <w:rsid w:val="008D6E13"/>
    <w:rsid w:val="008E0898"/>
    <w:rsid w:val="008E14FF"/>
    <w:rsid w:val="008E1AB4"/>
    <w:rsid w:val="008E1D00"/>
    <w:rsid w:val="008E3699"/>
    <w:rsid w:val="008E3DCF"/>
    <w:rsid w:val="008E4129"/>
    <w:rsid w:val="008E58A9"/>
    <w:rsid w:val="008E61D0"/>
    <w:rsid w:val="008E735C"/>
    <w:rsid w:val="008F16C4"/>
    <w:rsid w:val="008F20B8"/>
    <w:rsid w:val="008F4225"/>
    <w:rsid w:val="008F43FC"/>
    <w:rsid w:val="008F4476"/>
    <w:rsid w:val="008F5B51"/>
    <w:rsid w:val="00902211"/>
    <w:rsid w:val="0090515D"/>
    <w:rsid w:val="00906052"/>
    <w:rsid w:val="009069DF"/>
    <w:rsid w:val="00906E30"/>
    <w:rsid w:val="0090774A"/>
    <w:rsid w:val="0091073B"/>
    <w:rsid w:val="009135BB"/>
    <w:rsid w:val="009145EA"/>
    <w:rsid w:val="00914DD7"/>
    <w:rsid w:val="00915448"/>
    <w:rsid w:val="009159C5"/>
    <w:rsid w:val="00915B08"/>
    <w:rsid w:val="00916E2D"/>
    <w:rsid w:val="00917619"/>
    <w:rsid w:val="009225C2"/>
    <w:rsid w:val="0092608F"/>
    <w:rsid w:val="00927A21"/>
    <w:rsid w:val="00930443"/>
    <w:rsid w:val="00930491"/>
    <w:rsid w:val="00931ACF"/>
    <w:rsid w:val="00934D38"/>
    <w:rsid w:val="009357AF"/>
    <w:rsid w:val="00935813"/>
    <w:rsid w:val="00937043"/>
    <w:rsid w:val="009377FA"/>
    <w:rsid w:val="00937E88"/>
    <w:rsid w:val="00937FBF"/>
    <w:rsid w:val="0094160E"/>
    <w:rsid w:val="00941F4C"/>
    <w:rsid w:val="00945B4F"/>
    <w:rsid w:val="00945B9D"/>
    <w:rsid w:val="00946C19"/>
    <w:rsid w:val="00950D74"/>
    <w:rsid w:val="009513BB"/>
    <w:rsid w:val="00953C62"/>
    <w:rsid w:val="0095427A"/>
    <w:rsid w:val="00954766"/>
    <w:rsid w:val="0095600D"/>
    <w:rsid w:val="009614F3"/>
    <w:rsid w:val="009658C0"/>
    <w:rsid w:val="00965B6A"/>
    <w:rsid w:val="00966D8B"/>
    <w:rsid w:val="009673BF"/>
    <w:rsid w:val="00970148"/>
    <w:rsid w:val="0097181A"/>
    <w:rsid w:val="0097335D"/>
    <w:rsid w:val="00975C3B"/>
    <w:rsid w:val="0097705C"/>
    <w:rsid w:val="0097750C"/>
    <w:rsid w:val="0098126F"/>
    <w:rsid w:val="00981E79"/>
    <w:rsid w:val="009851E6"/>
    <w:rsid w:val="009872F2"/>
    <w:rsid w:val="0098759D"/>
    <w:rsid w:val="00987B2D"/>
    <w:rsid w:val="009904BA"/>
    <w:rsid w:val="0099091B"/>
    <w:rsid w:val="00990961"/>
    <w:rsid w:val="00991D85"/>
    <w:rsid w:val="00992C17"/>
    <w:rsid w:val="0099470E"/>
    <w:rsid w:val="00994841"/>
    <w:rsid w:val="00994876"/>
    <w:rsid w:val="009A093B"/>
    <w:rsid w:val="009A30A1"/>
    <w:rsid w:val="009A4C16"/>
    <w:rsid w:val="009A5696"/>
    <w:rsid w:val="009B1732"/>
    <w:rsid w:val="009B27F4"/>
    <w:rsid w:val="009B48F4"/>
    <w:rsid w:val="009B660B"/>
    <w:rsid w:val="009B6C12"/>
    <w:rsid w:val="009C0499"/>
    <w:rsid w:val="009C0BC3"/>
    <w:rsid w:val="009C1271"/>
    <w:rsid w:val="009C331F"/>
    <w:rsid w:val="009C3806"/>
    <w:rsid w:val="009C3ECF"/>
    <w:rsid w:val="009C4129"/>
    <w:rsid w:val="009C47F9"/>
    <w:rsid w:val="009C59E1"/>
    <w:rsid w:val="009C621D"/>
    <w:rsid w:val="009C704F"/>
    <w:rsid w:val="009D0979"/>
    <w:rsid w:val="009D1792"/>
    <w:rsid w:val="009D24A7"/>
    <w:rsid w:val="009D2F77"/>
    <w:rsid w:val="009D3540"/>
    <w:rsid w:val="009D3EC7"/>
    <w:rsid w:val="009E1E5E"/>
    <w:rsid w:val="009E2EBB"/>
    <w:rsid w:val="009E39D9"/>
    <w:rsid w:val="009E4457"/>
    <w:rsid w:val="009E6D76"/>
    <w:rsid w:val="009E7381"/>
    <w:rsid w:val="009E7DF5"/>
    <w:rsid w:val="009F4F26"/>
    <w:rsid w:val="009F5331"/>
    <w:rsid w:val="009F767D"/>
    <w:rsid w:val="00A0013F"/>
    <w:rsid w:val="00A00986"/>
    <w:rsid w:val="00A017B2"/>
    <w:rsid w:val="00A01B36"/>
    <w:rsid w:val="00A04793"/>
    <w:rsid w:val="00A04E26"/>
    <w:rsid w:val="00A0607F"/>
    <w:rsid w:val="00A06F1B"/>
    <w:rsid w:val="00A076FD"/>
    <w:rsid w:val="00A10DDF"/>
    <w:rsid w:val="00A11705"/>
    <w:rsid w:val="00A11C5B"/>
    <w:rsid w:val="00A11F65"/>
    <w:rsid w:val="00A124D7"/>
    <w:rsid w:val="00A12A7D"/>
    <w:rsid w:val="00A141CB"/>
    <w:rsid w:val="00A152F0"/>
    <w:rsid w:val="00A16D99"/>
    <w:rsid w:val="00A179EC"/>
    <w:rsid w:val="00A17C03"/>
    <w:rsid w:val="00A20C52"/>
    <w:rsid w:val="00A20F79"/>
    <w:rsid w:val="00A21482"/>
    <w:rsid w:val="00A2156D"/>
    <w:rsid w:val="00A22DF7"/>
    <w:rsid w:val="00A23E60"/>
    <w:rsid w:val="00A23EBE"/>
    <w:rsid w:val="00A23F28"/>
    <w:rsid w:val="00A258C2"/>
    <w:rsid w:val="00A30988"/>
    <w:rsid w:val="00A30E41"/>
    <w:rsid w:val="00A31072"/>
    <w:rsid w:val="00A3292C"/>
    <w:rsid w:val="00A329D7"/>
    <w:rsid w:val="00A33314"/>
    <w:rsid w:val="00A33998"/>
    <w:rsid w:val="00A3605A"/>
    <w:rsid w:val="00A40920"/>
    <w:rsid w:val="00A42D4F"/>
    <w:rsid w:val="00A43D6C"/>
    <w:rsid w:val="00A4454B"/>
    <w:rsid w:val="00A44658"/>
    <w:rsid w:val="00A4536D"/>
    <w:rsid w:val="00A46205"/>
    <w:rsid w:val="00A501CD"/>
    <w:rsid w:val="00A50452"/>
    <w:rsid w:val="00A51039"/>
    <w:rsid w:val="00A52D20"/>
    <w:rsid w:val="00A52FF1"/>
    <w:rsid w:val="00A55B0B"/>
    <w:rsid w:val="00A55D64"/>
    <w:rsid w:val="00A55DA7"/>
    <w:rsid w:val="00A5710F"/>
    <w:rsid w:val="00A57A36"/>
    <w:rsid w:val="00A61A1C"/>
    <w:rsid w:val="00A61D01"/>
    <w:rsid w:val="00A63A1C"/>
    <w:rsid w:val="00A63C86"/>
    <w:rsid w:val="00A642F2"/>
    <w:rsid w:val="00A6544E"/>
    <w:rsid w:val="00A667FC"/>
    <w:rsid w:val="00A66CCF"/>
    <w:rsid w:val="00A677D6"/>
    <w:rsid w:val="00A70467"/>
    <w:rsid w:val="00A70C2E"/>
    <w:rsid w:val="00A70F52"/>
    <w:rsid w:val="00A71ED0"/>
    <w:rsid w:val="00A72068"/>
    <w:rsid w:val="00A7356C"/>
    <w:rsid w:val="00A73661"/>
    <w:rsid w:val="00A73672"/>
    <w:rsid w:val="00A775A5"/>
    <w:rsid w:val="00A80503"/>
    <w:rsid w:val="00A81465"/>
    <w:rsid w:val="00A83139"/>
    <w:rsid w:val="00A8317C"/>
    <w:rsid w:val="00A85BB2"/>
    <w:rsid w:val="00A85C6F"/>
    <w:rsid w:val="00A87F19"/>
    <w:rsid w:val="00A9001E"/>
    <w:rsid w:val="00A9038A"/>
    <w:rsid w:val="00A921EA"/>
    <w:rsid w:val="00A92279"/>
    <w:rsid w:val="00A9278F"/>
    <w:rsid w:val="00A94359"/>
    <w:rsid w:val="00A94417"/>
    <w:rsid w:val="00A95C78"/>
    <w:rsid w:val="00A9671F"/>
    <w:rsid w:val="00A975C7"/>
    <w:rsid w:val="00A976AF"/>
    <w:rsid w:val="00AA0364"/>
    <w:rsid w:val="00AA0ED8"/>
    <w:rsid w:val="00AA19E4"/>
    <w:rsid w:val="00AA2A42"/>
    <w:rsid w:val="00AA2CEE"/>
    <w:rsid w:val="00AA3307"/>
    <w:rsid w:val="00AA33F9"/>
    <w:rsid w:val="00AA47B1"/>
    <w:rsid w:val="00AA780A"/>
    <w:rsid w:val="00AB11D2"/>
    <w:rsid w:val="00AB1856"/>
    <w:rsid w:val="00AB2C1C"/>
    <w:rsid w:val="00AB49B8"/>
    <w:rsid w:val="00AB583D"/>
    <w:rsid w:val="00AB7512"/>
    <w:rsid w:val="00AB7E6D"/>
    <w:rsid w:val="00AC0C52"/>
    <w:rsid w:val="00AC171D"/>
    <w:rsid w:val="00AC1862"/>
    <w:rsid w:val="00AC3466"/>
    <w:rsid w:val="00AC4EEC"/>
    <w:rsid w:val="00AC59F1"/>
    <w:rsid w:val="00AD173A"/>
    <w:rsid w:val="00AD3458"/>
    <w:rsid w:val="00AD346C"/>
    <w:rsid w:val="00AD4435"/>
    <w:rsid w:val="00AD764C"/>
    <w:rsid w:val="00AD7B17"/>
    <w:rsid w:val="00AE0DBC"/>
    <w:rsid w:val="00AE15C4"/>
    <w:rsid w:val="00AE24EA"/>
    <w:rsid w:val="00AE2AC7"/>
    <w:rsid w:val="00AE2E35"/>
    <w:rsid w:val="00AE3802"/>
    <w:rsid w:val="00AE3AC8"/>
    <w:rsid w:val="00AE5050"/>
    <w:rsid w:val="00AE6645"/>
    <w:rsid w:val="00AE6F23"/>
    <w:rsid w:val="00AE798C"/>
    <w:rsid w:val="00AF212C"/>
    <w:rsid w:val="00AF2C64"/>
    <w:rsid w:val="00AF35AD"/>
    <w:rsid w:val="00AF44D0"/>
    <w:rsid w:val="00B00A58"/>
    <w:rsid w:val="00B02486"/>
    <w:rsid w:val="00B02783"/>
    <w:rsid w:val="00B049D9"/>
    <w:rsid w:val="00B04E40"/>
    <w:rsid w:val="00B056A6"/>
    <w:rsid w:val="00B06078"/>
    <w:rsid w:val="00B06CF6"/>
    <w:rsid w:val="00B0785F"/>
    <w:rsid w:val="00B101EB"/>
    <w:rsid w:val="00B114B9"/>
    <w:rsid w:val="00B11D60"/>
    <w:rsid w:val="00B13527"/>
    <w:rsid w:val="00B15638"/>
    <w:rsid w:val="00B15E96"/>
    <w:rsid w:val="00B16308"/>
    <w:rsid w:val="00B178E2"/>
    <w:rsid w:val="00B17D20"/>
    <w:rsid w:val="00B20E6A"/>
    <w:rsid w:val="00B2111C"/>
    <w:rsid w:val="00B22756"/>
    <w:rsid w:val="00B22C12"/>
    <w:rsid w:val="00B24875"/>
    <w:rsid w:val="00B265FC"/>
    <w:rsid w:val="00B26A72"/>
    <w:rsid w:val="00B27798"/>
    <w:rsid w:val="00B31034"/>
    <w:rsid w:val="00B310D2"/>
    <w:rsid w:val="00B319FA"/>
    <w:rsid w:val="00B31D36"/>
    <w:rsid w:val="00B341A9"/>
    <w:rsid w:val="00B34427"/>
    <w:rsid w:val="00B34DE3"/>
    <w:rsid w:val="00B35BF4"/>
    <w:rsid w:val="00B36DFF"/>
    <w:rsid w:val="00B36F2D"/>
    <w:rsid w:val="00B379F8"/>
    <w:rsid w:val="00B37CA3"/>
    <w:rsid w:val="00B43ECE"/>
    <w:rsid w:val="00B44296"/>
    <w:rsid w:val="00B44442"/>
    <w:rsid w:val="00B45AFB"/>
    <w:rsid w:val="00B4608A"/>
    <w:rsid w:val="00B4697E"/>
    <w:rsid w:val="00B508D4"/>
    <w:rsid w:val="00B50DCB"/>
    <w:rsid w:val="00B51E60"/>
    <w:rsid w:val="00B52337"/>
    <w:rsid w:val="00B52410"/>
    <w:rsid w:val="00B531AC"/>
    <w:rsid w:val="00B5519D"/>
    <w:rsid w:val="00B55EAD"/>
    <w:rsid w:val="00B60EB4"/>
    <w:rsid w:val="00B61A3B"/>
    <w:rsid w:val="00B6204A"/>
    <w:rsid w:val="00B621C0"/>
    <w:rsid w:val="00B6590F"/>
    <w:rsid w:val="00B659A5"/>
    <w:rsid w:val="00B659FB"/>
    <w:rsid w:val="00B65A0F"/>
    <w:rsid w:val="00B71DD8"/>
    <w:rsid w:val="00B738B6"/>
    <w:rsid w:val="00B741F3"/>
    <w:rsid w:val="00B74EAA"/>
    <w:rsid w:val="00B75A5F"/>
    <w:rsid w:val="00B75CDF"/>
    <w:rsid w:val="00B819A5"/>
    <w:rsid w:val="00B82D4B"/>
    <w:rsid w:val="00B82E11"/>
    <w:rsid w:val="00B83D91"/>
    <w:rsid w:val="00B85473"/>
    <w:rsid w:val="00B85BCC"/>
    <w:rsid w:val="00B865EC"/>
    <w:rsid w:val="00B872B0"/>
    <w:rsid w:val="00B90AB0"/>
    <w:rsid w:val="00B91271"/>
    <w:rsid w:val="00B91566"/>
    <w:rsid w:val="00B9390A"/>
    <w:rsid w:val="00B96AF5"/>
    <w:rsid w:val="00BA0375"/>
    <w:rsid w:val="00BA0FBC"/>
    <w:rsid w:val="00BA1CBE"/>
    <w:rsid w:val="00BA1F34"/>
    <w:rsid w:val="00BA5574"/>
    <w:rsid w:val="00BA68F5"/>
    <w:rsid w:val="00BA7250"/>
    <w:rsid w:val="00BA73EF"/>
    <w:rsid w:val="00BA7EA5"/>
    <w:rsid w:val="00BB1C21"/>
    <w:rsid w:val="00BB2FFC"/>
    <w:rsid w:val="00BB344E"/>
    <w:rsid w:val="00BB7593"/>
    <w:rsid w:val="00BB7B55"/>
    <w:rsid w:val="00BC2590"/>
    <w:rsid w:val="00BC50C1"/>
    <w:rsid w:val="00BC5F0A"/>
    <w:rsid w:val="00BC69AE"/>
    <w:rsid w:val="00BD1F90"/>
    <w:rsid w:val="00BD254A"/>
    <w:rsid w:val="00BD25FB"/>
    <w:rsid w:val="00BD3FF1"/>
    <w:rsid w:val="00BD49A2"/>
    <w:rsid w:val="00BD5285"/>
    <w:rsid w:val="00BE0CBF"/>
    <w:rsid w:val="00BE159D"/>
    <w:rsid w:val="00BE1DF6"/>
    <w:rsid w:val="00BE44B8"/>
    <w:rsid w:val="00BE5568"/>
    <w:rsid w:val="00BE57E9"/>
    <w:rsid w:val="00BE5917"/>
    <w:rsid w:val="00BE6042"/>
    <w:rsid w:val="00BE68CC"/>
    <w:rsid w:val="00BF052A"/>
    <w:rsid w:val="00BF2FB7"/>
    <w:rsid w:val="00BF3B0F"/>
    <w:rsid w:val="00BF617C"/>
    <w:rsid w:val="00C05360"/>
    <w:rsid w:val="00C05409"/>
    <w:rsid w:val="00C06986"/>
    <w:rsid w:val="00C0772F"/>
    <w:rsid w:val="00C07B78"/>
    <w:rsid w:val="00C1113F"/>
    <w:rsid w:val="00C128DE"/>
    <w:rsid w:val="00C12DEA"/>
    <w:rsid w:val="00C16B0C"/>
    <w:rsid w:val="00C16C6D"/>
    <w:rsid w:val="00C170F0"/>
    <w:rsid w:val="00C17659"/>
    <w:rsid w:val="00C211CE"/>
    <w:rsid w:val="00C21C7D"/>
    <w:rsid w:val="00C24A50"/>
    <w:rsid w:val="00C25BC2"/>
    <w:rsid w:val="00C25F85"/>
    <w:rsid w:val="00C30BB6"/>
    <w:rsid w:val="00C312A7"/>
    <w:rsid w:val="00C326AE"/>
    <w:rsid w:val="00C33168"/>
    <w:rsid w:val="00C339DE"/>
    <w:rsid w:val="00C35C40"/>
    <w:rsid w:val="00C35D44"/>
    <w:rsid w:val="00C3627F"/>
    <w:rsid w:val="00C41CB8"/>
    <w:rsid w:val="00C4344E"/>
    <w:rsid w:val="00C4649A"/>
    <w:rsid w:val="00C469E3"/>
    <w:rsid w:val="00C474C5"/>
    <w:rsid w:val="00C47771"/>
    <w:rsid w:val="00C47B1B"/>
    <w:rsid w:val="00C571F6"/>
    <w:rsid w:val="00C60D22"/>
    <w:rsid w:val="00C61895"/>
    <w:rsid w:val="00C61AED"/>
    <w:rsid w:val="00C6457D"/>
    <w:rsid w:val="00C65B5B"/>
    <w:rsid w:val="00C6629E"/>
    <w:rsid w:val="00C66902"/>
    <w:rsid w:val="00C705B4"/>
    <w:rsid w:val="00C705F0"/>
    <w:rsid w:val="00C709E6"/>
    <w:rsid w:val="00C70A99"/>
    <w:rsid w:val="00C73258"/>
    <w:rsid w:val="00C746E0"/>
    <w:rsid w:val="00C76699"/>
    <w:rsid w:val="00C76F7F"/>
    <w:rsid w:val="00C83525"/>
    <w:rsid w:val="00C90E89"/>
    <w:rsid w:val="00C90EFD"/>
    <w:rsid w:val="00C9369F"/>
    <w:rsid w:val="00C94429"/>
    <w:rsid w:val="00C94C5A"/>
    <w:rsid w:val="00C97EAE"/>
    <w:rsid w:val="00C97FF0"/>
    <w:rsid w:val="00CA0001"/>
    <w:rsid w:val="00CA0902"/>
    <w:rsid w:val="00CA1618"/>
    <w:rsid w:val="00CA3A72"/>
    <w:rsid w:val="00CA4A54"/>
    <w:rsid w:val="00CA4A56"/>
    <w:rsid w:val="00CA5986"/>
    <w:rsid w:val="00CA7BF3"/>
    <w:rsid w:val="00CA7E59"/>
    <w:rsid w:val="00CB1F85"/>
    <w:rsid w:val="00CB2011"/>
    <w:rsid w:val="00CB4007"/>
    <w:rsid w:val="00CB6598"/>
    <w:rsid w:val="00CB6816"/>
    <w:rsid w:val="00CB7F16"/>
    <w:rsid w:val="00CC125E"/>
    <w:rsid w:val="00CC1A07"/>
    <w:rsid w:val="00CC1FAA"/>
    <w:rsid w:val="00CC289F"/>
    <w:rsid w:val="00CC58FF"/>
    <w:rsid w:val="00CC6CDC"/>
    <w:rsid w:val="00CC73C4"/>
    <w:rsid w:val="00CD2499"/>
    <w:rsid w:val="00CD3F26"/>
    <w:rsid w:val="00CD4631"/>
    <w:rsid w:val="00CD513C"/>
    <w:rsid w:val="00CD63BD"/>
    <w:rsid w:val="00CD7B6C"/>
    <w:rsid w:val="00CE09AB"/>
    <w:rsid w:val="00CE1F6C"/>
    <w:rsid w:val="00CE23B9"/>
    <w:rsid w:val="00CE25C9"/>
    <w:rsid w:val="00CE2A80"/>
    <w:rsid w:val="00CE2FD3"/>
    <w:rsid w:val="00CE31BD"/>
    <w:rsid w:val="00CE4A25"/>
    <w:rsid w:val="00CE710C"/>
    <w:rsid w:val="00CE7D1A"/>
    <w:rsid w:val="00CF0E76"/>
    <w:rsid w:val="00CF101E"/>
    <w:rsid w:val="00CF1262"/>
    <w:rsid w:val="00CF323D"/>
    <w:rsid w:val="00CF3D3D"/>
    <w:rsid w:val="00CF496C"/>
    <w:rsid w:val="00CF4D95"/>
    <w:rsid w:val="00CF557C"/>
    <w:rsid w:val="00CF5AB6"/>
    <w:rsid w:val="00CF6A5A"/>
    <w:rsid w:val="00CF6E39"/>
    <w:rsid w:val="00D000F9"/>
    <w:rsid w:val="00D0094E"/>
    <w:rsid w:val="00D01C9A"/>
    <w:rsid w:val="00D0214B"/>
    <w:rsid w:val="00D0351E"/>
    <w:rsid w:val="00D03E3A"/>
    <w:rsid w:val="00D03F1D"/>
    <w:rsid w:val="00D03F3E"/>
    <w:rsid w:val="00D057B5"/>
    <w:rsid w:val="00D07D99"/>
    <w:rsid w:val="00D10567"/>
    <w:rsid w:val="00D117F4"/>
    <w:rsid w:val="00D13B89"/>
    <w:rsid w:val="00D1598F"/>
    <w:rsid w:val="00D1775B"/>
    <w:rsid w:val="00D2018F"/>
    <w:rsid w:val="00D20473"/>
    <w:rsid w:val="00D20590"/>
    <w:rsid w:val="00D20BFA"/>
    <w:rsid w:val="00D21DA8"/>
    <w:rsid w:val="00D227CC"/>
    <w:rsid w:val="00D22A18"/>
    <w:rsid w:val="00D24FE3"/>
    <w:rsid w:val="00D269F0"/>
    <w:rsid w:val="00D27169"/>
    <w:rsid w:val="00D303FD"/>
    <w:rsid w:val="00D30B4B"/>
    <w:rsid w:val="00D32D32"/>
    <w:rsid w:val="00D334A6"/>
    <w:rsid w:val="00D35A77"/>
    <w:rsid w:val="00D362C5"/>
    <w:rsid w:val="00D4128B"/>
    <w:rsid w:val="00D41415"/>
    <w:rsid w:val="00D4162E"/>
    <w:rsid w:val="00D41763"/>
    <w:rsid w:val="00D43EBE"/>
    <w:rsid w:val="00D441C7"/>
    <w:rsid w:val="00D45445"/>
    <w:rsid w:val="00D501F2"/>
    <w:rsid w:val="00D50661"/>
    <w:rsid w:val="00D52CBE"/>
    <w:rsid w:val="00D52D5B"/>
    <w:rsid w:val="00D532CB"/>
    <w:rsid w:val="00D5524F"/>
    <w:rsid w:val="00D56888"/>
    <w:rsid w:val="00D57569"/>
    <w:rsid w:val="00D60343"/>
    <w:rsid w:val="00D628AE"/>
    <w:rsid w:val="00D6314D"/>
    <w:rsid w:val="00D64F23"/>
    <w:rsid w:val="00D65561"/>
    <w:rsid w:val="00D6674C"/>
    <w:rsid w:val="00D6789C"/>
    <w:rsid w:val="00D679C5"/>
    <w:rsid w:val="00D70A0C"/>
    <w:rsid w:val="00D70AE5"/>
    <w:rsid w:val="00D7361C"/>
    <w:rsid w:val="00D75C25"/>
    <w:rsid w:val="00D80159"/>
    <w:rsid w:val="00D807A4"/>
    <w:rsid w:val="00D83A34"/>
    <w:rsid w:val="00D84F79"/>
    <w:rsid w:val="00D85077"/>
    <w:rsid w:val="00D85E51"/>
    <w:rsid w:val="00D86D8D"/>
    <w:rsid w:val="00D86E5E"/>
    <w:rsid w:val="00D87A30"/>
    <w:rsid w:val="00D87EB3"/>
    <w:rsid w:val="00D942DD"/>
    <w:rsid w:val="00D94A47"/>
    <w:rsid w:val="00D94BAA"/>
    <w:rsid w:val="00D959E9"/>
    <w:rsid w:val="00D970EC"/>
    <w:rsid w:val="00D975D8"/>
    <w:rsid w:val="00DA0683"/>
    <w:rsid w:val="00DA5734"/>
    <w:rsid w:val="00DA6FD2"/>
    <w:rsid w:val="00DB1AB3"/>
    <w:rsid w:val="00DB2E32"/>
    <w:rsid w:val="00DB2F68"/>
    <w:rsid w:val="00DB3376"/>
    <w:rsid w:val="00DB4335"/>
    <w:rsid w:val="00DB5309"/>
    <w:rsid w:val="00DB6EAC"/>
    <w:rsid w:val="00DB761D"/>
    <w:rsid w:val="00DB7AB9"/>
    <w:rsid w:val="00DC0D99"/>
    <w:rsid w:val="00DC10CA"/>
    <w:rsid w:val="00DC2487"/>
    <w:rsid w:val="00DC3436"/>
    <w:rsid w:val="00DC3C5C"/>
    <w:rsid w:val="00DC3CD3"/>
    <w:rsid w:val="00DC4951"/>
    <w:rsid w:val="00DC565D"/>
    <w:rsid w:val="00DC5A60"/>
    <w:rsid w:val="00DD0402"/>
    <w:rsid w:val="00DD0E27"/>
    <w:rsid w:val="00DD1A90"/>
    <w:rsid w:val="00DD218A"/>
    <w:rsid w:val="00DD255C"/>
    <w:rsid w:val="00DD33D8"/>
    <w:rsid w:val="00DD39D8"/>
    <w:rsid w:val="00DD3A2E"/>
    <w:rsid w:val="00DD4001"/>
    <w:rsid w:val="00DD4AF8"/>
    <w:rsid w:val="00DD52C2"/>
    <w:rsid w:val="00DD599F"/>
    <w:rsid w:val="00DE15CB"/>
    <w:rsid w:val="00DE1BC5"/>
    <w:rsid w:val="00DE2610"/>
    <w:rsid w:val="00DE27A2"/>
    <w:rsid w:val="00DE328D"/>
    <w:rsid w:val="00DE4B88"/>
    <w:rsid w:val="00DE689B"/>
    <w:rsid w:val="00DF0A22"/>
    <w:rsid w:val="00DF2707"/>
    <w:rsid w:val="00DF3DCB"/>
    <w:rsid w:val="00DF455B"/>
    <w:rsid w:val="00DF4E6F"/>
    <w:rsid w:val="00DF56C9"/>
    <w:rsid w:val="00E00AFA"/>
    <w:rsid w:val="00E02504"/>
    <w:rsid w:val="00E05101"/>
    <w:rsid w:val="00E05666"/>
    <w:rsid w:val="00E05E1E"/>
    <w:rsid w:val="00E10C43"/>
    <w:rsid w:val="00E11E42"/>
    <w:rsid w:val="00E120EF"/>
    <w:rsid w:val="00E12292"/>
    <w:rsid w:val="00E123D5"/>
    <w:rsid w:val="00E13787"/>
    <w:rsid w:val="00E13D26"/>
    <w:rsid w:val="00E1509E"/>
    <w:rsid w:val="00E158B7"/>
    <w:rsid w:val="00E16F55"/>
    <w:rsid w:val="00E22850"/>
    <w:rsid w:val="00E24DD9"/>
    <w:rsid w:val="00E27334"/>
    <w:rsid w:val="00E31F56"/>
    <w:rsid w:val="00E321DB"/>
    <w:rsid w:val="00E3272A"/>
    <w:rsid w:val="00E32CDF"/>
    <w:rsid w:val="00E33F4B"/>
    <w:rsid w:val="00E34C7F"/>
    <w:rsid w:val="00E35017"/>
    <w:rsid w:val="00E37B4E"/>
    <w:rsid w:val="00E4153C"/>
    <w:rsid w:val="00E41ABF"/>
    <w:rsid w:val="00E42670"/>
    <w:rsid w:val="00E42805"/>
    <w:rsid w:val="00E455E4"/>
    <w:rsid w:val="00E45AE0"/>
    <w:rsid w:val="00E46FB3"/>
    <w:rsid w:val="00E53571"/>
    <w:rsid w:val="00E539FE"/>
    <w:rsid w:val="00E53A61"/>
    <w:rsid w:val="00E54824"/>
    <w:rsid w:val="00E54EEA"/>
    <w:rsid w:val="00E5587F"/>
    <w:rsid w:val="00E57C99"/>
    <w:rsid w:val="00E60C66"/>
    <w:rsid w:val="00E60FED"/>
    <w:rsid w:val="00E61507"/>
    <w:rsid w:val="00E620C8"/>
    <w:rsid w:val="00E62398"/>
    <w:rsid w:val="00E63616"/>
    <w:rsid w:val="00E6440E"/>
    <w:rsid w:val="00E644FD"/>
    <w:rsid w:val="00E6557A"/>
    <w:rsid w:val="00E65BBE"/>
    <w:rsid w:val="00E65E05"/>
    <w:rsid w:val="00E6697F"/>
    <w:rsid w:val="00E66DA5"/>
    <w:rsid w:val="00E67248"/>
    <w:rsid w:val="00E67822"/>
    <w:rsid w:val="00E67A3B"/>
    <w:rsid w:val="00E702D3"/>
    <w:rsid w:val="00E71374"/>
    <w:rsid w:val="00E726F0"/>
    <w:rsid w:val="00E72C88"/>
    <w:rsid w:val="00E74997"/>
    <w:rsid w:val="00E74EBF"/>
    <w:rsid w:val="00E75B38"/>
    <w:rsid w:val="00E75EA2"/>
    <w:rsid w:val="00E76B59"/>
    <w:rsid w:val="00E81334"/>
    <w:rsid w:val="00E82D76"/>
    <w:rsid w:val="00E830E7"/>
    <w:rsid w:val="00E8536B"/>
    <w:rsid w:val="00E86B65"/>
    <w:rsid w:val="00E8724B"/>
    <w:rsid w:val="00E9365D"/>
    <w:rsid w:val="00E938DB"/>
    <w:rsid w:val="00E94AEC"/>
    <w:rsid w:val="00E95D73"/>
    <w:rsid w:val="00E97027"/>
    <w:rsid w:val="00E978AC"/>
    <w:rsid w:val="00E97923"/>
    <w:rsid w:val="00E979A3"/>
    <w:rsid w:val="00EA05A1"/>
    <w:rsid w:val="00EA2B81"/>
    <w:rsid w:val="00EA2F4D"/>
    <w:rsid w:val="00EA3B25"/>
    <w:rsid w:val="00EA4253"/>
    <w:rsid w:val="00EA4C2E"/>
    <w:rsid w:val="00EA4E7A"/>
    <w:rsid w:val="00EA57B9"/>
    <w:rsid w:val="00EA7E64"/>
    <w:rsid w:val="00EB2BB7"/>
    <w:rsid w:val="00EB2F4D"/>
    <w:rsid w:val="00EB3909"/>
    <w:rsid w:val="00EB57EF"/>
    <w:rsid w:val="00EC076D"/>
    <w:rsid w:val="00EC0B3C"/>
    <w:rsid w:val="00EC1C30"/>
    <w:rsid w:val="00EC22BB"/>
    <w:rsid w:val="00EC334C"/>
    <w:rsid w:val="00EC402E"/>
    <w:rsid w:val="00EC47A7"/>
    <w:rsid w:val="00EC47A8"/>
    <w:rsid w:val="00EC5787"/>
    <w:rsid w:val="00EC57A9"/>
    <w:rsid w:val="00EC66CB"/>
    <w:rsid w:val="00EC6849"/>
    <w:rsid w:val="00EC6A4E"/>
    <w:rsid w:val="00EC6B16"/>
    <w:rsid w:val="00EC6E25"/>
    <w:rsid w:val="00ED1997"/>
    <w:rsid w:val="00ED2807"/>
    <w:rsid w:val="00ED316A"/>
    <w:rsid w:val="00ED375E"/>
    <w:rsid w:val="00ED3A24"/>
    <w:rsid w:val="00ED4E0F"/>
    <w:rsid w:val="00ED6E7F"/>
    <w:rsid w:val="00ED745C"/>
    <w:rsid w:val="00ED78A5"/>
    <w:rsid w:val="00EE180F"/>
    <w:rsid w:val="00EE2832"/>
    <w:rsid w:val="00EE30C0"/>
    <w:rsid w:val="00EE3698"/>
    <w:rsid w:val="00EE48C4"/>
    <w:rsid w:val="00EE5AEC"/>
    <w:rsid w:val="00EE5D60"/>
    <w:rsid w:val="00EE64A0"/>
    <w:rsid w:val="00EE65C8"/>
    <w:rsid w:val="00EE6904"/>
    <w:rsid w:val="00EE71A6"/>
    <w:rsid w:val="00EE7593"/>
    <w:rsid w:val="00EF0075"/>
    <w:rsid w:val="00EF0590"/>
    <w:rsid w:val="00EF0AD7"/>
    <w:rsid w:val="00EF1C5A"/>
    <w:rsid w:val="00EF228D"/>
    <w:rsid w:val="00EF4C44"/>
    <w:rsid w:val="00EF5BF7"/>
    <w:rsid w:val="00EF63FB"/>
    <w:rsid w:val="00F00518"/>
    <w:rsid w:val="00F02C6B"/>
    <w:rsid w:val="00F030CD"/>
    <w:rsid w:val="00F0372D"/>
    <w:rsid w:val="00F03D33"/>
    <w:rsid w:val="00F0588A"/>
    <w:rsid w:val="00F06281"/>
    <w:rsid w:val="00F06DD5"/>
    <w:rsid w:val="00F06EC5"/>
    <w:rsid w:val="00F0761B"/>
    <w:rsid w:val="00F10FF4"/>
    <w:rsid w:val="00F112A0"/>
    <w:rsid w:val="00F122A5"/>
    <w:rsid w:val="00F1284C"/>
    <w:rsid w:val="00F13CDC"/>
    <w:rsid w:val="00F14683"/>
    <w:rsid w:val="00F14BC1"/>
    <w:rsid w:val="00F152CA"/>
    <w:rsid w:val="00F16F19"/>
    <w:rsid w:val="00F2166F"/>
    <w:rsid w:val="00F22973"/>
    <w:rsid w:val="00F230B2"/>
    <w:rsid w:val="00F23740"/>
    <w:rsid w:val="00F26034"/>
    <w:rsid w:val="00F27ADA"/>
    <w:rsid w:val="00F32232"/>
    <w:rsid w:val="00F341BB"/>
    <w:rsid w:val="00F3506D"/>
    <w:rsid w:val="00F354D5"/>
    <w:rsid w:val="00F37679"/>
    <w:rsid w:val="00F4040A"/>
    <w:rsid w:val="00F40A11"/>
    <w:rsid w:val="00F41319"/>
    <w:rsid w:val="00F41754"/>
    <w:rsid w:val="00F41AB4"/>
    <w:rsid w:val="00F426AD"/>
    <w:rsid w:val="00F440CB"/>
    <w:rsid w:val="00F46F7D"/>
    <w:rsid w:val="00F502FF"/>
    <w:rsid w:val="00F51FF1"/>
    <w:rsid w:val="00F52326"/>
    <w:rsid w:val="00F532B9"/>
    <w:rsid w:val="00F54C83"/>
    <w:rsid w:val="00F5705C"/>
    <w:rsid w:val="00F57166"/>
    <w:rsid w:val="00F60AB1"/>
    <w:rsid w:val="00F60FE0"/>
    <w:rsid w:val="00F61C47"/>
    <w:rsid w:val="00F61E06"/>
    <w:rsid w:val="00F63BE5"/>
    <w:rsid w:val="00F657E0"/>
    <w:rsid w:val="00F66056"/>
    <w:rsid w:val="00F66990"/>
    <w:rsid w:val="00F67184"/>
    <w:rsid w:val="00F67291"/>
    <w:rsid w:val="00F67E9D"/>
    <w:rsid w:val="00F70EED"/>
    <w:rsid w:val="00F719C1"/>
    <w:rsid w:val="00F71BA5"/>
    <w:rsid w:val="00F74439"/>
    <w:rsid w:val="00F7547D"/>
    <w:rsid w:val="00F76572"/>
    <w:rsid w:val="00F76F8C"/>
    <w:rsid w:val="00F81948"/>
    <w:rsid w:val="00F8213D"/>
    <w:rsid w:val="00F83E58"/>
    <w:rsid w:val="00F84CD8"/>
    <w:rsid w:val="00F856B6"/>
    <w:rsid w:val="00F863F6"/>
    <w:rsid w:val="00F87517"/>
    <w:rsid w:val="00F907A4"/>
    <w:rsid w:val="00F90A60"/>
    <w:rsid w:val="00F90A9A"/>
    <w:rsid w:val="00F95C60"/>
    <w:rsid w:val="00F974B9"/>
    <w:rsid w:val="00F97B6D"/>
    <w:rsid w:val="00FA0E89"/>
    <w:rsid w:val="00FA2632"/>
    <w:rsid w:val="00FA358E"/>
    <w:rsid w:val="00FA37AF"/>
    <w:rsid w:val="00FA4877"/>
    <w:rsid w:val="00FA57F0"/>
    <w:rsid w:val="00FA6726"/>
    <w:rsid w:val="00FB35BF"/>
    <w:rsid w:val="00FB49C7"/>
    <w:rsid w:val="00FB650D"/>
    <w:rsid w:val="00FB655F"/>
    <w:rsid w:val="00FB727F"/>
    <w:rsid w:val="00FB7C92"/>
    <w:rsid w:val="00FB7E55"/>
    <w:rsid w:val="00FC050D"/>
    <w:rsid w:val="00FC115B"/>
    <w:rsid w:val="00FC1A71"/>
    <w:rsid w:val="00FC215F"/>
    <w:rsid w:val="00FC2895"/>
    <w:rsid w:val="00FC4201"/>
    <w:rsid w:val="00FC44EA"/>
    <w:rsid w:val="00FC69DA"/>
    <w:rsid w:val="00FC7810"/>
    <w:rsid w:val="00FD0539"/>
    <w:rsid w:val="00FD089B"/>
    <w:rsid w:val="00FD0A37"/>
    <w:rsid w:val="00FD0A67"/>
    <w:rsid w:val="00FD117A"/>
    <w:rsid w:val="00FD1724"/>
    <w:rsid w:val="00FD2180"/>
    <w:rsid w:val="00FD2DB9"/>
    <w:rsid w:val="00FD3753"/>
    <w:rsid w:val="00FD3C8C"/>
    <w:rsid w:val="00FD4E28"/>
    <w:rsid w:val="00FD5001"/>
    <w:rsid w:val="00FD6248"/>
    <w:rsid w:val="00FD6E2D"/>
    <w:rsid w:val="00FE071C"/>
    <w:rsid w:val="00FE12AF"/>
    <w:rsid w:val="00FE208B"/>
    <w:rsid w:val="00FE26AE"/>
    <w:rsid w:val="00FE31BD"/>
    <w:rsid w:val="00FE3BFB"/>
    <w:rsid w:val="00FE6015"/>
    <w:rsid w:val="00FE6978"/>
    <w:rsid w:val="00FE73A6"/>
    <w:rsid w:val="00FF03B2"/>
    <w:rsid w:val="00FF13D4"/>
    <w:rsid w:val="00FF1D61"/>
    <w:rsid w:val="00FF3624"/>
    <w:rsid w:val="00FF36D8"/>
    <w:rsid w:val="00FF5945"/>
    <w:rsid w:val="00FF61C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semiHidden="0" w:uiPriority="0" w:unhideWhenUsed="0" w:qFormat="1"/>
    <w:lsdException w:name="footnote reference" w:locked="1" w:semiHidden="0" w:uiPriority="0" w:unhideWhenUsed="0"/>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uiPriority="1"/>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22973"/>
    <w:rPr>
      <w:sz w:val="24"/>
      <w:szCs w:val="24"/>
    </w:rPr>
  </w:style>
  <w:style w:type="paragraph" w:styleId="Nagwek1">
    <w:name w:val="heading 1"/>
    <w:basedOn w:val="Normalny"/>
    <w:next w:val="Normalny"/>
    <w:link w:val="Nagwek1Znak"/>
    <w:uiPriority w:val="99"/>
    <w:qFormat/>
    <w:rsid w:val="00F22973"/>
    <w:pPr>
      <w:keepNext/>
      <w:tabs>
        <w:tab w:val="center" w:pos="4536"/>
        <w:tab w:val="right" w:pos="9072"/>
      </w:tabs>
      <w:ind w:left="340" w:hanging="340"/>
      <w:jc w:val="both"/>
      <w:outlineLvl w:val="0"/>
    </w:pPr>
    <w:rPr>
      <w:b/>
      <w:bCs/>
      <w:color w:val="000000"/>
      <w:kern w:val="28"/>
      <w:sz w:val="28"/>
      <w:szCs w:val="28"/>
    </w:rPr>
  </w:style>
  <w:style w:type="paragraph" w:styleId="Nagwek2">
    <w:name w:val="heading 2"/>
    <w:basedOn w:val="Normalny"/>
    <w:next w:val="Normalny"/>
    <w:link w:val="Nagwek2Znak"/>
    <w:uiPriority w:val="99"/>
    <w:qFormat/>
    <w:rsid w:val="00F22973"/>
    <w:pPr>
      <w:tabs>
        <w:tab w:val="center" w:pos="4536"/>
        <w:tab w:val="right" w:pos="9072"/>
      </w:tabs>
      <w:ind w:left="510" w:hanging="510"/>
      <w:jc w:val="both"/>
      <w:outlineLvl w:val="1"/>
    </w:pPr>
    <w:rPr>
      <w:b/>
      <w:bCs/>
      <w:color w:val="000000"/>
      <w:sz w:val="26"/>
      <w:szCs w:val="26"/>
    </w:rPr>
  </w:style>
  <w:style w:type="paragraph" w:styleId="Nagwek3">
    <w:name w:val="heading 3"/>
    <w:basedOn w:val="Nagwek2"/>
    <w:next w:val="ust2art"/>
    <w:link w:val="Nagwek3Znak"/>
    <w:autoRedefine/>
    <w:uiPriority w:val="99"/>
    <w:qFormat/>
    <w:rsid w:val="00F22973"/>
    <w:pPr>
      <w:spacing w:before="120"/>
      <w:ind w:left="0" w:firstLine="0"/>
      <w:outlineLvl w:val="2"/>
    </w:pPr>
    <w:rPr>
      <w:sz w:val="24"/>
      <w:lang w:val="en-US"/>
    </w:rPr>
  </w:style>
  <w:style w:type="paragraph" w:styleId="Nagwek4">
    <w:name w:val="heading 4"/>
    <w:basedOn w:val="Nagwek3"/>
    <w:link w:val="Nagwek4Znak"/>
    <w:uiPriority w:val="99"/>
    <w:qFormat/>
    <w:rsid w:val="00F22973"/>
    <w:pPr>
      <w:ind w:left="567" w:hanging="284"/>
      <w:outlineLvl w:val="3"/>
    </w:pPr>
    <w:rPr>
      <w:rFonts w:ascii="Arial PL" w:hAnsi="Arial PL" w:cs="Arial PL"/>
      <w:b w:val="0"/>
      <w:bCs w:val="0"/>
    </w:rPr>
  </w:style>
  <w:style w:type="paragraph" w:styleId="Nagwek5">
    <w:name w:val="heading 5"/>
    <w:basedOn w:val="Normalny"/>
    <w:next w:val="Normalny"/>
    <w:link w:val="Nagwek5Znak"/>
    <w:uiPriority w:val="99"/>
    <w:qFormat/>
    <w:rsid w:val="00F22973"/>
    <w:pPr>
      <w:keepNext/>
      <w:tabs>
        <w:tab w:val="center" w:pos="4536"/>
        <w:tab w:val="right" w:pos="9072"/>
      </w:tabs>
      <w:jc w:val="center"/>
      <w:outlineLvl w:val="4"/>
    </w:pPr>
    <w:rPr>
      <w:b/>
      <w:bCs/>
      <w:color w:val="000000"/>
    </w:rPr>
  </w:style>
  <w:style w:type="paragraph" w:styleId="Nagwek6">
    <w:name w:val="heading 6"/>
    <w:basedOn w:val="Normalny"/>
    <w:next w:val="Normalny"/>
    <w:link w:val="Nagwek6Znak"/>
    <w:uiPriority w:val="99"/>
    <w:qFormat/>
    <w:rsid w:val="00F22973"/>
    <w:pPr>
      <w:keepNext/>
      <w:tabs>
        <w:tab w:val="center" w:pos="4536"/>
        <w:tab w:val="right" w:pos="9072"/>
      </w:tabs>
      <w:jc w:val="center"/>
      <w:outlineLvl w:val="5"/>
    </w:pPr>
    <w:rPr>
      <w:b/>
      <w:bCs/>
      <w:color w:val="000000"/>
      <w:sz w:val="28"/>
      <w:szCs w:val="28"/>
    </w:rPr>
  </w:style>
  <w:style w:type="paragraph" w:styleId="Nagwek7">
    <w:name w:val="heading 7"/>
    <w:basedOn w:val="Normalny"/>
    <w:next w:val="Normalny"/>
    <w:link w:val="Nagwek7Znak"/>
    <w:uiPriority w:val="99"/>
    <w:qFormat/>
    <w:rsid w:val="00F22973"/>
    <w:pPr>
      <w:keepNext/>
      <w:tabs>
        <w:tab w:val="center" w:pos="4536"/>
        <w:tab w:val="right" w:pos="9072"/>
      </w:tabs>
      <w:jc w:val="both"/>
      <w:outlineLvl w:val="6"/>
    </w:pPr>
    <w:rPr>
      <w:b/>
      <w:bCs/>
      <w:color w:val="000000"/>
      <w:sz w:val="20"/>
      <w:szCs w:val="20"/>
    </w:rPr>
  </w:style>
  <w:style w:type="paragraph" w:styleId="Nagwek8">
    <w:name w:val="heading 8"/>
    <w:basedOn w:val="Normalny"/>
    <w:next w:val="Normalny"/>
    <w:link w:val="Nagwek8Znak"/>
    <w:uiPriority w:val="99"/>
    <w:qFormat/>
    <w:rsid w:val="00F22973"/>
    <w:pPr>
      <w:keepNext/>
      <w:tabs>
        <w:tab w:val="center" w:pos="4536"/>
        <w:tab w:val="right" w:pos="9072"/>
      </w:tabs>
      <w:jc w:val="both"/>
      <w:outlineLvl w:val="7"/>
    </w:pPr>
    <w:rPr>
      <w:rFonts w:ascii="Arial" w:hAnsi="Arial" w:cs="Arial"/>
      <w:b/>
      <w:bCs/>
      <w:color w:val="000000"/>
      <w:sz w:val="16"/>
      <w:szCs w:val="16"/>
    </w:rPr>
  </w:style>
  <w:style w:type="paragraph" w:styleId="Nagwek9">
    <w:name w:val="heading 9"/>
    <w:basedOn w:val="Normalny"/>
    <w:next w:val="Normalny"/>
    <w:link w:val="Nagwek9Znak"/>
    <w:uiPriority w:val="99"/>
    <w:qFormat/>
    <w:rsid w:val="00F22973"/>
    <w:pPr>
      <w:keepNext/>
      <w:tabs>
        <w:tab w:val="center" w:pos="4536"/>
        <w:tab w:val="right" w:pos="9072"/>
      </w:tabs>
      <w:jc w:val="both"/>
      <w:outlineLvl w:val="8"/>
    </w:pPr>
    <w:rPr>
      <w:b/>
      <w:bCs/>
      <w:color w:val="000000"/>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CF5A3E"/>
    <w:rPr>
      <w:rFonts w:ascii="Cambria" w:eastAsia="Times New Roman" w:hAnsi="Cambria" w:cs="Times New Roman"/>
      <w:b/>
      <w:bCs/>
      <w:kern w:val="32"/>
      <w:sz w:val="32"/>
      <w:szCs w:val="32"/>
    </w:rPr>
  </w:style>
  <w:style w:type="character" w:customStyle="1" w:styleId="Nagwek2Znak">
    <w:name w:val="Nagłówek 2 Znak"/>
    <w:link w:val="Nagwek2"/>
    <w:uiPriority w:val="9"/>
    <w:semiHidden/>
    <w:rsid w:val="00CF5A3E"/>
    <w:rPr>
      <w:rFonts w:ascii="Cambria" w:eastAsia="Times New Roman" w:hAnsi="Cambria" w:cs="Times New Roman"/>
      <w:b/>
      <w:bCs/>
      <w:i/>
      <w:iCs/>
      <w:sz w:val="28"/>
      <w:szCs w:val="28"/>
    </w:rPr>
  </w:style>
  <w:style w:type="character" w:customStyle="1" w:styleId="Nagwek3Znak">
    <w:name w:val="Nagłówek 3 Znak"/>
    <w:link w:val="Nagwek3"/>
    <w:uiPriority w:val="9"/>
    <w:semiHidden/>
    <w:rsid w:val="00CF5A3E"/>
    <w:rPr>
      <w:rFonts w:ascii="Cambria" w:eastAsia="Times New Roman" w:hAnsi="Cambria" w:cs="Times New Roman"/>
      <w:b/>
      <w:bCs/>
      <w:sz w:val="26"/>
      <w:szCs w:val="26"/>
    </w:rPr>
  </w:style>
  <w:style w:type="character" w:customStyle="1" w:styleId="Nagwek4Znak">
    <w:name w:val="Nagłówek 4 Znak"/>
    <w:link w:val="Nagwek4"/>
    <w:uiPriority w:val="9"/>
    <w:semiHidden/>
    <w:rsid w:val="00CF5A3E"/>
    <w:rPr>
      <w:rFonts w:ascii="Calibri" w:eastAsia="Times New Roman" w:hAnsi="Calibri" w:cs="Times New Roman"/>
      <w:b/>
      <w:bCs/>
      <w:sz w:val="28"/>
      <w:szCs w:val="28"/>
    </w:rPr>
  </w:style>
  <w:style w:type="character" w:customStyle="1" w:styleId="Nagwek5Znak">
    <w:name w:val="Nagłówek 5 Znak"/>
    <w:link w:val="Nagwek5"/>
    <w:uiPriority w:val="9"/>
    <w:semiHidden/>
    <w:rsid w:val="00CF5A3E"/>
    <w:rPr>
      <w:rFonts w:ascii="Calibri" w:eastAsia="Times New Roman" w:hAnsi="Calibri" w:cs="Times New Roman"/>
      <w:b/>
      <w:bCs/>
      <w:i/>
      <w:iCs/>
      <w:sz w:val="26"/>
      <w:szCs w:val="26"/>
    </w:rPr>
  </w:style>
  <w:style w:type="character" w:customStyle="1" w:styleId="Nagwek6Znak">
    <w:name w:val="Nagłówek 6 Znak"/>
    <w:link w:val="Nagwek6"/>
    <w:uiPriority w:val="9"/>
    <w:semiHidden/>
    <w:rsid w:val="00CF5A3E"/>
    <w:rPr>
      <w:rFonts w:ascii="Calibri" w:eastAsia="Times New Roman" w:hAnsi="Calibri" w:cs="Times New Roman"/>
      <w:b/>
      <w:bCs/>
    </w:rPr>
  </w:style>
  <w:style w:type="character" w:customStyle="1" w:styleId="Nagwek7Znak">
    <w:name w:val="Nagłówek 7 Znak"/>
    <w:link w:val="Nagwek7"/>
    <w:uiPriority w:val="9"/>
    <w:semiHidden/>
    <w:rsid w:val="00CF5A3E"/>
    <w:rPr>
      <w:rFonts w:ascii="Calibri" w:eastAsia="Times New Roman" w:hAnsi="Calibri" w:cs="Times New Roman"/>
      <w:sz w:val="24"/>
      <w:szCs w:val="24"/>
    </w:rPr>
  </w:style>
  <w:style w:type="character" w:customStyle="1" w:styleId="Nagwek8Znak">
    <w:name w:val="Nagłówek 8 Znak"/>
    <w:link w:val="Nagwek8"/>
    <w:uiPriority w:val="9"/>
    <w:semiHidden/>
    <w:rsid w:val="00CF5A3E"/>
    <w:rPr>
      <w:rFonts w:ascii="Calibri" w:eastAsia="Times New Roman" w:hAnsi="Calibri" w:cs="Times New Roman"/>
      <w:i/>
      <w:iCs/>
      <w:sz w:val="24"/>
      <w:szCs w:val="24"/>
    </w:rPr>
  </w:style>
  <w:style w:type="character" w:customStyle="1" w:styleId="Nagwek9Znak">
    <w:name w:val="Nagłówek 9 Znak"/>
    <w:link w:val="Nagwek9"/>
    <w:uiPriority w:val="9"/>
    <w:semiHidden/>
    <w:rsid w:val="00CF5A3E"/>
    <w:rPr>
      <w:rFonts w:ascii="Cambria" w:eastAsia="Times New Roman" w:hAnsi="Cambria" w:cs="Times New Roman"/>
    </w:rPr>
  </w:style>
  <w:style w:type="paragraph" w:styleId="Nagwek">
    <w:name w:val="header"/>
    <w:basedOn w:val="Normalny"/>
    <w:link w:val="NagwekZnak"/>
    <w:uiPriority w:val="99"/>
    <w:rsid w:val="00F22973"/>
    <w:pPr>
      <w:tabs>
        <w:tab w:val="center" w:pos="4536"/>
        <w:tab w:val="right" w:pos="9072"/>
      </w:tabs>
    </w:pPr>
  </w:style>
  <w:style w:type="character" w:customStyle="1" w:styleId="NagwekZnak">
    <w:name w:val="Nagłówek Znak"/>
    <w:link w:val="Nagwek"/>
    <w:uiPriority w:val="99"/>
    <w:semiHidden/>
    <w:rsid w:val="00CF5A3E"/>
    <w:rPr>
      <w:sz w:val="24"/>
      <w:szCs w:val="24"/>
    </w:rPr>
  </w:style>
  <w:style w:type="paragraph" w:styleId="Stopka">
    <w:name w:val="footer"/>
    <w:basedOn w:val="Normalny"/>
    <w:link w:val="StopkaZnak"/>
    <w:uiPriority w:val="99"/>
    <w:rsid w:val="00F22973"/>
    <w:pPr>
      <w:tabs>
        <w:tab w:val="center" w:pos="4536"/>
        <w:tab w:val="right" w:pos="9072"/>
      </w:tabs>
      <w:jc w:val="both"/>
    </w:pPr>
    <w:rPr>
      <w:color w:val="000000"/>
    </w:rPr>
  </w:style>
  <w:style w:type="character" w:customStyle="1" w:styleId="StopkaZnak">
    <w:name w:val="Stopka Znak"/>
    <w:link w:val="Stopka"/>
    <w:uiPriority w:val="99"/>
    <w:rsid w:val="00CF5A3E"/>
    <w:rPr>
      <w:sz w:val="24"/>
      <w:szCs w:val="24"/>
    </w:rPr>
  </w:style>
  <w:style w:type="paragraph" w:customStyle="1" w:styleId="stylT">
    <w:name w:val="stylT"/>
    <w:basedOn w:val="Normalny"/>
    <w:next w:val="Normalny"/>
    <w:uiPriority w:val="99"/>
    <w:rsid w:val="00F22973"/>
    <w:pPr>
      <w:keepLines/>
      <w:tabs>
        <w:tab w:val="center" w:pos="4536"/>
        <w:tab w:val="right" w:pos="9072"/>
      </w:tabs>
      <w:spacing w:after="120"/>
      <w:jc w:val="center"/>
    </w:pPr>
    <w:rPr>
      <w:color w:val="000000"/>
    </w:rPr>
  </w:style>
  <w:style w:type="paragraph" w:styleId="Tekstpodstawowy2">
    <w:name w:val="Body Text 2"/>
    <w:basedOn w:val="Normalny"/>
    <w:link w:val="Tekstpodstawowy2Znak"/>
    <w:autoRedefine/>
    <w:uiPriority w:val="99"/>
    <w:rsid w:val="00AF212C"/>
    <w:pPr>
      <w:tabs>
        <w:tab w:val="center" w:pos="4536"/>
        <w:tab w:val="right" w:pos="9072"/>
      </w:tabs>
      <w:spacing w:line="360" w:lineRule="auto"/>
      <w:ind w:firstLine="284"/>
      <w:jc w:val="both"/>
    </w:pPr>
    <w:rPr>
      <w:bCs/>
      <w:color w:val="000000"/>
    </w:rPr>
  </w:style>
  <w:style w:type="character" w:customStyle="1" w:styleId="Tekstpodstawowy2Znak">
    <w:name w:val="Tekst podstawowy 2 Znak"/>
    <w:link w:val="Tekstpodstawowy2"/>
    <w:uiPriority w:val="99"/>
    <w:rsid w:val="00AF212C"/>
    <w:rPr>
      <w:bCs/>
      <w:color w:val="000000"/>
      <w:sz w:val="24"/>
      <w:szCs w:val="24"/>
    </w:rPr>
  </w:style>
  <w:style w:type="character" w:styleId="Hipercze">
    <w:name w:val="Hyperlink"/>
    <w:uiPriority w:val="99"/>
    <w:rsid w:val="00F22973"/>
    <w:rPr>
      <w:rFonts w:cs="Times New Roman"/>
      <w:color w:val="0000FF"/>
      <w:u w:val="single"/>
    </w:rPr>
  </w:style>
  <w:style w:type="paragraph" w:styleId="NormalnyWeb">
    <w:name w:val="Normal (Web)"/>
    <w:basedOn w:val="Normalny"/>
    <w:uiPriority w:val="99"/>
    <w:rsid w:val="00F22973"/>
    <w:pPr>
      <w:tabs>
        <w:tab w:val="center" w:pos="4536"/>
        <w:tab w:val="right" w:pos="9072"/>
      </w:tabs>
      <w:spacing w:before="100" w:beforeAutospacing="1" w:after="100" w:afterAutospacing="1"/>
      <w:jc w:val="both"/>
    </w:pPr>
    <w:rPr>
      <w:rFonts w:ascii="Arial Unicode MS" w:eastAsia="Arial Unicode MS" w:hAnsi="Arial Unicode MS" w:cs="Arial Unicode MS"/>
      <w:color w:val="000000"/>
    </w:rPr>
  </w:style>
  <w:style w:type="character" w:styleId="Numerstrony">
    <w:name w:val="page number"/>
    <w:uiPriority w:val="99"/>
    <w:rsid w:val="00F22973"/>
    <w:rPr>
      <w:rFonts w:cs="Times New Roman"/>
    </w:rPr>
  </w:style>
  <w:style w:type="character" w:styleId="Odwoaniedokomentarza">
    <w:name w:val="annotation reference"/>
    <w:uiPriority w:val="99"/>
    <w:semiHidden/>
    <w:rsid w:val="00F22973"/>
    <w:rPr>
      <w:rFonts w:cs="Times New Roman"/>
      <w:sz w:val="16"/>
    </w:rPr>
  </w:style>
  <w:style w:type="character" w:styleId="Odwoanieprzypisudolnego">
    <w:name w:val="footnote reference"/>
    <w:aliases w:val="SUPERS,Footnote Reference Superscript,BVI fnr,Footnote symbol,Footnote,(Footnote Reference),Footnote reference number,note TESI,EN Footnote Reference,Voetnootverwijzing,Times 10 Point,Exposant 3 Point,Appel note de bas de"/>
    <w:uiPriority w:val="99"/>
    <w:semiHidden/>
    <w:rsid w:val="00F22973"/>
    <w:rPr>
      <w:rFonts w:cs="Times New Roman"/>
      <w:vertAlign w:val="superscript"/>
    </w:rPr>
  </w:style>
  <w:style w:type="paragraph" w:styleId="Mapadokumentu">
    <w:name w:val="Document Map"/>
    <w:basedOn w:val="Normalny"/>
    <w:link w:val="MapadokumentuZnak"/>
    <w:uiPriority w:val="99"/>
    <w:semiHidden/>
    <w:rsid w:val="00F22973"/>
    <w:pPr>
      <w:shd w:val="clear" w:color="auto" w:fill="000080"/>
      <w:tabs>
        <w:tab w:val="center" w:pos="4536"/>
        <w:tab w:val="right" w:pos="9072"/>
      </w:tabs>
      <w:jc w:val="both"/>
    </w:pPr>
    <w:rPr>
      <w:rFonts w:ascii="Tahoma" w:hAnsi="Tahoma" w:cs="Tahoma"/>
      <w:color w:val="000000"/>
    </w:rPr>
  </w:style>
  <w:style w:type="character" w:customStyle="1" w:styleId="MapadokumentuZnak">
    <w:name w:val="Mapa dokumentu Znak"/>
    <w:link w:val="Mapadokumentu"/>
    <w:uiPriority w:val="99"/>
    <w:semiHidden/>
    <w:rsid w:val="00CF5A3E"/>
    <w:rPr>
      <w:sz w:val="0"/>
      <w:szCs w:val="0"/>
    </w:rPr>
  </w:style>
  <w:style w:type="character" w:styleId="Pogrubienie">
    <w:name w:val="Strong"/>
    <w:uiPriority w:val="99"/>
    <w:qFormat/>
    <w:rsid w:val="00F22973"/>
    <w:rPr>
      <w:rFonts w:cs="Times New Roman"/>
      <w:b/>
    </w:rPr>
  </w:style>
  <w:style w:type="paragraph" w:styleId="Spistreci1">
    <w:name w:val="toc 1"/>
    <w:basedOn w:val="Normalny"/>
    <w:next w:val="Normalny"/>
    <w:autoRedefine/>
    <w:uiPriority w:val="99"/>
    <w:semiHidden/>
    <w:rsid w:val="00F22973"/>
    <w:pPr>
      <w:tabs>
        <w:tab w:val="left" w:pos="1800"/>
        <w:tab w:val="right" w:leader="dot" w:pos="9072"/>
      </w:tabs>
      <w:spacing w:before="120"/>
      <w:ind w:left="540" w:right="851" w:hanging="540"/>
      <w:jc w:val="both"/>
    </w:pPr>
    <w:rPr>
      <w:b/>
      <w:bCs/>
      <w:noProof/>
      <w:color w:val="000000"/>
    </w:rPr>
  </w:style>
  <w:style w:type="paragraph" w:styleId="Spistreci2">
    <w:name w:val="toc 2"/>
    <w:basedOn w:val="Normalny"/>
    <w:next w:val="Normalny"/>
    <w:autoRedefine/>
    <w:uiPriority w:val="99"/>
    <w:semiHidden/>
    <w:rsid w:val="00F22973"/>
    <w:pPr>
      <w:tabs>
        <w:tab w:val="right" w:leader="dot" w:pos="9072"/>
      </w:tabs>
      <w:ind w:left="1080" w:right="848" w:hanging="540"/>
      <w:jc w:val="both"/>
    </w:pPr>
    <w:rPr>
      <w:b/>
      <w:bCs/>
      <w:noProof/>
      <w:color w:val="000000"/>
    </w:rPr>
  </w:style>
  <w:style w:type="paragraph" w:styleId="Spistreci3">
    <w:name w:val="toc 3"/>
    <w:basedOn w:val="Normalny"/>
    <w:next w:val="Normalny"/>
    <w:autoRedefine/>
    <w:uiPriority w:val="99"/>
    <w:semiHidden/>
    <w:rsid w:val="00F22973"/>
    <w:pPr>
      <w:tabs>
        <w:tab w:val="left" w:pos="1800"/>
        <w:tab w:val="right" w:leader="dot" w:pos="9072"/>
      </w:tabs>
      <w:ind w:left="1800" w:hanging="666"/>
      <w:jc w:val="both"/>
    </w:pPr>
    <w:rPr>
      <w:noProof/>
      <w:color w:val="000000"/>
    </w:rPr>
  </w:style>
  <w:style w:type="paragraph" w:styleId="Spistreci4">
    <w:name w:val="toc 4"/>
    <w:basedOn w:val="Normalny"/>
    <w:next w:val="Normalny"/>
    <w:autoRedefine/>
    <w:uiPriority w:val="99"/>
    <w:semiHidden/>
    <w:rsid w:val="00F22973"/>
    <w:pPr>
      <w:tabs>
        <w:tab w:val="center" w:pos="4536"/>
        <w:tab w:val="right" w:pos="9072"/>
      </w:tabs>
      <w:ind w:left="720"/>
      <w:jc w:val="both"/>
    </w:pPr>
    <w:rPr>
      <w:color w:val="000000"/>
    </w:rPr>
  </w:style>
  <w:style w:type="paragraph" w:styleId="Spistreci5">
    <w:name w:val="toc 5"/>
    <w:basedOn w:val="Normalny"/>
    <w:next w:val="Normalny"/>
    <w:autoRedefine/>
    <w:uiPriority w:val="99"/>
    <w:semiHidden/>
    <w:rsid w:val="00F22973"/>
    <w:pPr>
      <w:tabs>
        <w:tab w:val="center" w:pos="4536"/>
        <w:tab w:val="right" w:pos="9072"/>
      </w:tabs>
      <w:ind w:left="960"/>
      <w:jc w:val="both"/>
    </w:pPr>
    <w:rPr>
      <w:color w:val="000000"/>
    </w:rPr>
  </w:style>
  <w:style w:type="paragraph" w:styleId="Spistreci6">
    <w:name w:val="toc 6"/>
    <w:basedOn w:val="Normalny"/>
    <w:next w:val="Normalny"/>
    <w:autoRedefine/>
    <w:uiPriority w:val="99"/>
    <w:semiHidden/>
    <w:rsid w:val="00F22973"/>
    <w:pPr>
      <w:tabs>
        <w:tab w:val="center" w:pos="4536"/>
        <w:tab w:val="right" w:pos="9072"/>
      </w:tabs>
      <w:ind w:left="1200"/>
      <w:jc w:val="both"/>
    </w:pPr>
    <w:rPr>
      <w:color w:val="000000"/>
    </w:rPr>
  </w:style>
  <w:style w:type="paragraph" w:styleId="Spistreci7">
    <w:name w:val="toc 7"/>
    <w:basedOn w:val="Normalny"/>
    <w:next w:val="Normalny"/>
    <w:autoRedefine/>
    <w:uiPriority w:val="99"/>
    <w:semiHidden/>
    <w:rsid w:val="00F22973"/>
    <w:pPr>
      <w:tabs>
        <w:tab w:val="center" w:pos="4536"/>
        <w:tab w:val="right" w:pos="9072"/>
      </w:tabs>
      <w:ind w:left="1440"/>
      <w:jc w:val="both"/>
    </w:pPr>
    <w:rPr>
      <w:color w:val="000000"/>
    </w:rPr>
  </w:style>
  <w:style w:type="paragraph" w:styleId="Spistreci8">
    <w:name w:val="toc 8"/>
    <w:basedOn w:val="Normalny"/>
    <w:next w:val="Normalny"/>
    <w:autoRedefine/>
    <w:uiPriority w:val="99"/>
    <w:semiHidden/>
    <w:rsid w:val="00F22973"/>
    <w:pPr>
      <w:tabs>
        <w:tab w:val="center" w:pos="4536"/>
        <w:tab w:val="right" w:pos="9072"/>
      </w:tabs>
      <w:ind w:left="1680"/>
      <w:jc w:val="both"/>
    </w:pPr>
    <w:rPr>
      <w:color w:val="000000"/>
    </w:rPr>
  </w:style>
  <w:style w:type="paragraph" w:styleId="Spistreci9">
    <w:name w:val="toc 9"/>
    <w:basedOn w:val="Normalny"/>
    <w:next w:val="Normalny"/>
    <w:autoRedefine/>
    <w:uiPriority w:val="99"/>
    <w:semiHidden/>
    <w:rsid w:val="00F22973"/>
    <w:pPr>
      <w:tabs>
        <w:tab w:val="center" w:pos="4536"/>
        <w:tab w:val="right" w:pos="9072"/>
      </w:tabs>
      <w:ind w:left="1920"/>
      <w:jc w:val="both"/>
    </w:pPr>
    <w:rPr>
      <w:color w:val="000000"/>
    </w:rPr>
  </w:style>
  <w:style w:type="paragraph" w:customStyle="1" w:styleId="Stylakapit">
    <w:name w:val="Styl akapit"/>
    <w:basedOn w:val="Normalny"/>
    <w:uiPriority w:val="99"/>
    <w:rsid w:val="00F22973"/>
    <w:pPr>
      <w:tabs>
        <w:tab w:val="center" w:pos="4536"/>
        <w:tab w:val="right" w:pos="9072"/>
      </w:tabs>
      <w:spacing w:before="120" w:line="360" w:lineRule="auto"/>
      <w:ind w:firstLine="425"/>
      <w:jc w:val="both"/>
    </w:pPr>
    <w:rPr>
      <w:color w:val="000000"/>
    </w:rPr>
  </w:style>
  <w:style w:type="paragraph" w:customStyle="1" w:styleId="Stylwyliczanie">
    <w:name w:val="Styl wyliczanie"/>
    <w:basedOn w:val="Normalny"/>
    <w:uiPriority w:val="99"/>
    <w:rsid w:val="00F22973"/>
    <w:pPr>
      <w:numPr>
        <w:numId w:val="3"/>
      </w:numPr>
      <w:tabs>
        <w:tab w:val="center" w:pos="4536"/>
        <w:tab w:val="right" w:pos="9072"/>
      </w:tabs>
      <w:spacing w:before="120"/>
      <w:jc w:val="both"/>
    </w:pPr>
    <w:rPr>
      <w:color w:val="000000"/>
    </w:rPr>
  </w:style>
  <w:style w:type="paragraph" w:customStyle="1" w:styleId="styl0">
    <w:name w:val="styl0"/>
    <w:basedOn w:val="Normalny"/>
    <w:uiPriority w:val="99"/>
    <w:rsid w:val="00F22973"/>
    <w:pPr>
      <w:tabs>
        <w:tab w:val="center" w:pos="4536"/>
        <w:tab w:val="right" w:pos="9072"/>
      </w:tabs>
      <w:jc w:val="both"/>
    </w:pPr>
    <w:rPr>
      <w:color w:val="000000"/>
    </w:rPr>
  </w:style>
  <w:style w:type="paragraph" w:customStyle="1" w:styleId="Styl1">
    <w:name w:val="Styl1"/>
    <w:basedOn w:val="Normalny"/>
    <w:uiPriority w:val="99"/>
    <w:rsid w:val="00F22973"/>
    <w:pPr>
      <w:tabs>
        <w:tab w:val="center" w:pos="4536"/>
        <w:tab w:val="right" w:pos="9072"/>
      </w:tabs>
      <w:ind w:left="227" w:hanging="227"/>
      <w:jc w:val="both"/>
    </w:pPr>
    <w:rPr>
      <w:color w:val="000000"/>
    </w:rPr>
  </w:style>
  <w:style w:type="paragraph" w:customStyle="1" w:styleId="styl2">
    <w:name w:val="styl2"/>
    <w:basedOn w:val="Normalny"/>
    <w:uiPriority w:val="99"/>
    <w:rsid w:val="00F22973"/>
    <w:pPr>
      <w:tabs>
        <w:tab w:val="center" w:pos="4536"/>
        <w:tab w:val="right" w:pos="9072"/>
      </w:tabs>
      <w:ind w:left="340" w:hanging="340"/>
      <w:jc w:val="both"/>
    </w:pPr>
    <w:rPr>
      <w:color w:val="000000"/>
    </w:rPr>
  </w:style>
  <w:style w:type="paragraph" w:customStyle="1" w:styleId="Style0">
    <w:name w:val="Style0"/>
    <w:basedOn w:val="Normalny"/>
    <w:uiPriority w:val="99"/>
    <w:rsid w:val="00F22973"/>
    <w:pPr>
      <w:tabs>
        <w:tab w:val="center" w:pos="4536"/>
        <w:tab w:val="right" w:pos="9072"/>
      </w:tabs>
      <w:spacing w:line="312" w:lineRule="atLeast"/>
      <w:jc w:val="both"/>
    </w:pPr>
    <w:rPr>
      <w:rFonts w:ascii="Arial PL" w:hAnsi="Arial PL" w:cs="Arial PL"/>
      <w:color w:val="000000"/>
    </w:rPr>
  </w:style>
  <w:style w:type="paragraph" w:customStyle="1" w:styleId="StyleT">
    <w:name w:val="StyleT"/>
    <w:basedOn w:val="styl0"/>
    <w:next w:val="Normalny"/>
    <w:uiPriority w:val="99"/>
    <w:rsid w:val="00F22973"/>
    <w:pPr>
      <w:keepLines/>
      <w:tabs>
        <w:tab w:val="clear" w:pos="9072"/>
      </w:tabs>
      <w:spacing w:before="240"/>
      <w:jc w:val="right"/>
    </w:pPr>
    <w:rPr>
      <w:color w:val="auto"/>
    </w:rPr>
  </w:style>
  <w:style w:type="paragraph" w:customStyle="1" w:styleId="StylTcd">
    <w:name w:val="StylTcd"/>
    <w:basedOn w:val="stylT"/>
    <w:next w:val="styl0"/>
    <w:uiPriority w:val="99"/>
    <w:rsid w:val="00F22973"/>
    <w:pPr>
      <w:jc w:val="right"/>
    </w:pPr>
  </w:style>
  <w:style w:type="paragraph" w:customStyle="1" w:styleId="stylTN">
    <w:name w:val="stylTN"/>
    <w:basedOn w:val="Normalny"/>
    <w:next w:val="styl0"/>
    <w:uiPriority w:val="99"/>
    <w:rsid w:val="00F22973"/>
    <w:pPr>
      <w:keepLines/>
      <w:tabs>
        <w:tab w:val="center" w:pos="4536"/>
        <w:tab w:val="right" w:pos="9072"/>
      </w:tabs>
      <w:spacing w:after="120"/>
      <w:jc w:val="center"/>
    </w:pPr>
    <w:rPr>
      <w:color w:val="000000"/>
    </w:rPr>
  </w:style>
  <w:style w:type="paragraph" w:styleId="Tekstkomentarza">
    <w:name w:val="annotation text"/>
    <w:basedOn w:val="Normalny"/>
    <w:link w:val="TekstkomentarzaZnak"/>
    <w:uiPriority w:val="99"/>
    <w:semiHidden/>
    <w:rsid w:val="00F22973"/>
    <w:pPr>
      <w:tabs>
        <w:tab w:val="center" w:pos="4536"/>
        <w:tab w:val="right" w:pos="9072"/>
      </w:tabs>
      <w:jc w:val="both"/>
    </w:pPr>
    <w:rPr>
      <w:color w:val="000000"/>
      <w:sz w:val="20"/>
      <w:szCs w:val="20"/>
    </w:rPr>
  </w:style>
  <w:style w:type="character" w:customStyle="1" w:styleId="TekstkomentarzaZnak">
    <w:name w:val="Tekst komentarza Znak"/>
    <w:link w:val="Tekstkomentarza"/>
    <w:uiPriority w:val="99"/>
    <w:semiHidden/>
    <w:rsid w:val="00CF5A3E"/>
    <w:rPr>
      <w:sz w:val="20"/>
      <w:szCs w:val="20"/>
    </w:rPr>
  </w:style>
  <w:style w:type="paragraph" w:styleId="Tekstpodstawowy">
    <w:name w:val="Body Text"/>
    <w:basedOn w:val="Normalny"/>
    <w:link w:val="TekstpodstawowyZnak"/>
    <w:uiPriority w:val="99"/>
    <w:rsid w:val="00F22973"/>
    <w:pPr>
      <w:tabs>
        <w:tab w:val="center" w:pos="4536"/>
        <w:tab w:val="right" w:pos="9072"/>
      </w:tabs>
      <w:spacing w:before="120" w:line="360" w:lineRule="auto"/>
      <w:jc w:val="both"/>
    </w:pPr>
    <w:rPr>
      <w:color w:val="000000"/>
      <w:lang w:val="en-GB"/>
    </w:rPr>
  </w:style>
  <w:style w:type="character" w:customStyle="1" w:styleId="TekstpodstawowyZnak">
    <w:name w:val="Tekst podstawowy Znak"/>
    <w:link w:val="Tekstpodstawowy"/>
    <w:uiPriority w:val="99"/>
    <w:semiHidden/>
    <w:rsid w:val="00CF5A3E"/>
    <w:rPr>
      <w:sz w:val="24"/>
      <w:szCs w:val="24"/>
    </w:rPr>
  </w:style>
  <w:style w:type="paragraph" w:styleId="Tekstpodstawowywcity2">
    <w:name w:val="Body Text Indent 2"/>
    <w:basedOn w:val="Normalny"/>
    <w:link w:val="Tekstpodstawowywcity2Znak"/>
    <w:uiPriority w:val="99"/>
    <w:rsid w:val="00F22973"/>
    <w:pPr>
      <w:ind w:firstLine="709"/>
    </w:pPr>
  </w:style>
  <w:style w:type="character" w:customStyle="1" w:styleId="Tekstpodstawowywcity2Znak">
    <w:name w:val="Tekst podstawowy wcięty 2 Znak"/>
    <w:link w:val="Tekstpodstawowywcity2"/>
    <w:uiPriority w:val="99"/>
    <w:semiHidden/>
    <w:rsid w:val="00CF5A3E"/>
    <w:rPr>
      <w:sz w:val="24"/>
      <w:szCs w:val="24"/>
    </w:rPr>
  </w:style>
  <w:style w:type="paragraph" w:styleId="Tekstprzypisudolnego">
    <w:name w:val="footnote text"/>
    <w:basedOn w:val="Normalny"/>
    <w:link w:val="TekstprzypisudolnegoZnak"/>
    <w:uiPriority w:val="99"/>
    <w:semiHidden/>
    <w:rsid w:val="00F22973"/>
    <w:rPr>
      <w:sz w:val="20"/>
      <w:szCs w:val="20"/>
    </w:rPr>
  </w:style>
  <w:style w:type="character" w:customStyle="1" w:styleId="TekstprzypisudolnegoZnak">
    <w:name w:val="Tekst przypisu dolnego Znak"/>
    <w:link w:val="Tekstprzypisudolnego"/>
    <w:uiPriority w:val="99"/>
    <w:semiHidden/>
    <w:rsid w:val="00CF5A3E"/>
    <w:rPr>
      <w:sz w:val="20"/>
      <w:szCs w:val="20"/>
    </w:rPr>
  </w:style>
  <w:style w:type="paragraph" w:styleId="Tytu">
    <w:name w:val="Title"/>
    <w:basedOn w:val="Normalny"/>
    <w:link w:val="TytuZnak"/>
    <w:uiPriority w:val="99"/>
    <w:qFormat/>
    <w:rsid w:val="00F22973"/>
    <w:pPr>
      <w:tabs>
        <w:tab w:val="center" w:pos="4536"/>
        <w:tab w:val="right" w:pos="9072"/>
      </w:tabs>
      <w:jc w:val="center"/>
    </w:pPr>
    <w:rPr>
      <w:b/>
      <w:bCs/>
      <w:color w:val="000000"/>
      <w:sz w:val="32"/>
      <w:szCs w:val="32"/>
    </w:rPr>
  </w:style>
  <w:style w:type="character" w:customStyle="1" w:styleId="TytuZnak">
    <w:name w:val="Tytuł Znak"/>
    <w:link w:val="Tytu"/>
    <w:uiPriority w:val="10"/>
    <w:rsid w:val="00CF5A3E"/>
    <w:rPr>
      <w:rFonts w:ascii="Cambria" w:eastAsia="Times New Roman" w:hAnsi="Cambria" w:cs="Times New Roman"/>
      <w:b/>
      <w:bCs/>
      <w:kern w:val="28"/>
      <w:sz w:val="32"/>
      <w:szCs w:val="32"/>
    </w:rPr>
  </w:style>
  <w:style w:type="character" w:styleId="UyteHipercze">
    <w:name w:val="FollowedHyperlink"/>
    <w:uiPriority w:val="99"/>
    <w:rsid w:val="00F22973"/>
    <w:rPr>
      <w:rFonts w:cs="Times New Roman"/>
      <w:color w:val="800080"/>
      <w:u w:val="single"/>
    </w:rPr>
  </w:style>
  <w:style w:type="paragraph" w:styleId="Tekstpodstawowywcity3">
    <w:name w:val="Body Text Indent 3"/>
    <w:basedOn w:val="Normalny"/>
    <w:link w:val="Tekstpodstawowywcity3Znak"/>
    <w:uiPriority w:val="99"/>
    <w:rsid w:val="00F22973"/>
    <w:pPr>
      <w:spacing w:line="360" w:lineRule="auto"/>
      <w:ind w:firstLine="284"/>
      <w:jc w:val="both"/>
    </w:pPr>
  </w:style>
  <w:style w:type="character" w:customStyle="1" w:styleId="Tekstpodstawowywcity3Znak">
    <w:name w:val="Tekst podstawowy wcięty 3 Znak"/>
    <w:link w:val="Tekstpodstawowywcity3"/>
    <w:uiPriority w:val="99"/>
    <w:semiHidden/>
    <w:rsid w:val="00CF5A3E"/>
    <w:rPr>
      <w:sz w:val="16"/>
      <w:szCs w:val="16"/>
    </w:rPr>
  </w:style>
  <w:style w:type="paragraph" w:styleId="Tekstpodstawowy3">
    <w:name w:val="Body Text 3"/>
    <w:basedOn w:val="Normalny"/>
    <w:link w:val="Tekstpodstawowy3Znak"/>
    <w:uiPriority w:val="99"/>
    <w:rsid w:val="00F22973"/>
    <w:pPr>
      <w:jc w:val="center"/>
    </w:pPr>
    <w:rPr>
      <w:rFonts w:ascii="Arial" w:hAnsi="Arial" w:cs="Arial"/>
      <w:i/>
      <w:iCs/>
      <w:color w:val="000000"/>
      <w:sz w:val="28"/>
      <w:szCs w:val="28"/>
    </w:rPr>
  </w:style>
  <w:style w:type="character" w:customStyle="1" w:styleId="Tekstpodstawowy3Znak">
    <w:name w:val="Tekst podstawowy 3 Znak"/>
    <w:link w:val="Tekstpodstawowy3"/>
    <w:uiPriority w:val="99"/>
    <w:semiHidden/>
    <w:rsid w:val="00CF5A3E"/>
    <w:rPr>
      <w:sz w:val="16"/>
      <w:szCs w:val="16"/>
    </w:rPr>
  </w:style>
  <w:style w:type="paragraph" w:customStyle="1" w:styleId="Zwykly">
    <w:name w:val="Zwykly"/>
    <w:basedOn w:val="Normalny"/>
    <w:uiPriority w:val="99"/>
    <w:rsid w:val="00F22973"/>
    <w:pPr>
      <w:keepLines/>
      <w:overflowPunct w:val="0"/>
      <w:autoSpaceDE w:val="0"/>
      <w:autoSpaceDN w:val="0"/>
      <w:adjustRightInd w:val="0"/>
      <w:spacing w:before="120" w:line="360" w:lineRule="atLeast"/>
      <w:ind w:firstLine="397"/>
      <w:jc w:val="both"/>
      <w:textAlignment w:val="baseline"/>
    </w:pPr>
    <w:rPr>
      <w:lang w:val="en-GB"/>
    </w:rPr>
  </w:style>
  <w:style w:type="paragraph" w:customStyle="1" w:styleId="wciecie1">
    <w:name w:val="wciecie1"/>
    <w:basedOn w:val="Normalny"/>
    <w:uiPriority w:val="99"/>
    <w:rsid w:val="00F22973"/>
    <w:pPr>
      <w:widowControl w:val="0"/>
      <w:tabs>
        <w:tab w:val="left" w:pos="851"/>
      </w:tabs>
      <w:spacing w:line="360" w:lineRule="auto"/>
      <w:ind w:left="851" w:hanging="284"/>
      <w:jc w:val="both"/>
    </w:pPr>
    <w:rPr>
      <w:lang w:val="en-GB"/>
    </w:rPr>
  </w:style>
  <w:style w:type="paragraph" w:customStyle="1" w:styleId="TOCBase">
    <w:name w:val="TOC Base"/>
    <w:basedOn w:val="Normalny"/>
    <w:uiPriority w:val="99"/>
    <w:rsid w:val="00F22973"/>
    <w:pPr>
      <w:tabs>
        <w:tab w:val="right" w:leader="dot" w:pos="6480"/>
      </w:tabs>
      <w:spacing w:after="240" w:line="240" w:lineRule="atLeast"/>
      <w:jc w:val="both"/>
    </w:pPr>
    <w:rPr>
      <w:rFonts w:ascii="Arial" w:hAnsi="Arial" w:cs="Arial"/>
      <w:spacing w:val="-5"/>
      <w:sz w:val="20"/>
      <w:szCs w:val="20"/>
      <w:lang w:val="en-GB"/>
    </w:rPr>
  </w:style>
  <w:style w:type="paragraph" w:customStyle="1" w:styleId="xl24">
    <w:name w:val="xl24"/>
    <w:basedOn w:val="Normalny"/>
    <w:uiPriority w:val="99"/>
    <w:rsid w:val="00F22973"/>
    <w:pPr>
      <w:spacing w:before="100" w:after="100"/>
    </w:pPr>
    <w:rPr>
      <w:rFonts w:ascii="Arial" w:eastAsia="Arial Unicode MS" w:hAnsi="Arial" w:cs="Arial"/>
      <w:sz w:val="18"/>
      <w:szCs w:val="18"/>
      <w:lang w:val="en-GB"/>
    </w:rPr>
  </w:style>
  <w:style w:type="paragraph" w:customStyle="1" w:styleId="TableHeader">
    <w:name w:val="Table Header"/>
    <w:basedOn w:val="Normalny"/>
    <w:uiPriority w:val="99"/>
    <w:rsid w:val="00F22973"/>
    <w:pPr>
      <w:spacing w:before="60"/>
      <w:jc w:val="center"/>
    </w:pPr>
    <w:rPr>
      <w:rFonts w:ascii="Arial Black" w:hAnsi="Arial Black" w:cs="Arial Black"/>
      <w:spacing w:val="-5"/>
      <w:sz w:val="16"/>
      <w:szCs w:val="16"/>
      <w:lang w:val="en-GB"/>
    </w:rPr>
  </w:style>
  <w:style w:type="paragraph" w:styleId="Legenda">
    <w:name w:val="caption"/>
    <w:basedOn w:val="Normalny"/>
    <w:next w:val="Normalny"/>
    <w:uiPriority w:val="99"/>
    <w:qFormat/>
    <w:rsid w:val="00F22973"/>
    <w:pPr>
      <w:spacing w:before="120" w:after="120"/>
    </w:pPr>
    <w:rPr>
      <w:b/>
      <w:bCs/>
      <w:sz w:val="20"/>
      <w:szCs w:val="20"/>
    </w:rPr>
  </w:style>
  <w:style w:type="paragraph" w:styleId="Lista2">
    <w:name w:val="List 2"/>
    <w:basedOn w:val="Normalny"/>
    <w:uiPriority w:val="99"/>
    <w:rsid w:val="00F22973"/>
    <w:pPr>
      <w:tabs>
        <w:tab w:val="center" w:pos="4536"/>
        <w:tab w:val="right" w:pos="9072"/>
      </w:tabs>
      <w:ind w:left="566" w:hanging="283"/>
      <w:jc w:val="both"/>
    </w:pPr>
    <w:rPr>
      <w:color w:val="000000"/>
      <w:lang w:val="en-GB"/>
    </w:rPr>
  </w:style>
  <w:style w:type="paragraph" w:customStyle="1" w:styleId="Styl3">
    <w:name w:val="Styl3"/>
    <w:basedOn w:val="Styl1"/>
    <w:uiPriority w:val="99"/>
    <w:rsid w:val="00F22973"/>
    <w:pPr>
      <w:ind w:left="340" w:hanging="113"/>
    </w:pPr>
  </w:style>
  <w:style w:type="paragraph" w:customStyle="1" w:styleId="Styl4">
    <w:name w:val="Styl4"/>
    <w:basedOn w:val="styl2"/>
    <w:uiPriority w:val="99"/>
    <w:rsid w:val="00F22973"/>
    <w:pPr>
      <w:ind w:left="453" w:hanging="113"/>
    </w:pPr>
  </w:style>
  <w:style w:type="paragraph" w:customStyle="1" w:styleId="Style3">
    <w:name w:val="Style3"/>
    <w:basedOn w:val="Normalny"/>
    <w:uiPriority w:val="99"/>
    <w:rsid w:val="00F22973"/>
    <w:pPr>
      <w:tabs>
        <w:tab w:val="center" w:pos="4536"/>
        <w:tab w:val="right" w:pos="9072"/>
      </w:tabs>
      <w:spacing w:line="312" w:lineRule="atLeast"/>
      <w:ind w:left="426" w:hanging="142"/>
      <w:jc w:val="both"/>
    </w:pPr>
    <w:rPr>
      <w:color w:val="000000"/>
    </w:rPr>
  </w:style>
  <w:style w:type="paragraph" w:styleId="Tekstblokowy">
    <w:name w:val="Block Text"/>
    <w:basedOn w:val="Normalny"/>
    <w:uiPriority w:val="99"/>
    <w:rsid w:val="00F22973"/>
    <w:pPr>
      <w:spacing w:line="360" w:lineRule="auto"/>
      <w:ind w:left="360" w:right="382"/>
      <w:jc w:val="both"/>
    </w:pPr>
  </w:style>
  <w:style w:type="paragraph" w:styleId="Tekstdymka">
    <w:name w:val="Balloon Text"/>
    <w:basedOn w:val="Normalny"/>
    <w:link w:val="TekstdymkaZnak"/>
    <w:uiPriority w:val="99"/>
    <w:semiHidden/>
    <w:rsid w:val="00F22973"/>
    <w:rPr>
      <w:rFonts w:ascii="Tahoma" w:hAnsi="Tahoma" w:cs="Tahoma"/>
      <w:sz w:val="16"/>
      <w:szCs w:val="16"/>
    </w:rPr>
  </w:style>
  <w:style w:type="character" w:customStyle="1" w:styleId="TekstdymkaZnak">
    <w:name w:val="Tekst dymka Znak"/>
    <w:link w:val="Tekstdymka"/>
    <w:uiPriority w:val="99"/>
    <w:semiHidden/>
    <w:rsid w:val="00CF5A3E"/>
    <w:rPr>
      <w:sz w:val="0"/>
      <w:szCs w:val="0"/>
    </w:rPr>
  </w:style>
  <w:style w:type="paragraph" w:styleId="Listapunktowana">
    <w:name w:val="List Bullet"/>
    <w:basedOn w:val="Normalny"/>
    <w:autoRedefine/>
    <w:uiPriority w:val="99"/>
    <w:rsid w:val="00F22973"/>
    <w:pPr>
      <w:numPr>
        <w:numId w:val="4"/>
      </w:numPr>
      <w:ind w:left="360"/>
    </w:pPr>
  </w:style>
  <w:style w:type="paragraph" w:customStyle="1" w:styleId="xl25">
    <w:name w:val="xl25"/>
    <w:basedOn w:val="Normalny"/>
    <w:uiPriority w:val="99"/>
    <w:rsid w:val="00F2297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26">
    <w:name w:val="xl26"/>
    <w:basedOn w:val="Normalny"/>
    <w:uiPriority w:val="99"/>
    <w:rsid w:val="00F2297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tekst">
    <w:name w:val="tekst"/>
    <w:basedOn w:val="Normalny"/>
    <w:uiPriority w:val="99"/>
    <w:rsid w:val="00F22973"/>
    <w:pPr>
      <w:suppressLineNumbers/>
      <w:spacing w:before="60" w:after="60"/>
      <w:jc w:val="both"/>
    </w:pPr>
    <w:rPr>
      <w:sz w:val="22"/>
      <w:szCs w:val="22"/>
    </w:rPr>
  </w:style>
  <w:style w:type="character" w:customStyle="1" w:styleId="untertitel1">
    <w:name w:val="untertitel1"/>
    <w:uiPriority w:val="99"/>
    <w:rsid w:val="00F22973"/>
    <w:rPr>
      <w:b/>
      <w:color w:val="auto"/>
      <w:spacing w:val="330"/>
      <w:sz w:val="18"/>
    </w:rPr>
  </w:style>
  <w:style w:type="paragraph" w:styleId="Tekstprzypisukocowego">
    <w:name w:val="endnote text"/>
    <w:basedOn w:val="Normalny"/>
    <w:link w:val="TekstprzypisukocowegoZnak"/>
    <w:uiPriority w:val="99"/>
    <w:semiHidden/>
    <w:rsid w:val="00F22973"/>
    <w:rPr>
      <w:sz w:val="20"/>
      <w:szCs w:val="20"/>
    </w:rPr>
  </w:style>
  <w:style w:type="character" w:customStyle="1" w:styleId="TekstprzypisukocowegoZnak">
    <w:name w:val="Tekst przypisu końcowego Znak"/>
    <w:link w:val="Tekstprzypisukocowego"/>
    <w:uiPriority w:val="99"/>
    <w:semiHidden/>
    <w:rsid w:val="00CF5A3E"/>
    <w:rPr>
      <w:sz w:val="20"/>
      <w:szCs w:val="20"/>
    </w:rPr>
  </w:style>
  <w:style w:type="character" w:styleId="Odwoanieprzypisukocowego">
    <w:name w:val="endnote reference"/>
    <w:uiPriority w:val="99"/>
    <w:semiHidden/>
    <w:rsid w:val="00F22973"/>
    <w:rPr>
      <w:rFonts w:cs="Times New Roman"/>
      <w:vertAlign w:val="superscript"/>
    </w:rPr>
  </w:style>
  <w:style w:type="paragraph" w:styleId="Tematkomentarza">
    <w:name w:val="annotation subject"/>
    <w:basedOn w:val="Tekstkomentarza"/>
    <w:next w:val="Tekstkomentarza"/>
    <w:link w:val="TematkomentarzaZnak"/>
    <w:uiPriority w:val="99"/>
    <w:semiHidden/>
    <w:rsid w:val="00F22973"/>
    <w:pPr>
      <w:tabs>
        <w:tab w:val="clear" w:pos="4536"/>
        <w:tab w:val="clear" w:pos="9072"/>
      </w:tabs>
      <w:jc w:val="left"/>
    </w:pPr>
    <w:rPr>
      <w:b/>
      <w:bCs/>
      <w:color w:val="auto"/>
    </w:rPr>
  </w:style>
  <w:style w:type="character" w:customStyle="1" w:styleId="TematkomentarzaZnak">
    <w:name w:val="Temat komentarza Znak"/>
    <w:link w:val="Tematkomentarza"/>
    <w:uiPriority w:val="99"/>
    <w:semiHidden/>
    <w:rsid w:val="00CF5A3E"/>
    <w:rPr>
      <w:b/>
      <w:bCs/>
      <w:sz w:val="20"/>
      <w:szCs w:val="20"/>
    </w:rPr>
  </w:style>
  <w:style w:type="character" w:customStyle="1" w:styleId="StylakapitZnak">
    <w:name w:val="Styl akapit Znak"/>
    <w:uiPriority w:val="99"/>
    <w:rsid w:val="00F22973"/>
    <w:rPr>
      <w:color w:val="000000"/>
      <w:sz w:val="24"/>
      <w:lang w:val="pl-PL" w:eastAsia="pl-PL"/>
    </w:rPr>
  </w:style>
  <w:style w:type="character" w:customStyle="1" w:styleId="styl0Znak">
    <w:name w:val="styl0 Znak"/>
    <w:uiPriority w:val="99"/>
    <w:rsid w:val="00F22973"/>
    <w:rPr>
      <w:color w:val="000000"/>
      <w:sz w:val="24"/>
      <w:lang w:val="pl-PL" w:eastAsia="pl-PL"/>
    </w:rPr>
  </w:style>
  <w:style w:type="paragraph" w:customStyle="1" w:styleId="WYliczanieFB">
    <w:name w:val="WYliczanie(FB)"/>
    <w:basedOn w:val="Normalny"/>
    <w:uiPriority w:val="99"/>
    <w:rsid w:val="00F22973"/>
    <w:pPr>
      <w:tabs>
        <w:tab w:val="center" w:pos="4536"/>
        <w:tab w:val="right" w:pos="9072"/>
      </w:tabs>
      <w:spacing w:before="120"/>
    </w:pPr>
    <w:rPr>
      <w:rFonts w:ascii="Arial" w:hAnsi="Arial" w:cs="Arial"/>
    </w:rPr>
  </w:style>
  <w:style w:type="paragraph" w:customStyle="1" w:styleId="Tytuwykresw">
    <w:name w:val="Tytuł wykresów"/>
    <w:basedOn w:val="Normalny"/>
    <w:next w:val="Normalny"/>
    <w:uiPriority w:val="99"/>
    <w:rsid w:val="00F22973"/>
    <w:pPr>
      <w:tabs>
        <w:tab w:val="num" w:pos="1191"/>
      </w:tabs>
      <w:ind w:left="1191" w:hanging="1191"/>
    </w:pPr>
  </w:style>
  <w:style w:type="character" w:customStyle="1" w:styleId="styl0Znak1">
    <w:name w:val="styl0 Znak1"/>
    <w:uiPriority w:val="99"/>
    <w:rsid w:val="00F22973"/>
    <w:rPr>
      <w:color w:val="000000"/>
      <w:sz w:val="24"/>
      <w:lang w:val="pl-PL" w:eastAsia="pl-PL"/>
    </w:rPr>
  </w:style>
  <w:style w:type="character" w:customStyle="1" w:styleId="StyleTZnak">
    <w:name w:val="StyleT Znak"/>
    <w:uiPriority w:val="99"/>
    <w:rsid w:val="00F22973"/>
    <w:rPr>
      <w:rFonts w:cs="Times New Roman"/>
      <w:color w:val="000000"/>
      <w:sz w:val="24"/>
      <w:szCs w:val="24"/>
      <w:lang w:val="pl-PL" w:eastAsia="pl-PL"/>
    </w:rPr>
  </w:style>
  <w:style w:type="paragraph" w:customStyle="1" w:styleId="pkt1art">
    <w:name w:val="pkt1 art"/>
    <w:next w:val="Normalny"/>
    <w:autoRedefine/>
    <w:uiPriority w:val="99"/>
    <w:rsid w:val="00F22973"/>
    <w:pPr>
      <w:overflowPunct w:val="0"/>
      <w:autoSpaceDE w:val="0"/>
      <w:autoSpaceDN w:val="0"/>
      <w:adjustRightInd w:val="0"/>
      <w:spacing w:before="120"/>
      <w:ind w:left="680" w:hanging="340"/>
      <w:jc w:val="both"/>
      <w:textAlignment w:val="baseline"/>
      <w:outlineLvl w:val="4"/>
    </w:pPr>
    <w:rPr>
      <w:sz w:val="24"/>
    </w:rPr>
  </w:style>
  <w:style w:type="paragraph" w:customStyle="1" w:styleId="ust2art">
    <w:name w:val="ust2 art"/>
    <w:basedOn w:val="Normalny"/>
    <w:autoRedefine/>
    <w:uiPriority w:val="99"/>
    <w:rsid w:val="00F22973"/>
    <w:pPr>
      <w:overflowPunct w:val="0"/>
      <w:autoSpaceDE w:val="0"/>
      <w:autoSpaceDN w:val="0"/>
      <w:adjustRightInd w:val="0"/>
      <w:spacing w:before="60" w:after="60"/>
      <w:ind w:firstLine="709"/>
      <w:jc w:val="both"/>
      <w:textAlignment w:val="baseline"/>
      <w:outlineLvl w:val="4"/>
    </w:pPr>
    <w:rPr>
      <w:szCs w:val="20"/>
      <w:lang w:val="en-US"/>
    </w:rPr>
  </w:style>
  <w:style w:type="paragraph" w:customStyle="1" w:styleId="lit1">
    <w:name w:val="lit1"/>
    <w:basedOn w:val="Normalny"/>
    <w:uiPriority w:val="99"/>
    <w:rsid w:val="00F22973"/>
    <w:pPr>
      <w:tabs>
        <w:tab w:val="num" w:pos="360"/>
      </w:tabs>
      <w:overflowPunct w:val="0"/>
      <w:autoSpaceDE w:val="0"/>
      <w:autoSpaceDN w:val="0"/>
      <w:adjustRightInd w:val="0"/>
      <w:spacing w:before="60" w:after="60"/>
      <w:ind w:left="1276" w:hanging="340"/>
      <w:jc w:val="both"/>
      <w:textAlignment w:val="baseline"/>
    </w:pPr>
    <w:rPr>
      <w:szCs w:val="20"/>
    </w:rPr>
  </w:style>
  <w:style w:type="paragraph" w:customStyle="1" w:styleId="Rozdzia">
    <w:name w:val="Rozdział"/>
    <w:basedOn w:val="Nagwek2"/>
    <w:uiPriority w:val="99"/>
    <w:rsid w:val="00F22973"/>
    <w:pPr>
      <w:keepNext/>
      <w:numPr>
        <w:numId w:val="5"/>
      </w:numPr>
      <w:tabs>
        <w:tab w:val="clear" w:pos="4536"/>
        <w:tab w:val="clear" w:pos="9072"/>
      </w:tabs>
      <w:spacing w:before="120"/>
      <w:ind w:left="0" w:firstLine="0"/>
      <w:jc w:val="center"/>
    </w:pPr>
    <w:rPr>
      <w:rFonts w:cs="Arial"/>
      <w:sz w:val="28"/>
      <w:szCs w:val="24"/>
    </w:rPr>
  </w:style>
  <w:style w:type="paragraph" w:customStyle="1" w:styleId="ust1art">
    <w:name w:val="ust1 art"/>
    <w:uiPriority w:val="99"/>
    <w:rsid w:val="00F22973"/>
    <w:pPr>
      <w:overflowPunct w:val="0"/>
      <w:autoSpaceDE w:val="0"/>
      <w:autoSpaceDN w:val="0"/>
      <w:adjustRightInd w:val="0"/>
      <w:spacing w:before="60" w:after="60"/>
      <w:ind w:left="1843" w:hanging="255"/>
      <w:jc w:val="both"/>
      <w:textAlignment w:val="baseline"/>
    </w:pPr>
    <w:rPr>
      <w:sz w:val="24"/>
    </w:rPr>
  </w:style>
  <w:style w:type="paragraph" w:customStyle="1" w:styleId="tiretl1">
    <w:name w:val="tiretl1"/>
    <w:basedOn w:val="Normalny"/>
    <w:uiPriority w:val="99"/>
    <w:rsid w:val="00F22973"/>
    <w:pPr>
      <w:numPr>
        <w:numId w:val="6"/>
      </w:numPr>
    </w:pPr>
  </w:style>
  <w:style w:type="paragraph" w:styleId="Tekstpodstawowywcity">
    <w:name w:val="Body Text Indent"/>
    <w:basedOn w:val="Normalny"/>
    <w:link w:val="TekstpodstawowywcityZnak"/>
    <w:uiPriority w:val="99"/>
    <w:rsid w:val="00F22973"/>
    <w:pPr>
      <w:ind w:left="720" w:hanging="360"/>
    </w:pPr>
  </w:style>
  <w:style w:type="character" w:customStyle="1" w:styleId="TekstpodstawowywcityZnak">
    <w:name w:val="Tekst podstawowy wcięty Znak"/>
    <w:link w:val="Tekstpodstawowywcity"/>
    <w:uiPriority w:val="99"/>
    <w:semiHidden/>
    <w:rsid w:val="00CF5A3E"/>
    <w:rPr>
      <w:sz w:val="24"/>
      <w:szCs w:val="24"/>
    </w:rPr>
  </w:style>
  <w:style w:type="paragraph" w:customStyle="1" w:styleId="Tekstpodstawowy31">
    <w:name w:val="Tekst podstawowy 31"/>
    <w:basedOn w:val="Normalny"/>
    <w:uiPriority w:val="99"/>
    <w:rsid w:val="00F22973"/>
    <w:pPr>
      <w:tabs>
        <w:tab w:val="num" w:pos="360"/>
      </w:tabs>
      <w:jc w:val="both"/>
    </w:pPr>
    <w:rPr>
      <w:szCs w:val="20"/>
    </w:rPr>
  </w:style>
  <w:style w:type="paragraph" w:customStyle="1" w:styleId="Artpkt">
    <w:name w:val="Art.. pkt"/>
    <w:basedOn w:val="ust2art"/>
    <w:autoRedefine/>
    <w:uiPriority w:val="99"/>
    <w:rsid w:val="00F22973"/>
    <w:pPr>
      <w:spacing w:before="240" w:after="0"/>
      <w:ind w:left="340" w:hanging="340"/>
    </w:pPr>
    <w:rPr>
      <w:lang w:val="pl-PL"/>
    </w:rPr>
  </w:style>
  <w:style w:type="table" w:styleId="Tabela-Siatka">
    <w:name w:val="Table Grid"/>
    <w:basedOn w:val="Standardowy"/>
    <w:uiPriority w:val="99"/>
    <w:rsid w:val="00FC42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k1uzasad">
    <w:name w:val="pk1 uzasad"/>
    <w:basedOn w:val="pkt1art"/>
    <w:autoRedefine/>
    <w:uiPriority w:val="99"/>
    <w:rsid w:val="00F22973"/>
    <w:pPr>
      <w:numPr>
        <w:numId w:val="7"/>
      </w:numPr>
    </w:pPr>
  </w:style>
  <w:style w:type="paragraph" w:customStyle="1" w:styleId="listdash">
    <w:name w:val="listdash"/>
    <w:basedOn w:val="Normalny"/>
    <w:uiPriority w:val="99"/>
    <w:rsid w:val="005965D7"/>
    <w:pPr>
      <w:spacing w:before="100" w:beforeAutospacing="1" w:after="100" w:afterAutospacing="1"/>
    </w:pPr>
  </w:style>
  <w:style w:type="paragraph" w:styleId="Akapitzlist">
    <w:name w:val="List Paragraph"/>
    <w:basedOn w:val="Normalny"/>
    <w:uiPriority w:val="99"/>
    <w:qFormat/>
    <w:rsid w:val="005369E5"/>
    <w:pPr>
      <w:spacing w:after="200" w:line="276" w:lineRule="auto"/>
      <w:ind w:left="720"/>
      <w:contextualSpacing/>
    </w:pPr>
    <w:rPr>
      <w:rFonts w:ascii="Calibri" w:hAnsi="Calibri"/>
      <w:sz w:val="22"/>
      <w:szCs w:val="22"/>
      <w:lang w:eastAsia="en-US"/>
    </w:rPr>
  </w:style>
  <w:style w:type="paragraph" w:customStyle="1" w:styleId="Tre">
    <w:name w:val="Treść"/>
    <w:uiPriority w:val="99"/>
    <w:rsid w:val="0012268F"/>
    <w:pPr>
      <w:jc w:val="both"/>
    </w:pPr>
    <w:rPr>
      <w:rFonts w:ascii="Arial" w:hAnsi="Arial"/>
      <w:color w:val="000000"/>
      <w:sz w:val="24"/>
      <w:lang w:val="cs-CZ"/>
    </w:rPr>
  </w:style>
  <w:style w:type="character" w:customStyle="1" w:styleId="Ppogrubienie">
    <w:name w:val="_P_ – pogrubienie"/>
    <w:uiPriority w:val="99"/>
    <w:rsid w:val="00194970"/>
    <w:rPr>
      <w:b/>
    </w:rPr>
  </w:style>
  <w:style w:type="paragraph" w:customStyle="1" w:styleId="USTustnpkodeksu">
    <w:name w:val="UST(§) – ust. (§ np. kodeksu)"/>
    <w:basedOn w:val="Normalny"/>
    <w:uiPriority w:val="99"/>
    <w:rsid w:val="00727D41"/>
    <w:pPr>
      <w:suppressAutoHyphens/>
      <w:autoSpaceDE w:val="0"/>
      <w:autoSpaceDN w:val="0"/>
      <w:adjustRightInd w:val="0"/>
      <w:spacing w:line="360" w:lineRule="auto"/>
      <w:ind w:firstLine="510"/>
      <w:jc w:val="both"/>
    </w:pPr>
    <w:rPr>
      <w:rFonts w:ascii="Times" w:hAnsi="Times" w:cs="Arial"/>
      <w:bCs/>
      <w:szCs w:val="20"/>
    </w:rPr>
  </w:style>
  <w:style w:type="paragraph" w:customStyle="1" w:styleId="ODNONIKtreodnonika">
    <w:name w:val="ODNOŚNIK – treść odnośnika"/>
    <w:uiPriority w:val="99"/>
    <w:rsid w:val="00CB1F85"/>
    <w:pPr>
      <w:ind w:left="284" w:hanging="284"/>
      <w:jc w:val="both"/>
    </w:pPr>
    <w:rPr>
      <w:rFonts w:cs="Arial"/>
    </w:rPr>
  </w:style>
  <w:style w:type="character" w:customStyle="1" w:styleId="IDindeksdolny">
    <w:name w:val="_ID_ – indeks dolny"/>
    <w:uiPriority w:val="99"/>
    <w:rsid w:val="00CB1F85"/>
    <w:rPr>
      <w:rFonts w:cs="Times New Roman"/>
      <w:spacing w:val="0"/>
      <w:vertAlign w:val="subscript"/>
    </w:rPr>
  </w:style>
  <w:style w:type="character" w:customStyle="1" w:styleId="IIGindeksgrnyindeksugrnego">
    <w:name w:val="_IIG_ – indeks górny indeksu górnego"/>
    <w:uiPriority w:val="99"/>
    <w:rsid w:val="00524165"/>
    <w:rPr>
      <w:rFonts w:cs="Times New Roman"/>
      <w:spacing w:val="0"/>
      <w:position w:val="6"/>
      <w:vertAlign w:val="superscript"/>
    </w:rPr>
  </w:style>
  <w:style w:type="character" w:customStyle="1" w:styleId="IGindeksgrny">
    <w:name w:val="_IG_ – indeks górny"/>
    <w:uiPriority w:val="99"/>
    <w:rsid w:val="00351979"/>
    <w:rPr>
      <w:rFonts w:cs="Times New Roman"/>
      <w:spacing w:val="0"/>
      <w:vertAlign w:val="superscript"/>
    </w:rPr>
  </w:style>
  <w:style w:type="paragraph" w:customStyle="1" w:styleId="PKTpunkt">
    <w:name w:val="PKT – punkt"/>
    <w:uiPriority w:val="99"/>
    <w:rsid w:val="001816E3"/>
    <w:pPr>
      <w:spacing w:line="360" w:lineRule="auto"/>
      <w:ind w:left="510" w:hanging="510"/>
      <w:jc w:val="both"/>
    </w:pPr>
    <w:rPr>
      <w:rFonts w:ascii="Times" w:hAnsi="Times" w:cs="Arial"/>
      <w:bCs/>
      <w:sz w:val="24"/>
    </w:rPr>
  </w:style>
  <w:style w:type="paragraph" w:customStyle="1" w:styleId="ARTartustawynprozporzdzenia">
    <w:name w:val="ART(§) – art. ustawy (§ np. rozporządzenia)"/>
    <w:uiPriority w:val="99"/>
    <w:rsid w:val="001B5AEC"/>
    <w:pPr>
      <w:suppressAutoHyphens/>
      <w:autoSpaceDE w:val="0"/>
      <w:autoSpaceDN w:val="0"/>
      <w:adjustRightInd w:val="0"/>
      <w:spacing w:before="120" w:line="360" w:lineRule="auto"/>
      <w:ind w:firstLine="510"/>
      <w:jc w:val="both"/>
    </w:pPr>
    <w:rPr>
      <w:rFonts w:ascii="Times" w:hAnsi="Times" w:cs="Arial"/>
      <w:sz w:val="24"/>
    </w:rPr>
  </w:style>
  <w:style w:type="paragraph" w:customStyle="1" w:styleId="Default">
    <w:name w:val="Default"/>
    <w:uiPriority w:val="99"/>
    <w:rsid w:val="00F974B9"/>
    <w:pPr>
      <w:autoSpaceDE w:val="0"/>
      <w:autoSpaceDN w:val="0"/>
      <w:adjustRightInd w:val="0"/>
    </w:pPr>
    <w:rPr>
      <w:rFonts w:ascii="EUAlbertina" w:hAnsi="EUAlbertina" w:cs="EUAlbertina"/>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semiHidden="0" w:uiPriority="0" w:unhideWhenUsed="0" w:qFormat="1"/>
    <w:lsdException w:name="footnote reference" w:locked="1" w:semiHidden="0" w:uiPriority="0" w:unhideWhenUsed="0"/>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uiPriority="1"/>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22973"/>
    <w:rPr>
      <w:sz w:val="24"/>
      <w:szCs w:val="24"/>
    </w:rPr>
  </w:style>
  <w:style w:type="paragraph" w:styleId="Nagwek1">
    <w:name w:val="heading 1"/>
    <w:basedOn w:val="Normalny"/>
    <w:next w:val="Normalny"/>
    <w:link w:val="Nagwek1Znak"/>
    <w:uiPriority w:val="99"/>
    <w:qFormat/>
    <w:rsid w:val="00F22973"/>
    <w:pPr>
      <w:keepNext/>
      <w:tabs>
        <w:tab w:val="center" w:pos="4536"/>
        <w:tab w:val="right" w:pos="9072"/>
      </w:tabs>
      <w:ind w:left="340" w:hanging="340"/>
      <w:jc w:val="both"/>
      <w:outlineLvl w:val="0"/>
    </w:pPr>
    <w:rPr>
      <w:b/>
      <w:bCs/>
      <w:color w:val="000000"/>
      <w:kern w:val="28"/>
      <w:sz w:val="28"/>
      <w:szCs w:val="28"/>
    </w:rPr>
  </w:style>
  <w:style w:type="paragraph" w:styleId="Nagwek2">
    <w:name w:val="heading 2"/>
    <w:basedOn w:val="Normalny"/>
    <w:next w:val="Normalny"/>
    <w:link w:val="Nagwek2Znak"/>
    <w:uiPriority w:val="99"/>
    <w:qFormat/>
    <w:rsid w:val="00F22973"/>
    <w:pPr>
      <w:tabs>
        <w:tab w:val="center" w:pos="4536"/>
        <w:tab w:val="right" w:pos="9072"/>
      </w:tabs>
      <w:ind w:left="510" w:hanging="510"/>
      <w:jc w:val="both"/>
      <w:outlineLvl w:val="1"/>
    </w:pPr>
    <w:rPr>
      <w:b/>
      <w:bCs/>
      <w:color w:val="000000"/>
      <w:sz w:val="26"/>
      <w:szCs w:val="26"/>
    </w:rPr>
  </w:style>
  <w:style w:type="paragraph" w:styleId="Nagwek3">
    <w:name w:val="heading 3"/>
    <w:basedOn w:val="Nagwek2"/>
    <w:next w:val="ust2art"/>
    <w:link w:val="Nagwek3Znak"/>
    <w:autoRedefine/>
    <w:uiPriority w:val="99"/>
    <w:qFormat/>
    <w:rsid w:val="00F22973"/>
    <w:pPr>
      <w:spacing w:before="120"/>
      <w:ind w:left="0" w:firstLine="0"/>
      <w:outlineLvl w:val="2"/>
    </w:pPr>
    <w:rPr>
      <w:sz w:val="24"/>
      <w:lang w:val="en-US"/>
    </w:rPr>
  </w:style>
  <w:style w:type="paragraph" w:styleId="Nagwek4">
    <w:name w:val="heading 4"/>
    <w:basedOn w:val="Nagwek3"/>
    <w:link w:val="Nagwek4Znak"/>
    <w:uiPriority w:val="99"/>
    <w:qFormat/>
    <w:rsid w:val="00F22973"/>
    <w:pPr>
      <w:ind w:left="567" w:hanging="284"/>
      <w:outlineLvl w:val="3"/>
    </w:pPr>
    <w:rPr>
      <w:rFonts w:ascii="Arial PL" w:hAnsi="Arial PL" w:cs="Arial PL"/>
      <w:b w:val="0"/>
      <w:bCs w:val="0"/>
    </w:rPr>
  </w:style>
  <w:style w:type="paragraph" w:styleId="Nagwek5">
    <w:name w:val="heading 5"/>
    <w:basedOn w:val="Normalny"/>
    <w:next w:val="Normalny"/>
    <w:link w:val="Nagwek5Znak"/>
    <w:uiPriority w:val="99"/>
    <w:qFormat/>
    <w:rsid w:val="00F22973"/>
    <w:pPr>
      <w:keepNext/>
      <w:tabs>
        <w:tab w:val="center" w:pos="4536"/>
        <w:tab w:val="right" w:pos="9072"/>
      </w:tabs>
      <w:jc w:val="center"/>
      <w:outlineLvl w:val="4"/>
    </w:pPr>
    <w:rPr>
      <w:b/>
      <w:bCs/>
      <w:color w:val="000000"/>
    </w:rPr>
  </w:style>
  <w:style w:type="paragraph" w:styleId="Nagwek6">
    <w:name w:val="heading 6"/>
    <w:basedOn w:val="Normalny"/>
    <w:next w:val="Normalny"/>
    <w:link w:val="Nagwek6Znak"/>
    <w:uiPriority w:val="99"/>
    <w:qFormat/>
    <w:rsid w:val="00F22973"/>
    <w:pPr>
      <w:keepNext/>
      <w:tabs>
        <w:tab w:val="center" w:pos="4536"/>
        <w:tab w:val="right" w:pos="9072"/>
      </w:tabs>
      <w:jc w:val="center"/>
      <w:outlineLvl w:val="5"/>
    </w:pPr>
    <w:rPr>
      <w:b/>
      <w:bCs/>
      <w:color w:val="000000"/>
      <w:sz w:val="28"/>
      <w:szCs w:val="28"/>
    </w:rPr>
  </w:style>
  <w:style w:type="paragraph" w:styleId="Nagwek7">
    <w:name w:val="heading 7"/>
    <w:basedOn w:val="Normalny"/>
    <w:next w:val="Normalny"/>
    <w:link w:val="Nagwek7Znak"/>
    <w:uiPriority w:val="99"/>
    <w:qFormat/>
    <w:rsid w:val="00F22973"/>
    <w:pPr>
      <w:keepNext/>
      <w:tabs>
        <w:tab w:val="center" w:pos="4536"/>
        <w:tab w:val="right" w:pos="9072"/>
      </w:tabs>
      <w:jc w:val="both"/>
      <w:outlineLvl w:val="6"/>
    </w:pPr>
    <w:rPr>
      <w:b/>
      <w:bCs/>
      <w:color w:val="000000"/>
      <w:sz w:val="20"/>
      <w:szCs w:val="20"/>
    </w:rPr>
  </w:style>
  <w:style w:type="paragraph" w:styleId="Nagwek8">
    <w:name w:val="heading 8"/>
    <w:basedOn w:val="Normalny"/>
    <w:next w:val="Normalny"/>
    <w:link w:val="Nagwek8Znak"/>
    <w:uiPriority w:val="99"/>
    <w:qFormat/>
    <w:rsid w:val="00F22973"/>
    <w:pPr>
      <w:keepNext/>
      <w:tabs>
        <w:tab w:val="center" w:pos="4536"/>
        <w:tab w:val="right" w:pos="9072"/>
      </w:tabs>
      <w:jc w:val="both"/>
      <w:outlineLvl w:val="7"/>
    </w:pPr>
    <w:rPr>
      <w:rFonts w:ascii="Arial" w:hAnsi="Arial" w:cs="Arial"/>
      <w:b/>
      <w:bCs/>
      <w:color w:val="000000"/>
      <w:sz w:val="16"/>
      <w:szCs w:val="16"/>
    </w:rPr>
  </w:style>
  <w:style w:type="paragraph" w:styleId="Nagwek9">
    <w:name w:val="heading 9"/>
    <w:basedOn w:val="Normalny"/>
    <w:next w:val="Normalny"/>
    <w:link w:val="Nagwek9Znak"/>
    <w:uiPriority w:val="99"/>
    <w:qFormat/>
    <w:rsid w:val="00F22973"/>
    <w:pPr>
      <w:keepNext/>
      <w:tabs>
        <w:tab w:val="center" w:pos="4536"/>
        <w:tab w:val="right" w:pos="9072"/>
      </w:tabs>
      <w:jc w:val="both"/>
      <w:outlineLvl w:val="8"/>
    </w:pPr>
    <w:rPr>
      <w:b/>
      <w:bCs/>
      <w:color w:val="000000"/>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CF5A3E"/>
    <w:rPr>
      <w:rFonts w:ascii="Cambria" w:eastAsia="Times New Roman" w:hAnsi="Cambria" w:cs="Times New Roman"/>
      <w:b/>
      <w:bCs/>
      <w:kern w:val="32"/>
      <w:sz w:val="32"/>
      <w:szCs w:val="32"/>
    </w:rPr>
  </w:style>
  <w:style w:type="character" w:customStyle="1" w:styleId="Nagwek2Znak">
    <w:name w:val="Nagłówek 2 Znak"/>
    <w:link w:val="Nagwek2"/>
    <w:uiPriority w:val="9"/>
    <w:semiHidden/>
    <w:rsid w:val="00CF5A3E"/>
    <w:rPr>
      <w:rFonts w:ascii="Cambria" w:eastAsia="Times New Roman" w:hAnsi="Cambria" w:cs="Times New Roman"/>
      <w:b/>
      <w:bCs/>
      <w:i/>
      <w:iCs/>
      <w:sz w:val="28"/>
      <w:szCs w:val="28"/>
    </w:rPr>
  </w:style>
  <w:style w:type="character" w:customStyle="1" w:styleId="Nagwek3Znak">
    <w:name w:val="Nagłówek 3 Znak"/>
    <w:link w:val="Nagwek3"/>
    <w:uiPriority w:val="9"/>
    <w:semiHidden/>
    <w:rsid w:val="00CF5A3E"/>
    <w:rPr>
      <w:rFonts w:ascii="Cambria" w:eastAsia="Times New Roman" w:hAnsi="Cambria" w:cs="Times New Roman"/>
      <w:b/>
      <w:bCs/>
      <w:sz w:val="26"/>
      <w:szCs w:val="26"/>
    </w:rPr>
  </w:style>
  <w:style w:type="character" w:customStyle="1" w:styleId="Nagwek4Znak">
    <w:name w:val="Nagłówek 4 Znak"/>
    <w:link w:val="Nagwek4"/>
    <w:uiPriority w:val="9"/>
    <w:semiHidden/>
    <w:rsid w:val="00CF5A3E"/>
    <w:rPr>
      <w:rFonts w:ascii="Calibri" w:eastAsia="Times New Roman" w:hAnsi="Calibri" w:cs="Times New Roman"/>
      <w:b/>
      <w:bCs/>
      <w:sz w:val="28"/>
      <w:szCs w:val="28"/>
    </w:rPr>
  </w:style>
  <w:style w:type="character" w:customStyle="1" w:styleId="Nagwek5Znak">
    <w:name w:val="Nagłówek 5 Znak"/>
    <w:link w:val="Nagwek5"/>
    <w:uiPriority w:val="9"/>
    <w:semiHidden/>
    <w:rsid w:val="00CF5A3E"/>
    <w:rPr>
      <w:rFonts w:ascii="Calibri" w:eastAsia="Times New Roman" w:hAnsi="Calibri" w:cs="Times New Roman"/>
      <w:b/>
      <w:bCs/>
      <w:i/>
      <w:iCs/>
      <w:sz w:val="26"/>
      <w:szCs w:val="26"/>
    </w:rPr>
  </w:style>
  <w:style w:type="character" w:customStyle="1" w:styleId="Nagwek6Znak">
    <w:name w:val="Nagłówek 6 Znak"/>
    <w:link w:val="Nagwek6"/>
    <w:uiPriority w:val="9"/>
    <w:semiHidden/>
    <w:rsid w:val="00CF5A3E"/>
    <w:rPr>
      <w:rFonts w:ascii="Calibri" w:eastAsia="Times New Roman" w:hAnsi="Calibri" w:cs="Times New Roman"/>
      <w:b/>
      <w:bCs/>
    </w:rPr>
  </w:style>
  <w:style w:type="character" w:customStyle="1" w:styleId="Nagwek7Znak">
    <w:name w:val="Nagłówek 7 Znak"/>
    <w:link w:val="Nagwek7"/>
    <w:uiPriority w:val="9"/>
    <w:semiHidden/>
    <w:rsid w:val="00CF5A3E"/>
    <w:rPr>
      <w:rFonts w:ascii="Calibri" w:eastAsia="Times New Roman" w:hAnsi="Calibri" w:cs="Times New Roman"/>
      <w:sz w:val="24"/>
      <w:szCs w:val="24"/>
    </w:rPr>
  </w:style>
  <w:style w:type="character" w:customStyle="1" w:styleId="Nagwek8Znak">
    <w:name w:val="Nagłówek 8 Znak"/>
    <w:link w:val="Nagwek8"/>
    <w:uiPriority w:val="9"/>
    <w:semiHidden/>
    <w:rsid w:val="00CF5A3E"/>
    <w:rPr>
      <w:rFonts w:ascii="Calibri" w:eastAsia="Times New Roman" w:hAnsi="Calibri" w:cs="Times New Roman"/>
      <w:i/>
      <w:iCs/>
      <w:sz w:val="24"/>
      <w:szCs w:val="24"/>
    </w:rPr>
  </w:style>
  <w:style w:type="character" w:customStyle="1" w:styleId="Nagwek9Znak">
    <w:name w:val="Nagłówek 9 Znak"/>
    <w:link w:val="Nagwek9"/>
    <w:uiPriority w:val="9"/>
    <w:semiHidden/>
    <w:rsid w:val="00CF5A3E"/>
    <w:rPr>
      <w:rFonts w:ascii="Cambria" w:eastAsia="Times New Roman" w:hAnsi="Cambria" w:cs="Times New Roman"/>
    </w:rPr>
  </w:style>
  <w:style w:type="paragraph" w:styleId="Nagwek">
    <w:name w:val="header"/>
    <w:basedOn w:val="Normalny"/>
    <w:link w:val="NagwekZnak"/>
    <w:uiPriority w:val="99"/>
    <w:rsid w:val="00F22973"/>
    <w:pPr>
      <w:tabs>
        <w:tab w:val="center" w:pos="4536"/>
        <w:tab w:val="right" w:pos="9072"/>
      </w:tabs>
    </w:pPr>
  </w:style>
  <w:style w:type="character" w:customStyle="1" w:styleId="NagwekZnak">
    <w:name w:val="Nagłówek Znak"/>
    <w:link w:val="Nagwek"/>
    <w:uiPriority w:val="99"/>
    <w:semiHidden/>
    <w:rsid w:val="00CF5A3E"/>
    <w:rPr>
      <w:sz w:val="24"/>
      <w:szCs w:val="24"/>
    </w:rPr>
  </w:style>
  <w:style w:type="paragraph" w:styleId="Stopka">
    <w:name w:val="footer"/>
    <w:basedOn w:val="Normalny"/>
    <w:link w:val="StopkaZnak"/>
    <w:uiPriority w:val="99"/>
    <w:rsid w:val="00F22973"/>
    <w:pPr>
      <w:tabs>
        <w:tab w:val="center" w:pos="4536"/>
        <w:tab w:val="right" w:pos="9072"/>
      </w:tabs>
      <w:jc w:val="both"/>
    </w:pPr>
    <w:rPr>
      <w:color w:val="000000"/>
    </w:rPr>
  </w:style>
  <w:style w:type="character" w:customStyle="1" w:styleId="StopkaZnak">
    <w:name w:val="Stopka Znak"/>
    <w:link w:val="Stopka"/>
    <w:uiPriority w:val="99"/>
    <w:rsid w:val="00CF5A3E"/>
    <w:rPr>
      <w:sz w:val="24"/>
      <w:szCs w:val="24"/>
    </w:rPr>
  </w:style>
  <w:style w:type="paragraph" w:customStyle="1" w:styleId="stylT">
    <w:name w:val="stylT"/>
    <w:basedOn w:val="Normalny"/>
    <w:next w:val="Normalny"/>
    <w:uiPriority w:val="99"/>
    <w:rsid w:val="00F22973"/>
    <w:pPr>
      <w:keepLines/>
      <w:tabs>
        <w:tab w:val="center" w:pos="4536"/>
        <w:tab w:val="right" w:pos="9072"/>
      </w:tabs>
      <w:spacing w:after="120"/>
      <w:jc w:val="center"/>
    </w:pPr>
    <w:rPr>
      <w:color w:val="000000"/>
    </w:rPr>
  </w:style>
  <w:style w:type="paragraph" w:styleId="Tekstpodstawowy2">
    <w:name w:val="Body Text 2"/>
    <w:basedOn w:val="Normalny"/>
    <w:link w:val="Tekstpodstawowy2Znak"/>
    <w:autoRedefine/>
    <w:uiPriority w:val="99"/>
    <w:rsid w:val="00AF212C"/>
    <w:pPr>
      <w:tabs>
        <w:tab w:val="center" w:pos="4536"/>
        <w:tab w:val="right" w:pos="9072"/>
      </w:tabs>
      <w:spacing w:line="360" w:lineRule="auto"/>
      <w:ind w:firstLine="284"/>
      <w:jc w:val="both"/>
    </w:pPr>
    <w:rPr>
      <w:bCs/>
      <w:color w:val="000000"/>
    </w:rPr>
  </w:style>
  <w:style w:type="character" w:customStyle="1" w:styleId="Tekstpodstawowy2Znak">
    <w:name w:val="Tekst podstawowy 2 Znak"/>
    <w:link w:val="Tekstpodstawowy2"/>
    <w:uiPriority w:val="99"/>
    <w:rsid w:val="00AF212C"/>
    <w:rPr>
      <w:bCs/>
      <w:color w:val="000000"/>
      <w:sz w:val="24"/>
      <w:szCs w:val="24"/>
    </w:rPr>
  </w:style>
  <w:style w:type="character" w:styleId="Hipercze">
    <w:name w:val="Hyperlink"/>
    <w:uiPriority w:val="99"/>
    <w:rsid w:val="00F22973"/>
    <w:rPr>
      <w:rFonts w:cs="Times New Roman"/>
      <w:color w:val="0000FF"/>
      <w:u w:val="single"/>
    </w:rPr>
  </w:style>
  <w:style w:type="paragraph" w:styleId="NormalnyWeb">
    <w:name w:val="Normal (Web)"/>
    <w:basedOn w:val="Normalny"/>
    <w:uiPriority w:val="99"/>
    <w:rsid w:val="00F22973"/>
    <w:pPr>
      <w:tabs>
        <w:tab w:val="center" w:pos="4536"/>
        <w:tab w:val="right" w:pos="9072"/>
      </w:tabs>
      <w:spacing w:before="100" w:beforeAutospacing="1" w:after="100" w:afterAutospacing="1"/>
      <w:jc w:val="both"/>
    </w:pPr>
    <w:rPr>
      <w:rFonts w:ascii="Arial Unicode MS" w:eastAsia="Arial Unicode MS" w:hAnsi="Arial Unicode MS" w:cs="Arial Unicode MS"/>
      <w:color w:val="000000"/>
    </w:rPr>
  </w:style>
  <w:style w:type="character" w:styleId="Numerstrony">
    <w:name w:val="page number"/>
    <w:uiPriority w:val="99"/>
    <w:rsid w:val="00F22973"/>
    <w:rPr>
      <w:rFonts w:cs="Times New Roman"/>
    </w:rPr>
  </w:style>
  <w:style w:type="character" w:styleId="Odwoaniedokomentarza">
    <w:name w:val="annotation reference"/>
    <w:uiPriority w:val="99"/>
    <w:semiHidden/>
    <w:rsid w:val="00F22973"/>
    <w:rPr>
      <w:rFonts w:cs="Times New Roman"/>
      <w:sz w:val="16"/>
    </w:rPr>
  </w:style>
  <w:style w:type="character" w:styleId="Odwoanieprzypisudolnego">
    <w:name w:val="footnote reference"/>
    <w:aliases w:val="SUPERS,Footnote Reference Superscript,BVI fnr,Footnote symbol,Footnote,(Footnote Reference),Footnote reference number,note TESI,EN Footnote Reference,Voetnootverwijzing,Times 10 Point,Exposant 3 Point,Appel note de bas de"/>
    <w:uiPriority w:val="99"/>
    <w:semiHidden/>
    <w:rsid w:val="00F22973"/>
    <w:rPr>
      <w:rFonts w:cs="Times New Roman"/>
      <w:vertAlign w:val="superscript"/>
    </w:rPr>
  </w:style>
  <w:style w:type="paragraph" w:styleId="Mapadokumentu">
    <w:name w:val="Document Map"/>
    <w:basedOn w:val="Normalny"/>
    <w:link w:val="MapadokumentuZnak"/>
    <w:uiPriority w:val="99"/>
    <w:semiHidden/>
    <w:rsid w:val="00F22973"/>
    <w:pPr>
      <w:shd w:val="clear" w:color="auto" w:fill="000080"/>
      <w:tabs>
        <w:tab w:val="center" w:pos="4536"/>
        <w:tab w:val="right" w:pos="9072"/>
      </w:tabs>
      <w:jc w:val="both"/>
    </w:pPr>
    <w:rPr>
      <w:rFonts w:ascii="Tahoma" w:hAnsi="Tahoma" w:cs="Tahoma"/>
      <w:color w:val="000000"/>
    </w:rPr>
  </w:style>
  <w:style w:type="character" w:customStyle="1" w:styleId="MapadokumentuZnak">
    <w:name w:val="Mapa dokumentu Znak"/>
    <w:link w:val="Mapadokumentu"/>
    <w:uiPriority w:val="99"/>
    <w:semiHidden/>
    <w:rsid w:val="00CF5A3E"/>
    <w:rPr>
      <w:sz w:val="0"/>
      <w:szCs w:val="0"/>
    </w:rPr>
  </w:style>
  <w:style w:type="character" w:styleId="Pogrubienie">
    <w:name w:val="Strong"/>
    <w:uiPriority w:val="99"/>
    <w:qFormat/>
    <w:rsid w:val="00F22973"/>
    <w:rPr>
      <w:rFonts w:cs="Times New Roman"/>
      <w:b/>
    </w:rPr>
  </w:style>
  <w:style w:type="paragraph" w:styleId="Spistreci1">
    <w:name w:val="toc 1"/>
    <w:basedOn w:val="Normalny"/>
    <w:next w:val="Normalny"/>
    <w:autoRedefine/>
    <w:uiPriority w:val="99"/>
    <w:semiHidden/>
    <w:rsid w:val="00F22973"/>
    <w:pPr>
      <w:tabs>
        <w:tab w:val="left" w:pos="1800"/>
        <w:tab w:val="right" w:leader="dot" w:pos="9072"/>
      </w:tabs>
      <w:spacing w:before="120"/>
      <w:ind w:left="540" w:right="851" w:hanging="540"/>
      <w:jc w:val="both"/>
    </w:pPr>
    <w:rPr>
      <w:b/>
      <w:bCs/>
      <w:noProof/>
      <w:color w:val="000000"/>
    </w:rPr>
  </w:style>
  <w:style w:type="paragraph" w:styleId="Spistreci2">
    <w:name w:val="toc 2"/>
    <w:basedOn w:val="Normalny"/>
    <w:next w:val="Normalny"/>
    <w:autoRedefine/>
    <w:uiPriority w:val="99"/>
    <w:semiHidden/>
    <w:rsid w:val="00F22973"/>
    <w:pPr>
      <w:tabs>
        <w:tab w:val="right" w:leader="dot" w:pos="9072"/>
      </w:tabs>
      <w:ind w:left="1080" w:right="848" w:hanging="540"/>
      <w:jc w:val="both"/>
    </w:pPr>
    <w:rPr>
      <w:b/>
      <w:bCs/>
      <w:noProof/>
      <w:color w:val="000000"/>
    </w:rPr>
  </w:style>
  <w:style w:type="paragraph" w:styleId="Spistreci3">
    <w:name w:val="toc 3"/>
    <w:basedOn w:val="Normalny"/>
    <w:next w:val="Normalny"/>
    <w:autoRedefine/>
    <w:uiPriority w:val="99"/>
    <w:semiHidden/>
    <w:rsid w:val="00F22973"/>
    <w:pPr>
      <w:tabs>
        <w:tab w:val="left" w:pos="1800"/>
        <w:tab w:val="right" w:leader="dot" w:pos="9072"/>
      </w:tabs>
      <w:ind w:left="1800" w:hanging="666"/>
      <w:jc w:val="both"/>
    </w:pPr>
    <w:rPr>
      <w:noProof/>
      <w:color w:val="000000"/>
    </w:rPr>
  </w:style>
  <w:style w:type="paragraph" w:styleId="Spistreci4">
    <w:name w:val="toc 4"/>
    <w:basedOn w:val="Normalny"/>
    <w:next w:val="Normalny"/>
    <w:autoRedefine/>
    <w:uiPriority w:val="99"/>
    <w:semiHidden/>
    <w:rsid w:val="00F22973"/>
    <w:pPr>
      <w:tabs>
        <w:tab w:val="center" w:pos="4536"/>
        <w:tab w:val="right" w:pos="9072"/>
      </w:tabs>
      <w:ind w:left="720"/>
      <w:jc w:val="both"/>
    </w:pPr>
    <w:rPr>
      <w:color w:val="000000"/>
    </w:rPr>
  </w:style>
  <w:style w:type="paragraph" w:styleId="Spistreci5">
    <w:name w:val="toc 5"/>
    <w:basedOn w:val="Normalny"/>
    <w:next w:val="Normalny"/>
    <w:autoRedefine/>
    <w:uiPriority w:val="99"/>
    <w:semiHidden/>
    <w:rsid w:val="00F22973"/>
    <w:pPr>
      <w:tabs>
        <w:tab w:val="center" w:pos="4536"/>
        <w:tab w:val="right" w:pos="9072"/>
      </w:tabs>
      <w:ind w:left="960"/>
      <w:jc w:val="both"/>
    </w:pPr>
    <w:rPr>
      <w:color w:val="000000"/>
    </w:rPr>
  </w:style>
  <w:style w:type="paragraph" w:styleId="Spistreci6">
    <w:name w:val="toc 6"/>
    <w:basedOn w:val="Normalny"/>
    <w:next w:val="Normalny"/>
    <w:autoRedefine/>
    <w:uiPriority w:val="99"/>
    <w:semiHidden/>
    <w:rsid w:val="00F22973"/>
    <w:pPr>
      <w:tabs>
        <w:tab w:val="center" w:pos="4536"/>
        <w:tab w:val="right" w:pos="9072"/>
      </w:tabs>
      <w:ind w:left="1200"/>
      <w:jc w:val="both"/>
    </w:pPr>
    <w:rPr>
      <w:color w:val="000000"/>
    </w:rPr>
  </w:style>
  <w:style w:type="paragraph" w:styleId="Spistreci7">
    <w:name w:val="toc 7"/>
    <w:basedOn w:val="Normalny"/>
    <w:next w:val="Normalny"/>
    <w:autoRedefine/>
    <w:uiPriority w:val="99"/>
    <w:semiHidden/>
    <w:rsid w:val="00F22973"/>
    <w:pPr>
      <w:tabs>
        <w:tab w:val="center" w:pos="4536"/>
        <w:tab w:val="right" w:pos="9072"/>
      </w:tabs>
      <w:ind w:left="1440"/>
      <w:jc w:val="both"/>
    </w:pPr>
    <w:rPr>
      <w:color w:val="000000"/>
    </w:rPr>
  </w:style>
  <w:style w:type="paragraph" w:styleId="Spistreci8">
    <w:name w:val="toc 8"/>
    <w:basedOn w:val="Normalny"/>
    <w:next w:val="Normalny"/>
    <w:autoRedefine/>
    <w:uiPriority w:val="99"/>
    <w:semiHidden/>
    <w:rsid w:val="00F22973"/>
    <w:pPr>
      <w:tabs>
        <w:tab w:val="center" w:pos="4536"/>
        <w:tab w:val="right" w:pos="9072"/>
      </w:tabs>
      <w:ind w:left="1680"/>
      <w:jc w:val="both"/>
    </w:pPr>
    <w:rPr>
      <w:color w:val="000000"/>
    </w:rPr>
  </w:style>
  <w:style w:type="paragraph" w:styleId="Spistreci9">
    <w:name w:val="toc 9"/>
    <w:basedOn w:val="Normalny"/>
    <w:next w:val="Normalny"/>
    <w:autoRedefine/>
    <w:uiPriority w:val="99"/>
    <w:semiHidden/>
    <w:rsid w:val="00F22973"/>
    <w:pPr>
      <w:tabs>
        <w:tab w:val="center" w:pos="4536"/>
        <w:tab w:val="right" w:pos="9072"/>
      </w:tabs>
      <w:ind w:left="1920"/>
      <w:jc w:val="both"/>
    </w:pPr>
    <w:rPr>
      <w:color w:val="000000"/>
    </w:rPr>
  </w:style>
  <w:style w:type="paragraph" w:customStyle="1" w:styleId="Stylakapit">
    <w:name w:val="Styl akapit"/>
    <w:basedOn w:val="Normalny"/>
    <w:uiPriority w:val="99"/>
    <w:rsid w:val="00F22973"/>
    <w:pPr>
      <w:tabs>
        <w:tab w:val="center" w:pos="4536"/>
        <w:tab w:val="right" w:pos="9072"/>
      </w:tabs>
      <w:spacing w:before="120" w:line="360" w:lineRule="auto"/>
      <w:ind w:firstLine="425"/>
      <w:jc w:val="both"/>
    </w:pPr>
    <w:rPr>
      <w:color w:val="000000"/>
    </w:rPr>
  </w:style>
  <w:style w:type="paragraph" w:customStyle="1" w:styleId="Stylwyliczanie">
    <w:name w:val="Styl wyliczanie"/>
    <w:basedOn w:val="Normalny"/>
    <w:uiPriority w:val="99"/>
    <w:rsid w:val="00F22973"/>
    <w:pPr>
      <w:numPr>
        <w:numId w:val="3"/>
      </w:numPr>
      <w:tabs>
        <w:tab w:val="center" w:pos="4536"/>
        <w:tab w:val="right" w:pos="9072"/>
      </w:tabs>
      <w:spacing w:before="120"/>
      <w:jc w:val="both"/>
    </w:pPr>
    <w:rPr>
      <w:color w:val="000000"/>
    </w:rPr>
  </w:style>
  <w:style w:type="paragraph" w:customStyle="1" w:styleId="styl0">
    <w:name w:val="styl0"/>
    <w:basedOn w:val="Normalny"/>
    <w:uiPriority w:val="99"/>
    <w:rsid w:val="00F22973"/>
    <w:pPr>
      <w:tabs>
        <w:tab w:val="center" w:pos="4536"/>
        <w:tab w:val="right" w:pos="9072"/>
      </w:tabs>
      <w:jc w:val="both"/>
    </w:pPr>
    <w:rPr>
      <w:color w:val="000000"/>
    </w:rPr>
  </w:style>
  <w:style w:type="paragraph" w:customStyle="1" w:styleId="Styl1">
    <w:name w:val="Styl1"/>
    <w:basedOn w:val="Normalny"/>
    <w:uiPriority w:val="99"/>
    <w:rsid w:val="00F22973"/>
    <w:pPr>
      <w:tabs>
        <w:tab w:val="center" w:pos="4536"/>
        <w:tab w:val="right" w:pos="9072"/>
      </w:tabs>
      <w:ind w:left="227" w:hanging="227"/>
      <w:jc w:val="both"/>
    </w:pPr>
    <w:rPr>
      <w:color w:val="000000"/>
    </w:rPr>
  </w:style>
  <w:style w:type="paragraph" w:customStyle="1" w:styleId="styl2">
    <w:name w:val="styl2"/>
    <w:basedOn w:val="Normalny"/>
    <w:uiPriority w:val="99"/>
    <w:rsid w:val="00F22973"/>
    <w:pPr>
      <w:tabs>
        <w:tab w:val="center" w:pos="4536"/>
        <w:tab w:val="right" w:pos="9072"/>
      </w:tabs>
      <w:ind w:left="340" w:hanging="340"/>
      <w:jc w:val="both"/>
    </w:pPr>
    <w:rPr>
      <w:color w:val="000000"/>
    </w:rPr>
  </w:style>
  <w:style w:type="paragraph" w:customStyle="1" w:styleId="Style0">
    <w:name w:val="Style0"/>
    <w:basedOn w:val="Normalny"/>
    <w:uiPriority w:val="99"/>
    <w:rsid w:val="00F22973"/>
    <w:pPr>
      <w:tabs>
        <w:tab w:val="center" w:pos="4536"/>
        <w:tab w:val="right" w:pos="9072"/>
      </w:tabs>
      <w:spacing w:line="312" w:lineRule="atLeast"/>
      <w:jc w:val="both"/>
    </w:pPr>
    <w:rPr>
      <w:rFonts w:ascii="Arial PL" w:hAnsi="Arial PL" w:cs="Arial PL"/>
      <w:color w:val="000000"/>
    </w:rPr>
  </w:style>
  <w:style w:type="paragraph" w:customStyle="1" w:styleId="StyleT">
    <w:name w:val="StyleT"/>
    <w:basedOn w:val="styl0"/>
    <w:next w:val="Normalny"/>
    <w:uiPriority w:val="99"/>
    <w:rsid w:val="00F22973"/>
    <w:pPr>
      <w:keepLines/>
      <w:tabs>
        <w:tab w:val="clear" w:pos="9072"/>
      </w:tabs>
      <w:spacing w:before="240"/>
      <w:jc w:val="right"/>
    </w:pPr>
    <w:rPr>
      <w:color w:val="auto"/>
    </w:rPr>
  </w:style>
  <w:style w:type="paragraph" w:customStyle="1" w:styleId="StylTcd">
    <w:name w:val="StylTcd"/>
    <w:basedOn w:val="stylT"/>
    <w:next w:val="styl0"/>
    <w:uiPriority w:val="99"/>
    <w:rsid w:val="00F22973"/>
    <w:pPr>
      <w:jc w:val="right"/>
    </w:pPr>
  </w:style>
  <w:style w:type="paragraph" w:customStyle="1" w:styleId="stylTN">
    <w:name w:val="stylTN"/>
    <w:basedOn w:val="Normalny"/>
    <w:next w:val="styl0"/>
    <w:uiPriority w:val="99"/>
    <w:rsid w:val="00F22973"/>
    <w:pPr>
      <w:keepLines/>
      <w:tabs>
        <w:tab w:val="center" w:pos="4536"/>
        <w:tab w:val="right" w:pos="9072"/>
      </w:tabs>
      <w:spacing w:after="120"/>
      <w:jc w:val="center"/>
    </w:pPr>
    <w:rPr>
      <w:color w:val="000000"/>
    </w:rPr>
  </w:style>
  <w:style w:type="paragraph" w:styleId="Tekstkomentarza">
    <w:name w:val="annotation text"/>
    <w:basedOn w:val="Normalny"/>
    <w:link w:val="TekstkomentarzaZnak"/>
    <w:uiPriority w:val="99"/>
    <w:semiHidden/>
    <w:rsid w:val="00F22973"/>
    <w:pPr>
      <w:tabs>
        <w:tab w:val="center" w:pos="4536"/>
        <w:tab w:val="right" w:pos="9072"/>
      </w:tabs>
      <w:jc w:val="both"/>
    </w:pPr>
    <w:rPr>
      <w:color w:val="000000"/>
      <w:sz w:val="20"/>
      <w:szCs w:val="20"/>
    </w:rPr>
  </w:style>
  <w:style w:type="character" w:customStyle="1" w:styleId="TekstkomentarzaZnak">
    <w:name w:val="Tekst komentarza Znak"/>
    <w:link w:val="Tekstkomentarza"/>
    <w:uiPriority w:val="99"/>
    <w:semiHidden/>
    <w:rsid w:val="00CF5A3E"/>
    <w:rPr>
      <w:sz w:val="20"/>
      <w:szCs w:val="20"/>
    </w:rPr>
  </w:style>
  <w:style w:type="paragraph" w:styleId="Tekstpodstawowy">
    <w:name w:val="Body Text"/>
    <w:basedOn w:val="Normalny"/>
    <w:link w:val="TekstpodstawowyZnak"/>
    <w:uiPriority w:val="99"/>
    <w:rsid w:val="00F22973"/>
    <w:pPr>
      <w:tabs>
        <w:tab w:val="center" w:pos="4536"/>
        <w:tab w:val="right" w:pos="9072"/>
      </w:tabs>
      <w:spacing w:before="120" w:line="360" w:lineRule="auto"/>
      <w:jc w:val="both"/>
    </w:pPr>
    <w:rPr>
      <w:color w:val="000000"/>
      <w:lang w:val="en-GB"/>
    </w:rPr>
  </w:style>
  <w:style w:type="character" w:customStyle="1" w:styleId="TekstpodstawowyZnak">
    <w:name w:val="Tekst podstawowy Znak"/>
    <w:link w:val="Tekstpodstawowy"/>
    <w:uiPriority w:val="99"/>
    <w:semiHidden/>
    <w:rsid w:val="00CF5A3E"/>
    <w:rPr>
      <w:sz w:val="24"/>
      <w:szCs w:val="24"/>
    </w:rPr>
  </w:style>
  <w:style w:type="paragraph" w:styleId="Tekstpodstawowywcity2">
    <w:name w:val="Body Text Indent 2"/>
    <w:basedOn w:val="Normalny"/>
    <w:link w:val="Tekstpodstawowywcity2Znak"/>
    <w:uiPriority w:val="99"/>
    <w:rsid w:val="00F22973"/>
    <w:pPr>
      <w:ind w:firstLine="709"/>
    </w:pPr>
  </w:style>
  <w:style w:type="character" w:customStyle="1" w:styleId="Tekstpodstawowywcity2Znak">
    <w:name w:val="Tekst podstawowy wcięty 2 Znak"/>
    <w:link w:val="Tekstpodstawowywcity2"/>
    <w:uiPriority w:val="99"/>
    <w:semiHidden/>
    <w:rsid w:val="00CF5A3E"/>
    <w:rPr>
      <w:sz w:val="24"/>
      <w:szCs w:val="24"/>
    </w:rPr>
  </w:style>
  <w:style w:type="paragraph" w:styleId="Tekstprzypisudolnego">
    <w:name w:val="footnote text"/>
    <w:basedOn w:val="Normalny"/>
    <w:link w:val="TekstprzypisudolnegoZnak"/>
    <w:uiPriority w:val="99"/>
    <w:semiHidden/>
    <w:rsid w:val="00F22973"/>
    <w:rPr>
      <w:sz w:val="20"/>
      <w:szCs w:val="20"/>
    </w:rPr>
  </w:style>
  <w:style w:type="character" w:customStyle="1" w:styleId="TekstprzypisudolnegoZnak">
    <w:name w:val="Tekst przypisu dolnego Znak"/>
    <w:link w:val="Tekstprzypisudolnego"/>
    <w:uiPriority w:val="99"/>
    <w:semiHidden/>
    <w:rsid w:val="00CF5A3E"/>
    <w:rPr>
      <w:sz w:val="20"/>
      <w:szCs w:val="20"/>
    </w:rPr>
  </w:style>
  <w:style w:type="paragraph" w:styleId="Tytu">
    <w:name w:val="Title"/>
    <w:basedOn w:val="Normalny"/>
    <w:link w:val="TytuZnak"/>
    <w:uiPriority w:val="99"/>
    <w:qFormat/>
    <w:rsid w:val="00F22973"/>
    <w:pPr>
      <w:tabs>
        <w:tab w:val="center" w:pos="4536"/>
        <w:tab w:val="right" w:pos="9072"/>
      </w:tabs>
      <w:jc w:val="center"/>
    </w:pPr>
    <w:rPr>
      <w:b/>
      <w:bCs/>
      <w:color w:val="000000"/>
      <w:sz w:val="32"/>
      <w:szCs w:val="32"/>
    </w:rPr>
  </w:style>
  <w:style w:type="character" w:customStyle="1" w:styleId="TytuZnak">
    <w:name w:val="Tytuł Znak"/>
    <w:link w:val="Tytu"/>
    <w:uiPriority w:val="10"/>
    <w:rsid w:val="00CF5A3E"/>
    <w:rPr>
      <w:rFonts w:ascii="Cambria" w:eastAsia="Times New Roman" w:hAnsi="Cambria" w:cs="Times New Roman"/>
      <w:b/>
      <w:bCs/>
      <w:kern w:val="28"/>
      <w:sz w:val="32"/>
      <w:szCs w:val="32"/>
    </w:rPr>
  </w:style>
  <w:style w:type="character" w:styleId="UyteHipercze">
    <w:name w:val="FollowedHyperlink"/>
    <w:uiPriority w:val="99"/>
    <w:rsid w:val="00F22973"/>
    <w:rPr>
      <w:rFonts w:cs="Times New Roman"/>
      <w:color w:val="800080"/>
      <w:u w:val="single"/>
    </w:rPr>
  </w:style>
  <w:style w:type="paragraph" w:styleId="Tekstpodstawowywcity3">
    <w:name w:val="Body Text Indent 3"/>
    <w:basedOn w:val="Normalny"/>
    <w:link w:val="Tekstpodstawowywcity3Znak"/>
    <w:uiPriority w:val="99"/>
    <w:rsid w:val="00F22973"/>
    <w:pPr>
      <w:spacing w:line="360" w:lineRule="auto"/>
      <w:ind w:firstLine="284"/>
      <w:jc w:val="both"/>
    </w:pPr>
  </w:style>
  <w:style w:type="character" w:customStyle="1" w:styleId="Tekstpodstawowywcity3Znak">
    <w:name w:val="Tekst podstawowy wcięty 3 Znak"/>
    <w:link w:val="Tekstpodstawowywcity3"/>
    <w:uiPriority w:val="99"/>
    <w:semiHidden/>
    <w:rsid w:val="00CF5A3E"/>
    <w:rPr>
      <w:sz w:val="16"/>
      <w:szCs w:val="16"/>
    </w:rPr>
  </w:style>
  <w:style w:type="paragraph" w:styleId="Tekstpodstawowy3">
    <w:name w:val="Body Text 3"/>
    <w:basedOn w:val="Normalny"/>
    <w:link w:val="Tekstpodstawowy3Znak"/>
    <w:uiPriority w:val="99"/>
    <w:rsid w:val="00F22973"/>
    <w:pPr>
      <w:jc w:val="center"/>
    </w:pPr>
    <w:rPr>
      <w:rFonts w:ascii="Arial" w:hAnsi="Arial" w:cs="Arial"/>
      <w:i/>
      <w:iCs/>
      <w:color w:val="000000"/>
      <w:sz w:val="28"/>
      <w:szCs w:val="28"/>
    </w:rPr>
  </w:style>
  <w:style w:type="character" w:customStyle="1" w:styleId="Tekstpodstawowy3Znak">
    <w:name w:val="Tekst podstawowy 3 Znak"/>
    <w:link w:val="Tekstpodstawowy3"/>
    <w:uiPriority w:val="99"/>
    <w:semiHidden/>
    <w:rsid w:val="00CF5A3E"/>
    <w:rPr>
      <w:sz w:val="16"/>
      <w:szCs w:val="16"/>
    </w:rPr>
  </w:style>
  <w:style w:type="paragraph" w:customStyle="1" w:styleId="Zwykly">
    <w:name w:val="Zwykly"/>
    <w:basedOn w:val="Normalny"/>
    <w:uiPriority w:val="99"/>
    <w:rsid w:val="00F22973"/>
    <w:pPr>
      <w:keepLines/>
      <w:overflowPunct w:val="0"/>
      <w:autoSpaceDE w:val="0"/>
      <w:autoSpaceDN w:val="0"/>
      <w:adjustRightInd w:val="0"/>
      <w:spacing w:before="120" w:line="360" w:lineRule="atLeast"/>
      <w:ind w:firstLine="397"/>
      <w:jc w:val="both"/>
      <w:textAlignment w:val="baseline"/>
    </w:pPr>
    <w:rPr>
      <w:lang w:val="en-GB"/>
    </w:rPr>
  </w:style>
  <w:style w:type="paragraph" w:customStyle="1" w:styleId="wciecie1">
    <w:name w:val="wciecie1"/>
    <w:basedOn w:val="Normalny"/>
    <w:uiPriority w:val="99"/>
    <w:rsid w:val="00F22973"/>
    <w:pPr>
      <w:widowControl w:val="0"/>
      <w:tabs>
        <w:tab w:val="left" w:pos="851"/>
      </w:tabs>
      <w:spacing w:line="360" w:lineRule="auto"/>
      <w:ind w:left="851" w:hanging="284"/>
      <w:jc w:val="both"/>
    </w:pPr>
    <w:rPr>
      <w:lang w:val="en-GB"/>
    </w:rPr>
  </w:style>
  <w:style w:type="paragraph" w:customStyle="1" w:styleId="TOCBase">
    <w:name w:val="TOC Base"/>
    <w:basedOn w:val="Normalny"/>
    <w:uiPriority w:val="99"/>
    <w:rsid w:val="00F22973"/>
    <w:pPr>
      <w:tabs>
        <w:tab w:val="right" w:leader="dot" w:pos="6480"/>
      </w:tabs>
      <w:spacing w:after="240" w:line="240" w:lineRule="atLeast"/>
      <w:jc w:val="both"/>
    </w:pPr>
    <w:rPr>
      <w:rFonts w:ascii="Arial" w:hAnsi="Arial" w:cs="Arial"/>
      <w:spacing w:val="-5"/>
      <w:sz w:val="20"/>
      <w:szCs w:val="20"/>
      <w:lang w:val="en-GB"/>
    </w:rPr>
  </w:style>
  <w:style w:type="paragraph" w:customStyle="1" w:styleId="xl24">
    <w:name w:val="xl24"/>
    <w:basedOn w:val="Normalny"/>
    <w:uiPriority w:val="99"/>
    <w:rsid w:val="00F22973"/>
    <w:pPr>
      <w:spacing w:before="100" w:after="100"/>
    </w:pPr>
    <w:rPr>
      <w:rFonts w:ascii="Arial" w:eastAsia="Arial Unicode MS" w:hAnsi="Arial" w:cs="Arial"/>
      <w:sz w:val="18"/>
      <w:szCs w:val="18"/>
      <w:lang w:val="en-GB"/>
    </w:rPr>
  </w:style>
  <w:style w:type="paragraph" w:customStyle="1" w:styleId="TableHeader">
    <w:name w:val="Table Header"/>
    <w:basedOn w:val="Normalny"/>
    <w:uiPriority w:val="99"/>
    <w:rsid w:val="00F22973"/>
    <w:pPr>
      <w:spacing w:before="60"/>
      <w:jc w:val="center"/>
    </w:pPr>
    <w:rPr>
      <w:rFonts w:ascii="Arial Black" w:hAnsi="Arial Black" w:cs="Arial Black"/>
      <w:spacing w:val="-5"/>
      <w:sz w:val="16"/>
      <w:szCs w:val="16"/>
      <w:lang w:val="en-GB"/>
    </w:rPr>
  </w:style>
  <w:style w:type="paragraph" w:styleId="Legenda">
    <w:name w:val="caption"/>
    <w:basedOn w:val="Normalny"/>
    <w:next w:val="Normalny"/>
    <w:uiPriority w:val="99"/>
    <w:qFormat/>
    <w:rsid w:val="00F22973"/>
    <w:pPr>
      <w:spacing w:before="120" w:after="120"/>
    </w:pPr>
    <w:rPr>
      <w:b/>
      <w:bCs/>
      <w:sz w:val="20"/>
      <w:szCs w:val="20"/>
    </w:rPr>
  </w:style>
  <w:style w:type="paragraph" w:styleId="Lista2">
    <w:name w:val="List 2"/>
    <w:basedOn w:val="Normalny"/>
    <w:uiPriority w:val="99"/>
    <w:rsid w:val="00F22973"/>
    <w:pPr>
      <w:tabs>
        <w:tab w:val="center" w:pos="4536"/>
        <w:tab w:val="right" w:pos="9072"/>
      </w:tabs>
      <w:ind w:left="566" w:hanging="283"/>
      <w:jc w:val="both"/>
    </w:pPr>
    <w:rPr>
      <w:color w:val="000000"/>
      <w:lang w:val="en-GB"/>
    </w:rPr>
  </w:style>
  <w:style w:type="paragraph" w:customStyle="1" w:styleId="Styl3">
    <w:name w:val="Styl3"/>
    <w:basedOn w:val="Styl1"/>
    <w:uiPriority w:val="99"/>
    <w:rsid w:val="00F22973"/>
    <w:pPr>
      <w:ind w:left="340" w:hanging="113"/>
    </w:pPr>
  </w:style>
  <w:style w:type="paragraph" w:customStyle="1" w:styleId="Styl4">
    <w:name w:val="Styl4"/>
    <w:basedOn w:val="styl2"/>
    <w:uiPriority w:val="99"/>
    <w:rsid w:val="00F22973"/>
    <w:pPr>
      <w:ind w:left="453" w:hanging="113"/>
    </w:pPr>
  </w:style>
  <w:style w:type="paragraph" w:customStyle="1" w:styleId="Style3">
    <w:name w:val="Style3"/>
    <w:basedOn w:val="Normalny"/>
    <w:uiPriority w:val="99"/>
    <w:rsid w:val="00F22973"/>
    <w:pPr>
      <w:tabs>
        <w:tab w:val="center" w:pos="4536"/>
        <w:tab w:val="right" w:pos="9072"/>
      </w:tabs>
      <w:spacing w:line="312" w:lineRule="atLeast"/>
      <w:ind w:left="426" w:hanging="142"/>
      <w:jc w:val="both"/>
    </w:pPr>
    <w:rPr>
      <w:color w:val="000000"/>
    </w:rPr>
  </w:style>
  <w:style w:type="paragraph" w:styleId="Tekstblokowy">
    <w:name w:val="Block Text"/>
    <w:basedOn w:val="Normalny"/>
    <w:uiPriority w:val="99"/>
    <w:rsid w:val="00F22973"/>
    <w:pPr>
      <w:spacing w:line="360" w:lineRule="auto"/>
      <w:ind w:left="360" w:right="382"/>
      <w:jc w:val="both"/>
    </w:pPr>
  </w:style>
  <w:style w:type="paragraph" w:styleId="Tekstdymka">
    <w:name w:val="Balloon Text"/>
    <w:basedOn w:val="Normalny"/>
    <w:link w:val="TekstdymkaZnak"/>
    <w:uiPriority w:val="99"/>
    <w:semiHidden/>
    <w:rsid w:val="00F22973"/>
    <w:rPr>
      <w:rFonts w:ascii="Tahoma" w:hAnsi="Tahoma" w:cs="Tahoma"/>
      <w:sz w:val="16"/>
      <w:szCs w:val="16"/>
    </w:rPr>
  </w:style>
  <w:style w:type="character" w:customStyle="1" w:styleId="TekstdymkaZnak">
    <w:name w:val="Tekst dymka Znak"/>
    <w:link w:val="Tekstdymka"/>
    <w:uiPriority w:val="99"/>
    <w:semiHidden/>
    <w:rsid w:val="00CF5A3E"/>
    <w:rPr>
      <w:sz w:val="0"/>
      <w:szCs w:val="0"/>
    </w:rPr>
  </w:style>
  <w:style w:type="paragraph" w:styleId="Listapunktowana">
    <w:name w:val="List Bullet"/>
    <w:basedOn w:val="Normalny"/>
    <w:autoRedefine/>
    <w:uiPriority w:val="99"/>
    <w:rsid w:val="00F22973"/>
    <w:pPr>
      <w:numPr>
        <w:numId w:val="4"/>
      </w:numPr>
      <w:ind w:left="360"/>
    </w:pPr>
  </w:style>
  <w:style w:type="paragraph" w:customStyle="1" w:styleId="xl25">
    <w:name w:val="xl25"/>
    <w:basedOn w:val="Normalny"/>
    <w:uiPriority w:val="99"/>
    <w:rsid w:val="00F2297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26">
    <w:name w:val="xl26"/>
    <w:basedOn w:val="Normalny"/>
    <w:uiPriority w:val="99"/>
    <w:rsid w:val="00F2297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tekst">
    <w:name w:val="tekst"/>
    <w:basedOn w:val="Normalny"/>
    <w:uiPriority w:val="99"/>
    <w:rsid w:val="00F22973"/>
    <w:pPr>
      <w:suppressLineNumbers/>
      <w:spacing w:before="60" w:after="60"/>
      <w:jc w:val="both"/>
    </w:pPr>
    <w:rPr>
      <w:sz w:val="22"/>
      <w:szCs w:val="22"/>
    </w:rPr>
  </w:style>
  <w:style w:type="character" w:customStyle="1" w:styleId="untertitel1">
    <w:name w:val="untertitel1"/>
    <w:uiPriority w:val="99"/>
    <w:rsid w:val="00F22973"/>
    <w:rPr>
      <w:b/>
      <w:color w:val="auto"/>
      <w:spacing w:val="330"/>
      <w:sz w:val="18"/>
    </w:rPr>
  </w:style>
  <w:style w:type="paragraph" w:styleId="Tekstprzypisukocowego">
    <w:name w:val="endnote text"/>
    <w:basedOn w:val="Normalny"/>
    <w:link w:val="TekstprzypisukocowegoZnak"/>
    <w:uiPriority w:val="99"/>
    <w:semiHidden/>
    <w:rsid w:val="00F22973"/>
    <w:rPr>
      <w:sz w:val="20"/>
      <w:szCs w:val="20"/>
    </w:rPr>
  </w:style>
  <w:style w:type="character" w:customStyle="1" w:styleId="TekstprzypisukocowegoZnak">
    <w:name w:val="Tekst przypisu końcowego Znak"/>
    <w:link w:val="Tekstprzypisukocowego"/>
    <w:uiPriority w:val="99"/>
    <w:semiHidden/>
    <w:rsid w:val="00CF5A3E"/>
    <w:rPr>
      <w:sz w:val="20"/>
      <w:szCs w:val="20"/>
    </w:rPr>
  </w:style>
  <w:style w:type="character" w:styleId="Odwoanieprzypisukocowego">
    <w:name w:val="endnote reference"/>
    <w:uiPriority w:val="99"/>
    <w:semiHidden/>
    <w:rsid w:val="00F22973"/>
    <w:rPr>
      <w:rFonts w:cs="Times New Roman"/>
      <w:vertAlign w:val="superscript"/>
    </w:rPr>
  </w:style>
  <w:style w:type="paragraph" w:styleId="Tematkomentarza">
    <w:name w:val="annotation subject"/>
    <w:basedOn w:val="Tekstkomentarza"/>
    <w:next w:val="Tekstkomentarza"/>
    <w:link w:val="TematkomentarzaZnak"/>
    <w:uiPriority w:val="99"/>
    <w:semiHidden/>
    <w:rsid w:val="00F22973"/>
    <w:pPr>
      <w:tabs>
        <w:tab w:val="clear" w:pos="4536"/>
        <w:tab w:val="clear" w:pos="9072"/>
      </w:tabs>
      <w:jc w:val="left"/>
    </w:pPr>
    <w:rPr>
      <w:b/>
      <w:bCs/>
      <w:color w:val="auto"/>
    </w:rPr>
  </w:style>
  <w:style w:type="character" w:customStyle="1" w:styleId="TematkomentarzaZnak">
    <w:name w:val="Temat komentarza Znak"/>
    <w:link w:val="Tematkomentarza"/>
    <w:uiPriority w:val="99"/>
    <w:semiHidden/>
    <w:rsid w:val="00CF5A3E"/>
    <w:rPr>
      <w:b/>
      <w:bCs/>
      <w:sz w:val="20"/>
      <w:szCs w:val="20"/>
    </w:rPr>
  </w:style>
  <w:style w:type="character" w:customStyle="1" w:styleId="StylakapitZnak">
    <w:name w:val="Styl akapit Znak"/>
    <w:uiPriority w:val="99"/>
    <w:rsid w:val="00F22973"/>
    <w:rPr>
      <w:color w:val="000000"/>
      <w:sz w:val="24"/>
      <w:lang w:val="pl-PL" w:eastAsia="pl-PL"/>
    </w:rPr>
  </w:style>
  <w:style w:type="character" w:customStyle="1" w:styleId="styl0Znak">
    <w:name w:val="styl0 Znak"/>
    <w:uiPriority w:val="99"/>
    <w:rsid w:val="00F22973"/>
    <w:rPr>
      <w:color w:val="000000"/>
      <w:sz w:val="24"/>
      <w:lang w:val="pl-PL" w:eastAsia="pl-PL"/>
    </w:rPr>
  </w:style>
  <w:style w:type="paragraph" w:customStyle="1" w:styleId="WYliczanieFB">
    <w:name w:val="WYliczanie(FB)"/>
    <w:basedOn w:val="Normalny"/>
    <w:uiPriority w:val="99"/>
    <w:rsid w:val="00F22973"/>
    <w:pPr>
      <w:tabs>
        <w:tab w:val="center" w:pos="4536"/>
        <w:tab w:val="right" w:pos="9072"/>
      </w:tabs>
      <w:spacing w:before="120"/>
    </w:pPr>
    <w:rPr>
      <w:rFonts w:ascii="Arial" w:hAnsi="Arial" w:cs="Arial"/>
    </w:rPr>
  </w:style>
  <w:style w:type="paragraph" w:customStyle="1" w:styleId="Tytuwykresw">
    <w:name w:val="Tytuł wykresów"/>
    <w:basedOn w:val="Normalny"/>
    <w:next w:val="Normalny"/>
    <w:uiPriority w:val="99"/>
    <w:rsid w:val="00F22973"/>
    <w:pPr>
      <w:tabs>
        <w:tab w:val="num" w:pos="1191"/>
      </w:tabs>
      <w:ind w:left="1191" w:hanging="1191"/>
    </w:pPr>
  </w:style>
  <w:style w:type="character" w:customStyle="1" w:styleId="styl0Znak1">
    <w:name w:val="styl0 Znak1"/>
    <w:uiPriority w:val="99"/>
    <w:rsid w:val="00F22973"/>
    <w:rPr>
      <w:color w:val="000000"/>
      <w:sz w:val="24"/>
      <w:lang w:val="pl-PL" w:eastAsia="pl-PL"/>
    </w:rPr>
  </w:style>
  <w:style w:type="character" w:customStyle="1" w:styleId="StyleTZnak">
    <w:name w:val="StyleT Znak"/>
    <w:uiPriority w:val="99"/>
    <w:rsid w:val="00F22973"/>
    <w:rPr>
      <w:rFonts w:cs="Times New Roman"/>
      <w:color w:val="000000"/>
      <w:sz w:val="24"/>
      <w:szCs w:val="24"/>
      <w:lang w:val="pl-PL" w:eastAsia="pl-PL"/>
    </w:rPr>
  </w:style>
  <w:style w:type="paragraph" w:customStyle="1" w:styleId="pkt1art">
    <w:name w:val="pkt1 art"/>
    <w:next w:val="Normalny"/>
    <w:autoRedefine/>
    <w:uiPriority w:val="99"/>
    <w:rsid w:val="00F22973"/>
    <w:pPr>
      <w:overflowPunct w:val="0"/>
      <w:autoSpaceDE w:val="0"/>
      <w:autoSpaceDN w:val="0"/>
      <w:adjustRightInd w:val="0"/>
      <w:spacing w:before="120"/>
      <w:ind w:left="680" w:hanging="340"/>
      <w:jc w:val="both"/>
      <w:textAlignment w:val="baseline"/>
      <w:outlineLvl w:val="4"/>
    </w:pPr>
    <w:rPr>
      <w:sz w:val="24"/>
    </w:rPr>
  </w:style>
  <w:style w:type="paragraph" w:customStyle="1" w:styleId="ust2art">
    <w:name w:val="ust2 art"/>
    <w:basedOn w:val="Normalny"/>
    <w:autoRedefine/>
    <w:uiPriority w:val="99"/>
    <w:rsid w:val="00F22973"/>
    <w:pPr>
      <w:overflowPunct w:val="0"/>
      <w:autoSpaceDE w:val="0"/>
      <w:autoSpaceDN w:val="0"/>
      <w:adjustRightInd w:val="0"/>
      <w:spacing w:before="60" w:after="60"/>
      <w:ind w:firstLine="709"/>
      <w:jc w:val="both"/>
      <w:textAlignment w:val="baseline"/>
      <w:outlineLvl w:val="4"/>
    </w:pPr>
    <w:rPr>
      <w:szCs w:val="20"/>
      <w:lang w:val="en-US"/>
    </w:rPr>
  </w:style>
  <w:style w:type="paragraph" w:customStyle="1" w:styleId="lit1">
    <w:name w:val="lit1"/>
    <w:basedOn w:val="Normalny"/>
    <w:uiPriority w:val="99"/>
    <w:rsid w:val="00F22973"/>
    <w:pPr>
      <w:tabs>
        <w:tab w:val="num" w:pos="360"/>
      </w:tabs>
      <w:overflowPunct w:val="0"/>
      <w:autoSpaceDE w:val="0"/>
      <w:autoSpaceDN w:val="0"/>
      <w:adjustRightInd w:val="0"/>
      <w:spacing w:before="60" w:after="60"/>
      <w:ind w:left="1276" w:hanging="340"/>
      <w:jc w:val="both"/>
      <w:textAlignment w:val="baseline"/>
    </w:pPr>
    <w:rPr>
      <w:szCs w:val="20"/>
    </w:rPr>
  </w:style>
  <w:style w:type="paragraph" w:customStyle="1" w:styleId="Rozdzia">
    <w:name w:val="Rozdział"/>
    <w:basedOn w:val="Nagwek2"/>
    <w:uiPriority w:val="99"/>
    <w:rsid w:val="00F22973"/>
    <w:pPr>
      <w:keepNext/>
      <w:numPr>
        <w:numId w:val="5"/>
      </w:numPr>
      <w:tabs>
        <w:tab w:val="clear" w:pos="4536"/>
        <w:tab w:val="clear" w:pos="9072"/>
      </w:tabs>
      <w:spacing w:before="120"/>
      <w:ind w:left="0" w:firstLine="0"/>
      <w:jc w:val="center"/>
    </w:pPr>
    <w:rPr>
      <w:rFonts w:cs="Arial"/>
      <w:sz w:val="28"/>
      <w:szCs w:val="24"/>
    </w:rPr>
  </w:style>
  <w:style w:type="paragraph" w:customStyle="1" w:styleId="ust1art">
    <w:name w:val="ust1 art"/>
    <w:uiPriority w:val="99"/>
    <w:rsid w:val="00F22973"/>
    <w:pPr>
      <w:overflowPunct w:val="0"/>
      <w:autoSpaceDE w:val="0"/>
      <w:autoSpaceDN w:val="0"/>
      <w:adjustRightInd w:val="0"/>
      <w:spacing w:before="60" w:after="60"/>
      <w:ind w:left="1843" w:hanging="255"/>
      <w:jc w:val="both"/>
      <w:textAlignment w:val="baseline"/>
    </w:pPr>
    <w:rPr>
      <w:sz w:val="24"/>
    </w:rPr>
  </w:style>
  <w:style w:type="paragraph" w:customStyle="1" w:styleId="tiretl1">
    <w:name w:val="tiretl1"/>
    <w:basedOn w:val="Normalny"/>
    <w:uiPriority w:val="99"/>
    <w:rsid w:val="00F22973"/>
    <w:pPr>
      <w:numPr>
        <w:numId w:val="6"/>
      </w:numPr>
    </w:pPr>
  </w:style>
  <w:style w:type="paragraph" w:styleId="Tekstpodstawowywcity">
    <w:name w:val="Body Text Indent"/>
    <w:basedOn w:val="Normalny"/>
    <w:link w:val="TekstpodstawowywcityZnak"/>
    <w:uiPriority w:val="99"/>
    <w:rsid w:val="00F22973"/>
    <w:pPr>
      <w:ind w:left="720" w:hanging="360"/>
    </w:pPr>
  </w:style>
  <w:style w:type="character" w:customStyle="1" w:styleId="TekstpodstawowywcityZnak">
    <w:name w:val="Tekst podstawowy wcięty Znak"/>
    <w:link w:val="Tekstpodstawowywcity"/>
    <w:uiPriority w:val="99"/>
    <w:semiHidden/>
    <w:rsid w:val="00CF5A3E"/>
    <w:rPr>
      <w:sz w:val="24"/>
      <w:szCs w:val="24"/>
    </w:rPr>
  </w:style>
  <w:style w:type="paragraph" w:customStyle="1" w:styleId="Tekstpodstawowy31">
    <w:name w:val="Tekst podstawowy 31"/>
    <w:basedOn w:val="Normalny"/>
    <w:uiPriority w:val="99"/>
    <w:rsid w:val="00F22973"/>
    <w:pPr>
      <w:tabs>
        <w:tab w:val="num" w:pos="360"/>
      </w:tabs>
      <w:jc w:val="both"/>
    </w:pPr>
    <w:rPr>
      <w:szCs w:val="20"/>
    </w:rPr>
  </w:style>
  <w:style w:type="paragraph" w:customStyle="1" w:styleId="Artpkt">
    <w:name w:val="Art.. pkt"/>
    <w:basedOn w:val="ust2art"/>
    <w:autoRedefine/>
    <w:uiPriority w:val="99"/>
    <w:rsid w:val="00F22973"/>
    <w:pPr>
      <w:spacing w:before="240" w:after="0"/>
      <w:ind w:left="340" w:hanging="340"/>
    </w:pPr>
    <w:rPr>
      <w:lang w:val="pl-PL"/>
    </w:rPr>
  </w:style>
  <w:style w:type="table" w:styleId="Tabela-Siatka">
    <w:name w:val="Table Grid"/>
    <w:basedOn w:val="Standardowy"/>
    <w:uiPriority w:val="99"/>
    <w:rsid w:val="00FC42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k1uzasad">
    <w:name w:val="pk1 uzasad"/>
    <w:basedOn w:val="pkt1art"/>
    <w:autoRedefine/>
    <w:uiPriority w:val="99"/>
    <w:rsid w:val="00F22973"/>
    <w:pPr>
      <w:numPr>
        <w:numId w:val="7"/>
      </w:numPr>
    </w:pPr>
  </w:style>
  <w:style w:type="paragraph" w:customStyle="1" w:styleId="listdash">
    <w:name w:val="listdash"/>
    <w:basedOn w:val="Normalny"/>
    <w:uiPriority w:val="99"/>
    <w:rsid w:val="005965D7"/>
    <w:pPr>
      <w:spacing w:before="100" w:beforeAutospacing="1" w:after="100" w:afterAutospacing="1"/>
    </w:pPr>
  </w:style>
  <w:style w:type="paragraph" w:styleId="Akapitzlist">
    <w:name w:val="List Paragraph"/>
    <w:basedOn w:val="Normalny"/>
    <w:uiPriority w:val="99"/>
    <w:qFormat/>
    <w:rsid w:val="005369E5"/>
    <w:pPr>
      <w:spacing w:after="200" w:line="276" w:lineRule="auto"/>
      <w:ind w:left="720"/>
      <w:contextualSpacing/>
    </w:pPr>
    <w:rPr>
      <w:rFonts w:ascii="Calibri" w:hAnsi="Calibri"/>
      <w:sz w:val="22"/>
      <w:szCs w:val="22"/>
      <w:lang w:eastAsia="en-US"/>
    </w:rPr>
  </w:style>
  <w:style w:type="paragraph" w:customStyle="1" w:styleId="Tre">
    <w:name w:val="Treść"/>
    <w:uiPriority w:val="99"/>
    <w:rsid w:val="0012268F"/>
    <w:pPr>
      <w:jc w:val="both"/>
    </w:pPr>
    <w:rPr>
      <w:rFonts w:ascii="Arial" w:hAnsi="Arial"/>
      <w:color w:val="000000"/>
      <w:sz w:val="24"/>
      <w:lang w:val="cs-CZ"/>
    </w:rPr>
  </w:style>
  <w:style w:type="character" w:customStyle="1" w:styleId="Ppogrubienie">
    <w:name w:val="_P_ – pogrubienie"/>
    <w:uiPriority w:val="99"/>
    <w:rsid w:val="00194970"/>
    <w:rPr>
      <w:b/>
    </w:rPr>
  </w:style>
  <w:style w:type="paragraph" w:customStyle="1" w:styleId="USTustnpkodeksu">
    <w:name w:val="UST(§) – ust. (§ np. kodeksu)"/>
    <w:basedOn w:val="Normalny"/>
    <w:uiPriority w:val="99"/>
    <w:rsid w:val="00727D41"/>
    <w:pPr>
      <w:suppressAutoHyphens/>
      <w:autoSpaceDE w:val="0"/>
      <w:autoSpaceDN w:val="0"/>
      <w:adjustRightInd w:val="0"/>
      <w:spacing w:line="360" w:lineRule="auto"/>
      <w:ind w:firstLine="510"/>
      <w:jc w:val="both"/>
    </w:pPr>
    <w:rPr>
      <w:rFonts w:ascii="Times" w:hAnsi="Times" w:cs="Arial"/>
      <w:bCs/>
      <w:szCs w:val="20"/>
    </w:rPr>
  </w:style>
  <w:style w:type="paragraph" w:customStyle="1" w:styleId="ODNONIKtreodnonika">
    <w:name w:val="ODNOŚNIK – treść odnośnika"/>
    <w:uiPriority w:val="99"/>
    <w:rsid w:val="00CB1F85"/>
    <w:pPr>
      <w:ind w:left="284" w:hanging="284"/>
      <w:jc w:val="both"/>
    </w:pPr>
    <w:rPr>
      <w:rFonts w:cs="Arial"/>
    </w:rPr>
  </w:style>
  <w:style w:type="character" w:customStyle="1" w:styleId="IDindeksdolny">
    <w:name w:val="_ID_ – indeks dolny"/>
    <w:uiPriority w:val="99"/>
    <w:rsid w:val="00CB1F85"/>
    <w:rPr>
      <w:rFonts w:cs="Times New Roman"/>
      <w:spacing w:val="0"/>
      <w:vertAlign w:val="subscript"/>
    </w:rPr>
  </w:style>
  <w:style w:type="character" w:customStyle="1" w:styleId="IIGindeksgrnyindeksugrnego">
    <w:name w:val="_IIG_ – indeks górny indeksu górnego"/>
    <w:uiPriority w:val="99"/>
    <w:rsid w:val="00524165"/>
    <w:rPr>
      <w:rFonts w:cs="Times New Roman"/>
      <w:spacing w:val="0"/>
      <w:position w:val="6"/>
      <w:vertAlign w:val="superscript"/>
    </w:rPr>
  </w:style>
  <w:style w:type="character" w:customStyle="1" w:styleId="IGindeksgrny">
    <w:name w:val="_IG_ – indeks górny"/>
    <w:uiPriority w:val="99"/>
    <w:rsid w:val="00351979"/>
    <w:rPr>
      <w:rFonts w:cs="Times New Roman"/>
      <w:spacing w:val="0"/>
      <w:vertAlign w:val="superscript"/>
    </w:rPr>
  </w:style>
  <w:style w:type="paragraph" w:customStyle="1" w:styleId="PKTpunkt">
    <w:name w:val="PKT – punkt"/>
    <w:uiPriority w:val="99"/>
    <w:rsid w:val="001816E3"/>
    <w:pPr>
      <w:spacing w:line="360" w:lineRule="auto"/>
      <w:ind w:left="510" w:hanging="510"/>
      <w:jc w:val="both"/>
    </w:pPr>
    <w:rPr>
      <w:rFonts w:ascii="Times" w:hAnsi="Times" w:cs="Arial"/>
      <w:bCs/>
      <w:sz w:val="24"/>
    </w:rPr>
  </w:style>
  <w:style w:type="paragraph" w:customStyle="1" w:styleId="ARTartustawynprozporzdzenia">
    <w:name w:val="ART(§) – art. ustawy (§ np. rozporządzenia)"/>
    <w:uiPriority w:val="99"/>
    <w:rsid w:val="001B5AEC"/>
    <w:pPr>
      <w:suppressAutoHyphens/>
      <w:autoSpaceDE w:val="0"/>
      <w:autoSpaceDN w:val="0"/>
      <w:adjustRightInd w:val="0"/>
      <w:spacing w:before="120" w:line="360" w:lineRule="auto"/>
      <w:ind w:firstLine="510"/>
      <w:jc w:val="both"/>
    </w:pPr>
    <w:rPr>
      <w:rFonts w:ascii="Times" w:hAnsi="Times" w:cs="Arial"/>
      <w:sz w:val="24"/>
    </w:rPr>
  </w:style>
  <w:style w:type="paragraph" w:customStyle="1" w:styleId="Default">
    <w:name w:val="Default"/>
    <w:uiPriority w:val="99"/>
    <w:rsid w:val="00F974B9"/>
    <w:pPr>
      <w:autoSpaceDE w:val="0"/>
      <w:autoSpaceDN w:val="0"/>
      <w:adjustRightInd w:val="0"/>
    </w:pPr>
    <w:rPr>
      <w:rFonts w:ascii="EUAlbertina" w:hAnsi="EUAlbertina" w:cs="EUAlberti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1252282">
      <w:marLeft w:val="0"/>
      <w:marRight w:val="0"/>
      <w:marTop w:val="0"/>
      <w:marBottom w:val="0"/>
      <w:divBdr>
        <w:top w:val="none" w:sz="0" w:space="0" w:color="auto"/>
        <w:left w:val="none" w:sz="0" w:space="0" w:color="auto"/>
        <w:bottom w:val="none" w:sz="0" w:space="0" w:color="auto"/>
        <w:right w:val="none" w:sz="0" w:space="0" w:color="auto"/>
      </w:divBdr>
    </w:div>
    <w:div w:id="671252289">
      <w:marLeft w:val="0"/>
      <w:marRight w:val="0"/>
      <w:marTop w:val="0"/>
      <w:marBottom w:val="0"/>
      <w:divBdr>
        <w:top w:val="none" w:sz="0" w:space="0" w:color="auto"/>
        <w:left w:val="none" w:sz="0" w:space="0" w:color="auto"/>
        <w:bottom w:val="none" w:sz="0" w:space="0" w:color="auto"/>
        <w:right w:val="none" w:sz="0" w:space="0" w:color="auto"/>
      </w:divBdr>
      <w:divsChild>
        <w:div w:id="671252278">
          <w:marLeft w:val="0"/>
          <w:marRight w:val="0"/>
          <w:marTop w:val="0"/>
          <w:marBottom w:val="0"/>
          <w:divBdr>
            <w:top w:val="none" w:sz="0" w:space="0" w:color="auto"/>
            <w:left w:val="none" w:sz="0" w:space="0" w:color="auto"/>
            <w:bottom w:val="none" w:sz="0" w:space="0" w:color="auto"/>
            <w:right w:val="none" w:sz="0" w:space="0" w:color="auto"/>
          </w:divBdr>
        </w:div>
        <w:div w:id="671252280">
          <w:marLeft w:val="0"/>
          <w:marRight w:val="0"/>
          <w:marTop w:val="0"/>
          <w:marBottom w:val="0"/>
          <w:divBdr>
            <w:top w:val="none" w:sz="0" w:space="0" w:color="auto"/>
            <w:left w:val="none" w:sz="0" w:space="0" w:color="auto"/>
            <w:bottom w:val="none" w:sz="0" w:space="0" w:color="auto"/>
            <w:right w:val="none" w:sz="0" w:space="0" w:color="auto"/>
          </w:divBdr>
        </w:div>
        <w:div w:id="671252286">
          <w:marLeft w:val="0"/>
          <w:marRight w:val="0"/>
          <w:marTop w:val="0"/>
          <w:marBottom w:val="0"/>
          <w:divBdr>
            <w:top w:val="none" w:sz="0" w:space="0" w:color="auto"/>
            <w:left w:val="none" w:sz="0" w:space="0" w:color="auto"/>
            <w:bottom w:val="none" w:sz="0" w:space="0" w:color="auto"/>
            <w:right w:val="none" w:sz="0" w:space="0" w:color="auto"/>
          </w:divBdr>
        </w:div>
        <w:div w:id="671252290">
          <w:marLeft w:val="0"/>
          <w:marRight w:val="0"/>
          <w:marTop w:val="0"/>
          <w:marBottom w:val="0"/>
          <w:divBdr>
            <w:top w:val="none" w:sz="0" w:space="0" w:color="auto"/>
            <w:left w:val="none" w:sz="0" w:space="0" w:color="auto"/>
            <w:bottom w:val="none" w:sz="0" w:space="0" w:color="auto"/>
            <w:right w:val="none" w:sz="0" w:space="0" w:color="auto"/>
          </w:divBdr>
        </w:div>
      </w:divsChild>
    </w:div>
    <w:div w:id="671252291">
      <w:marLeft w:val="0"/>
      <w:marRight w:val="0"/>
      <w:marTop w:val="0"/>
      <w:marBottom w:val="0"/>
      <w:divBdr>
        <w:top w:val="none" w:sz="0" w:space="0" w:color="auto"/>
        <w:left w:val="none" w:sz="0" w:space="0" w:color="auto"/>
        <w:bottom w:val="none" w:sz="0" w:space="0" w:color="auto"/>
        <w:right w:val="none" w:sz="0" w:space="0" w:color="auto"/>
      </w:divBdr>
      <w:divsChild>
        <w:div w:id="671252279">
          <w:marLeft w:val="0"/>
          <w:marRight w:val="0"/>
          <w:marTop w:val="0"/>
          <w:marBottom w:val="0"/>
          <w:divBdr>
            <w:top w:val="none" w:sz="0" w:space="0" w:color="auto"/>
            <w:left w:val="none" w:sz="0" w:space="0" w:color="auto"/>
            <w:bottom w:val="none" w:sz="0" w:space="0" w:color="auto"/>
            <w:right w:val="none" w:sz="0" w:space="0" w:color="auto"/>
          </w:divBdr>
          <w:divsChild>
            <w:div w:id="671252276">
              <w:marLeft w:val="0"/>
              <w:marRight w:val="0"/>
              <w:marTop w:val="0"/>
              <w:marBottom w:val="0"/>
              <w:divBdr>
                <w:top w:val="none" w:sz="0" w:space="0" w:color="auto"/>
                <w:left w:val="none" w:sz="0" w:space="0" w:color="auto"/>
                <w:bottom w:val="none" w:sz="0" w:space="0" w:color="auto"/>
                <w:right w:val="none" w:sz="0" w:space="0" w:color="auto"/>
              </w:divBdr>
              <w:divsChild>
                <w:div w:id="671252287">
                  <w:marLeft w:val="0"/>
                  <w:marRight w:val="0"/>
                  <w:marTop w:val="0"/>
                  <w:marBottom w:val="0"/>
                  <w:divBdr>
                    <w:top w:val="none" w:sz="0" w:space="0" w:color="auto"/>
                    <w:left w:val="none" w:sz="0" w:space="0" w:color="auto"/>
                    <w:bottom w:val="none" w:sz="0" w:space="0" w:color="auto"/>
                    <w:right w:val="none" w:sz="0" w:space="0" w:color="auto"/>
                  </w:divBdr>
                  <w:divsChild>
                    <w:div w:id="671252284">
                      <w:marLeft w:val="0"/>
                      <w:marRight w:val="0"/>
                      <w:marTop w:val="0"/>
                      <w:marBottom w:val="0"/>
                      <w:divBdr>
                        <w:top w:val="none" w:sz="0" w:space="0" w:color="auto"/>
                        <w:left w:val="none" w:sz="0" w:space="0" w:color="auto"/>
                        <w:bottom w:val="none" w:sz="0" w:space="0" w:color="auto"/>
                        <w:right w:val="none" w:sz="0" w:space="0" w:color="auto"/>
                      </w:divBdr>
                      <w:divsChild>
                        <w:div w:id="671252285">
                          <w:marLeft w:val="0"/>
                          <w:marRight w:val="0"/>
                          <w:marTop w:val="0"/>
                          <w:marBottom w:val="0"/>
                          <w:divBdr>
                            <w:top w:val="none" w:sz="0" w:space="0" w:color="auto"/>
                            <w:left w:val="none" w:sz="0" w:space="0" w:color="auto"/>
                            <w:bottom w:val="none" w:sz="0" w:space="0" w:color="auto"/>
                            <w:right w:val="none" w:sz="0" w:space="0" w:color="auto"/>
                          </w:divBdr>
                          <w:divsChild>
                            <w:div w:id="671252277">
                              <w:marLeft w:val="0"/>
                              <w:marRight w:val="0"/>
                              <w:marTop w:val="0"/>
                              <w:marBottom w:val="0"/>
                              <w:divBdr>
                                <w:top w:val="none" w:sz="0" w:space="0" w:color="auto"/>
                                <w:left w:val="none" w:sz="0" w:space="0" w:color="auto"/>
                                <w:bottom w:val="none" w:sz="0" w:space="0" w:color="auto"/>
                                <w:right w:val="none" w:sz="0" w:space="0" w:color="auto"/>
                              </w:divBdr>
                              <w:divsChild>
                                <w:div w:id="671252281">
                                  <w:marLeft w:val="0"/>
                                  <w:marRight w:val="0"/>
                                  <w:marTop w:val="0"/>
                                  <w:marBottom w:val="0"/>
                                  <w:divBdr>
                                    <w:top w:val="none" w:sz="0" w:space="0" w:color="auto"/>
                                    <w:left w:val="none" w:sz="0" w:space="0" w:color="auto"/>
                                    <w:bottom w:val="none" w:sz="0" w:space="0" w:color="auto"/>
                                    <w:right w:val="none" w:sz="0" w:space="0" w:color="auto"/>
                                  </w:divBdr>
                                </w:div>
                                <w:div w:id="671252283">
                                  <w:marLeft w:val="0"/>
                                  <w:marRight w:val="0"/>
                                  <w:marTop w:val="0"/>
                                  <w:marBottom w:val="0"/>
                                  <w:divBdr>
                                    <w:top w:val="none" w:sz="0" w:space="0" w:color="auto"/>
                                    <w:left w:val="none" w:sz="0" w:space="0" w:color="auto"/>
                                    <w:bottom w:val="none" w:sz="0" w:space="0" w:color="auto"/>
                                    <w:right w:val="none" w:sz="0" w:space="0" w:color="auto"/>
                                  </w:divBdr>
                                </w:div>
                                <w:div w:id="671252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8E6A20-6073-49C2-97EF-BA52F8FB3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9076</Words>
  <Characters>54462</Characters>
  <Application>Microsoft Office Word</Application>
  <DocSecurity>0</DocSecurity>
  <Lines>453</Lines>
  <Paragraphs>126</Paragraphs>
  <ScaleCrop>false</ScaleCrop>
  <HeadingPairs>
    <vt:vector size="2" baseType="variant">
      <vt:variant>
        <vt:lpstr>Tytuł</vt:lpstr>
      </vt:variant>
      <vt:variant>
        <vt:i4>1</vt:i4>
      </vt:variant>
    </vt:vector>
  </HeadingPairs>
  <TitlesOfParts>
    <vt:vector size="1" baseType="lpstr">
      <vt:lpstr>Uzasadnienie do projektu ustawy o efektywnosci energetycznej</vt:lpstr>
    </vt:vector>
  </TitlesOfParts>
  <Company>MG</Company>
  <LinksUpToDate>false</LinksUpToDate>
  <CharactersWithSpaces>63412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Uzasadnienie do projektu ustawy o efektywnosci energetycznej</dc:title>
  <dc:creator>Andrzej Guzowski</dc:creator>
  <cp:lastModifiedBy>Grażyna D. Grabowska</cp:lastModifiedBy>
  <cp:revision>2</cp:revision>
  <cp:lastPrinted>2016-04-05T12:01:00Z</cp:lastPrinted>
  <dcterms:created xsi:type="dcterms:W3CDTF">2016-04-19T07:08:00Z</dcterms:created>
  <dcterms:modified xsi:type="dcterms:W3CDTF">2016-04-19T07:08:00Z</dcterms:modified>
</cp:coreProperties>
</file>