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6D5B" w:rsidRDefault="003A5FD2">
      <w:pPr>
        <w:pStyle w:val="BodyA"/>
        <w:spacing w:after="0"/>
        <w:jc w:val="right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bookmarkStart w:id="0" w:name="_GoBack"/>
      <w:bookmarkEnd w:id="0"/>
      <w:r>
        <w:rPr>
          <w:rFonts w:ascii="Times New Roman"/>
          <w:i/>
          <w:iCs/>
          <w:sz w:val="24"/>
          <w:szCs w:val="24"/>
        </w:rPr>
        <w:t>projekt</w:t>
      </w:r>
    </w:p>
    <w:p w:rsidR="005B6D5B" w:rsidRDefault="003A5FD2">
      <w:pPr>
        <w:pStyle w:val="BodyA"/>
        <w:spacing w:after="120" w:line="360" w:lineRule="auto"/>
        <w:jc w:val="center"/>
        <w:rPr>
          <w:rFonts w:ascii="Times New Roman" w:eastAsia="Times New Roman" w:hAnsi="Times New Roman" w:cs="Times New Roman"/>
          <w:spacing w:val="20"/>
          <w:sz w:val="24"/>
          <w:szCs w:val="24"/>
        </w:rPr>
      </w:pPr>
      <w:r>
        <w:rPr>
          <w:rFonts w:ascii="Times New Roman"/>
          <w:b/>
          <w:bCs/>
          <w:spacing w:val="20"/>
          <w:sz w:val="24"/>
          <w:szCs w:val="24"/>
        </w:rPr>
        <w:t>USTAWA</w:t>
      </w:r>
    </w:p>
    <w:p w:rsidR="005B6D5B" w:rsidRDefault="003A5FD2">
      <w:pPr>
        <w:pStyle w:val="BodyA"/>
        <w:spacing w:after="12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z w:val="24"/>
          <w:szCs w:val="24"/>
        </w:rPr>
        <w:t xml:space="preserve">z dnia </w:t>
      </w:r>
      <w:r>
        <w:rPr>
          <w:rFonts w:hAnsi="Times New Roman"/>
          <w:sz w:val="24"/>
          <w:szCs w:val="24"/>
        </w:rPr>
        <w:t>……</w:t>
      </w:r>
      <w:r>
        <w:rPr>
          <w:rFonts w:ascii="Times New Roman"/>
          <w:sz w:val="24"/>
          <w:szCs w:val="24"/>
        </w:rPr>
        <w:t>..</w:t>
      </w:r>
    </w:p>
    <w:p w:rsidR="005B6D5B" w:rsidRDefault="003A5FD2">
      <w:pPr>
        <w:pStyle w:val="BodyA"/>
        <w:spacing w:after="12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/>
          <w:b/>
          <w:bCs/>
          <w:sz w:val="24"/>
          <w:szCs w:val="24"/>
        </w:rPr>
        <w:t xml:space="preserve">o zmianie ustawy o </w:t>
      </w:r>
      <w:r w:rsidR="00AB54F8">
        <w:rPr>
          <w:rFonts w:ascii="Times New Roman"/>
          <w:b/>
          <w:bCs/>
          <w:sz w:val="24"/>
          <w:szCs w:val="24"/>
        </w:rPr>
        <w:t>systemie ubezpiecze</w:t>
      </w:r>
      <w:r w:rsidR="00AB54F8">
        <w:rPr>
          <w:rFonts w:ascii="Times New Roman"/>
          <w:b/>
          <w:bCs/>
          <w:sz w:val="24"/>
          <w:szCs w:val="24"/>
        </w:rPr>
        <w:t>ń</w:t>
      </w:r>
      <w:r w:rsidR="00AB54F8">
        <w:rPr>
          <w:rFonts w:ascii="Times New Roman"/>
          <w:b/>
          <w:bCs/>
          <w:sz w:val="24"/>
          <w:szCs w:val="24"/>
        </w:rPr>
        <w:t xml:space="preserve"> spo</w:t>
      </w:r>
      <w:r w:rsidR="00AB54F8">
        <w:rPr>
          <w:rFonts w:ascii="Times New Roman"/>
          <w:b/>
          <w:bCs/>
          <w:sz w:val="24"/>
          <w:szCs w:val="24"/>
        </w:rPr>
        <w:t>ł</w:t>
      </w:r>
      <w:r w:rsidR="00AB54F8">
        <w:rPr>
          <w:rFonts w:ascii="Times New Roman"/>
          <w:b/>
          <w:bCs/>
          <w:sz w:val="24"/>
          <w:szCs w:val="24"/>
        </w:rPr>
        <w:t>ecznych</w:t>
      </w:r>
    </w:p>
    <w:p w:rsidR="005B6D5B" w:rsidRDefault="005B6D5B">
      <w:pPr>
        <w:pStyle w:val="BodyA"/>
        <w:spacing w:after="12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B54F8" w:rsidRPr="00AB54F8" w:rsidRDefault="003A5FD2" w:rsidP="00AB54F8">
      <w:pPr>
        <w:pStyle w:val="BodyA"/>
        <w:spacing w:after="120"/>
        <w:ind w:firstLine="426"/>
        <w:jc w:val="both"/>
        <w:rPr>
          <w:rFonts w:ascii="Times New Roman"/>
          <w:sz w:val="24"/>
          <w:szCs w:val="24"/>
        </w:rPr>
      </w:pPr>
      <w:r>
        <w:rPr>
          <w:rFonts w:ascii="Times New Roman"/>
          <w:b/>
          <w:bCs/>
          <w:sz w:val="24"/>
          <w:szCs w:val="24"/>
        </w:rPr>
        <w:t>Art.</w:t>
      </w:r>
      <w:r>
        <w:rPr>
          <w:rFonts w:hAnsi="Times New Roman"/>
          <w:b/>
          <w:bCs/>
          <w:sz w:val="24"/>
          <w:szCs w:val="24"/>
        </w:rPr>
        <w:t> </w:t>
      </w:r>
      <w:r>
        <w:rPr>
          <w:rFonts w:ascii="Times New Roman"/>
          <w:b/>
          <w:bCs/>
          <w:sz w:val="24"/>
          <w:szCs w:val="24"/>
        </w:rPr>
        <w:t>1.</w:t>
      </w:r>
      <w:r w:rsidR="00AB54F8" w:rsidRPr="00AB54F8">
        <w:rPr>
          <w:rFonts w:ascii="Times New Roman"/>
          <w:sz w:val="24"/>
          <w:szCs w:val="24"/>
        </w:rPr>
        <w:t>W ustawie z dnia 13 pa</w:t>
      </w:r>
      <w:r w:rsidR="00AB54F8" w:rsidRPr="00AB54F8">
        <w:rPr>
          <w:rFonts w:ascii="Times New Roman"/>
          <w:sz w:val="24"/>
          <w:szCs w:val="24"/>
        </w:rPr>
        <w:t>ź</w:t>
      </w:r>
      <w:r w:rsidR="00AB54F8" w:rsidRPr="00AB54F8">
        <w:rPr>
          <w:rFonts w:ascii="Times New Roman"/>
          <w:sz w:val="24"/>
          <w:szCs w:val="24"/>
        </w:rPr>
        <w:t>dziernika 1998 r. o systemie ubezpiecze</w:t>
      </w:r>
      <w:r w:rsidR="00AB54F8" w:rsidRPr="00AB54F8">
        <w:rPr>
          <w:rFonts w:ascii="Times New Roman"/>
          <w:sz w:val="24"/>
          <w:szCs w:val="24"/>
        </w:rPr>
        <w:t>ń</w:t>
      </w:r>
      <w:r w:rsidR="00AB54F8" w:rsidRPr="00AB54F8">
        <w:rPr>
          <w:rFonts w:ascii="Times New Roman"/>
          <w:sz w:val="24"/>
          <w:szCs w:val="24"/>
        </w:rPr>
        <w:t xml:space="preserve"> spo</w:t>
      </w:r>
      <w:r w:rsidR="00AB54F8" w:rsidRPr="00AB54F8">
        <w:rPr>
          <w:rFonts w:ascii="Times New Roman"/>
          <w:sz w:val="24"/>
          <w:szCs w:val="24"/>
        </w:rPr>
        <w:t>ł</w:t>
      </w:r>
      <w:r w:rsidR="00AB54F8" w:rsidRPr="00AB54F8">
        <w:rPr>
          <w:rFonts w:ascii="Times New Roman"/>
          <w:sz w:val="24"/>
          <w:szCs w:val="24"/>
        </w:rPr>
        <w:t xml:space="preserve">ecznych </w:t>
      </w:r>
      <w:r w:rsidR="00391E60">
        <w:rPr>
          <w:rFonts w:ascii="Times New Roman"/>
          <w:sz w:val="24"/>
          <w:szCs w:val="24"/>
        </w:rPr>
        <w:t>(Dz.</w:t>
      </w:r>
      <w:r w:rsidR="00391E60">
        <w:t> </w:t>
      </w:r>
      <w:r w:rsidR="00391E60">
        <w:rPr>
          <w:rFonts w:ascii="Times New Roman"/>
          <w:sz w:val="24"/>
          <w:szCs w:val="24"/>
        </w:rPr>
        <w:t>U.</w:t>
      </w:r>
      <w:r w:rsidR="00391E60">
        <w:rPr>
          <w:rFonts w:ascii="Times New Roman"/>
          <w:sz w:val="24"/>
          <w:szCs w:val="24"/>
        </w:rPr>
        <w:t> </w:t>
      </w:r>
      <w:r w:rsidR="00391E60">
        <w:rPr>
          <w:rFonts w:ascii="Times New Roman"/>
          <w:sz w:val="24"/>
          <w:szCs w:val="24"/>
        </w:rPr>
        <w:t>z</w:t>
      </w:r>
      <w:r w:rsidR="00391E60">
        <w:rPr>
          <w:rFonts w:ascii="Times New Roman"/>
          <w:sz w:val="24"/>
          <w:szCs w:val="24"/>
        </w:rPr>
        <w:t> </w:t>
      </w:r>
      <w:r w:rsidR="00AB54F8" w:rsidRPr="00AB54F8">
        <w:rPr>
          <w:rFonts w:ascii="Times New Roman"/>
          <w:sz w:val="24"/>
          <w:szCs w:val="24"/>
        </w:rPr>
        <w:t>2015 r. poz. 121, z p</w:t>
      </w:r>
      <w:r w:rsidR="00AB54F8" w:rsidRPr="00AB54F8">
        <w:rPr>
          <w:rFonts w:ascii="Times New Roman"/>
          <w:sz w:val="24"/>
          <w:szCs w:val="24"/>
        </w:rPr>
        <w:t>óź</w:t>
      </w:r>
      <w:r w:rsidR="00AB54F8">
        <w:rPr>
          <w:rFonts w:ascii="Times New Roman"/>
          <w:sz w:val="24"/>
          <w:szCs w:val="24"/>
        </w:rPr>
        <w:t>n. zm.</w:t>
      </w:r>
      <w:r w:rsidR="00AB54F8">
        <w:rPr>
          <w:rStyle w:val="Odwoanieprzypisudolnego"/>
          <w:rFonts w:ascii="Times New Roman"/>
          <w:sz w:val="24"/>
          <w:szCs w:val="24"/>
        </w:rPr>
        <w:footnoteReference w:id="2"/>
      </w:r>
      <w:r w:rsidR="00AB54F8">
        <w:rPr>
          <w:rFonts w:ascii="Times New Roman"/>
          <w:sz w:val="24"/>
          <w:szCs w:val="24"/>
          <w:vertAlign w:val="superscript"/>
        </w:rPr>
        <w:t>)</w:t>
      </w:r>
      <w:r w:rsidR="00AB54F8" w:rsidRPr="00AB54F8">
        <w:rPr>
          <w:rFonts w:ascii="Times New Roman"/>
          <w:sz w:val="24"/>
          <w:szCs w:val="24"/>
        </w:rPr>
        <w:t xml:space="preserve">) </w:t>
      </w:r>
      <w:r w:rsidR="00AB54F8">
        <w:rPr>
          <w:rFonts w:ascii="Times New Roman"/>
          <w:sz w:val="24"/>
          <w:szCs w:val="24"/>
        </w:rPr>
        <w:t xml:space="preserve">w art. </w:t>
      </w:r>
      <w:r w:rsidR="00391E60">
        <w:rPr>
          <w:rFonts w:ascii="Times New Roman"/>
          <w:sz w:val="24"/>
          <w:szCs w:val="24"/>
        </w:rPr>
        <w:t>59 po ust. 2b</w:t>
      </w:r>
      <w:r w:rsidR="00C369C9">
        <w:rPr>
          <w:rFonts w:ascii="Times New Roman"/>
          <w:sz w:val="24"/>
          <w:szCs w:val="24"/>
        </w:rPr>
        <w:t xml:space="preserve"> dodaje si</w:t>
      </w:r>
      <w:r w:rsidR="00C369C9">
        <w:rPr>
          <w:rFonts w:ascii="Times New Roman"/>
          <w:sz w:val="24"/>
          <w:szCs w:val="24"/>
        </w:rPr>
        <w:t>ę</w:t>
      </w:r>
      <w:r w:rsidR="00391E60">
        <w:rPr>
          <w:rFonts w:ascii="Times New Roman"/>
          <w:sz w:val="24"/>
          <w:szCs w:val="24"/>
        </w:rPr>
        <w:t xml:space="preserve"> ust. 2ba</w:t>
      </w:r>
      <w:r w:rsidR="00C369C9">
        <w:rPr>
          <w:rFonts w:ascii="Times New Roman"/>
          <w:sz w:val="24"/>
          <w:szCs w:val="24"/>
        </w:rPr>
        <w:t xml:space="preserve"> w brzmieniu</w:t>
      </w:r>
      <w:r w:rsidR="00AB54F8" w:rsidRPr="00AB54F8">
        <w:rPr>
          <w:rFonts w:ascii="Times New Roman"/>
          <w:sz w:val="24"/>
          <w:szCs w:val="24"/>
        </w:rPr>
        <w:t>:</w:t>
      </w:r>
    </w:p>
    <w:p w:rsidR="00AB54F8" w:rsidRPr="00AB54F8" w:rsidRDefault="00AB54F8" w:rsidP="00733487">
      <w:pPr>
        <w:pStyle w:val="BodyA"/>
        <w:spacing w:after="120"/>
        <w:ind w:left="426" w:firstLine="426"/>
        <w:jc w:val="both"/>
        <w:rPr>
          <w:rFonts w:ascii="Times New Roman"/>
          <w:sz w:val="24"/>
          <w:szCs w:val="24"/>
        </w:rPr>
      </w:pPr>
      <w:r w:rsidRPr="00AB54F8">
        <w:rPr>
          <w:rFonts w:ascii="Times New Roman"/>
          <w:sz w:val="24"/>
          <w:szCs w:val="24"/>
        </w:rPr>
        <w:t>„</w:t>
      </w:r>
      <w:r w:rsidRPr="00AB54F8">
        <w:rPr>
          <w:rFonts w:ascii="Times New Roman"/>
          <w:sz w:val="24"/>
          <w:szCs w:val="24"/>
        </w:rPr>
        <w:t>2</w:t>
      </w:r>
      <w:r w:rsidR="00391E60">
        <w:rPr>
          <w:rFonts w:ascii="Times New Roman"/>
          <w:sz w:val="24"/>
          <w:szCs w:val="24"/>
        </w:rPr>
        <w:t>ba</w:t>
      </w:r>
      <w:r w:rsidRPr="00AB54F8">
        <w:rPr>
          <w:rFonts w:ascii="Times New Roman"/>
          <w:sz w:val="24"/>
          <w:szCs w:val="24"/>
        </w:rPr>
        <w:t xml:space="preserve">. </w:t>
      </w:r>
      <w:r w:rsidR="00C369C9">
        <w:rPr>
          <w:rFonts w:ascii="Times New Roman"/>
          <w:sz w:val="24"/>
          <w:szCs w:val="24"/>
        </w:rPr>
        <w:t>Wysoko</w:t>
      </w:r>
      <w:r w:rsidR="00C369C9">
        <w:rPr>
          <w:rFonts w:ascii="Times New Roman"/>
          <w:sz w:val="24"/>
          <w:szCs w:val="24"/>
        </w:rPr>
        <w:t>ść</w:t>
      </w:r>
      <w:r w:rsidR="00C369C9">
        <w:rPr>
          <w:rFonts w:ascii="Times New Roman"/>
          <w:sz w:val="24"/>
          <w:szCs w:val="24"/>
        </w:rPr>
        <w:t xml:space="preserve"> </w:t>
      </w:r>
      <w:r w:rsidR="00C369C9">
        <w:rPr>
          <w:rFonts w:ascii="Times New Roman"/>
          <w:sz w:val="24"/>
          <w:szCs w:val="24"/>
        </w:rPr>
        <w:t>ś</w:t>
      </w:r>
      <w:r w:rsidR="00C369C9">
        <w:rPr>
          <w:rFonts w:ascii="Times New Roman"/>
          <w:sz w:val="24"/>
          <w:szCs w:val="24"/>
        </w:rPr>
        <w:t>rodk</w:t>
      </w:r>
      <w:r w:rsidR="00C369C9">
        <w:rPr>
          <w:rFonts w:ascii="Times New Roman"/>
          <w:sz w:val="24"/>
          <w:szCs w:val="24"/>
        </w:rPr>
        <w:t>ó</w:t>
      </w:r>
      <w:r w:rsidR="00C369C9">
        <w:rPr>
          <w:rFonts w:ascii="Times New Roman"/>
          <w:sz w:val="24"/>
          <w:szCs w:val="24"/>
        </w:rPr>
        <w:t xml:space="preserve">w FRD wykorzystanych </w:t>
      </w:r>
      <w:r w:rsidR="00733487">
        <w:rPr>
          <w:rFonts w:ascii="Times New Roman"/>
          <w:sz w:val="24"/>
          <w:szCs w:val="24"/>
        </w:rPr>
        <w:t>łą</w:t>
      </w:r>
      <w:r w:rsidR="00733487">
        <w:rPr>
          <w:rFonts w:ascii="Times New Roman"/>
          <w:sz w:val="24"/>
          <w:szCs w:val="24"/>
        </w:rPr>
        <w:t>cznie w danym roku kalendarzowym</w:t>
      </w:r>
      <w:r w:rsidR="004D0CCF">
        <w:rPr>
          <w:rFonts w:ascii="Times New Roman"/>
          <w:sz w:val="24"/>
          <w:szCs w:val="24"/>
        </w:rPr>
        <w:t xml:space="preserve"> na podstawie ust. 2 i 2a</w:t>
      </w:r>
      <w:r w:rsidR="00C369C9">
        <w:rPr>
          <w:rFonts w:ascii="Times New Roman"/>
          <w:sz w:val="24"/>
          <w:szCs w:val="24"/>
        </w:rPr>
        <w:t xml:space="preserve"> nie mo</w:t>
      </w:r>
      <w:r w:rsidR="00C369C9">
        <w:rPr>
          <w:rFonts w:ascii="Times New Roman"/>
          <w:sz w:val="24"/>
          <w:szCs w:val="24"/>
        </w:rPr>
        <w:t>ż</w:t>
      </w:r>
      <w:r w:rsidR="00C369C9">
        <w:rPr>
          <w:rFonts w:ascii="Times New Roman"/>
          <w:sz w:val="24"/>
          <w:szCs w:val="24"/>
        </w:rPr>
        <w:t>e przekroczy</w:t>
      </w:r>
      <w:r w:rsidR="00C369C9">
        <w:rPr>
          <w:rFonts w:ascii="Times New Roman"/>
          <w:sz w:val="24"/>
          <w:szCs w:val="24"/>
        </w:rPr>
        <w:t>ć</w:t>
      </w:r>
      <w:r w:rsidR="00C369C9">
        <w:rPr>
          <w:rFonts w:ascii="Times New Roman"/>
          <w:sz w:val="24"/>
          <w:szCs w:val="24"/>
        </w:rPr>
        <w:t xml:space="preserve"> kwoty 10 % </w:t>
      </w:r>
      <w:r w:rsidR="00C369C9">
        <w:rPr>
          <w:rFonts w:ascii="Times New Roman"/>
          <w:sz w:val="24"/>
          <w:szCs w:val="24"/>
        </w:rPr>
        <w:t>ś</w:t>
      </w:r>
      <w:r w:rsidR="00C369C9">
        <w:rPr>
          <w:rFonts w:ascii="Times New Roman"/>
          <w:sz w:val="24"/>
          <w:szCs w:val="24"/>
        </w:rPr>
        <w:t>rodk</w:t>
      </w:r>
      <w:r w:rsidR="00C369C9">
        <w:rPr>
          <w:rFonts w:ascii="Times New Roman"/>
          <w:sz w:val="24"/>
          <w:szCs w:val="24"/>
        </w:rPr>
        <w:t>ó</w:t>
      </w:r>
      <w:r w:rsidR="00C369C9">
        <w:rPr>
          <w:rFonts w:ascii="Times New Roman"/>
          <w:sz w:val="24"/>
          <w:szCs w:val="24"/>
        </w:rPr>
        <w:t xml:space="preserve">w </w:t>
      </w:r>
      <w:r w:rsidR="00733487">
        <w:rPr>
          <w:rFonts w:ascii="Times New Roman"/>
          <w:sz w:val="24"/>
          <w:szCs w:val="24"/>
        </w:rPr>
        <w:t>FRD okre</w:t>
      </w:r>
      <w:r w:rsidR="00733487">
        <w:rPr>
          <w:rFonts w:ascii="Times New Roman"/>
          <w:sz w:val="24"/>
          <w:szCs w:val="24"/>
        </w:rPr>
        <w:t>ś</w:t>
      </w:r>
      <w:r w:rsidR="00733487">
        <w:rPr>
          <w:rFonts w:ascii="Times New Roman"/>
          <w:sz w:val="24"/>
          <w:szCs w:val="24"/>
        </w:rPr>
        <w:t>lonych w planie finansowym</w:t>
      </w:r>
      <w:r w:rsidR="004D0CCF">
        <w:rPr>
          <w:rFonts w:ascii="Times New Roman"/>
          <w:sz w:val="24"/>
          <w:szCs w:val="24"/>
        </w:rPr>
        <w:t xml:space="preserve"> FRD</w:t>
      </w:r>
      <w:r w:rsidR="00733487">
        <w:rPr>
          <w:rFonts w:ascii="Times New Roman"/>
          <w:sz w:val="24"/>
          <w:szCs w:val="24"/>
        </w:rPr>
        <w:t xml:space="preserve"> na ten rok kalendarzowy</w:t>
      </w:r>
      <w:r w:rsidRPr="00AB54F8">
        <w:rPr>
          <w:rFonts w:ascii="Times New Roman"/>
          <w:sz w:val="24"/>
          <w:szCs w:val="24"/>
        </w:rPr>
        <w:t>.</w:t>
      </w:r>
      <w:r w:rsidRPr="00AB54F8">
        <w:rPr>
          <w:rFonts w:ascii="Times New Roman"/>
          <w:sz w:val="24"/>
          <w:szCs w:val="24"/>
        </w:rPr>
        <w:t>”</w:t>
      </w:r>
      <w:r w:rsidR="00391E60">
        <w:rPr>
          <w:rFonts w:ascii="Times New Roman"/>
          <w:sz w:val="24"/>
          <w:szCs w:val="24"/>
        </w:rPr>
        <w:t>.</w:t>
      </w:r>
    </w:p>
    <w:p w:rsidR="005B6D5B" w:rsidRDefault="003A5FD2">
      <w:pPr>
        <w:pStyle w:val="BodyA"/>
        <w:spacing w:after="120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b/>
          <w:bCs/>
          <w:sz w:val="24"/>
          <w:szCs w:val="24"/>
        </w:rPr>
        <w:t xml:space="preserve">Art. 2. </w:t>
      </w:r>
      <w:r w:rsidR="000A48EF">
        <w:rPr>
          <w:rFonts w:ascii="Times New Roman"/>
          <w:sz w:val="24"/>
          <w:szCs w:val="24"/>
        </w:rPr>
        <w:t>Od dnia wej</w:t>
      </w:r>
      <w:r w:rsidR="000A48EF">
        <w:rPr>
          <w:rFonts w:ascii="Times New Roman"/>
          <w:sz w:val="24"/>
          <w:szCs w:val="24"/>
        </w:rPr>
        <w:t>ś</w:t>
      </w:r>
      <w:r w:rsidR="000A48EF">
        <w:rPr>
          <w:rFonts w:ascii="Times New Roman"/>
          <w:sz w:val="24"/>
          <w:szCs w:val="24"/>
        </w:rPr>
        <w:t xml:space="preserve">cia w </w:t>
      </w:r>
      <w:r w:rsidR="000A48EF">
        <w:rPr>
          <w:rFonts w:ascii="Times New Roman"/>
          <w:sz w:val="24"/>
          <w:szCs w:val="24"/>
        </w:rPr>
        <w:t>ż</w:t>
      </w:r>
      <w:r w:rsidR="000A48EF">
        <w:rPr>
          <w:rFonts w:ascii="Times New Roman"/>
          <w:sz w:val="24"/>
          <w:szCs w:val="24"/>
        </w:rPr>
        <w:t>ycie niniejszej ustawy do dnia 31 grudnia</w:t>
      </w:r>
      <w:r w:rsidR="00733487">
        <w:rPr>
          <w:rFonts w:ascii="Times New Roman"/>
          <w:sz w:val="24"/>
          <w:szCs w:val="24"/>
        </w:rPr>
        <w:t xml:space="preserve"> 2017</w:t>
      </w:r>
      <w:r w:rsidR="004D0CCF">
        <w:rPr>
          <w:rFonts w:ascii="Times New Roman"/>
          <w:sz w:val="24"/>
          <w:szCs w:val="24"/>
        </w:rPr>
        <w:t xml:space="preserve"> </w:t>
      </w:r>
      <w:r w:rsidR="000A48EF">
        <w:rPr>
          <w:rFonts w:ascii="Times New Roman"/>
          <w:sz w:val="24"/>
          <w:szCs w:val="24"/>
        </w:rPr>
        <w:t xml:space="preserve">r. </w:t>
      </w:r>
      <w:r w:rsidR="004D0CCF">
        <w:rPr>
          <w:rFonts w:ascii="Times New Roman"/>
          <w:sz w:val="24"/>
          <w:szCs w:val="24"/>
        </w:rPr>
        <w:t xml:space="preserve">nie </w:t>
      </w:r>
      <w:r w:rsidR="002F7D4D">
        <w:rPr>
          <w:rFonts w:ascii="Times New Roman"/>
          <w:sz w:val="24"/>
          <w:szCs w:val="24"/>
        </w:rPr>
        <w:t>stosuje si</w:t>
      </w:r>
      <w:r w:rsidR="002F7D4D">
        <w:rPr>
          <w:rFonts w:ascii="Times New Roman"/>
          <w:sz w:val="24"/>
          <w:szCs w:val="24"/>
        </w:rPr>
        <w:t>ę</w:t>
      </w:r>
      <w:r w:rsidR="002F7D4D">
        <w:rPr>
          <w:rFonts w:ascii="Times New Roman"/>
          <w:sz w:val="24"/>
          <w:szCs w:val="24"/>
        </w:rPr>
        <w:t xml:space="preserve"> przepis</w:t>
      </w:r>
      <w:r w:rsidR="002F7D4D">
        <w:rPr>
          <w:rFonts w:ascii="Times New Roman"/>
          <w:sz w:val="24"/>
          <w:szCs w:val="24"/>
        </w:rPr>
        <w:t>ó</w:t>
      </w:r>
      <w:r w:rsidR="002F7D4D">
        <w:rPr>
          <w:rFonts w:ascii="Times New Roman"/>
          <w:sz w:val="24"/>
          <w:szCs w:val="24"/>
        </w:rPr>
        <w:t xml:space="preserve">w </w:t>
      </w:r>
      <w:r w:rsidR="004D0CCF">
        <w:rPr>
          <w:rFonts w:ascii="Times New Roman"/>
          <w:sz w:val="24"/>
          <w:szCs w:val="24"/>
        </w:rPr>
        <w:t>art. 59 ust. 2</w:t>
      </w:r>
      <w:r w:rsidR="002F7D4D">
        <w:rPr>
          <w:rFonts w:ascii="Times New Roman"/>
          <w:sz w:val="24"/>
          <w:szCs w:val="24"/>
        </w:rPr>
        <w:t>-</w:t>
      </w:r>
      <w:r w:rsidR="004D0CCF">
        <w:rPr>
          <w:rFonts w:ascii="Times New Roman"/>
          <w:sz w:val="24"/>
          <w:szCs w:val="24"/>
        </w:rPr>
        <w:t>2</w:t>
      </w:r>
      <w:r w:rsidR="002F7D4D">
        <w:rPr>
          <w:rFonts w:ascii="Times New Roman"/>
          <w:sz w:val="24"/>
          <w:szCs w:val="24"/>
        </w:rPr>
        <w:t>c</w:t>
      </w:r>
      <w:r w:rsidR="004D0CCF">
        <w:rPr>
          <w:rFonts w:ascii="Times New Roman"/>
          <w:sz w:val="24"/>
          <w:szCs w:val="24"/>
        </w:rPr>
        <w:t xml:space="preserve"> ustawy zmienianej w art. </w:t>
      </w:r>
      <w:r w:rsidR="002F7D4D">
        <w:rPr>
          <w:rFonts w:ascii="Times New Roman"/>
          <w:sz w:val="24"/>
          <w:szCs w:val="24"/>
        </w:rPr>
        <w:t>1</w:t>
      </w:r>
      <w:r>
        <w:rPr>
          <w:rFonts w:ascii="Times New Roman"/>
          <w:sz w:val="24"/>
          <w:szCs w:val="24"/>
        </w:rPr>
        <w:t>.</w:t>
      </w:r>
    </w:p>
    <w:p w:rsidR="004D0CCF" w:rsidRDefault="003A5FD2">
      <w:pPr>
        <w:pStyle w:val="BodyA"/>
        <w:spacing w:after="120"/>
        <w:ind w:firstLine="426"/>
        <w:jc w:val="both"/>
        <w:rPr>
          <w:rFonts w:ascii="Times New Roman"/>
          <w:sz w:val="24"/>
          <w:szCs w:val="24"/>
        </w:rPr>
      </w:pPr>
      <w:r>
        <w:rPr>
          <w:rFonts w:ascii="Times New Roman"/>
          <w:b/>
          <w:bCs/>
          <w:sz w:val="24"/>
          <w:szCs w:val="24"/>
        </w:rPr>
        <w:t xml:space="preserve">Art. 3. </w:t>
      </w:r>
      <w:r>
        <w:rPr>
          <w:rFonts w:ascii="Times New Roman"/>
          <w:sz w:val="24"/>
          <w:szCs w:val="24"/>
        </w:rPr>
        <w:t xml:space="preserve">Ustawa wchodzi w </w:t>
      </w:r>
      <w:r>
        <w:rPr>
          <w:rFonts w:hAnsi="Times New Roman"/>
          <w:sz w:val="24"/>
          <w:szCs w:val="24"/>
        </w:rPr>
        <w:t>ż</w:t>
      </w:r>
      <w:r>
        <w:rPr>
          <w:rFonts w:ascii="Times New Roman"/>
          <w:sz w:val="24"/>
          <w:szCs w:val="24"/>
        </w:rPr>
        <w:t xml:space="preserve">ycie </w:t>
      </w:r>
      <w:r w:rsidR="004D0CCF">
        <w:rPr>
          <w:rFonts w:ascii="Times New Roman"/>
          <w:sz w:val="24"/>
          <w:szCs w:val="24"/>
        </w:rPr>
        <w:t>po up</w:t>
      </w:r>
      <w:r w:rsidR="004D0CCF">
        <w:rPr>
          <w:rFonts w:ascii="Times New Roman"/>
          <w:sz w:val="24"/>
          <w:szCs w:val="24"/>
        </w:rPr>
        <w:t>ł</w:t>
      </w:r>
      <w:r w:rsidR="004D0CCF">
        <w:rPr>
          <w:rFonts w:ascii="Times New Roman"/>
          <w:sz w:val="24"/>
          <w:szCs w:val="24"/>
        </w:rPr>
        <w:t>ywie 14 od dnia og</w:t>
      </w:r>
      <w:r w:rsidR="004D0CCF">
        <w:rPr>
          <w:rFonts w:ascii="Times New Roman"/>
          <w:sz w:val="24"/>
          <w:szCs w:val="24"/>
        </w:rPr>
        <w:t>ł</w:t>
      </w:r>
      <w:r w:rsidR="004D0CCF">
        <w:rPr>
          <w:rFonts w:ascii="Times New Roman"/>
          <w:sz w:val="24"/>
          <w:szCs w:val="24"/>
        </w:rPr>
        <w:t>oszenia</w:t>
      </w:r>
      <w:r>
        <w:rPr>
          <w:rFonts w:ascii="Times New Roman"/>
          <w:sz w:val="24"/>
          <w:szCs w:val="24"/>
        </w:rPr>
        <w:t>.</w:t>
      </w:r>
    </w:p>
    <w:p w:rsidR="004D0CCF" w:rsidRPr="00EE760B" w:rsidRDefault="004D0CCF">
      <w:pPr>
        <w:rPr>
          <w:lang w:val="pl-PL"/>
        </w:rPr>
      </w:pPr>
      <w:r w:rsidRPr="00EE760B">
        <w:rPr>
          <w:lang w:val="pl-PL"/>
        </w:rPr>
        <w:br w:type="page"/>
      </w:r>
    </w:p>
    <w:p w:rsidR="00EE760B" w:rsidRPr="00EE760B" w:rsidRDefault="00EE760B">
      <w:pPr>
        <w:rPr>
          <w:lang w:val="pl-PL"/>
        </w:rPr>
      </w:pPr>
    </w:p>
    <w:p w:rsidR="003B678D" w:rsidRDefault="003B678D" w:rsidP="003B678D">
      <w:pPr>
        <w:pStyle w:val="ARTartustawynprozporzdzenia"/>
        <w:spacing w:before="0" w:after="120"/>
        <w:ind w:firstLine="0"/>
        <w:jc w:val="center"/>
        <w:rPr>
          <w:b/>
        </w:rPr>
      </w:pPr>
      <w:r>
        <w:rPr>
          <w:b/>
        </w:rPr>
        <w:t>Uzasadnienie</w:t>
      </w:r>
    </w:p>
    <w:p w:rsidR="003B678D" w:rsidRDefault="003B678D" w:rsidP="003B678D">
      <w:pPr>
        <w:pStyle w:val="ARTartustawynprozporzdzenia"/>
        <w:spacing w:before="0" w:after="120"/>
        <w:ind w:firstLine="0"/>
        <w:jc w:val="center"/>
        <w:rPr>
          <w:b/>
        </w:rPr>
      </w:pPr>
    </w:p>
    <w:p w:rsidR="003B678D" w:rsidRPr="003259F4" w:rsidRDefault="003B678D" w:rsidP="003B678D">
      <w:pPr>
        <w:pStyle w:val="ARTartustawynprozporzdzenia"/>
        <w:numPr>
          <w:ilvl w:val="0"/>
          <w:numId w:val="10"/>
        </w:numPr>
        <w:spacing w:before="0" w:after="120"/>
        <w:rPr>
          <w:b/>
        </w:rPr>
      </w:pPr>
      <w:r>
        <w:rPr>
          <w:b/>
        </w:rPr>
        <w:t>Potrzeba i cel wydania ustawy</w:t>
      </w:r>
    </w:p>
    <w:p w:rsidR="00B73CDF" w:rsidRDefault="003B678D" w:rsidP="008331F0">
      <w:pPr>
        <w:pStyle w:val="ARTartustawynprozporzdzenia"/>
        <w:spacing w:before="0" w:after="120"/>
        <w:rPr>
          <w:rFonts w:ascii="Times New Roman"/>
          <w:szCs w:val="24"/>
        </w:rPr>
      </w:pPr>
      <w:r>
        <w:t>P</w:t>
      </w:r>
      <w:r w:rsidR="008331F0">
        <w:t>rzedłożony projekt</w:t>
      </w:r>
      <w:r>
        <w:t xml:space="preserve"> </w:t>
      </w:r>
      <w:r w:rsidR="008331F0">
        <w:t>zmiany</w:t>
      </w:r>
      <w:r>
        <w:t xml:space="preserve"> ustawy z dnia </w:t>
      </w:r>
      <w:r w:rsidR="008331F0" w:rsidRPr="00AB54F8">
        <w:rPr>
          <w:rFonts w:ascii="Times New Roman"/>
          <w:szCs w:val="24"/>
        </w:rPr>
        <w:t>13 pa</w:t>
      </w:r>
      <w:r w:rsidR="008331F0" w:rsidRPr="00AB54F8">
        <w:rPr>
          <w:rFonts w:ascii="Times New Roman"/>
          <w:szCs w:val="24"/>
        </w:rPr>
        <w:t>ź</w:t>
      </w:r>
      <w:r w:rsidR="008331F0" w:rsidRPr="00AB54F8">
        <w:rPr>
          <w:rFonts w:ascii="Times New Roman"/>
          <w:szCs w:val="24"/>
        </w:rPr>
        <w:t>dziernika 1998 r. o systemie ubezpiecze</w:t>
      </w:r>
      <w:r w:rsidR="008331F0" w:rsidRPr="00AB54F8">
        <w:rPr>
          <w:rFonts w:ascii="Times New Roman"/>
          <w:szCs w:val="24"/>
        </w:rPr>
        <w:t>ń</w:t>
      </w:r>
      <w:r w:rsidR="008331F0" w:rsidRPr="00AB54F8">
        <w:rPr>
          <w:rFonts w:ascii="Times New Roman"/>
          <w:szCs w:val="24"/>
        </w:rPr>
        <w:t xml:space="preserve"> spo</w:t>
      </w:r>
      <w:r w:rsidR="008331F0" w:rsidRPr="00AB54F8">
        <w:rPr>
          <w:rFonts w:ascii="Times New Roman"/>
          <w:szCs w:val="24"/>
        </w:rPr>
        <w:t>ł</w:t>
      </w:r>
      <w:r w:rsidR="008331F0" w:rsidRPr="00AB54F8">
        <w:rPr>
          <w:rFonts w:ascii="Times New Roman"/>
          <w:szCs w:val="24"/>
        </w:rPr>
        <w:t>ecznych</w:t>
      </w:r>
      <w:r w:rsidR="008331F0">
        <w:rPr>
          <w:rFonts w:ascii="Times New Roman"/>
          <w:szCs w:val="24"/>
        </w:rPr>
        <w:t xml:space="preserve"> wynika z potrzeby zapewnienia stabilno</w:t>
      </w:r>
      <w:r w:rsidR="008331F0">
        <w:rPr>
          <w:rFonts w:ascii="Times New Roman"/>
          <w:szCs w:val="24"/>
        </w:rPr>
        <w:t>ś</w:t>
      </w:r>
      <w:r w:rsidR="008331F0">
        <w:rPr>
          <w:rFonts w:ascii="Times New Roman"/>
          <w:szCs w:val="24"/>
        </w:rPr>
        <w:t>ci systemu wyp</w:t>
      </w:r>
      <w:r w:rsidR="008331F0">
        <w:rPr>
          <w:rFonts w:ascii="Times New Roman"/>
          <w:szCs w:val="24"/>
        </w:rPr>
        <w:t>ł</w:t>
      </w:r>
      <w:r w:rsidR="008331F0">
        <w:rPr>
          <w:rFonts w:ascii="Times New Roman"/>
          <w:szCs w:val="24"/>
        </w:rPr>
        <w:t>at emerytur z Funduszu Ubezpiecze</w:t>
      </w:r>
      <w:r w:rsidR="008331F0">
        <w:rPr>
          <w:rFonts w:ascii="Times New Roman"/>
          <w:szCs w:val="24"/>
        </w:rPr>
        <w:t>ń</w:t>
      </w:r>
      <w:r w:rsidR="008331F0">
        <w:rPr>
          <w:rFonts w:ascii="Times New Roman"/>
          <w:szCs w:val="24"/>
        </w:rPr>
        <w:t xml:space="preserve"> Spo</w:t>
      </w:r>
      <w:r w:rsidR="008331F0">
        <w:rPr>
          <w:rFonts w:ascii="Times New Roman"/>
          <w:szCs w:val="24"/>
        </w:rPr>
        <w:t>ł</w:t>
      </w:r>
      <w:r w:rsidR="008331F0">
        <w:rPr>
          <w:rFonts w:ascii="Times New Roman"/>
          <w:szCs w:val="24"/>
        </w:rPr>
        <w:t>ecznych</w:t>
      </w:r>
      <w:r w:rsidR="00DA470D">
        <w:rPr>
          <w:rFonts w:ascii="Times New Roman"/>
          <w:szCs w:val="24"/>
        </w:rPr>
        <w:t xml:space="preserve"> w d</w:t>
      </w:r>
      <w:r w:rsidR="00DA470D">
        <w:rPr>
          <w:rFonts w:ascii="Times New Roman"/>
          <w:szCs w:val="24"/>
        </w:rPr>
        <w:t>ł</w:t>
      </w:r>
      <w:r w:rsidR="00DA470D">
        <w:rPr>
          <w:rFonts w:ascii="Times New Roman"/>
          <w:szCs w:val="24"/>
        </w:rPr>
        <w:t>ugim horyzoncie czasowym</w:t>
      </w:r>
      <w:r w:rsidR="008331F0">
        <w:rPr>
          <w:rFonts w:ascii="Times New Roman"/>
          <w:szCs w:val="24"/>
        </w:rPr>
        <w:t>. Jednym z element</w:t>
      </w:r>
      <w:r w:rsidR="008331F0">
        <w:rPr>
          <w:rFonts w:ascii="Times New Roman"/>
          <w:szCs w:val="24"/>
        </w:rPr>
        <w:t>ó</w:t>
      </w:r>
      <w:r w:rsidR="008331F0">
        <w:rPr>
          <w:rFonts w:ascii="Times New Roman"/>
          <w:szCs w:val="24"/>
        </w:rPr>
        <w:t xml:space="preserve">w tego systemu jest Fundusz Rezerw Demograficznych (dalej </w:t>
      </w:r>
      <w:r w:rsidR="008331F0">
        <w:rPr>
          <w:rFonts w:ascii="Times New Roman"/>
          <w:szCs w:val="24"/>
        </w:rPr>
        <w:t>„</w:t>
      </w:r>
      <w:r w:rsidR="008331F0">
        <w:rPr>
          <w:rFonts w:ascii="Times New Roman"/>
          <w:szCs w:val="24"/>
        </w:rPr>
        <w:t>FRD</w:t>
      </w:r>
      <w:r w:rsidR="008331F0">
        <w:rPr>
          <w:rFonts w:ascii="Times New Roman"/>
          <w:szCs w:val="24"/>
        </w:rPr>
        <w:t>”</w:t>
      </w:r>
      <w:r w:rsidR="008331F0">
        <w:rPr>
          <w:rFonts w:ascii="Times New Roman"/>
          <w:szCs w:val="24"/>
        </w:rPr>
        <w:t>), kt</w:t>
      </w:r>
      <w:r w:rsidR="008331F0">
        <w:rPr>
          <w:rFonts w:ascii="Times New Roman"/>
          <w:szCs w:val="24"/>
        </w:rPr>
        <w:t>ó</w:t>
      </w:r>
      <w:r w:rsidR="008331F0">
        <w:rPr>
          <w:rFonts w:ascii="Times New Roman"/>
          <w:szCs w:val="24"/>
        </w:rPr>
        <w:t xml:space="preserve">rego celem jest przede wszystkim gromadzenie </w:t>
      </w:r>
      <w:r w:rsidR="008331F0">
        <w:rPr>
          <w:rFonts w:ascii="Times New Roman"/>
          <w:szCs w:val="24"/>
        </w:rPr>
        <w:t>ś</w:t>
      </w:r>
      <w:r w:rsidR="008331F0">
        <w:rPr>
          <w:rFonts w:ascii="Times New Roman"/>
          <w:szCs w:val="24"/>
        </w:rPr>
        <w:t>rodk</w:t>
      </w:r>
      <w:r w:rsidR="008331F0">
        <w:rPr>
          <w:rFonts w:ascii="Times New Roman"/>
          <w:szCs w:val="24"/>
        </w:rPr>
        <w:t>ó</w:t>
      </w:r>
      <w:r w:rsidR="008331F0">
        <w:rPr>
          <w:rFonts w:ascii="Times New Roman"/>
          <w:szCs w:val="24"/>
        </w:rPr>
        <w:t>w na uzupe</w:t>
      </w:r>
      <w:r w:rsidR="008331F0">
        <w:rPr>
          <w:rFonts w:ascii="Times New Roman"/>
          <w:szCs w:val="24"/>
        </w:rPr>
        <w:t>ł</w:t>
      </w:r>
      <w:r w:rsidR="008331F0">
        <w:rPr>
          <w:rFonts w:ascii="Times New Roman"/>
          <w:szCs w:val="24"/>
        </w:rPr>
        <w:t>nienie niedobor</w:t>
      </w:r>
      <w:r w:rsidR="008331F0">
        <w:rPr>
          <w:rFonts w:ascii="Times New Roman"/>
          <w:szCs w:val="24"/>
        </w:rPr>
        <w:t>ó</w:t>
      </w:r>
      <w:r w:rsidR="008331F0">
        <w:rPr>
          <w:rFonts w:ascii="Times New Roman"/>
          <w:szCs w:val="24"/>
        </w:rPr>
        <w:t>w funduszu emerytalnego wynikaj</w:t>
      </w:r>
      <w:r w:rsidR="008331F0">
        <w:rPr>
          <w:rFonts w:ascii="Times New Roman"/>
          <w:szCs w:val="24"/>
        </w:rPr>
        <w:t>ą</w:t>
      </w:r>
      <w:r w:rsidR="008331F0">
        <w:rPr>
          <w:rFonts w:ascii="Times New Roman"/>
          <w:szCs w:val="24"/>
        </w:rPr>
        <w:t xml:space="preserve">cego z przyczyn demograficznych. </w:t>
      </w:r>
      <w:r w:rsidR="00B73CDF">
        <w:rPr>
          <w:rFonts w:ascii="Times New Roman"/>
          <w:szCs w:val="24"/>
        </w:rPr>
        <w:t>Z za</w:t>
      </w:r>
      <w:r w:rsidR="00B73CDF">
        <w:rPr>
          <w:rFonts w:ascii="Times New Roman"/>
          <w:szCs w:val="24"/>
        </w:rPr>
        <w:t>ł</w:t>
      </w:r>
      <w:r w:rsidR="00B73CDF">
        <w:rPr>
          <w:rFonts w:ascii="Times New Roman"/>
          <w:szCs w:val="24"/>
        </w:rPr>
        <w:t>o</w:t>
      </w:r>
      <w:r w:rsidR="00B73CDF">
        <w:rPr>
          <w:rFonts w:ascii="Times New Roman"/>
          <w:szCs w:val="24"/>
        </w:rPr>
        <w:t>ż</w:t>
      </w:r>
      <w:r w:rsidR="00B73CDF">
        <w:rPr>
          <w:rFonts w:ascii="Times New Roman"/>
          <w:szCs w:val="24"/>
        </w:rPr>
        <w:t>enia jest to instrument, kt</w:t>
      </w:r>
      <w:r w:rsidR="00B73CDF">
        <w:rPr>
          <w:rFonts w:ascii="Times New Roman"/>
          <w:szCs w:val="24"/>
        </w:rPr>
        <w:t>ó</w:t>
      </w:r>
      <w:r w:rsidR="00B73CDF">
        <w:rPr>
          <w:rFonts w:ascii="Times New Roman"/>
          <w:szCs w:val="24"/>
        </w:rPr>
        <w:t>ry powinien by</w:t>
      </w:r>
      <w:r w:rsidR="00B73CDF">
        <w:rPr>
          <w:rFonts w:ascii="Times New Roman"/>
          <w:szCs w:val="24"/>
        </w:rPr>
        <w:t>ć</w:t>
      </w:r>
      <w:r w:rsidR="00B73CDF">
        <w:rPr>
          <w:rFonts w:ascii="Times New Roman"/>
          <w:szCs w:val="24"/>
        </w:rPr>
        <w:t xml:space="preserve"> wykorzystywany w d</w:t>
      </w:r>
      <w:r w:rsidR="00B73CDF">
        <w:rPr>
          <w:rFonts w:ascii="Times New Roman"/>
          <w:szCs w:val="24"/>
        </w:rPr>
        <w:t>ł</w:t>
      </w:r>
      <w:r w:rsidR="00B73CDF">
        <w:rPr>
          <w:rFonts w:ascii="Times New Roman"/>
          <w:szCs w:val="24"/>
        </w:rPr>
        <w:t>u</w:t>
      </w:r>
      <w:r w:rsidR="00B73CDF">
        <w:rPr>
          <w:rFonts w:ascii="Times New Roman"/>
          <w:szCs w:val="24"/>
        </w:rPr>
        <w:t>ż</w:t>
      </w:r>
      <w:r w:rsidR="00B73CDF">
        <w:rPr>
          <w:rFonts w:ascii="Times New Roman"/>
          <w:szCs w:val="24"/>
        </w:rPr>
        <w:t xml:space="preserve">szej perspektywie czasowej. Ustawa </w:t>
      </w:r>
      <w:r w:rsidR="00391E60">
        <w:rPr>
          <w:rFonts w:ascii="Times New Roman"/>
          <w:szCs w:val="24"/>
        </w:rPr>
        <w:t>o systemie ubezpiecze</w:t>
      </w:r>
      <w:r w:rsidR="00391E60">
        <w:rPr>
          <w:rFonts w:ascii="Times New Roman"/>
          <w:szCs w:val="24"/>
        </w:rPr>
        <w:t>ń</w:t>
      </w:r>
      <w:r w:rsidR="00391E60">
        <w:rPr>
          <w:rFonts w:ascii="Times New Roman"/>
          <w:szCs w:val="24"/>
        </w:rPr>
        <w:t xml:space="preserve"> spo</w:t>
      </w:r>
      <w:r w:rsidR="00391E60">
        <w:rPr>
          <w:rFonts w:ascii="Times New Roman"/>
          <w:szCs w:val="24"/>
        </w:rPr>
        <w:t>ł</w:t>
      </w:r>
      <w:r w:rsidR="00391E60">
        <w:rPr>
          <w:rFonts w:ascii="Times New Roman"/>
          <w:szCs w:val="24"/>
        </w:rPr>
        <w:t xml:space="preserve">ecznych </w:t>
      </w:r>
      <w:r w:rsidR="00B73CDF">
        <w:rPr>
          <w:rFonts w:ascii="Times New Roman"/>
          <w:szCs w:val="24"/>
        </w:rPr>
        <w:t>wprowadza jednak w art.</w:t>
      </w:r>
      <w:r w:rsidR="005C45E5">
        <w:rPr>
          <w:rFonts w:ascii="Times New Roman"/>
          <w:szCs w:val="24"/>
        </w:rPr>
        <w:t xml:space="preserve"> 59 ust. 2-</w:t>
      </w:r>
      <w:r w:rsidR="00B73CDF">
        <w:rPr>
          <w:rFonts w:ascii="Times New Roman"/>
          <w:szCs w:val="24"/>
        </w:rPr>
        <w:t>2</w:t>
      </w:r>
      <w:r w:rsidR="005C45E5">
        <w:rPr>
          <w:rFonts w:ascii="Times New Roman"/>
          <w:szCs w:val="24"/>
        </w:rPr>
        <w:t>c</w:t>
      </w:r>
      <w:r w:rsidR="00B73CDF">
        <w:rPr>
          <w:rFonts w:ascii="Times New Roman"/>
          <w:szCs w:val="24"/>
        </w:rPr>
        <w:t xml:space="preserve"> mo</w:t>
      </w:r>
      <w:r w:rsidR="00B73CDF">
        <w:rPr>
          <w:rFonts w:ascii="Times New Roman"/>
          <w:szCs w:val="24"/>
        </w:rPr>
        <w:t>ż</w:t>
      </w:r>
      <w:r w:rsidR="00B73CDF">
        <w:rPr>
          <w:rFonts w:ascii="Times New Roman"/>
          <w:szCs w:val="24"/>
        </w:rPr>
        <w:t>liwo</w:t>
      </w:r>
      <w:r w:rsidR="00B73CDF">
        <w:rPr>
          <w:rFonts w:ascii="Times New Roman"/>
          <w:szCs w:val="24"/>
        </w:rPr>
        <w:t>ść</w:t>
      </w:r>
      <w:r w:rsidR="00B73CDF">
        <w:rPr>
          <w:rFonts w:ascii="Times New Roman"/>
          <w:szCs w:val="24"/>
        </w:rPr>
        <w:t xml:space="preserve"> bie</w:t>
      </w:r>
      <w:r w:rsidR="00B73CDF">
        <w:rPr>
          <w:rFonts w:ascii="Times New Roman"/>
          <w:szCs w:val="24"/>
        </w:rPr>
        <w:t>żą</w:t>
      </w:r>
      <w:r w:rsidR="00346E9D">
        <w:rPr>
          <w:rFonts w:ascii="Times New Roman"/>
          <w:szCs w:val="24"/>
        </w:rPr>
        <w:t>cego wykorzystania FRD na</w:t>
      </w:r>
      <w:r w:rsidR="00B73CDF">
        <w:rPr>
          <w:rFonts w:ascii="Times New Roman"/>
          <w:szCs w:val="24"/>
        </w:rPr>
        <w:t xml:space="preserve"> wyp</w:t>
      </w:r>
      <w:r w:rsidR="00B73CDF">
        <w:rPr>
          <w:rFonts w:ascii="Times New Roman"/>
          <w:szCs w:val="24"/>
        </w:rPr>
        <w:t>ł</w:t>
      </w:r>
      <w:r w:rsidR="00B73CDF">
        <w:rPr>
          <w:rFonts w:ascii="Times New Roman"/>
          <w:szCs w:val="24"/>
        </w:rPr>
        <w:t>at</w:t>
      </w:r>
      <w:r w:rsidR="00346E9D">
        <w:rPr>
          <w:rFonts w:ascii="Times New Roman"/>
          <w:szCs w:val="24"/>
        </w:rPr>
        <w:t>ę</w:t>
      </w:r>
      <w:r w:rsidR="00B73CDF">
        <w:rPr>
          <w:rFonts w:ascii="Times New Roman"/>
          <w:szCs w:val="24"/>
        </w:rPr>
        <w:t xml:space="preserve"> emerytur. </w:t>
      </w:r>
    </w:p>
    <w:p w:rsidR="00346E9D" w:rsidRDefault="00B73CDF" w:rsidP="008331F0">
      <w:pPr>
        <w:pStyle w:val="ARTartustawynprozporzdzenia"/>
        <w:spacing w:before="0" w:after="120"/>
      </w:pPr>
      <w:r>
        <w:rPr>
          <w:rFonts w:ascii="Times New Roman"/>
          <w:szCs w:val="24"/>
        </w:rPr>
        <w:t xml:space="preserve">Celem ustawy jest </w:t>
      </w:r>
      <w:r w:rsidR="00346E9D">
        <w:rPr>
          <w:rFonts w:ascii="Times New Roman"/>
          <w:szCs w:val="24"/>
        </w:rPr>
        <w:t>w</w:t>
      </w:r>
      <w:r>
        <w:rPr>
          <w:rFonts w:ascii="Times New Roman"/>
          <w:szCs w:val="24"/>
        </w:rPr>
        <w:t>p</w:t>
      </w:r>
      <w:r w:rsidR="00346E9D">
        <w:rPr>
          <w:rFonts w:ascii="Times New Roman"/>
          <w:szCs w:val="24"/>
        </w:rPr>
        <w:t>rowa</w:t>
      </w:r>
      <w:r>
        <w:rPr>
          <w:rFonts w:ascii="Times New Roman"/>
          <w:szCs w:val="24"/>
        </w:rPr>
        <w:t>dzenie</w:t>
      </w:r>
      <w:r w:rsidR="005C45E5">
        <w:rPr>
          <w:rFonts w:ascii="Times New Roman"/>
          <w:szCs w:val="24"/>
        </w:rPr>
        <w:t xml:space="preserve"> sta</w:t>
      </w:r>
      <w:r w:rsidR="005C45E5">
        <w:rPr>
          <w:rFonts w:ascii="Times New Roman"/>
          <w:szCs w:val="24"/>
        </w:rPr>
        <w:t>ł</w:t>
      </w:r>
      <w:r w:rsidR="005C45E5">
        <w:rPr>
          <w:rFonts w:ascii="Times New Roman"/>
          <w:szCs w:val="24"/>
        </w:rPr>
        <w:t>ych</w:t>
      </w:r>
      <w:r>
        <w:rPr>
          <w:rFonts w:ascii="Times New Roman"/>
          <w:szCs w:val="24"/>
        </w:rPr>
        <w:t xml:space="preserve"> ogranicze</w:t>
      </w:r>
      <w:r>
        <w:rPr>
          <w:rFonts w:ascii="Times New Roman"/>
          <w:szCs w:val="24"/>
        </w:rPr>
        <w:t>ń</w:t>
      </w:r>
      <w:r>
        <w:rPr>
          <w:rFonts w:ascii="Times New Roman"/>
          <w:szCs w:val="24"/>
        </w:rPr>
        <w:t xml:space="preserve"> w zakresie dysponowania </w:t>
      </w:r>
      <w:r>
        <w:rPr>
          <w:rFonts w:ascii="Times New Roman"/>
          <w:szCs w:val="24"/>
        </w:rPr>
        <w:t>ś</w:t>
      </w:r>
      <w:r>
        <w:rPr>
          <w:rFonts w:ascii="Times New Roman"/>
          <w:szCs w:val="24"/>
        </w:rPr>
        <w:t>rodkami FRD przez Rad</w:t>
      </w:r>
      <w:r>
        <w:rPr>
          <w:rFonts w:ascii="Times New Roman"/>
          <w:szCs w:val="24"/>
        </w:rPr>
        <w:t>ę</w:t>
      </w:r>
      <w:r>
        <w:rPr>
          <w:rFonts w:ascii="Times New Roman"/>
          <w:szCs w:val="24"/>
        </w:rPr>
        <w:t xml:space="preserve"> Ministr</w:t>
      </w:r>
      <w:r>
        <w:rPr>
          <w:rFonts w:ascii="Times New Roman"/>
          <w:szCs w:val="24"/>
        </w:rPr>
        <w:t>ó</w:t>
      </w:r>
      <w:r>
        <w:rPr>
          <w:rFonts w:ascii="Times New Roman"/>
          <w:szCs w:val="24"/>
        </w:rPr>
        <w:t>w</w:t>
      </w:r>
      <w:r w:rsidR="00346E9D">
        <w:rPr>
          <w:rFonts w:ascii="Times New Roman"/>
          <w:szCs w:val="24"/>
        </w:rPr>
        <w:t xml:space="preserve"> oraz wprowadzenie </w:t>
      </w:r>
      <w:r w:rsidR="000A48EF">
        <w:rPr>
          <w:rFonts w:ascii="Times New Roman"/>
          <w:szCs w:val="24"/>
        </w:rPr>
        <w:t>od dnia jej wej</w:t>
      </w:r>
      <w:r w:rsidR="000A48EF">
        <w:rPr>
          <w:rFonts w:ascii="Times New Roman"/>
          <w:szCs w:val="24"/>
        </w:rPr>
        <w:t>ś</w:t>
      </w:r>
      <w:r w:rsidR="000A48EF">
        <w:rPr>
          <w:rFonts w:ascii="Times New Roman"/>
          <w:szCs w:val="24"/>
        </w:rPr>
        <w:t xml:space="preserve">cia w </w:t>
      </w:r>
      <w:r w:rsidR="000A48EF">
        <w:rPr>
          <w:rFonts w:ascii="Times New Roman"/>
          <w:szCs w:val="24"/>
        </w:rPr>
        <w:t>ż</w:t>
      </w:r>
      <w:r w:rsidR="000A48EF">
        <w:rPr>
          <w:rFonts w:ascii="Times New Roman"/>
          <w:szCs w:val="24"/>
        </w:rPr>
        <w:t>ycie do ko</w:t>
      </w:r>
      <w:r w:rsidR="000A48EF">
        <w:rPr>
          <w:rFonts w:ascii="Times New Roman"/>
          <w:szCs w:val="24"/>
        </w:rPr>
        <w:t>ń</w:t>
      </w:r>
      <w:r w:rsidR="000A48EF">
        <w:rPr>
          <w:rFonts w:ascii="Times New Roman"/>
          <w:szCs w:val="24"/>
        </w:rPr>
        <w:t>ca</w:t>
      </w:r>
      <w:r w:rsidR="00346E9D">
        <w:rPr>
          <w:rFonts w:ascii="Times New Roman"/>
          <w:szCs w:val="24"/>
        </w:rPr>
        <w:t xml:space="preserve"> 2017</w:t>
      </w:r>
      <w:r w:rsidR="000A48EF">
        <w:rPr>
          <w:rFonts w:ascii="Times New Roman"/>
          <w:szCs w:val="24"/>
        </w:rPr>
        <w:t xml:space="preserve"> r.</w:t>
      </w:r>
      <w:r w:rsidR="00BC5BFA">
        <w:rPr>
          <w:rFonts w:ascii="Times New Roman"/>
          <w:szCs w:val="24"/>
        </w:rPr>
        <w:t xml:space="preserve"> czasowego</w:t>
      </w:r>
      <w:r w:rsidR="00346E9D">
        <w:rPr>
          <w:rFonts w:ascii="Times New Roman"/>
          <w:szCs w:val="24"/>
        </w:rPr>
        <w:t xml:space="preserve"> </w:t>
      </w:r>
      <w:r w:rsidR="00BC5BFA">
        <w:rPr>
          <w:rFonts w:ascii="Times New Roman"/>
          <w:szCs w:val="24"/>
        </w:rPr>
        <w:t>zawieszenia mo</w:t>
      </w:r>
      <w:r w:rsidR="00BC5BFA">
        <w:rPr>
          <w:rFonts w:ascii="Times New Roman"/>
          <w:szCs w:val="24"/>
        </w:rPr>
        <w:t>ż</w:t>
      </w:r>
      <w:r w:rsidR="00BC5BFA">
        <w:rPr>
          <w:rFonts w:ascii="Times New Roman"/>
          <w:szCs w:val="24"/>
        </w:rPr>
        <w:t>liwo</w:t>
      </w:r>
      <w:r w:rsidR="00BC5BFA">
        <w:rPr>
          <w:rFonts w:ascii="Times New Roman"/>
          <w:szCs w:val="24"/>
        </w:rPr>
        <w:t>ś</w:t>
      </w:r>
      <w:r w:rsidR="00BC5BFA">
        <w:rPr>
          <w:rFonts w:ascii="Times New Roman"/>
          <w:szCs w:val="24"/>
        </w:rPr>
        <w:t>ci</w:t>
      </w:r>
      <w:r w:rsidR="00346E9D">
        <w:rPr>
          <w:rFonts w:ascii="Times New Roman"/>
          <w:szCs w:val="24"/>
        </w:rPr>
        <w:t xml:space="preserve"> </w:t>
      </w:r>
      <w:r w:rsidR="00BC5BFA">
        <w:rPr>
          <w:rFonts w:ascii="Times New Roman"/>
          <w:szCs w:val="24"/>
        </w:rPr>
        <w:t>wykorzystania</w:t>
      </w:r>
      <w:r w:rsidR="00346E9D">
        <w:rPr>
          <w:rFonts w:ascii="Times New Roman"/>
          <w:szCs w:val="24"/>
        </w:rPr>
        <w:t xml:space="preserve"> </w:t>
      </w:r>
      <w:r w:rsidR="00346E9D">
        <w:rPr>
          <w:rFonts w:ascii="Times New Roman"/>
          <w:szCs w:val="24"/>
        </w:rPr>
        <w:t>ś</w:t>
      </w:r>
      <w:r w:rsidR="00346E9D">
        <w:rPr>
          <w:rFonts w:ascii="Times New Roman"/>
          <w:szCs w:val="24"/>
        </w:rPr>
        <w:t>rodk</w:t>
      </w:r>
      <w:r w:rsidR="00346E9D">
        <w:rPr>
          <w:rFonts w:ascii="Times New Roman"/>
          <w:szCs w:val="24"/>
        </w:rPr>
        <w:t>ó</w:t>
      </w:r>
      <w:r w:rsidR="00346E9D">
        <w:rPr>
          <w:rFonts w:ascii="Times New Roman"/>
          <w:szCs w:val="24"/>
        </w:rPr>
        <w:t>w z FRD.</w:t>
      </w:r>
    </w:p>
    <w:p w:rsidR="00D231B9" w:rsidRPr="00DD6BA5" w:rsidRDefault="003B678D" w:rsidP="00D231B9">
      <w:pPr>
        <w:pStyle w:val="ARTartustawynprozporzdzenia"/>
        <w:numPr>
          <w:ilvl w:val="0"/>
          <w:numId w:val="10"/>
        </w:numPr>
        <w:rPr>
          <w:b/>
          <w:bCs/>
          <w:lang w:val="es-ES_tradnl"/>
        </w:rPr>
      </w:pPr>
      <w:r>
        <w:rPr>
          <w:b/>
        </w:rPr>
        <w:t>Rzeczywisty stan w dziedzinie, która ma być unormowana</w:t>
      </w:r>
      <w:r w:rsidR="00D231B9">
        <w:rPr>
          <w:b/>
        </w:rPr>
        <w:t xml:space="preserve"> i </w:t>
      </w:r>
      <w:r w:rsidR="00D231B9">
        <w:rPr>
          <w:b/>
          <w:bCs/>
          <w:lang w:val="es-ES_tradnl"/>
        </w:rPr>
        <w:t>w</w:t>
      </w:r>
      <w:r w:rsidR="00D231B9" w:rsidRPr="00DD6BA5">
        <w:rPr>
          <w:b/>
          <w:bCs/>
          <w:lang w:val="es-ES_tradnl"/>
        </w:rPr>
        <w:t>ykazanie różnic pomiędzy dotychczasowym a projektowanym stanem prawnym</w:t>
      </w:r>
    </w:p>
    <w:p w:rsidR="00BC5BFA" w:rsidRDefault="00BC5BFA" w:rsidP="00346E9D">
      <w:pPr>
        <w:pStyle w:val="ARTartustawynprozporzdzenia"/>
        <w:spacing w:after="120"/>
      </w:pPr>
      <w:r>
        <w:t>Obecnie obowiązująca treść ustawy o systemie ubezpieczeń społecznych przewiduje w art. 59 następujące tryby wykorzystania środków FRD:</w:t>
      </w:r>
    </w:p>
    <w:p w:rsidR="00BC5BFA" w:rsidRDefault="00750C18" w:rsidP="00750C18">
      <w:pPr>
        <w:pStyle w:val="ARTartustawynprozporzdzenia"/>
        <w:numPr>
          <w:ilvl w:val="0"/>
          <w:numId w:val="14"/>
        </w:numPr>
        <w:spacing w:after="120"/>
      </w:pPr>
      <w:r>
        <w:t>w</w:t>
      </w:r>
      <w:r w:rsidR="00BC5BFA">
        <w:t xml:space="preserve"> drodze rozporządzenia Rady Ministrów</w:t>
      </w:r>
      <w:r w:rsidR="00391E60">
        <w:t>,</w:t>
      </w:r>
      <w:r w:rsidR="00BC5BFA">
        <w:t xml:space="preserve"> na uzupełnienie niedoboru funduszu emerytalnego wynikającego z przyczyn demograficznych (ust. 2) </w:t>
      </w:r>
    </w:p>
    <w:p w:rsidR="00BC5BFA" w:rsidRDefault="00750C18" w:rsidP="00750C18">
      <w:pPr>
        <w:pStyle w:val="ARTartustawynprozporzdzenia"/>
        <w:numPr>
          <w:ilvl w:val="0"/>
          <w:numId w:val="14"/>
        </w:numPr>
        <w:spacing w:after="120"/>
      </w:pPr>
      <w:r>
        <w:t>w</w:t>
      </w:r>
      <w:r w:rsidR="00BC5BFA">
        <w:t xml:space="preserve"> drodze rozporządzenia Rady Ministrów</w:t>
      </w:r>
      <w:r w:rsidR="00391E60">
        <w:t>,</w:t>
      </w:r>
      <w:r w:rsidR="00BC5BFA">
        <w:t xml:space="preserve"> na nieoprocentowaną pożyczkę uzupełniającą środki funduszu emerytalnego na bieżącą wypłatę świadczeń, zapewniającą płynność finansową Funduszu Ubezpieczeń Społecznych (ust. 2</w:t>
      </w:r>
      <w:r>
        <w:t>a</w:t>
      </w:r>
      <w:r w:rsidR="00BC5BFA">
        <w:t>)</w:t>
      </w:r>
    </w:p>
    <w:p w:rsidR="00BC5BFA" w:rsidRDefault="00750C18" w:rsidP="00750C18">
      <w:pPr>
        <w:pStyle w:val="ARTartustawynprozporzdzenia"/>
        <w:numPr>
          <w:ilvl w:val="0"/>
          <w:numId w:val="14"/>
        </w:numPr>
        <w:spacing w:after="120"/>
      </w:pPr>
      <w:r>
        <w:t>ujęcie w ustawie budżetowej na dany rok budżetowy w przychodach FUS środków</w:t>
      </w:r>
      <w:r w:rsidRPr="00750C18">
        <w:t xml:space="preserve"> </w:t>
      </w:r>
      <w:r>
        <w:t>na uzupełnienie niedoboru funduszu emerytalnego wynikającego z przyczyn demograficznych (ust. 2b).</w:t>
      </w:r>
    </w:p>
    <w:p w:rsidR="006E1006" w:rsidRDefault="00915B32" w:rsidP="00346E9D">
      <w:pPr>
        <w:pStyle w:val="ARTartustawynprozporzdzenia"/>
        <w:spacing w:after="120"/>
      </w:pPr>
      <w:r>
        <w:t>W zamyśle</w:t>
      </w:r>
      <w:r w:rsidR="00DA470D">
        <w:t xml:space="preserve"> FR</w:t>
      </w:r>
      <w:r w:rsidR="005F021C">
        <w:t>D</w:t>
      </w:r>
      <w:r>
        <w:t xml:space="preserve"> ma</w:t>
      </w:r>
      <w:r w:rsidR="00DA470D">
        <w:t xml:space="preserve"> </w:t>
      </w:r>
      <w:r>
        <w:t xml:space="preserve">zatem </w:t>
      </w:r>
      <w:r w:rsidR="00DA470D">
        <w:t>wspierać wypłaty emerytur w dwóch przypadkach: po pierwsze, kiedy z roku na rok występują niewielkie problemy z</w:t>
      </w:r>
      <w:r>
        <w:t>e zbilansowaniem budżetu FUS (w sytuacjach, gdy</w:t>
      </w:r>
      <w:r w:rsidR="00DA470D">
        <w:t xml:space="preserve"> bardziej liczny rocznik przeszedł na emeryturę, a mnie</w:t>
      </w:r>
      <w:r w:rsidR="000A48EF">
        <w:t>j</w:t>
      </w:r>
      <w:r w:rsidR="00DA470D">
        <w:t xml:space="preserve"> osób podjęło pracę i </w:t>
      </w:r>
      <w:r w:rsidR="00DA470D">
        <w:lastRenderedPageBreak/>
        <w:t>opłacało składki), po drugie – w długiej perspektywie, w związk</w:t>
      </w:r>
      <w:r w:rsidR="000A48EF">
        <w:t>u</w:t>
      </w:r>
      <w:r w:rsidR="00DA470D">
        <w:t xml:space="preserve"> z nieuniknionym starzeniem się społeczeństwa i wzrostem liczby emerytów przypadających na jednego pracującego.</w:t>
      </w:r>
      <w:r w:rsidR="00E3551A">
        <w:t xml:space="preserve"> Dla tego pierwszego przypadku przeznaczony jest ustęp 2a art. 59 zmienianej ustawy.</w:t>
      </w:r>
      <w:r w:rsidR="00DA470D">
        <w:t xml:space="preserve"> Ten drugi problem</w:t>
      </w:r>
      <w:r w:rsidR="00E3551A">
        <w:t xml:space="preserve"> ujawni się dopiero za kilka-kilkanaście lat i </w:t>
      </w:r>
      <w:r w:rsidR="00DA470D">
        <w:t xml:space="preserve"> będzie się nasilał tym bardziej, że w ostatnich latach praktycznie zlikwidowano powszechny kapitałowy filar systemu emerytalnego.</w:t>
      </w:r>
      <w:r w:rsidR="00E3551A">
        <w:t xml:space="preserve"> Oczywiście, te kalkulacje pogarsz</w:t>
      </w:r>
      <w:r w:rsidR="000C1686">
        <w:t>aj</w:t>
      </w:r>
      <w:r w:rsidR="00E3551A">
        <w:t xml:space="preserve">ą się znacznie </w:t>
      </w:r>
      <w:r w:rsidR="002D34FE">
        <w:t xml:space="preserve">w </w:t>
      </w:r>
      <w:r w:rsidR="00E3551A">
        <w:t xml:space="preserve">przypadku cofnięcia </w:t>
      </w:r>
      <w:r w:rsidR="002D34FE">
        <w:t>reformy polegającej na podniesieniu</w:t>
      </w:r>
      <w:r w:rsidR="00E3551A">
        <w:t xml:space="preserve"> wieku emerytalnego. </w:t>
      </w:r>
      <w:r w:rsidR="009414C3">
        <w:t>System</w:t>
      </w:r>
      <w:r w:rsidR="00DA470D">
        <w:t xml:space="preserve"> oparty na wypłacaniu świadczeń z bieżąco zebranych składek</w:t>
      </w:r>
      <w:r w:rsidR="00E3551A">
        <w:t xml:space="preserve">, nie może zapewniać </w:t>
      </w:r>
      <w:r w:rsidR="006E1006">
        <w:t xml:space="preserve">wypłaty godnych </w:t>
      </w:r>
      <w:r w:rsidR="00E3551A">
        <w:t xml:space="preserve">świadczeń, jeżeli na </w:t>
      </w:r>
      <w:r w:rsidR="006E1006">
        <w:t>każdego</w:t>
      </w:r>
      <w:r w:rsidR="00E3551A">
        <w:t xml:space="preserve"> emeryta będzie przypadało </w:t>
      </w:r>
      <w:r w:rsidR="006E1006">
        <w:t xml:space="preserve">2 lub </w:t>
      </w:r>
      <w:r w:rsidR="002D34FE">
        <w:t>mniej osób w </w:t>
      </w:r>
      <w:r w:rsidR="006E1006">
        <w:t>wieku produkcyjnym (</w:t>
      </w:r>
      <w:r w:rsidR="007A4F7E">
        <w:t>wg prognozy</w:t>
      </w:r>
      <w:r w:rsidR="006E1006">
        <w:t xml:space="preserve"> demograficzne</w:t>
      </w:r>
      <w:r w:rsidR="007A4F7E">
        <w:t>j</w:t>
      </w:r>
      <w:r w:rsidR="006E1006">
        <w:t xml:space="preserve"> GUS</w:t>
      </w:r>
      <w:r w:rsidR="007A4F7E">
        <w:t xml:space="preserve"> stanie się to przed 2050</w:t>
      </w:r>
      <w:r w:rsidR="000A48EF">
        <w:t xml:space="preserve"> </w:t>
      </w:r>
      <w:r w:rsidR="007A4F7E">
        <w:t>r., a przecież prognoza ta jest zawyżona: nie uwzględnia efektywnego wieku emerytalnego, niższego niż ustawowy, oraz niskiego współczynnika aktywności zawodowej w Polsce</w:t>
      </w:r>
      <w:r w:rsidR="006E1006">
        <w:t xml:space="preserve">).  </w:t>
      </w:r>
      <w:r w:rsidR="009414C3">
        <w:t>reparty</w:t>
      </w:r>
    </w:p>
    <w:p w:rsidR="00485125" w:rsidRDefault="007A4F7E" w:rsidP="00346E9D">
      <w:pPr>
        <w:pStyle w:val="ARTartustawynprozporzdzenia"/>
        <w:spacing w:after="120"/>
      </w:pPr>
      <w:r>
        <w:t xml:space="preserve">Nie można łudzić </w:t>
      </w:r>
      <w:r w:rsidR="002D34FE">
        <w:t>się, że środki zgromadzone w FRD</w:t>
      </w:r>
      <w:r>
        <w:t xml:space="preserve"> stanowią rozwiązanie problemu wypłaty emerytur w długim okresie i to niezależnie od wysokości wpływów z prywatyzacji</w:t>
      </w:r>
      <w:r w:rsidR="0076601C">
        <w:t xml:space="preserve"> (które w pierwszych latach istnienia funduszu nie były realizowane)</w:t>
      </w:r>
      <w:r>
        <w:t xml:space="preserve"> oraz wyciekających w ostatnich latach z Funduszu</w:t>
      </w:r>
      <w:r w:rsidR="001F7207">
        <w:t xml:space="preserve"> środków </w:t>
      </w:r>
      <w:r w:rsidR="002D34FE">
        <w:t>(w zamierzeniu pomysłodawców FRD</w:t>
      </w:r>
      <w:r w:rsidR="001F7207">
        <w:t xml:space="preserve"> miał być on wykorzystywany dopiero około 2020</w:t>
      </w:r>
      <w:r w:rsidR="000A48EF">
        <w:t xml:space="preserve"> </w:t>
      </w:r>
      <w:r w:rsidR="001F7207">
        <w:t>r. dla zrekompensowania wypłat emerytur rocznik</w:t>
      </w:r>
      <w:r w:rsidR="00AB7C84">
        <w:t>ów</w:t>
      </w:r>
      <w:r w:rsidR="001F7207">
        <w:t xml:space="preserve"> wyżu powojennego</w:t>
      </w:r>
      <w:r w:rsidR="00AB7C84">
        <w:t xml:space="preserve">, a do tego czasu dzięki wpływom z prywatyzacji zgromadzić ok. 200 mld). Naiwne byłoby jednak poleganie na </w:t>
      </w:r>
      <w:r w:rsidR="00485125">
        <w:t>jednorazowych przychodach z prywatyzacji dla sfinansowania regularnych, ciągłych wydatków. FR</w:t>
      </w:r>
      <w:r w:rsidR="000A48EF">
        <w:t>D</w:t>
      </w:r>
      <w:r w:rsidR="00485125">
        <w:t xml:space="preserve"> jest jednak istotnym elementem długoterminowej strategii emerytalnej. Po pierwsze, dzięki możliwości udzielania nieoprocentowanych, półrocznych pożyczek może zabezpieczać bieżącą płynność FUS i redukować koszty finansowe ZUS (ok. 1% wszystkich kosztów to koszty finanso</w:t>
      </w:r>
      <w:r w:rsidR="002D34FE">
        <w:t>we). Po drugie, rolą FRD</w:t>
      </w:r>
      <w:r w:rsidR="00485125">
        <w:t xml:space="preserve"> jest wspomaganie </w:t>
      </w:r>
      <w:r w:rsidR="00417C06">
        <w:t xml:space="preserve">kompleksowych </w:t>
      </w:r>
      <w:r w:rsidR="00485125">
        <w:t>reform na rzecz systemu emerytalnego (takich, jak podnoszenie efektywnego wieku emerytalnego,</w:t>
      </w:r>
      <w:r w:rsidR="00417C06">
        <w:t xml:space="preserve"> wzrost liczby płatników składek itp.)</w:t>
      </w:r>
      <w:r w:rsidR="005051C3">
        <w:t>. Reformy takie przynoszą skutki dopiero po pewnym czasie, nawet kilk</w:t>
      </w:r>
      <w:r w:rsidR="002D34FE">
        <w:t>u-kilkunastu latach, stąd FRD</w:t>
      </w:r>
      <w:r w:rsidR="005051C3">
        <w:t xml:space="preserve"> powinien uzupełniać lukę w FUS, zanim ujawnią się pozytywne efekty reform. </w:t>
      </w:r>
    </w:p>
    <w:p w:rsidR="00346E9D" w:rsidRDefault="00DA470D" w:rsidP="00346E9D">
      <w:pPr>
        <w:pStyle w:val="ARTartustawynprozporzdzenia"/>
        <w:spacing w:after="120"/>
      </w:pPr>
      <w:r>
        <w:t xml:space="preserve"> </w:t>
      </w:r>
      <w:r w:rsidR="009B6CEE">
        <w:t>Zakres stosowania</w:t>
      </w:r>
      <w:r w:rsidR="005051C3">
        <w:t xml:space="preserve">, art. 59 ust. 1 ustawy o systemie ubezpieczeń społecznych </w:t>
      </w:r>
      <w:r w:rsidR="009B6CEE">
        <w:t xml:space="preserve">jest </w:t>
      </w:r>
      <w:r w:rsidR="00331DB4">
        <w:t>sformułowany</w:t>
      </w:r>
      <w:r w:rsidR="005051C3">
        <w:t xml:space="preserve"> </w:t>
      </w:r>
      <w:r w:rsidR="009B6CEE">
        <w:t>szeroko</w:t>
      </w:r>
      <w:r w:rsidR="005051C3">
        <w:t>.</w:t>
      </w:r>
      <w:r w:rsidR="00331DB4">
        <w:t xml:space="preserve"> Niedobór w FUS prawie zawsze wynika z przyczyn demograficznych (których nie równoważy odpowiednia polityka emerytalna oraz rynku pracy). Z tego powodu środki z </w:t>
      </w:r>
      <w:r w:rsidR="002D34FE">
        <w:t>FRD</w:t>
      </w:r>
      <w:r w:rsidR="00736B78">
        <w:t xml:space="preserve"> zostały w znacznej części już wykorzystane, mimo iż prawdziwe demograficzne zagrożenie dla polskiego systemu emerytalnego ( a co za tym idzie, systemu finansów publicznych), dopiero nadjedzie. W ostatnich latach jednak</w:t>
      </w:r>
      <w:r w:rsidR="00331DB4">
        <w:t xml:space="preserve"> </w:t>
      </w:r>
      <w:r w:rsidR="005051C3">
        <w:t xml:space="preserve"> </w:t>
      </w:r>
      <w:r w:rsidR="00346E9D">
        <w:t>Rada Ministrów wykorzyst</w:t>
      </w:r>
      <w:r w:rsidR="00736B78">
        <w:t>ała</w:t>
      </w:r>
      <w:r w:rsidR="00D231B9">
        <w:t xml:space="preserve"> już</w:t>
      </w:r>
      <w:r w:rsidR="00346E9D">
        <w:t xml:space="preserve"> na postawie art. 59 ust. 2 część zgromadzonych środków FRD</w:t>
      </w:r>
      <w:r w:rsidR="00750C18">
        <w:t>. W</w:t>
      </w:r>
      <w:r w:rsidR="00346E9D">
        <w:t xml:space="preserve"> roku 2010 r. - na podstawie rozporządzenia z dnia 24 sierpnia 2010 r. Rada Ministrów zarządziła wykorzystanie </w:t>
      </w:r>
      <w:r w:rsidR="00750C18">
        <w:t>kwoty 7,5 mld zł</w:t>
      </w:r>
      <w:r w:rsidR="00346E9D">
        <w:t>. W następnych latach Rada Ministrów wydała kolejne rozporządzenia</w:t>
      </w:r>
      <w:r w:rsidR="00391E60">
        <w:t xml:space="preserve"> zarządzające wykorzystanie środków FRD</w:t>
      </w:r>
      <w:r w:rsidR="00750C18">
        <w:t xml:space="preserve"> -</w:t>
      </w:r>
      <w:r w:rsidR="00346E9D">
        <w:t xml:space="preserve"> w 2011 - 4 mld zł; </w:t>
      </w:r>
      <w:r w:rsidR="00D231B9">
        <w:t>w</w:t>
      </w:r>
      <w:r w:rsidR="00346E9D">
        <w:t xml:space="preserve"> 2012 r. - 2 mld 887 mln zł; </w:t>
      </w:r>
      <w:r w:rsidR="00D231B9">
        <w:t xml:space="preserve">oraz </w:t>
      </w:r>
      <w:r w:rsidR="00346E9D">
        <w:t>w 2013 r. - 2,5 mld zł.</w:t>
      </w:r>
    </w:p>
    <w:p w:rsidR="00346E9D" w:rsidRDefault="00750C18" w:rsidP="00346E9D">
      <w:pPr>
        <w:pStyle w:val="ARTartustawynprozporzdzenia"/>
        <w:spacing w:before="0" w:after="120"/>
      </w:pPr>
      <w:r>
        <w:t xml:space="preserve">Z kolei </w:t>
      </w:r>
      <w:r w:rsidR="00D231B9">
        <w:t>w 2014 r.</w:t>
      </w:r>
      <w:r>
        <w:t xml:space="preserve"> w</w:t>
      </w:r>
      <w:r w:rsidR="00D231B9">
        <w:t xml:space="preserve"> planie finansowym</w:t>
      </w:r>
      <w:r w:rsidR="00346E9D">
        <w:t xml:space="preserve"> Funduszu Ubezpieczeń Społecznych</w:t>
      </w:r>
      <w:r w:rsidR="00D231B9">
        <w:t xml:space="preserve"> w ustawie budżetowej</w:t>
      </w:r>
      <w:r w:rsidR="00346E9D">
        <w:t xml:space="preserve"> na 2014 r. </w:t>
      </w:r>
      <w:r w:rsidR="00D231B9">
        <w:t xml:space="preserve">zawarto </w:t>
      </w:r>
      <w:r w:rsidR="00346E9D">
        <w:t xml:space="preserve">2,5 mld zł środków z Funduszu Rezerwy Demograficznej, </w:t>
      </w:r>
      <w:r w:rsidR="00D231B9">
        <w:t>co było podstawą</w:t>
      </w:r>
      <w:r w:rsidR="00346E9D">
        <w:t xml:space="preserve"> </w:t>
      </w:r>
      <w:r w:rsidR="00D231B9">
        <w:t xml:space="preserve">do wykorzystania FRD, </w:t>
      </w:r>
      <w:r w:rsidR="00346E9D">
        <w:t>bez wydawania rozporządzenia.</w:t>
      </w:r>
    </w:p>
    <w:p w:rsidR="00D231B9" w:rsidRDefault="00D231B9" w:rsidP="00346E9D">
      <w:pPr>
        <w:pStyle w:val="ARTartustawynprozporzdzenia"/>
        <w:spacing w:before="0" w:after="120"/>
      </w:pPr>
      <w:r>
        <w:t xml:space="preserve">Biorąc </w:t>
      </w:r>
      <w:r w:rsidR="00C11B77">
        <w:t xml:space="preserve">powyższe pod uwagę należy uznać, że </w:t>
      </w:r>
      <w:r w:rsidR="00724A09">
        <w:t>możliwość przyszł</w:t>
      </w:r>
      <w:r w:rsidR="002D34FE">
        <w:t>ego realizowania celów przez FRD</w:t>
      </w:r>
      <w:r w:rsidR="00724A09">
        <w:t xml:space="preserve"> jest poważnie zagrożona – w funduszu nie będzie wystarczająco dużej kwoty na pokrycie przejściowo zwiększonych deficytów FUS, kiedy proces starzenia się polskiego społeczeństwa </w:t>
      </w:r>
      <w:r w:rsidR="0076601C">
        <w:t xml:space="preserve">osiągnie apogeum (należy pamiętać, że polskie społeczeństwo jest wciąż stosunkowo młode na tle UE, </w:t>
      </w:r>
      <w:r w:rsidR="009B6CEE">
        <w:t xml:space="preserve">w tym także </w:t>
      </w:r>
      <w:r w:rsidR="0076601C">
        <w:t>krajów</w:t>
      </w:r>
      <w:r w:rsidR="009B6CEE">
        <w:t xml:space="preserve"> naszego</w:t>
      </w:r>
      <w:r w:rsidR="0076601C">
        <w:t xml:space="preserve"> regionu). </w:t>
      </w:r>
      <w:r w:rsidR="008B3DBF">
        <w:t>Plan finansowy FRD na 2016</w:t>
      </w:r>
      <w:r w:rsidR="005F021C">
        <w:t xml:space="preserve"> </w:t>
      </w:r>
      <w:r w:rsidR="008B3DBF">
        <w:t>r. zakłada dysponowanie przez fundusz 19,8 mld zł, co stanowi mniej niż 50% deficytu ZUS na początek tego roku. Bez syst</w:t>
      </w:r>
      <w:r w:rsidR="00A21622">
        <w:t>ematycznych wpłat do funduszu i</w:t>
      </w:r>
      <w:r w:rsidR="00915B32">
        <w:t xml:space="preserve"> ograniczenia wypłat z </w:t>
      </w:r>
      <w:r w:rsidR="008B3DBF">
        <w:t>niego</w:t>
      </w:r>
      <w:r w:rsidR="00915B32">
        <w:t>,</w:t>
      </w:r>
      <w:r w:rsidR="008B3DBF">
        <w:t xml:space="preserve"> nie zdołamy zgromadzić </w:t>
      </w:r>
      <w:r w:rsidR="00915B32">
        <w:t>odpowiednich</w:t>
      </w:r>
      <w:r w:rsidR="008B3DBF">
        <w:t xml:space="preserve"> rezerw na emerytalną „czarną godzinę”.   </w:t>
      </w:r>
    </w:p>
    <w:p w:rsidR="00C11B77" w:rsidRDefault="00C11B77" w:rsidP="00346E9D">
      <w:pPr>
        <w:pStyle w:val="ARTartustawynprozporzdzenia"/>
        <w:spacing w:before="0" w:after="120"/>
      </w:pPr>
      <w:r>
        <w:t>Dlatego też projekt wprowadza roczny limit wykorzystania środków FRD</w:t>
      </w:r>
      <w:r w:rsidR="00B20FD7">
        <w:t xml:space="preserve"> w</w:t>
      </w:r>
      <w:r>
        <w:t xml:space="preserve"> trybie wydawania rozporządzeń Rady Ministrów na poziomie 10 % środków FRD określonych w jego planie na dany rok.</w:t>
      </w:r>
      <w:r w:rsidR="00B20FD7">
        <w:t xml:space="preserve"> Zapobiegnie to nadmiernemu uszczuplaniu środków FRD</w:t>
      </w:r>
      <w:r>
        <w:t xml:space="preserve"> </w:t>
      </w:r>
      <w:r w:rsidR="00B20FD7">
        <w:t>na potrzeby bieżące oraz zapewni właściwą ich kumulację na wypłaty w dłuższej perspektywie w sytuacji problemów wynikających z uwarunkowań demograficznych.</w:t>
      </w:r>
    </w:p>
    <w:p w:rsidR="00C11B77" w:rsidRDefault="00C11B77" w:rsidP="00346E9D">
      <w:pPr>
        <w:pStyle w:val="ARTartustawynprozporzdzenia"/>
        <w:spacing w:before="0" w:after="120"/>
      </w:pPr>
      <w:r>
        <w:t>Jednocześnie</w:t>
      </w:r>
      <w:r w:rsidR="002D34FE">
        <w:t>,</w:t>
      </w:r>
      <w:r>
        <w:t xml:space="preserve"> biorąc pod uwagę już wp</w:t>
      </w:r>
      <w:r w:rsidR="002D34FE">
        <w:t>rowadzone oraz planowane przez r</w:t>
      </w:r>
      <w:r>
        <w:t xml:space="preserve">ząd </w:t>
      </w:r>
      <w:r w:rsidR="00750C18">
        <w:t>nowe wydatki budżetowe</w:t>
      </w:r>
      <w:r w:rsidR="002D34FE">
        <w:t>,</w:t>
      </w:r>
      <w:r w:rsidR="00750C18">
        <w:t xml:space="preserve"> wprowadzane bez </w:t>
      </w:r>
      <w:r w:rsidR="00CA4E9B">
        <w:t xml:space="preserve">odpowiedniego </w:t>
      </w:r>
      <w:r w:rsidR="00750C18">
        <w:t>zwiększenia dochodów</w:t>
      </w:r>
      <w:r w:rsidR="002D34FE">
        <w:t>,</w:t>
      </w:r>
      <w:r>
        <w:t xml:space="preserve"> </w:t>
      </w:r>
      <w:r w:rsidR="00750C18">
        <w:t>oraz wynikające z orzeczenia Trybunał</w:t>
      </w:r>
      <w:r w:rsidR="00CA4E9B">
        <w:t>u</w:t>
      </w:r>
      <w:r w:rsidR="00750C18">
        <w:t xml:space="preserve"> Konstytuc</w:t>
      </w:r>
      <w:r w:rsidR="00CA4E9B">
        <w:t>yjnego</w:t>
      </w:r>
      <w:r w:rsidR="00750C18">
        <w:t xml:space="preserve"> z dnia 28 paź</w:t>
      </w:r>
      <w:r w:rsidR="00750C18" w:rsidRPr="00750C18">
        <w:t xml:space="preserve">dziernika 2015 r. (sygn. akt K 21/14), </w:t>
      </w:r>
      <w:r w:rsidR="00750C18">
        <w:t>w sprawie kwoty wolnej</w:t>
      </w:r>
      <w:r w:rsidR="00CA4E9B">
        <w:t xml:space="preserve"> od podatku</w:t>
      </w:r>
      <w:r w:rsidR="00B20FD7">
        <w:t>,</w:t>
      </w:r>
      <w:r w:rsidR="00CA4E9B">
        <w:t xml:space="preserve"> obniżenie dochodów budżetowych</w:t>
      </w:r>
      <w:r w:rsidR="00750C18">
        <w:t xml:space="preserve"> </w:t>
      </w:r>
      <w:r>
        <w:t>należy wprowadzić czasowy zakaz zarządzania wykorzystania środków FRD przez Radę Ministrów</w:t>
      </w:r>
      <w:r w:rsidR="00750C18">
        <w:t xml:space="preserve">, jak i </w:t>
      </w:r>
      <w:r w:rsidR="005F021C">
        <w:t xml:space="preserve">w drodze </w:t>
      </w:r>
      <w:r w:rsidR="00750C18">
        <w:t xml:space="preserve">ustawy budżetowej, </w:t>
      </w:r>
      <w:r>
        <w:t>co jest przedmiotem przepisu epizodycznego zawartego w art. 2 projektu</w:t>
      </w:r>
      <w:r w:rsidR="00CA4E9B">
        <w:t>.</w:t>
      </w:r>
      <w:r>
        <w:t xml:space="preserve"> </w:t>
      </w:r>
    </w:p>
    <w:p w:rsidR="00724A09" w:rsidRDefault="00724A09" w:rsidP="00346E9D">
      <w:pPr>
        <w:pStyle w:val="ARTartustawynprozporzdzenia"/>
        <w:spacing w:before="0" w:after="120"/>
      </w:pPr>
      <w:r>
        <w:t xml:space="preserve">Podobne fundusze rezerwowe działają w wielu krajach rozwiniętych, m.in. </w:t>
      </w:r>
      <w:r w:rsidR="0076601C">
        <w:t xml:space="preserve">Belgii, </w:t>
      </w:r>
      <w:r>
        <w:t xml:space="preserve">Danii, Francji, </w:t>
      </w:r>
      <w:r w:rsidR="0076601C">
        <w:t>Hiszpanii, Holandii, Irlandii, Norwegii i</w:t>
      </w:r>
      <w:r>
        <w:t xml:space="preserve"> Szwecji</w:t>
      </w:r>
      <w:r w:rsidR="0076601C">
        <w:t xml:space="preserve">. </w:t>
      </w:r>
      <w:r w:rsidR="00A21622">
        <w:t xml:space="preserve">W większości zostały ustanowione na przełomie XX i XXI wieku. </w:t>
      </w:r>
      <w:r w:rsidR="0076601C">
        <w:t xml:space="preserve">Wśród modeli finansowania funduszy rezerwowych znajdują się i przychody z prywatyzacji (Belgia, Francja), przychody ze sprzedaży surowców naturalnych (Norwegia) lub stała cześć składek emerytalnych, opodatkowania pracy lub dochodów </w:t>
      </w:r>
      <w:r w:rsidR="00806C28">
        <w:t xml:space="preserve">budżetu centralnego. W niektórych krajach (m.in. Francja, Holandia, Irlandia) przewidziano ustawowo rok, od którego można dokonywać wypłat z funduszu (2020 lub 2025), co pozwala na uzbieranie odpowiednio dużych kwot oraz wykorzystanie ich dopiero od roku, dla którego prognozy demograficzne wskazują na poważne problemy z utrzymaniem systemu emerytalnego. </w:t>
      </w:r>
      <w:r w:rsidR="002D34FE">
        <w:t>W </w:t>
      </w:r>
      <w:r w:rsidR="008048F1">
        <w:t xml:space="preserve">większości wymienionych krajów środki zgromadzone w funduszach buforowych to od 20 do 60 mld euro. </w:t>
      </w:r>
    </w:p>
    <w:p w:rsidR="008048F1" w:rsidRDefault="008048F1" w:rsidP="00346E9D">
      <w:pPr>
        <w:pStyle w:val="ARTartustawynprozporzdzenia"/>
        <w:spacing w:before="0" w:after="120"/>
      </w:pPr>
    </w:p>
    <w:p w:rsidR="003B678D" w:rsidRDefault="002F7D4D" w:rsidP="003B678D">
      <w:pPr>
        <w:pStyle w:val="ARTartustawynprozporzdzenia"/>
        <w:spacing w:before="0" w:after="120"/>
        <w:ind w:left="360" w:firstLine="0"/>
        <w:rPr>
          <w:b/>
        </w:rPr>
      </w:pPr>
      <w:r>
        <w:rPr>
          <w:b/>
        </w:rPr>
        <w:t>3</w:t>
      </w:r>
      <w:r w:rsidR="003B678D">
        <w:rPr>
          <w:b/>
        </w:rPr>
        <w:t>. Skutki społeczne, gospodarcze, finansowe i prawne</w:t>
      </w:r>
    </w:p>
    <w:p w:rsidR="002F7D4D" w:rsidRDefault="00CA4E9B" w:rsidP="003B678D">
      <w:pPr>
        <w:pStyle w:val="ARTartustawynprozporzdzenia"/>
        <w:spacing w:before="0" w:after="120"/>
        <w:ind w:firstLine="567"/>
      </w:pPr>
      <w:r>
        <w:t>Projekt będzie miał</w:t>
      </w:r>
      <w:r w:rsidR="002F7D4D">
        <w:t xml:space="preserve"> pozytywne skutki społeczne poprzez zwiększenie gwarancji wypłaty emerytur w dalszej przyszłości. </w:t>
      </w:r>
    </w:p>
    <w:p w:rsidR="003B678D" w:rsidRDefault="002F7D4D" w:rsidP="003B678D">
      <w:pPr>
        <w:pStyle w:val="ARTartustawynprozporzdzenia"/>
        <w:spacing w:before="0" w:after="120"/>
        <w:ind w:firstLine="567"/>
      </w:pPr>
      <w:r>
        <w:t>P</w:t>
      </w:r>
      <w:r w:rsidR="00CA4E9B">
        <w:t>rojekt nie pociąga za sobą</w:t>
      </w:r>
      <w:r>
        <w:t xml:space="preserve"> skutków</w:t>
      </w:r>
      <w:r w:rsidR="00CA4E9B">
        <w:t xml:space="preserve"> gospodarczych i</w:t>
      </w:r>
      <w:r>
        <w:t xml:space="preserve"> finansowych</w:t>
      </w:r>
      <w:r w:rsidR="00CA4E9B">
        <w:t>.</w:t>
      </w:r>
    </w:p>
    <w:p w:rsidR="002F7D4D" w:rsidRDefault="003B678D" w:rsidP="00CA4E9B">
      <w:pPr>
        <w:pStyle w:val="ARTartustawynprozporzdzenia"/>
        <w:spacing w:before="0" w:after="120"/>
        <w:ind w:firstLine="567"/>
      </w:pPr>
      <w:r>
        <w:t>Skutkiem prawnym będzie</w:t>
      </w:r>
      <w:r w:rsidR="002F7D4D">
        <w:t xml:space="preserve"> wyłączenie stosowania </w:t>
      </w:r>
      <w:r w:rsidR="000A48EF">
        <w:t xml:space="preserve">od dnia wejścia w życie nowelizacji do dnia 31 grudnia </w:t>
      </w:r>
      <w:r w:rsidR="002F7D4D">
        <w:t>2017</w:t>
      </w:r>
      <w:r w:rsidR="000A48EF">
        <w:t xml:space="preserve"> r.</w:t>
      </w:r>
      <w:r w:rsidR="002F7D4D">
        <w:t xml:space="preserve"> przepisów art. 59 ust. 2-2c ustawy o systemie ubezpieczeń społecznych.</w:t>
      </w:r>
    </w:p>
    <w:p w:rsidR="002F7D4D" w:rsidRPr="00FD4B4A" w:rsidRDefault="003B678D" w:rsidP="005C45E5">
      <w:pPr>
        <w:pStyle w:val="ARTartustawynprozporzdzenia"/>
        <w:numPr>
          <w:ilvl w:val="0"/>
          <w:numId w:val="13"/>
        </w:numPr>
        <w:spacing w:before="0" w:after="120"/>
        <w:rPr>
          <w:b/>
        </w:rPr>
      </w:pPr>
      <w:r w:rsidRPr="00FD4B4A">
        <w:rPr>
          <w:b/>
        </w:rPr>
        <w:t>Projekt ustawy nie przewiduje obciążenia dla budżetu państwa oraz jednostek samorządu terytorialnego</w:t>
      </w:r>
      <w:r w:rsidR="00B20FD7" w:rsidRPr="00FD4B4A">
        <w:rPr>
          <w:b/>
        </w:rPr>
        <w:t>.</w:t>
      </w:r>
    </w:p>
    <w:p w:rsidR="003B678D" w:rsidRPr="00FD4B4A" w:rsidRDefault="005C45E5" w:rsidP="005C45E5">
      <w:pPr>
        <w:pStyle w:val="ARTartustawynprozporzdzenia"/>
        <w:numPr>
          <w:ilvl w:val="0"/>
          <w:numId w:val="13"/>
        </w:numPr>
        <w:spacing w:before="0" w:after="120"/>
        <w:rPr>
          <w:b/>
        </w:rPr>
      </w:pPr>
      <w:r w:rsidRPr="00FD4B4A">
        <w:rPr>
          <w:b/>
        </w:rPr>
        <w:t>Przedmiot projektu</w:t>
      </w:r>
      <w:r w:rsidR="003B678D" w:rsidRPr="00FD4B4A">
        <w:rPr>
          <w:b/>
        </w:rPr>
        <w:t xml:space="preserve"> nie jest objęty przepisami prawa Unii Europejskiej.</w:t>
      </w:r>
    </w:p>
    <w:p w:rsidR="004D0CCF" w:rsidRPr="004D0CCF" w:rsidRDefault="004D0CCF">
      <w:pPr>
        <w:pStyle w:val="BodyA"/>
        <w:spacing w:after="120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sectPr w:rsidR="004D0CCF" w:rsidRPr="004D0CCF" w:rsidSect="0025718D"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1418" w:right="1417" w:bottom="709" w:left="1417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52A4" w:rsidRDefault="00CB52A4">
      <w:r>
        <w:separator/>
      </w:r>
    </w:p>
  </w:endnote>
  <w:endnote w:type="continuationSeparator" w:id="0">
    <w:p w:rsidR="00CB52A4" w:rsidRDefault="00CB52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6D5B" w:rsidRDefault="002B4A16">
    <w:pPr>
      <w:pStyle w:val="Stopka"/>
      <w:jc w:val="right"/>
    </w:pPr>
    <w:r>
      <w:fldChar w:fldCharType="begin"/>
    </w:r>
    <w:r w:rsidR="003A5FD2">
      <w:instrText xml:space="preserve"> PAGE </w:instrText>
    </w:r>
    <w:r>
      <w:fldChar w:fldCharType="separate"/>
    </w:r>
    <w:r w:rsidR="00C8211D">
      <w:rPr>
        <w:noProof/>
      </w:rPr>
      <w:t>5</w:t>
    </w:r>
    <w: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6D5B" w:rsidRDefault="002B4A16">
    <w:pPr>
      <w:pStyle w:val="Stopka"/>
      <w:jc w:val="right"/>
    </w:pPr>
    <w:r>
      <w:fldChar w:fldCharType="begin"/>
    </w:r>
    <w:r w:rsidR="003A5FD2">
      <w:instrText xml:space="preserve"> PAGE </w:instrText>
    </w:r>
    <w:r>
      <w:fldChar w:fldCharType="separate"/>
    </w:r>
    <w:r w:rsidR="00C8211D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52A4" w:rsidRDefault="00CB52A4">
      <w:r>
        <w:separator/>
      </w:r>
    </w:p>
  </w:footnote>
  <w:footnote w:type="continuationSeparator" w:id="0">
    <w:p w:rsidR="00CB52A4" w:rsidRDefault="00CB52A4">
      <w:r>
        <w:continuationSeparator/>
      </w:r>
    </w:p>
  </w:footnote>
  <w:footnote w:type="continuationNotice" w:id="1">
    <w:p w:rsidR="00CB52A4" w:rsidRDefault="00CB52A4"/>
  </w:footnote>
  <w:footnote w:id="2">
    <w:p w:rsidR="00AB54F8" w:rsidRPr="00AB54F8" w:rsidRDefault="00AB54F8">
      <w:pPr>
        <w:pStyle w:val="Tekstprzypisudolnego"/>
        <w:rPr>
          <w:lang w:val="pl-PL"/>
        </w:rPr>
      </w:pPr>
      <w:r>
        <w:rPr>
          <w:rStyle w:val="Odwoanieprzypisudolnego"/>
        </w:rPr>
        <w:footnoteRef/>
      </w:r>
      <w:r w:rsidRPr="00EE760B">
        <w:rPr>
          <w:vertAlign w:val="superscript"/>
          <w:lang w:val="pl-PL"/>
        </w:rPr>
        <w:t>)</w:t>
      </w:r>
      <w:r w:rsidRPr="00EE760B">
        <w:rPr>
          <w:lang w:val="pl-PL"/>
        </w:rPr>
        <w:t xml:space="preserve"> Zmiany tekstu jednolitego wymienionej ustawy zostały ogłoszone w Dz. U. z 2015 r. poz. 689, 978, 1037, 1066, 1240, 1268, 1269, 1506, 1649, 1735, 1830, 1893 i 2281</w:t>
      </w:r>
      <w:r w:rsidR="005C45E5" w:rsidRPr="00EE760B">
        <w:rPr>
          <w:lang w:val="pl-PL"/>
        </w:rPr>
        <w:t>oraz z20</w:t>
      </w:r>
      <w:r w:rsidRPr="00EE760B">
        <w:rPr>
          <w:lang w:val="pl-PL"/>
        </w:rPr>
        <w:t xml:space="preserve">16 r. poz. 34.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6D5B" w:rsidRDefault="005B6D5B">
    <w:pPr>
      <w:pStyle w:val="HeaderFoo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6D5B" w:rsidRDefault="005B6D5B">
    <w:pPr>
      <w:pStyle w:val="HeaderFoo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1695E"/>
    <w:multiLevelType w:val="hybridMultilevel"/>
    <w:tmpl w:val="A16C39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D01171"/>
    <w:multiLevelType w:val="multilevel"/>
    <w:tmpl w:val="ADBE04AC"/>
    <w:styleLink w:val="List0"/>
    <w:lvl w:ilvl="0">
      <w:start w:val="1"/>
      <w:numFmt w:val="decimal"/>
      <w:lvlText w:val="%1)"/>
      <w:lvlJc w:val="left"/>
      <w:pPr>
        <w:tabs>
          <w:tab w:val="num" w:pos="391"/>
        </w:tabs>
        <w:ind w:left="391" w:hanging="391"/>
      </w:pPr>
      <w:rPr>
        <w:position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position w:val="0"/>
        <w:sz w:val="24"/>
        <w:szCs w:val="24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296"/>
      </w:pPr>
      <w:rPr>
        <w:position w:val="0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position w:val="0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position w:val="0"/>
        <w:sz w:val="24"/>
        <w:szCs w:val="24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296"/>
      </w:pPr>
      <w:rPr>
        <w:position w:val="0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position w:val="0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position w:val="0"/>
        <w:sz w:val="24"/>
        <w:szCs w:val="24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296"/>
      </w:pPr>
      <w:rPr>
        <w:position w:val="0"/>
        <w:sz w:val="24"/>
        <w:szCs w:val="24"/>
      </w:rPr>
    </w:lvl>
  </w:abstractNum>
  <w:abstractNum w:abstractNumId="2">
    <w:nsid w:val="13D74D21"/>
    <w:multiLevelType w:val="hybridMultilevel"/>
    <w:tmpl w:val="7C541FD8"/>
    <w:lvl w:ilvl="0" w:tplc="04150001">
      <w:start w:val="1"/>
      <w:numFmt w:val="bullet"/>
      <w:lvlText w:val=""/>
      <w:lvlJc w:val="left"/>
      <w:pPr>
        <w:ind w:left="123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3">
    <w:nsid w:val="23116FC8"/>
    <w:multiLevelType w:val="hybridMultilevel"/>
    <w:tmpl w:val="D7C2C098"/>
    <w:lvl w:ilvl="0" w:tplc="29C841A8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5A722B3"/>
    <w:multiLevelType w:val="multilevel"/>
    <w:tmpl w:val="E0C21246"/>
    <w:styleLink w:val="List1"/>
    <w:lvl w:ilvl="0">
      <w:start w:val="1"/>
      <w:numFmt w:val="lowerLetter"/>
      <w:lvlText w:val="%1)"/>
      <w:lvlJc w:val="left"/>
      <w:pPr>
        <w:tabs>
          <w:tab w:val="num" w:pos="756"/>
        </w:tabs>
        <w:ind w:left="756" w:hanging="330"/>
      </w:pPr>
      <w:rPr>
        <w:position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  <w:rPr>
        <w:position w:val="0"/>
        <w:sz w:val="24"/>
        <w:szCs w:val="24"/>
      </w:rPr>
    </w:lvl>
    <w:lvl w:ilvl="2">
      <w:start w:val="1"/>
      <w:numFmt w:val="lowerRoman"/>
      <w:lvlText w:val="%3."/>
      <w:lvlJc w:val="left"/>
      <w:pPr>
        <w:tabs>
          <w:tab w:val="num" w:pos="2226"/>
        </w:tabs>
        <w:ind w:left="2226" w:hanging="296"/>
      </w:pPr>
      <w:rPr>
        <w:position w:val="0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position w:val="0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position w:val="0"/>
        <w:sz w:val="24"/>
        <w:szCs w:val="24"/>
      </w:rPr>
    </w:lvl>
    <w:lvl w:ilvl="5">
      <w:start w:val="1"/>
      <w:numFmt w:val="lowerRoman"/>
      <w:lvlText w:val="%6."/>
      <w:lvlJc w:val="left"/>
      <w:pPr>
        <w:tabs>
          <w:tab w:val="num" w:pos="4386"/>
        </w:tabs>
        <w:ind w:left="4386" w:hanging="296"/>
      </w:pPr>
      <w:rPr>
        <w:position w:val="0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position w:val="0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position w:val="0"/>
        <w:sz w:val="24"/>
        <w:szCs w:val="24"/>
      </w:rPr>
    </w:lvl>
    <w:lvl w:ilvl="8">
      <w:start w:val="1"/>
      <w:numFmt w:val="lowerRoman"/>
      <w:lvlText w:val="%9."/>
      <w:lvlJc w:val="left"/>
      <w:pPr>
        <w:tabs>
          <w:tab w:val="num" w:pos="6546"/>
        </w:tabs>
        <w:ind w:left="6546" w:hanging="296"/>
      </w:pPr>
      <w:rPr>
        <w:position w:val="0"/>
        <w:sz w:val="24"/>
        <w:szCs w:val="24"/>
      </w:rPr>
    </w:lvl>
  </w:abstractNum>
  <w:abstractNum w:abstractNumId="5">
    <w:nsid w:val="2B7E4DB1"/>
    <w:multiLevelType w:val="multilevel"/>
    <w:tmpl w:val="A4EEA6F6"/>
    <w:lvl w:ilvl="0">
      <w:start w:val="1"/>
      <w:numFmt w:val="decimal"/>
      <w:lvlText w:val="%1)"/>
      <w:lvlJc w:val="left"/>
      <w:pPr>
        <w:tabs>
          <w:tab w:val="num" w:pos="391"/>
        </w:tabs>
        <w:ind w:left="391" w:hanging="391"/>
      </w:pPr>
      <w:rPr>
        <w:position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position w:val="0"/>
        <w:sz w:val="24"/>
        <w:szCs w:val="24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296"/>
      </w:pPr>
      <w:rPr>
        <w:position w:val="0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position w:val="0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position w:val="0"/>
        <w:sz w:val="24"/>
        <w:szCs w:val="24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296"/>
      </w:pPr>
      <w:rPr>
        <w:position w:val="0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position w:val="0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position w:val="0"/>
        <w:sz w:val="24"/>
        <w:szCs w:val="24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296"/>
      </w:pPr>
      <w:rPr>
        <w:position w:val="0"/>
        <w:sz w:val="24"/>
        <w:szCs w:val="24"/>
      </w:rPr>
    </w:lvl>
  </w:abstractNum>
  <w:abstractNum w:abstractNumId="6">
    <w:nsid w:val="2CF573A7"/>
    <w:multiLevelType w:val="multilevel"/>
    <w:tmpl w:val="2B1088E8"/>
    <w:styleLink w:val="List21"/>
    <w:lvl w:ilvl="0">
      <w:start w:val="1"/>
      <w:numFmt w:val="lowerLetter"/>
      <w:lvlText w:val="%1)"/>
      <w:lvlJc w:val="left"/>
      <w:pPr>
        <w:tabs>
          <w:tab w:val="num" w:pos="756"/>
        </w:tabs>
        <w:ind w:left="756" w:hanging="330"/>
      </w:pPr>
      <w:rPr>
        <w:position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  <w:rPr>
        <w:position w:val="0"/>
        <w:sz w:val="24"/>
        <w:szCs w:val="24"/>
      </w:rPr>
    </w:lvl>
    <w:lvl w:ilvl="2">
      <w:start w:val="1"/>
      <w:numFmt w:val="lowerRoman"/>
      <w:lvlText w:val="%3."/>
      <w:lvlJc w:val="left"/>
      <w:pPr>
        <w:tabs>
          <w:tab w:val="num" w:pos="2226"/>
        </w:tabs>
        <w:ind w:left="2226" w:hanging="296"/>
      </w:pPr>
      <w:rPr>
        <w:position w:val="0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position w:val="0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position w:val="0"/>
        <w:sz w:val="24"/>
        <w:szCs w:val="24"/>
      </w:rPr>
    </w:lvl>
    <w:lvl w:ilvl="5">
      <w:start w:val="1"/>
      <w:numFmt w:val="lowerRoman"/>
      <w:lvlText w:val="%6."/>
      <w:lvlJc w:val="left"/>
      <w:pPr>
        <w:tabs>
          <w:tab w:val="num" w:pos="4386"/>
        </w:tabs>
        <w:ind w:left="4386" w:hanging="296"/>
      </w:pPr>
      <w:rPr>
        <w:position w:val="0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position w:val="0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position w:val="0"/>
        <w:sz w:val="24"/>
        <w:szCs w:val="24"/>
      </w:rPr>
    </w:lvl>
    <w:lvl w:ilvl="8">
      <w:start w:val="1"/>
      <w:numFmt w:val="lowerRoman"/>
      <w:lvlText w:val="%9."/>
      <w:lvlJc w:val="left"/>
      <w:pPr>
        <w:tabs>
          <w:tab w:val="num" w:pos="6546"/>
        </w:tabs>
        <w:ind w:left="6546" w:hanging="296"/>
      </w:pPr>
      <w:rPr>
        <w:position w:val="0"/>
        <w:sz w:val="24"/>
        <w:szCs w:val="24"/>
      </w:rPr>
    </w:lvl>
  </w:abstractNum>
  <w:abstractNum w:abstractNumId="7">
    <w:nsid w:val="2D5A1AB9"/>
    <w:multiLevelType w:val="multilevel"/>
    <w:tmpl w:val="B7244E6E"/>
    <w:lvl w:ilvl="0">
      <w:start w:val="1"/>
      <w:numFmt w:val="lowerLetter"/>
      <w:lvlText w:val="%1)"/>
      <w:lvlJc w:val="left"/>
      <w:rPr>
        <w:position w:val="0"/>
      </w:rPr>
    </w:lvl>
    <w:lvl w:ilvl="1">
      <w:start w:val="1"/>
      <w:numFmt w:val="lowerLetter"/>
      <w:lvlText w:val="%2."/>
      <w:lvlJc w:val="left"/>
      <w:rPr>
        <w:position w:val="0"/>
      </w:rPr>
    </w:lvl>
    <w:lvl w:ilvl="2">
      <w:start w:val="1"/>
      <w:numFmt w:val="lowerRoman"/>
      <w:lvlText w:val="%3."/>
      <w:lvlJc w:val="left"/>
      <w:rPr>
        <w:position w:val="0"/>
      </w:rPr>
    </w:lvl>
    <w:lvl w:ilvl="3">
      <w:start w:val="1"/>
      <w:numFmt w:val="decimal"/>
      <w:lvlText w:val="%4."/>
      <w:lvlJc w:val="left"/>
      <w:rPr>
        <w:position w:val="0"/>
      </w:rPr>
    </w:lvl>
    <w:lvl w:ilvl="4">
      <w:start w:val="1"/>
      <w:numFmt w:val="lowerLetter"/>
      <w:lvlText w:val="%5."/>
      <w:lvlJc w:val="left"/>
      <w:rPr>
        <w:position w:val="0"/>
      </w:rPr>
    </w:lvl>
    <w:lvl w:ilvl="5">
      <w:start w:val="1"/>
      <w:numFmt w:val="lowerRoman"/>
      <w:lvlText w:val="%6."/>
      <w:lvlJc w:val="left"/>
      <w:rPr>
        <w:position w:val="0"/>
      </w:rPr>
    </w:lvl>
    <w:lvl w:ilvl="6">
      <w:start w:val="1"/>
      <w:numFmt w:val="decimal"/>
      <w:lvlText w:val="%7."/>
      <w:lvlJc w:val="left"/>
      <w:rPr>
        <w:position w:val="0"/>
      </w:rPr>
    </w:lvl>
    <w:lvl w:ilvl="7">
      <w:start w:val="1"/>
      <w:numFmt w:val="lowerLetter"/>
      <w:lvlText w:val="%8."/>
      <w:lvlJc w:val="left"/>
      <w:rPr>
        <w:position w:val="0"/>
      </w:rPr>
    </w:lvl>
    <w:lvl w:ilvl="8">
      <w:start w:val="1"/>
      <w:numFmt w:val="lowerRoman"/>
      <w:lvlText w:val="%9."/>
      <w:lvlJc w:val="left"/>
      <w:rPr>
        <w:position w:val="0"/>
      </w:rPr>
    </w:lvl>
  </w:abstractNum>
  <w:abstractNum w:abstractNumId="8">
    <w:nsid w:val="2FC26EFA"/>
    <w:multiLevelType w:val="hybridMultilevel"/>
    <w:tmpl w:val="766ED29C"/>
    <w:lvl w:ilvl="0" w:tplc="624800D4">
      <w:start w:val="1"/>
      <w:numFmt w:val="bullet"/>
      <w:lvlText w:val="­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43817F6"/>
    <w:multiLevelType w:val="hybridMultilevel"/>
    <w:tmpl w:val="E37A612E"/>
    <w:lvl w:ilvl="0" w:tplc="AC7A6F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9DF653C"/>
    <w:multiLevelType w:val="multilevel"/>
    <w:tmpl w:val="D9C28972"/>
    <w:lvl w:ilvl="0">
      <w:start w:val="1"/>
      <w:numFmt w:val="lowerLetter"/>
      <w:lvlText w:val="%1)"/>
      <w:lvlJc w:val="left"/>
      <w:pPr>
        <w:tabs>
          <w:tab w:val="num" w:pos="756"/>
        </w:tabs>
        <w:ind w:left="756" w:hanging="330"/>
      </w:pPr>
      <w:rPr>
        <w:position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  <w:rPr>
        <w:position w:val="0"/>
        <w:sz w:val="24"/>
        <w:szCs w:val="24"/>
      </w:rPr>
    </w:lvl>
    <w:lvl w:ilvl="2">
      <w:start w:val="1"/>
      <w:numFmt w:val="lowerRoman"/>
      <w:lvlText w:val="%3."/>
      <w:lvlJc w:val="left"/>
      <w:pPr>
        <w:tabs>
          <w:tab w:val="num" w:pos="2226"/>
        </w:tabs>
        <w:ind w:left="2226" w:hanging="296"/>
      </w:pPr>
      <w:rPr>
        <w:position w:val="0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position w:val="0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position w:val="0"/>
        <w:sz w:val="24"/>
        <w:szCs w:val="24"/>
      </w:rPr>
    </w:lvl>
    <w:lvl w:ilvl="5">
      <w:start w:val="1"/>
      <w:numFmt w:val="lowerRoman"/>
      <w:lvlText w:val="%6."/>
      <w:lvlJc w:val="left"/>
      <w:pPr>
        <w:tabs>
          <w:tab w:val="num" w:pos="4386"/>
        </w:tabs>
        <w:ind w:left="4386" w:hanging="296"/>
      </w:pPr>
      <w:rPr>
        <w:position w:val="0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position w:val="0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position w:val="0"/>
        <w:sz w:val="24"/>
        <w:szCs w:val="24"/>
      </w:rPr>
    </w:lvl>
    <w:lvl w:ilvl="8">
      <w:start w:val="1"/>
      <w:numFmt w:val="lowerRoman"/>
      <w:lvlText w:val="%9."/>
      <w:lvlJc w:val="left"/>
      <w:pPr>
        <w:tabs>
          <w:tab w:val="num" w:pos="6546"/>
        </w:tabs>
        <w:ind w:left="6546" w:hanging="296"/>
      </w:pPr>
      <w:rPr>
        <w:position w:val="0"/>
        <w:sz w:val="24"/>
        <w:szCs w:val="24"/>
      </w:rPr>
    </w:lvl>
  </w:abstractNum>
  <w:abstractNum w:abstractNumId="11">
    <w:nsid w:val="3B7A6538"/>
    <w:multiLevelType w:val="multilevel"/>
    <w:tmpl w:val="AE9884A6"/>
    <w:lvl w:ilvl="0">
      <w:start w:val="1"/>
      <w:numFmt w:val="lowerLetter"/>
      <w:lvlText w:val="%1)"/>
      <w:lvlJc w:val="left"/>
      <w:rPr>
        <w:position w:val="0"/>
      </w:rPr>
    </w:lvl>
    <w:lvl w:ilvl="1">
      <w:start w:val="1"/>
      <w:numFmt w:val="lowerLetter"/>
      <w:lvlText w:val="%2."/>
      <w:lvlJc w:val="left"/>
      <w:rPr>
        <w:position w:val="0"/>
      </w:rPr>
    </w:lvl>
    <w:lvl w:ilvl="2">
      <w:start w:val="1"/>
      <w:numFmt w:val="lowerRoman"/>
      <w:lvlText w:val="%3."/>
      <w:lvlJc w:val="left"/>
      <w:rPr>
        <w:position w:val="0"/>
      </w:rPr>
    </w:lvl>
    <w:lvl w:ilvl="3">
      <w:start w:val="1"/>
      <w:numFmt w:val="decimal"/>
      <w:lvlText w:val="%4."/>
      <w:lvlJc w:val="left"/>
      <w:rPr>
        <w:position w:val="0"/>
      </w:rPr>
    </w:lvl>
    <w:lvl w:ilvl="4">
      <w:start w:val="1"/>
      <w:numFmt w:val="lowerLetter"/>
      <w:lvlText w:val="%5."/>
      <w:lvlJc w:val="left"/>
      <w:rPr>
        <w:position w:val="0"/>
      </w:rPr>
    </w:lvl>
    <w:lvl w:ilvl="5">
      <w:start w:val="1"/>
      <w:numFmt w:val="lowerRoman"/>
      <w:lvlText w:val="%6."/>
      <w:lvlJc w:val="left"/>
      <w:rPr>
        <w:position w:val="0"/>
      </w:rPr>
    </w:lvl>
    <w:lvl w:ilvl="6">
      <w:start w:val="1"/>
      <w:numFmt w:val="decimal"/>
      <w:lvlText w:val="%7."/>
      <w:lvlJc w:val="left"/>
      <w:rPr>
        <w:position w:val="0"/>
      </w:rPr>
    </w:lvl>
    <w:lvl w:ilvl="7">
      <w:start w:val="1"/>
      <w:numFmt w:val="lowerLetter"/>
      <w:lvlText w:val="%8."/>
      <w:lvlJc w:val="left"/>
      <w:rPr>
        <w:position w:val="0"/>
      </w:rPr>
    </w:lvl>
    <w:lvl w:ilvl="8">
      <w:start w:val="1"/>
      <w:numFmt w:val="lowerRoman"/>
      <w:lvlText w:val="%9."/>
      <w:lvlJc w:val="left"/>
      <w:rPr>
        <w:position w:val="0"/>
      </w:rPr>
    </w:lvl>
  </w:abstractNum>
  <w:abstractNum w:abstractNumId="12">
    <w:nsid w:val="40F54A03"/>
    <w:multiLevelType w:val="multilevel"/>
    <w:tmpl w:val="29CCBCA4"/>
    <w:lvl w:ilvl="0">
      <w:start w:val="1"/>
      <w:numFmt w:val="lowerLetter"/>
      <w:lvlText w:val="%1)"/>
      <w:lvlJc w:val="left"/>
      <w:pPr>
        <w:tabs>
          <w:tab w:val="num" w:pos="756"/>
        </w:tabs>
        <w:ind w:left="756" w:hanging="330"/>
      </w:pPr>
      <w:rPr>
        <w:position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  <w:rPr>
        <w:position w:val="0"/>
        <w:sz w:val="24"/>
        <w:szCs w:val="24"/>
      </w:rPr>
    </w:lvl>
    <w:lvl w:ilvl="2">
      <w:start w:val="1"/>
      <w:numFmt w:val="lowerRoman"/>
      <w:lvlText w:val="%3."/>
      <w:lvlJc w:val="left"/>
      <w:pPr>
        <w:tabs>
          <w:tab w:val="num" w:pos="2226"/>
        </w:tabs>
        <w:ind w:left="2226" w:hanging="296"/>
      </w:pPr>
      <w:rPr>
        <w:position w:val="0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position w:val="0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position w:val="0"/>
        <w:sz w:val="24"/>
        <w:szCs w:val="24"/>
      </w:rPr>
    </w:lvl>
    <w:lvl w:ilvl="5">
      <w:start w:val="1"/>
      <w:numFmt w:val="lowerRoman"/>
      <w:lvlText w:val="%6."/>
      <w:lvlJc w:val="left"/>
      <w:pPr>
        <w:tabs>
          <w:tab w:val="num" w:pos="4386"/>
        </w:tabs>
        <w:ind w:left="4386" w:hanging="296"/>
      </w:pPr>
      <w:rPr>
        <w:position w:val="0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position w:val="0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position w:val="0"/>
        <w:sz w:val="24"/>
        <w:szCs w:val="24"/>
      </w:rPr>
    </w:lvl>
    <w:lvl w:ilvl="8">
      <w:start w:val="1"/>
      <w:numFmt w:val="lowerRoman"/>
      <w:lvlText w:val="%9."/>
      <w:lvlJc w:val="left"/>
      <w:pPr>
        <w:tabs>
          <w:tab w:val="num" w:pos="6546"/>
        </w:tabs>
        <w:ind w:left="6546" w:hanging="296"/>
      </w:pPr>
      <w:rPr>
        <w:position w:val="0"/>
        <w:sz w:val="24"/>
        <w:szCs w:val="24"/>
      </w:rPr>
    </w:lvl>
  </w:abstractNum>
  <w:abstractNum w:abstractNumId="13">
    <w:nsid w:val="62D72078"/>
    <w:multiLevelType w:val="multilevel"/>
    <w:tmpl w:val="90C0ACF0"/>
    <w:lvl w:ilvl="0">
      <w:start w:val="1"/>
      <w:numFmt w:val="decimal"/>
      <w:lvlText w:val="%1)"/>
      <w:lvlJc w:val="left"/>
      <w:rPr>
        <w:position w:val="0"/>
      </w:rPr>
    </w:lvl>
    <w:lvl w:ilvl="1">
      <w:start w:val="1"/>
      <w:numFmt w:val="lowerLetter"/>
      <w:lvlText w:val="%2."/>
      <w:lvlJc w:val="left"/>
      <w:rPr>
        <w:position w:val="0"/>
      </w:rPr>
    </w:lvl>
    <w:lvl w:ilvl="2">
      <w:start w:val="1"/>
      <w:numFmt w:val="lowerRoman"/>
      <w:lvlText w:val="%3."/>
      <w:lvlJc w:val="left"/>
      <w:rPr>
        <w:position w:val="0"/>
      </w:rPr>
    </w:lvl>
    <w:lvl w:ilvl="3">
      <w:start w:val="1"/>
      <w:numFmt w:val="decimal"/>
      <w:lvlText w:val="%4."/>
      <w:lvlJc w:val="left"/>
      <w:rPr>
        <w:position w:val="0"/>
      </w:rPr>
    </w:lvl>
    <w:lvl w:ilvl="4">
      <w:start w:val="1"/>
      <w:numFmt w:val="lowerLetter"/>
      <w:lvlText w:val="%5."/>
      <w:lvlJc w:val="left"/>
      <w:rPr>
        <w:position w:val="0"/>
      </w:rPr>
    </w:lvl>
    <w:lvl w:ilvl="5">
      <w:start w:val="1"/>
      <w:numFmt w:val="lowerRoman"/>
      <w:lvlText w:val="%6."/>
      <w:lvlJc w:val="left"/>
      <w:rPr>
        <w:position w:val="0"/>
      </w:rPr>
    </w:lvl>
    <w:lvl w:ilvl="6">
      <w:start w:val="1"/>
      <w:numFmt w:val="decimal"/>
      <w:lvlText w:val="%7."/>
      <w:lvlJc w:val="left"/>
      <w:rPr>
        <w:position w:val="0"/>
      </w:rPr>
    </w:lvl>
    <w:lvl w:ilvl="7">
      <w:start w:val="1"/>
      <w:numFmt w:val="lowerLetter"/>
      <w:lvlText w:val="%8."/>
      <w:lvlJc w:val="left"/>
      <w:rPr>
        <w:position w:val="0"/>
      </w:rPr>
    </w:lvl>
    <w:lvl w:ilvl="8">
      <w:start w:val="1"/>
      <w:numFmt w:val="lowerRoman"/>
      <w:lvlText w:val="%9."/>
      <w:lvlJc w:val="left"/>
      <w:rPr>
        <w:position w:val="0"/>
      </w:rPr>
    </w:lvl>
  </w:abstractNum>
  <w:num w:numId="1">
    <w:abstractNumId w:val="5"/>
  </w:num>
  <w:num w:numId="2">
    <w:abstractNumId w:val="13"/>
  </w:num>
  <w:num w:numId="3">
    <w:abstractNumId w:val="1"/>
  </w:num>
  <w:num w:numId="4">
    <w:abstractNumId w:val="10"/>
  </w:num>
  <w:num w:numId="5">
    <w:abstractNumId w:val="11"/>
  </w:num>
  <w:num w:numId="6">
    <w:abstractNumId w:val="4"/>
  </w:num>
  <w:num w:numId="7">
    <w:abstractNumId w:val="12"/>
  </w:num>
  <w:num w:numId="8">
    <w:abstractNumId w:val="7"/>
  </w:num>
  <w:num w:numId="9">
    <w:abstractNumId w:val="6"/>
  </w:num>
  <w:num w:numId="10">
    <w:abstractNumId w:val="0"/>
  </w:num>
  <w:num w:numId="11">
    <w:abstractNumId w:val="2"/>
  </w:num>
  <w:num w:numId="12">
    <w:abstractNumId w:val="9"/>
  </w:num>
  <w:num w:numId="13">
    <w:abstractNumId w:val="3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hideSpellingErrors/>
  <w:hideGrammaticalErrors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6D5B"/>
    <w:rsid w:val="00051731"/>
    <w:rsid w:val="00053C9B"/>
    <w:rsid w:val="000A48EF"/>
    <w:rsid w:val="000C1686"/>
    <w:rsid w:val="0017769C"/>
    <w:rsid w:val="001F7207"/>
    <w:rsid w:val="0025718D"/>
    <w:rsid w:val="002B4A16"/>
    <w:rsid w:val="002C414C"/>
    <w:rsid w:val="002D34FE"/>
    <w:rsid w:val="002F7D4D"/>
    <w:rsid w:val="00331DB4"/>
    <w:rsid w:val="00346E9D"/>
    <w:rsid w:val="00391E60"/>
    <w:rsid w:val="003A5FD2"/>
    <w:rsid w:val="003B678D"/>
    <w:rsid w:val="003D5E6B"/>
    <w:rsid w:val="003D778E"/>
    <w:rsid w:val="004046E3"/>
    <w:rsid w:val="00417C06"/>
    <w:rsid w:val="004200CF"/>
    <w:rsid w:val="00485125"/>
    <w:rsid w:val="004D0CCF"/>
    <w:rsid w:val="005051C3"/>
    <w:rsid w:val="005B6D5B"/>
    <w:rsid w:val="005C45E5"/>
    <w:rsid w:val="005D7D92"/>
    <w:rsid w:val="005F021C"/>
    <w:rsid w:val="0067540B"/>
    <w:rsid w:val="006E1006"/>
    <w:rsid w:val="00724A09"/>
    <w:rsid w:val="00733487"/>
    <w:rsid w:val="00736B78"/>
    <w:rsid w:val="00750C18"/>
    <w:rsid w:val="0076601C"/>
    <w:rsid w:val="00766F4A"/>
    <w:rsid w:val="0077019A"/>
    <w:rsid w:val="007952F5"/>
    <w:rsid w:val="007A4F7E"/>
    <w:rsid w:val="007B7FA8"/>
    <w:rsid w:val="007D7246"/>
    <w:rsid w:val="008048F1"/>
    <w:rsid w:val="00806C28"/>
    <w:rsid w:val="008331F0"/>
    <w:rsid w:val="008809D8"/>
    <w:rsid w:val="008B3DBF"/>
    <w:rsid w:val="00915B32"/>
    <w:rsid w:val="009414C3"/>
    <w:rsid w:val="00945408"/>
    <w:rsid w:val="009730AA"/>
    <w:rsid w:val="009806B2"/>
    <w:rsid w:val="009B6CEE"/>
    <w:rsid w:val="00A21622"/>
    <w:rsid w:val="00A805E8"/>
    <w:rsid w:val="00A80905"/>
    <w:rsid w:val="00AB54F8"/>
    <w:rsid w:val="00AB7C84"/>
    <w:rsid w:val="00B20FD7"/>
    <w:rsid w:val="00B73CDF"/>
    <w:rsid w:val="00BC5BFA"/>
    <w:rsid w:val="00C0097A"/>
    <w:rsid w:val="00C11B77"/>
    <w:rsid w:val="00C369C9"/>
    <w:rsid w:val="00C8211D"/>
    <w:rsid w:val="00CA4E9B"/>
    <w:rsid w:val="00CB52A4"/>
    <w:rsid w:val="00D231B9"/>
    <w:rsid w:val="00D3316F"/>
    <w:rsid w:val="00DA470D"/>
    <w:rsid w:val="00DD2A34"/>
    <w:rsid w:val="00E3551A"/>
    <w:rsid w:val="00EE760B"/>
    <w:rsid w:val="00FD4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rsid w:val="0025718D"/>
    <w:rPr>
      <w:sz w:val="24"/>
      <w:szCs w:val="24"/>
      <w:lang w:val="en-US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25718D"/>
    <w:rPr>
      <w:u w:val="single"/>
    </w:rPr>
  </w:style>
  <w:style w:type="paragraph" w:customStyle="1" w:styleId="HeaderFooter">
    <w:name w:val="Header &amp; Footer"/>
    <w:rsid w:val="0025718D"/>
    <w:pPr>
      <w:tabs>
        <w:tab w:val="right" w:pos="9020"/>
      </w:tabs>
    </w:pPr>
    <w:rPr>
      <w:rFonts w:ascii="Helvetica" w:hAnsi="Arial Unicode MS" w:cs="Arial Unicode MS"/>
      <w:color w:val="000000"/>
      <w:sz w:val="24"/>
      <w:szCs w:val="24"/>
    </w:rPr>
  </w:style>
  <w:style w:type="paragraph" w:styleId="Stopka">
    <w:name w:val="footer"/>
    <w:rsid w:val="0025718D"/>
    <w:pPr>
      <w:tabs>
        <w:tab w:val="center" w:pos="4536"/>
        <w:tab w:val="right" w:pos="9072"/>
      </w:tabs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customStyle="1" w:styleId="BodyA">
    <w:name w:val="Body A"/>
    <w:rsid w:val="0025718D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numbering" w:customStyle="1" w:styleId="List0">
    <w:name w:val="List 0"/>
    <w:basedOn w:val="ImportedStyle1"/>
    <w:rsid w:val="0025718D"/>
    <w:pPr>
      <w:numPr>
        <w:numId w:val="3"/>
      </w:numPr>
    </w:pPr>
  </w:style>
  <w:style w:type="numbering" w:customStyle="1" w:styleId="ImportedStyle1">
    <w:name w:val="Imported Style 1"/>
    <w:rsid w:val="0025718D"/>
  </w:style>
  <w:style w:type="paragraph" w:styleId="Akapitzlist">
    <w:name w:val="List Paragraph"/>
    <w:rsid w:val="0025718D"/>
    <w:pPr>
      <w:spacing w:after="200" w:line="276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</w:rPr>
  </w:style>
  <w:style w:type="numbering" w:customStyle="1" w:styleId="List1">
    <w:name w:val="List 1"/>
    <w:basedOn w:val="ImportedStyle2"/>
    <w:rsid w:val="0025718D"/>
    <w:pPr>
      <w:numPr>
        <w:numId w:val="6"/>
      </w:numPr>
    </w:pPr>
  </w:style>
  <w:style w:type="numbering" w:customStyle="1" w:styleId="ImportedStyle2">
    <w:name w:val="Imported Style 2"/>
    <w:rsid w:val="0025718D"/>
  </w:style>
  <w:style w:type="numbering" w:customStyle="1" w:styleId="List21">
    <w:name w:val="List 21"/>
    <w:basedOn w:val="ImportedStyle3"/>
    <w:rsid w:val="0025718D"/>
    <w:pPr>
      <w:numPr>
        <w:numId w:val="9"/>
      </w:numPr>
    </w:pPr>
  </w:style>
  <w:style w:type="numbering" w:customStyle="1" w:styleId="ImportedStyle3">
    <w:name w:val="Imported Style 3"/>
    <w:rsid w:val="0025718D"/>
  </w:style>
  <w:style w:type="character" w:styleId="Odwoaniedokomentarza">
    <w:name w:val="annotation reference"/>
    <w:basedOn w:val="Domylnaczcionkaakapitu"/>
    <w:uiPriority w:val="99"/>
    <w:semiHidden/>
    <w:unhideWhenUsed/>
    <w:rsid w:val="00AB54F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B54F8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B54F8"/>
    <w:rPr>
      <w:lang w:val="en-US"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B54F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B54F8"/>
    <w:rPr>
      <w:b/>
      <w:bCs/>
      <w:lang w:val="en-US"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B54F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B54F8"/>
    <w:rPr>
      <w:rFonts w:ascii="Segoe UI" w:hAnsi="Segoe UI" w:cs="Segoe UI"/>
      <w:sz w:val="18"/>
      <w:szCs w:val="18"/>
      <w:lang w:val="en-US" w:eastAsia="en-U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B54F8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B54F8"/>
    <w:rPr>
      <w:lang w:val="en-US"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B54F8"/>
    <w:rPr>
      <w:vertAlign w:val="superscript"/>
    </w:rPr>
  </w:style>
  <w:style w:type="paragraph" w:customStyle="1" w:styleId="ARTartustawynprozporzdzenia">
    <w:name w:val="ART(§) – art. ustawy (§ np. rozporządzenia)"/>
    <w:uiPriority w:val="11"/>
    <w:qFormat/>
    <w:rsid w:val="003B678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autoSpaceDE w:val="0"/>
      <w:autoSpaceDN w:val="0"/>
      <w:adjustRightInd w:val="0"/>
      <w:spacing w:before="120" w:line="360" w:lineRule="auto"/>
      <w:ind w:firstLine="510"/>
      <w:jc w:val="both"/>
    </w:pPr>
    <w:rPr>
      <w:rFonts w:ascii="Times" w:eastAsiaTheme="minorEastAsia" w:hAnsi="Times" w:cs="Arial"/>
      <w:sz w:val="24"/>
      <w:bdr w:val="none" w:sz="0" w:space="0" w:color="auto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A4F7E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A4F7E"/>
    <w:rPr>
      <w:lang w:val="en-US"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A4F7E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rsid w:val="0025718D"/>
    <w:rPr>
      <w:sz w:val="24"/>
      <w:szCs w:val="24"/>
      <w:lang w:val="en-US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25718D"/>
    <w:rPr>
      <w:u w:val="single"/>
    </w:rPr>
  </w:style>
  <w:style w:type="paragraph" w:customStyle="1" w:styleId="HeaderFooter">
    <w:name w:val="Header &amp; Footer"/>
    <w:rsid w:val="0025718D"/>
    <w:pPr>
      <w:tabs>
        <w:tab w:val="right" w:pos="9020"/>
      </w:tabs>
    </w:pPr>
    <w:rPr>
      <w:rFonts w:ascii="Helvetica" w:hAnsi="Arial Unicode MS" w:cs="Arial Unicode MS"/>
      <w:color w:val="000000"/>
      <w:sz w:val="24"/>
      <w:szCs w:val="24"/>
    </w:rPr>
  </w:style>
  <w:style w:type="paragraph" w:styleId="Stopka">
    <w:name w:val="footer"/>
    <w:rsid w:val="0025718D"/>
    <w:pPr>
      <w:tabs>
        <w:tab w:val="center" w:pos="4536"/>
        <w:tab w:val="right" w:pos="9072"/>
      </w:tabs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customStyle="1" w:styleId="BodyA">
    <w:name w:val="Body A"/>
    <w:rsid w:val="0025718D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numbering" w:customStyle="1" w:styleId="List0">
    <w:name w:val="List 0"/>
    <w:basedOn w:val="ImportedStyle1"/>
    <w:rsid w:val="0025718D"/>
    <w:pPr>
      <w:numPr>
        <w:numId w:val="3"/>
      </w:numPr>
    </w:pPr>
  </w:style>
  <w:style w:type="numbering" w:customStyle="1" w:styleId="ImportedStyle1">
    <w:name w:val="Imported Style 1"/>
    <w:rsid w:val="0025718D"/>
  </w:style>
  <w:style w:type="paragraph" w:styleId="Akapitzlist">
    <w:name w:val="List Paragraph"/>
    <w:rsid w:val="0025718D"/>
    <w:pPr>
      <w:spacing w:after="200" w:line="276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</w:rPr>
  </w:style>
  <w:style w:type="numbering" w:customStyle="1" w:styleId="List1">
    <w:name w:val="List 1"/>
    <w:basedOn w:val="ImportedStyle2"/>
    <w:rsid w:val="0025718D"/>
    <w:pPr>
      <w:numPr>
        <w:numId w:val="6"/>
      </w:numPr>
    </w:pPr>
  </w:style>
  <w:style w:type="numbering" w:customStyle="1" w:styleId="ImportedStyle2">
    <w:name w:val="Imported Style 2"/>
    <w:rsid w:val="0025718D"/>
  </w:style>
  <w:style w:type="numbering" w:customStyle="1" w:styleId="List21">
    <w:name w:val="List 21"/>
    <w:basedOn w:val="ImportedStyle3"/>
    <w:rsid w:val="0025718D"/>
    <w:pPr>
      <w:numPr>
        <w:numId w:val="9"/>
      </w:numPr>
    </w:pPr>
  </w:style>
  <w:style w:type="numbering" w:customStyle="1" w:styleId="ImportedStyle3">
    <w:name w:val="Imported Style 3"/>
    <w:rsid w:val="0025718D"/>
  </w:style>
  <w:style w:type="character" w:styleId="Odwoaniedokomentarza">
    <w:name w:val="annotation reference"/>
    <w:basedOn w:val="Domylnaczcionkaakapitu"/>
    <w:uiPriority w:val="99"/>
    <w:semiHidden/>
    <w:unhideWhenUsed/>
    <w:rsid w:val="00AB54F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B54F8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B54F8"/>
    <w:rPr>
      <w:lang w:val="en-US"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B54F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B54F8"/>
    <w:rPr>
      <w:b/>
      <w:bCs/>
      <w:lang w:val="en-US"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B54F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B54F8"/>
    <w:rPr>
      <w:rFonts w:ascii="Segoe UI" w:hAnsi="Segoe UI" w:cs="Segoe UI"/>
      <w:sz w:val="18"/>
      <w:szCs w:val="18"/>
      <w:lang w:val="en-US" w:eastAsia="en-U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B54F8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B54F8"/>
    <w:rPr>
      <w:lang w:val="en-US"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B54F8"/>
    <w:rPr>
      <w:vertAlign w:val="superscript"/>
    </w:rPr>
  </w:style>
  <w:style w:type="paragraph" w:customStyle="1" w:styleId="ARTartustawynprozporzdzenia">
    <w:name w:val="ART(§) – art. ustawy (§ np. rozporządzenia)"/>
    <w:uiPriority w:val="11"/>
    <w:qFormat/>
    <w:rsid w:val="003B678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autoSpaceDE w:val="0"/>
      <w:autoSpaceDN w:val="0"/>
      <w:adjustRightInd w:val="0"/>
      <w:spacing w:before="120" w:line="360" w:lineRule="auto"/>
      <w:ind w:firstLine="510"/>
      <w:jc w:val="both"/>
    </w:pPr>
    <w:rPr>
      <w:rFonts w:ascii="Times" w:eastAsiaTheme="minorEastAsia" w:hAnsi="Times" w:cs="Arial"/>
      <w:sz w:val="24"/>
      <w:bdr w:val="none" w:sz="0" w:space="0" w:color="auto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A4F7E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A4F7E"/>
    <w:rPr>
      <w:lang w:val="en-US"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A4F7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466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01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725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5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1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306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02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1B1329-9CBD-42E0-8D3D-A26425CE76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1317</Words>
  <Characters>7907</Characters>
  <Application>Microsoft Office Word</Application>
  <DocSecurity>4</DocSecurity>
  <Lines>65</Lines>
  <Paragraphs>18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Deloitte Touche Tohmatsu Services, Inc.</Company>
  <LinksUpToDate>false</LinksUpToDate>
  <CharactersWithSpaces>9206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Lobocka, Malgorzata (PL - Warsaw)</dc:creator>
  <cp:lastModifiedBy>Grażyna D. Grabowska</cp:lastModifiedBy>
  <cp:revision>2</cp:revision>
  <cp:lastPrinted>2016-03-29T11:49:00Z</cp:lastPrinted>
  <dcterms:created xsi:type="dcterms:W3CDTF">2016-04-21T09:40:00Z</dcterms:created>
  <dcterms:modified xsi:type="dcterms:W3CDTF">2016-04-21T09:40:00Z</dcterms:modified>
</cp:coreProperties>
</file>