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0C0" w:rsidRPr="000F70C0" w:rsidRDefault="000F70C0" w:rsidP="000F70C0">
      <w:pPr>
        <w:pStyle w:val="OZNRODZAKTUtznustawalubrozporzdzenieiorganwydajcy"/>
        <w:rPr>
          <w:b w:val="0"/>
          <w:spacing w:val="0"/>
        </w:rPr>
      </w:pPr>
      <w:bookmarkStart w:id="0" w:name="_GoBack"/>
      <w:bookmarkEnd w:id="0"/>
      <w:r w:rsidRPr="000F70C0">
        <w:rPr>
          <w:b w:val="0"/>
          <w:spacing w:val="0"/>
        </w:rPr>
        <w:t>UZASADNIENIE</w:t>
      </w:r>
    </w:p>
    <w:p w:rsidR="000F70C0" w:rsidRPr="00E67863" w:rsidRDefault="000F70C0" w:rsidP="006473A0">
      <w:pPr>
        <w:pStyle w:val="USTustnpkodeksu"/>
        <w:spacing w:before="240"/>
        <w:ind w:firstLine="0"/>
      </w:pPr>
      <w:r w:rsidRPr="00E67863">
        <w:t>Projekt ustawy o zmianie ustawy o ubezpieczeniach upraw rolnych i zwierząt gospodarskich ma na celu usprawnienie systemu ubezpieczeń w rolnictwie przez zapewnienie producentom rolnym szerszej dostępności do ubezpieczeń upraw rolnych z</w:t>
      </w:r>
      <w:r w:rsidR="006742AC">
        <w:t> </w:t>
      </w:r>
      <w:r w:rsidRPr="00E67863">
        <w:t>dopłatami z budżetu państwa do składek z tytułu ubezpieczenia upraw rolnych, wprowadz</w:t>
      </w:r>
      <w:r w:rsidR="001E569E">
        <w:t xml:space="preserve">ając </w:t>
      </w:r>
      <w:r w:rsidRPr="00E67863">
        <w:t>podwyższon</w:t>
      </w:r>
      <w:r w:rsidR="001E569E">
        <w:t xml:space="preserve">e </w:t>
      </w:r>
      <w:r w:rsidRPr="00E67863">
        <w:t>staw</w:t>
      </w:r>
      <w:r w:rsidR="001E569E">
        <w:t xml:space="preserve">ki </w:t>
      </w:r>
      <w:r w:rsidRPr="00E67863">
        <w:t>taryfow</w:t>
      </w:r>
      <w:r w:rsidR="001E569E">
        <w:t>e</w:t>
      </w:r>
      <w:r w:rsidRPr="00E67863">
        <w:t>, do k</w:t>
      </w:r>
      <w:r w:rsidR="00D65521">
        <w:t>tórych będą stosowane dopłaty z </w:t>
      </w:r>
      <w:r w:rsidRPr="00E67863">
        <w:t xml:space="preserve">budżetu państwa. Zmiana ustawy zapewni i upowszechni sprzedaż umów ubezpieczenia upraw rolnych i zwierząt gospodarskich zawierających pakiety rodzajów ryzyka. </w:t>
      </w:r>
    </w:p>
    <w:p w:rsidR="000F70C0" w:rsidRPr="00E67863" w:rsidRDefault="000F70C0" w:rsidP="006742AC">
      <w:pPr>
        <w:pStyle w:val="USTustnpkodeksu"/>
        <w:spacing w:before="120"/>
        <w:ind w:firstLine="0"/>
      </w:pPr>
      <w:r w:rsidRPr="00E67863">
        <w:t>Zgodnie z projektem ustawy dopłaty do składek ubezpieczenia upraw rolnych będą stosowane w przypadku zawarcia przez producenta rolnego umowy ubezpieczenia zawierającej pakiet rodzajów ryzyka, w przypadku określenia przez zakłady ubezpieczeń stawki taryfowej nieprzekraczającej 9% sumy ubezpieczenia. W przypadku</w:t>
      </w:r>
      <w:r w:rsidR="006742AC">
        <w:t xml:space="preserve"> </w:t>
      </w:r>
      <w:r w:rsidRPr="00E67863">
        <w:t>upraw prowadzonych na użytkach rolnych klasy V i VI stawka taryfowa będzie mogła zostać określona w wyższej wysokości, tj. odpowiednio 12%</w:t>
      </w:r>
      <w:r w:rsidR="006742AC">
        <w:t xml:space="preserve"> </w:t>
      </w:r>
      <w:r w:rsidRPr="00E67863">
        <w:t xml:space="preserve">i 15% sumy ubezpieczenia tych upraw. </w:t>
      </w:r>
    </w:p>
    <w:p w:rsidR="000F70C0" w:rsidRPr="00E67863" w:rsidRDefault="000F70C0" w:rsidP="006742AC">
      <w:pPr>
        <w:pStyle w:val="USTustnpkodeksu"/>
        <w:spacing w:before="120"/>
        <w:ind w:firstLine="0"/>
      </w:pPr>
      <w:r w:rsidRPr="00E67863">
        <w:t xml:space="preserve">Zmiana art. 5 ma na celu objęcie ochroną ubezpieczeniową szerszej grupy producentów rolnych. Dopłaty będą przysługiwały producentom rolnym w wysokości </w:t>
      </w:r>
      <w:r>
        <w:t xml:space="preserve">do </w:t>
      </w:r>
      <w:r w:rsidRPr="00E67863">
        <w:t xml:space="preserve">65% składki z tytułu ubezpieczenia upraw, w przypadku określenia przez zakłady ubezpieczeń stawek taryfowych ubezpieczenia od łącznego ubezpieczenia upraw nieprzekraczających 9% sumy ubezpieczenia, a w przypadku: </w:t>
      </w:r>
    </w:p>
    <w:p w:rsidR="000F70C0" w:rsidRPr="00E67863" w:rsidRDefault="006742AC" w:rsidP="006742AC">
      <w:pPr>
        <w:pStyle w:val="LITlitera"/>
        <w:ind w:left="476"/>
      </w:pPr>
      <w:r>
        <w:t>a)</w:t>
      </w:r>
      <w:r>
        <w:tab/>
      </w:r>
      <w:r w:rsidR="000F70C0" w:rsidRPr="00E67863">
        <w:t>upraw prowadzonych na użytkach rolnych klasy V nieprzekraczają</w:t>
      </w:r>
      <w:r w:rsidR="00731ADE">
        <w:t>cych</w:t>
      </w:r>
      <w:r w:rsidR="000F70C0" w:rsidRPr="00E67863">
        <w:t xml:space="preserve"> 12% sumy ubezpieczenia tych upraw, </w:t>
      </w:r>
    </w:p>
    <w:p w:rsidR="000F70C0" w:rsidRPr="00E67863" w:rsidRDefault="006742AC" w:rsidP="006742AC">
      <w:pPr>
        <w:pStyle w:val="LITlitera"/>
        <w:ind w:left="476"/>
      </w:pPr>
      <w:r>
        <w:t>b)</w:t>
      </w:r>
      <w:r>
        <w:tab/>
      </w:r>
      <w:r w:rsidR="000F70C0" w:rsidRPr="00E67863">
        <w:t>upraw prowadzonych na użytkach rolnych klasy VI nieprzekraczają</w:t>
      </w:r>
      <w:r w:rsidR="00731ADE">
        <w:t>cych</w:t>
      </w:r>
      <w:r w:rsidR="006473A0">
        <w:t xml:space="preserve"> 15% </w:t>
      </w:r>
      <w:r w:rsidR="000F70C0" w:rsidRPr="00E67863">
        <w:t>sumy ubezpieczenia tych upraw.</w:t>
      </w:r>
    </w:p>
    <w:p w:rsidR="000F70C0" w:rsidRPr="00A21677" w:rsidRDefault="000F70C0" w:rsidP="006742AC">
      <w:pPr>
        <w:pStyle w:val="USTustnpkodeksu"/>
        <w:spacing w:before="120"/>
        <w:ind w:firstLine="0"/>
      </w:pPr>
      <w:r w:rsidRPr="00A21677">
        <w:t xml:space="preserve">W przypadku ustalenia składki ubezpieczenia upraw </w:t>
      </w:r>
      <w:r w:rsidR="001E569E">
        <w:t xml:space="preserve">dla </w:t>
      </w:r>
      <w:r w:rsidRPr="00A21677">
        <w:t>umowy ubezpieczenia zawierającej pakiet rodzajów ryzyka z zastosowaniem stawki taryfowej przekraczającej 9%, 12% i 15% sumy ubezpieczenia, dopłaty do składek producentów rolnych będą stosowane do powyższych wysokości sumy ubezpieczenia, natomiast pozostałą część składki w całości zapłaci producent rolny. W przypadku umowy ubezpieczenia od pojedynczego rodzaju ryzyka lub łącznie od kilku wybranych rodzajów ryzyka</w:t>
      </w:r>
      <w:r w:rsidR="002340B2">
        <w:t>,</w:t>
      </w:r>
      <w:r w:rsidR="00731ADE">
        <w:t xml:space="preserve"> po</w:t>
      </w:r>
      <w:r w:rsidRPr="00A21677">
        <w:t xml:space="preserve"> przekroczeni</w:t>
      </w:r>
      <w:r w:rsidR="00731ADE">
        <w:t>u</w:t>
      </w:r>
      <w:r w:rsidRPr="00A21677">
        <w:t xml:space="preserve"> powyższych stawek taryfowych dopłaty nie będą przysługiwały. </w:t>
      </w:r>
    </w:p>
    <w:p w:rsidR="000F70C0" w:rsidRPr="00E67863" w:rsidRDefault="000F70C0" w:rsidP="006742AC">
      <w:pPr>
        <w:pStyle w:val="USTustnpkodeksu"/>
        <w:spacing w:before="120"/>
        <w:ind w:firstLine="0"/>
      </w:pPr>
      <w:r w:rsidRPr="00E67863">
        <w:lastRenderedPageBreak/>
        <w:t>Wprowadzenie powyższego przepisu ma na celu zwiększenie ochrony ubezpieczeniowej upraw rolnych, a tym samym zmniejszenie ryzyka produkcji.</w:t>
      </w:r>
    </w:p>
    <w:p w:rsidR="000F70C0" w:rsidRPr="00E67863" w:rsidRDefault="000F70C0" w:rsidP="006742AC">
      <w:pPr>
        <w:pStyle w:val="USTustnpkodeksu"/>
        <w:spacing w:before="120"/>
        <w:ind w:firstLine="0"/>
      </w:pPr>
      <w:r w:rsidRPr="00E67863">
        <w:t>Projektowana ustawa preferuje zawieranie przez producenta rolnego umowy ubezpieczenia zawierającej pakiet rodzajów ryzyka. W związku z powyższym w celu zachęcenia zakładów ubezpieczeń do ustalania poziomu stawek taryfowych za pakiety ryzyk na poziomie akceptowalnym przez producenta rolnego oraz uwzględniając aktualnie obowiązujące stawki taryfowe za pakiety ryzyk (od 4 do 9 rodzajów ryzyka) kształtujące się na poziomie od 0,47% do 19% w zależności od rodzaju uprawy, jej wrażliwości na określone ryzyko i położenia, w projekcie ustawy podwyższono obecnie obowiązujące stawki taryfowe z 3,5%, 5% oraz 6% sumy ubezpieczenia do wysokości 9%, z możliwością ich zwiększenia do 12% i 15% w przypadku upraw prowadzonych na użytkach rolnych odpowiednio klasy V i VI. Określenie wyższych stawek taryfowych dla upraw prowadzonych na użytkach rolnych klasy V i VI,</w:t>
      </w:r>
      <w:r>
        <w:t xml:space="preserve"> </w:t>
      </w:r>
      <w:r w:rsidRPr="00E67863">
        <w:t>tj. na użytkach rolnych, na których ryzyko wystąpienia strat w uprawach jest znacznie wyższe, ma na celu zapewnienie możliwości zawarcia umowy ubezpieczenia upraw rolnych z dopłatą z</w:t>
      </w:r>
      <w:r w:rsidR="006742AC">
        <w:t> </w:t>
      </w:r>
      <w:r w:rsidRPr="00E67863">
        <w:t xml:space="preserve">budżetu państwa również na tych użytkach. </w:t>
      </w:r>
    </w:p>
    <w:p w:rsidR="000F70C0" w:rsidRPr="00E67863" w:rsidRDefault="000F70C0" w:rsidP="006742AC">
      <w:pPr>
        <w:pStyle w:val="USTustnpkodeksu"/>
        <w:spacing w:before="120"/>
        <w:ind w:firstLine="0"/>
      </w:pPr>
      <w:r w:rsidRPr="00E67863">
        <w:t>Zatem projektowane zmiany ustawy mają na celu upowszechnienie ubezpieczeń pakietowych, przy czym zachowana zostanie możliwość wyboru przez producenta rolnego pojedynczego rodzaju ryzyka do ubezpieczenia. Zakłady ubezpieczeń przy sprzedaży pojedynczych rodzajów ryzyka lub pakietów kilku rodzajów ryzyka zapewnią, aby wysokość stawek taryfowych nie przekraczała łącznej stawki taryfowej przy ubezpieczeniu danej uprawy w wysokości 9% sumy ubezpieczenia z możliwością ich zwiększenia dla upraw prowadzonych</w:t>
      </w:r>
      <w:r w:rsidR="006742AC">
        <w:t xml:space="preserve"> </w:t>
      </w:r>
      <w:r w:rsidRPr="00E67863">
        <w:t>na użytkach rolnych klasy V i VI odpowiednio do</w:t>
      </w:r>
      <w:r w:rsidR="006742AC">
        <w:t xml:space="preserve"> </w:t>
      </w:r>
      <w:r w:rsidRPr="00E67863">
        <w:t>12% i 15% sumy ubezpieczenia.</w:t>
      </w:r>
    </w:p>
    <w:p w:rsidR="000F70C0" w:rsidRPr="00E67863" w:rsidRDefault="000F70C0" w:rsidP="006742AC">
      <w:pPr>
        <w:pStyle w:val="USTustnpkodeksu"/>
        <w:spacing w:before="120"/>
        <w:ind w:firstLine="0"/>
      </w:pPr>
      <w:r w:rsidRPr="00E67863">
        <w:t xml:space="preserve">Dopłata z budżetu państwa do składek ubezpieczenia będzie w tym przypadku wynosiła </w:t>
      </w:r>
      <w:r>
        <w:t xml:space="preserve">do </w:t>
      </w:r>
      <w:r w:rsidRPr="00E67863">
        <w:t xml:space="preserve">65% składki. </w:t>
      </w:r>
    </w:p>
    <w:p w:rsidR="000F70C0" w:rsidRDefault="000F70C0" w:rsidP="006742AC">
      <w:pPr>
        <w:pStyle w:val="USTustnpkodeksu"/>
        <w:spacing w:before="120"/>
        <w:ind w:firstLine="0"/>
      </w:pPr>
      <w:r w:rsidRPr="00E67863">
        <w:t xml:space="preserve">W przypadku ubezpieczenia zwierząt gospodarskich dopłaty będą przysługiwały producentom rolnym w wysokości </w:t>
      </w:r>
      <w:r>
        <w:t xml:space="preserve">do </w:t>
      </w:r>
      <w:r w:rsidRPr="00E67863">
        <w:t>65% składki</w:t>
      </w:r>
      <w:r w:rsidR="002340B2">
        <w:t>,</w:t>
      </w:r>
      <w:r w:rsidR="00731ADE">
        <w:t xml:space="preserve"> przy</w:t>
      </w:r>
      <w:r w:rsidRPr="00E67863">
        <w:t xml:space="preserve"> określeni</w:t>
      </w:r>
      <w:r w:rsidR="00731ADE">
        <w:t>u</w:t>
      </w:r>
      <w:r w:rsidRPr="00E67863">
        <w:t xml:space="preserve"> przez zakłady ubezpieczeń stawek taryfowych ubezpieczenia od łącznego ubezpieczenia zwierząt nieprzekraczających 0,5% sumy ubezpieczenia. W przypadku przekroczenia tej stawki dopłaty nie będą przysługiwały.</w:t>
      </w:r>
    </w:p>
    <w:p w:rsidR="000F70C0" w:rsidRPr="0037248A" w:rsidRDefault="000F70C0" w:rsidP="006742AC">
      <w:pPr>
        <w:pStyle w:val="USTustnpkodeksu"/>
        <w:spacing w:before="120"/>
        <w:ind w:firstLine="0"/>
      </w:pPr>
      <w:r>
        <w:lastRenderedPageBreak/>
        <w:t xml:space="preserve">Zgodnie z upoważnieniem </w:t>
      </w:r>
      <w:r w:rsidRPr="0037248A">
        <w:t xml:space="preserve">Rada Ministrów </w:t>
      </w:r>
      <w:r>
        <w:t xml:space="preserve">będzie </w:t>
      </w:r>
      <w:r w:rsidRPr="0037248A">
        <w:t>określa</w:t>
      </w:r>
      <w:r>
        <w:t>ła</w:t>
      </w:r>
      <w:r w:rsidRPr="0037248A">
        <w:t>, do dnia 30 listopada każdego roku, wysokość dopłat do składek z tytułu ubezpieczenia upraw rolnych i</w:t>
      </w:r>
      <w:r w:rsidR="006742AC">
        <w:t> </w:t>
      </w:r>
      <w:r w:rsidRPr="0037248A">
        <w:t>zwierząt gospodarskich wymienionych w art. 3 ust. 1 ustawy, na rok następny.</w:t>
      </w:r>
    </w:p>
    <w:p w:rsidR="000F70C0" w:rsidRPr="00E67863" w:rsidRDefault="000F70C0" w:rsidP="006742AC">
      <w:pPr>
        <w:pStyle w:val="USTustnpkodeksu"/>
        <w:spacing w:before="120"/>
        <w:ind w:firstLine="0"/>
      </w:pPr>
      <w:r w:rsidRPr="00E67863">
        <w:t>Z informacji uzyskanych od zakładów ubezpieczeń, które zawierają z Ministrem Rolnictwa i Rozwoju Wsi umowy w sprawie dopłat do składek ubezpieczeń upraw rolnych i zwierząt gospodarskich</w:t>
      </w:r>
      <w:r w:rsidR="001E569E">
        <w:t>,</w:t>
      </w:r>
      <w:r w:rsidRPr="00E67863">
        <w:t xml:space="preserve"> wynika, że oferują one głównie ubezpieczenie zwierząt gospodarskich od „pełnego pakietu” ryzyk określonych w ustawie o</w:t>
      </w:r>
      <w:r w:rsidR="006742AC">
        <w:t> </w:t>
      </w:r>
      <w:r w:rsidRPr="00E67863">
        <w:t>ubezpieczeniach upraw rolnych i zwierząt gospodarskich.</w:t>
      </w:r>
      <w:r w:rsidR="006742AC">
        <w:t xml:space="preserve"> </w:t>
      </w:r>
      <w:r w:rsidRPr="00E67863">
        <w:t>Natomiast ubezpieczenia od pojedynczych rodzajów ryzyka zawierane są przez hodowców zwierząt gospodarskich sporadycznie. Oferowane przez zakłady ubezpieczeń wysokości stawek taryfowych w</w:t>
      </w:r>
      <w:r w:rsidR="006742AC">
        <w:t> </w:t>
      </w:r>
      <w:r w:rsidRPr="00E67863">
        <w:t>przypadku „pełnego pakietu” ryzyk wynoszą około 0,3% sumy ubezpieczenia. W</w:t>
      </w:r>
      <w:r w:rsidR="006742AC">
        <w:t> </w:t>
      </w:r>
      <w:r w:rsidRPr="00E67863">
        <w:t>ramach ubezpieczenia zwierząt gospodarskich głównie ubezpieczany jest drób (w</w:t>
      </w:r>
      <w:r w:rsidR="006742AC">
        <w:t> </w:t>
      </w:r>
      <w:r w:rsidRPr="00E67863">
        <w:t>2015</w:t>
      </w:r>
      <w:r w:rsidR="00731ADE">
        <w:t xml:space="preserve"> </w:t>
      </w:r>
      <w:r w:rsidR="001E569E">
        <w:t>r. ubezpieczono ok. 13 </w:t>
      </w:r>
      <w:r w:rsidRPr="00E67863">
        <w:t>1</w:t>
      </w:r>
      <w:r w:rsidR="001E569E">
        <w:t>15 tys. szt. zwierząt, w tym 13 </w:t>
      </w:r>
      <w:r w:rsidRPr="00E67863">
        <w:t>092 tys. szt. drobiu). Zatem nie zachodzi konieczność ustawowego uregulowania kwestii dopłat do składek ubezpieczenia zwierząt gospodarskich przekraczających 0,5% sumy ubezpieczenia, gdyż nie są proponowane przez zakłady ubezpieczeń ubezpieczenia zwierząt zawierające pakiet ryzyk ze stawką taryfową powyżej 0,5% sumy ubezpieczenia.</w:t>
      </w:r>
    </w:p>
    <w:p w:rsidR="000F70C0" w:rsidRPr="00E67863" w:rsidRDefault="000F70C0" w:rsidP="006742AC">
      <w:pPr>
        <w:pStyle w:val="USTustnpkodeksu"/>
        <w:spacing w:before="120"/>
        <w:ind w:firstLine="0"/>
      </w:pPr>
      <w:r w:rsidRPr="00E67863">
        <w:t>Przyjęcie proponowanych w projekcie ustawy zmian umożliwi stopniowe osiąganie celu ustawy, jakim jest powszechność ubezpieczeń upraw rolnych i zwierząt gospodarskich.</w:t>
      </w:r>
      <w:r w:rsidR="006742AC">
        <w:t xml:space="preserve"> </w:t>
      </w:r>
      <w:r w:rsidRPr="00E67863">
        <w:t>Zwiększenie powierzchni ubezpieczonych upraw rolnych oraz liczby zwierząt gospodarskich, a tym samym zapewnienie lepszej ochrony prowadzonej produkcji w gospodarstwach rolnych, wpłynie na zmniejszenie wydatków z budżetu państwa na inne formy pomocy związane z wystąpieniem strat w gospodarstwach rolnych.</w:t>
      </w:r>
    </w:p>
    <w:p w:rsidR="000F70C0" w:rsidRPr="00E67863" w:rsidRDefault="000F70C0" w:rsidP="006742AC">
      <w:pPr>
        <w:pStyle w:val="USTustnpkodeksu"/>
        <w:spacing w:before="120"/>
        <w:ind w:firstLine="0"/>
      </w:pPr>
      <w:r w:rsidRPr="00E67863">
        <w:t>Wprowadzenie powyższego przepisu ma na celu zwiększenie ochrony ubezpieczeniowej upraw rolnych, w tym przez zwiększenie liczby zawartych z</w:t>
      </w:r>
      <w:r w:rsidR="006742AC">
        <w:t> </w:t>
      </w:r>
      <w:r w:rsidRPr="00E67863">
        <w:t>producentami rolnymi umów ubezpieczenia. Aktualnie znaczna część stawek taryfowych ustalana jest przez zakłady ubezpieczeń</w:t>
      </w:r>
      <w:r w:rsidR="006473A0">
        <w:t xml:space="preserve"> na poziomie przekraczającym 6% </w:t>
      </w:r>
      <w:r w:rsidRPr="00E67863">
        <w:t>sumy ubezpieczenia upraw rolnych, co wpływa na brak stosowania dopłat z budżetu państwa do składek ubezpieczeń. Producenci rolni</w:t>
      </w:r>
      <w:r w:rsidR="00731ADE">
        <w:t>,</w:t>
      </w:r>
      <w:r w:rsidRPr="00E67863">
        <w:t xml:space="preserve"> nie mogąc uzyskać dopłat z budżetu państwa do składek ubezpieczenia upraw rolnych z powodu ograniczonych możliwości finansowych</w:t>
      </w:r>
      <w:r w:rsidR="00731ADE">
        <w:t>,</w:t>
      </w:r>
      <w:r w:rsidRPr="00E67863">
        <w:t xml:space="preserve"> rezygnują z zawarcia umów ubezpieczenia upraw rolnych z pełną składką.</w:t>
      </w:r>
      <w:r w:rsidR="006742AC">
        <w:t xml:space="preserve"> </w:t>
      </w:r>
      <w:r w:rsidRPr="00E67863">
        <w:lastRenderedPageBreak/>
        <w:t>Stawki taryfowe, tak jak dotychczas, będą ustalane przez zakład ubezpieczeń w</w:t>
      </w:r>
      <w:r w:rsidR="006742AC">
        <w:t> </w:t>
      </w:r>
      <w:r w:rsidRPr="00E67863">
        <w:t>zależności od skali ryzyka. Zgodnie z ustawą z dnia 11 września 2015 r.</w:t>
      </w:r>
      <w:r w:rsidR="006742AC">
        <w:t xml:space="preserve"> </w:t>
      </w:r>
      <w:r w:rsidRPr="00E67863">
        <w:t>o</w:t>
      </w:r>
      <w:r w:rsidR="006742AC">
        <w:t> </w:t>
      </w:r>
      <w:r w:rsidRPr="00E67863">
        <w:t>działalności ubezpieczeniowej i reasekuracyjnej</w:t>
      </w:r>
      <w:r w:rsidR="006742AC">
        <w:t xml:space="preserve"> </w:t>
      </w:r>
      <w:r w:rsidRPr="00E67863">
        <w:t xml:space="preserve">(Dz. U. poz. 1844) zakład ubezpieczeń ustala wysokość stawek taryfowych po dokonaniu oceny ryzyka ubezpieczeniowego. Stawkę tę ustala się w wysokości, która powinna co najmniej zapewnić wykonanie wszystkich zobowiązań z umów ubezpieczenia i pokrycie kosztów wykonywania działalności ubezpieczeniowej zakładu ubezpieczeń. </w:t>
      </w:r>
    </w:p>
    <w:p w:rsidR="000F70C0" w:rsidRPr="00E67863" w:rsidRDefault="000F70C0" w:rsidP="006742AC">
      <w:pPr>
        <w:pStyle w:val="USTustnpkodeksu"/>
        <w:spacing w:before="120"/>
        <w:ind w:firstLine="0"/>
      </w:pPr>
      <w:r w:rsidRPr="00E67863">
        <w:t>Aktualnie obowiązujące przepisy umożliwiają jedynie ubezpieczenie z dotacją z</w:t>
      </w:r>
      <w:r w:rsidR="006742AC">
        <w:t> </w:t>
      </w:r>
      <w:r w:rsidRPr="00E67863">
        <w:t>budżetu państwa upraw owoców i warzyw ze stawkami taryf ubezpieczenia przekraczającymi 6% sumy ubezpieczenia. Pozostałe uprawy nie korzystają z tego przywileju.</w:t>
      </w:r>
    </w:p>
    <w:p w:rsidR="000F70C0" w:rsidRPr="00E67863" w:rsidRDefault="000F70C0" w:rsidP="006742AC">
      <w:pPr>
        <w:pStyle w:val="USTustnpkodeksu"/>
        <w:spacing w:before="120"/>
        <w:ind w:firstLine="0"/>
      </w:pPr>
      <w:r w:rsidRPr="00E67863">
        <w:t>Zgodnie z unijnymi zasadami stosowania pomocy państwa w opłacaniu składek ubezpieczeniowych kosztami kwalifikowanymi są koszty składek ubezpieczeniowych z</w:t>
      </w:r>
      <w:r w:rsidR="006742AC">
        <w:t> </w:t>
      </w:r>
      <w:r w:rsidRPr="00E67863">
        <w:t xml:space="preserve">tytułu ubezpieczenia od strat spowodowanych przez m.in. klęski żywiołowe, niekorzystne zjawiska klimatyczne porównywalne z klęską żywiołową, a także inne niekorzystne zjawiska klimatyczne, przez które rozumie się warunki pogodowe, które nie spełniają warunków określonych w pkt 35 wytycznych Unii Europejskiej w sprawie pomocy państwa w sektorach rolnym i leśnym oraz na obszarach wiejskich w latach 2014–2020, tj. nie spełniają definicji niekorzystnego zjawiska klimatycznego porównywalnego z klęską żywiołową. </w:t>
      </w:r>
    </w:p>
    <w:p w:rsidR="000F70C0" w:rsidRPr="00E67863" w:rsidRDefault="000F70C0" w:rsidP="006742AC">
      <w:pPr>
        <w:pStyle w:val="USTustnpkodeksu"/>
        <w:spacing w:before="120"/>
        <w:ind w:firstLine="0"/>
      </w:pPr>
      <w:r w:rsidRPr="00E67863">
        <w:t>Obecnie umowy ubezpieczenia zawierane przez producentów rolnych z zakładami ubezpieczeń w większości przypadków obejmują pojedyncze rodzaje ryzyka, a zatem nie obejmują ryzyka występującego w ostatnich latach najczęściej, a powodującego znaczne straty w produkcji, tj. ryzyka suszy. Zatem wprowadzenie możliwości zawarcia przez producenta rolnego umowy ubezpieczenia zawierającej pakiet rodzajów ryzyka ma na celu umożliwienie zawarcia umowy ubezpieczenia również od tego ryzyka za przystępną cenę.</w:t>
      </w:r>
    </w:p>
    <w:p w:rsidR="000F70C0" w:rsidRPr="00E67863" w:rsidRDefault="000F70C0" w:rsidP="006742AC">
      <w:pPr>
        <w:pStyle w:val="USTustnpkodeksu"/>
        <w:spacing w:before="120"/>
        <w:ind w:firstLine="0"/>
      </w:pPr>
      <w:r w:rsidRPr="00E67863">
        <w:t>A zatem „uwolnienie” granicznej stawki taryfowej w odniesieniu do upraw rolnych powinno wpłynąć na zwiększenie powierzchni upraw rolnych objętych ochroną ubezpieczeniową.</w:t>
      </w:r>
    </w:p>
    <w:p w:rsidR="000F70C0" w:rsidRPr="00E67863" w:rsidRDefault="000F70C0" w:rsidP="006742AC">
      <w:pPr>
        <w:pStyle w:val="USTustnpkodeksu"/>
        <w:spacing w:before="120"/>
        <w:ind w:firstLine="0"/>
      </w:pPr>
      <w:r w:rsidRPr="00E67863">
        <w:t xml:space="preserve">Z danych zakładów ubezpieczeń, które zawierają umowy w sprawie dopłat do składek ubezpieczeń upraw rolnych i zwierząt gospodarskich, dotyczących wysokości stawek </w:t>
      </w:r>
      <w:r w:rsidRPr="00E67863">
        <w:lastRenderedPageBreak/>
        <w:t>taryfowych za ubezpieczenie upraw rolnych od zdarzeń losowych określonych w</w:t>
      </w:r>
      <w:r w:rsidR="006742AC">
        <w:t> </w:t>
      </w:r>
      <w:r w:rsidRPr="00E67863">
        <w:t>ustawie</w:t>
      </w:r>
      <w:r w:rsidR="00731ADE">
        <w:t>,</w:t>
      </w:r>
      <w:r w:rsidRPr="00E67863">
        <w:t xml:space="preserve"> wynika, że oferują one pakiety zawierające różne rodzaje ryzyka, natomiast ubezpieczenia od pojedynczych rodzajów ryzyka dotyczą powodzi, suszy, gradu, przymrozków wiosennych oraz ujemnych skutków przezimowania. Oferowane przez zakłady ubezpieczeń wysokości stawek taryfowych uzależnione są od gatunku danej rośliny, zakresu ubezpieczanych rodzajów ryzyka, lokalizacji danej uprawy (rodzaju gleb, strefy zagrożenia ryzykiem) oraz aktualnej oceny ryzyka. Przykładowe wysokości stawek taryfowych ubezpieczenia poszczególnych upraw rolnych od pojedynczych ryzyk oraz pakiety zawierające różne rodzaje ryzyka, ujęte w taryfach stawek stanowiących załączniki do umów zawartych przez Ministra Rolnictwa i Rozwoju Wsi z zakładami ubezpieczeń na stosowanie dopłat do składek ubezpieczeń w 2015 r.</w:t>
      </w:r>
      <w:r w:rsidR="00731ADE">
        <w:t>,</w:t>
      </w:r>
      <w:r w:rsidRPr="00E67863">
        <w:t xml:space="preserve"> kształtowały się następująco:</w:t>
      </w:r>
      <w:r w:rsidR="006742AC">
        <w:t xml:space="preserve"> </w:t>
      </w:r>
    </w:p>
    <w:p w:rsidR="000F70C0" w:rsidRPr="00E67863" w:rsidRDefault="000F70C0" w:rsidP="000F70C0">
      <w:pPr>
        <w:sectPr w:rsidR="000F70C0" w:rsidRPr="00E67863" w:rsidSect="002340B2">
          <w:headerReference w:type="even" r:id="rId8"/>
          <w:headerReference w:type="default" r:id="rId9"/>
          <w:footerReference w:type="even" r:id="rId10"/>
          <w:footerReference w:type="default" r:id="rId11"/>
          <w:headerReference w:type="first" r:id="rId12"/>
          <w:footerReference w:type="first" r:id="rId13"/>
          <w:pgSz w:w="11906" w:h="16838"/>
          <w:pgMar w:top="1588" w:right="1418" w:bottom="1418" w:left="1985" w:header="709" w:footer="709" w:gutter="0"/>
          <w:cols w:space="708"/>
          <w:docGrid w:linePitch="360"/>
        </w:sectPr>
      </w:pPr>
    </w:p>
    <w:tbl>
      <w:tblPr>
        <w:tblW w:w="14899" w:type="dxa"/>
        <w:tblInd w:w="55" w:type="dxa"/>
        <w:tblLayout w:type="fixed"/>
        <w:tblCellMar>
          <w:left w:w="70" w:type="dxa"/>
          <w:right w:w="70" w:type="dxa"/>
        </w:tblCellMar>
        <w:tblLook w:val="0000" w:firstRow="0" w:lastRow="0" w:firstColumn="0" w:lastColumn="0" w:noHBand="0" w:noVBand="0"/>
      </w:tblPr>
      <w:tblGrid>
        <w:gridCol w:w="1700"/>
        <w:gridCol w:w="867"/>
        <w:gridCol w:w="728"/>
        <w:gridCol w:w="760"/>
        <w:gridCol w:w="855"/>
        <w:gridCol w:w="775"/>
        <w:gridCol w:w="709"/>
        <w:gridCol w:w="851"/>
        <w:gridCol w:w="850"/>
        <w:gridCol w:w="851"/>
        <w:gridCol w:w="567"/>
        <w:gridCol w:w="850"/>
        <w:gridCol w:w="709"/>
        <w:gridCol w:w="567"/>
        <w:gridCol w:w="992"/>
        <w:gridCol w:w="851"/>
        <w:gridCol w:w="850"/>
        <w:gridCol w:w="567"/>
      </w:tblGrid>
      <w:tr w:rsidR="000F70C0" w:rsidRPr="006742AC" w:rsidTr="001E569E">
        <w:trPr>
          <w:trHeight w:val="273"/>
        </w:trPr>
        <w:tc>
          <w:tcPr>
            <w:tcW w:w="1700" w:type="dxa"/>
            <w:tcBorders>
              <w:top w:val="single" w:sz="4" w:space="0" w:color="auto"/>
              <w:left w:val="single" w:sz="4" w:space="0" w:color="auto"/>
              <w:bottom w:val="single" w:sz="4" w:space="0" w:color="auto"/>
              <w:right w:val="nil"/>
            </w:tcBorders>
            <w:shd w:val="clear" w:color="auto" w:fill="auto"/>
            <w:noWrap/>
            <w:vAlign w:val="bottom"/>
          </w:tcPr>
          <w:p w:rsidR="000F70C0" w:rsidRPr="006742AC" w:rsidRDefault="000F70C0" w:rsidP="006742AC">
            <w:pPr>
              <w:rPr>
                <w:rFonts w:cs="Times New Roman"/>
                <w:sz w:val="18"/>
                <w:szCs w:val="18"/>
              </w:rPr>
            </w:pPr>
          </w:p>
        </w:tc>
        <w:tc>
          <w:tcPr>
            <w:tcW w:w="13199" w:type="dxa"/>
            <w:gridSpan w:val="17"/>
            <w:tcBorders>
              <w:top w:val="single" w:sz="4" w:space="0" w:color="auto"/>
              <w:left w:val="single" w:sz="4" w:space="0" w:color="auto"/>
              <w:bottom w:val="single" w:sz="4" w:space="0" w:color="auto"/>
              <w:right w:val="single" w:sz="4" w:space="0" w:color="auto"/>
            </w:tcBorders>
            <w:shd w:val="clear" w:color="auto" w:fill="auto"/>
            <w:noWrap/>
            <w:vAlign w:val="bottom"/>
          </w:tcPr>
          <w:p w:rsidR="000F70C0" w:rsidRPr="006742AC" w:rsidRDefault="002340B2" w:rsidP="006742AC">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Ryzyka/</w:t>
            </w:r>
            <w:r w:rsidR="000F70C0" w:rsidRPr="006742AC">
              <w:rPr>
                <w:rFonts w:ascii="Times New Roman" w:hAnsi="Times New Roman" w:cs="Times New Roman"/>
                <w:sz w:val="18"/>
                <w:szCs w:val="18"/>
              </w:rPr>
              <w:t>wysokości stawek taryfowych</w:t>
            </w:r>
          </w:p>
        </w:tc>
      </w:tr>
      <w:tr w:rsidR="000F70C0" w:rsidRPr="006742AC" w:rsidTr="001E569E">
        <w:trPr>
          <w:trHeight w:val="1694"/>
        </w:trPr>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Wyszczególnienie</w:t>
            </w:r>
          </w:p>
        </w:tc>
        <w:tc>
          <w:tcPr>
            <w:tcW w:w="867" w:type="dxa"/>
            <w:tcBorders>
              <w:top w:val="single" w:sz="4" w:space="0" w:color="auto"/>
              <w:left w:val="nil"/>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p>
        </w:tc>
        <w:tc>
          <w:tcPr>
            <w:tcW w:w="728" w:type="dxa"/>
            <w:tcBorders>
              <w:top w:val="single" w:sz="4" w:space="0" w:color="auto"/>
              <w:left w:val="nil"/>
              <w:bottom w:val="single" w:sz="4" w:space="0" w:color="auto"/>
              <w:right w:val="single" w:sz="4" w:space="0" w:color="auto"/>
            </w:tcBorders>
            <w:shd w:val="clear" w:color="auto" w:fill="auto"/>
            <w:vAlign w:val="center"/>
          </w:tcPr>
          <w:p w:rsidR="000F70C0" w:rsidRPr="006742AC" w:rsidRDefault="007E0DB8" w:rsidP="007E0DB8">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G,</w:t>
            </w:r>
            <w:r>
              <w:rPr>
                <w:rFonts w:ascii="Times New Roman" w:hAnsi="Times New Roman" w:cs="Times New Roman"/>
                <w:sz w:val="18"/>
                <w:szCs w:val="18"/>
              </w:rPr>
              <w:br/>
            </w:r>
            <w:r w:rsidR="000F70C0" w:rsidRPr="006742AC">
              <w:rPr>
                <w:rFonts w:ascii="Times New Roman" w:hAnsi="Times New Roman" w:cs="Times New Roman"/>
                <w:sz w:val="18"/>
                <w:szCs w:val="18"/>
              </w:rPr>
              <w:t>Pw</w:t>
            </w:r>
          </w:p>
        </w:tc>
        <w:tc>
          <w:tcPr>
            <w:tcW w:w="760" w:type="dxa"/>
            <w:tcBorders>
              <w:top w:val="single" w:sz="4" w:space="0" w:color="auto"/>
              <w:left w:val="nil"/>
              <w:bottom w:val="single" w:sz="4" w:space="0" w:color="auto"/>
              <w:right w:val="single" w:sz="4" w:space="0" w:color="auto"/>
            </w:tcBorders>
            <w:shd w:val="clear" w:color="auto" w:fill="auto"/>
            <w:vAlign w:val="center"/>
          </w:tcPr>
          <w:p w:rsidR="000F70C0" w:rsidRPr="006742AC"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r w:rsidR="007E0DB8">
              <w:rPr>
                <w:rFonts w:ascii="Times New Roman" w:hAnsi="Times New Roman" w:cs="Times New Roman"/>
                <w:sz w:val="18"/>
                <w:szCs w:val="18"/>
              </w:rPr>
              <w:br/>
            </w:r>
            <w:r w:rsidRPr="006742AC">
              <w:rPr>
                <w:rFonts w:ascii="Times New Roman" w:hAnsi="Times New Roman" w:cs="Times New Roman"/>
                <w:sz w:val="18"/>
                <w:szCs w:val="18"/>
              </w:rPr>
              <w:t>Usp,</w:t>
            </w:r>
            <w:r w:rsidR="007E0DB8">
              <w:rPr>
                <w:rFonts w:ascii="Times New Roman" w:hAnsi="Times New Roman" w:cs="Times New Roman"/>
                <w:sz w:val="18"/>
                <w:szCs w:val="18"/>
              </w:rPr>
              <w:br/>
            </w:r>
            <w:r w:rsidRPr="006742AC">
              <w:rPr>
                <w:rFonts w:ascii="Times New Roman" w:hAnsi="Times New Roman" w:cs="Times New Roman"/>
                <w:sz w:val="18"/>
                <w:szCs w:val="18"/>
              </w:rPr>
              <w:t>Pw</w:t>
            </w:r>
          </w:p>
        </w:tc>
        <w:tc>
          <w:tcPr>
            <w:tcW w:w="855" w:type="dxa"/>
            <w:tcBorders>
              <w:top w:val="single" w:sz="4" w:space="0" w:color="auto"/>
              <w:left w:val="nil"/>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Po</w:t>
            </w:r>
          </w:p>
        </w:tc>
        <w:tc>
          <w:tcPr>
            <w:tcW w:w="775" w:type="dxa"/>
            <w:tcBorders>
              <w:top w:val="single" w:sz="4" w:space="0" w:color="auto"/>
              <w:left w:val="nil"/>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Usp</w:t>
            </w:r>
          </w:p>
        </w:tc>
        <w:tc>
          <w:tcPr>
            <w:tcW w:w="709" w:type="dxa"/>
            <w:tcBorders>
              <w:top w:val="single" w:sz="4" w:space="0" w:color="auto"/>
              <w:left w:val="nil"/>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Pw</w:t>
            </w:r>
          </w:p>
        </w:tc>
        <w:tc>
          <w:tcPr>
            <w:tcW w:w="851" w:type="dxa"/>
            <w:tcBorders>
              <w:top w:val="single" w:sz="4" w:space="0" w:color="auto"/>
              <w:left w:val="nil"/>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S</w:t>
            </w:r>
          </w:p>
        </w:tc>
        <w:tc>
          <w:tcPr>
            <w:tcW w:w="850" w:type="dxa"/>
            <w:tcBorders>
              <w:top w:val="single" w:sz="4" w:space="0" w:color="auto"/>
              <w:left w:val="nil"/>
              <w:bottom w:val="single" w:sz="4" w:space="0" w:color="auto"/>
              <w:right w:val="single" w:sz="4" w:space="0" w:color="auto"/>
            </w:tcBorders>
            <w:shd w:val="clear" w:color="auto" w:fill="auto"/>
            <w:vAlign w:val="center"/>
          </w:tcPr>
          <w:p w:rsidR="000F70C0" w:rsidRPr="006742AC"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r w:rsidR="007E0DB8">
              <w:rPr>
                <w:rFonts w:ascii="Times New Roman" w:hAnsi="Times New Roman" w:cs="Times New Roman"/>
                <w:sz w:val="18"/>
                <w:szCs w:val="18"/>
              </w:rPr>
              <w:br/>
            </w:r>
            <w:r w:rsidRPr="006742AC">
              <w:rPr>
                <w:rFonts w:ascii="Times New Roman" w:hAnsi="Times New Roman" w:cs="Times New Roman"/>
                <w:sz w:val="18"/>
                <w:szCs w:val="18"/>
              </w:rPr>
              <w:t>Usp</w:t>
            </w:r>
          </w:p>
        </w:tc>
        <w:tc>
          <w:tcPr>
            <w:tcW w:w="851" w:type="dxa"/>
            <w:tcBorders>
              <w:top w:val="single" w:sz="4" w:space="0" w:color="auto"/>
              <w:left w:val="nil"/>
              <w:bottom w:val="single" w:sz="4" w:space="0" w:color="auto"/>
              <w:right w:val="single" w:sz="4" w:space="0" w:color="auto"/>
            </w:tcBorders>
            <w:shd w:val="clear" w:color="auto" w:fill="auto"/>
            <w:vAlign w:val="center"/>
          </w:tcPr>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xml:space="preserve">H, </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Dn,</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Pi,</w:t>
            </w:r>
          </w:p>
          <w:p w:rsidR="000F70C0" w:rsidRPr="006742AC"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OziL</w:t>
            </w:r>
          </w:p>
        </w:tc>
        <w:tc>
          <w:tcPr>
            <w:tcW w:w="567" w:type="dxa"/>
            <w:tcBorders>
              <w:top w:val="single" w:sz="4" w:space="0" w:color="auto"/>
              <w:left w:val="nil"/>
              <w:bottom w:val="single" w:sz="4" w:space="0" w:color="auto"/>
              <w:right w:val="single" w:sz="4" w:space="0" w:color="auto"/>
            </w:tcBorders>
            <w:shd w:val="clear" w:color="auto" w:fill="auto"/>
            <w:vAlign w:val="center"/>
          </w:tcPr>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p>
          <w:p w:rsidR="00D706F5"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Usp,</w:t>
            </w:r>
            <w:r w:rsidR="007E0DB8">
              <w:rPr>
                <w:rFonts w:ascii="Times New Roman" w:hAnsi="Times New Roman" w:cs="Times New Roman"/>
                <w:sz w:val="18"/>
                <w:szCs w:val="18"/>
              </w:rPr>
              <w:br/>
            </w:r>
            <w:r w:rsidRPr="006742AC">
              <w:rPr>
                <w:rFonts w:ascii="Times New Roman" w:hAnsi="Times New Roman" w:cs="Times New Roman"/>
                <w:sz w:val="18"/>
                <w:szCs w:val="18"/>
              </w:rPr>
              <w:t>H,</w:t>
            </w:r>
            <w:r w:rsidR="007E0DB8">
              <w:rPr>
                <w:rFonts w:ascii="Times New Roman" w:hAnsi="Times New Roman" w:cs="Times New Roman"/>
                <w:sz w:val="18"/>
                <w:szCs w:val="18"/>
              </w:rPr>
              <w:br/>
            </w:r>
            <w:r w:rsidRPr="006742AC">
              <w:rPr>
                <w:rFonts w:ascii="Times New Roman" w:hAnsi="Times New Roman" w:cs="Times New Roman"/>
                <w:sz w:val="18"/>
                <w:szCs w:val="18"/>
              </w:rPr>
              <w:t>Dn,</w:t>
            </w:r>
            <w:r w:rsidR="007E0DB8">
              <w:rPr>
                <w:rFonts w:ascii="Times New Roman" w:hAnsi="Times New Roman" w:cs="Times New Roman"/>
                <w:sz w:val="18"/>
                <w:szCs w:val="18"/>
              </w:rPr>
              <w:br/>
            </w:r>
            <w:r w:rsidRPr="006742AC">
              <w:rPr>
                <w:rFonts w:ascii="Times New Roman" w:hAnsi="Times New Roman" w:cs="Times New Roman"/>
                <w:sz w:val="18"/>
                <w:szCs w:val="18"/>
              </w:rPr>
              <w:t>Pi</w:t>
            </w:r>
            <w:r w:rsidR="00D706F5">
              <w:rPr>
                <w:rFonts w:ascii="Times New Roman" w:hAnsi="Times New Roman" w:cs="Times New Roman"/>
                <w:sz w:val="18"/>
                <w:szCs w:val="18"/>
              </w:rPr>
              <w:t>,</w:t>
            </w:r>
          </w:p>
          <w:p w:rsidR="000F70C0" w:rsidRPr="006742AC"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xml:space="preserve"> OziL</w:t>
            </w:r>
          </w:p>
        </w:tc>
        <w:tc>
          <w:tcPr>
            <w:tcW w:w="850" w:type="dxa"/>
            <w:tcBorders>
              <w:top w:val="single" w:sz="4" w:space="0" w:color="auto"/>
              <w:left w:val="nil"/>
              <w:bottom w:val="single" w:sz="4" w:space="0" w:color="auto"/>
              <w:right w:val="single" w:sz="4" w:space="0" w:color="auto"/>
            </w:tcBorders>
            <w:shd w:val="clear" w:color="auto" w:fill="auto"/>
            <w:vAlign w:val="center"/>
          </w:tcPr>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Pw,</w:t>
            </w:r>
          </w:p>
          <w:p w:rsidR="007E0DB8" w:rsidRDefault="007E0DB8" w:rsidP="007E0DB8">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H,</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D</w:t>
            </w:r>
            <w:r w:rsidR="007E0DB8">
              <w:rPr>
                <w:rFonts w:ascii="Times New Roman" w:hAnsi="Times New Roman" w:cs="Times New Roman"/>
                <w:sz w:val="18"/>
                <w:szCs w:val="18"/>
              </w:rPr>
              <w:t>n,</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xml:space="preserve">Pi,  </w:t>
            </w:r>
          </w:p>
          <w:p w:rsidR="000F70C0" w:rsidRPr="006742AC"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OziL</w:t>
            </w:r>
          </w:p>
        </w:tc>
        <w:tc>
          <w:tcPr>
            <w:tcW w:w="709" w:type="dxa"/>
            <w:tcBorders>
              <w:top w:val="single" w:sz="4" w:space="0" w:color="auto"/>
              <w:left w:val="nil"/>
              <w:bottom w:val="single" w:sz="4" w:space="0" w:color="auto"/>
              <w:right w:val="single" w:sz="4" w:space="0" w:color="auto"/>
            </w:tcBorders>
            <w:shd w:val="clear" w:color="auto" w:fill="auto"/>
            <w:vAlign w:val="center"/>
          </w:tcPr>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Usp,</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Pw,</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Po,</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H,</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Dn,</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Pi,</w:t>
            </w:r>
          </w:p>
          <w:p w:rsidR="000F70C0" w:rsidRPr="006742AC"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OziL</w:t>
            </w:r>
          </w:p>
        </w:tc>
        <w:tc>
          <w:tcPr>
            <w:tcW w:w="567" w:type="dxa"/>
            <w:tcBorders>
              <w:top w:val="single" w:sz="4" w:space="0" w:color="auto"/>
              <w:left w:val="nil"/>
              <w:bottom w:val="single" w:sz="4" w:space="0" w:color="auto"/>
              <w:right w:val="single" w:sz="4" w:space="0" w:color="auto"/>
            </w:tcBorders>
            <w:shd w:val="clear" w:color="auto" w:fill="auto"/>
            <w:vAlign w:val="center"/>
          </w:tcPr>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r w:rsidR="007E0DB8">
              <w:rPr>
                <w:rFonts w:ascii="Times New Roman" w:hAnsi="Times New Roman" w:cs="Times New Roman"/>
                <w:sz w:val="18"/>
                <w:szCs w:val="18"/>
              </w:rPr>
              <w:br/>
            </w:r>
            <w:r w:rsidRPr="006742AC">
              <w:rPr>
                <w:rFonts w:ascii="Times New Roman" w:hAnsi="Times New Roman" w:cs="Times New Roman"/>
                <w:sz w:val="18"/>
                <w:szCs w:val="18"/>
              </w:rPr>
              <w:t>Usp,</w:t>
            </w:r>
            <w:r w:rsidR="007E0DB8">
              <w:rPr>
                <w:rFonts w:ascii="Times New Roman" w:hAnsi="Times New Roman" w:cs="Times New Roman"/>
                <w:sz w:val="18"/>
                <w:szCs w:val="18"/>
              </w:rPr>
              <w:br/>
            </w:r>
            <w:r w:rsidRPr="006742AC">
              <w:rPr>
                <w:rFonts w:ascii="Times New Roman" w:hAnsi="Times New Roman" w:cs="Times New Roman"/>
                <w:sz w:val="18"/>
                <w:szCs w:val="18"/>
              </w:rPr>
              <w:t>Pw,</w:t>
            </w:r>
          </w:p>
          <w:p w:rsidR="000F70C0" w:rsidRPr="006742AC"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Po</w:t>
            </w:r>
          </w:p>
        </w:tc>
        <w:tc>
          <w:tcPr>
            <w:tcW w:w="992" w:type="dxa"/>
            <w:tcBorders>
              <w:top w:val="single" w:sz="4" w:space="0" w:color="auto"/>
              <w:left w:val="nil"/>
              <w:bottom w:val="single" w:sz="4" w:space="0" w:color="auto"/>
              <w:right w:val="single" w:sz="4" w:space="0" w:color="auto"/>
            </w:tcBorders>
            <w:shd w:val="clear" w:color="auto" w:fill="auto"/>
            <w:vAlign w:val="center"/>
          </w:tcPr>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Usp,</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Pw,</w:t>
            </w:r>
          </w:p>
          <w:p w:rsidR="007E0DB8"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Po,</w:t>
            </w:r>
          </w:p>
          <w:p w:rsidR="000F70C0" w:rsidRPr="006742AC" w:rsidRDefault="000F70C0" w:rsidP="007E0DB8">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S</w:t>
            </w:r>
          </w:p>
        </w:tc>
        <w:tc>
          <w:tcPr>
            <w:tcW w:w="851" w:type="dxa"/>
            <w:tcBorders>
              <w:top w:val="single" w:sz="4" w:space="0" w:color="auto"/>
              <w:left w:val="nil"/>
              <w:bottom w:val="single" w:sz="4" w:space="0" w:color="auto"/>
              <w:right w:val="single" w:sz="4" w:space="0" w:color="auto"/>
            </w:tcBorders>
            <w:shd w:val="clear" w:color="auto" w:fill="auto"/>
            <w:vAlign w:val="center"/>
          </w:tcPr>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Usp,</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Pw,</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H,</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Dn,</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Pi,</w:t>
            </w:r>
          </w:p>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OziL</w:t>
            </w:r>
          </w:p>
        </w:tc>
        <w:tc>
          <w:tcPr>
            <w:tcW w:w="850" w:type="dxa"/>
            <w:tcBorders>
              <w:top w:val="single" w:sz="4" w:space="0" w:color="auto"/>
              <w:left w:val="nil"/>
              <w:bottom w:val="single" w:sz="4" w:space="0" w:color="auto"/>
              <w:right w:val="single" w:sz="4" w:space="0" w:color="auto"/>
            </w:tcBorders>
            <w:shd w:val="clear" w:color="auto" w:fill="auto"/>
            <w:vAlign w:val="center"/>
          </w:tcPr>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G,</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Usp,</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Pw,</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Po,</w:t>
            </w:r>
          </w:p>
          <w:p w:rsidR="007E0DB8" w:rsidRDefault="007E0DB8" w:rsidP="006742AC">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S,</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H,</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Dn,</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Pi,</w:t>
            </w:r>
          </w:p>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OziL</w:t>
            </w:r>
          </w:p>
        </w:tc>
        <w:tc>
          <w:tcPr>
            <w:tcW w:w="567" w:type="dxa"/>
            <w:tcBorders>
              <w:top w:val="single" w:sz="4" w:space="0" w:color="auto"/>
              <w:left w:val="nil"/>
              <w:bottom w:val="single" w:sz="4" w:space="0" w:color="auto"/>
              <w:right w:val="single" w:sz="4" w:space="0" w:color="auto"/>
            </w:tcBorders>
            <w:shd w:val="clear" w:color="auto" w:fill="auto"/>
            <w:vAlign w:val="center"/>
          </w:tcPr>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Po,</w:t>
            </w:r>
          </w:p>
          <w:p w:rsidR="007E0DB8"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Pi,</w:t>
            </w:r>
          </w:p>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OziL</w:t>
            </w:r>
          </w:p>
        </w:tc>
      </w:tr>
      <w:tr w:rsidR="000F70C0" w:rsidRPr="006742AC" w:rsidTr="001E569E">
        <w:trPr>
          <w:trHeight w:val="300"/>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zboża jare</w:t>
            </w:r>
          </w:p>
        </w:tc>
        <w:tc>
          <w:tcPr>
            <w:tcW w:w="8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0,39-2,0</w:t>
            </w:r>
          </w:p>
        </w:tc>
        <w:tc>
          <w:tcPr>
            <w:tcW w:w="728"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0,98-4,6</w:t>
            </w: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5"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1,5-12,0</w:t>
            </w: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0,5-3,6</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2,0-15,0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0,47-4,0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2,0-4,5</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5,0-12,0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6,0-13,0</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w:t>
            </w:r>
          </w:p>
        </w:tc>
      </w:tr>
      <w:tr w:rsidR="000F70C0" w:rsidRPr="006742AC" w:rsidTr="001E569E">
        <w:trPr>
          <w:trHeight w:val="270"/>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zboża ozime</w:t>
            </w:r>
          </w:p>
        </w:tc>
        <w:tc>
          <w:tcPr>
            <w:tcW w:w="8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0,39-2,25</w:t>
            </w:r>
          </w:p>
        </w:tc>
        <w:tc>
          <w:tcPr>
            <w:tcW w:w="728"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1,89-10,0</w:t>
            </w: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1,8-8,0</w:t>
            </w:r>
          </w:p>
        </w:tc>
        <w:tc>
          <w:tcPr>
            <w:tcW w:w="709"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1"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1,67-9,0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0,54-4,0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4,0-10,0</w:t>
            </w:r>
          </w:p>
        </w:tc>
        <w:tc>
          <w:tcPr>
            <w:tcW w:w="850"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4,5-11,0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5,0-12,0</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6,0-14,0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5,5-13,0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6,6-15,0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285"/>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kukurydza</w:t>
            </w:r>
          </w:p>
        </w:tc>
        <w:tc>
          <w:tcPr>
            <w:tcW w:w="8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0,35-5,0</w:t>
            </w:r>
          </w:p>
        </w:tc>
        <w:tc>
          <w:tcPr>
            <w:tcW w:w="728"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1,0-5,0</w:t>
            </w: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1,0-3,0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2,0-17,0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0,47-5,0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3,0-5,5</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5,0-12,0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6,0-13,0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rzepak jary</w:t>
            </w:r>
          </w:p>
        </w:tc>
        <w:tc>
          <w:tcPr>
            <w:tcW w:w="867"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0,95-4,0</w:t>
            </w:r>
          </w:p>
        </w:tc>
        <w:tc>
          <w:tcPr>
            <w:tcW w:w="728"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2,5-6,7</w:t>
            </w: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1,0-4,8</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2,0-15,0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1,33-5,0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4,0-6,5</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5,5-14,0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6,0-15,0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270"/>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rzepak ozimy</w:t>
            </w:r>
          </w:p>
        </w:tc>
        <w:tc>
          <w:tcPr>
            <w:tcW w:w="8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28"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3,62-13,0</w:t>
            </w: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3,6-10,0</w:t>
            </w:r>
          </w:p>
        </w:tc>
        <w:tc>
          <w:tcPr>
            <w:tcW w:w="709"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1"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3,15-11,0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1,33-5,0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5,5-12,0</w:t>
            </w:r>
          </w:p>
        </w:tc>
        <w:tc>
          <w:tcPr>
            <w:tcW w:w="850"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6,0-14,0</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6,0-15,0</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7,0-17,0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6,0-16,0</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8,0-18,0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rzepik</w:t>
            </w:r>
          </w:p>
        </w:tc>
        <w:tc>
          <w:tcPr>
            <w:tcW w:w="8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28"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2,5-13,0</w:t>
            </w: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4,0-10,0</w:t>
            </w:r>
          </w:p>
        </w:tc>
        <w:tc>
          <w:tcPr>
            <w:tcW w:w="709"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1"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2,5-11,0</w:t>
            </w:r>
          </w:p>
        </w:tc>
        <w:tc>
          <w:tcPr>
            <w:tcW w:w="851"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5,5-12,0</w:t>
            </w:r>
          </w:p>
        </w:tc>
        <w:tc>
          <w:tcPr>
            <w:tcW w:w="850"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6,0-14,0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992"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1" w:type="dxa"/>
            <w:tcBorders>
              <w:top w:val="nil"/>
              <w:left w:val="nil"/>
              <w:bottom w:val="nil"/>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6,0-16,0</w:t>
            </w:r>
          </w:p>
        </w:tc>
        <w:tc>
          <w:tcPr>
            <w:tcW w:w="850"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ziemniaki</w:t>
            </w:r>
          </w:p>
        </w:tc>
        <w:tc>
          <w:tcPr>
            <w:tcW w:w="8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0,35-2,0</w:t>
            </w:r>
          </w:p>
        </w:tc>
        <w:tc>
          <w:tcPr>
            <w:tcW w:w="728"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1,0-10,0</w:t>
            </w: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1,0-5,0</w:t>
            </w:r>
          </w:p>
        </w:tc>
        <w:tc>
          <w:tcPr>
            <w:tcW w:w="851"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0,47-5,0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3,0-7,0</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5,0-14,0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6,0-16,0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300"/>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buraki cukrowe</w:t>
            </w:r>
          </w:p>
        </w:tc>
        <w:tc>
          <w:tcPr>
            <w:tcW w:w="8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0,39-3,6</w:t>
            </w:r>
          </w:p>
        </w:tc>
        <w:tc>
          <w:tcPr>
            <w:tcW w:w="728"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1,0-6,0</w:t>
            </w: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709"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1,0-3,0</w:t>
            </w:r>
          </w:p>
        </w:tc>
        <w:tc>
          <w:tcPr>
            <w:tcW w:w="851"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0,54-5,0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3,0-5,5</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5,0-13,0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6,0-15,0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270"/>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chmiel</w:t>
            </w:r>
          </w:p>
        </w:tc>
        <w:tc>
          <w:tcPr>
            <w:tcW w:w="867"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2,0-12,0</w:t>
            </w:r>
          </w:p>
        </w:tc>
        <w:tc>
          <w:tcPr>
            <w:tcW w:w="728"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3,0-12,0</w:t>
            </w: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709"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2,0-16,0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5,0-12,0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5,0-8,5</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5,0-12,0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6,0-14,0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195"/>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tytoń</w:t>
            </w:r>
          </w:p>
        </w:tc>
        <w:tc>
          <w:tcPr>
            <w:tcW w:w="8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28"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5,0-12,0</w:t>
            </w:r>
          </w:p>
        </w:tc>
        <w:tc>
          <w:tcPr>
            <w:tcW w:w="760" w:type="dxa"/>
            <w:vMerge w:val="restart"/>
            <w:tcBorders>
              <w:top w:val="nil"/>
              <w:left w:val="single" w:sz="4" w:space="0" w:color="auto"/>
              <w:bottom w:val="single" w:sz="4" w:space="0" w:color="000000"/>
              <w:right w:val="single" w:sz="4" w:space="0" w:color="auto"/>
            </w:tcBorders>
            <w:shd w:val="clear" w:color="auto" w:fill="auto"/>
            <w:noWrap/>
            <w:vAlign w:val="center"/>
          </w:tcPr>
          <w:p w:rsidR="002340B2" w:rsidRDefault="002340B2" w:rsidP="006742AC">
            <w:pPr>
              <w:pStyle w:val="TEKSTwTABELIWYRODKOWANYtekstwyrodkowanywpoziomie"/>
              <w:rPr>
                <w:rFonts w:ascii="Times New Roman" w:hAnsi="Times New Roman" w:cs="Times New Roman"/>
                <w:sz w:val="18"/>
                <w:szCs w:val="18"/>
              </w:rPr>
            </w:pPr>
          </w:p>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5,0-15,0</w:t>
            </w: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709"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2,0-18,0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6,0-12,0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6,0-10,0</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6,0-14,0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7,0-16,0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435"/>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warzywa gruntowe</w:t>
            </w:r>
          </w:p>
        </w:tc>
        <w:tc>
          <w:tcPr>
            <w:tcW w:w="8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1,0-12,0</w:t>
            </w:r>
          </w:p>
        </w:tc>
        <w:tc>
          <w:tcPr>
            <w:tcW w:w="728"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1,5-12,0</w:t>
            </w:r>
          </w:p>
        </w:tc>
        <w:tc>
          <w:tcPr>
            <w:tcW w:w="760"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5"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75" w:type="dxa"/>
            <w:vMerge w:val="restart"/>
            <w:tcBorders>
              <w:top w:val="nil"/>
              <w:left w:val="single" w:sz="4" w:space="0" w:color="auto"/>
              <w:bottom w:val="single" w:sz="4" w:space="0" w:color="000000"/>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6,0-9,0</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1,0-5,0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2,0-18,0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6,0-15,0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3,0-12,0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7,0-12,0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3,0-9,0</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10,0-15,0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10,0-14,0</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6,0-17,0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11,0-16,0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6,6-18,0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315D73">
        <w:trPr>
          <w:trHeight w:val="615"/>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315D73">
            <w:pPr>
              <w:pStyle w:val="TEKSTwTABELIWYRODKOWANYtekstwyrodkowanywpoziomie"/>
              <w:spacing w:line="240" w:lineRule="auto"/>
              <w:rPr>
                <w:rFonts w:ascii="Times New Roman" w:hAnsi="Times New Roman" w:cs="Times New Roman"/>
                <w:sz w:val="18"/>
                <w:szCs w:val="18"/>
              </w:rPr>
            </w:pPr>
            <w:r w:rsidRPr="006742AC">
              <w:rPr>
                <w:rFonts w:ascii="Times New Roman" w:hAnsi="Times New Roman" w:cs="Times New Roman"/>
                <w:sz w:val="18"/>
                <w:szCs w:val="18"/>
              </w:rPr>
              <w:t>owoce drzew i krzewów owocowych</w:t>
            </w:r>
          </w:p>
        </w:tc>
        <w:tc>
          <w:tcPr>
            <w:tcW w:w="8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5,0-12,0</w:t>
            </w:r>
          </w:p>
        </w:tc>
        <w:tc>
          <w:tcPr>
            <w:tcW w:w="728"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7,7-15,0</w:t>
            </w:r>
          </w:p>
        </w:tc>
        <w:tc>
          <w:tcPr>
            <w:tcW w:w="760" w:type="dxa"/>
            <w:vMerge/>
            <w:tcBorders>
              <w:top w:val="nil"/>
              <w:left w:val="single" w:sz="4" w:space="0" w:color="auto"/>
              <w:bottom w:val="single" w:sz="4" w:space="0" w:color="auto"/>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1,5-15,0</w:t>
            </w:r>
          </w:p>
        </w:tc>
        <w:tc>
          <w:tcPr>
            <w:tcW w:w="775" w:type="dxa"/>
            <w:vMerge/>
            <w:tcBorders>
              <w:top w:val="nil"/>
              <w:left w:val="single" w:sz="4" w:space="0" w:color="auto"/>
              <w:bottom w:val="single" w:sz="4" w:space="0" w:color="auto"/>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5,4-10,0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2,0-17,0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8,0-15,0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5,5-15,0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9,0-14,0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9,0-15,0</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10,0-16,0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10,0-16,0</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11,0-17,0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11,0-17,0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12,0-19,0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315D73">
        <w:trPr>
          <w:trHeight w:val="480"/>
        </w:trPr>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lastRenderedPageBreak/>
              <w:t>drzewa i krzewy owocowe</w:t>
            </w:r>
          </w:p>
        </w:tc>
        <w:tc>
          <w:tcPr>
            <w:tcW w:w="867"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0,5-12,0</w:t>
            </w:r>
          </w:p>
        </w:tc>
        <w:tc>
          <w:tcPr>
            <w:tcW w:w="728"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1,0-15,0</w:t>
            </w:r>
          </w:p>
        </w:tc>
        <w:tc>
          <w:tcPr>
            <w:tcW w:w="760" w:type="dxa"/>
            <w:vMerge/>
            <w:tcBorders>
              <w:top w:val="single" w:sz="4" w:space="0" w:color="auto"/>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5"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1,5-12,0</w:t>
            </w:r>
          </w:p>
        </w:tc>
        <w:tc>
          <w:tcPr>
            <w:tcW w:w="775"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0,5-2,0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1,5-17,0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2,0-15,0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3,0-6,0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2,0-4,5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4,5-7,0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3,0-8,0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4,5-10,0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4,5-9,0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5,0-11,0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240"/>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truskawki</w:t>
            </w:r>
          </w:p>
        </w:tc>
        <w:tc>
          <w:tcPr>
            <w:tcW w:w="8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1,0-12,0</w:t>
            </w:r>
          </w:p>
        </w:tc>
        <w:tc>
          <w:tcPr>
            <w:tcW w:w="728"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1,0-13,2</w:t>
            </w:r>
          </w:p>
        </w:tc>
        <w:tc>
          <w:tcPr>
            <w:tcW w:w="760"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pStyle w:val="TEKSTwTABELIWYRODKOWANYtekstwyrodkowanywpoziomie"/>
              <w:rPr>
                <w:rFonts w:ascii="Times New Roman" w:hAnsi="Times New Roman" w:cs="Times New Roman"/>
                <w:sz w:val="18"/>
                <w:szCs w:val="18"/>
              </w:rPr>
            </w:pPr>
          </w:p>
        </w:tc>
        <w:tc>
          <w:tcPr>
            <w:tcW w:w="85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1,5-12,0</w:t>
            </w: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2,0-9,0</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1,0-7,2</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2,0-17,0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3,0-15,0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2,5-12,0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5,0-13,0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3,0-11,0</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5,0-18,0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4,0-17,0</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5,0-16,0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5,0-18,0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6,0-17,0</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300"/>
        </w:trPr>
        <w:tc>
          <w:tcPr>
            <w:tcW w:w="1700" w:type="dxa"/>
            <w:tcBorders>
              <w:top w:val="nil"/>
              <w:left w:val="single" w:sz="4" w:space="0" w:color="auto"/>
              <w:bottom w:val="single" w:sz="4" w:space="0" w:color="auto"/>
              <w:right w:val="single" w:sz="4" w:space="0" w:color="auto"/>
            </w:tcBorders>
            <w:shd w:val="clear" w:color="auto" w:fill="auto"/>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rośliny strączkowe</w:t>
            </w:r>
          </w:p>
        </w:tc>
        <w:tc>
          <w:tcPr>
            <w:tcW w:w="8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0,58-6,0</w:t>
            </w:r>
          </w:p>
        </w:tc>
        <w:tc>
          <w:tcPr>
            <w:tcW w:w="728"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0,64-12,0</w:t>
            </w:r>
          </w:p>
        </w:tc>
        <w:tc>
          <w:tcPr>
            <w:tcW w:w="76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1,5-12,0</w:t>
            </w:r>
          </w:p>
        </w:tc>
        <w:tc>
          <w:tcPr>
            <w:tcW w:w="775"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1,0-3,6</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2,0-15,0</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0,77-5,0</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3,0-6,0</w:t>
            </w:r>
          </w:p>
        </w:tc>
        <w:tc>
          <w:tcPr>
            <w:tcW w:w="709"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5,0-13,0</w:t>
            </w:r>
          </w:p>
        </w:tc>
        <w:tc>
          <w:tcPr>
            <w:tcW w:w="851"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 </w:t>
            </w:r>
          </w:p>
        </w:tc>
        <w:tc>
          <w:tcPr>
            <w:tcW w:w="850" w:type="dxa"/>
            <w:tcBorders>
              <w:top w:val="nil"/>
              <w:left w:val="nil"/>
              <w:bottom w:val="single" w:sz="4" w:space="0" w:color="auto"/>
              <w:right w:val="single" w:sz="4" w:space="0" w:color="auto"/>
            </w:tcBorders>
            <w:shd w:val="clear" w:color="auto" w:fill="auto"/>
            <w:noWrap/>
            <w:vAlign w:val="center"/>
          </w:tcPr>
          <w:p w:rsidR="000F70C0" w:rsidRPr="006742AC" w:rsidRDefault="000F70C0" w:rsidP="006742AC">
            <w:pPr>
              <w:pStyle w:val="TEKSTwTABELIWYRODKOWANYtekstwyrodkowanywpoziomie"/>
              <w:rPr>
                <w:rFonts w:ascii="Times New Roman" w:hAnsi="Times New Roman" w:cs="Times New Roman"/>
                <w:sz w:val="18"/>
                <w:szCs w:val="18"/>
              </w:rPr>
            </w:pPr>
            <w:r w:rsidRPr="006742AC">
              <w:rPr>
                <w:rFonts w:ascii="Times New Roman" w:hAnsi="Times New Roman" w:cs="Times New Roman"/>
                <w:sz w:val="18"/>
                <w:szCs w:val="18"/>
              </w:rPr>
              <w:t>6,15</w:t>
            </w:r>
          </w:p>
        </w:tc>
        <w:tc>
          <w:tcPr>
            <w:tcW w:w="567" w:type="dxa"/>
            <w:vMerge/>
            <w:tcBorders>
              <w:top w:val="nil"/>
              <w:left w:val="single" w:sz="4" w:space="0" w:color="auto"/>
              <w:bottom w:val="single" w:sz="4" w:space="0" w:color="000000"/>
              <w:right w:val="single" w:sz="4" w:space="0" w:color="auto"/>
            </w:tcBorders>
            <w:vAlign w:val="center"/>
          </w:tcPr>
          <w:p w:rsidR="000F70C0" w:rsidRPr="006742AC" w:rsidRDefault="000F70C0" w:rsidP="006742AC">
            <w:pPr>
              <w:rPr>
                <w:rFonts w:cs="Times New Roman"/>
                <w:sz w:val="18"/>
                <w:szCs w:val="18"/>
              </w:rPr>
            </w:pPr>
          </w:p>
        </w:tc>
      </w:tr>
      <w:tr w:rsidR="000F70C0" w:rsidRPr="006742AC" w:rsidTr="001E569E">
        <w:trPr>
          <w:trHeight w:val="865"/>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28"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6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5"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75"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r w:rsidR="000F70C0" w:rsidRPr="006742AC" w:rsidTr="001E569E">
        <w:trPr>
          <w:trHeight w:val="426"/>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G</w:t>
            </w:r>
          </w:p>
        </w:tc>
        <w:tc>
          <w:tcPr>
            <w:tcW w:w="2343" w:type="dxa"/>
            <w:gridSpan w:val="3"/>
            <w:tcBorders>
              <w:top w:val="nil"/>
              <w:left w:val="nil"/>
              <w:bottom w:val="nil"/>
              <w:right w:val="nil"/>
            </w:tcBorders>
            <w:shd w:val="clear" w:color="auto" w:fill="auto"/>
            <w:noWrap/>
            <w:vAlign w:val="center"/>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grad</w:t>
            </w:r>
          </w:p>
        </w:tc>
        <w:tc>
          <w:tcPr>
            <w:tcW w:w="77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r w:rsidR="000F70C0" w:rsidRPr="006742AC" w:rsidTr="001E569E">
        <w:trPr>
          <w:trHeight w:val="80"/>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Pw</w:t>
            </w:r>
          </w:p>
        </w:tc>
        <w:tc>
          <w:tcPr>
            <w:tcW w:w="2343" w:type="dxa"/>
            <w:gridSpan w:val="3"/>
            <w:tcBorders>
              <w:top w:val="nil"/>
              <w:left w:val="nil"/>
              <w:bottom w:val="nil"/>
              <w:right w:val="nil"/>
            </w:tcBorders>
            <w:shd w:val="clear" w:color="auto" w:fill="auto"/>
            <w:noWrap/>
            <w:vAlign w:val="center"/>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przymrozki wiosenne</w:t>
            </w:r>
          </w:p>
        </w:tc>
        <w:tc>
          <w:tcPr>
            <w:tcW w:w="77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Usp</w:t>
            </w:r>
          </w:p>
        </w:tc>
        <w:tc>
          <w:tcPr>
            <w:tcW w:w="3118" w:type="dxa"/>
            <w:gridSpan w:val="4"/>
            <w:tcBorders>
              <w:top w:val="nil"/>
              <w:left w:val="nil"/>
              <w:bottom w:val="nil"/>
              <w:right w:val="nil"/>
            </w:tcBorders>
            <w:shd w:val="clear" w:color="auto" w:fill="auto"/>
            <w:noWrap/>
            <w:vAlign w:val="center"/>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ujemne skutki przezimowania</w:t>
            </w: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Po</w:t>
            </w:r>
          </w:p>
        </w:tc>
        <w:tc>
          <w:tcPr>
            <w:tcW w:w="1488" w:type="dxa"/>
            <w:gridSpan w:val="2"/>
            <w:tcBorders>
              <w:top w:val="nil"/>
              <w:left w:val="nil"/>
              <w:bottom w:val="nil"/>
              <w:right w:val="nil"/>
            </w:tcBorders>
            <w:shd w:val="clear" w:color="auto" w:fill="auto"/>
            <w:noWrap/>
            <w:vAlign w:val="center"/>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powódź</w:t>
            </w:r>
          </w:p>
        </w:tc>
        <w:tc>
          <w:tcPr>
            <w:tcW w:w="85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7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Pi</w:t>
            </w:r>
          </w:p>
        </w:tc>
        <w:tc>
          <w:tcPr>
            <w:tcW w:w="1488" w:type="dxa"/>
            <w:gridSpan w:val="2"/>
            <w:tcBorders>
              <w:top w:val="nil"/>
              <w:left w:val="nil"/>
              <w:bottom w:val="nil"/>
              <w:right w:val="nil"/>
            </w:tcBorders>
            <w:shd w:val="clear" w:color="auto" w:fill="auto"/>
            <w:noWrap/>
            <w:vAlign w:val="center"/>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piorun</w:t>
            </w:r>
          </w:p>
        </w:tc>
        <w:tc>
          <w:tcPr>
            <w:tcW w:w="85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7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S</w:t>
            </w:r>
          </w:p>
        </w:tc>
        <w:tc>
          <w:tcPr>
            <w:tcW w:w="728" w:type="dxa"/>
            <w:tcBorders>
              <w:top w:val="nil"/>
              <w:left w:val="nil"/>
              <w:bottom w:val="nil"/>
              <w:right w:val="nil"/>
            </w:tcBorders>
            <w:shd w:val="clear" w:color="auto" w:fill="auto"/>
            <w:noWrap/>
            <w:vAlign w:val="center"/>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susza</w:t>
            </w:r>
          </w:p>
        </w:tc>
        <w:tc>
          <w:tcPr>
            <w:tcW w:w="760"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85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7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H</w:t>
            </w:r>
          </w:p>
        </w:tc>
        <w:tc>
          <w:tcPr>
            <w:tcW w:w="1488" w:type="dxa"/>
            <w:gridSpan w:val="2"/>
            <w:tcBorders>
              <w:top w:val="nil"/>
              <w:left w:val="nil"/>
              <w:bottom w:val="nil"/>
              <w:right w:val="nil"/>
            </w:tcBorders>
            <w:shd w:val="clear" w:color="auto" w:fill="auto"/>
            <w:noWrap/>
            <w:vAlign w:val="center"/>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huragan</w:t>
            </w:r>
          </w:p>
        </w:tc>
        <w:tc>
          <w:tcPr>
            <w:tcW w:w="85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7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Dn</w:t>
            </w:r>
          </w:p>
        </w:tc>
        <w:tc>
          <w:tcPr>
            <w:tcW w:w="2343" w:type="dxa"/>
            <w:gridSpan w:val="3"/>
            <w:tcBorders>
              <w:top w:val="nil"/>
              <w:left w:val="nil"/>
              <w:bottom w:val="nil"/>
              <w:right w:val="nil"/>
            </w:tcBorders>
            <w:shd w:val="clear" w:color="auto" w:fill="auto"/>
            <w:noWrap/>
            <w:vAlign w:val="center"/>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deszcz nawalny</w:t>
            </w:r>
          </w:p>
        </w:tc>
        <w:tc>
          <w:tcPr>
            <w:tcW w:w="775"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r w:rsidR="000F70C0" w:rsidRPr="006742AC" w:rsidTr="001E569E">
        <w:trPr>
          <w:trHeight w:val="255"/>
        </w:trPr>
        <w:tc>
          <w:tcPr>
            <w:tcW w:w="170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67" w:type="dxa"/>
            <w:tcBorders>
              <w:top w:val="nil"/>
              <w:left w:val="nil"/>
              <w:bottom w:val="nil"/>
              <w:right w:val="nil"/>
            </w:tcBorders>
            <w:shd w:val="clear" w:color="auto" w:fill="auto"/>
            <w:noWrap/>
            <w:vAlign w:val="bottom"/>
          </w:tcPr>
          <w:p w:rsidR="000F70C0" w:rsidRPr="006742AC" w:rsidRDefault="000F70C0" w:rsidP="006742AC">
            <w:pPr>
              <w:pStyle w:val="CZWSPP1wTABELIczwsppoziomu1numeracjiwtabeli"/>
              <w:rPr>
                <w:rFonts w:ascii="Times New Roman" w:hAnsi="Times New Roman" w:cs="Times New Roman"/>
                <w:sz w:val="18"/>
                <w:szCs w:val="18"/>
              </w:rPr>
            </w:pPr>
            <w:r w:rsidRPr="006742AC">
              <w:rPr>
                <w:rFonts w:ascii="Times New Roman" w:hAnsi="Times New Roman" w:cs="Times New Roman"/>
                <w:sz w:val="18"/>
                <w:szCs w:val="18"/>
              </w:rPr>
              <w:t>OziL</w:t>
            </w:r>
          </w:p>
        </w:tc>
        <w:tc>
          <w:tcPr>
            <w:tcW w:w="4678" w:type="dxa"/>
            <w:gridSpan w:val="6"/>
            <w:tcBorders>
              <w:top w:val="nil"/>
              <w:left w:val="nil"/>
              <w:bottom w:val="nil"/>
              <w:right w:val="nil"/>
            </w:tcBorders>
            <w:shd w:val="clear" w:color="auto" w:fill="auto"/>
            <w:noWrap/>
            <w:vAlign w:val="center"/>
          </w:tcPr>
          <w:p w:rsidR="000F70C0" w:rsidRPr="006742AC" w:rsidRDefault="000F70C0" w:rsidP="006742AC">
            <w:pPr>
              <w:rPr>
                <w:rFonts w:cs="Times New Roman"/>
                <w:sz w:val="18"/>
                <w:szCs w:val="18"/>
              </w:rPr>
            </w:pPr>
            <w:r w:rsidRPr="006742AC">
              <w:rPr>
                <w:rFonts w:cs="Times New Roman"/>
                <w:sz w:val="18"/>
                <w:szCs w:val="18"/>
              </w:rPr>
              <w:t>obsunięcie się ziemi i lawiny</w:t>
            </w: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709"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992"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1"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850"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c>
          <w:tcPr>
            <w:tcW w:w="567" w:type="dxa"/>
            <w:tcBorders>
              <w:top w:val="nil"/>
              <w:left w:val="nil"/>
              <w:bottom w:val="nil"/>
              <w:right w:val="nil"/>
            </w:tcBorders>
            <w:shd w:val="clear" w:color="auto" w:fill="auto"/>
            <w:noWrap/>
            <w:vAlign w:val="bottom"/>
          </w:tcPr>
          <w:p w:rsidR="000F70C0" w:rsidRPr="006742AC" w:rsidRDefault="000F70C0" w:rsidP="006742AC">
            <w:pPr>
              <w:rPr>
                <w:rFonts w:cs="Times New Roman"/>
                <w:sz w:val="18"/>
                <w:szCs w:val="18"/>
              </w:rPr>
            </w:pPr>
          </w:p>
        </w:tc>
      </w:tr>
    </w:tbl>
    <w:p w:rsidR="000F70C0" w:rsidRPr="001E0C82" w:rsidRDefault="000F70C0" w:rsidP="000F70C0">
      <w:pPr>
        <w:sectPr w:rsidR="000F70C0" w:rsidRPr="001E0C82" w:rsidSect="006742AC">
          <w:headerReference w:type="default" r:id="rId14"/>
          <w:pgSz w:w="16838" w:h="11906" w:orient="landscape"/>
          <w:pgMar w:top="964" w:right="1134" w:bottom="964" w:left="1134" w:header="709" w:footer="709" w:gutter="0"/>
          <w:cols w:space="708"/>
          <w:titlePg/>
          <w:docGrid w:linePitch="360"/>
        </w:sectPr>
      </w:pPr>
    </w:p>
    <w:p w:rsidR="000F70C0" w:rsidRPr="00E67863" w:rsidRDefault="000F70C0" w:rsidP="00731ADE">
      <w:pPr>
        <w:pStyle w:val="USTustnpkodeksu"/>
        <w:spacing w:before="120"/>
        <w:ind w:firstLine="0"/>
      </w:pPr>
      <w:r w:rsidRPr="00E67863">
        <w:lastRenderedPageBreak/>
        <w:t>Od początku funkcjonowania systemu, pomimo że zakładano objęcie ochroną ubezpieczeniową co najmniej 7 mln ha upraw, faktycznie objęta ochroną ubezpieczeniową w</w:t>
      </w:r>
      <w:r w:rsidR="00731ADE">
        <w:t> </w:t>
      </w:r>
      <w:r w:rsidRPr="00E67863">
        <w:t xml:space="preserve">poszczególnych latach była znacznie niższa powierzchnia upraw, tj. w roku: 2006 – 311 740 ha, 2007 – </w:t>
      </w:r>
      <w:smartTag w:uri="urn:schemas-microsoft-com:office:smarttags" w:element="metricconverter">
        <w:smartTagPr>
          <w:attr w:name="ProductID" w:val="575ﾠ029 ha"/>
        </w:smartTagPr>
        <w:r w:rsidRPr="00E67863">
          <w:t>575 029 ha</w:t>
        </w:r>
      </w:smartTag>
      <w:r w:rsidRPr="00E67863">
        <w:t xml:space="preserve">, 2008 – </w:t>
      </w:r>
      <w:smartTag w:uri="urn:schemas-microsoft-com:office:smarttags" w:element="metricconverter">
        <w:smartTagPr>
          <w:attr w:name="ProductID" w:val="1ﾠ832ﾠ036 ha"/>
        </w:smartTagPr>
        <w:r w:rsidRPr="00E67863">
          <w:t>1 832 036 ha</w:t>
        </w:r>
      </w:smartTag>
      <w:r w:rsidRPr="00E67863">
        <w:t xml:space="preserve">, 2009 – </w:t>
      </w:r>
      <w:smartTag w:uri="urn:schemas-microsoft-com:office:smarttags" w:element="metricconverter">
        <w:smartTagPr>
          <w:attr w:name="ProductID" w:val="2ﾠ808ﾠ104 ha"/>
        </w:smartTagPr>
        <w:r w:rsidRPr="00E67863">
          <w:t>2 808 104 ha</w:t>
        </w:r>
      </w:smartTag>
      <w:r w:rsidRPr="00E67863">
        <w:t>, 2010 – 2 845</w:t>
      </w:r>
      <w:r w:rsidR="00731ADE">
        <w:t> </w:t>
      </w:r>
      <w:r w:rsidRPr="00E67863">
        <w:t>777</w:t>
      </w:r>
      <w:r w:rsidR="00731ADE">
        <w:t> </w:t>
      </w:r>
      <w:r w:rsidRPr="00E67863">
        <w:t>ha, 2011 – 3 032 634</w:t>
      </w:r>
      <w:r w:rsidR="006742AC">
        <w:t xml:space="preserve"> </w:t>
      </w:r>
      <w:r w:rsidRPr="00E67863">
        <w:t>ha, 2012</w:t>
      </w:r>
      <w:r w:rsidR="006742AC">
        <w:t xml:space="preserve"> </w:t>
      </w:r>
      <w:r w:rsidR="001E569E">
        <w:t>–</w:t>
      </w:r>
      <w:r w:rsidRPr="00E67863">
        <w:t xml:space="preserve"> 2 751 438 ha, 2013 </w:t>
      </w:r>
      <w:r w:rsidR="001E569E">
        <w:t>–</w:t>
      </w:r>
      <w:r w:rsidRPr="00E67863">
        <w:t xml:space="preserve"> 3 398 811 ha, 2014 – 3</w:t>
      </w:r>
      <w:r w:rsidR="00157C94">
        <w:t> </w:t>
      </w:r>
      <w:r w:rsidRPr="00E67863">
        <w:t>269</w:t>
      </w:r>
      <w:r w:rsidR="00157C94">
        <w:t> </w:t>
      </w:r>
      <w:r w:rsidRPr="00E67863">
        <w:t xml:space="preserve">871 ha, </w:t>
      </w:r>
      <w:r w:rsidR="00157C94">
        <w:t xml:space="preserve">a w </w:t>
      </w:r>
      <w:r w:rsidRPr="00E67863">
        <w:t xml:space="preserve">2015 – 2 823 606 ha. </w:t>
      </w:r>
    </w:p>
    <w:p w:rsidR="000F70C0" w:rsidRPr="00E67863" w:rsidRDefault="000F70C0" w:rsidP="00731ADE">
      <w:pPr>
        <w:pStyle w:val="USTustnpkodeksu"/>
        <w:spacing w:before="120"/>
        <w:ind w:firstLine="0"/>
      </w:pPr>
      <w:r w:rsidRPr="00E67863">
        <w:t xml:space="preserve">W przypadku ubezpieczenia zwierząt gospodarskich proponuje się utrzymanie dotychczasowej stawki taryfowej (0,5% sumy ubezpieczenia) uprawniającej do stosowania dopłaty. W 2010 r. ubezpieczonych było 689 200 szt. zwierząt gospodarskich, w 2011 r. </w:t>
      </w:r>
      <w:r w:rsidR="00731ADE">
        <w:t>–</w:t>
      </w:r>
      <w:r w:rsidRPr="00E67863">
        <w:t xml:space="preserve"> 1 245 670 szt., w 2012</w:t>
      </w:r>
      <w:r w:rsidR="00731ADE">
        <w:t xml:space="preserve"> r. – 2 079 000 szt., w 2013 r. –</w:t>
      </w:r>
      <w:r w:rsidR="006742AC">
        <w:t xml:space="preserve"> </w:t>
      </w:r>
      <w:r w:rsidRPr="00E67863">
        <w:t xml:space="preserve">4 073 830 szt., w 2014 r. </w:t>
      </w:r>
      <w:r w:rsidR="00731ADE">
        <w:t>–</w:t>
      </w:r>
      <w:r w:rsidRPr="00E67863">
        <w:t xml:space="preserve"> 13 300</w:t>
      </w:r>
      <w:r w:rsidR="00731ADE">
        <w:t> </w:t>
      </w:r>
      <w:r w:rsidRPr="00E67863">
        <w:t>000</w:t>
      </w:r>
      <w:r w:rsidR="00731ADE">
        <w:t> szt.,</w:t>
      </w:r>
      <w:r w:rsidRPr="00E67863">
        <w:t xml:space="preserve"> </w:t>
      </w:r>
      <w:r w:rsidR="00157C94">
        <w:t xml:space="preserve">a </w:t>
      </w:r>
      <w:r w:rsidRPr="00E67863">
        <w:t>w 2015 r. – 13 115 432 szt.</w:t>
      </w:r>
    </w:p>
    <w:p w:rsidR="000F70C0" w:rsidRPr="00E67863" w:rsidRDefault="000F70C0" w:rsidP="00731ADE">
      <w:pPr>
        <w:pStyle w:val="USTustnpkodeksu"/>
        <w:spacing w:before="120"/>
        <w:ind w:firstLine="0"/>
      </w:pPr>
      <w:r w:rsidRPr="00E67863">
        <w:t>W związku ze zmianą poziomu wydatków w stosunku do wielkości wynikających z obowiązujących przepisów ustawy o ubezpieczeniach upraw rolnych i zwierząt gospodar</w:t>
      </w:r>
      <w:r w:rsidR="001E569E">
        <w:t>skich</w:t>
      </w:r>
      <w:r w:rsidRPr="00E67863">
        <w:t>, zgodnie z art. 50 ust. 1a, 4 i 5 ustawy z dnia 27 sierpnia 2009 r. o finansach publicznych (</w:t>
      </w:r>
      <w:r w:rsidR="00731ADE">
        <w:t xml:space="preserve">Dz. U. z 2013 r. poz. 885, z </w:t>
      </w:r>
      <w:r w:rsidRPr="00E67863">
        <w:t xml:space="preserve">późn. zm.), określono w art. </w:t>
      </w:r>
      <w:r>
        <w:t>3</w:t>
      </w:r>
      <w:r w:rsidRPr="00E67863">
        <w:t xml:space="preserve"> projektu ustawy maksymalny limit tych wydatków wyrażony kwotowo, oddzielnie dla każdego roku. Ponadto w przepisie tym określono mechanizm korygujący, mający zastosowanie w przypadku przekroczenia lub zagrożenia przekroczenia przyjętego na dany rok budżetowy maksymalnego limitu wydatków, jak i określono właściwy organ, który monitoruje wykorzystanie limitu wydatków na wykonywanie zadania publicznego przez jednostki sektora finansów publicznych oraz odpowiada za wdrożenie mechanizmów korygujących.</w:t>
      </w:r>
    </w:p>
    <w:p w:rsidR="000F70C0" w:rsidRPr="00E67863" w:rsidRDefault="000F70C0" w:rsidP="00731ADE">
      <w:pPr>
        <w:pStyle w:val="USTustnpkodeksu"/>
        <w:spacing w:before="120"/>
        <w:ind w:firstLine="0"/>
      </w:pPr>
      <w:r w:rsidRPr="00E67863">
        <w:t>Za monitorowanie wydatków na dopłaty do składek ubezpieczeń upraw rolnych i zwierząt gospodarskich stosowanych na podstawie ustawy o ubezpieczeniach upraw rolnych i zwierząt gospodarskich jest odpowiedzialny minister właściwy do spraw rolnictwa. Zgodnie z obecnie obowiązującymi przepisami minister właściwy do spraw rolnictwa zawiera z zakładami ubezpieczeń umowy w sprawie dopłat do składek ubezpieczeń upraw rolnych</w:t>
      </w:r>
      <w:r w:rsidR="00731ADE">
        <w:t xml:space="preserve"> </w:t>
      </w:r>
      <w:r w:rsidRPr="00E67863">
        <w:t xml:space="preserve">i zwierząt gospodarskich na rok kalendarzowy, w których określa się wysokość limitu dopłat do tych składek. </w:t>
      </w:r>
    </w:p>
    <w:p w:rsidR="000F70C0" w:rsidRPr="00E67863" w:rsidRDefault="000F70C0" w:rsidP="00157C94">
      <w:pPr>
        <w:pStyle w:val="USTustnpkodeksu"/>
        <w:ind w:firstLine="0"/>
      </w:pPr>
      <w:r w:rsidRPr="00E67863">
        <w:t>A zatem, tak jak to ma miejsce obecnie, limity dopłat do składek ubezpieczeń upraw rolnych i</w:t>
      </w:r>
      <w:r w:rsidR="00731ADE">
        <w:t> </w:t>
      </w:r>
      <w:r w:rsidRPr="00E67863">
        <w:t xml:space="preserve">zwierząt gospodarskich stosowanych na podstawie ustawy o ubezpieczeniach upraw rolnych i zwierząt gospodarskich na każdy rok będą określane w umowach zawieranych przez ministra właściwego do spraw rolnictwa z zakładami ubezpieczeń w ramach dotacji </w:t>
      </w:r>
      <w:r w:rsidRPr="00E67863">
        <w:lastRenderedPageBreak/>
        <w:t>przewidzianej na ten cel w ustawie budżetowej na dany rok. Środki na dopłaty do składek ubezpieczeń zostaną przekazane do wysokości ustalonych w tych umowach, co oznacza, iż po wyczerpaniu limitu na dopłaty do składek nie mogą być zawierane umowy ubezpieczenia upraw rolnych i zwierząt gospodarskich z producentami rolnymi z dopłatami do składek. W</w:t>
      </w:r>
      <w:r w:rsidR="00731ADE">
        <w:t> </w:t>
      </w:r>
      <w:r w:rsidRPr="00E67863">
        <w:t>przypadku zgłoszenia przez zakłady ubezpieczeń limitów dopłat przekraczających limit wydatków na dany rok zostaną wprowadzone mechanizmy korygujące, polegające na zmniejszeniu limitów tych dopłat w umowach zawieranych z zakładami ubezpieczeń przez ministra właściwego do spraw rolnictwa do wysokości wydatków ustalonych w ustawie budżetowej na dany rok na ten cel.</w:t>
      </w:r>
    </w:p>
    <w:p w:rsidR="000F70C0" w:rsidRPr="00E67863" w:rsidRDefault="000F70C0" w:rsidP="00157C94">
      <w:pPr>
        <w:pStyle w:val="USTustnpkodeksu"/>
        <w:ind w:firstLine="0"/>
      </w:pPr>
      <w:r w:rsidRPr="00E67863">
        <w:t xml:space="preserve">W związku z powyższym oraz mając na względzie, iż przepisy wspólnotowe w zakresie udzielania pomocy państwa będą obowiązywać do 2020 r., w art. </w:t>
      </w:r>
      <w:r>
        <w:t>3</w:t>
      </w:r>
      <w:r w:rsidRPr="00E67863">
        <w:t xml:space="preserve"> ust. 1</w:t>
      </w:r>
      <w:r w:rsidR="00157C94">
        <w:t>,</w:t>
      </w:r>
      <w:r w:rsidRPr="00E67863">
        <w:t xml:space="preserve"> określ</w:t>
      </w:r>
      <w:r>
        <w:t>ając skutki finansowe na lata 2021</w:t>
      </w:r>
      <w:r w:rsidR="00157C94">
        <w:t>–</w:t>
      </w:r>
      <w:r>
        <w:t>2026</w:t>
      </w:r>
      <w:r w:rsidR="00157C94">
        <w:t>,</w:t>
      </w:r>
      <w:r>
        <w:t xml:space="preserve"> założono, że przepisy w tym zakresie nie zostaną zmienione po 2020 r.</w:t>
      </w:r>
    </w:p>
    <w:p w:rsidR="000F70C0" w:rsidRPr="00E67863" w:rsidRDefault="000F70C0" w:rsidP="00157C94">
      <w:pPr>
        <w:pStyle w:val="USTustnpkodeksu"/>
        <w:ind w:firstLine="0"/>
      </w:pPr>
      <w:r w:rsidRPr="00E67863">
        <w:t>Zgodnie z danymi przekazanymi przez Polską Izbę Ubezpieczeń oraz wynikającymi ze sprawozdań przesłanych przez zakłady ubezpieczeń:</w:t>
      </w:r>
    </w:p>
    <w:p w:rsidR="00731ADE" w:rsidRPr="00E67863" w:rsidRDefault="00731ADE" w:rsidP="00157C94">
      <w:pPr>
        <w:pStyle w:val="PKTpunkt"/>
      </w:pPr>
      <w:r>
        <w:t>1)</w:t>
      </w:r>
      <w:r>
        <w:tab/>
      </w:r>
      <w:r w:rsidR="000F70C0" w:rsidRPr="00E67863">
        <w:t>kwoty wypłac</w:t>
      </w:r>
      <w:r w:rsidR="001E569E">
        <w:t>onych odszkodowań w latach 2008</w:t>
      </w:r>
      <w:r w:rsidR="000F70C0" w:rsidRPr="00E67863">
        <w:t>–2015 przez zakłady ubezpieczeń, które zawarły z Ministrem Rolnictwa i Rozwoju Wsi umowy w sprawie dopłat do składek ubezpieczenia upraw rolnych i zwierząt gospodarskich</w:t>
      </w:r>
      <w:r w:rsidR="00157C94">
        <w:t>,</w:t>
      </w:r>
      <w:r w:rsidR="000F70C0" w:rsidRPr="00E67863">
        <w:t xml:space="preserve"> kształtują się następująco:</w:t>
      </w:r>
      <w:r>
        <w:t xml:space="preserve"> </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276"/>
        <w:gridCol w:w="1276"/>
        <w:gridCol w:w="1134"/>
        <w:gridCol w:w="1275"/>
        <w:gridCol w:w="1276"/>
        <w:gridCol w:w="1276"/>
        <w:gridCol w:w="1276"/>
        <w:gridCol w:w="1134"/>
      </w:tblGrid>
      <w:tr w:rsidR="000F70C0" w:rsidRPr="00731ADE" w:rsidTr="001E569E">
        <w:trPr>
          <w:trHeight w:val="434"/>
        </w:trPr>
        <w:tc>
          <w:tcPr>
            <w:tcW w:w="1135" w:type="dxa"/>
            <w:vMerge w:val="restart"/>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Ryzyka</w:t>
            </w: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tc>
        <w:tc>
          <w:tcPr>
            <w:tcW w:w="9923" w:type="dxa"/>
            <w:gridSpan w:val="8"/>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Wysokość wypłaconych odszkodowań w latach</w:t>
            </w:r>
            <w:r w:rsidR="006742AC" w:rsidRPr="00731ADE">
              <w:rPr>
                <w:rFonts w:ascii="Times New Roman" w:hAnsi="Times New Roman" w:cs="Times New Roman"/>
                <w:sz w:val="18"/>
                <w:szCs w:val="18"/>
              </w:rPr>
              <w:t xml:space="preserve"> </w:t>
            </w:r>
            <w:r w:rsidRPr="00731ADE">
              <w:rPr>
                <w:rFonts w:ascii="Times New Roman" w:hAnsi="Times New Roman" w:cs="Times New Roman"/>
                <w:sz w:val="18"/>
                <w:szCs w:val="18"/>
              </w:rPr>
              <w:t xml:space="preserve"> (w zł)</w:t>
            </w:r>
          </w:p>
        </w:tc>
      </w:tr>
      <w:tr w:rsidR="000F70C0" w:rsidRPr="00731ADE" w:rsidTr="001E569E">
        <w:trPr>
          <w:trHeight w:val="231"/>
        </w:trPr>
        <w:tc>
          <w:tcPr>
            <w:tcW w:w="1135" w:type="dxa"/>
            <w:vMerge/>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2008</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2009</w:t>
            </w:r>
          </w:p>
        </w:tc>
        <w:tc>
          <w:tcPr>
            <w:tcW w:w="1134"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2010</w:t>
            </w:r>
          </w:p>
        </w:tc>
        <w:tc>
          <w:tcPr>
            <w:tcW w:w="127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2011</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2012</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2013</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2014</w:t>
            </w:r>
          </w:p>
        </w:tc>
        <w:tc>
          <w:tcPr>
            <w:tcW w:w="1134"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2015</w:t>
            </w:r>
          </w:p>
        </w:tc>
      </w:tr>
      <w:tr w:rsidR="000F70C0" w:rsidRPr="00731ADE" w:rsidTr="001E569E">
        <w:tc>
          <w:tcPr>
            <w:tcW w:w="113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susza</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157 832 109</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1 357 150</w:t>
            </w:r>
          </w:p>
        </w:tc>
        <w:tc>
          <w:tcPr>
            <w:tcW w:w="1134"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604 312</w:t>
            </w:r>
          </w:p>
        </w:tc>
        <w:tc>
          <w:tcPr>
            <w:tcW w:w="127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2 313 371</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116 227</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39 174</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90 000</w:t>
            </w:r>
          </w:p>
        </w:tc>
        <w:tc>
          <w:tcPr>
            <w:tcW w:w="1134"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182 490</w:t>
            </w:r>
          </w:p>
        </w:tc>
      </w:tr>
      <w:tr w:rsidR="000F70C0" w:rsidRPr="00731ADE" w:rsidTr="001E569E">
        <w:tc>
          <w:tcPr>
            <w:tcW w:w="113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powódź</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304 347</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1 567 676</w:t>
            </w:r>
          </w:p>
        </w:tc>
        <w:tc>
          <w:tcPr>
            <w:tcW w:w="1134"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4 362 625</w:t>
            </w:r>
          </w:p>
        </w:tc>
        <w:tc>
          <w:tcPr>
            <w:tcW w:w="127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1 894 610</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1 081 410</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1 697 745</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1 074 932</w:t>
            </w:r>
          </w:p>
        </w:tc>
        <w:tc>
          <w:tcPr>
            <w:tcW w:w="1134"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415 385</w:t>
            </w:r>
          </w:p>
        </w:tc>
      </w:tr>
      <w:tr w:rsidR="000F70C0" w:rsidRPr="00731ADE" w:rsidTr="001E569E">
        <w:tc>
          <w:tcPr>
            <w:tcW w:w="113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ujemne skutki przezimo</w:t>
            </w:r>
            <w:r w:rsidR="00731ADE">
              <w:rPr>
                <w:rFonts w:ascii="Times New Roman" w:hAnsi="Times New Roman" w:cs="Times New Roman"/>
                <w:sz w:val="18"/>
                <w:szCs w:val="18"/>
              </w:rPr>
              <w:t>-</w:t>
            </w:r>
            <w:r w:rsidRPr="00731ADE">
              <w:rPr>
                <w:rFonts w:ascii="Times New Roman" w:hAnsi="Times New Roman" w:cs="Times New Roman"/>
                <w:sz w:val="18"/>
                <w:szCs w:val="18"/>
              </w:rPr>
              <w:t>wania</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898 860</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2 268 298</w:t>
            </w:r>
          </w:p>
        </w:tc>
        <w:tc>
          <w:tcPr>
            <w:tcW w:w="1134"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31 487 705</w:t>
            </w:r>
          </w:p>
        </w:tc>
        <w:tc>
          <w:tcPr>
            <w:tcW w:w="127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160 644 322</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587 776 226</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13 033 520</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10 695 829</w:t>
            </w:r>
          </w:p>
        </w:tc>
        <w:tc>
          <w:tcPr>
            <w:tcW w:w="1134"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8 810 421</w:t>
            </w:r>
          </w:p>
        </w:tc>
      </w:tr>
      <w:tr w:rsidR="000F70C0" w:rsidRPr="00731ADE" w:rsidTr="001E569E">
        <w:tc>
          <w:tcPr>
            <w:tcW w:w="113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przymrozki wiosenne</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2 910 069</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32 922 210</w:t>
            </w:r>
          </w:p>
        </w:tc>
        <w:tc>
          <w:tcPr>
            <w:tcW w:w="1134"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8 049 651</w:t>
            </w:r>
          </w:p>
        </w:tc>
        <w:tc>
          <w:tcPr>
            <w:tcW w:w="127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137 249 546</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7 386 628</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3 322 207</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132 738 562</w:t>
            </w:r>
          </w:p>
        </w:tc>
        <w:tc>
          <w:tcPr>
            <w:tcW w:w="1134"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29 114 141</w:t>
            </w:r>
          </w:p>
        </w:tc>
      </w:tr>
      <w:tr w:rsidR="000F70C0" w:rsidRPr="00731ADE" w:rsidTr="001E569E">
        <w:tc>
          <w:tcPr>
            <w:tcW w:w="113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grad, huragan, deszcz nawalny, piorun, obsunięcie się ziemi, lawina</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31 445 204</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82 688 525</w:t>
            </w:r>
          </w:p>
        </w:tc>
        <w:tc>
          <w:tcPr>
            <w:tcW w:w="1134"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53 144 004</w:t>
            </w:r>
          </w:p>
        </w:tc>
        <w:tc>
          <w:tcPr>
            <w:tcW w:w="127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59 736 981</w:t>
            </w: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122 345 441</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133 342 663</w:t>
            </w: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118 487 472</w:t>
            </w:r>
          </w:p>
        </w:tc>
        <w:tc>
          <w:tcPr>
            <w:tcW w:w="1134"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p>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133 486 858</w:t>
            </w:r>
          </w:p>
        </w:tc>
      </w:tr>
      <w:tr w:rsidR="000F70C0" w:rsidRPr="00731ADE" w:rsidTr="001E569E">
        <w:tc>
          <w:tcPr>
            <w:tcW w:w="113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Razem</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193 390 589</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120 803 859</w:t>
            </w:r>
          </w:p>
        </w:tc>
        <w:tc>
          <w:tcPr>
            <w:tcW w:w="1134"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97 648 297</w:t>
            </w:r>
          </w:p>
        </w:tc>
        <w:tc>
          <w:tcPr>
            <w:tcW w:w="1275"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361 838 830</w:t>
            </w:r>
          </w:p>
        </w:tc>
        <w:tc>
          <w:tcPr>
            <w:tcW w:w="1276" w:type="dxa"/>
            <w:shd w:val="clear" w:color="auto" w:fill="auto"/>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718 705 932</w:t>
            </w:r>
          </w:p>
        </w:tc>
        <w:tc>
          <w:tcPr>
            <w:tcW w:w="1276" w:type="dxa"/>
          </w:tcPr>
          <w:p w:rsidR="000F70C0" w:rsidRPr="00731ADE" w:rsidRDefault="000F70C0" w:rsidP="001E569E">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151</w:t>
            </w:r>
            <w:r w:rsidR="001E569E">
              <w:rPr>
                <w:rFonts w:ascii="Times New Roman" w:hAnsi="Times New Roman" w:cs="Times New Roman"/>
                <w:sz w:val="18"/>
                <w:szCs w:val="18"/>
              </w:rPr>
              <w:t xml:space="preserve"> </w:t>
            </w:r>
            <w:r w:rsidRPr="00731ADE">
              <w:rPr>
                <w:rFonts w:ascii="Times New Roman" w:hAnsi="Times New Roman" w:cs="Times New Roman"/>
                <w:sz w:val="18"/>
                <w:szCs w:val="18"/>
              </w:rPr>
              <w:t>435 309</w:t>
            </w:r>
          </w:p>
        </w:tc>
        <w:tc>
          <w:tcPr>
            <w:tcW w:w="1276"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263 086 795</w:t>
            </w:r>
          </w:p>
        </w:tc>
        <w:tc>
          <w:tcPr>
            <w:tcW w:w="1134" w:type="dxa"/>
          </w:tcPr>
          <w:p w:rsidR="000F70C0" w:rsidRPr="00731ADE" w:rsidRDefault="000F70C0" w:rsidP="00157C94">
            <w:pPr>
              <w:pStyle w:val="TEKSTwTABELIWYRODKOWANYtekstwyrodkowanywpoziomie"/>
              <w:spacing w:before="80" w:after="80" w:line="240" w:lineRule="auto"/>
              <w:rPr>
                <w:rFonts w:ascii="Times New Roman" w:hAnsi="Times New Roman" w:cs="Times New Roman"/>
                <w:sz w:val="18"/>
                <w:szCs w:val="18"/>
              </w:rPr>
            </w:pPr>
            <w:r w:rsidRPr="00731ADE">
              <w:rPr>
                <w:rFonts w:ascii="Times New Roman" w:hAnsi="Times New Roman" w:cs="Times New Roman"/>
                <w:sz w:val="18"/>
                <w:szCs w:val="18"/>
              </w:rPr>
              <w:t>172 009 295</w:t>
            </w:r>
          </w:p>
        </w:tc>
      </w:tr>
    </w:tbl>
    <w:p w:rsidR="000F70C0" w:rsidRPr="00E67863" w:rsidRDefault="000F70C0" w:rsidP="000F70C0"/>
    <w:p w:rsidR="000F70C0" w:rsidRPr="00E67863" w:rsidRDefault="00157C94" w:rsidP="00157C94">
      <w:pPr>
        <w:pStyle w:val="PKTpunkt"/>
      </w:pPr>
      <w:r>
        <w:lastRenderedPageBreak/>
        <w:t>2)</w:t>
      </w:r>
      <w:r>
        <w:tab/>
      </w:r>
      <w:r w:rsidR="000F70C0" w:rsidRPr="00E67863">
        <w:t>struktura ubezpieczeń upraw rol</w:t>
      </w:r>
      <w:r>
        <w:t>nych według ryzyk w latach 2008–</w:t>
      </w:r>
      <w:r w:rsidR="000F70C0" w:rsidRPr="00E67863">
        <w:t>201</w:t>
      </w:r>
      <w:r>
        <w:t xml:space="preserve">5 przedstawia się następująco: </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9"/>
        <w:gridCol w:w="1185"/>
        <w:gridCol w:w="1134"/>
        <w:gridCol w:w="1134"/>
        <w:gridCol w:w="1134"/>
        <w:gridCol w:w="1134"/>
        <w:gridCol w:w="1134"/>
        <w:gridCol w:w="1134"/>
        <w:gridCol w:w="1134"/>
      </w:tblGrid>
      <w:tr w:rsidR="000F70C0" w:rsidRPr="00731ADE" w:rsidTr="000F70C0">
        <w:tc>
          <w:tcPr>
            <w:tcW w:w="1509" w:type="dxa"/>
            <w:vMerge w:val="restart"/>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Ryzyka</w:t>
            </w:r>
          </w:p>
          <w:p w:rsidR="000F70C0" w:rsidRPr="00731ADE" w:rsidRDefault="000F70C0" w:rsidP="006742AC">
            <w:pPr>
              <w:pStyle w:val="TEKSTwTABELIWYRODKOWANYtekstwyrodkowanywpoziomie"/>
              <w:rPr>
                <w:rFonts w:ascii="Times New Roman" w:hAnsi="Times New Roman" w:cs="Times New Roman"/>
                <w:sz w:val="18"/>
                <w:szCs w:val="18"/>
              </w:rPr>
            </w:pPr>
          </w:p>
        </w:tc>
        <w:tc>
          <w:tcPr>
            <w:tcW w:w="9123" w:type="dxa"/>
            <w:gridSpan w:val="8"/>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Umowy, których zakres ubezpieczenia obejmuje dane ryzyko</w:t>
            </w:r>
          </w:p>
        </w:tc>
      </w:tr>
      <w:tr w:rsidR="000F70C0" w:rsidRPr="00731ADE" w:rsidTr="000F70C0">
        <w:tc>
          <w:tcPr>
            <w:tcW w:w="1509" w:type="dxa"/>
            <w:vMerge/>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2008</w:t>
            </w: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 xml:space="preserve">Liczba </w:t>
            </w:r>
            <w:r w:rsidR="001E569E">
              <w:rPr>
                <w:rFonts w:ascii="Times New Roman" w:hAnsi="Times New Roman" w:cs="Times New Roman"/>
                <w:sz w:val="18"/>
                <w:szCs w:val="18"/>
              </w:rPr>
              <w:br/>
            </w:r>
            <w:r w:rsidRPr="00731ADE">
              <w:rPr>
                <w:rFonts w:ascii="Times New Roman" w:hAnsi="Times New Roman" w:cs="Times New Roman"/>
                <w:sz w:val="18"/>
                <w:szCs w:val="18"/>
              </w:rPr>
              <w:t>ryzyk</w:t>
            </w:r>
          </w:p>
          <w:p w:rsidR="000F70C0" w:rsidRPr="00731ADE" w:rsidRDefault="000F70C0" w:rsidP="006742AC">
            <w:pPr>
              <w:pStyle w:val="TEKSTwTABELIWYRODKOWANYtekstwyrodkowanywpoziomie"/>
              <w:rPr>
                <w:rFonts w:ascii="Times New Roman" w:hAnsi="Times New Roman" w:cs="Times New Roman"/>
                <w:sz w:val="18"/>
                <w:szCs w:val="18"/>
              </w:rPr>
            </w:pP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2009</w:t>
            </w: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Liczba ryzyk</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2010</w:t>
            </w: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Liczba ryzyk</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2011</w:t>
            </w: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Liczba ryzyk</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2012</w:t>
            </w: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Liczba ryzyk</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2013</w:t>
            </w: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Liczba ryzyk</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2014</w:t>
            </w: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Liczba ryzyk</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731ADE" w:rsidP="00731ADE">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2015</w:t>
            </w: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Liczba ryzyk</w:t>
            </w:r>
          </w:p>
        </w:tc>
      </w:tr>
      <w:tr w:rsidR="000F70C0" w:rsidRPr="00731ADE" w:rsidTr="000F70C0">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susza</w:t>
            </w: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14 714</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9 001</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1 494</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648</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274</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117</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85</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90</w:t>
            </w:r>
          </w:p>
        </w:tc>
      </w:tr>
      <w:tr w:rsidR="000F70C0" w:rsidRPr="00731ADE" w:rsidTr="000F70C0">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powódź</w:t>
            </w: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13 729</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1 863</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2 064</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610</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348</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427</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352</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321</w:t>
            </w:r>
          </w:p>
        </w:tc>
      </w:tr>
      <w:tr w:rsidR="000F70C0" w:rsidRPr="00731ADE" w:rsidTr="000F70C0">
        <w:tc>
          <w:tcPr>
            <w:tcW w:w="1509" w:type="dxa"/>
            <w:shd w:val="clear" w:color="auto" w:fill="auto"/>
          </w:tcPr>
          <w:p w:rsidR="000F70C0" w:rsidRPr="00731ADE" w:rsidRDefault="00157C94" w:rsidP="006742AC">
            <w:pPr>
              <w:pStyle w:val="TEKSTwTABELIWYRODKOWANYtekstwyrodkowanywpoziomie"/>
              <w:rPr>
                <w:rFonts w:ascii="Times New Roman" w:hAnsi="Times New Roman" w:cs="Times New Roman"/>
                <w:sz w:val="18"/>
                <w:szCs w:val="18"/>
              </w:rPr>
            </w:pPr>
            <w:r>
              <w:rPr>
                <w:rFonts w:ascii="Times New Roman" w:hAnsi="Times New Roman" w:cs="Times New Roman"/>
                <w:sz w:val="18"/>
                <w:szCs w:val="18"/>
              </w:rPr>
              <w:t>u</w:t>
            </w:r>
            <w:r w:rsidR="000F70C0" w:rsidRPr="00731ADE">
              <w:rPr>
                <w:rFonts w:ascii="Times New Roman" w:hAnsi="Times New Roman" w:cs="Times New Roman"/>
                <w:sz w:val="18"/>
                <w:szCs w:val="18"/>
              </w:rPr>
              <w:t>jemne skutki przezimowania</w:t>
            </w:r>
          </w:p>
          <w:p w:rsidR="000F70C0" w:rsidRPr="00731ADE" w:rsidRDefault="000F70C0" w:rsidP="006742AC">
            <w:pPr>
              <w:pStyle w:val="TEKSTwTABELIWYRODKOWANYtekstwyrodkowanywpoziomie"/>
              <w:rPr>
                <w:rFonts w:ascii="Times New Roman" w:hAnsi="Times New Roman" w:cs="Times New Roman"/>
                <w:sz w:val="18"/>
                <w:szCs w:val="18"/>
              </w:rPr>
            </w:pP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71 738</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44 646</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50 770</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54 204</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63 030</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65 620</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72 391</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372 172</w:t>
            </w:r>
          </w:p>
        </w:tc>
      </w:tr>
      <w:tr w:rsidR="000F70C0" w:rsidRPr="00731ADE" w:rsidTr="000F70C0">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przymrozki wiosenne</w:t>
            </w:r>
          </w:p>
          <w:p w:rsidR="000F70C0" w:rsidRPr="00731ADE" w:rsidRDefault="000F70C0" w:rsidP="006742AC">
            <w:pPr>
              <w:pStyle w:val="TEKSTwTABELIWYRODKOWANYtekstwyrodkowanywpoziomie"/>
              <w:rPr>
                <w:rFonts w:ascii="Times New Roman" w:hAnsi="Times New Roman" w:cs="Times New Roman"/>
                <w:sz w:val="18"/>
                <w:szCs w:val="18"/>
              </w:rPr>
            </w:pP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72 182</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67 834</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73 631</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69 896</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77 672</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75 063</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92 923</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393 923</w:t>
            </w:r>
          </w:p>
        </w:tc>
      </w:tr>
      <w:tr w:rsidR="000F70C0" w:rsidRPr="00731ADE" w:rsidTr="000F70C0">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huragan</w:t>
            </w: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13 679</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1 369</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4 623</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4 970</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6 468</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11 328</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15 553</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17 038</w:t>
            </w:r>
          </w:p>
        </w:tc>
      </w:tr>
      <w:tr w:rsidR="000F70C0" w:rsidRPr="00731ADE" w:rsidTr="000F70C0">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deszcz nawalny</w:t>
            </w: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13 679</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1 352</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4 623</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4 970</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6 468</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11 328</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15 553</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17 038</w:t>
            </w:r>
          </w:p>
        </w:tc>
      </w:tr>
      <w:tr w:rsidR="000F70C0" w:rsidRPr="00731ADE" w:rsidTr="000F70C0">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grad</w:t>
            </w: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88 437</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174 465</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188 008</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171 835</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169 950</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181 256</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202 484</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541 901</w:t>
            </w:r>
          </w:p>
        </w:tc>
      </w:tr>
      <w:tr w:rsidR="000F70C0" w:rsidRPr="00731ADE" w:rsidTr="000F70C0">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piorun</w:t>
            </w:r>
          </w:p>
          <w:p w:rsidR="000F70C0" w:rsidRPr="00731ADE" w:rsidRDefault="000F70C0" w:rsidP="006742AC">
            <w:pPr>
              <w:pStyle w:val="TEKSTwTABELIWYRODKOWANYtekstwyrodkowanywpoziomie"/>
              <w:rPr>
                <w:rFonts w:ascii="Times New Roman" w:hAnsi="Times New Roman" w:cs="Times New Roman"/>
                <w:sz w:val="18"/>
                <w:szCs w:val="18"/>
              </w:rPr>
            </w:pP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13 613</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1 340</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4 597</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4 882</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4 851</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5 492</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7 228</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7 169</w:t>
            </w:r>
          </w:p>
        </w:tc>
      </w:tr>
      <w:tr w:rsidR="000F70C0" w:rsidRPr="00731ADE" w:rsidTr="000F70C0">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obsunięcie się ziemi</w:t>
            </w: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13 613</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1 340</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4 597</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4 882</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4 851</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5 492</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7 228</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7 169</w:t>
            </w:r>
          </w:p>
        </w:tc>
      </w:tr>
      <w:tr w:rsidR="000F70C0" w:rsidRPr="00731ADE" w:rsidTr="000F70C0">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lawina</w:t>
            </w: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13 613</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1 340</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4 597</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4 871</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4 728</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5 492</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7 228</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7 169</w:t>
            </w:r>
          </w:p>
        </w:tc>
      </w:tr>
      <w:tr w:rsidR="000F70C0" w:rsidRPr="00731ADE" w:rsidTr="000F70C0">
        <w:trPr>
          <w:trHeight w:val="318"/>
        </w:trPr>
        <w:tc>
          <w:tcPr>
            <w:tcW w:w="1509"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Razem</w:t>
            </w:r>
          </w:p>
        </w:tc>
        <w:tc>
          <w:tcPr>
            <w:tcW w:w="1185"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328 997</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304 550</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339 004</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321 768</w:t>
            </w:r>
          </w:p>
        </w:tc>
        <w:tc>
          <w:tcPr>
            <w:tcW w:w="1134" w:type="dxa"/>
            <w:shd w:val="clear" w:color="auto" w:fill="auto"/>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338 640</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361 615</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421 025</w:t>
            </w:r>
          </w:p>
        </w:tc>
        <w:tc>
          <w:tcPr>
            <w:tcW w:w="1134" w:type="dxa"/>
          </w:tcPr>
          <w:p w:rsidR="000F70C0" w:rsidRPr="00731ADE" w:rsidRDefault="000F70C0" w:rsidP="006742AC">
            <w:pPr>
              <w:pStyle w:val="TEKSTwTABELIWYRODKOWANYtekstwyrodkowanywpoziomie"/>
              <w:rPr>
                <w:rFonts w:ascii="Times New Roman" w:hAnsi="Times New Roman" w:cs="Times New Roman"/>
                <w:sz w:val="18"/>
                <w:szCs w:val="18"/>
              </w:rPr>
            </w:pPr>
          </w:p>
          <w:p w:rsidR="000F70C0" w:rsidRPr="00731ADE" w:rsidRDefault="000F70C0" w:rsidP="006742AC">
            <w:pPr>
              <w:pStyle w:val="TEKSTwTABELIWYRODKOWANYtekstwyrodkowanywpoziomie"/>
              <w:rPr>
                <w:rFonts w:ascii="Times New Roman" w:hAnsi="Times New Roman" w:cs="Times New Roman"/>
                <w:sz w:val="18"/>
                <w:szCs w:val="18"/>
              </w:rPr>
            </w:pPr>
            <w:r w:rsidRPr="00731ADE">
              <w:rPr>
                <w:rFonts w:ascii="Times New Roman" w:hAnsi="Times New Roman" w:cs="Times New Roman"/>
                <w:sz w:val="18"/>
                <w:szCs w:val="18"/>
              </w:rPr>
              <w:t>1 363 990</w:t>
            </w:r>
          </w:p>
        </w:tc>
      </w:tr>
    </w:tbl>
    <w:p w:rsidR="00157C94" w:rsidRDefault="00157C94" w:rsidP="00731ADE">
      <w:pPr>
        <w:pStyle w:val="USTustnpkodeksu"/>
        <w:ind w:firstLine="0"/>
      </w:pPr>
    </w:p>
    <w:p w:rsidR="000F70C0" w:rsidRPr="00E67863" w:rsidRDefault="00157C94" w:rsidP="00CE45E5">
      <w:pPr>
        <w:widowControl/>
        <w:autoSpaceDE/>
        <w:autoSpaceDN/>
        <w:adjustRightInd/>
        <w:spacing w:after="200" w:line="276" w:lineRule="auto"/>
        <w:jc w:val="both"/>
      </w:pPr>
      <w:r>
        <w:br w:type="page"/>
      </w:r>
      <w:r w:rsidR="000F70C0" w:rsidRPr="00E67863">
        <w:lastRenderedPageBreak/>
        <w:t>Z powyższych danych wynika, że średnioroczna efektywność udzielonej dotacji do składek ubezpieczeń upraw rolnych wynosi 206,64%, w tym w poszczególnych latach efektywność ta przedstawia się następująco:</w:t>
      </w:r>
    </w:p>
    <w:tbl>
      <w:tblPr>
        <w:tblW w:w="7080" w:type="dxa"/>
        <w:tblInd w:w="55" w:type="dxa"/>
        <w:tblCellMar>
          <w:left w:w="70" w:type="dxa"/>
          <w:right w:w="70" w:type="dxa"/>
        </w:tblCellMar>
        <w:tblLook w:val="04A0" w:firstRow="1" w:lastRow="0" w:firstColumn="1" w:lastColumn="0" w:noHBand="0" w:noVBand="1"/>
      </w:tblPr>
      <w:tblGrid>
        <w:gridCol w:w="1380"/>
        <w:gridCol w:w="1900"/>
        <w:gridCol w:w="1880"/>
        <w:gridCol w:w="1920"/>
      </w:tblGrid>
      <w:tr w:rsidR="000F70C0" w:rsidRPr="001E0C82" w:rsidTr="006742AC">
        <w:trPr>
          <w:trHeight w:val="915"/>
        </w:trPr>
        <w:tc>
          <w:tcPr>
            <w:tcW w:w="1380" w:type="dxa"/>
            <w:tcBorders>
              <w:top w:val="single" w:sz="4" w:space="0" w:color="auto"/>
              <w:left w:val="single" w:sz="4" w:space="0" w:color="auto"/>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 xml:space="preserve">Rok </w:t>
            </w:r>
          </w:p>
        </w:tc>
        <w:tc>
          <w:tcPr>
            <w:tcW w:w="190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 xml:space="preserve">Kwota dotacji  </w:t>
            </w:r>
          </w:p>
          <w:p w:rsidR="000F70C0" w:rsidRPr="00E67863" w:rsidRDefault="000F70C0" w:rsidP="006742AC">
            <w:pPr>
              <w:pStyle w:val="TEKSTwTABELIWYRODKOWANYtekstwyrodkowanywpoziomie"/>
            </w:pPr>
            <w:r w:rsidRPr="00E67863">
              <w:t xml:space="preserve">(tys. zł)              </w:t>
            </w:r>
          </w:p>
        </w:tc>
        <w:tc>
          <w:tcPr>
            <w:tcW w:w="188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 xml:space="preserve">Kwota wypłaconych odszkodowań   </w:t>
            </w:r>
          </w:p>
          <w:p w:rsidR="000F70C0" w:rsidRPr="00E67863" w:rsidRDefault="000F70C0" w:rsidP="006742AC">
            <w:pPr>
              <w:pStyle w:val="TEKSTwTABELIWYRODKOWANYtekstwyrodkowanywpoziomie"/>
            </w:pPr>
            <w:r w:rsidRPr="00E67863">
              <w:t xml:space="preserve">(tys. zł)          </w:t>
            </w:r>
          </w:p>
        </w:tc>
        <w:tc>
          <w:tcPr>
            <w:tcW w:w="192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 xml:space="preserve">Efektywność dotacji      </w:t>
            </w:r>
          </w:p>
          <w:p w:rsidR="000F70C0" w:rsidRPr="00E67863" w:rsidRDefault="000F70C0" w:rsidP="006742AC">
            <w:pPr>
              <w:pStyle w:val="TEKSTwTABELIWYRODKOWANYtekstwyrodkowanywpoziomie"/>
            </w:pPr>
            <w:r w:rsidRPr="00E67863">
              <w:t xml:space="preserve">(%)     </w:t>
            </w:r>
          </w:p>
        </w:tc>
      </w:tr>
      <w:tr w:rsidR="000F70C0" w:rsidRPr="001E0C82" w:rsidTr="006742AC">
        <w:trPr>
          <w:trHeight w:val="239"/>
        </w:trPr>
        <w:tc>
          <w:tcPr>
            <w:tcW w:w="1380" w:type="dxa"/>
            <w:tcBorders>
              <w:top w:val="nil"/>
              <w:left w:val="single" w:sz="4" w:space="0" w:color="auto"/>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2008</w:t>
            </w:r>
          </w:p>
        </w:tc>
        <w:tc>
          <w:tcPr>
            <w:tcW w:w="190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61 306,50</w:t>
            </w:r>
          </w:p>
        </w:tc>
        <w:tc>
          <w:tcPr>
            <w:tcW w:w="188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193 390,59</w:t>
            </w:r>
          </w:p>
        </w:tc>
        <w:tc>
          <w:tcPr>
            <w:tcW w:w="192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315,45</w:t>
            </w:r>
          </w:p>
        </w:tc>
      </w:tr>
      <w:tr w:rsidR="000F70C0" w:rsidRPr="001E0C82" w:rsidTr="006742AC">
        <w:trPr>
          <w:trHeight w:val="274"/>
        </w:trPr>
        <w:tc>
          <w:tcPr>
            <w:tcW w:w="1380" w:type="dxa"/>
            <w:tcBorders>
              <w:top w:val="nil"/>
              <w:left w:val="single" w:sz="4" w:space="0" w:color="auto"/>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2009</w:t>
            </w:r>
          </w:p>
        </w:tc>
        <w:tc>
          <w:tcPr>
            <w:tcW w:w="190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80 335,70</w:t>
            </w:r>
          </w:p>
        </w:tc>
        <w:tc>
          <w:tcPr>
            <w:tcW w:w="188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120 803,86</w:t>
            </w:r>
          </w:p>
        </w:tc>
        <w:tc>
          <w:tcPr>
            <w:tcW w:w="192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150,37</w:t>
            </w:r>
          </w:p>
        </w:tc>
      </w:tr>
      <w:tr w:rsidR="000F70C0" w:rsidRPr="001E0C82" w:rsidTr="006742AC">
        <w:trPr>
          <w:trHeight w:val="275"/>
        </w:trPr>
        <w:tc>
          <w:tcPr>
            <w:tcW w:w="1380" w:type="dxa"/>
            <w:tcBorders>
              <w:top w:val="nil"/>
              <w:left w:val="single" w:sz="4" w:space="0" w:color="auto"/>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2010</w:t>
            </w:r>
          </w:p>
        </w:tc>
        <w:tc>
          <w:tcPr>
            <w:tcW w:w="190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99 043,30</w:t>
            </w:r>
          </w:p>
        </w:tc>
        <w:tc>
          <w:tcPr>
            <w:tcW w:w="188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97 648,30</w:t>
            </w:r>
          </w:p>
        </w:tc>
        <w:tc>
          <w:tcPr>
            <w:tcW w:w="192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98,59</w:t>
            </w:r>
          </w:p>
        </w:tc>
      </w:tr>
      <w:tr w:rsidR="000F70C0" w:rsidRPr="001E0C82" w:rsidTr="006742AC">
        <w:trPr>
          <w:trHeight w:val="279"/>
        </w:trPr>
        <w:tc>
          <w:tcPr>
            <w:tcW w:w="1380" w:type="dxa"/>
            <w:tcBorders>
              <w:top w:val="nil"/>
              <w:left w:val="single" w:sz="4" w:space="0" w:color="auto"/>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2011</w:t>
            </w:r>
          </w:p>
        </w:tc>
        <w:tc>
          <w:tcPr>
            <w:tcW w:w="190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124 166,70</w:t>
            </w:r>
          </w:p>
        </w:tc>
        <w:tc>
          <w:tcPr>
            <w:tcW w:w="188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361 838,83</w:t>
            </w:r>
          </w:p>
        </w:tc>
        <w:tc>
          <w:tcPr>
            <w:tcW w:w="192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291,41</w:t>
            </w:r>
          </w:p>
        </w:tc>
      </w:tr>
      <w:tr w:rsidR="000F70C0" w:rsidRPr="001E0C82" w:rsidTr="006742AC">
        <w:trPr>
          <w:trHeight w:val="269"/>
        </w:trPr>
        <w:tc>
          <w:tcPr>
            <w:tcW w:w="1380" w:type="dxa"/>
            <w:tcBorders>
              <w:top w:val="nil"/>
              <w:left w:val="single" w:sz="4" w:space="0" w:color="auto"/>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2012</w:t>
            </w:r>
          </w:p>
        </w:tc>
        <w:tc>
          <w:tcPr>
            <w:tcW w:w="190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162 248,80</w:t>
            </w:r>
          </w:p>
        </w:tc>
        <w:tc>
          <w:tcPr>
            <w:tcW w:w="188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718 705,93</w:t>
            </w:r>
          </w:p>
        </w:tc>
        <w:tc>
          <w:tcPr>
            <w:tcW w:w="1920" w:type="dxa"/>
            <w:tcBorders>
              <w:top w:val="nil"/>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442,97</w:t>
            </w:r>
          </w:p>
        </w:tc>
      </w:tr>
      <w:tr w:rsidR="000F70C0" w:rsidRPr="001E0C82" w:rsidTr="006742AC">
        <w:trPr>
          <w:trHeight w:val="274"/>
        </w:trPr>
        <w:tc>
          <w:tcPr>
            <w:tcW w:w="1380" w:type="dxa"/>
            <w:tcBorders>
              <w:top w:val="single" w:sz="4" w:space="0" w:color="auto"/>
              <w:left w:val="single" w:sz="4" w:space="0" w:color="auto"/>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2013</w:t>
            </w:r>
          </w:p>
        </w:tc>
        <w:tc>
          <w:tcPr>
            <w:tcW w:w="190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164 245,50</w:t>
            </w:r>
          </w:p>
        </w:tc>
        <w:tc>
          <w:tcPr>
            <w:tcW w:w="188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151 435,31</w:t>
            </w:r>
          </w:p>
        </w:tc>
        <w:tc>
          <w:tcPr>
            <w:tcW w:w="192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92,20</w:t>
            </w:r>
          </w:p>
        </w:tc>
      </w:tr>
      <w:tr w:rsidR="000F70C0" w:rsidRPr="001E0C82" w:rsidTr="006742AC">
        <w:trPr>
          <w:trHeight w:val="274"/>
        </w:trPr>
        <w:tc>
          <w:tcPr>
            <w:tcW w:w="1380" w:type="dxa"/>
            <w:tcBorders>
              <w:top w:val="single" w:sz="4" w:space="0" w:color="auto"/>
              <w:left w:val="single" w:sz="4" w:space="0" w:color="auto"/>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2014</w:t>
            </w:r>
          </w:p>
        </w:tc>
        <w:tc>
          <w:tcPr>
            <w:tcW w:w="190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161 464,73</w:t>
            </w:r>
          </w:p>
        </w:tc>
        <w:tc>
          <w:tcPr>
            <w:tcW w:w="188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263 086,79</w:t>
            </w:r>
          </w:p>
        </w:tc>
        <w:tc>
          <w:tcPr>
            <w:tcW w:w="192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162,94</w:t>
            </w:r>
          </w:p>
        </w:tc>
      </w:tr>
      <w:tr w:rsidR="000F70C0" w:rsidRPr="001E0C82" w:rsidTr="006742AC">
        <w:trPr>
          <w:trHeight w:val="274"/>
        </w:trPr>
        <w:tc>
          <w:tcPr>
            <w:tcW w:w="1380" w:type="dxa"/>
            <w:tcBorders>
              <w:top w:val="single" w:sz="4" w:space="0" w:color="auto"/>
              <w:left w:val="single" w:sz="4" w:space="0" w:color="auto"/>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2015</w:t>
            </w:r>
          </w:p>
        </w:tc>
        <w:tc>
          <w:tcPr>
            <w:tcW w:w="190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173 374,58</w:t>
            </w:r>
          </w:p>
        </w:tc>
        <w:tc>
          <w:tcPr>
            <w:tcW w:w="188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172 009,29</w:t>
            </w:r>
          </w:p>
        </w:tc>
        <w:tc>
          <w:tcPr>
            <w:tcW w:w="1920" w:type="dxa"/>
            <w:tcBorders>
              <w:top w:val="single" w:sz="4" w:space="0" w:color="auto"/>
              <w:left w:val="nil"/>
              <w:bottom w:val="single" w:sz="4" w:space="0" w:color="auto"/>
              <w:right w:val="single" w:sz="4" w:space="0" w:color="auto"/>
            </w:tcBorders>
            <w:vAlign w:val="center"/>
          </w:tcPr>
          <w:p w:rsidR="000F70C0" w:rsidRPr="00E67863" w:rsidRDefault="000F70C0" w:rsidP="006742AC">
            <w:pPr>
              <w:pStyle w:val="TEKSTwTABELIWYRODKOWANYtekstwyrodkowanywpoziomie"/>
            </w:pPr>
            <w:r w:rsidRPr="00E67863">
              <w:t>99,21</w:t>
            </w:r>
          </w:p>
        </w:tc>
      </w:tr>
    </w:tbl>
    <w:p w:rsidR="000F70C0" w:rsidRPr="00E67863" w:rsidRDefault="000F70C0" w:rsidP="000F70C0"/>
    <w:p w:rsidR="000F70C0" w:rsidRPr="00E67863" w:rsidRDefault="000F70C0" w:rsidP="00731ADE">
      <w:pPr>
        <w:pStyle w:val="USTustnpkodeksu"/>
        <w:spacing w:before="120"/>
        <w:ind w:firstLine="0"/>
      </w:pPr>
      <w:r w:rsidRPr="00E67863">
        <w:t>W związku z proponowanym nadaniem nowego brzmienia art. 5 ustawy o ubezpieczeniach upraw rolnych i zwierząt gospodarskich konieczne jest nadanie nowego brzmienia ust. 8 w</w:t>
      </w:r>
      <w:r w:rsidR="00731ADE">
        <w:t> </w:t>
      </w:r>
      <w:r w:rsidRPr="00E67863">
        <w:t>art. 10c ustawy, ze względu na odesłanie do przepisu art. 5 ust. 2c. Zatem zmiana ta ma charakter porządkowy.</w:t>
      </w:r>
    </w:p>
    <w:p w:rsidR="000F70C0" w:rsidRPr="00E67863" w:rsidRDefault="000F70C0" w:rsidP="00731ADE">
      <w:pPr>
        <w:pStyle w:val="USTustnpkodeksu"/>
        <w:spacing w:before="120"/>
        <w:ind w:firstLine="0"/>
      </w:pPr>
      <w:r w:rsidRPr="00E67863">
        <w:t>Wprowadzenie proponowanych zmian w ustawie o ubezpieczeniach upraw rolnych i zwierząt gospodarskich nie powoduje konieczności wprowadzenia przepisów  przejściowych. Zgodnie z obowiązującymi obecnie przepisami oraz mając na uwadze proponowane zmiany, dopłaty do składek będą przysługiwały w niezmienionej wysokości,</w:t>
      </w:r>
      <w:r>
        <w:t xml:space="preserve"> </w:t>
      </w:r>
      <w:r w:rsidRPr="00E67863">
        <w:t xml:space="preserve">tj. w wysokości </w:t>
      </w:r>
      <w:r>
        <w:t xml:space="preserve">do </w:t>
      </w:r>
      <w:r w:rsidRPr="00E67863">
        <w:t>65% składki. Zatem w przypadku zawarcia przez zakłady ubezpieczeń umów ubezpieczenia na dotychczas obowiązujących zasadach zmiana przepisów ustawy nie wpłynie na proces wypłacania zakładom ubezpieczeń dopłat w poszczególnych kwartałach roku.</w:t>
      </w:r>
    </w:p>
    <w:p w:rsidR="000F70C0" w:rsidRPr="00E67863" w:rsidRDefault="000F70C0" w:rsidP="00731ADE">
      <w:pPr>
        <w:pStyle w:val="USTustnpkodeksu"/>
        <w:spacing w:before="120"/>
        <w:ind w:firstLine="0"/>
      </w:pPr>
      <w:r w:rsidRPr="00E67863">
        <w:t xml:space="preserve">Określony w ustawie o ubezpieczeniach upraw rolnych i zwierząt gospodarskich program pomocy został notyfikowany Komisji Europejskiej z terminem ważności do końca 2020 r. jako program pomocy nr SA 39562 (2014/N). Po przyjęciu przez Radę Ministrów projektu ustawy, Komisji Europejskiej zostaną przesłane informacje w celu notyfikacji proponowanych zmian w programie pomocowym. </w:t>
      </w:r>
    </w:p>
    <w:p w:rsidR="000F70C0" w:rsidRDefault="000F70C0" w:rsidP="00731ADE">
      <w:pPr>
        <w:pStyle w:val="USTustnpkodeksu"/>
        <w:spacing w:before="120"/>
        <w:ind w:firstLine="0"/>
      </w:pPr>
      <w:r w:rsidRPr="00E67863">
        <w:lastRenderedPageBreak/>
        <w:t xml:space="preserve">Proponuje się, aby projektowana ustawa weszła w życie </w:t>
      </w:r>
      <w:r w:rsidR="00000222">
        <w:t>z dniem 1 stycznia 2017 r., co </w:t>
      </w:r>
      <w:r>
        <w:t>umożliwi przeprowadzenie procesu notyfikacji oraz pozwoli na jednoznaczną interpretację okresu obowiązywania nowych zasad w ubezpieczeniu upraw rolnych i zwierząt gospodarskich</w:t>
      </w:r>
      <w:r w:rsidRPr="00E67863">
        <w:t xml:space="preserve">. </w:t>
      </w:r>
    </w:p>
    <w:p w:rsidR="006742AC" w:rsidRDefault="000F70C0" w:rsidP="006473A0">
      <w:pPr>
        <w:pStyle w:val="USTustnpkodeksu"/>
        <w:spacing w:before="120"/>
        <w:ind w:firstLine="0"/>
      </w:pPr>
      <w:r w:rsidRPr="00E67863">
        <w:t xml:space="preserve">Projekt ustawy został umieszczony w Wykazie Prac Legislacyjnych Rady </w:t>
      </w:r>
      <w:r w:rsidR="006473A0">
        <w:t>Ministrów pod </w:t>
      </w:r>
      <w:r w:rsidRPr="00E67863">
        <w:t>numerem UA2.</w:t>
      </w:r>
      <w:r w:rsidR="006742AC">
        <w:t xml:space="preserve"> </w:t>
      </w:r>
    </w:p>
    <w:sectPr w:rsidR="006742AC" w:rsidSect="006742AC">
      <w:headerReference w:type="default" r:id="rId15"/>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89F" w:rsidRDefault="00DC389F" w:rsidP="000F70C0">
      <w:pPr>
        <w:spacing w:line="240" w:lineRule="auto"/>
      </w:pPr>
      <w:r>
        <w:separator/>
      </w:r>
    </w:p>
  </w:endnote>
  <w:endnote w:type="continuationSeparator" w:id="0">
    <w:p w:rsidR="00DC389F" w:rsidRDefault="00DC389F" w:rsidP="000F70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5E5" w:rsidRDefault="00CE45E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841342"/>
      <w:docPartObj>
        <w:docPartGallery w:val="Page Numbers (Bottom of Page)"/>
        <w:docPartUnique/>
      </w:docPartObj>
    </w:sdtPr>
    <w:sdtEndPr/>
    <w:sdtContent>
      <w:p w:rsidR="00CE45E5" w:rsidRDefault="00CE45E5">
        <w:pPr>
          <w:pStyle w:val="Stopka"/>
          <w:jc w:val="center"/>
        </w:pPr>
        <w:r>
          <w:fldChar w:fldCharType="begin"/>
        </w:r>
        <w:r>
          <w:instrText>PAGE   \* MERGEFORMAT</w:instrText>
        </w:r>
        <w:r>
          <w:fldChar w:fldCharType="separate"/>
        </w:r>
        <w:r w:rsidR="008C0F07">
          <w:rPr>
            <w:noProof/>
          </w:rPr>
          <w:t>1</w:t>
        </w:r>
        <w:r>
          <w:fldChar w:fldCharType="end"/>
        </w:r>
      </w:p>
    </w:sdtContent>
  </w:sdt>
  <w:p w:rsidR="00CE45E5" w:rsidRDefault="00CE45E5">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8678661"/>
      <w:docPartObj>
        <w:docPartGallery w:val="Page Numbers (Bottom of Page)"/>
        <w:docPartUnique/>
      </w:docPartObj>
    </w:sdtPr>
    <w:sdtEndPr/>
    <w:sdtContent>
      <w:p w:rsidR="002340B2" w:rsidRDefault="002340B2">
        <w:pPr>
          <w:pStyle w:val="Stopka"/>
          <w:jc w:val="center"/>
        </w:pPr>
        <w:r>
          <w:fldChar w:fldCharType="begin"/>
        </w:r>
        <w:r>
          <w:instrText>PAGE   \* MERGEFORMAT</w:instrText>
        </w:r>
        <w:r>
          <w:fldChar w:fldCharType="separate"/>
        </w:r>
        <w:r w:rsidR="008C0F07">
          <w:rPr>
            <w:noProof/>
          </w:rPr>
          <w:t>8</w:t>
        </w:r>
        <w:r>
          <w:fldChar w:fldCharType="end"/>
        </w:r>
      </w:p>
    </w:sdtContent>
  </w:sdt>
  <w:p w:rsidR="002340B2" w:rsidRDefault="002340B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89F" w:rsidRDefault="00DC389F" w:rsidP="000F70C0">
      <w:pPr>
        <w:spacing w:line="240" w:lineRule="auto"/>
      </w:pPr>
      <w:r>
        <w:separator/>
      </w:r>
    </w:p>
  </w:footnote>
  <w:footnote w:type="continuationSeparator" w:id="0">
    <w:p w:rsidR="00DC389F" w:rsidRDefault="00DC389F" w:rsidP="000F70C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5E5" w:rsidRDefault="00CE45E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5E5" w:rsidRDefault="00CE45E5">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5E5" w:rsidRDefault="00CE45E5">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2AC" w:rsidRPr="002340B2" w:rsidRDefault="006742AC" w:rsidP="002340B2">
    <w:pPr>
      <w:pStyle w:val="Nagwek"/>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2AC" w:rsidRDefault="006742A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0C0"/>
    <w:rsid w:val="00000222"/>
    <w:rsid w:val="000F70C0"/>
    <w:rsid w:val="00157C94"/>
    <w:rsid w:val="00175A27"/>
    <w:rsid w:val="001E569E"/>
    <w:rsid w:val="002340B2"/>
    <w:rsid w:val="00315D73"/>
    <w:rsid w:val="006473A0"/>
    <w:rsid w:val="006742AC"/>
    <w:rsid w:val="00731ADE"/>
    <w:rsid w:val="00746DC9"/>
    <w:rsid w:val="007E0DB8"/>
    <w:rsid w:val="008C0F07"/>
    <w:rsid w:val="00AA4052"/>
    <w:rsid w:val="00CE45E5"/>
    <w:rsid w:val="00D65521"/>
    <w:rsid w:val="00D706F5"/>
    <w:rsid w:val="00DC389F"/>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F70C0"/>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F70C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rsid w:val="000F70C0"/>
    <w:rPr>
      <w:rFonts w:ascii="Times" w:eastAsia="Times New Roman" w:hAnsi="Times" w:cs="Times New Roman"/>
      <w:kern w:val="1"/>
      <w:sz w:val="24"/>
      <w:szCs w:val="24"/>
      <w:lang w:eastAsia="ar-SA"/>
    </w:rPr>
  </w:style>
  <w:style w:type="paragraph" w:customStyle="1" w:styleId="OZNRODZAKTUtznustawalubrozporzdzenieiorganwydajcy">
    <w:name w:val="OZN_RODZ_AKTU – tzn. ustawa lub rozporządzenie i organ wydający"/>
    <w:next w:val="Normalny"/>
    <w:uiPriority w:val="5"/>
    <w:qFormat/>
    <w:rsid w:val="000F70C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Normalny"/>
    <w:uiPriority w:val="12"/>
    <w:qFormat/>
    <w:rsid w:val="000F70C0"/>
    <w:pPr>
      <w:widowControl/>
      <w:suppressAutoHyphens/>
      <w:ind w:firstLine="510"/>
      <w:jc w:val="both"/>
    </w:pPr>
    <w:rPr>
      <w:rFonts w:ascii="Times" w:hAnsi="Times"/>
      <w:bCs/>
    </w:rPr>
  </w:style>
  <w:style w:type="paragraph" w:customStyle="1" w:styleId="PKTpunkt">
    <w:name w:val="PKT – punkt"/>
    <w:uiPriority w:val="13"/>
    <w:qFormat/>
    <w:rsid w:val="000F70C0"/>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0F70C0"/>
    <w:pPr>
      <w:ind w:left="986" w:hanging="476"/>
    </w:pPr>
  </w:style>
  <w:style w:type="paragraph" w:customStyle="1" w:styleId="CZWSPP1wTABELIczwsppoziomu1numeracjiwtabeli">
    <w:name w:val="CZ_WSP_P1_w_TABELI – część wsp. poziomu 1 numeracji w tabeli"/>
    <w:basedOn w:val="Normalny"/>
    <w:next w:val="Normalny"/>
    <w:uiPriority w:val="25"/>
    <w:qFormat/>
    <w:rsid w:val="000F70C0"/>
    <w:pPr>
      <w:widowControl/>
      <w:autoSpaceDE/>
      <w:autoSpaceDN/>
      <w:adjustRightInd/>
      <w:jc w:val="both"/>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0F70C0"/>
    <w:pPr>
      <w:widowControl/>
      <w:suppressAutoHyphens/>
      <w:jc w:val="center"/>
    </w:pPr>
    <w:rPr>
      <w:rFonts w:ascii="Times" w:hAnsi="Times"/>
      <w:bCs/>
      <w:kern w:val="24"/>
    </w:rPr>
  </w:style>
  <w:style w:type="paragraph" w:styleId="Stopka">
    <w:name w:val="footer"/>
    <w:basedOn w:val="Normalny"/>
    <w:link w:val="StopkaZnak"/>
    <w:uiPriority w:val="99"/>
    <w:unhideWhenUsed/>
    <w:rsid w:val="000F70C0"/>
    <w:pPr>
      <w:tabs>
        <w:tab w:val="center" w:pos="4536"/>
        <w:tab w:val="right" w:pos="9072"/>
      </w:tabs>
      <w:spacing w:line="240" w:lineRule="auto"/>
    </w:pPr>
  </w:style>
  <w:style w:type="character" w:customStyle="1" w:styleId="StopkaZnak">
    <w:name w:val="Stopka Znak"/>
    <w:basedOn w:val="Domylnaczcionkaakapitu"/>
    <w:link w:val="Stopka"/>
    <w:uiPriority w:val="99"/>
    <w:rsid w:val="000F70C0"/>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731ADE"/>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31ADE"/>
    <w:rPr>
      <w:rFonts w:ascii="Tahoma" w:eastAsiaTheme="minorEastAsia"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F70C0"/>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F70C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rsid w:val="000F70C0"/>
    <w:rPr>
      <w:rFonts w:ascii="Times" w:eastAsia="Times New Roman" w:hAnsi="Times" w:cs="Times New Roman"/>
      <w:kern w:val="1"/>
      <w:sz w:val="24"/>
      <w:szCs w:val="24"/>
      <w:lang w:eastAsia="ar-SA"/>
    </w:rPr>
  </w:style>
  <w:style w:type="paragraph" w:customStyle="1" w:styleId="OZNRODZAKTUtznustawalubrozporzdzenieiorganwydajcy">
    <w:name w:val="OZN_RODZ_AKTU – tzn. ustawa lub rozporządzenie i organ wydający"/>
    <w:next w:val="Normalny"/>
    <w:uiPriority w:val="5"/>
    <w:qFormat/>
    <w:rsid w:val="000F70C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Normalny"/>
    <w:uiPriority w:val="12"/>
    <w:qFormat/>
    <w:rsid w:val="000F70C0"/>
    <w:pPr>
      <w:widowControl/>
      <w:suppressAutoHyphens/>
      <w:ind w:firstLine="510"/>
      <w:jc w:val="both"/>
    </w:pPr>
    <w:rPr>
      <w:rFonts w:ascii="Times" w:hAnsi="Times"/>
      <w:bCs/>
    </w:rPr>
  </w:style>
  <w:style w:type="paragraph" w:customStyle="1" w:styleId="PKTpunkt">
    <w:name w:val="PKT – punkt"/>
    <w:uiPriority w:val="13"/>
    <w:qFormat/>
    <w:rsid w:val="000F70C0"/>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0F70C0"/>
    <w:pPr>
      <w:ind w:left="986" w:hanging="476"/>
    </w:pPr>
  </w:style>
  <w:style w:type="paragraph" w:customStyle="1" w:styleId="CZWSPP1wTABELIczwsppoziomu1numeracjiwtabeli">
    <w:name w:val="CZ_WSP_P1_w_TABELI – część wsp. poziomu 1 numeracji w tabeli"/>
    <w:basedOn w:val="Normalny"/>
    <w:next w:val="Normalny"/>
    <w:uiPriority w:val="25"/>
    <w:qFormat/>
    <w:rsid w:val="000F70C0"/>
    <w:pPr>
      <w:widowControl/>
      <w:autoSpaceDE/>
      <w:autoSpaceDN/>
      <w:adjustRightInd/>
      <w:jc w:val="both"/>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0F70C0"/>
    <w:pPr>
      <w:widowControl/>
      <w:suppressAutoHyphens/>
      <w:jc w:val="center"/>
    </w:pPr>
    <w:rPr>
      <w:rFonts w:ascii="Times" w:hAnsi="Times"/>
      <w:bCs/>
      <w:kern w:val="24"/>
    </w:rPr>
  </w:style>
  <w:style w:type="paragraph" w:styleId="Stopka">
    <w:name w:val="footer"/>
    <w:basedOn w:val="Normalny"/>
    <w:link w:val="StopkaZnak"/>
    <w:uiPriority w:val="99"/>
    <w:unhideWhenUsed/>
    <w:rsid w:val="000F70C0"/>
    <w:pPr>
      <w:tabs>
        <w:tab w:val="center" w:pos="4536"/>
        <w:tab w:val="right" w:pos="9072"/>
      </w:tabs>
      <w:spacing w:line="240" w:lineRule="auto"/>
    </w:pPr>
  </w:style>
  <w:style w:type="character" w:customStyle="1" w:styleId="StopkaZnak">
    <w:name w:val="Stopka Znak"/>
    <w:basedOn w:val="Domylnaczcionkaakapitu"/>
    <w:link w:val="Stopka"/>
    <w:uiPriority w:val="99"/>
    <w:rsid w:val="000F70C0"/>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731ADE"/>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31ADE"/>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98642-4218-4F4B-863F-9FF5984FB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2900</Words>
  <Characters>17405</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20265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Grażyna D. Grabowska</cp:lastModifiedBy>
  <cp:revision>2</cp:revision>
  <cp:lastPrinted>2016-04-06T09:41:00Z</cp:lastPrinted>
  <dcterms:created xsi:type="dcterms:W3CDTF">2016-04-29T08:58:00Z</dcterms:created>
  <dcterms:modified xsi:type="dcterms:W3CDTF">2016-04-29T08:58:00Z</dcterms:modified>
</cp:coreProperties>
</file>