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C08" w:rsidRPr="00C765B4" w:rsidRDefault="000279C5" w:rsidP="000279C5">
      <w:pPr>
        <w:jc w:val="right"/>
        <w:rPr>
          <w:rFonts w:ascii="Cambria" w:hAnsi="Cambria"/>
          <w:i/>
          <w:sz w:val="24"/>
        </w:rPr>
      </w:pPr>
      <w:r w:rsidRPr="00C765B4">
        <w:rPr>
          <w:rFonts w:ascii="Cambria" w:hAnsi="Cambria"/>
          <w:i/>
          <w:sz w:val="24"/>
        </w:rPr>
        <w:t xml:space="preserve">Projekt </w:t>
      </w:r>
    </w:p>
    <w:p w:rsidR="000279C5" w:rsidRPr="0090370C" w:rsidRDefault="000279C5" w:rsidP="003D6C84">
      <w:pPr>
        <w:spacing w:after="0" w:line="360" w:lineRule="auto"/>
        <w:jc w:val="center"/>
        <w:rPr>
          <w:rFonts w:ascii="Cambria" w:hAnsi="Cambria"/>
          <w:b/>
          <w:sz w:val="24"/>
          <w:szCs w:val="24"/>
        </w:rPr>
      </w:pPr>
      <w:r w:rsidRPr="0090370C">
        <w:rPr>
          <w:rFonts w:ascii="Cambria" w:hAnsi="Cambria"/>
          <w:b/>
          <w:sz w:val="24"/>
          <w:szCs w:val="24"/>
        </w:rPr>
        <w:t>Ustawa</w:t>
      </w:r>
    </w:p>
    <w:p w:rsidR="000279C5" w:rsidRPr="0090370C" w:rsidRDefault="00C765B4" w:rsidP="0090370C">
      <w:pPr>
        <w:spacing w:after="0" w:line="360" w:lineRule="auto"/>
        <w:jc w:val="center"/>
        <w:rPr>
          <w:rFonts w:ascii="Cambria" w:hAnsi="Cambria"/>
          <w:b/>
          <w:sz w:val="24"/>
          <w:szCs w:val="24"/>
        </w:rPr>
      </w:pPr>
      <w:r w:rsidRPr="0090370C">
        <w:rPr>
          <w:rFonts w:ascii="Cambria" w:hAnsi="Cambria"/>
          <w:b/>
          <w:sz w:val="24"/>
          <w:szCs w:val="24"/>
        </w:rPr>
        <w:t>z dnia …</w:t>
      </w:r>
      <w:r w:rsidR="008C378D">
        <w:rPr>
          <w:rFonts w:ascii="Cambria" w:hAnsi="Cambria"/>
          <w:b/>
          <w:sz w:val="24"/>
          <w:szCs w:val="24"/>
        </w:rPr>
        <w:t>…………..</w:t>
      </w:r>
      <w:bookmarkStart w:id="0" w:name="_GoBack"/>
      <w:bookmarkEnd w:id="0"/>
    </w:p>
    <w:p w:rsidR="000279C5" w:rsidRPr="003D6C84" w:rsidRDefault="000279C5" w:rsidP="003D6C84">
      <w:pPr>
        <w:spacing w:after="0" w:line="360" w:lineRule="auto"/>
        <w:jc w:val="center"/>
        <w:rPr>
          <w:rFonts w:ascii="Cambria" w:hAnsi="Cambria"/>
          <w:b/>
          <w:sz w:val="24"/>
          <w:szCs w:val="24"/>
        </w:rPr>
      </w:pPr>
      <w:r w:rsidRPr="003D6C84">
        <w:rPr>
          <w:rFonts w:ascii="Cambria" w:hAnsi="Cambria"/>
          <w:b/>
          <w:sz w:val="24"/>
          <w:szCs w:val="24"/>
        </w:rPr>
        <w:t>o zmianie ustawy o komornikach sądowych i egzekucji</w:t>
      </w:r>
    </w:p>
    <w:p w:rsidR="000279C5" w:rsidRPr="000706D7" w:rsidRDefault="000279C5" w:rsidP="000279C5">
      <w:pPr>
        <w:jc w:val="center"/>
        <w:rPr>
          <w:rFonts w:ascii="Cambria" w:hAnsi="Cambria"/>
          <w:sz w:val="24"/>
        </w:rPr>
      </w:pPr>
    </w:p>
    <w:p w:rsidR="000279C5" w:rsidRPr="000706D7" w:rsidRDefault="000279C5" w:rsidP="003D6C84">
      <w:pPr>
        <w:jc w:val="center"/>
        <w:rPr>
          <w:rFonts w:ascii="Cambria" w:hAnsi="Cambria"/>
          <w:b/>
          <w:sz w:val="24"/>
          <w:szCs w:val="24"/>
        </w:rPr>
      </w:pPr>
      <w:r w:rsidRPr="000706D7">
        <w:rPr>
          <w:rFonts w:ascii="Cambria" w:hAnsi="Cambria"/>
          <w:b/>
          <w:sz w:val="24"/>
          <w:szCs w:val="24"/>
        </w:rPr>
        <w:t>Art. 1.</w:t>
      </w:r>
    </w:p>
    <w:p w:rsidR="00C765B4" w:rsidRDefault="000279C5" w:rsidP="003D6C84">
      <w:pPr>
        <w:spacing w:line="360" w:lineRule="auto"/>
        <w:ind w:firstLine="708"/>
        <w:jc w:val="both"/>
        <w:rPr>
          <w:rFonts w:ascii="Cambria" w:hAnsi="Cambria"/>
          <w:sz w:val="24"/>
          <w:szCs w:val="24"/>
        </w:rPr>
      </w:pPr>
      <w:r w:rsidRPr="000706D7">
        <w:rPr>
          <w:rFonts w:ascii="Cambria" w:hAnsi="Cambria"/>
          <w:sz w:val="24"/>
          <w:szCs w:val="24"/>
        </w:rPr>
        <w:t>W ustawie z dnia 29 sierpnia 1997r. o komornikach sądowych i egzekucji (Dz</w:t>
      </w:r>
      <w:r w:rsidR="00C765B4">
        <w:rPr>
          <w:rFonts w:ascii="Cambria" w:hAnsi="Cambria"/>
          <w:sz w:val="24"/>
          <w:szCs w:val="24"/>
        </w:rPr>
        <w:t xml:space="preserve">. </w:t>
      </w:r>
      <w:r w:rsidRPr="000706D7">
        <w:rPr>
          <w:rFonts w:ascii="Cambria" w:hAnsi="Cambria"/>
          <w:sz w:val="24"/>
          <w:szCs w:val="24"/>
        </w:rPr>
        <w:t xml:space="preserve">U. </w:t>
      </w:r>
      <w:r w:rsidR="00C765B4">
        <w:rPr>
          <w:rFonts w:ascii="Cambria" w:hAnsi="Cambria"/>
          <w:sz w:val="24"/>
          <w:szCs w:val="24"/>
        </w:rPr>
        <w:t xml:space="preserve">z 2015 r. poz. 790 z </w:t>
      </w:r>
      <w:proofErr w:type="spellStart"/>
      <w:r w:rsidR="00C765B4">
        <w:rPr>
          <w:rFonts w:ascii="Cambria" w:hAnsi="Cambria"/>
          <w:sz w:val="24"/>
          <w:szCs w:val="24"/>
        </w:rPr>
        <w:t>poźn</w:t>
      </w:r>
      <w:proofErr w:type="spellEnd"/>
      <w:r w:rsidR="00C765B4">
        <w:rPr>
          <w:rFonts w:ascii="Cambria" w:hAnsi="Cambria"/>
          <w:sz w:val="24"/>
          <w:szCs w:val="24"/>
        </w:rPr>
        <w:t>. zm.</w:t>
      </w:r>
      <w:r w:rsidRPr="000706D7">
        <w:rPr>
          <w:rFonts w:ascii="Cambria" w:hAnsi="Cambria"/>
          <w:sz w:val="24"/>
          <w:szCs w:val="24"/>
        </w:rPr>
        <w:t>)</w:t>
      </w:r>
      <w:r w:rsidR="00370BBF" w:rsidRPr="000706D7">
        <w:rPr>
          <w:rFonts w:ascii="Cambria" w:hAnsi="Cambria"/>
          <w:sz w:val="24"/>
          <w:szCs w:val="24"/>
        </w:rPr>
        <w:t xml:space="preserve"> </w:t>
      </w:r>
      <w:r w:rsidR="00C765B4">
        <w:rPr>
          <w:rFonts w:ascii="Cambria" w:hAnsi="Cambria"/>
          <w:sz w:val="24"/>
          <w:szCs w:val="24"/>
        </w:rPr>
        <w:t>w art.</w:t>
      </w:r>
      <w:r w:rsidR="00370BBF" w:rsidRPr="000706D7">
        <w:rPr>
          <w:rFonts w:ascii="Cambria" w:hAnsi="Cambria"/>
          <w:sz w:val="24"/>
          <w:szCs w:val="24"/>
        </w:rPr>
        <w:t xml:space="preserve"> 49 ust. 1 </w:t>
      </w:r>
      <w:r w:rsidR="00C765B4">
        <w:rPr>
          <w:rFonts w:ascii="Cambria" w:hAnsi="Cambria"/>
          <w:sz w:val="24"/>
          <w:szCs w:val="24"/>
        </w:rPr>
        <w:t>otrzymuje</w:t>
      </w:r>
      <w:r w:rsidR="00370BBF" w:rsidRPr="000706D7">
        <w:rPr>
          <w:rFonts w:ascii="Cambria" w:hAnsi="Cambria"/>
          <w:sz w:val="24"/>
          <w:szCs w:val="24"/>
        </w:rPr>
        <w:t xml:space="preserve"> brzmienie:</w:t>
      </w:r>
    </w:p>
    <w:p w:rsidR="005E7D2A" w:rsidRPr="000706D7" w:rsidRDefault="00370BBF" w:rsidP="00370BBF">
      <w:pPr>
        <w:spacing w:line="360" w:lineRule="auto"/>
        <w:jc w:val="both"/>
        <w:rPr>
          <w:rFonts w:ascii="Cambria" w:hAnsi="Cambria"/>
          <w:sz w:val="24"/>
          <w:szCs w:val="24"/>
        </w:rPr>
      </w:pPr>
      <w:r w:rsidRPr="000706D7">
        <w:rPr>
          <w:rFonts w:ascii="Cambria" w:hAnsi="Cambria"/>
          <w:sz w:val="24"/>
          <w:szCs w:val="24"/>
        </w:rPr>
        <w:t xml:space="preserve"> „</w:t>
      </w:r>
      <w:r w:rsidR="00C765B4">
        <w:rPr>
          <w:rFonts w:ascii="Cambria" w:hAnsi="Cambria"/>
          <w:sz w:val="24"/>
          <w:szCs w:val="24"/>
        </w:rPr>
        <w:t>1.</w:t>
      </w:r>
      <w:r w:rsidR="00AB5861">
        <w:rPr>
          <w:rFonts w:ascii="Cambria" w:hAnsi="Cambria"/>
          <w:sz w:val="24"/>
          <w:szCs w:val="24"/>
        </w:rPr>
        <w:t xml:space="preserve"> </w:t>
      </w:r>
      <w:r w:rsidRPr="000706D7">
        <w:rPr>
          <w:rFonts w:ascii="Cambria" w:hAnsi="Cambria"/>
          <w:sz w:val="24"/>
          <w:szCs w:val="24"/>
        </w:rPr>
        <w:t xml:space="preserve">W sprawach o egzekucję świadczeń pieniężnych komornik pobiera od dłużnika opłatę stosunkową w wysokości 15% wartości wyegzekwowanego świadczenia, jednak nie niższej niż 1/10 i nie wyższej niż trzydziestokrotna wysokość przeciętnego wynagrodzenia miesięcznego. Jednakże w przypadku wyegzekwowania świadczenia wskutek skierowania egzekucji do wierzytelności z rachunku bankowego, wynagrodzenia za pracę, świadczenia z ubezpieczenia społecznego jak również wypłacanych na podstawie przepisów o promocji zatrudnienia i instytucjach rynku pracy, zasiłku dla bezrobotnych, dodatku aktywizacyjnego, stypendium oraz dodatku szkoleniowego, komornik pobiera od dłużnika opłatę stosunkową w wysokości 8% wartości wyegzekwowanego świadczenia, jednak nie niższej niż 1/20 i nie wyższej niż dziesięciokrotna wysokość przeciętnego wynagrodzenia miesięcznego. W </w:t>
      </w:r>
      <w:r w:rsidR="000706D7">
        <w:rPr>
          <w:rFonts w:ascii="Cambria" w:hAnsi="Cambria"/>
          <w:sz w:val="24"/>
          <w:szCs w:val="24"/>
        </w:rPr>
        <w:t>sprawach o egzekucję świadczeń pieniężnych</w:t>
      </w:r>
      <w:r w:rsidRPr="000706D7">
        <w:rPr>
          <w:rFonts w:ascii="Cambria" w:hAnsi="Cambria"/>
          <w:sz w:val="24"/>
          <w:szCs w:val="24"/>
        </w:rPr>
        <w:t xml:space="preserve"> od dłużnika będącego podmiotem leczniczym</w:t>
      </w:r>
      <w:r w:rsidR="005D7DCC" w:rsidRPr="000706D7">
        <w:rPr>
          <w:rFonts w:ascii="Cambria" w:hAnsi="Cambria"/>
          <w:sz w:val="24"/>
          <w:szCs w:val="24"/>
        </w:rPr>
        <w:t xml:space="preserve"> niebędącym przedsiębiorcą</w:t>
      </w:r>
      <w:r w:rsidR="00304DEF" w:rsidRPr="000706D7">
        <w:rPr>
          <w:rFonts w:ascii="Cambria" w:hAnsi="Cambria"/>
          <w:sz w:val="24"/>
          <w:szCs w:val="24"/>
        </w:rPr>
        <w:t>,</w:t>
      </w:r>
      <w:r w:rsidRPr="000706D7">
        <w:rPr>
          <w:rFonts w:ascii="Cambria" w:hAnsi="Cambria"/>
          <w:sz w:val="24"/>
          <w:szCs w:val="24"/>
        </w:rPr>
        <w:t xml:space="preserve"> wskutek skierowania egzekucji do wierzytelności należnych dłużnikowi od Narodowego Funduszu Zdrowia</w:t>
      </w:r>
      <w:r w:rsidR="002A2EE8" w:rsidRPr="000706D7">
        <w:rPr>
          <w:rFonts w:ascii="Cambria" w:hAnsi="Cambria"/>
          <w:sz w:val="24"/>
          <w:szCs w:val="24"/>
        </w:rPr>
        <w:t xml:space="preserve"> lub skierowania egzekucji </w:t>
      </w:r>
      <w:r w:rsidR="000706D7">
        <w:rPr>
          <w:rFonts w:ascii="Cambria" w:hAnsi="Cambria"/>
          <w:sz w:val="24"/>
          <w:szCs w:val="24"/>
        </w:rPr>
        <w:t>do wierzytelności z</w:t>
      </w:r>
      <w:r w:rsidR="002A2EE8" w:rsidRPr="000706D7">
        <w:rPr>
          <w:rFonts w:ascii="Cambria" w:hAnsi="Cambria"/>
          <w:sz w:val="24"/>
          <w:szCs w:val="24"/>
        </w:rPr>
        <w:t xml:space="preserve"> rachunku bankowego podmiotu leczniczego</w:t>
      </w:r>
      <w:r w:rsidR="008E5F3E" w:rsidRPr="000706D7">
        <w:rPr>
          <w:rFonts w:ascii="Cambria" w:hAnsi="Cambria"/>
          <w:sz w:val="24"/>
          <w:szCs w:val="24"/>
        </w:rPr>
        <w:t xml:space="preserve"> niebędącego przedsiębiorcą</w:t>
      </w:r>
      <w:r w:rsidR="00A632B5" w:rsidRPr="000706D7">
        <w:rPr>
          <w:rFonts w:ascii="Cambria" w:hAnsi="Cambria"/>
          <w:sz w:val="24"/>
          <w:szCs w:val="24"/>
        </w:rPr>
        <w:t xml:space="preserve">, </w:t>
      </w:r>
      <w:r w:rsidRPr="000706D7">
        <w:rPr>
          <w:rFonts w:ascii="Cambria" w:hAnsi="Cambria"/>
          <w:sz w:val="24"/>
          <w:szCs w:val="24"/>
        </w:rPr>
        <w:t>komornik pobiera od dłużnika opłatę stosunkową w wysokości 8% wartości wyegzekwowanego świadczenia, jednak nie niższej niż 1/20 i nie wyższej niż pięciokrotna wysokość przeciętnego wynagrodzenia miesięcznego.”</w:t>
      </w:r>
    </w:p>
    <w:p w:rsidR="005E7D2A" w:rsidRPr="000706D7" w:rsidRDefault="005E7D2A" w:rsidP="005E7D2A">
      <w:pPr>
        <w:spacing w:line="360" w:lineRule="auto"/>
        <w:jc w:val="center"/>
        <w:rPr>
          <w:rFonts w:ascii="Cambria" w:hAnsi="Cambria"/>
          <w:b/>
          <w:sz w:val="24"/>
          <w:szCs w:val="24"/>
        </w:rPr>
      </w:pPr>
      <w:r w:rsidRPr="000706D7">
        <w:rPr>
          <w:rFonts w:ascii="Cambria" w:hAnsi="Cambria"/>
          <w:b/>
          <w:sz w:val="24"/>
          <w:szCs w:val="24"/>
        </w:rPr>
        <w:t>Art. 2.</w:t>
      </w:r>
    </w:p>
    <w:p w:rsidR="005E7D2A" w:rsidRPr="000706D7" w:rsidRDefault="005E7D2A" w:rsidP="008151EB">
      <w:pPr>
        <w:spacing w:line="360" w:lineRule="auto"/>
        <w:jc w:val="both"/>
        <w:rPr>
          <w:rFonts w:ascii="Cambria" w:hAnsi="Cambria"/>
          <w:sz w:val="24"/>
          <w:szCs w:val="24"/>
        </w:rPr>
      </w:pPr>
      <w:r w:rsidRPr="000706D7">
        <w:rPr>
          <w:rFonts w:ascii="Cambria" w:hAnsi="Cambria"/>
          <w:sz w:val="24"/>
          <w:szCs w:val="24"/>
        </w:rPr>
        <w:t xml:space="preserve">Przepisy art. 1 </w:t>
      </w:r>
      <w:r w:rsidR="003D6C84">
        <w:rPr>
          <w:rFonts w:ascii="Cambria" w:hAnsi="Cambria"/>
          <w:sz w:val="24"/>
          <w:szCs w:val="24"/>
        </w:rPr>
        <w:t xml:space="preserve">w brzmieniu nadanym niniejszą ustawą </w:t>
      </w:r>
      <w:r w:rsidRPr="000706D7">
        <w:rPr>
          <w:rFonts w:ascii="Cambria" w:hAnsi="Cambria"/>
          <w:sz w:val="24"/>
          <w:szCs w:val="24"/>
        </w:rPr>
        <w:t>mają zastosowanie do postępowań egzekucyjnych wszczętych od dnia wejścia w życie ustawy.</w:t>
      </w:r>
    </w:p>
    <w:p w:rsidR="00113262" w:rsidRPr="000706D7" w:rsidRDefault="00113262" w:rsidP="008151EB">
      <w:pPr>
        <w:spacing w:line="360" w:lineRule="auto"/>
        <w:jc w:val="both"/>
        <w:rPr>
          <w:rFonts w:ascii="Cambria" w:hAnsi="Cambria"/>
          <w:sz w:val="24"/>
          <w:szCs w:val="24"/>
        </w:rPr>
      </w:pPr>
    </w:p>
    <w:p w:rsidR="00113262" w:rsidRPr="00C765B4" w:rsidRDefault="00113262" w:rsidP="00113262">
      <w:pPr>
        <w:spacing w:line="360" w:lineRule="auto"/>
        <w:jc w:val="center"/>
        <w:rPr>
          <w:rFonts w:ascii="Cambria" w:hAnsi="Cambria"/>
          <w:b/>
          <w:sz w:val="24"/>
          <w:szCs w:val="24"/>
        </w:rPr>
      </w:pPr>
      <w:r w:rsidRPr="00C765B4">
        <w:rPr>
          <w:rFonts w:ascii="Cambria" w:hAnsi="Cambria"/>
          <w:b/>
          <w:sz w:val="24"/>
          <w:szCs w:val="24"/>
        </w:rPr>
        <w:lastRenderedPageBreak/>
        <w:t>Art. 3.</w:t>
      </w:r>
    </w:p>
    <w:p w:rsidR="00113262" w:rsidRPr="000706D7" w:rsidRDefault="00547BBF" w:rsidP="005E7D2A">
      <w:pPr>
        <w:spacing w:line="360" w:lineRule="auto"/>
        <w:rPr>
          <w:rFonts w:ascii="Cambria" w:hAnsi="Cambria"/>
          <w:sz w:val="24"/>
          <w:szCs w:val="24"/>
        </w:rPr>
      </w:pPr>
      <w:r>
        <w:rPr>
          <w:rFonts w:ascii="Cambria" w:hAnsi="Cambria"/>
          <w:sz w:val="24"/>
          <w:szCs w:val="24"/>
        </w:rPr>
        <w:t>Ustawa wchodzi w życie</w:t>
      </w:r>
      <w:r w:rsidR="00C765B4">
        <w:rPr>
          <w:rFonts w:ascii="Cambria" w:hAnsi="Cambria"/>
          <w:sz w:val="24"/>
          <w:szCs w:val="24"/>
        </w:rPr>
        <w:t xml:space="preserve"> po upływie 14 dni od dnia ogłoszenia.</w:t>
      </w:r>
    </w:p>
    <w:p w:rsidR="00113262" w:rsidRPr="000706D7" w:rsidRDefault="00113262" w:rsidP="0019264B">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3D6C84" w:rsidRDefault="003D6C84" w:rsidP="00113262">
      <w:pPr>
        <w:spacing w:line="360" w:lineRule="auto"/>
        <w:jc w:val="center"/>
        <w:rPr>
          <w:rFonts w:ascii="Cambria" w:hAnsi="Cambria"/>
          <w:b/>
          <w:sz w:val="24"/>
          <w:szCs w:val="24"/>
        </w:rPr>
      </w:pPr>
    </w:p>
    <w:p w:rsidR="00E03F09" w:rsidRPr="000706D7" w:rsidRDefault="00E03F09" w:rsidP="00113262">
      <w:pPr>
        <w:spacing w:line="360" w:lineRule="auto"/>
        <w:jc w:val="center"/>
        <w:rPr>
          <w:rFonts w:ascii="Cambria" w:hAnsi="Cambria"/>
          <w:b/>
          <w:sz w:val="24"/>
          <w:szCs w:val="24"/>
        </w:rPr>
      </w:pPr>
      <w:r w:rsidRPr="000706D7">
        <w:rPr>
          <w:rFonts w:ascii="Cambria" w:hAnsi="Cambria"/>
          <w:b/>
          <w:sz w:val="24"/>
          <w:szCs w:val="24"/>
        </w:rPr>
        <w:lastRenderedPageBreak/>
        <w:t>Uzasadnienie</w:t>
      </w:r>
    </w:p>
    <w:p w:rsidR="00E03F09" w:rsidRPr="000706D7" w:rsidRDefault="00E03F09" w:rsidP="00E03F09">
      <w:pPr>
        <w:spacing w:line="360" w:lineRule="auto"/>
        <w:jc w:val="both"/>
        <w:rPr>
          <w:rFonts w:ascii="Cambria" w:hAnsi="Cambria"/>
          <w:b/>
          <w:sz w:val="24"/>
          <w:szCs w:val="24"/>
        </w:rPr>
      </w:pPr>
      <w:r w:rsidRPr="000706D7">
        <w:rPr>
          <w:rFonts w:ascii="Cambria" w:hAnsi="Cambria"/>
          <w:b/>
          <w:sz w:val="24"/>
          <w:szCs w:val="24"/>
        </w:rPr>
        <w:t>Zagadnienia Ogólne</w:t>
      </w:r>
    </w:p>
    <w:p w:rsidR="00E03F09" w:rsidRPr="000706D7" w:rsidRDefault="007571BE" w:rsidP="0005059E">
      <w:pPr>
        <w:spacing w:line="360" w:lineRule="auto"/>
        <w:ind w:firstLine="708"/>
        <w:jc w:val="both"/>
        <w:rPr>
          <w:rFonts w:ascii="Cambria" w:hAnsi="Cambria"/>
          <w:sz w:val="24"/>
          <w:szCs w:val="24"/>
        </w:rPr>
      </w:pPr>
      <w:r w:rsidRPr="000706D7">
        <w:rPr>
          <w:rFonts w:ascii="Cambria" w:hAnsi="Cambria"/>
          <w:sz w:val="24"/>
          <w:szCs w:val="24"/>
        </w:rPr>
        <w:t>System finansowania świadczeń medycznych i działań leczniczych na podstawie kontraktów zawieranych przez podmioty lecznicze z Na</w:t>
      </w:r>
      <w:r w:rsidR="004C74D4" w:rsidRPr="000706D7">
        <w:rPr>
          <w:rFonts w:ascii="Cambria" w:hAnsi="Cambria"/>
          <w:sz w:val="24"/>
          <w:szCs w:val="24"/>
        </w:rPr>
        <w:t xml:space="preserve">rodowym Funduszem Zdrowia, wycena części świadczeń zdrowotnych </w:t>
      </w:r>
      <w:r w:rsidR="003D6C84">
        <w:rPr>
          <w:rFonts w:ascii="Cambria" w:hAnsi="Cambria"/>
          <w:sz w:val="24"/>
          <w:szCs w:val="24"/>
        </w:rPr>
        <w:t>poniżej kosztów ich wytworzenia</w:t>
      </w:r>
      <w:r w:rsidR="004C74D4" w:rsidRPr="000706D7">
        <w:rPr>
          <w:rFonts w:ascii="Cambria" w:hAnsi="Cambria"/>
          <w:sz w:val="24"/>
          <w:szCs w:val="24"/>
        </w:rPr>
        <w:t xml:space="preserve"> na co zwracało uwagę Prezydium Naczelnej Rady Lekarskiej w apelu do Ministra Zdrowia </w:t>
      </w:r>
      <w:r w:rsidR="00D3129F">
        <w:rPr>
          <w:rFonts w:ascii="Cambria" w:hAnsi="Cambria"/>
          <w:sz w:val="24"/>
          <w:szCs w:val="24"/>
        </w:rPr>
        <w:br/>
      </w:r>
      <w:r w:rsidR="004C74D4" w:rsidRPr="000706D7">
        <w:rPr>
          <w:rFonts w:ascii="Cambria" w:hAnsi="Cambria"/>
          <w:sz w:val="24"/>
          <w:szCs w:val="24"/>
        </w:rPr>
        <w:t xml:space="preserve">w sprawie wysokości opłat egzekucyjnych z dnia 5 sierpnia 2015r, problemy </w:t>
      </w:r>
      <w:r w:rsidR="00D3129F">
        <w:rPr>
          <w:rFonts w:ascii="Cambria" w:hAnsi="Cambria"/>
          <w:sz w:val="24"/>
          <w:szCs w:val="24"/>
        </w:rPr>
        <w:br/>
      </w:r>
      <w:r w:rsidR="004C74D4" w:rsidRPr="000706D7">
        <w:rPr>
          <w:rFonts w:ascii="Cambria" w:hAnsi="Cambria"/>
          <w:sz w:val="24"/>
          <w:szCs w:val="24"/>
        </w:rPr>
        <w:t>z wł</w:t>
      </w:r>
      <w:r w:rsidR="00746EE6" w:rsidRPr="000706D7">
        <w:rPr>
          <w:rFonts w:ascii="Cambria" w:hAnsi="Cambria"/>
          <w:sz w:val="24"/>
          <w:szCs w:val="24"/>
        </w:rPr>
        <w:t>aściwym zarządzaniem szpitalami -</w:t>
      </w:r>
      <w:r w:rsidR="004C74D4" w:rsidRPr="000706D7">
        <w:rPr>
          <w:rFonts w:ascii="Cambria" w:hAnsi="Cambria"/>
          <w:sz w:val="24"/>
          <w:szCs w:val="24"/>
        </w:rPr>
        <w:t xml:space="preserve"> wszystkie te okoliczności składają się na </w:t>
      </w:r>
      <w:r w:rsidR="004C74D4" w:rsidRPr="006B24F5">
        <w:rPr>
          <w:rFonts w:ascii="Cambria" w:hAnsi="Cambria"/>
          <w:sz w:val="24"/>
          <w:szCs w:val="24"/>
        </w:rPr>
        <w:t xml:space="preserve">narastające </w:t>
      </w:r>
      <w:r w:rsidR="004C74D4" w:rsidRPr="000706D7">
        <w:rPr>
          <w:rFonts w:ascii="Cambria" w:hAnsi="Cambria"/>
          <w:sz w:val="24"/>
          <w:szCs w:val="24"/>
        </w:rPr>
        <w:t xml:space="preserve">zadłużenie polskich szpitali. Zgodnie z danymi opublikowanymi przez Ministerstwo Zdrowia </w:t>
      </w:r>
      <w:r w:rsidR="0012393D" w:rsidRPr="000706D7">
        <w:rPr>
          <w:rFonts w:ascii="Cambria" w:hAnsi="Cambria"/>
          <w:sz w:val="24"/>
          <w:szCs w:val="24"/>
        </w:rPr>
        <w:t>zobowiązania Samodzielnych Publicznych Zakładów Opieki Zdrowotnej w III kwartale 2015r. wyniosły 10.847,1 mln zł. Dynamiczna analiza stanu zadłużenia Samodzielnych Publicznych Zakładów Opieki zdrowotnej obrazuje, że stan zadłużenie tych podmiotów w</w:t>
      </w:r>
      <w:r w:rsidR="00844F76">
        <w:rPr>
          <w:rFonts w:ascii="Cambria" w:hAnsi="Cambria"/>
          <w:sz w:val="24"/>
          <w:szCs w:val="24"/>
        </w:rPr>
        <w:t>ykazuje tendencję do wzrostu. W</w:t>
      </w:r>
      <w:r w:rsidR="0012393D" w:rsidRPr="000706D7">
        <w:rPr>
          <w:rFonts w:ascii="Cambria" w:hAnsi="Cambria"/>
          <w:sz w:val="24"/>
          <w:szCs w:val="24"/>
        </w:rPr>
        <w:t xml:space="preserve"> 2007r. ogólne zadłużenie SP ZOZ-ów wynosiło 9.563,3 mln zł. Wobec tak wysokiego stopnia zadłużenia Polskiej Służby Zdrowia coraz istotniejszym staje się uregulowanie kosztów postępowań egzekucyjnych prow</w:t>
      </w:r>
      <w:r w:rsidR="00746EE6" w:rsidRPr="000706D7">
        <w:rPr>
          <w:rFonts w:ascii="Cambria" w:hAnsi="Cambria"/>
          <w:sz w:val="24"/>
          <w:szCs w:val="24"/>
        </w:rPr>
        <w:t xml:space="preserve">adzonych przeciwko szpitalom, zwłaszcza wobec faktu, iż zobowiązania już wymagalne od Samodzielnych Publicznych Zakładów Opieki Zdrowotnej w III kwartale 2015r. </w:t>
      </w:r>
      <w:r w:rsidR="0045266C" w:rsidRPr="000706D7">
        <w:rPr>
          <w:rFonts w:ascii="Cambria" w:hAnsi="Cambria"/>
          <w:sz w:val="24"/>
          <w:szCs w:val="24"/>
        </w:rPr>
        <w:t xml:space="preserve">wyniosły 2.049,1 mln zł (dane opublikowane przez Ministerstwo Zdrowia). </w:t>
      </w:r>
      <w:r w:rsidR="0005059E" w:rsidRPr="000706D7">
        <w:rPr>
          <w:rFonts w:ascii="Cambria" w:hAnsi="Cambria"/>
          <w:sz w:val="24"/>
          <w:szCs w:val="24"/>
        </w:rPr>
        <w:t xml:space="preserve">Wobec ograniczonych środków na prowadzenie działalności, szpitale muszą liczyć się z koniecznością ponoszenia kosztów prowadzonych przeciwko nim postępowań egzekucyjnych, co w konsekwencji prowadzi do redukcji faktycznie dostępnych środków, które mogłyby być spożytkowane na leczenie pacjentów. </w:t>
      </w:r>
    </w:p>
    <w:p w:rsidR="00553A93" w:rsidRPr="000706D7" w:rsidRDefault="00E03F09" w:rsidP="00E03F09">
      <w:pPr>
        <w:spacing w:line="360" w:lineRule="auto"/>
        <w:jc w:val="both"/>
        <w:rPr>
          <w:rFonts w:ascii="Cambria" w:hAnsi="Cambria"/>
          <w:sz w:val="24"/>
          <w:szCs w:val="24"/>
        </w:rPr>
      </w:pPr>
      <w:r w:rsidRPr="000706D7">
        <w:rPr>
          <w:rFonts w:ascii="Cambria" w:hAnsi="Cambria"/>
          <w:b/>
          <w:sz w:val="24"/>
          <w:szCs w:val="24"/>
        </w:rPr>
        <w:tab/>
      </w:r>
      <w:r w:rsidR="00335172" w:rsidRPr="000706D7">
        <w:rPr>
          <w:rFonts w:ascii="Cambria" w:hAnsi="Cambria"/>
          <w:sz w:val="24"/>
          <w:szCs w:val="24"/>
        </w:rPr>
        <w:t xml:space="preserve"> </w:t>
      </w:r>
    </w:p>
    <w:p w:rsidR="00A832D7" w:rsidRPr="000706D7" w:rsidRDefault="00A832D7" w:rsidP="00E03F09">
      <w:pPr>
        <w:spacing w:line="360" w:lineRule="auto"/>
        <w:jc w:val="both"/>
        <w:rPr>
          <w:rFonts w:ascii="Cambria" w:hAnsi="Cambria"/>
          <w:b/>
          <w:sz w:val="24"/>
          <w:szCs w:val="24"/>
        </w:rPr>
      </w:pPr>
      <w:r w:rsidRPr="000706D7">
        <w:rPr>
          <w:rFonts w:ascii="Cambria" w:hAnsi="Cambria"/>
          <w:b/>
          <w:sz w:val="24"/>
          <w:szCs w:val="24"/>
        </w:rPr>
        <w:t>Uzasadnienie poszczególnych artykułów ustawy</w:t>
      </w:r>
    </w:p>
    <w:p w:rsidR="00A832D7" w:rsidRPr="000706D7" w:rsidRDefault="00A832D7" w:rsidP="00E03F09">
      <w:pPr>
        <w:spacing w:line="360" w:lineRule="auto"/>
        <w:jc w:val="both"/>
        <w:rPr>
          <w:rFonts w:ascii="Cambria" w:hAnsi="Cambria"/>
          <w:b/>
          <w:sz w:val="24"/>
          <w:szCs w:val="24"/>
        </w:rPr>
      </w:pPr>
      <w:r w:rsidRPr="000706D7">
        <w:rPr>
          <w:rFonts w:ascii="Cambria" w:hAnsi="Cambria"/>
          <w:b/>
          <w:sz w:val="24"/>
          <w:szCs w:val="24"/>
        </w:rPr>
        <w:t>Art. 1 .</w:t>
      </w:r>
    </w:p>
    <w:p w:rsidR="004E45A6" w:rsidRPr="000706D7" w:rsidRDefault="00E12CBA" w:rsidP="00B3783B">
      <w:pPr>
        <w:spacing w:line="360" w:lineRule="auto"/>
        <w:ind w:firstLine="708"/>
        <w:jc w:val="both"/>
        <w:rPr>
          <w:rFonts w:ascii="Cambria" w:hAnsi="Cambria"/>
          <w:sz w:val="24"/>
          <w:szCs w:val="24"/>
        </w:rPr>
      </w:pPr>
      <w:r w:rsidRPr="000706D7">
        <w:rPr>
          <w:rFonts w:ascii="Cambria" w:hAnsi="Cambria"/>
          <w:sz w:val="24"/>
          <w:szCs w:val="24"/>
        </w:rPr>
        <w:t xml:space="preserve">W niniejszej ustawie planowane jest zredukowanie wysokości opłaty stosunkowej pobieranej w związku z egzekwowaniem kwot należnych od podmiotów leczniczych niebędących przedsiębiorcami uzyskanych w wyniku zajęcia wierzytelności w Narodowym Funduszu Zdrowia oraz wyegzekwowanych z rachunków bankowych ww. podmiotów. Aktualnie obowiązujące przepisy określają, że wysokość opłaty </w:t>
      </w:r>
      <w:r w:rsidRPr="000706D7">
        <w:rPr>
          <w:rFonts w:ascii="Cambria" w:hAnsi="Cambria"/>
          <w:sz w:val="24"/>
          <w:szCs w:val="24"/>
        </w:rPr>
        <w:lastRenderedPageBreak/>
        <w:t>stosunkowej z tytułu przeprowadzonej egzekucji z wierzytelności należnych podmiotom leczniczym w Narodowym Funduszu Zdrowia wynosi 15% egzekwowanego świadczenia, jednak nie mniej niż 1/10 i nie wyższej niż trzydziestokrotna wysokość przecięt</w:t>
      </w:r>
      <w:r w:rsidR="00844F76">
        <w:rPr>
          <w:rFonts w:ascii="Cambria" w:hAnsi="Cambria"/>
          <w:sz w:val="24"/>
          <w:szCs w:val="24"/>
        </w:rPr>
        <w:t>nego wynagrodzenia miesięcznego.</w:t>
      </w:r>
      <w:r w:rsidRPr="000706D7">
        <w:rPr>
          <w:rFonts w:ascii="Cambria" w:hAnsi="Cambria"/>
          <w:sz w:val="24"/>
          <w:szCs w:val="24"/>
        </w:rPr>
        <w:t xml:space="preserve"> </w:t>
      </w:r>
      <w:r w:rsidR="00844F76">
        <w:rPr>
          <w:rFonts w:ascii="Cambria" w:hAnsi="Cambria"/>
          <w:sz w:val="24"/>
          <w:szCs w:val="24"/>
        </w:rPr>
        <w:t>W</w:t>
      </w:r>
      <w:r w:rsidRPr="000706D7">
        <w:rPr>
          <w:rFonts w:ascii="Cambria" w:hAnsi="Cambria"/>
          <w:sz w:val="24"/>
          <w:szCs w:val="24"/>
        </w:rPr>
        <w:t xml:space="preserve"> przypadku zajęcia rachunku bankowego ww. dłużnika opłata stosunkowa wynosi 8% egzekwowanego świadczenia jednak nie mniej niż 1/10 i nie więcej niż dziesięciokrotność wysokości przeciętnego wynagrodzenia miesięcznego. Wobec takiego skonstruowania mechanizmu naliczania opłaty stosunkowej, może dojść do sytuacji w której </w:t>
      </w:r>
      <w:r w:rsidR="00B3783B" w:rsidRPr="000706D7">
        <w:rPr>
          <w:rFonts w:ascii="Cambria" w:hAnsi="Cambria"/>
          <w:sz w:val="24"/>
          <w:szCs w:val="24"/>
        </w:rPr>
        <w:t xml:space="preserve">w wyniku zajęcia w toczącym się postępowaniu egzekucyjnym wierzytelności dłużnika w Narodowym Funduszu Zdrowia wysokość opłaty egzekucyjnej może wynieść nawet ponad 100 tyś. zł. </w:t>
      </w:r>
      <w:r w:rsidR="004E45A6" w:rsidRPr="000706D7">
        <w:rPr>
          <w:rFonts w:ascii="Cambria" w:hAnsi="Cambria"/>
          <w:sz w:val="24"/>
          <w:szCs w:val="24"/>
        </w:rPr>
        <w:t>Warto wskazać, iż prowadzenie postępowania egzekucyjnego</w:t>
      </w:r>
      <w:r w:rsidR="00304DEF" w:rsidRPr="000706D7">
        <w:rPr>
          <w:rFonts w:ascii="Cambria" w:hAnsi="Cambria"/>
          <w:sz w:val="24"/>
          <w:szCs w:val="24"/>
        </w:rPr>
        <w:t>,</w:t>
      </w:r>
      <w:r w:rsidR="004E45A6" w:rsidRPr="000706D7">
        <w:rPr>
          <w:rFonts w:ascii="Cambria" w:hAnsi="Cambria"/>
          <w:sz w:val="24"/>
          <w:szCs w:val="24"/>
        </w:rPr>
        <w:t xml:space="preserve"> prowadzonego przeciwko podmiotom leczniczym</w:t>
      </w:r>
      <w:r w:rsidR="00304DEF" w:rsidRPr="000706D7">
        <w:rPr>
          <w:rFonts w:ascii="Cambria" w:hAnsi="Cambria"/>
          <w:sz w:val="24"/>
          <w:szCs w:val="24"/>
        </w:rPr>
        <w:t>,</w:t>
      </w:r>
      <w:r w:rsidR="004E45A6" w:rsidRPr="000706D7">
        <w:rPr>
          <w:rFonts w:ascii="Cambria" w:hAnsi="Cambria"/>
          <w:sz w:val="24"/>
          <w:szCs w:val="24"/>
        </w:rPr>
        <w:t xml:space="preserve"> najczęściej opiera się na z</w:t>
      </w:r>
      <w:r w:rsidR="00844F76">
        <w:rPr>
          <w:rFonts w:ascii="Cambria" w:hAnsi="Cambria"/>
          <w:sz w:val="24"/>
          <w:szCs w:val="24"/>
        </w:rPr>
        <w:t xml:space="preserve">ajęciu </w:t>
      </w:r>
      <w:r w:rsidR="004E45A6" w:rsidRPr="000706D7">
        <w:rPr>
          <w:rFonts w:ascii="Cambria" w:hAnsi="Cambria"/>
          <w:sz w:val="24"/>
          <w:szCs w:val="24"/>
        </w:rPr>
        <w:t>wierzytelności należnych podmiotowi leczniczemu niebędącemu przedsiębiorcą od Narodowego Funduszu Zdrowia oraz na zajęciu rachunków bankowych tegoż podmiotu. Tak prowadzone postępowanie egzekucyjne przybiera szczególną, „uproszczoną formę”, ponieważ organ egzekucyjny kierując egzekucję wyłącznie do wierzytelności w Narodowym Funduszu Zdrowia  oraz rachunku bankowego podmiotu leczniczego</w:t>
      </w:r>
      <w:r w:rsidR="00304DEF" w:rsidRPr="000706D7">
        <w:rPr>
          <w:rFonts w:ascii="Cambria" w:hAnsi="Cambria"/>
          <w:sz w:val="24"/>
          <w:szCs w:val="24"/>
        </w:rPr>
        <w:t>,</w:t>
      </w:r>
      <w:r w:rsidR="004E45A6" w:rsidRPr="000706D7">
        <w:rPr>
          <w:rFonts w:ascii="Cambria" w:hAnsi="Cambria"/>
          <w:sz w:val="24"/>
          <w:szCs w:val="24"/>
        </w:rPr>
        <w:t xml:space="preserve"> może z dużym prawdopodobieństwem założyć, że egzekucja będzie skuteczna. Respektując konieczność ponoszenia opłaty stosunkowej związanej z prowadzonym postępowaniem egzekucyjnym, należy podkreślić, iż jej wysokość  w stosunku do podmiotów leczniczych jest, w aktualnym stanie prawnym, niewspółmierna do wysiłku organu egzekucyjnego w postępowaniu.</w:t>
      </w:r>
    </w:p>
    <w:p w:rsidR="00610338" w:rsidRPr="000706D7" w:rsidRDefault="00A832D7" w:rsidP="00B3783B">
      <w:pPr>
        <w:spacing w:line="360" w:lineRule="auto"/>
        <w:ind w:firstLine="708"/>
        <w:jc w:val="both"/>
        <w:rPr>
          <w:rFonts w:ascii="Cambria" w:hAnsi="Cambria"/>
          <w:sz w:val="24"/>
          <w:szCs w:val="24"/>
        </w:rPr>
      </w:pPr>
      <w:r w:rsidRPr="000706D7">
        <w:rPr>
          <w:rFonts w:ascii="Cambria" w:hAnsi="Cambria"/>
          <w:sz w:val="24"/>
          <w:szCs w:val="24"/>
        </w:rPr>
        <w:t>Zmiana brzmienia art. 49 ust.</w:t>
      </w:r>
      <w:r w:rsidR="00EF5B38">
        <w:rPr>
          <w:rFonts w:ascii="Cambria" w:hAnsi="Cambria"/>
          <w:sz w:val="24"/>
          <w:szCs w:val="24"/>
        </w:rPr>
        <w:t xml:space="preserve"> </w:t>
      </w:r>
      <w:r w:rsidRPr="000706D7">
        <w:rPr>
          <w:rFonts w:ascii="Cambria" w:hAnsi="Cambria"/>
          <w:sz w:val="24"/>
          <w:szCs w:val="24"/>
        </w:rPr>
        <w:t>1., poprzez wskazanie zasad ustalania opłaty stosunkowej w postępowaniach egzekucyjnych prowadzonych przeciwko podmiotom leczniczym</w:t>
      </w:r>
      <w:r w:rsidR="00610338" w:rsidRPr="000706D7">
        <w:rPr>
          <w:rFonts w:ascii="Cambria" w:hAnsi="Cambria"/>
          <w:sz w:val="24"/>
          <w:szCs w:val="24"/>
        </w:rPr>
        <w:t xml:space="preserve"> niebędącym przedsiębiorcami</w:t>
      </w:r>
      <w:r w:rsidRPr="000706D7">
        <w:rPr>
          <w:rFonts w:ascii="Cambria" w:hAnsi="Cambria"/>
          <w:sz w:val="24"/>
          <w:szCs w:val="24"/>
        </w:rPr>
        <w:t xml:space="preserve">, ma na celu ustalenie opłaty stosunkowej na poziomie adekwatnym do nakładu pracy komornika sądowego w toczącym się przeciwko podmiotowi leczniczemu postępowaniu </w:t>
      </w:r>
      <w:r w:rsidR="00C05C59" w:rsidRPr="000706D7">
        <w:rPr>
          <w:rFonts w:ascii="Cambria" w:hAnsi="Cambria"/>
          <w:sz w:val="24"/>
          <w:szCs w:val="24"/>
        </w:rPr>
        <w:t xml:space="preserve">egzekucyjnym oraz obniżenie obciążenia finansowego podmiotów leczniczych w toczącej się egzekucji. </w:t>
      </w:r>
    </w:p>
    <w:p w:rsidR="007E02B4" w:rsidRPr="000706D7" w:rsidRDefault="00C05C59" w:rsidP="00610338">
      <w:pPr>
        <w:spacing w:line="360" w:lineRule="auto"/>
        <w:ind w:firstLine="708"/>
        <w:jc w:val="both"/>
        <w:rPr>
          <w:rFonts w:ascii="Cambria" w:hAnsi="Cambria"/>
          <w:sz w:val="24"/>
          <w:szCs w:val="24"/>
        </w:rPr>
      </w:pPr>
      <w:r w:rsidRPr="000706D7">
        <w:rPr>
          <w:rFonts w:ascii="Cambria" w:hAnsi="Cambria"/>
          <w:sz w:val="24"/>
          <w:szCs w:val="24"/>
        </w:rPr>
        <w:t xml:space="preserve">Należy wskazać, iż ustawodawca </w:t>
      </w:r>
      <w:r w:rsidR="00B121CC" w:rsidRPr="000706D7">
        <w:rPr>
          <w:rFonts w:ascii="Cambria" w:hAnsi="Cambria"/>
          <w:sz w:val="24"/>
          <w:szCs w:val="24"/>
        </w:rPr>
        <w:t xml:space="preserve">ustanowił w ustępach 7-10 art. 49 ustawy </w:t>
      </w:r>
      <w:r w:rsidR="00D3129F">
        <w:rPr>
          <w:rFonts w:ascii="Cambria" w:hAnsi="Cambria"/>
          <w:sz w:val="24"/>
          <w:szCs w:val="24"/>
        </w:rPr>
        <w:br/>
      </w:r>
      <w:r w:rsidR="00B121CC" w:rsidRPr="000706D7">
        <w:rPr>
          <w:rFonts w:ascii="Cambria" w:hAnsi="Cambria"/>
          <w:sz w:val="24"/>
          <w:szCs w:val="24"/>
        </w:rPr>
        <w:t xml:space="preserve">o komornikach sądowych i egzekucji mechanizm miarkowania opłaty stosunkowej, który wymaga złożenia przez </w:t>
      </w:r>
      <w:r w:rsidR="00610338" w:rsidRPr="000706D7">
        <w:rPr>
          <w:rFonts w:ascii="Cambria" w:hAnsi="Cambria"/>
          <w:sz w:val="24"/>
          <w:szCs w:val="24"/>
        </w:rPr>
        <w:t>dłużnika</w:t>
      </w:r>
      <w:r w:rsidR="00B121CC" w:rsidRPr="000706D7">
        <w:rPr>
          <w:rFonts w:ascii="Cambria" w:hAnsi="Cambria"/>
          <w:sz w:val="24"/>
          <w:szCs w:val="24"/>
        </w:rPr>
        <w:t xml:space="preserve"> stosownego wniosku i powoduje inicjację postępowania sądowego w zakresie </w:t>
      </w:r>
      <w:r w:rsidR="00F424FF" w:rsidRPr="000706D7">
        <w:rPr>
          <w:rFonts w:ascii="Cambria" w:hAnsi="Cambria"/>
          <w:sz w:val="24"/>
          <w:szCs w:val="24"/>
        </w:rPr>
        <w:t xml:space="preserve">obniżenia tejże opłaty. Zdaniem </w:t>
      </w:r>
      <w:r w:rsidR="00027DE8" w:rsidRPr="000706D7">
        <w:rPr>
          <w:rFonts w:ascii="Cambria" w:hAnsi="Cambria"/>
          <w:sz w:val="24"/>
          <w:szCs w:val="24"/>
        </w:rPr>
        <w:t xml:space="preserve">wnioskodawców </w:t>
      </w:r>
      <w:r w:rsidR="00F424FF" w:rsidRPr="000706D7">
        <w:rPr>
          <w:rFonts w:ascii="Cambria" w:hAnsi="Cambria"/>
          <w:sz w:val="24"/>
          <w:szCs w:val="24"/>
        </w:rPr>
        <w:t xml:space="preserve">mechanizm miarkowania opłaty egzekucyjnej </w:t>
      </w:r>
      <w:r w:rsidR="007868ED" w:rsidRPr="000706D7">
        <w:rPr>
          <w:rFonts w:ascii="Cambria" w:hAnsi="Cambria"/>
          <w:sz w:val="24"/>
          <w:szCs w:val="24"/>
        </w:rPr>
        <w:t xml:space="preserve">to, </w:t>
      </w:r>
      <w:r w:rsidR="00F424FF" w:rsidRPr="000706D7">
        <w:rPr>
          <w:rFonts w:ascii="Cambria" w:hAnsi="Cambria"/>
          <w:sz w:val="24"/>
          <w:szCs w:val="24"/>
        </w:rPr>
        <w:t>w przypadku podmiotów leczniczych</w:t>
      </w:r>
      <w:r w:rsidR="00610338" w:rsidRPr="000706D7">
        <w:rPr>
          <w:rFonts w:ascii="Cambria" w:hAnsi="Cambria"/>
          <w:sz w:val="24"/>
          <w:szCs w:val="24"/>
        </w:rPr>
        <w:t xml:space="preserve"> </w:t>
      </w:r>
      <w:r w:rsidR="00610338" w:rsidRPr="000706D7">
        <w:rPr>
          <w:rFonts w:ascii="Cambria" w:hAnsi="Cambria"/>
          <w:sz w:val="24"/>
          <w:szCs w:val="24"/>
        </w:rPr>
        <w:lastRenderedPageBreak/>
        <w:t>niebędących przedsiębiorcami</w:t>
      </w:r>
      <w:r w:rsidR="007868ED" w:rsidRPr="000706D7">
        <w:rPr>
          <w:rFonts w:ascii="Cambria" w:hAnsi="Cambria"/>
          <w:sz w:val="24"/>
          <w:szCs w:val="24"/>
        </w:rPr>
        <w:t>,</w:t>
      </w:r>
      <w:r w:rsidR="00F424FF" w:rsidRPr="000706D7">
        <w:rPr>
          <w:rFonts w:ascii="Cambria" w:hAnsi="Cambria"/>
          <w:sz w:val="24"/>
          <w:szCs w:val="24"/>
        </w:rPr>
        <w:t xml:space="preserve"> rozwiązanie połowiczne, prowadzące do składania przez </w:t>
      </w:r>
      <w:r w:rsidR="00610338" w:rsidRPr="000706D7">
        <w:rPr>
          <w:rFonts w:ascii="Cambria" w:hAnsi="Cambria"/>
          <w:sz w:val="24"/>
          <w:szCs w:val="24"/>
        </w:rPr>
        <w:t>te podmioty</w:t>
      </w:r>
      <w:r w:rsidR="00F424FF" w:rsidRPr="000706D7">
        <w:rPr>
          <w:rFonts w:ascii="Cambria" w:hAnsi="Cambria"/>
          <w:sz w:val="24"/>
          <w:szCs w:val="24"/>
        </w:rPr>
        <w:t xml:space="preserve"> licznych wniosków o obniżenie opłaty stosunkowej, </w:t>
      </w:r>
      <w:r w:rsidR="00027DE8" w:rsidRPr="000706D7">
        <w:rPr>
          <w:rFonts w:ascii="Cambria" w:hAnsi="Cambria"/>
          <w:sz w:val="24"/>
          <w:szCs w:val="24"/>
        </w:rPr>
        <w:t xml:space="preserve">co z kolei absorbuje środki i czas systemu </w:t>
      </w:r>
      <w:r w:rsidR="004E45A6" w:rsidRPr="000706D7">
        <w:rPr>
          <w:rFonts w:ascii="Cambria" w:hAnsi="Cambria"/>
          <w:sz w:val="24"/>
          <w:szCs w:val="24"/>
        </w:rPr>
        <w:t>sądowego</w:t>
      </w:r>
      <w:r w:rsidR="00027DE8" w:rsidRPr="000706D7">
        <w:rPr>
          <w:rFonts w:ascii="Cambria" w:hAnsi="Cambria"/>
          <w:sz w:val="24"/>
          <w:szCs w:val="24"/>
        </w:rPr>
        <w:t xml:space="preserve">. W opinii wnioskodawców dzięki zmianie </w:t>
      </w:r>
      <w:r w:rsidR="00FA4B35" w:rsidRPr="000706D7">
        <w:rPr>
          <w:rFonts w:ascii="Cambria" w:hAnsi="Cambria"/>
          <w:sz w:val="24"/>
          <w:szCs w:val="24"/>
        </w:rPr>
        <w:t>zasad ustalania opłaty stosunkowej liczba wniosków o obniżenie tejże opłaty może ulec redukcji.</w:t>
      </w:r>
    </w:p>
    <w:p w:rsidR="00844F76" w:rsidRDefault="0010185D" w:rsidP="001030B9">
      <w:pPr>
        <w:spacing w:line="360" w:lineRule="auto"/>
        <w:ind w:firstLine="708"/>
        <w:jc w:val="both"/>
        <w:rPr>
          <w:rFonts w:ascii="Cambria" w:hAnsi="Cambria"/>
          <w:sz w:val="24"/>
          <w:szCs w:val="24"/>
        </w:rPr>
      </w:pPr>
      <w:r w:rsidRPr="000706D7">
        <w:rPr>
          <w:rFonts w:ascii="Cambria" w:hAnsi="Cambria"/>
          <w:sz w:val="24"/>
          <w:szCs w:val="24"/>
        </w:rPr>
        <w:t xml:space="preserve">Wnioskodawcy respektują </w:t>
      </w:r>
      <w:r w:rsidR="001C4F85" w:rsidRPr="000706D7">
        <w:rPr>
          <w:rFonts w:ascii="Cambria" w:hAnsi="Cambria"/>
          <w:sz w:val="24"/>
          <w:szCs w:val="24"/>
        </w:rPr>
        <w:t xml:space="preserve">założenia finansowania systemu komorniczego </w:t>
      </w:r>
      <w:r w:rsidR="00D3129F">
        <w:rPr>
          <w:rFonts w:ascii="Cambria" w:hAnsi="Cambria"/>
          <w:sz w:val="24"/>
          <w:szCs w:val="24"/>
        </w:rPr>
        <w:br/>
      </w:r>
      <w:r w:rsidR="001C4F85" w:rsidRPr="000706D7">
        <w:rPr>
          <w:rFonts w:ascii="Cambria" w:hAnsi="Cambria"/>
          <w:sz w:val="24"/>
          <w:szCs w:val="24"/>
        </w:rPr>
        <w:t xml:space="preserve">w Polsce, wyrażone w art. 34 i 35 ustawy o komornikach sądowych i egzekucji, jednak </w:t>
      </w:r>
      <w:r w:rsidR="00D3129F">
        <w:rPr>
          <w:rFonts w:ascii="Cambria" w:hAnsi="Cambria"/>
          <w:sz w:val="24"/>
          <w:szCs w:val="24"/>
        </w:rPr>
        <w:br/>
      </w:r>
      <w:r w:rsidR="001C4F85" w:rsidRPr="000706D7">
        <w:rPr>
          <w:rFonts w:ascii="Cambria" w:hAnsi="Cambria"/>
          <w:sz w:val="24"/>
          <w:szCs w:val="24"/>
        </w:rPr>
        <w:t>w nawiązani</w:t>
      </w:r>
      <w:r w:rsidR="00EF5B38">
        <w:rPr>
          <w:rFonts w:ascii="Cambria" w:hAnsi="Cambria"/>
          <w:sz w:val="24"/>
          <w:szCs w:val="24"/>
        </w:rPr>
        <w:t>u do opinii wyrażonej w piśmie Ministerstwa S</w:t>
      </w:r>
      <w:r w:rsidR="001C4F85" w:rsidRPr="000706D7">
        <w:rPr>
          <w:rFonts w:ascii="Cambria" w:hAnsi="Cambria"/>
          <w:sz w:val="24"/>
          <w:szCs w:val="24"/>
        </w:rPr>
        <w:t xml:space="preserve">prawiedliwości z dnia 10 września 2015r. </w:t>
      </w:r>
      <w:r w:rsidR="00676DE1" w:rsidRPr="000706D7">
        <w:rPr>
          <w:rFonts w:ascii="Cambria" w:hAnsi="Cambria"/>
          <w:sz w:val="24"/>
          <w:szCs w:val="24"/>
        </w:rPr>
        <w:t>sygn. pisma DB-4191-4/15 – odpowiedź na apel Prezydium Naczelnej Rady Lekarskiej</w:t>
      </w:r>
      <w:r w:rsidR="00844F76">
        <w:rPr>
          <w:rFonts w:ascii="Cambria" w:hAnsi="Cambria"/>
          <w:sz w:val="24"/>
          <w:szCs w:val="24"/>
        </w:rPr>
        <w:t>,</w:t>
      </w:r>
      <w:r w:rsidR="00676DE1" w:rsidRPr="000706D7">
        <w:rPr>
          <w:rFonts w:ascii="Cambria" w:hAnsi="Cambria"/>
          <w:sz w:val="24"/>
          <w:szCs w:val="24"/>
        </w:rPr>
        <w:t xml:space="preserve"> wnioskodawcy uznają argument jakoby wysokie stawki opłat egzekucyjnych miały służyć finansowaniu systemu komorniczego za niedopuszczalny</w:t>
      </w:r>
      <w:r w:rsidR="00304DEF" w:rsidRPr="000706D7">
        <w:rPr>
          <w:rFonts w:ascii="Cambria" w:hAnsi="Cambria"/>
          <w:sz w:val="24"/>
          <w:szCs w:val="24"/>
        </w:rPr>
        <w:t xml:space="preserve"> </w:t>
      </w:r>
      <w:r w:rsidR="00D3129F">
        <w:rPr>
          <w:rFonts w:ascii="Cambria" w:hAnsi="Cambria"/>
          <w:sz w:val="24"/>
          <w:szCs w:val="24"/>
        </w:rPr>
        <w:br/>
      </w:r>
      <w:r w:rsidR="00676DE1" w:rsidRPr="000706D7">
        <w:rPr>
          <w:rFonts w:ascii="Cambria" w:hAnsi="Cambria"/>
          <w:sz w:val="24"/>
          <w:szCs w:val="24"/>
        </w:rPr>
        <w:t>w  aspekcie opłat stosunkowych ponoszonych przez podmioty lecznicze niebędące przedsiębiorcami. Szczególna rola tych podmiotów oraz fakt, iż ich działalność nastawiona jest nie na zysk</w:t>
      </w:r>
      <w:r w:rsidR="00844F76">
        <w:rPr>
          <w:rFonts w:ascii="Cambria" w:hAnsi="Cambria"/>
          <w:sz w:val="24"/>
          <w:szCs w:val="24"/>
        </w:rPr>
        <w:t>,</w:t>
      </w:r>
      <w:r w:rsidR="00676DE1" w:rsidRPr="000706D7">
        <w:rPr>
          <w:rFonts w:ascii="Cambria" w:hAnsi="Cambria"/>
          <w:sz w:val="24"/>
          <w:szCs w:val="24"/>
        </w:rPr>
        <w:t xml:space="preserve"> a na skuteczne leczenie pacjentów, w obliczu trudnej sytuacji finansowej rzeczonych podmiotów wystarczająco uzasadniają, w opinii wnioskodawców proponowane zmiany. </w:t>
      </w:r>
    </w:p>
    <w:p w:rsidR="00A832D7" w:rsidRPr="00844F76" w:rsidRDefault="00676DE1" w:rsidP="001030B9">
      <w:pPr>
        <w:spacing w:line="360" w:lineRule="auto"/>
        <w:ind w:firstLine="708"/>
        <w:jc w:val="both"/>
        <w:rPr>
          <w:rFonts w:ascii="Cambria" w:hAnsi="Cambria"/>
          <w:strike/>
          <w:sz w:val="24"/>
          <w:szCs w:val="24"/>
        </w:rPr>
      </w:pPr>
      <w:r w:rsidRPr="000706D7">
        <w:rPr>
          <w:rFonts w:ascii="Cambria" w:hAnsi="Cambria"/>
          <w:sz w:val="24"/>
          <w:szCs w:val="24"/>
        </w:rPr>
        <w:t xml:space="preserve">Jednocześnie biorąc pod uwagę istotną rolę, jaką w utrzymaniu systemu egzekucji sądowej </w:t>
      </w:r>
      <w:r w:rsidR="00764BD2" w:rsidRPr="000706D7">
        <w:rPr>
          <w:rFonts w:ascii="Cambria" w:hAnsi="Cambria"/>
          <w:sz w:val="24"/>
          <w:szCs w:val="24"/>
        </w:rPr>
        <w:t xml:space="preserve">ma opłata egzekucyjna, wnioskodawcy </w:t>
      </w:r>
      <w:r w:rsidR="00844F76">
        <w:rPr>
          <w:rFonts w:ascii="Cambria" w:hAnsi="Cambria"/>
          <w:sz w:val="24"/>
          <w:szCs w:val="24"/>
        </w:rPr>
        <w:t>proponują</w:t>
      </w:r>
      <w:r w:rsidR="00764BD2" w:rsidRPr="000706D7">
        <w:rPr>
          <w:rFonts w:ascii="Cambria" w:hAnsi="Cambria"/>
          <w:sz w:val="24"/>
          <w:szCs w:val="24"/>
        </w:rPr>
        <w:t xml:space="preserve"> nowy mechanizm jej wyznaczania w sposób, który </w:t>
      </w:r>
      <w:r w:rsidR="00844F76">
        <w:rPr>
          <w:rFonts w:ascii="Cambria" w:hAnsi="Cambria"/>
          <w:sz w:val="24"/>
          <w:szCs w:val="24"/>
        </w:rPr>
        <w:t>powinien</w:t>
      </w:r>
      <w:r w:rsidR="00764BD2" w:rsidRPr="000706D7">
        <w:rPr>
          <w:rFonts w:ascii="Cambria" w:hAnsi="Cambria"/>
          <w:sz w:val="24"/>
          <w:szCs w:val="24"/>
        </w:rPr>
        <w:t xml:space="preserve"> być akceptowalny zarówno dla organu egzekucyjnego jak i dla zadłużonego podmiotu leczniczego niebędącego przedsiębiorcą. </w:t>
      </w:r>
      <w:r w:rsidR="00313A20" w:rsidRPr="000706D7">
        <w:rPr>
          <w:rFonts w:ascii="Cambria" w:hAnsi="Cambria"/>
          <w:sz w:val="24"/>
          <w:szCs w:val="24"/>
        </w:rPr>
        <w:t xml:space="preserve">Wskazanie w art. 1, niniejszej ustawy maksymalnej wysokości opłaty stosunkowej w wysokości pięciokrotności przeciętnego miesięcznego wynagrodzenia, w założeniu wnioskodawców, ma spowodować, </w:t>
      </w:r>
      <w:r w:rsidR="001030B9" w:rsidRPr="000706D7">
        <w:rPr>
          <w:rFonts w:ascii="Cambria" w:hAnsi="Cambria"/>
          <w:sz w:val="24"/>
          <w:szCs w:val="24"/>
        </w:rPr>
        <w:t xml:space="preserve">iż jej wysokość nie będzie li tylko symboliczna, lecz winna ona oddziaływać mobilizująco na podmioty zadłużone tak aby poprzez swą akceptowalną „dotkliwość”, były zdyscyplinowane w aspekcie planowania </w:t>
      </w:r>
      <w:r w:rsidR="001030B9" w:rsidRPr="00844F76">
        <w:rPr>
          <w:rFonts w:ascii="Cambria" w:hAnsi="Cambria"/>
          <w:sz w:val="24"/>
          <w:szCs w:val="24"/>
        </w:rPr>
        <w:t xml:space="preserve">wydatków. </w:t>
      </w:r>
    </w:p>
    <w:p w:rsidR="00611993" w:rsidRPr="000706D7" w:rsidRDefault="00611993" w:rsidP="00295697">
      <w:pPr>
        <w:spacing w:line="360" w:lineRule="auto"/>
        <w:ind w:firstLine="708"/>
        <w:jc w:val="both"/>
        <w:rPr>
          <w:rFonts w:asciiTheme="majorHAnsi" w:hAnsiTheme="majorHAnsi"/>
          <w:sz w:val="24"/>
          <w:szCs w:val="24"/>
        </w:rPr>
      </w:pPr>
      <w:r w:rsidRPr="000706D7">
        <w:rPr>
          <w:rFonts w:asciiTheme="majorHAnsi" w:hAnsiTheme="majorHAnsi"/>
          <w:sz w:val="24"/>
          <w:szCs w:val="24"/>
        </w:rPr>
        <w:t>Zakres podmiotów</w:t>
      </w:r>
      <w:r w:rsidR="00844F76">
        <w:rPr>
          <w:rFonts w:asciiTheme="majorHAnsi" w:hAnsiTheme="majorHAnsi"/>
          <w:sz w:val="24"/>
          <w:szCs w:val="24"/>
        </w:rPr>
        <w:t>,</w:t>
      </w:r>
      <w:r w:rsidRPr="000706D7">
        <w:rPr>
          <w:rFonts w:asciiTheme="majorHAnsi" w:hAnsiTheme="majorHAnsi"/>
          <w:sz w:val="24"/>
          <w:szCs w:val="24"/>
        </w:rPr>
        <w:t xml:space="preserve"> co do których </w:t>
      </w:r>
      <w:r w:rsidR="008151EB">
        <w:rPr>
          <w:rFonts w:asciiTheme="majorHAnsi" w:hAnsiTheme="majorHAnsi"/>
          <w:sz w:val="24"/>
          <w:szCs w:val="24"/>
        </w:rPr>
        <w:t xml:space="preserve">będą miały </w:t>
      </w:r>
      <w:r w:rsidRPr="000706D7">
        <w:rPr>
          <w:rFonts w:asciiTheme="majorHAnsi" w:hAnsiTheme="majorHAnsi"/>
          <w:sz w:val="24"/>
          <w:szCs w:val="24"/>
        </w:rPr>
        <w:t xml:space="preserve">zastosowanie nowe przepisy wyznacza definicja legalna podmiotów leczniczych </w:t>
      </w:r>
      <w:r w:rsidR="008E5F3E" w:rsidRPr="000706D7">
        <w:rPr>
          <w:rFonts w:asciiTheme="majorHAnsi" w:hAnsiTheme="majorHAnsi"/>
          <w:sz w:val="24"/>
          <w:szCs w:val="24"/>
        </w:rPr>
        <w:t xml:space="preserve">niebędących przedsiębiorcami </w:t>
      </w:r>
      <w:r w:rsidRPr="000706D7">
        <w:rPr>
          <w:rFonts w:asciiTheme="majorHAnsi" w:hAnsiTheme="majorHAnsi"/>
          <w:sz w:val="24"/>
          <w:szCs w:val="24"/>
        </w:rPr>
        <w:t>wyrażona w</w:t>
      </w:r>
      <w:r w:rsidR="00296F02">
        <w:rPr>
          <w:rFonts w:asciiTheme="majorHAnsi" w:hAnsiTheme="majorHAnsi"/>
          <w:sz w:val="24"/>
          <w:szCs w:val="24"/>
        </w:rPr>
        <w:t xml:space="preserve"> ustawie</w:t>
      </w:r>
      <w:r w:rsidRPr="000706D7">
        <w:rPr>
          <w:rFonts w:asciiTheme="majorHAnsi" w:hAnsiTheme="majorHAnsi"/>
          <w:sz w:val="24"/>
          <w:szCs w:val="24"/>
        </w:rPr>
        <w:t xml:space="preserve"> z dnia 15 kwietnia 20</w:t>
      </w:r>
      <w:r w:rsidR="005D7DCC" w:rsidRPr="000706D7">
        <w:rPr>
          <w:rFonts w:asciiTheme="majorHAnsi" w:hAnsiTheme="majorHAnsi"/>
          <w:sz w:val="24"/>
          <w:szCs w:val="24"/>
        </w:rPr>
        <w:t>15r. o działalności leczniczej (Dz.U. 2011 Nr 112 poz. 654</w:t>
      </w:r>
      <w:r w:rsidR="00AA6F40" w:rsidRPr="000706D7">
        <w:rPr>
          <w:rFonts w:asciiTheme="majorHAnsi" w:hAnsiTheme="majorHAnsi"/>
          <w:sz w:val="24"/>
          <w:szCs w:val="24"/>
        </w:rPr>
        <w:t>),</w:t>
      </w:r>
      <w:r w:rsidR="006F08FC" w:rsidRPr="000706D7">
        <w:rPr>
          <w:rFonts w:asciiTheme="majorHAnsi" w:hAnsiTheme="majorHAnsi"/>
          <w:sz w:val="24"/>
          <w:szCs w:val="24"/>
        </w:rPr>
        <w:t xml:space="preserve"> tj. </w:t>
      </w:r>
      <w:r w:rsidR="00295697" w:rsidRPr="000706D7">
        <w:rPr>
          <w:rFonts w:asciiTheme="majorHAnsi" w:hAnsiTheme="majorHAnsi"/>
          <w:sz w:val="24"/>
          <w:szCs w:val="24"/>
        </w:rPr>
        <w:t>art. 2 ust. 1</w:t>
      </w:r>
      <w:r w:rsidR="00304DEF" w:rsidRPr="000706D7">
        <w:rPr>
          <w:rFonts w:asciiTheme="majorHAnsi" w:hAnsiTheme="majorHAnsi"/>
          <w:sz w:val="24"/>
          <w:szCs w:val="24"/>
        </w:rPr>
        <w:t xml:space="preserve"> pkt 4 powołanej wyżej ustawy. T</w:t>
      </w:r>
      <w:r w:rsidR="00AA6F40" w:rsidRPr="000706D7">
        <w:rPr>
          <w:rFonts w:asciiTheme="majorHAnsi" w:hAnsiTheme="majorHAnsi"/>
          <w:sz w:val="24"/>
          <w:szCs w:val="24"/>
        </w:rPr>
        <w:t xml:space="preserve">akie doprecyzowanie </w:t>
      </w:r>
      <w:r w:rsidR="00304DEF" w:rsidRPr="000706D7">
        <w:rPr>
          <w:rFonts w:asciiTheme="majorHAnsi" w:hAnsiTheme="majorHAnsi"/>
          <w:sz w:val="24"/>
          <w:szCs w:val="24"/>
        </w:rPr>
        <w:t xml:space="preserve"> kręgu </w:t>
      </w:r>
      <w:r w:rsidR="00AA6F40" w:rsidRPr="000706D7">
        <w:rPr>
          <w:rFonts w:asciiTheme="majorHAnsi" w:hAnsiTheme="majorHAnsi"/>
          <w:sz w:val="24"/>
          <w:szCs w:val="24"/>
        </w:rPr>
        <w:t>podmiotów</w:t>
      </w:r>
      <w:r w:rsidR="00304DEF" w:rsidRPr="000706D7">
        <w:rPr>
          <w:rFonts w:asciiTheme="majorHAnsi" w:hAnsiTheme="majorHAnsi"/>
          <w:sz w:val="24"/>
          <w:szCs w:val="24"/>
        </w:rPr>
        <w:t xml:space="preserve"> objętych nową regulacją</w:t>
      </w:r>
      <w:r w:rsidR="00AA6F40" w:rsidRPr="000706D7">
        <w:rPr>
          <w:rFonts w:asciiTheme="majorHAnsi" w:hAnsiTheme="majorHAnsi"/>
          <w:sz w:val="24"/>
          <w:szCs w:val="24"/>
        </w:rPr>
        <w:t xml:space="preserve"> wynika z trudnej sytuacji podmiotów leczniczych niebędących przedsiębiorcami tj. </w:t>
      </w:r>
      <w:r w:rsidR="00295697" w:rsidRPr="000706D7">
        <w:rPr>
          <w:rFonts w:asciiTheme="majorHAnsi" w:hAnsiTheme="majorHAnsi"/>
          <w:sz w:val="24"/>
          <w:szCs w:val="24"/>
        </w:rPr>
        <w:t>przede wszystkim</w:t>
      </w:r>
      <w:r w:rsidR="00AA6F40" w:rsidRPr="000706D7">
        <w:rPr>
          <w:rFonts w:asciiTheme="majorHAnsi" w:hAnsiTheme="majorHAnsi"/>
          <w:sz w:val="24"/>
          <w:szCs w:val="24"/>
        </w:rPr>
        <w:t xml:space="preserve"> Samodzielnych Publicznych Zakładów Opieki Zdrowotnej. </w:t>
      </w:r>
      <w:r w:rsidR="00304DEF" w:rsidRPr="000706D7">
        <w:rPr>
          <w:rFonts w:asciiTheme="majorHAnsi" w:hAnsiTheme="majorHAnsi"/>
          <w:sz w:val="24"/>
          <w:szCs w:val="24"/>
        </w:rPr>
        <w:t xml:space="preserve">Jednocześnie należy stwierdzić, że nie </w:t>
      </w:r>
      <w:r w:rsidR="00304DEF" w:rsidRPr="000706D7">
        <w:rPr>
          <w:rFonts w:asciiTheme="majorHAnsi" w:hAnsiTheme="majorHAnsi"/>
          <w:sz w:val="24"/>
          <w:szCs w:val="24"/>
        </w:rPr>
        <w:lastRenderedPageBreak/>
        <w:t xml:space="preserve">występują przesłanki aby proponowany mechanizm </w:t>
      </w:r>
      <w:r w:rsidR="00AA6F40" w:rsidRPr="000706D7">
        <w:rPr>
          <w:rFonts w:asciiTheme="majorHAnsi" w:hAnsiTheme="majorHAnsi"/>
          <w:sz w:val="24"/>
          <w:szCs w:val="24"/>
        </w:rPr>
        <w:t xml:space="preserve">rozciągnąć także na podmioty lecznicze będące przedsiębiorcami i działające w warunkach rynkowych, mające na celu osiąganie zysku. </w:t>
      </w:r>
    </w:p>
    <w:p w:rsidR="000C2322" w:rsidRPr="000706D7" w:rsidRDefault="00A44D65" w:rsidP="00343C26">
      <w:pPr>
        <w:spacing w:line="360" w:lineRule="auto"/>
        <w:ind w:firstLine="708"/>
        <w:jc w:val="both"/>
        <w:rPr>
          <w:rFonts w:asciiTheme="majorHAnsi" w:hAnsiTheme="majorHAnsi"/>
          <w:sz w:val="24"/>
          <w:szCs w:val="24"/>
        </w:rPr>
      </w:pPr>
      <w:r w:rsidRPr="000706D7">
        <w:rPr>
          <w:rFonts w:asciiTheme="majorHAnsi" w:hAnsiTheme="majorHAnsi"/>
          <w:sz w:val="24"/>
          <w:szCs w:val="24"/>
        </w:rPr>
        <w:t>Podstawowa wysokość opłaty egzekucyjnej została określona w proponowanym zapisie jako 8% wartości wyegzekwowanego świadczenia –</w:t>
      </w:r>
      <w:r w:rsidR="00304DEF" w:rsidRPr="000706D7">
        <w:rPr>
          <w:rFonts w:asciiTheme="majorHAnsi" w:hAnsiTheme="majorHAnsi"/>
          <w:sz w:val="24"/>
          <w:szCs w:val="24"/>
        </w:rPr>
        <w:t xml:space="preserve"> rozwiązanie takie jest tożsame</w:t>
      </w:r>
      <w:r w:rsidRPr="000706D7">
        <w:rPr>
          <w:rFonts w:asciiTheme="majorHAnsi" w:hAnsiTheme="majorHAnsi"/>
          <w:sz w:val="24"/>
          <w:szCs w:val="24"/>
        </w:rPr>
        <w:t xml:space="preserve"> jak w prz</w:t>
      </w:r>
      <w:r w:rsidR="00F358A4" w:rsidRPr="000706D7">
        <w:rPr>
          <w:rFonts w:asciiTheme="majorHAnsi" w:hAnsiTheme="majorHAnsi"/>
          <w:sz w:val="24"/>
          <w:szCs w:val="24"/>
        </w:rPr>
        <w:t>ypadku zajęcia rachunku bankowego dłużnika. W uzasadnieniu postanowienia z dnia 17 stycznia 2014r. Sądu Okręgowego w Bydgoszczy sygn.</w:t>
      </w:r>
      <w:r w:rsidR="00700B53" w:rsidRPr="000706D7">
        <w:rPr>
          <w:rFonts w:asciiTheme="majorHAnsi" w:hAnsiTheme="majorHAnsi"/>
          <w:sz w:val="24"/>
          <w:szCs w:val="24"/>
        </w:rPr>
        <w:t xml:space="preserve"> akt II </w:t>
      </w:r>
      <w:proofErr w:type="spellStart"/>
      <w:r w:rsidR="00700B53" w:rsidRPr="000706D7">
        <w:rPr>
          <w:rFonts w:asciiTheme="majorHAnsi" w:hAnsiTheme="majorHAnsi"/>
          <w:sz w:val="24"/>
          <w:szCs w:val="24"/>
        </w:rPr>
        <w:t>Cz</w:t>
      </w:r>
      <w:proofErr w:type="spellEnd"/>
      <w:r w:rsidR="00700B53" w:rsidRPr="000706D7">
        <w:rPr>
          <w:rFonts w:asciiTheme="majorHAnsi" w:hAnsiTheme="majorHAnsi"/>
          <w:sz w:val="24"/>
          <w:szCs w:val="24"/>
        </w:rPr>
        <w:t xml:space="preserve"> 740/13, Sąd Okręgowy trafnie wskazał, iż egzekucja z wierzytelności należnych dłużnikowi we właściwym Oddziale Narodowego Funduszu Zdrowia</w:t>
      </w:r>
      <w:r w:rsidR="00304DEF" w:rsidRPr="000706D7">
        <w:rPr>
          <w:rFonts w:asciiTheme="majorHAnsi" w:hAnsiTheme="majorHAnsi"/>
          <w:sz w:val="24"/>
          <w:szCs w:val="24"/>
        </w:rPr>
        <w:t xml:space="preserve"> zbliżona jest do egzekucji z rachunku bankowego. </w:t>
      </w:r>
      <w:r w:rsidR="00F7641E" w:rsidRPr="000706D7">
        <w:rPr>
          <w:rFonts w:asciiTheme="majorHAnsi" w:hAnsiTheme="majorHAnsi"/>
          <w:sz w:val="24"/>
          <w:szCs w:val="24"/>
        </w:rPr>
        <w:t xml:space="preserve">Minimalna </w:t>
      </w:r>
      <w:r w:rsidR="0059211E">
        <w:rPr>
          <w:rFonts w:asciiTheme="majorHAnsi" w:hAnsiTheme="majorHAnsi"/>
          <w:sz w:val="24"/>
          <w:szCs w:val="24"/>
        </w:rPr>
        <w:t xml:space="preserve">wysokość </w:t>
      </w:r>
      <w:r w:rsidR="00F7641E" w:rsidRPr="000706D7">
        <w:rPr>
          <w:rFonts w:asciiTheme="majorHAnsi" w:hAnsiTheme="majorHAnsi"/>
          <w:sz w:val="24"/>
          <w:szCs w:val="24"/>
        </w:rPr>
        <w:t xml:space="preserve">opłaty egzekucyjnej została przyjęta </w:t>
      </w:r>
      <w:r w:rsidR="00F7641E" w:rsidRPr="000706D7">
        <w:rPr>
          <w:rFonts w:asciiTheme="majorHAnsi" w:hAnsiTheme="majorHAnsi"/>
          <w:i/>
          <w:sz w:val="24"/>
          <w:szCs w:val="24"/>
        </w:rPr>
        <w:t xml:space="preserve">per </w:t>
      </w:r>
      <w:proofErr w:type="spellStart"/>
      <w:r w:rsidR="00F7641E" w:rsidRPr="000706D7">
        <w:rPr>
          <w:rFonts w:asciiTheme="majorHAnsi" w:hAnsiTheme="majorHAnsi"/>
          <w:i/>
          <w:sz w:val="24"/>
          <w:szCs w:val="24"/>
        </w:rPr>
        <w:t>analogam</w:t>
      </w:r>
      <w:proofErr w:type="spellEnd"/>
      <w:r w:rsidR="00F7641E" w:rsidRPr="000706D7">
        <w:rPr>
          <w:rFonts w:asciiTheme="majorHAnsi" w:hAnsiTheme="majorHAnsi"/>
          <w:sz w:val="24"/>
          <w:szCs w:val="24"/>
        </w:rPr>
        <w:t xml:space="preserve">, </w:t>
      </w:r>
      <w:r w:rsidR="00296F02">
        <w:rPr>
          <w:rFonts w:asciiTheme="majorHAnsi" w:hAnsiTheme="majorHAnsi"/>
          <w:sz w:val="24"/>
          <w:szCs w:val="24"/>
        </w:rPr>
        <w:t xml:space="preserve">jak w przypadku skierowania egzekucji do wierzytelności </w:t>
      </w:r>
      <w:r w:rsidR="00D3129F">
        <w:rPr>
          <w:rFonts w:asciiTheme="majorHAnsi" w:hAnsiTheme="majorHAnsi"/>
          <w:sz w:val="24"/>
          <w:szCs w:val="24"/>
        </w:rPr>
        <w:br/>
      </w:r>
      <w:r w:rsidR="00296F02">
        <w:rPr>
          <w:rFonts w:asciiTheme="majorHAnsi" w:hAnsiTheme="majorHAnsi"/>
          <w:sz w:val="24"/>
          <w:szCs w:val="24"/>
        </w:rPr>
        <w:t>z rachunku bankowego</w:t>
      </w:r>
      <w:r w:rsidR="00F7641E" w:rsidRPr="000706D7">
        <w:rPr>
          <w:rFonts w:asciiTheme="majorHAnsi" w:hAnsiTheme="majorHAnsi"/>
          <w:sz w:val="24"/>
          <w:szCs w:val="24"/>
        </w:rPr>
        <w:t xml:space="preserve">. </w:t>
      </w:r>
      <w:r w:rsidR="0020004A" w:rsidRPr="000706D7">
        <w:rPr>
          <w:rFonts w:asciiTheme="majorHAnsi" w:hAnsiTheme="majorHAnsi"/>
          <w:sz w:val="24"/>
          <w:szCs w:val="24"/>
        </w:rPr>
        <w:t xml:space="preserve">Maksymalna wysokość opłaty stosunkowej w wypadku prowadzenia postępowania egzekucyjnego przeciwko podmiotowi leczniczemu niebędącemu przedsiębiorcą,  </w:t>
      </w:r>
      <w:r w:rsidR="0059211E">
        <w:rPr>
          <w:rFonts w:asciiTheme="majorHAnsi" w:hAnsiTheme="majorHAnsi"/>
          <w:sz w:val="24"/>
          <w:szCs w:val="24"/>
        </w:rPr>
        <w:t>została zaproponowana z uwzględnieniem faktycznego</w:t>
      </w:r>
      <w:r w:rsidR="0020004A" w:rsidRPr="000706D7">
        <w:rPr>
          <w:rFonts w:asciiTheme="majorHAnsi" w:hAnsiTheme="majorHAnsi"/>
          <w:sz w:val="24"/>
          <w:szCs w:val="24"/>
        </w:rPr>
        <w:t xml:space="preserve"> nakład</w:t>
      </w:r>
      <w:r w:rsidR="0059211E">
        <w:rPr>
          <w:rFonts w:asciiTheme="majorHAnsi" w:hAnsiTheme="majorHAnsi"/>
          <w:sz w:val="24"/>
          <w:szCs w:val="24"/>
        </w:rPr>
        <w:t>u</w:t>
      </w:r>
      <w:r w:rsidR="0020004A" w:rsidRPr="000706D7">
        <w:rPr>
          <w:rFonts w:asciiTheme="majorHAnsi" w:hAnsiTheme="majorHAnsi"/>
          <w:sz w:val="24"/>
          <w:szCs w:val="24"/>
        </w:rPr>
        <w:t xml:space="preserve"> pracy komornika sądowego w postępowaniach przeciwko podmiotom leczniczym niebędącym przedsiębiorcami. </w:t>
      </w:r>
    </w:p>
    <w:p w:rsidR="0020004A" w:rsidRPr="000706D7" w:rsidRDefault="0020004A" w:rsidP="00E03F09">
      <w:pPr>
        <w:spacing w:line="360" w:lineRule="auto"/>
        <w:jc w:val="both"/>
        <w:rPr>
          <w:rFonts w:asciiTheme="majorHAnsi" w:hAnsiTheme="majorHAnsi"/>
          <w:b/>
          <w:sz w:val="24"/>
          <w:szCs w:val="24"/>
        </w:rPr>
      </w:pPr>
      <w:r w:rsidRPr="000706D7">
        <w:rPr>
          <w:rFonts w:asciiTheme="majorHAnsi" w:hAnsiTheme="majorHAnsi"/>
          <w:b/>
          <w:sz w:val="24"/>
          <w:szCs w:val="24"/>
        </w:rPr>
        <w:t>Art. 2.</w:t>
      </w:r>
    </w:p>
    <w:p w:rsidR="0020004A" w:rsidRPr="008151EB" w:rsidRDefault="00D33FBF" w:rsidP="00E03F09">
      <w:pPr>
        <w:spacing w:line="360" w:lineRule="auto"/>
        <w:jc w:val="both"/>
        <w:rPr>
          <w:rFonts w:asciiTheme="majorHAnsi" w:hAnsiTheme="majorHAnsi"/>
          <w:sz w:val="24"/>
          <w:szCs w:val="24"/>
        </w:rPr>
      </w:pPr>
      <w:r w:rsidRPr="000706D7">
        <w:rPr>
          <w:rFonts w:asciiTheme="majorHAnsi" w:hAnsiTheme="majorHAnsi"/>
          <w:sz w:val="24"/>
          <w:szCs w:val="24"/>
        </w:rPr>
        <w:t>Przepis art. 2, ma cha</w:t>
      </w:r>
      <w:r w:rsidR="00343C26" w:rsidRPr="000706D7">
        <w:rPr>
          <w:rFonts w:asciiTheme="majorHAnsi" w:hAnsiTheme="majorHAnsi"/>
          <w:sz w:val="24"/>
          <w:szCs w:val="24"/>
        </w:rPr>
        <w:t>rakter przejściowy. Wnioskodawcy zdają</w:t>
      </w:r>
      <w:r w:rsidR="00304DEF" w:rsidRPr="000706D7">
        <w:rPr>
          <w:rFonts w:asciiTheme="majorHAnsi" w:hAnsiTheme="majorHAnsi"/>
          <w:sz w:val="24"/>
          <w:szCs w:val="24"/>
        </w:rPr>
        <w:t xml:space="preserve"> sobie sprawę, ż</w:t>
      </w:r>
      <w:r w:rsidRPr="000706D7">
        <w:rPr>
          <w:rFonts w:asciiTheme="majorHAnsi" w:hAnsiTheme="majorHAnsi"/>
          <w:sz w:val="24"/>
          <w:szCs w:val="24"/>
        </w:rPr>
        <w:t xml:space="preserve">e wprowadzenie zmiany w ustawie o komornikach sądowych </w:t>
      </w:r>
      <w:r w:rsidR="008151EB">
        <w:rPr>
          <w:rFonts w:asciiTheme="majorHAnsi" w:hAnsiTheme="majorHAnsi"/>
          <w:sz w:val="24"/>
          <w:szCs w:val="24"/>
        </w:rPr>
        <w:t xml:space="preserve">i egzekucji </w:t>
      </w:r>
      <w:r w:rsidRPr="000706D7">
        <w:rPr>
          <w:rFonts w:asciiTheme="majorHAnsi" w:hAnsiTheme="majorHAnsi"/>
          <w:sz w:val="24"/>
          <w:szCs w:val="24"/>
        </w:rPr>
        <w:t>skutkowałoby nadmiernym obciążeniem organów egzekucyjnym w zakres</w:t>
      </w:r>
      <w:r w:rsidR="006F2C55" w:rsidRPr="000706D7">
        <w:rPr>
          <w:rFonts w:asciiTheme="majorHAnsi" w:hAnsiTheme="majorHAnsi"/>
          <w:sz w:val="24"/>
          <w:szCs w:val="24"/>
        </w:rPr>
        <w:t>ie już toczących się postępowań, zarówno pod względem organizacyjnym jak i finansowym.</w:t>
      </w:r>
      <w:r w:rsidRPr="000706D7">
        <w:rPr>
          <w:rFonts w:asciiTheme="majorHAnsi" w:hAnsiTheme="majorHAnsi"/>
          <w:sz w:val="24"/>
          <w:szCs w:val="24"/>
        </w:rPr>
        <w:t xml:space="preserve"> Zachodził</w:t>
      </w:r>
      <w:r w:rsidR="00343C26" w:rsidRPr="000706D7">
        <w:rPr>
          <w:rFonts w:asciiTheme="majorHAnsi" w:hAnsiTheme="majorHAnsi"/>
          <w:sz w:val="24"/>
          <w:szCs w:val="24"/>
        </w:rPr>
        <w:t>aby wówczas konieczność ponowne</w:t>
      </w:r>
      <w:r w:rsidRPr="000706D7">
        <w:rPr>
          <w:rFonts w:asciiTheme="majorHAnsi" w:hAnsiTheme="majorHAnsi"/>
          <w:sz w:val="24"/>
          <w:szCs w:val="24"/>
        </w:rPr>
        <w:t xml:space="preserve">go przeliczania opłaty stosunkowej, co mogłoby generować koszty po stronie organów egzekucyjnych. Wobec tego nowe zasady </w:t>
      </w:r>
      <w:r w:rsidR="000C2322" w:rsidRPr="000706D7">
        <w:rPr>
          <w:rFonts w:asciiTheme="majorHAnsi" w:hAnsiTheme="majorHAnsi"/>
          <w:sz w:val="24"/>
          <w:szCs w:val="24"/>
        </w:rPr>
        <w:t xml:space="preserve">naliczania opłaty egzekucyjnej </w:t>
      </w:r>
      <w:r w:rsidR="000C2322" w:rsidRPr="008151EB">
        <w:rPr>
          <w:rFonts w:asciiTheme="majorHAnsi" w:hAnsiTheme="majorHAnsi"/>
          <w:sz w:val="24"/>
          <w:szCs w:val="24"/>
        </w:rPr>
        <w:t xml:space="preserve">będą miały zastosowanie do postępowań wszczętych </w:t>
      </w:r>
      <w:r w:rsidR="008151EB" w:rsidRPr="008151EB">
        <w:rPr>
          <w:rFonts w:asciiTheme="majorHAnsi" w:hAnsiTheme="majorHAnsi"/>
          <w:sz w:val="24"/>
          <w:szCs w:val="24"/>
        </w:rPr>
        <w:t>od dnia wejścia w życie  niniejszej ustawy</w:t>
      </w:r>
    </w:p>
    <w:p w:rsidR="00901AD3" w:rsidRPr="000706D7" w:rsidRDefault="00901AD3" w:rsidP="00E03F09">
      <w:pPr>
        <w:spacing w:line="360" w:lineRule="auto"/>
        <w:jc w:val="both"/>
        <w:rPr>
          <w:rFonts w:asciiTheme="majorHAnsi" w:hAnsiTheme="majorHAnsi"/>
          <w:b/>
          <w:sz w:val="24"/>
          <w:szCs w:val="24"/>
        </w:rPr>
      </w:pPr>
      <w:r w:rsidRPr="000706D7">
        <w:rPr>
          <w:rFonts w:asciiTheme="majorHAnsi" w:hAnsiTheme="majorHAnsi"/>
          <w:b/>
          <w:sz w:val="24"/>
          <w:szCs w:val="24"/>
        </w:rPr>
        <w:t>Art. 3.</w:t>
      </w:r>
    </w:p>
    <w:p w:rsidR="006F2C55" w:rsidRPr="00C765B4" w:rsidRDefault="00901AD3" w:rsidP="00C765B4">
      <w:pPr>
        <w:spacing w:line="360" w:lineRule="auto"/>
        <w:jc w:val="both"/>
        <w:rPr>
          <w:rFonts w:ascii="Cambria" w:hAnsi="Cambria"/>
          <w:sz w:val="24"/>
          <w:szCs w:val="24"/>
        </w:rPr>
      </w:pPr>
      <w:r w:rsidRPr="000706D7">
        <w:rPr>
          <w:rFonts w:asciiTheme="majorHAnsi" w:hAnsiTheme="majorHAnsi"/>
          <w:sz w:val="24"/>
          <w:szCs w:val="24"/>
        </w:rPr>
        <w:t xml:space="preserve">Termin </w:t>
      </w:r>
      <w:r w:rsidRPr="000706D7">
        <w:rPr>
          <w:rFonts w:asciiTheme="majorHAnsi" w:hAnsiTheme="majorHAnsi"/>
          <w:i/>
          <w:sz w:val="24"/>
          <w:szCs w:val="24"/>
        </w:rPr>
        <w:t>vacatio legis</w:t>
      </w:r>
      <w:r w:rsidRPr="000706D7">
        <w:rPr>
          <w:rFonts w:asciiTheme="majorHAnsi" w:hAnsiTheme="majorHAnsi"/>
          <w:sz w:val="24"/>
          <w:szCs w:val="24"/>
        </w:rPr>
        <w:t xml:space="preserve">, wyznaczony przez wnioskodawców, ma umożliwić zapoznanie się </w:t>
      </w:r>
      <w:r w:rsidR="008151EB">
        <w:rPr>
          <w:rFonts w:asciiTheme="majorHAnsi" w:hAnsiTheme="majorHAnsi"/>
          <w:sz w:val="24"/>
          <w:szCs w:val="24"/>
        </w:rPr>
        <w:t>przez organy egzekucyjne</w:t>
      </w:r>
      <w:r w:rsidRPr="000706D7">
        <w:rPr>
          <w:rFonts w:asciiTheme="majorHAnsi" w:hAnsiTheme="majorHAnsi"/>
          <w:sz w:val="24"/>
          <w:szCs w:val="24"/>
        </w:rPr>
        <w:t xml:space="preserve"> z nowymi regulacjami oraz sprawne wprowadzenie nowego mechanizmu naliczania opłaty stosunkowej. </w:t>
      </w:r>
      <w:r w:rsidR="000E0B12" w:rsidRPr="000706D7">
        <w:rPr>
          <w:rFonts w:asciiTheme="majorHAnsi" w:hAnsiTheme="majorHAnsi"/>
          <w:sz w:val="24"/>
          <w:szCs w:val="24"/>
        </w:rPr>
        <w:t>W opi</w:t>
      </w:r>
      <w:r w:rsidR="00C765B4">
        <w:rPr>
          <w:rFonts w:asciiTheme="majorHAnsi" w:hAnsiTheme="majorHAnsi"/>
          <w:sz w:val="24"/>
          <w:szCs w:val="24"/>
        </w:rPr>
        <w:t xml:space="preserve">nii wnioskodawców termin 14 </w:t>
      </w:r>
      <w:r w:rsidR="000E0B12" w:rsidRPr="000706D7">
        <w:rPr>
          <w:rFonts w:asciiTheme="majorHAnsi" w:hAnsiTheme="majorHAnsi"/>
          <w:sz w:val="24"/>
          <w:szCs w:val="24"/>
        </w:rPr>
        <w:t>dni</w:t>
      </w:r>
      <w:r w:rsidR="00C765B4" w:rsidRPr="00C765B4">
        <w:rPr>
          <w:rFonts w:ascii="Cambria" w:hAnsi="Cambria"/>
          <w:sz w:val="24"/>
          <w:szCs w:val="24"/>
        </w:rPr>
        <w:t xml:space="preserve"> </w:t>
      </w:r>
      <w:r w:rsidR="008151EB">
        <w:rPr>
          <w:rFonts w:ascii="Cambria" w:hAnsi="Cambria"/>
          <w:sz w:val="24"/>
          <w:szCs w:val="24"/>
        </w:rPr>
        <w:t>od dnia ogłoszenia ustawy</w:t>
      </w:r>
      <w:r w:rsidR="000E0B12" w:rsidRPr="000706D7">
        <w:rPr>
          <w:rFonts w:asciiTheme="majorHAnsi" w:hAnsiTheme="majorHAnsi"/>
          <w:sz w:val="24"/>
          <w:szCs w:val="24"/>
        </w:rPr>
        <w:t xml:space="preserve"> jest wystarczający dla podmiotów egzekucyjnych do zapoznania się </w:t>
      </w:r>
      <w:r w:rsidR="004E456D" w:rsidRPr="000706D7">
        <w:rPr>
          <w:rFonts w:asciiTheme="majorHAnsi" w:hAnsiTheme="majorHAnsi"/>
          <w:sz w:val="24"/>
          <w:szCs w:val="24"/>
        </w:rPr>
        <w:t xml:space="preserve">z nową regulacją. </w:t>
      </w:r>
    </w:p>
    <w:p w:rsidR="00170B3A" w:rsidRPr="000706D7" w:rsidRDefault="00170B3A" w:rsidP="00E03F09">
      <w:pPr>
        <w:spacing w:line="360" w:lineRule="auto"/>
        <w:jc w:val="both"/>
        <w:rPr>
          <w:rFonts w:asciiTheme="majorHAnsi" w:hAnsiTheme="majorHAnsi"/>
          <w:b/>
          <w:sz w:val="24"/>
          <w:szCs w:val="24"/>
        </w:rPr>
      </w:pPr>
      <w:r w:rsidRPr="000706D7">
        <w:rPr>
          <w:rFonts w:asciiTheme="majorHAnsi" w:hAnsiTheme="majorHAnsi"/>
          <w:b/>
          <w:sz w:val="24"/>
          <w:szCs w:val="24"/>
        </w:rPr>
        <w:lastRenderedPageBreak/>
        <w:t>Ocena Skutków Regulacji</w:t>
      </w:r>
    </w:p>
    <w:p w:rsidR="00AD0FF3" w:rsidRPr="000706D7" w:rsidRDefault="00AD0FF3" w:rsidP="008151EB">
      <w:pPr>
        <w:spacing w:line="360" w:lineRule="auto"/>
        <w:ind w:firstLine="360"/>
        <w:jc w:val="both"/>
        <w:rPr>
          <w:rFonts w:asciiTheme="majorHAnsi" w:hAnsiTheme="majorHAnsi"/>
          <w:sz w:val="24"/>
          <w:szCs w:val="24"/>
        </w:rPr>
      </w:pPr>
      <w:r w:rsidRPr="000706D7">
        <w:rPr>
          <w:rFonts w:asciiTheme="majorHAnsi" w:hAnsiTheme="majorHAnsi"/>
          <w:sz w:val="24"/>
          <w:szCs w:val="24"/>
        </w:rPr>
        <w:t>Stan zadłużenia podmiotów leczniczych niebędących przedsiębiorcami w Polsce jest problemem niezwykle złożonym i p</w:t>
      </w:r>
      <w:r w:rsidR="00BE245C" w:rsidRPr="000706D7">
        <w:rPr>
          <w:rFonts w:asciiTheme="majorHAnsi" w:hAnsiTheme="majorHAnsi"/>
          <w:sz w:val="24"/>
          <w:szCs w:val="24"/>
        </w:rPr>
        <w:t xml:space="preserve">ogłębiającym się. </w:t>
      </w:r>
      <w:r w:rsidR="00C710CA" w:rsidRPr="000706D7">
        <w:rPr>
          <w:rFonts w:asciiTheme="majorHAnsi" w:hAnsiTheme="majorHAnsi"/>
          <w:sz w:val="24"/>
          <w:szCs w:val="24"/>
        </w:rPr>
        <w:t>Bezpośrednio regulacja obejmie około 1300 komorników sądowych oraz</w:t>
      </w:r>
      <w:r w:rsidR="004E456D" w:rsidRPr="000706D7">
        <w:rPr>
          <w:rFonts w:asciiTheme="majorHAnsi" w:hAnsiTheme="majorHAnsi"/>
          <w:sz w:val="24"/>
          <w:szCs w:val="24"/>
        </w:rPr>
        <w:t xml:space="preserve"> </w:t>
      </w:r>
      <w:r w:rsidR="001A7F9F" w:rsidRPr="000706D7">
        <w:rPr>
          <w:rFonts w:asciiTheme="majorHAnsi" w:hAnsiTheme="majorHAnsi"/>
          <w:sz w:val="24"/>
          <w:szCs w:val="24"/>
        </w:rPr>
        <w:t>około 1.000 szpitali.</w:t>
      </w:r>
      <w:r w:rsidR="00C710CA" w:rsidRPr="000706D7">
        <w:rPr>
          <w:rFonts w:asciiTheme="majorHAnsi" w:hAnsiTheme="majorHAnsi"/>
          <w:sz w:val="24"/>
          <w:szCs w:val="24"/>
        </w:rPr>
        <w:t xml:space="preserve"> </w:t>
      </w:r>
      <w:r w:rsidR="00BE245C" w:rsidRPr="000706D7">
        <w:rPr>
          <w:rFonts w:asciiTheme="majorHAnsi" w:hAnsiTheme="majorHAnsi"/>
          <w:sz w:val="24"/>
          <w:szCs w:val="24"/>
        </w:rPr>
        <w:t>Racjonalizacja wysokości opłaty stosun</w:t>
      </w:r>
      <w:r w:rsidR="00B15FB2" w:rsidRPr="000706D7">
        <w:rPr>
          <w:rFonts w:asciiTheme="majorHAnsi" w:hAnsiTheme="majorHAnsi"/>
          <w:sz w:val="24"/>
          <w:szCs w:val="24"/>
        </w:rPr>
        <w:t>kowej w odniesieniu do podmiotów leczniczych pozwoli na zwiększenie faktycznie dostępnych środków, co może pozytywnie wpłynąć na jakość</w:t>
      </w:r>
      <w:r w:rsidR="00D53EF8" w:rsidRPr="000706D7">
        <w:rPr>
          <w:rFonts w:asciiTheme="majorHAnsi" w:hAnsiTheme="majorHAnsi"/>
          <w:sz w:val="24"/>
          <w:szCs w:val="24"/>
        </w:rPr>
        <w:t xml:space="preserve"> świadczonych usług medycznych. Konsekwencją wprowadzenia proponowanej nowelizacji </w:t>
      </w:r>
      <w:r w:rsidR="008151EB">
        <w:rPr>
          <w:rFonts w:asciiTheme="majorHAnsi" w:hAnsiTheme="majorHAnsi"/>
          <w:sz w:val="24"/>
          <w:szCs w:val="24"/>
        </w:rPr>
        <w:t>będzie</w:t>
      </w:r>
      <w:r w:rsidR="00D53EF8" w:rsidRPr="000706D7">
        <w:rPr>
          <w:rFonts w:asciiTheme="majorHAnsi" w:hAnsiTheme="majorHAnsi"/>
          <w:sz w:val="24"/>
          <w:szCs w:val="24"/>
        </w:rPr>
        <w:t xml:space="preserve"> także</w:t>
      </w:r>
      <w:r w:rsidR="008151EB">
        <w:rPr>
          <w:rFonts w:asciiTheme="majorHAnsi" w:hAnsiTheme="majorHAnsi"/>
          <w:sz w:val="24"/>
          <w:szCs w:val="24"/>
        </w:rPr>
        <w:t xml:space="preserve"> odciążenie systemu sądowego</w:t>
      </w:r>
      <w:r w:rsidR="00D53EF8" w:rsidRPr="000706D7">
        <w:rPr>
          <w:rFonts w:asciiTheme="majorHAnsi" w:hAnsiTheme="majorHAnsi"/>
          <w:sz w:val="24"/>
          <w:szCs w:val="24"/>
        </w:rPr>
        <w:t xml:space="preserve"> poprzez redukcję wniosków o zmniejszenie opłaty stosunkowej pobieranej od podmiotów leczniczych.</w:t>
      </w:r>
    </w:p>
    <w:p w:rsidR="000279C5" w:rsidRPr="008151EB" w:rsidRDefault="00C765B4" w:rsidP="00C765B4">
      <w:pPr>
        <w:spacing w:line="360" w:lineRule="auto"/>
        <w:ind w:firstLine="708"/>
        <w:jc w:val="both"/>
        <w:rPr>
          <w:rFonts w:asciiTheme="majorHAnsi" w:hAnsiTheme="majorHAnsi"/>
          <w:sz w:val="24"/>
          <w:szCs w:val="24"/>
        </w:rPr>
      </w:pPr>
      <w:r w:rsidRPr="008151EB">
        <w:rPr>
          <w:rFonts w:asciiTheme="majorHAnsi" w:hAnsiTheme="majorHAnsi"/>
          <w:sz w:val="24"/>
          <w:szCs w:val="24"/>
        </w:rPr>
        <w:t>Ponadto informujemy, iż projektowana regulacja wywoła pozytywne skutki społeczno-gospodarcze. Projekt jest zgodny z przepisami prawa europejskiego i nie powoduje kosztów dla budżetu państwa i jednostek samorządu terytorialnego.</w:t>
      </w:r>
    </w:p>
    <w:sectPr w:rsidR="000279C5" w:rsidRPr="008151EB" w:rsidSect="00596C0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696" w:rsidRDefault="00091696" w:rsidP="00016DE8">
      <w:pPr>
        <w:spacing w:after="0" w:line="240" w:lineRule="auto"/>
      </w:pPr>
      <w:r>
        <w:separator/>
      </w:r>
    </w:p>
  </w:endnote>
  <w:endnote w:type="continuationSeparator" w:id="0">
    <w:p w:rsidR="00091696" w:rsidRDefault="00091696" w:rsidP="00016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1126237419"/>
      <w:docPartObj>
        <w:docPartGallery w:val="Page Numbers (Bottom of Page)"/>
        <w:docPartUnique/>
      </w:docPartObj>
    </w:sdtPr>
    <w:sdtEndPr/>
    <w:sdtContent>
      <w:p w:rsidR="005959AF" w:rsidRDefault="005959AF" w:rsidP="005959AF">
        <w:pPr>
          <w:pStyle w:val="Stopka"/>
          <w:tabs>
            <w:tab w:val="left" w:pos="8370"/>
          </w:tabs>
          <w:rPr>
            <w:rFonts w:asciiTheme="majorHAnsi" w:eastAsiaTheme="majorEastAsia" w:hAnsiTheme="majorHAnsi" w:cstheme="majorBidi"/>
            <w:sz w:val="28"/>
            <w:szCs w:val="28"/>
          </w:rPr>
        </w:pPr>
        <w:r>
          <w:rPr>
            <w:rFonts w:asciiTheme="majorHAnsi" w:eastAsiaTheme="majorEastAsia" w:hAnsiTheme="majorHAnsi" w:cstheme="majorBidi"/>
            <w:sz w:val="28"/>
            <w:szCs w:val="28"/>
          </w:rPr>
          <w:tab/>
        </w:r>
        <w:r>
          <w:rPr>
            <w:rFonts w:asciiTheme="majorHAnsi" w:eastAsiaTheme="majorEastAsia" w:hAnsiTheme="majorHAnsi" w:cstheme="majorBidi"/>
            <w:sz w:val="28"/>
            <w:szCs w:val="28"/>
          </w:rPr>
          <w:tab/>
        </w:r>
        <w:r>
          <w:rPr>
            <w:rFonts w:asciiTheme="majorHAnsi" w:eastAsiaTheme="majorEastAsia" w:hAnsiTheme="majorHAnsi" w:cstheme="majorBidi"/>
            <w:sz w:val="28"/>
            <w:szCs w:val="28"/>
          </w:rPr>
          <w:tab/>
        </w:r>
        <w:r w:rsidRPr="005959AF">
          <w:rPr>
            <w:rFonts w:asciiTheme="majorHAnsi" w:eastAsiaTheme="majorEastAsia" w:hAnsiTheme="majorHAnsi" w:cstheme="majorBidi"/>
            <w:sz w:val="18"/>
            <w:szCs w:val="28"/>
          </w:rPr>
          <w:t xml:space="preserve">str. </w:t>
        </w:r>
        <w:r w:rsidRPr="005959AF">
          <w:rPr>
            <w:rFonts w:eastAsiaTheme="minorEastAsia" w:cs="Times New Roman"/>
            <w:sz w:val="14"/>
          </w:rPr>
          <w:fldChar w:fldCharType="begin"/>
        </w:r>
        <w:r w:rsidRPr="005959AF">
          <w:rPr>
            <w:sz w:val="14"/>
          </w:rPr>
          <w:instrText>PAGE    \* MERGEFORMAT</w:instrText>
        </w:r>
        <w:r w:rsidRPr="005959AF">
          <w:rPr>
            <w:rFonts w:eastAsiaTheme="minorEastAsia" w:cs="Times New Roman"/>
            <w:sz w:val="14"/>
          </w:rPr>
          <w:fldChar w:fldCharType="separate"/>
        </w:r>
        <w:r w:rsidR="008C378D" w:rsidRPr="008C378D">
          <w:rPr>
            <w:rFonts w:asciiTheme="majorHAnsi" w:eastAsiaTheme="majorEastAsia" w:hAnsiTheme="majorHAnsi" w:cstheme="majorBidi"/>
            <w:noProof/>
            <w:sz w:val="18"/>
            <w:szCs w:val="28"/>
          </w:rPr>
          <w:t>1</w:t>
        </w:r>
        <w:r w:rsidRPr="005959AF">
          <w:rPr>
            <w:rFonts w:asciiTheme="majorHAnsi" w:eastAsiaTheme="majorEastAsia" w:hAnsiTheme="majorHAnsi" w:cstheme="majorBidi"/>
            <w:sz w:val="18"/>
            <w:szCs w:val="28"/>
          </w:rPr>
          <w:fldChar w:fldCharType="end"/>
        </w:r>
      </w:p>
    </w:sdtContent>
  </w:sdt>
  <w:p w:rsidR="005959AF" w:rsidRDefault="005959A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696" w:rsidRDefault="00091696" w:rsidP="00016DE8">
      <w:pPr>
        <w:spacing w:after="0" w:line="240" w:lineRule="auto"/>
      </w:pPr>
      <w:r>
        <w:separator/>
      </w:r>
    </w:p>
  </w:footnote>
  <w:footnote w:type="continuationSeparator" w:id="0">
    <w:p w:rsidR="00091696" w:rsidRDefault="00091696" w:rsidP="00016D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B2D72"/>
    <w:multiLevelType w:val="hybridMultilevel"/>
    <w:tmpl w:val="7E4A5E1C"/>
    <w:lvl w:ilvl="0" w:tplc="F3E070C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9C5"/>
    <w:rsid w:val="00016DE8"/>
    <w:rsid w:val="000279C5"/>
    <w:rsid w:val="00027DE8"/>
    <w:rsid w:val="0005059E"/>
    <w:rsid w:val="000706D7"/>
    <w:rsid w:val="00091696"/>
    <w:rsid w:val="000C2322"/>
    <w:rsid w:val="000E0B12"/>
    <w:rsid w:val="000E3C5E"/>
    <w:rsid w:val="000E4663"/>
    <w:rsid w:val="000F7175"/>
    <w:rsid w:val="0010185D"/>
    <w:rsid w:val="001030B9"/>
    <w:rsid w:val="00113262"/>
    <w:rsid w:val="0012016A"/>
    <w:rsid w:val="0012393D"/>
    <w:rsid w:val="00136A54"/>
    <w:rsid w:val="00170B3A"/>
    <w:rsid w:val="0019264B"/>
    <w:rsid w:val="00192AFC"/>
    <w:rsid w:val="001A7F9F"/>
    <w:rsid w:val="001C1F68"/>
    <w:rsid w:val="001C4F85"/>
    <w:rsid w:val="001E2FF7"/>
    <w:rsid w:val="001E3A2F"/>
    <w:rsid w:val="0020004A"/>
    <w:rsid w:val="00216EA6"/>
    <w:rsid w:val="00287535"/>
    <w:rsid w:val="00295697"/>
    <w:rsid w:val="00296F02"/>
    <w:rsid w:val="002A2EE8"/>
    <w:rsid w:val="002F5BFF"/>
    <w:rsid w:val="00302AE5"/>
    <w:rsid w:val="00304DEF"/>
    <w:rsid w:val="00312B40"/>
    <w:rsid w:val="00313A20"/>
    <w:rsid w:val="00335172"/>
    <w:rsid w:val="00343C26"/>
    <w:rsid w:val="00344FEC"/>
    <w:rsid w:val="003612CA"/>
    <w:rsid w:val="00370BBF"/>
    <w:rsid w:val="003D6C84"/>
    <w:rsid w:val="003E405B"/>
    <w:rsid w:val="003E6737"/>
    <w:rsid w:val="0042774E"/>
    <w:rsid w:val="00435A58"/>
    <w:rsid w:val="0045266C"/>
    <w:rsid w:val="00493611"/>
    <w:rsid w:val="004C648C"/>
    <w:rsid w:val="004C74D4"/>
    <w:rsid w:val="004E456D"/>
    <w:rsid w:val="004E45A6"/>
    <w:rsid w:val="00547BBF"/>
    <w:rsid w:val="00553A93"/>
    <w:rsid w:val="0059211E"/>
    <w:rsid w:val="005959AF"/>
    <w:rsid w:val="00596C08"/>
    <w:rsid w:val="005C2D57"/>
    <w:rsid w:val="005D7DCC"/>
    <w:rsid w:val="005E7D2A"/>
    <w:rsid w:val="00610338"/>
    <w:rsid w:val="00611993"/>
    <w:rsid w:val="006359A8"/>
    <w:rsid w:val="00676DE1"/>
    <w:rsid w:val="006B24F5"/>
    <w:rsid w:val="006D1DBC"/>
    <w:rsid w:val="006F08FC"/>
    <w:rsid w:val="006F2C55"/>
    <w:rsid w:val="00700B53"/>
    <w:rsid w:val="00717D01"/>
    <w:rsid w:val="00746EE6"/>
    <w:rsid w:val="007571BE"/>
    <w:rsid w:val="00764BD2"/>
    <w:rsid w:val="007868ED"/>
    <w:rsid w:val="007A4B4D"/>
    <w:rsid w:val="007C2072"/>
    <w:rsid w:val="007E02B4"/>
    <w:rsid w:val="008151EB"/>
    <w:rsid w:val="00844F76"/>
    <w:rsid w:val="00896AB8"/>
    <w:rsid w:val="008C0813"/>
    <w:rsid w:val="008C378D"/>
    <w:rsid w:val="008E5F3E"/>
    <w:rsid w:val="00901AD3"/>
    <w:rsid w:val="0090370C"/>
    <w:rsid w:val="00A300E6"/>
    <w:rsid w:val="00A44D65"/>
    <w:rsid w:val="00A632B5"/>
    <w:rsid w:val="00A8017C"/>
    <w:rsid w:val="00A832D7"/>
    <w:rsid w:val="00AA6F40"/>
    <w:rsid w:val="00AB5861"/>
    <w:rsid w:val="00AD0FF3"/>
    <w:rsid w:val="00B121CC"/>
    <w:rsid w:val="00B15FB2"/>
    <w:rsid w:val="00B3783B"/>
    <w:rsid w:val="00B435BD"/>
    <w:rsid w:val="00B93625"/>
    <w:rsid w:val="00BE245C"/>
    <w:rsid w:val="00C05C59"/>
    <w:rsid w:val="00C710CA"/>
    <w:rsid w:val="00C765B4"/>
    <w:rsid w:val="00C819E0"/>
    <w:rsid w:val="00C92B90"/>
    <w:rsid w:val="00C954EB"/>
    <w:rsid w:val="00D161AD"/>
    <w:rsid w:val="00D233B7"/>
    <w:rsid w:val="00D3129F"/>
    <w:rsid w:val="00D33FBF"/>
    <w:rsid w:val="00D53EF8"/>
    <w:rsid w:val="00DD5A5C"/>
    <w:rsid w:val="00DE6068"/>
    <w:rsid w:val="00E03F09"/>
    <w:rsid w:val="00E042E1"/>
    <w:rsid w:val="00E12CBA"/>
    <w:rsid w:val="00E144EB"/>
    <w:rsid w:val="00EF5B38"/>
    <w:rsid w:val="00F1003E"/>
    <w:rsid w:val="00F358A4"/>
    <w:rsid w:val="00F424FF"/>
    <w:rsid w:val="00F47237"/>
    <w:rsid w:val="00F7641E"/>
    <w:rsid w:val="00FA4B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96C0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16DE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16DE8"/>
  </w:style>
  <w:style w:type="paragraph" w:styleId="Stopka">
    <w:name w:val="footer"/>
    <w:basedOn w:val="Normalny"/>
    <w:link w:val="StopkaZnak"/>
    <w:uiPriority w:val="99"/>
    <w:unhideWhenUsed/>
    <w:rsid w:val="00016DE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16DE8"/>
  </w:style>
  <w:style w:type="paragraph" w:styleId="Akapitzlist">
    <w:name w:val="List Paragraph"/>
    <w:basedOn w:val="Normalny"/>
    <w:uiPriority w:val="34"/>
    <w:qFormat/>
    <w:rsid w:val="00D53EF8"/>
    <w:pPr>
      <w:ind w:left="720"/>
      <w:contextualSpacing/>
    </w:pPr>
  </w:style>
  <w:style w:type="paragraph" w:styleId="Tekstdymka">
    <w:name w:val="Balloon Text"/>
    <w:basedOn w:val="Normalny"/>
    <w:link w:val="TekstdymkaZnak"/>
    <w:uiPriority w:val="99"/>
    <w:semiHidden/>
    <w:unhideWhenUsed/>
    <w:rsid w:val="0011326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1326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96C0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16DE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16DE8"/>
  </w:style>
  <w:style w:type="paragraph" w:styleId="Stopka">
    <w:name w:val="footer"/>
    <w:basedOn w:val="Normalny"/>
    <w:link w:val="StopkaZnak"/>
    <w:uiPriority w:val="99"/>
    <w:unhideWhenUsed/>
    <w:rsid w:val="00016DE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16DE8"/>
  </w:style>
  <w:style w:type="paragraph" w:styleId="Akapitzlist">
    <w:name w:val="List Paragraph"/>
    <w:basedOn w:val="Normalny"/>
    <w:uiPriority w:val="34"/>
    <w:qFormat/>
    <w:rsid w:val="00D53EF8"/>
    <w:pPr>
      <w:ind w:left="720"/>
      <w:contextualSpacing/>
    </w:pPr>
  </w:style>
  <w:style w:type="paragraph" w:styleId="Tekstdymka">
    <w:name w:val="Balloon Text"/>
    <w:basedOn w:val="Normalny"/>
    <w:link w:val="TekstdymkaZnak"/>
    <w:uiPriority w:val="99"/>
    <w:semiHidden/>
    <w:unhideWhenUsed/>
    <w:rsid w:val="0011326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132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1681</Words>
  <Characters>10086</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Grażyna D. Grabowska</cp:lastModifiedBy>
  <cp:revision>2</cp:revision>
  <cp:lastPrinted>2016-02-09T11:27:00Z</cp:lastPrinted>
  <dcterms:created xsi:type="dcterms:W3CDTF">2016-04-26T07:47:00Z</dcterms:created>
  <dcterms:modified xsi:type="dcterms:W3CDTF">2016-04-26T07:47:00Z</dcterms:modified>
</cp:coreProperties>
</file>