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33" w:rsidRPr="0096463A" w:rsidRDefault="00494033" w:rsidP="00491FA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6463A">
        <w:rPr>
          <w:rFonts w:ascii="Times New Roman" w:hAnsi="Times New Roman"/>
          <w:sz w:val="24"/>
          <w:szCs w:val="24"/>
        </w:rPr>
        <w:t>UZASADNIENIE</w:t>
      </w:r>
    </w:p>
    <w:p w:rsidR="004E30DA" w:rsidRPr="0096463A" w:rsidRDefault="004E30DA" w:rsidP="00491FA0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E30DA">
        <w:rPr>
          <w:rFonts w:ascii="Times New Roman" w:hAnsi="Times New Roman" w:cs="Times New Roman"/>
          <w:b/>
          <w:sz w:val="24"/>
          <w:szCs w:val="24"/>
        </w:rPr>
        <w:t xml:space="preserve">Wyjaśnienie potrzeby i celu wydania ustawy </w:t>
      </w:r>
    </w:p>
    <w:p w:rsidR="00494033" w:rsidRDefault="00494033" w:rsidP="00491F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2CA6">
        <w:rPr>
          <w:rFonts w:ascii="Times New Roman" w:hAnsi="Times New Roman"/>
          <w:sz w:val="24"/>
          <w:szCs w:val="24"/>
        </w:rPr>
        <w:t xml:space="preserve">Celem projektowanej </w:t>
      </w:r>
      <w:r>
        <w:rPr>
          <w:rFonts w:ascii="Times New Roman" w:hAnsi="Times New Roman"/>
          <w:sz w:val="24"/>
          <w:szCs w:val="24"/>
        </w:rPr>
        <w:t>ustawy</w:t>
      </w:r>
      <w:r w:rsidRPr="00552CA6">
        <w:rPr>
          <w:rFonts w:ascii="Times New Roman" w:hAnsi="Times New Roman"/>
          <w:sz w:val="24"/>
          <w:szCs w:val="24"/>
        </w:rPr>
        <w:t xml:space="preserve"> jest dostosowanie ustawy z dnia 4 lutego 1994 r. o prawie autorskim i prawach pokrewnych (Dz. U. z 2006 r. Nr 90, poz. 631, z późn. zm.) do dyrektywy Rady nr 93/83/EWG z dnia 27 września 1993 r. w sprawie koordynacji</w:t>
      </w:r>
      <w:r w:rsidRPr="00C535E3">
        <w:rPr>
          <w:rFonts w:ascii="Times New Roman" w:hAnsi="Times New Roman"/>
          <w:sz w:val="24"/>
          <w:szCs w:val="24"/>
        </w:rPr>
        <w:t xml:space="preserve"> niektórych zasad dotyczących prawa </w:t>
      </w:r>
      <w:r w:rsidRPr="0016629D">
        <w:rPr>
          <w:rFonts w:ascii="Times New Roman" w:hAnsi="Times New Roman"/>
          <w:sz w:val="24"/>
          <w:szCs w:val="24"/>
        </w:rPr>
        <w:t>autorskiego oraz praw pokrewnych stosowanych w</w:t>
      </w:r>
      <w:r w:rsidR="0096463A">
        <w:rPr>
          <w:rFonts w:ascii="Times New Roman" w:hAnsi="Times New Roman"/>
          <w:sz w:val="24"/>
          <w:szCs w:val="24"/>
        </w:rPr>
        <w:t> </w:t>
      </w:r>
      <w:r w:rsidRPr="0016629D">
        <w:rPr>
          <w:rFonts w:ascii="Times New Roman" w:hAnsi="Times New Roman"/>
          <w:sz w:val="24"/>
          <w:szCs w:val="24"/>
        </w:rPr>
        <w:t xml:space="preserve">odniesieniu do przekazu satelitarnego oraz retransmisji drogą kablową </w:t>
      </w:r>
      <w:r w:rsidR="0016629D" w:rsidRPr="0016629D">
        <w:rPr>
          <w:rFonts w:ascii="Times New Roman" w:hAnsi="Times New Roman"/>
          <w:bCs/>
          <w:sz w:val="24"/>
          <w:szCs w:val="24"/>
        </w:rPr>
        <w:t>(Dz.</w:t>
      </w:r>
      <w:r w:rsidR="0096463A">
        <w:rPr>
          <w:rFonts w:ascii="Times New Roman" w:hAnsi="Times New Roman"/>
          <w:bCs/>
          <w:sz w:val="24"/>
          <w:szCs w:val="24"/>
        </w:rPr>
        <w:t xml:space="preserve"> </w:t>
      </w:r>
      <w:r w:rsidR="0016629D" w:rsidRPr="0016629D">
        <w:rPr>
          <w:rFonts w:ascii="Times New Roman" w:hAnsi="Times New Roman"/>
          <w:bCs/>
          <w:sz w:val="24"/>
          <w:szCs w:val="24"/>
        </w:rPr>
        <w:t>Urz.</w:t>
      </w:r>
      <w:r w:rsidR="0096463A">
        <w:rPr>
          <w:rFonts w:ascii="Times New Roman" w:hAnsi="Times New Roman"/>
          <w:bCs/>
          <w:sz w:val="24"/>
          <w:szCs w:val="24"/>
        </w:rPr>
        <w:t xml:space="preserve"> </w:t>
      </w:r>
      <w:r w:rsidR="0016629D" w:rsidRPr="0016629D">
        <w:rPr>
          <w:rFonts w:ascii="Times New Roman" w:hAnsi="Times New Roman"/>
          <w:bCs/>
          <w:sz w:val="24"/>
          <w:szCs w:val="24"/>
        </w:rPr>
        <w:t>UE L 248 z 06.10.1993, str. 15; Dz. Urz. UE Polskie wydanie specjalne, rozdz. 17, t. 1, str.</w:t>
      </w:r>
      <w:r w:rsidR="0096463A">
        <w:rPr>
          <w:rFonts w:ascii="Times New Roman" w:hAnsi="Times New Roman"/>
          <w:bCs/>
          <w:sz w:val="24"/>
          <w:szCs w:val="24"/>
        </w:rPr>
        <w:t> </w:t>
      </w:r>
      <w:r w:rsidR="0016629D" w:rsidRPr="0016629D">
        <w:rPr>
          <w:rFonts w:ascii="Times New Roman" w:hAnsi="Times New Roman"/>
          <w:bCs/>
          <w:sz w:val="24"/>
          <w:szCs w:val="24"/>
        </w:rPr>
        <w:t>134)</w:t>
      </w:r>
      <w:r w:rsidRPr="0016629D">
        <w:rPr>
          <w:rFonts w:ascii="Times New Roman" w:hAnsi="Times New Roman"/>
          <w:sz w:val="24"/>
          <w:szCs w:val="24"/>
        </w:rPr>
        <w:t xml:space="preserve"> w zakresie zasad zawierania umów na reemisję kablową. Dyrektywa wprowadziła w UE wymóg,</w:t>
      </w:r>
      <w:r>
        <w:rPr>
          <w:rFonts w:ascii="Times New Roman" w:hAnsi="Times New Roman"/>
          <w:sz w:val="24"/>
          <w:szCs w:val="24"/>
        </w:rPr>
        <w:t xml:space="preserve"> aby reemisja utworów była dokonywana wyłącznie na podstawie umowy zawartej z właściwą organizacją zbiorowego zarządzania prawami autorskimi i prawami pokrewnymi. Wprowadziła zatem tzw. obowiązkowe pośrednictwo organizacji zbiorowego zarządzania, wyłączając co do zasady możliwość bezpośredniego kontraktowania między podmiotem dokonującym reemisji a</w:t>
      </w:r>
      <w:r w:rsidR="0096463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dysponentem praw autorskich. Dyrektywa przewiduje jednak wyjątek od tej zasady </w:t>
      </w:r>
      <w:r w:rsidRPr="00C535E3">
        <w:rPr>
          <w:rFonts w:ascii="Times New Roman" w:hAnsi="Times New Roman"/>
          <w:sz w:val="24"/>
          <w:szCs w:val="24"/>
        </w:rPr>
        <w:t>w</w:t>
      </w:r>
      <w:r w:rsidR="0096463A">
        <w:rPr>
          <w:rFonts w:ascii="Times New Roman" w:hAnsi="Times New Roman"/>
          <w:sz w:val="24"/>
          <w:szCs w:val="24"/>
        </w:rPr>
        <w:t> </w:t>
      </w:r>
      <w:r w:rsidRPr="00C535E3">
        <w:rPr>
          <w:rFonts w:ascii="Times New Roman" w:hAnsi="Times New Roman"/>
          <w:sz w:val="24"/>
          <w:szCs w:val="24"/>
        </w:rPr>
        <w:t>odniesieniu do praw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1FA0">
        <w:rPr>
          <w:rFonts w:ascii="Times New Roman" w:hAnsi="Times New Roman"/>
          <w:sz w:val="24"/>
          <w:szCs w:val="24"/>
        </w:rPr>
        <w:t>„</w:t>
      </w:r>
      <w:r w:rsidRPr="0096463A">
        <w:rPr>
          <w:rFonts w:ascii="Times New Roman" w:eastAsia="Times New Roman" w:hAnsi="Times New Roman"/>
          <w:sz w:val="24"/>
          <w:szCs w:val="24"/>
          <w:lang w:eastAsia="pl-PL"/>
        </w:rPr>
        <w:t>z których organizacja radiowa i telewizyjna korzysta w</w:t>
      </w:r>
      <w:r w:rsidR="0096463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6463A">
        <w:rPr>
          <w:rFonts w:ascii="Times New Roman" w:eastAsia="Times New Roman" w:hAnsi="Times New Roman"/>
          <w:sz w:val="24"/>
          <w:szCs w:val="24"/>
          <w:lang w:eastAsia="pl-PL"/>
        </w:rPr>
        <w:t>odniesieniu do jej własnych transmisji, niezależnie od tego, czy dane prawa należą do tej organizacji, czy też zostały na nią przeniesione przez innego właściciela praw autorskich i/lub praw pokrewnych</w:t>
      </w:r>
      <w:r w:rsidR="0016629D" w:rsidRPr="0096463A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1662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(art. 10 dyrektywy). Polska ustawa nie przewiduje takiego wyjątku, konieczna jest zatem stosowna jej nowelizacja.</w:t>
      </w:r>
      <w:r w:rsidR="00217A2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przy tym wyjaśnić, 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że nowelizacja nie ma na celu narzucenia </w:t>
      </w:r>
      <w:r w:rsidR="004F372F">
        <w:rPr>
          <w:rFonts w:ascii="Times New Roman" w:eastAsia="Times New Roman" w:hAnsi="Times New Roman"/>
          <w:sz w:val="24"/>
          <w:szCs w:val="24"/>
          <w:lang w:eastAsia="pl-PL"/>
        </w:rPr>
        <w:t>organizacjom radiowym i</w:t>
      </w:r>
      <w:r w:rsidR="0096463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F372F">
        <w:rPr>
          <w:rFonts w:ascii="Times New Roman" w:eastAsia="Times New Roman" w:hAnsi="Times New Roman"/>
          <w:sz w:val="24"/>
          <w:szCs w:val="24"/>
          <w:lang w:eastAsia="pl-PL"/>
        </w:rPr>
        <w:t>telewizyjnym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372F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sposobu zarządzania ich prawami. </w:t>
      </w:r>
      <w:r w:rsidR="00601C34">
        <w:rPr>
          <w:rFonts w:ascii="Times New Roman" w:eastAsia="Times New Roman" w:hAnsi="Times New Roman"/>
          <w:sz w:val="24"/>
          <w:szCs w:val="24"/>
          <w:lang w:eastAsia="pl-PL"/>
        </w:rPr>
        <w:t>Podmioty te będą dysponowały</w:t>
      </w:r>
      <w:r w:rsidR="007A7731">
        <w:rPr>
          <w:rFonts w:ascii="Times New Roman" w:eastAsia="Times New Roman" w:hAnsi="Times New Roman"/>
          <w:sz w:val="24"/>
          <w:szCs w:val="24"/>
          <w:lang w:eastAsia="pl-PL"/>
        </w:rPr>
        <w:t xml:space="preserve"> w tym zakresie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 swobodą</w:t>
      </w:r>
      <w:r w:rsidR="00E94D48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postępowania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>, tj. jeżeli z jakichkolwiek powodów nie podejm</w:t>
      </w:r>
      <w:r w:rsidR="007A7731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 się samodzielnego udzielania licencji na reemisję, </w:t>
      </w:r>
      <w:r w:rsidR="007A7731">
        <w:rPr>
          <w:rFonts w:ascii="Times New Roman" w:eastAsia="Times New Roman" w:hAnsi="Times New Roman"/>
          <w:sz w:val="24"/>
          <w:szCs w:val="24"/>
          <w:lang w:eastAsia="pl-PL"/>
        </w:rPr>
        <w:t>będą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 w:rsidR="00E94D48">
        <w:rPr>
          <w:rFonts w:ascii="Times New Roman" w:eastAsia="Times New Roman" w:hAnsi="Times New Roman"/>
          <w:sz w:val="24"/>
          <w:szCs w:val="24"/>
          <w:lang w:eastAsia="pl-PL"/>
        </w:rPr>
        <w:t>ogły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A2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96463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A0A25">
        <w:rPr>
          <w:rFonts w:ascii="Times New Roman" w:eastAsia="Times New Roman" w:hAnsi="Times New Roman"/>
          <w:sz w:val="24"/>
          <w:szCs w:val="24"/>
          <w:lang w:eastAsia="pl-PL"/>
        </w:rPr>
        <w:t>dalszym ciągu</w:t>
      </w:r>
      <w:r w:rsidR="00E94D48">
        <w:rPr>
          <w:rFonts w:ascii="Times New Roman" w:eastAsia="Times New Roman" w:hAnsi="Times New Roman"/>
          <w:sz w:val="24"/>
          <w:szCs w:val="24"/>
          <w:lang w:eastAsia="pl-PL"/>
        </w:rPr>
        <w:t>, tak jak obecnie,</w:t>
      </w:r>
      <w:r w:rsidR="009A0A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7731">
        <w:rPr>
          <w:rFonts w:ascii="Times New Roman" w:eastAsia="Times New Roman" w:hAnsi="Times New Roman"/>
          <w:sz w:val="24"/>
          <w:szCs w:val="24"/>
          <w:lang w:eastAsia="pl-PL"/>
        </w:rPr>
        <w:t>powierzyć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 swoje prawa w zarząd </w:t>
      </w:r>
      <w:r w:rsidR="00E94D48"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właściwej </w:t>
      </w:r>
      <w:r w:rsidR="00854A92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zbiorowego </w:t>
      </w:r>
      <w:r w:rsidR="007A7731">
        <w:rPr>
          <w:rFonts w:ascii="Times New Roman" w:eastAsia="Times New Roman" w:hAnsi="Times New Roman"/>
          <w:sz w:val="24"/>
          <w:szCs w:val="24"/>
          <w:lang w:eastAsia="pl-PL"/>
        </w:rPr>
        <w:t>zarządzania</w:t>
      </w:r>
      <w:r w:rsidR="00C50CE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E7E4A" w:rsidRPr="00EE7E4A" w:rsidRDefault="00EE7E4A" w:rsidP="00491FA0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E4A">
        <w:rPr>
          <w:rFonts w:ascii="Times New Roman" w:hAnsi="Times New Roman" w:cs="Times New Roman"/>
          <w:b/>
          <w:sz w:val="24"/>
          <w:szCs w:val="24"/>
        </w:rPr>
        <w:t>Przedstawienie rzeczywistego stanu w dzied</w:t>
      </w:r>
      <w:r>
        <w:rPr>
          <w:rFonts w:ascii="Times New Roman" w:hAnsi="Times New Roman" w:cs="Times New Roman"/>
          <w:b/>
          <w:sz w:val="24"/>
          <w:szCs w:val="24"/>
        </w:rPr>
        <w:t>zinie, która ma być unormowana</w:t>
      </w:r>
    </w:p>
    <w:p w:rsidR="00881C4D" w:rsidRDefault="00196399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1E">
        <w:rPr>
          <w:rFonts w:ascii="Times New Roman" w:hAnsi="Times New Roman"/>
          <w:sz w:val="24"/>
          <w:szCs w:val="24"/>
        </w:rPr>
        <w:t xml:space="preserve">Na dzień dzisiejszy </w:t>
      </w:r>
      <w:r w:rsidR="006154FA" w:rsidRPr="0001541E">
        <w:rPr>
          <w:rFonts w:ascii="Times New Roman" w:hAnsi="Times New Roman"/>
          <w:sz w:val="24"/>
          <w:szCs w:val="24"/>
        </w:rPr>
        <w:t>w prowadzonym przez Przewodniczącego Krajowej Rady Radiofonii i Telewizji „Rejestrze programów telewizyjnych rozpowszechnianych wyłącznie w systemie teleinformatycznym i programów rozprowadzanych” znajduje się prawie 700 podmiotów</w:t>
      </w:r>
      <w:r w:rsidR="0001541E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C91767" w:rsidRPr="00C91767">
        <w:rPr>
          <w:rFonts w:ascii="Times New Roman" w:hAnsi="Times New Roman"/>
          <w:sz w:val="24"/>
          <w:szCs w:val="24"/>
          <w:vertAlign w:val="superscript"/>
        </w:rPr>
        <w:t>)</w:t>
      </w:r>
      <w:r w:rsidR="006154FA" w:rsidRPr="0001541E">
        <w:rPr>
          <w:rFonts w:ascii="Times New Roman" w:hAnsi="Times New Roman"/>
          <w:sz w:val="24"/>
          <w:szCs w:val="24"/>
        </w:rPr>
        <w:t xml:space="preserve">. Rynek usług reemisji kablowej wykazuje się jednak </w:t>
      </w:r>
      <w:r w:rsidR="006154FA" w:rsidRPr="0001541E">
        <w:rPr>
          <w:rFonts w:ascii="Times New Roman" w:hAnsi="Times New Roman"/>
          <w:sz w:val="24"/>
          <w:szCs w:val="24"/>
        </w:rPr>
        <w:lastRenderedPageBreak/>
        <w:t>postępującym procesem koncentracji. W</w:t>
      </w:r>
      <w:r w:rsidR="00491FA0">
        <w:rPr>
          <w:rFonts w:ascii="Times New Roman" w:hAnsi="Times New Roman"/>
          <w:sz w:val="24"/>
          <w:szCs w:val="24"/>
        </w:rPr>
        <w:t>edług</w:t>
      </w:r>
      <w:r w:rsidR="006154FA" w:rsidRPr="0001541E">
        <w:rPr>
          <w:rFonts w:ascii="Times New Roman" w:hAnsi="Times New Roman"/>
          <w:sz w:val="24"/>
          <w:szCs w:val="24"/>
        </w:rPr>
        <w:t xml:space="preserve"> danych Polskiej Izby Komunikacji Ele</w:t>
      </w:r>
      <w:r w:rsidR="001A0049">
        <w:rPr>
          <w:rFonts w:ascii="Times New Roman" w:hAnsi="Times New Roman"/>
          <w:sz w:val="24"/>
          <w:szCs w:val="24"/>
        </w:rPr>
        <w:t>ktronicznej (PIKE) w IV kw</w:t>
      </w:r>
      <w:r w:rsidR="00491FA0">
        <w:rPr>
          <w:rFonts w:ascii="Times New Roman" w:hAnsi="Times New Roman"/>
          <w:sz w:val="24"/>
          <w:szCs w:val="24"/>
        </w:rPr>
        <w:t xml:space="preserve">artale </w:t>
      </w:r>
      <w:r w:rsidR="001A0049">
        <w:rPr>
          <w:rFonts w:ascii="Times New Roman" w:hAnsi="Times New Roman"/>
          <w:sz w:val="24"/>
          <w:szCs w:val="24"/>
        </w:rPr>
        <w:t>2014</w:t>
      </w:r>
      <w:r w:rsidR="006154FA" w:rsidRPr="0001541E">
        <w:rPr>
          <w:rFonts w:ascii="Times New Roman" w:hAnsi="Times New Roman"/>
          <w:sz w:val="24"/>
          <w:szCs w:val="24"/>
        </w:rPr>
        <w:t xml:space="preserve"> r. trzech największych operatorów </w:t>
      </w:r>
      <w:r w:rsidR="0001541E">
        <w:rPr>
          <w:rFonts w:ascii="Times New Roman" w:hAnsi="Times New Roman"/>
          <w:sz w:val="24"/>
          <w:szCs w:val="24"/>
        </w:rPr>
        <w:t xml:space="preserve">(UPC Polska, Vectra, Multimedia Polska) </w:t>
      </w:r>
      <w:r w:rsidR="006154FA" w:rsidRPr="0001541E">
        <w:rPr>
          <w:rFonts w:ascii="Times New Roman" w:hAnsi="Times New Roman"/>
          <w:sz w:val="24"/>
          <w:szCs w:val="24"/>
        </w:rPr>
        <w:t>miało udział w rynku wynosząc</w:t>
      </w:r>
      <w:r w:rsidR="001A0049">
        <w:rPr>
          <w:rFonts w:ascii="Times New Roman" w:hAnsi="Times New Roman"/>
          <w:sz w:val="24"/>
          <w:szCs w:val="24"/>
        </w:rPr>
        <w:t>y 69,06</w:t>
      </w:r>
      <w:r w:rsidR="006154FA" w:rsidRPr="0001541E">
        <w:rPr>
          <w:rFonts w:ascii="Times New Roman" w:hAnsi="Times New Roman"/>
          <w:sz w:val="24"/>
          <w:szCs w:val="24"/>
        </w:rPr>
        <w:t xml:space="preserve">% (odpowiednio </w:t>
      </w:r>
      <w:r w:rsidR="0001541E">
        <w:rPr>
          <w:rFonts w:ascii="Times New Roman" w:hAnsi="Times New Roman"/>
          <w:sz w:val="24"/>
          <w:szCs w:val="24"/>
        </w:rPr>
        <w:t>31,</w:t>
      </w:r>
      <w:r w:rsidR="001A0049">
        <w:rPr>
          <w:rFonts w:ascii="Times New Roman" w:hAnsi="Times New Roman"/>
          <w:sz w:val="24"/>
          <w:szCs w:val="24"/>
        </w:rPr>
        <w:t>25</w:t>
      </w:r>
      <w:r w:rsidR="0001541E">
        <w:rPr>
          <w:rFonts w:ascii="Times New Roman" w:hAnsi="Times New Roman"/>
          <w:sz w:val="24"/>
          <w:szCs w:val="24"/>
        </w:rPr>
        <w:t>%</w:t>
      </w:r>
      <w:r w:rsidR="001A0049">
        <w:rPr>
          <w:rFonts w:ascii="Times New Roman" w:hAnsi="Times New Roman"/>
          <w:sz w:val="24"/>
          <w:szCs w:val="24"/>
        </w:rPr>
        <w:t>, 19,98% i 17,8</w:t>
      </w:r>
      <w:r w:rsidR="0020288D" w:rsidRPr="0001541E">
        <w:rPr>
          <w:rFonts w:ascii="Times New Roman" w:hAnsi="Times New Roman"/>
          <w:sz w:val="24"/>
          <w:szCs w:val="24"/>
        </w:rPr>
        <w:t>3%), trzech kolejnych</w:t>
      </w:r>
      <w:r w:rsidR="0001541E">
        <w:rPr>
          <w:rFonts w:ascii="Times New Roman" w:hAnsi="Times New Roman"/>
          <w:sz w:val="24"/>
          <w:szCs w:val="24"/>
        </w:rPr>
        <w:t xml:space="preserve"> (INEA, TOYA, Petrus)</w:t>
      </w:r>
      <w:r w:rsidR="0020288D" w:rsidRPr="0001541E">
        <w:rPr>
          <w:rFonts w:ascii="Times New Roman" w:hAnsi="Times New Roman"/>
          <w:sz w:val="24"/>
          <w:szCs w:val="24"/>
        </w:rPr>
        <w:t xml:space="preserve"> łączny udział </w:t>
      </w:r>
      <w:r w:rsidR="00681113">
        <w:rPr>
          <w:rFonts w:ascii="Times New Roman" w:hAnsi="Times New Roman"/>
          <w:sz w:val="24"/>
          <w:szCs w:val="24"/>
        </w:rPr>
        <w:t>9,33</w:t>
      </w:r>
      <w:r w:rsidR="0020288D" w:rsidRPr="0001541E">
        <w:rPr>
          <w:rFonts w:ascii="Times New Roman" w:hAnsi="Times New Roman"/>
          <w:sz w:val="24"/>
          <w:szCs w:val="24"/>
        </w:rPr>
        <w:t xml:space="preserve">%, udział </w:t>
      </w:r>
      <w:r w:rsidR="002E729A">
        <w:rPr>
          <w:rFonts w:ascii="Times New Roman" w:hAnsi="Times New Roman"/>
          <w:sz w:val="24"/>
          <w:szCs w:val="24"/>
        </w:rPr>
        <w:t xml:space="preserve">każdego z </w:t>
      </w:r>
      <w:r w:rsidR="0020288D" w:rsidRPr="0001541E">
        <w:rPr>
          <w:rFonts w:ascii="Times New Roman" w:hAnsi="Times New Roman"/>
          <w:sz w:val="24"/>
          <w:szCs w:val="24"/>
        </w:rPr>
        <w:t>pozostałych wynosił zaś poniżej 1%</w:t>
      </w:r>
      <w:r w:rsidR="0001541E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C91767" w:rsidRPr="00C91767">
        <w:rPr>
          <w:rFonts w:ascii="Times New Roman" w:hAnsi="Times New Roman"/>
          <w:sz w:val="24"/>
          <w:szCs w:val="24"/>
          <w:vertAlign w:val="superscript"/>
        </w:rPr>
        <w:t>)</w:t>
      </w:r>
      <w:r w:rsidR="0020288D" w:rsidRPr="0001541E">
        <w:rPr>
          <w:rFonts w:ascii="Times New Roman" w:hAnsi="Times New Roman"/>
          <w:sz w:val="24"/>
          <w:szCs w:val="24"/>
        </w:rPr>
        <w:t>.</w:t>
      </w:r>
    </w:p>
    <w:p w:rsidR="00976DD1" w:rsidRDefault="009C48C1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uwagi na trwające negocjacje i już </w:t>
      </w:r>
      <w:r w:rsidR="001E5CA0">
        <w:rPr>
          <w:rFonts w:ascii="Times New Roman" w:hAnsi="Times New Roman"/>
          <w:sz w:val="24"/>
          <w:szCs w:val="24"/>
        </w:rPr>
        <w:t>wszczęte</w:t>
      </w:r>
      <w:r>
        <w:rPr>
          <w:rFonts w:ascii="Times New Roman" w:hAnsi="Times New Roman"/>
          <w:sz w:val="24"/>
          <w:szCs w:val="24"/>
        </w:rPr>
        <w:t xml:space="preserve"> spory sądowe trudno jest oszacować pełną wartoś</w:t>
      </w:r>
      <w:r w:rsidR="001E5CA0">
        <w:rPr>
          <w:rFonts w:ascii="Times New Roman" w:hAnsi="Times New Roman"/>
          <w:sz w:val="24"/>
          <w:szCs w:val="24"/>
        </w:rPr>
        <w:t>ć rynku usług reemisji kablowej pod kątem należności prawnoautorskich</w:t>
      </w:r>
      <w:r>
        <w:rPr>
          <w:rFonts w:ascii="Times New Roman" w:hAnsi="Times New Roman"/>
          <w:sz w:val="24"/>
          <w:szCs w:val="24"/>
        </w:rPr>
        <w:t xml:space="preserve">. </w:t>
      </w:r>
      <w:r w:rsidR="003122F3">
        <w:rPr>
          <w:rFonts w:ascii="Times New Roman" w:hAnsi="Times New Roman"/>
          <w:sz w:val="24"/>
          <w:szCs w:val="24"/>
        </w:rPr>
        <w:t>Niektóre o</w:t>
      </w:r>
      <w:r w:rsidR="00BD4365">
        <w:rPr>
          <w:rFonts w:ascii="Times New Roman" w:hAnsi="Times New Roman"/>
          <w:sz w:val="24"/>
          <w:szCs w:val="24"/>
        </w:rPr>
        <w:t>rganizacje zbiorowego zarządzania</w:t>
      </w:r>
      <w:r w:rsidR="003122F3">
        <w:rPr>
          <w:rFonts w:ascii="Times New Roman" w:hAnsi="Times New Roman"/>
          <w:sz w:val="24"/>
          <w:szCs w:val="24"/>
        </w:rPr>
        <w:t xml:space="preserve"> zawarły </w:t>
      </w:r>
      <w:r w:rsidR="00FF17A6">
        <w:rPr>
          <w:rFonts w:ascii="Times New Roman" w:hAnsi="Times New Roman"/>
          <w:sz w:val="24"/>
          <w:szCs w:val="24"/>
        </w:rPr>
        <w:t xml:space="preserve">z operatorami </w:t>
      </w:r>
      <w:r w:rsidR="00A5584D">
        <w:rPr>
          <w:rFonts w:ascii="Times New Roman" w:hAnsi="Times New Roman"/>
          <w:sz w:val="24"/>
          <w:szCs w:val="24"/>
        </w:rPr>
        <w:t xml:space="preserve">nawet </w:t>
      </w:r>
      <w:r w:rsidR="003122F3">
        <w:rPr>
          <w:rFonts w:ascii="Times New Roman" w:hAnsi="Times New Roman"/>
          <w:sz w:val="24"/>
          <w:szCs w:val="24"/>
        </w:rPr>
        <w:t>kilkaset umów licencyjnych lub umów o</w:t>
      </w:r>
      <w:r w:rsidR="00FF17A6">
        <w:rPr>
          <w:rFonts w:ascii="Times New Roman" w:hAnsi="Times New Roman"/>
          <w:sz w:val="24"/>
          <w:szCs w:val="24"/>
        </w:rPr>
        <w:t>kreślających wysokość wynagrodzenia (150</w:t>
      </w:r>
      <w:r w:rsidR="00491FA0">
        <w:rPr>
          <w:rFonts w:ascii="Times New Roman" w:hAnsi="Times New Roman"/>
          <w:sz w:val="24"/>
          <w:szCs w:val="24"/>
        </w:rPr>
        <w:t>–</w:t>
      </w:r>
      <w:r w:rsidR="00FF17A6">
        <w:rPr>
          <w:rFonts w:ascii="Times New Roman" w:hAnsi="Times New Roman"/>
          <w:sz w:val="24"/>
          <w:szCs w:val="24"/>
        </w:rPr>
        <w:t xml:space="preserve">300), inne zdołały zawrzeć takich umów tylko kilkanaście lub wcale. Stowarzyszenie Autorów ZAiKS </w:t>
      </w:r>
      <w:r w:rsidR="00BD4365">
        <w:rPr>
          <w:rFonts w:ascii="Times New Roman" w:hAnsi="Times New Roman"/>
          <w:sz w:val="24"/>
          <w:szCs w:val="24"/>
        </w:rPr>
        <w:t>zawarł</w:t>
      </w:r>
      <w:r w:rsidR="00FF17A6">
        <w:rPr>
          <w:rFonts w:ascii="Times New Roman" w:hAnsi="Times New Roman"/>
          <w:sz w:val="24"/>
          <w:szCs w:val="24"/>
        </w:rPr>
        <w:t>o</w:t>
      </w:r>
      <w:r w:rsidR="00BD4365">
        <w:rPr>
          <w:rFonts w:ascii="Times New Roman" w:hAnsi="Times New Roman"/>
          <w:sz w:val="24"/>
          <w:szCs w:val="24"/>
        </w:rPr>
        <w:t xml:space="preserve"> </w:t>
      </w:r>
      <w:r w:rsidR="00FF17A6">
        <w:rPr>
          <w:rFonts w:ascii="Times New Roman" w:hAnsi="Times New Roman"/>
          <w:sz w:val="24"/>
          <w:szCs w:val="24"/>
        </w:rPr>
        <w:t>dodatkowo</w:t>
      </w:r>
      <w:r w:rsidR="00BD4365">
        <w:rPr>
          <w:rFonts w:ascii="Times New Roman" w:hAnsi="Times New Roman"/>
          <w:sz w:val="24"/>
          <w:szCs w:val="24"/>
        </w:rPr>
        <w:t xml:space="preserve"> ponad 2000 umów na reemisję w hotelach i pensjonatach.</w:t>
      </w:r>
    </w:p>
    <w:p w:rsidR="00990546" w:rsidRPr="007B254F" w:rsidRDefault="00DC11C2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organizacji zbiorowego zarządzania z tytu</w:t>
      </w:r>
      <w:r w:rsidR="008A3A2E">
        <w:rPr>
          <w:rFonts w:ascii="Times New Roman" w:hAnsi="Times New Roman"/>
          <w:sz w:val="24"/>
          <w:szCs w:val="24"/>
        </w:rPr>
        <w:t>łu reemisji wyniosły w roku 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8A3A2E">
        <w:rPr>
          <w:rFonts w:ascii="Times New Roman" w:hAnsi="Times New Roman"/>
          <w:sz w:val="24"/>
          <w:szCs w:val="24"/>
        </w:rPr>
        <w:t>ok</w:t>
      </w:r>
      <w:r w:rsidR="0096463A">
        <w:rPr>
          <w:rFonts w:ascii="Times New Roman" w:hAnsi="Times New Roman"/>
          <w:sz w:val="24"/>
          <w:szCs w:val="24"/>
        </w:rPr>
        <w:t>. </w:t>
      </w:r>
      <w:r w:rsidR="008A3A2E">
        <w:rPr>
          <w:rFonts w:ascii="Times New Roman" w:hAnsi="Times New Roman"/>
          <w:sz w:val="24"/>
          <w:szCs w:val="24"/>
        </w:rPr>
        <w:t>164</w:t>
      </w:r>
      <w:r w:rsidR="008655B0">
        <w:rPr>
          <w:rFonts w:ascii="Times New Roman" w:hAnsi="Times New Roman"/>
          <w:sz w:val="24"/>
          <w:szCs w:val="24"/>
        </w:rPr>
        <w:t xml:space="preserve"> mln zł</w:t>
      </w:r>
      <w:r w:rsidR="00AF6A7E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C91767" w:rsidRPr="00C91767">
        <w:rPr>
          <w:rFonts w:ascii="Times New Roman" w:hAnsi="Times New Roman"/>
          <w:sz w:val="24"/>
          <w:szCs w:val="24"/>
          <w:vertAlign w:val="superscript"/>
        </w:rPr>
        <w:t>)</w:t>
      </w:r>
      <w:r w:rsidR="008655B0">
        <w:rPr>
          <w:rFonts w:ascii="Times New Roman" w:hAnsi="Times New Roman"/>
          <w:sz w:val="24"/>
          <w:szCs w:val="24"/>
        </w:rPr>
        <w:t>. Z uwagi na fakt, że nie wszystkie organizacje dokonują księgowego rozróżnienia wpływów z reemisji kablowej i satelitarnej</w:t>
      </w:r>
      <w:r w:rsidR="00491FA0">
        <w:rPr>
          <w:rFonts w:ascii="Times New Roman" w:hAnsi="Times New Roman"/>
          <w:sz w:val="24"/>
          <w:szCs w:val="24"/>
        </w:rPr>
        <w:t>,</w:t>
      </w:r>
      <w:r w:rsidR="008655B0">
        <w:rPr>
          <w:rFonts w:ascii="Times New Roman" w:hAnsi="Times New Roman"/>
          <w:sz w:val="24"/>
          <w:szCs w:val="24"/>
        </w:rPr>
        <w:t xml:space="preserve"> nie jest możliwe precyzyjne ustalenie, jaki udział w ww. kwocie przypada na każdy rodzaj reemisji. </w:t>
      </w:r>
      <w:r w:rsidR="00A041E0">
        <w:rPr>
          <w:rFonts w:ascii="Times New Roman" w:hAnsi="Times New Roman"/>
          <w:sz w:val="24"/>
          <w:szCs w:val="24"/>
        </w:rPr>
        <w:t>Jednakże</w:t>
      </w:r>
      <w:r w:rsidR="00491FA0">
        <w:rPr>
          <w:rFonts w:ascii="Times New Roman" w:hAnsi="Times New Roman"/>
          <w:sz w:val="24"/>
          <w:szCs w:val="24"/>
        </w:rPr>
        <w:t>,</w:t>
      </w:r>
      <w:r w:rsidR="00A041E0">
        <w:rPr>
          <w:rFonts w:ascii="Times New Roman" w:hAnsi="Times New Roman"/>
          <w:sz w:val="24"/>
          <w:szCs w:val="24"/>
        </w:rPr>
        <w:t xml:space="preserve"> biorąc pod uwagę dynamikę rozwoju reemisji satelitarnej i postępujący proces zawierania umów licencyjnych w tym zakresie</w:t>
      </w:r>
      <w:r w:rsidR="00491FA0">
        <w:rPr>
          <w:rFonts w:ascii="Times New Roman" w:hAnsi="Times New Roman"/>
          <w:sz w:val="24"/>
          <w:szCs w:val="24"/>
        </w:rPr>
        <w:t>,</w:t>
      </w:r>
      <w:r w:rsidR="00A041E0">
        <w:rPr>
          <w:rFonts w:ascii="Times New Roman" w:hAnsi="Times New Roman"/>
          <w:sz w:val="24"/>
          <w:szCs w:val="24"/>
        </w:rPr>
        <w:t xml:space="preserve"> można przyjąć, że wpływy z tej reemisji </w:t>
      </w:r>
      <w:r w:rsidR="002D6710">
        <w:rPr>
          <w:rFonts w:ascii="Times New Roman" w:hAnsi="Times New Roman"/>
          <w:sz w:val="24"/>
          <w:szCs w:val="24"/>
        </w:rPr>
        <w:t xml:space="preserve">już </w:t>
      </w:r>
      <w:r w:rsidR="00A041E0">
        <w:rPr>
          <w:rFonts w:ascii="Times New Roman" w:hAnsi="Times New Roman"/>
          <w:sz w:val="24"/>
          <w:szCs w:val="24"/>
        </w:rPr>
        <w:t>przynajmniej</w:t>
      </w:r>
      <w:r w:rsidR="002D6710">
        <w:rPr>
          <w:rFonts w:ascii="Times New Roman" w:hAnsi="Times New Roman"/>
          <w:sz w:val="24"/>
          <w:szCs w:val="24"/>
        </w:rPr>
        <w:t xml:space="preserve"> dorównują wpływom z reemisji kablowej.</w:t>
      </w:r>
      <w:r w:rsidR="0096463A">
        <w:rPr>
          <w:rFonts w:ascii="Times New Roman" w:hAnsi="Times New Roman"/>
          <w:sz w:val="24"/>
          <w:szCs w:val="24"/>
        </w:rPr>
        <w:t xml:space="preserve"> </w:t>
      </w:r>
    </w:p>
    <w:p w:rsidR="00494033" w:rsidRPr="0096463A" w:rsidRDefault="00494033" w:rsidP="00491FA0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BF">
        <w:rPr>
          <w:rFonts w:ascii="Times New Roman" w:hAnsi="Times New Roman" w:cs="Times New Roman"/>
          <w:b/>
          <w:sz w:val="24"/>
          <w:szCs w:val="24"/>
        </w:rPr>
        <w:t xml:space="preserve">Wykazanie różnic między dotychczasowym a proponowanym </w:t>
      </w:r>
      <w:r>
        <w:rPr>
          <w:rFonts w:ascii="Times New Roman" w:hAnsi="Times New Roman" w:cs="Times New Roman"/>
          <w:b/>
          <w:sz w:val="24"/>
          <w:szCs w:val="24"/>
        </w:rPr>
        <w:t>stanem prawnym</w:t>
      </w:r>
    </w:p>
    <w:p w:rsidR="00494033" w:rsidRPr="00C535E3" w:rsidRDefault="00494033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35E3">
        <w:rPr>
          <w:rFonts w:ascii="Times New Roman" w:hAnsi="Times New Roman"/>
          <w:sz w:val="24"/>
          <w:szCs w:val="24"/>
        </w:rPr>
        <w:t xml:space="preserve">Zgodnie z </w:t>
      </w:r>
      <w:r>
        <w:rPr>
          <w:rFonts w:ascii="Times New Roman" w:hAnsi="Times New Roman"/>
          <w:sz w:val="24"/>
          <w:szCs w:val="24"/>
        </w:rPr>
        <w:t xml:space="preserve">obecnie obowiązującym brzmieniem </w:t>
      </w:r>
      <w:r w:rsidRPr="00C535E3">
        <w:rPr>
          <w:rFonts w:ascii="Times New Roman" w:hAnsi="Times New Roman"/>
          <w:sz w:val="24"/>
          <w:szCs w:val="24"/>
        </w:rPr>
        <w:t xml:space="preserve">art. </w:t>
      </w:r>
      <w:r w:rsidRPr="00C535E3">
        <w:rPr>
          <w:rFonts w:ascii="Times New Roman" w:hAnsi="Times New Roman"/>
          <w:bCs/>
          <w:sz w:val="24"/>
          <w:szCs w:val="24"/>
        </w:rPr>
        <w:t>21</w:t>
      </w:r>
      <w:r w:rsidRPr="00C535E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535E3">
        <w:rPr>
          <w:rFonts w:ascii="Times New Roman" w:hAnsi="Times New Roman"/>
          <w:bCs/>
          <w:sz w:val="24"/>
          <w:szCs w:val="24"/>
        </w:rPr>
        <w:t xml:space="preserve"> ust.</w:t>
      </w:r>
      <w:r w:rsidR="0096463A">
        <w:rPr>
          <w:rFonts w:ascii="Times New Roman" w:hAnsi="Times New Roman"/>
          <w:sz w:val="24"/>
          <w:szCs w:val="24"/>
        </w:rPr>
        <w:t xml:space="preserve"> </w:t>
      </w:r>
      <w:r w:rsidRPr="00C535E3">
        <w:rPr>
          <w:rFonts w:ascii="Times New Roman" w:hAnsi="Times New Roman"/>
          <w:sz w:val="24"/>
          <w:szCs w:val="24"/>
        </w:rPr>
        <w:t xml:space="preserve">1 ustawy </w:t>
      </w:r>
      <w:r w:rsidRPr="00552CA6">
        <w:rPr>
          <w:rFonts w:ascii="Times New Roman" w:hAnsi="Times New Roman"/>
          <w:sz w:val="24"/>
          <w:szCs w:val="24"/>
        </w:rPr>
        <w:t>o prawie</w:t>
      </w:r>
      <w:r w:rsidR="003F54C4">
        <w:rPr>
          <w:rFonts w:ascii="Times New Roman" w:hAnsi="Times New Roman"/>
          <w:sz w:val="24"/>
          <w:szCs w:val="24"/>
        </w:rPr>
        <w:t xml:space="preserve"> autorskim i prawach pokrewnych </w:t>
      </w:r>
      <w:r w:rsidRPr="00C535E3">
        <w:rPr>
          <w:rFonts w:ascii="Times New Roman" w:hAnsi="Times New Roman"/>
          <w:sz w:val="24"/>
          <w:szCs w:val="24"/>
        </w:rPr>
        <w:t>operatorom sieci kablowych wolno reemitować w</w:t>
      </w:r>
      <w:r w:rsidR="0096463A">
        <w:rPr>
          <w:rFonts w:ascii="Times New Roman" w:hAnsi="Times New Roman"/>
          <w:sz w:val="24"/>
          <w:szCs w:val="24"/>
        </w:rPr>
        <w:t> </w:t>
      </w:r>
      <w:r w:rsidRPr="00C535E3">
        <w:rPr>
          <w:rFonts w:ascii="Times New Roman" w:hAnsi="Times New Roman"/>
          <w:sz w:val="24"/>
          <w:szCs w:val="24"/>
        </w:rPr>
        <w:t>sie</w:t>
      </w:r>
      <w:r>
        <w:rPr>
          <w:rFonts w:ascii="Times New Roman" w:hAnsi="Times New Roman"/>
          <w:sz w:val="24"/>
          <w:szCs w:val="24"/>
        </w:rPr>
        <w:t xml:space="preserve">ciach kablowych utwory nadawane </w:t>
      </w:r>
      <w:r w:rsidRPr="00C535E3">
        <w:rPr>
          <w:rFonts w:ascii="Times New Roman" w:hAnsi="Times New Roman"/>
          <w:sz w:val="24"/>
          <w:szCs w:val="24"/>
        </w:rPr>
        <w:t>w programach organizacji radiowych i</w:t>
      </w:r>
      <w:r w:rsidR="0096463A">
        <w:rPr>
          <w:rFonts w:ascii="Times New Roman" w:hAnsi="Times New Roman"/>
          <w:sz w:val="24"/>
          <w:szCs w:val="24"/>
        </w:rPr>
        <w:t> </w:t>
      </w:r>
      <w:r w:rsidRPr="00C535E3">
        <w:rPr>
          <w:rFonts w:ascii="Times New Roman" w:hAnsi="Times New Roman"/>
          <w:sz w:val="24"/>
          <w:szCs w:val="24"/>
        </w:rPr>
        <w:t>telewizyjnych wyłącznie na podstawie umowy zawartej z właściwą organizacją zbiorowego zarządzani</w:t>
      </w:r>
      <w:r>
        <w:rPr>
          <w:rFonts w:ascii="Times New Roman" w:hAnsi="Times New Roman"/>
          <w:sz w:val="24"/>
          <w:szCs w:val="24"/>
        </w:rPr>
        <w:t>a prawami autorskimi, przy czym</w:t>
      </w:r>
      <w:r w:rsidRPr="00C535E3">
        <w:rPr>
          <w:rFonts w:ascii="Times New Roman" w:hAnsi="Times New Roman"/>
          <w:sz w:val="24"/>
          <w:szCs w:val="24"/>
        </w:rPr>
        <w:t xml:space="preserve"> stosownie do art. 92 i </w:t>
      </w:r>
      <w:r w:rsidR="00491FA0">
        <w:rPr>
          <w:rFonts w:ascii="Times New Roman" w:hAnsi="Times New Roman"/>
          <w:sz w:val="24"/>
          <w:szCs w:val="24"/>
        </w:rPr>
        <w:t xml:space="preserve">art. </w:t>
      </w:r>
      <w:r w:rsidRPr="00C535E3">
        <w:rPr>
          <w:rFonts w:ascii="Times New Roman" w:hAnsi="Times New Roman"/>
          <w:bCs/>
          <w:sz w:val="24"/>
          <w:szCs w:val="24"/>
        </w:rPr>
        <w:t>95</w:t>
      </w:r>
      <w:r w:rsidRPr="00C535E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535E3">
        <w:rPr>
          <w:rFonts w:ascii="Times New Roman" w:hAnsi="Times New Roman"/>
          <w:bCs/>
          <w:sz w:val="24"/>
          <w:szCs w:val="24"/>
        </w:rPr>
        <w:t xml:space="preserve"> ust.</w:t>
      </w:r>
      <w:r w:rsidR="0096463A">
        <w:rPr>
          <w:rFonts w:ascii="Times New Roman" w:hAnsi="Times New Roman"/>
          <w:bCs/>
          <w:sz w:val="24"/>
          <w:szCs w:val="24"/>
        </w:rPr>
        <w:t> </w:t>
      </w:r>
      <w:r w:rsidRPr="00C535E3">
        <w:rPr>
          <w:rFonts w:ascii="Times New Roman" w:hAnsi="Times New Roman"/>
          <w:sz w:val="24"/>
          <w:szCs w:val="24"/>
        </w:rPr>
        <w:t xml:space="preserve">1 </w:t>
      </w:r>
      <w:r w:rsidR="003F54C4">
        <w:rPr>
          <w:rFonts w:ascii="Times New Roman" w:hAnsi="Times New Roman"/>
          <w:sz w:val="24"/>
          <w:szCs w:val="24"/>
        </w:rPr>
        <w:t xml:space="preserve">tej </w:t>
      </w:r>
      <w:r w:rsidRPr="00C535E3">
        <w:rPr>
          <w:rFonts w:ascii="Times New Roman" w:hAnsi="Times New Roman"/>
          <w:sz w:val="24"/>
          <w:szCs w:val="24"/>
        </w:rPr>
        <w:t>ustawy przepis ten znajduje odpowiednie zastosowanie także do artystycznych wykonań, fonogramów i wideogramów.</w:t>
      </w:r>
    </w:p>
    <w:p w:rsidR="00BA2C53" w:rsidRPr="0096463A" w:rsidRDefault="00494033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Przepis a</w:t>
      </w:r>
      <w:r w:rsidRPr="00C535E3">
        <w:rPr>
          <w:rFonts w:ascii="Times New Roman" w:hAnsi="Times New Roman"/>
          <w:szCs w:val="24"/>
        </w:rPr>
        <w:t>rt. 21</w:t>
      </w:r>
      <w:r w:rsidRPr="00C535E3">
        <w:rPr>
          <w:rFonts w:ascii="Times New Roman" w:hAnsi="Times New Roman"/>
          <w:szCs w:val="24"/>
          <w:vertAlign w:val="superscript"/>
        </w:rPr>
        <w:t>1</w:t>
      </w:r>
      <w:r w:rsidRPr="00C535E3">
        <w:rPr>
          <w:rFonts w:ascii="Times New Roman" w:hAnsi="Times New Roman"/>
          <w:szCs w:val="24"/>
        </w:rPr>
        <w:t xml:space="preserve"> ust.</w:t>
      </w:r>
      <w:r w:rsidR="0096463A">
        <w:rPr>
          <w:rFonts w:ascii="Times New Roman" w:hAnsi="Times New Roman"/>
          <w:szCs w:val="24"/>
        </w:rPr>
        <w:t xml:space="preserve"> </w:t>
      </w:r>
      <w:r w:rsidRPr="00C535E3">
        <w:rPr>
          <w:rFonts w:ascii="Times New Roman" w:hAnsi="Times New Roman"/>
          <w:szCs w:val="24"/>
        </w:rPr>
        <w:t>1 ustawy</w:t>
      </w:r>
      <w:r>
        <w:rPr>
          <w:rFonts w:ascii="Times New Roman" w:hAnsi="Times New Roman"/>
          <w:szCs w:val="24"/>
        </w:rPr>
        <w:t xml:space="preserve"> </w:t>
      </w:r>
      <w:r w:rsidRPr="00C535E3">
        <w:rPr>
          <w:rFonts w:ascii="Times New Roman" w:hAnsi="Times New Roman"/>
          <w:szCs w:val="24"/>
        </w:rPr>
        <w:t xml:space="preserve">kreuje </w:t>
      </w:r>
      <w:r>
        <w:rPr>
          <w:rFonts w:ascii="Times New Roman" w:hAnsi="Times New Roman"/>
          <w:szCs w:val="24"/>
        </w:rPr>
        <w:t xml:space="preserve">zatem </w:t>
      </w:r>
      <w:r w:rsidRPr="00C535E3">
        <w:rPr>
          <w:rFonts w:ascii="Times New Roman" w:hAnsi="Times New Roman"/>
          <w:szCs w:val="24"/>
        </w:rPr>
        <w:t>instytucję tzw. obowiązkowego pośrednictwa organizacji zbiorowego zarządzania prawami autorskimi i pokrewnymi przy zawieraniu umów licencyjnych na reemisję</w:t>
      </w:r>
      <w:r w:rsidR="00EF1A00">
        <w:rPr>
          <w:rFonts w:ascii="Times New Roman" w:hAnsi="Times New Roman"/>
          <w:szCs w:val="24"/>
        </w:rPr>
        <w:t xml:space="preserve"> kablową</w:t>
      </w:r>
      <w:r w:rsidRPr="00C535E3">
        <w:rPr>
          <w:rFonts w:ascii="Times New Roman" w:hAnsi="Times New Roman"/>
          <w:szCs w:val="24"/>
        </w:rPr>
        <w:t xml:space="preserve"> (reemisja utworów</w:t>
      </w:r>
      <w:r>
        <w:rPr>
          <w:rFonts w:ascii="Times New Roman" w:hAnsi="Times New Roman"/>
          <w:szCs w:val="24"/>
        </w:rPr>
        <w:t xml:space="preserve">, artystycznych wykonań, </w:t>
      </w:r>
      <w:r w:rsidRPr="0096463A">
        <w:rPr>
          <w:rFonts w:ascii="Times New Roman" w:hAnsi="Times New Roman"/>
          <w:sz w:val="24"/>
          <w:szCs w:val="24"/>
        </w:rPr>
        <w:t>fonogramów i</w:t>
      </w:r>
      <w:r w:rsidR="0096463A">
        <w:rPr>
          <w:rFonts w:ascii="Times New Roman" w:hAnsi="Times New Roman"/>
          <w:sz w:val="24"/>
          <w:szCs w:val="24"/>
        </w:rPr>
        <w:t> </w:t>
      </w:r>
      <w:r w:rsidRPr="0096463A">
        <w:rPr>
          <w:rFonts w:ascii="Times New Roman" w:hAnsi="Times New Roman"/>
          <w:sz w:val="24"/>
          <w:szCs w:val="24"/>
        </w:rPr>
        <w:t xml:space="preserve">wideogramów) i umów o wynagrodzenie z tytułu reemisji (reemisja artystycznych </w:t>
      </w:r>
      <w:r w:rsidRPr="0096463A">
        <w:rPr>
          <w:rFonts w:ascii="Times New Roman" w:hAnsi="Times New Roman"/>
          <w:sz w:val="24"/>
          <w:szCs w:val="24"/>
        </w:rPr>
        <w:lastRenderedPageBreak/>
        <w:t xml:space="preserve">wykonań, fonogramów i wideogramów za pomocą wprowadzonych do obrotu egzemplarzy). Oznacza to, że operator </w:t>
      </w:r>
      <w:r w:rsidR="000274DE" w:rsidRPr="0096463A">
        <w:rPr>
          <w:rFonts w:ascii="Times New Roman" w:hAnsi="Times New Roman"/>
          <w:sz w:val="24"/>
          <w:szCs w:val="24"/>
        </w:rPr>
        <w:t>sieci</w:t>
      </w:r>
      <w:r w:rsidRPr="0096463A">
        <w:rPr>
          <w:rFonts w:ascii="Times New Roman" w:hAnsi="Times New Roman"/>
          <w:sz w:val="24"/>
          <w:szCs w:val="24"/>
        </w:rPr>
        <w:t xml:space="preserve"> kablowej nie ma obecnie możliwości kontraktowania reemisji bezpośrednio z </w:t>
      </w:r>
      <w:r w:rsidR="008C4AEA" w:rsidRPr="0096463A">
        <w:rPr>
          <w:rFonts w:ascii="Times New Roman" w:hAnsi="Times New Roman"/>
          <w:sz w:val="24"/>
          <w:szCs w:val="24"/>
        </w:rPr>
        <w:t>organizacj</w:t>
      </w:r>
      <w:r w:rsidR="00BA2C53" w:rsidRPr="0096463A">
        <w:rPr>
          <w:rFonts w:ascii="Times New Roman" w:hAnsi="Times New Roman"/>
          <w:sz w:val="24"/>
          <w:szCs w:val="24"/>
        </w:rPr>
        <w:t xml:space="preserve">ami radiowymi </w:t>
      </w:r>
      <w:r w:rsidR="008C4AEA" w:rsidRPr="0096463A">
        <w:rPr>
          <w:rFonts w:ascii="Times New Roman" w:hAnsi="Times New Roman"/>
          <w:sz w:val="24"/>
          <w:szCs w:val="24"/>
        </w:rPr>
        <w:t>i telewizyjnymi</w:t>
      </w:r>
      <w:r w:rsidR="00EF1A00" w:rsidRPr="0096463A">
        <w:rPr>
          <w:rFonts w:ascii="Times New Roman" w:hAnsi="Times New Roman"/>
          <w:sz w:val="24"/>
          <w:szCs w:val="24"/>
        </w:rPr>
        <w:t xml:space="preserve"> nadającymi reemitowane treści</w:t>
      </w:r>
      <w:r w:rsidRPr="0096463A">
        <w:rPr>
          <w:rFonts w:ascii="Times New Roman" w:hAnsi="Times New Roman"/>
          <w:sz w:val="24"/>
          <w:szCs w:val="24"/>
        </w:rPr>
        <w:t xml:space="preserve">, nawet jeżeli </w:t>
      </w:r>
      <w:r w:rsidR="008C4AEA" w:rsidRPr="0096463A">
        <w:rPr>
          <w:rFonts w:ascii="Times New Roman" w:hAnsi="Times New Roman"/>
          <w:sz w:val="24"/>
          <w:szCs w:val="24"/>
        </w:rPr>
        <w:t>te organizacje</w:t>
      </w:r>
      <w:r w:rsidRPr="0096463A">
        <w:rPr>
          <w:rFonts w:ascii="Times New Roman" w:hAnsi="Times New Roman"/>
          <w:sz w:val="24"/>
          <w:szCs w:val="24"/>
        </w:rPr>
        <w:t xml:space="preserve"> dysponują prawami do reemisji. Tymczasem dyrektywa Rady nr 93/83/EWG wyraźnie nakazuje Państwom Członkowskim wprowadzenie wyjątku od zasady obowiązkowego pośrednictwa organizacji zbiorowego zarządzania w odniesieniu do praw „z których organizacja radiowa i telewizyjna korzysta w odniesieniu do jej własnych transmisji, niezależnie od tego, czy dane prawa należą do tej organizacji, czy też zostały na nią przeniesione przez innego właściciela praw autorskich i/lub praw pokrewnych” (art. 10 dyrektywy Rady nr</w:t>
      </w:r>
      <w:r w:rsidR="0096463A">
        <w:rPr>
          <w:rFonts w:ascii="Times New Roman" w:hAnsi="Times New Roman"/>
          <w:sz w:val="24"/>
          <w:szCs w:val="24"/>
        </w:rPr>
        <w:t> </w:t>
      </w:r>
      <w:r w:rsidRPr="0096463A">
        <w:rPr>
          <w:rFonts w:ascii="Times New Roman" w:hAnsi="Times New Roman"/>
          <w:sz w:val="24"/>
          <w:szCs w:val="24"/>
        </w:rPr>
        <w:t>93/83/EWG). Przewiduje się zatem dodanie w art. 21</w:t>
      </w:r>
      <w:r w:rsidRPr="00491FA0">
        <w:rPr>
          <w:rFonts w:ascii="Times New Roman" w:hAnsi="Times New Roman"/>
          <w:sz w:val="24"/>
          <w:szCs w:val="24"/>
          <w:vertAlign w:val="superscript"/>
        </w:rPr>
        <w:t>1</w:t>
      </w:r>
      <w:r w:rsidRPr="0096463A">
        <w:rPr>
          <w:rFonts w:ascii="Times New Roman" w:hAnsi="Times New Roman"/>
          <w:sz w:val="24"/>
          <w:szCs w:val="24"/>
        </w:rPr>
        <w:t xml:space="preserve"> ustawy nowego przepisu ust.</w:t>
      </w:r>
      <w:r w:rsidR="0096463A">
        <w:rPr>
          <w:rFonts w:ascii="Times New Roman" w:hAnsi="Times New Roman"/>
          <w:sz w:val="24"/>
          <w:szCs w:val="24"/>
        </w:rPr>
        <w:t> </w:t>
      </w:r>
      <w:r w:rsidRPr="0096463A">
        <w:rPr>
          <w:rFonts w:ascii="Times New Roman" w:hAnsi="Times New Roman"/>
          <w:sz w:val="24"/>
          <w:szCs w:val="24"/>
        </w:rPr>
        <w:t>1</w:t>
      </w:r>
      <w:r w:rsidRPr="00491FA0">
        <w:rPr>
          <w:rFonts w:ascii="Times New Roman" w:hAnsi="Times New Roman"/>
          <w:sz w:val="24"/>
          <w:szCs w:val="24"/>
          <w:vertAlign w:val="superscript"/>
        </w:rPr>
        <w:t>1</w:t>
      </w:r>
      <w:r w:rsidRPr="0096463A">
        <w:rPr>
          <w:rFonts w:ascii="Times New Roman" w:hAnsi="Times New Roman"/>
          <w:sz w:val="24"/>
          <w:szCs w:val="24"/>
        </w:rPr>
        <w:t xml:space="preserve">, który wprowadzi wyjątek od zasady obowiązkowego pośrednictwa organizacji zbiorowego zarządzania w odniesieniu do </w:t>
      </w:r>
      <w:r w:rsidR="008C4AEA" w:rsidRPr="0096463A">
        <w:rPr>
          <w:rFonts w:ascii="Times New Roman" w:hAnsi="Times New Roman"/>
          <w:sz w:val="24"/>
          <w:szCs w:val="24"/>
        </w:rPr>
        <w:t>utworów „</w:t>
      </w:r>
      <w:r w:rsidR="00BA2C53" w:rsidRPr="0096463A">
        <w:rPr>
          <w:rFonts w:ascii="Times New Roman" w:hAnsi="Times New Roman"/>
          <w:sz w:val="24"/>
          <w:szCs w:val="24"/>
        </w:rPr>
        <w:t>nadawanych we własnym programie organizacji radiowej lub telewizyjnej, jeżeli prawa do reemitowania tych utworów przysługują tej organizacji radiowej lub telewizyjnej i są przez nią wykonywane bez pośrednictwa organizacji zbiorowego zarządzania, w tym także na podstawie licencji”.</w:t>
      </w:r>
    </w:p>
    <w:p w:rsidR="002576AE" w:rsidRPr="0096463A" w:rsidRDefault="00F10E4E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Istotą </w:t>
      </w:r>
      <w:r w:rsidR="00BA2C53">
        <w:rPr>
          <w:rFonts w:ascii="Times New Roman" w:hAnsi="Times New Roman"/>
          <w:sz w:val="24"/>
          <w:szCs w:val="24"/>
        </w:rPr>
        <w:t>projektowanego</w:t>
      </w:r>
      <w:r>
        <w:rPr>
          <w:rFonts w:ascii="Times New Roman" w:hAnsi="Times New Roman"/>
          <w:sz w:val="24"/>
          <w:szCs w:val="24"/>
        </w:rPr>
        <w:t xml:space="preserve"> rozwiązania jest, zgodnie z dyrektywą, umożliwienie nadawcy (organizacji radiowej lub telewizyjnej) samodzielnego wykonywania prawa do reemisji utworów i przedmiotów praw pokrewnych nadawanych w jego własnych programach. </w:t>
      </w:r>
      <w:r w:rsidR="00787260">
        <w:rPr>
          <w:rFonts w:ascii="Times New Roman" w:hAnsi="Times New Roman"/>
          <w:sz w:val="24"/>
          <w:szCs w:val="24"/>
        </w:rPr>
        <w:t>Od teraz n</w:t>
      </w:r>
      <w:r w:rsidR="00E6069E">
        <w:rPr>
          <w:rFonts w:ascii="Times New Roman" w:hAnsi="Times New Roman"/>
          <w:sz w:val="24"/>
          <w:szCs w:val="24"/>
        </w:rPr>
        <w:t xml:space="preserve">adawca będzie mógł </w:t>
      </w:r>
      <w:r w:rsidR="00787260">
        <w:rPr>
          <w:rFonts w:ascii="Times New Roman" w:hAnsi="Times New Roman"/>
          <w:sz w:val="24"/>
          <w:szCs w:val="24"/>
        </w:rPr>
        <w:t>więc</w:t>
      </w:r>
      <w:r w:rsidR="00E6069E">
        <w:rPr>
          <w:rFonts w:ascii="Times New Roman" w:hAnsi="Times New Roman"/>
          <w:sz w:val="24"/>
          <w:szCs w:val="24"/>
        </w:rPr>
        <w:t xml:space="preserve"> zdecydować, czy będzie udzielał licencji na reemisję samodzielnie, czy </w:t>
      </w:r>
      <w:r w:rsidR="00BA2C53">
        <w:rPr>
          <w:rFonts w:ascii="Times New Roman" w:hAnsi="Times New Roman"/>
          <w:sz w:val="24"/>
          <w:szCs w:val="24"/>
        </w:rPr>
        <w:t xml:space="preserve">też </w:t>
      </w:r>
      <w:r w:rsidR="00787260">
        <w:rPr>
          <w:rFonts w:ascii="Times New Roman" w:hAnsi="Times New Roman"/>
          <w:sz w:val="24"/>
          <w:szCs w:val="24"/>
        </w:rPr>
        <w:t xml:space="preserve">będzie </w:t>
      </w:r>
      <w:r w:rsidR="00BA2C53">
        <w:rPr>
          <w:rFonts w:ascii="Times New Roman" w:hAnsi="Times New Roman"/>
          <w:sz w:val="24"/>
          <w:szCs w:val="24"/>
        </w:rPr>
        <w:t>korzystał</w:t>
      </w:r>
      <w:r w:rsidR="00E6069E">
        <w:rPr>
          <w:rFonts w:ascii="Times New Roman" w:hAnsi="Times New Roman"/>
          <w:sz w:val="24"/>
          <w:szCs w:val="24"/>
        </w:rPr>
        <w:t xml:space="preserve"> z pośrednictwa organizacji zbiorowego zarządzania prawami autorskimi. Zasada ta będzie </w:t>
      </w:r>
      <w:r w:rsidR="00491FA0">
        <w:rPr>
          <w:rFonts w:ascii="Times New Roman" w:hAnsi="Times New Roman"/>
          <w:sz w:val="24"/>
          <w:szCs w:val="24"/>
        </w:rPr>
        <w:t xml:space="preserve">stosowana </w:t>
      </w:r>
      <w:r w:rsidR="00E6069E">
        <w:rPr>
          <w:rFonts w:ascii="Times New Roman" w:hAnsi="Times New Roman"/>
          <w:sz w:val="24"/>
          <w:szCs w:val="24"/>
        </w:rPr>
        <w:t>odpowiednio</w:t>
      </w:r>
      <w:r w:rsidR="00491FA0">
        <w:rPr>
          <w:rFonts w:ascii="Times New Roman" w:hAnsi="Times New Roman"/>
          <w:sz w:val="24"/>
          <w:szCs w:val="24"/>
        </w:rPr>
        <w:t xml:space="preserve"> </w:t>
      </w:r>
      <w:r w:rsidR="00E6069E">
        <w:rPr>
          <w:rFonts w:ascii="Times New Roman" w:hAnsi="Times New Roman"/>
          <w:sz w:val="24"/>
          <w:szCs w:val="24"/>
        </w:rPr>
        <w:t>do reemisji artystycznych wykonań, fonogramów i wideogramów.</w:t>
      </w:r>
      <w:r w:rsidR="001D40DD">
        <w:rPr>
          <w:rFonts w:ascii="Times New Roman" w:hAnsi="Times New Roman"/>
          <w:sz w:val="24"/>
          <w:szCs w:val="24"/>
        </w:rPr>
        <w:t xml:space="preserve"> Nie będzie przy tym istotne, z </w:t>
      </w:r>
      <w:r w:rsidR="000A15CA">
        <w:rPr>
          <w:rFonts w:ascii="Times New Roman" w:hAnsi="Times New Roman"/>
          <w:sz w:val="24"/>
          <w:szCs w:val="24"/>
        </w:rPr>
        <w:t>jakiego tytułu nadawca wywodzi swoje prawo do licencjonowania usług reemisji. Nadawca będzie mógł je zatem wywodzić zarówno z posiadania statusu producenta utworu audiowizualnego w rozumieniu art. 70 ust. 1 ustaw</w:t>
      </w:r>
      <w:r w:rsidR="001D40DD">
        <w:rPr>
          <w:rFonts w:ascii="Times New Roman" w:hAnsi="Times New Roman"/>
          <w:sz w:val="24"/>
          <w:szCs w:val="24"/>
        </w:rPr>
        <w:t>y o prawie autorskim i </w:t>
      </w:r>
      <w:r w:rsidR="000A15CA">
        <w:rPr>
          <w:rFonts w:ascii="Times New Roman" w:hAnsi="Times New Roman"/>
          <w:sz w:val="24"/>
          <w:szCs w:val="24"/>
        </w:rPr>
        <w:t xml:space="preserve">prawach pokrewnych, </w:t>
      </w:r>
      <w:r w:rsidR="00A1003E">
        <w:rPr>
          <w:rFonts w:ascii="Times New Roman" w:hAnsi="Times New Roman"/>
          <w:sz w:val="24"/>
          <w:szCs w:val="24"/>
        </w:rPr>
        <w:t xml:space="preserve">statusu </w:t>
      </w:r>
      <w:r w:rsidR="000A15CA">
        <w:rPr>
          <w:rFonts w:ascii="Times New Roman" w:hAnsi="Times New Roman"/>
          <w:sz w:val="24"/>
          <w:szCs w:val="24"/>
        </w:rPr>
        <w:t>nabywcy</w:t>
      </w:r>
      <w:r w:rsidR="00890238">
        <w:rPr>
          <w:rFonts w:ascii="Times New Roman" w:hAnsi="Times New Roman"/>
          <w:sz w:val="24"/>
          <w:szCs w:val="24"/>
        </w:rPr>
        <w:t xml:space="preserve"> pochodnego</w:t>
      </w:r>
      <w:r w:rsidR="000A15CA">
        <w:rPr>
          <w:rFonts w:ascii="Times New Roman" w:hAnsi="Times New Roman"/>
          <w:sz w:val="24"/>
          <w:szCs w:val="24"/>
        </w:rPr>
        <w:t xml:space="preserve"> autorskich praw majątkowych do utworu włącznie z prawem do reemisji, jak również </w:t>
      </w:r>
      <w:r w:rsidR="00A1003E">
        <w:rPr>
          <w:rFonts w:ascii="Times New Roman" w:hAnsi="Times New Roman"/>
          <w:sz w:val="24"/>
          <w:szCs w:val="24"/>
        </w:rPr>
        <w:t xml:space="preserve">statusu </w:t>
      </w:r>
      <w:r w:rsidR="000A15CA">
        <w:rPr>
          <w:rFonts w:ascii="Times New Roman" w:hAnsi="Times New Roman"/>
          <w:sz w:val="24"/>
          <w:szCs w:val="24"/>
        </w:rPr>
        <w:t>uprawnionego z tytułu licencji z prawem do udzielania sublicencji</w:t>
      </w:r>
      <w:r w:rsidR="00A1003E">
        <w:rPr>
          <w:rFonts w:ascii="Times New Roman" w:hAnsi="Times New Roman"/>
          <w:sz w:val="24"/>
          <w:szCs w:val="24"/>
        </w:rPr>
        <w:t xml:space="preserve"> na reemisję</w:t>
      </w:r>
      <w:r w:rsidR="000A15CA">
        <w:rPr>
          <w:rFonts w:ascii="Times New Roman" w:hAnsi="Times New Roman"/>
          <w:sz w:val="24"/>
          <w:szCs w:val="24"/>
        </w:rPr>
        <w:t>.</w:t>
      </w:r>
      <w:r w:rsidR="006A7D57">
        <w:rPr>
          <w:rFonts w:ascii="Times New Roman" w:hAnsi="Times New Roman"/>
          <w:sz w:val="24"/>
          <w:szCs w:val="24"/>
        </w:rPr>
        <w:t xml:space="preserve"> Istotne będzie jedynie to, aby nadawca był uprawniony do udzielenia licencji na reemisję</w:t>
      </w:r>
      <w:r w:rsidR="00F15D6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C91767" w:rsidRPr="00C91767">
        <w:rPr>
          <w:rFonts w:ascii="Times New Roman" w:hAnsi="Times New Roman"/>
          <w:sz w:val="24"/>
          <w:szCs w:val="24"/>
          <w:vertAlign w:val="superscript"/>
        </w:rPr>
        <w:t>)</w:t>
      </w:r>
      <w:r w:rsidR="006A7D57">
        <w:rPr>
          <w:rFonts w:ascii="Times New Roman" w:hAnsi="Times New Roman"/>
          <w:sz w:val="24"/>
          <w:szCs w:val="24"/>
        </w:rPr>
        <w:t>.</w:t>
      </w:r>
      <w:r w:rsidR="0096463A">
        <w:rPr>
          <w:rFonts w:ascii="Times New Roman" w:hAnsi="Times New Roman"/>
          <w:sz w:val="24"/>
          <w:szCs w:val="24"/>
        </w:rPr>
        <w:t xml:space="preserve"> </w:t>
      </w:r>
    </w:p>
    <w:p w:rsidR="00494033" w:rsidRDefault="00494033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661">
        <w:rPr>
          <w:rFonts w:ascii="Times New Roman" w:hAnsi="Times New Roman"/>
          <w:sz w:val="24"/>
          <w:szCs w:val="24"/>
        </w:rPr>
        <w:lastRenderedPageBreak/>
        <w:t xml:space="preserve">Art. </w:t>
      </w:r>
      <w:r w:rsidRPr="00E93661">
        <w:rPr>
          <w:rFonts w:ascii="Times New Roman" w:hAnsi="Times New Roman"/>
          <w:bCs/>
          <w:sz w:val="24"/>
          <w:szCs w:val="24"/>
        </w:rPr>
        <w:t>21</w:t>
      </w:r>
      <w:r w:rsidRPr="00E93661"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3661">
        <w:rPr>
          <w:rFonts w:ascii="Times New Roman" w:hAnsi="Times New Roman"/>
          <w:sz w:val="24"/>
          <w:szCs w:val="24"/>
        </w:rPr>
        <w:t>ustawy</w:t>
      </w:r>
      <w:r w:rsidRPr="008E6B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prawie autorskim i prawach pokrewnych</w:t>
      </w:r>
      <w:r w:rsidRPr="00E93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zostanie</w:t>
      </w:r>
      <w:r w:rsidRPr="00E93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zatem </w:t>
      </w:r>
      <w:r w:rsidRPr="00E93661">
        <w:rPr>
          <w:rFonts w:ascii="Times New Roman" w:hAnsi="Times New Roman"/>
          <w:sz w:val="24"/>
          <w:szCs w:val="24"/>
        </w:rPr>
        <w:t xml:space="preserve">uzupełniony o regulację, zgodnie z którą </w:t>
      </w:r>
      <w:r>
        <w:rPr>
          <w:rFonts w:ascii="Times New Roman" w:hAnsi="Times New Roman"/>
          <w:sz w:val="24"/>
          <w:szCs w:val="24"/>
        </w:rPr>
        <w:t>przewidziane w tym przepisie obowiązkowe pośrednictwo organizacji</w:t>
      </w:r>
      <w:r w:rsidRPr="00E93661">
        <w:rPr>
          <w:rFonts w:ascii="Times New Roman" w:hAnsi="Times New Roman"/>
          <w:sz w:val="24"/>
          <w:szCs w:val="24"/>
        </w:rPr>
        <w:t xml:space="preserve"> zbiorowego zarządzania nie </w:t>
      </w:r>
      <w:r>
        <w:rPr>
          <w:rFonts w:ascii="Times New Roman" w:hAnsi="Times New Roman"/>
          <w:sz w:val="24"/>
          <w:szCs w:val="24"/>
        </w:rPr>
        <w:t xml:space="preserve">będzie miało zastosowania w zakresie wskazanym w art. 10 dyrektywy </w:t>
      </w:r>
      <w:r w:rsidRPr="00C535E3">
        <w:rPr>
          <w:rFonts w:ascii="Times New Roman" w:hAnsi="Times New Roman"/>
          <w:sz w:val="24"/>
          <w:szCs w:val="24"/>
        </w:rPr>
        <w:t>Rady nr 93/83/EWG</w:t>
      </w:r>
      <w:r w:rsidRPr="00E936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Art. 21</w:t>
      </w:r>
      <w:r w:rsidRPr="005518E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dotyczy reemitowania utworów, natomiast zgodnie z </w:t>
      </w:r>
      <w:r w:rsidRPr="00C535E3">
        <w:rPr>
          <w:rFonts w:ascii="Times New Roman" w:hAnsi="Times New Roman"/>
          <w:sz w:val="24"/>
          <w:szCs w:val="24"/>
        </w:rPr>
        <w:t xml:space="preserve">art. 92 i </w:t>
      </w:r>
      <w:r w:rsidR="00491FA0">
        <w:rPr>
          <w:rFonts w:ascii="Times New Roman" w:hAnsi="Times New Roman"/>
          <w:sz w:val="24"/>
          <w:szCs w:val="24"/>
        </w:rPr>
        <w:t xml:space="preserve">art. </w:t>
      </w:r>
      <w:r w:rsidRPr="00C535E3">
        <w:rPr>
          <w:rFonts w:ascii="Times New Roman" w:hAnsi="Times New Roman"/>
          <w:bCs/>
          <w:sz w:val="24"/>
          <w:szCs w:val="24"/>
        </w:rPr>
        <w:t>95</w:t>
      </w:r>
      <w:r w:rsidRPr="00C535E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535E3">
        <w:rPr>
          <w:rFonts w:ascii="Times New Roman" w:hAnsi="Times New Roman"/>
          <w:bCs/>
          <w:sz w:val="24"/>
          <w:szCs w:val="24"/>
        </w:rPr>
        <w:t xml:space="preserve"> ust. </w:t>
      </w:r>
      <w:r w:rsidRPr="00C535E3">
        <w:rPr>
          <w:rFonts w:ascii="Times New Roman" w:hAnsi="Times New Roman"/>
          <w:sz w:val="24"/>
          <w:szCs w:val="24"/>
        </w:rPr>
        <w:t xml:space="preserve">1 ustawy </w:t>
      </w:r>
      <w:r>
        <w:rPr>
          <w:rFonts w:ascii="Times New Roman" w:hAnsi="Times New Roman"/>
          <w:sz w:val="24"/>
          <w:szCs w:val="24"/>
        </w:rPr>
        <w:t>znajdzie</w:t>
      </w:r>
      <w:r w:rsidRPr="00C535E3">
        <w:rPr>
          <w:rFonts w:ascii="Times New Roman" w:hAnsi="Times New Roman"/>
          <w:sz w:val="24"/>
          <w:szCs w:val="24"/>
        </w:rPr>
        <w:t xml:space="preserve"> odpowiednie zastosowanie także do artystycznych wykonań, fonogramów i wideogramów.</w:t>
      </w:r>
    </w:p>
    <w:p w:rsidR="00494033" w:rsidRPr="0096463A" w:rsidRDefault="00494033" w:rsidP="00491FA0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000">
        <w:rPr>
          <w:rFonts w:ascii="Times New Roman" w:hAnsi="Times New Roman" w:cs="Times New Roman"/>
          <w:b/>
          <w:sz w:val="24"/>
          <w:szCs w:val="24"/>
        </w:rPr>
        <w:t>Wyjaśnienia końcowe</w:t>
      </w:r>
    </w:p>
    <w:p w:rsidR="00494033" w:rsidRPr="00402000" w:rsidRDefault="00EE7E4A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1B93">
        <w:rPr>
          <w:rFonts w:ascii="Times New Roman" w:hAnsi="Times New Roman"/>
          <w:sz w:val="24"/>
          <w:szCs w:val="24"/>
        </w:rPr>
        <w:t>Projekt jest zgodny z prawem UE.</w:t>
      </w:r>
    </w:p>
    <w:p w:rsidR="00494033" w:rsidRPr="00402000" w:rsidRDefault="00494033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nie zawiera przepisów technicznych w rozumieniu rozporządzenia Rady Ministrów z dnia 23 grudnia 2002 r. w sprawie sposobu funkcjonowania krajowego systemu notyfikacji norm i aktów prawnych (Dz. U. Nr 239, poz. 2039, z późn. zm.), w</w:t>
      </w:r>
      <w:r w:rsidR="0096463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związku z tym nie podlega notyfikacji.</w:t>
      </w:r>
    </w:p>
    <w:p w:rsidR="009E5B99" w:rsidRDefault="00494033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art. 2 projektu ustawy przewiduje się standardowe 14-dniowe </w:t>
      </w:r>
      <w:r w:rsidRPr="00491FA0">
        <w:rPr>
          <w:rFonts w:ascii="Times New Roman" w:hAnsi="Times New Roman"/>
          <w:i/>
          <w:sz w:val="24"/>
          <w:szCs w:val="24"/>
        </w:rPr>
        <w:t>vacatio legis</w:t>
      </w:r>
      <w:r>
        <w:rPr>
          <w:rFonts w:ascii="Times New Roman" w:hAnsi="Times New Roman"/>
          <w:sz w:val="24"/>
          <w:szCs w:val="24"/>
        </w:rPr>
        <w:t>, przewidziane wymogami art. 4 ust. 1 ustawy z dnia 20 lipca 2000 r. o ogłaszaniu aktów normatywnych i</w:t>
      </w:r>
      <w:r w:rsidR="00964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niektórych innych aktów prawnych (Dz. U. z 2011 r. Nr 197, poz.</w:t>
      </w:r>
      <w:r w:rsidR="0096463A">
        <w:rPr>
          <w:rFonts w:ascii="Times New Roman" w:hAnsi="Times New Roman"/>
          <w:sz w:val="24"/>
          <w:szCs w:val="24"/>
        </w:rPr>
        <w:t> </w:t>
      </w:r>
      <w:r w:rsidR="00491FA0">
        <w:rPr>
          <w:rFonts w:ascii="Times New Roman" w:hAnsi="Times New Roman"/>
          <w:sz w:val="24"/>
          <w:szCs w:val="24"/>
        </w:rPr>
        <w:t>1172, z </w:t>
      </w:r>
      <w:r>
        <w:rPr>
          <w:rFonts w:ascii="Times New Roman" w:hAnsi="Times New Roman"/>
          <w:sz w:val="24"/>
          <w:szCs w:val="24"/>
        </w:rPr>
        <w:t>późn. zm.).</w:t>
      </w:r>
    </w:p>
    <w:p w:rsidR="00494033" w:rsidRDefault="003B03C9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="00CE5F56">
        <w:rPr>
          <w:rFonts w:ascii="Times New Roman" w:hAnsi="Times New Roman"/>
          <w:sz w:val="24"/>
          <w:szCs w:val="24"/>
        </w:rPr>
        <w:t xml:space="preserve">na etapie prac legislacyjnych </w:t>
      </w:r>
      <w:r>
        <w:rPr>
          <w:rFonts w:ascii="Times New Roman" w:hAnsi="Times New Roman"/>
          <w:sz w:val="24"/>
          <w:szCs w:val="24"/>
        </w:rPr>
        <w:t xml:space="preserve">nie wymaga przedstawienia organom lub instytucjom UE </w:t>
      </w:r>
      <w:r w:rsidR="00491FA0">
        <w:rPr>
          <w:rFonts w:ascii="Times New Roman" w:hAnsi="Times New Roman"/>
          <w:sz w:val="24"/>
          <w:szCs w:val="24"/>
        </w:rPr>
        <w:t xml:space="preserve">w celu </w:t>
      </w:r>
      <w:r>
        <w:rPr>
          <w:rFonts w:ascii="Times New Roman" w:hAnsi="Times New Roman"/>
          <w:sz w:val="24"/>
          <w:szCs w:val="24"/>
        </w:rPr>
        <w:t xml:space="preserve">uzyskania opinii, </w:t>
      </w:r>
      <w:r w:rsidR="00CE5F56">
        <w:rPr>
          <w:rFonts w:ascii="Times New Roman" w:hAnsi="Times New Roman"/>
          <w:sz w:val="24"/>
          <w:szCs w:val="24"/>
        </w:rPr>
        <w:t>dokonania powiadomienia, konsultacji lub uzgodnienia.</w:t>
      </w:r>
    </w:p>
    <w:p w:rsidR="0096463A" w:rsidRPr="00C91767" w:rsidRDefault="00494033" w:rsidP="00491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Stosownie do treści </w:t>
      </w:r>
      <w:r w:rsidR="00ED730E">
        <w:rPr>
          <w:rFonts w:ascii="Times New Roman" w:hAnsi="Times New Roman"/>
          <w:sz w:val="24"/>
          <w:szCs w:val="24"/>
        </w:rPr>
        <w:t>§ 52 ust. 1</w:t>
      </w:r>
      <w:r w:rsidR="007E686D">
        <w:rPr>
          <w:rFonts w:ascii="Times New Roman" w:hAnsi="Times New Roman"/>
          <w:sz w:val="24"/>
          <w:szCs w:val="24"/>
        </w:rPr>
        <w:t xml:space="preserve"> uchwały </w:t>
      </w:r>
      <w:r w:rsidR="0042529D">
        <w:rPr>
          <w:rFonts w:ascii="Times New Roman" w:hAnsi="Times New Roman"/>
          <w:sz w:val="24"/>
          <w:szCs w:val="24"/>
        </w:rPr>
        <w:t>n</w:t>
      </w:r>
      <w:r w:rsidR="007E686D">
        <w:rPr>
          <w:rFonts w:ascii="Times New Roman" w:hAnsi="Times New Roman"/>
          <w:sz w:val="24"/>
          <w:szCs w:val="24"/>
        </w:rPr>
        <w:t>r 190 Rady Ministrów z dnia 29 października 2013 r.</w:t>
      </w:r>
      <w:r w:rsidR="00C91767">
        <w:rPr>
          <w:rFonts w:ascii="Times New Roman" w:hAnsi="Times New Roman"/>
          <w:sz w:val="24"/>
          <w:szCs w:val="24"/>
        </w:rPr>
        <w:t xml:space="preserve"> </w:t>
      </w:r>
      <w:r w:rsidR="0042529D">
        <w:rPr>
          <w:rFonts w:ascii="Times New Roman" w:hAnsi="Times New Roman"/>
          <w:sz w:val="24"/>
          <w:szCs w:val="24"/>
        </w:rPr>
        <w:t xml:space="preserve">– </w:t>
      </w:r>
      <w:r w:rsidR="00ED730E">
        <w:rPr>
          <w:rFonts w:ascii="Times New Roman" w:hAnsi="Times New Roman"/>
          <w:sz w:val="24"/>
          <w:szCs w:val="24"/>
        </w:rPr>
        <w:t>Regulamin prac</w:t>
      </w:r>
      <w:r w:rsidR="00D23076">
        <w:rPr>
          <w:rFonts w:ascii="Times New Roman" w:hAnsi="Times New Roman"/>
          <w:sz w:val="24"/>
          <w:szCs w:val="24"/>
        </w:rPr>
        <w:t>y</w:t>
      </w:r>
      <w:r w:rsidR="00ED730E">
        <w:rPr>
          <w:rFonts w:ascii="Times New Roman" w:hAnsi="Times New Roman"/>
          <w:sz w:val="24"/>
          <w:szCs w:val="24"/>
        </w:rPr>
        <w:t xml:space="preserve"> Rady Ministrów </w:t>
      </w:r>
      <w:r w:rsidR="00C91767">
        <w:rPr>
          <w:rFonts w:ascii="Times New Roman" w:hAnsi="Times New Roman"/>
          <w:sz w:val="24"/>
          <w:szCs w:val="24"/>
        </w:rPr>
        <w:t>(M.</w:t>
      </w:r>
      <w:r w:rsidR="007E686D">
        <w:rPr>
          <w:rFonts w:ascii="Times New Roman" w:hAnsi="Times New Roman"/>
          <w:sz w:val="24"/>
          <w:szCs w:val="24"/>
        </w:rPr>
        <w:t>P. poz. 979</w:t>
      </w:r>
      <w:r w:rsidR="00BA1BF8">
        <w:rPr>
          <w:rFonts w:ascii="Times New Roman" w:hAnsi="Times New Roman"/>
          <w:sz w:val="24"/>
          <w:szCs w:val="24"/>
        </w:rPr>
        <w:t xml:space="preserve"> oraz z 2015 r. poz. 1063</w:t>
      </w:r>
      <w:r w:rsidR="007E686D">
        <w:rPr>
          <w:rFonts w:ascii="Times New Roman" w:hAnsi="Times New Roman"/>
          <w:sz w:val="24"/>
          <w:szCs w:val="24"/>
        </w:rPr>
        <w:t>)</w:t>
      </w:r>
      <w:r w:rsidR="00C567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przedmiotowy projekt został udostępniony w Biuletynie Informacji Publicznej </w:t>
      </w:r>
      <w:r w:rsidR="00616B26">
        <w:rPr>
          <w:rFonts w:ascii="Times New Roman" w:hAnsi="Times New Roman"/>
          <w:sz w:val="24"/>
          <w:szCs w:val="24"/>
        </w:rPr>
        <w:t xml:space="preserve">na stronie podmiotowej </w:t>
      </w:r>
      <w:r>
        <w:rPr>
          <w:rFonts w:ascii="Times New Roman" w:hAnsi="Times New Roman"/>
          <w:sz w:val="24"/>
          <w:szCs w:val="24"/>
        </w:rPr>
        <w:t>Rządowego Centrum Legislacji.</w:t>
      </w:r>
    </w:p>
    <w:sectPr w:rsidR="0096463A" w:rsidRPr="00C91767" w:rsidSect="0096463A">
      <w:headerReference w:type="default" r:id="rId9"/>
      <w:footerReference w:type="default" r:id="rId10"/>
      <w:pgSz w:w="11906" w:h="16838" w:code="9"/>
      <w:pgMar w:top="1588" w:right="1418" w:bottom="1418" w:left="1985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53" w:rsidRDefault="00363953" w:rsidP="004802CB">
      <w:pPr>
        <w:spacing w:after="0" w:line="240" w:lineRule="auto"/>
      </w:pPr>
      <w:r>
        <w:separator/>
      </w:r>
    </w:p>
  </w:endnote>
  <w:endnote w:type="continuationSeparator" w:id="0">
    <w:p w:rsidR="00363953" w:rsidRDefault="00363953" w:rsidP="0048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5450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6143D" w:rsidRPr="0096463A" w:rsidRDefault="00363953" w:rsidP="0096463A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96463A">
          <w:rPr>
            <w:rFonts w:ascii="Times New Roman" w:hAnsi="Times New Roman"/>
            <w:sz w:val="24"/>
            <w:szCs w:val="24"/>
          </w:rPr>
          <w:fldChar w:fldCharType="begin"/>
        </w:r>
        <w:r w:rsidRPr="0096463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6463A">
          <w:rPr>
            <w:rFonts w:ascii="Times New Roman" w:hAnsi="Times New Roman"/>
            <w:sz w:val="24"/>
            <w:szCs w:val="24"/>
          </w:rPr>
          <w:fldChar w:fldCharType="separate"/>
        </w:r>
        <w:r w:rsidR="00EB752C">
          <w:rPr>
            <w:rFonts w:ascii="Times New Roman" w:hAnsi="Times New Roman"/>
            <w:noProof/>
            <w:sz w:val="24"/>
            <w:szCs w:val="24"/>
          </w:rPr>
          <w:t>4</w:t>
        </w:r>
        <w:r w:rsidRPr="0096463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53" w:rsidRDefault="00363953" w:rsidP="004802CB">
      <w:pPr>
        <w:spacing w:after="0" w:line="240" w:lineRule="auto"/>
      </w:pPr>
      <w:r>
        <w:separator/>
      </w:r>
    </w:p>
  </w:footnote>
  <w:footnote w:type="continuationSeparator" w:id="0">
    <w:p w:rsidR="00363953" w:rsidRDefault="00363953" w:rsidP="004802CB">
      <w:pPr>
        <w:spacing w:after="0" w:line="240" w:lineRule="auto"/>
      </w:pPr>
      <w:r>
        <w:continuationSeparator/>
      </w:r>
    </w:p>
  </w:footnote>
  <w:footnote w:id="1">
    <w:p w:rsidR="00B6143D" w:rsidRPr="0001541E" w:rsidRDefault="00B6143D" w:rsidP="00AF6A7E">
      <w:pPr>
        <w:pStyle w:val="Tekstprzypisudolnego"/>
        <w:jc w:val="both"/>
        <w:rPr>
          <w:rFonts w:ascii="Times New Roman" w:hAnsi="Times New Roman"/>
        </w:rPr>
      </w:pPr>
      <w:r w:rsidRPr="0001541E">
        <w:rPr>
          <w:rStyle w:val="Odwoanieprzypisudolnego"/>
          <w:rFonts w:ascii="Times New Roman" w:hAnsi="Times New Roman"/>
        </w:rPr>
        <w:footnoteRef/>
      </w:r>
      <w:r w:rsidR="00C91767" w:rsidRPr="00C91767">
        <w:rPr>
          <w:rFonts w:ascii="Times New Roman" w:hAnsi="Times New Roman"/>
          <w:vertAlign w:val="superscript"/>
        </w:rPr>
        <w:t>)</w:t>
      </w:r>
      <w:r w:rsidRPr="00C91767">
        <w:rPr>
          <w:rFonts w:ascii="Times New Roman" w:hAnsi="Times New Roman"/>
          <w:vertAlign w:val="superscript"/>
        </w:rPr>
        <w:t xml:space="preserve"> </w:t>
      </w:r>
      <w:r w:rsidRPr="0096463A">
        <w:rPr>
          <w:rFonts w:ascii="Times New Roman" w:hAnsi="Times New Roman"/>
        </w:rPr>
        <w:t>http://www.krrit.gov.pl/dla-nadawcow-i-operatorow/operatorzy-i-nadawcy-teleinformatyczni/rejestr/</w:t>
      </w:r>
      <w:r w:rsidRPr="0001541E">
        <w:rPr>
          <w:rFonts w:ascii="Times New Roman" w:hAnsi="Times New Roman"/>
        </w:rPr>
        <w:t xml:space="preserve"> </w:t>
      </w:r>
    </w:p>
  </w:footnote>
  <w:footnote w:id="2">
    <w:p w:rsidR="00B6143D" w:rsidRPr="0096463A" w:rsidRDefault="00B6143D" w:rsidP="00AF6A7E">
      <w:pPr>
        <w:pStyle w:val="Tekstprzypisudolnego"/>
        <w:jc w:val="both"/>
        <w:rPr>
          <w:rFonts w:ascii="Times New Roman" w:hAnsi="Times New Roman"/>
        </w:rPr>
      </w:pPr>
      <w:r w:rsidRPr="0096463A">
        <w:rPr>
          <w:rStyle w:val="Odwoanieprzypisudolnego"/>
          <w:rFonts w:ascii="Times New Roman" w:hAnsi="Times New Roman"/>
        </w:rPr>
        <w:footnoteRef/>
      </w:r>
      <w:r w:rsidR="00C91767" w:rsidRPr="00C91767">
        <w:rPr>
          <w:rFonts w:ascii="Times New Roman" w:hAnsi="Times New Roman"/>
          <w:vertAlign w:val="superscript"/>
        </w:rPr>
        <w:t>)</w:t>
      </w:r>
      <w:r w:rsidRPr="0096463A">
        <w:rPr>
          <w:rFonts w:ascii="Times New Roman" w:hAnsi="Times New Roman"/>
        </w:rPr>
        <w:t xml:space="preserve"> </w:t>
      </w:r>
      <w:hyperlink r:id="rId1" w:history="1">
        <w:r w:rsidRPr="0096463A">
          <w:rPr>
            <w:rStyle w:val="Hipercze"/>
            <w:rFonts w:ascii="Times New Roman" w:hAnsi="Times New Roman"/>
            <w:color w:val="auto"/>
            <w:u w:val="none"/>
          </w:rPr>
          <w:t>http://www.pike.org.pl/index/ranking</w:t>
        </w:r>
      </w:hyperlink>
      <w:r w:rsidRPr="0096463A">
        <w:rPr>
          <w:rFonts w:ascii="Times New Roman" w:hAnsi="Times New Roman"/>
        </w:rPr>
        <w:t xml:space="preserve"> </w:t>
      </w:r>
    </w:p>
  </w:footnote>
  <w:footnote w:id="3">
    <w:p w:rsidR="00B6143D" w:rsidRPr="00AF6A7E" w:rsidRDefault="00B6143D" w:rsidP="0096463A">
      <w:pPr>
        <w:pStyle w:val="Tekstprzypisudolnego"/>
        <w:ind w:left="126" w:hanging="126"/>
        <w:jc w:val="both"/>
        <w:rPr>
          <w:rFonts w:ascii="Times New Roman" w:hAnsi="Times New Roman"/>
        </w:rPr>
      </w:pPr>
      <w:r w:rsidRPr="00AF6A7E">
        <w:rPr>
          <w:rStyle w:val="Odwoanieprzypisudolnego"/>
          <w:rFonts w:ascii="Times New Roman" w:hAnsi="Times New Roman"/>
        </w:rPr>
        <w:footnoteRef/>
      </w:r>
      <w:r w:rsidR="00C91767" w:rsidRPr="00C91767">
        <w:rPr>
          <w:rFonts w:ascii="Times New Roman" w:hAnsi="Times New Roman"/>
          <w:vertAlign w:val="superscript"/>
        </w:rPr>
        <w:t>)</w:t>
      </w:r>
      <w:r w:rsidRPr="00C91767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Dane zawarte w sprawozdaniach rocznych organizacji zbiorowego zarządzania z działalności w 2014 r., publicznie dostępne na ich stronach internetowych.</w:t>
      </w:r>
      <w:r w:rsidR="0016629D">
        <w:rPr>
          <w:rFonts w:ascii="Times New Roman" w:hAnsi="Times New Roman"/>
        </w:rPr>
        <w:t xml:space="preserve"> Dane za 2015 r. </w:t>
      </w:r>
      <w:r w:rsidR="00C82CE2">
        <w:rPr>
          <w:rFonts w:ascii="Times New Roman" w:hAnsi="Times New Roman"/>
        </w:rPr>
        <w:t>powinny być</w:t>
      </w:r>
      <w:r w:rsidR="0016629D">
        <w:rPr>
          <w:rFonts w:ascii="Times New Roman" w:hAnsi="Times New Roman"/>
        </w:rPr>
        <w:t xml:space="preserve"> dostępne</w:t>
      </w:r>
      <w:r w:rsidR="00C82CE2">
        <w:rPr>
          <w:rFonts w:ascii="Times New Roman" w:hAnsi="Times New Roman"/>
        </w:rPr>
        <w:t xml:space="preserve"> do końca czerwca 2016 r.</w:t>
      </w:r>
      <w:r w:rsidR="0016629D">
        <w:rPr>
          <w:rFonts w:ascii="Times New Roman" w:hAnsi="Times New Roman"/>
        </w:rPr>
        <w:t xml:space="preserve"> </w:t>
      </w:r>
    </w:p>
  </w:footnote>
  <w:footnote w:id="4">
    <w:p w:rsidR="00B6143D" w:rsidRPr="00826B6D" w:rsidRDefault="00B6143D" w:rsidP="0096463A">
      <w:pPr>
        <w:pStyle w:val="Tekstprzypisudolnego"/>
        <w:ind w:left="182" w:hanging="182"/>
        <w:jc w:val="both"/>
        <w:rPr>
          <w:rFonts w:ascii="Times New Roman" w:hAnsi="Times New Roman"/>
        </w:rPr>
      </w:pPr>
      <w:r w:rsidRPr="00826B6D">
        <w:rPr>
          <w:rStyle w:val="Odwoanieprzypisudolnego"/>
          <w:rFonts w:ascii="Times New Roman" w:hAnsi="Times New Roman"/>
        </w:rPr>
        <w:footnoteRef/>
      </w:r>
      <w:r w:rsidR="00C91767" w:rsidRPr="00C91767">
        <w:rPr>
          <w:rFonts w:ascii="Times New Roman" w:hAnsi="Times New Roman"/>
          <w:vertAlign w:val="superscript"/>
        </w:rPr>
        <w:t>)</w:t>
      </w:r>
      <w:r w:rsidRPr="00826B6D">
        <w:rPr>
          <w:rFonts w:ascii="Times New Roman" w:hAnsi="Times New Roman"/>
        </w:rPr>
        <w:t xml:space="preserve"> Ponieważ dyrektywa w art. 10 posługuje się terminem „przeniesienie”</w:t>
      </w:r>
      <w:r w:rsidR="00491FA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powstała wątpliwość, czy nadawca może wywodzić tytuł do samodzielnego wykonywania praw do reemisji również z licencji uzyskanej od podmiotu uprawnionego. MKiDN przeprowadziło w tym zakresie robocze konsultacje z</w:t>
      </w:r>
      <w:r w:rsidR="0096463A">
        <w:rPr>
          <w:rFonts w:ascii="Times New Roman" w:hAnsi="Times New Roman"/>
        </w:rPr>
        <w:t> </w:t>
      </w:r>
      <w:r>
        <w:rPr>
          <w:rFonts w:ascii="Times New Roman" w:hAnsi="Times New Roman"/>
        </w:rPr>
        <w:t>właściwym merytorycznie wydziałem w Komisji Europejskiej</w:t>
      </w:r>
      <w:r w:rsidR="00634975">
        <w:rPr>
          <w:rFonts w:ascii="Times New Roman" w:hAnsi="Times New Roman"/>
        </w:rPr>
        <w:t xml:space="preserve"> (poczta elektroniczna)</w:t>
      </w:r>
      <w:r>
        <w:rPr>
          <w:rFonts w:ascii="Times New Roman" w:hAnsi="Times New Roman"/>
        </w:rPr>
        <w:t>, z których wynika, że w ocenie Komisji termin ten powinien być rozumiany szeroko</w:t>
      </w:r>
      <w:r w:rsidR="00094EEF">
        <w:rPr>
          <w:rFonts w:ascii="Times New Roman" w:hAnsi="Times New Roman"/>
        </w:rPr>
        <w:t xml:space="preserve"> i obejmować różne formy dysponowania prawami autorskimi. Stanowisko to należy uznać za zasadne także z tego powodu, że </w:t>
      </w:r>
      <w:r w:rsidR="009B66E2">
        <w:rPr>
          <w:rFonts w:ascii="Times New Roman" w:hAnsi="Times New Roman"/>
        </w:rPr>
        <w:t>dyrektywa jest adresowana do wszystkich państw UE, a nie wszystkie te państwa przewidziały w</w:t>
      </w:r>
      <w:r w:rsidR="0096463A">
        <w:rPr>
          <w:rFonts w:ascii="Times New Roman" w:hAnsi="Times New Roman"/>
        </w:rPr>
        <w:t> </w:t>
      </w:r>
      <w:r w:rsidR="009B66E2">
        <w:rPr>
          <w:rFonts w:ascii="Times New Roman" w:hAnsi="Times New Roman"/>
        </w:rPr>
        <w:t xml:space="preserve">swoim prawie krajowym możliwość przeniesienia praw autorskich na inny podmiot w </w:t>
      </w:r>
      <w:r w:rsidR="00493999">
        <w:rPr>
          <w:rFonts w:ascii="Times New Roman" w:hAnsi="Times New Roman"/>
        </w:rPr>
        <w:t xml:space="preserve">takim </w:t>
      </w:r>
      <w:r w:rsidR="009B66E2">
        <w:rPr>
          <w:rFonts w:ascii="Times New Roman" w:hAnsi="Times New Roman"/>
        </w:rPr>
        <w:t>rozumieniu</w:t>
      </w:r>
      <w:r w:rsidR="00493999">
        <w:rPr>
          <w:rFonts w:ascii="Times New Roman" w:hAnsi="Times New Roman"/>
        </w:rPr>
        <w:t xml:space="preserve"> terminu „przeniesienie”, jakie nadał mu np. polski ustawodawca.</w:t>
      </w:r>
      <w:r w:rsidR="000130A4">
        <w:rPr>
          <w:rFonts w:ascii="Times New Roman" w:hAnsi="Times New Roman"/>
        </w:rPr>
        <w:t xml:space="preserve"> Ponieważ dyrektywa musi być implementowana w każdym Państwie Członkowskim</w:t>
      </w:r>
      <w:r w:rsidR="00A87359">
        <w:rPr>
          <w:rFonts w:ascii="Times New Roman" w:hAnsi="Times New Roman"/>
        </w:rPr>
        <w:t>, wykładnia jej poszczególnych terminów musi być jednakowa dla każdego porządku prawnego</w:t>
      </w:r>
      <w:r w:rsidR="00BD6897">
        <w:rPr>
          <w:rFonts w:ascii="Times New Roman" w:hAnsi="Times New Roman"/>
        </w:rPr>
        <w:t xml:space="preserve"> i nie może być determinowana określonym rozumieniem tych terminów w jednym tylko państwie.</w:t>
      </w:r>
      <w:r w:rsidR="0096463A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D" w:rsidRPr="00B371CC" w:rsidRDefault="00B6143D" w:rsidP="00FF09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29E0"/>
    <w:multiLevelType w:val="hybridMultilevel"/>
    <w:tmpl w:val="51F48188"/>
    <w:lvl w:ilvl="0" w:tplc="291EEF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0A50901"/>
    <w:multiLevelType w:val="hybridMultilevel"/>
    <w:tmpl w:val="CE009458"/>
    <w:lvl w:ilvl="0" w:tplc="467C65C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6F184D9D"/>
    <w:multiLevelType w:val="hybridMultilevel"/>
    <w:tmpl w:val="EB5E1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CB"/>
    <w:rsid w:val="000130A4"/>
    <w:rsid w:val="0001541E"/>
    <w:rsid w:val="00015585"/>
    <w:rsid w:val="00026618"/>
    <w:rsid w:val="000274DE"/>
    <w:rsid w:val="000318E0"/>
    <w:rsid w:val="00031A40"/>
    <w:rsid w:val="0005438B"/>
    <w:rsid w:val="00056F8C"/>
    <w:rsid w:val="00067B38"/>
    <w:rsid w:val="00072634"/>
    <w:rsid w:val="00083453"/>
    <w:rsid w:val="00094EEF"/>
    <w:rsid w:val="000A15CA"/>
    <w:rsid w:val="000B64C3"/>
    <w:rsid w:val="000C6755"/>
    <w:rsid w:val="000D585C"/>
    <w:rsid w:val="0013439B"/>
    <w:rsid w:val="00163401"/>
    <w:rsid w:val="0016629D"/>
    <w:rsid w:val="001854EE"/>
    <w:rsid w:val="00196399"/>
    <w:rsid w:val="001A0049"/>
    <w:rsid w:val="001A376C"/>
    <w:rsid w:val="001D40DD"/>
    <w:rsid w:val="001E5CA0"/>
    <w:rsid w:val="001F0EB4"/>
    <w:rsid w:val="0020288D"/>
    <w:rsid w:val="00203B86"/>
    <w:rsid w:val="00206075"/>
    <w:rsid w:val="00217A26"/>
    <w:rsid w:val="00217D15"/>
    <w:rsid w:val="0023039C"/>
    <w:rsid w:val="00254E02"/>
    <w:rsid w:val="00256267"/>
    <w:rsid w:val="002576AE"/>
    <w:rsid w:val="002708DF"/>
    <w:rsid w:val="00286FF8"/>
    <w:rsid w:val="0029630A"/>
    <w:rsid w:val="002972E0"/>
    <w:rsid w:val="002A6E8D"/>
    <w:rsid w:val="002C2233"/>
    <w:rsid w:val="002C445A"/>
    <w:rsid w:val="002D6710"/>
    <w:rsid w:val="002E14B9"/>
    <w:rsid w:val="002E39DE"/>
    <w:rsid w:val="002E729A"/>
    <w:rsid w:val="002F1835"/>
    <w:rsid w:val="0030354E"/>
    <w:rsid w:val="003122F3"/>
    <w:rsid w:val="00312BAA"/>
    <w:rsid w:val="00336B14"/>
    <w:rsid w:val="00363953"/>
    <w:rsid w:val="00373499"/>
    <w:rsid w:val="00373B97"/>
    <w:rsid w:val="00395E5C"/>
    <w:rsid w:val="003B03C9"/>
    <w:rsid w:val="003B4749"/>
    <w:rsid w:val="003F54C4"/>
    <w:rsid w:val="003F7DD3"/>
    <w:rsid w:val="00401E41"/>
    <w:rsid w:val="00404857"/>
    <w:rsid w:val="0040671F"/>
    <w:rsid w:val="0042529D"/>
    <w:rsid w:val="00435CA9"/>
    <w:rsid w:val="00440187"/>
    <w:rsid w:val="00443CD5"/>
    <w:rsid w:val="0046395D"/>
    <w:rsid w:val="004802CB"/>
    <w:rsid w:val="00487A6E"/>
    <w:rsid w:val="00491FA0"/>
    <w:rsid w:val="00493999"/>
    <w:rsid w:val="00494033"/>
    <w:rsid w:val="004B5933"/>
    <w:rsid w:val="004C02A4"/>
    <w:rsid w:val="004E30DA"/>
    <w:rsid w:val="004E6599"/>
    <w:rsid w:val="004F372F"/>
    <w:rsid w:val="00503E55"/>
    <w:rsid w:val="00513287"/>
    <w:rsid w:val="00516176"/>
    <w:rsid w:val="00533D9C"/>
    <w:rsid w:val="0054324E"/>
    <w:rsid w:val="00547342"/>
    <w:rsid w:val="0054756B"/>
    <w:rsid w:val="005550D2"/>
    <w:rsid w:val="005723A6"/>
    <w:rsid w:val="00581646"/>
    <w:rsid w:val="00582717"/>
    <w:rsid w:val="00587529"/>
    <w:rsid w:val="00595A4A"/>
    <w:rsid w:val="005B1ED8"/>
    <w:rsid w:val="005D05AF"/>
    <w:rsid w:val="005D4967"/>
    <w:rsid w:val="005E26E5"/>
    <w:rsid w:val="00601C34"/>
    <w:rsid w:val="006154FA"/>
    <w:rsid w:val="00616B26"/>
    <w:rsid w:val="00634975"/>
    <w:rsid w:val="00656967"/>
    <w:rsid w:val="00663ACD"/>
    <w:rsid w:val="00681113"/>
    <w:rsid w:val="0068795A"/>
    <w:rsid w:val="00697413"/>
    <w:rsid w:val="00697C50"/>
    <w:rsid w:val="006A541E"/>
    <w:rsid w:val="006A7D57"/>
    <w:rsid w:val="006B5CCD"/>
    <w:rsid w:val="006C3841"/>
    <w:rsid w:val="006E7B3A"/>
    <w:rsid w:val="006F160F"/>
    <w:rsid w:val="007221CB"/>
    <w:rsid w:val="007247F8"/>
    <w:rsid w:val="00724A83"/>
    <w:rsid w:val="00730BA7"/>
    <w:rsid w:val="00786274"/>
    <w:rsid w:val="00787260"/>
    <w:rsid w:val="00792861"/>
    <w:rsid w:val="00793389"/>
    <w:rsid w:val="007A7731"/>
    <w:rsid w:val="007B254F"/>
    <w:rsid w:val="007C77C6"/>
    <w:rsid w:val="007D24F3"/>
    <w:rsid w:val="007D508F"/>
    <w:rsid w:val="007E686D"/>
    <w:rsid w:val="007F6D01"/>
    <w:rsid w:val="0081427B"/>
    <w:rsid w:val="00826B6D"/>
    <w:rsid w:val="008340C5"/>
    <w:rsid w:val="00854A92"/>
    <w:rsid w:val="00857AB3"/>
    <w:rsid w:val="00860EDD"/>
    <w:rsid w:val="00862500"/>
    <w:rsid w:val="008655B0"/>
    <w:rsid w:val="008767C7"/>
    <w:rsid w:val="00880746"/>
    <w:rsid w:val="008810B3"/>
    <w:rsid w:val="00881C4D"/>
    <w:rsid w:val="00890238"/>
    <w:rsid w:val="00892C55"/>
    <w:rsid w:val="008A2341"/>
    <w:rsid w:val="008A3A2E"/>
    <w:rsid w:val="008A77BD"/>
    <w:rsid w:val="008C4AEA"/>
    <w:rsid w:val="008D74EF"/>
    <w:rsid w:val="008E05A3"/>
    <w:rsid w:val="008E6D00"/>
    <w:rsid w:val="008F0EB3"/>
    <w:rsid w:val="009029F6"/>
    <w:rsid w:val="009230DC"/>
    <w:rsid w:val="00930648"/>
    <w:rsid w:val="009314FD"/>
    <w:rsid w:val="0095002B"/>
    <w:rsid w:val="0096463A"/>
    <w:rsid w:val="00964BA6"/>
    <w:rsid w:val="00972041"/>
    <w:rsid w:val="009747AD"/>
    <w:rsid w:val="009769AA"/>
    <w:rsid w:val="00976DD1"/>
    <w:rsid w:val="00990546"/>
    <w:rsid w:val="00994796"/>
    <w:rsid w:val="009A0A25"/>
    <w:rsid w:val="009B1E6A"/>
    <w:rsid w:val="009B66E2"/>
    <w:rsid w:val="009B6C78"/>
    <w:rsid w:val="009C48C1"/>
    <w:rsid w:val="009D3F0D"/>
    <w:rsid w:val="009E5B99"/>
    <w:rsid w:val="009F0C5E"/>
    <w:rsid w:val="00A041E0"/>
    <w:rsid w:val="00A06D45"/>
    <w:rsid w:val="00A1003E"/>
    <w:rsid w:val="00A150DA"/>
    <w:rsid w:val="00A24B7D"/>
    <w:rsid w:val="00A3616E"/>
    <w:rsid w:val="00A3710F"/>
    <w:rsid w:val="00A4507B"/>
    <w:rsid w:val="00A4784C"/>
    <w:rsid w:val="00A5584D"/>
    <w:rsid w:val="00A57878"/>
    <w:rsid w:val="00A75FA0"/>
    <w:rsid w:val="00A87359"/>
    <w:rsid w:val="00A87AFE"/>
    <w:rsid w:val="00AA67E9"/>
    <w:rsid w:val="00AB43A3"/>
    <w:rsid w:val="00AE3959"/>
    <w:rsid w:val="00AF0358"/>
    <w:rsid w:val="00AF20D4"/>
    <w:rsid w:val="00AF6A7E"/>
    <w:rsid w:val="00B238A0"/>
    <w:rsid w:val="00B349FB"/>
    <w:rsid w:val="00B45A5B"/>
    <w:rsid w:val="00B6143D"/>
    <w:rsid w:val="00B654F0"/>
    <w:rsid w:val="00B70166"/>
    <w:rsid w:val="00B86328"/>
    <w:rsid w:val="00BA1BF8"/>
    <w:rsid w:val="00BA2C53"/>
    <w:rsid w:val="00BB4969"/>
    <w:rsid w:val="00BC4639"/>
    <w:rsid w:val="00BD0F8E"/>
    <w:rsid w:val="00BD4365"/>
    <w:rsid w:val="00BD4BA0"/>
    <w:rsid w:val="00BD6897"/>
    <w:rsid w:val="00C0066D"/>
    <w:rsid w:val="00C30AE9"/>
    <w:rsid w:val="00C3637C"/>
    <w:rsid w:val="00C37FDA"/>
    <w:rsid w:val="00C403E5"/>
    <w:rsid w:val="00C50CE0"/>
    <w:rsid w:val="00C56782"/>
    <w:rsid w:val="00C60FC0"/>
    <w:rsid w:val="00C63753"/>
    <w:rsid w:val="00C82CE2"/>
    <w:rsid w:val="00C86997"/>
    <w:rsid w:val="00C90E2C"/>
    <w:rsid w:val="00C91767"/>
    <w:rsid w:val="00CA5EF7"/>
    <w:rsid w:val="00CE5F56"/>
    <w:rsid w:val="00D05090"/>
    <w:rsid w:val="00D20CB3"/>
    <w:rsid w:val="00D21A9B"/>
    <w:rsid w:val="00D23076"/>
    <w:rsid w:val="00D312EB"/>
    <w:rsid w:val="00D47070"/>
    <w:rsid w:val="00D4788A"/>
    <w:rsid w:val="00D47A92"/>
    <w:rsid w:val="00D5629C"/>
    <w:rsid w:val="00D87298"/>
    <w:rsid w:val="00DA066D"/>
    <w:rsid w:val="00DA512F"/>
    <w:rsid w:val="00DC11C2"/>
    <w:rsid w:val="00DC1BCE"/>
    <w:rsid w:val="00DF5907"/>
    <w:rsid w:val="00E00F5B"/>
    <w:rsid w:val="00E33BBE"/>
    <w:rsid w:val="00E4133D"/>
    <w:rsid w:val="00E55AD3"/>
    <w:rsid w:val="00E6069E"/>
    <w:rsid w:val="00E66DD7"/>
    <w:rsid w:val="00E843D7"/>
    <w:rsid w:val="00E8658F"/>
    <w:rsid w:val="00E94D48"/>
    <w:rsid w:val="00EB47D6"/>
    <w:rsid w:val="00EB752C"/>
    <w:rsid w:val="00EC05C2"/>
    <w:rsid w:val="00EC2140"/>
    <w:rsid w:val="00ED730E"/>
    <w:rsid w:val="00EE3075"/>
    <w:rsid w:val="00EE7E4A"/>
    <w:rsid w:val="00EF1A00"/>
    <w:rsid w:val="00F10E4E"/>
    <w:rsid w:val="00F15D6B"/>
    <w:rsid w:val="00F250E6"/>
    <w:rsid w:val="00F318CA"/>
    <w:rsid w:val="00F35AB5"/>
    <w:rsid w:val="00F371B7"/>
    <w:rsid w:val="00F4212D"/>
    <w:rsid w:val="00F61BF5"/>
    <w:rsid w:val="00F66F06"/>
    <w:rsid w:val="00F80390"/>
    <w:rsid w:val="00F97033"/>
    <w:rsid w:val="00FD6859"/>
    <w:rsid w:val="00FD75FF"/>
    <w:rsid w:val="00FE25D3"/>
    <w:rsid w:val="00FF0986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2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802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802CB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802CB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4802C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4802CB"/>
    <w:rPr>
      <w:rFonts w:ascii="Times" w:eastAsia="Times New Roman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4802CB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4802CB"/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4802C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4802CB"/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4802CB"/>
    <w:pPr>
      <w:keepNext/>
      <w:suppressAutoHyphens/>
      <w:spacing w:after="120" w:line="360" w:lineRule="auto"/>
      <w:jc w:val="center"/>
    </w:pPr>
    <w:rPr>
      <w:rFonts w:ascii="Times" w:eastAsia="Calibri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4802CB"/>
    <w:rPr>
      <w:rFonts w:ascii="Times" w:eastAsia="Calibri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4802CB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4802CB"/>
    <w:rPr>
      <w:rFonts w:ascii="Times" w:eastAsia="Times New Roman" w:hAnsi="Times" w:cs="Arial"/>
      <w:bCs/>
      <w:sz w:val="24"/>
      <w:szCs w:val="20"/>
    </w:rPr>
  </w:style>
  <w:style w:type="paragraph" w:customStyle="1" w:styleId="ODNONIKtreodnonika">
    <w:name w:val="ODNOŚNIK – treść odnośnika"/>
    <w:uiPriority w:val="24"/>
    <w:qFormat/>
    <w:rsid w:val="004802CB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4802CB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494033"/>
    <w:pPr>
      <w:ind w:left="708"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49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33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41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1541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4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5C2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060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2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802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802CB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802CB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4802C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4802CB"/>
    <w:rPr>
      <w:rFonts w:ascii="Times" w:eastAsia="Times New Roman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4802CB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4802CB"/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4802C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4802CB"/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4802CB"/>
    <w:pPr>
      <w:keepNext/>
      <w:suppressAutoHyphens/>
      <w:spacing w:after="120" w:line="360" w:lineRule="auto"/>
      <w:jc w:val="center"/>
    </w:pPr>
    <w:rPr>
      <w:rFonts w:ascii="Times" w:eastAsia="Calibri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4802CB"/>
    <w:rPr>
      <w:rFonts w:ascii="Times" w:eastAsia="Calibri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4802CB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4802CB"/>
    <w:rPr>
      <w:rFonts w:ascii="Times" w:eastAsia="Times New Roman" w:hAnsi="Times" w:cs="Arial"/>
      <w:bCs/>
      <w:sz w:val="24"/>
      <w:szCs w:val="20"/>
    </w:rPr>
  </w:style>
  <w:style w:type="paragraph" w:customStyle="1" w:styleId="ODNONIKtreodnonika">
    <w:name w:val="ODNOŚNIK – treść odnośnika"/>
    <w:uiPriority w:val="24"/>
    <w:qFormat/>
    <w:rsid w:val="004802CB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4802CB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494033"/>
    <w:pPr>
      <w:ind w:left="708"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49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33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41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1541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4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5C2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06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ke.org.pl/index/rank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7FBD-0114-4D58-8284-90116FF7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jbarski</dc:creator>
  <cp:lastModifiedBy>Grażyna D. Grabowska</cp:lastModifiedBy>
  <cp:revision>2</cp:revision>
  <cp:lastPrinted>2014-02-24T10:13:00Z</cp:lastPrinted>
  <dcterms:created xsi:type="dcterms:W3CDTF">2016-05-20T09:10:00Z</dcterms:created>
  <dcterms:modified xsi:type="dcterms:W3CDTF">2016-05-20T09:10:00Z</dcterms:modified>
</cp:coreProperties>
</file>