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595E" w:rsidRPr="00EB21E3" w:rsidRDefault="00EB21E3" w:rsidP="00EB21E3">
      <w:pPr>
        <w:spacing w:before="120" w:after="0" w:line="360" w:lineRule="auto"/>
        <w:jc w:val="center"/>
        <w:rPr>
          <w:rFonts w:ascii="Times New Roman" w:hAnsi="Times New Roman" w:cs="Times New Roman"/>
          <w:sz w:val="24"/>
          <w:szCs w:val="24"/>
        </w:rPr>
      </w:pPr>
      <w:bookmarkStart w:id="0" w:name="_GoBack"/>
      <w:bookmarkEnd w:id="0"/>
      <w:r w:rsidRPr="00EB21E3">
        <w:rPr>
          <w:rFonts w:ascii="Times New Roman" w:hAnsi="Times New Roman" w:cs="Times New Roman"/>
          <w:sz w:val="24"/>
          <w:szCs w:val="24"/>
        </w:rPr>
        <w:t>UZASADNIENIE</w:t>
      </w:r>
    </w:p>
    <w:p w:rsidR="00CC76A1" w:rsidRPr="00EB21E3" w:rsidRDefault="00DA0295" w:rsidP="00EB21E3">
      <w:pPr>
        <w:spacing w:before="120" w:after="0" w:line="360" w:lineRule="auto"/>
        <w:jc w:val="both"/>
        <w:rPr>
          <w:rFonts w:ascii="Times New Roman" w:hAnsi="Times New Roman" w:cs="Times New Roman"/>
          <w:sz w:val="24"/>
          <w:szCs w:val="24"/>
        </w:rPr>
      </w:pPr>
      <w:r w:rsidRPr="00EB21E3">
        <w:rPr>
          <w:rFonts w:ascii="Times New Roman" w:hAnsi="Times New Roman" w:cs="Times New Roman"/>
          <w:sz w:val="24"/>
          <w:szCs w:val="24"/>
        </w:rPr>
        <w:t xml:space="preserve">Projekt </w:t>
      </w:r>
      <w:r w:rsidR="00796A95" w:rsidRPr="00EB21E3">
        <w:rPr>
          <w:rFonts w:ascii="Times New Roman" w:hAnsi="Times New Roman" w:cs="Times New Roman"/>
          <w:sz w:val="24"/>
          <w:szCs w:val="24"/>
        </w:rPr>
        <w:t xml:space="preserve">obejmuje </w:t>
      </w:r>
      <w:r w:rsidRPr="00EB21E3">
        <w:rPr>
          <w:rFonts w:ascii="Times New Roman" w:hAnsi="Times New Roman" w:cs="Times New Roman"/>
          <w:sz w:val="24"/>
          <w:szCs w:val="24"/>
        </w:rPr>
        <w:t>zmian</w:t>
      </w:r>
      <w:r w:rsidR="00796A95" w:rsidRPr="00EB21E3">
        <w:rPr>
          <w:rFonts w:ascii="Times New Roman" w:hAnsi="Times New Roman" w:cs="Times New Roman"/>
          <w:sz w:val="24"/>
          <w:szCs w:val="24"/>
        </w:rPr>
        <w:t xml:space="preserve">y </w:t>
      </w:r>
      <w:r w:rsidR="003C37D7" w:rsidRPr="00EB21E3">
        <w:rPr>
          <w:rFonts w:ascii="Times New Roman" w:hAnsi="Times New Roman" w:cs="Times New Roman"/>
          <w:sz w:val="24"/>
          <w:szCs w:val="24"/>
        </w:rPr>
        <w:t xml:space="preserve">w </w:t>
      </w:r>
      <w:r w:rsidR="007A5DF6" w:rsidRPr="00EB21E3">
        <w:rPr>
          <w:rFonts w:ascii="Times New Roman" w:hAnsi="Times New Roman" w:cs="Times New Roman"/>
          <w:sz w:val="24"/>
          <w:szCs w:val="24"/>
        </w:rPr>
        <w:t xml:space="preserve">ustawie o podatku od towarów i usług, ustawie </w:t>
      </w:r>
      <w:r w:rsidR="00EB21E3">
        <w:rPr>
          <w:rFonts w:ascii="Times New Roman" w:hAnsi="Times New Roman" w:cs="Times New Roman"/>
          <w:sz w:val="24"/>
          <w:szCs w:val="24"/>
        </w:rPr>
        <w:t>–</w:t>
      </w:r>
      <w:r w:rsidR="00796A95" w:rsidRPr="00EB21E3">
        <w:rPr>
          <w:rFonts w:ascii="Times New Roman" w:hAnsi="Times New Roman" w:cs="Times New Roman"/>
          <w:sz w:val="24"/>
          <w:szCs w:val="24"/>
        </w:rPr>
        <w:t xml:space="preserve"> </w:t>
      </w:r>
      <w:r w:rsidR="007A5DF6" w:rsidRPr="00EB21E3">
        <w:rPr>
          <w:rFonts w:ascii="Times New Roman" w:hAnsi="Times New Roman" w:cs="Times New Roman"/>
          <w:sz w:val="24"/>
          <w:szCs w:val="24"/>
        </w:rPr>
        <w:t>Prawo energetyczne, ustaw</w:t>
      </w:r>
      <w:r w:rsidR="00796A95" w:rsidRPr="00EB21E3">
        <w:rPr>
          <w:rFonts w:ascii="Times New Roman" w:hAnsi="Times New Roman" w:cs="Times New Roman"/>
          <w:sz w:val="24"/>
          <w:szCs w:val="24"/>
        </w:rPr>
        <w:t>ie</w:t>
      </w:r>
      <w:r w:rsidR="007A5DF6" w:rsidRPr="00EB21E3">
        <w:rPr>
          <w:rFonts w:ascii="Times New Roman" w:hAnsi="Times New Roman" w:cs="Times New Roman"/>
          <w:sz w:val="24"/>
          <w:szCs w:val="24"/>
        </w:rPr>
        <w:t xml:space="preserve"> o zapasach ropy naftowej, produktów naftowych i gazu ziemnego oraz zasadach postępowania w sytuacjach zagrożenia bezpieczeństwa paliwowego państwa i zakłóceń na rynku naftowym oraz </w:t>
      </w:r>
      <w:r w:rsidR="00796A95" w:rsidRPr="00EB21E3">
        <w:rPr>
          <w:rFonts w:ascii="Times New Roman" w:hAnsi="Times New Roman" w:cs="Times New Roman"/>
          <w:sz w:val="24"/>
          <w:szCs w:val="24"/>
        </w:rPr>
        <w:t xml:space="preserve">w </w:t>
      </w:r>
      <w:r w:rsidR="005F3DF3" w:rsidRPr="00EB21E3">
        <w:rPr>
          <w:rFonts w:ascii="Times New Roman" w:hAnsi="Times New Roman" w:cs="Times New Roman"/>
          <w:sz w:val="24"/>
          <w:szCs w:val="24"/>
        </w:rPr>
        <w:t>ustaw</w:t>
      </w:r>
      <w:r w:rsidR="003C37D7" w:rsidRPr="00EB21E3">
        <w:rPr>
          <w:rFonts w:ascii="Times New Roman" w:hAnsi="Times New Roman" w:cs="Times New Roman"/>
          <w:sz w:val="24"/>
          <w:szCs w:val="24"/>
        </w:rPr>
        <w:t xml:space="preserve">ie </w:t>
      </w:r>
      <w:r w:rsidR="005F3DF3" w:rsidRPr="00EB21E3">
        <w:rPr>
          <w:rFonts w:ascii="Times New Roman" w:hAnsi="Times New Roman" w:cs="Times New Roman"/>
          <w:sz w:val="24"/>
          <w:szCs w:val="24"/>
        </w:rPr>
        <w:t>o podatku akcyzowym</w:t>
      </w:r>
      <w:r w:rsidR="003C37D7" w:rsidRPr="00EB21E3">
        <w:rPr>
          <w:rFonts w:ascii="Times New Roman" w:hAnsi="Times New Roman" w:cs="Times New Roman"/>
          <w:sz w:val="24"/>
          <w:szCs w:val="24"/>
        </w:rPr>
        <w:t xml:space="preserve">, </w:t>
      </w:r>
      <w:r w:rsidR="00796A95" w:rsidRPr="00EB21E3">
        <w:rPr>
          <w:rFonts w:ascii="Times New Roman" w:hAnsi="Times New Roman" w:cs="Times New Roman"/>
          <w:sz w:val="24"/>
          <w:szCs w:val="24"/>
        </w:rPr>
        <w:t xml:space="preserve">które </w:t>
      </w:r>
      <w:r w:rsidR="00EE4E76" w:rsidRPr="00EB21E3">
        <w:rPr>
          <w:rFonts w:ascii="Times New Roman" w:hAnsi="Times New Roman" w:cs="Times New Roman"/>
          <w:sz w:val="24"/>
          <w:szCs w:val="24"/>
        </w:rPr>
        <w:t>podyktowan</w:t>
      </w:r>
      <w:r w:rsidR="00796A95" w:rsidRPr="00EB21E3">
        <w:rPr>
          <w:rFonts w:ascii="Times New Roman" w:hAnsi="Times New Roman" w:cs="Times New Roman"/>
          <w:sz w:val="24"/>
          <w:szCs w:val="24"/>
        </w:rPr>
        <w:t>e</w:t>
      </w:r>
      <w:r w:rsidR="00EE4E76" w:rsidRPr="00EB21E3">
        <w:rPr>
          <w:rFonts w:ascii="Times New Roman" w:hAnsi="Times New Roman" w:cs="Times New Roman"/>
          <w:sz w:val="24"/>
          <w:szCs w:val="24"/>
        </w:rPr>
        <w:t xml:space="preserve"> </w:t>
      </w:r>
      <w:r w:rsidR="00796A95" w:rsidRPr="00EB21E3">
        <w:rPr>
          <w:rFonts w:ascii="Times New Roman" w:hAnsi="Times New Roman" w:cs="Times New Roman"/>
          <w:sz w:val="24"/>
          <w:szCs w:val="24"/>
        </w:rPr>
        <w:t>s</w:t>
      </w:r>
      <w:r w:rsidR="00184EE3" w:rsidRPr="00EB21E3">
        <w:rPr>
          <w:rFonts w:ascii="Times New Roman" w:hAnsi="Times New Roman" w:cs="Times New Roman"/>
          <w:sz w:val="24"/>
          <w:szCs w:val="24"/>
        </w:rPr>
        <w:t>ą</w:t>
      </w:r>
      <w:r w:rsidR="00EB21E3">
        <w:rPr>
          <w:rFonts w:ascii="Times New Roman" w:hAnsi="Times New Roman" w:cs="Times New Roman"/>
          <w:sz w:val="24"/>
          <w:szCs w:val="24"/>
        </w:rPr>
        <w:t xml:space="preserve"> </w:t>
      </w:r>
      <w:r w:rsidR="00EE4E76" w:rsidRPr="00EB21E3">
        <w:rPr>
          <w:rFonts w:ascii="Times New Roman" w:hAnsi="Times New Roman" w:cs="Times New Roman"/>
          <w:sz w:val="24"/>
          <w:szCs w:val="24"/>
        </w:rPr>
        <w:t>koniecznością podjęcia</w:t>
      </w:r>
      <w:r w:rsidR="00195673" w:rsidRPr="00EB21E3">
        <w:rPr>
          <w:rFonts w:ascii="Times New Roman" w:hAnsi="Times New Roman" w:cs="Times New Roman"/>
          <w:sz w:val="24"/>
          <w:szCs w:val="24"/>
        </w:rPr>
        <w:t xml:space="preserve"> działań zapobiegających wyłudzaniu podatku od towarów i usług</w:t>
      </w:r>
      <w:r w:rsidR="00EE6D29" w:rsidRPr="00EB21E3">
        <w:rPr>
          <w:rFonts w:ascii="Times New Roman" w:hAnsi="Times New Roman" w:cs="Times New Roman"/>
          <w:sz w:val="24"/>
          <w:szCs w:val="24"/>
        </w:rPr>
        <w:t xml:space="preserve"> </w:t>
      </w:r>
      <w:r w:rsidR="00195673" w:rsidRPr="00EB21E3">
        <w:rPr>
          <w:rFonts w:ascii="Times New Roman" w:hAnsi="Times New Roman" w:cs="Times New Roman"/>
          <w:sz w:val="24"/>
          <w:szCs w:val="24"/>
        </w:rPr>
        <w:t>w obrocie paliwami.</w:t>
      </w:r>
    </w:p>
    <w:p w:rsidR="00DA0295" w:rsidRPr="00EB21E3" w:rsidRDefault="00B94CD4" w:rsidP="00EB21E3">
      <w:pPr>
        <w:spacing w:before="120" w:after="0" w:line="360" w:lineRule="auto"/>
        <w:jc w:val="both"/>
        <w:rPr>
          <w:rFonts w:ascii="Times New Roman" w:hAnsi="Times New Roman" w:cs="Times New Roman"/>
          <w:sz w:val="24"/>
          <w:szCs w:val="24"/>
        </w:rPr>
      </w:pPr>
      <w:r w:rsidRPr="00EB21E3">
        <w:rPr>
          <w:rFonts w:ascii="Times New Roman" w:hAnsi="Times New Roman" w:cs="Times New Roman"/>
          <w:sz w:val="24"/>
          <w:szCs w:val="24"/>
        </w:rPr>
        <w:t>Proceder wyłudzania podatku</w:t>
      </w:r>
      <w:r w:rsidR="00317DC8" w:rsidRPr="00EB21E3">
        <w:rPr>
          <w:rFonts w:ascii="Times New Roman" w:hAnsi="Times New Roman" w:cs="Times New Roman"/>
          <w:sz w:val="24"/>
          <w:szCs w:val="24"/>
        </w:rPr>
        <w:t xml:space="preserve"> od towarów i usług </w:t>
      </w:r>
      <w:r w:rsidRPr="00EB21E3">
        <w:rPr>
          <w:rFonts w:ascii="Times New Roman" w:hAnsi="Times New Roman" w:cs="Times New Roman"/>
          <w:sz w:val="24"/>
          <w:szCs w:val="24"/>
        </w:rPr>
        <w:t>w obrocie p</w:t>
      </w:r>
      <w:r w:rsidR="00CC76A1" w:rsidRPr="00EB21E3">
        <w:rPr>
          <w:rFonts w:ascii="Times New Roman" w:hAnsi="Times New Roman" w:cs="Times New Roman"/>
          <w:sz w:val="24"/>
          <w:szCs w:val="24"/>
        </w:rPr>
        <w:t xml:space="preserve">aliwami </w:t>
      </w:r>
      <w:r w:rsidRPr="00EB21E3">
        <w:rPr>
          <w:rFonts w:ascii="Times New Roman" w:hAnsi="Times New Roman" w:cs="Times New Roman"/>
          <w:sz w:val="24"/>
          <w:szCs w:val="24"/>
        </w:rPr>
        <w:t xml:space="preserve">związany jest przede wszystkim </w:t>
      </w:r>
      <w:r w:rsidR="00317DC8" w:rsidRPr="00EB21E3">
        <w:rPr>
          <w:rFonts w:ascii="Times New Roman" w:hAnsi="Times New Roman" w:cs="Times New Roman"/>
          <w:sz w:val="24"/>
          <w:szCs w:val="24"/>
        </w:rPr>
        <w:t xml:space="preserve">z </w:t>
      </w:r>
      <w:r w:rsidRPr="00EB21E3">
        <w:rPr>
          <w:rFonts w:ascii="Times New Roman" w:hAnsi="Times New Roman" w:cs="Times New Roman"/>
          <w:sz w:val="24"/>
          <w:szCs w:val="24"/>
        </w:rPr>
        <w:t xml:space="preserve">ich </w:t>
      </w:r>
      <w:r w:rsidR="00317DC8" w:rsidRPr="00EB21E3">
        <w:rPr>
          <w:rFonts w:ascii="Times New Roman" w:hAnsi="Times New Roman" w:cs="Times New Roman"/>
          <w:sz w:val="24"/>
          <w:szCs w:val="24"/>
        </w:rPr>
        <w:t>wewnątrzwspólnotowym nabyciem</w:t>
      </w:r>
      <w:r w:rsidR="00D60F14" w:rsidRPr="00EB21E3">
        <w:rPr>
          <w:rFonts w:ascii="Times New Roman" w:hAnsi="Times New Roman" w:cs="Times New Roman"/>
          <w:sz w:val="24"/>
          <w:szCs w:val="24"/>
        </w:rPr>
        <w:t xml:space="preserve">, </w:t>
      </w:r>
      <w:r w:rsidR="00317DC8" w:rsidRPr="00EB21E3">
        <w:rPr>
          <w:rFonts w:ascii="Times New Roman" w:hAnsi="Times New Roman" w:cs="Times New Roman"/>
          <w:sz w:val="24"/>
          <w:szCs w:val="24"/>
        </w:rPr>
        <w:t>dokonywany</w:t>
      </w:r>
      <w:r w:rsidRPr="00EB21E3">
        <w:rPr>
          <w:rFonts w:ascii="Times New Roman" w:hAnsi="Times New Roman" w:cs="Times New Roman"/>
          <w:sz w:val="24"/>
          <w:szCs w:val="24"/>
        </w:rPr>
        <w:t>m</w:t>
      </w:r>
      <w:r w:rsidR="00EE6D29" w:rsidRPr="00EB21E3">
        <w:rPr>
          <w:rFonts w:ascii="Times New Roman" w:hAnsi="Times New Roman" w:cs="Times New Roman"/>
          <w:sz w:val="24"/>
          <w:szCs w:val="24"/>
        </w:rPr>
        <w:t xml:space="preserve"> </w:t>
      </w:r>
      <w:r w:rsidR="00317DC8" w:rsidRPr="00EB21E3">
        <w:rPr>
          <w:rFonts w:ascii="Times New Roman" w:hAnsi="Times New Roman" w:cs="Times New Roman"/>
          <w:sz w:val="24"/>
          <w:szCs w:val="24"/>
        </w:rPr>
        <w:t>za pośrednictwem zarejestrowanych odbiorców</w:t>
      </w:r>
      <w:r w:rsidRPr="00EB21E3">
        <w:rPr>
          <w:rFonts w:ascii="Times New Roman" w:hAnsi="Times New Roman" w:cs="Times New Roman"/>
          <w:sz w:val="24"/>
          <w:szCs w:val="24"/>
        </w:rPr>
        <w:t xml:space="preserve">. </w:t>
      </w:r>
      <w:r w:rsidR="00DA0295" w:rsidRPr="00EB21E3">
        <w:rPr>
          <w:rFonts w:ascii="Times New Roman" w:hAnsi="Times New Roman" w:cs="Times New Roman"/>
          <w:sz w:val="24"/>
          <w:szCs w:val="24"/>
        </w:rPr>
        <w:t>M</w:t>
      </w:r>
      <w:r w:rsidRPr="00EB21E3">
        <w:rPr>
          <w:rFonts w:ascii="Times New Roman" w:hAnsi="Times New Roman" w:cs="Times New Roman"/>
          <w:sz w:val="24"/>
          <w:szCs w:val="24"/>
        </w:rPr>
        <w:t>echanizm</w:t>
      </w:r>
      <w:r w:rsidR="00DA0295" w:rsidRPr="00EB21E3">
        <w:rPr>
          <w:rFonts w:ascii="Times New Roman" w:hAnsi="Times New Roman" w:cs="Times New Roman"/>
          <w:sz w:val="24"/>
          <w:szCs w:val="24"/>
        </w:rPr>
        <w:t xml:space="preserve"> oszustw wykorzystuje</w:t>
      </w:r>
      <w:r w:rsidR="00850904" w:rsidRPr="00EB21E3">
        <w:rPr>
          <w:rFonts w:ascii="Times New Roman" w:hAnsi="Times New Roman" w:cs="Times New Roman"/>
          <w:sz w:val="24"/>
          <w:szCs w:val="24"/>
        </w:rPr>
        <w:t xml:space="preserve"> </w:t>
      </w:r>
      <w:r w:rsidR="00DA0295" w:rsidRPr="00EB21E3">
        <w:rPr>
          <w:rFonts w:ascii="Times New Roman" w:hAnsi="Times New Roman" w:cs="Times New Roman"/>
          <w:sz w:val="24"/>
          <w:szCs w:val="24"/>
        </w:rPr>
        <w:t>instytucję</w:t>
      </w:r>
      <w:r w:rsidRPr="00EB21E3">
        <w:rPr>
          <w:rFonts w:ascii="Times New Roman" w:hAnsi="Times New Roman" w:cs="Times New Roman"/>
          <w:sz w:val="24"/>
          <w:szCs w:val="24"/>
        </w:rPr>
        <w:t xml:space="preserve"> zarejestrowanego odbiorcy </w:t>
      </w:r>
      <w:r w:rsidR="005221F5" w:rsidRPr="00EB21E3">
        <w:rPr>
          <w:rFonts w:ascii="Times New Roman" w:hAnsi="Times New Roman" w:cs="Times New Roman"/>
          <w:sz w:val="24"/>
          <w:szCs w:val="24"/>
        </w:rPr>
        <w:t xml:space="preserve">lub składu podatkowego </w:t>
      </w:r>
      <w:r w:rsidR="00DA0295" w:rsidRPr="00EB21E3">
        <w:rPr>
          <w:rFonts w:ascii="Times New Roman" w:hAnsi="Times New Roman" w:cs="Times New Roman"/>
          <w:sz w:val="24"/>
          <w:szCs w:val="24"/>
        </w:rPr>
        <w:t>w zakresie</w:t>
      </w:r>
      <w:r w:rsidR="00B96D45" w:rsidRPr="00EB21E3">
        <w:rPr>
          <w:rFonts w:ascii="Times New Roman" w:hAnsi="Times New Roman" w:cs="Times New Roman"/>
          <w:sz w:val="24"/>
          <w:szCs w:val="24"/>
        </w:rPr>
        <w:t>,</w:t>
      </w:r>
      <w:r w:rsidR="00DA0295" w:rsidRPr="00EB21E3">
        <w:rPr>
          <w:rFonts w:ascii="Times New Roman" w:hAnsi="Times New Roman" w:cs="Times New Roman"/>
          <w:sz w:val="24"/>
          <w:szCs w:val="24"/>
        </w:rPr>
        <w:t xml:space="preserve"> w jakim jest uprawniony</w:t>
      </w:r>
      <w:r w:rsidRPr="00EB21E3">
        <w:rPr>
          <w:rFonts w:ascii="Times New Roman" w:hAnsi="Times New Roman" w:cs="Times New Roman"/>
          <w:sz w:val="24"/>
          <w:szCs w:val="24"/>
        </w:rPr>
        <w:t xml:space="preserve"> </w:t>
      </w:r>
      <w:r w:rsidR="00AA1E1F" w:rsidRPr="00EB21E3">
        <w:rPr>
          <w:rFonts w:ascii="Times New Roman" w:hAnsi="Times New Roman" w:cs="Times New Roman"/>
          <w:sz w:val="24"/>
          <w:szCs w:val="24"/>
        </w:rPr>
        <w:t xml:space="preserve">do </w:t>
      </w:r>
      <w:r w:rsidR="00DA0295" w:rsidRPr="00EB21E3">
        <w:rPr>
          <w:rFonts w:ascii="Times New Roman" w:hAnsi="Times New Roman" w:cs="Times New Roman"/>
          <w:sz w:val="24"/>
          <w:szCs w:val="24"/>
        </w:rPr>
        <w:t>dokonywania nabyć wewnątrzwspólnotowych</w:t>
      </w:r>
      <w:r w:rsidRPr="00EB21E3">
        <w:rPr>
          <w:rFonts w:ascii="Times New Roman" w:hAnsi="Times New Roman" w:cs="Times New Roman"/>
          <w:sz w:val="24"/>
          <w:szCs w:val="24"/>
        </w:rPr>
        <w:t xml:space="preserve"> paliw</w:t>
      </w:r>
      <w:r w:rsidR="00DA0295" w:rsidRPr="00EB21E3">
        <w:rPr>
          <w:rFonts w:ascii="Times New Roman" w:hAnsi="Times New Roman" w:cs="Times New Roman"/>
          <w:sz w:val="24"/>
          <w:szCs w:val="24"/>
        </w:rPr>
        <w:t xml:space="preserve"> w procedurze zawieszonej akcyzy</w:t>
      </w:r>
      <w:r w:rsidRPr="00EB21E3">
        <w:rPr>
          <w:rFonts w:ascii="Times New Roman" w:hAnsi="Times New Roman" w:cs="Times New Roman"/>
          <w:sz w:val="24"/>
          <w:szCs w:val="24"/>
        </w:rPr>
        <w:t xml:space="preserve"> na rzecz innego podmiotu, który </w:t>
      </w:r>
      <w:r w:rsidR="00850904" w:rsidRPr="00EB21E3">
        <w:rPr>
          <w:rFonts w:ascii="Times New Roman" w:hAnsi="Times New Roman" w:cs="Times New Roman"/>
          <w:sz w:val="24"/>
          <w:szCs w:val="24"/>
        </w:rPr>
        <w:t xml:space="preserve">zgodnie z przepisami o VAT </w:t>
      </w:r>
      <w:r w:rsidR="00366D8F" w:rsidRPr="00EB21E3">
        <w:rPr>
          <w:rFonts w:ascii="Times New Roman" w:hAnsi="Times New Roman" w:cs="Times New Roman"/>
          <w:sz w:val="24"/>
          <w:szCs w:val="24"/>
        </w:rPr>
        <w:t xml:space="preserve">jest właścicielem </w:t>
      </w:r>
      <w:r w:rsidR="00850904" w:rsidRPr="00EB21E3">
        <w:rPr>
          <w:rFonts w:ascii="Times New Roman" w:hAnsi="Times New Roman" w:cs="Times New Roman"/>
          <w:sz w:val="24"/>
          <w:szCs w:val="24"/>
        </w:rPr>
        <w:t xml:space="preserve">nabywanego towaru </w:t>
      </w:r>
      <w:r w:rsidR="00366D8F" w:rsidRPr="00EB21E3">
        <w:rPr>
          <w:rFonts w:ascii="Times New Roman" w:hAnsi="Times New Roman" w:cs="Times New Roman"/>
          <w:sz w:val="24"/>
          <w:szCs w:val="24"/>
        </w:rPr>
        <w:t xml:space="preserve">i od dokonanej sprzedaży krajowej powinien uiścić podatek VAT według stawki 23%. </w:t>
      </w:r>
      <w:r w:rsidR="00537279" w:rsidRPr="00EB21E3">
        <w:rPr>
          <w:rFonts w:ascii="Times New Roman" w:hAnsi="Times New Roman" w:cs="Times New Roman"/>
          <w:sz w:val="24"/>
          <w:szCs w:val="24"/>
        </w:rPr>
        <w:t>Powoduje to sytuację, w której z tytułu jednego nabycia wewnątrzwspólnotowego podatnikami akcyzy i</w:t>
      </w:r>
      <w:r w:rsidR="00EB21E3">
        <w:rPr>
          <w:rFonts w:ascii="Times New Roman" w:hAnsi="Times New Roman" w:cs="Times New Roman"/>
          <w:sz w:val="24"/>
          <w:szCs w:val="24"/>
        </w:rPr>
        <w:t xml:space="preserve"> </w:t>
      </w:r>
      <w:r w:rsidR="00537279" w:rsidRPr="00EB21E3">
        <w:rPr>
          <w:rFonts w:ascii="Times New Roman" w:hAnsi="Times New Roman" w:cs="Times New Roman"/>
          <w:sz w:val="24"/>
          <w:szCs w:val="24"/>
        </w:rPr>
        <w:t xml:space="preserve">podatku VAT są różne podmioty. </w:t>
      </w:r>
      <w:r w:rsidR="00366D8F" w:rsidRPr="00EB21E3">
        <w:rPr>
          <w:rFonts w:ascii="Times New Roman" w:hAnsi="Times New Roman" w:cs="Times New Roman"/>
          <w:sz w:val="24"/>
          <w:szCs w:val="24"/>
        </w:rPr>
        <w:t>Jak wskazują doświadczenia kontrolne</w:t>
      </w:r>
      <w:r w:rsidR="00537279" w:rsidRPr="00EB21E3">
        <w:rPr>
          <w:rFonts w:ascii="Times New Roman" w:hAnsi="Times New Roman" w:cs="Times New Roman"/>
          <w:sz w:val="24"/>
          <w:szCs w:val="24"/>
        </w:rPr>
        <w:t>,</w:t>
      </w:r>
      <w:r w:rsidR="00366D8F" w:rsidRPr="00EB21E3">
        <w:rPr>
          <w:rFonts w:ascii="Times New Roman" w:hAnsi="Times New Roman" w:cs="Times New Roman"/>
          <w:sz w:val="24"/>
          <w:szCs w:val="24"/>
        </w:rPr>
        <w:t xml:space="preserve"> </w:t>
      </w:r>
      <w:r w:rsidR="00537279" w:rsidRPr="00EB21E3">
        <w:rPr>
          <w:rFonts w:ascii="Times New Roman" w:hAnsi="Times New Roman" w:cs="Times New Roman"/>
          <w:sz w:val="24"/>
          <w:szCs w:val="24"/>
        </w:rPr>
        <w:t xml:space="preserve">w mechanizmie oszustwa, zarejestrowani odbiorcy dokonują wewnątrzwspólnotowych </w:t>
      </w:r>
      <w:r w:rsidR="00487778" w:rsidRPr="00EB21E3">
        <w:rPr>
          <w:rFonts w:ascii="Times New Roman" w:hAnsi="Times New Roman" w:cs="Times New Roman"/>
          <w:sz w:val="24"/>
          <w:szCs w:val="24"/>
        </w:rPr>
        <w:t xml:space="preserve">nabyć </w:t>
      </w:r>
      <w:r w:rsidR="00537279" w:rsidRPr="00EB21E3">
        <w:rPr>
          <w:rFonts w:ascii="Times New Roman" w:hAnsi="Times New Roman" w:cs="Times New Roman"/>
          <w:sz w:val="24"/>
          <w:szCs w:val="24"/>
        </w:rPr>
        <w:t>paliw w</w:t>
      </w:r>
      <w:r w:rsidR="00EB21E3">
        <w:rPr>
          <w:rFonts w:ascii="Times New Roman" w:hAnsi="Times New Roman" w:cs="Times New Roman"/>
          <w:sz w:val="24"/>
          <w:szCs w:val="24"/>
        </w:rPr>
        <w:t xml:space="preserve"> </w:t>
      </w:r>
      <w:r w:rsidR="00537279" w:rsidRPr="00EB21E3">
        <w:rPr>
          <w:rFonts w:ascii="Times New Roman" w:hAnsi="Times New Roman" w:cs="Times New Roman"/>
          <w:sz w:val="24"/>
          <w:szCs w:val="24"/>
        </w:rPr>
        <w:t>procedurze zawieszonej akcyzy na rzecz podmiotów określanych</w:t>
      </w:r>
      <w:r w:rsidR="00D349FB" w:rsidRPr="00EB21E3">
        <w:rPr>
          <w:rFonts w:ascii="Times New Roman" w:hAnsi="Times New Roman" w:cs="Times New Roman"/>
          <w:sz w:val="24"/>
          <w:szCs w:val="24"/>
        </w:rPr>
        <w:t xml:space="preserve"> jako</w:t>
      </w:r>
      <w:r w:rsidR="00537279" w:rsidRPr="00EB21E3">
        <w:rPr>
          <w:rFonts w:ascii="Times New Roman" w:hAnsi="Times New Roman" w:cs="Times New Roman"/>
          <w:sz w:val="24"/>
          <w:szCs w:val="24"/>
        </w:rPr>
        <w:t xml:space="preserve"> </w:t>
      </w:r>
      <w:r w:rsidR="00DA0295" w:rsidRPr="00EB21E3">
        <w:rPr>
          <w:rFonts w:ascii="Times New Roman" w:hAnsi="Times New Roman" w:cs="Times New Roman"/>
          <w:sz w:val="24"/>
          <w:szCs w:val="24"/>
        </w:rPr>
        <w:t>„znikający</w:t>
      </w:r>
      <w:r w:rsidR="00537279" w:rsidRPr="00EB21E3">
        <w:rPr>
          <w:rFonts w:ascii="Times New Roman" w:hAnsi="Times New Roman" w:cs="Times New Roman"/>
          <w:sz w:val="24"/>
          <w:szCs w:val="24"/>
        </w:rPr>
        <w:t xml:space="preserve"> podatni</w:t>
      </w:r>
      <w:r w:rsidR="00D349FB" w:rsidRPr="00EB21E3">
        <w:rPr>
          <w:rFonts w:ascii="Times New Roman" w:hAnsi="Times New Roman" w:cs="Times New Roman"/>
          <w:sz w:val="24"/>
          <w:szCs w:val="24"/>
        </w:rPr>
        <w:t>cy</w:t>
      </w:r>
      <w:r w:rsidR="00DA0295" w:rsidRPr="00EB21E3">
        <w:rPr>
          <w:rFonts w:ascii="Times New Roman" w:hAnsi="Times New Roman" w:cs="Times New Roman"/>
          <w:sz w:val="24"/>
          <w:szCs w:val="24"/>
        </w:rPr>
        <w:t>”</w:t>
      </w:r>
      <w:r w:rsidR="00537279" w:rsidRPr="00EB21E3">
        <w:rPr>
          <w:rFonts w:ascii="Times New Roman" w:hAnsi="Times New Roman" w:cs="Times New Roman"/>
          <w:sz w:val="24"/>
          <w:szCs w:val="24"/>
        </w:rPr>
        <w:t>.</w:t>
      </w:r>
      <w:r w:rsidR="00DA0295" w:rsidRPr="00EB21E3">
        <w:rPr>
          <w:rFonts w:ascii="Times New Roman" w:hAnsi="Times New Roman" w:cs="Times New Roman"/>
          <w:sz w:val="24"/>
          <w:szCs w:val="24"/>
        </w:rPr>
        <w:t xml:space="preserve"> </w:t>
      </w:r>
      <w:r w:rsidR="006F2F80" w:rsidRPr="00EB21E3">
        <w:rPr>
          <w:rFonts w:ascii="Times New Roman" w:hAnsi="Times New Roman" w:cs="Times New Roman"/>
          <w:sz w:val="24"/>
          <w:szCs w:val="24"/>
        </w:rPr>
        <w:t>Cechami charakterystycznymi oszustw z udziałem „znikającego podatnika</w:t>
      </w:r>
      <w:r w:rsidR="00C40F95" w:rsidRPr="00EB21E3">
        <w:rPr>
          <w:rFonts w:ascii="Times New Roman" w:hAnsi="Times New Roman" w:cs="Times New Roman"/>
          <w:sz w:val="24"/>
          <w:szCs w:val="24"/>
        </w:rPr>
        <w:t>”</w:t>
      </w:r>
      <w:r w:rsidR="006F2F80" w:rsidRPr="00EB21E3">
        <w:rPr>
          <w:rFonts w:ascii="Times New Roman" w:hAnsi="Times New Roman" w:cs="Times New Roman"/>
          <w:sz w:val="24"/>
          <w:szCs w:val="24"/>
        </w:rPr>
        <w:t xml:space="preserve"> (jak</w:t>
      </w:r>
      <w:r w:rsidR="001427B4">
        <w:rPr>
          <w:rFonts w:ascii="Times New Roman" w:hAnsi="Times New Roman" w:cs="Times New Roman"/>
          <w:sz w:val="24"/>
          <w:szCs w:val="24"/>
        </w:rPr>
        <w:t> </w:t>
      </w:r>
      <w:r w:rsidR="006F2F80" w:rsidRPr="00EB21E3">
        <w:rPr>
          <w:rFonts w:ascii="Times New Roman" w:hAnsi="Times New Roman" w:cs="Times New Roman"/>
          <w:sz w:val="24"/>
          <w:szCs w:val="24"/>
        </w:rPr>
        <w:t>również dla oszustw karuzelowych) jest szybkość działania tych jednostek</w:t>
      </w:r>
      <w:r w:rsidR="001B656E" w:rsidRPr="00EB21E3">
        <w:rPr>
          <w:rFonts w:ascii="Times New Roman" w:hAnsi="Times New Roman" w:cs="Times New Roman"/>
          <w:sz w:val="24"/>
          <w:szCs w:val="24"/>
        </w:rPr>
        <w:t>,</w:t>
      </w:r>
      <w:r w:rsidR="006F2F80" w:rsidRPr="00EB21E3">
        <w:rPr>
          <w:rFonts w:ascii="Times New Roman" w:hAnsi="Times New Roman" w:cs="Times New Roman"/>
          <w:sz w:val="24"/>
          <w:szCs w:val="24"/>
        </w:rPr>
        <w:t xml:space="preserve"> wyróżniająca</w:t>
      </w:r>
      <w:r w:rsidR="00B96D45" w:rsidRPr="00EB21E3">
        <w:rPr>
          <w:rFonts w:ascii="Times New Roman" w:hAnsi="Times New Roman" w:cs="Times New Roman"/>
          <w:sz w:val="24"/>
          <w:szCs w:val="24"/>
        </w:rPr>
        <w:t xml:space="preserve"> </w:t>
      </w:r>
      <w:r w:rsidR="006F2F80" w:rsidRPr="00EB21E3">
        <w:rPr>
          <w:rFonts w:ascii="Times New Roman" w:hAnsi="Times New Roman" w:cs="Times New Roman"/>
          <w:sz w:val="24"/>
          <w:szCs w:val="24"/>
        </w:rPr>
        <w:t>się w przepływie towarów, zmianie dostawców</w:t>
      </w:r>
      <w:r w:rsidR="00796A95" w:rsidRPr="00EB21E3">
        <w:rPr>
          <w:rFonts w:ascii="Times New Roman" w:hAnsi="Times New Roman" w:cs="Times New Roman"/>
          <w:sz w:val="24"/>
          <w:szCs w:val="24"/>
        </w:rPr>
        <w:t xml:space="preserve"> czy</w:t>
      </w:r>
      <w:r w:rsidR="006F2F80" w:rsidRPr="00EB21E3">
        <w:rPr>
          <w:rFonts w:ascii="Times New Roman" w:hAnsi="Times New Roman" w:cs="Times New Roman"/>
          <w:sz w:val="24"/>
          <w:szCs w:val="24"/>
        </w:rPr>
        <w:t xml:space="preserve"> płatnościach. Dodatkowo podmioty te nie dysponują towarem ani też nie mają zdolności magazynowych. Cechą charakterystyczną dla wielomilionowych transakcji jest do</w:t>
      </w:r>
      <w:r w:rsidR="00B96D45" w:rsidRPr="00EB21E3">
        <w:rPr>
          <w:rFonts w:ascii="Times New Roman" w:hAnsi="Times New Roman" w:cs="Times New Roman"/>
          <w:sz w:val="24"/>
          <w:szCs w:val="24"/>
        </w:rPr>
        <w:t xml:space="preserve">konywanie płatności w znacznej </w:t>
      </w:r>
      <w:r w:rsidR="006F2F80" w:rsidRPr="00EB21E3">
        <w:rPr>
          <w:rFonts w:ascii="Times New Roman" w:hAnsi="Times New Roman" w:cs="Times New Roman"/>
          <w:sz w:val="24"/>
          <w:szCs w:val="24"/>
        </w:rPr>
        <w:t>części w gotów</w:t>
      </w:r>
      <w:r w:rsidR="00487778" w:rsidRPr="00EB21E3">
        <w:rPr>
          <w:rFonts w:ascii="Times New Roman" w:hAnsi="Times New Roman" w:cs="Times New Roman"/>
          <w:sz w:val="24"/>
          <w:szCs w:val="24"/>
        </w:rPr>
        <w:t>ce. W</w:t>
      </w:r>
      <w:r w:rsidR="00EB21E3">
        <w:rPr>
          <w:rFonts w:ascii="Times New Roman" w:hAnsi="Times New Roman" w:cs="Times New Roman"/>
          <w:sz w:val="24"/>
          <w:szCs w:val="24"/>
        </w:rPr>
        <w:t xml:space="preserve"> </w:t>
      </w:r>
      <w:r w:rsidR="006F2F80" w:rsidRPr="00EB21E3">
        <w:rPr>
          <w:rFonts w:ascii="Times New Roman" w:hAnsi="Times New Roman" w:cs="Times New Roman"/>
          <w:sz w:val="24"/>
          <w:szCs w:val="24"/>
        </w:rPr>
        <w:t xml:space="preserve">celu uniknięcia </w:t>
      </w:r>
      <w:r w:rsidR="00B96D45" w:rsidRPr="00EB21E3">
        <w:rPr>
          <w:rFonts w:ascii="Times New Roman" w:hAnsi="Times New Roman" w:cs="Times New Roman"/>
          <w:sz w:val="24"/>
          <w:szCs w:val="24"/>
        </w:rPr>
        <w:t xml:space="preserve">identyfikacji takich </w:t>
      </w:r>
      <w:r w:rsidR="00796A95" w:rsidRPr="00EB21E3">
        <w:rPr>
          <w:rFonts w:ascii="Times New Roman" w:hAnsi="Times New Roman" w:cs="Times New Roman"/>
          <w:sz w:val="24"/>
          <w:szCs w:val="24"/>
        </w:rPr>
        <w:t xml:space="preserve">podmiotów </w:t>
      </w:r>
      <w:r w:rsidR="006F2F80" w:rsidRPr="00EB21E3">
        <w:rPr>
          <w:rFonts w:ascii="Times New Roman" w:hAnsi="Times New Roman" w:cs="Times New Roman"/>
          <w:sz w:val="24"/>
          <w:szCs w:val="24"/>
        </w:rPr>
        <w:t xml:space="preserve">przez organy kontrolne, dokonują one rejestracji swoich </w:t>
      </w:r>
      <w:r w:rsidR="001B656E" w:rsidRPr="00EB21E3">
        <w:rPr>
          <w:rFonts w:ascii="Times New Roman" w:hAnsi="Times New Roman" w:cs="Times New Roman"/>
          <w:sz w:val="24"/>
          <w:szCs w:val="24"/>
        </w:rPr>
        <w:t>siedzib w</w:t>
      </w:r>
      <w:r w:rsidR="00EB21E3">
        <w:rPr>
          <w:rFonts w:ascii="Times New Roman" w:hAnsi="Times New Roman" w:cs="Times New Roman"/>
          <w:sz w:val="24"/>
          <w:szCs w:val="24"/>
        </w:rPr>
        <w:t> </w:t>
      </w:r>
      <w:r w:rsidR="001B656E" w:rsidRPr="00EB21E3">
        <w:rPr>
          <w:rFonts w:ascii="Times New Roman" w:hAnsi="Times New Roman" w:cs="Times New Roman"/>
          <w:sz w:val="24"/>
          <w:szCs w:val="24"/>
        </w:rPr>
        <w:t>wirtualnych biurach</w:t>
      </w:r>
      <w:r w:rsidR="00B96D45" w:rsidRPr="00EB21E3">
        <w:rPr>
          <w:rFonts w:ascii="Times New Roman" w:hAnsi="Times New Roman" w:cs="Times New Roman"/>
          <w:sz w:val="24"/>
          <w:szCs w:val="24"/>
        </w:rPr>
        <w:t xml:space="preserve"> </w:t>
      </w:r>
      <w:r w:rsidR="006F2F80" w:rsidRPr="00EB21E3">
        <w:rPr>
          <w:rFonts w:ascii="Times New Roman" w:hAnsi="Times New Roman" w:cs="Times New Roman"/>
          <w:sz w:val="24"/>
          <w:szCs w:val="24"/>
        </w:rPr>
        <w:t>lub w miejscach</w:t>
      </w:r>
      <w:r w:rsidR="001B656E" w:rsidRPr="00EB21E3">
        <w:rPr>
          <w:rFonts w:ascii="Times New Roman" w:hAnsi="Times New Roman" w:cs="Times New Roman"/>
          <w:sz w:val="24"/>
          <w:szCs w:val="24"/>
        </w:rPr>
        <w:t>,</w:t>
      </w:r>
      <w:r w:rsidR="006F2F80" w:rsidRPr="00EB21E3">
        <w:rPr>
          <w:rFonts w:ascii="Times New Roman" w:hAnsi="Times New Roman" w:cs="Times New Roman"/>
          <w:sz w:val="24"/>
          <w:szCs w:val="24"/>
        </w:rPr>
        <w:t xml:space="preserve"> gdzie brak jest znamion wykonywania działalności. </w:t>
      </w:r>
      <w:r w:rsidR="00537279" w:rsidRPr="00EB21E3">
        <w:rPr>
          <w:rFonts w:ascii="Times New Roman" w:hAnsi="Times New Roman" w:cs="Times New Roman"/>
          <w:sz w:val="24"/>
          <w:szCs w:val="24"/>
        </w:rPr>
        <w:t xml:space="preserve">Mając na uwadze wprowadzoną w 2014 r. instytucję koncesji na obrót paliwami z zagranicą i instytucję </w:t>
      </w:r>
      <w:r w:rsidR="00742605" w:rsidRPr="00EB21E3">
        <w:rPr>
          <w:rFonts w:ascii="Times New Roman" w:hAnsi="Times New Roman" w:cs="Times New Roman"/>
          <w:sz w:val="24"/>
          <w:szCs w:val="24"/>
        </w:rPr>
        <w:t xml:space="preserve">zabezpieczenia majątkowego gwarantującego </w:t>
      </w:r>
      <w:r w:rsidR="00537279" w:rsidRPr="00EB21E3">
        <w:rPr>
          <w:rFonts w:ascii="Times New Roman" w:hAnsi="Times New Roman" w:cs="Times New Roman"/>
          <w:sz w:val="24"/>
          <w:szCs w:val="24"/>
        </w:rPr>
        <w:t xml:space="preserve">prawidłowe jej wykonywanie, coraz częściej </w:t>
      </w:r>
      <w:r w:rsidR="00F53711" w:rsidRPr="00EB21E3">
        <w:rPr>
          <w:rFonts w:ascii="Times New Roman" w:hAnsi="Times New Roman" w:cs="Times New Roman"/>
          <w:sz w:val="24"/>
          <w:szCs w:val="24"/>
        </w:rPr>
        <w:t xml:space="preserve">zamiast </w:t>
      </w:r>
      <w:r w:rsidR="00383E10">
        <w:rPr>
          <w:rFonts w:ascii="Times New Roman" w:hAnsi="Times New Roman" w:cs="Times New Roman"/>
          <w:sz w:val="24"/>
          <w:szCs w:val="24"/>
        </w:rPr>
        <w:t>„</w:t>
      </w:r>
      <w:r w:rsidR="00F53711" w:rsidRPr="00EB21E3">
        <w:rPr>
          <w:rFonts w:ascii="Times New Roman" w:hAnsi="Times New Roman" w:cs="Times New Roman"/>
          <w:sz w:val="24"/>
          <w:szCs w:val="24"/>
        </w:rPr>
        <w:t>znikających podatników</w:t>
      </w:r>
      <w:r w:rsidR="00383E10">
        <w:rPr>
          <w:rFonts w:ascii="Times New Roman" w:hAnsi="Times New Roman" w:cs="Times New Roman"/>
          <w:sz w:val="24"/>
          <w:szCs w:val="24"/>
        </w:rPr>
        <w:t>”</w:t>
      </w:r>
      <w:r w:rsidR="00F53711" w:rsidRPr="00EB21E3">
        <w:rPr>
          <w:rFonts w:ascii="Times New Roman" w:hAnsi="Times New Roman" w:cs="Times New Roman"/>
          <w:sz w:val="24"/>
          <w:szCs w:val="24"/>
        </w:rPr>
        <w:t xml:space="preserve">, </w:t>
      </w:r>
      <w:r w:rsidR="00537279" w:rsidRPr="00EB21E3">
        <w:rPr>
          <w:rFonts w:ascii="Times New Roman" w:hAnsi="Times New Roman" w:cs="Times New Roman"/>
          <w:sz w:val="24"/>
          <w:szCs w:val="24"/>
        </w:rPr>
        <w:t xml:space="preserve">kontrahentami zarejestrowanych odbiorców </w:t>
      </w:r>
      <w:r w:rsidR="005221F5" w:rsidRPr="00EB21E3">
        <w:rPr>
          <w:rFonts w:ascii="Times New Roman" w:hAnsi="Times New Roman" w:cs="Times New Roman"/>
          <w:sz w:val="24"/>
          <w:szCs w:val="24"/>
        </w:rPr>
        <w:t xml:space="preserve">lub składów podatkowych </w:t>
      </w:r>
      <w:r w:rsidR="00537279" w:rsidRPr="00EB21E3">
        <w:rPr>
          <w:rFonts w:ascii="Times New Roman" w:hAnsi="Times New Roman" w:cs="Times New Roman"/>
          <w:sz w:val="24"/>
          <w:szCs w:val="24"/>
        </w:rPr>
        <w:t xml:space="preserve">są podmioty zagraniczne, które w ramach transakcji trójstronnych dokonują nabyć paliw na </w:t>
      </w:r>
      <w:r w:rsidR="00537279" w:rsidRPr="00EB21E3">
        <w:rPr>
          <w:rFonts w:ascii="Times New Roman" w:hAnsi="Times New Roman" w:cs="Times New Roman"/>
          <w:sz w:val="24"/>
          <w:szCs w:val="24"/>
        </w:rPr>
        <w:lastRenderedPageBreak/>
        <w:t>ter</w:t>
      </w:r>
      <w:r w:rsidR="001427B4">
        <w:rPr>
          <w:rFonts w:ascii="Times New Roman" w:hAnsi="Times New Roman" w:cs="Times New Roman"/>
          <w:sz w:val="24"/>
          <w:szCs w:val="24"/>
        </w:rPr>
        <w:t>ytorium kraju i odsprzedają je „znikającym podatnikom”</w:t>
      </w:r>
      <w:r w:rsidR="00537279" w:rsidRPr="00EB21E3">
        <w:rPr>
          <w:rFonts w:ascii="Times New Roman" w:hAnsi="Times New Roman" w:cs="Times New Roman"/>
          <w:sz w:val="24"/>
          <w:szCs w:val="24"/>
        </w:rPr>
        <w:t>. Podmioty zagraniczne, które uzyskują koncesje Prezesa Urzędu Regulacji Energetyki</w:t>
      </w:r>
      <w:r w:rsidR="00F53711" w:rsidRPr="00EB21E3">
        <w:rPr>
          <w:rFonts w:ascii="Times New Roman" w:hAnsi="Times New Roman" w:cs="Times New Roman"/>
          <w:sz w:val="24"/>
          <w:szCs w:val="24"/>
        </w:rPr>
        <w:t xml:space="preserve"> na obrót paliwami z</w:t>
      </w:r>
      <w:r w:rsidR="001427B4">
        <w:rPr>
          <w:rFonts w:ascii="Times New Roman" w:hAnsi="Times New Roman" w:cs="Times New Roman"/>
          <w:sz w:val="24"/>
          <w:szCs w:val="24"/>
        </w:rPr>
        <w:t> </w:t>
      </w:r>
      <w:r w:rsidR="00F53711" w:rsidRPr="00EB21E3">
        <w:rPr>
          <w:rFonts w:ascii="Times New Roman" w:hAnsi="Times New Roman" w:cs="Times New Roman"/>
          <w:sz w:val="24"/>
          <w:szCs w:val="24"/>
        </w:rPr>
        <w:t>zagranicą (OPZ)</w:t>
      </w:r>
      <w:r w:rsidR="00537279" w:rsidRPr="00EB21E3">
        <w:rPr>
          <w:rFonts w:ascii="Times New Roman" w:hAnsi="Times New Roman" w:cs="Times New Roman"/>
          <w:sz w:val="24"/>
          <w:szCs w:val="24"/>
        </w:rPr>
        <w:t>, nie są krajowymi podatnikami VAT z tytułu wprowadzania paliwa na terytorium kra</w:t>
      </w:r>
      <w:r w:rsidR="00383E10">
        <w:rPr>
          <w:rFonts w:ascii="Times New Roman" w:hAnsi="Times New Roman" w:cs="Times New Roman"/>
          <w:sz w:val="24"/>
          <w:szCs w:val="24"/>
        </w:rPr>
        <w:t>ju i jego odsprzedaży krajowym „</w:t>
      </w:r>
      <w:r w:rsidR="00537279" w:rsidRPr="00EB21E3">
        <w:rPr>
          <w:rFonts w:ascii="Times New Roman" w:hAnsi="Times New Roman" w:cs="Times New Roman"/>
          <w:sz w:val="24"/>
          <w:szCs w:val="24"/>
        </w:rPr>
        <w:t>znikającym podatnikom</w:t>
      </w:r>
      <w:r w:rsidR="004073E3" w:rsidRPr="00EB21E3">
        <w:rPr>
          <w:rFonts w:ascii="Times New Roman" w:hAnsi="Times New Roman" w:cs="Times New Roman"/>
          <w:sz w:val="24"/>
          <w:szCs w:val="24"/>
        </w:rPr>
        <w:t>”</w:t>
      </w:r>
      <w:r w:rsidR="00F53711" w:rsidRPr="00EB21E3">
        <w:rPr>
          <w:rFonts w:ascii="Times New Roman" w:hAnsi="Times New Roman" w:cs="Times New Roman"/>
          <w:sz w:val="24"/>
          <w:szCs w:val="24"/>
        </w:rPr>
        <w:t>. Taka konstrukcja pozwala omijać zabezpieczającą funkcję koncesji OPZ i zabezpieczenia majątkowego, a także pozbawia organy celne informacji o podmiotach, które są faktycznymi nabywcami paliwa i unikają zapłaty podatku VAT.</w:t>
      </w:r>
    </w:p>
    <w:p w:rsidR="006F2F80" w:rsidRPr="00EB21E3" w:rsidRDefault="003971EE" w:rsidP="00EB21E3">
      <w:pPr>
        <w:spacing w:before="120" w:after="0" w:line="360" w:lineRule="auto"/>
        <w:jc w:val="both"/>
        <w:rPr>
          <w:rFonts w:ascii="Times New Roman" w:hAnsi="Times New Roman" w:cs="Times New Roman"/>
          <w:sz w:val="24"/>
          <w:szCs w:val="24"/>
        </w:rPr>
      </w:pPr>
      <w:r w:rsidRPr="00EB21E3">
        <w:rPr>
          <w:rFonts w:ascii="Times New Roman" w:hAnsi="Times New Roman" w:cs="Times New Roman"/>
          <w:sz w:val="24"/>
          <w:szCs w:val="24"/>
        </w:rPr>
        <w:t>Z uwagi na specyfikę podmiotów biorących udział w wyłudzeniach podatku VAT, kluczowym elementem pozwalającym na minimalizowanie strat Skarbu Państwa jest</w:t>
      </w:r>
      <w:r w:rsidR="00B96D45" w:rsidRPr="00EB21E3">
        <w:rPr>
          <w:rFonts w:ascii="Times New Roman" w:hAnsi="Times New Roman" w:cs="Times New Roman"/>
          <w:sz w:val="24"/>
          <w:szCs w:val="24"/>
        </w:rPr>
        <w:t>,</w:t>
      </w:r>
      <w:r w:rsidR="006F2F80" w:rsidRPr="00EB21E3">
        <w:rPr>
          <w:rFonts w:ascii="Times New Roman" w:hAnsi="Times New Roman" w:cs="Times New Roman"/>
          <w:sz w:val="24"/>
          <w:szCs w:val="24"/>
        </w:rPr>
        <w:t xml:space="preserve"> obok działań organów kontrolnych</w:t>
      </w:r>
      <w:r w:rsidR="00B96D45" w:rsidRPr="00EB21E3">
        <w:rPr>
          <w:rFonts w:ascii="Times New Roman" w:hAnsi="Times New Roman" w:cs="Times New Roman"/>
          <w:sz w:val="24"/>
          <w:szCs w:val="24"/>
        </w:rPr>
        <w:t>,</w:t>
      </w:r>
      <w:r w:rsidR="006F2F80" w:rsidRPr="00EB21E3">
        <w:rPr>
          <w:rFonts w:ascii="Times New Roman" w:hAnsi="Times New Roman" w:cs="Times New Roman"/>
          <w:sz w:val="24"/>
          <w:szCs w:val="24"/>
        </w:rPr>
        <w:t xml:space="preserve"> wprowadzanie rozwiązań zapobiegających lub ograniczających możliwość występowania oszustw.</w:t>
      </w:r>
    </w:p>
    <w:p w:rsidR="006F2F80" w:rsidRPr="00EB21E3" w:rsidRDefault="00163553" w:rsidP="00EB21E3">
      <w:pPr>
        <w:spacing w:before="120" w:after="0" w:line="360" w:lineRule="auto"/>
        <w:jc w:val="both"/>
        <w:rPr>
          <w:rFonts w:ascii="Times New Roman" w:hAnsi="Times New Roman" w:cs="Times New Roman"/>
          <w:sz w:val="24"/>
          <w:szCs w:val="24"/>
        </w:rPr>
      </w:pPr>
      <w:r w:rsidRPr="00EB21E3">
        <w:rPr>
          <w:rFonts w:ascii="Times New Roman" w:hAnsi="Times New Roman" w:cs="Times New Roman"/>
          <w:sz w:val="24"/>
          <w:szCs w:val="24"/>
        </w:rPr>
        <w:t>Podstawowym celem projektowanych zmian jest</w:t>
      </w:r>
      <w:r w:rsidR="006F2F80" w:rsidRPr="00EB21E3">
        <w:rPr>
          <w:rFonts w:ascii="Times New Roman" w:hAnsi="Times New Roman" w:cs="Times New Roman"/>
          <w:sz w:val="24"/>
          <w:szCs w:val="24"/>
        </w:rPr>
        <w:t>:</w:t>
      </w:r>
    </w:p>
    <w:p w:rsidR="00163553" w:rsidRPr="00EB21E3" w:rsidRDefault="00163553" w:rsidP="001427B4">
      <w:pPr>
        <w:pStyle w:val="Akapitzlist"/>
        <w:numPr>
          <w:ilvl w:val="0"/>
          <w:numId w:val="4"/>
        </w:numPr>
        <w:spacing w:before="120" w:after="0" w:line="360" w:lineRule="auto"/>
        <w:ind w:left="360"/>
        <w:jc w:val="both"/>
        <w:rPr>
          <w:rFonts w:ascii="Times New Roman" w:hAnsi="Times New Roman" w:cs="Times New Roman"/>
          <w:sz w:val="24"/>
          <w:szCs w:val="24"/>
        </w:rPr>
      </w:pPr>
      <w:r w:rsidRPr="00EB21E3">
        <w:rPr>
          <w:rFonts w:ascii="Times New Roman" w:hAnsi="Times New Roman" w:cs="Times New Roman"/>
          <w:sz w:val="24"/>
          <w:szCs w:val="24"/>
        </w:rPr>
        <w:t xml:space="preserve">Uniemożliwienie obchodzenia zabezpieczającej funkcji koncesji OPZ w obrocie paliwami. </w:t>
      </w:r>
    </w:p>
    <w:p w:rsidR="00163553" w:rsidRPr="00EB21E3" w:rsidRDefault="00163553" w:rsidP="001427B4">
      <w:pPr>
        <w:pStyle w:val="Akapitzlist"/>
        <w:numPr>
          <w:ilvl w:val="0"/>
          <w:numId w:val="4"/>
        </w:numPr>
        <w:spacing w:before="120" w:after="0" w:line="360" w:lineRule="auto"/>
        <w:ind w:left="360"/>
        <w:jc w:val="both"/>
        <w:rPr>
          <w:rFonts w:ascii="Times New Roman" w:hAnsi="Times New Roman" w:cs="Times New Roman"/>
          <w:sz w:val="24"/>
          <w:szCs w:val="24"/>
        </w:rPr>
      </w:pPr>
      <w:r w:rsidRPr="00EB21E3">
        <w:rPr>
          <w:rFonts w:ascii="Times New Roman" w:hAnsi="Times New Roman" w:cs="Times New Roman"/>
          <w:sz w:val="24"/>
          <w:szCs w:val="24"/>
        </w:rPr>
        <w:t>Uszczelnienie poboru podatku VAT w zakresie obrotu paliwami ciekłymi z</w:t>
      </w:r>
      <w:r w:rsidR="001427B4">
        <w:rPr>
          <w:rFonts w:ascii="Times New Roman" w:hAnsi="Times New Roman" w:cs="Times New Roman"/>
          <w:sz w:val="24"/>
          <w:szCs w:val="24"/>
        </w:rPr>
        <w:t> </w:t>
      </w:r>
      <w:r w:rsidRPr="00EB21E3">
        <w:rPr>
          <w:rFonts w:ascii="Times New Roman" w:hAnsi="Times New Roman" w:cs="Times New Roman"/>
          <w:sz w:val="24"/>
          <w:szCs w:val="24"/>
        </w:rPr>
        <w:t>zagranicą.</w:t>
      </w:r>
      <w:r w:rsidR="00EB21E3">
        <w:rPr>
          <w:rFonts w:ascii="Times New Roman" w:hAnsi="Times New Roman" w:cs="Times New Roman"/>
          <w:sz w:val="24"/>
          <w:szCs w:val="24"/>
        </w:rPr>
        <w:t xml:space="preserve"> </w:t>
      </w:r>
    </w:p>
    <w:p w:rsidR="00163553" w:rsidRPr="00EB21E3" w:rsidRDefault="00163553" w:rsidP="001427B4">
      <w:pPr>
        <w:pStyle w:val="Akapitzlist"/>
        <w:numPr>
          <w:ilvl w:val="0"/>
          <w:numId w:val="4"/>
        </w:numPr>
        <w:spacing w:before="120" w:after="0" w:line="360" w:lineRule="auto"/>
        <w:ind w:left="360"/>
        <w:jc w:val="both"/>
        <w:rPr>
          <w:rFonts w:ascii="Times New Roman" w:hAnsi="Times New Roman" w:cs="Times New Roman"/>
          <w:sz w:val="24"/>
          <w:szCs w:val="24"/>
        </w:rPr>
      </w:pPr>
      <w:r w:rsidRPr="00EB21E3">
        <w:rPr>
          <w:rFonts w:ascii="Times New Roman" w:hAnsi="Times New Roman" w:cs="Times New Roman"/>
          <w:sz w:val="24"/>
          <w:szCs w:val="24"/>
        </w:rPr>
        <w:t>Uszczelnienie systemu koncesjonowania obrotu paliwami płynnymi z</w:t>
      </w:r>
      <w:r w:rsidR="00EB21E3">
        <w:rPr>
          <w:rFonts w:ascii="Times New Roman" w:hAnsi="Times New Roman" w:cs="Times New Roman"/>
          <w:sz w:val="24"/>
          <w:szCs w:val="24"/>
        </w:rPr>
        <w:t xml:space="preserve"> </w:t>
      </w:r>
      <w:r w:rsidRPr="00EB21E3">
        <w:rPr>
          <w:rFonts w:ascii="Times New Roman" w:hAnsi="Times New Roman" w:cs="Times New Roman"/>
          <w:sz w:val="24"/>
          <w:szCs w:val="24"/>
        </w:rPr>
        <w:t>zagranicą.</w:t>
      </w:r>
    </w:p>
    <w:p w:rsidR="007C4DB5" w:rsidRPr="00EB21E3" w:rsidRDefault="007C4DB5" w:rsidP="00EB21E3">
      <w:pPr>
        <w:spacing w:before="120" w:after="0" w:line="360" w:lineRule="auto"/>
        <w:jc w:val="both"/>
        <w:rPr>
          <w:rFonts w:ascii="Times New Roman" w:hAnsi="Times New Roman" w:cs="Times New Roman"/>
          <w:sz w:val="24"/>
          <w:szCs w:val="24"/>
        </w:rPr>
      </w:pPr>
      <w:r w:rsidRPr="00EB21E3">
        <w:rPr>
          <w:rFonts w:ascii="Times New Roman" w:hAnsi="Times New Roman" w:cs="Times New Roman"/>
          <w:sz w:val="24"/>
          <w:szCs w:val="24"/>
        </w:rPr>
        <w:t>Zmiany w ustaw</w:t>
      </w:r>
      <w:r w:rsidR="002272CB">
        <w:rPr>
          <w:rFonts w:ascii="Times New Roman" w:hAnsi="Times New Roman" w:cs="Times New Roman"/>
          <w:sz w:val="24"/>
          <w:szCs w:val="24"/>
        </w:rPr>
        <w:t>ie o podatku od towarów i usług</w:t>
      </w:r>
    </w:p>
    <w:p w:rsidR="007C4DB5" w:rsidRPr="00EB21E3" w:rsidRDefault="007C4DB5" w:rsidP="00EB21E3">
      <w:pPr>
        <w:spacing w:before="120" w:after="0" w:line="360" w:lineRule="auto"/>
        <w:jc w:val="both"/>
        <w:rPr>
          <w:rFonts w:ascii="Times New Roman" w:hAnsi="Times New Roman" w:cs="Times New Roman"/>
          <w:sz w:val="24"/>
          <w:szCs w:val="24"/>
        </w:rPr>
      </w:pPr>
      <w:r w:rsidRPr="00EB21E3">
        <w:rPr>
          <w:rFonts w:ascii="Times New Roman" w:hAnsi="Times New Roman" w:cs="Times New Roman"/>
          <w:sz w:val="24"/>
          <w:szCs w:val="24"/>
        </w:rPr>
        <w:t>Dodanie w ustawie definicji „podmiotu prowadzącego skład podatkowy” i</w:t>
      </w:r>
      <w:r w:rsidR="001427B4">
        <w:rPr>
          <w:rFonts w:ascii="Times New Roman" w:hAnsi="Times New Roman" w:cs="Times New Roman"/>
          <w:sz w:val="24"/>
          <w:szCs w:val="24"/>
        </w:rPr>
        <w:t> </w:t>
      </w:r>
      <w:r w:rsidRPr="00EB21E3">
        <w:rPr>
          <w:rFonts w:ascii="Times New Roman" w:hAnsi="Times New Roman" w:cs="Times New Roman"/>
          <w:sz w:val="24"/>
          <w:szCs w:val="24"/>
        </w:rPr>
        <w:t>„zarejestrowanego odbiorcy”, odsyłających do definicji zawartych w ustawie o</w:t>
      </w:r>
      <w:r w:rsidR="001427B4">
        <w:rPr>
          <w:rFonts w:ascii="Times New Roman" w:hAnsi="Times New Roman" w:cs="Times New Roman"/>
          <w:sz w:val="24"/>
          <w:szCs w:val="24"/>
        </w:rPr>
        <w:t> </w:t>
      </w:r>
      <w:r w:rsidRPr="00EB21E3">
        <w:rPr>
          <w:rFonts w:ascii="Times New Roman" w:hAnsi="Times New Roman" w:cs="Times New Roman"/>
          <w:sz w:val="24"/>
          <w:szCs w:val="24"/>
        </w:rPr>
        <w:t>podatku akcyzowym</w:t>
      </w:r>
      <w:r w:rsidR="002272CB">
        <w:rPr>
          <w:rFonts w:ascii="Times New Roman" w:hAnsi="Times New Roman" w:cs="Times New Roman"/>
          <w:sz w:val="24"/>
          <w:szCs w:val="24"/>
        </w:rPr>
        <w:t>,</w:t>
      </w:r>
      <w:r w:rsidRPr="00EB21E3">
        <w:rPr>
          <w:rFonts w:ascii="Times New Roman" w:hAnsi="Times New Roman" w:cs="Times New Roman"/>
          <w:sz w:val="24"/>
          <w:szCs w:val="24"/>
        </w:rPr>
        <w:t xml:space="preserve"> pozwoli uniknąć rozbieżności w interpretacji przepisów obu ustaw dotyczących tych podmiotów.</w:t>
      </w:r>
    </w:p>
    <w:p w:rsidR="007C4DB5" w:rsidRPr="00EB21E3" w:rsidRDefault="007C4DB5" w:rsidP="00EB21E3">
      <w:pPr>
        <w:spacing w:before="120" w:after="0" w:line="360" w:lineRule="auto"/>
        <w:jc w:val="both"/>
        <w:rPr>
          <w:rFonts w:ascii="Times New Roman" w:hAnsi="Times New Roman" w:cs="Times New Roman"/>
          <w:sz w:val="24"/>
          <w:szCs w:val="24"/>
        </w:rPr>
      </w:pPr>
      <w:r w:rsidRPr="00EB21E3">
        <w:rPr>
          <w:rFonts w:ascii="Times New Roman" w:hAnsi="Times New Roman" w:cs="Times New Roman"/>
          <w:sz w:val="24"/>
          <w:szCs w:val="24"/>
        </w:rPr>
        <w:t>Dodawany art. 17a</w:t>
      </w:r>
      <w:r w:rsidR="00EB21E3">
        <w:rPr>
          <w:rFonts w:ascii="Times New Roman" w:hAnsi="Times New Roman" w:cs="Times New Roman"/>
          <w:sz w:val="24"/>
          <w:szCs w:val="24"/>
        </w:rPr>
        <w:t xml:space="preserve"> </w:t>
      </w:r>
      <w:r w:rsidRPr="00EB21E3">
        <w:rPr>
          <w:rFonts w:ascii="Times New Roman" w:hAnsi="Times New Roman" w:cs="Times New Roman"/>
          <w:sz w:val="24"/>
          <w:szCs w:val="24"/>
        </w:rPr>
        <w:t>związany jest ze zmianami w zakresie zasad poboru podatku V</w:t>
      </w:r>
      <w:r w:rsidR="00796A95" w:rsidRPr="00EB21E3">
        <w:rPr>
          <w:rFonts w:ascii="Times New Roman" w:hAnsi="Times New Roman" w:cs="Times New Roman"/>
          <w:sz w:val="24"/>
          <w:szCs w:val="24"/>
        </w:rPr>
        <w:t>AT</w:t>
      </w:r>
      <w:r w:rsidRPr="00EB21E3">
        <w:rPr>
          <w:rFonts w:ascii="Times New Roman" w:hAnsi="Times New Roman" w:cs="Times New Roman"/>
          <w:sz w:val="24"/>
          <w:szCs w:val="24"/>
        </w:rPr>
        <w:t xml:space="preserve"> od transakcji wewnątrzwspólnotowych nabyć paliw. W przypadku nabyć realizowanych w</w:t>
      </w:r>
      <w:r w:rsidR="00EB21E3">
        <w:rPr>
          <w:rFonts w:ascii="Times New Roman" w:hAnsi="Times New Roman" w:cs="Times New Roman"/>
          <w:sz w:val="24"/>
          <w:szCs w:val="24"/>
        </w:rPr>
        <w:t xml:space="preserve"> </w:t>
      </w:r>
      <w:r w:rsidRPr="00EB21E3">
        <w:rPr>
          <w:rFonts w:ascii="Times New Roman" w:hAnsi="Times New Roman" w:cs="Times New Roman"/>
          <w:sz w:val="24"/>
          <w:szCs w:val="24"/>
        </w:rPr>
        <w:t xml:space="preserve">procedurze zawieszenia poboru akcyzy z wykorzystaniem usług składu podatkowego lub zarejestrowanego odbiorcy podmioty te będą płatnikiem podatku VAT należnego od wewnątrzwspólnotowego nabycia towarów. Pobrany podatek będzie wpłacany na rachunek tego samego organu celnego, który jest właściwy w zakresie podatku akcyzowego od transakcji. </w:t>
      </w:r>
    </w:p>
    <w:p w:rsidR="0086662A" w:rsidRPr="00EB21E3" w:rsidRDefault="0086662A" w:rsidP="00EB21E3">
      <w:pPr>
        <w:spacing w:before="120" w:after="0" w:line="360" w:lineRule="auto"/>
        <w:jc w:val="both"/>
        <w:rPr>
          <w:rFonts w:ascii="Times New Roman" w:hAnsi="Times New Roman"/>
          <w:sz w:val="24"/>
          <w:szCs w:val="24"/>
        </w:rPr>
      </w:pPr>
      <w:r w:rsidRPr="00EB21E3">
        <w:rPr>
          <w:rFonts w:ascii="Times New Roman" w:hAnsi="Times New Roman"/>
          <w:sz w:val="24"/>
          <w:szCs w:val="24"/>
        </w:rPr>
        <w:lastRenderedPageBreak/>
        <w:t xml:space="preserve">Proponowana zmiana art. 99 i </w:t>
      </w:r>
      <w:r w:rsidR="00383E10">
        <w:rPr>
          <w:rFonts w:ascii="Times New Roman" w:hAnsi="Times New Roman"/>
          <w:sz w:val="24"/>
          <w:szCs w:val="24"/>
        </w:rPr>
        <w:t xml:space="preserve">art. </w:t>
      </w:r>
      <w:r w:rsidRPr="00EB21E3">
        <w:rPr>
          <w:rFonts w:ascii="Times New Roman" w:hAnsi="Times New Roman"/>
          <w:sz w:val="24"/>
          <w:szCs w:val="24"/>
        </w:rPr>
        <w:t>103 wprowadza zmiany w zakresie deklarowania i</w:t>
      </w:r>
      <w:r w:rsidR="001427B4">
        <w:rPr>
          <w:rFonts w:ascii="Times New Roman" w:hAnsi="Times New Roman"/>
          <w:sz w:val="24"/>
          <w:szCs w:val="24"/>
        </w:rPr>
        <w:t> </w:t>
      </w:r>
      <w:r w:rsidRPr="00EB21E3">
        <w:rPr>
          <w:rFonts w:ascii="Times New Roman" w:hAnsi="Times New Roman"/>
          <w:sz w:val="24"/>
          <w:szCs w:val="24"/>
        </w:rPr>
        <w:t>zapłaty podatku w</w:t>
      </w:r>
      <w:r w:rsidR="00EB21E3">
        <w:rPr>
          <w:rFonts w:ascii="Times New Roman" w:hAnsi="Times New Roman"/>
          <w:sz w:val="24"/>
          <w:szCs w:val="24"/>
        </w:rPr>
        <w:t xml:space="preserve"> </w:t>
      </w:r>
      <w:r w:rsidRPr="00EB21E3">
        <w:rPr>
          <w:rFonts w:ascii="Times New Roman" w:hAnsi="Times New Roman"/>
          <w:sz w:val="24"/>
          <w:szCs w:val="24"/>
        </w:rPr>
        <w:t xml:space="preserve">odniesieniu do transakcji wewnątrzwspólnotowych mających za przedmiot paliwa silnikowe w rozumieniu ustawy o podatku akcyzowym. </w:t>
      </w:r>
    </w:p>
    <w:p w:rsidR="0086662A" w:rsidRPr="00EB21E3" w:rsidRDefault="0086662A" w:rsidP="00EB21E3">
      <w:pPr>
        <w:spacing w:before="120" w:after="0" w:line="360" w:lineRule="auto"/>
        <w:jc w:val="both"/>
        <w:rPr>
          <w:rFonts w:ascii="Times New Roman" w:hAnsi="Times New Roman"/>
          <w:sz w:val="24"/>
          <w:szCs w:val="24"/>
        </w:rPr>
      </w:pPr>
      <w:r w:rsidRPr="00EB21E3">
        <w:rPr>
          <w:rFonts w:ascii="Times New Roman" w:hAnsi="Times New Roman"/>
          <w:sz w:val="24"/>
          <w:szCs w:val="24"/>
        </w:rPr>
        <w:t>Obecnie WNT paliw jest zasadniczo neutralne podatkowo (podatek należny od WNT jest zazwyczaj jednocześnie podatkiem naliczonym podlegającym odliczeniu w</w:t>
      </w:r>
      <w:r w:rsidR="001427B4">
        <w:rPr>
          <w:rFonts w:ascii="Times New Roman" w:hAnsi="Times New Roman"/>
          <w:sz w:val="24"/>
          <w:szCs w:val="24"/>
        </w:rPr>
        <w:t> </w:t>
      </w:r>
      <w:r w:rsidRPr="00EB21E3">
        <w:rPr>
          <w:rFonts w:ascii="Times New Roman" w:hAnsi="Times New Roman"/>
          <w:sz w:val="24"/>
          <w:szCs w:val="24"/>
        </w:rPr>
        <w:t>deklaracji). W schematach oszukańczych podatnik nie deklaruje podatku należnego z</w:t>
      </w:r>
      <w:r w:rsidR="001427B4">
        <w:rPr>
          <w:rFonts w:ascii="Times New Roman" w:hAnsi="Times New Roman"/>
          <w:sz w:val="24"/>
          <w:szCs w:val="24"/>
        </w:rPr>
        <w:t> </w:t>
      </w:r>
      <w:r w:rsidRPr="00EB21E3">
        <w:rPr>
          <w:rFonts w:ascii="Times New Roman" w:hAnsi="Times New Roman"/>
          <w:sz w:val="24"/>
          <w:szCs w:val="24"/>
        </w:rPr>
        <w:t>tytułu WNT (ukrywając w ten sposób fakt sprowadzenia paliwa), a następnie nie rozlicza się również ze sprzedaży tego paliwa w kraju. Aby przeciwdziałać temu procederow</w:t>
      </w:r>
      <w:r w:rsidR="001427B4">
        <w:rPr>
          <w:rFonts w:ascii="Times New Roman" w:hAnsi="Times New Roman"/>
          <w:sz w:val="24"/>
          <w:szCs w:val="24"/>
        </w:rPr>
        <w:t>i</w:t>
      </w:r>
      <w:r w:rsidR="002272CB">
        <w:rPr>
          <w:rFonts w:ascii="Times New Roman" w:hAnsi="Times New Roman"/>
          <w:sz w:val="24"/>
          <w:szCs w:val="24"/>
        </w:rPr>
        <w:t>,</w:t>
      </w:r>
      <w:r w:rsidR="001427B4">
        <w:rPr>
          <w:rFonts w:ascii="Times New Roman" w:hAnsi="Times New Roman"/>
          <w:sz w:val="24"/>
          <w:szCs w:val="24"/>
        </w:rPr>
        <w:t xml:space="preserve"> projektowany art. 103 ust. 4a–</w:t>
      </w:r>
      <w:r w:rsidRPr="00EB21E3">
        <w:rPr>
          <w:rFonts w:ascii="Times New Roman" w:hAnsi="Times New Roman"/>
          <w:sz w:val="24"/>
          <w:szCs w:val="24"/>
        </w:rPr>
        <w:t>4d przewiduje wprowadzenie, analogicznego do konstrukcji przyjętej przy poborze podatku VAT w odniesieniu do wewnątrzwspólnotowych nabyć środków transportu, sposobu rozliczania nabyć wewnątrzwspólnotowych paliw płynnych. Obowiązek zapłaty podatku z tytułu WNT paliw powstawałby zasadniczo w terminie 5 dni od</w:t>
      </w:r>
      <w:r w:rsidR="00EB21E3">
        <w:rPr>
          <w:rFonts w:ascii="Times New Roman" w:hAnsi="Times New Roman"/>
          <w:sz w:val="24"/>
          <w:szCs w:val="24"/>
        </w:rPr>
        <w:t xml:space="preserve"> </w:t>
      </w:r>
      <w:r w:rsidRPr="00EB21E3">
        <w:rPr>
          <w:rFonts w:ascii="Times New Roman" w:hAnsi="Times New Roman"/>
          <w:sz w:val="24"/>
          <w:szCs w:val="24"/>
        </w:rPr>
        <w:t>momentu wprowadzenia paliwa do kraju. Prawo do odliczenia z tytułu WNT będzie nadal powstawało w momencie wymagalności podatku należnego z tytułu WNT i będzie realizowane na zasadach określonych w art. 86 ustawy o VAT. Podatnik zatem w deklaracji VAT za dany okres rozliczeniowy dokona rozliczenia podatku należnego z tytułu WNT paliw (poz. 24 deklaracji VAT-7), zgodnie z terminem określonym w art. 86 ustawy o VAT, równocześnie dokonując odliczenia podatku naliczonego z tego tytułu (przy spełnieniu ustawowych warunków) – poz. 45 deklaracji VAT-7. W tej samej deklaracji zostanie również uwzględniony wpłacony w danym okresie rozliczeniowym podatek należny (zaliczka na podatek w rozumieniu art. 206 dyrektywy 2006/112/WE) z tytułu WNT paliwa (poz. 38 deklaracji VAT-7, która zostanie zmodyfikowana na potrzeby nowej instytucji). Będzie on odpowiednio pomniejszał podatek należny do zapłaty lub powiększał kwotę nadwyżki podatku naliczonego nad należnym do zwrotu lub do przeniesienia na</w:t>
      </w:r>
      <w:r w:rsidR="00EB21E3">
        <w:rPr>
          <w:rFonts w:ascii="Times New Roman" w:hAnsi="Times New Roman"/>
          <w:sz w:val="24"/>
          <w:szCs w:val="24"/>
        </w:rPr>
        <w:t xml:space="preserve"> </w:t>
      </w:r>
      <w:r w:rsidRPr="00EB21E3">
        <w:rPr>
          <w:rFonts w:ascii="Times New Roman" w:hAnsi="Times New Roman"/>
          <w:sz w:val="24"/>
          <w:szCs w:val="24"/>
        </w:rPr>
        <w:t>następny okres rozliczeniowy. Wprowadzana instytucja znajduje swoje oparcie w przepisach dyrektywy 2006/112/WE, w szczególności w art. 206 i art. 273, ponadto została potwierdzona przez orzecznictwo TSUE (wyrok w sprawie C-10/92 i</w:t>
      </w:r>
      <w:r w:rsidR="001427B4">
        <w:rPr>
          <w:rFonts w:ascii="Times New Roman" w:hAnsi="Times New Roman"/>
          <w:sz w:val="24"/>
          <w:szCs w:val="24"/>
        </w:rPr>
        <w:t> </w:t>
      </w:r>
      <w:r w:rsidRPr="00EB21E3">
        <w:rPr>
          <w:rFonts w:ascii="Times New Roman" w:hAnsi="Times New Roman"/>
          <w:sz w:val="24"/>
          <w:szCs w:val="24"/>
        </w:rPr>
        <w:t>C-499/13 oraz opinia rzecznika generalnego do sprawy C-499/13).</w:t>
      </w:r>
      <w:r w:rsidR="00EB21E3">
        <w:rPr>
          <w:rFonts w:ascii="Times New Roman" w:hAnsi="Times New Roman"/>
          <w:sz w:val="24"/>
          <w:szCs w:val="24"/>
        </w:rPr>
        <w:t xml:space="preserve"> </w:t>
      </w:r>
    </w:p>
    <w:p w:rsidR="007A206B" w:rsidRPr="00EB21E3" w:rsidRDefault="007A206B" w:rsidP="00EB21E3">
      <w:pPr>
        <w:spacing w:before="120" w:after="0" w:line="360" w:lineRule="auto"/>
        <w:jc w:val="both"/>
        <w:rPr>
          <w:rFonts w:ascii="Times New Roman" w:hAnsi="Times New Roman" w:cs="Times New Roman"/>
          <w:sz w:val="24"/>
          <w:szCs w:val="24"/>
        </w:rPr>
      </w:pPr>
      <w:r w:rsidRPr="00EB21E3">
        <w:rPr>
          <w:rFonts w:ascii="Times New Roman" w:hAnsi="Times New Roman" w:cs="Times New Roman"/>
          <w:sz w:val="24"/>
          <w:szCs w:val="24"/>
        </w:rPr>
        <w:t xml:space="preserve">Zmiany w ustawie </w:t>
      </w:r>
      <w:r w:rsidR="001427B4">
        <w:rPr>
          <w:rFonts w:ascii="Times New Roman" w:hAnsi="Times New Roman" w:cs="Times New Roman"/>
          <w:sz w:val="24"/>
          <w:szCs w:val="24"/>
        </w:rPr>
        <w:t>–</w:t>
      </w:r>
      <w:r w:rsidR="00796A95" w:rsidRPr="00EB21E3">
        <w:rPr>
          <w:rFonts w:ascii="Times New Roman" w:hAnsi="Times New Roman" w:cs="Times New Roman"/>
          <w:sz w:val="24"/>
          <w:szCs w:val="24"/>
        </w:rPr>
        <w:t xml:space="preserve"> </w:t>
      </w:r>
      <w:r w:rsidRPr="00EB21E3">
        <w:rPr>
          <w:rFonts w:ascii="Times New Roman" w:hAnsi="Times New Roman" w:cs="Times New Roman"/>
          <w:sz w:val="24"/>
          <w:szCs w:val="24"/>
        </w:rPr>
        <w:t xml:space="preserve">Prawo </w:t>
      </w:r>
      <w:r w:rsidR="00796A95" w:rsidRPr="00EB21E3">
        <w:rPr>
          <w:rFonts w:ascii="Times New Roman" w:hAnsi="Times New Roman" w:cs="Times New Roman"/>
          <w:sz w:val="24"/>
          <w:szCs w:val="24"/>
        </w:rPr>
        <w:t>e</w:t>
      </w:r>
      <w:r w:rsidR="00383E10">
        <w:rPr>
          <w:rFonts w:ascii="Times New Roman" w:hAnsi="Times New Roman" w:cs="Times New Roman"/>
          <w:sz w:val="24"/>
          <w:szCs w:val="24"/>
        </w:rPr>
        <w:t>nergetyczne</w:t>
      </w:r>
    </w:p>
    <w:p w:rsidR="009742F8" w:rsidRPr="00EB21E3" w:rsidRDefault="00C82B15" w:rsidP="00EB21E3">
      <w:pPr>
        <w:spacing w:before="120" w:after="0" w:line="360" w:lineRule="auto"/>
        <w:jc w:val="both"/>
        <w:rPr>
          <w:rFonts w:ascii="Times New Roman" w:hAnsi="Times New Roman" w:cs="Times New Roman"/>
          <w:sz w:val="24"/>
          <w:szCs w:val="24"/>
        </w:rPr>
      </w:pPr>
      <w:r w:rsidRPr="00EB21E3">
        <w:rPr>
          <w:rFonts w:ascii="Times New Roman" w:hAnsi="Times New Roman" w:cs="Times New Roman"/>
          <w:sz w:val="24"/>
          <w:szCs w:val="24"/>
        </w:rPr>
        <w:t xml:space="preserve">Zmiany w ustawie </w:t>
      </w:r>
      <w:r w:rsidR="001427B4">
        <w:rPr>
          <w:rFonts w:ascii="Times New Roman" w:hAnsi="Times New Roman" w:cs="Times New Roman"/>
          <w:sz w:val="24"/>
          <w:szCs w:val="24"/>
        </w:rPr>
        <w:t>–</w:t>
      </w:r>
      <w:r w:rsidR="00796A95" w:rsidRPr="00EB21E3">
        <w:rPr>
          <w:rFonts w:ascii="Times New Roman" w:hAnsi="Times New Roman" w:cs="Times New Roman"/>
          <w:sz w:val="24"/>
          <w:szCs w:val="24"/>
        </w:rPr>
        <w:t xml:space="preserve"> </w:t>
      </w:r>
      <w:r w:rsidRPr="00EB21E3">
        <w:rPr>
          <w:rFonts w:ascii="Times New Roman" w:hAnsi="Times New Roman" w:cs="Times New Roman"/>
          <w:sz w:val="24"/>
          <w:szCs w:val="24"/>
        </w:rPr>
        <w:t>Prawo energetyczne</w:t>
      </w:r>
      <w:r w:rsidR="00DE5118" w:rsidRPr="00EB21E3">
        <w:rPr>
          <w:rFonts w:ascii="Times New Roman" w:hAnsi="Times New Roman" w:cs="Times New Roman"/>
          <w:sz w:val="24"/>
          <w:szCs w:val="24"/>
        </w:rPr>
        <w:t xml:space="preserve"> mają na celu zwiększenie bezpieczeństwa obrotu na rynku paliw.</w:t>
      </w:r>
      <w:r w:rsidR="00627823" w:rsidRPr="00EB21E3">
        <w:rPr>
          <w:rFonts w:ascii="Times New Roman" w:hAnsi="Times New Roman" w:cs="Times New Roman"/>
          <w:sz w:val="24"/>
          <w:szCs w:val="24"/>
        </w:rPr>
        <w:t xml:space="preserve"> </w:t>
      </w:r>
      <w:r w:rsidR="00DE5118" w:rsidRPr="00EB21E3">
        <w:rPr>
          <w:rFonts w:ascii="Times New Roman" w:hAnsi="Times New Roman" w:cs="Times New Roman"/>
          <w:sz w:val="24"/>
          <w:szCs w:val="24"/>
        </w:rPr>
        <w:t>Wydawana</w:t>
      </w:r>
      <w:r w:rsidR="00627823" w:rsidRPr="00EB21E3">
        <w:rPr>
          <w:rFonts w:ascii="Times New Roman" w:hAnsi="Times New Roman" w:cs="Times New Roman"/>
          <w:sz w:val="24"/>
          <w:szCs w:val="24"/>
        </w:rPr>
        <w:t xml:space="preserve"> przez Prezesa URE</w:t>
      </w:r>
      <w:r w:rsidR="00DE5118" w:rsidRPr="00EB21E3">
        <w:rPr>
          <w:rFonts w:ascii="Times New Roman" w:hAnsi="Times New Roman" w:cs="Times New Roman"/>
          <w:sz w:val="24"/>
          <w:szCs w:val="24"/>
        </w:rPr>
        <w:t xml:space="preserve"> koncesja jest dokumentem </w:t>
      </w:r>
      <w:r w:rsidR="00DE5118" w:rsidRPr="00EB21E3">
        <w:rPr>
          <w:rFonts w:ascii="Times New Roman" w:hAnsi="Times New Roman" w:cs="Times New Roman"/>
          <w:sz w:val="24"/>
          <w:szCs w:val="24"/>
        </w:rPr>
        <w:lastRenderedPageBreak/>
        <w:t xml:space="preserve">administracyjnym, </w:t>
      </w:r>
      <w:r w:rsidR="00627823" w:rsidRPr="00EB21E3">
        <w:rPr>
          <w:rFonts w:ascii="Times New Roman" w:hAnsi="Times New Roman" w:cs="Times New Roman"/>
          <w:sz w:val="24"/>
          <w:szCs w:val="24"/>
        </w:rPr>
        <w:t>powstałym w wyniku przeprowadzenia przez ten organ postępowania/weryfikacji</w:t>
      </w:r>
      <w:r w:rsidR="001934E9" w:rsidRPr="00EB21E3">
        <w:rPr>
          <w:rFonts w:ascii="Times New Roman" w:hAnsi="Times New Roman" w:cs="Times New Roman"/>
          <w:sz w:val="24"/>
          <w:szCs w:val="24"/>
        </w:rPr>
        <w:t>,</w:t>
      </w:r>
      <w:r w:rsidR="00EB21E3">
        <w:rPr>
          <w:rFonts w:ascii="Times New Roman" w:hAnsi="Times New Roman" w:cs="Times New Roman"/>
          <w:sz w:val="24"/>
          <w:szCs w:val="24"/>
        </w:rPr>
        <w:t xml:space="preserve"> </w:t>
      </w:r>
      <w:r w:rsidR="00DE5118" w:rsidRPr="00EB21E3">
        <w:rPr>
          <w:rFonts w:ascii="Times New Roman" w:hAnsi="Times New Roman" w:cs="Times New Roman"/>
          <w:sz w:val="24"/>
          <w:szCs w:val="24"/>
        </w:rPr>
        <w:t xml:space="preserve">który ma wskazywać, że podmiot ją posiadający jest wiarygodny dla </w:t>
      </w:r>
      <w:r w:rsidR="001934E9" w:rsidRPr="00EB21E3">
        <w:rPr>
          <w:rFonts w:ascii="Times New Roman" w:hAnsi="Times New Roman" w:cs="Times New Roman"/>
          <w:sz w:val="24"/>
          <w:szCs w:val="24"/>
        </w:rPr>
        <w:t xml:space="preserve">innych </w:t>
      </w:r>
      <w:r w:rsidR="00DE5118" w:rsidRPr="00EB21E3">
        <w:rPr>
          <w:rFonts w:ascii="Times New Roman" w:hAnsi="Times New Roman" w:cs="Times New Roman"/>
          <w:sz w:val="24"/>
          <w:szCs w:val="24"/>
        </w:rPr>
        <w:t xml:space="preserve">uczestników obrotu paliwami, </w:t>
      </w:r>
      <w:r w:rsidR="00627823" w:rsidRPr="00EB21E3">
        <w:rPr>
          <w:rFonts w:ascii="Times New Roman" w:hAnsi="Times New Roman" w:cs="Times New Roman"/>
          <w:sz w:val="24"/>
          <w:szCs w:val="24"/>
        </w:rPr>
        <w:t>jak również dla administracji podatkowej.</w:t>
      </w:r>
      <w:r w:rsidR="009742F8" w:rsidRPr="00EB21E3">
        <w:rPr>
          <w:rFonts w:ascii="Times New Roman" w:hAnsi="Times New Roman" w:cs="Times New Roman"/>
          <w:sz w:val="24"/>
          <w:szCs w:val="24"/>
        </w:rPr>
        <w:t xml:space="preserve"> Celem nowelizacji jest zwiększenie wymagań w zakresie wiarygodności podmiotów wykonujących działalność koncesjonowaną oraz zwiększenie uprawnień Prezesa URE w procesie badania rzetelnoś</w:t>
      </w:r>
      <w:r w:rsidR="00DC1777" w:rsidRPr="00EB21E3">
        <w:rPr>
          <w:rFonts w:ascii="Times New Roman" w:hAnsi="Times New Roman" w:cs="Times New Roman"/>
          <w:sz w:val="24"/>
          <w:szCs w:val="24"/>
        </w:rPr>
        <w:t>ci podmiotów ubiegających się o</w:t>
      </w:r>
      <w:r w:rsidR="00EB21E3">
        <w:rPr>
          <w:rFonts w:ascii="Times New Roman" w:hAnsi="Times New Roman" w:cs="Times New Roman"/>
          <w:sz w:val="24"/>
          <w:szCs w:val="24"/>
        </w:rPr>
        <w:t xml:space="preserve"> </w:t>
      </w:r>
      <w:r w:rsidR="009742F8" w:rsidRPr="00EB21E3">
        <w:rPr>
          <w:rFonts w:ascii="Times New Roman" w:hAnsi="Times New Roman" w:cs="Times New Roman"/>
          <w:sz w:val="24"/>
          <w:szCs w:val="24"/>
        </w:rPr>
        <w:t>koncesję na obrót paliwami płynnymi.</w:t>
      </w:r>
      <w:r w:rsidR="00EB21E3">
        <w:rPr>
          <w:rFonts w:ascii="Times New Roman" w:hAnsi="Times New Roman" w:cs="Times New Roman"/>
          <w:sz w:val="24"/>
          <w:szCs w:val="24"/>
        </w:rPr>
        <w:t xml:space="preserve"> </w:t>
      </w:r>
    </w:p>
    <w:p w:rsidR="00591530" w:rsidRPr="00EB21E3" w:rsidRDefault="008321E8" w:rsidP="00EB21E3">
      <w:pPr>
        <w:spacing w:before="120" w:after="0" w:line="360" w:lineRule="auto"/>
        <w:jc w:val="both"/>
        <w:rPr>
          <w:rFonts w:ascii="Times New Roman" w:hAnsi="Times New Roman" w:cs="Times New Roman"/>
          <w:sz w:val="24"/>
          <w:szCs w:val="24"/>
        </w:rPr>
      </w:pPr>
      <w:r w:rsidRPr="00EB21E3">
        <w:rPr>
          <w:rFonts w:ascii="Times New Roman" w:hAnsi="Times New Roman" w:cs="Times New Roman"/>
          <w:sz w:val="24"/>
          <w:szCs w:val="24"/>
        </w:rPr>
        <w:t>Zmiany w art. 33</w:t>
      </w:r>
      <w:r w:rsidR="004073E3" w:rsidRPr="00EB21E3">
        <w:rPr>
          <w:rFonts w:ascii="Times New Roman" w:hAnsi="Times New Roman" w:cs="Times New Roman"/>
          <w:sz w:val="24"/>
          <w:szCs w:val="24"/>
        </w:rPr>
        <w:t xml:space="preserve"> obejmują </w:t>
      </w:r>
      <w:r w:rsidR="00211120" w:rsidRPr="00EB21E3">
        <w:rPr>
          <w:rFonts w:ascii="Times New Roman" w:hAnsi="Times New Roman" w:cs="Times New Roman"/>
          <w:sz w:val="24"/>
          <w:szCs w:val="24"/>
        </w:rPr>
        <w:t>r</w:t>
      </w:r>
      <w:r w:rsidR="00765C4D" w:rsidRPr="00EB21E3">
        <w:rPr>
          <w:rFonts w:ascii="Times New Roman" w:hAnsi="Times New Roman" w:cs="Times New Roman"/>
          <w:sz w:val="24"/>
          <w:szCs w:val="24"/>
        </w:rPr>
        <w:t>ozszerz</w:t>
      </w:r>
      <w:r w:rsidR="004073E3" w:rsidRPr="00EB21E3">
        <w:rPr>
          <w:rFonts w:ascii="Times New Roman" w:hAnsi="Times New Roman" w:cs="Times New Roman"/>
          <w:sz w:val="24"/>
          <w:szCs w:val="24"/>
        </w:rPr>
        <w:t>enie</w:t>
      </w:r>
      <w:r w:rsidR="00765C4D" w:rsidRPr="00EB21E3">
        <w:rPr>
          <w:rFonts w:ascii="Times New Roman" w:hAnsi="Times New Roman" w:cs="Times New Roman"/>
          <w:sz w:val="24"/>
          <w:szCs w:val="24"/>
        </w:rPr>
        <w:t xml:space="preserve"> </w:t>
      </w:r>
      <w:r w:rsidR="004073E3" w:rsidRPr="00EB21E3">
        <w:rPr>
          <w:rFonts w:ascii="Times New Roman" w:hAnsi="Times New Roman" w:cs="Times New Roman"/>
          <w:sz w:val="24"/>
          <w:szCs w:val="24"/>
        </w:rPr>
        <w:t xml:space="preserve">w ust. 1b </w:t>
      </w:r>
      <w:r w:rsidR="00765C4D" w:rsidRPr="00EB21E3">
        <w:rPr>
          <w:rFonts w:ascii="Times New Roman" w:hAnsi="Times New Roman" w:cs="Times New Roman"/>
          <w:sz w:val="24"/>
          <w:szCs w:val="24"/>
        </w:rPr>
        <w:t>ka</w:t>
      </w:r>
      <w:r w:rsidR="00985EE2" w:rsidRPr="00EB21E3">
        <w:rPr>
          <w:rFonts w:ascii="Times New Roman" w:hAnsi="Times New Roman" w:cs="Times New Roman"/>
          <w:sz w:val="24"/>
          <w:szCs w:val="24"/>
        </w:rPr>
        <w:t>talog</w:t>
      </w:r>
      <w:r w:rsidR="004073E3" w:rsidRPr="00EB21E3">
        <w:rPr>
          <w:rFonts w:ascii="Times New Roman" w:hAnsi="Times New Roman" w:cs="Times New Roman"/>
          <w:sz w:val="24"/>
          <w:szCs w:val="24"/>
        </w:rPr>
        <w:t>u</w:t>
      </w:r>
      <w:r w:rsidR="00985EE2" w:rsidRPr="00EB21E3">
        <w:rPr>
          <w:rFonts w:ascii="Times New Roman" w:hAnsi="Times New Roman" w:cs="Times New Roman"/>
          <w:sz w:val="24"/>
          <w:szCs w:val="24"/>
        </w:rPr>
        <w:t xml:space="preserve"> warunków </w:t>
      </w:r>
      <w:r w:rsidR="00263E6C" w:rsidRPr="00EB21E3">
        <w:rPr>
          <w:rFonts w:ascii="Times New Roman" w:hAnsi="Times New Roman" w:cs="Times New Roman"/>
          <w:sz w:val="24"/>
          <w:szCs w:val="24"/>
        </w:rPr>
        <w:t xml:space="preserve">wymaganych </w:t>
      </w:r>
      <w:r w:rsidR="00985EE2" w:rsidRPr="00EB21E3">
        <w:rPr>
          <w:rFonts w:ascii="Times New Roman" w:hAnsi="Times New Roman" w:cs="Times New Roman"/>
          <w:sz w:val="24"/>
          <w:szCs w:val="24"/>
        </w:rPr>
        <w:t>do spełnienia przez</w:t>
      </w:r>
      <w:r w:rsidR="00765C4D" w:rsidRPr="00EB21E3">
        <w:rPr>
          <w:rFonts w:ascii="Times New Roman" w:hAnsi="Times New Roman" w:cs="Times New Roman"/>
          <w:sz w:val="24"/>
          <w:szCs w:val="24"/>
        </w:rPr>
        <w:t xml:space="preserve"> podmiot</w:t>
      </w:r>
      <w:r w:rsidR="00985EE2" w:rsidRPr="00EB21E3">
        <w:rPr>
          <w:rFonts w:ascii="Times New Roman" w:hAnsi="Times New Roman" w:cs="Times New Roman"/>
          <w:sz w:val="24"/>
          <w:szCs w:val="24"/>
        </w:rPr>
        <w:t>y</w:t>
      </w:r>
      <w:r w:rsidR="00765C4D" w:rsidRPr="00EB21E3">
        <w:rPr>
          <w:rFonts w:ascii="Times New Roman" w:hAnsi="Times New Roman" w:cs="Times New Roman"/>
          <w:sz w:val="24"/>
          <w:szCs w:val="24"/>
        </w:rPr>
        <w:t xml:space="preserve"> ubiegając</w:t>
      </w:r>
      <w:r w:rsidR="00985EE2" w:rsidRPr="00EB21E3">
        <w:rPr>
          <w:rFonts w:ascii="Times New Roman" w:hAnsi="Times New Roman" w:cs="Times New Roman"/>
          <w:sz w:val="24"/>
          <w:szCs w:val="24"/>
        </w:rPr>
        <w:t>e</w:t>
      </w:r>
      <w:r w:rsidR="00765C4D" w:rsidRPr="00EB21E3">
        <w:rPr>
          <w:rFonts w:ascii="Times New Roman" w:hAnsi="Times New Roman" w:cs="Times New Roman"/>
          <w:sz w:val="24"/>
          <w:szCs w:val="24"/>
        </w:rPr>
        <w:t xml:space="preserve"> się o udzielenie koncesji na obrót paliwami </w:t>
      </w:r>
      <w:r w:rsidR="00796A95" w:rsidRPr="00EB21E3">
        <w:rPr>
          <w:rFonts w:ascii="Times New Roman" w:hAnsi="Times New Roman" w:cs="Times New Roman"/>
          <w:sz w:val="24"/>
          <w:szCs w:val="24"/>
        </w:rPr>
        <w:t xml:space="preserve">ciekłymi </w:t>
      </w:r>
      <w:r w:rsidR="00765C4D" w:rsidRPr="00EB21E3">
        <w:rPr>
          <w:rFonts w:ascii="Times New Roman" w:hAnsi="Times New Roman" w:cs="Times New Roman"/>
          <w:sz w:val="24"/>
          <w:szCs w:val="24"/>
        </w:rPr>
        <w:t xml:space="preserve">z zagranicą. </w:t>
      </w:r>
    </w:p>
    <w:p w:rsidR="00877679" w:rsidRPr="00EB21E3" w:rsidRDefault="00591530" w:rsidP="00EB21E3">
      <w:pPr>
        <w:spacing w:before="120" w:after="0" w:line="360" w:lineRule="auto"/>
        <w:jc w:val="both"/>
        <w:rPr>
          <w:rFonts w:ascii="Times New Roman" w:hAnsi="Times New Roman" w:cs="Times New Roman"/>
          <w:sz w:val="24"/>
          <w:szCs w:val="24"/>
        </w:rPr>
      </w:pPr>
      <w:r w:rsidRPr="00EB21E3">
        <w:rPr>
          <w:rFonts w:ascii="Times New Roman" w:hAnsi="Times New Roman" w:cs="Times New Roman"/>
          <w:sz w:val="24"/>
          <w:szCs w:val="24"/>
        </w:rPr>
        <w:t>Najistotniejszą zmianą jest wprowadzenie obowiązku posiadania siedziby na terytorium kraju lub prowadzenia przez podmiot zagraniczny działalności koncesjonowanej za pośrednictwem oddziału, a także obowiązek rejestracyjny dla celów podatku VAT. Pozwoli to na powiązanie obowiązku koncesjonowania obrotu paliwami płynnymi ze statusem podatnika podatku VAT.</w:t>
      </w:r>
      <w:r w:rsidR="00211120" w:rsidRPr="00EB21E3">
        <w:rPr>
          <w:rFonts w:ascii="Times New Roman" w:hAnsi="Times New Roman" w:cs="Times New Roman"/>
          <w:sz w:val="24"/>
          <w:szCs w:val="24"/>
        </w:rPr>
        <w:t xml:space="preserve"> </w:t>
      </w:r>
    </w:p>
    <w:p w:rsidR="00877679" w:rsidRPr="00EB21E3" w:rsidRDefault="00877679" w:rsidP="00EB21E3">
      <w:pPr>
        <w:spacing w:before="120" w:after="0" w:line="360" w:lineRule="auto"/>
        <w:jc w:val="both"/>
        <w:rPr>
          <w:rFonts w:ascii="Times New Roman" w:hAnsi="Times New Roman" w:cs="Times New Roman"/>
          <w:sz w:val="24"/>
          <w:szCs w:val="24"/>
        </w:rPr>
      </w:pPr>
      <w:r w:rsidRPr="00EB21E3">
        <w:rPr>
          <w:rFonts w:ascii="Times New Roman" w:hAnsi="Times New Roman" w:cs="Times New Roman"/>
          <w:sz w:val="24"/>
          <w:szCs w:val="24"/>
        </w:rPr>
        <w:t xml:space="preserve">Należy wskazać, że aktualny system koncesjonowania obrotu paliwami </w:t>
      </w:r>
      <w:r w:rsidR="00796A95" w:rsidRPr="00EB21E3">
        <w:rPr>
          <w:rFonts w:ascii="Times New Roman" w:hAnsi="Times New Roman" w:cs="Times New Roman"/>
          <w:sz w:val="24"/>
          <w:szCs w:val="24"/>
        </w:rPr>
        <w:t xml:space="preserve">ciekłymi </w:t>
      </w:r>
      <w:r w:rsidRPr="00EB21E3">
        <w:rPr>
          <w:rFonts w:ascii="Times New Roman" w:hAnsi="Times New Roman" w:cs="Times New Roman"/>
          <w:sz w:val="24"/>
          <w:szCs w:val="24"/>
        </w:rPr>
        <w:t>z</w:t>
      </w:r>
      <w:r w:rsidR="001427B4">
        <w:rPr>
          <w:rFonts w:ascii="Times New Roman" w:hAnsi="Times New Roman" w:cs="Times New Roman"/>
          <w:sz w:val="24"/>
          <w:szCs w:val="24"/>
        </w:rPr>
        <w:t> </w:t>
      </w:r>
      <w:r w:rsidRPr="00EB21E3">
        <w:rPr>
          <w:rFonts w:ascii="Times New Roman" w:hAnsi="Times New Roman" w:cs="Times New Roman"/>
          <w:sz w:val="24"/>
          <w:szCs w:val="24"/>
        </w:rPr>
        <w:t>zagranicą i wprowadzone zabezpieczenia majątkowe</w:t>
      </w:r>
      <w:r w:rsidR="00796A95" w:rsidRPr="00EB21E3">
        <w:rPr>
          <w:rFonts w:ascii="Times New Roman" w:hAnsi="Times New Roman" w:cs="Times New Roman"/>
          <w:sz w:val="24"/>
          <w:szCs w:val="24"/>
        </w:rPr>
        <w:t>,</w:t>
      </w:r>
      <w:r w:rsidRPr="00EB21E3">
        <w:rPr>
          <w:rFonts w:ascii="Times New Roman" w:hAnsi="Times New Roman" w:cs="Times New Roman"/>
          <w:sz w:val="24"/>
          <w:szCs w:val="24"/>
        </w:rPr>
        <w:t xml:space="preserve"> mające na celu uszczelnienie poboru podatków od transakcji międzynarodowych</w:t>
      </w:r>
      <w:r w:rsidR="002272CB">
        <w:rPr>
          <w:rFonts w:ascii="Times New Roman" w:hAnsi="Times New Roman" w:cs="Times New Roman"/>
          <w:sz w:val="24"/>
          <w:szCs w:val="24"/>
        </w:rPr>
        <w:t>,</w:t>
      </w:r>
      <w:r w:rsidRPr="00EB21E3">
        <w:rPr>
          <w:rFonts w:ascii="Times New Roman" w:hAnsi="Times New Roman" w:cs="Times New Roman"/>
          <w:sz w:val="24"/>
          <w:szCs w:val="24"/>
        </w:rPr>
        <w:t xml:space="preserve"> nie spełniają swojej roli. Funkcjonowanie podmiotów koncesjonowanych niemających siedziby lub nie prowadzących </w:t>
      </w:r>
      <w:r w:rsidR="00796A95" w:rsidRPr="00EB21E3">
        <w:rPr>
          <w:rFonts w:ascii="Times New Roman" w:hAnsi="Times New Roman" w:cs="Times New Roman"/>
          <w:sz w:val="24"/>
          <w:szCs w:val="24"/>
        </w:rPr>
        <w:t xml:space="preserve">działalności gospodarczej na terytorium kraju w ramach utworzonego tu </w:t>
      </w:r>
      <w:r w:rsidRPr="00EB21E3">
        <w:rPr>
          <w:rFonts w:ascii="Times New Roman" w:hAnsi="Times New Roman" w:cs="Times New Roman"/>
          <w:sz w:val="24"/>
          <w:szCs w:val="24"/>
        </w:rPr>
        <w:t xml:space="preserve">oddziału nie jest w przypadku obrotu paliwami </w:t>
      </w:r>
      <w:r w:rsidR="00796A95" w:rsidRPr="00EB21E3">
        <w:rPr>
          <w:rFonts w:ascii="Times New Roman" w:hAnsi="Times New Roman" w:cs="Times New Roman"/>
          <w:sz w:val="24"/>
          <w:szCs w:val="24"/>
        </w:rPr>
        <w:t xml:space="preserve">ciekłymi </w:t>
      </w:r>
      <w:r w:rsidRPr="00EB21E3">
        <w:rPr>
          <w:rFonts w:ascii="Times New Roman" w:hAnsi="Times New Roman" w:cs="Times New Roman"/>
          <w:sz w:val="24"/>
          <w:szCs w:val="24"/>
        </w:rPr>
        <w:t>realizacją zasady swobody świadczenia usług</w:t>
      </w:r>
      <w:r w:rsidR="002272CB">
        <w:rPr>
          <w:rFonts w:ascii="Times New Roman" w:hAnsi="Times New Roman" w:cs="Times New Roman"/>
          <w:sz w:val="24"/>
          <w:szCs w:val="24"/>
        </w:rPr>
        <w:t>,</w:t>
      </w:r>
      <w:r w:rsidRPr="00EB21E3">
        <w:rPr>
          <w:rFonts w:ascii="Times New Roman" w:hAnsi="Times New Roman" w:cs="Times New Roman"/>
          <w:sz w:val="24"/>
          <w:szCs w:val="24"/>
        </w:rPr>
        <w:t xml:space="preserve"> lecz wyłącznie sztuczną strukturą mającą uniemożliwić organom państwa skuteczny nadzór podatkowy </w:t>
      </w:r>
      <w:r w:rsidR="00AF6AAF" w:rsidRPr="00EB21E3">
        <w:rPr>
          <w:rFonts w:ascii="Times New Roman" w:hAnsi="Times New Roman" w:cs="Times New Roman"/>
          <w:sz w:val="24"/>
          <w:szCs w:val="24"/>
        </w:rPr>
        <w:t xml:space="preserve">nad obrotem paliwami w wymiarze międzynarodowym </w:t>
      </w:r>
      <w:r w:rsidRPr="00EB21E3">
        <w:rPr>
          <w:rFonts w:ascii="Times New Roman" w:hAnsi="Times New Roman" w:cs="Times New Roman"/>
          <w:sz w:val="24"/>
          <w:szCs w:val="24"/>
        </w:rPr>
        <w:t>(</w:t>
      </w:r>
      <w:r w:rsidR="00796A95" w:rsidRPr="00EB21E3">
        <w:rPr>
          <w:rFonts w:ascii="Times New Roman" w:hAnsi="Times New Roman" w:cs="Times New Roman"/>
          <w:sz w:val="24"/>
          <w:szCs w:val="24"/>
        </w:rPr>
        <w:t>jak też nadzór w zakresie wykonywania przez te podmioty obowiązków</w:t>
      </w:r>
      <w:r w:rsidR="00EB21E3">
        <w:rPr>
          <w:rFonts w:ascii="Times New Roman" w:hAnsi="Times New Roman" w:cs="Times New Roman"/>
          <w:sz w:val="24"/>
          <w:szCs w:val="24"/>
        </w:rPr>
        <w:t xml:space="preserve"> </w:t>
      </w:r>
      <w:r w:rsidRPr="00EB21E3">
        <w:rPr>
          <w:rFonts w:ascii="Times New Roman" w:hAnsi="Times New Roman" w:cs="Times New Roman"/>
          <w:sz w:val="24"/>
          <w:szCs w:val="24"/>
        </w:rPr>
        <w:t xml:space="preserve">w zakresie </w:t>
      </w:r>
      <w:r w:rsidR="00AF6AAF" w:rsidRPr="00EB21E3">
        <w:rPr>
          <w:rFonts w:ascii="Times New Roman" w:hAnsi="Times New Roman" w:cs="Times New Roman"/>
          <w:sz w:val="24"/>
          <w:szCs w:val="24"/>
        </w:rPr>
        <w:t xml:space="preserve">gromadzenia </w:t>
      </w:r>
      <w:r w:rsidRPr="00EB21E3">
        <w:rPr>
          <w:rFonts w:ascii="Times New Roman" w:hAnsi="Times New Roman" w:cs="Times New Roman"/>
          <w:sz w:val="24"/>
          <w:szCs w:val="24"/>
        </w:rPr>
        <w:t xml:space="preserve">zapasów obowiązkowych </w:t>
      </w:r>
      <w:r w:rsidR="00AF6AAF" w:rsidRPr="00EB21E3">
        <w:rPr>
          <w:rFonts w:ascii="Times New Roman" w:hAnsi="Times New Roman" w:cs="Times New Roman"/>
          <w:sz w:val="24"/>
          <w:szCs w:val="24"/>
        </w:rPr>
        <w:t xml:space="preserve">paliw </w:t>
      </w:r>
      <w:r w:rsidRPr="00EB21E3">
        <w:rPr>
          <w:rFonts w:ascii="Times New Roman" w:hAnsi="Times New Roman" w:cs="Times New Roman"/>
          <w:sz w:val="24"/>
          <w:szCs w:val="24"/>
        </w:rPr>
        <w:t xml:space="preserve">i realizacji NCW). Sztuczności tworzonych struktur dowodzi ewolucja mechanizmu oszustwa. Kiedy w 2014 r. wprowadzono koncesję na obrót paliwami </w:t>
      </w:r>
      <w:r w:rsidR="00AF6AAF" w:rsidRPr="00EB21E3">
        <w:rPr>
          <w:rFonts w:ascii="Times New Roman" w:hAnsi="Times New Roman" w:cs="Times New Roman"/>
          <w:sz w:val="24"/>
          <w:szCs w:val="24"/>
        </w:rPr>
        <w:t xml:space="preserve">ciekłymi </w:t>
      </w:r>
      <w:r w:rsidRPr="00EB21E3">
        <w:rPr>
          <w:rFonts w:ascii="Times New Roman" w:hAnsi="Times New Roman" w:cs="Times New Roman"/>
          <w:sz w:val="24"/>
          <w:szCs w:val="24"/>
        </w:rPr>
        <w:t>z zagranicą, od stycznia 2015 r. jako nabywcy paliw do Polski zaczęły występować podmioty zagraniczne zarówno posiadające</w:t>
      </w:r>
      <w:r w:rsidR="00AF6AAF" w:rsidRPr="00EB21E3">
        <w:rPr>
          <w:rFonts w:ascii="Times New Roman" w:hAnsi="Times New Roman" w:cs="Times New Roman"/>
          <w:sz w:val="24"/>
          <w:szCs w:val="24"/>
        </w:rPr>
        <w:t>,</w:t>
      </w:r>
      <w:r w:rsidRPr="00EB21E3">
        <w:rPr>
          <w:rFonts w:ascii="Times New Roman" w:hAnsi="Times New Roman" w:cs="Times New Roman"/>
          <w:sz w:val="24"/>
          <w:szCs w:val="24"/>
        </w:rPr>
        <w:t xml:space="preserve"> jak i nieposiadające koncesj</w:t>
      </w:r>
      <w:r w:rsidR="00AF6AAF" w:rsidRPr="00EB21E3">
        <w:rPr>
          <w:rFonts w:ascii="Times New Roman" w:hAnsi="Times New Roman" w:cs="Times New Roman"/>
          <w:sz w:val="24"/>
          <w:szCs w:val="24"/>
        </w:rPr>
        <w:t>i</w:t>
      </w:r>
      <w:r w:rsidRPr="00EB21E3">
        <w:rPr>
          <w:rFonts w:ascii="Times New Roman" w:hAnsi="Times New Roman" w:cs="Times New Roman"/>
          <w:sz w:val="24"/>
          <w:szCs w:val="24"/>
        </w:rPr>
        <w:t>. Łącznie w 2015 r. nabycia za pośrednictwem zarejestrowanych odbiorców oleju napędowego dokonało 65</w:t>
      </w:r>
      <w:r w:rsidR="001427B4">
        <w:rPr>
          <w:rFonts w:ascii="Times New Roman" w:hAnsi="Times New Roman" w:cs="Times New Roman"/>
          <w:sz w:val="24"/>
          <w:szCs w:val="24"/>
        </w:rPr>
        <w:t> </w:t>
      </w:r>
      <w:r w:rsidRPr="00EB21E3">
        <w:rPr>
          <w:rFonts w:ascii="Times New Roman" w:hAnsi="Times New Roman" w:cs="Times New Roman"/>
          <w:sz w:val="24"/>
          <w:szCs w:val="24"/>
        </w:rPr>
        <w:t xml:space="preserve">zagranicznych podmiotów, z tego tylko 7 miało koncesję OPZ. W sumie za pośrednictwem zarejestrowanych odbiorców wprowadzono do kraju w 2015 r. ponad </w:t>
      </w:r>
      <w:r w:rsidRPr="00EB21E3">
        <w:rPr>
          <w:rFonts w:ascii="Times New Roman" w:hAnsi="Times New Roman" w:cs="Times New Roman"/>
          <w:sz w:val="24"/>
          <w:szCs w:val="24"/>
        </w:rPr>
        <w:lastRenderedPageBreak/>
        <w:t xml:space="preserve">1,6 mld litrów ON, z czego podmioty zagraniczne sprowadziły ok. 1,3 mld </w:t>
      </w:r>
      <w:r w:rsidR="00C90951" w:rsidRPr="00EB21E3">
        <w:rPr>
          <w:rFonts w:ascii="Times New Roman" w:hAnsi="Times New Roman" w:cs="Times New Roman"/>
          <w:sz w:val="24"/>
          <w:szCs w:val="24"/>
        </w:rPr>
        <w:t>lit</w:t>
      </w:r>
      <w:r w:rsidR="00AF6AAF" w:rsidRPr="00EB21E3">
        <w:rPr>
          <w:rFonts w:ascii="Times New Roman" w:hAnsi="Times New Roman" w:cs="Times New Roman"/>
          <w:sz w:val="24"/>
          <w:szCs w:val="24"/>
        </w:rPr>
        <w:t>r</w:t>
      </w:r>
      <w:r w:rsidR="00C90951" w:rsidRPr="00EB21E3">
        <w:rPr>
          <w:rFonts w:ascii="Times New Roman" w:hAnsi="Times New Roman" w:cs="Times New Roman"/>
          <w:sz w:val="24"/>
          <w:szCs w:val="24"/>
        </w:rPr>
        <w:t>ów</w:t>
      </w:r>
      <w:r w:rsidRPr="00EB21E3">
        <w:rPr>
          <w:rFonts w:ascii="Times New Roman" w:hAnsi="Times New Roman" w:cs="Times New Roman"/>
          <w:sz w:val="24"/>
          <w:szCs w:val="24"/>
        </w:rPr>
        <w:t>. Wg</w:t>
      </w:r>
      <w:r w:rsidR="001427B4">
        <w:rPr>
          <w:rFonts w:ascii="Times New Roman" w:hAnsi="Times New Roman" w:cs="Times New Roman"/>
          <w:sz w:val="24"/>
          <w:szCs w:val="24"/>
        </w:rPr>
        <w:t> </w:t>
      </w:r>
      <w:r w:rsidRPr="00EB21E3">
        <w:rPr>
          <w:rFonts w:ascii="Times New Roman" w:hAnsi="Times New Roman" w:cs="Times New Roman"/>
          <w:sz w:val="24"/>
          <w:szCs w:val="24"/>
        </w:rPr>
        <w:t>Polskiej Organizacji Przemysłu i Handlu Naftowego cały import paliw do Polski, obejmujący również obrót wewnątrzunijny</w:t>
      </w:r>
      <w:r w:rsidR="00AF6AAF" w:rsidRPr="00EB21E3">
        <w:rPr>
          <w:rFonts w:ascii="Times New Roman" w:hAnsi="Times New Roman" w:cs="Times New Roman"/>
          <w:sz w:val="24"/>
          <w:szCs w:val="24"/>
        </w:rPr>
        <w:t>,</w:t>
      </w:r>
      <w:r w:rsidRPr="00EB21E3">
        <w:rPr>
          <w:rFonts w:ascii="Times New Roman" w:hAnsi="Times New Roman" w:cs="Times New Roman"/>
          <w:sz w:val="24"/>
          <w:szCs w:val="24"/>
        </w:rPr>
        <w:t xml:space="preserve"> wyniósł ponad 2 mld litrów. Fakt działania na dużą skalę bez wymaganej koncesji takiej liczby podmiotów zagranicznych świadczy o braku możliwości efektywnego nadzoru </w:t>
      </w:r>
      <w:r w:rsidR="00C90951" w:rsidRPr="00EB21E3">
        <w:rPr>
          <w:rFonts w:ascii="Times New Roman" w:hAnsi="Times New Roman" w:cs="Times New Roman"/>
          <w:sz w:val="24"/>
          <w:szCs w:val="24"/>
        </w:rPr>
        <w:t>ze strony</w:t>
      </w:r>
      <w:r w:rsidRPr="00EB21E3">
        <w:rPr>
          <w:rFonts w:ascii="Times New Roman" w:hAnsi="Times New Roman" w:cs="Times New Roman"/>
          <w:sz w:val="24"/>
          <w:szCs w:val="24"/>
        </w:rPr>
        <w:t xml:space="preserve"> organ</w:t>
      </w:r>
      <w:r w:rsidR="00C90951" w:rsidRPr="00EB21E3">
        <w:rPr>
          <w:rFonts w:ascii="Times New Roman" w:hAnsi="Times New Roman" w:cs="Times New Roman"/>
          <w:sz w:val="24"/>
          <w:szCs w:val="24"/>
        </w:rPr>
        <w:t>ów</w:t>
      </w:r>
      <w:r w:rsidRPr="00EB21E3">
        <w:rPr>
          <w:rFonts w:ascii="Times New Roman" w:hAnsi="Times New Roman" w:cs="Times New Roman"/>
          <w:sz w:val="24"/>
          <w:szCs w:val="24"/>
        </w:rPr>
        <w:t xml:space="preserve"> państwa. Dopiero od stycznia 2016 r. w wyniku zmian w ustawie o podatku akcyzowym nałożono na składy podatkowe i zarejestrowanych odbiorców obowiązek weryfikowania faktu posiadania koncesji lub wpisu do rejestru systemu zapasów obowiązkowych. Efekt zmiany spowodował, że zamiast dla 65 podmiotów zagranicznych, paliwa nabywane są na rzecz 7 podmiotów posiadających koncesję OPZ, co jednak nie przyczyniło się w żadnym stopniu do ograniczenia skali nieprawidłowości. W I kw. 2015 r. nabycia paliw za pośrednictwem zarejestrowanych odbiorców nie przekroczyły łącznie 400 mln litrów ON. W analogicznym okresie 2016</w:t>
      </w:r>
      <w:r w:rsidR="001427B4">
        <w:rPr>
          <w:rFonts w:ascii="Times New Roman" w:hAnsi="Times New Roman" w:cs="Times New Roman"/>
          <w:sz w:val="24"/>
          <w:szCs w:val="24"/>
        </w:rPr>
        <w:t> </w:t>
      </w:r>
      <w:r w:rsidRPr="00EB21E3">
        <w:rPr>
          <w:rFonts w:ascii="Times New Roman" w:hAnsi="Times New Roman" w:cs="Times New Roman"/>
          <w:sz w:val="24"/>
          <w:szCs w:val="24"/>
        </w:rPr>
        <w:t xml:space="preserve">r. nabycia przekroczyły 774 mln litrów ON, z czego na rzecz 7 podmiotów zagranicznych ponad 540 mln litrów. W związku z tym, że podmioty zagraniczne wykorzystujące procedury transakcji trójstronnych nie mają obowiązków podatkowych zarówno w </w:t>
      </w:r>
      <w:r w:rsidR="00AF6AAF" w:rsidRPr="00EB21E3">
        <w:rPr>
          <w:rFonts w:ascii="Times New Roman" w:hAnsi="Times New Roman" w:cs="Times New Roman"/>
          <w:sz w:val="24"/>
          <w:szCs w:val="24"/>
        </w:rPr>
        <w:t xml:space="preserve">Polsce, </w:t>
      </w:r>
      <w:r w:rsidRPr="00EB21E3">
        <w:rPr>
          <w:rFonts w:ascii="Times New Roman" w:hAnsi="Times New Roman" w:cs="Times New Roman"/>
          <w:sz w:val="24"/>
          <w:szCs w:val="24"/>
        </w:rPr>
        <w:t>jak i w kraju siedziby</w:t>
      </w:r>
      <w:r w:rsidR="002272CB">
        <w:rPr>
          <w:rFonts w:ascii="Times New Roman" w:hAnsi="Times New Roman" w:cs="Times New Roman"/>
          <w:sz w:val="24"/>
          <w:szCs w:val="24"/>
        </w:rPr>
        <w:t>,</w:t>
      </w:r>
      <w:r w:rsidRPr="00EB21E3">
        <w:rPr>
          <w:rFonts w:ascii="Times New Roman" w:hAnsi="Times New Roman" w:cs="Times New Roman"/>
          <w:sz w:val="24"/>
          <w:szCs w:val="24"/>
        </w:rPr>
        <w:t xml:space="preserve"> nadzór nad nimi, choćby w celu ustalenia rzeczywistych odbiorców paliw w Polsce jest w zasadzie niemożliwy. Polskie organy skarbowe nie mają również możliwości prowadzenia bezpośredniej kontroli wobec podmiotów zagranicznych bez pośrednictwa administracji krajów, w których </w:t>
      </w:r>
      <w:r w:rsidR="00AF6AAF" w:rsidRPr="00EB21E3">
        <w:rPr>
          <w:rFonts w:ascii="Times New Roman" w:hAnsi="Times New Roman" w:cs="Times New Roman"/>
          <w:sz w:val="24"/>
          <w:szCs w:val="24"/>
        </w:rPr>
        <w:t xml:space="preserve">podmioty te </w:t>
      </w:r>
      <w:r w:rsidRPr="00EB21E3">
        <w:rPr>
          <w:rFonts w:ascii="Times New Roman" w:hAnsi="Times New Roman" w:cs="Times New Roman"/>
          <w:sz w:val="24"/>
          <w:szCs w:val="24"/>
        </w:rPr>
        <w:t xml:space="preserve">mają siedziby. </w:t>
      </w:r>
    </w:p>
    <w:p w:rsidR="00877679" w:rsidRPr="001427B4" w:rsidRDefault="00C90951" w:rsidP="001427B4">
      <w:pPr>
        <w:pStyle w:val="c01pointnumerotealtn"/>
        <w:spacing w:before="120" w:beforeAutospacing="0" w:after="0" w:line="360" w:lineRule="auto"/>
        <w:ind w:left="0" w:firstLine="0"/>
        <w:rPr>
          <w:rFonts w:eastAsia="Cambria"/>
          <w:lang w:eastAsia="en-US"/>
        </w:rPr>
      </w:pPr>
      <w:r w:rsidRPr="00EB21E3">
        <w:rPr>
          <w:rFonts w:eastAsia="Cambria"/>
          <w:lang w:eastAsia="en-US"/>
        </w:rPr>
        <w:t xml:space="preserve">Jednocześnie z punktu widzenia </w:t>
      </w:r>
      <w:r w:rsidR="00877679" w:rsidRPr="00EB21E3">
        <w:rPr>
          <w:rFonts w:eastAsia="Cambria"/>
          <w:lang w:eastAsia="en-US"/>
        </w:rPr>
        <w:t xml:space="preserve">ochrony interesów finansowych Unii Europejskiej </w:t>
      </w:r>
      <w:r w:rsidRPr="00EB21E3">
        <w:rPr>
          <w:rFonts w:eastAsia="Cambria"/>
          <w:lang w:eastAsia="en-US"/>
        </w:rPr>
        <w:t>należy wskazać</w:t>
      </w:r>
      <w:r w:rsidR="00877679" w:rsidRPr="00EB21E3">
        <w:rPr>
          <w:rFonts w:eastAsia="Cambria"/>
          <w:lang w:eastAsia="en-US"/>
        </w:rPr>
        <w:t>, że zgodnie z Traktatem o Funkcjonowaniu Unii Europejskiej (dalej:</w:t>
      </w:r>
      <w:r w:rsidR="001427B4">
        <w:rPr>
          <w:rFonts w:eastAsia="Cambria"/>
          <w:lang w:eastAsia="en-US"/>
        </w:rPr>
        <w:t> </w:t>
      </w:r>
      <w:r w:rsidR="00877679" w:rsidRPr="00EB21E3">
        <w:rPr>
          <w:rFonts w:eastAsia="Cambria"/>
          <w:lang w:eastAsia="en-US"/>
        </w:rPr>
        <w:t>TFUE) państwo członkowskie musi zapewnić wypełnienie obowiązków wynikających z</w:t>
      </w:r>
      <w:r w:rsidR="001427B4">
        <w:rPr>
          <w:rFonts w:eastAsia="Cambria"/>
          <w:lang w:eastAsia="en-US"/>
        </w:rPr>
        <w:t xml:space="preserve"> </w:t>
      </w:r>
      <w:r w:rsidR="00877679" w:rsidRPr="00EB21E3">
        <w:rPr>
          <w:rFonts w:eastAsia="Cambria"/>
          <w:lang w:eastAsia="en-US"/>
        </w:rPr>
        <w:t>traktatów albo wynikających z aktów instytucji Unii, ułatwiać wykonywanie zadań Unii i powstrzymywać się od wszelkich środków, które zagrażają osiągnięciu jej celów (</w:t>
      </w:r>
      <w:r w:rsidR="002272CB">
        <w:rPr>
          <w:rFonts w:eastAsia="Cambria"/>
          <w:lang w:eastAsia="en-US"/>
        </w:rPr>
        <w:t>o</w:t>
      </w:r>
      <w:r w:rsidR="00877679" w:rsidRPr="00EB21E3">
        <w:rPr>
          <w:rFonts w:eastAsia="Cambria"/>
          <w:lang w:eastAsia="en-US"/>
        </w:rPr>
        <w:t>pinia Rzecznika Generalnego do sprawy C-500/10, pkt 3). Jednocześnie TFUE zobowiązuje państwa członkowskie do zwalczania nielegalnych działań naruszających interesy finansowe Unii za pomocą odstraszających i</w:t>
      </w:r>
      <w:r w:rsidR="001427B4">
        <w:rPr>
          <w:rFonts w:eastAsia="Cambria"/>
          <w:lang w:eastAsia="en-US"/>
        </w:rPr>
        <w:t> </w:t>
      </w:r>
      <w:r w:rsidR="00877679" w:rsidRPr="00EB21E3">
        <w:rPr>
          <w:rFonts w:eastAsia="Cambria"/>
          <w:lang w:eastAsia="en-US"/>
        </w:rPr>
        <w:t>skutecznych środków (na wszystkich poziomach, na jakich zdarzenia te mogą mieć wpływ na owe interesy</w:t>
      </w:r>
      <w:r w:rsidR="002272CB">
        <w:rPr>
          <w:rFonts w:eastAsia="Cambria"/>
          <w:lang w:eastAsia="en-US"/>
        </w:rPr>
        <w:t>)</w:t>
      </w:r>
      <w:r w:rsidR="00877679" w:rsidRPr="00EB21E3">
        <w:rPr>
          <w:rFonts w:eastAsia="Cambria"/>
          <w:lang w:eastAsia="en-US"/>
        </w:rPr>
        <w:t xml:space="preserve"> (wyrok TSUE C</w:t>
      </w:r>
      <w:r w:rsidR="00877679" w:rsidRPr="00EB21E3">
        <w:rPr>
          <w:rFonts w:eastAsia="Cambria"/>
          <w:lang w:eastAsia="en-US"/>
        </w:rPr>
        <w:noBreakHyphen/>
        <w:t>15/00, pkt</w:t>
      </w:r>
      <w:r w:rsidR="00EB21E3">
        <w:rPr>
          <w:rFonts w:eastAsia="Cambria"/>
          <w:lang w:eastAsia="en-US"/>
        </w:rPr>
        <w:t xml:space="preserve"> </w:t>
      </w:r>
      <w:r w:rsidR="00877679" w:rsidRPr="00EB21E3">
        <w:rPr>
          <w:rFonts w:eastAsia="Cambria"/>
          <w:lang w:eastAsia="en-US"/>
        </w:rPr>
        <w:t xml:space="preserve">135), a w szczególności do stosowania takich samych środków w celu zwalczania przestępczości powodującej naruszenie interesów finansowych Unii, jakie stosują one w celu zwalczania </w:t>
      </w:r>
      <w:r w:rsidR="00877679" w:rsidRPr="00EB21E3">
        <w:rPr>
          <w:rFonts w:eastAsia="Cambria"/>
          <w:lang w:eastAsia="en-US"/>
        </w:rPr>
        <w:lastRenderedPageBreak/>
        <w:t xml:space="preserve">przestępczości powodującej naruszenie ich własnych interesów (wyrok TSUE </w:t>
      </w:r>
      <w:r w:rsidR="001427B4">
        <w:rPr>
          <w:rFonts w:eastAsia="Cambria"/>
          <w:lang w:eastAsia="en-US"/>
        </w:rPr>
        <w:br/>
      </w:r>
      <w:r w:rsidR="006A0980">
        <w:rPr>
          <w:rFonts w:eastAsia="Cambria"/>
          <w:lang w:eastAsia="en-US"/>
        </w:rPr>
        <w:t>C-367/09, pkt 40–</w:t>
      </w:r>
      <w:r w:rsidR="00877679" w:rsidRPr="00EB21E3">
        <w:rPr>
          <w:rFonts w:eastAsia="Cambria"/>
          <w:lang w:eastAsia="en-US"/>
        </w:rPr>
        <w:t>42). Od 1970 r. budżet Unii jest finansowany w całości z jej zasobów własnych. Na zasoby własne Unii składają się natomiast między innymi dochody wynikające z zastosowania jednolitej stawki (0,3%) do zharmonizowanej podstawy opodatkowania podatkiem VAT okre</w:t>
      </w:r>
      <w:r w:rsidR="00383E10">
        <w:rPr>
          <w:rFonts w:eastAsia="Cambria"/>
          <w:lang w:eastAsia="en-US"/>
        </w:rPr>
        <w:t>ślonej zgodnie z normami Unii (d</w:t>
      </w:r>
      <w:r w:rsidR="00877679" w:rsidRPr="00EB21E3">
        <w:rPr>
          <w:rFonts w:eastAsia="Cambria"/>
          <w:lang w:eastAsia="en-US"/>
        </w:rPr>
        <w:t>ecyzja Rady 2007/436/WE, art. 2 lit. c). Teoretyczna zharmonizowana podstawa jest ustalana na podstawie skomplikowanych obliczeń, w oparciu o faktycznie pobrane przez państwa członkowskie kwoty VAT (</w:t>
      </w:r>
      <w:r w:rsidR="00383E10">
        <w:rPr>
          <w:rFonts w:eastAsia="Cambria"/>
          <w:lang w:eastAsia="en-US"/>
        </w:rPr>
        <w:t>r</w:t>
      </w:r>
      <w:r w:rsidR="00877679" w:rsidRPr="00EB21E3">
        <w:rPr>
          <w:rFonts w:eastAsia="Cambria"/>
          <w:lang w:eastAsia="en-US"/>
        </w:rPr>
        <w:t xml:space="preserve">ozporządzenie Rady nr 1553/89; </w:t>
      </w:r>
      <w:r w:rsidR="00383E10">
        <w:rPr>
          <w:rFonts w:eastAsia="Cambria"/>
          <w:lang w:eastAsia="en-US"/>
        </w:rPr>
        <w:t>o</w:t>
      </w:r>
      <w:r w:rsidR="00877679" w:rsidRPr="00EB21E3">
        <w:rPr>
          <w:rFonts w:eastAsia="Cambria"/>
          <w:lang w:eastAsia="en-US"/>
        </w:rPr>
        <w:t>pinia Rzecznika Generalnego do sprawy C-539/09, pkt 53, 61). Choć dochody pochodzące z wpłat podatku VAT pozostają w rzeczywistości w większej części krajowymi wpływami podatkowymi wpisywanymi do budżetów państw członkowskich (tak</w:t>
      </w:r>
      <w:r w:rsidR="00383E10">
        <w:rPr>
          <w:rFonts w:eastAsia="Cambria"/>
          <w:lang w:eastAsia="en-US"/>
        </w:rPr>
        <w:t>,</w:t>
      </w:r>
      <w:r w:rsidR="00877679" w:rsidRPr="00EB21E3">
        <w:rPr>
          <w:rFonts w:eastAsia="Cambria"/>
          <w:lang w:eastAsia="en-US"/>
        </w:rPr>
        <w:t xml:space="preserve"> że realnie jedynie mały odsetek rzeczonych wpływów zasila bud</w:t>
      </w:r>
      <w:r w:rsidR="00383E10">
        <w:rPr>
          <w:rFonts w:eastAsia="Cambria"/>
          <w:lang w:eastAsia="en-US"/>
        </w:rPr>
        <w:t>żet unijny jako środki własne) (wyrok TSUE C-414/97, pkt 23)</w:t>
      </w:r>
      <w:r w:rsidR="00877679" w:rsidRPr="00EB21E3">
        <w:rPr>
          <w:rFonts w:eastAsia="Cambria"/>
          <w:lang w:eastAsia="en-US"/>
        </w:rPr>
        <w:t>, to istnieje bezpośredni związek między rzeczywistym dochodem z należności z tytułu VAT uzyskiwanych w danym państwie członkowskim zgodnie z obowiązującym prawem Unii a wpłatą do budżetu Unii odpowiednich środków uzyskanych z VAT. W konsekwencji wszelkie braki w krajowym poborze owych należności – spowodowane w szczególności unikaniem VAT oraz oszustwami w</w:t>
      </w:r>
      <w:r w:rsidR="001427B4">
        <w:rPr>
          <w:rFonts w:eastAsia="Cambria"/>
          <w:lang w:eastAsia="en-US"/>
        </w:rPr>
        <w:t> </w:t>
      </w:r>
      <w:r w:rsidR="00877679" w:rsidRPr="00EB21E3">
        <w:rPr>
          <w:rFonts w:eastAsia="Cambria"/>
          <w:lang w:eastAsia="en-US"/>
        </w:rPr>
        <w:t>zakresie tego podatku – mogą powodować uszczuplenie środków budżetowych Unii, a tym samym zagrażać jej interesom finansowym (wyrok TSUE C-539/09, pkt 72). W</w:t>
      </w:r>
      <w:r w:rsidR="001427B4">
        <w:rPr>
          <w:rFonts w:eastAsia="Cambria"/>
          <w:lang w:eastAsia="en-US"/>
        </w:rPr>
        <w:t> </w:t>
      </w:r>
      <w:r w:rsidR="00877679" w:rsidRPr="00EB21E3">
        <w:rPr>
          <w:rFonts w:eastAsia="Cambria"/>
          <w:lang w:eastAsia="en-US"/>
        </w:rPr>
        <w:t>kontekście ścisłego związku pomiędzy dochodami państw członkowskich z VAT a</w:t>
      </w:r>
      <w:r w:rsidR="001427B4">
        <w:rPr>
          <w:rFonts w:eastAsia="Cambria"/>
          <w:lang w:eastAsia="en-US"/>
        </w:rPr>
        <w:t> </w:t>
      </w:r>
      <w:r w:rsidR="00877679" w:rsidRPr="00EB21E3">
        <w:rPr>
          <w:rFonts w:eastAsia="Cambria"/>
          <w:lang w:eastAsia="en-US"/>
        </w:rPr>
        <w:t>zasobami własnymi Unii opartymi na VAT cel polegający na doprowadzeniu do porównywalnego poboru środków własnych we wszystkich państwach członkowskich został mocno zaakcentowany w dyrektywie 2006/112/WE (wyrok TSUE C-358/97, pkt</w:t>
      </w:r>
      <w:r w:rsidR="00383E10">
        <w:rPr>
          <w:rFonts w:eastAsia="Cambria"/>
          <w:lang w:eastAsia="en-US"/>
        </w:rPr>
        <w:t> </w:t>
      </w:r>
      <w:r w:rsidR="00877679" w:rsidRPr="00EB21E3">
        <w:rPr>
          <w:rFonts w:eastAsia="Cambria"/>
          <w:lang w:eastAsia="en-US"/>
        </w:rPr>
        <w:t>51; wyrok TSUE C-240/99, pkt 23; wyrok TSUE C-326/99 „Goed Wonen”, pkt</w:t>
      </w:r>
      <w:r w:rsidR="00383E10">
        <w:rPr>
          <w:rFonts w:eastAsia="Cambria"/>
          <w:lang w:eastAsia="en-US"/>
        </w:rPr>
        <w:t> </w:t>
      </w:r>
      <w:r w:rsidR="00877679" w:rsidRPr="00EB21E3">
        <w:rPr>
          <w:rFonts w:eastAsia="Cambria"/>
          <w:lang w:eastAsia="en-US"/>
        </w:rPr>
        <w:t>47). Przepisami dyrektywy 2006/112/WE każde państwo członkowskie zostało zatem zobowiązane do podjęcia wsz</w:t>
      </w:r>
      <w:r w:rsidR="00383E10">
        <w:rPr>
          <w:rFonts w:eastAsia="Cambria"/>
          <w:lang w:eastAsia="en-US"/>
        </w:rPr>
        <w:t>elkich działań ustawodawczych i </w:t>
      </w:r>
      <w:r w:rsidR="00877679" w:rsidRPr="00EB21E3">
        <w:rPr>
          <w:rFonts w:eastAsia="Cambria"/>
          <w:lang w:eastAsia="en-US"/>
        </w:rPr>
        <w:t>administracyjnych, niezbędnych do zapewnienia na jego terytorium poboru w pełnej wysokości należnego podatku VAT i zwalcza</w:t>
      </w:r>
      <w:r w:rsidR="00383E10">
        <w:rPr>
          <w:rFonts w:eastAsia="Cambria"/>
          <w:lang w:eastAsia="en-US"/>
        </w:rPr>
        <w:t>nia przestępczości podatkowej (d</w:t>
      </w:r>
      <w:r w:rsidR="00877679" w:rsidRPr="00EB21E3">
        <w:rPr>
          <w:rFonts w:eastAsia="Cambria"/>
          <w:lang w:eastAsia="en-US"/>
        </w:rPr>
        <w:t>yrektywa 2006/112/WE, art.</w:t>
      </w:r>
      <w:r w:rsidR="001427B4">
        <w:rPr>
          <w:rFonts w:eastAsia="Cambria"/>
          <w:lang w:eastAsia="en-US"/>
        </w:rPr>
        <w:t> </w:t>
      </w:r>
      <w:r w:rsidR="00877679" w:rsidRPr="00EB21E3">
        <w:rPr>
          <w:rFonts w:eastAsia="Cambria"/>
          <w:lang w:eastAsia="en-US"/>
        </w:rPr>
        <w:t>273; wyrok TSUE C-132/06, pkt 37, 46; wyrok TSUE C-617/10, pkt 25).</w:t>
      </w:r>
    </w:p>
    <w:p w:rsidR="009218D9" w:rsidRPr="00EB21E3" w:rsidRDefault="00211120" w:rsidP="00EB21E3">
      <w:pPr>
        <w:spacing w:before="120" w:after="0" w:line="360" w:lineRule="auto"/>
        <w:jc w:val="both"/>
        <w:rPr>
          <w:rFonts w:ascii="Times New Roman" w:hAnsi="Times New Roman" w:cs="Times New Roman"/>
          <w:sz w:val="24"/>
          <w:szCs w:val="24"/>
        </w:rPr>
      </w:pPr>
      <w:r w:rsidRPr="00EB21E3">
        <w:rPr>
          <w:rFonts w:ascii="Times New Roman" w:hAnsi="Times New Roman" w:cs="Times New Roman"/>
          <w:sz w:val="24"/>
          <w:szCs w:val="24"/>
        </w:rPr>
        <w:t>Mają</w:t>
      </w:r>
      <w:r w:rsidR="00873453" w:rsidRPr="00EB21E3">
        <w:rPr>
          <w:rFonts w:ascii="Times New Roman" w:hAnsi="Times New Roman" w:cs="Times New Roman"/>
          <w:sz w:val="24"/>
          <w:szCs w:val="24"/>
        </w:rPr>
        <w:t>c</w:t>
      </w:r>
      <w:r w:rsidRPr="00EB21E3">
        <w:rPr>
          <w:rFonts w:ascii="Times New Roman" w:hAnsi="Times New Roman" w:cs="Times New Roman"/>
          <w:sz w:val="24"/>
          <w:szCs w:val="24"/>
        </w:rPr>
        <w:t xml:space="preserve"> </w:t>
      </w:r>
      <w:r w:rsidR="002A6D0A" w:rsidRPr="00EB21E3">
        <w:rPr>
          <w:rFonts w:ascii="Times New Roman" w:hAnsi="Times New Roman" w:cs="Times New Roman"/>
          <w:sz w:val="24"/>
          <w:szCs w:val="24"/>
        </w:rPr>
        <w:t>p</w:t>
      </w:r>
      <w:r w:rsidR="000F3A25" w:rsidRPr="00EB21E3">
        <w:rPr>
          <w:rFonts w:ascii="Times New Roman" w:hAnsi="Times New Roman" w:cs="Times New Roman"/>
          <w:sz w:val="24"/>
          <w:szCs w:val="24"/>
        </w:rPr>
        <w:t>onadto</w:t>
      </w:r>
      <w:r w:rsidR="009218D9" w:rsidRPr="00EB21E3">
        <w:rPr>
          <w:rFonts w:ascii="Times New Roman" w:hAnsi="Times New Roman" w:cs="Times New Roman"/>
          <w:sz w:val="24"/>
          <w:szCs w:val="24"/>
        </w:rPr>
        <w:t xml:space="preserve"> na uwadze, że podmioty wytwarzające paliwa </w:t>
      </w:r>
      <w:r w:rsidR="00AF6AAF" w:rsidRPr="00EB21E3">
        <w:rPr>
          <w:rFonts w:ascii="Times New Roman" w:hAnsi="Times New Roman" w:cs="Times New Roman"/>
          <w:sz w:val="24"/>
          <w:szCs w:val="24"/>
        </w:rPr>
        <w:t xml:space="preserve">ciekłe </w:t>
      </w:r>
      <w:r w:rsidR="009218D9" w:rsidRPr="00EB21E3">
        <w:rPr>
          <w:rFonts w:ascii="Times New Roman" w:hAnsi="Times New Roman" w:cs="Times New Roman"/>
          <w:sz w:val="24"/>
          <w:szCs w:val="24"/>
        </w:rPr>
        <w:t xml:space="preserve">oraz dokonujące obrotu </w:t>
      </w:r>
      <w:r w:rsidR="00AF6AAF" w:rsidRPr="00EB21E3">
        <w:rPr>
          <w:rFonts w:ascii="Times New Roman" w:hAnsi="Times New Roman" w:cs="Times New Roman"/>
          <w:sz w:val="24"/>
          <w:szCs w:val="24"/>
        </w:rPr>
        <w:t xml:space="preserve">tego rodzaju paliwami </w:t>
      </w:r>
      <w:r w:rsidR="009218D9" w:rsidRPr="00EB21E3">
        <w:rPr>
          <w:rFonts w:ascii="Times New Roman" w:hAnsi="Times New Roman" w:cs="Times New Roman"/>
          <w:sz w:val="24"/>
          <w:szCs w:val="24"/>
        </w:rPr>
        <w:t>z</w:t>
      </w:r>
      <w:r w:rsidR="00EB21E3">
        <w:rPr>
          <w:rFonts w:ascii="Times New Roman" w:hAnsi="Times New Roman" w:cs="Times New Roman"/>
          <w:sz w:val="24"/>
          <w:szCs w:val="24"/>
        </w:rPr>
        <w:t xml:space="preserve"> </w:t>
      </w:r>
      <w:r w:rsidR="009218D9" w:rsidRPr="00EB21E3">
        <w:rPr>
          <w:rFonts w:ascii="Times New Roman" w:hAnsi="Times New Roman" w:cs="Times New Roman"/>
          <w:sz w:val="24"/>
          <w:szCs w:val="24"/>
        </w:rPr>
        <w:t>zagranicą są podmiotami zobowiązanymi do utrzymywania zapasów obowiązkowych</w:t>
      </w:r>
      <w:r w:rsidR="00383E10">
        <w:rPr>
          <w:rFonts w:ascii="Times New Roman" w:hAnsi="Times New Roman" w:cs="Times New Roman"/>
          <w:sz w:val="24"/>
          <w:szCs w:val="24"/>
        </w:rPr>
        <w:t>,</w:t>
      </w:r>
      <w:r w:rsidR="009218D9" w:rsidRPr="00EB21E3">
        <w:rPr>
          <w:rFonts w:ascii="Times New Roman" w:hAnsi="Times New Roman" w:cs="Times New Roman"/>
          <w:sz w:val="24"/>
          <w:szCs w:val="24"/>
        </w:rPr>
        <w:t xml:space="preserve"> warunek posiadania powierzchni magazynowych na potrzeby utrzymywania zapasów</w:t>
      </w:r>
      <w:r w:rsidR="00E221E7" w:rsidRPr="00EB21E3">
        <w:rPr>
          <w:rFonts w:ascii="Times New Roman" w:hAnsi="Times New Roman" w:cs="Times New Roman"/>
          <w:sz w:val="24"/>
          <w:szCs w:val="24"/>
        </w:rPr>
        <w:t xml:space="preserve"> lub rozpoczęcie procedury zlecenia </w:t>
      </w:r>
      <w:r w:rsidR="00E221E7" w:rsidRPr="00EB21E3">
        <w:rPr>
          <w:rFonts w:ascii="Times New Roman" w:hAnsi="Times New Roman" w:cs="Times New Roman"/>
          <w:sz w:val="24"/>
          <w:szCs w:val="24"/>
        </w:rPr>
        <w:lastRenderedPageBreak/>
        <w:t>wykonywania tego obowiązku podmiotowi zewnętrznemu</w:t>
      </w:r>
      <w:r w:rsidR="009218D9" w:rsidRPr="00EB21E3">
        <w:rPr>
          <w:rFonts w:ascii="Times New Roman" w:hAnsi="Times New Roman" w:cs="Times New Roman"/>
          <w:sz w:val="24"/>
          <w:szCs w:val="24"/>
        </w:rPr>
        <w:t xml:space="preserve"> przyczyni się do zwiększenia gwarancji wykonania tego obowiązku. </w:t>
      </w:r>
    </w:p>
    <w:p w:rsidR="00AF6AAF" w:rsidRPr="00EB21E3" w:rsidRDefault="0075078E" w:rsidP="00EB21E3">
      <w:pPr>
        <w:spacing w:before="120" w:after="0" w:line="360" w:lineRule="auto"/>
        <w:jc w:val="both"/>
        <w:rPr>
          <w:rFonts w:ascii="Times New Roman" w:hAnsi="Times New Roman" w:cs="Times New Roman"/>
          <w:sz w:val="24"/>
          <w:szCs w:val="24"/>
        </w:rPr>
      </w:pPr>
      <w:r w:rsidRPr="00EB21E3">
        <w:rPr>
          <w:rFonts w:ascii="Times New Roman" w:hAnsi="Times New Roman" w:cs="Times New Roman"/>
          <w:sz w:val="24"/>
          <w:szCs w:val="24"/>
        </w:rPr>
        <w:t xml:space="preserve">Zmiany w </w:t>
      </w:r>
      <w:r w:rsidR="00C90951" w:rsidRPr="00EB21E3">
        <w:rPr>
          <w:rFonts w:ascii="Times New Roman" w:hAnsi="Times New Roman" w:cs="Times New Roman"/>
          <w:sz w:val="24"/>
          <w:szCs w:val="24"/>
        </w:rPr>
        <w:t xml:space="preserve">art. 33 </w:t>
      </w:r>
      <w:r w:rsidRPr="00EB21E3">
        <w:rPr>
          <w:rFonts w:ascii="Times New Roman" w:hAnsi="Times New Roman" w:cs="Times New Roman"/>
          <w:sz w:val="24"/>
          <w:szCs w:val="24"/>
        </w:rPr>
        <w:t>ust. 3 i dodanie ust. 3a</w:t>
      </w:r>
    </w:p>
    <w:p w:rsidR="00407253" w:rsidRPr="00EB21E3" w:rsidRDefault="00713B34" w:rsidP="00EB21E3">
      <w:pPr>
        <w:spacing w:before="120" w:after="0" w:line="360" w:lineRule="auto"/>
        <w:jc w:val="both"/>
        <w:rPr>
          <w:rFonts w:ascii="Times New Roman" w:hAnsi="Times New Roman" w:cs="Times New Roman"/>
          <w:sz w:val="24"/>
          <w:szCs w:val="24"/>
        </w:rPr>
      </w:pPr>
      <w:r w:rsidRPr="00EB21E3">
        <w:rPr>
          <w:rFonts w:ascii="Times New Roman" w:hAnsi="Times New Roman" w:cs="Times New Roman"/>
          <w:sz w:val="24"/>
          <w:szCs w:val="24"/>
        </w:rPr>
        <w:t>Zapewnienie bezpieczeństwa obrotu na rynku paliw to nie tylko spełnienie oczekiwanych warunków finansowo-gospodarczych</w:t>
      </w:r>
      <w:r w:rsidR="00067CD3" w:rsidRPr="00EB21E3">
        <w:rPr>
          <w:rFonts w:ascii="Times New Roman" w:hAnsi="Times New Roman" w:cs="Times New Roman"/>
          <w:sz w:val="24"/>
          <w:szCs w:val="24"/>
        </w:rPr>
        <w:t xml:space="preserve"> do uzyskania koncesji, ale również transparentność osób będących właścicielami firm, osób będących członkami zarządów, rad nadzorczych oraz reprezentantów</w:t>
      </w:r>
      <w:r w:rsidRPr="00EB21E3">
        <w:rPr>
          <w:rFonts w:ascii="Times New Roman" w:hAnsi="Times New Roman" w:cs="Times New Roman"/>
          <w:sz w:val="24"/>
          <w:szCs w:val="24"/>
        </w:rPr>
        <w:t xml:space="preserve"> </w:t>
      </w:r>
      <w:r w:rsidR="00067CD3" w:rsidRPr="00EB21E3">
        <w:rPr>
          <w:rFonts w:ascii="Times New Roman" w:hAnsi="Times New Roman" w:cs="Times New Roman"/>
          <w:sz w:val="24"/>
          <w:szCs w:val="24"/>
        </w:rPr>
        <w:t xml:space="preserve">podmiotów prawnych, jednostek organizacyjnych nieposiadających osobowości prawnej. Z prawa do uzyskania koncesji powinny zostać wykluczone te podmioty, w których osoby </w:t>
      </w:r>
      <w:r w:rsidR="0075078E" w:rsidRPr="00EB21E3">
        <w:rPr>
          <w:rFonts w:ascii="Times New Roman" w:hAnsi="Times New Roman" w:cs="Times New Roman"/>
          <w:sz w:val="24"/>
          <w:szCs w:val="24"/>
        </w:rPr>
        <w:t xml:space="preserve">zarządzające </w:t>
      </w:r>
      <w:r w:rsidR="00067CD3" w:rsidRPr="00EB21E3">
        <w:rPr>
          <w:rFonts w:ascii="Times New Roman" w:hAnsi="Times New Roman" w:cs="Times New Roman"/>
          <w:sz w:val="24"/>
          <w:szCs w:val="24"/>
        </w:rPr>
        <w:t xml:space="preserve">zostały skazane prawomocnym wyrokiem </w:t>
      </w:r>
      <w:r w:rsidR="0075078E" w:rsidRPr="00EB21E3">
        <w:rPr>
          <w:rFonts w:ascii="Times New Roman" w:hAnsi="Times New Roman" w:cs="Times New Roman"/>
          <w:sz w:val="24"/>
          <w:szCs w:val="24"/>
        </w:rPr>
        <w:t xml:space="preserve">również za </w:t>
      </w:r>
      <w:r w:rsidR="00067CD3" w:rsidRPr="00EB21E3">
        <w:rPr>
          <w:rFonts w:ascii="Times New Roman" w:hAnsi="Times New Roman" w:cs="Times New Roman"/>
          <w:sz w:val="24"/>
          <w:szCs w:val="24"/>
        </w:rPr>
        <w:t>przestępstwo skarbowe</w:t>
      </w:r>
      <w:r w:rsidR="00AF6AAF" w:rsidRPr="00EB21E3">
        <w:rPr>
          <w:rFonts w:ascii="Times New Roman" w:hAnsi="Times New Roman" w:cs="Times New Roman"/>
          <w:sz w:val="24"/>
          <w:szCs w:val="24"/>
        </w:rPr>
        <w:t>,</w:t>
      </w:r>
      <w:r w:rsidR="00067CD3" w:rsidRPr="00EB21E3">
        <w:rPr>
          <w:rFonts w:ascii="Times New Roman" w:hAnsi="Times New Roman" w:cs="Times New Roman"/>
          <w:sz w:val="24"/>
          <w:szCs w:val="24"/>
        </w:rPr>
        <w:t xml:space="preserve"> mające związek z przedmiotem działalności gospodarczej</w:t>
      </w:r>
      <w:r w:rsidR="00AF6AAF" w:rsidRPr="00EB21E3">
        <w:rPr>
          <w:rFonts w:ascii="Times New Roman" w:hAnsi="Times New Roman" w:cs="Times New Roman"/>
          <w:sz w:val="24"/>
          <w:szCs w:val="24"/>
        </w:rPr>
        <w:t xml:space="preserve"> objętej ustaw</w:t>
      </w:r>
      <w:r w:rsidR="00184EE3" w:rsidRPr="00EB21E3">
        <w:rPr>
          <w:rFonts w:ascii="Times New Roman" w:hAnsi="Times New Roman" w:cs="Times New Roman"/>
          <w:sz w:val="24"/>
          <w:szCs w:val="24"/>
        </w:rPr>
        <w:t>ą</w:t>
      </w:r>
      <w:r w:rsidR="00AF6AAF" w:rsidRPr="00EB21E3">
        <w:rPr>
          <w:rFonts w:ascii="Times New Roman" w:hAnsi="Times New Roman" w:cs="Times New Roman"/>
          <w:sz w:val="24"/>
          <w:szCs w:val="24"/>
        </w:rPr>
        <w:t xml:space="preserve"> – Prawo energetyczne</w:t>
      </w:r>
      <w:r w:rsidR="00217CDF" w:rsidRPr="00EB21E3">
        <w:rPr>
          <w:rFonts w:ascii="Times New Roman" w:hAnsi="Times New Roman" w:cs="Times New Roman"/>
          <w:sz w:val="24"/>
          <w:szCs w:val="24"/>
        </w:rPr>
        <w:t>.</w:t>
      </w:r>
      <w:r w:rsidR="0075078E" w:rsidRPr="00EB21E3">
        <w:rPr>
          <w:rFonts w:ascii="Times New Roman" w:hAnsi="Times New Roman" w:cs="Times New Roman"/>
          <w:sz w:val="24"/>
          <w:szCs w:val="24"/>
        </w:rPr>
        <w:t xml:space="preserve"> </w:t>
      </w:r>
      <w:r w:rsidR="003A1E59" w:rsidRPr="00EB21E3">
        <w:rPr>
          <w:rFonts w:ascii="Times New Roman" w:hAnsi="Times New Roman" w:cs="Times New Roman"/>
          <w:sz w:val="24"/>
          <w:szCs w:val="24"/>
        </w:rPr>
        <w:t>D</w:t>
      </w:r>
      <w:r w:rsidR="0075078E" w:rsidRPr="00EB21E3">
        <w:rPr>
          <w:rFonts w:ascii="Times New Roman" w:hAnsi="Times New Roman" w:cs="Times New Roman"/>
          <w:sz w:val="24"/>
          <w:szCs w:val="24"/>
        </w:rPr>
        <w:t xml:space="preserve">odawany ust. 3a rozszerza obowiązek niekaralności o </w:t>
      </w:r>
      <w:r w:rsidR="0075078E" w:rsidRPr="00EB21E3">
        <w:rPr>
          <w:rFonts w:ascii="Times New Roman" w:hAnsi="Times New Roman" w:cs="Times New Roman"/>
          <w:color w:val="000000" w:themeColor="text1"/>
          <w:sz w:val="24"/>
          <w:szCs w:val="24"/>
        </w:rPr>
        <w:t>członków zarządów, rad nadzorc</w:t>
      </w:r>
      <w:r w:rsidR="00C90951" w:rsidRPr="00EB21E3">
        <w:rPr>
          <w:rFonts w:ascii="Times New Roman" w:hAnsi="Times New Roman" w:cs="Times New Roman"/>
          <w:color w:val="000000" w:themeColor="text1"/>
          <w:sz w:val="24"/>
          <w:szCs w:val="24"/>
        </w:rPr>
        <w:t>zych oraz osób uprawnionych do</w:t>
      </w:r>
      <w:r w:rsidR="00EB21E3">
        <w:rPr>
          <w:rFonts w:ascii="Times New Roman" w:hAnsi="Times New Roman" w:cs="Times New Roman"/>
          <w:color w:val="000000" w:themeColor="text1"/>
          <w:sz w:val="24"/>
          <w:szCs w:val="24"/>
        </w:rPr>
        <w:t xml:space="preserve"> </w:t>
      </w:r>
      <w:r w:rsidR="0075078E" w:rsidRPr="00EB21E3">
        <w:rPr>
          <w:rFonts w:ascii="Times New Roman" w:hAnsi="Times New Roman" w:cs="Times New Roman"/>
          <w:color w:val="000000" w:themeColor="text1"/>
          <w:sz w:val="24"/>
          <w:szCs w:val="24"/>
        </w:rPr>
        <w:t>reprezentowania, gdy wnioskodawca jest osobą prawną lub spółką osobową</w:t>
      </w:r>
      <w:r w:rsidR="00E221E7" w:rsidRPr="00EB21E3">
        <w:rPr>
          <w:rFonts w:ascii="Times New Roman" w:hAnsi="Times New Roman" w:cs="Times New Roman"/>
          <w:color w:val="000000" w:themeColor="text1"/>
          <w:sz w:val="24"/>
          <w:szCs w:val="24"/>
        </w:rPr>
        <w:t xml:space="preserve"> albo przedsiębiorcą zagranicznym</w:t>
      </w:r>
      <w:r w:rsidR="0075078E" w:rsidRPr="00EB21E3">
        <w:rPr>
          <w:rFonts w:ascii="Times New Roman" w:hAnsi="Times New Roman" w:cs="Times New Roman"/>
          <w:color w:val="000000" w:themeColor="text1"/>
          <w:sz w:val="24"/>
          <w:szCs w:val="24"/>
        </w:rPr>
        <w:t>.</w:t>
      </w:r>
      <w:r w:rsidR="00407253" w:rsidRPr="00EB21E3">
        <w:rPr>
          <w:rFonts w:ascii="Times New Roman" w:hAnsi="Times New Roman" w:cs="Times New Roman"/>
          <w:color w:val="000000" w:themeColor="text1"/>
          <w:sz w:val="24"/>
          <w:szCs w:val="24"/>
        </w:rPr>
        <w:t xml:space="preserve"> </w:t>
      </w:r>
      <w:r w:rsidR="00437C84" w:rsidRPr="00EB21E3">
        <w:rPr>
          <w:rFonts w:ascii="Times New Roman" w:hAnsi="Times New Roman" w:cs="Times New Roman"/>
          <w:sz w:val="24"/>
          <w:szCs w:val="24"/>
        </w:rPr>
        <w:t xml:space="preserve">Propozycje tych zmian zostały również podyktowane </w:t>
      </w:r>
      <w:r w:rsidR="00226FD7" w:rsidRPr="00EB21E3">
        <w:rPr>
          <w:rFonts w:ascii="Times New Roman" w:hAnsi="Times New Roman" w:cs="Times New Roman"/>
          <w:sz w:val="24"/>
          <w:szCs w:val="24"/>
        </w:rPr>
        <w:t>doświadczeni</w:t>
      </w:r>
      <w:r w:rsidR="00437C84" w:rsidRPr="00EB21E3">
        <w:rPr>
          <w:rFonts w:ascii="Times New Roman" w:hAnsi="Times New Roman" w:cs="Times New Roman"/>
          <w:sz w:val="24"/>
          <w:szCs w:val="24"/>
        </w:rPr>
        <w:t>em</w:t>
      </w:r>
      <w:r w:rsidR="00226FD7" w:rsidRPr="00EB21E3">
        <w:rPr>
          <w:rFonts w:ascii="Times New Roman" w:hAnsi="Times New Roman" w:cs="Times New Roman"/>
          <w:sz w:val="24"/>
          <w:szCs w:val="24"/>
        </w:rPr>
        <w:t xml:space="preserve"> kontroln</w:t>
      </w:r>
      <w:r w:rsidR="00437C84" w:rsidRPr="00EB21E3">
        <w:rPr>
          <w:rFonts w:ascii="Times New Roman" w:hAnsi="Times New Roman" w:cs="Times New Roman"/>
          <w:sz w:val="24"/>
          <w:szCs w:val="24"/>
        </w:rPr>
        <w:t>ym</w:t>
      </w:r>
      <w:r w:rsidR="003A2376" w:rsidRPr="00EB21E3">
        <w:rPr>
          <w:rFonts w:ascii="Times New Roman" w:hAnsi="Times New Roman" w:cs="Times New Roman"/>
          <w:sz w:val="24"/>
          <w:szCs w:val="24"/>
        </w:rPr>
        <w:t>, z któr</w:t>
      </w:r>
      <w:r w:rsidR="00437C84" w:rsidRPr="00EB21E3">
        <w:rPr>
          <w:rFonts w:ascii="Times New Roman" w:hAnsi="Times New Roman" w:cs="Times New Roman"/>
          <w:sz w:val="24"/>
          <w:szCs w:val="24"/>
        </w:rPr>
        <w:t>ego wynika</w:t>
      </w:r>
      <w:r w:rsidR="003A2376" w:rsidRPr="00EB21E3">
        <w:rPr>
          <w:rFonts w:ascii="Times New Roman" w:hAnsi="Times New Roman" w:cs="Times New Roman"/>
          <w:sz w:val="24"/>
          <w:szCs w:val="24"/>
        </w:rPr>
        <w:t>, że</w:t>
      </w:r>
      <w:r w:rsidR="00226FD7" w:rsidRPr="00EB21E3">
        <w:rPr>
          <w:rFonts w:ascii="Times New Roman" w:hAnsi="Times New Roman" w:cs="Times New Roman"/>
          <w:sz w:val="24"/>
          <w:szCs w:val="24"/>
        </w:rPr>
        <w:t xml:space="preserve"> osoby </w:t>
      </w:r>
      <w:r w:rsidR="003A2376" w:rsidRPr="00EB21E3">
        <w:rPr>
          <w:rFonts w:ascii="Times New Roman" w:hAnsi="Times New Roman" w:cs="Times New Roman"/>
          <w:sz w:val="24"/>
          <w:szCs w:val="24"/>
        </w:rPr>
        <w:t>skazane</w:t>
      </w:r>
      <w:r w:rsidR="00226FD7" w:rsidRPr="00EB21E3">
        <w:rPr>
          <w:rFonts w:ascii="Times New Roman" w:hAnsi="Times New Roman" w:cs="Times New Roman"/>
          <w:sz w:val="24"/>
          <w:szCs w:val="24"/>
        </w:rPr>
        <w:t xml:space="preserve"> tworzą nowe podmioty gospodarcze i pod inną nazwą prowadzą działalność gospodarczą</w:t>
      </w:r>
      <w:r w:rsidR="00383E10">
        <w:rPr>
          <w:rFonts w:ascii="Times New Roman" w:hAnsi="Times New Roman" w:cs="Times New Roman"/>
          <w:sz w:val="24"/>
          <w:szCs w:val="24"/>
        </w:rPr>
        <w:t>,</w:t>
      </w:r>
      <w:r w:rsidR="00226FD7" w:rsidRPr="00EB21E3">
        <w:rPr>
          <w:rFonts w:ascii="Times New Roman" w:hAnsi="Times New Roman" w:cs="Times New Roman"/>
          <w:sz w:val="24"/>
          <w:szCs w:val="24"/>
        </w:rPr>
        <w:t xml:space="preserve"> zajmując się nadal obrotem paliwami</w:t>
      </w:r>
      <w:r w:rsidR="00AF6AAF" w:rsidRPr="00EB21E3">
        <w:rPr>
          <w:rFonts w:ascii="Times New Roman" w:hAnsi="Times New Roman" w:cs="Times New Roman"/>
          <w:sz w:val="24"/>
          <w:szCs w:val="24"/>
        </w:rPr>
        <w:t xml:space="preserve"> ciekłymi</w:t>
      </w:r>
      <w:r w:rsidR="00226FD7" w:rsidRPr="00EB21E3">
        <w:rPr>
          <w:rFonts w:ascii="Times New Roman" w:hAnsi="Times New Roman" w:cs="Times New Roman"/>
          <w:sz w:val="24"/>
          <w:szCs w:val="24"/>
        </w:rPr>
        <w:t>.</w:t>
      </w:r>
      <w:r w:rsidR="00E9503C" w:rsidRPr="00EB21E3">
        <w:rPr>
          <w:rFonts w:ascii="Times New Roman" w:hAnsi="Times New Roman" w:cs="Times New Roman"/>
          <w:sz w:val="24"/>
          <w:szCs w:val="24"/>
        </w:rPr>
        <w:t xml:space="preserve"> </w:t>
      </w:r>
    </w:p>
    <w:p w:rsidR="00407253" w:rsidRPr="00EB21E3" w:rsidRDefault="00407253" w:rsidP="00EB21E3">
      <w:pPr>
        <w:spacing w:before="120" w:after="0" w:line="360" w:lineRule="auto"/>
        <w:jc w:val="both"/>
        <w:rPr>
          <w:rFonts w:ascii="Times New Roman" w:hAnsi="Times New Roman" w:cs="Times New Roman"/>
          <w:sz w:val="24"/>
          <w:szCs w:val="24"/>
        </w:rPr>
      </w:pPr>
      <w:r w:rsidRPr="00EB21E3">
        <w:rPr>
          <w:rFonts w:ascii="Times New Roman" w:hAnsi="Times New Roman" w:cs="Times New Roman"/>
          <w:sz w:val="24"/>
          <w:szCs w:val="24"/>
        </w:rPr>
        <w:t>Dodawany ust. 3b wprowadza jednoznaczne wskazanie, że warunki przyznania koncesji</w:t>
      </w:r>
      <w:r w:rsidR="002272CB">
        <w:rPr>
          <w:rFonts w:ascii="Times New Roman" w:hAnsi="Times New Roman" w:cs="Times New Roman"/>
          <w:sz w:val="24"/>
          <w:szCs w:val="24"/>
        </w:rPr>
        <w:t>,</w:t>
      </w:r>
      <w:r w:rsidRPr="00EB21E3">
        <w:rPr>
          <w:rFonts w:ascii="Times New Roman" w:hAnsi="Times New Roman" w:cs="Times New Roman"/>
          <w:sz w:val="24"/>
          <w:szCs w:val="24"/>
        </w:rPr>
        <w:t xml:space="preserve"> </w:t>
      </w:r>
      <w:r w:rsidR="001427B4">
        <w:rPr>
          <w:rFonts w:ascii="Times New Roman" w:hAnsi="Times New Roman" w:cs="Times New Roman"/>
          <w:sz w:val="24"/>
          <w:szCs w:val="24"/>
        </w:rPr>
        <w:t>określone w art. 33 ust. 1–</w:t>
      </w:r>
      <w:r w:rsidR="00AF6AAF" w:rsidRPr="00EB21E3">
        <w:rPr>
          <w:rFonts w:ascii="Times New Roman" w:hAnsi="Times New Roman" w:cs="Times New Roman"/>
          <w:sz w:val="24"/>
          <w:szCs w:val="24"/>
        </w:rPr>
        <w:t xml:space="preserve">1b ustawy – Prawo energetyczne, </w:t>
      </w:r>
      <w:r w:rsidRPr="00EB21E3">
        <w:rPr>
          <w:rFonts w:ascii="Times New Roman" w:hAnsi="Times New Roman" w:cs="Times New Roman"/>
          <w:sz w:val="24"/>
          <w:szCs w:val="24"/>
        </w:rPr>
        <w:t>muszą być spełniane przez cały okres ważności koncesji.</w:t>
      </w:r>
      <w:r w:rsidR="00E221E7" w:rsidRPr="00EB21E3">
        <w:rPr>
          <w:rFonts w:ascii="Times New Roman" w:hAnsi="Times New Roman" w:cs="Times New Roman"/>
          <w:sz w:val="24"/>
          <w:szCs w:val="24"/>
        </w:rPr>
        <w:t xml:space="preserve"> Jednocześnie w tym okresie nie może wystąpić żadna z</w:t>
      </w:r>
      <w:r w:rsidR="001427B4">
        <w:rPr>
          <w:rFonts w:ascii="Times New Roman" w:hAnsi="Times New Roman" w:cs="Times New Roman"/>
          <w:sz w:val="24"/>
          <w:szCs w:val="24"/>
        </w:rPr>
        <w:t> </w:t>
      </w:r>
      <w:r w:rsidR="00E221E7" w:rsidRPr="00EB21E3">
        <w:rPr>
          <w:rFonts w:ascii="Times New Roman" w:hAnsi="Times New Roman" w:cs="Times New Roman"/>
          <w:sz w:val="24"/>
          <w:szCs w:val="24"/>
        </w:rPr>
        <w:t>przesłanek negatywnych udzielenia koncesji</w:t>
      </w:r>
      <w:r w:rsidR="002272CB">
        <w:rPr>
          <w:rFonts w:ascii="Times New Roman" w:hAnsi="Times New Roman" w:cs="Times New Roman"/>
          <w:sz w:val="24"/>
          <w:szCs w:val="24"/>
        </w:rPr>
        <w:t>, określona w art. 33 ust. </w:t>
      </w:r>
      <w:r w:rsidR="00AF6AAF" w:rsidRPr="00EB21E3">
        <w:rPr>
          <w:rFonts w:ascii="Times New Roman" w:hAnsi="Times New Roman" w:cs="Times New Roman"/>
          <w:sz w:val="24"/>
          <w:szCs w:val="24"/>
        </w:rPr>
        <w:t>3 tej ustawy</w:t>
      </w:r>
      <w:r w:rsidR="00E221E7" w:rsidRPr="00EB21E3">
        <w:rPr>
          <w:rFonts w:ascii="Times New Roman" w:hAnsi="Times New Roman" w:cs="Times New Roman"/>
          <w:sz w:val="24"/>
          <w:szCs w:val="24"/>
        </w:rPr>
        <w:t>.</w:t>
      </w:r>
      <w:r w:rsidR="00EB21E3">
        <w:rPr>
          <w:rFonts w:ascii="Times New Roman" w:hAnsi="Times New Roman" w:cs="Times New Roman"/>
          <w:sz w:val="24"/>
          <w:szCs w:val="24"/>
        </w:rPr>
        <w:t xml:space="preserve"> </w:t>
      </w:r>
    </w:p>
    <w:p w:rsidR="00407253" w:rsidRPr="00EB21E3" w:rsidRDefault="00407253" w:rsidP="00EB21E3">
      <w:pPr>
        <w:spacing w:before="120" w:after="0" w:line="360" w:lineRule="auto"/>
        <w:jc w:val="both"/>
        <w:rPr>
          <w:rFonts w:ascii="Times New Roman" w:hAnsi="Times New Roman" w:cs="Times New Roman"/>
          <w:sz w:val="24"/>
          <w:szCs w:val="24"/>
        </w:rPr>
      </w:pPr>
      <w:r w:rsidRPr="00EB21E3">
        <w:rPr>
          <w:rFonts w:ascii="Times New Roman" w:hAnsi="Times New Roman" w:cs="Times New Roman"/>
          <w:sz w:val="24"/>
          <w:szCs w:val="24"/>
        </w:rPr>
        <w:t>Z</w:t>
      </w:r>
      <w:r w:rsidR="0092612E" w:rsidRPr="00EB21E3">
        <w:rPr>
          <w:rFonts w:ascii="Times New Roman" w:hAnsi="Times New Roman" w:cs="Times New Roman"/>
          <w:sz w:val="24"/>
          <w:szCs w:val="24"/>
        </w:rPr>
        <w:t>mian</w:t>
      </w:r>
      <w:r w:rsidR="002A6D0A" w:rsidRPr="00EB21E3">
        <w:rPr>
          <w:rFonts w:ascii="Times New Roman" w:hAnsi="Times New Roman" w:cs="Times New Roman"/>
          <w:sz w:val="24"/>
          <w:szCs w:val="24"/>
        </w:rPr>
        <w:t>y</w:t>
      </w:r>
      <w:r w:rsidR="0092612E" w:rsidRPr="00EB21E3">
        <w:rPr>
          <w:rFonts w:ascii="Times New Roman" w:hAnsi="Times New Roman" w:cs="Times New Roman"/>
          <w:sz w:val="24"/>
          <w:szCs w:val="24"/>
        </w:rPr>
        <w:t xml:space="preserve"> w </w:t>
      </w:r>
      <w:r w:rsidRPr="00EB21E3">
        <w:rPr>
          <w:rFonts w:ascii="Times New Roman" w:hAnsi="Times New Roman" w:cs="Times New Roman"/>
          <w:sz w:val="24"/>
          <w:szCs w:val="24"/>
        </w:rPr>
        <w:t xml:space="preserve">art. 35 </w:t>
      </w:r>
      <w:r w:rsidR="00851E7A" w:rsidRPr="00EB21E3">
        <w:rPr>
          <w:rFonts w:ascii="Times New Roman" w:hAnsi="Times New Roman" w:cs="Times New Roman"/>
          <w:sz w:val="24"/>
          <w:szCs w:val="24"/>
        </w:rPr>
        <w:t>są wynikiem zwiększonych wymagań wobec podmiotów ubi</w:t>
      </w:r>
      <w:r w:rsidR="00322445" w:rsidRPr="00EB21E3">
        <w:rPr>
          <w:rFonts w:ascii="Times New Roman" w:hAnsi="Times New Roman" w:cs="Times New Roman"/>
          <w:sz w:val="24"/>
          <w:szCs w:val="24"/>
        </w:rPr>
        <w:t>egających się o</w:t>
      </w:r>
      <w:r w:rsidR="00EB21E3">
        <w:rPr>
          <w:rFonts w:ascii="Times New Roman" w:hAnsi="Times New Roman" w:cs="Times New Roman"/>
          <w:sz w:val="24"/>
          <w:szCs w:val="24"/>
        </w:rPr>
        <w:t xml:space="preserve"> </w:t>
      </w:r>
      <w:r w:rsidR="00851E7A" w:rsidRPr="00EB21E3">
        <w:rPr>
          <w:rFonts w:ascii="Times New Roman" w:hAnsi="Times New Roman" w:cs="Times New Roman"/>
          <w:sz w:val="24"/>
          <w:szCs w:val="24"/>
        </w:rPr>
        <w:t xml:space="preserve">koncesję </w:t>
      </w:r>
      <w:r w:rsidR="00591530" w:rsidRPr="00EB21E3">
        <w:rPr>
          <w:rFonts w:ascii="Times New Roman" w:hAnsi="Times New Roman" w:cs="Times New Roman"/>
          <w:sz w:val="24"/>
          <w:szCs w:val="24"/>
        </w:rPr>
        <w:t xml:space="preserve">na wytwarzanie paliw </w:t>
      </w:r>
      <w:r w:rsidR="00AF6AAF" w:rsidRPr="00EB21E3">
        <w:rPr>
          <w:rFonts w:ascii="Times New Roman" w:hAnsi="Times New Roman" w:cs="Times New Roman"/>
          <w:sz w:val="24"/>
          <w:szCs w:val="24"/>
        </w:rPr>
        <w:t xml:space="preserve">ciekłych </w:t>
      </w:r>
      <w:r w:rsidR="00591530" w:rsidRPr="00EB21E3">
        <w:rPr>
          <w:rFonts w:ascii="Times New Roman" w:hAnsi="Times New Roman" w:cs="Times New Roman"/>
          <w:sz w:val="24"/>
          <w:szCs w:val="24"/>
        </w:rPr>
        <w:t xml:space="preserve">i </w:t>
      </w:r>
      <w:r w:rsidR="00C90951" w:rsidRPr="00EB21E3">
        <w:rPr>
          <w:rFonts w:ascii="Times New Roman" w:hAnsi="Times New Roman" w:cs="Times New Roman"/>
          <w:sz w:val="24"/>
          <w:szCs w:val="24"/>
        </w:rPr>
        <w:t>obrotu nimi</w:t>
      </w:r>
      <w:r w:rsidR="00591530" w:rsidRPr="00EB21E3">
        <w:rPr>
          <w:rFonts w:ascii="Times New Roman" w:hAnsi="Times New Roman" w:cs="Times New Roman"/>
          <w:sz w:val="24"/>
          <w:szCs w:val="24"/>
        </w:rPr>
        <w:t xml:space="preserve"> z zagranicą </w:t>
      </w:r>
      <w:r w:rsidR="00851E7A" w:rsidRPr="00EB21E3">
        <w:rPr>
          <w:rFonts w:ascii="Times New Roman" w:hAnsi="Times New Roman" w:cs="Times New Roman"/>
          <w:sz w:val="24"/>
          <w:szCs w:val="24"/>
        </w:rPr>
        <w:t xml:space="preserve">oraz osób kierujących lub reprezentujących te podmioty </w:t>
      </w:r>
      <w:r w:rsidR="00AF6AAF" w:rsidRPr="00EB21E3">
        <w:rPr>
          <w:rFonts w:ascii="Times New Roman" w:hAnsi="Times New Roman" w:cs="Times New Roman"/>
          <w:sz w:val="24"/>
          <w:szCs w:val="24"/>
        </w:rPr>
        <w:t>oraz</w:t>
      </w:r>
      <w:r w:rsidR="00EB21E3">
        <w:rPr>
          <w:rFonts w:ascii="Times New Roman" w:hAnsi="Times New Roman" w:cs="Times New Roman"/>
          <w:sz w:val="24"/>
          <w:szCs w:val="24"/>
        </w:rPr>
        <w:t xml:space="preserve"> </w:t>
      </w:r>
      <w:r w:rsidRPr="00EB21E3">
        <w:rPr>
          <w:rFonts w:ascii="Times New Roman" w:hAnsi="Times New Roman" w:cs="Times New Roman"/>
          <w:sz w:val="24"/>
          <w:szCs w:val="24"/>
        </w:rPr>
        <w:t>mają na celu zwiększenie transparentności podmiotu ubiegającego się o koncesję. Organ koncesyjny</w:t>
      </w:r>
      <w:r w:rsidR="0091332E" w:rsidRPr="00EB21E3">
        <w:rPr>
          <w:rFonts w:ascii="Times New Roman" w:hAnsi="Times New Roman" w:cs="Times New Roman"/>
          <w:sz w:val="24"/>
          <w:szCs w:val="24"/>
        </w:rPr>
        <w:t xml:space="preserve"> oraz organy opiniujące wnioski będą</w:t>
      </w:r>
      <w:r w:rsidRPr="00EB21E3">
        <w:rPr>
          <w:rFonts w:ascii="Times New Roman" w:hAnsi="Times New Roman" w:cs="Times New Roman"/>
          <w:sz w:val="24"/>
          <w:szCs w:val="24"/>
        </w:rPr>
        <w:t xml:space="preserve"> miał</w:t>
      </w:r>
      <w:r w:rsidR="0091332E" w:rsidRPr="00EB21E3">
        <w:rPr>
          <w:rFonts w:ascii="Times New Roman" w:hAnsi="Times New Roman" w:cs="Times New Roman"/>
          <w:sz w:val="24"/>
          <w:szCs w:val="24"/>
        </w:rPr>
        <w:t>y</w:t>
      </w:r>
      <w:r w:rsidRPr="00EB21E3">
        <w:rPr>
          <w:rFonts w:ascii="Times New Roman" w:hAnsi="Times New Roman" w:cs="Times New Roman"/>
          <w:sz w:val="24"/>
          <w:szCs w:val="24"/>
        </w:rPr>
        <w:t xml:space="preserve"> większą możliwość oceny wiarygodności podmiotu wnioskującego o przyznanie koncesji.</w:t>
      </w:r>
      <w:r w:rsidR="0091332E" w:rsidRPr="00EB21E3">
        <w:rPr>
          <w:rFonts w:ascii="Times New Roman" w:hAnsi="Times New Roman" w:cs="Times New Roman"/>
          <w:sz w:val="24"/>
          <w:szCs w:val="24"/>
        </w:rPr>
        <w:t xml:space="preserve"> </w:t>
      </w:r>
      <w:r w:rsidR="00851E7A" w:rsidRPr="00EB21E3">
        <w:rPr>
          <w:rFonts w:ascii="Times New Roman" w:hAnsi="Times New Roman" w:cs="Times New Roman"/>
          <w:sz w:val="24"/>
          <w:szCs w:val="24"/>
        </w:rPr>
        <w:t>Szczegółowe informacje o os</w:t>
      </w:r>
      <w:r w:rsidR="00322445" w:rsidRPr="00EB21E3">
        <w:rPr>
          <w:rFonts w:ascii="Times New Roman" w:hAnsi="Times New Roman" w:cs="Times New Roman"/>
          <w:sz w:val="24"/>
          <w:szCs w:val="24"/>
        </w:rPr>
        <w:t xml:space="preserve">obach </w:t>
      </w:r>
      <w:r w:rsidR="00851E7A" w:rsidRPr="00EB21E3">
        <w:rPr>
          <w:rFonts w:ascii="Times New Roman" w:hAnsi="Times New Roman" w:cs="Times New Roman"/>
          <w:sz w:val="24"/>
          <w:szCs w:val="24"/>
        </w:rPr>
        <w:t>kierujących lub reprezentujących podmioty</w:t>
      </w:r>
      <w:r w:rsidR="00322445" w:rsidRPr="00EB21E3">
        <w:rPr>
          <w:rFonts w:ascii="Times New Roman" w:hAnsi="Times New Roman" w:cs="Times New Roman"/>
          <w:sz w:val="24"/>
          <w:szCs w:val="24"/>
        </w:rPr>
        <w:t xml:space="preserve"> składające wnioski o</w:t>
      </w:r>
      <w:r w:rsidR="00EB21E3">
        <w:rPr>
          <w:rFonts w:ascii="Times New Roman" w:hAnsi="Times New Roman" w:cs="Times New Roman"/>
          <w:sz w:val="24"/>
          <w:szCs w:val="24"/>
        </w:rPr>
        <w:t xml:space="preserve"> </w:t>
      </w:r>
      <w:r w:rsidR="00851E7A" w:rsidRPr="00EB21E3">
        <w:rPr>
          <w:rFonts w:ascii="Times New Roman" w:hAnsi="Times New Roman" w:cs="Times New Roman"/>
          <w:sz w:val="24"/>
          <w:szCs w:val="24"/>
        </w:rPr>
        <w:t>koncesję mają na celu uniknięcie identyfikowanych przypadków wskazywania jako prezesów lub udziałowców firm paliwowych osób zamieszka</w:t>
      </w:r>
      <w:r w:rsidR="001E24C0" w:rsidRPr="00EB21E3">
        <w:rPr>
          <w:rFonts w:ascii="Times New Roman" w:hAnsi="Times New Roman" w:cs="Times New Roman"/>
          <w:sz w:val="24"/>
          <w:szCs w:val="24"/>
        </w:rPr>
        <w:t xml:space="preserve">łych w </w:t>
      </w:r>
      <w:r w:rsidR="00591530" w:rsidRPr="00EB21E3">
        <w:rPr>
          <w:rFonts w:ascii="Times New Roman" w:hAnsi="Times New Roman" w:cs="Times New Roman"/>
          <w:sz w:val="24"/>
          <w:szCs w:val="24"/>
        </w:rPr>
        <w:t>krajach</w:t>
      </w:r>
      <w:r w:rsidR="001E24C0" w:rsidRPr="00EB21E3">
        <w:rPr>
          <w:rFonts w:ascii="Times New Roman" w:hAnsi="Times New Roman" w:cs="Times New Roman"/>
          <w:sz w:val="24"/>
          <w:szCs w:val="24"/>
        </w:rPr>
        <w:t>, z którymi kontakt organów kontrolnych jest niemożliwy</w:t>
      </w:r>
      <w:r w:rsidR="00591530" w:rsidRPr="00EB21E3">
        <w:rPr>
          <w:rFonts w:ascii="Times New Roman" w:hAnsi="Times New Roman" w:cs="Times New Roman"/>
          <w:sz w:val="24"/>
          <w:szCs w:val="24"/>
        </w:rPr>
        <w:t xml:space="preserve"> lub znacznie utrudniony</w:t>
      </w:r>
      <w:r w:rsidR="001E24C0" w:rsidRPr="00EB21E3">
        <w:rPr>
          <w:rFonts w:ascii="Times New Roman" w:hAnsi="Times New Roman" w:cs="Times New Roman"/>
          <w:sz w:val="24"/>
          <w:szCs w:val="24"/>
        </w:rPr>
        <w:t>.</w:t>
      </w:r>
      <w:r w:rsidR="00E221E7" w:rsidRPr="00EB21E3">
        <w:rPr>
          <w:rFonts w:ascii="Times New Roman" w:hAnsi="Times New Roman" w:cs="Times New Roman"/>
          <w:sz w:val="24"/>
          <w:szCs w:val="24"/>
        </w:rPr>
        <w:t xml:space="preserve"> Szeroki zakres danych identyfikujących osoby </w:t>
      </w:r>
      <w:r w:rsidR="00E221E7" w:rsidRPr="00EB21E3">
        <w:rPr>
          <w:rFonts w:ascii="Times New Roman" w:hAnsi="Times New Roman" w:cs="Times New Roman"/>
          <w:sz w:val="24"/>
          <w:szCs w:val="24"/>
        </w:rPr>
        <w:lastRenderedPageBreak/>
        <w:t>reprezentujące podmioty ubiegające się o koncesj</w:t>
      </w:r>
      <w:r w:rsidR="00AF6AAF" w:rsidRPr="00EB21E3">
        <w:rPr>
          <w:rFonts w:ascii="Times New Roman" w:hAnsi="Times New Roman" w:cs="Times New Roman"/>
          <w:sz w:val="24"/>
          <w:szCs w:val="24"/>
        </w:rPr>
        <w:t>ę</w:t>
      </w:r>
      <w:r w:rsidR="00E221E7" w:rsidRPr="00EB21E3">
        <w:rPr>
          <w:rFonts w:ascii="Times New Roman" w:hAnsi="Times New Roman" w:cs="Times New Roman"/>
          <w:sz w:val="24"/>
          <w:szCs w:val="24"/>
        </w:rPr>
        <w:t xml:space="preserve"> wynika z doświadczeń kontrolnych wskazujących na powszechne wykorzystywanie przez grupy przestępcze obywateli innych państw spoza Unii Europejskiej jako prezesów i wspólników spółek kapitałowych obracających paliwami</w:t>
      </w:r>
      <w:r w:rsidR="00AF6AAF" w:rsidRPr="00EB21E3">
        <w:rPr>
          <w:rFonts w:ascii="Times New Roman" w:hAnsi="Times New Roman" w:cs="Times New Roman"/>
          <w:sz w:val="24"/>
          <w:szCs w:val="24"/>
        </w:rPr>
        <w:t xml:space="preserve"> ciekłymi</w:t>
      </w:r>
      <w:r w:rsidR="00E221E7" w:rsidRPr="00EB21E3">
        <w:rPr>
          <w:rFonts w:ascii="Times New Roman" w:hAnsi="Times New Roman" w:cs="Times New Roman"/>
          <w:sz w:val="24"/>
          <w:szCs w:val="24"/>
        </w:rPr>
        <w:t>. Aktualnie brak jest możliwości weryfikacji</w:t>
      </w:r>
      <w:r w:rsidR="002272CB">
        <w:rPr>
          <w:rFonts w:ascii="Times New Roman" w:hAnsi="Times New Roman" w:cs="Times New Roman"/>
          <w:sz w:val="24"/>
          <w:szCs w:val="24"/>
        </w:rPr>
        <w:t>,</w:t>
      </w:r>
      <w:r w:rsidR="00E221E7" w:rsidRPr="00EB21E3">
        <w:rPr>
          <w:rFonts w:ascii="Times New Roman" w:hAnsi="Times New Roman" w:cs="Times New Roman"/>
          <w:sz w:val="24"/>
          <w:szCs w:val="24"/>
        </w:rPr>
        <w:t xml:space="preserve"> czy takie osoby istnieją, ponieważ w zasadzie nigdy nie pojawiają się w</w:t>
      </w:r>
      <w:r w:rsidR="001427B4">
        <w:rPr>
          <w:rFonts w:ascii="Times New Roman" w:hAnsi="Times New Roman" w:cs="Times New Roman"/>
          <w:sz w:val="24"/>
          <w:szCs w:val="24"/>
        </w:rPr>
        <w:t> </w:t>
      </w:r>
      <w:r w:rsidR="00E221E7" w:rsidRPr="00EB21E3">
        <w:rPr>
          <w:rFonts w:ascii="Times New Roman" w:hAnsi="Times New Roman" w:cs="Times New Roman"/>
          <w:sz w:val="24"/>
          <w:szCs w:val="24"/>
        </w:rPr>
        <w:t xml:space="preserve">kraju. Fakt, że dane objęte wnioskiem powinny znajdować się w publicznych rejestrach np. KRS, nie oznacza, że faktycznie są ujawniane w tych rejestrach lub że są aktualne. Organy kontroli skarbowej systematycznie notują sytuację, w których wnioski o wykreślenie prezesa spółki </w:t>
      </w:r>
      <w:r w:rsidR="00AF6AAF" w:rsidRPr="00EB21E3">
        <w:rPr>
          <w:rFonts w:ascii="Times New Roman" w:hAnsi="Times New Roman" w:cs="Times New Roman"/>
          <w:sz w:val="24"/>
          <w:szCs w:val="24"/>
        </w:rPr>
        <w:t xml:space="preserve">czy </w:t>
      </w:r>
      <w:r w:rsidR="00E221E7" w:rsidRPr="00EB21E3">
        <w:rPr>
          <w:rFonts w:ascii="Times New Roman" w:hAnsi="Times New Roman" w:cs="Times New Roman"/>
          <w:sz w:val="24"/>
          <w:szCs w:val="24"/>
        </w:rPr>
        <w:t>jej adresu nie zawierają danych podlegających wpisowi w miejsce usuwanych. Jednocześnie nieujawnienie zmiany prezesa w KRS nie daje podstawy do wystąpienia do sądu o ustanowienie kuratora</w:t>
      </w:r>
      <w:r w:rsidR="00E221E7" w:rsidRPr="00EB21E3">
        <w:rPr>
          <w:rFonts w:ascii="Times New Roman" w:hAnsi="Times New Roman"/>
          <w:spacing w:val="-4"/>
          <w:sz w:val="24"/>
          <w:szCs w:val="24"/>
        </w:rPr>
        <w:t>.</w:t>
      </w:r>
    </w:p>
    <w:p w:rsidR="001E24C0" w:rsidRPr="00EB21E3" w:rsidRDefault="001E24C0" w:rsidP="00EB21E3">
      <w:pPr>
        <w:spacing w:before="120" w:after="0" w:line="360" w:lineRule="auto"/>
        <w:jc w:val="both"/>
        <w:rPr>
          <w:rFonts w:ascii="Times New Roman" w:hAnsi="Times New Roman" w:cs="Times New Roman"/>
          <w:sz w:val="24"/>
          <w:szCs w:val="24"/>
        </w:rPr>
      </w:pPr>
      <w:r w:rsidRPr="00EB21E3">
        <w:rPr>
          <w:rFonts w:ascii="Times New Roman" w:hAnsi="Times New Roman" w:cs="Times New Roman"/>
          <w:sz w:val="24"/>
          <w:szCs w:val="24"/>
        </w:rPr>
        <w:t xml:space="preserve">Zmiany w art. 37 </w:t>
      </w:r>
      <w:r w:rsidR="00AF6AAF" w:rsidRPr="00EB21E3">
        <w:rPr>
          <w:rFonts w:ascii="Times New Roman" w:hAnsi="Times New Roman" w:cs="Times New Roman"/>
          <w:sz w:val="24"/>
          <w:szCs w:val="24"/>
        </w:rPr>
        <w:t xml:space="preserve">ustawy – Prawo energetyczne </w:t>
      </w:r>
      <w:r w:rsidRPr="00EB21E3">
        <w:rPr>
          <w:rFonts w:ascii="Times New Roman" w:hAnsi="Times New Roman" w:cs="Times New Roman"/>
          <w:sz w:val="24"/>
          <w:szCs w:val="24"/>
        </w:rPr>
        <w:t>dotyczą uzupełnienia treści koncesji o</w:t>
      </w:r>
      <w:r w:rsidR="001427B4">
        <w:rPr>
          <w:rFonts w:ascii="Times New Roman" w:hAnsi="Times New Roman" w:cs="Times New Roman"/>
          <w:sz w:val="24"/>
          <w:szCs w:val="24"/>
        </w:rPr>
        <w:t> </w:t>
      </w:r>
      <w:r w:rsidRPr="00EB21E3">
        <w:rPr>
          <w:rFonts w:ascii="Times New Roman" w:hAnsi="Times New Roman" w:cs="Times New Roman"/>
          <w:sz w:val="24"/>
          <w:szCs w:val="24"/>
        </w:rPr>
        <w:t xml:space="preserve">wskazanie </w:t>
      </w:r>
      <w:r w:rsidR="00E84C54" w:rsidRPr="00EB21E3">
        <w:rPr>
          <w:rFonts w:ascii="Times New Roman" w:hAnsi="Times New Roman" w:cs="Times New Roman"/>
          <w:sz w:val="24"/>
          <w:szCs w:val="24"/>
        </w:rPr>
        <w:t>numeru VAT oraz daty i</w:t>
      </w:r>
      <w:r w:rsidR="00EB21E3">
        <w:rPr>
          <w:rFonts w:ascii="Times New Roman" w:hAnsi="Times New Roman" w:cs="Times New Roman"/>
          <w:sz w:val="24"/>
          <w:szCs w:val="24"/>
        </w:rPr>
        <w:t xml:space="preserve"> </w:t>
      </w:r>
      <w:r w:rsidR="00E84C54" w:rsidRPr="00EB21E3">
        <w:rPr>
          <w:rFonts w:ascii="Times New Roman" w:hAnsi="Times New Roman" w:cs="Times New Roman"/>
          <w:sz w:val="24"/>
          <w:szCs w:val="24"/>
        </w:rPr>
        <w:t xml:space="preserve">numeru wpisu do rejestru systemu zapasów interwencyjnych. </w:t>
      </w:r>
      <w:r w:rsidR="003E2754" w:rsidRPr="00EB21E3">
        <w:rPr>
          <w:rFonts w:ascii="Times New Roman" w:hAnsi="Times New Roman" w:cs="Times New Roman"/>
          <w:sz w:val="24"/>
          <w:szCs w:val="24"/>
        </w:rPr>
        <w:t xml:space="preserve">Ust. 2b </w:t>
      </w:r>
      <w:r w:rsidR="00591530" w:rsidRPr="00EB21E3">
        <w:rPr>
          <w:rFonts w:ascii="Times New Roman" w:hAnsi="Times New Roman" w:cs="Times New Roman"/>
          <w:sz w:val="24"/>
          <w:szCs w:val="24"/>
        </w:rPr>
        <w:t>ma na celu doprecyzowanie, że informacje zawarte w koncesji przyznawanej oddziałowi przedsiębiorcy zagranicznego powinny dotyczyć oddziału</w:t>
      </w:r>
      <w:r w:rsidR="00CA788A" w:rsidRPr="00EB21E3">
        <w:rPr>
          <w:rFonts w:ascii="Times New Roman" w:hAnsi="Times New Roman" w:cs="Times New Roman"/>
          <w:sz w:val="24"/>
          <w:szCs w:val="24"/>
        </w:rPr>
        <w:t>,</w:t>
      </w:r>
      <w:r w:rsidR="00591530" w:rsidRPr="00EB21E3">
        <w:rPr>
          <w:rFonts w:ascii="Times New Roman" w:hAnsi="Times New Roman" w:cs="Times New Roman"/>
          <w:sz w:val="24"/>
          <w:szCs w:val="24"/>
        </w:rPr>
        <w:t xml:space="preserve"> a</w:t>
      </w:r>
      <w:r w:rsidR="001427B4">
        <w:rPr>
          <w:rFonts w:ascii="Times New Roman" w:hAnsi="Times New Roman" w:cs="Times New Roman"/>
          <w:sz w:val="24"/>
          <w:szCs w:val="24"/>
        </w:rPr>
        <w:t> </w:t>
      </w:r>
      <w:r w:rsidR="00591530" w:rsidRPr="00EB21E3">
        <w:rPr>
          <w:rFonts w:ascii="Times New Roman" w:hAnsi="Times New Roman" w:cs="Times New Roman"/>
          <w:sz w:val="24"/>
          <w:szCs w:val="24"/>
        </w:rPr>
        <w:t>nie samego przedsiębiorcy.</w:t>
      </w:r>
      <w:r w:rsidR="00EB21E3">
        <w:rPr>
          <w:rFonts w:ascii="Times New Roman" w:hAnsi="Times New Roman" w:cs="Times New Roman"/>
          <w:sz w:val="24"/>
          <w:szCs w:val="24"/>
        </w:rPr>
        <w:t xml:space="preserve"> </w:t>
      </w:r>
      <w:r w:rsidR="004F6777" w:rsidRPr="00EB21E3">
        <w:rPr>
          <w:rFonts w:ascii="Times New Roman" w:hAnsi="Times New Roman" w:cs="Times New Roman"/>
          <w:color w:val="000000" w:themeColor="text1"/>
          <w:sz w:val="24"/>
          <w:szCs w:val="24"/>
        </w:rPr>
        <w:t>Ponadto w</w:t>
      </w:r>
      <w:r w:rsidR="00EB21E3">
        <w:rPr>
          <w:rFonts w:ascii="Times New Roman" w:hAnsi="Times New Roman" w:cs="Times New Roman"/>
          <w:color w:val="000000" w:themeColor="text1"/>
          <w:sz w:val="24"/>
          <w:szCs w:val="24"/>
        </w:rPr>
        <w:t xml:space="preserve"> </w:t>
      </w:r>
      <w:r w:rsidR="004F6777" w:rsidRPr="00EB21E3">
        <w:rPr>
          <w:rFonts w:ascii="Times New Roman" w:hAnsi="Times New Roman" w:cs="Times New Roman"/>
          <w:color w:val="000000" w:themeColor="text1"/>
          <w:sz w:val="24"/>
          <w:szCs w:val="24"/>
        </w:rPr>
        <w:t>dodawanym ust.</w:t>
      </w:r>
      <w:r w:rsidR="00EB21E3">
        <w:rPr>
          <w:rFonts w:ascii="Times New Roman" w:hAnsi="Times New Roman" w:cs="Times New Roman"/>
          <w:color w:val="000000" w:themeColor="text1"/>
          <w:sz w:val="24"/>
          <w:szCs w:val="24"/>
        </w:rPr>
        <w:t xml:space="preserve"> </w:t>
      </w:r>
      <w:r w:rsidRPr="00EB21E3">
        <w:rPr>
          <w:rFonts w:ascii="Times New Roman" w:hAnsi="Times New Roman" w:cs="Times New Roman"/>
          <w:color w:val="000000" w:themeColor="text1"/>
          <w:sz w:val="24"/>
          <w:szCs w:val="24"/>
        </w:rPr>
        <w:t>2</w:t>
      </w:r>
      <w:r w:rsidR="001205F0" w:rsidRPr="00EB21E3">
        <w:rPr>
          <w:rFonts w:ascii="Times New Roman" w:hAnsi="Times New Roman" w:cs="Times New Roman"/>
          <w:color w:val="000000" w:themeColor="text1"/>
          <w:sz w:val="24"/>
          <w:szCs w:val="24"/>
        </w:rPr>
        <w:t>c</w:t>
      </w:r>
      <w:r w:rsidRPr="00EB21E3">
        <w:rPr>
          <w:rFonts w:ascii="Times New Roman" w:hAnsi="Times New Roman" w:cs="Times New Roman"/>
          <w:color w:val="000000" w:themeColor="text1"/>
          <w:sz w:val="24"/>
          <w:szCs w:val="24"/>
        </w:rPr>
        <w:t xml:space="preserve"> zobowiązano podmioty posiadające koncesję do aktualizowania tych danych.</w:t>
      </w:r>
    </w:p>
    <w:p w:rsidR="00CE64A1" w:rsidRPr="00EB21E3" w:rsidRDefault="00652819" w:rsidP="00EB21E3">
      <w:pPr>
        <w:spacing w:before="120" w:after="0" w:line="360" w:lineRule="auto"/>
        <w:jc w:val="both"/>
        <w:rPr>
          <w:rFonts w:ascii="Times New Roman" w:hAnsi="Times New Roman" w:cs="Times New Roman"/>
          <w:sz w:val="24"/>
          <w:szCs w:val="24"/>
        </w:rPr>
      </w:pPr>
      <w:r w:rsidRPr="00EB21E3">
        <w:rPr>
          <w:rFonts w:ascii="Times New Roman" w:hAnsi="Times New Roman" w:cs="Times New Roman"/>
          <w:sz w:val="24"/>
          <w:szCs w:val="24"/>
        </w:rPr>
        <w:t xml:space="preserve">Zmiana w art. 41 </w:t>
      </w:r>
      <w:r w:rsidR="00CE64A1" w:rsidRPr="00EB21E3">
        <w:rPr>
          <w:rFonts w:ascii="Times New Roman" w:hAnsi="Times New Roman" w:cs="Times New Roman"/>
          <w:sz w:val="24"/>
          <w:szCs w:val="24"/>
        </w:rPr>
        <w:t>rozszerza katalog przesłanek, których wystąpienie powoduje lub może powodować cofnięcie koncesji przez Prezesa URE. W szczególności są to przesłanki związane</w:t>
      </w:r>
      <w:r w:rsidR="00322445" w:rsidRPr="00EB21E3">
        <w:rPr>
          <w:rFonts w:ascii="Times New Roman" w:hAnsi="Times New Roman" w:cs="Times New Roman"/>
          <w:sz w:val="24"/>
          <w:szCs w:val="24"/>
        </w:rPr>
        <w:t xml:space="preserve"> z</w:t>
      </w:r>
      <w:r w:rsidR="00CE64A1" w:rsidRPr="00EB21E3">
        <w:rPr>
          <w:rFonts w:ascii="Times New Roman" w:hAnsi="Times New Roman" w:cs="Times New Roman"/>
          <w:sz w:val="24"/>
          <w:szCs w:val="24"/>
        </w:rPr>
        <w:t xml:space="preserve"> sytuacjami, w których podmiot koncesjonowany przestaje spełniać warunki przyznania koncesji, nie wypełnia obowiązku aktualizacji danych zawartych w koncesji lub </w:t>
      </w:r>
      <w:r w:rsidR="009C5FFE" w:rsidRPr="00EB21E3">
        <w:rPr>
          <w:rFonts w:ascii="Times New Roman" w:hAnsi="Times New Roman" w:cs="Times New Roman"/>
          <w:sz w:val="24"/>
          <w:szCs w:val="24"/>
        </w:rPr>
        <w:t>posługuje się w obrocie paliwami numerem identyfikacji innym niż określony w</w:t>
      </w:r>
      <w:r w:rsidR="001427B4">
        <w:rPr>
          <w:rFonts w:ascii="Times New Roman" w:hAnsi="Times New Roman" w:cs="Times New Roman"/>
          <w:sz w:val="24"/>
          <w:szCs w:val="24"/>
        </w:rPr>
        <w:t> </w:t>
      </w:r>
      <w:r w:rsidR="009C5FFE" w:rsidRPr="00EB21E3">
        <w:rPr>
          <w:rFonts w:ascii="Times New Roman" w:hAnsi="Times New Roman" w:cs="Times New Roman"/>
          <w:sz w:val="24"/>
          <w:szCs w:val="24"/>
        </w:rPr>
        <w:t>koncesji</w:t>
      </w:r>
      <w:r w:rsidR="00CE64A1" w:rsidRPr="00EB21E3">
        <w:rPr>
          <w:rFonts w:ascii="Times New Roman" w:hAnsi="Times New Roman" w:cs="Times New Roman"/>
          <w:sz w:val="24"/>
          <w:szCs w:val="24"/>
        </w:rPr>
        <w:t>.</w:t>
      </w:r>
    </w:p>
    <w:p w:rsidR="00E221E7" w:rsidRPr="00EB21E3" w:rsidRDefault="00E221E7" w:rsidP="00EB21E3">
      <w:pPr>
        <w:spacing w:before="120" w:after="0" w:line="360" w:lineRule="auto"/>
        <w:jc w:val="both"/>
        <w:rPr>
          <w:rFonts w:ascii="Times New Roman" w:hAnsi="Times New Roman" w:cs="Times New Roman"/>
          <w:sz w:val="24"/>
          <w:szCs w:val="24"/>
        </w:rPr>
      </w:pPr>
      <w:r w:rsidRPr="00EB21E3">
        <w:rPr>
          <w:rFonts w:ascii="Times New Roman" w:hAnsi="Times New Roman" w:cs="Times New Roman"/>
          <w:sz w:val="24"/>
          <w:szCs w:val="24"/>
        </w:rPr>
        <w:t xml:space="preserve">Przepisy dające Prezesowi URE dodatkowe podstawy do cofnięcia koncesji na wytwarzanie </w:t>
      </w:r>
      <w:r w:rsidR="00CA788A" w:rsidRPr="00EB21E3">
        <w:rPr>
          <w:rFonts w:ascii="Times New Roman" w:hAnsi="Times New Roman" w:cs="Times New Roman"/>
          <w:sz w:val="24"/>
          <w:szCs w:val="24"/>
        </w:rPr>
        <w:t xml:space="preserve">paliw ciekłych </w:t>
      </w:r>
      <w:r w:rsidRPr="00EB21E3">
        <w:rPr>
          <w:rFonts w:ascii="Times New Roman" w:hAnsi="Times New Roman" w:cs="Times New Roman"/>
          <w:sz w:val="24"/>
          <w:szCs w:val="24"/>
        </w:rPr>
        <w:t>i</w:t>
      </w:r>
      <w:r w:rsidR="00EB21E3">
        <w:rPr>
          <w:rFonts w:ascii="Times New Roman" w:hAnsi="Times New Roman" w:cs="Times New Roman"/>
          <w:sz w:val="24"/>
          <w:szCs w:val="24"/>
        </w:rPr>
        <w:t xml:space="preserve"> </w:t>
      </w:r>
      <w:r w:rsidRPr="00EB21E3">
        <w:rPr>
          <w:rFonts w:ascii="Times New Roman" w:hAnsi="Times New Roman" w:cs="Times New Roman"/>
          <w:sz w:val="24"/>
          <w:szCs w:val="24"/>
        </w:rPr>
        <w:t xml:space="preserve">obrót paliwami </w:t>
      </w:r>
      <w:r w:rsidR="00CA788A" w:rsidRPr="00EB21E3">
        <w:rPr>
          <w:rFonts w:ascii="Times New Roman" w:hAnsi="Times New Roman" w:cs="Times New Roman"/>
          <w:sz w:val="24"/>
          <w:szCs w:val="24"/>
        </w:rPr>
        <w:t xml:space="preserve">ciekłymi </w:t>
      </w:r>
      <w:r w:rsidRPr="00EB21E3">
        <w:rPr>
          <w:rFonts w:ascii="Times New Roman" w:hAnsi="Times New Roman" w:cs="Times New Roman"/>
          <w:sz w:val="24"/>
          <w:szCs w:val="24"/>
        </w:rPr>
        <w:t>z zagranic</w:t>
      </w:r>
      <w:r w:rsidR="002272CB">
        <w:rPr>
          <w:rFonts w:ascii="Times New Roman" w:hAnsi="Times New Roman" w:cs="Times New Roman"/>
          <w:sz w:val="24"/>
          <w:szCs w:val="24"/>
        </w:rPr>
        <w:t>ą</w:t>
      </w:r>
      <w:r w:rsidRPr="00EB21E3">
        <w:rPr>
          <w:rFonts w:ascii="Times New Roman" w:hAnsi="Times New Roman" w:cs="Times New Roman"/>
          <w:sz w:val="24"/>
          <w:szCs w:val="24"/>
        </w:rPr>
        <w:t xml:space="preserve"> mają charakter prewencyjny. Obligatoryjne cofnięcie koncesji będzie </w:t>
      </w:r>
      <w:r w:rsidR="00692296" w:rsidRPr="00EB21E3">
        <w:rPr>
          <w:rFonts w:ascii="Times New Roman" w:hAnsi="Times New Roman" w:cs="Times New Roman"/>
          <w:sz w:val="24"/>
          <w:szCs w:val="24"/>
        </w:rPr>
        <w:t>następowało</w:t>
      </w:r>
      <w:r w:rsidRPr="00EB21E3">
        <w:rPr>
          <w:rFonts w:ascii="Times New Roman" w:hAnsi="Times New Roman" w:cs="Times New Roman"/>
          <w:sz w:val="24"/>
          <w:szCs w:val="24"/>
        </w:rPr>
        <w:t xml:space="preserve"> w przypadku stwierdzenia niespełnienia przesłanek udzielenia koncesji </w:t>
      </w:r>
      <w:r w:rsidR="00CA788A" w:rsidRPr="00EB21E3">
        <w:rPr>
          <w:rFonts w:ascii="Times New Roman" w:hAnsi="Times New Roman" w:cs="Times New Roman"/>
          <w:sz w:val="24"/>
          <w:szCs w:val="24"/>
        </w:rPr>
        <w:t xml:space="preserve">(art. 33 ust. 1 i 1b) </w:t>
      </w:r>
      <w:r w:rsidRPr="00EB21E3">
        <w:rPr>
          <w:rFonts w:ascii="Times New Roman" w:hAnsi="Times New Roman" w:cs="Times New Roman"/>
          <w:sz w:val="24"/>
          <w:szCs w:val="24"/>
        </w:rPr>
        <w:t>lub wystąpienia jednej z pr</w:t>
      </w:r>
      <w:r w:rsidR="00692296" w:rsidRPr="00EB21E3">
        <w:rPr>
          <w:rFonts w:ascii="Times New Roman" w:hAnsi="Times New Roman" w:cs="Times New Roman"/>
          <w:sz w:val="24"/>
          <w:szCs w:val="24"/>
        </w:rPr>
        <w:t>zesłan</w:t>
      </w:r>
      <w:r w:rsidR="00C90951" w:rsidRPr="00EB21E3">
        <w:rPr>
          <w:rFonts w:ascii="Times New Roman" w:hAnsi="Times New Roman" w:cs="Times New Roman"/>
          <w:sz w:val="24"/>
          <w:szCs w:val="24"/>
        </w:rPr>
        <w:t>ek</w:t>
      </w:r>
      <w:r w:rsidR="00692296" w:rsidRPr="00EB21E3">
        <w:rPr>
          <w:rFonts w:ascii="Times New Roman" w:hAnsi="Times New Roman" w:cs="Times New Roman"/>
          <w:sz w:val="24"/>
          <w:szCs w:val="24"/>
        </w:rPr>
        <w:t xml:space="preserve"> negatywnych</w:t>
      </w:r>
      <w:r w:rsidR="001427B4">
        <w:rPr>
          <w:rFonts w:ascii="Times New Roman" w:hAnsi="Times New Roman" w:cs="Times New Roman"/>
          <w:sz w:val="24"/>
          <w:szCs w:val="24"/>
        </w:rPr>
        <w:t xml:space="preserve"> (art. 33 ust. 3)</w:t>
      </w:r>
      <w:r w:rsidR="00692296" w:rsidRPr="00EB21E3">
        <w:rPr>
          <w:rFonts w:ascii="Times New Roman" w:hAnsi="Times New Roman" w:cs="Times New Roman"/>
          <w:sz w:val="24"/>
          <w:szCs w:val="24"/>
        </w:rPr>
        <w:t>. W związku z</w:t>
      </w:r>
      <w:r w:rsidR="00383E10">
        <w:rPr>
          <w:rFonts w:ascii="Times New Roman" w:hAnsi="Times New Roman" w:cs="Times New Roman"/>
          <w:sz w:val="24"/>
          <w:szCs w:val="24"/>
        </w:rPr>
        <w:t xml:space="preserve"> </w:t>
      </w:r>
      <w:r w:rsidR="00692296" w:rsidRPr="00EB21E3">
        <w:rPr>
          <w:rFonts w:ascii="Times New Roman" w:hAnsi="Times New Roman" w:cs="Times New Roman"/>
          <w:sz w:val="24"/>
          <w:szCs w:val="24"/>
        </w:rPr>
        <w:t xml:space="preserve">dodawanymi </w:t>
      </w:r>
      <w:r w:rsidR="00CA788A" w:rsidRPr="00EB21E3">
        <w:rPr>
          <w:rFonts w:ascii="Times New Roman" w:hAnsi="Times New Roman" w:cs="Times New Roman"/>
          <w:sz w:val="24"/>
          <w:szCs w:val="24"/>
        </w:rPr>
        <w:t xml:space="preserve">dla przedsiębiorstw energetycznych </w:t>
      </w:r>
      <w:r w:rsidR="00692296" w:rsidRPr="00EB21E3">
        <w:rPr>
          <w:rFonts w:ascii="Times New Roman" w:hAnsi="Times New Roman" w:cs="Times New Roman"/>
          <w:sz w:val="24"/>
          <w:szCs w:val="24"/>
        </w:rPr>
        <w:t xml:space="preserve">obowiązkami informacyjnymi </w:t>
      </w:r>
      <w:r w:rsidR="00CA788A" w:rsidRPr="00EB21E3">
        <w:rPr>
          <w:rFonts w:ascii="Times New Roman" w:hAnsi="Times New Roman" w:cs="Times New Roman"/>
          <w:sz w:val="24"/>
          <w:szCs w:val="24"/>
        </w:rPr>
        <w:t>(art. 33 ust. 1c i</w:t>
      </w:r>
      <w:r w:rsidR="001427B4">
        <w:rPr>
          <w:rFonts w:ascii="Times New Roman" w:hAnsi="Times New Roman" w:cs="Times New Roman"/>
          <w:sz w:val="24"/>
          <w:szCs w:val="24"/>
        </w:rPr>
        <w:t> </w:t>
      </w:r>
      <w:r w:rsidR="00CA788A" w:rsidRPr="00EB21E3">
        <w:rPr>
          <w:rFonts w:ascii="Times New Roman" w:hAnsi="Times New Roman" w:cs="Times New Roman"/>
          <w:sz w:val="24"/>
          <w:szCs w:val="24"/>
        </w:rPr>
        <w:t>art.</w:t>
      </w:r>
      <w:r w:rsidR="001427B4">
        <w:rPr>
          <w:rFonts w:ascii="Times New Roman" w:hAnsi="Times New Roman" w:cs="Times New Roman"/>
          <w:sz w:val="24"/>
          <w:szCs w:val="24"/>
        </w:rPr>
        <w:t> </w:t>
      </w:r>
      <w:r w:rsidR="00CA788A" w:rsidRPr="00EB21E3">
        <w:rPr>
          <w:rFonts w:ascii="Times New Roman" w:hAnsi="Times New Roman" w:cs="Times New Roman"/>
          <w:sz w:val="24"/>
          <w:szCs w:val="24"/>
        </w:rPr>
        <w:t>37 ust. 2a)</w:t>
      </w:r>
      <w:r w:rsidR="00EB21E3">
        <w:rPr>
          <w:rFonts w:ascii="Times New Roman" w:hAnsi="Times New Roman" w:cs="Times New Roman"/>
          <w:sz w:val="24"/>
          <w:szCs w:val="24"/>
        </w:rPr>
        <w:t xml:space="preserve"> </w:t>
      </w:r>
      <w:r w:rsidR="00692296" w:rsidRPr="00EB21E3">
        <w:rPr>
          <w:rFonts w:ascii="Times New Roman" w:hAnsi="Times New Roman" w:cs="Times New Roman"/>
          <w:sz w:val="24"/>
          <w:szCs w:val="24"/>
        </w:rPr>
        <w:t xml:space="preserve">wprowadzana możliwość cofnięcia koncesji, w przypadku nierealizowania </w:t>
      </w:r>
      <w:r w:rsidR="00CA788A" w:rsidRPr="00EB21E3">
        <w:rPr>
          <w:rFonts w:ascii="Times New Roman" w:hAnsi="Times New Roman" w:cs="Times New Roman"/>
          <w:sz w:val="24"/>
          <w:szCs w:val="24"/>
        </w:rPr>
        <w:t>któregokolwiek z tych</w:t>
      </w:r>
      <w:r w:rsidR="00EB21E3">
        <w:rPr>
          <w:rFonts w:ascii="Times New Roman" w:hAnsi="Times New Roman" w:cs="Times New Roman"/>
          <w:sz w:val="24"/>
          <w:szCs w:val="24"/>
        </w:rPr>
        <w:t xml:space="preserve"> </w:t>
      </w:r>
      <w:r w:rsidR="00692296" w:rsidRPr="00EB21E3">
        <w:rPr>
          <w:rFonts w:ascii="Times New Roman" w:hAnsi="Times New Roman" w:cs="Times New Roman"/>
          <w:sz w:val="24"/>
          <w:szCs w:val="24"/>
        </w:rPr>
        <w:t>obowiązk</w:t>
      </w:r>
      <w:r w:rsidR="00CA788A" w:rsidRPr="00EB21E3">
        <w:rPr>
          <w:rFonts w:ascii="Times New Roman" w:hAnsi="Times New Roman" w:cs="Times New Roman"/>
          <w:sz w:val="24"/>
          <w:szCs w:val="24"/>
        </w:rPr>
        <w:t>ów</w:t>
      </w:r>
      <w:r w:rsidR="002272CB">
        <w:rPr>
          <w:rFonts w:ascii="Times New Roman" w:hAnsi="Times New Roman" w:cs="Times New Roman"/>
          <w:sz w:val="24"/>
          <w:szCs w:val="24"/>
        </w:rPr>
        <w:t>,</w:t>
      </w:r>
      <w:r w:rsidR="00692296" w:rsidRPr="00EB21E3">
        <w:rPr>
          <w:rFonts w:ascii="Times New Roman" w:hAnsi="Times New Roman" w:cs="Times New Roman"/>
          <w:sz w:val="24"/>
          <w:szCs w:val="24"/>
        </w:rPr>
        <w:t xml:space="preserve"> będzie oddziaływać prewencyjne i</w:t>
      </w:r>
      <w:r w:rsidR="001427B4">
        <w:rPr>
          <w:rFonts w:ascii="Times New Roman" w:hAnsi="Times New Roman" w:cs="Times New Roman"/>
          <w:sz w:val="24"/>
          <w:szCs w:val="24"/>
        </w:rPr>
        <w:t> </w:t>
      </w:r>
      <w:r w:rsidR="00692296" w:rsidRPr="00EB21E3">
        <w:rPr>
          <w:rFonts w:ascii="Times New Roman" w:hAnsi="Times New Roman" w:cs="Times New Roman"/>
          <w:sz w:val="24"/>
          <w:szCs w:val="24"/>
        </w:rPr>
        <w:t>zapobiegać sytuacjom braku aktualizacji danych</w:t>
      </w:r>
      <w:r w:rsidR="00CA788A" w:rsidRPr="00EB21E3">
        <w:rPr>
          <w:rFonts w:ascii="Times New Roman" w:hAnsi="Times New Roman" w:cs="Times New Roman"/>
          <w:sz w:val="24"/>
          <w:szCs w:val="24"/>
        </w:rPr>
        <w:t>,</w:t>
      </w:r>
      <w:r w:rsidR="00692296" w:rsidRPr="00EB21E3">
        <w:rPr>
          <w:rFonts w:ascii="Times New Roman" w:hAnsi="Times New Roman" w:cs="Times New Roman"/>
          <w:sz w:val="24"/>
          <w:szCs w:val="24"/>
        </w:rPr>
        <w:t xml:space="preserve"> jakie mają miejsce w</w:t>
      </w:r>
      <w:r w:rsidR="00EB21E3">
        <w:rPr>
          <w:rFonts w:ascii="Times New Roman" w:hAnsi="Times New Roman" w:cs="Times New Roman"/>
          <w:sz w:val="24"/>
          <w:szCs w:val="24"/>
        </w:rPr>
        <w:t xml:space="preserve"> </w:t>
      </w:r>
      <w:r w:rsidR="00692296" w:rsidRPr="00EB21E3">
        <w:rPr>
          <w:rFonts w:ascii="Times New Roman" w:hAnsi="Times New Roman" w:cs="Times New Roman"/>
          <w:sz w:val="24"/>
          <w:szCs w:val="24"/>
        </w:rPr>
        <w:t xml:space="preserve">Krajowym </w:t>
      </w:r>
      <w:r w:rsidR="00692296" w:rsidRPr="00EB21E3">
        <w:rPr>
          <w:rFonts w:ascii="Times New Roman" w:hAnsi="Times New Roman" w:cs="Times New Roman"/>
          <w:sz w:val="24"/>
          <w:szCs w:val="24"/>
        </w:rPr>
        <w:lastRenderedPageBreak/>
        <w:t>Rejestrze Sądowym.</w:t>
      </w:r>
      <w:r w:rsidR="00EB21E3">
        <w:rPr>
          <w:rFonts w:ascii="Times New Roman" w:hAnsi="Times New Roman" w:cs="Times New Roman"/>
          <w:sz w:val="24"/>
          <w:szCs w:val="24"/>
        </w:rPr>
        <w:t xml:space="preserve"> </w:t>
      </w:r>
      <w:r w:rsidR="00CA788A" w:rsidRPr="00EB21E3">
        <w:rPr>
          <w:rFonts w:ascii="Times New Roman" w:hAnsi="Times New Roman" w:cs="Times New Roman"/>
          <w:sz w:val="24"/>
          <w:szCs w:val="24"/>
        </w:rPr>
        <w:t>P</w:t>
      </w:r>
      <w:r w:rsidR="00692296" w:rsidRPr="00EB21E3">
        <w:rPr>
          <w:rFonts w:ascii="Times New Roman" w:hAnsi="Times New Roman" w:cs="Times New Roman"/>
          <w:sz w:val="24"/>
          <w:szCs w:val="24"/>
        </w:rPr>
        <w:t>ełna i aktualna informacja o podmiotach wykonujących działalność koncesjonowaną, której dotyczy dodawany w art. 37 ust. 2</w:t>
      </w:r>
      <w:r w:rsidR="00CA788A" w:rsidRPr="00EB21E3">
        <w:rPr>
          <w:rFonts w:ascii="Times New Roman" w:hAnsi="Times New Roman" w:cs="Times New Roman"/>
          <w:sz w:val="24"/>
          <w:szCs w:val="24"/>
        </w:rPr>
        <w:t>a</w:t>
      </w:r>
      <w:r w:rsidR="00692296" w:rsidRPr="00EB21E3">
        <w:rPr>
          <w:rFonts w:ascii="Times New Roman" w:hAnsi="Times New Roman" w:cs="Times New Roman"/>
          <w:sz w:val="24"/>
          <w:szCs w:val="24"/>
        </w:rPr>
        <w:t>, jest istotna z</w:t>
      </w:r>
      <w:r w:rsidR="001427B4">
        <w:rPr>
          <w:rFonts w:ascii="Times New Roman" w:hAnsi="Times New Roman" w:cs="Times New Roman"/>
          <w:sz w:val="24"/>
          <w:szCs w:val="24"/>
        </w:rPr>
        <w:t> </w:t>
      </w:r>
      <w:r w:rsidR="00692296" w:rsidRPr="00EB21E3">
        <w:rPr>
          <w:rFonts w:ascii="Times New Roman" w:hAnsi="Times New Roman" w:cs="Times New Roman"/>
          <w:sz w:val="24"/>
          <w:szCs w:val="24"/>
        </w:rPr>
        <w:t xml:space="preserve">punktu widzenia prawidłowego </w:t>
      </w:r>
      <w:r w:rsidR="00CA788A" w:rsidRPr="00EB21E3">
        <w:rPr>
          <w:rFonts w:ascii="Times New Roman" w:hAnsi="Times New Roman" w:cs="Times New Roman"/>
          <w:sz w:val="24"/>
          <w:szCs w:val="24"/>
        </w:rPr>
        <w:t>wykonywania</w:t>
      </w:r>
      <w:r w:rsidR="00EB21E3">
        <w:rPr>
          <w:rFonts w:ascii="Times New Roman" w:hAnsi="Times New Roman" w:cs="Times New Roman"/>
          <w:sz w:val="24"/>
          <w:szCs w:val="24"/>
        </w:rPr>
        <w:t xml:space="preserve"> </w:t>
      </w:r>
      <w:r w:rsidR="00692296" w:rsidRPr="00EB21E3">
        <w:rPr>
          <w:rFonts w:ascii="Times New Roman" w:hAnsi="Times New Roman" w:cs="Times New Roman"/>
          <w:sz w:val="24"/>
          <w:szCs w:val="24"/>
        </w:rPr>
        <w:t>przez Prezesa URE</w:t>
      </w:r>
      <w:r w:rsidR="00CA788A" w:rsidRPr="00EB21E3">
        <w:rPr>
          <w:rFonts w:ascii="Times New Roman" w:hAnsi="Times New Roman" w:cs="Times New Roman"/>
          <w:sz w:val="24"/>
          <w:szCs w:val="24"/>
        </w:rPr>
        <w:t xml:space="preserve"> zadań w zakresie regulacji rynku paliw</w:t>
      </w:r>
      <w:r w:rsidR="00692296" w:rsidRPr="00EB21E3">
        <w:rPr>
          <w:rFonts w:ascii="Times New Roman" w:hAnsi="Times New Roman" w:cs="Times New Roman"/>
          <w:sz w:val="24"/>
          <w:szCs w:val="24"/>
        </w:rPr>
        <w:t>.</w:t>
      </w:r>
    </w:p>
    <w:p w:rsidR="00692296" w:rsidRPr="00EB21E3" w:rsidRDefault="00692296" w:rsidP="00EB21E3">
      <w:pPr>
        <w:spacing w:before="120" w:after="0" w:line="360" w:lineRule="auto"/>
        <w:jc w:val="both"/>
        <w:rPr>
          <w:rFonts w:ascii="Times New Roman" w:hAnsi="Times New Roman" w:cs="Times New Roman"/>
          <w:sz w:val="24"/>
          <w:szCs w:val="24"/>
        </w:rPr>
      </w:pPr>
      <w:r w:rsidRPr="00EB21E3">
        <w:rPr>
          <w:rFonts w:ascii="Times New Roman" w:hAnsi="Times New Roman" w:cs="Times New Roman"/>
          <w:sz w:val="24"/>
          <w:szCs w:val="24"/>
        </w:rPr>
        <w:t>Zmiana w art. 4</w:t>
      </w:r>
      <w:r w:rsidR="00C90951" w:rsidRPr="00EB21E3">
        <w:rPr>
          <w:rFonts w:ascii="Times New Roman" w:hAnsi="Times New Roman" w:cs="Times New Roman"/>
          <w:sz w:val="24"/>
          <w:szCs w:val="24"/>
        </w:rPr>
        <w:t>5</w:t>
      </w:r>
      <w:r w:rsidRPr="00EB21E3">
        <w:rPr>
          <w:rFonts w:ascii="Times New Roman" w:hAnsi="Times New Roman" w:cs="Times New Roman"/>
          <w:sz w:val="24"/>
          <w:szCs w:val="24"/>
        </w:rPr>
        <w:t xml:space="preserve"> ust. 7 ma charakter wyłącznie techniczny i związana jest z</w:t>
      </w:r>
      <w:r w:rsidR="001427B4">
        <w:rPr>
          <w:rFonts w:ascii="Times New Roman" w:hAnsi="Times New Roman" w:cs="Times New Roman"/>
          <w:sz w:val="24"/>
          <w:szCs w:val="24"/>
        </w:rPr>
        <w:t> </w:t>
      </w:r>
      <w:r w:rsidRPr="00EB21E3">
        <w:rPr>
          <w:rFonts w:ascii="Times New Roman" w:hAnsi="Times New Roman" w:cs="Times New Roman"/>
          <w:sz w:val="24"/>
          <w:szCs w:val="24"/>
        </w:rPr>
        <w:t>wykreśleniem z treści przepisu publikatora ustawy o podatku od towarów i usług w</w:t>
      </w:r>
      <w:r w:rsidR="00383E10">
        <w:rPr>
          <w:rFonts w:ascii="Times New Roman" w:hAnsi="Times New Roman" w:cs="Times New Roman"/>
          <w:sz w:val="24"/>
          <w:szCs w:val="24"/>
        </w:rPr>
        <w:t> </w:t>
      </w:r>
      <w:r w:rsidRPr="00EB21E3">
        <w:rPr>
          <w:rFonts w:ascii="Times New Roman" w:hAnsi="Times New Roman" w:cs="Times New Roman"/>
          <w:sz w:val="24"/>
          <w:szCs w:val="24"/>
        </w:rPr>
        <w:t>związku z wprowadzeniem go w art. 33 ust. 1b.</w:t>
      </w:r>
    </w:p>
    <w:p w:rsidR="00692296" w:rsidRPr="00EB21E3" w:rsidRDefault="00692296" w:rsidP="00EB21E3">
      <w:pPr>
        <w:spacing w:before="120" w:after="0" w:line="360" w:lineRule="auto"/>
        <w:jc w:val="both"/>
        <w:rPr>
          <w:rFonts w:ascii="Times New Roman" w:hAnsi="Times New Roman" w:cs="Times New Roman"/>
          <w:sz w:val="24"/>
          <w:szCs w:val="24"/>
        </w:rPr>
      </w:pPr>
      <w:r w:rsidRPr="00EB21E3">
        <w:rPr>
          <w:rFonts w:ascii="Times New Roman" w:hAnsi="Times New Roman" w:cs="Times New Roman"/>
          <w:sz w:val="24"/>
          <w:szCs w:val="24"/>
        </w:rPr>
        <w:t xml:space="preserve">Dodawany w art. 56 ust. 6b ma na celu zapobieganie sytuacji, w której </w:t>
      </w:r>
      <w:r w:rsidR="00C90951" w:rsidRPr="00EB21E3">
        <w:rPr>
          <w:rFonts w:ascii="Times New Roman" w:hAnsi="Times New Roman" w:cs="Times New Roman"/>
          <w:sz w:val="24"/>
          <w:szCs w:val="24"/>
        </w:rPr>
        <w:t>na</w:t>
      </w:r>
      <w:r w:rsidRPr="00EB21E3">
        <w:rPr>
          <w:rFonts w:ascii="Times New Roman" w:hAnsi="Times New Roman" w:cs="Times New Roman"/>
          <w:sz w:val="24"/>
          <w:szCs w:val="24"/>
        </w:rPr>
        <w:t>stąpi</w:t>
      </w:r>
      <w:r w:rsidR="00C90951" w:rsidRPr="00EB21E3">
        <w:rPr>
          <w:rFonts w:ascii="Times New Roman" w:hAnsi="Times New Roman" w:cs="Times New Roman"/>
          <w:sz w:val="24"/>
          <w:szCs w:val="24"/>
        </w:rPr>
        <w:t>łoby</w:t>
      </w:r>
      <w:r w:rsidRPr="00EB21E3">
        <w:rPr>
          <w:rFonts w:ascii="Times New Roman" w:hAnsi="Times New Roman" w:cs="Times New Roman"/>
          <w:sz w:val="24"/>
          <w:szCs w:val="24"/>
        </w:rPr>
        <w:t xml:space="preserve"> przedawnienie zobowiązania wynikającego z wymierzonej kary </w:t>
      </w:r>
      <w:r w:rsidR="00CA788A" w:rsidRPr="00EB21E3">
        <w:rPr>
          <w:rFonts w:ascii="Times New Roman" w:hAnsi="Times New Roman" w:cs="Times New Roman"/>
          <w:sz w:val="24"/>
          <w:szCs w:val="24"/>
        </w:rPr>
        <w:t xml:space="preserve">pieniężnej </w:t>
      </w:r>
      <w:r w:rsidRPr="00EB21E3">
        <w:rPr>
          <w:rFonts w:ascii="Times New Roman" w:hAnsi="Times New Roman" w:cs="Times New Roman"/>
          <w:sz w:val="24"/>
          <w:szCs w:val="24"/>
        </w:rPr>
        <w:t xml:space="preserve">(tj. po upływie 5 lat od </w:t>
      </w:r>
      <w:r w:rsidR="000766A1" w:rsidRPr="00EB21E3">
        <w:rPr>
          <w:rFonts w:ascii="Times New Roman" w:hAnsi="Times New Roman" w:cs="Times New Roman"/>
          <w:sz w:val="24"/>
          <w:szCs w:val="24"/>
        </w:rPr>
        <w:t>doręczenia</w:t>
      </w:r>
      <w:r w:rsidRPr="00EB21E3">
        <w:rPr>
          <w:rFonts w:ascii="Times New Roman" w:hAnsi="Times New Roman" w:cs="Times New Roman"/>
          <w:sz w:val="24"/>
          <w:szCs w:val="24"/>
        </w:rPr>
        <w:t xml:space="preserve"> decyzji)</w:t>
      </w:r>
      <w:r w:rsidR="000766A1" w:rsidRPr="00EB21E3">
        <w:rPr>
          <w:rFonts w:ascii="Times New Roman" w:hAnsi="Times New Roman" w:cs="Times New Roman"/>
          <w:sz w:val="24"/>
          <w:szCs w:val="24"/>
        </w:rPr>
        <w:t xml:space="preserve"> przed uprawomocnieniem się decyzji wymierzającej karę. Decyzja uprawomocnia się dopiero po wyczerpaniu drogi sądowej</w:t>
      </w:r>
      <w:r w:rsidR="00C90951" w:rsidRPr="00EB21E3">
        <w:rPr>
          <w:rFonts w:ascii="Times New Roman" w:hAnsi="Times New Roman" w:cs="Times New Roman"/>
          <w:sz w:val="24"/>
          <w:szCs w:val="24"/>
        </w:rPr>
        <w:t>,</w:t>
      </w:r>
      <w:r w:rsidR="000766A1" w:rsidRPr="00EB21E3">
        <w:rPr>
          <w:rFonts w:ascii="Times New Roman" w:hAnsi="Times New Roman" w:cs="Times New Roman"/>
          <w:sz w:val="24"/>
          <w:szCs w:val="24"/>
        </w:rPr>
        <w:t xml:space="preserve"> tj. </w:t>
      </w:r>
      <w:r w:rsidR="00C90951" w:rsidRPr="00EB21E3">
        <w:rPr>
          <w:rFonts w:ascii="Times New Roman" w:hAnsi="Times New Roman" w:cs="Times New Roman"/>
          <w:sz w:val="24"/>
          <w:szCs w:val="24"/>
        </w:rPr>
        <w:t>rozpatrzeniu</w:t>
      </w:r>
      <w:r w:rsidR="000766A1" w:rsidRPr="00EB21E3">
        <w:rPr>
          <w:rFonts w:ascii="Times New Roman" w:hAnsi="Times New Roman" w:cs="Times New Roman"/>
          <w:sz w:val="24"/>
          <w:szCs w:val="24"/>
        </w:rPr>
        <w:t xml:space="preserve"> odwołania </w:t>
      </w:r>
      <w:r w:rsidR="001427B4">
        <w:rPr>
          <w:rFonts w:ascii="Times New Roman" w:hAnsi="Times New Roman" w:cs="Times New Roman"/>
          <w:sz w:val="24"/>
          <w:szCs w:val="24"/>
        </w:rPr>
        <w:t>przez Sąd Okręgowy w Warszawie –</w:t>
      </w:r>
      <w:r w:rsidR="000766A1" w:rsidRPr="00EB21E3">
        <w:rPr>
          <w:rFonts w:ascii="Times New Roman" w:hAnsi="Times New Roman" w:cs="Times New Roman"/>
          <w:sz w:val="24"/>
          <w:szCs w:val="24"/>
        </w:rPr>
        <w:t xml:space="preserve"> Sąd Ochrony Konkurencji i Konsumentów</w:t>
      </w:r>
      <w:r w:rsidR="002272CB">
        <w:rPr>
          <w:rFonts w:ascii="Times New Roman" w:hAnsi="Times New Roman" w:cs="Times New Roman"/>
          <w:sz w:val="24"/>
          <w:szCs w:val="24"/>
        </w:rPr>
        <w:t>,</w:t>
      </w:r>
      <w:r w:rsidR="000766A1" w:rsidRPr="00EB21E3">
        <w:rPr>
          <w:rFonts w:ascii="Times New Roman" w:hAnsi="Times New Roman" w:cs="Times New Roman"/>
          <w:sz w:val="24"/>
          <w:szCs w:val="24"/>
        </w:rPr>
        <w:t xml:space="preserve"> a następnie Sąd Apelacyjny w Warszawie. </w:t>
      </w:r>
    </w:p>
    <w:p w:rsidR="00692296" w:rsidRPr="00EB21E3" w:rsidRDefault="00692296" w:rsidP="00EB21E3">
      <w:pPr>
        <w:spacing w:before="120" w:after="0" w:line="360" w:lineRule="auto"/>
        <w:jc w:val="both"/>
        <w:rPr>
          <w:rFonts w:ascii="Times New Roman" w:hAnsi="Times New Roman" w:cs="Times New Roman"/>
          <w:sz w:val="24"/>
          <w:szCs w:val="24"/>
        </w:rPr>
      </w:pPr>
      <w:r w:rsidRPr="00EB21E3">
        <w:rPr>
          <w:rFonts w:ascii="Times New Roman" w:hAnsi="Times New Roman" w:cs="Times New Roman"/>
          <w:sz w:val="24"/>
          <w:szCs w:val="24"/>
        </w:rPr>
        <w:t>Zmiany</w:t>
      </w:r>
      <w:r w:rsidR="007A5DF6" w:rsidRPr="00EB21E3">
        <w:rPr>
          <w:rFonts w:ascii="Times New Roman" w:hAnsi="Times New Roman" w:cs="Times New Roman"/>
          <w:sz w:val="24"/>
          <w:szCs w:val="24"/>
        </w:rPr>
        <w:t xml:space="preserve"> ustawy</w:t>
      </w:r>
      <w:r w:rsidRPr="00EB21E3">
        <w:rPr>
          <w:rFonts w:ascii="Times New Roman" w:hAnsi="Times New Roman" w:cs="Times New Roman"/>
          <w:sz w:val="24"/>
          <w:szCs w:val="24"/>
        </w:rPr>
        <w:t xml:space="preserve"> o zapasach ropy naftowej, produktów naftowych i gazu ziemnego oraz zasadach postępowania w sytuacjach zagrożenia bezpieczeństwa paliwowego państwa i</w:t>
      </w:r>
      <w:r w:rsidR="001427B4">
        <w:rPr>
          <w:rFonts w:ascii="Times New Roman" w:hAnsi="Times New Roman" w:cs="Times New Roman"/>
          <w:sz w:val="24"/>
          <w:szCs w:val="24"/>
        </w:rPr>
        <w:t> </w:t>
      </w:r>
      <w:r w:rsidRPr="00EB21E3">
        <w:rPr>
          <w:rFonts w:ascii="Times New Roman" w:hAnsi="Times New Roman" w:cs="Times New Roman"/>
          <w:sz w:val="24"/>
          <w:szCs w:val="24"/>
        </w:rPr>
        <w:t>zakłóceń na rynku naftowym</w:t>
      </w:r>
    </w:p>
    <w:p w:rsidR="000766A1" w:rsidRPr="00EB21E3" w:rsidRDefault="000766A1" w:rsidP="00EB21E3">
      <w:pPr>
        <w:spacing w:before="120" w:after="0" w:line="360" w:lineRule="auto"/>
        <w:jc w:val="both"/>
        <w:rPr>
          <w:rFonts w:ascii="Times New Roman" w:hAnsi="Times New Roman" w:cs="Times New Roman"/>
          <w:sz w:val="24"/>
          <w:szCs w:val="24"/>
        </w:rPr>
      </w:pPr>
      <w:r w:rsidRPr="00EB21E3">
        <w:rPr>
          <w:rFonts w:ascii="Times New Roman" w:hAnsi="Times New Roman" w:cs="Times New Roman"/>
          <w:sz w:val="24"/>
          <w:szCs w:val="24"/>
        </w:rPr>
        <w:t>Zmiana ma na celu doprecyzowanie warunków wpisu podmiotów do rejestru systemu zapasów interwencyjnych poprzez obowiązek wskazywania we wniosku o wpis numeru koncesji udzielonej przez Prezesa Urzędu Regulacji Energetyki zgodnie z przepisami ustawy z dnia 10 kwietnia 1997 r. – Prawo energetyczne – w przypadku gdy jest ona wymagana. Analogicznie o tą informacj</w:t>
      </w:r>
      <w:r w:rsidR="00C90951" w:rsidRPr="00EB21E3">
        <w:rPr>
          <w:rFonts w:ascii="Times New Roman" w:hAnsi="Times New Roman" w:cs="Times New Roman"/>
          <w:sz w:val="24"/>
          <w:szCs w:val="24"/>
        </w:rPr>
        <w:t>ę</w:t>
      </w:r>
      <w:r w:rsidRPr="00EB21E3">
        <w:rPr>
          <w:rFonts w:ascii="Times New Roman" w:hAnsi="Times New Roman" w:cs="Times New Roman"/>
          <w:sz w:val="24"/>
          <w:szCs w:val="24"/>
        </w:rPr>
        <w:t xml:space="preserve"> uzupełnione zostaną dane ujmowane w</w:t>
      </w:r>
      <w:r w:rsidR="001427B4">
        <w:rPr>
          <w:rFonts w:ascii="Times New Roman" w:hAnsi="Times New Roman" w:cs="Times New Roman"/>
          <w:sz w:val="24"/>
          <w:szCs w:val="24"/>
        </w:rPr>
        <w:t> </w:t>
      </w:r>
      <w:r w:rsidRPr="00EB21E3">
        <w:rPr>
          <w:rFonts w:ascii="Times New Roman" w:hAnsi="Times New Roman" w:cs="Times New Roman"/>
          <w:sz w:val="24"/>
          <w:szCs w:val="24"/>
        </w:rPr>
        <w:t xml:space="preserve">rejestrze. Aktualnie takie dane wymagane są na podstawie rozporządzenia Ministra Gospodarki określającego wzór wniosku o wpis. </w:t>
      </w:r>
    </w:p>
    <w:p w:rsidR="00877679" w:rsidRPr="00EB21E3" w:rsidRDefault="00877679" w:rsidP="00EB21E3">
      <w:pPr>
        <w:spacing w:before="120" w:after="0" w:line="360" w:lineRule="auto"/>
        <w:rPr>
          <w:rFonts w:ascii="Times New Roman" w:hAnsi="Times New Roman" w:cs="Times New Roman"/>
          <w:sz w:val="24"/>
          <w:szCs w:val="24"/>
        </w:rPr>
      </w:pPr>
      <w:r w:rsidRPr="00EB21E3">
        <w:rPr>
          <w:rFonts w:ascii="Times New Roman" w:hAnsi="Times New Roman" w:cs="Times New Roman"/>
          <w:sz w:val="24"/>
          <w:szCs w:val="24"/>
        </w:rPr>
        <w:t>Zmiany w podatku akcyzowym</w:t>
      </w:r>
    </w:p>
    <w:p w:rsidR="00072C91" w:rsidRPr="00EB21E3" w:rsidRDefault="00072C91" w:rsidP="00EB21E3">
      <w:pPr>
        <w:spacing w:before="120" w:after="0" w:line="360" w:lineRule="auto"/>
        <w:jc w:val="both"/>
        <w:rPr>
          <w:rFonts w:ascii="Times New Roman" w:hAnsi="Times New Roman" w:cs="Times New Roman"/>
          <w:sz w:val="24"/>
          <w:szCs w:val="24"/>
        </w:rPr>
      </w:pPr>
      <w:r w:rsidRPr="00EB21E3">
        <w:rPr>
          <w:rFonts w:ascii="Times New Roman" w:hAnsi="Times New Roman" w:cs="Times New Roman"/>
          <w:sz w:val="24"/>
          <w:szCs w:val="24"/>
        </w:rPr>
        <w:t>Obecnie przestępcy tworzą fikcyjne firmy za granicą, które uzyskują koncesję OPZ i</w:t>
      </w:r>
      <w:r w:rsidR="001427B4">
        <w:rPr>
          <w:rFonts w:ascii="Times New Roman" w:hAnsi="Times New Roman" w:cs="Times New Roman"/>
          <w:sz w:val="24"/>
          <w:szCs w:val="24"/>
        </w:rPr>
        <w:t> </w:t>
      </w:r>
      <w:r w:rsidRPr="00EB21E3">
        <w:rPr>
          <w:rFonts w:ascii="Times New Roman" w:hAnsi="Times New Roman" w:cs="Times New Roman"/>
          <w:sz w:val="24"/>
          <w:szCs w:val="24"/>
        </w:rPr>
        <w:t>pełnią</w:t>
      </w:r>
      <w:r w:rsidR="001427B4">
        <w:rPr>
          <w:rFonts w:ascii="Times New Roman" w:hAnsi="Times New Roman" w:cs="Times New Roman"/>
          <w:sz w:val="24"/>
          <w:szCs w:val="24"/>
        </w:rPr>
        <w:t xml:space="preserve"> </w:t>
      </w:r>
      <w:r w:rsidRPr="00EB21E3">
        <w:rPr>
          <w:rFonts w:ascii="Times New Roman" w:hAnsi="Times New Roman" w:cs="Times New Roman"/>
          <w:sz w:val="24"/>
          <w:szCs w:val="24"/>
        </w:rPr>
        <w:t>funkcje pośredników w dostawach paliw z wykorzystaniem mechanizmu uproszczonych</w:t>
      </w:r>
      <w:r w:rsidR="001427B4">
        <w:rPr>
          <w:rFonts w:ascii="Times New Roman" w:hAnsi="Times New Roman" w:cs="Times New Roman"/>
          <w:sz w:val="24"/>
          <w:szCs w:val="24"/>
        </w:rPr>
        <w:t xml:space="preserve"> </w:t>
      </w:r>
      <w:r w:rsidRPr="00EB21E3">
        <w:rPr>
          <w:rFonts w:ascii="Times New Roman" w:hAnsi="Times New Roman" w:cs="Times New Roman"/>
          <w:sz w:val="24"/>
          <w:szCs w:val="24"/>
        </w:rPr>
        <w:t>transakcji trójstronnych. „Wyprowadzenie” koncesji OPZ poza granice kraju z</w:t>
      </w:r>
      <w:r w:rsidR="00EB21E3">
        <w:rPr>
          <w:rFonts w:ascii="Times New Roman" w:hAnsi="Times New Roman" w:cs="Times New Roman"/>
          <w:sz w:val="24"/>
          <w:szCs w:val="24"/>
        </w:rPr>
        <w:t xml:space="preserve"> </w:t>
      </w:r>
      <w:r w:rsidRPr="00EB21E3">
        <w:rPr>
          <w:rFonts w:ascii="Times New Roman" w:hAnsi="Times New Roman" w:cs="Times New Roman"/>
          <w:sz w:val="24"/>
          <w:szCs w:val="24"/>
        </w:rPr>
        <w:t>wykorzystaniem podmiotu, który dzięki ułatwieniom w rozliczaniu międzynarodowych transakcji trójstronnych nie posiada żadnych obowiązków podatkowych w kraju</w:t>
      </w:r>
      <w:r w:rsidR="002272CB">
        <w:rPr>
          <w:rFonts w:ascii="Times New Roman" w:hAnsi="Times New Roman" w:cs="Times New Roman"/>
          <w:sz w:val="24"/>
          <w:szCs w:val="24"/>
        </w:rPr>
        <w:t>,</w:t>
      </w:r>
      <w:r w:rsidRPr="00EB21E3">
        <w:rPr>
          <w:rFonts w:ascii="Times New Roman" w:hAnsi="Times New Roman" w:cs="Times New Roman"/>
          <w:sz w:val="24"/>
          <w:szCs w:val="24"/>
        </w:rPr>
        <w:t xml:space="preserve"> powoduje, że egzekwowanie nałożonego na te podmioty zabezpieczenia majątkowego staje się niemożliwe. Proponowane zmiany w ustawie o</w:t>
      </w:r>
      <w:r w:rsidR="001427B4">
        <w:rPr>
          <w:rFonts w:ascii="Times New Roman" w:hAnsi="Times New Roman" w:cs="Times New Roman"/>
          <w:sz w:val="24"/>
          <w:szCs w:val="24"/>
        </w:rPr>
        <w:t> </w:t>
      </w:r>
      <w:r w:rsidRPr="00EB21E3">
        <w:rPr>
          <w:rFonts w:ascii="Times New Roman" w:hAnsi="Times New Roman" w:cs="Times New Roman"/>
          <w:sz w:val="24"/>
          <w:szCs w:val="24"/>
        </w:rPr>
        <w:t xml:space="preserve">podatku akcyzowym obejmują ograniczenie wykonywania funkcji usługowej przez </w:t>
      </w:r>
      <w:r w:rsidRPr="00EB21E3">
        <w:rPr>
          <w:rFonts w:ascii="Times New Roman" w:hAnsi="Times New Roman" w:cs="Times New Roman"/>
          <w:sz w:val="24"/>
          <w:szCs w:val="24"/>
        </w:rPr>
        <w:lastRenderedPageBreak/>
        <w:t xml:space="preserve">składy podatkowe i zarejestrowanych odbiorców. Ograniczenie polegać będzie na możliwości świadczenia usług wyłącznie na rzecz podmiotów mających siedzibę lub miejsce zamieszkania na terytorium kraju lub podmiotów zagranicznych posiadających oddział z siedzibą na terytorium kraju oraz dotyczyć będzie wyłącznie sytuacji nabywania paliw silnikowych, z wyłączeniem paliw zwolnionych z akcyzy. Rozwiązanie to pozwoli powiązać obowiązek koncesyjny ze statusem podatnika podatku VAT od transakcji międzynarodowego obrotu paliwami i w sposób zasadniczy zwiększy możliwości nadzoru właściwych organów nad realizacją obowiązków podatkowych i administracyjnych związanych z obrotem paliwami. </w:t>
      </w:r>
    </w:p>
    <w:p w:rsidR="00877679" w:rsidRPr="00EB21E3" w:rsidRDefault="00072C91" w:rsidP="00EB21E3">
      <w:pPr>
        <w:spacing w:before="120" w:after="0" w:line="360" w:lineRule="auto"/>
        <w:jc w:val="both"/>
        <w:rPr>
          <w:rFonts w:ascii="Times New Roman" w:hAnsi="Times New Roman" w:cs="Times New Roman"/>
          <w:sz w:val="24"/>
          <w:szCs w:val="24"/>
        </w:rPr>
      </w:pPr>
      <w:r w:rsidRPr="00EB21E3">
        <w:rPr>
          <w:rFonts w:ascii="Times New Roman" w:hAnsi="Times New Roman" w:cs="Times New Roman"/>
          <w:sz w:val="24"/>
          <w:szCs w:val="24"/>
        </w:rPr>
        <w:t>W celu usprawnienia monitorowania wywiązywania się przez składy podatkowe i</w:t>
      </w:r>
      <w:r w:rsidR="001427B4">
        <w:rPr>
          <w:rFonts w:ascii="Times New Roman" w:hAnsi="Times New Roman" w:cs="Times New Roman"/>
          <w:sz w:val="24"/>
          <w:szCs w:val="24"/>
        </w:rPr>
        <w:t> </w:t>
      </w:r>
      <w:r w:rsidRPr="00EB21E3">
        <w:rPr>
          <w:rFonts w:ascii="Times New Roman" w:hAnsi="Times New Roman" w:cs="Times New Roman"/>
          <w:sz w:val="24"/>
          <w:szCs w:val="24"/>
        </w:rPr>
        <w:t>zarejestrowanych obiorców z obowiązku weryfikacji posiadania przez ich klientów koncesji paliwowej, informacja o podmiotach, na rzecz których dokonano w danym miesiącu nabyć wewnątrzwspólnotowych paliw silnikowych</w:t>
      </w:r>
      <w:r w:rsidR="002272CB">
        <w:rPr>
          <w:rFonts w:ascii="Times New Roman" w:hAnsi="Times New Roman" w:cs="Times New Roman"/>
          <w:sz w:val="24"/>
          <w:szCs w:val="24"/>
        </w:rPr>
        <w:t>,</w:t>
      </w:r>
      <w:r w:rsidRPr="00EB21E3">
        <w:rPr>
          <w:rFonts w:ascii="Times New Roman" w:hAnsi="Times New Roman" w:cs="Times New Roman"/>
          <w:sz w:val="24"/>
          <w:szCs w:val="24"/>
        </w:rPr>
        <w:t xml:space="preserve"> będzie przekazywana, obok Prezesa Agencji Rezerw Materiałowych, również ministrowi właściwemu do spraw finansów publicznych. Proponowane zmiany zakładają również wyłączenie możliwości nabywania paliw na rzecz innych podmiotów poza procedurą zawieszenia poboru akcyzy. Natomiast nabycie paliwa poza procedurą zawieszenia poboru akcyzy na własną rzecz ograniczone byłoby do podmiotów, które posiadają koncesję na obrót paliwami z zagranicą lub wpis do rejestru systemu zapasów interwencyjnych.</w:t>
      </w:r>
    </w:p>
    <w:p w:rsidR="00CE64A1" w:rsidRPr="00EB21E3" w:rsidRDefault="00CE64A1" w:rsidP="00EB21E3">
      <w:pPr>
        <w:spacing w:before="120" w:after="0" w:line="360" w:lineRule="auto"/>
        <w:jc w:val="both"/>
        <w:rPr>
          <w:rFonts w:ascii="Times New Roman" w:hAnsi="Times New Roman" w:cs="Times New Roman"/>
          <w:sz w:val="24"/>
          <w:szCs w:val="24"/>
        </w:rPr>
      </w:pPr>
      <w:r w:rsidRPr="00EB21E3">
        <w:rPr>
          <w:rFonts w:ascii="Times New Roman" w:hAnsi="Times New Roman" w:cs="Times New Roman"/>
          <w:sz w:val="24"/>
          <w:szCs w:val="24"/>
        </w:rPr>
        <w:t>Przepisy przejściowe</w:t>
      </w:r>
    </w:p>
    <w:p w:rsidR="00AF6D05" w:rsidRPr="00EB21E3" w:rsidRDefault="002F0CED" w:rsidP="00EB21E3">
      <w:pPr>
        <w:spacing w:before="120" w:after="0" w:line="360" w:lineRule="auto"/>
        <w:jc w:val="both"/>
        <w:rPr>
          <w:rFonts w:ascii="Times New Roman" w:hAnsi="Times New Roman" w:cs="Times New Roman"/>
          <w:sz w:val="24"/>
          <w:szCs w:val="24"/>
        </w:rPr>
      </w:pPr>
      <w:r w:rsidRPr="00EB21E3">
        <w:rPr>
          <w:rFonts w:ascii="Times New Roman" w:hAnsi="Times New Roman" w:cs="Times New Roman"/>
          <w:sz w:val="24"/>
          <w:szCs w:val="24"/>
        </w:rPr>
        <w:t xml:space="preserve">Proponowany art. </w:t>
      </w:r>
      <w:r w:rsidR="00CA788A" w:rsidRPr="00EB21E3">
        <w:rPr>
          <w:rFonts w:ascii="Times New Roman" w:hAnsi="Times New Roman" w:cs="Times New Roman"/>
          <w:sz w:val="24"/>
          <w:szCs w:val="24"/>
        </w:rPr>
        <w:t>5</w:t>
      </w:r>
      <w:r w:rsidRPr="00EB21E3">
        <w:rPr>
          <w:rFonts w:ascii="Times New Roman" w:hAnsi="Times New Roman" w:cs="Times New Roman"/>
          <w:sz w:val="24"/>
          <w:szCs w:val="24"/>
        </w:rPr>
        <w:t xml:space="preserve"> </w:t>
      </w:r>
      <w:r w:rsidR="0091273B" w:rsidRPr="00EB21E3">
        <w:rPr>
          <w:rFonts w:ascii="Times New Roman" w:hAnsi="Times New Roman" w:cs="Times New Roman"/>
          <w:sz w:val="24"/>
          <w:szCs w:val="24"/>
        </w:rPr>
        <w:t xml:space="preserve">ma na celu </w:t>
      </w:r>
      <w:r w:rsidRPr="00EB21E3">
        <w:rPr>
          <w:rFonts w:ascii="Times New Roman" w:hAnsi="Times New Roman" w:cs="Times New Roman"/>
          <w:sz w:val="24"/>
          <w:szCs w:val="24"/>
        </w:rPr>
        <w:t>dostosowani</w:t>
      </w:r>
      <w:r w:rsidR="002272CB">
        <w:rPr>
          <w:rFonts w:ascii="Times New Roman" w:hAnsi="Times New Roman" w:cs="Times New Roman"/>
          <w:sz w:val="24"/>
          <w:szCs w:val="24"/>
        </w:rPr>
        <w:t>e</w:t>
      </w:r>
      <w:r w:rsidR="0091273B" w:rsidRPr="00EB21E3">
        <w:rPr>
          <w:rFonts w:ascii="Times New Roman" w:hAnsi="Times New Roman" w:cs="Times New Roman"/>
          <w:sz w:val="24"/>
          <w:szCs w:val="24"/>
        </w:rPr>
        <w:t xml:space="preserve"> prowadzenia działalności </w:t>
      </w:r>
      <w:r w:rsidRPr="00EB21E3">
        <w:rPr>
          <w:rFonts w:ascii="Times New Roman" w:hAnsi="Times New Roman" w:cs="Times New Roman"/>
          <w:sz w:val="24"/>
          <w:szCs w:val="24"/>
        </w:rPr>
        <w:t xml:space="preserve">przez podmioty posiadające koncesje na wytwarzanie paliw i obrót </w:t>
      </w:r>
      <w:r w:rsidR="006E3839" w:rsidRPr="00EB21E3">
        <w:rPr>
          <w:rFonts w:ascii="Times New Roman" w:hAnsi="Times New Roman" w:cs="Times New Roman"/>
          <w:sz w:val="24"/>
          <w:szCs w:val="24"/>
        </w:rPr>
        <w:t xml:space="preserve">paliwami ciekłymi z zagranicą do </w:t>
      </w:r>
      <w:r w:rsidRPr="00EB21E3">
        <w:rPr>
          <w:rFonts w:ascii="Times New Roman" w:hAnsi="Times New Roman" w:cs="Times New Roman"/>
          <w:sz w:val="24"/>
          <w:szCs w:val="24"/>
        </w:rPr>
        <w:t xml:space="preserve">warunków wynikających </w:t>
      </w:r>
      <w:r w:rsidR="0091273B" w:rsidRPr="00EB21E3">
        <w:rPr>
          <w:rFonts w:ascii="Times New Roman" w:hAnsi="Times New Roman" w:cs="Times New Roman"/>
          <w:sz w:val="24"/>
          <w:szCs w:val="24"/>
        </w:rPr>
        <w:t xml:space="preserve">z </w:t>
      </w:r>
      <w:r w:rsidRPr="00EB21E3">
        <w:rPr>
          <w:rFonts w:ascii="Times New Roman" w:hAnsi="Times New Roman" w:cs="Times New Roman"/>
          <w:sz w:val="24"/>
          <w:szCs w:val="24"/>
        </w:rPr>
        <w:t>przepisów znowelizowanych ustaw</w:t>
      </w:r>
      <w:r w:rsidR="0091273B" w:rsidRPr="00EB21E3">
        <w:rPr>
          <w:rFonts w:ascii="Times New Roman" w:hAnsi="Times New Roman" w:cs="Times New Roman"/>
          <w:sz w:val="24"/>
          <w:szCs w:val="24"/>
        </w:rPr>
        <w:t>.</w:t>
      </w:r>
    </w:p>
    <w:p w:rsidR="000766A1" w:rsidRPr="00EB21E3" w:rsidRDefault="000766A1" w:rsidP="00EB21E3">
      <w:pPr>
        <w:spacing w:before="120" w:after="0" w:line="360" w:lineRule="auto"/>
        <w:jc w:val="both"/>
        <w:rPr>
          <w:rFonts w:ascii="Times New Roman" w:hAnsi="Times New Roman" w:cs="Times New Roman"/>
          <w:sz w:val="24"/>
          <w:szCs w:val="24"/>
        </w:rPr>
      </w:pPr>
      <w:r w:rsidRPr="00EB21E3">
        <w:rPr>
          <w:rFonts w:ascii="Times New Roman" w:hAnsi="Times New Roman" w:cs="Times New Roman"/>
          <w:sz w:val="24"/>
          <w:szCs w:val="24"/>
        </w:rPr>
        <w:t>Zgodnie z ust. 1 podmioty koncesjonowane, które nie posiadają siedziby w kraju lub nie prowadzą w kraju działalności gospodarczej za pośrednictwem oddziału, a także nie zostały zarejestrowane jako podatnicy VAT</w:t>
      </w:r>
      <w:r w:rsidR="002272CB">
        <w:rPr>
          <w:rFonts w:ascii="Times New Roman" w:hAnsi="Times New Roman" w:cs="Times New Roman"/>
          <w:sz w:val="24"/>
          <w:szCs w:val="24"/>
        </w:rPr>
        <w:t>,</w:t>
      </w:r>
      <w:r w:rsidRPr="00EB21E3">
        <w:rPr>
          <w:rFonts w:ascii="Times New Roman" w:hAnsi="Times New Roman" w:cs="Times New Roman"/>
          <w:sz w:val="24"/>
          <w:szCs w:val="24"/>
        </w:rPr>
        <w:t xml:space="preserve"> będą zobowiązane do dostosowania prowadzonej działalności do tych warunków oraz</w:t>
      </w:r>
      <w:r w:rsidR="00EB21E3">
        <w:rPr>
          <w:rFonts w:ascii="Times New Roman" w:hAnsi="Times New Roman" w:cs="Times New Roman"/>
          <w:sz w:val="24"/>
          <w:szCs w:val="24"/>
        </w:rPr>
        <w:t xml:space="preserve"> </w:t>
      </w:r>
      <w:r w:rsidRPr="00EB21E3">
        <w:rPr>
          <w:rFonts w:ascii="Times New Roman" w:hAnsi="Times New Roman" w:cs="Times New Roman"/>
          <w:sz w:val="24"/>
          <w:szCs w:val="24"/>
        </w:rPr>
        <w:t>do złożenia kompletnego wniosku o</w:t>
      </w:r>
      <w:r w:rsidR="001427B4">
        <w:rPr>
          <w:rFonts w:ascii="Times New Roman" w:hAnsi="Times New Roman" w:cs="Times New Roman"/>
          <w:sz w:val="24"/>
          <w:szCs w:val="24"/>
        </w:rPr>
        <w:t> </w:t>
      </w:r>
      <w:r w:rsidRPr="00EB21E3">
        <w:rPr>
          <w:rFonts w:ascii="Times New Roman" w:hAnsi="Times New Roman" w:cs="Times New Roman"/>
          <w:sz w:val="24"/>
          <w:szCs w:val="24"/>
        </w:rPr>
        <w:t>zmianę tej koncesji, w terminie 2 miesięcy od dnia wejścia w życie niniejszej</w:t>
      </w:r>
      <w:r w:rsidR="00EB21E3">
        <w:rPr>
          <w:rFonts w:ascii="Times New Roman" w:hAnsi="Times New Roman" w:cs="Times New Roman"/>
          <w:sz w:val="24"/>
          <w:szCs w:val="24"/>
        </w:rPr>
        <w:t xml:space="preserve"> </w:t>
      </w:r>
      <w:r w:rsidRPr="00EB21E3">
        <w:rPr>
          <w:rFonts w:ascii="Times New Roman" w:hAnsi="Times New Roman" w:cs="Times New Roman"/>
          <w:sz w:val="24"/>
          <w:szCs w:val="24"/>
        </w:rPr>
        <w:t xml:space="preserve">ustawy. Niezłożenie wniosku będzie powodowało wygaśnięcie koncesji z mocy prawa. Prezes URE w ciągu 2 miesięcy od otrzymania kompletnego wniosku będzie zobowiązany do wydania decyzji zmieniającej aktualną koncesję lub cofającej koncesję, jeżeli wnioskodawca nie będzie spełniał warunków do prowadzenia działalności </w:t>
      </w:r>
      <w:r w:rsidRPr="00EB21E3">
        <w:rPr>
          <w:rFonts w:ascii="Times New Roman" w:hAnsi="Times New Roman" w:cs="Times New Roman"/>
          <w:sz w:val="24"/>
          <w:szCs w:val="24"/>
        </w:rPr>
        <w:lastRenderedPageBreak/>
        <w:t xml:space="preserve">koncesjonowanej. Zasadą jest, że </w:t>
      </w:r>
      <w:r w:rsidR="00024709" w:rsidRPr="00EB21E3">
        <w:rPr>
          <w:rFonts w:ascii="Times New Roman" w:hAnsi="Times New Roman" w:cs="Times New Roman"/>
          <w:sz w:val="24"/>
          <w:szCs w:val="24"/>
        </w:rPr>
        <w:t xml:space="preserve">złożenie </w:t>
      </w:r>
      <w:r w:rsidR="00C90951" w:rsidRPr="00EB21E3">
        <w:rPr>
          <w:rFonts w:ascii="Times New Roman" w:hAnsi="Times New Roman" w:cs="Times New Roman"/>
          <w:sz w:val="24"/>
          <w:szCs w:val="24"/>
        </w:rPr>
        <w:t xml:space="preserve">kompletnego </w:t>
      </w:r>
      <w:r w:rsidR="00024709" w:rsidRPr="00EB21E3">
        <w:rPr>
          <w:rFonts w:ascii="Times New Roman" w:hAnsi="Times New Roman" w:cs="Times New Roman"/>
          <w:sz w:val="24"/>
          <w:szCs w:val="24"/>
        </w:rPr>
        <w:t xml:space="preserve">wniosku umożliwi podmiotom prowadzenie działalności w oparciu o dotychczasową koncesję. Jeżeli jednak Prezes URE stwierdzi, że przedsiębiorstwo wnioskujące o zmianę koncesji nie </w:t>
      </w:r>
      <w:r w:rsidR="00C90951" w:rsidRPr="00EB21E3">
        <w:rPr>
          <w:rFonts w:ascii="Times New Roman" w:hAnsi="Times New Roman" w:cs="Times New Roman"/>
          <w:sz w:val="24"/>
          <w:szCs w:val="24"/>
        </w:rPr>
        <w:t>złożyło kompletnego wniosku</w:t>
      </w:r>
      <w:r w:rsidR="002272CB">
        <w:rPr>
          <w:rFonts w:ascii="Times New Roman" w:hAnsi="Times New Roman" w:cs="Times New Roman"/>
          <w:sz w:val="24"/>
          <w:szCs w:val="24"/>
        </w:rPr>
        <w:t>,</w:t>
      </w:r>
      <w:r w:rsidR="00024709" w:rsidRPr="00EB21E3">
        <w:rPr>
          <w:rFonts w:ascii="Times New Roman" w:hAnsi="Times New Roman" w:cs="Times New Roman"/>
          <w:sz w:val="24"/>
          <w:szCs w:val="24"/>
        </w:rPr>
        <w:t xml:space="preserve"> wezwie do </w:t>
      </w:r>
      <w:r w:rsidR="00C90951" w:rsidRPr="00EB21E3">
        <w:rPr>
          <w:rFonts w:ascii="Times New Roman" w:hAnsi="Times New Roman" w:cs="Times New Roman"/>
          <w:sz w:val="24"/>
          <w:szCs w:val="24"/>
        </w:rPr>
        <w:t xml:space="preserve">jego </w:t>
      </w:r>
      <w:r w:rsidR="00024709" w:rsidRPr="00EB21E3">
        <w:rPr>
          <w:rFonts w:ascii="Times New Roman" w:hAnsi="Times New Roman" w:cs="Times New Roman"/>
          <w:sz w:val="24"/>
          <w:szCs w:val="24"/>
        </w:rPr>
        <w:t>uzupełnienia. Przy braku uzupełnienia wniosku mimo wezwania przez Prezesa URE, z upływem terminu na uzupełnienie wniosku, przedsiębiorstwo straci możliwość prowadzenia działalności w oparciu o</w:t>
      </w:r>
      <w:r w:rsidR="001427B4">
        <w:rPr>
          <w:rFonts w:ascii="Times New Roman" w:hAnsi="Times New Roman" w:cs="Times New Roman"/>
          <w:sz w:val="24"/>
          <w:szCs w:val="24"/>
        </w:rPr>
        <w:t> </w:t>
      </w:r>
      <w:r w:rsidR="00024709" w:rsidRPr="00EB21E3">
        <w:rPr>
          <w:rFonts w:ascii="Times New Roman" w:hAnsi="Times New Roman" w:cs="Times New Roman"/>
          <w:sz w:val="24"/>
          <w:szCs w:val="24"/>
        </w:rPr>
        <w:t>dotychczasową koncesję</w:t>
      </w:r>
      <w:r w:rsidR="00383E10">
        <w:rPr>
          <w:rFonts w:ascii="Times New Roman" w:hAnsi="Times New Roman" w:cs="Times New Roman"/>
          <w:sz w:val="24"/>
          <w:szCs w:val="24"/>
        </w:rPr>
        <w:t>,</w:t>
      </w:r>
      <w:r w:rsidR="00024709" w:rsidRPr="00EB21E3">
        <w:rPr>
          <w:rFonts w:ascii="Times New Roman" w:hAnsi="Times New Roman" w:cs="Times New Roman"/>
          <w:sz w:val="24"/>
          <w:szCs w:val="24"/>
        </w:rPr>
        <w:t xml:space="preserve"> a Prezes URE stwierdzi wygaśnięcie dotychczasowej koncesji.</w:t>
      </w:r>
      <w:r w:rsidR="00EB21E3">
        <w:rPr>
          <w:rFonts w:ascii="Times New Roman" w:hAnsi="Times New Roman" w:cs="Times New Roman"/>
          <w:sz w:val="24"/>
          <w:szCs w:val="24"/>
        </w:rPr>
        <w:t xml:space="preserve"> </w:t>
      </w:r>
      <w:r w:rsidR="00024709" w:rsidRPr="00EB21E3">
        <w:rPr>
          <w:rFonts w:ascii="Times New Roman" w:hAnsi="Times New Roman" w:cs="Times New Roman"/>
          <w:sz w:val="24"/>
          <w:szCs w:val="24"/>
        </w:rPr>
        <w:t xml:space="preserve">Taka regulacja ma zapobiegać unikaniu przez podmioty koncesjonowane obowiązku dostosowania działalności do </w:t>
      </w:r>
      <w:r w:rsidR="00C90951" w:rsidRPr="00EB21E3">
        <w:rPr>
          <w:rFonts w:ascii="Times New Roman" w:hAnsi="Times New Roman" w:cs="Times New Roman"/>
          <w:sz w:val="24"/>
          <w:szCs w:val="24"/>
        </w:rPr>
        <w:t>nowych</w:t>
      </w:r>
      <w:r w:rsidR="00024709" w:rsidRPr="00EB21E3">
        <w:rPr>
          <w:rFonts w:ascii="Times New Roman" w:hAnsi="Times New Roman" w:cs="Times New Roman"/>
          <w:sz w:val="24"/>
          <w:szCs w:val="24"/>
        </w:rPr>
        <w:t xml:space="preserve"> warunków</w:t>
      </w:r>
      <w:r w:rsidR="00C90951" w:rsidRPr="00EB21E3">
        <w:rPr>
          <w:rFonts w:ascii="Times New Roman" w:hAnsi="Times New Roman" w:cs="Times New Roman"/>
          <w:sz w:val="24"/>
          <w:szCs w:val="24"/>
        </w:rPr>
        <w:t>,</w:t>
      </w:r>
      <w:r w:rsidR="00024709" w:rsidRPr="00EB21E3">
        <w:rPr>
          <w:rFonts w:ascii="Times New Roman" w:hAnsi="Times New Roman" w:cs="Times New Roman"/>
          <w:sz w:val="24"/>
          <w:szCs w:val="24"/>
        </w:rPr>
        <w:t xml:space="preserve"> poprzez działania związane z</w:t>
      </w:r>
      <w:r w:rsidR="00C90951" w:rsidRPr="00EB21E3">
        <w:rPr>
          <w:rFonts w:ascii="Times New Roman" w:hAnsi="Times New Roman" w:cs="Times New Roman"/>
          <w:sz w:val="24"/>
          <w:szCs w:val="24"/>
        </w:rPr>
        <w:t xml:space="preserve"> wykorzystywaniem</w:t>
      </w:r>
      <w:r w:rsidR="00024709" w:rsidRPr="00EB21E3">
        <w:rPr>
          <w:rFonts w:ascii="Times New Roman" w:hAnsi="Times New Roman" w:cs="Times New Roman"/>
          <w:sz w:val="24"/>
          <w:szCs w:val="24"/>
        </w:rPr>
        <w:t xml:space="preserve"> przepisów procedury administracyjnej</w:t>
      </w:r>
      <w:r w:rsidR="00C90951" w:rsidRPr="00EB21E3">
        <w:rPr>
          <w:rFonts w:ascii="Times New Roman" w:hAnsi="Times New Roman" w:cs="Times New Roman"/>
          <w:sz w:val="24"/>
          <w:szCs w:val="24"/>
        </w:rPr>
        <w:t>, w celu dalszego prowadzenia działalności gospodarczej w oparciu o dotychczasową koncesję</w:t>
      </w:r>
      <w:r w:rsidR="00024709" w:rsidRPr="00EB21E3">
        <w:rPr>
          <w:rFonts w:ascii="Times New Roman" w:hAnsi="Times New Roman" w:cs="Times New Roman"/>
          <w:sz w:val="24"/>
          <w:szCs w:val="24"/>
        </w:rPr>
        <w:t>.</w:t>
      </w:r>
    </w:p>
    <w:p w:rsidR="00024709" w:rsidRPr="00EB21E3" w:rsidRDefault="00024709" w:rsidP="00EB21E3">
      <w:pPr>
        <w:spacing w:before="120" w:after="0" w:line="360" w:lineRule="auto"/>
        <w:jc w:val="both"/>
        <w:rPr>
          <w:rFonts w:ascii="Times New Roman" w:hAnsi="Times New Roman" w:cs="Times New Roman"/>
          <w:sz w:val="24"/>
          <w:szCs w:val="24"/>
        </w:rPr>
      </w:pPr>
      <w:r w:rsidRPr="00EB21E3">
        <w:rPr>
          <w:rFonts w:ascii="Times New Roman" w:hAnsi="Times New Roman" w:cs="Times New Roman"/>
          <w:sz w:val="24"/>
          <w:szCs w:val="24"/>
        </w:rPr>
        <w:t xml:space="preserve">Przepis art. 6 zobowiązuje Prezesa Agencji Rezerw Materiałowych do uzupełnienia rejestru systemu zapasów interwencyjnych o dane dotyczące koncesji podmiotów wpisanych do rejestru. </w:t>
      </w:r>
    </w:p>
    <w:p w:rsidR="00024709" w:rsidRPr="00EB21E3" w:rsidRDefault="00024709" w:rsidP="00EB21E3">
      <w:pPr>
        <w:spacing w:before="120" w:after="0" w:line="360" w:lineRule="auto"/>
        <w:jc w:val="both"/>
        <w:rPr>
          <w:rFonts w:ascii="Times New Roman" w:hAnsi="Times New Roman" w:cs="Times New Roman"/>
          <w:sz w:val="24"/>
          <w:szCs w:val="24"/>
        </w:rPr>
      </w:pPr>
      <w:r w:rsidRPr="00EB21E3">
        <w:rPr>
          <w:rFonts w:ascii="Times New Roman" w:hAnsi="Times New Roman" w:cs="Times New Roman"/>
          <w:sz w:val="24"/>
          <w:szCs w:val="24"/>
        </w:rPr>
        <w:t>Art. 7 zachowuje w mocy przepisy aktów wykonawczych wydanych na podstawie ustawy o podatku akcyzowym na okres niezbędny do ich dostosowania do zmian ustawowych.</w:t>
      </w:r>
    </w:p>
    <w:p w:rsidR="001427B4" w:rsidRDefault="00024709" w:rsidP="00EB21E3">
      <w:pPr>
        <w:spacing w:before="120" w:after="0" w:line="360" w:lineRule="auto"/>
        <w:jc w:val="both"/>
        <w:rPr>
          <w:rFonts w:ascii="Times New Roman" w:hAnsi="Times New Roman" w:cs="Times New Roman"/>
          <w:sz w:val="24"/>
          <w:szCs w:val="24"/>
        </w:rPr>
      </w:pPr>
      <w:r w:rsidRPr="00EB21E3">
        <w:rPr>
          <w:rFonts w:ascii="Times New Roman" w:hAnsi="Times New Roman" w:cs="Times New Roman"/>
          <w:sz w:val="24"/>
          <w:szCs w:val="24"/>
        </w:rPr>
        <w:t>Art.</w:t>
      </w:r>
      <w:r w:rsidR="00EB21E3">
        <w:rPr>
          <w:rFonts w:ascii="Times New Roman" w:hAnsi="Times New Roman" w:cs="Times New Roman"/>
          <w:sz w:val="24"/>
          <w:szCs w:val="24"/>
        </w:rPr>
        <w:t xml:space="preserve"> </w:t>
      </w:r>
      <w:r w:rsidRPr="00EB21E3">
        <w:rPr>
          <w:rFonts w:ascii="Times New Roman" w:hAnsi="Times New Roman" w:cs="Times New Roman"/>
          <w:sz w:val="24"/>
          <w:szCs w:val="24"/>
        </w:rPr>
        <w:t>8. Termin wejścia w życie wynika z konieczności uwzględnienia okresów rozliczania podatku od towarów i usług</w:t>
      </w:r>
      <w:r w:rsidR="00CA788A" w:rsidRPr="00EB21E3">
        <w:rPr>
          <w:rFonts w:ascii="Times New Roman" w:hAnsi="Times New Roman" w:cs="Times New Roman"/>
          <w:sz w:val="24"/>
          <w:szCs w:val="24"/>
        </w:rPr>
        <w:t xml:space="preserve"> i został określony na</w:t>
      </w:r>
      <w:r w:rsidR="00184EE3" w:rsidRPr="00EB21E3">
        <w:rPr>
          <w:rFonts w:ascii="Times New Roman" w:hAnsi="Times New Roman" w:cs="Times New Roman"/>
          <w:sz w:val="24"/>
          <w:szCs w:val="24"/>
        </w:rPr>
        <w:t xml:space="preserve"> </w:t>
      </w:r>
      <w:r w:rsidR="00CA788A" w:rsidRPr="00EB21E3">
        <w:rPr>
          <w:rFonts w:ascii="Times New Roman" w:hAnsi="Times New Roman" w:cs="Times New Roman"/>
          <w:sz w:val="24"/>
          <w:szCs w:val="24"/>
        </w:rPr>
        <w:t>dzień 1 sierpnia 2016 r.</w:t>
      </w:r>
    </w:p>
    <w:p w:rsidR="0039764B" w:rsidRDefault="0039764B" w:rsidP="00EB21E3">
      <w:pPr>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Nie wpłynęły zgłoszenia podmiotów zainteresowanych pracami nad projektem ustawy o zmianie ustawy o podatku od towarów i usług oraz niektórych innych ustaw w trybie przepisów o działalności lobbingowej w procesie stanowienia prawa.</w:t>
      </w:r>
    </w:p>
    <w:p w:rsidR="00090C46" w:rsidRPr="00090C46" w:rsidRDefault="00090C46" w:rsidP="00EB21E3">
      <w:pPr>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Projekt nie podlega notyfikacji zgodnie z trybem przewidzianym w przepisach dotyczących sposobu funkcjonowania krajowego systemu notyfikacji norm i aktów prawnych.</w:t>
      </w:r>
    </w:p>
    <w:sectPr w:rsidR="00090C46" w:rsidRPr="00090C46" w:rsidSect="00EB21E3">
      <w:footerReference w:type="default" r:id="rId9"/>
      <w:pgSz w:w="11906" w:h="16838" w:code="9"/>
      <w:pgMar w:top="1588" w:right="1418" w:bottom="1418" w:left="1985"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145B1" w:rsidRDefault="007145B1" w:rsidP="00C13047">
      <w:pPr>
        <w:spacing w:after="0" w:line="240" w:lineRule="auto"/>
      </w:pPr>
      <w:r>
        <w:separator/>
      </w:r>
    </w:p>
  </w:endnote>
  <w:endnote w:type="continuationSeparator" w:id="0">
    <w:p w:rsidR="007145B1" w:rsidRDefault="007145B1" w:rsidP="00C130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onsolas">
    <w:panose1 w:val="020B0609020204030204"/>
    <w:charset w:val="EE"/>
    <w:family w:val="modern"/>
    <w:pitch w:val="fixed"/>
    <w:sig w:usb0="E10002FF" w:usb1="4000FCFF" w:usb2="00000009" w:usb3="00000000" w:csb0="000001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86103670"/>
      <w:docPartObj>
        <w:docPartGallery w:val="Page Numbers (Bottom of Page)"/>
        <w:docPartUnique/>
      </w:docPartObj>
    </w:sdtPr>
    <w:sdtEndPr>
      <w:rPr>
        <w:rFonts w:ascii="Times New Roman" w:hAnsi="Times New Roman" w:cs="Times New Roman"/>
        <w:sz w:val="24"/>
        <w:szCs w:val="24"/>
      </w:rPr>
    </w:sdtEndPr>
    <w:sdtContent>
      <w:p w:rsidR="007A206B" w:rsidRPr="001427B4" w:rsidRDefault="00EB21E3" w:rsidP="00EB21E3">
        <w:pPr>
          <w:pStyle w:val="Stopka"/>
          <w:jc w:val="center"/>
          <w:rPr>
            <w:rFonts w:ascii="Times New Roman" w:hAnsi="Times New Roman" w:cs="Times New Roman"/>
            <w:sz w:val="24"/>
            <w:szCs w:val="24"/>
          </w:rPr>
        </w:pPr>
        <w:r w:rsidRPr="001427B4">
          <w:rPr>
            <w:rFonts w:ascii="Times New Roman" w:hAnsi="Times New Roman" w:cs="Times New Roman"/>
            <w:sz w:val="24"/>
            <w:szCs w:val="24"/>
          </w:rPr>
          <w:fldChar w:fldCharType="begin"/>
        </w:r>
        <w:r w:rsidRPr="001427B4">
          <w:rPr>
            <w:rFonts w:ascii="Times New Roman" w:hAnsi="Times New Roman" w:cs="Times New Roman"/>
            <w:sz w:val="24"/>
            <w:szCs w:val="24"/>
          </w:rPr>
          <w:instrText>PAGE   \* MERGEFORMAT</w:instrText>
        </w:r>
        <w:r w:rsidRPr="001427B4">
          <w:rPr>
            <w:rFonts w:ascii="Times New Roman" w:hAnsi="Times New Roman" w:cs="Times New Roman"/>
            <w:sz w:val="24"/>
            <w:szCs w:val="24"/>
          </w:rPr>
          <w:fldChar w:fldCharType="separate"/>
        </w:r>
        <w:r w:rsidR="00F5413E">
          <w:rPr>
            <w:rFonts w:ascii="Times New Roman" w:hAnsi="Times New Roman" w:cs="Times New Roman"/>
            <w:noProof/>
            <w:sz w:val="24"/>
            <w:szCs w:val="24"/>
          </w:rPr>
          <w:t>11</w:t>
        </w:r>
        <w:r w:rsidRPr="001427B4">
          <w:rPr>
            <w:rFonts w:ascii="Times New Roman" w:hAnsi="Times New Roman" w:cs="Times New Roman"/>
            <w:sz w:val="24"/>
            <w:szCs w:val="24"/>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145B1" w:rsidRDefault="007145B1" w:rsidP="00C13047">
      <w:pPr>
        <w:spacing w:after="0" w:line="240" w:lineRule="auto"/>
      </w:pPr>
      <w:r>
        <w:separator/>
      </w:r>
    </w:p>
  </w:footnote>
  <w:footnote w:type="continuationSeparator" w:id="0">
    <w:p w:rsidR="007145B1" w:rsidRDefault="007145B1" w:rsidP="00C1304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B52EF8"/>
    <w:multiLevelType w:val="hybridMultilevel"/>
    <w:tmpl w:val="BDAAB2D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nsid w:val="091816BF"/>
    <w:multiLevelType w:val="hybridMultilevel"/>
    <w:tmpl w:val="6D54BFC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094964EC"/>
    <w:multiLevelType w:val="hybridMultilevel"/>
    <w:tmpl w:val="BAD4EDE8"/>
    <w:lvl w:ilvl="0" w:tplc="99F003E2">
      <w:start w:val="1"/>
      <w:numFmt w:val="lowerLetter"/>
      <w:lvlText w:val="%1)"/>
      <w:lvlJc w:val="left"/>
      <w:pPr>
        <w:ind w:left="360" w:hanging="360"/>
      </w:pPr>
      <w:rPr>
        <w:rFonts w:ascii="Times New Roman" w:eastAsiaTheme="minorHAnsi" w:hAnsi="Times New Roman" w:cs="Times New Roman"/>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
    <w:nsid w:val="0FDB6BA2"/>
    <w:multiLevelType w:val="hybridMultilevel"/>
    <w:tmpl w:val="AE14C01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6F04"/>
    <w:rsid w:val="000175BD"/>
    <w:rsid w:val="00024709"/>
    <w:rsid w:val="00036A84"/>
    <w:rsid w:val="00067CD3"/>
    <w:rsid w:val="00072C91"/>
    <w:rsid w:val="00073068"/>
    <w:rsid w:val="0007436F"/>
    <w:rsid w:val="000766A1"/>
    <w:rsid w:val="000874C4"/>
    <w:rsid w:val="00090C46"/>
    <w:rsid w:val="000A5405"/>
    <w:rsid w:val="000D1A07"/>
    <w:rsid w:val="000D4CFA"/>
    <w:rsid w:val="000E5E90"/>
    <w:rsid w:val="000F169C"/>
    <w:rsid w:val="000F3A25"/>
    <w:rsid w:val="001205F0"/>
    <w:rsid w:val="00132ACE"/>
    <w:rsid w:val="001416C9"/>
    <w:rsid w:val="0014225B"/>
    <w:rsid w:val="001427B4"/>
    <w:rsid w:val="00152C3F"/>
    <w:rsid w:val="00157262"/>
    <w:rsid w:val="00163553"/>
    <w:rsid w:val="00166388"/>
    <w:rsid w:val="00184EE3"/>
    <w:rsid w:val="001934E9"/>
    <w:rsid w:val="00195673"/>
    <w:rsid w:val="001A3D3F"/>
    <w:rsid w:val="001A6237"/>
    <w:rsid w:val="001A650A"/>
    <w:rsid w:val="001B656E"/>
    <w:rsid w:val="001C0A46"/>
    <w:rsid w:val="001C7F7F"/>
    <w:rsid w:val="001D6E3E"/>
    <w:rsid w:val="001E24C0"/>
    <w:rsid w:val="001E74D7"/>
    <w:rsid w:val="00206A87"/>
    <w:rsid w:val="00211120"/>
    <w:rsid w:val="00217CDF"/>
    <w:rsid w:val="00226849"/>
    <w:rsid w:val="00226FD7"/>
    <w:rsid w:val="002272CB"/>
    <w:rsid w:val="002313C5"/>
    <w:rsid w:val="00235FB7"/>
    <w:rsid w:val="002421F7"/>
    <w:rsid w:val="00263E6C"/>
    <w:rsid w:val="002740CA"/>
    <w:rsid w:val="00290D02"/>
    <w:rsid w:val="002A3092"/>
    <w:rsid w:val="002A39A3"/>
    <w:rsid w:val="002A6D0A"/>
    <w:rsid w:val="002C6EAE"/>
    <w:rsid w:val="002F0CED"/>
    <w:rsid w:val="00310742"/>
    <w:rsid w:val="00317DC8"/>
    <w:rsid w:val="00322445"/>
    <w:rsid w:val="0033355C"/>
    <w:rsid w:val="00366D8F"/>
    <w:rsid w:val="00376C4A"/>
    <w:rsid w:val="003801C8"/>
    <w:rsid w:val="00380E47"/>
    <w:rsid w:val="00382C5F"/>
    <w:rsid w:val="00383E10"/>
    <w:rsid w:val="003971EE"/>
    <w:rsid w:val="0039764B"/>
    <w:rsid w:val="003A1E59"/>
    <w:rsid w:val="003A2376"/>
    <w:rsid w:val="003C37D7"/>
    <w:rsid w:val="003D49AB"/>
    <w:rsid w:val="003E2754"/>
    <w:rsid w:val="003E3D5E"/>
    <w:rsid w:val="003E6952"/>
    <w:rsid w:val="00407253"/>
    <w:rsid w:val="004073E3"/>
    <w:rsid w:val="00410B1B"/>
    <w:rsid w:val="00437C84"/>
    <w:rsid w:val="00472AF5"/>
    <w:rsid w:val="00480130"/>
    <w:rsid w:val="00487778"/>
    <w:rsid w:val="004925C2"/>
    <w:rsid w:val="004B496C"/>
    <w:rsid w:val="004C2F51"/>
    <w:rsid w:val="004C5E4D"/>
    <w:rsid w:val="004E78B9"/>
    <w:rsid w:val="004F1269"/>
    <w:rsid w:val="004F3E62"/>
    <w:rsid w:val="004F653B"/>
    <w:rsid w:val="004F6777"/>
    <w:rsid w:val="005058ED"/>
    <w:rsid w:val="00516BF4"/>
    <w:rsid w:val="0052056F"/>
    <w:rsid w:val="005221F5"/>
    <w:rsid w:val="0052409A"/>
    <w:rsid w:val="00525E2E"/>
    <w:rsid w:val="005364DE"/>
    <w:rsid w:val="00537279"/>
    <w:rsid w:val="005761EA"/>
    <w:rsid w:val="00591530"/>
    <w:rsid w:val="0059285B"/>
    <w:rsid w:val="005A3E60"/>
    <w:rsid w:val="005C3B42"/>
    <w:rsid w:val="005C57A8"/>
    <w:rsid w:val="005D59F3"/>
    <w:rsid w:val="005D61FC"/>
    <w:rsid w:val="005F3DF3"/>
    <w:rsid w:val="00606F04"/>
    <w:rsid w:val="0062172A"/>
    <w:rsid w:val="006242EB"/>
    <w:rsid w:val="00627823"/>
    <w:rsid w:val="006422C2"/>
    <w:rsid w:val="00644E5E"/>
    <w:rsid w:val="00652416"/>
    <w:rsid w:val="00652819"/>
    <w:rsid w:val="00657A15"/>
    <w:rsid w:val="0066211A"/>
    <w:rsid w:val="00692296"/>
    <w:rsid w:val="00697DDF"/>
    <w:rsid w:val="006A0980"/>
    <w:rsid w:val="006A688F"/>
    <w:rsid w:val="006C6173"/>
    <w:rsid w:val="006D1F9C"/>
    <w:rsid w:val="006D62D9"/>
    <w:rsid w:val="006E0F05"/>
    <w:rsid w:val="006E3839"/>
    <w:rsid w:val="006F1821"/>
    <w:rsid w:val="006F2459"/>
    <w:rsid w:val="006F2F80"/>
    <w:rsid w:val="006F530F"/>
    <w:rsid w:val="00703870"/>
    <w:rsid w:val="00703EB8"/>
    <w:rsid w:val="0070463D"/>
    <w:rsid w:val="00713B34"/>
    <w:rsid w:val="007145B1"/>
    <w:rsid w:val="007303ED"/>
    <w:rsid w:val="00742605"/>
    <w:rsid w:val="0075078E"/>
    <w:rsid w:val="00765C4D"/>
    <w:rsid w:val="007775B4"/>
    <w:rsid w:val="00796A95"/>
    <w:rsid w:val="007A206B"/>
    <w:rsid w:val="007A5DF6"/>
    <w:rsid w:val="007C4DB5"/>
    <w:rsid w:val="007E0608"/>
    <w:rsid w:val="0082744D"/>
    <w:rsid w:val="008321E8"/>
    <w:rsid w:val="00850904"/>
    <w:rsid w:val="0085140C"/>
    <w:rsid w:val="00851E7A"/>
    <w:rsid w:val="00860320"/>
    <w:rsid w:val="0086662A"/>
    <w:rsid w:val="00873453"/>
    <w:rsid w:val="00875208"/>
    <w:rsid w:val="00877679"/>
    <w:rsid w:val="00881814"/>
    <w:rsid w:val="008A526B"/>
    <w:rsid w:val="008C7FBC"/>
    <w:rsid w:val="008F73FB"/>
    <w:rsid w:val="0091273B"/>
    <w:rsid w:val="00912AA8"/>
    <w:rsid w:val="0091332E"/>
    <w:rsid w:val="009218D9"/>
    <w:rsid w:val="0092612E"/>
    <w:rsid w:val="0092619A"/>
    <w:rsid w:val="009545FF"/>
    <w:rsid w:val="009742F8"/>
    <w:rsid w:val="009773E2"/>
    <w:rsid w:val="00985EE2"/>
    <w:rsid w:val="00987B46"/>
    <w:rsid w:val="0099154D"/>
    <w:rsid w:val="009B0E35"/>
    <w:rsid w:val="009C5FFE"/>
    <w:rsid w:val="009F5CD5"/>
    <w:rsid w:val="00A5605C"/>
    <w:rsid w:val="00A630B9"/>
    <w:rsid w:val="00A70EE6"/>
    <w:rsid w:val="00A711FF"/>
    <w:rsid w:val="00AA1E1F"/>
    <w:rsid w:val="00AA36EE"/>
    <w:rsid w:val="00AB66F3"/>
    <w:rsid w:val="00AC0304"/>
    <w:rsid w:val="00AC476A"/>
    <w:rsid w:val="00AD3671"/>
    <w:rsid w:val="00AF4300"/>
    <w:rsid w:val="00AF6AAF"/>
    <w:rsid w:val="00AF6D05"/>
    <w:rsid w:val="00B15896"/>
    <w:rsid w:val="00B37EA9"/>
    <w:rsid w:val="00B40127"/>
    <w:rsid w:val="00B5170A"/>
    <w:rsid w:val="00B73CDC"/>
    <w:rsid w:val="00B94CD4"/>
    <w:rsid w:val="00B96D45"/>
    <w:rsid w:val="00BC079C"/>
    <w:rsid w:val="00BD697B"/>
    <w:rsid w:val="00C03E68"/>
    <w:rsid w:val="00C04534"/>
    <w:rsid w:val="00C0667D"/>
    <w:rsid w:val="00C13047"/>
    <w:rsid w:val="00C16546"/>
    <w:rsid w:val="00C359DC"/>
    <w:rsid w:val="00C40F95"/>
    <w:rsid w:val="00C56041"/>
    <w:rsid w:val="00C60268"/>
    <w:rsid w:val="00C656DC"/>
    <w:rsid w:val="00C82B15"/>
    <w:rsid w:val="00C86748"/>
    <w:rsid w:val="00C86ACF"/>
    <w:rsid w:val="00C90951"/>
    <w:rsid w:val="00CA788A"/>
    <w:rsid w:val="00CB360A"/>
    <w:rsid w:val="00CB5F52"/>
    <w:rsid w:val="00CC76A1"/>
    <w:rsid w:val="00CD1FC4"/>
    <w:rsid w:val="00CD5D54"/>
    <w:rsid w:val="00CE64A1"/>
    <w:rsid w:val="00D14313"/>
    <w:rsid w:val="00D349FB"/>
    <w:rsid w:val="00D35B26"/>
    <w:rsid w:val="00D41E9B"/>
    <w:rsid w:val="00D54CB8"/>
    <w:rsid w:val="00D60F14"/>
    <w:rsid w:val="00D62067"/>
    <w:rsid w:val="00D77D4E"/>
    <w:rsid w:val="00DA0295"/>
    <w:rsid w:val="00DA6E85"/>
    <w:rsid w:val="00DB6C87"/>
    <w:rsid w:val="00DC1777"/>
    <w:rsid w:val="00DE012D"/>
    <w:rsid w:val="00DE5118"/>
    <w:rsid w:val="00DF5341"/>
    <w:rsid w:val="00E12B7A"/>
    <w:rsid w:val="00E161EF"/>
    <w:rsid w:val="00E221E7"/>
    <w:rsid w:val="00E455CD"/>
    <w:rsid w:val="00E5346B"/>
    <w:rsid w:val="00E53B26"/>
    <w:rsid w:val="00E65CEC"/>
    <w:rsid w:val="00E7010E"/>
    <w:rsid w:val="00E84C54"/>
    <w:rsid w:val="00E9503C"/>
    <w:rsid w:val="00EA683C"/>
    <w:rsid w:val="00EB21E3"/>
    <w:rsid w:val="00EC7E0C"/>
    <w:rsid w:val="00ED19F0"/>
    <w:rsid w:val="00EE4E76"/>
    <w:rsid w:val="00EE6D29"/>
    <w:rsid w:val="00EF04D4"/>
    <w:rsid w:val="00F0595E"/>
    <w:rsid w:val="00F20D7B"/>
    <w:rsid w:val="00F261F9"/>
    <w:rsid w:val="00F3086F"/>
    <w:rsid w:val="00F314B0"/>
    <w:rsid w:val="00F334FD"/>
    <w:rsid w:val="00F53711"/>
    <w:rsid w:val="00F5413E"/>
    <w:rsid w:val="00F54E8A"/>
    <w:rsid w:val="00FB0435"/>
    <w:rsid w:val="00FB1509"/>
    <w:rsid w:val="00FC3827"/>
    <w:rsid w:val="00FC7AB6"/>
    <w:rsid w:val="00FC7D4A"/>
    <w:rsid w:val="00FF441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4C2F51"/>
    <w:pPr>
      <w:ind w:left="720"/>
      <w:contextualSpacing/>
    </w:pPr>
  </w:style>
  <w:style w:type="paragraph" w:styleId="Nagwek">
    <w:name w:val="header"/>
    <w:basedOn w:val="Normalny"/>
    <w:link w:val="NagwekZnak"/>
    <w:uiPriority w:val="99"/>
    <w:unhideWhenUsed/>
    <w:rsid w:val="00C13047"/>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C13047"/>
  </w:style>
  <w:style w:type="paragraph" w:styleId="Stopka">
    <w:name w:val="footer"/>
    <w:basedOn w:val="Normalny"/>
    <w:link w:val="StopkaZnak"/>
    <w:uiPriority w:val="99"/>
    <w:unhideWhenUsed/>
    <w:rsid w:val="00C13047"/>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C13047"/>
  </w:style>
  <w:style w:type="paragraph" w:styleId="Tekstprzypisudolnego">
    <w:name w:val="footnote text"/>
    <w:basedOn w:val="Normalny"/>
    <w:link w:val="TekstprzypisudolnegoZnak"/>
    <w:uiPriority w:val="99"/>
    <w:semiHidden/>
    <w:unhideWhenUsed/>
    <w:rsid w:val="00652416"/>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652416"/>
    <w:rPr>
      <w:sz w:val="20"/>
      <w:szCs w:val="20"/>
    </w:rPr>
  </w:style>
  <w:style w:type="character" w:styleId="Odwoanieprzypisudolnego">
    <w:name w:val="footnote reference"/>
    <w:basedOn w:val="Domylnaczcionkaakapitu"/>
    <w:uiPriority w:val="99"/>
    <w:semiHidden/>
    <w:unhideWhenUsed/>
    <w:rsid w:val="00652416"/>
    <w:rPr>
      <w:vertAlign w:val="superscript"/>
    </w:rPr>
  </w:style>
  <w:style w:type="paragraph" w:styleId="Tekstprzypisukocowego">
    <w:name w:val="endnote text"/>
    <w:basedOn w:val="Normalny"/>
    <w:link w:val="TekstprzypisukocowegoZnak"/>
    <w:uiPriority w:val="99"/>
    <w:semiHidden/>
    <w:unhideWhenUsed/>
    <w:rsid w:val="007775B4"/>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7775B4"/>
    <w:rPr>
      <w:sz w:val="20"/>
      <w:szCs w:val="20"/>
    </w:rPr>
  </w:style>
  <w:style w:type="character" w:styleId="Odwoanieprzypisukocowego">
    <w:name w:val="endnote reference"/>
    <w:basedOn w:val="Domylnaczcionkaakapitu"/>
    <w:uiPriority w:val="99"/>
    <w:semiHidden/>
    <w:unhideWhenUsed/>
    <w:rsid w:val="007775B4"/>
    <w:rPr>
      <w:vertAlign w:val="superscript"/>
    </w:rPr>
  </w:style>
  <w:style w:type="paragraph" w:styleId="Tekstdymka">
    <w:name w:val="Balloon Text"/>
    <w:basedOn w:val="Normalny"/>
    <w:link w:val="TekstdymkaZnak"/>
    <w:uiPriority w:val="99"/>
    <w:semiHidden/>
    <w:unhideWhenUsed/>
    <w:rsid w:val="00873453"/>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873453"/>
    <w:rPr>
      <w:rFonts w:ascii="Tahoma" w:hAnsi="Tahoma" w:cs="Tahoma"/>
      <w:sz w:val="16"/>
      <w:szCs w:val="16"/>
    </w:rPr>
  </w:style>
  <w:style w:type="character" w:customStyle="1" w:styleId="alb">
    <w:name w:val="a_lb"/>
    <w:basedOn w:val="Domylnaczcionkaakapitu"/>
    <w:rsid w:val="002313C5"/>
  </w:style>
  <w:style w:type="character" w:customStyle="1" w:styleId="alb-s">
    <w:name w:val="a_lb-s"/>
    <w:basedOn w:val="Domylnaczcionkaakapitu"/>
    <w:rsid w:val="002313C5"/>
  </w:style>
  <w:style w:type="paragraph" w:styleId="Zwykytekst">
    <w:name w:val="Plain Text"/>
    <w:basedOn w:val="Normalny"/>
    <w:link w:val="ZwykytekstZnak"/>
    <w:uiPriority w:val="99"/>
    <w:unhideWhenUsed/>
    <w:rsid w:val="00263E6C"/>
    <w:pPr>
      <w:spacing w:after="0" w:line="240" w:lineRule="auto"/>
    </w:pPr>
    <w:rPr>
      <w:rFonts w:ascii="Calibri" w:eastAsia="Calibri" w:hAnsi="Calibri" w:cs="Consolas"/>
      <w:szCs w:val="21"/>
    </w:rPr>
  </w:style>
  <w:style w:type="character" w:customStyle="1" w:styleId="ZwykytekstZnak">
    <w:name w:val="Zwykły tekst Znak"/>
    <w:basedOn w:val="Domylnaczcionkaakapitu"/>
    <w:link w:val="Zwykytekst"/>
    <w:uiPriority w:val="99"/>
    <w:rsid w:val="00263E6C"/>
    <w:rPr>
      <w:rFonts w:ascii="Calibri" w:eastAsia="Calibri" w:hAnsi="Calibri" w:cs="Consolas"/>
      <w:szCs w:val="21"/>
    </w:rPr>
  </w:style>
  <w:style w:type="paragraph" w:customStyle="1" w:styleId="c01pointnumerotealtn">
    <w:name w:val="c01pointnumerotealtn"/>
    <w:basedOn w:val="Normalny"/>
    <w:rsid w:val="00877679"/>
    <w:pPr>
      <w:spacing w:before="100" w:beforeAutospacing="1" w:after="240" w:line="240" w:lineRule="auto"/>
      <w:ind w:left="567" w:hanging="539"/>
      <w:jc w:val="both"/>
    </w:pPr>
    <w:rPr>
      <w:rFonts w:ascii="Times New Roman" w:hAnsi="Times New Roman" w:cs="Times New Roman"/>
      <w:sz w:val="24"/>
      <w:szCs w:val="24"/>
      <w:lang w:eastAsia="pl-PL"/>
    </w:rPr>
  </w:style>
  <w:style w:type="character" w:styleId="Uwydatnienie">
    <w:name w:val="Emphasis"/>
    <w:basedOn w:val="Domylnaczcionkaakapitu"/>
    <w:uiPriority w:val="20"/>
    <w:qFormat/>
    <w:rsid w:val="00E221E7"/>
    <w:rPr>
      <w:i/>
      <w:iCs/>
    </w:rPr>
  </w:style>
  <w:style w:type="character" w:styleId="Odwoaniedokomentarza">
    <w:name w:val="annotation reference"/>
    <w:basedOn w:val="Domylnaczcionkaakapitu"/>
    <w:uiPriority w:val="99"/>
    <w:semiHidden/>
    <w:unhideWhenUsed/>
    <w:rsid w:val="00DB6C87"/>
    <w:rPr>
      <w:sz w:val="16"/>
      <w:szCs w:val="16"/>
    </w:rPr>
  </w:style>
  <w:style w:type="paragraph" w:styleId="Tekstkomentarza">
    <w:name w:val="annotation text"/>
    <w:basedOn w:val="Normalny"/>
    <w:link w:val="TekstkomentarzaZnak"/>
    <w:uiPriority w:val="99"/>
    <w:semiHidden/>
    <w:unhideWhenUsed/>
    <w:rsid w:val="00DB6C87"/>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DB6C87"/>
    <w:rPr>
      <w:sz w:val="20"/>
      <w:szCs w:val="20"/>
    </w:rPr>
  </w:style>
  <w:style w:type="paragraph" w:styleId="Tematkomentarza">
    <w:name w:val="annotation subject"/>
    <w:basedOn w:val="Tekstkomentarza"/>
    <w:next w:val="Tekstkomentarza"/>
    <w:link w:val="TematkomentarzaZnak"/>
    <w:uiPriority w:val="99"/>
    <w:semiHidden/>
    <w:unhideWhenUsed/>
    <w:rsid w:val="00DB6C87"/>
    <w:rPr>
      <w:b/>
      <w:bCs/>
    </w:rPr>
  </w:style>
  <w:style w:type="character" w:customStyle="1" w:styleId="TematkomentarzaZnak">
    <w:name w:val="Temat komentarza Znak"/>
    <w:basedOn w:val="TekstkomentarzaZnak"/>
    <w:link w:val="Tematkomentarza"/>
    <w:uiPriority w:val="99"/>
    <w:semiHidden/>
    <w:rsid w:val="00DB6C87"/>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4C2F51"/>
    <w:pPr>
      <w:ind w:left="720"/>
      <w:contextualSpacing/>
    </w:pPr>
  </w:style>
  <w:style w:type="paragraph" w:styleId="Nagwek">
    <w:name w:val="header"/>
    <w:basedOn w:val="Normalny"/>
    <w:link w:val="NagwekZnak"/>
    <w:uiPriority w:val="99"/>
    <w:unhideWhenUsed/>
    <w:rsid w:val="00C13047"/>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C13047"/>
  </w:style>
  <w:style w:type="paragraph" w:styleId="Stopka">
    <w:name w:val="footer"/>
    <w:basedOn w:val="Normalny"/>
    <w:link w:val="StopkaZnak"/>
    <w:uiPriority w:val="99"/>
    <w:unhideWhenUsed/>
    <w:rsid w:val="00C13047"/>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C13047"/>
  </w:style>
  <w:style w:type="paragraph" w:styleId="Tekstprzypisudolnego">
    <w:name w:val="footnote text"/>
    <w:basedOn w:val="Normalny"/>
    <w:link w:val="TekstprzypisudolnegoZnak"/>
    <w:uiPriority w:val="99"/>
    <w:semiHidden/>
    <w:unhideWhenUsed/>
    <w:rsid w:val="00652416"/>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652416"/>
    <w:rPr>
      <w:sz w:val="20"/>
      <w:szCs w:val="20"/>
    </w:rPr>
  </w:style>
  <w:style w:type="character" w:styleId="Odwoanieprzypisudolnego">
    <w:name w:val="footnote reference"/>
    <w:basedOn w:val="Domylnaczcionkaakapitu"/>
    <w:uiPriority w:val="99"/>
    <w:semiHidden/>
    <w:unhideWhenUsed/>
    <w:rsid w:val="00652416"/>
    <w:rPr>
      <w:vertAlign w:val="superscript"/>
    </w:rPr>
  </w:style>
  <w:style w:type="paragraph" w:styleId="Tekstprzypisukocowego">
    <w:name w:val="endnote text"/>
    <w:basedOn w:val="Normalny"/>
    <w:link w:val="TekstprzypisukocowegoZnak"/>
    <w:uiPriority w:val="99"/>
    <w:semiHidden/>
    <w:unhideWhenUsed/>
    <w:rsid w:val="007775B4"/>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7775B4"/>
    <w:rPr>
      <w:sz w:val="20"/>
      <w:szCs w:val="20"/>
    </w:rPr>
  </w:style>
  <w:style w:type="character" w:styleId="Odwoanieprzypisukocowego">
    <w:name w:val="endnote reference"/>
    <w:basedOn w:val="Domylnaczcionkaakapitu"/>
    <w:uiPriority w:val="99"/>
    <w:semiHidden/>
    <w:unhideWhenUsed/>
    <w:rsid w:val="007775B4"/>
    <w:rPr>
      <w:vertAlign w:val="superscript"/>
    </w:rPr>
  </w:style>
  <w:style w:type="paragraph" w:styleId="Tekstdymka">
    <w:name w:val="Balloon Text"/>
    <w:basedOn w:val="Normalny"/>
    <w:link w:val="TekstdymkaZnak"/>
    <w:uiPriority w:val="99"/>
    <w:semiHidden/>
    <w:unhideWhenUsed/>
    <w:rsid w:val="00873453"/>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873453"/>
    <w:rPr>
      <w:rFonts w:ascii="Tahoma" w:hAnsi="Tahoma" w:cs="Tahoma"/>
      <w:sz w:val="16"/>
      <w:szCs w:val="16"/>
    </w:rPr>
  </w:style>
  <w:style w:type="character" w:customStyle="1" w:styleId="alb">
    <w:name w:val="a_lb"/>
    <w:basedOn w:val="Domylnaczcionkaakapitu"/>
    <w:rsid w:val="002313C5"/>
  </w:style>
  <w:style w:type="character" w:customStyle="1" w:styleId="alb-s">
    <w:name w:val="a_lb-s"/>
    <w:basedOn w:val="Domylnaczcionkaakapitu"/>
    <w:rsid w:val="002313C5"/>
  </w:style>
  <w:style w:type="paragraph" w:styleId="Zwykytekst">
    <w:name w:val="Plain Text"/>
    <w:basedOn w:val="Normalny"/>
    <w:link w:val="ZwykytekstZnak"/>
    <w:uiPriority w:val="99"/>
    <w:unhideWhenUsed/>
    <w:rsid w:val="00263E6C"/>
    <w:pPr>
      <w:spacing w:after="0" w:line="240" w:lineRule="auto"/>
    </w:pPr>
    <w:rPr>
      <w:rFonts w:ascii="Calibri" w:eastAsia="Calibri" w:hAnsi="Calibri" w:cs="Consolas"/>
      <w:szCs w:val="21"/>
    </w:rPr>
  </w:style>
  <w:style w:type="character" w:customStyle="1" w:styleId="ZwykytekstZnak">
    <w:name w:val="Zwykły tekst Znak"/>
    <w:basedOn w:val="Domylnaczcionkaakapitu"/>
    <w:link w:val="Zwykytekst"/>
    <w:uiPriority w:val="99"/>
    <w:rsid w:val="00263E6C"/>
    <w:rPr>
      <w:rFonts w:ascii="Calibri" w:eastAsia="Calibri" w:hAnsi="Calibri" w:cs="Consolas"/>
      <w:szCs w:val="21"/>
    </w:rPr>
  </w:style>
  <w:style w:type="paragraph" w:customStyle="1" w:styleId="c01pointnumerotealtn">
    <w:name w:val="c01pointnumerotealtn"/>
    <w:basedOn w:val="Normalny"/>
    <w:rsid w:val="00877679"/>
    <w:pPr>
      <w:spacing w:before="100" w:beforeAutospacing="1" w:after="240" w:line="240" w:lineRule="auto"/>
      <w:ind w:left="567" w:hanging="539"/>
      <w:jc w:val="both"/>
    </w:pPr>
    <w:rPr>
      <w:rFonts w:ascii="Times New Roman" w:hAnsi="Times New Roman" w:cs="Times New Roman"/>
      <w:sz w:val="24"/>
      <w:szCs w:val="24"/>
      <w:lang w:eastAsia="pl-PL"/>
    </w:rPr>
  </w:style>
  <w:style w:type="character" w:styleId="Uwydatnienie">
    <w:name w:val="Emphasis"/>
    <w:basedOn w:val="Domylnaczcionkaakapitu"/>
    <w:uiPriority w:val="20"/>
    <w:qFormat/>
    <w:rsid w:val="00E221E7"/>
    <w:rPr>
      <w:i/>
      <w:iCs/>
    </w:rPr>
  </w:style>
  <w:style w:type="character" w:styleId="Odwoaniedokomentarza">
    <w:name w:val="annotation reference"/>
    <w:basedOn w:val="Domylnaczcionkaakapitu"/>
    <w:uiPriority w:val="99"/>
    <w:semiHidden/>
    <w:unhideWhenUsed/>
    <w:rsid w:val="00DB6C87"/>
    <w:rPr>
      <w:sz w:val="16"/>
      <w:szCs w:val="16"/>
    </w:rPr>
  </w:style>
  <w:style w:type="paragraph" w:styleId="Tekstkomentarza">
    <w:name w:val="annotation text"/>
    <w:basedOn w:val="Normalny"/>
    <w:link w:val="TekstkomentarzaZnak"/>
    <w:uiPriority w:val="99"/>
    <w:semiHidden/>
    <w:unhideWhenUsed/>
    <w:rsid w:val="00DB6C87"/>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DB6C87"/>
    <w:rPr>
      <w:sz w:val="20"/>
      <w:szCs w:val="20"/>
    </w:rPr>
  </w:style>
  <w:style w:type="paragraph" w:styleId="Tematkomentarza">
    <w:name w:val="annotation subject"/>
    <w:basedOn w:val="Tekstkomentarza"/>
    <w:next w:val="Tekstkomentarza"/>
    <w:link w:val="TematkomentarzaZnak"/>
    <w:uiPriority w:val="99"/>
    <w:semiHidden/>
    <w:unhideWhenUsed/>
    <w:rsid w:val="00DB6C87"/>
    <w:rPr>
      <w:b/>
      <w:bCs/>
    </w:rPr>
  </w:style>
  <w:style w:type="character" w:customStyle="1" w:styleId="TematkomentarzaZnak">
    <w:name w:val="Temat komentarza Znak"/>
    <w:basedOn w:val="TekstkomentarzaZnak"/>
    <w:link w:val="Tematkomentarza"/>
    <w:uiPriority w:val="99"/>
    <w:semiHidden/>
    <w:rsid w:val="00DB6C8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833F9B-1BF7-4709-990D-C3566E9915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3628</Words>
  <Characters>21772</Characters>
  <Application>Microsoft Office Word</Application>
  <DocSecurity>0</DocSecurity>
  <Lines>181</Lines>
  <Paragraphs>50</Paragraphs>
  <ScaleCrop>false</ScaleCrop>
  <HeadingPairs>
    <vt:vector size="2" baseType="variant">
      <vt:variant>
        <vt:lpstr>Tytuł</vt:lpstr>
      </vt:variant>
      <vt:variant>
        <vt:i4>1</vt:i4>
      </vt:variant>
    </vt:vector>
  </HeadingPairs>
  <TitlesOfParts>
    <vt:vector size="1" baseType="lpstr">
      <vt:lpstr/>
    </vt:vector>
  </TitlesOfParts>
  <Company>Ministerstwo Finansów</Company>
  <LinksUpToDate>false</LinksUpToDate>
  <CharactersWithSpaces>25350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Soliwodzka Helena</dc:creator>
  <cp:lastModifiedBy>Ewa A. Genert</cp:lastModifiedBy>
  <cp:revision>2</cp:revision>
  <cp:lastPrinted>2016-05-17T13:59:00Z</cp:lastPrinted>
  <dcterms:created xsi:type="dcterms:W3CDTF">2016-06-01T11:04:00Z</dcterms:created>
  <dcterms:modified xsi:type="dcterms:W3CDTF">2016-06-01T11:04:00Z</dcterms:modified>
</cp:coreProperties>
</file>