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F5D" w:rsidRPr="00792C8B" w:rsidRDefault="00C61944" w:rsidP="00C61944">
      <w:pPr>
        <w:spacing w:after="0" w:line="360" w:lineRule="auto"/>
        <w:jc w:val="right"/>
        <w:rPr>
          <w:rFonts w:ascii="Times New Roman" w:hAnsi="Times New Roman" w:cs="Times New Roman"/>
          <w:i/>
          <w:sz w:val="24"/>
          <w:szCs w:val="24"/>
        </w:rPr>
      </w:pPr>
      <w:bookmarkStart w:id="0" w:name="_GoBack"/>
      <w:bookmarkEnd w:id="0"/>
      <w:r w:rsidRPr="00792C8B">
        <w:rPr>
          <w:rFonts w:ascii="Times New Roman" w:hAnsi="Times New Roman" w:cs="Times New Roman"/>
          <w:i/>
          <w:sz w:val="24"/>
          <w:szCs w:val="24"/>
        </w:rPr>
        <w:t>P</w:t>
      </w:r>
      <w:r w:rsidR="00C07F5D" w:rsidRPr="00792C8B">
        <w:rPr>
          <w:rFonts w:ascii="Times New Roman" w:hAnsi="Times New Roman" w:cs="Times New Roman"/>
          <w:i/>
          <w:sz w:val="24"/>
          <w:szCs w:val="24"/>
        </w:rPr>
        <w:t>rojekt</w:t>
      </w:r>
    </w:p>
    <w:p w:rsidR="00C61944" w:rsidRPr="00792C8B" w:rsidRDefault="00C61944" w:rsidP="00C61944">
      <w:pPr>
        <w:spacing w:after="0" w:line="360" w:lineRule="auto"/>
        <w:jc w:val="right"/>
        <w:rPr>
          <w:rFonts w:ascii="Times New Roman" w:hAnsi="Times New Roman" w:cs="Times New Roman"/>
          <w:i/>
          <w:sz w:val="24"/>
          <w:szCs w:val="24"/>
        </w:rPr>
      </w:pPr>
    </w:p>
    <w:p w:rsidR="00C61944" w:rsidRPr="00792C8B" w:rsidRDefault="00C61944" w:rsidP="00C61944">
      <w:pPr>
        <w:spacing w:after="0" w:line="360" w:lineRule="auto"/>
        <w:jc w:val="right"/>
        <w:rPr>
          <w:rFonts w:ascii="Times New Roman" w:hAnsi="Times New Roman" w:cs="Times New Roman"/>
          <w:i/>
          <w:sz w:val="24"/>
          <w:szCs w:val="24"/>
        </w:rPr>
      </w:pPr>
    </w:p>
    <w:p w:rsidR="00FE336E" w:rsidRPr="00792C8B" w:rsidRDefault="00FE336E" w:rsidP="00C61944">
      <w:pPr>
        <w:spacing w:after="0" w:line="360" w:lineRule="auto"/>
        <w:jc w:val="center"/>
        <w:rPr>
          <w:rFonts w:ascii="Times New Roman" w:hAnsi="Times New Roman" w:cs="Times New Roman"/>
          <w:b/>
          <w:spacing w:val="50"/>
          <w:sz w:val="24"/>
          <w:szCs w:val="24"/>
        </w:rPr>
      </w:pPr>
      <w:r w:rsidRPr="00792C8B">
        <w:rPr>
          <w:rFonts w:ascii="Times New Roman" w:hAnsi="Times New Roman" w:cs="Times New Roman"/>
          <w:b/>
          <w:spacing w:val="50"/>
          <w:sz w:val="24"/>
          <w:szCs w:val="24"/>
        </w:rPr>
        <w:t>USTAWA</w:t>
      </w:r>
    </w:p>
    <w:p w:rsidR="00FE336E" w:rsidRPr="00792C8B" w:rsidRDefault="00FE336E" w:rsidP="00C61944">
      <w:pPr>
        <w:spacing w:after="0" w:line="360" w:lineRule="auto"/>
        <w:jc w:val="center"/>
        <w:rPr>
          <w:rFonts w:ascii="Times New Roman" w:hAnsi="Times New Roman" w:cs="Times New Roman"/>
          <w:sz w:val="24"/>
          <w:szCs w:val="24"/>
        </w:rPr>
      </w:pPr>
      <w:r w:rsidRPr="00792C8B">
        <w:rPr>
          <w:rFonts w:ascii="Times New Roman" w:hAnsi="Times New Roman" w:cs="Times New Roman"/>
          <w:sz w:val="24"/>
          <w:szCs w:val="24"/>
        </w:rPr>
        <w:t xml:space="preserve">z dnia </w:t>
      </w:r>
      <w:r w:rsidR="00C07F5D" w:rsidRPr="00792C8B">
        <w:rPr>
          <w:rFonts w:ascii="Times New Roman" w:hAnsi="Times New Roman" w:cs="Times New Roman"/>
          <w:sz w:val="24"/>
          <w:szCs w:val="24"/>
        </w:rPr>
        <w:t>………….</w:t>
      </w:r>
    </w:p>
    <w:p w:rsidR="00FE336E" w:rsidRPr="00792C8B" w:rsidRDefault="00FE336E" w:rsidP="00C61944">
      <w:pPr>
        <w:spacing w:after="0" w:line="360" w:lineRule="auto"/>
        <w:jc w:val="center"/>
        <w:rPr>
          <w:rFonts w:ascii="Times New Roman" w:hAnsi="Times New Roman" w:cs="Times New Roman"/>
          <w:b/>
          <w:sz w:val="24"/>
          <w:szCs w:val="24"/>
        </w:rPr>
      </w:pPr>
      <w:r w:rsidRPr="00792C8B">
        <w:rPr>
          <w:rFonts w:ascii="Times New Roman" w:hAnsi="Times New Roman" w:cs="Times New Roman"/>
          <w:b/>
          <w:sz w:val="24"/>
          <w:szCs w:val="24"/>
        </w:rPr>
        <w:t>o Trybunale Konstytucyjnym</w:t>
      </w:r>
    </w:p>
    <w:p w:rsidR="009F5A5C" w:rsidRPr="00792C8B" w:rsidRDefault="009F5A5C" w:rsidP="00434606">
      <w:pPr>
        <w:spacing w:after="0" w:line="360" w:lineRule="auto"/>
        <w:jc w:val="both"/>
        <w:rPr>
          <w:rFonts w:ascii="Times New Roman" w:hAnsi="Times New Roman" w:cs="Times New Roman"/>
          <w:sz w:val="24"/>
          <w:szCs w:val="24"/>
        </w:rPr>
      </w:pPr>
    </w:p>
    <w:p w:rsidR="00C61944" w:rsidRPr="00792C8B" w:rsidRDefault="00C61944" w:rsidP="00434606">
      <w:pPr>
        <w:spacing w:after="0" w:line="360" w:lineRule="auto"/>
        <w:jc w:val="both"/>
        <w:rPr>
          <w:rFonts w:ascii="Times New Roman" w:hAnsi="Times New Roman" w:cs="Times New Roman"/>
          <w:sz w:val="24"/>
          <w:szCs w:val="24"/>
        </w:rPr>
      </w:pPr>
    </w:p>
    <w:p w:rsidR="00C61944" w:rsidRPr="00792C8B" w:rsidRDefault="00C61944" w:rsidP="00434606">
      <w:pPr>
        <w:spacing w:after="0" w:line="360" w:lineRule="auto"/>
        <w:jc w:val="both"/>
        <w:rPr>
          <w:rFonts w:ascii="Times New Roman" w:hAnsi="Times New Roman" w:cs="Times New Roman"/>
          <w:sz w:val="24"/>
          <w:szCs w:val="24"/>
        </w:rPr>
      </w:pPr>
    </w:p>
    <w:p w:rsidR="009F5A5C" w:rsidRPr="00792C8B" w:rsidRDefault="009F5A5C" w:rsidP="0040224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1</w:t>
      </w:r>
    </w:p>
    <w:p w:rsidR="009F5A5C" w:rsidRPr="00792C8B" w:rsidRDefault="009F5A5C" w:rsidP="0040224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Przepisy ogólne</w:t>
      </w:r>
    </w:p>
    <w:p w:rsidR="00433B59" w:rsidRPr="00792C8B" w:rsidRDefault="00213AA2"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Ustawa określa organizację Trybunału Konstytucyjnego, z</w:t>
      </w:r>
      <w:r w:rsidR="00CD1837" w:rsidRPr="00792C8B">
        <w:rPr>
          <w:rFonts w:ascii="Times New Roman" w:hAnsi="Times New Roman" w:cs="Times New Roman"/>
          <w:sz w:val="24"/>
          <w:szCs w:val="24"/>
        </w:rPr>
        <w:t xml:space="preserve">wanego dalej „Trybunałem”, oraz </w:t>
      </w:r>
      <w:r w:rsidRPr="00792C8B">
        <w:rPr>
          <w:rFonts w:ascii="Times New Roman" w:hAnsi="Times New Roman" w:cs="Times New Roman"/>
          <w:sz w:val="24"/>
          <w:szCs w:val="24"/>
        </w:rPr>
        <w:t>tryb</w:t>
      </w:r>
      <w:r w:rsidR="00CD1837" w:rsidRPr="00792C8B">
        <w:rPr>
          <w:rFonts w:ascii="Times New Roman" w:hAnsi="Times New Roman" w:cs="Times New Roman"/>
          <w:sz w:val="24"/>
          <w:szCs w:val="24"/>
        </w:rPr>
        <w:t xml:space="preserve"> postępowania przed Trybunałem.</w:t>
      </w:r>
    </w:p>
    <w:p w:rsidR="00FE336E" w:rsidRPr="00792C8B" w:rsidRDefault="00FE336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Siedzibą Trybunału jest </w:t>
      </w:r>
      <w:r w:rsidR="00A84496" w:rsidRPr="00792C8B">
        <w:rPr>
          <w:rFonts w:ascii="Times New Roman" w:hAnsi="Times New Roman" w:cs="Times New Roman"/>
          <w:sz w:val="24"/>
          <w:szCs w:val="24"/>
        </w:rPr>
        <w:t xml:space="preserve">m. st. </w:t>
      </w:r>
      <w:r w:rsidRPr="00792C8B">
        <w:rPr>
          <w:rFonts w:ascii="Times New Roman" w:hAnsi="Times New Roman" w:cs="Times New Roman"/>
          <w:sz w:val="24"/>
          <w:szCs w:val="24"/>
        </w:rPr>
        <w:t>Warszawa.</w:t>
      </w:r>
    </w:p>
    <w:p w:rsidR="00433B59" w:rsidRPr="00792C8B" w:rsidRDefault="009F5A5C" w:rsidP="0040224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 xml:space="preserve">Rozdział </w:t>
      </w:r>
      <w:r w:rsidR="00CD1837" w:rsidRPr="00792C8B">
        <w:rPr>
          <w:rFonts w:ascii="Times New Roman" w:hAnsi="Times New Roman" w:cs="Times New Roman"/>
          <w:sz w:val="24"/>
          <w:szCs w:val="24"/>
        </w:rPr>
        <w:t>2</w:t>
      </w:r>
    </w:p>
    <w:p w:rsidR="00FE336E" w:rsidRPr="00792C8B" w:rsidRDefault="009F5A5C" w:rsidP="0040224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Organy Trybunału</w:t>
      </w:r>
    </w:p>
    <w:p w:rsidR="00FE336E" w:rsidRPr="00792C8B" w:rsidRDefault="00FE336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Organami Trybunału są Zgromadzenie Ogólne Sędziów Trybunału, zwane dalej „Zgromadzeniem Ogólnym”, oraz Prezes Trybunału.</w:t>
      </w:r>
    </w:p>
    <w:p w:rsidR="0014534E" w:rsidRPr="00792C8B" w:rsidRDefault="0014534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Do kompetencji Zgromadzenia Ogólnego należy: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wybór kandydatów na stanowiska Prezesa i Wiceprezesa Trybunału;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wyrażanie zgody na pociągnięcie do odpowiedzialności karnej oraz pozbawienie wolności sędziego Trybunału;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stwierdzanie wygaśnięcia mandatu sędziego Trybunału;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stwierdzanie utraty statusu sędziego Trybunału w stanie spoczynku;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uchwalanie regulaminu Trybunału;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uchwalanie statutu Biura Trybunału;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uchwalanie projektu dochodów i wydatków Trybunału; </w:t>
      </w:r>
    </w:p>
    <w:p w:rsidR="0014534E" w:rsidRPr="00792C8B" w:rsidRDefault="0014534E" w:rsidP="00BB4BD8">
      <w:pPr>
        <w:pStyle w:val="Akapitzlist"/>
        <w:numPr>
          <w:ilvl w:val="0"/>
          <w:numId w:val="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lastRenderedPageBreak/>
        <w:t xml:space="preserve">wykonywanie innych czynności, przewidzianych dla Zgromadzenia Ogólnego w ustawie </w:t>
      </w:r>
      <w:r w:rsidR="00C61944" w:rsidRPr="00792C8B">
        <w:rPr>
          <w:rFonts w:ascii="Times New Roman" w:hAnsi="Times New Roman" w:cs="Times New Roman"/>
          <w:sz w:val="24"/>
          <w:szCs w:val="24"/>
        </w:rPr>
        <w:br/>
      </w:r>
      <w:r w:rsidRPr="00792C8B">
        <w:rPr>
          <w:rFonts w:ascii="Times New Roman" w:hAnsi="Times New Roman" w:cs="Times New Roman"/>
          <w:sz w:val="24"/>
          <w:szCs w:val="24"/>
        </w:rPr>
        <w:t xml:space="preserve">i regulaminie Trybunału. </w:t>
      </w:r>
    </w:p>
    <w:p w:rsidR="0014534E" w:rsidRPr="00792C8B" w:rsidRDefault="005F095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14534E" w:rsidRPr="00792C8B">
        <w:rPr>
          <w:rFonts w:ascii="Times New Roman" w:hAnsi="Times New Roman" w:cs="Times New Roman"/>
          <w:sz w:val="24"/>
          <w:szCs w:val="24"/>
        </w:rPr>
        <w:t xml:space="preserve">Zgromadzenie Ogólne podejmuje uchwały większością głosów, w obecności co najmniej 2/3 ogólnej liczby sędziów Trybunału, w tym Prezesa lub Wiceprezesa Trybunału, chyba że ustawa przewiduje inną większość. </w:t>
      </w:r>
    </w:p>
    <w:p w:rsidR="0014534E" w:rsidRPr="00792C8B" w:rsidRDefault="0074345B"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14534E" w:rsidRPr="00792C8B">
        <w:rPr>
          <w:rFonts w:ascii="Times New Roman" w:hAnsi="Times New Roman" w:cs="Times New Roman"/>
          <w:sz w:val="24"/>
          <w:szCs w:val="24"/>
        </w:rPr>
        <w:t xml:space="preserve">Głosowanie jest jawne, o ile żaden z sędziów Trybunału nie zażąda wyłączenia jawności. Głosowanie z wyłączeniem jawności przeprowadza się w sprawach, o których mowa w art. 4 pkt 1–4. </w:t>
      </w:r>
    </w:p>
    <w:p w:rsidR="00213AA2" w:rsidRPr="00792C8B" w:rsidRDefault="005F095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74345B" w:rsidRPr="00792C8B">
        <w:rPr>
          <w:rFonts w:ascii="Times New Roman" w:hAnsi="Times New Roman" w:cs="Times New Roman"/>
          <w:sz w:val="24"/>
          <w:szCs w:val="24"/>
        </w:rPr>
        <w:t xml:space="preserve"> </w:t>
      </w:r>
      <w:r w:rsidR="0014534E" w:rsidRPr="00792C8B">
        <w:rPr>
          <w:rFonts w:ascii="Times New Roman" w:hAnsi="Times New Roman" w:cs="Times New Roman"/>
          <w:sz w:val="24"/>
          <w:szCs w:val="24"/>
        </w:rPr>
        <w:t xml:space="preserve">Prezesa Trybunału </w:t>
      </w:r>
      <w:r w:rsidR="001033C0" w:rsidRPr="00792C8B">
        <w:rPr>
          <w:rFonts w:ascii="Times New Roman" w:hAnsi="Times New Roman" w:cs="Times New Roman"/>
          <w:sz w:val="24"/>
          <w:szCs w:val="24"/>
        </w:rPr>
        <w:t xml:space="preserve">powołuje </w:t>
      </w:r>
      <w:r w:rsidR="00364034" w:rsidRPr="00792C8B">
        <w:rPr>
          <w:rFonts w:ascii="Times New Roman" w:hAnsi="Times New Roman" w:cs="Times New Roman"/>
          <w:sz w:val="24"/>
          <w:szCs w:val="24"/>
        </w:rPr>
        <w:t>się</w:t>
      </w:r>
      <w:r w:rsidR="0014534E" w:rsidRPr="00792C8B">
        <w:rPr>
          <w:rFonts w:ascii="Times New Roman" w:hAnsi="Times New Roman" w:cs="Times New Roman"/>
          <w:sz w:val="24"/>
          <w:szCs w:val="24"/>
        </w:rPr>
        <w:t xml:space="preserve"> na okres </w:t>
      </w:r>
      <w:r w:rsidR="005E4358" w:rsidRPr="00792C8B">
        <w:rPr>
          <w:rFonts w:ascii="Times New Roman" w:hAnsi="Times New Roman" w:cs="Times New Roman"/>
          <w:sz w:val="24"/>
          <w:szCs w:val="24"/>
        </w:rPr>
        <w:t>pięciu</w:t>
      </w:r>
      <w:r w:rsidR="0014534E" w:rsidRPr="00792C8B">
        <w:rPr>
          <w:rFonts w:ascii="Times New Roman" w:hAnsi="Times New Roman" w:cs="Times New Roman"/>
          <w:sz w:val="24"/>
          <w:szCs w:val="24"/>
        </w:rPr>
        <w:t xml:space="preserve"> lat. </w:t>
      </w:r>
    </w:p>
    <w:p w:rsidR="0014534E" w:rsidRPr="00792C8B" w:rsidRDefault="005F095F"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2.</w:t>
      </w:r>
      <w:r w:rsidR="0074345B" w:rsidRPr="00792C8B">
        <w:rPr>
          <w:rFonts w:ascii="Times New Roman" w:hAnsi="Times New Roman" w:cs="Times New Roman"/>
          <w:sz w:val="24"/>
          <w:szCs w:val="24"/>
        </w:rPr>
        <w:t xml:space="preserve"> </w:t>
      </w:r>
      <w:r w:rsidR="0014534E" w:rsidRPr="00792C8B">
        <w:rPr>
          <w:rFonts w:ascii="Times New Roman" w:hAnsi="Times New Roman" w:cs="Times New Roman"/>
          <w:sz w:val="24"/>
          <w:szCs w:val="24"/>
        </w:rPr>
        <w:t xml:space="preserve">Kandydatów na Prezesa Trybunału zgłasza Zgromadzeniu Ogólnemu co najmniej </w:t>
      </w:r>
      <w:r w:rsidR="00213AA2" w:rsidRPr="00792C8B">
        <w:rPr>
          <w:rFonts w:ascii="Times New Roman" w:hAnsi="Times New Roman" w:cs="Times New Roman"/>
          <w:sz w:val="24"/>
          <w:szCs w:val="24"/>
        </w:rPr>
        <w:t xml:space="preserve">dwóch </w:t>
      </w:r>
      <w:r w:rsidR="005F05C7" w:rsidRPr="00792C8B">
        <w:rPr>
          <w:rFonts w:ascii="Times New Roman" w:hAnsi="Times New Roman" w:cs="Times New Roman"/>
          <w:sz w:val="24"/>
          <w:szCs w:val="24"/>
        </w:rPr>
        <w:t>s</w:t>
      </w:r>
      <w:r w:rsidR="0014534E" w:rsidRPr="00792C8B">
        <w:rPr>
          <w:rFonts w:ascii="Times New Roman" w:hAnsi="Times New Roman" w:cs="Times New Roman"/>
          <w:sz w:val="24"/>
          <w:szCs w:val="24"/>
        </w:rPr>
        <w:t>ędziów Trybunału.</w:t>
      </w:r>
    </w:p>
    <w:p w:rsidR="0014534E" w:rsidRPr="00792C8B" w:rsidRDefault="0074345B"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14534E" w:rsidRPr="00792C8B">
        <w:rPr>
          <w:rFonts w:ascii="Times New Roman" w:hAnsi="Times New Roman" w:cs="Times New Roman"/>
          <w:sz w:val="24"/>
          <w:szCs w:val="24"/>
        </w:rPr>
        <w:t xml:space="preserve">Zgromadzenie Ogólne przedstawia Prezydentowi Rzeczypospolitej Polskiej dwóch kandydatów na stanowisko Prezesa Trybunału, którzy w głosowaniu uzyskali kolejno największą liczbę głosów. </w:t>
      </w:r>
    </w:p>
    <w:p w:rsidR="0014534E" w:rsidRPr="00792C8B" w:rsidRDefault="0074345B"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14534E" w:rsidRPr="00792C8B">
        <w:rPr>
          <w:rFonts w:ascii="Times New Roman" w:hAnsi="Times New Roman" w:cs="Times New Roman"/>
          <w:sz w:val="24"/>
          <w:szCs w:val="24"/>
        </w:rPr>
        <w:t>Wyboru kandydatów dokonuje się nie wcześniej niż trzy miesiące i nie później niż jeden miesiąc przed upływem kadencji urzędującego Prezesa Trybunału. W razie opróżnienia stanowiska Prezesa Trybunału</w:t>
      </w:r>
      <w:r w:rsidR="00550BB0" w:rsidRPr="00792C8B">
        <w:rPr>
          <w:rFonts w:ascii="Times New Roman" w:hAnsi="Times New Roman" w:cs="Times New Roman"/>
          <w:sz w:val="24"/>
          <w:szCs w:val="24"/>
        </w:rPr>
        <w:t xml:space="preserve"> przed upływem kadencji</w:t>
      </w:r>
      <w:r w:rsidR="0014534E" w:rsidRPr="00792C8B">
        <w:rPr>
          <w:rFonts w:ascii="Times New Roman" w:hAnsi="Times New Roman" w:cs="Times New Roman"/>
          <w:sz w:val="24"/>
          <w:szCs w:val="24"/>
        </w:rPr>
        <w:t xml:space="preserve">, wyboru kandydatów dokonuje się w terminie jednego miesiąca. </w:t>
      </w:r>
    </w:p>
    <w:p w:rsidR="0014534E" w:rsidRPr="00792C8B" w:rsidRDefault="0074345B"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5. </w:t>
      </w:r>
      <w:r w:rsidR="0014534E" w:rsidRPr="00792C8B">
        <w:rPr>
          <w:rFonts w:ascii="Times New Roman" w:hAnsi="Times New Roman" w:cs="Times New Roman"/>
          <w:sz w:val="24"/>
          <w:szCs w:val="24"/>
        </w:rPr>
        <w:t xml:space="preserve">Obradom Zgromadzenia Ogólnego w części dotyczącej wyboru kandydatów na stanowisko Prezesa Trybunału przewodniczy najstarszy </w:t>
      </w:r>
      <w:r w:rsidR="00E51AF0" w:rsidRPr="00792C8B">
        <w:rPr>
          <w:rFonts w:ascii="Times New Roman" w:hAnsi="Times New Roman" w:cs="Times New Roman"/>
          <w:sz w:val="24"/>
          <w:szCs w:val="24"/>
        </w:rPr>
        <w:t>wiekiem</w:t>
      </w:r>
      <w:r w:rsidR="0014534E" w:rsidRPr="00792C8B">
        <w:rPr>
          <w:rFonts w:ascii="Times New Roman" w:hAnsi="Times New Roman" w:cs="Times New Roman"/>
          <w:sz w:val="24"/>
          <w:szCs w:val="24"/>
        </w:rPr>
        <w:t xml:space="preserve"> sędzia Trybunału uczestniczący</w:t>
      </w:r>
      <w:r w:rsidR="00792C8B">
        <w:rPr>
          <w:rFonts w:ascii="Times New Roman" w:hAnsi="Times New Roman" w:cs="Times New Roman"/>
          <w:sz w:val="24"/>
          <w:szCs w:val="24"/>
        </w:rPr>
        <w:t xml:space="preserve"> </w:t>
      </w:r>
      <w:r w:rsidR="0014534E" w:rsidRPr="00792C8B">
        <w:rPr>
          <w:rFonts w:ascii="Times New Roman" w:hAnsi="Times New Roman" w:cs="Times New Roman"/>
          <w:sz w:val="24"/>
          <w:szCs w:val="24"/>
        </w:rPr>
        <w:t xml:space="preserve">w Zgromadzeniu Ogólnym. </w:t>
      </w:r>
    </w:p>
    <w:p w:rsidR="0014534E" w:rsidRPr="00792C8B" w:rsidRDefault="0074345B"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6. </w:t>
      </w:r>
      <w:r w:rsidR="0014534E" w:rsidRPr="00792C8B">
        <w:rPr>
          <w:rFonts w:ascii="Times New Roman" w:hAnsi="Times New Roman" w:cs="Times New Roman"/>
          <w:sz w:val="24"/>
          <w:szCs w:val="24"/>
        </w:rPr>
        <w:t xml:space="preserve">Do </w:t>
      </w:r>
      <w:r w:rsidR="00550BB0" w:rsidRPr="00792C8B">
        <w:rPr>
          <w:rFonts w:ascii="Times New Roman" w:hAnsi="Times New Roman" w:cs="Times New Roman"/>
          <w:sz w:val="24"/>
          <w:szCs w:val="24"/>
        </w:rPr>
        <w:t xml:space="preserve">wyboru </w:t>
      </w:r>
      <w:r w:rsidR="0014534E" w:rsidRPr="00792C8B">
        <w:rPr>
          <w:rFonts w:ascii="Times New Roman" w:hAnsi="Times New Roman" w:cs="Times New Roman"/>
          <w:sz w:val="24"/>
          <w:szCs w:val="24"/>
        </w:rPr>
        <w:t>Wicepreze</w:t>
      </w:r>
      <w:r w:rsidRPr="00792C8B">
        <w:rPr>
          <w:rFonts w:ascii="Times New Roman" w:hAnsi="Times New Roman" w:cs="Times New Roman"/>
          <w:sz w:val="24"/>
          <w:szCs w:val="24"/>
        </w:rPr>
        <w:t>sa Trybunału przepisy ust. 1 - 4</w:t>
      </w:r>
      <w:r w:rsidR="0014534E" w:rsidRPr="00792C8B">
        <w:rPr>
          <w:rFonts w:ascii="Times New Roman" w:hAnsi="Times New Roman" w:cs="Times New Roman"/>
          <w:sz w:val="24"/>
          <w:szCs w:val="24"/>
        </w:rPr>
        <w:t xml:space="preserve"> stosuje się odpowiednio. </w:t>
      </w:r>
    </w:p>
    <w:p w:rsidR="00E51AF0" w:rsidRPr="00792C8B" w:rsidRDefault="005F095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E51AF0" w:rsidRPr="00792C8B">
        <w:rPr>
          <w:rFonts w:ascii="Times New Roman" w:hAnsi="Times New Roman" w:cs="Times New Roman"/>
          <w:sz w:val="24"/>
          <w:szCs w:val="24"/>
        </w:rPr>
        <w:t xml:space="preserve">Prezes Trybunału kieruje pracami Trybunału, reprezentuje Trybunał na zewnątrz oraz wykonuje inne czynności określone w ustawie i regulaminie Trybunału. </w:t>
      </w:r>
    </w:p>
    <w:p w:rsidR="00E51AF0" w:rsidRPr="00792C8B" w:rsidRDefault="00292886"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E51AF0" w:rsidRPr="00792C8B">
        <w:rPr>
          <w:rFonts w:ascii="Times New Roman" w:hAnsi="Times New Roman" w:cs="Times New Roman"/>
          <w:sz w:val="24"/>
          <w:szCs w:val="24"/>
        </w:rPr>
        <w:t>Wiceprezes Trybunału zastępuje Prezesa Trybunału w czasie jego nieobecności oraz wykonuje inne czynności w</w:t>
      </w:r>
      <w:r w:rsidR="00550BB0" w:rsidRPr="00792C8B">
        <w:rPr>
          <w:rFonts w:ascii="Times New Roman" w:hAnsi="Times New Roman" w:cs="Times New Roman"/>
          <w:sz w:val="24"/>
          <w:szCs w:val="24"/>
        </w:rPr>
        <w:t>ynikające z podziału obowiązków</w:t>
      </w:r>
      <w:r w:rsidR="00E51AF0" w:rsidRPr="00792C8B">
        <w:rPr>
          <w:rFonts w:ascii="Times New Roman" w:hAnsi="Times New Roman" w:cs="Times New Roman"/>
          <w:sz w:val="24"/>
          <w:szCs w:val="24"/>
        </w:rPr>
        <w:t xml:space="preserve"> ustalonego przez Prezesa Trybunału lub Zgromadzenie Ogólne. </w:t>
      </w:r>
    </w:p>
    <w:p w:rsidR="00E51AF0" w:rsidRPr="00792C8B" w:rsidRDefault="00292886"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E51AF0" w:rsidRPr="00792C8B">
        <w:rPr>
          <w:rFonts w:ascii="Times New Roman" w:hAnsi="Times New Roman" w:cs="Times New Roman"/>
          <w:sz w:val="24"/>
          <w:szCs w:val="24"/>
        </w:rPr>
        <w:t xml:space="preserve">W razie przeszkód w sprawowaniu obowiązków przez Prezesa oraz Wiceprezesa Trybunału, Prezesa Trybunału zastępuje sędzia Trybunału wyznaczony przez Prezesa Trybunału, a jeżeli żaden sędzia Trybunału nie został wyznaczony – najstarszy wiekiem sędzia Trybunału. </w:t>
      </w:r>
    </w:p>
    <w:p w:rsidR="00E51AF0" w:rsidRPr="00792C8B" w:rsidRDefault="00E51AF0"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lastRenderedPageBreak/>
        <w:t>Prezes Trybunału przedkłada corocznie Sejmowi oraz Senatowi informację o istotnych problemach wynikających z działalności i orzecznictwa Trybunału.</w:t>
      </w:r>
    </w:p>
    <w:p w:rsidR="00E51AF0" w:rsidRPr="00792C8B" w:rsidRDefault="005F095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E51AF0" w:rsidRPr="00792C8B">
        <w:rPr>
          <w:rFonts w:ascii="Times New Roman" w:hAnsi="Times New Roman" w:cs="Times New Roman"/>
          <w:sz w:val="24"/>
          <w:szCs w:val="24"/>
        </w:rPr>
        <w:t xml:space="preserve">Projekt dochodów i wydatków Trybunału, o którym mowa w art. 4 pkt 7, minister właściwy do spraw finansów publicznych włącza do projektu budżetu państwa. </w:t>
      </w:r>
    </w:p>
    <w:p w:rsidR="00E51AF0" w:rsidRPr="00792C8B" w:rsidRDefault="00292886"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E51AF0" w:rsidRPr="00792C8B">
        <w:rPr>
          <w:rFonts w:ascii="Times New Roman" w:hAnsi="Times New Roman" w:cs="Times New Roman"/>
          <w:sz w:val="24"/>
          <w:szCs w:val="24"/>
        </w:rPr>
        <w:t xml:space="preserve">W zakresie wykonywania budżetu Trybunału Prezesowi Trybunału przysługują uprawnienia ministra właściwego do spraw finansów publicznych. </w:t>
      </w:r>
    </w:p>
    <w:p w:rsidR="00272EF5" w:rsidRPr="00792C8B" w:rsidRDefault="005F095F" w:rsidP="00357C2E">
      <w:pPr>
        <w:pStyle w:val="Akapitzlist"/>
        <w:numPr>
          <w:ilvl w:val="0"/>
          <w:numId w:val="2"/>
        </w:numPr>
        <w:tabs>
          <w:tab w:val="left" w:pos="1276"/>
        </w:tabs>
        <w:spacing w:before="240" w:after="0" w:line="360" w:lineRule="auto"/>
        <w:ind w:left="-11"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72EF5" w:rsidRPr="00792C8B">
        <w:rPr>
          <w:rFonts w:ascii="Times New Roman" w:hAnsi="Times New Roman" w:cs="Times New Roman"/>
          <w:sz w:val="24"/>
          <w:szCs w:val="24"/>
        </w:rPr>
        <w:t xml:space="preserve">Wewnętrzną organizację pracy Trybunału i jego organów, w tym wynikające z niej powinności sędziów Trybunału, oraz inne sprawy wskazane w ustawie określa </w:t>
      </w:r>
      <w:r w:rsidR="006B266F" w:rsidRPr="00792C8B">
        <w:rPr>
          <w:rFonts w:ascii="Times New Roman" w:hAnsi="Times New Roman" w:cs="Times New Roman"/>
          <w:sz w:val="24"/>
          <w:szCs w:val="24"/>
        </w:rPr>
        <w:t>r</w:t>
      </w:r>
      <w:r w:rsidR="00272EF5" w:rsidRPr="00792C8B">
        <w:rPr>
          <w:rFonts w:ascii="Times New Roman" w:hAnsi="Times New Roman" w:cs="Times New Roman"/>
          <w:sz w:val="24"/>
          <w:szCs w:val="24"/>
        </w:rPr>
        <w:t>egulamin Trybunału.</w:t>
      </w:r>
      <w:r w:rsidR="00792C8B">
        <w:rPr>
          <w:rFonts w:ascii="Times New Roman" w:hAnsi="Times New Roman" w:cs="Times New Roman"/>
          <w:sz w:val="24"/>
          <w:szCs w:val="24"/>
        </w:rPr>
        <w:t xml:space="preserve"> </w:t>
      </w:r>
      <w:r w:rsidR="00272EF5" w:rsidRPr="00792C8B">
        <w:rPr>
          <w:rFonts w:ascii="Times New Roman" w:hAnsi="Times New Roman" w:cs="Times New Roman"/>
          <w:sz w:val="24"/>
          <w:szCs w:val="24"/>
        </w:rPr>
        <w:t xml:space="preserve">Regulamin Trybunału podlega ogłoszeniu w Dzienniku Urzędowym Rzeczypospolitej Polskiej „Monitor Polski”. </w:t>
      </w:r>
    </w:p>
    <w:p w:rsidR="00272EF5" w:rsidRPr="00792C8B" w:rsidRDefault="00292886" w:rsidP="00434606">
      <w:pPr>
        <w:spacing w:after="0" w:line="360" w:lineRule="auto"/>
        <w:ind w:left="-12" w:firstLine="720"/>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72EF5" w:rsidRPr="00792C8B">
        <w:rPr>
          <w:rFonts w:ascii="Times New Roman" w:hAnsi="Times New Roman" w:cs="Times New Roman"/>
          <w:sz w:val="24"/>
          <w:szCs w:val="24"/>
        </w:rPr>
        <w:t>Prezes Ra</w:t>
      </w:r>
      <w:r w:rsidR="000012A0" w:rsidRPr="00792C8B">
        <w:rPr>
          <w:rFonts w:ascii="Times New Roman" w:hAnsi="Times New Roman" w:cs="Times New Roman"/>
          <w:sz w:val="24"/>
          <w:szCs w:val="24"/>
        </w:rPr>
        <w:t xml:space="preserve">dy Ministrów ogłasza </w:t>
      </w:r>
      <w:r w:rsidR="00667021">
        <w:rPr>
          <w:rFonts w:ascii="Times New Roman" w:hAnsi="Times New Roman" w:cs="Times New Roman"/>
          <w:sz w:val="24"/>
          <w:szCs w:val="24"/>
        </w:rPr>
        <w:t>r</w:t>
      </w:r>
      <w:r w:rsidR="000012A0" w:rsidRPr="00792C8B">
        <w:rPr>
          <w:rFonts w:ascii="Times New Roman" w:hAnsi="Times New Roman" w:cs="Times New Roman"/>
          <w:sz w:val="24"/>
          <w:szCs w:val="24"/>
        </w:rPr>
        <w:t>egulamin</w:t>
      </w:r>
      <w:r w:rsidR="00272EF5" w:rsidRPr="00792C8B">
        <w:rPr>
          <w:rFonts w:ascii="Times New Roman" w:hAnsi="Times New Roman" w:cs="Times New Roman"/>
          <w:sz w:val="24"/>
          <w:szCs w:val="24"/>
        </w:rPr>
        <w:t xml:space="preserve"> Trybunału w Dzienniku Urzędowym Rzeczypospolitej Polskiej „Monitor Polski” w terminie 7 dni od dnia jego </w:t>
      </w:r>
      <w:r w:rsidR="000012A0" w:rsidRPr="00792C8B">
        <w:rPr>
          <w:rFonts w:ascii="Times New Roman" w:hAnsi="Times New Roman" w:cs="Times New Roman"/>
          <w:sz w:val="24"/>
          <w:szCs w:val="24"/>
        </w:rPr>
        <w:t>przekazania do ogłoszenia</w:t>
      </w:r>
      <w:r w:rsidR="00272EF5" w:rsidRPr="00792C8B">
        <w:rPr>
          <w:rFonts w:ascii="Times New Roman" w:hAnsi="Times New Roman" w:cs="Times New Roman"/>
          <w:sz w:val="24"/>
          <w:szCs w:val="24"/>
        </w:rPr>
        <w:t>.</w:t>
      </w:r>
    </w:p>
    <w:p w:rsidR="009F5A5C" w:rsidRPr="00792C8B" w:rsidRDefault="009F5A5C" w:rsidP="0040224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3</w:t>
      </w:r>
    </w:p>
    <w:p w:rsidR="009862C4" w:rsidRPr="00792C8B" w:rsidRDefault="009F5A5C" w:rsidP="00402249">
      <w:pPr>
        <w:spacing w:before="120" w:after="120" w:line="360" w:lineRule="auto"/>
        <w:ind w:firstLine="567"/>
        <w:jc w:val="center"/>
        <w:rPr>
          <w:rFonts w:ascii="Times New Roman" w:hAnsi="Times New Roman" w:cs="Times New Roman"/>
          <w:sz w:val="24"/>
          <w:szCs w:val="24"/>
        </w:rPr>
      </w:pPr>
      <w:r w:rsidRPr="00792C8B">
        <w:rPr>
          <w:rFonts w:ascii="Times New Roman" w:hAnsi="Times New Roman" w:cs="Times New Roman"/>
          <w:b/>
          <w:sz w:val="24"/>
          <w:szCs w:val="24"/>
        </w:rPr>
        <w:t>Sędziowie Trybunału</w:t>
      </w:r>
    </w:p>
    <w:p w:rsidR="0014220B" w:rsidRPr="00792C8B" w:rsidRDefault="00CD7185"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14220B" w:rsidRPr="00792C8B">
        <w:rPr>
          <w:rFonts w:ascii="Times New Roman" w:hAnsi="Times New Roman" w:cs="Times New Roman"/>
          <w:sz w:val="24"/>
          <w:szCs w:val="24"/>
        </w:rPr>
        <w:t xml:space="preserve">Sędzią Trybunału może być osoba, która w chwili wyboru jest sędzią </w:t>
      </w:r>
      <w:r w:rsidR="006B7AA1" w:rsidRPr="00792C8B">
        <w:rPr>
          <w:rFonts w:ascii="Times New Roman" w:hAnsi="Times New Roman" w:cs="Times New Roman"/>
          <w:sz w:val="24"/>
          <w:szCs w:val="24"/>
        </w:rPr>
        <w:t>albo</w:t>
      </w:r>
      <w:r w:rsidR="0014220B" w:rsidRPr="00792C8B">
        <w:rPr>
          <w:rFonts w:ascii="Times New Roman" w:hAnsi="Times New Roman" w:cs="Times New Roman"/>
          <w:sz w:val="24"/>
          <w:szCs w:val="24"/>
        </w:rPr>
        <w:t xml:space="preserve"> sędzią w stanie spoczynku Sądu Najwyższego </w:t>
      </w:r>
      <w:r w:rsidR="006B7AA1" w:rsidRPr="00792C8B">
        <w:rPr>
          <w:rFonts w:ascii="Times New Roman" w:hAnsi="Times New Roman" w:cs="Times New Roman"/>
          <w:sz w:val="24"/>
          <w:szCs w:val="24"/>
        </w:rPr>
        <w:t>albo</w:t>
      </w:r>
      <w:r w:rsidR="0014220B" w:rsidRPr="00792C8B">
        <w:rPr>
          <w:rFonts w:ascii="Times New Roman" w:hAnsi="Times New Roman" w:cs="Times New Roman"/>
          <w:sz w:val="24"/>
          <w:szCs w:val="24"/>
        </w:rPr>
        <w:t xml:space="preserve"> Naczelnego Sądu Administra</w:t>
      </w:r>
      <w:r w:rsidR="006B7AA1" w:rsidRPr="00792C8B">
        <w:rPr>
          <w:rFonts w:ascii="Times New Roman" w:hAnsi="Times New Roman" w:cs="Times New Roman"/>
          <w:sz w:val="24"/>
          <w:szCs w:val="24"/>
        </w:rPr>
        <w:t>cyjnego, lub jest profesorem albo</w:t>
      </w:r>
      <w:r w:rsidR="0014220B" w:rsidRPr="00792C8B">
        <w:rPr>
          <w:rFonts w:ascii="Times New Roman" w:hAnsi="Times New Roman" w:cs="Times New Roman"/>
          <w:sz w:val="24"/>
          <w:szCs w:val="24"/>
        </w:rPr>
        <w:t xml:space="preserve"> doktorem habilitowanym nauk prawnych</w:t>
      </w:r>
      <w:r w:rsidR="006B7AA1" w:rsidRPr="00792C8B">
        <w:rPr>
          <w:rFonts w:ascii="Times New Roman" w:hAnsi="Times New Roman" w:cs="Times New Roman"/>
          <w:sz w:val="24"/>
          <w:szCs w:val="24"/>
        </w:rPr>
        <w:t xml:space="preserve"> oraz w chwili wyboru ma ukończone 40 lat oraz nie </w:t>
      </w:r>
      <w:r w:rsidR="00E63C6D" w:rsidRPr="00792C8B">
        <w:rPr>
          <w:rFonts w:ascii="Times New Roman" w:hAnsi="Times New Roman" w:cs="Times New Roman"/>
          <w:sz w:val="24"/>
          <w:szCs w:val="24"/>
        </w:rPr>
        <w:t>ma ukończonych</w:t>
      </w:r>
      <w:r w:rsidR="006B7AA1" w:rsidRPr="00792C8B">
        <w:rPr>
          <w:rFonts w:ascii="Times New Roman" w:hAnsi="Times New Roman" w:cs="Times New Roman"/>
          <w:sz w:val="24"/>
          <w:szCs w:val="24"/>
        </w:rPr>
        <w:t xml:space="preserve"> 65</w:t>
      </w:r>
      <w:r w:rsidR="00E63C6D" w:rsidRPr="00792C8B">
        <w:rPr>
          <w:rFonts w:ascii="Times New Roman" w:hAnsi="Times New Roman" w:cs="Times New Roman"/>
          <w:sz w:val="24"/>
          <w:szCs w:val="24"/>
        </w:rPr>
        <w:t xml:space="preserve"> lat</w:t>
      </w:r>
      <w:r w:rsidR="0014220B" w:rsidRPr="00792C8B">
        <w:rPr>
          <w:rFonts w:ascii="Times New Roman" w:hAnsi="Times New Roman" w:cs="Times New Roman"/>
          <w:sz w:val="24"/>
          <w:szCs w:val="24"/>
        </w:rPr>
        <w:t>.</w:t>
      </w:r>
    </w:p>
    <w:p w:rsidR="000F4FCD" w:rsidRPr="00792C8B" w:rsidRDefault="000F4FCD" w:rsidP="00434606">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2. Osob</w:t>
      </w:r>
      <w:r w:rsidR="006965A3">
        <w:rPr>
          <w:rFonts w:ascii="Times New Roman" w:hAnsi="Times New Roman" w:cs="Times New Roman"/>
          <w:sz w:val="24"/>
          <w:szCs w:val="24"/>
        </w:rPr>
        <w:t>ą kandydującą</w:t>
      </w:r>
      <w:r w:rsidRPr="00792C8B">
        <w:rPr>
          <w:rFonts w:ascii="Times New Roman" w:hAnsi="Times New Roman" w:cs="Times New Roman"/>
          <w:sz w:val="24"/>
          <w:szCs w:val="24"/>
        </w:rPr>
        <w:t xml:space="preserve"> na stanowisko sędziego Trybunału nie może</w:t>
      </w:r>
      <w:r w:rsidR="00916B49">
        <w:rPr>
          <w:rFonts w:ascii="Times New Roman" w:hAnsi="Times New Roman" w:cs="Times New Roman"/>
          <w:sz w:val="24"/>
          <w:szCs w:val="24"/>
        </w:rPr>
        <w:t xml:space="preserve"> być</w:t>
      </w:r>
      <w:r w:rsidRPr="00792C8B">
        <w:rPr>
          <w:rFonts w:ascii="Times New Roman" w:hAnsi="Times New Roman" w:cs="Times New Roman"/>
          <w:sz w:val="24"/>
          <w:szCs w:val="24"/>
        </w:rPr>
        <w:t xml:space="preserve"> </w:t>
      </w:r>
      <w:r w:rsidR="006965A3">
        <w:rPr>
          <w:rFonts w:ascii="Times New Roman" w:hAnsi="Times New Roman" w:cs="Times New Roman"/>
          <w:sz w:val="24"/>
          <w:szCs w:val="24"/>
        </w:rPr>
        <w:t xml:space="preserve">osoba, która jest </w:t>
      </w:r>
      <w:r w:rsidRPr="00792C8B">
        <w:rPr>
          <w:rFonts w:ascii="Times New Roman" w:hAnsi="Times New Roman" w:cs="Times New Roman"/>
          <w:sz w:val="24"/>
          <w:szCs w:val="24"/>
        </w:rPr>
        <w:t>członkiem partii politycznej oraz w okresie czter</w:t>
      </w:r>
      <w:r>
        <w:rPr>
          <w:rFonts w:ascii="Times New Roman" w:hAnsi="Times New Roman" w:cs="Times New Roman"/>
          <w:sz w:val="24"/>
          <w:szCs w:val="24"/>
        </w:rPr>
        <w:t>ech</w:t>
      </w:r>
      <w:r w:rsidRPr="00792C8B">
        <w:rPr>
          <w:rFonts w:ascii="Times New Roman" w:hAnsi="Times New Roman" w:cs="Times New Roman"/>
          <w:sz w:val="24"/>
          <w:szCs w:val="24"/>
        </w:rPr>
        <w:t xml:space="preserve"> lat</w:t>
      </w:r>
      <w:r w:rsidR="006965A3">
        <w:rPr>
          <w:rFonts w:ascii="Times New Roman" w:hAnsi="Times New Roman" w:cs="Times New Roman"/>
          <w:sz w:val="24"/>
          <w:szCs w:val="24"/>
        </w:rPr>
        <w:t xml:space="preserve"> przed dniem wyboru</w:t>
      </w:r>
      <w:r w:rsidRPr="00792C8B">
        <w:rPr>
          <w:rFonts w:ascii="Times New Roman" w:hAnsi="Times New Roman" w:cs="Times New Roman"/>
          <w:sz w:val="24"/>
          <w:szCs w:val="24"/>
        </w:rPr>
        <w:t xml:space="preserve"> </w:t>
      </w:r>
      <w:r>
        <w:rPr>
          <w:rFonts w:ascii="Times New Roman" w:hAnsi="Times New Roman" w:cs="Times New Roman"/>
          <w:sz w:val="24"/>
          <w:szCs w:val="24"/>
        </w:rPr>
        <w:t xml:space="preserve">była członkiem partii politycznej, </w:t>
      </w:r>
      <w:r w:rsidRPr="00792C8B">
        <w:rPr>
          <w:rFonts w:ascii="Times New Roman" w:hAnsi="Times New Roman" w:cs="Times New Roman"/>
          <w:sz w:val="24"/>
          <w:szCs w:val="24"/>
        </w:rPr>
        <w:t>posłem, senatorem, członkiem Rady Ministrów, sekretarzem albo podsekretarzem stanu w Kancelarii Prezydenta</w:t>
      </w:r>
      <w:r>
        <w:rPr>
          <w:rFonts w:ascii="Times New Roman" w:hAnsi="Times New Roman" w:cs="Times New Roman"/>
          <w:sz w:val="24"/>
          <w:szCs w:val="24"/>
        </w:rPr>
        <w:t xml:space="preserve"> Rzeczypospolitej Polskiej</w:t>
      </w:r>
      <w:r w:rsidRPr="00792C8B">
        <w:rPr>
          <w:rFonts w:ascii="Times New Roman" w:hAnsi="Times New Roman" w:cs="Times New Roman"/>
          <w:sz w:val="24"/>
          <w:szCs w:val="24"/>
        </w:rPr>
        <w:t xml:space="preserve"> lub w Kancelarii Prezesa Rady Ministrów.</w:t>
      </w:r>
    </w:p>
    <w:p w:rsidR="00F860DC" w:rsidRPr="00792C8B" w:rsidRDefault="00F860DC"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Prawo zgłaszania kandydata na sędziego Trybunału przysługuje wyłącznie: </w:t>
      </w:r>
    </w:p>
    <w:p w:rsidR="00F860DC" w:rsidRPr="00792C8B" w:rsidRDefault="00F860DC" w:rsidP="00BB4BD8">
      <w:pPr>
        <w:pStyle w:val="Akapitzlist"/>
        <w:numPr>
          <w:ilvl w:val="0"/>
          <w:numId w:val="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Zgromadzeniu Ogólnemu Sędziów Sądu Najwyższego,</w:t>
      </w:r>
    </w:p>
    <w:p w:rsidR="00F860DC" w:rsidRPr="00792C8B" w:rsidRDefault="00F860DC" w:rsidP="00BB4BD8">
      <w:pPr>
        <w:pStyle w:val="Akapitzlist"/>
        <w:numPr>
          <w:ilvl w:val="0"/>
          <w:numId w:val="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Zgromadzeniu Ogólnemu Sędziów Naczelnego Sądu Administracyjnego</w:t>
      </w:r>
      <w:r w:rsidR="00CB7F75" w:rsidRPr="00792C8B">
        <w:rPr>
          <w:rFonts w:ascii="Times New Roman" w:hAnsi="Times New Roman" w:cs="Times New Roman"/>
          <w:sz w:val="24"/>
          <w:szCs w:val="24"/>
        </w:rPr>
        <w:t>,</w:t>
      </w:r>
    </w:p>
    <w:p w:rsidR="00F860DC" w:rsidRPr="00792C8B" w:rsidRDefault="00F860DC" w:rsidP="00BB4BD8">
      <w:pPr>
        <w:pStyle w:val="Akapitzlist"/>
        <w:numPr>
          <w:ilvl w:val="0"/>
          <w:numId w:val="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Krajowej Radzie Sądownictwa</w:t>
      </w:r>
      <w:r w:rsidR="00CB7F75" w:rsidRPr="00792C8B">
        <w:rPr>
          <w:rFonts w:ascii="Times New Roman" w:hAnsi="Times New Roman" w:cs="Times New Roman"/>
          <w:sz w:val="24"/>
          <w:szCs w:val="24"/>
        </w:rPr>
        <w:t>,</w:t>
      </w:r>
    </w:p>
    <w:p w:rsidR="00F860DC" w:rsidRPr="00792C8B" w:rsidRDefault="00F860DC" w:rsidP="00BB4BD8">
      <w:pPr>
        <w:pStyle w:val="Akapitzlist"/>
        <w:numPr>
          <w:ilvl w:val="0"/>
          <w:numId w:val="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Naczelnej Radzie Adwokackiej</w:t>
      </w:r>
      <w:r w:rsidR="00CB7F75" w:rsidRPr="00792C8B">
        <w:rPr>
          <w:rFonts w:ascii="Times New Roman" w:hAnsi="Times New Roman" w:cs="Times New Roman"/>
          <w:sz w:val="24"/>
          <w:szCs w:val="24"/>
        </w:rPr>
        <w:t>,</w:t>
      </w:r>
    </w:p>
    <w:p w:rsidR="00F860DC" w:rsidRPr="00792C8B" w:rsidRDefault="00735715" w:rsidP="00BB4BD8">
      <w:pPr>
        <w:pStyle w:val="Akapitzlist"/>
        <w:numPr>
          <w:ilvl w:val="0"/>
          <w:numId w:val="3"/>
        </w:numPr>
        <w:spacing w:before="120" w:after="12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Krajowej Radzie</w:t>
      </w:r>
      <w:r w:rsidR="00F860DC" w:rsidRPr="00792C8B">
        <w:rPr>
          <w:rFonts w:ascii="Times New Roman" w:hAnsi="Times New Roman" w:cs="Times New Roman"/>
          <w:sz w:val="24"/>
          <w:szCs w:val="24"/>
        </w:rPr>
        <w:t xml:space="preserve"> Radców Prawnych</w:t>
      </w:r>
      <w:r w:rsidR="00504042">
        <w:rPr>
          <w:rFonts w:ascii="Times New Roman" w:hAnsi="Times New Roman" w:cs="Times New Roman"/>
          <w:sz w:val="24"/>
          <w:szCs w:val="24"/>
        </w:rPr>
        <w:t>.</w:t>
      </w:r>
    </w:p>
    <w:p w:rsidR="00F860DC" w:rsidRPr="00792C8B" w:rsidRDefault="00CB7F75" w:rsidP="00434606">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860DC" w:rsidRPr="00792C8B">
        <w:rPr>
          <w:rFonts w:ascii="Times New Roman" w:hAnsi="Times New Roman" w:cs="Times New Roman"/>
          <w:sz w:val="24"/>
          <w:szCs w:val="24"/>
        </w:rPr>
        <w:t>Wniosek, zawierający dane osobowe ka</w:t>
      </w:r>
      <w:r w:rsidRPr="00792C8B">
        <w:rPr>
          <w:rFonts w:ascii="Times New Roman" w:hAnsi="Times New Roman" w:cs="Times New Roman"/>
          <w:sz w:val="24"/>
          <w:szCs w:val="24"/>
        </w:rPr>
        <w:t xml:space="preserve">ndydata i jego oświadczenie o </w:t>
      </w:r>
      <w:r w:rsidR="00F860DC" w:rsidRPr="00792C8B">
        <w:rPr>
          <w:rFonts w:ascii="Times New Roman" w:hAnsi="Times New Roman" w:cs="Times New Roman"/>
          <w:sz w:val="24"/>
          <w:szCs w:val="24"/>
        </w:rPr>
        <w:t>zgodzie na</w:t>
      </w:r>
      <w:r w:rsidRPr="00792C8B">
        <w:rPr>
          <w:rFonts w:ascii="Times New Roman" w:hAnsi="Times New Roman" w:cs="Times New Roman"/>
          <w:sz w:val="24"/>
          <w:szCs w:val="24"/>
        </w:rPr>
        <w:t xml:space="preserve"> </w:t>
      </w:r>
      <w:r w:rsidR="00F860DC" w:rsidRPr="00792C8B">
        <w:rPr>
          <w:rFonts w:ascii="Times New Roman" w:hAnsi="Times New Roman" w:cs="Times New Roman"/>
          <w:sz w:val="24"/>
          <w:szCs w:val="24"/>
        </w:rPr>
        <w:t xml:space="preserve">kandydowanie wraz z potwierdzeniem </w:t>
      </w:r>
      <w:r w:rsidR="00BE24CD" w:rsidRPr="00792C8B">
        <w:rPr>
          <w:rFonts w:ascii="Times New Roman" w:hAnsi="Times New Roman" w:cs="Times New Roman"/>
          <w:sz w:val="24"/>
          <w:szCs w:val="24"/>
        </w:rPr>
        <w:t>spełniania wymogów</w:t>
      </w:r>
      <w:r w:rsidR="00F860DC" w:rsidRPr="00792C8B">
        <w:rPr>
          <w:rFonts w:ascii="Times New Roman" w:hAnsi="Times New Roman" w:cs="Times New Roman"/>
          <w:sz w:val="24"/>
          <w:szCs w:val="24"/>
        </w:rPr>
        <w:t xml:space="preserve">, o których </w:t>
      </w:r>
      <w:r w:rsidRPr="00792C8B">
        <w:rPr>
          <w:rFonts w:ascii="Times New Roman" w:hAnsi="Times New Roman" w:cs="Times New Roman"/>
          <w:sz w:val="24"/>
          <w:szCs w:val="24"/>
        </w:rPr>
        <w:t>mowa w art. 11,</w:t>
      </w:r>
      <w:r w:rsidR="00F860DC" w:rsidRPr="00792C8B">
        <w:rPr>
          <w:rFonts w:ascii="Times New Roman" w:hAnsi="Times New Roman" w:cs="Times New Roman"/>
          <w:sz w:val="24"/>
          <w:szCs w:val="24"/>
        </w:rPr>
        <w:t xml:space="preserve"> podmiot wymieniony w us</w:t>
      </w:r>
      <w:r w:rsidRPr="00792C8B">
        <w:rPr>
          <w:rFonts w:ascii="Times New Roman" w:hAnsi="Times New Roman" w:cs="Times New Roman"/>
          <w:sz w:val="24"/>
          <w:szCs w:val="24"/>
        </w:rPr>
        <w:t xml:space="preserve">t. 1 składa Marszałkowi Sejmu </w:t>
      </w:r>
      <w:r w:rsidR="00A43FB6" w:rsidRPr="00792C8B">
        <w:rPr>
          <w:rFonts w:ascii="Times New Roman" w:hAnsi="Times New Roman" w:cs="Times New Roman"/>
          <w:sz w:val="24"/>
          <w:szCs w:val="24"/>
        </w:rPr>
        <w:t>nie później</w:t>
      </w:r>
      <w:r w:rsidR="00F860DC" w:rsidRPr="00792C8B">
        <w:rPr>
          <w:rFonts w:ascii="Times New Roman" w:hAnsi="Times New Roman" w:cs="Times New Roman"/>
          <w:sz w:val="24"/>
          <w:szCs w:val="24"/>
        </w:rPr>
        <w:t xml:space="preserve"> niż</w:t>
      </w:r>
      <w:r w:rsidR="002E0D45" w:rsidRPr="00792C8B">
        <w:rPr>
          <w:rFonts w:ascii="Times New Roman" w:hAnsi="Times New Roman" w:cs="Times New Roman"/>
          <w:sz w:val="24"/>
          <w:szCs w:val="24"/>
        </w:rPr>
        <w:t xml:space="preserve"> </w:t>
      </w:r>
      <w:r w:rsidR="00F860DC" w:rsidRPr="00792C8B">
        <w:rPr>
          <w:rFonts w:ascii="Times New Roman" w:hAnsi="Times New Roman" w:cs="Times New Roman"/>
          <w:sz w:val="24"/>
          <w:szCs w:val="24"/>
        </w:rPr>
        <w:t xml:space="preserve">trzy miesiące przed zakończeniem kadencji </w:t>
      </w:r>
      <w:r w:rsidRPr="00792C8B">
        <w:rPr>
          <w:rFonts w:ascii="Times New Roman" w:hAnsi="Times New Roman" w:cs="Times New Roman"/>
          <w:sz w:val="24"/>
          <w:szCs w:val="24"/>
        </w:rPr>
        <w:t xml:space="preserve">sędziego Trybunału, a w </w:t>
      </w:r>
      <w:r w:rsidR="00294937" w:rsidRPr="00792C8B">
        <w:rPr>
          <w:rFonts w:ascii="Times New Roman" w:hAnsi="Times New Roman" w:cs="Times New Roman"/>
          <w:sz w:val="24"/>
          <w:szCs w:val="24"/>
        </w:rPr>
        <w:t xml:space="preserve">przypadku wygaśnięcia mandatu </w:t>
      </w:r>
      <w:r w:rsidRPr="00792C8B">
        <w:rPr>
          <w:rFonts w:ascii="Times New Roman" w:hAnsi="Times New Roman" w:cs="Times New Roman"/>
          <w:sz w:val="24"/>
          <w:szCs w:val="24"/>
        </w:rPr>
        <w:t>sędziego Trybunału</w:t>
      </w:r>
      <w:r w:rsidR="00294937" w:rsidRPr="00792C8B">
        <w:rPr>
          <w:rFonts w:ascii="Times New Roman" w:hAnsi="Times New Roman" w:cs="Times New Roman"/>
          <w:sz w:val="24"/>
          <w:szCs w:val="24"/>
        </w:rPr>
        <w:t xml:space="preserve"> przed upływem kadencji</w:t>
      </w:r>
      <w:r w:rsidRPr="00792C8B">
        <w:rPr>
          <w:rFonts w:ascii="Times New Roman" w:hAnsi="Times New Roman" w:cs="Times New Roman"/>
          <w:sz w:val="24"/>
          <w:szCs w:val="24"/>
        </w:rPr>
        <w:t xml:space="preserve"> </w:t>
      </w:r>
      <w:r w:rsidR="00F860DC" w:rsidRPr="00792C8B">
        <w:rPr>
          <w:rFonts w:ascii="Times New Roman" w:hAnsi="Times New Roman" w:cs="Times New Roman"/>
          <w:sz w:val="24"/>
          <w:szCs w:val="24"/>
        </w:rPr>
        <w:t xml:space="preserve">wniosek składa się w terminie jednego miesiąca od </w:t>
      </w:r>
      <w:r w:rsidR="002D7D43" w:rsidRPr="00792C8B">
        <w:rPr>
          <w:rFonts w:ascii="Times New Roman" w:hAnsi="Times New Roman" w:cs="Times New Roman"/>
          <w:sz w:val="24"/>
          <w:szCs w:val="24"/>
        </w:rPr>
        <w:t xml:space="preserve">poinformowania </w:t>
      </w:r>
      <w:r w:rsidR="00294937" w:rsidRPr="00792C8B">
        <w:rPr>
          <w:rFonts w:ascii="Times New Roman" w:hAnsi="Times New Roman" w:cs="Times New Roman"/>
          <w:sz w:val="24"/>
          <w:szCs w:val="24"/>
        </w:rPr>
        <w:t>przez Marszałka Sejmu, podmiot</w:t>
      </w:r>
      <w:r w:rsidR="00C34612" w:rsidRPr="00792C8B">
        <w:rPr>
          <w:rFonts w:ascii="Times New Roman" w:hAnsi="Times New Roman" w:cs="Times New Roman"/>
          <w:sz w:val="24"/>
          <w:szCs w:val="24"/>
        </w:rPr>
        <w:t>u</w:t>
      </w:r>
      <w:r w:rsidR="00294937" w:rsidRPr="00792C8B">
        <w:rPr>
          <w:rFonts w:ascii="Times New Roman" w:hAnsi="Times New Roman" w:cs="Times New Roman"/>
          <w:sz w:val="24"/>
          <w:szCs w:val="24"/>
        </w:rPr>
        <w:t xml:space="preserve"> wymienion</w:t>
      </w:r>
      <w:r w:rsidR="00C34612" w:rsidRPr="00792C8B">
        <w:rPr>
          <w:rFonts w:ascii="Times New Roman" w:hAnsi="Times New Roman" w:cs="Times New Roman"/>
          <w:sz w:val="24"/>
          <w:szCs w:val="24"/>
        </w:rPr>
        <w:t>ego</w:t>
      </w:r>
      <w:r w:rsidR="00294937" w:rsidRPr="00792C8B">
        <w:rPr>
          <w:rFonts w:ascii="Times New Roman" w:hAnsi="Times New Roman" w:cs="Times New Roman"/>
          <w:sz w:val="24"/>
          <w:szCs w:val="24"/>
        </w:rPr>
        <w:t xml:space="preserve"> w ust. 1 o możliwości zgłoszenia kandydata na sędziego Trybunału</w:t>
      </w:r>
      <w:r w:rsidRPr="00792C8B">
        <w:rPr>
          <w:rFonts w:ascii="Times New Roman" w:hAnsi="Times New Roman" w:cs="Times New Roman"/>
          <w:sz w:val="24"/>
          <w:szCs w:val="24"/>
        </w:rPr>
        <w:t>.</w:t>
      </w:r>
    </w:p>
    <w:p w:rsidR="00F860DC" w:rsidRPr="00792C8B" w:rsidRDefault="00F860DC"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CB7F75" w:rsidRPr="00792C8B">
        <w:rPr>
          <w:rFonts w:ascii="Times New Roman" w:hAnsi="Times New Roman" w:cs="Times New Roman"/>
          <w:sz w:val="24"/>
          <w:szCs w:val="24"/>
        </w:rPr>
        <w:t>.</w:t>
      </w:r>
      <w:r w:rsidRPr="00792C8B">
        <w:rPr>
          <w:rFonts w:ascii="Times New Roman" w:hAnsi="Times New Roman" w:cs="Times New Roman"/>
          <w:sz w:val="24"/>
          <w:szCs w:val="24"/>
        </w:rPr>
        <w:t xml:space="preserve"> Marszałek Sejmu podaje </w:t>
      </w:r>
      <w:r w:rsidR="00E94655">
        <w:rPr>
          <w:rFonts w:ascii="Times New Roman" w:hAnsi="Times New Roman" w:cs="Times New Roman"/>
          <w:sz w:val="24"/>
          <w:szCs w:val="24"/>
        </w:rPr>
        <w:t>nie</w:t>
      </w:r>
      <w:r w:rsidRPr="00792C8B">
        <w:rPr>
          <w:rFonts w:ascii="Times New Roman" w:hAnsi="Times New Roman" w:cs="Times New Roman"/>
          <w:sz w:val="24"/>
          <w:szCs w:val="24"/>
        </w:rPr>
        <w:t>zwłocznie otrzymane kandydatury do</w:t>
      </w:r>
      <w:r w:rsidR="002E0D45" w:rsidRPr="00792C8B">
        <w:rPr>
          <w:rFonts w:ascii="Times New Roman" w:hAnsi="Times New Roman" w:cs="Times New Roman"/>
          <w:sz w:val="24"/>
          <w:szCs w:val="24"/>
        </w:rPr>
        <w:t xml:space="preserve"> </w:t>
      </w:r>
      <w:r w:rsidRPr="00792C8B">
        <w:rPr>
          <w:rFonts w:ascii="Times New Roman" w:hAnsi="Times New Roman" w:cs="Times New Roman"/>
          <w:sz w:val="24"/>
          <w:szCs w:val="24"/>
        </w:rPr>
        <w:t>publicznej wiadomości.</w:t>
      </w:r>
    </w:p>
    <w:p w:rsidR="00F860DC" w:rsidRPr="00792C8B" w:rsidRDefault="00F860DC" w:rsidP="00792C8B">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2. W terminie dwóch miesięcy przed końcem kadencji sędziego Trybunału albo dwóch miesięcy od opróżnienia stanowiska sędziego Trybunału Marszałek Sejmu powołuje komisję</w:t>
      </w:r>
      <w:r w:rsidR="00EA280D" w:rsidRPr="00792C8B">
        <w:rPr>
          <w:rFonts w:ascii="Times New Roman" w:hAnsi="Times New Roman" w:cs="Times New Roman"/>
          <w:sz w:val="24"/>
          <w:szCs w:val="24"/>
        </w:rPr>
        <w:t xml:space="preserve"> nadzwyczajną do wyłonienia kandydata na sędziego Trybuna</w:t>
      </w:r>
      <w:r w:rsidR="00EE0E40" w:rsidRPr="00792C8B">
        <w:rPr>
          <w:rFonts w:ascii="Times New Roman" w:hAnsi="Times New Roman" w:cs="Times New Roman"/>
          <w:sz w:val="24"/>
          <w:szCs w:val="24"/>
        </w:rPr>
        <w:t>ł</w:t>
      </w:r>
      <w:r w:rsidR="00EA280D" w:rsidRPr="00792C8B">
        <w:rPr>
          <w:rFonts w:ascii="Times New Roman" w:hAnsi="Times New Roman" w:cs="Times New Roman"/>
          <w:sz w:val="24"/>
          <w:szCs w:val="24"/>
        </w:rPr>
        <w:t>u</w:t>
      </w:r>
      <w:r w:rsidR="000F441E" w:rsidRPr="00792C8B">
        <w:rPr>
          <w:rFonts w:ascii="Times New Roman" w:hAnsi="Times New Roman" w:cs="Times New Roman"/>
          <w:sz w:val="24"/>
          <w:szCs w:val="24"/>
        </w:rPr>
        <w:t>, zwaną dalej „komisją”</w:t>
      </w:r>
      <w:r w:rsidRPr="00792C8B">
        <w:rPr>
          <w:rFonts w:ascii="Times New Roman" w:hAnsi="Times New Roman" w:cs="Times New Roman"/>
          <w:sz w:val="24"/>
          <w:szCs w:val="24"/>
        </w:rPr>
        <w:t>, w której skład wchodz</w:t>
      </w:r>
      <w:r w:rsidR="00BE24CD" w:rsidRPr="00792C8B">
        <w:rPr>
          <w:rFonts w:ascii="Times New Roman" w:hAnsi="Times New Roman" w:cs="Times New Roman"/>
          <w:sz w:val="24"/>
          <w:szCs w:val="24"/>
        </w:rPr>
        <w:t>i</w:t>
      </w:r>
      <w:r w:rsidR="00792C8B">
        <w:rPr>
          <w:rFonts w:ascii="Times New Roman" w:hAnsi="Times New Roman" w:cs="Times New Roman"/>
          <w:sz w:val="24"/>
          <w:szCs w:val="24"/>
        </w:rPr>
        <w:t xml:space="preserve"> po dwóch</w:t>
      </w:r>
      <w:r w:rsidR="002E0D45" w:rsidRPr="00792C8B">
        <w:rPr>
          <w:rFonts w:ascii="Times New Roman" w:hAnsi="Times New Roman" w:cs="Times New Roman"/>
          <w:sz w:val="24"/>
          <w:szCs w:val="24"/>
        </w:rPr>
        <w:t xml:space="preserve"> </w:t>
      </w:r>
      <w:r w:rsidR="00792C8B">
        <w:rPr>
          <w:rFonts w:ascii="Times New Roman" w:hAnsi="Times New Roman" w:cs="Times New Roman"/>
          <w:sz w:val="24"/>
          <w:szCs w:val="24"/>
        </w:rPr>
        <w:t>przedstawicieli</w:t>
      </w:r>
      <w:r w:rsidRPr="00792C8B">
        <w:rPr>
          <w:rFonts w:ascii="Times New Roman" w:hAnsi="Times New Roman" w:cs="Times New Roman"/>
          <w:sz w:val="24"/>
          <w:szCs w:val="24"/>
        </w:rPr>
        <w:t xml:space="preserve"> klubów parlamentarnych</w:t>
      </w:r>
      <w:r w:rsidR="00916B49">
        <w:rPr>
          <w:rFonts w:ascii="Times New Roman" w:hAnsi="Times New Roman" w:cs="Times New Roman"/>
          <w:sz w:val="24"/>
          <w:szCs w:val="24"/>
        </w:rPr>
        <w:t xml:space="preserve"> i klubów poselskich</w:t>
      </w:r>
      <w:r w:rsidRPr="00792C8B">
        <w:rPr>
          <w:rFonts w:ascii="Times New Roman" w:hAnsi="Times New Roman" w:cs="Times New Roman"/>
          <w:sz w:val="24"/>
          <w:szCs w:val="24"/>
        </w:rPr>
        <w:t>. Obradom komisji przewodniczy, bez prawa głosu,</w:t>
      </w:r>
      <w:r w:rsidR="002E0D45" w:rsidRPr="00792C8B">
        <w:rPr>
          <w:rFonts w:ascii="Times New Roman" w:hAnsi="Times New Roman" w:cs="Times New Roman"/>
          <w:sz w:val="24"/>
          <w:szCs w:val="24"/>
        </w:rPr>
        <w:t xml:space="preserve"> </w:t>
      </w:r>
      <w:r w:rsidRPr="00792C8B">
        <w:rPr>
          <w:rFonts w:ascii="Times New Roman" w:hAnsi="Times New Roman" w:cs="Times New Roman"/>
          <w:sz w:val="24"/>
          <w:szCs w:val="24"/>
        </w:rPr>
        <w:t xml:space="preserve">Marszałek Sejmu lub wyznaczony przez niego </w:t>
      </w:r>
      <w:r w:rsidR="00792C8B">
        <w:rPr>
          <w:rFonts w:ascii="Times New Roman" w:hAnsi="Times New Roman" w:cs="Times New Roman"/>
          <w:sz w:val="24"/>
          <w:szCs w:val="24"/>
        </w:rPr>
        <w:t>W</w:t>
      </w:r>
      <w:r w:rsidRPr="00792C8B">
        <w:rPr>
          <w:rFonts w:ascii="Times New Roman" w:hAnsi="Times New Roman" w:cs="Times New Roman"/>
          <w:sz w:val="24"/>
          <w:szCs w:val="24"/>
        </w:rPr>
        <w:t xml:space="preserve">icemarszałek Sejmu. </w:t>
      </w:r>
    </w:p>
    <w:p w:rsidR="00F1497A" w:rsidRPr="00792C8B" w:rsidRDefault="00F860DC" w:rsidP="00434606">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3. Komisja, po publicznym wysłuchaniu zgłoszonych zgodnie z art. 12 osób i przeprowadzeniu głosowania, przedstawia Sejmowi w terminie miesiąca przed końcem kadencji sędziego Trybunału albo trzech miesięcy od opróżnienia stanowiska sędziego Trybunału trzech kandydatów na stanowisko sędziego Trybunału</w:t>
      </w:r>
      <w:r w:rsidR="00924ACE" w:rsidRPr="00792C8B">
        <w:rPr>
          <w:rFonts w:ascii="Times New Roman" w:hAnsi="Times New Roman" w:cs="Times New Roman"/>
          <w:sz w:val="24"/>
          <w:szCs w:val="24"/>
        </w:rPr>
        <w:t xml:space="preserve">, którzy w </w:t>
      </w:r>
      <w:r w:rsidR="003B6B47">
        <w:rPr>
          <w:rFonts w:ascii="Times New Roman" w:hAnsi="Times New Roman" w:cs="Times New Roman"/>
          <w:sz w:val="24"/>
          <w:szCs w:val="24"/>
        </w:rPr>
        <w:t>k</w:t>
      </w:r>
      <w:r w:rsidR="00924ACE" w:rsidRPr="00792C8B">
        <w:rPr>
          <w:rFonts w:ascii="Times New Roman" w:hAnsi="Times New Roman" w:cs="Times New Roman"/>
          <w:sz w:val="24"/>
          <w:szCs w:val="24"/>
        </w:rPr>
        <w:t>omisji uzyskali największą liczbę głosów</w:t>
      </w:r>
      <w:r w:rsidRPr="00792C8B">
        <w:rPr>
          <w:rFonts w:ascii="Times New Roman" w:hAnsi="Times New Roman" w:cs="Times New Roman"/>
          <w:sz w:val="24"/>
          <w:szCs w:val="24"/>
        </w:rPr>
        <w:t>.</w:t>
      </w:r>
    </w:p>
    <w:p w:rsidR="00F860DC" w:rsidRPr="00792C8B" w:rsidRDefault="000F441E" w:rsidP="00434606">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4. Komisja nie przeprowadza publicznego wysłuchania osoby, która z przyczyn od niej niezależnych nie mogła uczestniczyć w publicznym wysłuchani</w:t>
      </w:r>
      <w:r w:rsidR="00916B49">
        <w:rPr>
          <w:rFonts w:ascii="Times New Roman" w:hAnsi="Times New Roman" w:cs="Times New Roman"/>
          <w:sz w:val="24"/>
          <w:szCs w:val="24"/>
        </w:rPr>
        <w:t>u</w:t>
      </w:r>
      <w:r w:rsidRPr="00792C8B">
        <w:rPr>
          <w:rFonts w:ascii="Times New Roman" w:hAnsi="Times New Roman" w:cs="Times New Roman"/>
          <w:sz w:val="24"/>
          <w:szCs w:val="24"/>
        </w:rPr>
        <w:t xml:space="preserve"> w terminie wyznaczonym przez komisję albo odmówiła na piśmie uczestnictwa w publicznym wysłuchaniu.</w:t>
      </w:r>
    </w:p>
    <w:p w:rsidR="00562F0F" w:rsidRPr="00792C8B" w:rsidRDefault="00562F0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 Sędziego Trybunału</w:t>
      </w:r>
      <w:r w:rsidR="00924ACE" w:rsidRPr="00792C8B">
        <w:rPr>
          <w:rFonts w:ascii="Times New Roman" w:hAnsi="Times New Roman" w:cs="Times New Roman"/>
          <w:sz w:val="24"/>
          <w:szCs w:val="24"/>
        </w:rPr>
        <w:t xml:space="preserve"> </w:t>
      </w:r>
      <w:r w:rsidRPr="00792C8B">
        <w:rPr>
          <w:rFonts w:ascii="Times New Roman" w:hAnsi="Times New Roman" w:cs="Times New Roman"/>
          <w:sz w:val="24"/>
          <w:szCs w:val="24"/>
        </w:rPr>
        <w:t>wybiera indywidualnie na dziewięcioletnią</w:t>
      </w:r>
      <w:r w:rsidR="002E0D45" w:rsidRPr="00792C8B">
        <w:rPr>
          <w:rFonts w:ascii="Times New Roman" w:hAnsi="Times New Roman" w:cs="Times New Roman"/>
          <w:sz w:val="24"/>
          <w:szCs w:val="24"/>
        </w:rPr>
        <w:t xml:space="preserve"> </w:t>
      </w:r>
      <w:r w:rsidRPr="00792C8B">
        <w:rPr>
          <w:rFonts w:ascii="Times New Roman" w:hAnsi="Times New Roman" w:cs="Times New Roman"/>
          <w:sz w:val="24"/>
          <w:szCs w:val="24"/>
        </w:rPr>
        <w:t xml:space="preserve">kadencję Sejm bezwzględną większością głosów przy obecności co najmniej połowy ustawowej liczby posłów. </w:t>
      </w:r>
    </w:p>
    <w:p w:rsidR="00562F0F" w:rsidRPr="00792C8B" w:rsidRDefault="00562F0F" w:rsidP="00434606">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2. Jeżeli w pierwszym głosowaniu żaden z kandydatów nie otrzyma bezwzględnej większości głosów, Sejm prz</w:t>
      </w:r>
      <w:r w:rsidR="00924ACE" w:rsidRPr="00792C8B">
        <w:rPr>
          <w:rFonts w:ascii="Times New Roman" w:hAnsi="Times New Roman" w:cs="Times New Roman"/>
          <w:sz w:val="24"/>
          <w:szCs w:val="24"/>
        </w:rPr>
        <w:t xml:space="preserve">ystępuje </w:t>
      </w:r>
      <w:r w:rsidR="00E94655">
        <w:rPr>
          <w:rFonts w:ascii="Times New Roman" w:hAnsi="Times New Roman" w:cs="Times New Roman"/>
          <w:sz w:val="24"/>
          <w:szCs w:val="24"/>
        </w:rPr>
        <w:t>nie</w:t>
      </w:r>
      <w:r w:rsidR="00924ACE" w:rsidRPr="00792C8B">
        <w:rPr>
          <w:rFonts w:ascii="Times New Roman" w:hAnsi="Times New Roman" w:cs="Times New Roman"/>
          <w:sz w:val="24"/>
          <w:szCs w:val="24"/>
        </w:rPr>
        <w:t>zwłocznie do wyboru</w:t>
      </w:r>
      <w:r w:rsidRPr="00792C8B">
        <w:rPr>
          <w:rFonts w:ascii="Times New Roman" w:hAnsi="Times New Roman" w:cs="Times New Roman"/>
          <w:sz w:val="24"/>
          <w:szCs w:val="24"/>
        </w:rPr>
        <w:t xml:space="preserve"> spośród dwóch kandydatów, którzy otrzymali największą ilość głosów. </w:t>
      </w:r>
    </w:p>
    <w:p w:rsidR="005457D2" w:rsidRPr="00792C8B" w:rsidRDefault="004506F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88762C" w:rsidRPr="00792C8B">
        <w:rPr>
          <w:rFonts w:ascii="Times New Roman" w:hAnsi="Times New Roman" w:cs="Times New Roman"/>
          <w:sz w:val="24"/>
          <w:szCs w:val="24"/>
        </w:rPr>
        <w:t xml:space="preserve"> </w:t>
      </w:r>
      <w:r w:rsidR="0090765D" w:rsidRPr="00792C8B">
        <w:rPr>
          <w:rFonts w:ascii="Times New Roman" w:hAnsi="Times New Roman" w:cs="Times New Roman"/>
          <w:sz w:val="24"/>
          <w:szCs w:val="24"/>
        </w:rPr>
        <w:t>Przed przystąpieniem do sprawowania urzędu sędzia Trybunału składa wobec Sejmu ślubowanie następującej treści: „Uroczyście ślubuję, że pełniąc powierzone mi obowiązki sędziego Trybunału Konstytucyjnego, będę wiernie służyć Narodowi i stać na straży Konstytucji Rzeczypospolitej Polskiej, czyniąc to bezstronnie, według mego sumienia i z najwyższą starannością oraz strzegąc godności sprawowanego urzędu</w:t>
      </w:r>
      <w:r w:rsidR="00E94655">
        <w:rPr>
          <w:rFonts w:ascii="Times New Roman" w:hAnsi="Times New Roman" w:cs="Times New Roman"/>
          <w:sz w:val="24"/>
          <w:szCs w:val="24"/>
        </w:rPr>
        <w:t>.</w:t>
      </w:r>
      <w:r w:rsidR="0090765D" w:rsidRPr="00792C8B">
        <w:rPr>
          <w:rFonts w:ascii="Times New Roman" w:hAnsi="Times New Roman" w:cs="Times New Roman"/>
          <w:sz w:val="24"/>
          <w:szCs w:val="24"/>
        </w:rPr>
        <w:t>”. Ślubowanie może być złożone z dodaniem zdania „Tak mi dopomóż Bóg”.</w:t>
      </w:r>
      <w:r w:rsidR="005457D2" w:rsidRPr="00792C8B">
        <w:rPr>
          <w:rFonts w:ascii="Times New Roman" w:hAnsi="Times New Roman" w:cs="Times New Roman"/>
          <w:sz w:val="24"/>
          <w:szCs w:val="24"/>
        </w:rPr>
        <w:t xml:space="preserve"> </w:t>
      </w:r>
    </w:p>
    <w:p w:rsidR="005457D2" w:rsidRPr="00792C8B" w:rsidRDefault="005E4358"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2</w:t>
      </w:r>
      <w:r w:rsidR="004506F7" w:rsidRPr="00792C8B">
        <w:rPr>
          <w:rFonts w:ascii="Times New Roman" w:hAnsi="Times New Roman" w:cs="Times New Roman"/>
          <w:sz w:val="24"/>
          <w:szCs w:val="24"/>
        </w:rPr>
        <w:t xml:space="preserve">. </w:t>
      </w:r>
      <w:r w:rsidR="0086466B" w:rsidRPr="00792C8B">
        <w:rPr>
          <w:rFonts w:ascii="Times New Roman" w:hAnsi="Times New Roman" w:cs="Times New Roman"/>
          <w:sz w:val="24"/>
          <w:szCs w:val="24"/>
        </w:rPr>
        <w:t xml:space="preserve">Uchylenie się od </w:t>
      </w:r>
      <w:r w:rsidR="005457D2" w:rsidRPr="00792C8B">
        <w:rPr>
          <w:rFonts w:ascii="Times New Roman" w:hAnsi="Times New Roman" w:cs="Times New Roman"/>
          <w:sz w:val="24"/>
          <w:szCs w:val="24"/>
        </w:rPr>
        <w:t>złożenia ślubowania</w:t>
      </w:r>
      <w:r w:rsidR="00550BB0" w:rsidRPr="00792C8B">
        <w:rPr>
          <w:rFonts w:ascii="Times New Roman" w:hAnsi="Times New Roman" w:cs="Times New Roman"/>
          <w:sz w:val="24"/>
          <w:szCs w:val="24"/>
        </w:rPr>
        <w:t xml:space="preserve"> przez </w:t>
      </w:r>
      <w:r w:rsidR="00110FDC" w:rsidRPr="00792C8B">
        <w:rPr>
          <w:rFonts w:ascii="Times New Roman" w:hAnsi="Times New Roman" w:cs="Times New Roman"/>
          <w:sz w:val="24"/>
          <w:szCs w:val="24"/>
        </w:rPr>
        <w:t>sędziego</w:t>
      </w:r>
      <w:r w:rsidR="00550BB0" w:rsidRPr="00792C8B">
        <w:rPr>
          <w:rFonts w:ascii="Times New Roman" w:hAnsi="Times New Roman" w:cs="Times New Roman"/>
          <w:sz w:val="24"/>
          <w:szCs w:val="24"/>
        </w:rPr>
        <w:t xml:space="preserve"> Trybunału</w:t>
      </w:r>
      <w:r w:rsidR="00110FDC" w:rsidRPr="00792C8B">
        <w:rPr>
          <w:rFonts w:ascii="Times New Roman" w:hAnsi="Times New Roman" w:cs="Times New Roman"/>
          <w:sz w:val="24"/>
          <w:szCs w:val="24"/>
        </w:rPr>
        <w:t xml:space="preserve"> w terminie 30 dni od dnia wyboru</w:t>
      </w:r>
      <w:r w:rsidR="005457D2" w:rsidRPr="00792C8B">
        <w:rPr>
          <w:rFonts w:ascii="Times New Roman" w:hAnsi="Times New Roman" w:cs="Times New Roman"/>
          <w:sz w:val="24"/>
          <w:szCs w:val="24"/>
        </w:rPr>
        <w:t xml:space="preserve"> jest równoznaczn</w:t>
      </w:r>
      <w:r w:rsidR="00110FDC" w:rsidRPr="00792C8B">
        <w:rPr>
          <w:rFonts w:ascii="Times New Roman" w:hAnsi="Times New Roman" w:cs="Times New Roman"/>
          <w:sz w:val="24"/>
          <w:szCs w:val="24"/>
        </w:rPr>
        <w:t>e</w:t>
      </w:r>
      <w:r w:rsidR="005457D2" w:rsidRPr="00792C8B">
        <w:rPr>
          <w:rFonts w:ascii="Times New Roman" w:hAnsi="Times New Roman" w:cs="Times New Roman"/>
          <w:sz w:val="24"/>
          <w:szCs w:val="24"/>
        </w:rPr>
        <w:t xml:space="preserve"> ze zrzeczeniem się stanowiska sędziego Trybunału. </w:t>
      </w:r>
    </w:p>
    <w:p w:rsidR="00E51AF0" w:rsidRPr="00792C8B" w:rsidRDefault="005457D2"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Sędzia Trybunału jest upoważniony do dostępu do informacji niejawnych związanych z rozpoznawaną przez Trybunał sprawą.</w:t>
      </w:r>
    </w:p>
    <w:p w:rsidR="005457D2" w:rsidRPr="00792C8B" w:rsidRDefault="0090765D"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7C5DD3" w:rsidRPr="00792C8B">
        <w:rPr>
          <w:rFonts w:ascii="Times New Roman" w:hAnsi="Times New Roman" w:cs="Times New Roman"/>
          <w:sz w:val="24"/>
          <w:szCs w:val="24"/>
        </w:rPr>
        <w:t>Sędzia Trybunału nie może podejmować innego zajęcia, o charakterze zarobkowym lub niezarobkowym, które utrudniałoby pełnienie przez niego obowiązków, uchybiałoby godności urzędu sędziego Trybunału lub mogłoby podważać zaufanie do jego bezstronności lub niezawisłości.</w:t>
      </w:r>
    </w:p>
    <w:p w:rsidR="0090765D" w:rsidRPr="00792C8B" w:rsidRDefault="0090765D" w:rsidP="00434606">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 xml:space="preserve">2. Prezes Trybunału może zezwolić sędziemu Trybunału na wykonywanie pracy naukowej i dydaktycznej w wyższej uczelni lub w instytucie naukowym w rozmiarze nie przekraczającym połowy etatu. </w:t>
      </w:r>
    </w:p>
    <w:p w:rsidR="005457D2" w:rsidRPr="00792C8B" w:rsidRDefault="004506F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5457D2" w:rsidRPr="00792C8B">
        <w:rPr>
          <w:rFonts w:ascii="Times New Roman" w:hAnsi="Times New Roman" w:cs="Times New Roman"/>
          <w:sz w:val="24"/>
          <w:szCs w:val="24"/>
        </w:rPr>
        <w:t xml:space="preserve">Wniosek w sprawie wyrażenia zgody na pociągnięcie sędziego Trybunału do odpowiedzialności karnej oraz wniosek o wyrażenie zgody na pozbawienie wolności sędziego Trybunału, jeżeli czyn jest ścigany z oskarżenia publicznego, składa Prokurator </w:t>
      </w:r>
      <w:r w:rsidR="00924ACE" w:rsidRPr="00792C8B">
        <w:rPr>
          <w:rFonts w:ascii="Times New Roman" w:hAnsi="Times New Roman" w:cs="Times New Roman"/>
          <w:sz w:val="24"/>
          <w:szCs w:val="24"/>
        </w:rPr>
        <w:t>Krajowy</w:t>
      </w:r>
      <w:r w:rsidR="005457D2" w:rsidRPr="00792C8B">
        <w:rPr>
          <w:rFonts w:ascii="Times New Roman" w:hAnsi="Times New Roman" w:cs="Times New Roman"/>
          <w:sz w:val="24"/>
          <w:szCs w:val="24"/>
        </w:rPr>
        <w:t xml:space="preserve">. </w:t>
      </w:r>
    </w:p>
    <w:p w:rsidR="005457D2" w:rsidRPr="00792C8B" w:rsidRDefault="004506F7"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5457D2" w:rsidRPr="00792C8B">
        <w:rPr>
          <w:rFonts w:ascii="Times New Roman" w:hAnsi="Times New Roman" w:cs="Times New Roman"/>
          <w:sz w:val="24"/>
          <w:szCs w:val="24"/>
        </w:rPr>
        <w:t xml:space="preserve">Wniosek w sprawie wyrażenia zgody na pociągnięcie sędziego Trybunału do odpowiedzialności karnej, jeżeli czyn jest ścigany z oskarżenia prywatnego, jest sporządzany przez adwokata lub radcę prawnego. Wymóg ten nie dotyczy wniosków sporządzonych we własnym imieniu przez sędziów, prokuratorów, adwokatów, radców prawnych, radców Prokuratorii Generalnej Skarbu Państwa, notariuszy oraz profesorów lub doktorów habilitowanych nauk prawnych. </w:t>
      </w:r>
    </w:p>
    <w:p w:rsidR="005457D2" w:rsidRPr="00792C8B" w:rsidRDefault="004506F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1769AF" w:rsidRPr="00792C8B">
        <w:rPr>
          <w:rFonts w:ascii="Times New Roman" w:hAnsi="Times New Roman" w:cs="Times New Roman"/>
          <w:sz w:val="24"/>
          <w:szCs w:val="24"/>
        </w:rPr>
        <w:t xml:space="preserve"> </w:t>
      </w:r>
      <w:r w:rsidR="005457D2" w:rsidRPr="00792C8B">
        <w:rPr>
          <w:rFonts w:ascii="Times New Roman" w:hAnsi="Times New Roman" w:cs="Times New Roman"/>
          <w:sz w:val="24"/>
          <w:szCs w:val="24"/>
        </w:rPr>
        <w:t xml:space="preserve">Sędzia Trybunału odpowiada dyscyplinarnie przed Trybunałem za naruszenie przepisów prawa, uchybienie godności urzędu sędziego Trybunału lub inne nieetyczne zachowanie mogące podważać zaufanie do jego bezstronności lub niezawisłości. </w:t>
      </w:r>
    </w:p>
    <w:p w:rsidR="00723F13" w:rsidRPr="00792C8B" w:rsidRDefault="004506F7"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723F13" w:rsidRPr="00792C8B">
        <w:rPr>
          <w:rFonts w:ascii="Times New Roman" w:hAnsi="Times New Roman" w:cs="Times New Roman"/>
          <w:sz w:val="24"/>
          <w:szCs w:val="24"/>
        </w:rPr>
        <w:t>Sędzia Trybunału odpowiada dyscyplinarnie także za swoje postępowanie przed objęciem stanowiska, jeżeli uchybił obowiązkowi piastowanego urzędu państwowego lub okazał się niegodny urzędu sędziego Trybunału.</w:t>
      </w:r>
    </w:p>
    <w:p w:rsidR="005457D2" w:rsidRPr="00792C8B" w:rsidRDefault="004506F7"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5457D2" w:rsidRPr="00792C8B">
        <w:rPr>
          <w:rFonts w:ascii="Times New Roman" w:hAnsi="Times New Roman" w:cs="Times New Roman"/>
          <w:sz w:val="24"/>
          <w:szCs w:val="24"/>
        </w:rPr>
        <w:t xml:space="preserve">Za wykroczenia sędzia Trybunału odpowiada tylko dyscyplinarnie. </w:t>
      </w:r>
    </w:p>
    <w:p w:rsidR="009A5937" w:rsidRPr="00792C8B" w:rsidRDefault="004506F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9A5937" w:rsidRPr="00792C8B">
        <w:rPr>
          <w:rFonts w:ascii="Times New Roman" w:hAnsi="Times New Roman" w:cs="Times New Roman"/>
          <w:sz w:val="24"/>
          <w:szCs w:val="24"/>
        </w:rPr>
        <w:t>W post</w:t>
      </w:r>
      <w:r w:rsidR="00434606" w:rsidRPr="00792C8B">
        <w:rPr>
          <w:rFonts w:ascii="Times New Roman" w:hAnsi="Times New Roman" w:cs="Times New Roman"/>
          <w:sz w:val="24"/>
          <w:szCs w:val="24"/>
        </w:rPr>
        <w:t>ępowaniu dyscyplinarnym orzeka:</w:t>
      </w:r>
    </w:p>
    <w:p w:rsidR="009A5937" w:rsidRPr="00792C8B" w:rsidRDefault="009A5937" w:rsidP="00BB4BD8">
      <w:pPr>
        <w:pStyle w:val="Akapitzlist"/>
        <w:numPr>
          <w:ilvl w:val="0"/>
          <w:numId w:val="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w pierwszej instan</w:t>
      </w:r>
      <w:r w:rsidR="00434606" w:rsidRPr="00792C8B">
        <w:rPr>
          <w:rFonts w:ascii="Times New Roman" w:hAnsi="Times New Roman" w:cs="Times New Roman"/>
          <w:sz w:val="24"/>
          <w:szCs w:val="24"/>
        </w:rPr>
        <w:t>cji – trzech sędziów Trybunału;</w:t>
      </w:r>
    </w:p>
    <w:p w:rsidR="00434606" w:rsidRPr="00792C8B" w:rsidRDefault="009A5937" w:rsidP="00BB4BD8">
      <w:pPr>
        <w:pStyle w:val="Akapitzlist"/>
        <w:numPr>
          <w:ilvl w:val="0"/>
          <w:numId w:val="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w drugiej instancji – pięciu sędziów Trybunału.</w:t>
      </w:r>
    </w:p>
    <w:p w:rsidR="009A5937" w:rsidRPr="00792C8B" w:rsidRDefault="004506F7" w:rsidP="00434606">
      <w:pPr>
        <w:pStyle w:val="Akapitzlist"/>
        <w:spacing w:before="120" w:after="120" w:line="360" w:lineRule="auto"/>
        <w:ind w:left="0" w:firstLine="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A5937" w:rsidRPr="00792C8B">
        <w:rPr>
          <w:rFonts w:ascii="Times New Roman" w:hAnsi="Times New Roman" w:cs="Times New Roman"/>
          <w:sz w:val="24"/>
          <w:szCs w:val="24"/>
        </w:rPr>
        <w:t xml:space="preserve">Sędziów Trybunału do składów orzekających w postępowaniu dyscyplinarnym i rzecznika dyscyplinarnego ustala w drodze losowania Prezes Trybunału. W losowaniu składu drugiej instancji nie uczestniczą sędziowie Trybunału, którzy orzekali w sprawie w pierwszej instancji. </w:t>
      </w:r>
    </w:p>
    <w:p w:rsidR="009A5937" w:rsidRPr="00792C8B" w:rsidRDefault="009A593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Od orzeczenia dyscyplinarnego wydanego w drugiej instancji skarga kasacyjna nie przysługuje.</w:t>
      </w:r>
    </w:p>
    <w:p w:rsidR="009A5937" w:rsidRPr="00792C8B" w:rsidRDefault="00434606"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Karami dyscyplinarnymi są:</w:t>
      </w:r>
    </w:p>
    <w:p w:rsidR="009A5937" w:rsidRPr="00792C8B" w:rsidRDefault="009A5937" w:rsidP="00BB4BD8">
      <w:pPr>
        <w:pStyle w:val="Akapitzlist"/>
        <w:numPr>
          <w:ilvl w:val="0"/>
          <w:numId w:val="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upomnienie; </w:t>
      </w:r>
    </w:p>
    <w:p w:rsidR="009A5937" w:rsidRPr="00792C8B" w:rsidRDefault="009A5937" w:rsidP="00BB4BD8">
      <w:pPr>
        <w:pStyle w:val="Akapitzlist"/>
        <w:numPr>
          <w:ilvl w:val="0"/>
          <w:numId w:val="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nagana; </w:t>
      </w:r>
    </w:p>
    <w:p w:rsidR="009A5937" w:rsidRPr="00792C8B" w:rsidRDefault="009A5937" w:rsidP="00BB4BD8">
      <w:pPr>
        <w:pStyle w:val="Akapitzlist"/>
        <w:numPr>
          <w:ilvl w:val="0"/>
          <w:numId w:val="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złożenie sędziego Trybunału z urzędu. </w:t>
      </w:r>
    </w:p>
    <w:p w:rsidR="009A5937" w:rsidRPr="00792C8B" w:rsidRDefault="009A593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Czas pracy sędziego Trybunału jest określony wymiarem jego zadań.</w:t>
      </w:r>
    </w:p>
    <w:p w:rsidR="009A5937" w:rsidRPr="00792C8B" w:rsidRDefault="004506F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9A5937" w:rsidRPr="00792C8B">
        <w:rPr>
          <w:rFonts w:ascii="Times New Roman" w:hAnsi="Times New Roman" w:cs="Times New Roman"/>
          <w:sz w:val="24"/>
          <w:szCs w:val="24"/>
        </w:rPr>
        <w:t xml:space="preserve">Wynagrodzenie zasadnicze sędziego Trybunału stanowi wielokrotność podstawy ustalenia tego wynagrodzenia, z zastosowaniem mnożnika 5,0. </w:t>
      </w:r>
    </w:p>
    <w:p w:rsidR="009A5937" w:rsidRPr="00792C8B" w:rsidRDefault="004506F7" w:rsidP="00F9005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A5937" w:rsidRPr="00792C8B">
        <w:rPr>
          <w:rFonts w:ascii="Times New Roman" w:hAnsi="Times New Roman" w:cs="Times New Roman"/>
          <w:sz w:val="24"/>
          <w:szCs w:val="24"/>
        </w:rPr>
        <w:t>Podstawę ustalenia wynagrodzenia zasadniczego sędziego Trybunału w danym roku stanowi przeciętne wynagrodzenie w drugim kwartale roku poprzedniego, ogłaszane w Dzienniku Urzędowym Rzeczypospolitej Polskiej „Monitor Polski” przez Prezesa Głównego Urzędu Statystycznego na podstawie art. 20 pkt 2 ustawy z dnia 17 grudnia 1998 r. o emeryturach i rentach</w:t>
      </w:r>
      <w:r w:rsidR="00792C8B">
        <w:rPr>
          <w:rFonts w:ascii="Times New Roman" w:hAnsi="Times New Roman" w:cs="Times New Roman"/>
          <w:sz w:val="24"/>
          <w:szCs w:val="24"/>
        </w:rPr>
        <w:t xml:space="preserve"> </w:t>
      </w:r>
      <w:r w:rsidR="009A5937" w:rsidRPr="00792C8B">
        <w:rPr>
          <w:rFonts w:ascii="Times New Roman" w:hAnsi="Times New Roman" w:cs="Times New Roman"/>
          <w:sz w:val="24"/>
          <w:szCs w:val="24"/>
        </w:rPr>
        <w:t>z Funduszu Ubezpieczeń Społecznych (Dz. U. z 2015 r. poz. 748</w:t>
      </w:r>
      <w:r w:rsidR="00F90055" w:rsidRPr="00792C8B">
        <w:rPr>
          <w:rFonts w:ascii="Times New Roman" w:hAnsi="Times New Roman" w:cs="Times New Roman"/>
          <w:sz w:val="24"/>
          <w:szCs w:val="24"/>
        </w:rPr>
        <w:t>, 1240, 1302 i 1311</w:t>
      </w:r>
      <w:r w:rsidR="009A5937" w:rsidRPr="00792C8B">
        <w:rPr>
          <w:rFonts w:ascii="Times New Roman" w:hAnsi="Times New Roman" w:cs="Times New Roman"/>
          <w:sz w:val="24"/>
          <w:szCs w:val="24"/>
        </w:rPr>
        <w:t xml:space="preserve">). </w:t>
      </w:r>
    </w:p>
    <w:p w:rsidR="009A5937" w:rsidRPr="00792C8B" w:rsidRDefault="004506F7" w:rsidP="00434606">
      <w:pPr>
        <w:spacing w:after="0" w:line="360" w:lineRule="auto"/>
        <w:ind w:firstLine="708"/>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9A5937" w:rsidRPr="00792C8B">
        <w:rPr>
          <w:rFonts w:ascii="Times New Roman" w:hAnsi="Times New Roman" w:cs="Times New Roman"/>
          <w:sz w:val="24"/>
          <w:szCs w:val="24"/>
        </w:rPr>
        <w:t xml:space="preserve">Jeżeli przeciętne wynagrodzenie, o którym mowa w ust. 2, jest niższe od przeciętnego wynagrodzenia ogłoszonego za drugi kwartał roku poprzedzającego, przyjmuje się podstawę ustalenia wynagrodzenia zasadniczego sędziego Trybunału w dotychczasowej wysokości. </w:t>
      </w:r>
    </w:p>
    <w:p w:rsidR="009A5937" w:rsidRPr="00792C8B" w:rsidRDefault="004506F7" w:rsidP="00434606">
      <w:pPr>
        <w:spacing w:after="0" w:line="360" w:lineRule="auto"/>
        <w:ind w:firstLine="708"/>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9A5937" w:rsidRPr="00792C8B">
        <w:rPr>
          <w:rFonts w:ascii="Times New Roman" w:hAnsi="Times New Roman" w:cs="Times New Roman"/>
          <w:sz w:val="24"/>
          <w:szCs w:val="24"/>
        </w:rPr>
        <w:t xml:space="preserve">Wynagrodzenie Prezesa oraz Wiceprezesa Trybunału odpowiada wynagrodzeniu zasadniczemu sędziego Trybunału powiększonemu o dodatek funkcyjny ustalany według podstawy, o której mowa w ust. 2, z zastosowaniem mnożnika, odpowiednio: 1,2 oraz 0,8. </w:t>
      </w:r>
    </w:p>
    <w:p w:rsidR="009A5937" w:rsidRPr="00792C8B" w:rsidRDefault="00EE0F7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Sędziemu Trybunału stale zamieszkałemu poza m.st. Warszawą przysługuje bezpłatne zakwaterowanie w m.st. Warszawie oraz zwrot kosztów przejazdu i dodatek z tytułu rozłąki z rodziną na zasadach określonych w przepisach wydanych na podstawie art. 26 ust. 2a ustawy z dnia 16 września 1982 r. o pracownikach urzędów państwowych (Dz. U. z 2013 r. poz. 269</w:t>
      </w:r>
      <w:r w:rsidR="00F90055" w:rsidRPr="00792C8B">
        <w:rPr>
          <w:rFonts w:ascii="Times New Roman" w:hAnsi="Times New Roman" w:cs="Times New Roman"/>
          <w:sz w:val="24"/>
          <w:szCs w:val="24"/>
        </w:rPr>
        <w:t>,</w:t>
      </w:r>
      <w:r w:rsidRPr="00792C8B">
        <w:rPr>
          <w:rFonts w:ascii="Times New Roman" w:hAnsi="Times New Roman" w:cs="Times New Roman"/>
          <w:sz w:val="24"/>
          <w:szCs w:val="24"/>
        </w:rPr>
        <w:t xml:space="preserve"> z 2014 r. poz. 1199</w:t>
      </w:r>
      <w:r w:rsidR="00F90055" w:rsidRPr="00792C8B">
        <w:rPr>
          <w:rFonts w:ascii="Times New Roman" w:hAnsi="Times New Roman" w:cs="Times New Roman"/>
          <w:sz w:val="24"/>
          <w:szCs w:val="24"/>
        </w:rPr>
        <w:t xml:space="preserve"> oraz z 2015 r. poz. 1220</w:t>
      </w:r>
      <w:r w:rsidRPr="00792C8B">
        <w:rPr>
          <w:rFonts w:ascii="Times New Roman" w:hAnsi="Times New Roman" w:cs="Times New Roman"/>
          <w:sz w:val="24"/>
          <w:szCs w:val="24"/>
        </w:rPr>
        <w:t>).</w:t>
      </w:r>
    </w:p>
    <w:p w:rsidR="00EE0F77" w:rsidRPr="00792C8B" w:rsidRDefault="00EE0F7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Sędziowie Trybunału są obowiązani do złożenia oświadczenia o swoim stanie majątkowym na zasadach określonych w ustawie z dnia 21 sierpnia 1997 r. o ograniczeniu prowadzenia działalności gospodarczej przez osoby pełniące funkcje publiczne (Dz. U. z 2006 r. Nr 216, poz. 1584, z późn. zm</w:t>
      </w:r>
      <w:r w:rsidR="00294937" w:rsidRPr="00792C8B">
        <w:rPr>
          <w:rFonts w:ascii="Times New Roman" w:hAnsi="Times New Roman" w:cs="Times New Roman"/>
          <w:sz w:val="24"/>
          <w:szCs w:val="24"/>
        </w:rPr>
        <w:t>.</w:t>
      </w:r>
      <w:r w:rsidR="00F90055" w:rsidRPr="00792C8B">
        <w:rPr>
          <w:rStyle w:val="Odwoanieprzypisudolnego"/>
          <w:rFonts w:ascii="Times New Roman" w:hAnsi="Times New Roman" w:cs="Times New Roman"/>
          <w:sz w:val="24"/>
          <w:szCs w:val="24"/>
        </w:rPr>
        <w:footnoteReference w:id="1"/>
      </w:r>
      <w:r w:rsidR="00294937" w:rsidRPr="00792C8B">
        <w:rPr>
          <w:rFonts w:ascii="Times New Roman" w:hAnsi="Times New Roman" w:cs="Times New Roman"/>
          <w:sz w:val="24"/>
          <w:szCs w:val="24"/>
          <w:vertAlign w:val="superscript"/>
        </w:rPr>
        <w:t>)</w:t>
      </w:r>
      <w:r w:rsidRPr="00792C8B">
        <w:rPr>
          <w:rFonts w:ascii="Times New Roman" w:hAnsi="Times New Roman" w:cs="Times New Roman"/>
          <w:sz w:val="24"/>
          <w:szCs w:val="24"/>
        </w:rPr>
        <w:t>).</w:t>
      </w:r>
    </w:p>
    <w:p w:rsidR="00EE0F77" w:rsidRPr="00792C8B" w:rsidRDefault="001C79F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EE0F77" w:rsidRPr="00792C8B">
        <w:rPr>
          <w:rFonts w:ascii="Times New Roman" w:hAnsi="Times New Roman" w:cs="Times New Roman"/>
          <w:sz w:val="24"/>
          <w:szCs w:val="24"/>
        </w:rPr>
        <w:t xml:space="preserve">Wygaśnięcie mandatu sędziego Trybunału przed upływem kadencji następuje </w:t>
      </w:r>
      <w:r w:rsidR="00C61944" w:rsidRPr="00792C8B">
        <w:rPr>
          <w:rFonts w:ascii="Times New Roman" w:hAnsi="Times New Roman" w:cs="Times New Roman"/>
          <w:sz w:val="24"/>
          <w:szCs w:val="24"/>
        </w:rPr>
        <w:br/>
      </w:r>
      <w:r w:rsidR="00EE0F77" w:rsidRPr="00792C8B">
        <w:rPr>
          <w:rFonts w:ascii="Times New Roman" w:hAnsi="Times New Roman" w:cs="Times New Roman"/>
          <w:sz w:val="24"/>
          <w:szCs w:val="24"/>
        </w:rPr>
        <w:t xml:space="preserve">w przypadku: </w:t>
      </w:r>
    </w:p>
    <w:p w:rsidR="00EE0F77" w:rsidRPr="00792C8B" w:rsidRDefault="00EE0F77" w:rsidP="00BB4BD8">
      <w:pPr>
        <w:pStyle w:val="Akapitzlist"/>
        <w:numPr>
          <w:ilvl w:val="0"/>
          <w:numId w:val="6"/>
        </w:numPr>
        <w:spacing w:before="120" w:after="120" w:line="360" w:lineRule="auto"/>
        <w:ind w:left="425" w:hanging="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śmierci sędziego Trybunału; </w:t>
      </w:r>
    </w:p>
    <w:p w:rsidR="00EE0F77" w:rsidRPr="00792C8B" w:rsidRDefault="00EE0F77" w:rsidP="00BB4BD8">
      <w:pPr>
        <w:pStyle w:val="Akapitzlist"/>
        <w:numPr>
          <w:ilvl w:val="0"/>
          <w:numId w:val="6"/>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zrzeczenia się przez sędziego Trybunału urzędu; </w:t>
      </w:r>
    </w:p>
    <w:p w:rsidR="00EE0F77" w:rsidRPr="00792C8B" w:rsidRDefault="00EE0F77" w:rsidP="00BB4BD8">
      <w:pPr>
        <w:pStyle w:val="Akapitzlist"/>
        <w:numPr>
          <w:ilvl w:val="0"/>
          <w:numId w:val="6"/>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skazania sędziego Trybunału prawomocnym wyrokiem sądu za przestępstwo umyślne ścigane z oskarżenia publicznego lub umyślne przestępstwo skarbowe; </w:t>
      </w:r>
    </w:p>
    <w:p w:rsidR="00EE0F77" w:rsidRPr="00792C8B" w:rsidRDefault="00EE0F77" w:rsidP="00BB4BD8">
      <w:pPr>
        <w:pStyle w:val="Akapitzlist"/>
        <w:numPr>
          <w:ilvl w:val="0"/>
          <w:numId w:val="6"/>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prawomocnego orzeczenia o złożeniu sędziego Trybunału z urzędu. </w:t>
      </w:r>
    </w:p>
    <w:p w:rsidR="00EE0F77" w:rsidRPr="00792C8B" w:rsidRDefault="001C79FF" w:rsidP="007A2F4C">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EE0F77" w:rsidRPr="00792C8B">
        <w:rPr>
          <w:rFonts w:ascii="Times New Roman" w:hAnsi="Times New Roman" w:cs="Times New Roman"/>
          <w:sz w:val="24"/>
          <w:szCs w:val="24"/>
        </w:rPr>
        <w:t>Wygaśnięcie mandatu sędziego Trybunału stwierdza</w:t>
      </w:r>
      <w:r w:rsidR="003B1F3F">
        <w:rPr>
          <w:rFonts w:ascii="Times New Roman" w:hAnsi="Times New Roman" w:cs="Times New Roman"/>
          <w:sz w:val="24"/>
          <w:szCs w:val="24"/>
        </w:rPr>
        <w:t xml:space="preserve"> </w:t>
      </w:r>
      <w:r w:rsidR="00EE0F77" w:rsidRPr="00792C8B">
        <w:rPr>
          <w:rFonts w:ascii="Times New Roman" w:hAnsi="Times New Roman" w:cs="Times New Roman"/>
          <w:sz w:val="24"/>
          <w:szCs w:val="24"/>
        </w:rPr>
        <w:t>w przypadku, o którym mowa w ust. 1 pkt 1 – Prezes Trybunału w drodze postanowienia</w:t>
      </w:r>
      <w:r w:rsidR="008606C6" w:rsidRPr="00792C8B">
        <w:rPr>
          <w:rFonts w:ascii="Times New Roman" w:hAnsi="Times New Roman" w:cs="Times New Roman"/>
          <w:sz w:val="24"/>
          <w:szCs w:val="24"/>
        </w:rPr>
        <w:t xml:space="preserve">, a </w:t>
      </w:r>
      <w:r w:rsidR="00EE0F77" w:rsidRPr="00792C8B">
        <w:rPr>
          <w:rFonts w:ascii="Times New Roman" w:hAnsi="Times New Roman" w:cs="Times New Roman"/>
          <w:sz w:val="24"/>
          <w:szCs w:val="24"/>
        </w:rPr>
        <w:t xml:space="preserve">w przypadkach, o których mowa w ust. 1 pkt 2–4 – Zgromadzenie Ogólne w drodze uchwały. </w:t>
      </w:r>
    </w:p>
    <w:p w:rsidR="00EE0F77" w:rsidRPr="00792C8B" w:rsidRDefault="001C79FF" w:rsidP="00434606">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EE0F77" w:rsidRPr="00792C8B">
        <w:rPr>
          <w:rFonts w:ascii="Times New Roman" w:hAnsi="Times New Roman" w:cs="Times New Roman"/>
          <w:sz w:val="24"/>
          <w:szCs w:val="24"/>
        </w:rPr>
        <w:t xml:space="preserve">Prezes Trybunału przekazuje niezwłocznie Marszałkowi Sejmu postanowienie lub uchwałę stwierdzające wygaśnięcie mandatu sędziego Trybunału. </w:t>
      </w:r>
    </w:p>
    <w:p w:rsidR="00EE0F77" w:rsidRPr="00792C8B" w:rsidRDefault="001C79F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EE0F77" w:rsidRPr="00792C8B">
        <w:rPr>
          <w:rFonts w:ascii="Times New Roman" w:hAnsi="Times New Roman" w:cs="Times New Roman"/>
          <w:sz w:val="24"/>
          <w:szCs w:val="24"/>
        </w:rPr>
        <w:t xml:space="preserve">Sędzia Trybunału po zakończeniu kadencji przechodzi w stan spoczynku. </w:t>
      </w:r>
    </w:p>
    <w:p w:rsidR="00EE0F77" w:rsidRPr="00792C8B" w:rsidRDefault="001C79FF"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EE0F77" w:rsidRPr="00792C8B">
        <w:rPr>
          <w:rFonts w:ascii="Times New Roman" w:hAnsi="Times New Roman" w:cs="Times New Roman"/>
          <w:sz w:val="24"/>
          <w:szCs w:val="24"/>
        </w:rPr>
        <w:t xml:space="preserve">Sędzia Trybunału może na swój wniosek zostać przeniesiony w stan spoczynku, jeżeli </w:t>
      </w:r>
      <w:r w:rsidR="00C61944" w:rsidRPr="00792C8B">
        <w:rPr>
          <w:rFonts w:ascii="Times New Roman" w:hAnsi="Times New Roman" w:cs="Times New Roman"/>
          <w:sz w:val="24"/>
          <w:szCs w:val="24"/>
        </w:rPr>
        <w:br/>
      </w:r>
      <w:r w:rsidR="00EE0F77" w:rsidRPr="00792C8B">
        <w:rPr>
          <w:rFonts w:ascii="Times New Roman" w:hAnsi="Times New Roman" w:cs="Times New Roman"/>
          <w:sz w:val="24"/>
          <w:szCs w:val="24"/>
        </w:rPr>
        <w:t>z powodu choroby, ułomności lub utraty sił został uznany przez lekarza orzecznika Zakładu Ubezpieczeń Społecznych za trwale niezdolnego do pełnienia obowiązków sędziego Trybunału.</w:t>
      </w:r>
      <w:r w:rsidR="00792C8B">
        <w:rPr>
          <w:rFonts w:ascii="Times New Roman" w:hAnsi="Times New Roman" w:cs="Times New Roman"/>
          <w:sz w:val="24"/>
          <w:szCs w:val="24"/>
        </w:rPr>
        <w:t xml:space="preserve"> </w:t>
      </w:r>
      <w:r w:rsidR="00EE0F77" w:rsidRPr="00792C8B">
        <w:rPr>
          <w:rFonts w:ascii="Times New Roman" w:hAnsi="Times New Roman" w:cs="Times New Roman"/>
          <w:sz w:val="24"/>
          <w:szCs w:val="24"/>
        </w:rPr>
        <w:t xml:space="preserve">W szczególnie uzasadnionym przypadku z wnioskiem o wydanie orzeczenia o trwałej niezdolności do pełnienia obowiązków sędziego Trybunału z powodu jego choroby, ułomności lub utraty sił może wystąpić Zgromadzenie Ogólne. Uchwałę o przeniesieniu w stan spoczynku sędziego Trybunału trwale niezdolnego do pełnienia obowiązków sędziego podejmuje Zgromadzenie Ogólne. </w:t>
      </w:r>
    </w:p>
    <w:p w:rsidR="00EE0F77" w:rsidRPr="00792C8B" w:rsidRDefault="00EE0F77"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Za naruszenie przepisów prawa oraz uchybienie godności urzędu sędziego Trybunału sędzia Trybunału w stanie spoczynku odpowiada dyscyplinarnie. Do odpowiedzialności dyscyplinarnej sędziego Trybunału w stanie spoczynku art. 19 i art. 20 stosuje się odpowiednio, a karami dyscyplinarnymi są: </w:t>
      </w:r>
    </w:p>
    <w:p w:rsidR="00EE0F77" w:rsidRPr="00792C8B" w:rsidRDefault="00EE0F77" w:rsidP="00BB4BD8">
      <w:pPr>
        <w:pStyle w:val="Akapitzlist"/>
        <w:numPr>
          <w:ilvl w:val="0"/>
          <w:numId w:val="7"/>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upomnienie; </w:t>
      </w:r>
    </w:p>
    <w:p w:rsidR="00EE0F77" w:rsidRPr="00792C8B" w:rsidRDefault="00EE0F77" w:rsidP="00BB4BD8">
      <w:pPr>
        <w:pStyle w:val="Akapitzlist"/>
        <w:numPr>
          <w:ilvl w:val="0"/>
          <w:numId w:val="7"/>
        </w:numPr>
        <w:spacing w:before="120" w:after="120" w:line="360" w:lineRule="auto"/>
        <w:ind w:left="425" w:hanging="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nagana; </w:t>
      </w:r>
    </w:p>
    <w:p w:rsidR="00EE0F77" w:rsidRPr="00792C8B" w:rsidRDefault="00EE0F77" w:rsidP="00BB4BD8">
      <w:pPr>
        <w:pStyle w:val="Akapitzlist"/>
        <w:numPr>
          <w:ilvl w:val="0"/>
          <w:numId w:val="7"/>
        </w:numPr>
        <w:spacing w:before="120" w:after="120" w:line="360" w:lineRule="auto"/>
        <w:ind w:left="425" w:hanging="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pozbawienie statusu sędziego w stanie spoczynku. </w:t>
      </w:r>
    </w:p>
    <w:p w:rsidR="000B15B2" w:rsidRPr="00792C8B" w:rsidRDefault="001C79F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0B15B2" w:rsidRPr="00792C8B">
        <w:rPr>
          <w:rFonts w:ascii="Times New Roman" w:hAnsi="Times New Roman" w:cs="Times New Roman"/>
          <w:sz w:val="24"/>
          <w:szCs w:val="24"/>
        </w:rPr>
        <w:t xml:space="preserve">W przypadku przejścia w stan spoczynku albo przeniesienia w stan spoczynku sędziemu Trybunału przysługuje jednorazowa odprawa w wysokości sześciomiesięcznego wynagrodzenia, które mu przysługiwało w miesiącu poprzedzającym miesiąc, w którym nastąpiło przejście lub przeniesienie w stan spoczynku. </w:t>
      </w:r>
    </w:p>
    <w:p w:rsidR="000B15B2" w:rsidRPr="00792C8B" w:rsidRDefault="001C79FF"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0B15B2" w:rsidRPr="00792C8B">
        <w:rPr>
          <w:rFonts w:ascii="Times New Roman" w:hAnsi="Times New Roman" w:cs="Times New Roman"/>
          <w:sz w:val="24"/>
          <w:szCs w:val="24"/>
        </w:rPr>
        <w:t xml:space="preserve">Sędziemu Trybunału w stanie spoczynku przysługuje uposażenie w wysokości 75% ostatnio pobieranego wynagrodzenia miesięcznego z wyłączeniem dodatku funkcyjnego. Uposażenie to jest waloryzowane stosownie do zmian wynagrodzenia zasadniczego sędziów Trybunału. </w:t>
      </w:r>
    </w:p>
    <w:p w:rsidR="000B15B2" w:rsidRPr="00792C8B" w:rsidRDefault="001C79F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0B15B2" w:rsidRPr="00792C8B">
        <w:rPr>
          <w:rFonts w:ascii="Times New Roman" w:hAnsi="Times New Roman" w:cs="Times New Roman"/>
          <w:sz w:val="24"/>
          <w:szCs w:val="24"/>
        </w:rPr>
        <w:t xml:space="preserve">Utrata statusu sędziego Trybunału w stanie spoczynku następuje w przypadku: </w:t>
      </w:r>
    </w:p>
    <w:p w:rsidR="000B15B2" w:rsidRPr="00792C8B" w:rsidRDefault="000B15B2" w:rsidP="00BB4BD8">
      <w:pPr>
        <w:pStyle w:val="Akapitzlist"/>
        <w:numPr>
          <w:ilvl w:val="0"/>
          <w:numId w:val="8"/>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zrzeczenia się przez sędziego Trybunału w stanie spoczynku tego statusu; </w:t>
      </w:r>
    </w:p>
    <w:p w:rsidR="000B15B2" w:rsidRPr="00792C8B" w:rsidRDefault="000B15B2" w:rsidP="00BB4BD8">
      <w:pPr>
        <w:pStyle w:val="Akapitzlist"/>
        <w:numPr>
          <w:ilvl w:val="0"/>
          <w:numId w:val="8"/>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skazania sędziego Trybunału w stanie spoczynku prawomocnym wyrokiem sądu za przestępstwo umyślne ścigane z oskarżenia publicznego lub umyślne przestępstwo skarbowe; </w:t>
      </w:r>
    </w:p>
    <w:p w:rsidR="000B15B2" w:rsidRPr="00792C8B" w:rsidRDefault="000B15B2" w:rsidP="00BB4BD8">
      <w:pPr>
        <w:pStyle w:val="Akapitzlist"/>
        <w:numPr>
          <w:ilvl w:val="0"/>
          <w:numId w:val="8"/>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prawomocnego orzeczenia o pozbawieniu sędziego Trybunału w stanie spoczynku tego statusu. </w:t>
      </w:r>
    </w:p>
    <w:p w:rsidR="000B15B2" w:rsidRPr="00792C8B" w:rsidRDefault="001C79FF" w:rsidP="00402249">
      <w:pPr>
        <w:tabs>
          <w:tab w:val="left" w:pos="426"/>
        </w:tabs>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0B15B2" w:rsidRPr="00792C8B">
        <w:rPr>
          <w:rFonts w:ascii="Times New Roman" w:hAnsi="Times New Roman" w:cs="Times New Roman"/>
          <w:sz w:val="24"/>
          <w:szCs w:val="24"/>
        </w:rPr>
        <w:t xml:space="preserve">Utratę statusu sędziego w stanie spoczynku stwierdza Zgromadzenie Ogólne w drodze uchwały. </w:t>
      </w:r>
    </w:p>
    <w:p w:rsidR="000B15B2" w:rsidRPr="00792C8B" w:rsidRDefault="001C79F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0B15B2" w:rsidRPr="00792C8B">
        <w:rPr>
          <w:rFonts w:ascii="Times New Roman" w:hAnsi="Times New Roman" w:cs="Times New Roman"/>
          <w:sz w:val="24"/>
          <w:szCs w:val="24"/>
        </w:rPr>
        <w:t xml:space="preserve">Do sędziego Trybunału w stanie spoczynku przepisy </w:t>
      </w:r>
      <w:r w:rsidRPr="00792C8B">
        <w:rPr>
          <w:rFonts w:ascii="Times New Roman" w:hAnsi="Times New Roman" w:cs="Times New Roman"/>
          <w:sz w:val="24"/>
          <w:szCs w:val="24"/>
        </w:rPr>
        <w:t>art. 17</w:t>
      </w:r>
      <w:r w:rsidR="000B15B2" w:rsidRPr="00792C8B">
        <w:rPr>
          <w:rFonts w:ascii="Times New Roman" w:hAnsi="Times New Roman" w:cs="Times New Roman"/>
          <w:sz w:val="24"/>
          <w:szCs w:val="24"/>
        </w:rPr>
        <w:t xml:space="preserve"> stosuje się odpowiednio. </w:t>
      </w:r>
    </w:p>
    <w:p w:rsidR="007C5DD3" w:rsidRPr="00792C8B" w:rsidRDefault="001C79FF"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0B15B2" w:rsidRPr="00792C8B">
        <w:rPr>
          <w:rFonts w:ascii="Times New Roman" w:hAnsi="Times New Roman" w:cs="Times New Roman"/>
          <w:sz w:val="24"/>
          <w:szCs w:val="24"/>
        </w:rPr>
        <w:t>Zakaz</w:t>
      </w:r>
      <w:r w:rsidR="0088762C" w:rsidRPr="00792C8B">
        <w:rPr>
          <w:rFonts w:ascii="Times New Roman" w:hAnsi="Times New Roman" w:cs="Times New Roman"/>
          <w:sz w:val="24"/>
          <w:szCs w:val="24"/>
        </w:rPr>
        <w:t>y</w:t>
      </w:r>
      <w:r w:rsidR="000B15B2" w:rsidRPr="00792C8B">
        <w:rPr>
          <w:rFonts w:ascii="Times New Roman" w:hAnsi="Times New Roman" w:cs="Times New Roman"/>
          <w:sz w:val="24"/>
          <w:szCs w:val="24"/>
        </w:rPr>
        <w:t>, o który</w:t>
      </w:r>
      <w:r w:rsidR="0088762C" w:rsidRPr="00792C8B">
        <w:rPr>
          <w:rFonts w:ascii="Times New Roman" w:hAnsi="Times New Roman" w:cs="Times New Roman"/>
          <w:sz w:val="24"/>
          <w:szCs w:val="24"/>
        </w:rPr>
        <w:t>ch</w:t>
      </w:r>
      <w:r w:rsidR="000B15B2" w:rsidRPr="00792C8B">
        <w:rPr>
          <w:rFonts w:ascii="Times New Roman" w:hAnsi="Times New Roman" w:cs="Times New Roman"/>
          <w:sz w:val="24"/>
          <w:szCs w:val="24"/>
        </w:rPr>
        <w:t xml:space="preserve"> mowa w art. 1</w:t>
      </w:r>
      <w:r w:rsidR="00110FDC" w:rsidRPr="00792C8B">
        <w:rPr>
          <w:rFonts w:ascii="Times New Roman" w:hAnsi="Times New Roman" w:cs="Times New Roman"/>
          <w:sz w:val="24"/>
          <w:szCs w:val="24"/>
        </w:rPr>
        <w:t>7</w:t>
      </w:r>
      <w:r w:rsidR="0088762C" w:rsidRPr="00792C8B">
        <w:rPr>
          <w:rFonts w:ascii="Times New Roman" w:hAnsi="Times New Roman" w:cs="Times New Roman"/>
          <w:sz w:val="24"/>
          <w:szCs w:val="24"/>
        </w:rPr>
        <w:t xml:space="preserve"> ust. 1</w:t>
      </w:r>
      <w:r w:rsidR="000B15B2" w:rsidRPr="00792C8B">
        <w:rPr>
          <w:rFonts w:ascii="Times New Roman" w:hAnsi="Times New Roman" w:cs="Times New Roman"/>
          <w:sz w:val="24"/>
          <w:szCs w:val="24"/>
        </w:rPr>
        <w:t>, nie dotycz</w:t>
      </w:r>
      <w:r w:rsidR="0088762C" w:rsidRPr="00792C8B">
        <w:rPr>
          <w:rFonts w:ascii="Times New Roman" w:hAnsi="Times New Roman" w:cs="Times New Roman"/>
          <w:sz w:val="24"/>
          <w:szCs w:val="24"/>
        </w:rPr>
        <w:t>ą</w:t>
      </w:r>
      <w:r w:rsidR="000B15B2" w:rsidRPr="00792C8B">
        <w:rPr>
          <w:rFonts w:ascii="Times New Roman" w:hAnsi="Times New Roman" w:cs="Times New Roman"/>
          <w:sz w:val="24"/>
          <w:szCs w:val="24"/>
        </w:rPr>
        <w:t xml:space="preserve"> mianowania, powołania lub wyboru sędziego Trybunału w stanie spoczynku na stanowisko w organach państwowych, w stosunku do którego przepisy ustanawiają zakaz przynależności do partii politycznej, </w:t>
      </w:r>
      <w:r w:rsidR="007C5DD3" w:rsidRPr="00792C8B">
        <w:rPr>
          <w:rFonts w:ascii="Times New Roman" w:hAnsi="Times New Roman" w:cs="Times New Roman"/>
          <w:sz w:val="24"/>
          <w:szCs w:val="24"/>
        </w:rPr>
        <w:t>w międzynarodowych organach sądowych, w szczególności w Trybunale Sprawiedliwości Unii Europejskiej lub Europejskim Trybunale Praw Człowieka</w:t>
      </w:r>
      <w:r w:rsidR="00F5311E" w:rsidRPr="00792C8B">
        <w:rPr>
          <w:rFonts w:ascii="Times New Roman" w:hAnsi="Times New Roman" w:cs="Times New Roman"/>
          <w:sz w:val="24"/>
          <w:szCs w:val="24"/>
        </w:rPr>
        <w:t xml:space="preserve"> lub </w:t>
      </w:r>
      <w:r w:rsidR="000B15B2" w:rsidRPr="00792C8B">
        <w:rPr>
          <w:rFonts w:ascii="Times New Roman" w:hAnsi="Times New Roman" w:cs="Times New Roman"/>
          <w:sz w:val="24"/>
          <w:szCs w:val="24"/>
        </w:rPr>
        <w:t xml:space="preserve">w organach organizacji międzynarodowych. </w:t>
      </w:r>
    </w:p>
    <w:p w:rsidR="000B15B2" w:rsidRPr="00792C8B" w:rsidRDefault="001C79FF"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0B15B2" w:rsidRPr="00792C8B">
        <w:rPr>
          <w:rFonts w:ascii="Times New Roman" w:hAnsi="Times New Roman" w:cs="Times New Roman"/>
          <w:sz w:val="24"/>
          <w:szCs w:val="24"/>
        </w:rPr>
        <w:t xml:space="preserve">Wypłata uposażenia, o którym mowa w art. </w:t>
      </w:r>
      <w:r w:rsidR="00367B49" w:rsidRPr="00792C8B">
        <w:rPr>
          <w:rFonts w:ascii="Times New Roman" w:hAnsi="Times New Roman" w:cs="Times New Roman"/>
          <w:sz w:val="24"/>
          <w:szCs w:val="24"/>
        </w:rPr>
        <w:t>30</w:t>
      </w:r>
      <w:r w:rsidR="000B15B2" w:rsidRPr="00792C8B">
        <w:rPr>
          <w:rFonts w:ascii="Times New Roman" w:hAnsi="Times New Roman" w:cs="Times New Roman"/>
          <w:sz w:val="24"/>
          <w:szCs w:val="24"/>
        </w:rPr>
        <w:t xml:space="preserve"> ust. 2, ulega zawieszeniu na czas pełnienia funkcji, o których mowa w ust. 2.</w:t>
      </w:r>
    </w:p>
    <w:p w:rsidR="000B15B2" w:rsidRPr="00792C8B" w:rsidRDefault="000B15B2"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W zakresie nieuregulowanym w ustawie do obowiązków i praw, w tym w zakresie stosunku służbowego, oraz odpowiedzialności dyscyplinarnej sędziów Trybunału stosuje się odpowiednio przepisy ustawy z dnia 23 listopada 2002 r. o Sądzie Najwyższym (Dz. U. z 2013 r. poz. 499, z późn. zm.</w:t>
      </w:r>
      <w:r w:rsidR="00F90055" w:rsidRPr="00792C8B">
        <w:rPr>
          <w:rStyle w:val="Odwoanieprzypisudolnego"/>
          <w:rFonts w:ascii="Times New Roman" w:hAnsi="Times New Roman" w:cs="Times New Roman"/>
          <w:sz w:val="24"/>
          <w:szCs w:val="24"/>
        </w:rPr>
        <w:footnoteReference w:id="2"/>
      </w:r>
      <w:r w:rsidR="00F90055" w:rsidRPr="00792C8B">
        <w:rPr>
          <w:rFonts w:ascii="Times New Roman" w:hAnsi="Times New Roman" w:cs="Times New Roman"/>
          <w:sz w:val="24"/>
          <w:szCs w:val="24"/>
          <w:vertAlign w:val="superscript"/>
        </w:rPr>
        <w:t>)</w:t>
      </w:r>
      <w:r w:rsidRPr="00792C8B">
        <w:rPr>
          <w:rFonts w:ascii="Times New Roman" w:hAnsi="Times New Roman" w:cs="Times New Roman"/>
          <w:sz w:val="24"/>
          <w:szCs w:val="24"/>
        </w:rPr>
        <w:t xml:space="preserve">), przy czym kompetencje Pierwszego Prezesa Sądu Najwyższego wykonuje Prezes Trybunału, a Kolegium Sądu Najwyższego – Zgromadzenie Ogólne. </w:t>
      </w:r>
    </w:p>
    <w:p w:rsidR="009F5A5C" w:rsidRPr="00792C8B" w:rsidRDefault="009F5A5C" w:rsidP="0040224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4</w:t>
      </w:r>
    </w:p>
    <w:p w:rsidR="009F5A5C" w:rsidRPr="00792C8B" w:rsidRDefault="009F5A5C" w:rsidP="0040224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Postępowanie przed Trybunałem – zasady ogólne</w:t>
      </w:r>
    </w:p>
    <w:p w:rsidR="00C86724" w:rsidRPr="00792C8B" w:rsidRDefault="00C8672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Trybunał orzeka w składzie pięciu sędziów Trybunału, chyba że ustawa stanowi inaczej. </w:t>
      </w:r>
    </w:p>
    <w:p w:rsidR="00C86724" w:rsidRPr="00792C8B" w:rsidRDefault="00C86724" w:rsidP="00402249">
      <w:pPr>
        <w:spacing w:line="360" w:lineRule="auto"/>
        <w:ind w:firstLine="426"/>
        <w:contextualSpacing/>
        <w:jc w:val="both"/>
        <w:rPr>
          <w:rFonts w:ascii="Times New Roman" w:hAnsi="Times New Roman" w:cs="Times New Roman"/>
          <w:sz w:val="24"/>
          <w:szCs w:val="24"/>
        </w:rPr>
      </w:pPr>
      <w:r w:rsidRPr="00792C8B">
        <w:rPr>
          <w:rFonts w:ascii="Times New Roman" w:hAnsi="Times New Roman" w:cs="Times New Roman"/>
          <w:sz w:val="24"/>
          <w:szCs w:val="24"/>
        </w:rPr>
        <w:t>2. Trybunał orzeka w składzie trzech sędziów Trybunału w sprawach</w:t>
      </w:r>
      <w:r w:rsidR="001769AF" w:rsidRPr="00792C8B">
        <w:rPr>
          <w:rFonts w:ascii="Times New Roman" w:hAnsi="Times New Roman" w:cs="Times New Roman"/>
          <w:sz w:val="24"/>
          <w:szCs w:val="24"/>
        </w:rPr>
        <w:t>:</w:t>
      </w:r>
    </w:p>
    <w:p w:rsidR="00C86724" w:rsidRPr="00792C8B" w:rsidRDefault="00C86724" w:rsidP="00BB4BD8">
      <w:pPr>
        <w:pStyle w:val="Akapitzlist"/>
        <w:numPr>
          <w:ilvl w:val="0"/>
          <w:numId w:val="9"/>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skarg konstytucyjnych</w:t>
      </w:r>
      <w:r w:rsidR="00FD76CD" w:rsidRPr="00792C8B">
        <w:rPr>
          <w:rFonts w:ascii="Times New Roman" w:hAnsi="Times New Roman" w:cs="Times New Roman"/>
          <w:sz w:val="24"/>
          <w:szCs w:val="24"/>
        </w:rPr>
        <w:t>;</w:t>
      </w:r>
      <w:r w:rsidRPr="00792C8B">
        <w:rPr>
          <w:rFonts w:ascii="Times New Roman" w:hAnsi="Times New Roman" w:cs="Times New Roman"/>
          <w:sz w:val="24"/>
          <w:szCs w:val="24"/>
        </w:rPr>
        <w:t xml:space="preserve"> </w:t>
      </w:r>
    </w:p>
    <w:p w:rsidR="00C86724" w:rsidRPr="00792C8B" w:rsidRDefault="00C86724" w:rsidP="00BB4BD8">
      <w:pPr>
        <w:pStyle w:val="Akapitzlist"/>
        <w:numPr>
          <w:ilvl w:val="0"/>
          <w:numId w:val="9"/>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pytań prawnych</w:t>
      </w:r>
      <w:r w:rsidR="00FD76CD" w:rsidRPr="00792C8B">
        <w:rPr>
          <w:rFonts w:ascii="Times New Roman" w:hAnsi="Times New Roman" w:cs="Times New Roman"/>
          <w:sz w:val="24"/>
          <w:szCs w:val="24"/>
        </w:rPr>
        <w:t>;</w:t>
      </w:r>
    </w:p>
    <w:p w:rsidR="00C86724" w:rsidRPr="00792C8B" w:rsidRDefault="00C86724" w:rsidP="00BB4BD8">
      <w:pPr>
        <w:pStyle w:val="Akapitzlist"/>
        <w:numPr>
          <w:ilvl w:val="0"/>
          <w:numId w:val="9"/>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zgodności przepisów prawa wydawanych przez centralne organy państwowe z Konstytucją, ratyfikowanymi umowami międzynarodowymi i ustawami.</w:t>
      </w:r>
    </w:p>
    <w:p w:rsidR="00DD2A0B" w:rsidRPr="00792C8B" w:rsidRDefault="00C86724" w:rsidP="00402249">
      <w:pPr>
        <w:pStyle w:val="Akapitzlist"/>
        <w:spacing w:after="0" w:line="360" w:lineRule="auto"/>
        <w:ind w:left="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1D6A3B" w:rsidRPr="00792C8B">
        <w:rPr>
          <w:rFonts w:ascii="Times New Roman" w:hAnsi="Times New Roman" w:cs="Times New Roman"/>
          <w:sz w:val="24"/>
          <w:szCs w:val="24"/>
        </w:rPr>
        <w:t xml:space="preserve">Trybunał orzeka w pełnym składzie w sprawach: </w:t>
      </w:r>
    </w:p>
    <w:p w:rsidR="009B71CD" w:rsidRPr="00792C8B" w:rsidRDefault="001D6A3B" w:rsidP="00BB4BD8">
      <w:pPr>
        <w:pStyle w:val="Akapitzlist"/>
        <w:numPr>
          <w:ilvl w:val="0"/>
          <w:numId w:val="1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stwierdzenia przeszkody w sprawowaniu urzędu przez Prezydenta Rzeczypospolitej Polskiej oraz powierzenia Marszałkowi Sejmu tymczasowego wykonywania obowiązków Prezydenta Rzeczypospolitej Polskiej</w:t>
      </w:r>
      <w:r w:rsidR="00FD76CD" w:rsidRPr="00792C8B">
        <w:rPr>
          <w:rFonts w:ascii="Times New Roman" w:hAnsi="Times New Roman" w:cs="Times New Roman"/>
          <w:sz w:val="24"/>
          <w:szCs w:val="24"/>
        </w:rPr>
        <w:t>;</w:t>
      </w:r>
    </w:p>
    <w:p w:rsidR="00356451" w:rsidRPr="00792C8B" w:rsidRDefault="00356451" w:rsidP="00BB4BD8">
      <w:pPr>
        <w:pStyle w:val="Akapitzlist"/>
        <w:numPr>
          <w:ilvl w:val="0"/>
          <w:numId w:val="1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zgodności z Konstytucją celów lub działalności partii politycznych</w:t>
      </w:r>
      <w:r w:rsidR="00FD76CD" w:rsidRPr="00792C8B">
        <w:rPr>
          <w:rFonts w:ascii="Times New Roman" w:hAnsi="Times New Roman" w:cs="Times New Roman"/>
          <w:sz w:val="24"/>
          <w:szCs w:val="24"/>
        </w:rPr>
        <w:t>;</w:t>
      </w:r>
    </w:p>
    <w:p w:rsidR="00356451" w:rsidRPr="00792C8B" w:rsidRDefault="00356451" w:rsidP="00BB4BD8">
      <w:pPr>
        <w:pStyle w:val="Akapitzlist"/>
        <w:numPr>
          <w:ilvl w:val="0"/>
          <w:numId w:val="1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sporów kompetencyjnych między centralnymi konstytucyjnymi organami państwa</w:t>
      </w:r>
      <w:r w:rsidR="00FD76CD" w:rsidRPr="00792C8B">
        <w:rPr>
          <w:rFonts w:ascii="Times New Roman" w:hAnsi="Times New Roman" w:cs="Times New Roman"/>
          <w:sz w:val="24"/>
          <w:szCs w:val="24"/>
        </w:rPr>
        <w:t>;</w:t>
      </w:r>
    </w:p>
    <w:p w:rsidR="001D6A3B" w:rsidRPr="00792C8B" w:rsidRDefault="00356451" w:rsidP="00BB4BD8">
      <w:pPr>
        <w:pStyle w:val="Akapitzlist"/>
        <w:numPr>
          <w:ilvl w:val="0"/>
          <w:numId w:val="1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o szczególnej zawiłości lub doniosłości.</w:t>
      </w:r>
    </w:p>
    <w:p w:rsidR="00DD2A0B" w:rsidRPr="00792C8B" w:rsidRDefault="00C86724" w:rsidP="00402249">
      <w:pPr>
        <w:pStyle w:val="Akapitzlist"/>
        <w:spacing w:after="0" w:line="360" w:lineRule="auto"/>
        <w:ind w:left="0"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1D6A3B" w:rsidRPr="00792C8B">
        <w:rPr>
          <w:rFonts w:ascii="Times New Roman" w:hAnsi="Times New Roman" w:cs="Times New Roman"/>
          <w:sz w:val="24"/>
          <w:szCs w:val="24"/>
        </w:rPr>
        <w:t>O uznaniu sprawy za szczególnie zawiłą albo o szczególnej doniosłości rozstrzyga Prezes Trybunału z własnej inicjatywy lub na wniosek składu orzekającego.</w:t>
      </w:r>
    </w:p>
    <w:p w:rsidR="00DD2A0B" w:rsidRPr="00792C8B" w:rsidRDefault="00C86724" w:rsidP="00402249">
      <w:pPr>
        <w:pStyle w:val="Akapitzlist"/>
        <w:spacing w:after="0" w:line="360" w:lineRule="auto"/>
        <w:ind w:left="0"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5. </w:t>
      </w:r>
      <w:r w:rsidR="001D6A3B" w:rsidRPr="00792C8B">
        <w:rPr>
          <w:rFonts w:ascii="Times New Roman" w:hAnsi="Times New Roman" w:cs="Times New Roman"/>
          <w:sz w:val="24"/>
          <w:szCs w:val="24"/>
        </w:rPr>
        <w:t xml:space="preserve">Orzekanie w pełnym składzie wymaga udziału co najmniej </w:t>
      </w:r>
      <w:r w:rsidR="00110FDC" w:rsidRPr="00792C8B">
        <w:rPr>
          <w:rFonts w:ascii="Times New Roman" w:hAnsi="Times New Roman" w:cs="Times New Roman"/>
          <w:sz w:val="24"/>
          <w:szCs w:val="24"/>
        </w:rPr>
        <w:t>dziewięciu</w:t>
      </w:r>
      <w:r w:rsidR="009B71CD" w:rsidRPr="00792C8B">
        <w:rPr>
          <w:rFonts w:ascii="Times New Roman" w:hAnsi="Times New Roman" w:cs="Times New Roman"/>
          <w:sz w:val="24"/>
          <w:szCs w:val="24"/>
        </w:rPr>
        <w:t xml:space="preserve"> </w:t>
      </w:r>
      <w:r w:rsidR="001D6A3B" w:rsidRPr="00792C8B">
        <w:rPr>
          <w:rFonts w:ascii="Times New Roman" w:hAnsi="Times New Roman" w:cs="Times New Roman"/>
          <w:sz w:val="24"/>
          <w:szCs w:val="24"/>
        </w:rPr>
        <w:t xml:space="preserve">sędziów Trybunału. Rozprawie i posiedzeniu w pełnym składzie przewodniczy Prezes lub Wiceprezes Trybunału, a jeżeli istnieją przesłanki wyłączenia ich z udziału w orzekaniu lub inne ważne przyczyny – najstarszy </w:t>
      </w:r>
      <w:r w:rsidR="00356451" w:rsidRPr="00792C8B">
        <w:rPr>
          <w:rFonts w:ascii="Times New Roman" w:hAnsi="Times New Roman" w:cs="Times New Roman"/>
          <w:sz w:val="24"/>
          <w:szCs w:val="24"/>
        </w:rPr>
        <w:t>wiekiem</w:t>
      </w:r>
      <w:r w:rsidR="001D6A3B" w:rsidRPr="00792C8B">
        <w:rPr>
          <w:rFonts w:ascii="Times New Roman" w:hAnsi="Times New Roman" w:cs="Times New Roman"/>
          <w:sz w:val="24"/>
          <w:szCs w:val="24"/>
        </w:rPr>
        <w:t xml:space="preserve"> sędzia Trybunału.</w:t>
      </w:r>
    </w:p>
    <w:p w:rsidR="00196154" w:rsidRPr="00792C8B" w:rsidRDefault="0019615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Sędziów do składu orzekającego Trybunału, w tym przewodniczącego składu </w:t>
      </w:r>
      <w:r w:rsidR="00C61944" w:rsidRPr="00792C8B">
        <w:rPr>
          <w:rFonts w:ascii="Times New Roman" w:hAnsi="Times New Roman" w:cs="Times New Roman"/>
          <w:sz w:val="24"/>
          <w:szCs w:val="24"/>
        </w:rPr>
        <w:br/>
      </w:r>
      <w:r w:rsidRPr="00792C8B">
        <w:rPr>
          <w:rFonts w:ascii="Times New Roman" w:hAnsi="Times New Roman" w:cs="Times New Roman"/>
          <w:sz w:val="24"/>
          <w:szCs w:val="24"/>
        </w:rPr>
        <w:t xml:space="preserve">i sędziego sprawozdawcę, wyznacza Prezes Trybunału zgodnie z alfabetyczną listą sędziów, uwzględniając przy tym przedmiot, liczbę oraz kolejność wpływu spraw do Trybunału. </w:t>
      </w:r>
    </w:p>
    <w:p w:rsidR="00196154" w:rsidRPr="00792C8B" w:rsidRDefault="00402249"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423DCE" w:rsidRPr="00792C8B">
        <w:rPr>
          <w:rFonts w:ascii="Times New Roman" w:hAnsi="Times New Roman" w:cs="Times New Roman"/>
          <w:b/>
          <w:sz w:val="24"/>
          <w:szCs w:val="24"/>
        </w:rPr>
        <w:t xml:space="preserve"> </w:t>
      </w:r>
      <w:r w:rsidR="00196154" w:rsidRPr="00792C8B">
        <w:rPr>
          <w:rFonts w:ascii="Times New Roman" w:hAnsi="Times New Roman" w:cs="Times New Roman"/>
          <w:sz w:val="24"/>
          <w:szCs w:val="24"/>
        </w:rPr>
        <w:t xml:space="preserve">Sędzia Trybunału jest wyłączony z udziału w rozpoznawaniu sprawy, jeżeli: </w:t>
      </w:r>
    </w:p>
    <w:p w:rsidR="00196154" w:rsidRPr="00792C8B" w:rsidRDefault="00196154" w:rsidP="00BB4BD8">
      <w:pPr>
        <w:pStyle w:val="Akapitzlist"/>
        <w:numPr>
          <w:ilvl w:val="0"/>
          <w:numId w:val="1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wydał lub uczestniczył w wydaniu aktu normatywnego będącego przedmiotem wniosku, pytania prawnego lub skargi konstytucyjnej; </w:t>
      </w:r>
    </w:p>
    <w:p w:rsidR="00196154" w:rsidRPr="00792C8B" w:rsidRDefault="00196154" w:rsidP="00BB4BD8">
      <w:pPr>
        <w:pStyle w:val="Akapitzlist"/>
        <w:numPr>
          <w:ilvl w:val="0"/>
          <w:numId w:val="1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wydał lub uczestniczył w wydaniu orzeczenia, decyzji administracyjnej lub innego rozstrzygnięcia, w sprawie pytania prawnego lub skargi konstytucyjnej; </w:t>
      </w:r>
    </w:p>
    <w:p w:rsidR="00196154" w:rsidRPr="00792C8B" w:rsidRDefault="00196154" w:rsidP="00BB4BD8">
      <w:pPr>
        <w:pStyle w:val="Akapitzlist"/>
        <w:numPr>
          <w:ilvl w:val="0"/>
          <w:numId w:val="1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jest uczestnikiem postępowania lub pozostaje z uczestnikiem postępowania w takim stosunku prawnym, że wynik sprawy może oddziaływać na jego prawa i obowiązki; </w:t>
      </w:r>
    </w:p>
    <w:p w:rsidR="00196154" w:rsidRPr="00792C8B" w:rsidRDefault="00196154" w:rsidP="00BB4BD8">
      <w:pPr>
        <w:pStyle w:val="Akapitzlist"/>
        <w:numPr>
          <w:ilvl w:val="0"/>
          <w:numId w:val="1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był przedstawicielem, pełnomocnikiem lub doradcą uczestnika postępowania; </w:t>
      </w:r>
    </w:p>
    <w:p w:rsidR="00196154" w:rsidRPr="00792C8B" w:rsidRDefault="00196154" w:rsidP="00BB4BD8">
      <w:pPr>
        <w:pStyle w:val="Akapitzlist"/>
        <w:numPr>
          <w:ilvl w:val="0"/>
          <w:numId w:val="1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jest stroną w postępowaniu w sprawie, w której zostało przedstawione pytanie prawne lub stroną w tym postępowaniu jest jego małżonek, krewny lub powinowaty w linii prostej, krewny boczny do czwartego stopnia lub powinowaty boczny do drugiego stopnia;</w:t>
      </w:r>
    </w:p>
    <w:p w:rsidR="00196154" w:rsidRPr="00792C8B" w:rsidRDefault="00196154" w:rsidP="00BB4BD8">
      <w:pPr>
        <w:pStyle w:val="Akapitzlist"/>
        <w:numPr>
          <w:ilvl w:val="0"/>
          <w:numId w:val="1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zostanie uprawdopodobnione istnienie innych okoliczności mogących wywołać wątpliwości co do jego bezstronności. </w:t>
      </w:r>
    </w:p>
    <w:p w:rsidR="00196154" w:rsidRPr="00792C8B" w:rsidRDefault="00423DCE"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196154" w:rsidRPr="00792C8B">
        <w:rPr>
          <w:rFonts w:ascii="Times New Roman" w:hAnsi="Times New Roman" w:cs="Times New Roman"/>
          <w:sz w:val="24"/>
          <w:szCs w:val="24"/>
        </w:rPr>
        <w:t xml:space="preserve">Wyłączenie sędziego Trybunału z udziału w rozpoznawaniu sprawy następuje na żądanie sędziego, z urzędu lub na wniosek uczestnika postępowania. </w:t>
      </w:r>
    </w:p>
    <w:p w:rsidR="00196154" w:rsidRPr="00792C8B" w:rsidRDefault="00423DCE"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O </w:t>
      </w:r>
      <w:r w:rsidR="00196154" w:rsidRPr="00792C8B">
        <w:rPr>
          <w:rFonts w:ascii="Times New Roman" w:hAnsi="Times New Roman" w:cs="Times New Roman"/>
          <w:sz w:val="24"/>
          <w:szCs w:val="24"/>
        </w:rPr>
        <w:t>wyłączeniu sędziego Trybunału z pr</w:t>
      </w:r>
      <w:r w:rsidR="000012A0" w:rsidRPr="00792C8B">
        <w:rPr>
          <w:rFonts w:ascii="Times New Roman" w:hAnsi="Times New Roman" w:cs="Times New Roman"/>
          <w:sz w:val="24"/>
          <w:szCs w:val="24"/>
        </w:rPr>
        <w:t>zyczyn, o których mowa w ust.</w:t>
      </w:r>
      <w:r w:rsidR="00196154" w:rsidRPr="00792C8B">
        <w:rPr>
          <w:rFonts w:ascii="Times New Roman" w:hAnsi="Times New Roman" w:cs="Times New Roman"/>
          <w:sz w:val="24"/>
          <w:szCs w:val="24"/>
        </w:rPr>
        <w:t xml:space="preserve"> 1</w:t>
      </w:r>
      <w:r w:rsidR="00632048">
        <w:rPr>
          <w:rFonts w:ascii="Times New Roman" w:hAnsi="Times New Roman" w:cs="Times New Roman"/>
          <w:sz w:val="24"/>
          <w:szCs w:val="24"/>
        </w:rPr>
        <w:t>,</w:t>
      </w:r>
      <w:r w:rsidR="00196154" w:rsidRPr="00792C8B">
        <w:rPr>
          <w:rFonts w:ascii="Times New Roman" w:hAnsi="Times New Roman" w:cs="Times New Roman"/>
          <w:sz w:val="24"/>
          <w:szCs w:val="24"/>
        </w:rPr>
        <w:t xml:space="preserve"> rozstrzyga </w:t>
      </w:r>
      <w:r w:rsidR="00723F13" w:rsidRPr="00792C8B">
        <w:rPr>
          <w:rFonts w:ascii="Times New Roman" w:hAnsi="Times New Roman" w:cs="Times New Roman"/>
          <w:sz w:val="24"/>
          <w:szCs w:val="24"/>
        </w:rPr>
        <w:t>Trybunał w składzie określonym w art. 34 ust. 1</w:t>
      </w:r>
      <w:r w:rsidR="00196154" w:rsidRPr="00792C8B">
        <w:rPr>
          <w:rFonts w:ascii="Times New Roman" w:hAnsi="Times New Roman" w:cs="Times New Roman"/>
          <w:sz w:val="24"/>
          <w:szCs w:val="24"/>
        </w:rPr>
        <w:t xml:space="preserve">. </w:t>
      </w:r>
    </w:p>
    <w:p w:rsidR="00196154" w:rsidRPr="00792C8B" w:rsidRDefault="00423DC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196154" w:rsidRPr="00792C8B">
        <w:rPr>
          <w:rFonts w:ascii="Times New Roman" w:hAnsi="Times New Roman" w:cs="Times New Roman"/>
          <w:sz w:val="24"/>
          <w:szCs w:val="24"/>
        </w:rPr>
        <w:t>Tr</w:t>
      </w:r>
      <w:r w:rsidR="00550BB0" w:rsidRPr="00792C8B">
        <w:rPr>
          <w:rFonts w:ascii="Times New Roman" w:hAnsi="Times New Roman" w:cs="Times New Roman"/>
          <w:sz w:val="24"/>
          <w:szCs w:val="24"/>
        </w:rPr>
        <w:t>ybunał orzekając</w:t>
      </w:r>
      <w:r w:rsidR="00196154" w:rsidRPr="00792C8B">
        <w:rPr>
          <w:rFonts w:ascii="Times New Roman" w:hAnsi="Times New Roman" w:cs="Times New Roman"/>
          <w:sz w:val="24"/>
          <w:szCs w:val="24"/>
        </w:rPr>
        <w:t xml:space="preserve"> jest związany zakresem zaskarżenia wskazanym we wniosku, pytaniu prawnym lub skardze konstytucyjnej. </w:t>
      </w:r>
    </w:p>
    <w:p w:rsidR="00196154" w:rsidRPr="00792C8B" w:rsidRDefault="00423DCE"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196154" w:rsidRPr="00792C8B">
        <w:rPr>
          <w:rFonts w:ascii="Times New Roman" w:hAnsi="Times New Roman" w:cs="Times New Roman"/>
          <w:sz w:val="24"/>
          <w:szCs w:val="24"/>
        </w:rPr>
        <w:t xml:space="preserve">Zakres zaskarżenia obejmuje wskazanie kwestionowanego aktu normatywnego lub jego części (określenie przedmiotu kontroli) oraz sformułowanie zarzutu niezgodności z Konstytucją, ratyfikowaną umową międzynarodową lub ustawą (wskazanie wzorca kontroli). </w:t>
      </w:r>
    </w:p>
    <w:p w:rsidR="00196154" w:rsidRPr="00792C8B" w:rsidRDefault="0019615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Trybunał w toku postępowania bada wszystkie istotne okoliczności służące wszechstronnemu wyjaśnieniu sprawy.</w:t>
      </w:r>
    </w:p>
    <w:p w:rsidR="00196154" w:rsidRPr="00792C8B" w:rsidRDefault="0019615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Sądy i inne organy władzy publicznej są obowiązane udzielić Trybunałowi pomocy i na jego żądanie przedstawić akta postępowania wiążące się z postępowaniem przed Trybunałem, a także udzielić informacji niezbędnych do wszechstronnego wyjaśnienia sprawy.</w:t>
      </w:r>
    </w:p>
    <w:p w:rsidR="00196154" w:rsidRPr="00792C8B" w:rsidRDefault="00423DC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196154" w:rsidRPr="00792C8B">
        <w:rPr>
          <w:rFonts w:ascii="Times New Roman" w:hAnsi="Times New Roman" w:cs="Times New Roman"/>
          <w:sz w:val="24"/>
          <w:szCs w:val="24"/>
        </w:rPr>
        <w:t xml:space="preserve">Postępowanie przed Trybunałem prowadzi się w formie pisemnej, jeżeli ustawa nie stanowi inaczej. </w:t>
      </w:r>
    </w:p>
    <w:p w:rsidR="00196154" w:rsidRPr="00792C8B" w:rsidRDefault="00423DCE"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196154" w:rsidRPr="00792C8B">
        <w:rPr>
          <w:rFonts w:ascii="Times New Roman" w:hAnsi="Times New Roman" w:cs="Times New Roman"/>
          <w:sz w:val="24"/>
          <w:szCs w:val="24"/>
        </w:rPr>
        <w:t xml:space="preserve">Wniosek, pytanie prawne i skarga konstytucyjna oraz inne pisma uczestników postępowania są składane w takiej liczbie egzemplarzy, która umożliwi ich doręczenie pozostałym uczestnikom oraz pozostawienie dwóch egzemplarzy w aktach sprawy. </w:t>
      </w:r>
    </w:p>
    <w:p w:rsidR="00196154" w:rsidRPr="00792C8B" w:rsidRDefault="00423DC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196154" w:rsidRPr="00792C8B">
        <w:rPr>
          <w:rFonts w:ascii="Times New Roman" w:hAnsi="Times New Roman" w:cs="Times New Roman"/>
          <w:sz w:val="24"/>
          <w:szCs w:val="24"/>
        </w:rPr>
        <w:t xml:space="preserve">Rozprawy przed Trybunałem są jawne, jeżeli ustawa nie stanowi inaczej. Przewodniczący składu orzekającego może wyłączyć jawność rozprawy ze względu na bezpieczeństwo państwa lub ochronę informacji niejawnych o klauzuli tajności „tajne” lub „ściśle tajne”. </w:t>
      </w:r>
    </w:p>
    <w:p w:rsidR="00196154" w:rsidRPr="00792C8B" w:rsidRDefault="00423DCE" w:rsidP="004022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196154" w:rsidRPr="00792C8B">
        <w:rPr>
          <w:rFonts w:ascii="Times New Roman" w:hAnsi="Times New Roman" w:cs="Times New Roman"/>
          <w:sz w:val="24"/>
          <w:szCs w:val="24"/>
        </w:rPr>
        <w:t xml:space="preserve">Świadek lub biegły może być przesłuchany co do okoliczności stanowiących informację niejawną o klauzuli tajności „tajne” lub „ściśle tajne” po zwolnieniu przez uprawniony organ od obowiązku zachowania tajemnicy. Odmowa zgody może być uzasadniona jedynie ważnym interesem państwa. </w:t>
      </w:r>
    </w:p>
    <w:p w:rsidR="00196154" w:rsidRPr="00792C8B" w:rsidRDefault="00423DCE"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3.</w:t>
      </w:r>
      <w:r w:rsidR="00632048">
        <w:rPr>
          <w:rFonts w:ascii="Times New Roman" w:hAnsi="Times New Roman" w:cs="Times New Roman"/>
          <w:sz w:val="24"/>
          <w:szCs w:val="24"/>
        </w:rPr>
        <w:t xml:space="preserve"> </w:t>
      </w:r>
      <w:r w:rsidR="00196154" w:rsidRPr="00792C8B">
        <w:rPr>
          <w:rFonts w:ascii="Times New Roman" w:hAnsi="Times New Roman" w:cs="Times New Roman"/>
          <w:sz w:val="24"/>
          <w:szCs w:val="24"/>
        </w:rPr>
        <w:t xml:space="preserve">Świadek lub biegły nie korzysta z prawa odmowy złożenia zeznań, jeżeli Trybunał uzna odmowę zgody organu, o której mowa w ust. 2, za nieuzasadnioną. </w:t>
      </w:r>
    </w:p>
    <w:p w:rsidR="00196154" w:rsidRPr="00792C8B" w:rsidRDefault="00423DC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Pr="00792C8B">
        <w:rPr>
          <w:rFonts w:ascii="Times New Roman" w:hAnsi="Times New Roman" w:cs="Times New Roman"/>
          <w:b/>
          <w:sz w:val="24"/>
          <w:szCs w:val="24"/>
        </w:rPr>
        <w:t xml:space="preserve"> </w:t>
      </w:r>
      <w:r w:rsidR="00196154" w:rsidRPr="00792C8B">
        <w:rPr>
          <w:rFonts w:ascii="Times New Roman" w:hAnsi="Times New Roman" w:cs="Times New Roman"/>
          <w:sz w:val="24"/>
          <w:szCs w:val="24"/>
        </w:rPr>
        <w:t xml:space="preserve">Uczestnikami postępowania przed Trybunałem są: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podmiot, który złożył wniosek, zwany dalej „wnioskodawcą”;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sąd, który przedstawił Trybunałowi pytanie prawne, zwany dalej „sądem pytającym”;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podmiot, który złożył skargę konstytucyjną, zwany dalej „skarżącym”;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organ, który wydał akt normatywny będący przedmiotem wniosku, pytania prawnego lub skargi konstytucyjnej;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Prokurator </w:t>
      </w:r>
      <w:r w:rsidR="00C86724" w:rsidRPr="00792C8B">
        <w:rPr>
          <w:rFonts w:ascii="Times New Roman" w:hAnsi="Times New Roman" w:cs="Times New Roman"/>
          <w:sz w:val="24"/>
          <w:szCs w:val="24"/>
        </w:rPr>
        <w:t>Krajowy</w:t>
      </w:r>
      <w:r w:rsidRPr="00792C8B">
        <w:rPr>
          <w:rFonts w:ascii="Times New Roman" w:hAnsi="Times New Roman" w:cs="Times New Roman"/>
          <w:sz w:val="24"/>
          <w:szCs w:val="24"/>
        </w:rPr>
        <w:t xml:space="preserve">;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Rada Ministrów, z wyjątkiem spraw zgodności z Konstytucją celów lub działalności partii politycznych oraz sporów kompetencyjnych pomiędzy centralnymi konstytucyjnymi organami państwa;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Sejm, Prezydent Rzeczypospolitej Polskiej i minister właściwy do spraw zagranicznych </w:t>
      </w:r>
      <w:r w:rsidR="00C61944" w:rsidRPr="00792C8B">
        <w:rPr>
          <w:rFonts w:ascii="Times New Roman" w:hAnsi="Times New Roman" w:cs="Times New Roman"/>
          <w:sz w:val="24"/>
          <w:szCs w:val="24"/>
        </w:rPr>
        <w:br/>
      </w:r>
      <w:r w:rsidRPr="00792C8B">
        <w:rPr>
          <w:rFonts w:ascii="Times New Roman" w:hAnsi="Times New Roman" w:cs="Times New Roman"/>
          <w:sz w:val="24"/>
          <w:szCs w:val="24"/>
        </w:rPr>
        <w:t xml:space="preserve">w sprawach zgodności z Konstytucją umów międzynarodowych ratyfikowanych w trybie art. 89 ust. 1 Konstytucji;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Sejm, Senat, Prezydent Rzeczypospolitej Polskiej i minister właściwy do spraw zagranicznych w sprawach zgodności z Konstytucją umów międzynarodowych ratyfikowanych w trybie art. 90 ust. 2 i 3 Konstytucji;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Prezydent Rzeczypospolitej Polskiej i minister właściwy do spraw zagranicznych w sprawach zgodności z Konstytucją innych ratyfikowanych umów międzynarodowych;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Rzecznik Praw Obywatelskich, jeżeli zgłosił udział w postępowaniu;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Rzecznik Praw Dziecka, jeżeli zgłosił udział w postępowaniu wszczętym na wniosek Rzecznika Praw Obywatelskich lub w postępowaniu w sprawie skargi konstytucyjnej, dotyczących praw dziecka;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centralny konstytucyjny organ państwa pozostający w sporze w postępowaniu w sprawie rozstrzygnięcia sporu kompetencyjnego;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organ statutowy partii politycznej w postępowaniu w sprawie zgodności z Konstytucją celów lub działalności partii politycznych; </w:t>
      </w:r>
    </w:p>
    <w:p w:rsidR="00196154" w:rsidRPr="00792C8B" w:rsidRDefault="00196154" w:rsidP="00BB4BD8">
      <w:pPr>
        <w:pStyle w:val="Akapitzlist"/>
        <w:numPr>
          <w:ilvl w:val="0"/>
          <w:numId w:val="1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podmioty, o których mowa w art. </w:t>
      </w:r>
      <w:r w:rsidR="00A54181" w:rsidRPr="00792C8B">
        <w:rPr>
          <w:rFonts w:ascii="Times New Roman" w:hAnsi="Times New Roman" w:cs="Times New Roman"/>
          <w:sz w:val="24"/>
          <w:szCs w:val="24"/>
        </w:rPr>
        <w:t>9</w:t>
      </w:r>
      <w:r w:rsidR="00F63BDF" w:rsidRPr="00792C8B">
        <w:rPr>
          <w:rFonts w:ascii="Times New Roman" w:hAnsi="Times New Roman" w:cs="Times New Roman"/>
          <w:sz w:val="24"/>
          <w:szCs w:val="24"/>
        </w:rPr>
        <w:t>2</w:t>
      </w:r>
      <w:r w:rsidR="00A54181" w:rsidRPr="00792C8B">
        <w:rPr>
          <w:rFonts w:ascii="Times New Roman" w:hAnsi="Times New Roman" w:cs="Times New Roman"/>
          <w:sz w:val="24"/>
          <w:szCs w:val="24"/>
        </w:rPr>
        <w:t xml:space="preserve"> </w:t>
      </w:r>
      <w:r w:rsidRPr="00792C8B">
        <w:rPr>
          <w:rFonts w:ascii="Times New Roman" w:hAnsi="Times New Roman" w:cs="Times New Roman"/>
          <w:sz w:val="24"/>
          <w:szCs w:val="24"/>
        </w:rPr>
        <w:t xml:space="preserve">ust. 3, w postępowaniu w sprawie stwierdzenia przeszkody w sprawowaniu urzędu przez Prezydenta Rzeczypospolitej Polskiej. </w:t>
      </w:r>
    </w:p>
    <w:p w:rsidR="00196154" w:rsidRPr="00792C8B" w:rsidRDefault="00423DCE"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196154" w:rsidRPr="00792C8B">
        <w:rPr>
          <w:rFonts w:ascii="Times New Roman" w:hAnsi="Times New Roman" w:cs="Times New Roman"/>
          <w:sz w:val="24"/>
          <w:szCs w:val="24"/>
        </w:rPr>
        <w:t xml:space="preserve">Uczestnik postępowania działa przed Trybunałem osobiście, przez przedstawiciela lub przez pełnomocnika. </w:t>
      </w:r>
    </w:p>
    <w:p w:rsidR="00196154" w:rsidRPr="00792C8B" w:rsidRDefault="00423DCE"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196154" w:rsidRPr="00792C8B">
        <w:rPr>
          <w:rFonts w:ascii="Times New Roman" w:hAnsi="Times New Roman" w:cs="Times New Roman"/>
          <w:sz w:val="24"/>
          <w:szCs w:val="24"/>
        </w:rPr>
        <w:t xml:space="preserve">Przedstawicielem sądu pytającego może być tylko sędzia składu orzekającego w sprawie, w której zostało przedstawione pytanie prawne. </w:t>
      </w:r>
    </w:p>
    <w:p w:rsidR="00196154" w:rsidRPr="00792C8B" w:rsidRDefault="00367B49" w:rsidP="00367B4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4.</w:t>
      </w:r>
      <w:r w:rsidR="001769AF" w:rsidRPr="00792C8B">
        <w:rPr>
          <w:rFonts w:ascii="Times New Roman" w:hAnsi="Times New Roman" w:cs="Times New Roman"/>
          <w:sz w:val="24"/>
          <w:szCs w:val="24"/>
        </w:rPr>
        <w:t xml:space="preserve"> </w:t>
      </w:r>
      <w:r w:rsidR="00196154" w:rsidRPr="00792C8B">
        <w:rPr>
          <w:rFonts w:ascii="Times New Roman" w:hAnsi="Times New Roman" w:cs="Times New Roman"/>
          <w:sz w:val="24"/>
          <w:szCs w:val="24"/>
        </w:rPr>
        <w:t xml:space="preserve">Przedstawicielem Prokuratora </w:t>
      </w:r>
      <w:r w:rsidRPr="00792C8B">
        <w:rPr>
          <w:rFonts w:ascii="Times New Roman" w:hAnsi="Times New Roman" w:cs="Times New Roman"/>
          <w:sz w:val="24"/>
          <w:szCs w:val="24"/>
        </w:rPr>
        <w:t>Krajowego</w:t>
      </w:r>
      <w:r w:rsidR="00196154" w:rsidRPr="00792C8B">
        <w:rPr>
          <w:rFonts w:ascii="Times New Roman" w:hAnsi="Times New Roman" w:cs="Times New Roman"/>
          <w:sz w:val="24"/>
          <w:szCs w:val="24"/>
        </w:rPr>
        <w:t xml:space="preserve"> może być prokurator Prokuratury </w:t>
      </w:r>
      <w:r w:rsidRPr="00792C8B">
        <w:rPr>
          <w:rFonts w:ascii="Times New Roman" w:hAnsi="Times New Roman" w:cs="Times New Roman"/>
          <w:sz w:val="24"/>
          <w:szCs w:val="24"/>
        </w:rPr>
        <w:t>Krajowe</w:t>
      </w:r>
      <w:r w:rsidR="00196154" w:rsidRPr="00792C8B">
        <w:rPr>
          <w:rFonts w:ascii="Times New Roman" w:hAnsi="Times New Roman" w:cs="Times New Roman"/>
          <w:sz w:val="24"/>
          <w:szCs w:val="24"/>
        </w:rPr>
        <w:t xml:space="preserve">j. </w:t>
      </w:r>
    </w:p>
    <w:p w:rsidR="00196154" w:rsidRPr="00792C8B" w:rsidRDefault="008076AF"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5</w:t>
      </w:r>
      <w:r w:rsidR="00423DCE" w:rsidRPr="00792C8B">
        <w:rPr>
          <w:rFonts w:ascii="Times New Roman" w:hAnsi="Times New Roman" w:cs="Times New Roman"/>
          <w:sz w:val="24"/>
          <w:szCs w:val="24"/>
        </w:rPr>
        <w:t xml:space="preserve">. </w:t>
      </w:r>
      <w:r w:rsidR="00196154" w:rsidRPr="00792C8B">
        <w:rPr>
          <w:rFonts w:ascii="Times New Roman" w:hAnsi="Times New Roman" w:cs="Times New Roman"/>
          <w:sz w:val="24"/>
          <w:szCs w:val="24"/>
        </w:rPr>
        <w:t xml:space="preserve">Przedstawicielem Sejmu, Marszałka Sejmu i grupy posłów mogą być tylko posłowie. Grupa posłów oraz Marszałek Sejmu, w przypadku gdy jest wnioskodawcą, oprócz przedstawicieli mogą ustanowić nie więcej niż 2 pełnomocników niebędących posłami. </w:t>
      </w:r>
    </w:p>
    <w:p w:rsidR="00196154" w:rsidRPr="00792C8B" w:rsidRDefault="008076AF"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6</w:t>
      </w:r>
      <w:r w:rsidR="00423DCE" w:rsidRPr="00792C8B">
        <w:rPr>
          <w:rFonts w:ascii="Times New Roman" w:hAnsi="Times New Roman" w:cs="Times New Roman"/>
          <w:sz w:val="24"/>
          <w:szCs w:val="24"/>
        </w:rPr>
        <w:t xml:space="preserve">. </w:t>
      </w:r>
      <w:r w:rsidR="00196154" w:rsidRPr="00792C8B">
        <w:rPr>
          <w:rFonts w:ascii="Times New Roman" w:hAnsi="Times New Roman" w:cs="Times New Roman"/>
          <w:sz w:val="24"/>
          <w:szCs w:val="24"/>
        </w:rPr>
        <w:t xml:space="preserve">Przedstawicielem Senatu, Marszałka Senatu i grupy senatorów mogą być tylko senatorowie. Grupa senatorów oraz Marszałek Senatu, w przypadku gdy jest wnioskodawcą, oprócz przedstawicieli mogą ustanowić nie więcej niż 2 pełnomocników niebędących senatorami. </w:t>
      </w:r>
    </w:p>
    <w:p w:rsidR="00D03440" w:rsidRPr="00792C8B" w:rsidRDefault="00D03440"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Akta sprawy toczącej się przed Trybunałem są jawne. Przeglądanie akt sprawy oraz sporządzanie i otrzymywanie odpisów, kopii lub wyciągów z tych akt w zakresie obejmującym dane osobowe jest dopuszczalne po dokonaniu anonimizacji tych danych. </w:t>
      </w:r>
    </w:p>
    <w:p w:rsidR="00D03440" w:rsidRPr="00792C8B" w:rsidRDefault="00D03440"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Wniosek, pytanie prawne i skarga konstytucyjna powinny spełniać wymagania przewidziane dla pisma procesowego.</w:t>
      </w:r>
    </w:p>
    <w:p w:rsidR="00D03440" w:rsidRPr="00792C8B" w:rsidRDefault="00423DC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FD76CD" w:rsidRPr="00792C8B">
        <w:rPr>
          <w:rFonts w:ascii="Times New Roman" w:hAnsi="Times New Roman" w:cs="Times New Roman"/>
          <w:sz w:val="24"/>
          <w:szCs w:val="24"/>
        </w:rPr>
        <w:t xml:space="preserve"> </w:t>
      </w:r>
      <w:r w:rsidR="00D03440" w:rsidRPr="00792C8B">
        <w:rPr>
          <w:rFonts w:ascii="Times New Roman" w:hAnsi="Times New Roman" w:cs="Times New Roman"/>
          <w:sz w:val="24"/>
          <w:szCs w:val="24"/>
        </w:rPr>
        <w:t xml:space="preserve">Do wniosku składanego przez grupę posłów lub senatorów dołącza się listę posłów lub senatorów popierających wniosek wraz z ich podpisami.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D03440" w:rsidRPr="00792C8B">
        <w:rPr>
          <w:rFonts w:ascii="Times New Roman" w:hAnsi="Times New Roman" w:cs="Times New Roman"/>
          <w:sz w:val="24"/>
          <w:szCs w:val="24"/>
        </w:rPr>
        <w:t xml:space="preserve">We wniosku złożonym przez podmiot, o którym mowa w art. 191 ust. 1 pkt 3–5 Konstytucji, należy także: </w:t>
      </w:r>
    </w:p>
    <w:p w:rsidR="00D03440" w:rsidRPr="00792C8B" w:rsidRDefault="00D03440" w:rsidP="00BB4BD8">
      <w:pPr>
        <w:pStyle w:val="Akapitzlist"/>
        <w:numPr>
          <w:ilvl w:val="0"/>
          <w:numId w:val="1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uzasadnić, powołując przepis prawa lub statutu, że kwestionowana ustawa lub inny akt normatywny dotyczy spraw objętych zakresem działania wnioskodawcy; </w:t>
      </w:r>
    </w:p>
    <w:p w:rsidR="00D03440" w:rsidRPr="00792C8B" w:rsidRDefault="00D03440" w:rsidP="00BB4BD8">
      <w:pPr>
        <w:pStyle w:val="Akapitzlist"/>
        <w:numPr>
          <w:ilvl w:val="0"/>
          <w:numId w:val="1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 przypadku podmiotu, o którym mowa w art. 191 ust. 1 pkt 4 Konstytucji, powołać przepis prawa lub postanowienie statutu wskazujące, że wnioskodawca jest ogólnokrajowym organem lub ogólnokrajową władzą. </w:t>
      </w:r>
    </w:p>
    <w:p w:rsidR="00D03440"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FD76CD" w:rsidRPr="00792C8B">
        <w:rPr>
          <w:rFonts w:ascii="Times New Roman" w:hAnsi="Times New Roman" w:cs="Times New Roman"/>
          <w:sz w:val="24"/>
          <w:szCs w:val="24"/>
        </w:rPr>
        <w:t xml:space="preserve"> </w:t>
      </w:r>
      <w:r w:rsidR="00D03440" w:rsidRPr="00792C8B">
        <w:rPr>
          <w:rFonts w:ascii="Times New Roman" w:hAnsi="Times New Roman" w:cs="Times New Roman"/>
          <w:sz w:val="24"/>
          <w:szCs w:val="24"/>
        </w:rPr>
        <w:t xml:space="preserve">Pytanie prawne ma formę postanowienia.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D03440" w:rsidRPr="00792C8B">
        <w:rPr>
          <w:rFonts w:ascii="Times New Roman" w:hAnsi="Times New Roman" w:cs="Times New Roman"/>
          <w:sz w:val="24"/>
          <w:szCs w:val="24"/>
        </w:rPr>
        <w:t xml:space="preserve">Pytanie prawne winno zawierać wyjaśnienie, w jakim zakresie odpowiedź na pytanie prawne może mieć wpływ na rozstrzygnięcie sprawy, w związku z którą zostało przedstawione.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D03440" w:rsidRPr="00792C8B">
        <w:rPr>
          <w:rFonts w:ascii="Times New Roman" w:hAnsi="Times New Roman" w:cs="Times New Roman"/>
          <w:sz w:val="24"/>
          <w:szCs w:val="24"/>
        </w:rPr>
        <w:t xml:space="preserve">Do pytania prawnego dołącza się akta sprawy, w związku z którą zostało przedstawione. </w:t>
      </w:r>
    </w:p>
    <w:p w:rsidR="00D03440"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D03440" w:rsidRPr="00792C8B">
        <w:rPr>
          <w:rFonts w:ascii="Times New Roman" w:hAnsi="Times New Roman" w:cs="Times New Roman"/>
          <w:sz w:val="24"/>
          <w:szCs w:val="24"/>
        </w:rPr>
        <w:t>Skargę konstytucyjną</w:t>
      </w:r>
      <w:r w:rsidR="008076AF" w:rsidRPr="00792C8B">
        <w:rPr>
          <w:rFonts w:ascii="Times New Roman" w:hAnsi="Times New Roman" w:cs="Times New Roman"/>
          <w:sz w:val="24"/>
          <w:szCs w:val="24"/>
        </w:rPr>
        <w:t xml:space="preserve"> </w:t>
      </w:r>
      <w:r w:rsidR="00D03440" w:rsidRPr="00792C8B">
        <w:rPr>
          <w:rFonts w:ascii="Times New Roman" w:hAnsi="Times New Roman" w:cs="Times New Roman"/>
          <w:sz w:val="24"/>
          <w:szCs w:val="24"/>
        </w:rPr>
        <w:t xml:space="preserve">wnosi się po wyczerpaniu przez skarżącego drogi prawnej, w terminie 3 miesięcy od doręczenia skarżącemu prawomocnego wyroku, ostatecznej decyzji lub innego ostatecznego rozstrzygnięcia.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D03440" w:rsidRPr="00792C8B">
        <w:rPr>
          <w:rFonts w:ascii="Times New Roman" w:hAnsi="Times New Roman" w:cs="Times New Roman"/>
          <w:sz w:val="24"/>
          <w:szCs w:val="24"/>
        </w:rPr>
        <w:t xml:space="preserve">W skardze </w:t>
      </w:r>
      <w:r w:rsidR="008076AF" w:rsidRPr="00792C8B">
        <w:rPr>
          <w:rFonts w:ascii="Times New Roman" w:hAnsi="Times New Roman" w:cs="Times New Roman"/>
          <w:sz w:val="24"/>
          <w:szCs w:val="24"/>
        </w:rPr>
        <w:t xml:space="preserve">konstytucyjnej </w:t>
      </w:r>
      <w:r w:rsidR="00D03440" w:rsidRPr="00792C8B">
        <w:rPr>
          <w:rFonts w:ascii="Times New Roman" w:hAnsi="Times New Roman" w:cs="Times New Roman"/>
          <w:sz w:val="24"/>
          <w:szCs w:val="24"/>
        </w:rPr>
        <w:t>należy:</w:t>
      </w:r>
    </w:p>
    <w:p w:rsidR="00D03440" w:rsidRPr="00792C8B" w:rsidRDefault="00D03440" w:rsidP="00BB4BD8">
      <w:pPr>
        <w:pStyle w:val="Akapitzlist"/>
        <w:numPr>
          <w:ilvl w:val="0"/>
          <w:numId w:val="1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udokumentować datę doręczenia wyroku, decyzji lub innego rozstrzygnięcia, o których mowa w ust. 1; </w:t>
      </w:r>
    </w:p>
    <w:p w:rsidR="00D03440" w:rsidRPr="00792C8B" w:rsidRDefault="00D03440" w:rsidP="00BB4BD8">
      <w:pPr>
        <w:pStyle w:val="Akapitzlist"/>
        <w:numPr>
          <w:ilvl w:val="0"/>
          <w:numId w:val="1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poinformować, czy od wyroku, decyzji lub innego rozstrzygnięcia, o których mowa w ust. 1, został wniesiony nadzwyczajny środek zaskarżenia.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D03440" w:rsidRPr="00792C8B">
        <w:rPr>
          <w:rFonts w:ascii="Times New Roman" w:hAnsi="Times New Roman" w:cs="Times New Roman"/>
          <w:sz w:val="24"/>
          <w:szCs w:val="24"/>
        </w:rPr>
        <w:t>Do skargi</w:t>
      </w:r>
      <w:r w:rsidR="008076AF" w:rsidRPr="00792C8B">
        <w:rPr>
          <w:rFonts w:ascii="Times New Roman" w:hAnsi="Times New Roman" w:cs="Times New Roman"/>
          <w:sz w:val="24"/>
          <w:szCs w:val="24"/>
        </w:rPr>
        <w:t xml:space="preserve"> konstytucyjnej</w:t>
      </w:r>
      <w:r w:rsidR="00D03440" w:rsidRPr="00792C8B">
        <w:rPr>
          <w:rFonts w:ascii="Times New Roman" w:hAnsi="Times New Roman" w:cs="Times New Roman"/>
          <w:sz w:val="24"/>
          <w:szCs w:val="24"/>
        </w:rPr>
        <w:t xml:space="preserve"> dołącza się: </w:t>
      </w:r>
    </w:p>
    <w:p w:rsidR="00D03440" w:rsidRPr="00792C8B" w:rsidRDefault="00D03440" w:rsidP="00BB4BD8">
      <w:pPr>
        <w:pStyle w:val="Akapitzlist"/>
        <w:numPr>
          <w:ilvl w:val="0"/>
          <w:numId w:val="1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odpis wyroku, decyzji lub inne rozstrzygnięcia, o których mowa w ust. 1; </w:t>
      </w:r>
    </w:p>
    <w:p w:rsidR="00D03440" w:rsidRPr="00792C8B" w:rsidRDefault="00D03440" w:rsidP="00BB4BD8">
      <w:pPr>
        <w:pStyle w:val="Akapitzlist"/>
        <w:numPr>
          <w:ilvl w:val="0"/>
          <w:numId w:val="1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odpis wyroku, decyzji lub innego rozstrzygnięcia potwierdzającego wyczerpanie drogi prawnej, o której mowa w ust. 1; </w:t>
      </w:r>
    </w:p>
    <w:p w:rsidR="00D03440" w:rsidRPr="00792C8B" w:rsidRDefault="00D03440" w:rsidP="00BB4BD8">
      <w:pPr>
        <w:pStyle w:val="Akapitzlist"/>
        <w:numPr>
          <w:ilvl w:val="0"/>
          <w:numId w:val="1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pełnomocnictwo szczególne. </w:t>
      </w:r>
    </w:p>
    <w:p w:rsidR="00D03440"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D03440" w:rsidRPr="00792C8B">
        <w:rPr>
          <w:rFonts w:ascii="Times New Roman" w:hAnsi="Times New Roman" w:cs="Times New Roman"/>
          <w:sz w:val="24"/>
          <w:szCs w:val="24"/>
        </w:rPr>
        <w:t xml:space="preserve">W zakresie sporządzenia i wniesienia skargi </w:t>
      </w:r>
      <w:r w:rsidR="008076AF" w:rsidRPr="00792C8B">
        <w:rPr>
          <w:rFonts w:ascii="Times New Roman" w:hAnsi="Times New Roman" w:cs="Times New Roman"/>
          <w:sz w:val="24"/>
          <w:szCs w:val="24"/>
        </w:rPr>
        <w:t xml:space="preserve">konstytucyjnej </w:t>
      </w:r>
      <w:r w:rsidR="00D03440" w:rsidRPr="00792C8B">
        <w:rPr>
          <w:rFonts w:ascii="Times New Roman" w:hAnsi="Times New Roman" w:cs="Times New Roman"/>
          <w:sz w:val="24"/>
          <w:szCs w:val="24"/>
        </w:rPr>
        <w:t xml:space="preserve">oraz reprezentowania skarżącego w postępowaniu przed Trybunałem istnieje obowiązek zastępstwa skarżącego przez adwokata lub radcę prawnego.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D03440" w:rsidRPr="00792C8B">
        <w:rPr>
          <w:rFonts w:ascii="Times New Roman" w:hAnsi="Times New Roman" w:cs="Times New Roman"/>
          <w:sz w:val="24"/>
          <w:szCs w:val="24"/>
        </w:rPr>
        <w:t xml:space="preserve">Przepisu ust. 1 nie stosuje się, jeżeli skarżący jest sędzią, prokuratorem, adwokatem, radcą prawnym lub notariuszem albo profesorem lub doktorem habilitowanym nauk prawnych.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D03440" w:rsidRPr="00792C8B">
        <w:rPr>
          <w:rFonts w:ascii="Times New Roman" w:hAnsi="Times New Roman" w:cs="Times New Roman"/>
          <w:sz w:val="24"/>
          <w:szCs w:val="24"/>
        </w:rPr>
        <w:t xml:space="preserve">W razie niemożności poniesienia kosztów pomocy prawnej skarżący może złożyć do sądu rejonowego swojego miejsca zamieszkania wniosek o ustanowienie dla niego adwokata lub radcy prawnego z urzędu, na podstawie przepisów o postępowaniu cywilnym.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D03440" w:rsidRPr="00792C8B">
        <w:rPr>
          <w:rFonts w:ascii="Times New Roman" w:hAnsi="Times New Roman" w:cs="Times New Roman"/>
          <w:sz w:val="24"/>
          <w:szCs w:val="24"/>
        </w:rPr>
        <w:t xml:space="preserve">Złożenie wniosku, o którym mowa w ust. 3, wstrzymuje bieg terminu do wniesienia skargi. Wznowienie biegu tego terminu następuje pierwszego dnia po dniu: </w:t>
      </w:r>
    </w:p>
    <w:p w:rsidR="00D03440" w:rsidRPr="00792C8B" w:rsidRDefault="00D03440" w:rsidP="00BB4BD8">
      <w:pPr>
        <w:pStyle w:val="Akapitzlist"/>
        <w:numPr>
          <w:ilvl w:val="0"/>
          <w:numId w:val="16"/>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doręczenia adwokatowi lub radcy prawnemu rozstrzygnięcia właściwego organu o wyznaczeniu go pełnomocnikiem skarżącego; </w:t>
      </w:r>
    </w:p>
    <w:p w:rsidR="00D03440" w:rsidRPr="00792C8B" w:rsidRDefault="00D03440" w:rsidP="00BB4BD8">
      <w:pPr>
        <w:pStyle w:val="Akapitzlist"/>
        <w:numPr>
          <w:ilvl w:val="0"/>
          <w:numId w:val="16"/>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uprawomocnienia się postanowienia sądu o oddaleniu wniosku o ustanowienie adwokata lub radcy prawnego; </w:t>
      </w:r>
    </w:p>
    <w:p w:rsidR="00D03440" w:rsidRPr="00792C8B" w:rsidRDefault="00D03440" w:rsidP="00BB4BD8">
      <w:pPr>
        <w:pStyle w:val="Akapitzlist"/>
        <w:numPr>
          <w:ilvl w:val="0"/>
          <w:numId w:val="16"/>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doręczenia skarżącemu postanowienia oddalającego zażalenie na postanowienie o oddaleniu wniosku o ustanowienie adwokata lub radcy prawnego. </w:t>
      </w:r>
    </w:p>
    <w:p w:rsidR="00D03440" w:rsidRPr="00792C8B" w:rsidRDefault="00D03440"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Jeżeli skarżący wniósł nadzwyczajny środek zaskarżenia, Trybunał może zawiesić postępowanie do czasu rozpoznania tego środka.</w:t>
      </w:r>
    </w:p>
    <w:p w:rsidR="00D03440"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Pr="00792C8B">
        <w:rPr>
          <w:rFonts w:ascii="Times New Roman" w:hAnsi="Times New Roman" w:cs="Times New Roman"/>
          <w:b/>
          <w:sz w:val="24"/>
          <w:szCs w:val="24"/>
        </w:rPr>
        <w:t xml:space="preserve"> </w:t>
      </w:r>
      <w:r w:rsidR="00D03440" w:rsidRPr="00792C8B">
        <w:rPr>
          <w:rFonts w:ascii="Times New Roman" w:hAnsi="Times New Roman" w:cs="Times New Roman"/>
          <w:sz w:val="24"/>
          <w:szCs w:val="24"/>
        </w:rPr>
        <w:t xml:space="preserve">Trybunał może wydać postanowienie tymczasowe o zawieszeniu lub wstrzymaniu wykonania orzeczenia w sprawie, której skarga dotyczy, jeżeli wykonanie wyroku, decyzji lub innego rozstrzygnięcia mogłoby spowodować skutki nieodwracalne dla skarżącego albo gdy przemawia za tym ważny interes skarżącego lub ważny interes publiczny. </w:t>
      </w:r>
    </w:p>
    <w:p w:rsidR="00D03440"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D03440" w:rsidRPr="00792C8B">
        <w:rPr>
          <w:rFonts w:ascii="Times New Roman" w:hAnsi="Times New Roman" w:cs="Times New Roman"/>
          <w:sz w:val="24"/>
          <w:szCs w:val="24"/>
        </w:rPr>
        <w:t>Trybunał uchyla postanowienie tymczasowe, jeżeli ustaną przyczyny jego wydania.</w:t>
      </w:r>
    </w:p>
    <w:p w:rsidR="009F6ECB"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9F6ECB" w:rsidRPr="00792C8B">
        <w:rPr>
          <w:rFonts w:ascii="Times New Roman" w:hAnsi="Times New Roman" w:cs="Times New Roman"/>
          <w:sz w:val="24"/>
          <w:szCs w:val="24"/>
        </w:rPr>
        <w:t xml:space="preserve">W sprawach wszczętych na podstawie wniosku grupy posłów lub senatorów, o którym mowa w art. 191 ust. 1 pkt 1 Konstytucji, z dniem zakończenia kadencji Sejmu i Senatu postępowanie ulega zawieszeniu na 3 miesiące.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F6ECB" w:rsidRPr="00792C8B">
        <w:rPr>
          <w:rFonts w:ascii="Times New Roman" w:hAnsi="Times New Roman" w:cs="Times New Roman"/>
          <w:sz w:val="24"/>
          <w:szCs w:val="24"/>
        </w:rPr>
        <w:t xml:space="preserve">Trybunał postanawia o podjęciu zawieszonego postępowania, jeżeli w terminie, o którym mowa w ust. 1, wniosek grupy posłów lub senatorów uzyska poparcie odpowiednio 50 posłów lub 30 senatorów kolejnej kadencji Sejmu i Senatu.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9F6ECB" w:rsidRPr="00792C8B">
        <w:rPr>
          <w:rFonts w:ascii="Times New Roman" w:hAnsi="Times New Roman" w:cs="Times New Roman"/>
          <w:sz w:val="24"/>
          <w:szCs w:val="24"/>
        </w:rPr>
        <w:t xml:space="preserve">Po bezskutecznym upływie terminu, o którym mowa w ust. 1, Trybunał zawieszone postępowanie umarza. </w:t>
      </w:r>
    </w:p>
    <w:p w:rsidR="009F6ECB"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9F6ECB" w:rsidRPr="00792C8B">
        <w:rPr>
          <w:rFonts w:ascii="Times New Roman" w:hAnsi="Times New Roman" w:cs="Times New Roman"/>
          <w:sz w:val="24"/>
          <w:szCs w:val="24"/>
        </w:rPr>
        <w:t xml:space="preserve">Koszty postępowania przed Trybunałem ponosi Skarb Państwa.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F6ECB" w:rsidRPr="00792C8B">
        <w:rPr>
          <w:rFonts w:ascii="Times New Roman" w:hAnsi="Times New Roman" w:cs="Times New Roman"/>
          <w:sz w:val="24"/>
          <w:szCs w:val="24"/>
        </w:rPr>
        <w:t xml:space="preserve">W przypadku uwzględnienia skargi, wraz z orzeczeniem o niezgodności ustawy lub innego aktu normatywnego albo ich części, będących przedmiotem skargi, Trybunał, w drodze postanowienia, orzeka na rzecz skarżącego zwrot kosztów postępowania, odpowiednio od Sejmu lub organu, który wydał akt normatywny. W uzasadnionych przypadkach Trybunał może orzec zwrot kosztów postępowania przed Trybunałem również wówczas, gdy nie uwzględnił skargi albo postępowanie w sprawie skargi umorzył lub odmówił nadania skardze dalszego biegu.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9F6ECB" w:rsidRPr="00792C8B">
        <w:rPr>
          <w:rFonts w:ascii="Times New Roman" w:hAnsi="Times New Roman" w:cs="Times New Roman"/>
          <w:sz w:val="24"/>
          <w:szCs w:val="24"/>
        </w:rPr>
        <w:t xml:space="preserve">Do określania kosztów reprezentowania skarżącego przez adwokata lub radcę prawnego stosuje się przepisy w sprawie opłat za czynności adwokatów i radców prawnych oraz ponoszenia przez Skarb Państwa kosztów nieopłaconej pomocy prawnej udzielonej z urzędu. </w:t>
      </w:r>
    </w:p>
    <w:p w:rsidR="009F6ECB" w:rsidRPr="00792C8B" w:rsidRDefault="009F6EC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 sprawach nieuregulowanych w ustawie lub w </w:t>
      </w:r>
      <w:r w:rsidR="00667021">
        <w:rPr>
          <w:rFonts w:ascii="Times New Roman" w:hAnsi="Times New Roman" w:cs="Times New Roman"/>
          <w:sz w:val="24"/>
          <w:szCs w:val="24"/>
        </w:rPr>
        <w:t>r</w:t>
      </w:r>
      <w:r w:rsidRPr="00792C8B">
        <w:rPr>
          <w:rFonts w:ascii="Times New Roman" w:hAnsi="Times New Roman" w:cs="Times New Roman"/>
          <w:sz w:val="24"/>
          <w:szCs w:val="24"/>
        </w:rPr>
        <w:t>egulaminie Trybunału, do postępowania przed Trybunałem stosuje się odpowiednio przepisy ustawy z dnia 17 listopada 1964 r. – Kodeks postępowania cywilnego (Dz. U. 2014 r. poz. 101, z późn. zm.</w:t>
      </w:r>
      <w:r w:rsidR="008F647C" w:rsidRPr="00792C8B">
        <w:rPr>
          <w:rStyle w:val="Odwoanieprzypisudolnego"/>
          <w:rFonts w:ascii="Times New Roman" w:hAnsi="Times New Roman" w:cs="Times New Roman"/>
          <w:sz w:val="24"/>
          <w:szCs w:val="24"/>
        </w:rPr>
        <w:footnoteReference w:id="3"/>
      </w:r>
      <w:r w:rsidR="00294937" w:rsidRPr="00792C8B">
        <w:rPr>
          <w:rFonts w:ascii="Times New Roman" w:hAnsi="Times New Roman" w:cs="Times New Roman"/>
          <w:sz w:val="24"/>
          <w:szCs w:val="24"/>
          <w:vertAlign w:val="superscript"/>
        </w:rPr>
        <w:t>)</w:t>
      </w:r>
      <w:r w:rsidRPr="00792C8B">
        <w:rPr>
          <w:rFonts w:ascii="Times New Roman" w:hAnsi="Times New Roman" w:cs="Times New Roman"/>
          <w:sz w:val="24"/>
          <w:szCs w:val="24"/>
        </w:rPr>
        <w:t xml:space="preserve">). </w:t>
      </w:r>
    </w:p>
    <w:p w:rsidR="006F4200" w:rsidRPr="00792C8B" w:rsidRDefault="00DD2A0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 Trybunał sygnalizuje Sejmowi i Senatowi oraz innym organom stanowiącym prawo istnienie uchybień i luk w prawie, których usunięcie jest niezbędne do zapewnienia spójności systemu prawnego Rzeczypospolitej Polskiej.</w:t>
      </w:r>
    </w:p>
    <w:p w:rsidR="006F4200" w:rsidRPr="00792C8B" w:rsidRDefault="00DD2A0B"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2. Prezes Trybunału może zwrócić się do adresata sygnalizacji o poinformowanie Trybunału o stanowisku w sprawie będącej przedmiotem sygnalizacji.</w:t>
      </w:r>
    </w:p>
    <w:p w:rsidR="006F4200" w:rsidRPr="00792C8B" w:rsidRDefault="00DD2A0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Prezes Trybunału przedkłada corocznie Sejmowi oraz Senatowi informację </w:t>
      </w:r>
      <w:r w:rsidR="00C61944" w:rsidRPr="00792C8B">
        <w:rPr>
          <w:rFonts w:ascii="Times New Roman" w:hAnsi="Times New Roman" w:cs="Times New Roman"/>
          <w:sz w:val="24"/>
          <w:szCs w:val="24"/>
        </w:rPr>
        <w:br/>
      </w:r>
      <w:r w:rsidRPr="00792C8B">
        <w:rPr>
          <w:rFonts w:ascii="Times New Roman" w:hAnsi="Times New Roman" w:cs="Times New Roman"/>
          <w:sz w:val="24"/>
          <w:szCs w:val="24"/>
        </w:rPr>
        <w:t>o istotnych problemach wynikających z działalności i orzecznictwa Trybunału.</w:t>
      </w:r>
    </w:p>
    <w:p w:rsidR="006F4200" w:rsidRPr="00792C8B" w:rsidRDefault="00DD2A0B"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2. Nad informacją, o której mowa w ust. 1, w Sejmie i Senacie nie przeprowadza się głosowania.</w:t>
      </w:r>
    </w:p>
    <w:p w:rsidR="006F4200" w:rsidRPr="00792C8B" w:rsidRDefault="00DD2A0B"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3. Informację, o której mowa w ust. 1, Prezes Trybunału przekazuje: Prezydentowi Rzeczypospolitej Polskiej, Prezesowi Rady Ministrów, Pierwszemu Prezesowi Sądu Najwyższego, Prezesowi Naczelnego Sądu Administracyjnego, Przewodniczącemu Krajowej Rady Sądownictwa, Prokuratorowi Generalnemu, Rzecznikowi Praw Obywatelskich, Rzecznikowi Praw Dziecka, Prezesowi Najwyższej Izby Kontroli, Przewodniczącemu Krajowej Rady Radiofonii i Telewizji oraz Prezesowi Narodowego Banku Polskiego.</w:t>
      </w:r>
    </w:p>
    <w:p w:rsidR="009F5A5C" w:rsidRPr="00792C8B" w:rsidRDefault="009F5A5C" w:rsidP="00341895">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5</w:t>
      </w:r>
    </w:p>
    <w:p w:rsidR="009F5A5C" w:rsidRPr="00792C8B" w:rsidRDefault="009F5A5C" w:rsidP="00341895">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Wstępna kontrola wniosków, pytań prawnych i skarg</w:t>
      </w:r>
    </w:p>
    <w:p w:rsidR="009F6ECB"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9F6ECB" w:rsidRPr="00792C8B">
        <w:rPr>
          <w:rFonts w:ascii="Times New Roman" w:hAnsi="Times New Roman" w:cs="Times New Roman"/>
          <w:sz w:val="24"/>
          <w:szCs w:val="24"/>
        </w:rPr>
        <w:t xml:space="preserve">Wniosek złożony przez podmiot, o którym mowa w art. 191 ust. 1 pkt 1 i 2 Konstytucji, oraz pytanie prawne Prezes Trybunału kieruje do rozpoznania, jeżeli spełniają wymagania przewidziane w ustawie.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F6ECB" w:rsidRPr="00792C8B">
        <w:rPr>
          <w:rFonts w:ascii="Times New Roman" w:hAnsi="Times New Roman" w:cs="Times New Roman"/>
          <w:sz w:val="24"/>
          <w:szCs w:val="24"/>
        </w:rPr>
        <w:t xml:space="preserve">Jeżeli wniosek lub pytanie prawne nie spełniają wymagań przewidzianych w ustawie, a usunięcie braków jest możliwe, Prezes Trybunału wydaje zarządzenie, w którym wzywa do ich usunięcia w terminie 7 dni od doręczenia tego zarządzenia. </w:t>
      </w:r>
    </w:p>
    <w:p w:rsidR="009F6ECB"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9F6ECB" w:rsidRPr="00792C8B">
        <w:rPr>
          <w:rFonts w:ascii="Times New Roman" w:hAnsi="Times New Roman" w:cs="Times New Roman"/>
          <w:sz w:val="24"/>
          <w:szCs w:val="24"/>
        </w:rPr>
        <w:t xml:space="preserve">Wniosek </w:t>
      </w:r>
      <w:r w:rsidR="00C41666" w:rsidRPr="00792C8B">
        <w:rPr>
          <w:rFonts w:ascii="Times New Roman" w:hAnsi="Times New Roman" w:cs="Times New Roman"/>
          <w:sz w:val="24"/>
          <w:szCs w:val="24"/>
        </w:rPr>
        <w:t xml:space="preserve">lub pytanie prawne </w:t>
      </w:r>
      <w:r w:rsidR="009F6ECB" w:rsidRPr="00792C8B">
        <w:rPr>
          <w:rFonts w:ascii="Times New Roman" w:hAnsi="Times New Roman" w:cs="Times New Roman"/>
          <w:sz w:val="24"/>
          <w:szCs w:val="24"/>
        </w:rPr>
        <w:t xml:space="preserve">złożony przez podmiot, o którym mowa w art. 191 ust. 1 pkt 3–5 Konstytucji, Prezes Trybunału kieruje do wstępnego rozpoznania w celu rozstrzygnięcia, czy spełniają wymagania warunkujące nadanie im dalszego biegu.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F6ECB" w:rsidRPr="00792C8B">
        <w:rPr>
          <w:rFonts w:ascii="Times New Roman" w:hAnsi="Times New Roman" w:cs="Times New Roman"/>
          <w:sz w:val="24"/>
          <w:szCs w:val="24"/>
        </w:rPr>
        <w:t xml:space="preserve">Jeżeli wniosek </w:t>
      </w:r>
      <w:r w:rsidR="00AA3F8B" w:rsidRPr="00792C8B">
        <w:rPr>
          <w:rFonts w:ascii="Times New Roman" w:hAnsi="Times New Roman" w:cs="Times New Roman"/>
          <w:sz w:val="24"/>
          <w:szCs w:val="24"/>
        </w:rPr>
        <w:t xml:space="preserve">lub pytanie prawne </w:t>
      </w:r>
      <w:r w:rsidR="009F6ECB" w:rsidRPr="00792C8B">
        <w:rPr>
          <w:rFonts w:ascii="Times New Roman" w:hAnsi="Times New Roman" w:cs="Times New Roman"/>
          <w:sz w:val="24"/>
          <w:szCs w:val="24"/>
        </w:rPr>
        <w:t xml:space="preserve">nie spełnia wymagań przewidzianych w ustawie, a usunięcie braków jest możliwe, przewodniczący składu orzekającego wydaje zarządzenie, w którym wzywa do ich usunięcia w terminie 7 dni od doręczenia tego zarządzenia. </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9F6ECB" w:rsidRPr="00792C8B">
        <w:rPr>
          <w:rFonts w:ascii="Times New Roman" w:hAnsi="Times New Roman" w:cs="Times New Roman"/>
          <w:sz w:val="24"/>
          <w:szCs w:val="24"/>
        </w:rPr>
        <w:t xml:space="preserve">Trybunał wydaje postanowienie o odmowie nadania dalszego biegu wnioskowi </w:t>
      </w:r>
      <w:r w:rsidR="00AA3F8B" w:rsidRPr="00792C8B">
        <w:rPr>
          <w:rFonts w:ascii="Times New Roman" w:hAnsi="Times New Roman" w:cs="Times New Roman"/>
          <w:sz w:val="24"/>
          <w:szCs w:val="24"/>
        </w:rPr>
        <w:t xml:space="preserve">lub pytaniu prawnemu </w:t>
      </w:r>
      <w:r w:rsidR="009F6ECB" w:rsidRPr="00792C8B">
        <w:rPr>
          <w:rFonts w:ascii="Times New Roman" w:hAnsi="Times New Roman" w:cs="Times New Roman"/>
          <w:sz w:val="24"/>
          <w:szCs w:val="24"/>
        </w:rPr>
        <w:t xml:space="preserve">jeżeli: </w:t>
      </w:r>
    </w:p>
    <w:p w:rsidR="009F6ECB" w:rsidRPr="00792C8B" w:rsidRDefault="009F6ECB" w:rsidP="00BB4BD8">
      <w:pPr>
        <w:pStyle w:val="Akapitzlist"/>
        <w:numPr>
          <w:ilvl w:val="0"/>
          <w:numId w:val="17"/>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braki, o których mowa w ust. 2, nie zostały usunięte w terminie; </w:t>
      </w:r>
    </w:p>
    <w:p w:rsidR="009F6ECB" w:rsidRPr="00792C8B" w:rsidRDefault="009F6ECB" w:rsidP="00BB4BD8">
      <w:pPr>
        <w:pStyle w:val="Akapitzlist"/>
        <w:numPr>
          <w:ilvl w:val="0"/>
          <w:numId w:val="17"/>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wniosek lub </w:t>
      </w:r>
      <w:r w:rsidR="00AA3F8B" w:rsidRPr="00792C8B">
        <w:rPr>
          <w:rFonts w:ascii="Times New Roman" w:hAnsi="Times New Roman" w:cs="Times New Roman"/>
          <w:sz w:val="24"/>
          <w:szCs w:val="24"/>
        </w:rPr>
        <w:t xml:space="preserve">pytanie prawne </w:t>
      </w:r>
      <w:r w:rsidRPr="00792C8B">
        <w:rPr>
          <w:rFonts w:ascii="Times New Roman" w:hAnsi="Times New Roman" w:cs="Times New Roman"/>
          <w:sz w:val="24"/>
          <w:szCs w:val="24"/>
        </w:rPr>
        <w:t xml:space="preserve">zostały cofnięte; </w:t>
      </w:r>
    </w:p>
    <w:p w:rsidR="009F6ECB" w:rsidRPr="00792C8B" w:rsidRDefault="009F6ECB" w:rsidP="00BB4BD8">
      <w:pPr>
        <w:pStyle w:val="Akapitzlist"/>
        <w:numPr>
          <w:ilvl w:val="0"/>
          <w:numId w:val="17"/>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wniosek lub </w:t>
      </w:r>
      <w:r w:rsidR="00AA3F8B" w:rsidRPr="00792C8B">
        <w:rPr>
          <w:rFonts w:ascii="Times New Roman" w:hAnsi="Times New Roman" w:cs="Times New Roman"/>
          <w:sz w:val="24"/>
          <w:szCs w:val="24"/>
        </w:rPr>
        <w:t xml:space="preserve">pytanie prawne </w:t>
      </w:r>
      <w:r w:rsidRPr="00792C8B">
        <w:rPr>
          <w:rFonts w:ascii="Times New Roman" w:hAnsi="Times New Roman" w:cs="Times New Roman"/>
          <w:sz w:val="24"/>
          <w:szCs w:val="24"/>
        </w:rPr>
        <w:t xml:space="preserve">są oczywiście bezzasadne; </w:t>
      </w:r>
    </w:p>
    <w:p w:rsidR="009F6ECB" w:rsidRPr="00792C8B" w:rsidRDefault="009F6ECB" w:rsidP="00BB4BD8">
      <w:pPr>
        <w:pStyle w:val="Akapitzlist"/>
        <w:numPr>
          <w:ilvl w:val="0"/>
          <w:numId w:val="17"/>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wydanie orzeczenia jest zbędne lub niedopuszczalne; </w:t>
      </w:r>
    </w:p>
    <w:p w:rsidR="009F6ECB" w:rsidRPr="00792C8B" w:rsidRDefault="009F6ECB" w:rsidP="00BB4BD8">
      <w:pPr>
        <w:pStyle w:val="Akapitzlist"/>
        <w:numPr>
          <w:ilvl w:val="0"/>
          <w:numId w:val="17"/>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akt normatywny w zakwestionowanym zakresie utracił moc obowiązującą przed wydaniem orzeczenia</w:t>
      </w:r>
      <w:r w:rsidR="00AA3F8B" w:rsidRPr="00792C8B">
        <w:rPr>
          <w:rFonts w:ascii="Times New Roman" w:hAnsi="Times New Roman" w:cs="Times New Roman"/>
          <w:sz w:val="24"/>
          <w:szCs w:val="24"/>
        </w:rPr>
        <w:t>, chyba że wydanie orzeczenia w sprawie jest konieczne do ochrony konstytucyjnych wolności i praw.</w:t>
      </w:r>
    </w:p>
    <w:p w:rsidR="009F6ECB" w:rsidRPr="00792C8B" w:rsidRDefault="002445C4" w:rsidP="00341895">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9F6ECB" w:rsidRPr="00792C8B">
        <w:rPr>
          <w:rFonts w:ascii="Times New Roman" w:hAnsi="Times New Roman" w:cs="Times New Roman"/>
          <w:sz w:val="24"/>
          <w:szCs w:val="24"/>
        </w:rPr>
        <w:t xml:space="preserve">Jeżeli wniosek </w:t>
      </w:r>
      <w:r w:rsidR="00AA3F8B" w:rsidRPr="00792C8B">
        <w:rPr>
          <w:rFonts w:ascii="Times New Roman" w:hAnsi="Times New Roman" w:cs="Times New Roman"/>
          <w:sz w:val="24"/>
          <w:szCs w:val="24"/>
        </w:rPr>
        <w:t xml:space="preserve">lub pytanie prawne </w:t>
      </w:r>
      <w:r w:rsidR="009F6ECB" w:rsidRPr="00792C8B">
        <w:rPr>
          <w:rFonts w:ascii="Times New Roman" w:hAnsi="Times New Roman" w:cs="Times New Roman"/>
          <w:sz w:val="24"/>
          <w:szCs w:val="24"/>
        </w:rPr>
        <w:t>spełnia</w:t>
      </w:r>
      <w:r w:rsidR="00AA3F8B" w:rsidRPr="00792C8B">
        <w:rPr>
          <w:rFonts w:ascii="Times New Roman" w:hAnsi="Times New Roman" w:cs="Times New Roman"/>
          <w:sz w:val="24"/>
          <w:szCs w:val="24"/>
        </w:rPr>
        <w:t>ją</w:t>
      </w:r>
      <w:r w:rsidR="009F6ECB" w:rsidRPr="00792C8B">
        <w:rPr>
          <w:rFonts w:ascii="Times New Roman" w:hAnsi="Times New Roman" w:cs="Times New Roman"/>
          <w:sz w:val="24"/>
          <w:szCs w:val="24"/>
        </w:rPr>
        <w:t xml:space="preserve"> wymagania przewidziane w ustawie oraz nie zachodzą okoliczności, o których mowa w ust. 3, Trybunał wydaje postanowienie o nadaniu wnioskowi lub </w:t>
      </w:r>
      <w:r w:rsidR="00F60926" w:rsidRPr="00792C8B">
        <w:rPr>
          <w:rFonts w:ascii="Times New Roman" w:hAnsi="Times New Roman" w:cs="Times New Roman"/>
          <w:sz w:val="24"/>
          <w:szCs w:val="24"/>
        </w:rPr>
        <w:t xml:space="preserve">pytaniu prawnemu </w:t>
      </w:r>
      <w:r w:rsidR="009F6ECB" w:rsidRPr="00792C8B">
        <w:rPr>
          <w:rFonts w:ascii="Times New Roman" w:hAnsi="Times New Roman" w:cs="Times New Roman"/>
          <w:sz w:val="24"/>
          <w:szCs w:val="24"/>
        </w:rPr>
        <w:t xml:space="preserve">dalszego biegu. </w:t>
      </w:r>
    </w:p>
    <w:p w:rsidR="009F6ECB" w:rsidRPr="00792C8B" w:rsidRDefault="002445C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9F6ECB" w:rsidRPr="00792C8B">
        <w:rPr>
          <w:rFonts w:ascii="Times New Roman" w:hAnsi="Times New Roman" w:cs="Times New Roman"/>
          <w:sz w:val="24"/>
          <w:szCs w:val="24"/>
        </w:rPr>
        <w:t>Skarg</w:t>
      </w:r>
      <w:r w:rsidR="000012A0" w:rsidRPr="00792C8B">
        <w:rPr>
          <w:rFonts w:ascii="Times New Roman" w:hAnsi="Times New Roman" w:cs="Times New Roman"/>
          <w:sz w:val="24"/>
          <w:szCs w:val="24"/>
        </w:rPr>
        <w:t>ę</w:t>
      </w:r>
      <w:r w:rsidR="006B7AA1" w:rsidRPr="00792C8B">
        <w:rPr>
          <w:rFonts w:ascii="Times New Roman" w:hAnsi="Times New Roman" w:cs="Times New Roman"/>
          <w:sz w:val="24"/>
          <w:szCs w:val="24"/>
        </w:rPr>
        <w:t xml:space="preserve"> konstytucyjną </w:t>
      </w:r>
      <w:r w:rsidR="009F6ECB" w:rsidRPr="00792C8B">
        <w:rPr>
          <w:rFonts w:ascii="Times New Roman" w:hAnsi="Times New Roman" w:cs="Times New Roman"/>
          <w:sz w:val="24"/>
          <w:szCs w:val="24"/>
        </w:rPr>
        <w:t>Prezes Trybunału kieruje do wstępnego rozpoznania przez wskazanego przez siebie zgodnie z kryteriami określonymi w art. 35 sędziego Trybunału, w celu rozstrzygnięcia czy skarga ta spełnia wymagania warunkujące nadanie jej dalszego biegu.</w:t>
      </w:r>
    </w:p>
    <w:p w:rsidR="009F6ECB" w:rsidRPr="00792C8B" w:rsidRDefault="002445C4"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9F6ECB" w:rsidRPr="00792C8B">
        <w:rPr>
          <w:rFonts w:ascii="Times New Roman" w:hAnsi="Times New Roman" w:cs="Times New Roman"/>
          <w:sz w:val="24"/>
          <w:szCs w:val="24"/>
        </w:rPr>
        <w:t>Przepisy art. 5</w:t>
      </w:r>
      <w:r w:rsidR="00D76A0E" w:rsidRPr="00792C8B">
        <w:rPr>
          <w:rFonts w:ascii="Times New Roman" w:hAnsi="Times New Roman" w:cs="Times New Roman"/>
          <w:sz w:val="24"/>
          <w:szCs w:val="24"/>
        </w:rPr>
        <w:t>7</w:t>
      </w:r>
      <w:r w:rsidR="009F6ECB" w:rsidRPr="00792C8B">
        <w:rPr>
          <w:rFonts w:ascii="Times New Roman" w:hAnsi="Times New Roman" w:cs="Times New Roman"/>
          <w:sz w:val="24"/>
          <w:szCs w:val="24"/>
        </w:rPr>
        <w:t xml:space="preserve"> ust. 2-4 stosuje się odpowiednio..</w:t>
      </w:r>
    </w:p>
    <w:p w:rsidR="009F6ECB" w:rsidRPr="00792C8B" w:rsidRDefault="002445C4"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9F6ECB" w:rsidRPr="00792C8B">
        <w:rPr>
          <w:rFonts w:ascii="Times New Roman" w:hAnsi="Times New Roman" w:cs="Times New Roman"/>
          <w:sz w:val="24"/>
          <w:szCs w:val="24"/>
        </w:rPr>
        <w:t>Skarżący może zastrzec w skardze nieujawnianie jego danych osobowych w publikacji postanowienia Trybunału, o którym mowa w art. 5</w:t>
      </w:r>
      <w:r w:rsidR="00D76A0E" w:rsidRPr="00792C8B">
        <w:rPr>
          <w:rFonts w:ascii="Times New Roman" w:hAnsi="Times New Roman" w:cs="Times New Roman"/>
          <w:sz w:val="24"/>
          <w:szCs w:val="24"/>
        </w:rPr>
        <w:t>7</w:t>
      </w:r>
      <w:r w:rsidR="009F6ECB" w:rsidRPr="00792C8B">
        <w:rPr>
          <w:rFonts w:ascii="Times New Roman" w:hAnsi="Times New Roman" w:cs="Times New Roman"/>
          <w:sz w:val="24"/>
          <w:szCs w:val="24"/>
        </w:rPr>
        <w:t xml:space="preserve"> ust. 3.</w:t>
      </w:r>
    </w:p>
    <w:p w:rsidR="009F6ECB" w:rsidRPr="00792C8B" w:rsidRDefault="009F6EC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Wewnętrzny tok postępowania z wnioskami, pytaniami prawnymi i skargami określa </w:t>
      </w:r>
      <w:r w:rsidR="00667021">
        <w:rPr>
          <w:rFonts w:ascii="Times New Roman" w:hAnsi="Times New Roman" w:cs="Times New Roman"/>
          <w:sz w:val="24"/>
          <w:szCs w:val="24"/>
        </w:rPr>
        <w:t>r</w:t>
      </w:r>
      <w:r w:rsidRPr="00792C8B">
        <w:rPr>
          <w:rFonts w:ascii="Times New Roman" w:hAnsi="Times New Roman" w:cs="Times New Roman"/>
          <w:sz w:val="24"/>
          <w:szCs w:val="24"/>
        </w:rPr>
        <w:t>egulamin Trybunału.</w:t>
      </w:r>
    </w:p>
    <w:p w:rsidR="009F5A5C" w:rsidRPr="00792C8B" w:rsidRDefault="009F5A5C" w:rsidP="00A3606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6</w:t>
      </w:r>
    </w:p>
    <w:p w:rsidR="009F5A5C" w:rsidRPr="00792C8B" w:rsidRDefault="009F5A5C" w:rsidP="00A3606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Rozprawy i posiedzenia</w:t>
      </w:r>
    </w:p>
    <w:p w:rsidR="00D03440" w:rsidRPr="00792C8B" w:rsidRDefault="009F6EC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Wniosek, pytanie prawne lub skargę Prezes Trybunału kieruje do rozpoznania przez właściwy skład orzekający w terminie 14 dni od daty wpłynięcia wniosku, pytania prawnego lub skargi.</w:t>
      </w:r>
    </w:p>
    <w:p w:rsidR="00F018A2"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018A2" w:rsidRPr="00792C8B">
        <w:rPr>
          <w:rFonts w:ascii="Times New Roman" w:hAnsi="Times New Roman" w:cs="Times New Roman"/>
          <w:sz w:val="24"/>
          <w:szCs w:val="24"/>
        </w:rPr>
        <w:t xml:space="preserve">Trybunał rozpoznaje wniosek, pytanie prawne lub skargę na rozprawie albo na posiedzeniu niejawnym.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018A2" w:rsidRPr="00792C8B">
        <w:rPr>
          <w:rFonts w:ascii="Times New Roman" w:hAnsi="Times New Roman" w:cs="Times New Roman"/>
          <w:sz w:val="24"/>
          <w:szCs w:val="24"/>
        </w:rPr>
        <w:t xml:space="preserve">O rozpoznaniu wniosku, pytania prawnego lub skargi na rozprawie rozstrzyga skład orzekający z własnej inicjatywy albo po rozpatrzeniu wniosku w tej sprawie wnioskodawcy, sądu pytającego lub skarżącego.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F018A2" w:rsidRPr="00792C8B">
        <w:rPr>
          <w:rFonts w:ascii="Times New Roman" w:hAnsi="Times New Roman" w:cs="Times New Roman"/>
          <w:sz w:val="24"/>
          <w:szCs w:val="24"/>
        </w:rPr>
        <w:t xml:space="preserve">Prezes Trybunału może zwrócić się do przewodniczącego składu orzekającego o rozpoznanie wniosku, pytania prawnego lub skargi na rozprawie, jeżeli przemawia za tym ważny interes publiczny. </w:t>
      </w:r>
    </w:p>
    <w:p w:rsidR="00F018A2"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018A2" w:rsidRPr="00792C8B">
        <w:rPr>
          <w:rFonts w:ascii="Times New Roman" w:hAnsi="Times New Roman" w:cs="Times New Roman"/>
          <w:sz w:val="24"/>
          <w:szCs w:val="24"/>
        </w:rPr>
        <w:t xml:space="preserve">Prezes Trybunału zawiadamia uczestników postępowania o przekazaniu wniosku, pytania prawnego lub skargi do rozpoznania przez skład orzekający, doręczając im odpisy wniosku, pytania prawnego lub skargi.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2.</w:t>
      </w:r>
      <w:r w:rsidR="001769AF" w:rsidRPr="00792C8B">
        <w:rPr>
          <w:rFonts w:ascii="Times New Roman" w:hAnsi="Times New Roman" w:cs="Times New Roman"/>
          <w:sz w:val="24"/>
          <w:szCs w:val="24"/>
        </w:rPr>
        <w:t xml:space="preserve"> </w:t>
      </w:r>
      <w:r w:rsidR="00F018A2" w:rsidRPr="00792C8B">
        <w:rPr>
          <w:rFonts w:ascii="Times New Roman" w:hAnsi="Times New Roman" w:cs="Times New Roman"/>
          <w:sz w:val="24"/>
          <w:szCs w:val="24"/>
        </w:rPr>
        <w:t>Uczestnik postępowania przedstawia pisemne stanowisko w sprawie w terminie określonym przez skład orzekający</w:t>
      </w:r>
      <w:r w:rsidR="006965A3">
        <w:rPr>
          <w:rFonts w:ascii="Times New Roman" w:hAnsi="Times New Roman" w:cs="Times New Roman"/>
          <w:sz w:val="24"/>
          <w:szCs w:val="24"/>
        </w:rPr>
        <w:t xml:space="preserve">, </w:t>
      </w:r>
      <w:r w:rsidR="006965A3" w:rsidRPr="005949C7">
        <w:rPr>
          <w:rFonts w:ascii="Times New Roman" w:hAnsi="Times New Roman" w:cs="Times New Roman"/>
          <w:sz w:val="24"/>
          <w:szCs w:val="24"/>
        </w:rPr>
        <w:t>nie dłuższym niż 2 miesiące</w:t>
      </w:r>
      <w:r w:rsidR="00F018A2" w:rsidRPr="00792C8B">
        <w:rPr>
          <w:rFonts w:ascii="Times New Roman" w:hAnsi="Times New Roman" w:cs="Times New Roman"/>
          <w:sz w:val="24"/>
          <w:szCs w:val="24"/>
        </w:rPr>
        <w:t xml:space="preserve">.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F018A2" w:rsidRPr="00792C8B">
        <w:rPr>
          <w:rFonts w:ascii="Times New Roman" w:hAnsi="Times New Roman" w:cs="Times New Roman"/>
          <w:sz w:val="24"/>
          <w:szCs w:val="24"/>
        </w:rPr>
        <w:t xml:space="preserve">Rzecznik Praw Obywatelskich, w terminie 30 dni od doręczenia zawiadomienia, może zgłosić udział w postępowaniu, a w razie zgłoszenia udziału – w terminie 30 dni od takiego zgłoszenia przedstawia pisemne stanowisko w sprawie.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F018A2" w:rsidRPr="00792C8B">
        <w:rPr>
          <w:rFonts w:ascii="Times New Roman" w:hAnsi="Times New Roman" w:cs="Times New Roman"/>
          <w:sz w:val="24"/>
          <w:szCs w:val="24"/>
        </w:rPr>
        <w:t xml:space="preserve">Do Rzecznika Praw Dziecka, w postępowaniu wszczętym na wniosek Rzecznika Praw Obywatelskich oraz w postępowaniu w sprawie skargi, dotyczących praw dziecka, przepisy ust. 1 i 3 stosuje się odpowiednio.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5. </w:t>
      </w:r>
      <w:r w:rsidR="00F018A2" w:rsidRPr="00792C8B">
        <w:rPr>
          <w:rFonts w:ascii="Times New Roman" w:hAnsi="Times New Roman" w:cs="Times New Roman"/>
          <w:sz w:val="24"/>
          <w:szCs w:val="24"/>
        </w:rPr>
        <w:t xml:space="preserve">Na wniosek uczestnika, w uzasadnionych przypadkach Prezes Trybunału może wyznaczyć inny termin przedstawienia stanowiska.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6. </w:t>
      </w:r>
      <w:r w:rsidR="00F018A2" w:rsidRPr="00792C8B">
        <w:rPr>
          <w:rFonts w:ascii="Times New Roman" w:hAnsi="Times New Roman" w:cs="Times New Roman"/>
          <w:sz w:val="24"/>
          <w:szCs w:val="24"/>
        </w:rPr>
        <w:t xml:space="preserve">Trybunał może zwracać się do innych organów lub podmiotów o zajęcie stanowiska </w:t>
      </w:r>
      <w:r w:rsidR="00C61944" w:rsidRPr="00792C8B">
        <w:rPr>
          <w:rFonts w:ascii="Times New Roman" w:hAnsi="Times New Roman" w:cs="Times New Roman"/>
          <w:sz w:val="24"/>
          <w:szCs w:val="24"/>
        </w:rPr>
        <w:br/>
      </w:r>
      <w:r w:rsidR="00F018A2" w:rsidRPr="00792C8B">
        <w:rPr>
          <w:rFonts w:ascii="Times New Roman" w:hAnsi="Times New Roman" w:cs="Times New Roman"/>
          <w:sz w:val="24"/>
          <w:szCs w:val="24"/>
        </w:rPr>
        <w:t>w sprawie, w wyznaczonym terminie</w:t>
      </w:r>
      <w:r w:rsidR="005949C7">
        <w:rPr>
          <w:rFonts w:ascii="Times New Roman" w:hAnsi="Times New Roman" w:cs="Times New Roman"/>
          <w:sz w:val="24"/>
          <w:szCs w:val="24"/>
        </w:rPr>
        <w:t>, nie dłuższym niż 2 miesiące</w:t>
      </w:r>
      <w:r w:rsidR="00F018A2" w:rsidRPr="00792C8B">
        <w:rPr>
          <w:rFonts w:ascii="Times New Roman" w:hAnsi="Times New Roman" w:cs="Times New Roman"/>
          <w:sz w:val="24"/>
          <w:szCs w:val="24"/>
        </w:rPr>
        <w:t xml:space="preserve">. </w:t>
      </w:r>
    </w:p>
    <w:p w:rsidR="00F018A2"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018A2" w:rsidRPr="00792C8B">
        <w:rPr>
          <w:rFonts w:ascii="Times New Roman" w:hAnsi="Times New Roman" w:cs="Times New Roman"/>
          <w:sz w:val="24"/>
          <w:szCs w:val="24"/>
        </w:rPr>
        <w:t xml:space="preserve">Jeżeli w co najmniej dwóch wnioskach, pytaniach prawnych lub skargach jednakowo określono przedmiot kontroli, Prezes Trybunału może zarządzić łączne rozpoznanie tych wniosków, pytań prawnych lub skarg.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018A2" w:rsidRPr="00792C8B">
        <w:rPr>
          <w:rFonts w:ascii="Times New Roman" w:hAnsi="Times New Roman" w:cs="Times New Roman"/>
          <w:sz w:val="24"/>
          <w:szCs w:val="24"/>
        </w:rPr>
        <w:t xml:space="preserve">O łącznym rozpoznaniu wniosków, pytań prawnych albo skarg rozstrzyga Prezes Trybunału, wyznaczając skład orzekający. Prezes Trybunału może zarządzić łączne rozpoznanie również na wniosek składu orzekającego. </w:t>
      </w:r>
    </w:p>
    <w:p w:rsidR="00F60926"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Pr="00792C8B">
        <w:rPr>
          <w:rFonts w:ascii="Times New Roman" w:hAnsi="Times New Roman" w:cs="Times New Roman"/>
          <w:b/>
          <w:sz w:val="24"/>
          <w:szCs w:val="24"/>
        </w:rPr>
        <w:t xml:space="preserve"> </w:t>
      </w:r>
      <w:r w:rsidR="00F018A2" w:rsidRPr="00792C8B">
        <w:rPr>
          <w:rFonts w:ascii="Times New Roman" w:hAnsi="Times New Roman" w:cs="Times New Roman"/>
          <w:sz w:val="24"/>
          <w:szCs w:val="24"/>
        </w:rPr>
        <w:t xml:space="preserve">Jeżeli orzeczenie Trybunału może wywoływać skutki wiążące się z nakładami finansowymi nieprzewidzianymi w ustawie budżetowej lub ustawie o prowizorium budżetowym, Prezes Trybunału może zwrócić się do Rady Ministrów o przedstawienie, w terminie 2 miesięcy, opinii w sprawie.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018A2" w:rsidRPr="00792C8B">
        <w:rPr>
          <w:rFonts w:ascii="Times New Roman" w:hAnsi="Times New Roman" w:cs="Times New Roman"/>
          <w:sz w:val="24"/>
          <w:szCs w:val="24"/>
        </w:rPr>
        <w:t xml:space="preserve">W uzasadnionych przypadkach Prezes Trybunału może wyznaczyć inny termin przedstawienia opinii.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F018A2" w:rsidRPr="00792C8B">
        <w:rPr>
          <w:rFonts w:ascii="Times New Roman" w:hAnsi="Times New Roman" w:cs="Times New Roman"/>
          <w:sz w:val="24"/>
          <w:szCs w:val="24"/>
        </w:rPr>
        <w:t xml:space="preserve">Nieprzedstawienie opinii przez Radę Ministrów w terminie nie wstrzymuje rozpoznania sprawy. </w:t>
      </w:r>
    </w:p>
    <w:p w:rsidR="00F018A2"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018A2" w:rsidRPr="00792C8B">
        <w:rPr>
          <w:rFonts w:ascii="Times New Roman" w:hAnsi="Times New Roman" w:cs="Times New Roman"/>
          <w:sz w:val="24"/>
          <w:szCs w:val="24"/>
        </w:rPr>
        <w:t>W sprawie skarg</w:t>
      </w:r>
      <w:r w:rsidRPr="00792C8B">
        <w:rPr>
          <w:rFonts w:ascii="Times New Roman" w:hAnsi="Times New Roman" w:cs="Times New Roman"/>
          <w:sz w:val="24"/>
          <w:szCs w:val="24"/>
        </w:rPr>
        <w:t>i</w:t>
      </w:r>
      <w:r w:rsidR="006B7AA1" w:rsidRPr="00792C8B">
        <w:rPr>
          <w:rFonts w:ascii="Times New Roman" w:hAnsi="Times New Roman" w:cs="Times New Roman"/>
          <w:sz w:val="24"/>
          <w:szCs w:val="24"/>
        </w:rPr>
        <w:t xml:space="preserve"> konstytucyjnej</w:t>
      </w:r>
      <w:r w:rsidR="005E4358" w:rsidRPr="00792C8B">
        <w:rPr>
          <w:rFonts w:ascii="Times New Roman" w:hAnsi="Times New Roman" w:cs="Times New Roman"/>
          <w:sz w:val="24"/>
          <w:szCs w:val="24"/>
        </w:rPr>
        <w:t xml:space="preserve"> oraz w sprawie pytania prawnego</w:t>
      </w:r>
      <w:r w:rsidR="00F018A2" w:rsidRPr="00792C8B">
        <w:rPr>
          <w:rFonts w:ascii="Times New Roman" w:hAnsi="Times New Roman" w:cs="Times New Roman"/>
          <w:sz w:val="24"/>
          <w:szCs w:val="24"/>
        </w:rPr>
        <w:t xml:space="preserve"> Trybunał orzeka w terminie 6 miesięcy od wniesienia skargi</w:t>
      </w:r>
      <w:r w:rsidR="001211DB" w:rsidRPr="00792C8B">
        <w:rPr>
          <w:rFonts w:ascii="Times New Roman" w:hAnsi="Times New Roman" w:cs="Times New Roman"/>
          <w:sz w:val="24"/>
          <w:szCs w:val="24"/>
        </w:rPr>
        <w:t xml:space="preserve"> lub pytania prawnego</w:t>
      </w:r>
      <w:r w:rsidR="00F018A2" w:rsidRPr="00792C8B">
        <w:rPr>
          <w:rFonts w:ascii="Times New Roman" w:hAnsi="Times New Roman" w:cs="Times New Roman"/>
          <w:sz w:val="24"/>
          <w:szCs w:val="24"/>
        </w:rPr>
        <w:t xml:space="preserve">. W uzasadnionych przypadkach, skład orzekający może przedłużyć termin na wydanie orzeczenia o kolejne 6 miesięcy.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018A2" w:rsidRPr="00792C8B">
        <w:rPr>
          <w:rFonts w:ascii="Times New Roman" w:hAnsi="Times New Roman" w:cs="Times New Roman"/>
          <w:sz w:val="24"/>
          <w:szCs w:val="24"/>
        </w:rPr>
        <w:t xml:space="preserve">Postanowienia ust. 1 nie mają zastosowania w przypadku przekazania skargi </w:t>
      </w:r>
      <w:r w:rsidR="005E4358" w:rsidRPr="00792C8B">
        <w:rPr>
          <w:rFonts w:ascii="Times New Roman" w:hAnsi="Times New Roman" w:cs="Times New Roman"/>
          <w:sz w:val="24"/>
          <w:szCs w:val="24"/>
        </w:rPr>
        <w:t xml:space="preserve">lub pytania prawnego </w:t>
      </w:r>
      <w:r w:rsidR="00F018A2" w:rsidRPr="00792C8B">
        <w:rPr>
          <w:rFonts w:ascii="Times New Roman" w:hAnsi="Times New Roman" w:cs="Times New Roman"/>
          <w:sz w:val="24"/>
          <w:szCs w:val="24"/>
        </w:rPr>
        <w:t xml:space="preserve">do rozstrzygnięcia w pełnym składzie ze względu na okoliczności określone w art. 34 ust. </w:t>
      </w:r>
      <w:r w:rsidR="00F63BDF" w:rsidRPr="00792C8B">
        <w:rPr>
          <w:rFonts w:ascii="Times New Roman" w:hAnsi="Times New Roman" w:cs="Times New Roman"/>
          <w:sz w:val="24"/>
          <w:szCs w:val="24"/>
        </w:rPr>
        <w:t xml:space="preserve">3 </w:t>
      </w:r>
      <w:r w:rsidR="00F018A2" w:rsidRPr="00792C8B">
        <w:rPr>
          <w:rFonts w:ascii="Times New Roman" w:hAnsi="Times New Roman" w:cs="Times New Roman"/>
          <w:sz w:val="24"/>
          <w:szCs w:val="24"/>
        </w:rPr>
        <w:t>pkt 4.</w:t>
      </w:r>
    </w:p>
    <w:p w:rsidR="00F018A2"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F018A2" w:rsidRPr="00792C8B">
        <w:rPr>
          <w:rFonts w:ascii="Times New Roman" w:hAnsi="Times New Roman" w:cs="Times New Roman"/>
          <w:sz w:val="24"/>
          <w:szCs w:val="24"/>
        </w:rPr>
        <w:t xml:space="preserve">W sprawie zgodności z Konstytucją ustawy budżetowej albo ustawy o prowizorium budżetowym przed ich podpisaniem Trybunał orzeka w terminie 2 miesięcy od złożenia wniosku. </w:t>
      </w:r>
    </w:p>
    <w:p w:rsidR="00F018A2"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018A2" w:rsidRPr="00792C8B">
        <w:rPr>
          <w:rFonts w:ascii="Times New Roman" w:hAnsi="Times New Roman" w:cs="Times New Roman"/>
          <w:sz w:val="24"/>
          <w:szCs w:val="24"/>
        </w:rPr>
        <w:t xml:space="preserve">Uczestnicy postępowania, o którym mowa w ust. 1, przedstawiają stanowisko w terminie określonym przez Prezesa Trybunału. </w:t>
      </w:r>
    </w:p>
    <w:p w:rsidR="007C6D0F" w:rsidRPr="00792C8B" w:rsidRDefault="00F018A2"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Przewodniczący składu orzekającego wydaje zarządzenia mające na celu właściwe i sprawne przygotowanie rozprawy lub posiedzenia niejawnego.</w:t>
      </w:r>
    </w:p>
    <w:p w:rsidR="008F1E2D"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8F1E2D" w:rsidRPr="00792C8B">
        <w:rPr>
          <w:rFonts w:ascii="Times New Roman" w:hAnsi="Times New Roman" w:cs="Times New Roman"/>
          <w:sz w:val="24"/>
          <w:szCs w:val="24"/>
        </w:rPr>
        <w:t xml:space="preserve">Przewodniczący składu orzekającego wyznacza termin rozprawy oraz zawiadamia o nim uczestników postępowania.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8F1E2D" w:rsidRPr="00792C8B">
        <w:rPr>
          <w:rFonts w:ascii="Times New Roman" w:hAnsi="Times New Roman" w:cs="Times New Roman"/>
          <w:sz w:val="24"/>
          <w:szCs w:val="24"/>
        </w:rPr>
        <w:t xml:space="preserve">Rozprawa nie może odbyć się wcześniej niż po upływie 14 dni od dnia doręczenia uczestnikom postępowania zawiadomienia o jej terminie.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8F1E2D" w:rsidRPr="00792C8B">
        <w:rPr>
          <w:rFonts w:ascii="Times New Roman" w:hAnsi="Times New Roman" w:cs="Times New Roman"/>
          <w:sz w:val="24"/>
          <w:szCs w:val="24"/>
        </w:rPr>
        <w:t xml:space="preserve">Trybunał odracza rozprawę w razie braku dowodu doręczenia uczestnikom postępowania zawiadomienia o jej terminie lub w razie stwierdzonej nieprawidłowości w doręczeniu albo z innej ważnej przyczyny.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8F1E2D" w:rsidRPr="00792C8B">
        <w:rPr>
          <w:rFonts w:ascii="Times New Roman" w:hAnsi="Times New Roman" w:cs="Times New Roman"/>
          <w:sz w:val="24"/>
          <w:szCs w:val="24"/>
        </w:rPr>
        <w:t xml:space="preserve">Odraczając rozprawę, Trybunał może wyznaczyć nowy termin, o którym zawiadamia uczestników postępowania. Przepisu ust. 2 nie stosuje się. </w:t>
      </w:r>
    </w:p>
    <w:p w:rsidR="008F1E2D" w:rsidRPr="00792C8B" w:rsidRDefault="000356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8F1E2D" w:rsidRPr="00792C8B">
        <w:rPr>
          <w:rFonts w:ascii="Times New Roman" w:hAnsi="Times New Roman" w:cs="Times New Roman"/>
          <w:sz w:val="24"/>
          <w:szCs w:val="24"/>
        </w:rPr>
        <w:t xml:space="preserve">Obecność na rozprawie wnioskodawcy lub jego przedstawiciela lub pełnomocnika oraz pełnomocnika skarżącego jest obowiązkowa.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8F1E2D" w:rsidRPr="00792C8B">
        <w:rPr>
          <w:rFonts w:ascii="Times New Roman" w:hAnsi="Times New Roman" w:cs="Times New Roman"/>
          <w:sz w:val="24"/>
          <w:szCs w:val="24"/>
        </w:rPr>
        <w:t xml:space="preserve">W razie niestawienia się prawidłowo zawiadomionych wnioskodawcy lub jego przedstawiciela albo pełnomocnika lub pełnomocnika skarżącego Trybunał umarza postępowanie albo odracza rozprawę.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8F1E2D" w:rsidRPr="00792C8B">
        <w:rPr>
          <w:rFonts w:ascii="Times New Roman" w:hAnsi="Times New Roman" w:cs="Times New Roman"/>
          <w:sz w:val="24"/>
          <w:szCs w:val="24"/>
        </w:rPr>
        <w:t xml:space="preserve">Nieobecność na rozprawie innych prawidłowo zawiadomionych uczestników postępowania nie wstrzymuje rozpoznania sprawy. </w:t>
      </w:r>
    </w:p>
    <w:p w:rsidR="008F1E2D" w:rsidRPr="00792C8B" w:rsidRDefault="008F1E2D"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Przewodniczący składu orzekającego kieruje rozprawą oraz wydaje zarządzenia niezbędne do utrzymania powagi, spokoju i porządku na rozprawie, a w razie potrzeby stosuje środki przewidziane w ustawie z dnia 27 lipca 2001 r. – Prawo o ustroju sądów powszechnych (Dz. U. z 2015 r. poz. 133</w:t>
      </w:r>
      <w:r w:rsidR="008F647C" w:rsidRPr="00792C8B">
        <w:rPr>
          <w:rFonts w:ascii="Times New Roman" w:hAnsi="Times New Roman" w:cs="Times New Roman"/>
          <w:sz w:val="24"/>
          <w:szCs w:val="24"/>
        </w:rPr>
        <w:t xml:space="preserve"> z późn. zm.</w:t>
      </w:r>
      <w:r w:rsidR="008F647C" w:rsidRPr="00792C8B">
        <w:rPr>
          <w:rStyle w:val="Odwoanieprzypisudolnego"/>
          <w:rFonts w:ascii="Times New Roman" w:hAnsi="Times New Roman" w:cs="Times New Roman"/>
          <w:sz w:val="24"/>
          <w:szCs w:val="24"/>
        </w:rPr>
        <w:footnoteReference w:id="4"/>
      </w:r>
      <w:r w:rsidR="00294937" w:rsidRPr="00792C8B">
        <w:rPr>
          <w:rFonts w:ascii="Times New Roman" w:hAnsi="Times New Roman" w:cs="Times New Roman"/>
          <w:sz w:val="24"/>
          <w:szCs w:val="24"/>
          <w:vertAlign w:val="superscript"/>
        </w:rPr>
        <w:t>)</w:t>
      </w:r>
      <w:r w:rsidRPr="00792C8B">
        <w:rPr>
          <w:rFonts w:ascii="Times New Roman" w:hAnsi="Times New Roman" w:cs="Times New Roman"/>
          <w:sz w:val="24"/>
          <w:szCs w:val="24"/>
        </w:rPr>
        <w:t>).</w:t>
      </w:r>
    </w:p>
    <w:p w:rsidR="008F1E2D" w:rsidRPr="00792C8B" w:rsidRDefault="008F1E2D"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Rozprawa rozpoczyna się wywołaniem sprawy, po czym odpowiednio wnioskodawca, sąd pytający lub skarżący, a następnie pozostali uczestnicy postępowania, przedstawiają swoje stanowiska, argumenty i dowody na ich poparcie oraz udzielają odpowiedzi na zadawane przez sędziów pytania. Przewodniczący składu orzekającego udziela głosu każdemu uczestnikowi postępowania, a także w razie potrzeby organom lub podmiotom wezwanym do udziału w postępowaniu. </w:t>
      </w:r>
    </w:p>
    <w:p w:rsidR="008F1E2D" w:rsidRPr="00792C8B" w:rsidRDefault="008F1E2D"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Jeżeli Trybunał uzna sprawę za dostatecznie wyjaśnioną, przewodniczący składu orzekającego zamyka rozprawę.</w:t>
      </w:r>
    </w:p>
    <w:p w:rsidR="008F1E2D" w:rsidRPr="00792C8B" w:rsidRDefault="00A36069"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0356F1" w:rsidRPr="00792C8B">
        <w:rPr>
          <w:rFonts w:ascii="Times New Roman" w:hAnsi="Times New Roman" w:cs="Times New Roman"/>
          <w:sz w:val="24"/>
          <w:szCs w:val="24"/>
        </w:rPr>
        <w:t>.</w:t>
      </w:r>
      <w:r w:rsidRPr="00792C8B">
        <w:rPr>
          <w:rFonts w:ascii="Times New Roman" w:hAnsi="Times New Roman" w:cs="Times New Roman"/>
          <w:sz w:val="24"/>
          <w:szCs w:val="24"/>
        </w:rPr>
        <w:t xml:space="preserve"> </w:t>
      </w:r>
      <w:r w:rsidR="008F1E2D" w:rsidRPr="00792C8B">
        <w:rPr>
          <w:rFonts w:ascii="Times New Roman" w:hAnsi="Times New Roman" w:cs="Times New Roman"/>
          <w:sz w:val="24"/>
          <w:szCs w:val="24"/>
        </w:rPr>
        <w:t xml:space="preserve">Trybunał może rozpoznać wniosek, pytanie prawne lub skargę na posiedzeniu niejawnym, jeżeli: </w:t>
      </w:r>
    </w:p>
    <w:p w:rsidR="008F1E2D" w:rsidRPr="00792C8B" w:rsidRDefault="008F1E2D" w:rsidP="00BB4BD8">
      <w:pPr>
        <w:pStyle w:val="Akapitzlist"/>
        <w:numPr>
          <w:ilvl w:val="0"/>
          <w:numId w:val="18"/>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pisemne stanowiska uczestników postępowania oraz pozostałe dowody zgromadzone w sprawie stanowią wystarczającą podstawę do wydania orzeczenia lub </w:t>
      </w:r>
    </w:p>
    <w:p w:rsidR="008F1E2D" w:rsidRPr="00792C8B" w:rsidRDefault="008F1E2D" w:rsidP="00BB4BD8">
      <w:pPr>
        <w:pStyle w:val="Akapitzlist"/>
        <w:numPr>
          <w:ilvl w:val="0"/>
          <w:numId w:val="18"/>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sprawa dotyczy zagadnienia prawnego, które zostało wystarczająco wyjaśnione we wcześniejszych orzeczeniach Trybunału.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8F1E2D" w:rsidRPr="00792C8B">
        <w:rPr>
          <w:rFonts w:ascii="Times New Roman" w:hAnsi="Times New Roman" w:cs="Times New Roman"/>
          <w:sz w:val="24"/>
          <w:szCs w:val="24"/>
        </w:rPr>
        <w:t xml:space="preserve">O rozpoznaniu wniosku, pytania prawnego lub skargi na posiedzeniu niejawnym rozstrzyga skład orzekający. </w:t>
      </w:r>
    </w:p>
    <w:p w:rsidR="008F1E2D" w:rsidRPr="00792C8B" w:rsidRDefault="000356F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8F1E2D" w:rsidRPr="00792C8B">
        <w:rPr>
          <w:rFonts w:ascii="Times New Roman" w:hAnsi="Times New Roman" w:cs="Times New Roman"/>
          <w:sz w:val="24"/>
          <w:szCs w:val="24"/>
        </w:rPr>
        <w:t xml:space="preserve">Przewodniczący składu orzekającego zawiadamia uczestników postępowania, że rozpoznanie sprawy nastąpi na posiedzeniu niejawnym. </w:t>
      </w:r>
    </w:p>
    <w:p w:rsidR="009F5A5C" w:rsidRPr="00792C8B" w:rsidRDefault="009F5A5C" w:rsidP="00A3606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7</w:t>
      </w:r>
    </w:p>
    <w:p w:rsidR="008F1E2D" w:rsidRPr="00792C8B" w:rsidRDefault="009F5A5C" w:rsidP="00A3606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Orzeczenia Trybunału</w:t>
      </w:r>
    </w:p>
    <w:p w:rsidR="008F1E2D" w:rsidRPr="00792C8B" w:rsidRDefault="008F1E2D"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Trybunał rozstrzyga sprawę, wydając orzeczenie w formie wyroku, chyba że ustawa stanowi inaczej.</w:t>
      </w:r>
    </w:p>
    <w:p w:rsidR="008F1E2D" w:rsidRPr="00792C8B" w:rsidRDefault="008F1E2D"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Trybunał wydaje postanowienia w sprawach: </w:t>
      </w:r>
    </w:p>
    <w:p w:rsidR="008F1E2D" w:rsidRPr="00792C8B" w:rsidRDefault="008F1E2D" w:rsidP="00BB4BD8">
      <w:pPr>
        <w:pStyle w:val="Akapitzlist"/>
        <w:numPr>
          <w:ilvl w:val="0"/>
          <w:numId w:val="19"/>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stwierdzenia przeszkody w sprawowaniu urzędu przez Prezydenta Rzeczypospolitej Polskiej oraz powierzenia Marszałkowi Sejmu tymczasowego wykonywania obowiązków Prezydenta Rzeczypospolitej Polskiej; </w:t>
      </w:r>
    </w:p>
    <w:p w:rsidR="008F1E2D" w:rsidRPr="00792C8B" w:rsidRDefault="008F1E2D" w:rsidP="00BB4BD8">
      <w:pPr>
        <w:pStyle w:val="Akapitzlist"/>
        <w:numPr>
          <w:ilvl w:val="0"/>
          <w:numId w:val="19"/>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innych, w których ustawa tak stanowi lub niewymagających wydania wyroku. </w:t>
      </w:r>
    </w:p>
    <w:p w:rsidR="008F1E2D" w:rsidRPr="00792C8B" w:rsidRDefault="00A36069"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8F1E2D" w:rsidRPr="00792C8B">
        <w:rPr>
          <w:rFonts w:ascii="Times New Roman" w:hAnsi="Times New Roman" w:cs="Times New Roman"/>
          <w:sz w:val="24"/>
          <w:szCs w:val="24"/>
        </w:rPr>
        <w:t xml:space="preserve">Postanowienia Trybunału kończące postępowanie wydawane są po zamknięciu rozprawy lub na posiedzeniu niejawnym. Wymagają one uzasadnienia. </w:t>
      </w:r>
    </w:p>
    <w:p w:rsidR="008F1E2D"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8F1E2D" w:rsidRPr="00792C8B">
        <w:rPr>
          <w:rFonts w:ascii="Times New Roman" w:hAnsi="Times New Roman" w:cs="Times New Roman"/>
          <w:sz w:val="24"/>
          <w:szCs w:val="24"/>
        </w:rPr>
        <w:t xml:space="preserve">Postanowienia Trybunału niekończące postępowania w sprawie mogą być uchylane lub zmieniane wskutek zmiany okoliczności. </w:t>
      </w:r>
    </w:p>
    <w:p w:rsidR="00F54013" w:rsidRPr="00792C8B" w:rsidRDefault="00F54013"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Trybunał wydaje orzeczenie po niejawnej naradzie sędziów składu orzekającego, którą kieruje przewodniczący składu.</w:t>
      </w:r>
    </w:p>
    <w:p w:rsidR="00F54013" w:rsidRPr="00792C8B" w:rsidRDefault="006B13E8"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54013" w:rsidRPr="00792C8B">
        <w:rPr>
          <w:rFonts w:ascii="Times New Roman" w:hAnsi="Times New Roman" w:cs="Times New Roman"/>
          <w:sz w:val="24"/>
          <w:szCs w:val="24"/>
        </w:rPr>
        <w:t xml:space="preserve">Orzeczenie Trybunału zapada większością głosów. </w:t>
      </w:r>
    </w:p>
    <w:p w:rsidR="00F54013"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54013" w:rsidRPr="00792C8B">
        <w:rPr>
          <w:rFonts w:ascii="Times New Roman" w:hAnsi="Times New Roman" w:cs="Times New Roman"/>
          <w:sz w:val="24"/>
          <w:szCs w:val="24"/>
        </w:rPr>
        <w:t xml:space="preserve">Sędzia składu orzekającego, który nie zgadza się z orzeczeniem Trybunału, może, podpisując orzeczenie, zgłosić zdanie odrębne. Zdanie odrębne może dotyczyć także samego uzasadnienia. </w:t>
      </w:r>
    </w:p>
    <w:p w:rsidR="00F54013" w:rsidRPr="00792C8B" w:rsidRDefault="006B13E8"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54013" w:rsidRPr="00792C8B">
        <w:rPr>
          <w:rFonts w:ascii="Times New Roman" w:hAnsi="Times New Roman" w:cs="Times New Roman"/>
          <w:sz w:val="24"/>
          <w:szCs w:val="24"/>
        </w:rPr>
        <w:t xml:space="preserve">Orzeczenie Trybunału zawiera: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wskazanie składu orzekającego i protokolanta;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sygnaturę akt, datę, miejsce oraz tryb wydania orzeczenia;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wskazanie podmiotu, który zainicjował postępowanie przed Trybunałem, oraz pozostałych uczestników postępowania;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określenie aktu normatywnego lub jego części, którego dotyczy orzeczenie;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przedstawienie zarzutów podmiotu, który zainicjował postępowanie przed Trybunałem;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rozstrzygnięcie Trybunału;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podpisy sędziów składu orzekającego; </w:t>
      </w:r>
    </w:p>
    <w:p w:rsidR="00F54013" w:rsidRPr="00792C8B" w:rsidRDefault="00F54013" w:rsidP="00BB4BD8">
      <w:pPr>
        <w:pStyle w:val="Akapitzlist"/>
        <w:numPr>
          <w:ilvl w:val="0"/>
          <w:numId w:val="20"/>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informację o zgłoszeniu zdania odrębnego. </w:t>
      </w:r>
    </w:p>
    <w:p w:rsidR="00F54013"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54013" w:rsidRPr="00792C8B">
        <w:rPr>
          <w:rFonts w:ascii="Times New Roman" w:hAnsi="Times New Roman" w:cs="Times New Roman"/>
          <w:sz w:val="24"/>
          <w:szCs w:val="24"/>
        </w:rPr>
        <w:t xml:space="preserve">Jeżeli Trybunał postanowi, że utrata mocy obowiązującej aktu normatywnego lub jego części nastąpi w innym terminie niż dzień wejścia w życie orzeczenia, w orzeczeniu określa się termin utraty mocy obowiązującej tego aktu lub jego części. </w:t>
      </w:r>
    </w:p>
    <w:p w:rsidR="00F54013"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F54013" w:rsidRPr="00792C8B">
        <w:rPr>
          <w:rFonts w:ascii="Times New Roman" w:hAnsi="Times New Roman" w:cs="Times New Roman"/>
          <w:sz w:val="24"/>
          <w:szCs w:val="24"/>
        </w:rPr>
        <w:t xml:space="preserve">Przepis ust. 1 stosuje się odpowiednio do orzeczeń Trybunału w innych sprawach niż dotyczące badania hierarchicznej zgodności norm prawnych. </w:t>
      </w:r>
    </w:p>
    <w:p w:rsidR="00F54013" w:rsidRPr="00792C8B" w:rsidRDefault="00F54013"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Przedmiotem rozstrzygnięcia Trybunału może być czynność prawodawcza lub treść aktu normatywnego albo jego części. </w:t>
      </w:r>
    </w:p>
    <w:p w:rsidR="00F54013" w:rsidRPr="00792C8B" w:rsidRDefault="006B13E8"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F54013" w:rsidRPr="00792C8B">
        <w:rPr>
          <w:rFonts w:ascii="Times New Roman" w:hAnsi="Times New Roman" w:cs="Times New Roman"/>
          <w:sz w:val="24"/>
          <w:szCs w:val="24"/>
        </w:rPr>
        <w:t xml:space="preserve">Orzeczenia kończące sprawę, z wyjątkiem postanowień, o których mowa w art. </w:t>
      </w:r>
      <w:r w:rsidR="00F63BDF" w:rsidRPr="00792C8B">
        <w:rPr>
          <w:rFonts w:ascii="Times New Roman" w:hAnsi="Times New Roman" w:cs="Times New Roman"/>
          <w:sz w:val="24"/>
          <w:szCs w:val="24"/>
        </w:rPr>
        <w:t xml:space="preserve">57 </w:t>
      </w:r>
      <w:r w:rsidR="00F54013" w:rsidRPr="00792C8B">
        <w:rPr>
          <w:rFonts w:ascii="Times New Roman" w:hAnsi="Times New Roman" w:cs="Times New Roman"/>
          <w:sz w:val="24"/>
          <w:szCs w:val="24"/>
        </w:rPr>
        <w:t xml:space="preserve">ust. 3 oraz postanowień, o których mowa w art. </w:t>
      </w:r>
      <w:r w:rsidR="00F63BDF" w:rsidRPr="00792C8B">
        <w:rPr>
          <w:rFonts w:ascii="Times New Roman" w:hAnsi="Times New Roman" w:cs="Times New Roman"/>
          <w:sz w:val="24"/>
          <w:szCs w:val="24"/>
        </w:rPr>
        <w:t xml:space="preserve">83 ust. </w:t>
      </w:r>
      <w:r w:rsidR="00F54013" w:rsidRPr="00792C8B">
        <w:rPr>
          <w:rFonts w:ascii="Times New Roman" w:hAnsi="Times New Roman" w:cs="Times New Roman"/>
          <w:sz w:val="24"/>
          <w:szCs w:val="24"/>
        </w:rPr>
        <w:t xml:space="preserve">1, Trybunał ogłasza publicznie. </w:t>
      </w:r>
    </w:p>
    <w:p w:rsidR="00F54013"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F54013" w:rsidRPr="00792C8B">
        <w:rPr>
          <w:rFonts w:ascii="Times New Roman" w:hAnsi="Times New Roman" w:cs="Times New Roman"/>
          <w:sz w:val="24"/>
          <w:szCs w:val="24"/>
        </w:rPr>
        <w:t xml:space="preserve">Trybunał zawiadamia uczestników postępowania o terminie publicznego ogłoszenia orzeczenia. </w:t>
      </w:r>
    </w:p>
    <w:p w:rsidR="00F54013"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F54013" w:rsidRPr="00792C8B">
        <w:rPr>
          <w:rFonts w:ascii="Times New Roman" w:hAnsi="Times New Roman" w:cs="Times New Roman"/>
          <w:sz w:val="24"/>
          <w:szCs w:val="24"/>
        </w:rPr>
        <w:t xml:space="preserve">Podczas ogłaszania orzeczenia wszyscy obecni w sali rozpraw, z wyjątkiem składu orzekającego, stoją. </w:t>
      </w:r>
    </w:p>
    <w:p w:rsidR="00F54013"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F54013" w:rsidRPr="00792C8B">
        <w:rPr>
          <w:rFonts w:ascii="Times New Roman" w:hAnsi="Times New Roman" w:cs="Times New Roman"/>
          <w:sz w:val="24"/>
          <w:szCs w:val="24"/>
        </w:rPr>
        <w:t xml:space="preserve">Przewodniczący składu orzekającego lub sędzia sprawozdawca podaje zasadnicze motywy uzasadnienia orzeczenia. Sędzia, który zgłosił zdanie odrębne, o którym mowa w art. </w:t>
      </w:r>
      <w:r w:rsidR="00F63BDF" w:rsidRPr="00792C8B">
        <w:rPr>
          <w:rFonts w:ascii="Times New Roman" w:hAnsi="Times New Roman" w:cs="Times New Roman"/>
          <w:sz w:val="24"/>
          <w:szCs w:val="24"/>
        </w:rPr>
        <w:t xml:space="preserve">78 </w:t>
      </w:r>
      <w:r w:rsidR="00F54013" w:rsidRPr="00792C8B">
        <w:rPr>
          <w:rFonts w:ascii="Times New Roman" w:hAnsi="Times New Roman" w:cs="Times New Roman"/>
          <w:sz w:val="24"/>
          <w:szCs w:val="24"/>
        </w:rPr>
        <w:t xml:space="preserve">ust. 2, może przedstawić uzasadnienie swego stanowiska. </w:t>
      </w:r>
    </w:p>
    <w:p w:rsidR="002F21F1" w:rsidRPr="00792C8B" w:rsidRDefault="006B13E8"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1769AF" w:rsidRPr="00792C8B">
        <w:rPr>
          <w:rFonts w:ascii="Times New Roman" w:hAnsi="Times New Roman" w:cs="Times New Roman"/>
          <w:sz w:val="24"/>
          <w:szCs w:val="24"/>
        </w:rPr>
        <w:t xml:space="preserve"> </w:t>
      </w:r>
      <w:r w:rsidR="002F21F1" w:rsidRPr="00792C8B">
        <w:rPr>
          <w:rFonts w:ascii="Times New Roman" w:hAnsi="Times New Roman" w:cs="Times New Roman"/>
          <w:sz w:val="24"/>
          <w:szCs w:val="24"/>
        </w:rPr>
        <w:t xml:space="preserve">Odpis orzeczenia wraz z uzasadnieniem i zdaniami odrębnymi doręcza się niezwłocznie uczestnikom postępowania. </w:t>
      </w:r>
    </w:p>
    <w:p w:rsidR="002F21F1" w:rsidRPr="00792C8B" w:rsidRDefault="006B13E8"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Prezes Trybunału przesyła niezwłocznie odpis orzeczenia wraz z uzasadnieniem i zdaniami odrębnymi Prezydentowi Rzeczypospolitej Polskiej, Marszałkowi Sejmu oraz Marszałkowi Senatu, niezależnie od tego, czy organy te były uczestnikami postępowania przed Trybunałem. </w:t>
      </w:r>
    </w:p>
    <w:p w:rsidR="002F21F1" w:rsidRPr="00792C8B" w:rsidRDefault="00B3288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 xml:space="preserve">Trybunał na posiedzeniu niejawnym wydaje postanowienie o umorzeniu postępowania: </w:t>
      </w:r>
    </w:p>
    <w:p w:rsidR="002F21F1" w:rsidRPr="00792C8B" w:rsidRDefault="002F21F1" w:rsidP="00BB4BD8">
      <w:pPr>
        <w:pStyle w:val="Akapitzlist"/>
        <w:numPr>
          <w:ilvl w:val="0"/>
          <w:numId w:val="2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na skutek cofnięcia wniosku, pytania prawnego lub skargi; </w:t>
      </w:r>
    </w:p>
    <w:p w:rsidR="002F21F1" w:rsidRPr="00792C8B" w:rsidRDefault="002F21F1" w:rsidP="00BB4BD8">
      <w:pPr>
        <w:pStyle w:val="Akapitzlist"/>
        <w:numPr>
          <w:ilvl w:val="0"/>
          <w:numId w:val="2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jeżeli wydanie orzeczenia jest niedopuszczalne; </w:t>
      </w:r>
    </w:p>
    <w:p w:rsidR="002F21F1" w:rsidRPr="00792C8B" w:rsidRDefault="002F21F1" w:rsidP="00BB4BD8">
      <w:pPr>
        <w:pStyle w:val="Akapitzlist"/>
        <w:numPr>
          <w:ilvl w:val="0"/>
          <w:numId w:val="2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jeżeli wydanie orzeczenia jest zbędne, w szczególności gdy w rozpoznawanej sprawie nie występuje istotne zagadnienie prawne wymagające rozstrzygnięcia Trybunału; </w:t>
      </w:r>
    </w:p>
    <w:p w:rsidR="002F21F1" w:rsidRPr="00792C8B" w:rsidRDefault="002F21F1" w:rsidP="00BB4BD8">
      <w:pPr>
        <w:pStyle w:val="Akapitzlist"/>
        <w:numPr>
          <w:ilvl w:val="0"/>
          <w:numId w:val="2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jeżeli akt normatywny w zakwestionowanym zakresie utracił moc obowiązującą przed wydaniem orzeczenia przez Trybunał; </w:t>
      </w:r>
    </w:p>
    <w:p w:rsidR="002F21F1" w:rsidRPr="00792C8B" w:rsidRDefault="002F21F1" w:rsidP="00BB4BD8">
      <w:pPr>
        <w:pStyle w:val="Akapitzlist"/>
        <w:numPr>
          <w:ilvl w:val="0"/>
          <w:numId w:val="21"/>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 przypadku, o którym mowa w art. </w:t>
      </w:r>
      <w:r w:rsidR="00F63BDF" w:rsidRPr="00792C8B">
        <w:rPr>
          <w:rFonts w:ascii="Times New Roman" w:hAnsi="Times New Roman" w:cs="Times New Roman"/>
          <w:sz w:val="24"/>
          <w:szCs w:val="24"/>
        </w:rPr>
        <w:t xml:space="preserve">51 </w:t>
      </w:r>
      <w:r w:rsidR="00266A8B" w:rsidRPr="00792C8B">
        <w:rPr>
          <w:rFonts w:ascii="Times New Roman" w:hAnsi="Times New Roman" w:cs="Times New Roman"/>
          <w:sz w:val="24"/>
          <w:szCs w:val="24"/>
        </w:rPr>
        <w:t>ust. 3</w:t>
      </w:r>
      <w:r w:rsidR="00F12191">
        <w:rPr>
          <w:rFonts w:ascii="Times New Roman" w:hAnsi="Times New Roman" w:cs="Times New Roman"/>
          <w:sz w:val="24"/>
          <w:szCs w:val="24"/>
        </w:rPr>
        <w:t>.</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Jeżeli okoliczności, o których mowa w ust. 1 pkt 1–4, ujawnią się na rozprawie, Trybunał wydaje postanowienie o umorzeniu postępowania.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2F21F1" w:rsidRPr="00792C8B">
        <w:rPr>
          <w:rFonts w:ascii="Times New Roman" w:hAnsi="Times New Roman" w:cs="Times New Roman"/>
          <w:sz w:val="24"/>
          <w:szCs w:val="24"/>
        </w:rPr>
        <w:t xml:space="preserve">Trybunał nie umarza postępowania z przyczyny, o której mowa w ust. 1 pkt 4, jeżeli wydanie orzeczenia jest konieczne dla ochrony konstytucyjnych wolności i praw. </w:t>
      </w:r>
    </w:p>
    <w:p w:rsidR="002F21F1" w:rsidRPr="00792C8B" w:rsidRDefault="00B3288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Orzeczenia Trybunału ogłasza się na zasadach i w trybie określonych w Konstytucji oraz ustawie z dnia 20 lipca 2000 r. o ogłaszaniu aktów normatywnych i niektórych innych aktów prawnych (Dz. U. z 201</w:t>
      </w:r>
      <w:r w:rsidR="008F647C" w:rsidRPr="00792C8B">
        <w:rPr>
          <w:rFonts w:ascii="Times New Roman" w:hAnsi="Times New Roman" w:cs="Times New Roman"/>
          <w:sz w:val="24"/>
          <w:szCs w:val="24"/>
        </w:rPr>
        <w:t>5</w:t>
      </w:r>
      <w:r w:rsidR="002F21F1" w:rsidRPr="00792C8B">
        <w:rPr>
          <w:rFonts w:ascii="Times New Roman" w:hAnsi="Times New Roman" w:cs="Times New Roman"/>
          <w:sz w:val="24"/>
          <w:szCs w:val="24"/>
        </w:rPr>
        <w:t xml:space="preserve"> r. poz. 1</w:t>
      </w:r>
      <w:r w:rsidR="008F647C" w:rsidRPr="00792C8B">
        <w:rPr>
          <w:rFonts w:ascii="Times New Roman" w:hAnsi="Times New Roman" w:cs="Times New Roman"/>
          <w:sz w:val="24"/>
          <w:szCs w:val="24"/>
        </w:rPr>
        <w:t xml:space="preserve">484 i </w:t>
      </w:r>
      <w:r w:rsidR="00EB2F14" w:rsidRPr="00792C8B">
        <w:rPr>
          <w:rFonts w:ascii="Times New Roman" w:hAnsi="Times New Roman" w:cs="Times New Roman"/>
          <w:sz w:val="24"/>
          <w:szCs w:val="24"/>
        </w:rPr>
        <w:t>1890</w:t>
      </w:r>
      <w:r w:rsidR="002F21F1" w:rsidRPr="00792C8B">
        <w:rPr>
          <w:rFonts w:ascii="Times New Roman" w:hAnsi="Times New Roman" w:cs="Times New Roman"/>
          <w:sz w:val="24"/>
          <w:szCs w:val="24"/>
        </w:rPr>
        <w:t xml:space="preserve">).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Ogłoszenie orzeczeń Trybunału zarządza Prezes Trybunału.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2F21F1" w:rsidRPr="00792C8B">
        <w:rPr>
          <w:rFonts w:ascii="Times New Roman" w:hAnsi="Times New Roman" w:cs="Times New Roman"/>
          <w:sz w:val="24"/>
          <w:szCs w:val="24"/>
        </w:rPr>
        <w:t xml:space="preserve">Prezes Rady Ministrów </w:t>
      </w:r>
      <w:r w:rsidR="00A81259" w:rsidRPr="00792C8B">
        <w:rPr>
          <w:rFonts w:ascii="Times New Roman" w:hAnsi="Times New Roman" w:cs="Times New Roman"/>
          <w:sz w:val="24"/>
          <w:szCs w:val="24"/>
        </w:rPr>
        <w:t>ogłasza orzeczenie</w:t>
      </w:r>
      <w:r w:rsidR="002F21F1" w:rsidRPr="00792C8B">
        <w:rPr>
          <w:rFonts w:ascii="Times New Roman" w:hAnsi="Times New Roman" w:cs="Times New Roman"/>
          <w:sz w:val="24"/>
          <w:szCs w:val="24"/>
        </w:rPr>
        <w:t xml:space="preserve"> Trybunału </w:t>
      </w:r>
      <w:r w:rsidR="007B671C" w:rsidRPr="00792C8B">
        <w:rPr>
          <w:rFonts w:ascii="Times New Roman" w:hAnsi="Times New Roman" w:cs="Times New Roman"/>
          <w:sz w:val="24"/>
          <w:szCs w:val="24"/>
        </w:rPr>
        <w:t xml:space="preserve">niezwłocznie lecz nie później niż 3 dni </w:t>
      </w:r>
      <w:r w:rsidR="00D708FD" w:rsidRPr="00792C8B">
        <w:rPr>
          <w:rFonts w:ascii="Times New Roman" w:hAnsi="Times New Roman" w:cs="Times New Roman"/>
          <w:sz w:val="24"/>
          <w:szCs w:val="24"/>
        </w:rPr>
        <w:t xml:space="preserve">od dnia </w:t>
      </w:r>
      <w:r w:rsidR="002B3920" w:rsidRPr="00792C8B">
        <w:rPr>
          <w:rFonts w:ascii="Times New Roman" w:hAnsi="Times New Roman" w:cs="Times New Roman"/>
          <w:sz w:val="24"/>
          <w:szCs w:val="24"/>
        </w:rPr>
        <w:t xml:space="preserve">doręczenia tego </w:t>
      </w:r>
      <w:r w:rsidR="00D708FD" w:rsidRPr="00792C8B">
        <w:rPr>
          <w:rFonts w:ascii="Times New Roman" w:hAnsi="Times New Roman" w:cs="Times New Roman"/>
          <w:sz w:val="24"/>
          <w:szCs w:val="24"/>
        </w:rPr>
        <w:t>zarządzenia przez Prezesa Trybunału</w:t>
      </w:r>
      <w:r w:rsidR="002F21F1" w:rsidRPr="00792C8B">
        <w:rPr>
          <w:rFonts w:ascii="Times New Roman" w:hAnsi="Times New Roman" w:cs="Times New Roman"/>
          <w:sz w:val="24"/>
          <w:szCs w:val="24"/>
        </w:rPr>
        <w:t>.</w:t>
      </w:r>
    </w:p>
    <w:p w:rsidR="002F21F1" w:rsidRPr="00792C8B" w:rsidRDefault="00B3288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 xml:space="preserve">Trybunał wydaje zbiór orzeczeń – „Orzecznictwo Trybunału Konstytucyjnego. Zbiór Urzędowy”.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W zbiorze, o którym mowa w ust. 1, publikuje się orzeczenia Trybunału wraz z uzasadnieniami i zdaniami odrębnymi.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2F21F1" w:rsidRPr="00792C8B">
        <w:rPr>
          <w:rFonts w:ascii="Times New Roman" w:hAnsi="Times New Roman" w:cs="Times New Roman"/>
          <w:sz w:val="24"/>
          <w:szCs w:val="24"/>
        </w:rPr>
        <w:t xml:space="preserve">Zbiór, o którym mowa w ust. 1, jest wydawany w postaci elektronicznej. Nazwa „Orzecznictwo Trybunału Konstytucyjnego. Zbiór Urzędowy” podlega ochronie prawnej. </w:t>
      </w:r>
    </w:p>
    <w:p w:rsidR="009F5A5C" w:rsidRPr="00792C8B" w:rsidRDefault="009F5A5C" w:rsidP="00A3606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8</w:t>
      </w:r>
    </w:p>
    <w:p w:rsidR="009F5A5C" w:rsidRPr="00792C8B" w:rsidRDefault="009F5A5C" w:rsidP="00A3606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Postępowanie w sprawie zgodności z Konstytucją celów lub działalności partii politycznych</w:t>
      </w:r>
    </w:p>
    <w:p w:rsidR="002F21F1" w:rsidRPr="00792C8B" w:rsidRDefault="00B3288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 xml:space="preserve">Wniosek w sprawie zgodności z Konstytucją celów lub działalności partii politycznej, Trybunał rozpoznaje w trybie przewidzianym dla wniosków w sprawie zgodności z Konstytucją aktów normatywnych.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Ciężar udowodnienia niezgodności z Konstytucją działalności partii politycznej spoczywa na wnioskodawcy.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2F21F1" w:rsidRPr="00792C8B">
        <w:rPr>
          <w:rFonts w:ascii="Times New Roman" w:hAnsi="Times New Roman" w:cs="Times New Roman"/>
          <w:sz w:val="24"/>
          <w:szCs w:val="24"/>
        </w:rPr>
        <w:t xml:space="preserve">Wątpliwości, których nie można wyjaśnić, rozstrzyga się na korzyść konstytucyjności działalności lub celów partii politycznej. </w:t>
      </w:r>
    </w:p>
    <w:p w:rsidR="002F21F1"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2F21F1" w:rsidRPr="00792C8B">
        <w:rPr>
          <w:rFonts w:ascii="Times New Roman" w:hAnsi="Times New Roman" w:cs="Times New Roman"/>
          <w:sz w:val="24"/>
          <w:szCs w:val="24"/>
        </w:rPr>
        <w:t>Do prowadzonych na rozprawie przesłuchań świadków, biegłych albo ujawniania dokumentów istotnych dla rozstrzygnięcia stosuje się odpowiednio przepisy ustawy z dnia 6 czerwca 1997 r. – Kodeks postępowania karnego (Dz. U. Nr 89, poz. 555, z późn. zm.</w:t>
      </w:r>
      <w:r w:rsidR="00EB2F14" w:rsidRPr="00792C8B">
        <w:rPr>
          <w:rStyle w:val="Odwoanieprzypisudolnego"/>
          <w:rFonts w:ascii="Times New Roman" w:hAnsi="Times New Roman" w:cs="Times New Roman"/>
          <w:sz w:val="24"/>
          <w:szCs w:val="24"/>
        </w:rPr>
        <w:footnoteReference w:id="5"/>
      </w:r>
      <w:r w:rsidR="00294937" w:rsidRPr="00792C8B">
        <w:rPr>
          <w:rFonts w:ascii="Times New Roman" w:hAnsi="Times New Roman" w:cs="Times New Roman"/>
          <w:sz w:val="24"/>
          <w:szCs w:val="24"/>
          <w:vertAlign w:val="superscript"/>
        </w:rPr>
        <w:t>)</w:t>
      </w:r>
      <w:r w:rsidR="002F21F1" w:rsidRPr="00792C8B">
        <w:rPr>
          <w:rFonts w:ascii="Times New Roman" w:hAnsi="Times New Roman" w:cs="Times New Roman"/>
          <w:sz w:val="24"/>
          <w:szCs w:val="24"/>
        </w:rPr>
        <w:t xml:space="preserve">). </w:t>
      </w:r>
    </w:p>
    <w:p w:rsidR="00FE336E" w:rsidRPr="00792C8B" w:rsidRDefault="00B32881"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5. </w:t>
      </w:r>
      <w:r w:rsidR="002F21F1" w:rsidRPr="00792C8B">
        <w:rPr>
          <w:rFonts w:ascii="Times New Roman" w:hAnsi="Times New Roman" w:cs="Times New Roman"/>
          <w:sz w:val="24"/>
          <w:szCs w:val="24"/>
        </w:rPr>
        <w:t xml:space="preserve">W celu zebrania i utrwalenia dowodów w sprawie zgodności działalności partii politycznej z Konstytucją Trybunał może, w drodze postanowienia, zlecić Prokuratorowi </w:t>
      </w:r>
      <w:r w:rsidR="00A172C0" w:rsidRPr="00792C8B">
        <w:rPr>
          <w:rFonts w:ascii="Times New Roman" w:hAnsi="Times New Roman" w:cs="Times New Roman"/>
          <w:sz w:val="24"/>
          <w:szCs w:val="24"/>
        </w:rPr>
        <w:t xml:space="preserve">Krajowemu </w:t>
      </w:r>
      <w:r w:rsidR="002F21F1" w:rsidRPr="00792C8B">
        <w:rPr>
          <w:rFonts w:ascii="Times New Roman" w:hAnsi="Times New Roman" w:cs="Times New Roman"/>
          <w:sz w:val="24"/>
          <w:szCs w:val="24"/>
        </w:rPr>
        <w:t>przeprowadzenie dochodzenia. Zakres dochodzenia określony w postanowieniu jest wiążący. Do dochodzenia stosuje się odpowiednio przepisy ustawy z dnia 6 czerwca 1997</w:t>
      </w:r>
      <w:r w:rsidR="00F12191">
        <w:rPr>
          <w:rFonts w:ascii="Times New Roman" w:hAnsi="Times New Roman" w:cs="Times New Roman"/>
          <w:sz w:val="24"/>
          <w:szCs w:val="24"/>
        </w:rPr>
        <w:t> </w:t>
      </w:r>
      <w:r w:rsidR="002F21F1" w:rsidRPr="00792C8B">
        <w:rPr>
          <w:rFonts w:ascii="Times New Roman" w:hAnsi="Times New Roman" w:cs="Times New Roman"/>
          <w:sz w:val="24"/>
          <w:szCs w:val="24"/>
        </w:rPr>
        <w:t xml:space="preserve">r. – Kodeks postępowania karnego. </w:t>
      </w:r>
    </w:p>
    <w:p w:rsidR="002F21F1" w:rsidRPr="00792C8B" w:rsidRDefault="002F21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Pytanie sądu prowadzącego ewidencję partii politycznych w sprawie zgodności z Konstytucją statutu partii politycznej, w zakresie celów partii i zasad działania partii określonych w statucie, Trybunał rozpoznaje na zasadach i w trybie przewidzianych dla pytania prawnego.</w:t>
      </w:r>
    </w:p>
    <w:p w:rsidR="009F5A5C" w:rsidRPr="00792C8B" w:rsidRDefault="009F5A5C" w:rsidP="00A3606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9</w:t>
      </w:r>
    </w:p>
    <w:p w:rsidR="009F5A5C" w:rsidRPr="00792C8B" w:rsidRDefault="009F5A5C" w:rsidP="00A3606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Postępowanie w sprawie rozstrzygnięcia sporu kompetencyjnego</w:t>
      </w:r>
    </w:p>
    <w:p w:rsidR="002F21F1" w:rsidRPr="00792C8B" w:rsidRDefault="00BC140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002F21F1" w:rsidRPr="00792C8B">
        <w:rPr>
          <w:rFonts w:ascii="Times New Roman" w:hAnsi="Times New Roman" w:cs="Times New Roman"/>
          <w:sz w:val="24"/>
          <w:szCs w:val="24"/>
        </w:rPr>
        <w:t xml:space="preserve">Trybunał rozstrzyga spory kompetencyjne, w przypadku gdy: </w:t>
      </w:r>
    </w:p>
    <w:p w:rsidR="002F21F1" w:rsidRPr="00792C8B" w:rsidRDefault="002F21F1" w:rsidP="00BB4BD8">
      <w:pPr>
        <w:pStyle w:val="Akapitzlist"/>
        <w:numPr>
          <w:ilvl w:val="0"/>
          <w:numId w:val="2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co najmniej dwa centralne konstytucyjne organy państwa uznają się za właściwe do rozstrzygnięcia tej samej sprawy lub wydały w niej rozstrzygnięcia; </w:t>
      </w:r>
    </w:p>
    <w:p w:rsidR="002F21F1" w:rsidRPr="00792C8B" w:rsidRDefault="002F21F1" w:rsidP="00BB4BD8">
      <w:pPr>
        <w:pStyle w:val="Akapitzlist"/>
        <w:numPr>
          <w:ilvl w:val="0"/>
          <w:numId w:val="22"/>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co najmniej dwa centralne konstytucyjne organy państwa uznają się za niewłaściwe do rozstrzygnięcia określonej sprawy. </w:t>
      </w:r>
    </w:p>
    <w:p w:rsidR="002F21F1" w:rsidRPr="00792C8B" w:rsidRDefault="00BC1404"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Trybunał rozpoznaje spory kompetencyjne w trybie przewidzianym dla wniosków w sprawie zgodności z Konstytucją aktów normatywnych.</w:t>
      </w:r>
    </w:p>
    <w:p w:rsidR="002F21F1" w:rsidRPr="00792C8B" w:rsidRDefault="002F21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Wniosek o rozstrzygnięcie sporu kompetencyjnego powinien wskazywać przepis Konstytucji lub ustawy określający kompetencję, która została naruszona, oraz kwestionowane działania lub zaniechania. </w:t>
      </w:r>
    </w:p>
    <w:p w:rsidR="002F21F1" w:rsidRPr="00792C8B" w:rsidRDefault="00BC1404"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 xml:space="preserve">Wszczęcie postępowania przed Trybunałem powoduje zawieszenie postępowań przed organami, które prowadzą spór kompetencyjny. </w:t>
      </w:r>
    </w:p>
    <w:p w:rsidR="00A172C0" w:rsidRPr="00792C8B" w:rsidRDefault="00BC1404"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Trybunał po zapoznaniu się ze stanowiskiem uczestników postępowania może wydać postanowienie o tymczasowym uregulowaniu kwestii spornych, zwłaszcza gdy przemawia za tym szczególnie ważny interes publiczny. </w:t>
      </w:r>
    </w:p>
    <w:p w:rsidR="00A172C0" w:rsidRPr="00792C8B" w:rsidRDefault="00A172C0">
      <w:pPr>
        <w:rPr>
          <w:rFonts w:ascii="Times New Roman" w:hAnsi="Times New Roman" w:cs="Times New Roman"/>
          <w:sz w:val="24"/>
          <w:szCs w:val="24"/>
        </w:rPr>
      </w:pPr>
    </w:p>
    <w:p w:rsidR="009F5A5C" w:rsidRPr="00792C8B" w:rsidRDefault="0074345B" w:rsidP="00A3606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10</w:t>
      </w:r>
    </w:p>
    <w:p w:rsidR="009F5A5C" w:rsidRPr="00792C8B" w:rsidRDefault="0074345B" w:rsidP="00A3606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Postępowanie w sprawie stwierdzenia przeszkody w sprawowaniu urzędu przez Prezydenta Rzeczypospolitej Polskiej</w:t>
      </w:r>
    </w:p>
    <w:p w:rsidR="002F21F1" w:rsidRPr="00792C8B" w:rsidRDefault="002F21F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Marszałek Sejmu, we wniosku w sprawie stwierdzenia przeszkody w sprawowaniu urzędu przez Prezydenta Rzeczypospolitej Polskiej, wskazuje okoliczności, które przejściowo uniemożliwiają Prezydentowi Rzeczypospolitej Polskiej sprawowanie urzędu oraz uniemożliwiają zawiadomienie o tym Marszałka Sejmu.</w:t>
      </w:r>
    </w:p>
    <w:p w:rsidR="002F21F1" w:rsidRPr="00792C8B" w:rsidRDefault="00537FAA"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 xml:space="preserve">Trybunał rozpoznaje wniosek Marszałka Sejmu niezwłocznie, nie później jednak niż w ciągu 24 godzin od jego złożenia. </w:t>
      </w:r>
    </w:p>
    <w:p w:rsidR="002F21F1" w:rsidRPr="00792C8B" w:rsidRDefault="00537FAA"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Trybunał rozpoznaje wniosek na rozprawie, z wyłączeniem jawności. </w:t>
      </w:r>
    </w:p>
    <w:p w:rsidR="002F21F1" w:rsidRPr="00792C8B" w:rsidRDefault="00537FAA"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2F21F1" w:rsidRPr="00792C8B">
        <w:rPr>
          <w:rFonts w:ascii="Times New Roman" w:hAnsi="Times New Roman" w:cs="Times New Roman"/>
          <w:sz w:val="24"/>
          <w:szCs w:val="24"/>
        </w:rPr>
        <w:t xml:space="preserve">Uczestnikami postępowania są: </w:t>
      </w:r>
    </w:p>
    <w:p w:rsidR="002F21F1" w:rsidRPr="00792C8B" w:rsidRDefault="002F21F1" w:rsidP="00BB4BD8">
      <w:pPr>
        <w:pStyle w:val="Akapitzlist"/>
        <w:numPr>
          <w:ilvl w:val="0"/>
          <w:numId w:val="2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Marszałek Sejmu; </w:t>
      </w:r>
    </w:p>
    <w:p w:rsidR="002F21F1" w:rsidRPr="00792C8B" w:rsidRDefault="002F21F1" w:rsidP="00BB4BD8">
      <w:pPr>
        <w:pStyle w:val="Akapitzlist"/>
        <w:numPr>
          <w:ilvl w:val="0"/>
          <w:numId w:val="2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Marszałek Senatu; </w:t>
      </w:r>
    </w:p>
    <w:p w:rsidR="002F21F1" w:rsidRPr="00792C8B" w:rsidRDefault="002F21F1" w:rsidP="00BB4BD8">
      <w:pPr>
        <w:pStyle w:val="Akapitzlist"/>
        <w:numPr>
          <w:ilvl w:val="0"/>
          <w:numId w:val="2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Pierwszy Prezes Sądu Najwyższego; </w:t>
      </w:r>
    </w:p>
    <w:p w:rsidR="002F21F1" w:rsidRPr="00792C8B" w:rsidRDefault="002F21F1" w:rsidP="00BB4BD8">
      <w:pPr>
        <w:pStyle w:val="Akapitzlist"/>
        <w:numPr>
          <w:ilvl w:val="0"/>
          <w:numId w:val="2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Prokurator </w:t>
      </w:r>
      <w:r w:rsidR="00C86724" w:rsidRPr="00792C8B">
        <w:rPr>
          <w:rFonts w:ascii="Times New Roman" w:hAnsi="Times New Roman" w:cs="Times New Roman"/>
          <w:sz w:val="24"/>
          <w:szCs w:val="24"/>
        </w:rPr>
        <w:t>Krajowy</w:t>
      </w:r>
      <w:r w:rsidRPr="00792C8B">
        <w:rPr>
          <w:rFonts w:ascii="Times New Roman" w:hAnsi="Times New Roman" w:cs="Times New Roman"/>
          <w:sz w:val="24"/>
          <w:szCs w:val="24"/>
        </w:rPr>
        <w:t xml:space="preserve">; </w:t>
      </w:r>
    </w:p>
    <w:p w:rsidR="002F21F1" w:rsidRPr="00792C8B" w:rsidRDefault="002F21F1" w:rsidP="00BB4BD8">
      <w:pPr>
        <w:pStyle w:val="Akapitzlist"/>
        <w:numPr>
          <w:ilvl w:val="0"/>
          <w:numId w:val="23"/>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Szef Kancelarii Prezydenta Rzeczypospolitej Polskiej. </w:t>
      </w:r>
    </w:p>
    <w:p w:rsidR="002F21F1" w:rsidRPr="00792C8B" w:rsidRDefault="00537FAA" w:rsidP="00434606">
      <w:pPr>
        <w:spacing w:after="0" w:line="360" w:lineRule="auto"/>
        <w:ind w:firstLine="567"/>
        <w:jc w:val="both"/>
        <w:rPr>
          <w:rFonts w:ascii="Times New Roman" w:hAnsi="Times New Roman" w:cs="Times New Roman"/>
          <w:sz w:val="24"/>
          <w:szCs w:val="24"/>
        </w:rPr>
      </w:pPr>
      <w:r w:rsidRPr="00792C8B">
        <w:rPr>
          <w:rFonts w:ascii="Times New Roman" w:hAnsi="Times New Roman" w:cs="Times New Roman"/>
          <w:sz w:val="24"/>
          <w:szCs w:val="24"/>
        </w:rPr>
        <w:t xml:space="preserve">4. </w:t>
      </w:r>
      <w:r w:rsidR="002F21F1" w:rsidRPr="00792C8B">
        <w:rPr>
          <w:rFonts w:ascii="Times New Roman" w:hAnsi="Times New Roman" w:cs="Times New Roman"/>
          <w:sz w:val="24"/>
          <w:szCs w:val="24"/>
        </w:rPr>
        <w:t xml:space="preserve">Jeżeli uczestnik postępowania nie może brać udziału w rozprawie osobiście, może wyznaczyć swojego przedstawiciela. </w:t>
      </w:r>
    </w:p>
    <w:p w:rsidR="002F21F1" w:rsidRPr="00792C8B" w:rsidRDefault="00537FAA" w:rsidP="00434606">
      <w:pPr>
        <w:spacing w:after="0" w:line="360" w:lineRule="auto"/>
        <w:ind w:firstLine="567"/>
        <w:jc w:val="both"/>
        <w:rPr>
          <w:rFonts w:ascii="Times New Roman" w:hAnsi="Times New Roman" w:cs="Times New Roman"/>
          <w:sz w:val="24"/>
          <w:szCs w:val="24"/>
        </w:rPr>
      </w:pPr>
      <w:r w:rsidRPr="00792C8B">
        <w:rPr>
          <w:rFonts w:ascii="Times New Roman" w:hAnsi="Times New Roman" w:cs="Times New Roman"/>
          <w:sz w:val="24"/>
          <w:szCs w:val="24"/>
        </w:rPr>
        <w:t xml:space="preserve">5. </w:t>
      </w:r>
      <w:r w:rsidR="002F21F1" w:rsidRPr="00792C8B">
        <w:rPr>
          <w:rFonts w:ascii="Times New Roman" w:hAnsi="Times New Roman" w:cs="Times New Roman"/>
          <w:sz w:val="24"/>
          <w:szCs w:val="24"/>
        </w:rPr>
        <w:t xml:space="preserve">Przedstawicielem: </w:t>
      </w:r>
    </w:p>
    <w:p w:rsidR="002F21F1" w:rsidRPr="00792C8B" w:rsidRDefault="002F21F1" w:rsidP="00BB4BD8">
      <w:pPr>
        <w:pStyle w:val="Akapitzlist"/>
        <w:numPr>
          <w:ilvl w:val="0"/>
          <w:numId w:val="2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Marszałka Sejmu może być upoważniony przez niego Wicemarszałek Sejmu; </w:t>
      </w:r>
    </w:p>
    <w:p w:rsidR="002F21F1" w:rsidRPr="00792C8B" w:rsidRDefault="002F21F1" w:rsidP="00BB4BD8">
      <w:pPr>
        <w:pStyle w:val="Akapitzlist"/>
        <w:numPr>
          <w:ilvl w:val="0"/>
          <w:numId w:val="2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Marszałka Senatu może być upoważniony przez niego Wicemarszałek Senatu; </w:t>
      </w:r>
    </w:p>
    <w:p w:rsidR="002F21F1" w:rsidRPr="00792C8B" w:rsidRDefault="002F21F1" w:rsidP="00BB4BD8">
      <w:pPr>
        <w:pStyle w:val="Akapitzlist"/>
        <w:numPr>
          <w:ilvl w:val="0"/>
          <w:numId w:val="2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Pierwszego Prezesa Sądu Najwyższego może być upoważniony przez niego Prezes Sądu Najwyższego; </w:t>
      </w:r>
    </w:p>
    <w:p w:rsidR="002F21F1" w:rsidRPr="00792C8B" w:rsidRDefault="002F21F1" w:rsidP="00BB4BD8">
      <w:pPr>
        <w:pStyle w:val="Akapitzlist"/>
        <w:numPr>
          <w:ilvl w:val="0"/>
          <w:numId w:val="2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Prokuratora </w:t>
      </w:r>
      <w:r w:rsidR="00A172C0" w:rsidRPr="00792C8B">
        <w:rPr>
          <w:rFonts w:ascii="Times New Roman" w:hAnsi="Times New Roman" w:cs="Times New Roman"/>
          <w:sz w:val="24"/>
          <w:szCs w:val="24"/>
        </w:rPr>
        <w:t>Krajowego</w:t>
      </w:r>
      <w:r w:rsidRPr="00792C8B">
        <w:rPr>
          <w:rFonts w:ascii="Times New Roman" w:hAnsi="Times New Roman" w:cs="Times New Roman"/>
          <w:sz w:val="24"/>
          <w:szCs w:val="24"/>
        </w:rPr>
        <w:t xml:space="preserve"> może być upoważniony przez niego </w:t>
      </w:r>
      <w:r w:rsidR="00A172C0" w:rsidRPr="00792C8B">
        <w:rPr>
          <w:rFonts w:ascii="Times New Roman" w:hAnsi="Times New Roman" w:cs="Times New Roman"/>
          <w:sz w:val="24"/>
          <w:szCs w:val="24"/>
        </w:rPr>
        <w:t>prokurator</w:t>
      </w:r>
      <w:r w:rsidRPr="00792C8B">
        <w:rPr>
          <w:rFonts w:ascii="Times New Roman" w:hAnsi="Times New Roman" w:cs="Times New Roman"/>
          <w:sz w:val="24"/>
          <w:szCs w:val="24"/>
        </w:rPr>
        <w:t xml:space="preserve"> Prokurat</w:t>
      </w:r>
      <w:r w:rsidR="00A172C0" w:rsidRPr="00792C8B">
        <w:rPr>
          <w:rFonts w:ascii="Times New Roman" w:hAnsi="Times New Roman" w:cs="Times New Roman"/>
          <w:sz w:val="24"/>
          <w:szCs w:val="24"/>
        </w:rPr>
        <w:t>u</w:t>
      </w:r>
      <w:r w:rsidRPr="00792C8B">
        <w:rPr>
          <w:rFonts w:ascii="Times New Roman" w:hAnsi="Times New Roman" w:cs="Times New Roman"/>
          <w:sz w:val="24"/>
          <w:szCs w:val="24"/>
        </w:rPr>
        <w:t>r</w:t>
      </w:r>
      <w:r w:rsidR="00A172C0" w:rsidRPr="00792C8B">
        <w:rPr>
          <w:rFonts w:ascii="Times New Roman" w:hAnsi="Times New Roman" w:cs="Times New Roman"/>
          <w:sz w:val="24"/>
          <w:szCs w:val="24"/>
        </w:rPr>
        <w:t>y</w:t>
      </w:r>
      <w:r w:rsidRPr="00792C8B">
        <w:rPr>
          <w:rFonts w:ascii="Times New Roman" w:hAnsi="Times New Roman" w:cs="Times New Roman"/>
          <w:sz w:val="24"/>
          <w:szCs w:val="24"/>
        </w:rPr>
        <w:t xml:space="preserve"> </w:t>
      </w:r>
      <w:r w:rsidR="00A172C0" w:rsidRPr="00792C8B">
        <w:rPr>
          <w:rFonts w:ascii="Times New Roman" w:hAnsi="Times New Roman" w:cs="Times New Roman"/>
          <w:sz w:val="24"/>
          <w:szCs w:val="24"/>
        </w:rPr>
        <w:t>Krajowej</w:t>
      </w:r>
      <w:r w:rsidRPr="00792C8B">
        <w:rPr>
          <w:rFonts w:ascii="Times New Roman" w:hAnsi="Times New Roman" w:cs="Times New Roman"/>
          <w:sz w:val="24"/>
          <w:szCs w:val="24"/>
        </w:rPr>
        <w:t xml:space="preserve">; </w:t>
      </w:r>
    </w:p>
    <w:p w:rsidR="002F21F1" w:rsidRPr="00792C8B" w:rsidRDefault="002F21F1" w:rsidP="00BB4BD8">
      <w:pPr>
        <w:pStyle w:val="Akapitzlist"/>
        <w:numPr>
          <w:ilvl w:val="0"/>
          <w:numId w:val="24"/>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Szefa Kancelarii Prezydenta Rzeczypospolitej Polskiej może być upoważniony przez niego zastępca Szefa Kancelarii Prezydenta Rzeczypospolitej Polskiej. </w:t>
      </w:r>
    </w:p>
    <w:p w:rsidR="002F21F1" w:rsidRPr="00792C8B" w:rsidRDefault="00537FAA" w:rsidP="00434606">
      <w:pPr>
        <w:spacing w:after="0" w:line="360" w:lineRule="auto"/>
        <w:ind w:firstLine="567"/>
        <w:jc w:val="both"/>
        <w:rPr>
          <w:rFonts w:ascii="Times New Roman" w:hAnsi="Times New Roman" w:cs="Times New Roman"/>
          <w:sz w:val="24"/>
          <w:szCs w:val="24"/>
        </w:rPr>
      </w:pPr>
      <w:r w:rsidRPr="00792C8B">
        <w:rPr>
          <w:rFonts w:ascii="Times New Roman" w:hAnsi="Times New Roman" w:cs="Times New Roman"/>
          <w:sz w:val="24"/>
          <w:szCs w:val="24"/>
        </w:rPr>
        <w:t xml:space="preserve">6. </w:t>
      </w:r>
      <w:r w:rsidR="002F21F1" w:rsidRPr="00792C8B">
        <w:rPr>
          <w:rFonts w:ascii="Times New Roman" w:hAnsi="Times New Roman" w:cs="Times New Roman"/>
          <w:sz w:val="24"/>
          <w:szCs w:val="24"/>
        </w:rPr>
        <w:t xml:space="preserve">Nieobecność na rozprawie uczestnika postępowania albo jego przedstawiciela nie wstrzymuje rozpoznania wniosku. </w:t>
      </w:r>
    </w:p>
    <w:p w:rsidR="002F21F1" w:rsidRPr="00792C8B" w:rsidRDefault="00537FAA"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F21F1" w:rsidRPr="00792C8B">
        <w:rPr>
          <w:rFonts w:ascii="Times New Roman" w:hAnsi="Times New Roman" w:cs="Times New Roman"/>
          <w:sz w:val="24"/>
          <w:szCs w:val="24"/>
        </w:rPr>
        <w:t xml:space="preserve">Jeżeli podczas rozprawy pojawią się wątpliwości dotyczące okoliczności, o których mowa w art. </w:t>
      </w:r>
      <w:r w:rsidR="00F63BDF" w:rsidRPr="00792C8B">
        <w:rPr>
          <w:rFonts w:ascii="Times New Roman" w:hAnsi="Times New Roman" w:cs="Times New Roman"/>
          <w:sz w:val="24"/>
          <w:szCs w:val="24"/>
        </w:rPr>
        <w:t>91</w:t>
      </w:r>
      <w:r w:rsidR="002F21F1" w:rsidRPr="00792C8B">
        <w:rPr>
          <w:rFonts w:ascii="Times New Roman" w:hAnsi="Times New Roman" w:cs="Times New Roman"/>
          <w:sz w:val="24"/>
          <w:szCs w:val="24"/>
        </w:rPr>
        <w:t xml:space="preserve">, Trybunał w drodze postanowienia może zlecić Prokuratorowi </w:t>
      </w:r>
      <w:r w:rsidR="00A172C0" w:rsidRPr="00792C8B">
        <w:rPr>
          <w:rFonts w:ascii="Times New Roman" w:hAnsi="Times New Roman" w:cs="Times New Roman"/>
          <w:sz w:val="24"/>
          <w:szCs w:val="24"/>
        </w:rPr>
        <w:t xml:space="preserve">Krajowemu </w:t>
      </w:r>
      <w:r w:rsidR="002F21F1" w:rsidRPr="00792C8B">
        <w:rPr>
          <w:rFonts w:ascii="Times New Roman" w:hAnsi="Times New Roman" w:cs="Times New Roman"/>
          <w:sz w:val="24"/>
          <w:szCs w:val="24"/>
        </w:rPr>
        <w:t xml:space="preserve">wykonanie określonych czynności w wyznaczonym terminie i odroczyć rozprawę. </w:t>
      </w:r>
    </w:p>
    <w:p w:rsidR="002F21F1" w:rsidRPr="00792C8B" w:rsidRDefault="00537FAA"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F21F1" w:rsidRPr="00792C8B">
        <w:rPr>
          <w:rFonts w:ascii="Times New Roman" w:hAnsi="Times New Roman" w:cs="Times New Roman"/>
          <w:sz w:val="24"/>
          <w:szCs w:val="24"/>
        </w:rPr>
        <w:t xml:space="preserve">Odroczenie rozprawy nie może trwać dłużej niż 24 godziny. </w:t>
      </w:r>
    </w:p>
    <w:p w:rsidR="002F21F1" w:rsidRPr="00792C8B" w:rsidRDefault="00537FAA"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3. </w:t>
      </w:r>
      <w:r w:rsidR="00A172C0" w:rsidRPr="00792C8B">
        <w:rPr>
          <w:rFonts w:ascii="Times New Roman" w:hAnsi="Times New Roman" w:cs="Times New Roman"/>
          <w:sz w:val="24"/>
          <w:szCs w:val="24"/>
        </w:rPr>
        <w:t>Prokurator Krajowy</w:t>
      </w:r>
      <w:r w:rsidR="002F21F1" w:rsidRPr="00792C8B">
        <w:rPr>
          <w:rFonts w:ascii="Times New Roman" w:hAnsi="Times New Roman" w:cs="Times New Roman"/>
          <w:sz w:val="24"/>
          <w:szCs w:val="24"/>
        </w:rPr>
        <w:t xml:space="preserve"> niezwłocznie zawiadamia Trybunał o wynikach czynności podjętych w celu wykonania postanowienia, o którym mowa w ust. 1. </w:t>
      </w:r>
    </w:p>
    <w:p w:rsidR="00266A8B" w:rsidRPr="00792C8B" w:rsidRDefault="00537FAA"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66A8B" w:rsidRPr="00792C8B">
        <w:rPr>
          <w:rFonts w:ascii="Times New Roman" w:hAnsi="Times New Roman" w:cs="Times New Roman"/>
          <w:sz w:val="24"/>
          <w:szCs w:val="24"/>
        </w:rPr>
        <w:t xml:space="preserve">Trybunał wydaje postanowienie o stwierdzeniu przeszkody w sprawowaniu urzędu przez Prezydenta Rzeczypospolitej Polskiej oraz o powierzeniu Marszałkowi Sejmu, nie dłużej niż na 3 miesiące, tymczasowego wykonywania obowiązków Prezydenta Rzeczypospolitej Polskiej. </w:t>
      </w:r>
    </w:p>
    <w:p w:rsidR="00266A8B" w:rsidRPr="00792C8B" w:rsidRDefault="00537FAA" w:rsidP="00A36069">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66A8B" w:rsidRPr="00792C8B">
        <w:rPr>
          <w:rFonts w:ascii="Times New Roman" w:hAnsi="Times New Roman" w:cs="Times New Roman"/>
          <w:sz w:val="24"/>
          <w:szCs w:val="24"/>
        </w:rPr>
        <w:t xml:space="preserve">Postanowienie traci moc, jeżeli: </w:t>
      </w:r>
    </w:p>
    <w:p w:rsidR="00266A8B" w:rsidRPr="00792C8B" w:rsidRDefault="00266A8B" w:rsidP="00BB4BD8">
      <w:pPr>
        <w:pStyle w:val="Akapitzlist"/>
        <w:numPr>
          <w:ilvl w:val="0"/>
          <w:numId w:val="2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przed upływem określonego w nim terminu Prezydent Rzeczypospolitej Polskiej zawiadomi Marszałka Sejmu oraz Trybunał o możliwości sprawowania urzędu; </w:t>
      </w:r>
    </w:p>
    <w:p w:rsidR="00266A8B" w:rsidRPr="00792C8B" w:rsidRDefault="00266A8B" w:rsidP="00BB4BD8">
      <w:pPr>
        <w:pStyle w:val="Akapitzlist"/>
        <w:numPr>
          <w:ilvl w:val="0"/>
          <w:numId w:val="25"/>
        </w:numPr>
        <w:spacing w:before="120" w:after="120" w:line="360" w:lineRule="auto"/>
        <w:ind w:left="426" w:hanging="426"/>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zaistnieje okoliczność, o której mowa w art. 131 ust. 2 pkt 1, 2, 4 lub 5 Konstytucji. </w:t>
      </w:r>
    </w:p>
    <w:p w:rsidR="0074345B" w:rsidRPr="00792C8B" w:rsidRDefault="0074345B" w:rsidP="00A36069">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11</w:t>
      </w:r>
    </w:p>
    <w:p w:rsidR="0074345B" w:rsidRPr="00792C8B" w:rsidRDefault="0074345B" w:rsidP="00A36069">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Biuro Trybunału</w:t>
      </w:r>
    </w:p>
    <w:p w:rsidR="00266A8B" w:rsidRPr="00792C8B" w:rsidRDefault="00266A8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Organizacyjne i administracyjne warunki pracy Trybunału zapewnia Prezes Trybunału oraz podległe mu Biuro Trybunału, zwane dalej „Biurem”. </w:t>
      </w:r>
    </w:p>
    <w:p w:rsidR="00266A8B" w:rsidRPr="00792C8B" w:rsidRDefault="00537FAA" w:rsidP="00C61944">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66A8B" w:rsidRPr="00792C8B">
        <w:rPr>
          <w:rFonts w:ascii="Times New Roman" w:hAnsi="Times New Roman" w:cs="Times New Roman"/>
          <w:sz w:val="24"/>
          <w:szCs w:val="24"/>
        </w:rPr>
        <w:t xml:space="preserve">Szczegółowy zakres zadań i strukturę Biura określa statut. </w:t>
      </w:r>
    </w:p>
    <w:p w:rsidR="00266A8B" w:rsidRPr="00792C8B" w:rsidRDefault="00537FAA"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66A8B" w:rsidRPr="00792C8B">
        <w:rPr>
          <w:rFonts w:ascii="Times New Roman" w:hAnsi="Times New Roman" w:cs="Times New Roman"/>
          <w:sz w:val="24"/>
          <w:szCs w:val="24"/>
        </w:rPr>
        <w:t xml:space="preserve">Biurem kieruje szef Biura, którego powołuje i odwołuje Zgromadzenie Ogólne na wniosek Prezesa Trybunału. </w:t>
      </w:r>
    </w:p>
    <w:p w:rsidR="00266A8B" w:rsidRPr="00792C8B" w:rsidRDefault="00537FAA" w:rsidP="00C61944">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66A8B" w:rsidRPr="00792C8B">
        <w:rPr>
          <w:rFonts w:ascii="Times New Roman" w:hAnsi="Times New Roman" w:cs="Times New Roman"/>
          <w:sz w:val="24"/>
          <w:szCs w:val="24"/>
        </w:rPr>
        <w:t xml:space="preserve">Wynagrodzenie szefa Biura jest ustalane na podstawie przepisów o wynagrodzeniu osób zajmujących kierownicze stanowiska państwowe, w zakresie dotyczącym sekretarza stanu. </w:t>
      </w:r>
    </w:p>
    <w:p w:rsidR="00266A8B" w:rsidRPr="00792C8B" w:rsidRDefault="0071786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1.</w:t>
      </w:r>
      <w:r w:rsidRPr="00792C8B">
        <w:rPr>
          <w:rFonts w:ascii="Times New Roman" w:hAnsi="Times New Roman" w:cs="Times New Roman"/>
          <w:b/>
          <w:sz w:val="24"/>
          <w:szCs w:val="24"/>
        </w:rPr>
        <w:t xml:space="preserve"> </w:t>
      </w:r>
      <w:r w:rsidR="00266A8B" w:rsidRPr="00792C8B">
        <w:rPr>
          <w:rFonts w:ascii="Times New Roman" w:hAnsi="Times New Roman" w:cs="Times New Roman"/>
          <w:sz w:val="24"/>
          <w:szCs w:val="24"/>
        </w:rPr>
        <w:t xml:space="preserve">Pracownicy Biura zatrudnieni na stanowiskach związanych bezpośrednio </w:t>
      </w:r>
      <w:r w:rsidR="00C61944" w:rsidRPr="00792C8B">
        <w:rPr>
          <w:rFonts w:ascii="Times New Roman" w:hAnsi="Times New Roman" w:cs="Times New Roman"/>
          <w:sz w:val="24"/>
          <w:szCs w:val="24"/>
        </w:rPr>
        <w:br/>
      </w:r>
      <w:r w:rsidR="00266A8B" w:rsidRPr="00792C8B">
        <w:rPr>
          <w:rFonts w:ascii="Times New Roman" w:hAnsi="Times New Roman" w:cs="Times New Roman"/>
          <w:sz w:val="24"/>
          <w:szCs w:val="24"/>
        </w:rPr>
        <w:t xml:space="preserve">z działalnością orzeczniczą Trybunału i pomocą w tym zakresie w pracy sędziów Trybunału tworzą służbę prawną Trybunału. </w:t>
      </w:r>
    </w:p>
    <w:p w:rsidR="00266A8B" w:rsidRPr="00792C8B" w:rsidRDefault="0071786F" w:rsidP="00C61944">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66A8B" w:rsidRPr="00792C8B">
        <w:rPr>
          <w:rFonts w:ascii="Times New Roman" w:hAnsi="Times New Roman" w:cs="Times New Roman"/>
          <w:sz w:val="24"/>
          <w:szCs w:val="24"/>
        </w:rPr>
        <w:t xml:space="preserve">Wykaz stanowisk, na których zatrudnione osoby należą do służby prawnej Trybunału, oraz szczegółowe wymagania kwalifikacyjne związane z zajmowaniem tych stanowisk określa, w drodze zarządzenia wydanego na wniosek szefa Biura i po zasięgnięciu opinii Zgromadzenia Ogólnego, Prezes Trybunału. </w:t>
      </w:r>
    </w:p>
    <w:p w:rsidR="00266A8B" w:rsidRPr="00792C8B" w:rsidRDefault="0071786F"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1. </w:t>
      </w:r>
      <w:r w:rsidR="00266A8B" w:rsidRPr="00792C8B">
        <w:rPr>
          <w:rFonts w:ascii="Times New Roman" w:hAnsi="Times New Roman" w:cs="Times New Roman"/>
          <w:sz w:val="24"/>
          <w:szCs w:val="24"/>
        </w:rPr>
        <w:t xml:space="preserve">W sprawach nieuregulowanych w ustawie do pracowników Biura stosuje się przepisy ustawy z dnia 16 września 1982 r. o pracownikach urzędów państwowych. </w:t>
      </w:r>
    </w:p>
    <w:p w:rsidR="00A172C0" w:rsidRPr="00792C8B" w:rsidRDefault="0071786F" w:rsidP="00C61944">
      <w:pPr>
        <w:spacing w:after="0" w:line="360" w:lineRule="auto"/>
        <w:ind w:firstLine="426"/>
        <w:jc w:val="both"/>
        <w:rPr>
          <w:rFonts w:ascii="Times New Roman" w:hAnsi="Times New Roman" w:cs="Times New Roman"/>
          <w:sz w:val="24"/>
          <w:szCs w:val="24"/>
        </w:rPr>
      </w:pPr>
      <w:r w:rsidRPr="00792C8B">
        <w:rPr>
          <w:rFonts w:ascii="Times New Roman" w:hAnsi="Times New Roman" w:cs="Times New Roman"/>
          <w:sz w:val="24"/>
          <w:szCs w:val="24"/>
        </w:rPr>
        <w:t xml:space="preserve">2. </w:t>
      </w:r>
      <w:r w:rsidR="00266A8B" w:rsidRPr="00792C8B">
        <w:rPr>
          <w:rFonts w:ascii="Times New Roman" w:hAnsi="Times New Roman" w:cs="Times New Roman"/>
          <w:sz w:val="24"/>
          <w:szCs w:val="24"/>
        </w:rPr>
        <w:t xml:space="preserve">Szef Biura wykonuje wynikające z przepisów prawa kompetencje kierownika urzędu. </w:t>
      </w:r>
    </w:p>
    <w:p w:rsidR="00A172C0" w:rsidRPr="00792C8B" w:rsidRDefault="00A172C0">
      <w:pPr>
        <w:rPr>
          <w:rFonts w:ascii="Times New Roman" w:hAnsi="Times New Roman" w:cs="Times New Roman"/>
          <w:sz w:val="24"/>
          <w:szCs w:val="24"/>
        </w:rPr>
      </w:pPr>
    </w:p>
    <w:p w:rsidR="00266A8B" w:rsidRPr="00792C8B" w:rsidRDefault="00266A8B" w:rsidP="00C61944">
      <w:pPr>
        <w:spacing w:before="240" w:after="120" w:line="360" w:lineRule="auto"/>
        <w:ind w:firstLine="567"/>
        <w:jc w:val="center"/>
        <w:rPr>
          <w:rFonts w:ascii="Times New Roman" w:hAnsi="Times New Roman" w:cs="Times New Roman"/>
          <w:sz w:val="24"/>
          <w:szCs w:val="24"/>
        </w:rPr>
      </w:pPr>
      <w:r w:rsidRPr="00792C8B">
        <w:rPr>
          <w:rFonts w:ascii="Times New Roman" w:hAnsi="Times New Roman" w:cs="Times New Roman"/>
          <w:sz w:val="24"/>
          <w:szCs w:val="24"/>
        </w:rPr>
        <w:t>Rozdział 12</w:t>
      </w:r>
    </w:p>
    <w:p w:rsidR="00266A8B" w:rsidRPr="00792C8B" w:rsidRDefault="00E3721C" w:rsidP="00C61944">
      <w:pPr>
        <w:spacing w:before="120" w:after="120" w:line="360" w:lineRule="auto"/>
        <w:ind w:firstLine="567"/>
        <w:jc w:val="center"/>
        <w:rPr>
          <w:rFonts w:ascii="Times New Roman" w:hAnsi="Times New Roman" w:cs="Times New Roman"/>
          <w:b/>
          <w:sz w:val="24"/>
          <w:szCs w:val="24"/>
        </w:rPr>
      </w:pPr>
      <w:r w:rsidRPr="00792C8B">
        <w:rPr>
          <w:rFonts w:ascii="Times New Roman" w:hAnsi="Times New Roman" w:cs="Times New Roman"/>
          <w:b/>
          <w:sz w:val="24"/>
          <w:szCs w:val="24"/>
        </w:rPr>
        <w:t>Przepisy</w:t>
      </w:r>
      <w:r w:rsidR="00994E29" w:rsidRPr="00792C8B">
        <w:rPr>
          <w:rFonts w:ascii="Times New Roman" w:hAnsi="Times New Roman" w:cs="Times New Roman"/>
          <w:b/>
          <w:sz w:val="24"/>
          <w:szCs w:val="24"/>
        </w:rPr>
        <w:t xml:space="preserve"> </w:t>
      </w:r>
      <w:r w:rsidR="00121211" w:rsidRPr="00792C8B">
        <w:rPr>
          <w:rFonts w:ascii="Times New Roman" w:hAnsi="Times New Roman" w:cs="Times New Roman"/>
          <w:b/>
          <w:sz w:val="24"/>
          <w:szCs w:val="24"/>
        </w:rPr>
        <w:t>z</w:t>
      </w:r>
      <w:r w:rsidR="00994E29" w:rsidRPr="00792C8B">
        <w:rPr>
          <w:rFonts w:ascii="Times New Roman" w:hAnsi="Times New Roman" w:cs="Times New Roman"/>
          <w:b/>
          <w:sz w:val="24"/>
          <w:szCs w:val="24"/>
        </w:rPr>
        <w:t>mieniające,</w:t>
      </w:r>
      <w:r w:rsidRPr="00792C8B">
        <w:rPr>
          <w:rFonts w:ascii="Times New Roman" w:hAnsi="Times New Roman" w:cs="Times New Roman"/>
          <w:b/>
          <w:sz w:val="24"/>
          <w:szCs w:val="24"/>
        </w:rPr>
        <w:t xml:space="preserve"> </w:t>
      </w:r>
      <w:r w:rsidR="001769AF" w:rsidRPr="00792C8B">
        <w:rPr>
          <w:rFonts w:ascii="Times New Roman" w:hAnsi="Times New Roman" w:cs="Times New Roman"/>
          <w:b/>
          <w:sz w:val="24"/>
          <w:szCs w:val="24"/>
        </w:rPr>
        <w:t>p</w:t>
      </w:r>
      <w:r w:rsidRPr="00792C8B">
        <w:rPr>
          <w:rFonts w:ascii="Times New Roman" w:hAnsi="Times New Roman" w:cs="Times New Roman"/>
          <w:b/>
          <w:sz w:val="24"/>
          <w:szCs w:val="24"/>
        </w:rPr>
        <w:t>rzejściowe</w:t>
      </w:r>
      <w:r w:rsidR="007B671C" w:rsidRPr="00792C8B">
        <w:rPr>
          <w:rFonts w:ascii="Times New Roman" w:hAnsi="Times New Roman" w:cs="Times New Roman"/>
          <w:b/>
          <w:sz w:val="24"/>
          <w:szCs w:val="24"/>
        </w:rPr>
        <w:t xml:space="preserve"> </w:t>
      </w:r>
      <w:r w:rsidRPr="00792C8B">
        <w:rPr>
          <w:rFonts w:ascii="Times New Roman" w:hAnsi="Times New Roman" w:cs="Times New Roman"/>
          <w:b/>
          <w:sz w:val="24"/>
          <w:szCs w:val="24"/>
        </w:rPr>
        <w:t>i</w:t>
      </w:r>
      <w:r w:rsidR="007B671C" w:rsidRPr="00792C8B">
        <w:rPr>
          <w:rFonts w:ascii="Times New Roman" w:hAnsi="Times New Roman" w:cs="Times New Roman"/>
          <w:b/>
          <w:sz w:val="24"/>
          <w:szCs w:val="24"/>
        </w:rPr>
        <w:t xml:space="preserve"> </w:t>
      </w:r>
      <w:r w:rsidR="001769AF" w:rsidRPr="00792C8B">
        <w:rPr>
          <w:rFonts w:ascii="Times New Roman" w:hAnsi="Times New Roman" w:cs="Times New Roman"/>
          <w:b/>
          <w:sz w:val="24"/>
          <w:szCs w:val="24"/>
        </w:rPr>
        <w:t>k</w:t>
      </w:r>
      <w:r w:rsidRPr="00792C8B">
        <w:rPr>
          <w:rFonts w:ascii="Times New Roman" w:hAnsi="Times New Roman" w:cs="Times New Roman"/>
          <w:b/>
          <w:sz w:val="24"/>
          <w:szCs w:val="24"/>
        </w:rPr>
        <w:t>ońcowe</w:t>
      </w:r>
    </w:p>
    <w:p w:rsidR="00121211" w:rsidRPr="00792C8B" w:rsidRDefault="00121211"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W ustawie z dnia 27 czerwca 1997 r. o partiach politycznych (Dz. U. z 2011 r. Nr 155, poz. 924 oraz z 2015 r. poz. 1064 i 1485) art. 43 otrzymuje brzmienie:</w:t>
      </w:r>
    </w:p>
    <w:p w:rsidR="00E74C23" w:rsidRPr="00792C8B" w:rsidRDefault="00121211" w:rsidP="00F50EE3">
      <w:pPr>
        <w:spacing w:before="240" w:after="0" w:line="360" w:lineRule="auto"/>
        <w:ind w:left="425"/>
        <w:jc w:val="both"/>
        <w:rPr>
          <w:rFonts w:ascii="Times New Roman" w:hAnsi="Times New Roman" w:cs="Times New Roman"/>
          <w:sz w:val="24"/>
          <w:szCs w:val="24"/>
        </w:rPr>
      </w:pPr>
      <w:r w:rsidRPr="00792C8B">
        <w:rPr>
          <w:rFonts w:ascii="Times New Roman" w:hAnsi="Times New Roman" w:cs="Times New Roman"/>
          <w:sz w:val="24"/>
          <w:szCs w:val="24"/>
        </w:rPr>
        <w:t>„Art. 43. Tryb postępowania w sprawach, o których mowa w art. 42, określa ustawa z dnia … o Trybunale Konstytucyjnym (Dz. U. poz. …).”.</w:t>
      </w:r>
    </w:p>
    <w:p w:rsidR="00F50EE3" w:rsidRPr="00792C8B" w:rsidRDefault="00266A8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W sprawach wszczętych i niezakończonych przed wejściem w życie ustawy, w postępowaniu przed Trybunałem stosuje się przepisy dotychczasowe</w:t>
      </w:r>
      <w:r w:rsidR="00653F58" w:rsidRPr="00792C8B">
        <w:rPr>
          <w:rFonts w:ascii="Times New Roman" w:hAnsi="Times New Roman" w:cs="Times New Roman"/>
          <w:sz w:val="24"/>
          <w:szCs w:val="24"/>
        </w:rPr>
        <w:t xml:space="preserve">, </w:t>
      </w:r>
      <w:r w:rsidR="00237E23">
        <w:rPr>
          <w:rFonts w:ascii="Times New Roman" w:hAnsi="Times New Roman" w:cs="Times New Roman"/>
          <w:sz w:val="24"/>
          <w:szCs w:val="24"/>
        </w:rPr>
        <w:t xml:space="preserve">z </w:t>
      </w:r>
      <w:r w:rsidR="00653F58" w:rsidRPr="00792C8B">
        <w:rPr>
          <w:rFonts w:ascii="Times New Roman" w:hAnsi="Times New Roman" w:cs="Times New Roman"/>
          <w:sz w:val="24"/>
          <w:szCs w:val="24"/>
        </w:rPr>
        <w:t xml:space="preserve">wyjątkiem przepisów </w:t>
      </w:r>
      <w:r w:rsidR="00A83353" w:rsidRPr="00792C8B">
        <w:rPr>
          <w:rFonts w:ascii="Times New Roman" w:hAnsi="Times New Roman" w:cs="Times New Roman"/>
          <w:sz w:val="24"/>
          <w:szCs w:val="24"/>
        </w:rPr>
        <w:t>dotyczących</w:t>
      </w:r>
      <w:r w:rsidR="00F50EE3" w:rsidRPr="00792C8B">
        <w:rPr>
          <w:rFonts w:ascii="Times New Roman" w:hAnsi="Times New Roman" w:cs="Times New Roman"/>
          <w:sz w:val="24"/>
          <w:szCs w:val="24"/>
        </w:rPr>
        <w:t>:</w:t>
      </w:r>
    </w:p>
    <w:p w:rsidR="00F50EE3" w:rsidRPr="00792C8B" w:rsidRDefault="000D0376" w:rsidP="000D0376">
      <w:pPr>
        <w:pStyle w:val="Akapitzlist"/>
        <w:numPr>
          <w:ilvl w:val="0"/>
          <w:numId w:val="26"/>
        </w:numPr>
        <w:tabs>
          <w:tab w:val="left" w:pos="1276"/>
        </w:tabs>
        <w:spacing w:before="240" w:after="0" w:line="360" w:lineRule="auto"/>
        <w:jc w:val="both"/>
        <w:rPr>
          <w:rFonts w:ascii="Times New Roman" w:hAnsi="Times New Roman" w:cs="Times New Roman"/>
          <w:sz w:val="24"/>
          <w:szCs w:val="24"/>
        </w:rPr>
      </w:pPr>
      <w:r w:rsidRPr="00792C8B">
        <w:rPr>
          <w:rFonts w:ascii="Times New Roman" w:hAnsi="Times New Roman" w:cs="Times New Roman"/>
          <w:sz w:val="24"/>
          <w:szCs w:val="24"/>
        </w:rPr>
        <w:t>ustalania liczby składu orzekającego;</w:t>
      </w:r>
    </w:p>
    <w:p w:rsidR="000D0376" w:rsidRPr="00792C8B" w:rsidRDefault="000D0376" w:rsidP="000D0376">
      <w:pPr>
        <w:pStyle w:val="Akapitzlist"/>
        <w:numPr>
          <w:ilvl w:val="0"/>
          <w:numId w:val="26"/>
        </w:numPr>
        <w:tabs>
          <w:tab w:val="left" w:pos="1276"/>
        </w:tabs>
        <w:spacing w:before="240" w:after="0" w:line="360" w:lineRule="auto"/>
        <w:jc w:val="both"/>
        <w:rPr>
          <w:rFonts w:ascii="Times New Roman" w:hAnsi="Times New Roman" w:cs="Times New Roman"/>
          <w:sz w:val="24"/>
          <w:szCs w:val="24"/>
        </w:rPr>
      </w:pPr>
      <w:r w:rsidRPr="00792C8B">
        <w:rPr>
          <w:rFonts w:ascii="Times New Roman" w:hAnsi="Times New Roman" w:cs="Times New Roman"/>
          <w:sz w:val="24"/>
          <w:szCs w:val="24"/>
        </w:rPr>
        <w:t>kolejności rozpoznawania spraw;</w:t>
      </w:r>
    </w:p>
    <w:p w:rsidR="000D0376" w:rsidRPr="00792C8B" w:rsidRDefault="00A83353" w:rsidP="000D0376">
      <w:pPr>
        <w:pStyle w:val="Akapitzlist"/>
        <w:numPr>
          <w:ilvl w:val="0"/>
          <w:numId w:val="26"/>
        </w:numPr>
        <w:tabs>
          <w:tab w:val="left" w:pos="1276"/>
        </w:tabs>
        <w:spacing w:before="240" w:after="0" w:line="360" w:lineRule="auto"/>
        <w:jc w:val="both"/>
        <w:rPr>
          <w:rFonts w:ascii="Times New Roman" w:hAnsi="Times New Roman" w:cs="Times New Roman"/>
          <w:sz w:val="24"/>
          <w:szCs w:val="24"/>
        </w:rPr>
      </w:pPr>
      <w:r w:rsidRPr="00792C8B">
        <w:rPr>
          <w:rFonts w:ascii="Times New Roman" w:hAnsi="Times New Roman" w:cs="Times New Roman"/>
          <w:sz w:val="24"/>
          <w:szCs w:val="24"/>
        </w:rPr>
        <w:t>okresu</w:t>
      </w:r>
      <w:r w:rsidR="00237E23">
        <w:rPr>
          <w:rFonts w:ascii="Times New Roman" w:hAnsi="Times New Roman" w:cs="Times New Roman"/>
          <w:sz w:val="24"/>
          <w:szCs w:val="24"/>
        </w:rPr>
        <w:t>,</w:t>
      </w:r>
      <w:r w:rsidRPr="00792C8B">
        <w:rPr>
          <w:rFonts w:ascii="Times New Roman" w:hAnsi="Times New Roman" w:cs="Times New Roman"/>
          <w:sz w:val="24"/>
          <w:szCs w:val="24"/>
        </w:rPr>
        <w:t xml:space="preserve"> przed upływem k</w:t>
      </w:r>
      <w:r w:rsidR="00237E23">
        <w:rPr>
          <w:rFonts w:ascii="Times New Roman" w:hAnsi="Times New Roman" w:cs="Times New Roman"/>
          <w:sz w:val="24"/>
          <w:szCs w:val="24"/>
        </w:rPr>
        <w:t>tórego nie może się odbyć rozprawa</w:t>
      </w:r>
      <w:r w:rsidR="00792C8B" w:rsidRPr="00792C8B">
        <w:rPr>
          <w:rFonts w:ascii="Times New Roman" w:hAnsi="Times New Roman" w:cs="Times New Roman"/>
          <w:sz w:val="24"/>
          <w:szCs w:val="24"/>
        </w:rPr>
        <w:t>.</w:t>
      </w:r>
    </w:p>
    <w:p w:rsidR="00FF4558" w:rsidRPr="00792C8B" w:rsidRDefault="00FF4558" w:rsidP="00F50EE3">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Przepis</w:t>
      </w:r>
      <w:r w:rsidR="00D41DD9">
        <w:rPr>
          <w:rFonts w:ascii="Times New Roman" w:hAnsi="Times New Roman" w:cs="Times New Roman"/>
          <w:sz w:val="24"/>
          <w:szCs w:val="24"/>
        </w:rPr>
        <w:t>y</w:t>
      </w:r>
      <w:r w:rsidRPr="00792C8B">
        <w:rPr>
          <w:rFonts w:ascii="Times New Roman" w:hAnsi="Times New Roman" w:cs="Times New Roman"/>
          <w:sz w:val="24"/>
          <w:szCs w:val="24"/>
        </w:rPr>
        <w:t xml:space="preserve"> art. 11 stosuje się do sędziów Trybunału wybieranych na to stanowisko po dniu wejścia w życie ustawy.</w:t>
      </w:r>
    </w:p>
    <w:p w:rsidR="00653F58" w:rsidRPr="00792C8B" w:rsidRDefault="000F441E"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Prezes </w:t>
      </w:r>
      <w:r w:rsidR="00FF4558" w:rsidRPr="00792C8B">
        <w:rPr>
          <w:rFonts w:ascii="Times New Roman" w:hAnsi="Times New Roman" w:cs="Times New Roman"/>
          <w:sz w:val="24"/>
          <w:szCs w:val="24"/>
        </w:rPr>
        <w:t>Trybunału i Wiceprezes Trybunału wybrani przed dniem wejścia w życie ustawy pełnią funkcje do zakończenia kadencji zgodnie z przepisami dotychczasowym</w:t>
      </w:r>
      <w:r w:rsidR="00237E23">
        <w:rPr>
          <w:rFonts w:ascii="Times New Roman" w:hAnsi="Times New Roman" w:cs="Times New Roman"/>
          <w:sz w:val="24"/>
          <w:szCs w:val="24"/>
        </w:rPr>
        <w:t>i.</w:t>
      </w:r>
    </w:p>
    <w:p w:rsidR="00266A8B" w:rsidRPr="00792C8B" w:rsidRDefault="00266A8B" w:rsidP="00F50EE3">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Traci moc ustawa z dnia 25 czerwca 2015 r. o Trybunale Konstytucyjnym (Dz.</w:t>
      </w:r>
      <w:r w:rsidR="00237E23">
        <w:rPr>
          <w:rFonts w:ascii="Times New Roman" w:hAnsi="Times New Roman" w:cs="Times New Roman"/>
          <w:sz w:val="24"/>
          <w:szCs w:val="24"/>
        </w:rPr>
        <w:t> </w:t>
      </w:r>
      <w:r w:rsidRPr="00792C8B">
        <w:rPr>
          <w:rFonts w:ascii="Times New Roman" w:hAnsi="Times New Roman" w:cs="Times New Roman"/>
          <w:sz w:val="24"/>
          <w:szCs w:val="24"/>
        </w:rPr>
        <w:t>U.</w:t>
      </w:r>
      <w:r w:rsidR="00F90055" w:rsidRPr="00792C8B">
        <w:rPr>
          <w:rFonts w:ascii="Times New Roman" w:hAnsi="Times New Roman" w:cs="Times New Roman"/>
          <w:sz w:val="24"/>
          <w:szCs w:val="24"/>
        </w:rPr>
        <w:t xml:space="preserve"> </w:t>
      </w:r>
      <w:r w:rsidRPr="00792C8B">
        <w:rPr>
          <w:rFonts w:ascii="Times New Roman" w:hAnsi="Times New Roman" w:cs="Times New Roman"/>
          <w:sz w:val="24"/>
          <w:szCs w:val="24"/>
        </w:rPr>
        <w:t>z 2015 r. poz. 1064</w:t>
      </w:r>
      <w:r w:rsidR="00F90055" w:rsidRPr="00792C8B">
        <w:rPr>
          <w:rFonts w:ascii="Times New Roman" w:hAnsi="Times New Roman" w:cs="Times New Roman"/>
          <w:sz w:val="24"/>
          <w:szCs w:val="24"/>
        </w:rPr>
        <w:t>,</w:t>
      </w:r>
      <w:r w:rsidRPr="00792C8B">
        <w:rPr>
          <w:rFonts w:ascii="Times New Roman" w:hAnsi="Times New Roman" w:cs="Times New Roman"/>
          <w:sz w:val="24"/>
          <w:szCs w:val="24"/>
        </w:rPr>
        <w:t xml:space="preserve"> </w:t>
      </w:r>
      <w:r w:rsidR="00F90055" w:rsidRPr="00792C8B">
        <w:rPr>
          <w:rFonts w:ascii="Times New Roman" w:hAnsi="Times New Roman" w:cs="Times New Roman"/>
          <w:sz w:val="24"/>
          <w:szCs w:val="24"/>
        </w:rPr>
        <w:t>1928, 2147 i 2217.</w:t>
      </w:r>
      <w:r w:rsidRPr="00792C8B">
        <w:rPr>
          <w:rFonts w:ascii="Times New Roman" w:hAnsi="Times New Roman" w:cs="Times New Roman"/>
          <w:sz w:val="24"/>
          <w:szCs w:val="24"/>
        </w:rPr>
        <w:t xml:space="preserve">). </w:t>
      </w:r>
    </w:p>
    <w:p w:rsidR="00884C22" w:rsidRDefault="00266A8B" w:rsidP="00BB4BD8">
      <w:pPr>
        <w:pStyle w:val="Akapitzlist"/>
        <w:numPr>
          <w:ilvl w:val="0"/>
          <w:numId w:val="2"/>
        </w:numPr>
        <w:tabs>
          <w:tab w:val="left" w:pos="1276"/>
        </w:tabs>
        <w:spacing w:before="240" w:after="0" w:line="360" w:lineRule="auto"/>
        <w:ind w:left="0" w:firstLine="425"/>
        <w:contextualSpacing w:val="0"/>
        <w:jc w:val="both"/>
        <w:rPr>
          <w:rFonts w:ascii="Times New Roman" w:hAnsi="Times New Roman" w:cs="Times New Roman"/>
          <w:sz w:val="24"/>
          <w:szCs w:val="24"/>
        </w:rPr>
      </w:pPr>
      <w:r w:rsidRPr="00792C8B">
        <w:rPr>
          <w:rFonts w:ascii="Times New Roman" w:hAnsi="Times New Roman" w:cs="Times New Roman"/>
          <w:sz w:val="24"/>
          <w:szCs w:val="24"/>
        </w:rPr>
        <w:t xml:space="preserve">Ustawa wchodzi w życie po upływie </w:t>
      </w:r>
      <w:r w:rsidR="00A172C0" w:rsidRPr="00792C8B">
        <w:rPr>
          <w:rFonts w:ascii="Times New Roman" w:hAnsi="Times New Roman" w:cs="Times New Roman"/>
          <w:sz w:val="24"/>
          <w:szCs w:val="24"/>
        </w:rPr>
        <w:t>30 dni</w:t>
      </w:r>
      <w:r w:rsidR="000260BE" w:rsidRPr="00792C8B">
        <w:rPr>
          <w:rFonts w:ascii="Times New Roman" w:hAnsi="Times New Roman" w:cs="Times New Roman"/>
          <w:sz w:val="24"/>
          <w:szCs w:val="24"/>
        </w:rPr>
        <w:t xml:space="preserve"> </w:t>
      </w:r>
      <w:r w:rsidRPr="00792C8B">
        <w:rPr>
          <w:rFonts w:ascii="Times New Roman" w:hAnsi="Times New Roman" w:cs="Times New Roman"/>
          <w:sz w:val="24"/>
          <w:szCs w:val="24"/>
        </w:rPr>
        <w:t xml:space="preserve">od dnia ogłoszenia. </w:t>
      </w:r>
    </w:p>
    <w:p w:rsidR="00884C22" w:rsidRDefault="00884C22">
      <w:pPr>
        <w:rPr>
          <w:rFonts w:ascii="Times New Roman" w:hAnsi="Times New Roman" w:cs="Times New Roman"/>
          <w:sz w:val="24"/>
          <w:szCs w:val="24"/>
        </w:rPr>
      </w:pPr>
      <w:r>
        <w:rPr>
          <w:rFonts w:ascii="Times New Roman" w:hAnsi="Times New Roman" w:cs="Times New Roman"/>
          <w:sz w:val="24"/>
          <w:szCs w:val="24"/>
        </w:rPr>
        <w:br w:type="page"/>
      </w:r>
    </w:p>
    <w:p w:rsidR="00884C22" w:rsidRPr="00A43039" w:rsidRDefault="00884C22" w:rsidP="00884C22">
      <w:pPr>
        <w:spacing w:line="360" w:lineRule="auto"/>
        <w:ind w:firstLine="360"/>
        <w:jc w:val="center"/>
        <w:rPr>
          <w:rFonts w:ascii="Times New Roman" w:hAnsi="Times New Roman"/>
          <w:b/>
          <w:smallCaps/>
          <w:sz w:val="24"/>
          <w:szCs w:val="24"/>
        </w:rPr>
      </w:pPr>
      <w:r w:rsidRPr="00A43039">
        <w:rPr>
          <w:rFonts w:ascii="Times New Roman" w:hAnsi="Times New Roman"/>
          <w:b/>
          <w:smallCaps/>
          <w:sz w:val="24"/>
          <w:szCs w:val="24"/>
        </w:rPr>
        <w:t xml:space="preserve">Uzasadnienie </w:t>
      </w:r>
    </w:p>
    <w:p w:rsidR="00884C22" w:rsidRPr="00A43039" w:rsidRDefault="00884C22" w:rsidP="00884C22">
      <w:pPr>
        <w:spacing w:line="360" w:lineRule="auto"/>
        <w:rPr>
          <w:rFonts w:ascii="Times New Roman" w:hAnsi="Times New Roman"/>
          <w:b/>
          <w:smallCaps/>
          <w:sz w:val="24"/>
          <w:szCs w:val="24"/>
        </w:rPr>
      </w:pPr>
    </w:p>
    <w:p w:rsidR="00884C22" w:rsidRPr="00A43039" w:rsidRDefault="00884C22" w:rsidP="00884C22">
      <w:pPr>
        <w:pStyle w:val="Akapitzlist"/>
        <w:numPr>
          <w:ilvl w:val="0"/>
          <w:numId w:val="27"/>
        </w:numPr>
        <w:suppressAutoHyphens/>
        <w:autoSpaceDN w:val="0"/>
        <w:spacing w:before="240" w:after="240" w:line="360" w:lineRule="auto"/>
        <w:ind w:left="567" w:hanging="567"/>
        <w:contextualSpacing w:val="0"/>
        <w:jc w:val="both"/>
        <w:textAlignment w:val="baseline"/>
        <w:rPr>
          <w:rFonts w:ascii="Times New Roman" w:hAnsi="Times New Roman"/>
          <w:b/>
          <w:sz w:val="24"/>
          <w:szCs w:val="24"/>
        </w:rPr>
      </w:pPr>
      <w:r w:rsidRPr="00A43039">
        <w:rPr>
          <w:rFonts w:ascii="Times New Roman" w:hAnsi="Times New Roman"/>
          <w:b/>
          <w:sz w:val="24"/>
          <w:szCs w:val="24"/>
        </w:rPr>
        <w:t>Cel ustawy</w:t>
      </w:r>
    </w:p>
    <w:p w:rsidR="00884C22" w:rsidRPr="00A43039" w:rsidRDefault="00884C22" w:rsidP="00884C22">
      <w:pPr>
        <w:pStyle w:val="Akapitzlist"/>
        <w:spacing w:line="360" w:lineRule="auto"/>
        <w:ind w:left="567"/>
        <w:jc w:val="both"/>
        <w:rPr>
          <w:rFonts w:ascii="Times New Roman" w:hAnsi="Times New Roman"/>
          <w:sz w:val="24"/>
          <w:szCs w:val="24"/>
        </w:rPr>
      </w:pPr>
      <w:r w:rsidRPr="00A43039">
        <w:rPr>
          <w:rFonts w:ascii="Times New Roman" w:hAnsi="Times New Roman"/>
          <w:sz w:val="24"/>
          <w:szCs w:val="24"/>
        </w:rPr>
        <w:t>Celem niniejszej ustawy jest uporządkowanie materii ustrojowej i organizacyjnej Trybunału Konstytucyjnego („</w:t>
      </w:r>
      <w:r w:rsidRPr="00A43039">
        <w:rPr>
          <w:rFonts w:ascii="Times New Roman" w:hAnsi="Times New Roman"/>
          <w:b/>
          <w:sz w:val="24"/>
          <w:szCs w:val="24"/>
        </w:rPr>
        <w:t>Trybunał</w:t>
      </w:r>
      <w:r w:rsidRPr="00A43039">
        <w:rPr>
          <w:rFonts w:ascii="Times New Roman" w:hAnsi="Times New Roman"/>
          <w:sz w:val="24"/>
          <w:szCs w:val="24"/>
        </w:rPr>
        <w:t>”) tak, aby utrzymać i wzmocnić  pozycję Trybunału jako organu kontroli konstytucyjności aktów normatywnych oraz działania organów władzy publicznej. Ustawa ma na celu wzmocnienie niezależności Trybunału od innych władz, efektywności jego prac oraz wzmocnienie jego autorytetu społecznego.</w:t>
      </w:r>
    </w:p>
    <w:p w:rsidR="00884C22" w:rsidRPr="00A43039" w:rsidRDefault="00884C22" w:rsidP="00884C22">
      <w:pPr>
        <w:pStyle w:val="Akapitzlist"/>
        <w:spacing w:line="360" w:lineRule="auto"/>
        <w:ind w:left="567"/>
        <w:jc w:val="both"/>
        <w:rPr>
          <w:rFonts w:ascii="Times New Roman" w:hAnsi="Times New Roman"/>
          <w:sz w:val="24"/>
          <w:szCs w:val="24"/>
        </w:rPr>
      </w:pPr>
      <w:r w:rsidRPr="00A43039">
        <w:rPr>
          <w:rFonts w:ascii="Times New Roman" w:hAnsi="Times New Roman"/>
          <w:sz w:val="24"/>
          <w:szCs w:val="24"/>
        </w:rPr>
        <w:t>Proponuje się by ustawa regulowała podstawowe zasady ustrojowe oraz mechanizmy działania Trybunału przy jednoczesnym skróceniu oraz uproszczeniu większości przepisów. Ze względu na znaczną liczbę zmian systemowych oraz redakcyjnych samej ustawy, zdecydowano się na stworzenie projektu nowej ustawy zamiast nowelizacji ustawy obowiązującej.</w:t>
      </w:r>
    </w:p>
    <w:p w:rsidR="00884C22" w:rsidRPr="00A43039" w:rsidRDefault="00884C22" w:rsidP="00884C22">
      <w:pPr>
        <w:pStyle w:val="Akapitzlist"/>
        <w:spacing w:line="360" w:lineRule="auto"/>
        <w:ind w:left="567"/>
        <w:jc w:val="both"/>
        <w:rPr>
          <w:rFonts w:ascii="Times New Roman" w:hAnsi="Times New Roman"/>
          <w:sz w:val="24"/>
          <w:szCs w:val="24"/>
        </w:rPr>
      </w:pPr>
      <w:r w:rsidRPr="00A43039">
        <w:rPr>
          <w:rFonts w:ascii="Times New Roman" w:hAnsi="Times New Roman"/>
          <w:sz w:val="24"/>
          <w:szCs w:val="24"/>
        </w:rPr>
        <w:t>Proponuje się by w tekście projektu unikać wprowadzania przepisów, które albo powtarzały materię konstytucyjną (np. dawny art. 16 ustawy) lub regulowały materię, która w sposób odpowiedni regulowana jest w przepisach kodeksu postępowania cywilnego, do którego w sprawach nieuregulowanych projekt odsyła (np. dawny art. 106 ustawy). Zgodnie z zamierzeniami, ustawa powinna też pozostawiać odpowiedni zakres uprawnień dyskrecjonalnych Prezesowi Trybunału oraz Zgromadzeniu Ogólnemu Sędziów.</w:t>
      </w:r>
    </w:p>
    <w:p w:rsidR="00884C22" w:rsidRPr="00A43039" w:rsidRDefault="00884C22" w:rsidP="00884C22">
      <w:pPr>
        <w:pStyle w:val="Akapitzlist"/>
        <w:spacing w:line="360" w:lineRule="auto"/>
        <w:ind w:left="567"/>
        <w:jc w:val="both"/>
        <w:rPr>
          <w:rFonts w:ascii="Times New Roman" w:hAnsi="Times New Roman"/>
          <w:sz w:val="24"/>
          <w:szCs w:val="24"/>
        </w:rPr>
      </w:pPr>
      <w:r w:rsidRPr="00A43039">
        <w:rPr>
          <w:rFonts w:ascii="Times New Roman" w:hAnsi="Times New Roman"/>
          <w:sz w:val="24"/>
          <w:szCs w:val="24"/>
        </w:rPr>
        <w:t xml:space="preserve">Ustawa składa się z 12 rozdziałów, normujących organizację Trybunału, status sędziów Trybunału, reguły postępowania przez Trybunałem, status Biura Trybunału oraz </w:t>
      </w:r>
      <w:r>
        <w:rPr>
          <w:rFonts w:ascii="Times New Roman" w:hAnsi="Times New Roman"/>
          <w:sz w:val="24"/>
          <w:szCs w:val="24"/>
        </w:rPr>
        <w:t xml:space="preserve">niezbędne </w:t>
      </w:r>
      <w:r w:rsidRPr="00A43039">
        <w:rPr>
          <w:rFonts w:ascii="Times New Roman" w:hAnsi="Times New Roman"/>
          <w:sz w:val="24"/>
          <w:szCs w:val="24"/>
        </w:rPr>
        <w:t xml:space="preserve">przepisy </w:t>
      </w:r>
      <w:r>
        <w:rPr>
          <w:rFonts w:ascii="Times New Roman" w:hAnsi="Times New Roman"/>
          <w:sz w:val="24"/>
          <w:szCs w:val="24"/>
        </w:rPr>
        <w:t xml:space="preserve">zmieniające, przejściowe </w:t>
      </w:r>
      <w:r w:rsidRPr="00A43039">
        <w:rPr>
          <w:rFonts w:ascii="Times New Roman" w:hAnsi="Times New Roman"/>
          <w:sz w:val="24"/>
          <w:szCs w:val="24"/>
        </w:rPr>
        <w:t>i końcowe.</w:t>
      </w:r>
    </w:p>
    <w:p w:rsidR="00884C22" w:rsidRPr="00A43039" w:rsidRDefault="00884C22" w:rsidP="00884C22">
      <w:pPr>
        <w:pStyle w:val="Akapitzlist"/>
        <w:numPr>
          <w:ilvl w:val="0"/>
          <w:numId w:val="27"/>
        </w:numPr>
        <w:suppressAutoHyphens/>
        <w:autoSpaceDN w:val="0"/>
        <w:spacing w:before="240" w:after="240" w:line="360" w:lineRule="auto"/>
        <w:ind w:left="567" w:hanging="567"/>
        <w:contextualSpacing w:val="0"/>
        <w:jc w:val="both"/>
        <w:textAlignment w:val="baseline"/>
        <w:rPr>
          <w:rFonts w:ascii="Times New Roman" w:hAnsi="Times New Roman"/>
          <w:b/>
          <w:sz w:val="24"/>
          <w:szCs w:val="24"/>
        </w:rPr>
      </w:pPr>
      <w:r w:rsidRPr="00A43039">
        <w:rPr>
          <w:rFonts w:ascii="Times New Roman" w:hAnsi="Times New Roman"/>
          <w:b/>
          <w:sz w:val="24"/>
          <w:szCs w:val="24"/>
        </w:rPr>
        <w:t>Główne założenia ustawy</w:t>
      </w:r>
    </w:p>
    <w:p w:rsidR="00884C22" w:rsidRPr="00A43039" w:rsidRDefault="00884C22" w:rsidP="00884C22">
      <w:pPr>
        <w:pStyle w:val="Akapitzlist"/>
        <w:spacing w:line="360" w:lineRule="auto"/>
        <w:ind w:left="567"/>
        <w:jc w:val="both"/>
        <w:rPr>
          <w:rFonts w:ascii="Times New Roman" w:hAnsi="Times New Roman"/>
          <w:sz w:val="24"/>
          <w:szCs w:val="24"/>
        </w:rPr>
      </w:pPr>
      <w:r w:rsidRPr="00A43039">
        <w:rPr>
          <w:rFonts w:ascii="Times New Roman" w:hAnsi="Times New Roman"/>
          <w:sz w:val="24"/>
          <w:szCs w:val="24"/>
        </w:rPr>
        <w:t>W przedstawionym projekcie ustawy n</w:t>
      </w:r>
      <w:r>
        <w:rPr>
          <w:rFonts w:ascii="Times New Roman" w:hAnsi="Times New Roman"/>
          <w:sz w:val="24"/>
          <w:szCs w:val="24"/>
        </w:rPr>
        <w:t>a</w:t>
      </w:r>
      <w:r w:rsidRPr="00A43039">
        <w:rPr>
          <w:rFonts w:ascii="Times New Roman" w:hAnsi="Times New Roman"/>
          <w:sz w:val="24"/>
          <w:szCs w:val="24"/>
        </w:rPr>
        <w:t xml:space="preserve"> uwagę zasługują następujące przepisy:</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Określono kadencję Prezesa Trybunału jako 5 lat. Pięcioletnia kadencja jest z jednej strony wystarczająco długa aby urzędujący Prezes Trybunału stworzył strategię realizacji swoich zadań, a z drugiej strony nie na tyle długa, aby w przypadku braku właściwych działań mogła doprowadzić do rzeczywistej marginalizacji orzeczeń Trybunału lub braku efektywności działań TK. Jednocześnie, ustawa nie przewiduje możliwości ponownego wyboru.</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 xml:space="preserve">Doprecyzowano również procedurę wyboru Prezesa i Wiceprezesa Trybunału. Biorąc pod uwagę treść art. 194 ust. 2 Konstytucji przewidującego wyłącznie to, że wyboru Prezesa i Wiceprezesa dokonuje Prezydent oraz to, że kandydatów (tzn. minimum dwóch) przedstawia Zgromadzenie Ogólne sędziów Trybunału, zagadnienia doprecyzowujące mogą stanowić materię ustawową. Proponuje się by prawo zgłaszania kandydatów na Prezesa i Wiceprezesa Trybunału przysługiwało przynajmniej dwóm sędziom Trybunału, natomiast Prezydentowi powinno przedstawiać się dwie kandydatury, które uzyskały najwięcej głosów w Zgromadzeniu Ogólnym sędziów Trybunału. Z jednej strony, takie unormowanie zapewnia możliwość przedstawienia odpowiedniej liczby kandydatów przez sędziów Trybunału do Zgromadzenia Ogólnego, które z zaproponowanej puli wybiera dwóch kandydatów i przedstawia ich Prezydentowi. Takie rozwiązanie sprzyja osiąganiu względnego kompromisu wobec dwóch kandydatów, w ramach Zgromadzenia Ogólnego. Z drugiej strony, rozwiązanie to nie marginalizuje roli Prezydenta RP w procesie wyboru Prezesa i Wiceprezesa, ponieważ ostateczny wybór Prezesa Trybunału spośród dwóch przedstawionych kandydatów, należał będzie właśnie do Prezydenta RP. </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W ustawie wzmocniono mechanizm wyboru sędziów Trybunału. Po pierwsze, w celu wzmocnienia autorytetu Trybunału określono, że sędzią Trybunału może być tylko sędzia (lub sędzia w stanie spoczynku) Sądu Najwyższego, sędzia Naczelnego Sądu Administracyjnego lub doktor habilitowany lub profesor prawa. Osoby te spełniają konstytucyjne kryterium „wyróżniania się wiedzą prawniczą”, a jednocześnie zawężenie kręgu osób mogących pełnić tę funkcję sprzyjać będzie wyborowi kandydatów spośród najznamienitszych autorytetów prawniczych. Wprowadzono również mechanizm wzmacniający niezawisłość sędziów Trybunału poprzez doprecyzowanie wymogu apolityczności. W zaproponowanym projekcie wskazano bowiem, że kandydat na sędziego Trybunału nie może być członkiem partii politycznej oraz w okresie krótszym niż cztery lata przed dniem wyboru nie mógł być</w:t>
      </w:r>
      <w:r w:rsidR="00735715">
        <w:rPr>
          <w:rFonts w:ascii="Times New Roman" w:hAnsi="Times New Roman"/>
          <w:sz w:val="24"/>
          <w:szCs w:val="24"/>
        </w:rPr>
        <w:t xml:space="preserve"> członkiem partii politycznej,</w:t>
      </w:r>
      <w:r w:rsidRPr="00A43039">
        <w:rPr>
          <w:rFonts w:ascii="Times New Roman" w:hAnsi="Times New Roman"/>
          <w:sz w:val="24"/>
          <w:szCs w:val="24"/>
        </w:rPr>
        <w:t xml:space="preserve"> posłem, senatorem, członkiem Rady Ministrów, sekretarzem albo podsekretarzem stanu w Kancelarii Prezydenta lub w Kancelarii</w:t>
      </w:r>
      <w:r>
        <w:rPr>
          <w:rFonts w:ascii="Times New Roman" w:hAnsi="Times New Roman"/>
          <w:sz w:val="24"/>
          <w:szCs w:val="24"/>
        </w:rPr>
        <w:t xml:space="preserve"> Prezesa</w:t>
      </w:r>
      <w:r w:rsidRPr="00A43039">
        <w:rPr>
          <w:rFonts w:ascii="Times New Roman" w:hAnsi="Times New Roman"/>
          <w:sz w:val="24"/>
          <w:szCs w:val="24"/>
        </w:rPr>
        <w:t xml:space="preserve"> Rady Ministrów. Wprowadzenie zakazu wykonywania obowiązków posła lub senatora lub członka Kancelarii Prezydenta czy Kancelarii </w:t>
      </w:r>
      <w:r>
        <w:rPr>
          <w:rFonts w:ascii="Times New Roman" w:hAnsi="Times New Roman"/>
          <w:sz w:val="24"/>
          <w:szCs w:val="24"/>
        </w:rPr>
        <w:t>Prezesa Rady Ministrów</w:t>
      </w:r>
      <w:r w:rsidRPr="00A43039">
        <w:rPr>
          <w:rFonts w:ascii="Times New Roman" w:hAnsi="Times New Roman"/>
          <w:sz w:val="24"/>
          <w:szCs w:val="24"/>
        </w:rPr>
        <w:t xml:space="preserve"> na cztery lata przed dniem wyboru na sędziego Trybunału ma wzmocnić niezależność sędziów od wpływów i nacisków politycznych. Czteroletni termin jest w ocenie projektodawcy wystarczający dla wyeliminowania spośród kandydatów na sędziów Trybunału aktywnych polityków, oraz uniezależnienia się potencjalnych kandydatów od wpływów politycznych, z którymi mogli być uprzednio związani. </w:t>
      </w:r>
      <w:r>
        <w:rPr>
          <w:rFonts w:ascii="Times New Roman" w:hAnsi="Times New Roman"/>
          <w:sz w:val="24"/>
          <w:szCs w:val="24"/>
        </w:rPr>
        <w:t>Określono</w:t>
      </w:r>
      <w:r w:rsidRPr="00A43039">
        <w:rPr>
          <w:rFonts w:ascii="Times New Roman" w:hAnsi="Times New Roman"/>
          <w:sz w:val="24"/>
          <w:szCs w:val="24"/>
        </w:rPr>
        <w:t xml:space="preserve"> listę instytucji mogących zgłaszać kandydatów na sędziów Trybunału, gwarantując w ten sposób ich maksymalną niezależność. W związku z tym, że Konstytucja RP nie przesądza kto może zgłaszać kandydatów na sędziów Trybunału postanowiono zapewnia</w:t>
      </w:r>
      <w:r>
        <w:rPr>
          <w:rFonts w:ascii="Times New Roman" w:hAnsi="Times New Roman"/>
          <w:sz w:val="24"/>
          <w:szCs w:val="24"/>
        </w:rPr>
        <w:t>ć</w:t>
      </w:r>
      <w:r w:rsidRPr="00A43039">
        <w:rPr>
          <w:rFonts w:ascii="Times New Roman" w:hAnsi="Times New Roman"/>
          <w:sz w:val="24"/>
          <w:szCs w:val="24"/>
        </w:rPr>
        <w:t xml:space="preserve"> szeroką reprezentację środowisk prawniczych w procesie wyboru kandydata, przy jednoczesnym zapewnieniu poszanowania funkcji kreacyjnej Sejmu. Takie rozwiązanie dodatkowo wzmacnia apolityczność Trybunału. </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 xml:space="preserve">Dodatkowo, zgodnie z postulatami zgłaszanymi przez stronę społeczną, przewidziano obowiązkowy charakter odbycia debaty nad kandydaturami na sędziów TK oraz udział czynnika społecznego. Zgodnie z projektem, kandydatury na sędziów Trybunału zostają </w:t>
      </w:r>
      <w:r w:rsidR="00E94655">
        <w:rPr>
          <w:rFonts w:ascii="Times New Roman" w:hAnsi="Times New Roman"/>
          <w:sz w:val="24"/>
          <w:szCs w:val="24"/>
        </w:rPr>
        <w:t>nie</w:t>
      </w:r>
      <w:r w:rsidRPr="00A43039">
        <w:rPr>
          <w:rFonts w:ascii="Times New Roman" w:hAnsi="Times New Roman"/>
          <w:sz w:val="24"/>
          <w:szCs w:val="24"/>
        </w:rPr>
        <w:t>zwłocznie podane do publicznej wiadomości przez Marszałka Sejmu. Następnie Marszałek Sejmu powołuje komisję sejmową, w której skład wchodz</w:t>
      </w:r>
      <w:r>
        <w:rPr>
          <w:rFonts w:ascii="Times New Roman" w:hAnsi="Times New Roman"/>
          <w:sz w:val="24"/>
          <w:szCs w:val="24"/>
        </w:rPr>
        <w:t>i</w:t>
      </w:r>
      <w:r w:rsidRPr="00A43039">
        <w:rPr>
          <w:rFonts w:ascii="Times New Roman" w:hAnsi="Times New Roman"/>
          <w:sz w:val="24"/>
          <w:szCs w:val="24"/>
        </w:rPr>
        <w:t xml:space="preserve"> po </w:t>
      </w:r>
      <w:r>
        <w:rPr>
          <w:rFonts w:ascii="Times New Roman" w:hAnsi="Times New Roman"/>
          <w:sz w:val="24"/>
          <w:szCs w:val="24"/>
        </w:rPr>
        <w:t>dwóch</w:t>
      </w:r>
      <w:r w:rsidRPr="00A43039">
        <w:rPr>
          <w:rFonts w:ascii="Times New Roman" w:hAnsi="Times New Roman"/>
          <w:sz w:val="24"/>
          <w:szCs w:val="24"/>
        </w:rPr>
        <w:t xml:space="preserve"> przedstawiciel</w:t>
      </w:r>
      <w:r>
        <w:rPr>
          <w:rFonts w:ascii="Times New Roman" w:hAnsi="Times New Roman"/>
          <w:sz w:val="24"/>
          <w:szCs w:val="24"/>
        </w:rPr>
        <w:t>i</w:t>
      </w:r>
      <w:r w:rsidRPr="00A43039">
        <w:rPr>
          <w:rFonts w:ascii="Times New Roman" w:hAnsi="Times New Roman"/>
          <w:sz w:val="24"/>
          <w:szCs w:val="24"/>
        </w:rPr>
        <w:t xml:space="preserve"> klubów parlamentarnych</w:t>
      </w:r>
      <w:r w:rsidR="00916B49">
        <w:rPr>
          <w:rFonts w:ascii="Times New Roman" w:hAnsi="Times New Roman"/>
          <w:sz w:val="24"/>
          <w:szCs w:val="24"/>
        </w:rPr>
        <w:t xml:space="preserve"> i klubów poselskich</w:t>
      </w:r>
      <w:r w:rsidRPr="00A43039">
        <w:rPr>
          <w:rFonts w:ascii="Times New Roman" w:hAnsi="Times New Roman"/>
          <w:sz w:val="24"/>
          <w:szCs w:val="24"/>
        </w:rPr>
        <w:t xml:space="preserve">, a która ma za cel publiczne wysłuchanie zgłoszonych kandydatów na sędziów Trybunału, oraz wyłonienie trzech ostatecznych kandydatów, których następnie przedstawia Sejmowi. Zaproponowana procedura zmierza do zapewnienia przejrzystości postępowania w sprawie wyłonienia kandydatów a następnie sędziów Trybunału. </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Projektodawca, proponuje aby wybór sędziego Trybunału dokonywany był bezwzględną większością głosów w obecności przynajmniej połowy ustawowej liczby posłów. W trakcie prac nad projektem ustawy poświęcono wiele uwagi kwestii określenia mechanizmu wyboru sędziów zapewniającego jak największy kompromis społeczny dotyczący wybranego kandydata. Zdecydowano się natomiast na wprowadzenie dwuetapowego mechanizmu wyboru sędziego Trybunału, który ułatwi</w:t>
      </w:r>
      <w:r w:rsidR="00FD4AE2">
        <w:rPr>
          <w:rFonts w:ascii="Times New Roman" w:hAnsi="Times New Roman"/>
          <w:sz w:val="24"/>
          <w:szCs w:val="24"/>
        </w:rPr>
        <w:t xml:space="preserve"> wybór sędziego w przypadku nie</w:t>
      </w:r>
      <w:r w:rsidRPr="00A43039">
        <w:rPr>
          <w:rFonts w:ascii="Times New Roman" w:hAnsi="Times New Roman"/>
          <w:sz w:val="24"/>
          <w:szCs w:val="24"/>
        </w:rPr>
        <w:t xml:space="preserve">osiągnięcia wymaganej bezwzględnej większości w pierwszym głosowaniu. W sytuacji zatem, w której Sejm w pierwszym etapie głosowania nie osiągnie kompromisu co do wyboru jednego z trzech kandydatów zaproponowanych przez </w:t>
      </w:r>
      <w:r w:rsidR="00FD4AE2">
        <w:rPr>
          <w:rFonts w:ascii="Times New Roman" w:hAnsi="Times New Roman"/>
          <w:sz w:val="24"/>
          <w:szCs w:val="24"/>
        </w:rPr>
        <w:t>komisję sejmową</w:t>
      </w:r>
      <w:r w:rsidRPr="00A43039">
        <w:rPr>
          <w:rFonts w:ascii="Times New Roman" w:hAnsi="Times New Roman"/>
          <w:sz w:val="24"/>
          <w:szCs w:val="24"/>
        </w:rPr>
        <w:t xml:space="preserve">, w następnym głosowaniu weźmie udział już tylko dwóch kandydatów, którzy w pierwszym głosowaniu uzyskali największą liczbę głosów. W drugim etapie wybór sędziego, spomiędzy dwóch kandydatów dokonywany będzie również bezwzględną większością głosów. Zaproponowana formuła powinna zapewnić szeroki konsensus polityczny w odniesieniu do danego kandydata. </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Proponuje się by Sędziowie TK składali ślubowanie wobec organu, który ich powołuje, tj. Sejmu, co z jednej strony zapewni odpowiednią rangę takiego wydarzenia, a z drugiej strony umożliwi wyłączenie problematyki ślubowania z zakresu wydarzeń o charakterze politycznym.</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Odpowiadając na krytykę dotyczącą efektywności i sprawności działań Trybunału ze względu na nadmierne obciążenie sędziów Trybunału, zajęciami spoza ich obowiązków związanych z wykonywaniem funkcji sędziego Trybunału, wprowadzono ograniczenie możliwości wykonywania innych zajęć o charakterze zarobkowym i niezarobkowym. Sędziowie za zgodą Prezesa Trybunału, mogą łączyć funkcję sędziego Trybunału z pracą naukową i dydaktyczną na uczelni wyższej lub w instytucie naukowym w wymiarze nie przekraczającym połowy etatu. Zaproponowane rozwiązanie jest kompromisem pomiędzy zapewnieniem efektywności funkcjonowania Trybunału i sprawności orzeczniczej jego Sędziów oraz wykorzystania potencjału naukowego sędziów Trybunału a także promocji działalności Trybunału i jego dorobku orzeczniczego. W zaproponowanym rozwiązaniu to do Prezesa Trybunału, który odpowiedzialny jest za sprawne funkcjonowanie Trybunału, należała będzie decyzja dotycząca umożliwienia pracy dydaktycznej i naukowej sędziemu Trybunału. W założeniach zatem, działalność dydaktyczna i naukowa sędziów Trybunału będzie możliwa tylko w sytuacji, w której nie będzie ona miała negatywnego wpływu na efektywność pracy danego sędziego a ostatecznie całego Trybunału.</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 xml:space="preserve">Normując zasady ustalania liczebności składów orzekających kierowano się wymogami efektywności przy jednoczesnym poszanowaniu wagi wnoszonych do Trybunału spraw. Dlatego też przyjęto, że dorozumianym składem orzekającym będzie skład pięcioosobowy. Należy wziąć pod uwagę, że tryb wyboru sędziów Trybunału zapewnia, że nawet skład trzyosobowy dysponować będzie odpowiednim zasobem wiedzy i doświadczenia dla wydania wyroku w „zwykłych” sprawach. Dlatego też wskazano, że w sprawach, w których szczególnie istotne jest sprawne orzekanie, tj. w sprawach skarg konstytucyjnych oraz pytań prawnych, orzekałby skład trzyosobowy. Składy trzyosobowe funkcjonują w niektórych systemach prawnych, np. niemiecki Federalny Trybunał Konstytucyjny </w:t>
      </w:r>
      <w:r w:rsidRPr="00A43039">
        <w:rPr>
          <w:rFonts w:ascii="Times New Roman" w:hAnsi="Times New Roman"/>
          <w:b/>
          <w:sz w:val="24"/>
          <w:szCs w:val="24"/>
        </w:rPr>
        <w:t>(„FTK”)</w:t>
      </w:r>
      <w:r w:rsidRPr="00A43039">
        <w:rPr>
          <w:rFonts w:ascii="Times New Roman" w:hAnsi="Times New Roman"/>
          <w:sz w:val="24"/>
          <w:szCs w:val="24"/>
        </w:rPr>
        <w:t xml:space="preserve"> orzeka w trzyosobowych izbach. Podobnie, jak w przypadku FTK czy w proponowanej regulacji, dorozumianym składem orzekającym w Trybunale Sprawiedliwości UE jest skład trzyosobowy. Skład pięcio- czy trzy-osobowy nie jest przy tym składem jedynie dopuszczalnym. W przypadkach określonych w ustawie Trybunał może orzekać w tzw. pełnym składzie (min. 9 sędziów), przy czym kompetencję do określenia właściwego składu ze względu na złożoność lub doniosłość sprawy, miałby Prezes Trybunału działający z inicjatywy własnej lub składu orzekającego. Należy też podkreślić, że ustawa nie pozostawia Prezesowi Trybunału całkowitej swobody w przydzieleniu sprawy konkretnym sędziom Trybunału, gdyż czyniąc to Prezes musi kierować się takimi kryteriami, jak alfabetyczna lista sędziów, przedmiot sprawy (np. podatkowa, dot</w:t>
      </w:r>
      <w:r>
        <w:rPr>
          <w:rFonts w:ascii="Times New Roman" w:hAnsi="Times New Roman"/>
          <w:sz w:val="24"/>
          <w:szCs w:val="24"/>
        </w:rPr>
        <w:t>ycząca</w:t>
      </w:r>
      <w:r w:rsidRPr="00A43039">
        <w:rPr>
          <w:rFonts w:ascii="Times New Roman" w:hAnsi="Times New Roman"/>
          <w:sz w:val="24"/>
          <w:szCs w:val="24"/>
        </w:rPr>
        <w:t xml:space="preserve"> praw i wolności itp.), liczbę spraw będących w Trybunale w danym momencie oraz kolejność ich wpływu.</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Podobnie uproszczeniu działalności Trybunału oraz efektywności orzecznictwa sprzy</w:t>
      </w:r>
      <w:r w:rsidR="00C576A0">
        <w:rPr>
          <w:rFonts w:ascii="Times New Roman" w:hAnsi="Times New Roman"/>
          <w:sz w:val="24"/>
          <w:szCs w:val="24"/>
        </w:rPr>
        <w:t>ja regulacja dotycząca tzw. prze</w:t>
      </w:r>
      <w:r w:rsidRPr="00A43039">
        <w:rPr>
          <w:rFonts w:ascii="Times New Roman" w:hAnsi="Times New Roman"/>
          <w:sz w:val="24"/>
          <w:szCs w:val="24"/>
        </w:rPr>
        <w:t xml:space="preserve">dsądu w przypadku skarg konstytucyjnych. Ze względu na inne postanowienia, których celem jest sprzyjanie wnoszeniu takich skarg, należy spodziewać się ich zwiększonego wpływu. Dlatego też za zasadne należy uznać dopuszczenie by sędzia Trybunału jednoosobowo dokonał wstępnej oceny wymogów formalnych oraz innych przesłanek dopuszczalności skargi. </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Przepisem, który ma za zadanie zwiększyć efektywność postępowania przed Trybunałem jest zobowiązanie Trybunału do rozstrzygnięcia skargi konstytucyjnej w terminie 6 miesięcy od jej wpływu i dopuszczenie możliwości przedłużenia tego terminu tylko raz o kolejne 6 miesięcy. Należy przy tym rozważyć sytuację, w której skarga dotyczyć będzie na tyle doniosłego zagadnienia, że będzie zasadne, po pierwsze, przekazanie jej do rozstrzygnięcia w pełnym składzie Trybunału, a po drugie, przyznanie Trybunałowi dłuższego czasu na jej rozstrzygnięcie. Stąd wyłączenie przepisu zawierającego termin na wydanie wyroku w przypadku rozstrzygania skargi przez pełny skład ze względu na zawiłość lub doniosłość sprawy. Należy przy tym sobie zdać sprawę, że o ile naruszenie ww. terminu może nie rodzić określonych sankcji procesowych, pozostaje ów termin terminem wiążącym dla Trybunału.</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Ustawa w swoim zamierzeniu pozostawia Prezesowi Trybunału, Zgromadzeniu Ogólnemu oraz składowi orzekającemu szeroki zakres uznania jeśli chodzi o tryb i elementy procedury. Poza posiłkowym zastosowaniem k.p.c., organizacja postępowania w dużym stopniu pozostaje w rękach przewodniczącego składu orzekającego. Należy dopuścić również możliwość korzystania z różnych, dogodnych form przeprowadzenia postępowania, dlatego zbyt sztywna regulacja ustawowa nie miałaby w tym przypadku uzasadnienia.</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 xml:space="preserve">Kolejny przepis, nakazujący publikację wyroku niezwłocznie, lecz nie później niż 3 dni po doręczeniu odpowiedniego zarządzenia Prezesa Trybunału, ma za zadanie wzmocnić większą skuteczność wyroków Trybunału w świetle konstytucyjnego określenia tych wyroków jako mających moc powszechnie obowiązującą i ostateczną. </w:t>
      </w:r>
    </w:p>
    <w:p w:rsidR="00884C22" w:rsidRPr="00A43039" w:rsidRDefault="00884C22" w:rsidP="00884C22">
      <w:pPr>
        <w:pStyle w:val="Akapitzlist"/>
        <w:spacing w:line="360" w:lineRule="auto"/>
        <w:ind w:left="1134"/>
        <w:jc w:val="both"/>
        <w:rPr>
          <w:rFonts w:ascii="Times New Roman" w:hAnsi="Times New Roman"/>
          <w:sz w:val="24"/>
          <w:szCs w:val="24"/>
        </w:rPr>
      </w:pPr>
    </w:p>
    <w:p w:rsidR="00884C22" w:rsidRPr="00A43039" w:rsidRDefault="00884C22" w:rsidP="00884C22">
      <w:pPr>
        <w:pStyle w:val="Akapitzlist"/>
        <w:numPr>
          <w:ilvl w:val="0"/>
          <w:numId w:val="27"/>
        </w:numPr>
        <w:suppressAutoHyphens/>
        <w:autoSpaceDN w:val="0"/>
        <w:spacing w:before="240" w:after="240" w:line="360" w:lineRule="auto"/>
        <w:ind w:left="567" w:hanging="567"/>
        <w:contextualSpacing w:val="0"/>
        <w:jc w:val="both"/>
        <w:textAlignment w:val="baseline"/>
        <w:rPr>
          <w:rFonts w:ascii="Times New Roman" w:hAnsi="Times New Roman"/>
          <w:b/>
          <w:sz w:val="24"/>
          <w:szCs w:val="24"/>
        </w:rPr>
      </w:pPr>
      <w:r w:rsidRPr="00A43039">
        <w:rPr>
          <w:rFonts w:ascii="Times New Roman" w:hAnsi="Times New Roman"/>
          <w:b/>
          <w:sz w:val="24"/>
          <w:szCs w:val="24"/>
        </w:rPr>
        <w:t>Skutki gospodarcze i społeczne. Skutki finansowe.</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 xml:space="preserve">Ustawa nie wywołuje negatywnych skutków finansowych dla budżetu państwa. Zaproponowane rozwiązania mieszczą się w obecnym budżecie Trybunału, określonego w budżecie państwa.  </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Skutki społeczne ustawy są pozytywne. Wydarzenia związane z ustawą z dnia 25 czerwca 2015 r. oraz jej kolejnymi nowelizacjami spowodowały istotne obniżenie rangi i autorytetu Trybunału oraz spowodowały, że Trybunał może być kojarzony przede wszystkim z bieżącą polityką partyjną. Proponowane nowoczesne rozwiązania ustrojowe zmierzają z jednej strony do wzrostu autorytetu Trybunału przez zawężenie grona potencjalnych sędziów oraz skłonienie organu wybierającego do większej refleksji nad zgłaszanymi kandydaturami, a z drugiej strony dodatkowo wzmacniają konstytucyjną niezawisłość sędziów Trybunału przez jednoznaczne oddzielenie ich od bieżących sporów politycznych.</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rFonts w:ascii="Times New Roman" w:hAnsi="Times New Roman"/>
          <w:sz w:val="24"/>
          <w:szCs w:val="24"/>
        </w:rPr>
      </w:pPr>
      <w:r w:rsidRPr="00A43039">
        <w:rPr>
          <w:rFonts w:ascii="Times New Roman" w:hAnsi="Times New Roman"/>
          <w:sz w:val="24"/>
          <w:szCs w:val="24"/>
        </w:rPr>
        <w:t xml:space="preserve">Dodatkowo nie można pominąć wpływu projektowanych unormowań na sytuację prawną jednostki. Przyjęte rozwiązania mają zapewnić większą dostępność instytucji skargi konstytucyjnej a także zwiększyć efektywność Trybunału w rozstrzyganiu spraw indywidualnych. </w:t>
      </w:r>
    </w:p>
    <w:p w:rsidR="00884C22" w:rsidRPr="00A43039" w:rsidRDefault="00884C22" w:rsidP="00884C22">
      <w:pPr>
        <w:pStyle w:val="Akapitzlist"/>
        <w:numPr>
          <w:ilvl w:val="0"/>
          <w:numId w:val="27"/>
        </w:numPr>
        <w:suppressAutoHyphens/>
        <w:autoSpaceDN w:val="0"/>
        <w:spacing w:before="240" w:after="240" w:line="360" w:lineRule="auto"/>
        <w:ind w:left="567" w:hanging="567"/>
        <w:contextualSpacing w:val="0"/>
        <w:jc w:val="both"/>
        <w:textAlignment w:val="baseline"/>
        <w:rPr>
          <w:rFonts w:ascii="Times New Roman" w:hAnsi="Times New Roman"/>
          <w:b/>
          <w:sz w:val="24"/>
          <w:szCs w:val="24"/>
        </w:rPr>
      </w:pPr>
      <w:r w:rsidRPr="00A43039">
        <w:rPr>
          <w:rFonts w:ascii="Times New Roman" w:hAnsi="Times New Roman"/>
          <w:b/>
          <w:sz w:val="24"/>
          <w:szCs w:val="24"/>
        </w:rPr>
        <w:t>Analiza zgodności ustawy z prawem UE</w:t>
      </w:r>
    </w:p>
    <w:p w:rsidR="00884C22" w:rsidRPr="00A43039" w:rsidRDefault="00884C22" w:rsidP="00884C22">
      <w:pPr>
        <w:pStyle w:val="Akapitzlist"/>
        <w:numPr>
          <w:ilvl w:val="1"/>
          <w:numId w:val="27"/>
        </w:numPr>
        <w:suppressAutoHyphens/>
        <w:autoSpaceDN w:val="0"/>
        <w:spacing w:line="360" w:lineRule="auto"/>
        <w:ind w:left="1134" w:hanging="567"/>
        <w:contextualSpacing w:val="0"/>
        <w:jc w:val="both"/>
        <w:textAlignment w:val="baseline"/>
        <w:rPr>
          <w:sz w:val="24"/>
          <w:szCs w:val="24"/>
        </w:rPr>
      </w:pPr>
      <w:r w:rsidRPr="00A43039">
        <w:rPr>
          <w:rFonts w:ascii="Times New Roman" w:hAnsi="Times New Roman"/>
          <w:sz w:val="24"/>
          <w:szCs w:val="24"/>
        </w:rPr>
        <w:t xml:space="preserve">Proponowana ustawa jest zgodna z prawem UE. Istnienie silnego organu badającego zgodność działań władzy ustawodawczej i wykonawczej z konstytucją oraz chroniącego konstytucyjne prawa i wolności jednostek, są jawnie zgodne z wartościami, na których opiera się Unia, określonymi w art. 2 Traktatu o Unii Europejskiej, tj. zasadami </w:t>
      </w:r>
      <w:r w:rsidRPr="00A43039">
        <w:rPr>
          <w:rFonts w:ascii="Times New Roman" w:hAnsi="Times New Roman"/>
          <w:sz w:val="24"/>
          <w:szCs w:val="24"/>
          <w:shd w:val="clear" w:color="auto" w:fill="FFFFFF"/>
        </w:rPr>
        <w:t>poszanowania godności osoby ludzkiej, wolności, demokracji, równości, państwa prawnego, jak również poszanowania praw człowieka, w tym praw osób należących do mniejszości.</w:t>
      </w:r>
    </w:p>
    <w:p w:rsidR="00266A8B" w:rsidRPr="00792C8B" w:rsidRDefault="00266A8B" w:rsidP="00884C22">
      <w:pPr>
        <w:pStyle w:val="Akapitzlist"/>
        <w:tabs>
          <w:tab w:val="left" w:pos="1276"/>
        </w:tabs>
        <w:spacing w:before="240" w:after="0" w:line="360" w:lineRule="auto"/>
        <w:ind w:left="425"/>
        <w:contextualSpacing w:val="0"/>
        <w:jc w:val="both"/>
        <w:rPr>
          <w:rFonts w:ascii="Times New Roman" w:hAnsi="Times New Roman" w:cs="Times New Roman"/>
          <w:sz w:val="24"/>
          <w:szCs w:val="24"/>
        </w:rPr>
      </w:pPr>
    </w:p>
    <w:sectPr w:rsidR="00266A8B" w:rsidRPr="00792C8B" w:rsidSect="00FB512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58B" w:rsidRDefault="0002558B" w:rsidP="00434606">
      <w:pPr>
        <w:spacing w:after="0" w:line="240" w:lineRule="auto"/>
      </w:pPr>
      <w:r>
        <w:separator/>
      </w:r>
    </w:p>
  </w:endnote>
  <w:endnote w:type="continuationSeparator" w:id="0">
    <w:p w:rsidR="0002558B" w:rsidRDefault="0002558B" w:rsidP="00434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29590"/>
      <w:docPartObj>
        <w:docPartGallery w:val="Page Numbers (Bottom of Page)"/>
        <w:docPartUnique/>
      </w:docPartObj>
    </w:sdtPr>
    <w:sdtEndPr/>
    <w:sdtContent>
      <w:p w:rsidR="00D82437" w:rsidRDefault="00D82437">
        <w:pPr>
          <w:pStyle w:val="Stopka"/>
          <w:jc w:val="center"/>
        </w:pPr>
        <w:r>
          <w:fldChar w:fldCharType="begin"/>
        </w:r>
        <w:r>
          <w:instrText xml:space="preserve"> PAGE   \* MERGEFORMAT </w:instrText>
        </w:r>
        <w:r>
          <w:fldChar w:fldCharType="separate"/>
        </w:r>
        <w:r w:rsidR="00B112E4">
          <w:rPr>
            <w:noProof/>
          </w:rPr>
          <w:t>1</w:t>
        </w:r>
        <w:r>
          <w:fldChar w:fldCharType="end"/>
        </w:r>
      </w:p>
    </w:sdtContent>
  </w:sdt>
  <w:p w:rsidR="00D82437" w:rsidRDefault="00D8243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58B" w:rsidRDefault="0002558B" w:rsidP="00434606">
      <w:pPr>
        <w:spacing w:after="0" w:line="240" w:lineRule="auto"/>
      </w:pPr>
      <w:r>
        <w:separator/>
      </w:r>
    </w:p>
  </w:footnote>
  <w:footnote w:type="continuationSeparator" w:id="0">
    <w:p w:rsidR="0002558B" w:rsidRDefault="0002558B" w:rsidP="00434606">
      <w:pPr>
        <w:spacing w:after="0" w:line="240" w:lineRule="auto"/>
      </w:pPr>
      <w:r>
        <w:continuationSeparator/>
      </w:r>
    </w:p>
  </w:footnote>
  <w:footnote w:id="1">
    <w:p w:rsidR="00D82437" w:rsidRPr="00F50EE3" w:rsidRDefault="00D82437" w:rsidP="00F50EE3">
      <w:pPr>
        <w:pStyle w:val="Tekstprzypisudolnego"/>
        <w:jc w:val="both"/>
        <w:rPr>
          <w:rFonts w:ascii="Times New Roman" w:hAnsi="Times New Roman" w:cs="Times New Roman"/>
        </w:rPr>
      </w:pPr>
      <w:r>
        <w:rPr>
          <w:rStyle w:val="Odwoanieprzypisudolnego"/>
        </w:rPr>
        <w:footnoteRef/>
      </w:r>
      <w:r>
        <w:rPr>
          <w:vertAlign w:val="superscript"/>
        </w:rPr>
        <w:t xml:space="preserve">} </w:t>
      </w:r>
      <w:r>
        <w:rPr>
          <w:rFonts w:ascii="Times New Roman" w:hAnsi="Times New Roman" w:cs="Times New Roman"/>
        </w:rPr>
        <w:t xml:space="preserve">Zmiany tekstu jednolitego wymienionej ustawy zostały ogłoszone w Dz. U </w:t>
      </w:r>
      <w:r w:rsidRPr="00F90055">
        <w:rPr>
          <w:rFonts w:ascii="Times New Roman" w:hAnsi="Times New Roman" w:cs="Times New Roman"/>
        </w:rPr>
        <w:t>z</w:t>
      </w:r>
      <w:r>
        <w:rPr>
          <w:rFonts w:ascii="Times New Roman" w:hAnsi="Times New Roman" w:cs="Times New Roman"/>
        </w:rPr>
        <w:t xml:space="preserve"> </w:t>
      </w:r>
      <w:r w:rsidRPr="00F90055">
        <w:rPr>
          <w:rFonts w:ascii="Times New Roman" w:hAnsi="Times New Roman" w:cs="Times New Roman"/>
        </w:rPr>
        <w:t>2008 r. Nr 223,</w:t>
      </w:r>
      <w:r>
        <w:rPr>
          <w:rFonts w:ascii="Times New Roman" w:hAnsi="Times New Roman" w:cs="Times New Roman"/>
        </w:rPr>
        <w:t xml:space="preserve"> </w:t>
      </w:r>
      <w:r w:rsidRPr="00F90055">
        <w:rPr>
          <w:rFonts w:ascii="Times New Roman" w:hAnsi="Times New Roman" w:cs="Times New Roman"/>
        </w:rPr>
        <w:t xml:space="preserve">poz. 1458, z </w:t>
      </w:r>
      <w:r>
        <w:rPr>
          <w:rFonts w:ascii="Times New Roman" w:hAnsi="Times New Roman" w:cs="Times New Roman"/>
        </w:rPr>
        <w:t>2</w:t>
      </w:r>
      <w:r w:rsidRPr="00F90055">
        <w:rPr>
          <w:rFonts w:ascii="Times New Roman" w:hAnsi="Times New Roman" w:cs="Times New Roman"/>
        </w:rPr>
        <w:t>009</w:t>
      </w:r>
      <w:r>
        <w:rPr>
          <w:rFonts w:ascii="Times New Roman" w:hAnsi="Times New Roman" w:cs="Times New Roman"/>
        </w:rPr>
        <w:t xml:space="preserve"> </w:t>
      </w:r>
      <w:r w:rsidRPr="00F90055">
        <w:rPr>
          <w:rFonts w:ascii="Times New Roman" w:hAnsi="Times New Roman" w:cs="Times New Roman"/>
        </w:rPr>
        <w:t>r. Nr 178, poz.</w:t>
      </w:r>
      <w:r>
        <w:rPr>
          <w:rFonts w:ascii="Times New Roman" w:hAnsi="Times New Roman" w:cs="Times New Roman"/>
        </w:rPr>
        <w:t xml:space="preserve"> </w:t>
      </w:r>
      <w:r w:rsidRPr="00F90055">
        <w:rPr>
          <w:rFonts w:ascii="Times New Roman" w:hAnsi="Times New Roman" w:cs="Times New Roman"/>
        </w:rPr>
        <w:t>1375, z 2010 r.</w:t>
      </w:r>
      <w:r>
        <w:rPr>
          <w:rFonts w:ascii="Times New Roman" w:hAnsi="Times New Roman" w:cs="Times New Roman"/>
        </w:rPr>
        <w:t xml:space="preserve"> </w:t>
      </w:r>
      <w:r w:rsidRPr="00F90055">
        <w:rPr>
          <w:rFonts w:ascii="Times New Roman" w:hAnsi="Times New Roman" w:cs="Times New Roman"/>
        </w:rPr>
        <w:t>Nr 182, poz.</w:t>
      </w:r>
      <w:r>
        <w:rPr>
          <w:rFonts w:ascii="Times New Roman" w:hAnsi="Times New Roman" w:cs="Times New Roman"/>
        </w:rPr>
        <w:t xml:space="preserve"> 1228 oraz</w:t>
      </w:r>
      <w:r w:rsidRPr="00F90055">
        <w:rPr>
          <w:rFonts w:ascii="Times New Roman" w:hAnsi="Times New Roman" w:cs="Times New Roman"/>
        </w:rPr>
        <w:t xml:space="preserve"> z 2015 r.</w:t>
      </w:r>
      <w:r>
        <w:rPr>
          <w:rFonts w:ascii="Times New Roman" w:hAnsi="Times New Roman" w:cs="Times New Roman"/>
        </w:rPr>
        <w:t xml:space="preserve"> </w:t>
      </w:r>
      <w:r w:rsidRPr="00F90055">
        <w:rPr>
          <w:rFonts w:ascii="Times New Roman" w:hAnsi="Times New Roman" w:cs="Times New Roman"/>
        </w:rPr>
        <w:t>poz. 163</w:t>
      </w:r>
      <w:r>
        <w:rPr>
          <w:rFonts w:ascii="Times New Roman" w:hAnsi="Times New Roman" w:cs="Times New Roman"/>
        </w:rPr>
        <w:t>5.</w:t>
      </w:r>
    </w:p>
  </w:footnote>
  <w:footnote w:id="2">
    <w:p w:rsidR="00D82437" w:rsidRDefault="00D82437" w:rsidP="00F90055">
      <w:pPr>
        <w:pStyle w:val="Tekstprzypisudolnego"/>
      </w:pPr>
      <w:r>
        <w:rPr>
          <w:rStyle w:val="Odwoanieprzypisudolnego"/>
        </w:rPr>
        <w:footnoteRef/>
      </w:r>
      <w:r>
        <w:rPr>
          <w:vertAlign w:val="superscript"/>
        </w:rPr>
        <w:t>)</w:t>
      </w:r>
      <w:r>
        <w:t xml:space="preserve"> </w:t>
      </w:r>
      <w:r>
        <w:rPr>
          <w:rFonts w:ascii="Times New Roman" w:hAnsi="Times New Roman" w:cs="Times New Roman"/>
        </w:rPr>
        <w:t xml:space="preserve">Zmiany tekstu jednolitego wymienionej ustawy zostały ogłoszone w Dz. U. </w:t>
      </w:r>
      <w:r w:rsidRPr="00F90055">
        <w:rPr>
          <w:rFonts w:ascii="Times New Roman" w:hAnsi="Times New Roman" w:cs="Times New Roman"/>
        </w:rPr>
        <w:t>z 2014</w:t>
      </w:r>
      <w:r>
        <w:rPr>
          <w:rFonts w:ascii="Times New Roman" w:hAnsi="Times New Roman" w:cs="Times New Roman"/>
        </w:rPr>
        <w:t xml:space="preserve"> r. poz. 504, 1031 i 1081 oraz z</w:t>
      </w:r>
      <w:r w:rsidRPr="00F90055">
        <w:rPr>
          <w:rFonts w:ascii="Times New Roman" w:hAnsi="Times New Roman" w:cs="Times New Roman"/>
        </w:rPr>
        <w:t xml:space="preserve"> 2015 r.</w:t>
      </w:r>
      <w:r>
        <w:rPr>
          <w:rFonts w:ascii="Times New Roman" w:hAnsi="Times New Roman" w:cs="Times New Roman"/>
        </w:rPr>
        <w:t xml:space="preserve"> </w:t>
      </w:r>
      <w:r w:rsidRPr="00F90055">
        <w:rPr>
          <w:rFonts w:ascii="Times New Roman" w:hAnsi="Times New Roman" w:cs="Times New Roman"/>
        </w:rPr>
        <w:t>poz. 1066, 1167,</w:t>
      </w:r>
      <w:r>
        <w:rPr>
          <w:rFonts w:ascii="Times New Roman" w:hAnsi="Times New Roman" w:cs="Times New Roman"/>
        </w:rPr>
        <w:t xml:space="preserve"> 1240 i</w:t>
      </w:r>
      <w:r w:rsidRPr="00F90055">
        <w:rPr>
          <w:rFonts w:ascii="Times New Roman" w:hAnsi="Times New Roman" w:cs="Times New Roman"/>
        </w:rPr>
        <w:t xml:space="preserve"> 1348.</w:t>
      </w:r>
    </w:p>
  </w:footnote>
  <w:footnote w:id="3">
    <w:p w:rsidR="00D82437" w:rsidRDefault="00D82437" w:rsidP="00F50EE3">
      <w:pPr>
        <w:pStyle w:val="Tekstprzypisudolnego"/>
        <w:jc w:val="both"/>
      </w:pPr>
      <w:r>
        <w:rPr>
          <w:rStyle w:val="Odwoanieprzypisudolnego"/>
        </w:rPr>
        <w:footnoteRef/>
      </w:r>
      <w:r>
        <w:rPr>
          <w:vertAlign w:val="superscript"/>
        </w:rPr>
        <w:t>)</w:t>
      </w:r>
      <w:r>
        <w:t xml:space="preserve">  </w:t>
      </w:r>
      <w:r>
        <w:rPr>
          <w:rFonts w:ascii="Times New Roman" w:hAnsi="Times New Roman" w:cs="Times New Roman"/>
        </w:rPr>
        <w:t xml:space="preserve">Zmiany tekstu jednolitego wymienionej ustawy zostały ogłoszone w Dz. U. </w:t>
      </w:r>
      <w:r w:rsidRPr="008F647C">
        <w:rPr>
          <w:rFonts w:ascii="Times New Roman" w:hAnsi="Times New Roman" w:cs="Times New Roman"/>
        </w:rPr>
        <w:t>z 2014 r.</w:t>
      </w:r>
      <w:r>
        <w:rPr>
          <w:rFonts w:ascii="Times New Roman" w:hAnsi="Times New Roman" w:cs="Times New Roman"/>
        </w:rPr>
        <w:t xml:space="preserve"> </w:t>
      </w:r>
      <w:r w:rsidRPr="008F647C">
        <w:rPr>
          <w:rFonts w:ascii="Times New Roman" w:hAnsi="Times New Roman" w:cs="Times New Roman"/>
        </w:rPr>
        <w:t>poz. 293,</w:t>
      </w:r>
      <w:r>
        <w:rPr>
          <w:rFonts w:ascii="Times New Roman" w:hAnsi="Times New Roman" w:cs="Times New Roman"/>
        </w:rPr>
        <w:t xml:space="preserve"> </w:t>
      </w:r>
      <w:r w:rsidRPr="008F647C">
        <w:rPr>
          <w:rFonts w:ascii="Times New Roman" w:hAnsi="Times New Roman" w:cs="Times New Roman"/>
        </w:rPr>
        <w:t>379, 435, 567,</w:t>
      </w:r>
      <w:r>
        <w:rPr>
          <w:rFonts w:ascii="Times New Roman" w:hAnsi="Times New Roman" w:cs="Times New Roman"/>
        </w:rPr>
        <w:t xml:space="preserve"> </w:t>
      </w:r>
      <w:r w:rsidRPr="008F647C">
        <w:rPr>
          <w:rFonts w:ascii="Times New Roman" w:hAnsi="Times New Roman" w:cs="Times New Roman"/>
        </w:rPr>
        <w:t>616, 945, 1091,</w:t>
      </w:r>
      <w:r>
        <w:rPr>
          <w:rFonts w:ascii="Times New Roman" w:hAnsi="Times New Roman" w:cs="Times New Roman"/>
        </w:rPr>
        <w:t xml:space="preserve"> </w:t>
      </w:r>
      <w:r w:rsidRPr="008F647C">
        <w:rPr>
          <w:rFonts w:ascii="Times New Roman" w:hAnsi="Times New Roman" w:cs="Times New Roman"/>
        </w:rPr>
        <w:t>1161, 1296, 1585,</w:t>
      </w:r>
      <w:r>
        <w:rPr>
          <w:rFonts w:ascii="Times New Roman" w:hAnsi="Times New Roman" w:cs="Times New Roman"/>
        </w:rPr>
        <w:t xml:space="preserve"> 1626, 1741 i</w:t>
      </w:r>
      <w:r w:rsidRPr="008F647C">
        <w:rPr>
          <w:rFonts w:ascii="Times New Roman" w:hAnsi="Times New Roman" w:cs="Times New Roman"/>
        </w:rPr>
        <w:t xml:space="preserve"> 1924</w:t>
      </w:r>
      <w:r>
        <w:rPr>
          <w:rFonts w:ascii="Times New Roman" w:hAnsi="Times New Roman" w:cs="Times New Roman"/>
        </w:rPr>
        <w:t xml:space="preserve"> oraz </w:t>
      </w:r>
      <w:r w:rsidRPr="008F647C">
        <w:rPr>
          <w:rFonts w:ascii="Times New Roman" w:hAnsi="Times New Roman" w:cs="Times New Roman"/>
        </w:rPr>
        <w:t>z 2015 r. poz. 2,</w:t>
      </w:r>
      <w:r>
        <w:rPr>
          <w:rFonts w:ascii="Times New Roman" w:hAnsi="Times New Roman" w:cs="Times New Roman"/>
        </w:rPr>
        <w:t xml:space="preserve"> </w:t>
      </w:r>
      <w:r w:rsidRPr="008F647C">
        <w:rPr>
          <w:rFonts w:ascii="Times New Roman" w:hAnsi="Times New Roman" w:cs="Times New Roman"/>
        </w:rPr>
        <w:t>4, 218, 539, 978,</w:t>
      </w:r>
      <w:r>
        <w:rPr>
          <w:rFonts w:ascii="Times New Roman" w:hAnsi="Times New Roman" w:cs="Times New Roman"/>
        </w:rPr>
        <w:t xml:space="preserve"> </w:t>
      </w:r>
      <w:r w:rsidRPr="008F647C">
        <w:rPr>
          <w:rFonts w:ascii="Times New Roman" w:hAnsi="Times New Roman" w:cs="Times New Roman"/>
        </w:rPr>
        <w:t>1062, 1137, 1199,</w:t>
      </w:r>
      <w:r>
        <w:rPr>
          <w:rFonts w:ascii="Times New Roman" w:hAnsi="Times New Roman" w:cs="Times New Roman"/>
        </w:rPr>
        <w:t xml:space="preserve"> </w:t>
      </w:r>
      <w:r w:rsidRPr="008F647C">
        <w:rPr>
          <w:rFonts w:ascii="Times New Roman" w:hAnsi="Times New Roman" w:cs="Times New Roman"/>
        </w:rPr>
        <w:t>1311, 1418, 1419,</w:t>
      </w:r>
      <w:r>
        <w:rPr>
          <w:rFonts w:ascii="Times New Roman" w:hAnsi="Times New Roman" w:cs="Times New Roman"/>
        </w:rPr>
        <w:t xml:space="preserve"> </w:t>
      </w:r>
      <w:r w:rsidRPr="008F647C">
        <w:rPr>
          <w:rFonts w:ascii="Times New Roman" w:hAnsi="Times New Roman" w:cs="Times New Roman"/>
        </w:rPr>
        <w:t>1505, 1527, 1567,</w:t>
      </w:r>
      <w:r>
        <w:rPr>
          <w:rFonts w:ascii="Times New Roman" w:hAnsi="Times New Roman" w:cs="Times New Roman"/>
        </w:rPr>
        <w:t xml:space="preserve"> 1587, 1595, 1634 i </w:t>
      </w:r>
      <w:r w:rsidRPr="008F647C">
        <w:rPr>
          <w:rFonts w:ascii="Times New Roman" w:hAnsi="Times New Roman" w:cs="Times New Roman"/>
        </w:rPr>
        <w:t>1635.</w:t>
      </w:r>
    </w:p>
  </w:footnote>
  <w:footnote w:id="4">
    <w:p w:rsidR="00D82437" w:rsidRDefault="00D82437" w:rsidP="00F50EE3">
      <w:pPr>
        <w:pStyle w:val="Tekstprzypisudolnego"/>
        <w:jc w:val="both"/>
      </w:pPr>
      <w:r>
        <w:rPr>
          <w:rStyle w:val="Odwoanieprzypisudolnego"/>
        </w:rPr>
        <w:footnoteRef/>
      </w:r>
      <w:r>
        <w:rPr>
          <w:vertAlign w:val="superscript"/>
        </w:rPr>
        <w:t>)</w:t>
      </w:r>
      <w:r>
        <w:t xml:space="preserve"> </w:t>
      </w:r>
      <w:r>
        <w:rPr>
          <w:rFonts w:ascii="Times New Roman" w:hAnsi="Times New Roman" w:cs="Times New Roman"/>
        </w:rPr>
        <w:t xml:space="preserve">Zmiany tekstu jednolitego wymienionej ustawy zostały ogłoszone w Dz. U. z 2015 r. poz. </w:t>
      </w:r>
      <w:r w:rsidRPr="008F647C">
        <w:rPr>
          <w:rFonts w:ascii="Times New Roman" w:hAnsi="Times New Roman" w:cs="Times New Roman"/>
        </w:rPr>
        <w:t>509,</w:t>
      </w:r>
      <w:r>
        <w:rPr>
          <w:rFonts w:ascii="Times New Roman" w:hAnsi="Times New Roman" w:cs="Times New Roman"/>
        </w:rPr>
        <w:t xml:space="preserve"> </w:t>
      </w:r>
      <w:r w:rsidRPr="008F647C">
        <w:rPr>
          <w:rFonts w:ascii="Times New Roman" w:hAnsi="Times New Roman" w:cs="Times New Roman"/>
        </w:rPr>
        <w:t>694, 1066, 1224,</w:t>
      </w:r>
      <w:r>
        <w:rPr>
          <w:rFonts w:ascii="Times New Roman" w:hAnsi="Times New Roman" w:cs="Times New Roman"/>
        </w:rPr>
        <w:t xml:space="preserve"> </w:t>
      </w:r>
      <w:r w:rsidRPr="008F647C">
        <w:rPr>
          <w:rFonts w:ascii="Times New Roman" w:hAnsi="Times New Roman" w:cs="Times New Roman"/>
        </w:rPr>
        <w:t>1309, 1311, 1418,</w:t>
      </w:r>
      <w:r>
        <w:rPr>
          <w:rFonts w:ascii="Times New Roman" w:hAnsi="Times New Roman" w:cs="Times New Roman"/>
        </w:rPr>
        <w:t xml:space="preserve"> 1595 i</w:t>
      </w:r>
      <w:r w:rsidRPr="008F647C">
        <w:rPr>
          <w:rFonts w:ascii="Times New Roman" w:hAnsi="Times New Roman" w:cs="Times New Roman"/>
        </w:rPr>
        <w:t xml:space="preserve"> 1781.</w:t>
      </w:r>
    </w:p>
  </w:footnote>
  <w:footnote w:id="5">
    <w:p w:rsidR="00D82437" w:rsidRPr="00F50EE3" w:rsidRDefault="00D82437" w:rsidP="00F50EE3">
      <w:pPr>
        <w:pStyle w:val="Tekstprzypisudolnego"/>
        <w:jc w:val="both"/>
        <w:rPr>
          <w:rFonts w:ascii="Times New Roman" w:hAnsi="Times New Roman" w:cs="Times New Roman"/>
        </w:rPr>
      </w:pPr>
      <w:r w:rsidRPr="00F50EE3">
        <w:rPr>
          <w:rStyle w:val="Odwoanieprzypisudolnego"/>
          <w:rFonts w:ascii="Times New Roman" w:hAnsi="Times New Roman" w:cs="Times New Roman"/>
        </w:rPr>
        <w:footnoteRef/>
      </w:r>
      <w:r w:rsidRPr="00F50EE3">
        <w:rPr>
          <w:rFonts w:ascii="Times New Roman" w:hAnsi="Times New Roman" w:cs="Times New Roman"/>
          <w:vertAlign w:val="superscript"/>
        </w:rPr>
        <w:t>)</w:t>
      </w:r>
      <w:r>
        <w:rPr>
          <w:rFonts w:ascii="Times New Roman" w:hAnsi="Times New Roman" w:cs="Times New Roman"/>
          <w:vertAlign w:val="superscript"/>
        </w:rPr>
        <w:t xml:space="preserve"> </w:t>
      </w:r>
      <w:r w:rsidRPr="00F50EE3">
        <w:rPr>
          <w:rFonts w:ascii="Times New Roman" w:hAnsi="Times New Roman" w:cs="Times New Roman"/>
        </w:rPr>
        <w:t>Zmiany tekstu wymienionej ustawy zostały ogłoszone w Dz. U. z 1999 r. Nr 83, poz. 931, z 2000 r. Nr 50, poz. 580, Nr 62, poz. 717, Nr 73, poz. 852 i Nr 93, poz. 1027, z 2001 r. Nr 98, poz. 1071 i Nr 106, poz. 1149, z 2002 r. Nr 74, poz. 676, z 2003 r. Nr 17, poz. 155, Nr 111, poz. 1061 i Nr 130, poz. 1188, z 2004 r. Nr 51, poz. 514, Nr 69, poz. 626, Nr 93, poz. 889, Nr 240, poz. 2405 i Nr 264, poz. 2641, z 2005 r. Nr 10, poz. 70, Nr 48, poz. 461, Nr 77, poz. 680, Nr 96, poz. 821, Nr 141, poz. 1181, Nr 143, poz. 1203, Nr 163, poz. 1363, Nr 169, poz. 1416 i Nr 178, poz. 1479, z 2006 r. Nr 15, poz. 118, Nr 66, poz. 467, Nr 95, poz. 659, Nr 104, poz. 708 i 711, Nr 141, poz. 1009 i 1013, Nr 167, poz. 1192 i Nr 226, poz. 1647 i 1648, z 2007 r. Nr 20, poz. 116, Nr 64, poz. 432, Nr 80, poz. 539, Nr 89, poz. 589, Nr 99, poz. 664, Nr 112, poz. 766, Nr 123, poz. 849 i Nr 128, poz. 903, z 2008 r. Nr 27, poz. 162, Nr 100, poz. 648, Nr 107, poz. 686, Nr 123, poz. 802, Nr 182, poz. 1133, Nr 208, poz. 1308, Nr 214, poz. 1344, Nr 225, poz. 1485, Nr 234, poz. 1571 i Nr 237, poz. 1651, z 2009 r. Nr 8, poz. 39, Nr 20, poz. 104, Nr 28, poz. 171, Nr 68, poz. 585, Nr 85, poz. 716, Nr 127, poz. 1051, Nr 144, poz. 1178, Nr 168, poz. 1323, Nr 178, poz. 1375, Nr 190, poz. 1474 i Nr 206, poz. 1589, z 2010 r. Nr 7, poz. 46, Nr 98, poz. 626, Nr 106, poz. 669, Nr 122, poz. 826, Nr 125, poz. 842, Nr 182, poz. 1228 i Nr 197, poz. 1307, z 2011 r. Nr 48, poz. 245 i 246, Nr 53, poz. 273, Nr 112, poz. 654, Nr 117, poz. 678, Nr 142, poz. 829, Nr 191, poz. 1135, Nr 217, poz. 1280, Nr 240, poz. 1430, 1431 i 1438 i Nr 279, poz. 1645, z 2012 r. poz. 886, 1091, 1101, 1327, 1426, 1447 i 1529, z 2013 r. poz. 480, 765, 849, 1247, 1282 i 1436, z 2014 r. poz. 85, 384, 694, 1375 i 1556 oraz z 2015 r. poz. 21, 290, 396, 1185, 1186, 1334, 1788 i 1855.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A753F"/>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nsid w:val="070276D3"/>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nsid w:val="0EFE5F94"/>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nsid w:val="1A491EE3"/>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nsid w:val="1A94593E"/>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nsid w:val="231474B3"/>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nsid w:val="23F6575F"/>
    <w:multiLevelType w:val="multilevel"/>
    <w:tmpl w:val="933A800C"/>
    <w:lvl w:ilvl="0">
      <w:start w:val="1"/>
      <w:numFmt w:val="decimal"/>
      <w:lvlText w:val="%1."/>
      <w:lvlJc w:val="left"/>
      <w:pPr>
        <w:ind w:left="720" w:hanging="360"/>
      </w:pPr>
    </w:lvl>
    <w:lvl w:ilvl="1">
      <w:start w:val="1"/>
      <w:numFmt w:val="decimal"/>
      <w:lvlText w:val="%1.%2."/>
      <w:lvlJc w:val="left"/>
      <w:pPr>
        <w:ind w:left="1080" w:hanging="360"/>
      </w:pPr>
      <w:rPr>
        <w:rFonts w:ascii="Times New Roman" w:hAnsi="Times New Roman" w:cs="Times New Roman" w:hint="default"/>
        <w:sz w:val="24"/>
        <w:szCs w:val="24"/>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7">
    <w:nsid w:val="288413D5"/>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nsid w:val="35287A46"/>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nsid w:val="3B0E4CFD"/>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nsid w:val="3E9048BE"/>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nsid w:val="40134843"/>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2">
    <w:nsid w:val="40FD63B7"/>
    <w:multiLevelType w:val="hybridMultilevel"/>
    <w:tmpl w:val="5814617A"/>
    <w:lvl w:ilvl="0" w:tplc="3A44C022">
      <w:start w:val="1"/>
      <w:numFmt w:val="decimal"/>
      <w:lvlText w:val="Art. %1."/>
      <w:lvlJc w:val="left"/>
      <w:pPr>
        <w:ind w:left="107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16A30C8"/>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nsid w:val="43862B4E"/>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nsid w:val="43A37E38"/>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nsid w:val="4AF4265D"/>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nsid w:val="4E305951"/>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nsid w:val="507F69BE"/>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nsid w:val="59991BC4"/>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nsid w:val="6341121E"/>
    <w:multiLevelType w:val="hybridMultilevel"/>
    <w:tmpl w:val="8416D61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68915B54"/>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
    <w:nsid w:val="6A494475"/>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nsid w:val="6C926843"/>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
    <w:nsid w:val="6D9007C8"/>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nsid w:val="6EF5088D"/>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nsid w:val="7CF75FAC"/>
    <w:multiLevelType w:val="hybridMultilevel"/>
    <w:tmpl w:val="6E7E4602"/>
    <w:lvl w:ilvl="0" w:tplc="04150011">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13"/>
  </w:num>
  <w:num w:numId="2">
    <w:abstractNumId w:val="12"/>
  </w:num>
  <w:num w:numId="3">
    <w:abstractNumId w:val="23"/>
  </w:num>
  <w:num w:numId="4">
    <w:abstractNumId w:val="15"/>
  </w:num>
  <w:num w:numId="5">
    <w:abstractNumId w:val="14"/>
  </w:num>
  <w:num w:numId="6">
    <w:abstractNumId w:val="19"/>
  </w:num>
  <w:num w:numId="7">
    <w:abstractNumId w:val="8"/>
  </w:num>
  <w:num w:numId="8">
    <w:abstractNumId w:val="16"/>
  </w:num>
  <w:num w:numId="9">
    <w:abstractNumId w:val="9"/>
  </w:num>
  <w:num w:numId="10">
    <w:abstractNumId w:val="11"/>
  </w:num>
  <w:num w:numId="11">
    <w:abstractNumId w:val="10"/>
  </w:num>
  <w:num w:numId="12">
    <w:abstractNumId w:val="0"/>
  </w:num>
  <w:num w:numId="13">
    <w:abstractNumId w:val="2"/>
  </w:num>
  <w:num w:numId="14">
    <w:abstractNumId w:val="4"/>
  </w:num>
  <w:num w:numId="15">
    <w:abstractNumId w:val="22"/>
  </w:num>
  <w:num w:numId="16">
    <w:abstractNumId w:val="24"/>
  </w:num>
  <w:num w:numId="17">
    <w:abstractNumId w:val="5"/>
  </w:num>
  <w:num w:numId="18">
    <w:abstractNumId w:val="1"/>
  </w:num>
  <w:num w:numId="19">
    <w:abstractNumId w:val="7"/>
  </w:num>
  <w:num w:numId="20">
    <w:abstractNumId w:val="21"/>
  </w:num>
  <w:num w:numId="21">
    <w:abstractNumId w:val="3"/>
  </w:num>
  <w:num w:numId="22">
    <w:abstractNumId w:val="26"/>
  </w:num>
  <w:num w:numId="23">
    <w:abstractNumId w:val="18"/>
  </w:num>
  <w:num w:numId="24">
    <w:abstractNumId w:val="25"/>
  </w:num>
  <w:num w:numId="25">
    <w:abstractNumId w:val="17"/>
  </w:num>
  <w:num w:numId="26">
    <w:abstractNumId w:val="20"/>
  </w:num>
  <w:num w:numId="27">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36E"/>
    <w:rsid w:val="000012A0"/>
    <w:rsid w:val="0002558B"/>
    <w:rsid w:val="000260BE"/>
    <w:rsid w:val="000356F1"/>
    <w:rsid w:val="00041135"/>
    <w:rsid w:val="00042D13"/>
    <w:rsid w:val="0009602C"/>
    <w:rsid w:val="000971B2"/>
    <w:rsid w:val="000B15B2"/>
    <w:rsid w:val="000D0376"/>
    <w:rsid w:val="000F441E"/>
    <w:rsid w:val="000F4FCD"/>
    <w:rsid w:val="001033C0"/>
    <w:rsid w:val="00110FDC"/>
    <w:rsid w:val="001211DB"/>
    <w:rsid w:val="00121211"/>
    <w:rsid w:val="00142136"/>
    <w:rsid w:val="0014220B"/>
    <w:rsid w:val="0014258B"/>
    <w:rsid w:val="0014534E"/>
    <w:rsid w:val="001769AF"/>
    <w:rsid w:val="00196154"/>
    <w:rsid w:val="001C79FF"/>
    <w:rsid w:val="001D6A3B"/>
    <w:rsid w:val="001D76D9"/>
    <w:rsid w:val="0020355E"/>
    <w:rsid w:val="00213AA2"/>
    <w:rsid w:val="00220C5C"/>
    <w:rsid w:val="00225679"/>
    <w:rsid w:val="002257E9"/>
    <w:rsid w:val="00237E23"/>
    <w:rsid w:val="002445C4"/>
    <w:rsid w:val="00266A8B"/>
    <w:rsid w:val="00272EF5"/>
    <w:rsid w:val="00292886"/>
    <w:rsid w:val="00294937"/>
    <w:rsid w:val="002B3920"/>
    <w:rsid w:val="002D7D43"/>
    <w:rsid w:val="002E0D45"/>
    <w:rsid w:val="002F21F1"/>
    <w:rsid w:val="003060F0"/>
    <w:rsid w:val="00341895"/>
    <w:rsid w:val="003423DE"/>
    <w:rsid w:val="0035262B"/>
    <w:rsid w:val="00356451"/>
    <w:rsid w:val="00364034"/>
    <w:rsid w:val="00367B49"/>
    <w:rsid w:val="00371A0C"/>
    <w:rsid w:val="00397A8E"/>
    <w:rsid w:val="003A2450"/>
    <w:rsid w:val="003B1F3F"/>
    <w:rsid w:val="003B6B47"/>
    <w:rsid w:val="003F793A"/>
    <w:rsid w:val="00402249"/>
    <w:rsid w:val="00423DCE"/>
    <w:rsid w:val="00433B59"/>
    <w:rsid w:val="00434606"/>
    <w:rsid w:val="004506F7"/>
    <w:rsid w:val="00476AEC"/>
    <w:rsid w:val="004D14B0"/>
    <w:rsid w:val="00504042"/>
    <w:rsid w:val="00510AAD"/>
    <w:rsid w:val="00537FAA"/>
    <w:rsid w:val="00540B84"/>
    <w:rsid w:val="005457D2"/>
    <w:rsid w:val="00550BB0"/>
    <w:rsid w:val="00562F0F"/>
    <w:rsid w:val="005949C7"/>
    <w:rsid w:val="005A2B1B"/>
    <w:rsid w:val="005E4358"/>
    <w:rsid w:val="005E6A62"/>
    <w:rsid w:val="005F05C7"/>
    <w:rsid w:val="005F095F"/>
    <w:rsid w:val="00614098"/>
    <w:rsid w:val="00632048"/>
    <w:rsid w:val="006421E1"/>
    <w:rsid w:val="00653F58"/>
    <w:rsid w:val="00667021"/>
    <w:rsid w:val="0069473A"/>
    <w:rsid w:val="006965A3"/>
    <w:rsid w:val="006A0602"/>
    <w:rsid w:val="006B13E8"/>
    <w:rsid w:val="006B266F"/>
    <w:rsid w:val="006B7AA1"/>
    <w:rsid w:val="006E5554"/>
    <w:rsid w:val="006F4200"/>
    <w:rsid w:val="0071786F"/>
    <w:rsid w:val="00723F13"/>
    <w:rsid w:val="00735715"/>
    <w:rsid w:val="00740175"/>
    <w:rsid w:val="0074345B"/>
    <w:rsid w:val="00744879"/>
    <w:rsid w:val="00751C58"/>
    <w:rsid w:val="00792C8B"/>
    <w:rsid w:val="007A2F4C"/>
    <w:rsid w:val="007A62C7"/>
    <w:rsid w:val="007B671C"/>
    <w:rsid w:val="007C5DD3"/>
    <w:rsid w:val="007C6D0F"/>
    <w:rsid w:val="007D365C"/>
    <w:rsid w:val="00803B49"/>
    <w:rsid w:val="008076AF"/>
    <w:rsid w:val="008203AA"/>
    <w:rsid w:val="008433D0"/>
    <w:rsid w:val="008606C6"/>
    <w:rsid w:val="0086466B"/>
    <w:rsid w:val="00884C22"/>
    <w:rsid w:val="0088762C"/>
    <w:rsid w:val="008C1AE5"/>
    <w:rsid w:val="008D702E"/>
    <w:rsid w:val="008F1E2D"/>
    <w:rsid w:val="008F647C"/>
    <w:rsid w:val="0090765D"/>
    <w:rsid w:val="00916B49"/>
    <w:rsid w:val="00920188"/>
    <w:rsid w:val="00924ACE"/>
    <w:rsid w:val="009310D2"/>
    <w:rsid w:val="0097481C"/>
    <w:rsid w:val="009862C4"/>
    <w:rsid w:val="009901C4"/>
    <w:rsid w:val="00994E29"/>
    <w:rsid w:val="009A5937"/>
    <w:rsid w:val="009B71CD"/>
    <w:rsid w:val="009F5A5C"/>
    <w:rsid w:val="009F6ECB"/>
    <w:rsid w:val="00A172C0"/>
    <w:rsid w:val="00A36069"/>
    <w:rsid w:val="00A42FFD"/>
    <w:rsid w:val="00A43FB6"/>
    <w:rsid w:val="00A54181"/>
    <w:rsid w:val="00A81259"/>
    <w:rsid w:val="00A821CF"/>
    <w:rsid w:val="00A83353"/>
    <w:rsid w:val="00A84496"/>
    <w:rsid w:val="00AA3F8B"/>
    <w:rsid w:val="00AD47DF"/>
    <w:rsid w:val="00B112E4"/>
    <w:rsid w:val="00B32881"/>
    <w:rsid w:val="00BB4BD8"/>
    <w:rsid w:val="00BC1404"/>
    <w:rsid w:val="00BD1B78"/>
    <w:rsid w:val="00BD5540"/>
    <w:rsid w:val="00BE24CD"/>
    <w:rsid w:val="00C07F5D"/>
    <w:rsid w:val="00C34612"/>
    <w:rsid w:val="00C41666"/>
    <w:rsid w:val="00C576A0"/>
    <w:rsid w:val="00C61944"/>
    <w:rsid w:val="00C86724"/>
    <w:rsid w:val="00C90B1E"/>
    <w:rsid w:val="00CB7F75"/>
    <w:rsid w:val="00CC7189"/>
    <w:rsid w:val="00CC7AE8"/>
    <w:rsid w:val="00CD1837"/>
    <w:rsid w:val="00CD60CA"/>
    <w:rsid w:val="00CD7185"/>
    <w:rsid w:val="00CE2DE5"/>
    <w:rsid w:val="00D03440"/>
    <w:rsid w:val="00D36209"/>
    <w:rsid w:val="00D41DD9"/>
    <w:rsid w:val="00D64492"/>
    <w:rsid w:val="00D708FD"/>
    <w:rsid w:val="00D76A0E"/>
    <w:rsid w:val="00D82437"/>
    <w:rsid w:val="00DA4EE4"/>
    <w:rsid w:val="00DC56AF"/>
    <w:rsid w:val="00DD2A0B"/>
    <w:rsid w:val="00DF60AD"/>
    <w:rsid w:val="00E3721C"/>
    <w:rsid w:val="00E51AF0"/>
    <w:rsid w:val="00E63C6D"/>
    <w:rsid w:val="00E64552"/>
    <w:rsid w:val="00E74C23"/>
    <w:rsid w:val="00E85F4A"/>
    <w:rsid w:val="00E94655"/>
    <w:rsid w:val="00EA280D"/>
    <w:rsid w:val="00EB19B3"/>
    <w:rsid w:val="00EB2F14"/>
    <w:rsid w:val="00EC5AB3"/>
    <w:rsid w:val="00EE0E40"/>
    <w:rsid w:val="00EE0F77"/>
    <w:rsid w:val="00F018A2"/>
    <w:rsid w:val="00F12191"/>
    <w:rsid w:val="00F1497A"/>
    <w:rsid w:val="00F3131A"/>
    <w:rsid w:val="00F50EE3"/>
    <w:rsid w:val="00F5311E"/>
    <w:rsid w:val="00F54013"/>
    <w:rsid w:val="00F60926"/>
    <w:rsid w:val="00F63BDF"/>
    <w:rsid w:val="00F860DC"/>
    <w:rsid w:val="00F90055"/>
    <w:rsid w:val="00FB5125"/>
    <w:rsid w:val="00FC488C"/>
    <w:rsid w:val="00FD4AE2"/>
    <w:rsid w:val="00FD76CD"/>
    <w:rsid w:val="00FE336E"/>
    <w:rsid w:val="00FF4558"/>
    <w:rsid w:val="00FF6B79"/>
  </w:rsids>
  <m:mathPr>
    <m:mathFont m:val="Cambria Math"/>
    <m:brkBin m:val="before"/>
    <m:brkBinSub m:val="--"/>
    <m:smallFrac m:val="0"/>
    <m:dispDef/>
    <m:lMargin m:val="0"/>
    <m:rMargin m:val="0"/>
    <m:defJc m:val="centerGroup"/>
    <m:wrapIndent m:val="1440"/>
    <m:intLim m:val="subSup"/>
    <m:naryLim m:val="undOvr"/>
  </m:mathPr>
  <w:themeFontLang w:val="pl-PL"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336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FE336E"/>
    <w:pPr>
      <w:ind w:left="720"/>
      <w:contextualSpacing/>
    </w:pPr>
  </w:style>
  <w:style w:type="character" w:styleId="Odwoaniedokomentarza">
    <w:name w:val="annotation reference"/>
    <w:basedOn w:val="Domylnaczcionkaakapitu"/>
    <w:uiPriority w:val="99"/>
    <w:semiHidden/>
    <w:unhideWhenUsed/>
    <w:rsid w:val="0014534E"/>
    <w:rPr>
      <w:sz w:val="16"/>
      <w:szCs w:val="16"/>
    </w:rPr>
  </w:style>
  <w:style w:type="paragraph" w:styleId="Tekstkomentarza">
    <w:name w:val="annotation text"/>
    <w:basedOn w:val="Normalny"/>
    <w:link w:val="TekstkomentarzaZnak"/>
    <w:uiPriority w:val="99"/>
    <w:unhideWhenUsed/>
    <w:rsid w:val="0014534E"/>
    <w:pPr>
      <w:spacing w:line="240" w:lineRule="auto"/>
    </w:pPr>
    <w:rPr>
      <w:sz w:val="20"/>
      <w:szCs w:val="20"/>
    </w:rPr>
  </w:style>
  <w:style w:type="character" w:customStyle="1" w:styleId="TekstkomentarzaZnak">
    <w:name w:val="Tekst komentarza Znak"/>
    <w:basedOn w:val="Domylnaczcionkaakapitu"/>
    <w:link w:val="Tekstkomentarza"/>
    <w:uiPriority w:val="99"/>
    <w:rsid w:val="0014534E"/>
    <w:rPr>
      <w:sz w:val="20"/>
      <w:szCs w:val="20"/>
    </w:rPr>
  </w:style>
  <w:style w:type="paragraph" w:styleId="Tekstdymka">
    <w:name w:val="Balloon Text"/>
    <w:basedOn w:val="Normalny"/>
    <w:link w:val="TekstdymkaZnak"/>
    <w:uiPriority w:val="99"/>
    <w:semiHidden/>
    <w:unhideWhenUsed/>
    <w:rsid w:val="0014534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4534E"/>
    <w:rPr>
      <w:rFonts w:ascii="Tahoma" w:hAnsi="Tahoma" w:cs="Tahoma"/>
      <w:sz w:val="16"/>
      <w:szCs w:val="16"/>
    </w:rPr>
  </w:style>
  <w:style w:type="paragraph" w:styleId="Tematkomentarza">
    <w:name w:val="annotation subject"/>
    <w:basedOn w:val="Tekstkomentarza"/>
    <w:next w:val="Tekstkomentarza"/>
    <w:link w:val="TematkomentarzaZnak"/>
    <w:uiPriority w:val="99"/>
    <w:semiHidden/>
    <w:unhideWhenUsed/>
    <w:rsid w:val="00A42FFD"/>
    <w:rPr>
      <w:b/>
      <w:bCs/>
    </w:rPr>
  </w:style>
  <w:style w:type="character" w:customStyle="1" w:styleId="TematkomentarzaZnak">
    <w:name w:val="Temat komentarza Znak"/>
    <w:basedOn w:val="TekstkomentarzaZnak"/>
    <w:link w:val="Tematkomentarza"/>
    <w:uiPriority w:val="99"/>
    <w:semiHidden/>
    <w:rsid w:val="00A42FFD"/>
    <w:rPr>
      <w:b/>
      <w:bCs/>
      <w:sz w:val="20"/>
      <w:szCs w:val="20"/>
    </w:rPr>
  </w:style>
  <w:style w:type="paragraph" w:styleId="Podtytu">
    <w:name w:val="Subtitle"/>
    <w:basedOn w:val="Normalny"/>
    <w:next w:val="Normalny"/>
    <w:link w:val="PodtytuZnak"/>
    <w:uiPriority w:val="11"/>
    <w:qFormat/>
    <w:rsid w:val="009F5A5C"/>
    <w:pPr>
      <w:numPr>
        <w:ilvl w:val="1"/>
      </w:numPr>
      <w:spacing w:after="160"/>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9F5A5C"/>
    <w:rPr>
      <w:rFonts w:eastAsiaTheme="minorEastAsia"/>
      <w:color w:val="5A5A5A" w:themeColor="text1" w:themeTint="A5"/>
      <w:spacing w:val="15"/>
    </w:rPr>
  </w:style>
  <w:style w:type="paragraph" w:styleId="Tytu">
    <w:name w:val="Title"/>
    <w:basedOn w:val="Normalny"/>
    <w:next w:val="Normalny"/>
    <w:link w:val="TytuZnak"/>
    <w:uiPriority w:val="10"/>
    <w:qFormat/>
    <w:rsid w:val="009F5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F5A5C"/>
    <w:rPr>
      <w:rFonts w:asciiTheme="majorHAnsi" w:eastAsiaTheme="majorEastAsia" w:hAnsiTheme="majorHAnsi" w:cstheme="majorBidi"/>
      <w:spacing w:val="-10"/>
      <w:kern w:val="28"/>
      <w:sz w:val="56"/>
      <w:szCs w:val="56"/>
    </w:rPr>
  </w:style>
  <w:style w:type="character" w:styleId="Uwydatnienie">
    <w:name w:val="Emphasis"/>
    <w:basedOn w:val="Domylnaczcionkaakapitu"/>
    <w:uiPriority w:val="20"/>
    <w:qFormat/>
    <w:rsid w:val="00A84496"/>
    <w:rPr>
      <w:i/>
      <w:iCs/>
    </w:rPr>
  </w:style>
  <w:style w:type="character" w:customStyle="1" w:styleId="Ppogrubienie">
    <w:name w:val="_P_ – pogrubienie"/>
    <w:basedOn w:val="Domylnaczcionkaakapitu"/>
    <w:uiPriority w:val="1"/>
    <w:qFormat/>
    <w:rsid w:val="00CC7189"/>
    <w:rPr>
      <w:b/>
    </w:rPr>
  </w:style>
  <w:style w:type="paragraph" w:customStyle="1" w:styleId="ARTartustawynprozporzdzenia">
    <w:name w:val="ART(§) – art. ustawy (§ np. rozporządzenia)"/>
    <w:uiPriority w:val="11"/>
    <w:qFormat/>
    <w:rsid w:val="00CC718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tabulatory">
    <w:name w:val="tabulatory"/>
    <w:basedOn w:val="Domylnaczcionkaakapitu"/>
    <w:rsid w:val="00F5311E"/>
  </w:style>
  <w:style w:type="character" w:customStyle="1" w:styleId="apple-converted-space">
    <w:name w:val="apple-converted-space"/>
    <w:basedOn w:val="Domylnaczcionkaakapitu"/>
    <w:rsid w:val="00F5311E"/>
  </w:style>
  <w:style w:type="character" w:styleId="Hipercze">
    <w:name w:val="Hyperlink"/>
    <w:basedOn w:val="Domylnaczcionkaakapitu"/>
    <w:uiPriority w:val="99"/>
    <w:semiHidden/>
    <w:unhideWhenUsed/>
    <w:rsid w:val="00F5311E"/>
    <w:rPr>
      <w:color w:val="0000FF"/>
      <w:u w:val="single"/>
    </w:rPr>
  </w:style>
  <w:style w:type="paragraph" w:styleId="Nagwek">
    <w:name w:val="header"/>
    <w:basedOn w:val="Normalny"/>
    <w:link w:val="NagwekZnak"/>
    <w:uiPriority w:val="99"/>
    <w:unhideWhenUsed/>
    <w:rsid w:val="004346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4606"/>
  </w:style>
  <w:style w:type="paragraph" w:styleId="Stopka">
    <w:name w:val="footer"/>
    <w:basedOn w:val="Normalny"/>
    <w:link w:val="StopkaZnak"/>
    <w:uiPriority w:val="99"/>
    <w:unhideWhenUsed/>
    <w:rsid w:val="004346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4606"/>
  </w:style>
  <w:style w:type="paragraph" w:styleId="Tekstprzypisudolnego">
    <w:name w:val="footnote text"/>
    <w:basedOn w:val="Normalny"/>
    <w:link w:val="TekstprzypisudolnegoZnak"/>
    <w:uiPriority w:val="99"/>
    <w:semiHidden/>
    <w:unhideWhenUsed/>
    <w:rsid w:val="00F9005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90055"/>
    <w:rPr>
      <w:sz w:val="20"/>
      <w:szCs w:val="20"/>
    </w:rPr>
  </w:style>
  <w:style w:type="character" w:styleId="Odwoanieprzypisudolnego">
    <w:name w:val="footnote reference"/>
    <w:basedOn w:val="Domylnaczcionkaakapitu"/>
    <w:uiPriority w:val="99"/>
    <w:semiHidden/>
    <w:unhideWhenUsed/>
    <w:rsid w:val="00F9005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336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FE336E"/>
    <w:pPr>
      <w:ind w:left="720"/>
      <w:contextualSpacing/>
    </w:pPr>
  </w:style>
  <w:style w:type="character" w:styleId="Odwoaniedokomentarza">
    <w:name w:val="annotation reference"/>
    <w:basedOn w:val="Domylnaczcionkaakapitu"/>
    <w:uiPriority w:val="99"/>
    <w:semiHidden/>
    <w:unhideWhenUsed/>
    <w:rsid w:val="0014534E"/>
    <w:rPr>
      <w:sz w:val="16"/>
      <w:szCs w:val="16"/>
    </w:rPr>
  </w:style>
  <w:style w:type="paragraph" w:styleId="Tekstkomentarza">
    <w:name w:val="annotation text"/>
    <w:basedOn w:val="Normalny"/>
    <w:link w:val="TekstkomentarzaZnak"/>
    <w:uiPriority w:val="99"/>
    <w:unhideWhenUsed/>
    <w:rsid w:val="0014534E"/>
    <w:pPr>
      <w:spacing w:line="240" w:lineRule="auto"/>
    </w:pPr>
    <w:rPr>
      <w:sz w:val="20"/>
      <w:szCs w:val="20"/>
    </w:rPr>
  </w:style>
  <w:style w:type="character" w:customStyle="1" w:styleId="TekstkomentarzaZnak">
    <w:name w:val="Tekst komentarza Znak"/>
    <w:basedOn w:val="Domylnaczcionkaakapitu"/>
    <w:link w:val="Tekstkomentarza"/>
    <w:uiPriority w:val="99"/>
    <w:rsid w:val="0014534E"/>
    <w:rPr>
      <w:sz w:val="20"/>
      <w:szCs w:val="20"/>
    </w:rPr>
  </w:style>
  <w:style w:type="paragraph" w:styleId="Tekstdymka">
    <w:name w:val="Balloon Text"/>
    <w:basedOn w:val="Normalny"/>
    <w:link w:val="TekstdymkaZnak"/>
    <w:uiPriority w:val="99"/>
    <w:semiHidden/>
    <w:unhideWhenUsed/>
    <w:rsid w:val="0014534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4534E"/>
    <w:rPr>
      <w:rFonts w:ascii="Tahoma" w:hAnsi="Tahoma" w:cs="Tahoma"/>
      <w:sz w:val="16"/>
      <w:szCs w:val="16"/>
    </w:rPr>
  </w:style>
  <w:style w:type="paragraph" w:styleId="Tematkomentarza">
    <w:name w:val="annotation subject"/>
    <w:basedOn w:val="Tekstkomentarza"/>
    <w:next w:val="Tekstkomentarza"/>
    <w:link w:val="TematkomentarzaZnak"/>
    <w:uiPriority w:val="99"/>
    <w:semiHidden/>
    <w:unhideWhenUsed/>
    <w:rsid w:val="00A42FFD"/>
    <w:rPr>
      <w:b/>
      <w:bCs/>
    </w:rPr>
  </w:style>
  <w:style w:type="character" w:customStyle="1" w:styleId="TematkomentarzaZnak">
    <w:name w:val="Temat komentarza Znak"/>
    <w:basedOn w:val="TekstkomentarzaZnak"/>
    <w:link w:val="Tematkomentarza"/>
    <w:uiPriority w:val="99"/>
    <w:semiHidden/>
    <w:rsid w:val="00A42FFD"/>
    <w:rPr>
      <w:b/>
      <w:bCs/>
      <w:sz w:val="20"/>
      <w:szCs w:val="20"/>
    </w:rPr>
  </w:style>
  <w:style w:type="paragraph" w:styleId="Podtytu">
    <w:name w:val="Subtitle"/>
    <w:basedOn w:val="Normalny"/>
    <w:next w:val="Normalny"/>
    <w:link w:val="PodtytuZnak"/>
    <w:uiPriority w:val="11"/>
    <w:qFormat/>
    <w:rsid w:val="009F5A5C"/>
    <w:pPr>
      <w:numPr>
        <w:ilvl w:val="1"/>
      </w:numPr>
      <w:spacing w:after="160"/>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9F5A5C"/>
    <w:rPr>
      <w:rFonts w:eastAsiaTheme="minorEastAsia"/>
      <w:color w:val="5A5A5A" w:themeColor="text1" w:themeTint="A5"/>
      <w:spacing w:val="15"/>
    </w:rPr>
  </w:style>
  <w:style w:type="paragraph" w:styleId="Tytu">
    <w:name w:val="Title"/>
    <w:basedOn w:val="Normalny"/>
    <w:next w:val="Normalny"/>
    <w:link w:val="TytuZnak"/>
    <w:uiPriority w:val="10"/>
    <w:qFormat/>
    <w:rsid w:val="009F5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F5A5C"/>
    <w:rPr>
      <w:rFonts w:asciiTheme="majorHAnsi" w:eastAsiaTheme="majorEastAsia" w:hAnsiTheme="majorHAnsi" w:cstheme="majorBidi"/>
      <w:spacing w:val="-10"/>
      <w:kern w:val="28"/>
      <w:sz w:val="56"/>
      <w:szCs w:val="56"/>
    </w:rPr>
  </w:style>
  <w:style w:type="character" w:styleId="Uwydatnienie">
    <w:name w:val="Emphasis"/>
    <w:basedOn w:val="Domylnaczcionkaakapitu"/>
    <w:uiPriority w:val="20"/>
    <w:qFormat/>
    <w:rsid w:val="00A84496"/>
    <w:rPr>
      <w:i/>
      <w:iCs/>
    </w:rPr>
  </w:style>
  <w:style w:type="character" w:customStyle="1" w:styleId="Ppogrubienie">
    <w:name w:val="_P_ – pogrubienie"/>
    <w:basedOn w:val="Domylnaczcionkaakapitu"/>
    <w:uiPriority w:val="1"/>
    <w:qFormat/>
    <w:rsid w:val="00CC7189"/>
    <w:rPr>
      <w:b/>
    </w:rPr>
  </w:style>
  <w:style w:type="paragraph" w:customStyle="1" w:styleId="ARTartustawynprozporzdzenia">
    <w:name w:val="ART(§) – art. ustawy (§ np. rozporządzenia)"/>
    <w:uiPriority w:val="11"/>
    <w:qFormat/>
    <w:rsid w:val="00CC718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tabulatory">
    <w:name w:val="tabulatory"/>
    <w:basedOn w:val="Domylnaczcionkaakapitu"/>
    <w:rsid w:val="00F5311E"/>
  </w:style>
  <w:style w:type="character" w:customStyle="1" w:styleId="apple-converted-space">
    <w:name w:val="apple-converted-space"/>
    <w:basedOn w:val="Domylnaczcionkaakapitu"/>
    <w:rsid w:val="00F5311E"/>
  </w:style>
  <w:style w:type="character" w:styleId="Hipercze">
    <w:name w:val="Hyperlink"/>
    <w:basedOn w:val="Domylnaczcionkaakapitu"/>
    <w:uiPriority w:val="99"/>
    <w:semiHidden/>
    <w:unhideWhenUsed/>
    <w:rsid w:val="00F5311E"/>
    <w:rPr>
      <w:color w:val="0000FF"/>
      <w:u w:val="single"/>
    </w:rPr>
  </w:style>
  <w:style w:type="paragraph" w:styleId="Nagwek">
    <w:name w:val="header"/>
    <w:basedOn w:val="Normalny"/>
    <w:link w:val="NagwekZnak"/>
    <w:uiPriority w:val="99"/>
    <w:unhideWhenUsed/>
    <w:rsid w:val="004346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4606"/>
  </w:style>
  <w:style w:type="paragraph" w:styleId="Stopka">
    <w:name w:val="footer"/>
    <w:basedOn w:val="Normalny"/>
    <w:link w:val="StopkaZnak"/>
    <w:uiPriority w:val="99"/>
    <w:unhideWhenUsed/>
    <w:rsid w:val="004346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4606"/>
  </w:style>
  <w:style w:type="paragraph" w:styleId="Tekstprzypisudolnego">
    <w:name w:val="footnote text"/>
    <w:basedOn w:val="Normalny"/>
    <w:link w:val="TekstprzypisudolnegoZnak"/>
    <w:uiPriority w:val="99"/>
    <w:semiHidden/>
    <w:unhideWhenUsed/>
    <w:rsid w:val="00F9005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90055"/>
    <w:rPr>
      <w:sz w:val="20"/>
      <w:szCs w:val="20"/>
    </w:rPr>
  </w:style>
  <w:style w:type="character" w:styleId="Odwoanieprzypisudolnego">
    <w:name w:val="footnote reference"/>
    <w:basedOn w:val="Domylnaczcionkaakapitu"/>
    <w:uiPriority w:val="99"/>
    <w:semiHidden/>
    <w:unhideWhenUsed/>
    <w:rsid w:val="00F900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301412">
      <w:bodyDiv w:val="1"/>
      <w:marLeft w:val="0"/>
      <w:marRight w:val="0"/>
      <w:marTop w:val="0"/>
      <w:marBottom w:val="0"/>
      <w:divBdr>
        <w:top w:val="none" w:sz="0" w:space="0" w:color="auto"/>
        <w:left w:val="none" w:sz="0" w:space="0" w:color="auto"/>
        <w:bottom w:val="none" w:sz="0" w:space="0" w:color="auto"/>
        <w:right w:val="none" w:sz="0" w:space="0" w:color="auto"/>
      </w:divBdr>
      <w:divsChild>
        <w:div w:id="1085688155">
          <w:marLeft w:val="0"/>
          <w:marRight w:val="0"/>
          <w:marTop w:val="0"/>
          <w:marBottom w:val="0"/>
          <w:divBdr>
            <w:top w:val="none" w:sz="0" w:space="0" w:color="auto"/>
            <w:left w:val="none" w:sz="0" w:space="0" w:color="auto"/>
            <w:bottom w:val="none" w:sz="0" w:space="0" w:color="auto"/>
            <w:right w:val="none" w:sz="0" w:space="0" w:color="auto"/>
          </w:divBdr>
          <w:divsChild>
            <w:div w:id="194276234">
              <w:marLeft w:val="0"/>
              <w:marRight w:val="0"/>
              <w:marTop w:val="0"/>
              <w:marBottom w:val="0"/>
              <w:divBdr>
                <w:top w:val="none" w:sz="0" w:space="0" w:color="auto"/>
                <w:left w:val="none" w:sz="0" w:space="0" w:color="auto"/>
                <w:bottom w:val="none" w:sz="0" w:space="0" w:color="auto"/>
                <w:right w:val="none" w:sz="0" w:space="0" w:color="auto"/>
              </w:divBdr>
              <w:divsChild>
                <w:div w:id="1668898317">
                  <w:marLeft w:val="480"/>
                  <w:marRight w:val="0"/>
                  <w:marTop w:val="0"/>
                  <w:marBottom w:val="0"/>
                  <w:divBdr>
                    <w:top w:val="none" w:sz="0" w:space="0" w:color="auto"/>
                    <w:left w:val="none" w:sz="0" w:space="0" w:color="auto"/>
                    <w:bottom w:val="none" w:sz="0" w:space="0" w:color="auto"/>
                    <w:right w:val="none" w:sz="0" w:space="0" w:color="auto"/>
                  </w:divBdr>
                </w:div>
                <w:div w:id="1069111223">
                  <w:marLeft w:val="0"/>
                  <w:marRight w:val="0"/>
                  <w:marTop w:val="0"/>
                  <w:marBottom w:val="0"/>
                  <w:divBdr>
                    <w:top w:val="none" w:sz="0" w:space="0" w:color="auto"/>
                    <w:left w:val="none" w:sz="0" w:space="0" w:color="auto"/>
                    <w:bottom w:val="none" w:sz="0" w:space="0" w:color="auto"/>
                    <w:right w:val="none" w:sz="0" w:space="0" w:color="auto"/>
                  </w:divBdr>
                  <w:divsChild>
                    <w:div w:id="1089161089">
                      <w:marLeft w:val="720"/>
                      <w:marRight w:val="0"/>
                      <w:marTop w:val="0"/>
                      <w:marBottom w:val="0"/>
                      <w:divBdr>
                        <w:top w:val="none" w:sz="0" w:space="0" w:color="auto"/>
                        <w:left w:val="none" w:sz="0" w:space="0" w:color="auto"/>
                        <w:bottom w:val="none" w:sz="0" w:space="0" w:color="auto"/>
                        <w:right w:val="none" w:sz="0" w:space="0" w:color="auto"/>
                      </w:divBdr>
                    </w:div>
                  </w:divsChild>
                </w:div>
                <w:div w:id="215165258">
                  <w:marLeft w:val="0"/>
                  <w:marRight w:val="0"/>
                  <w:marTop w:val="0"/>
                  <w:marBottom w:val="0"/>
                  <w:divBdr>
                    <w:top w:val="none" w:sz="0" w:space="0" w:color="auto"/>
                    <w:left w:val="none" w:sz="0" w:space="0" w:color="auto"/>
                    <w:bottom w:val="none" w:sz="0" w:space="0" w:color="auto"/>
                    <w:right w:val="none" w:sz="0" w:space="0" w:color="auto"/>
                  </w:divBdr>
                  <w:divsChild>
                    <w:div w:id="629094407">
                      <w:marLeft w:val="720"/>
                      <w:marRight w:val="0"/>
                      <w:marTop w:val="0"/>
                      <w:marBottom w:val="0"/>
                      <w:divBdr>
                        <w:top w:val="none" w:sz="0" w:space="0" w:color="auto"/>
                        <w:left w:val="none" w:sz="0" w:space="0" w:color="auto"/>
                        <w:bottom w:val="none" w:sz="0" w:space="0" w:color="auto"/>
                        <w:right w:val="none" w:sz="0" w:space="0" w:color="auto"/>
                      </w:divBdr>
                    </w:div>
                  </w:divsChild>
                </w:div>
                <w:div w:id="1961259814">
                  <w:marLeft w:val="0"/>
                  <w:marRight w:val="0"/>
                  <w:marTop w:val="0"/>
                  <w:marBottom w:val="0"/>
                  <w:divBdr>
                    <w:top w:val="none" w:sz="0" w:space="0" w:color="auto"/>
                    <w:left w:val="none" w:sz="0" w:space="0" w:color="auto"/>
                    <w:bottom w:val="none" w:sz="0" w:space="0" w:color="auto"/>
                    <w:right w:val="none" w:sz="0" w:space="0" w:color="auto"/>
                  </w:divBdr>
                  <w:divsChild>
                    <w:div w:id="327176751">
                      <w:marLeft w:val="720"/>
                      <w:marRight w:val="0"/>
                      <w:marTop w:val="0"/>
                      <w:marBottom w:val="0"/>
                      <w:divBdr>
                        <w:top w:val="none" w:sz="0" w:space="0" w:color="auto"/>
                        <w:left w:val="none" w:sz="0" w:space="0" w:color="auto"/>
                        <w:bottom w:val="none" w:sz="0" w:space="0" w:color="auto"/>
                        <w:right w:val="none" w:sz="0" w:space="0" w:color="auto"/>
                      </w:divBdr>
                    </w:div>
                  </w:divsChild>
                </w:div>
                <w:div w:id="1113403892">
                  <w:marLeft w:val="0"/>
                  <w:marRight w:val="0"/>
                  <w:marTop w:val="0"/>
                  <w:marBottom w:val="0"/>
                  <w:divBdr>
                    <w:top w:val="none" w:sz="0" w:space="0" w:color="auto"/>
                    <w:left w:val="none" w:sz="0" w:space="0" w:color="auto"/>
                    <w:bottom w:val="none" w:sz="0" w:space="0" w:color="auto"/>
                    <w:right w:val="none" w:sz="0" w:space="0" w:color="auto"/>
                  </w:divBdr>
                  <w:divsChild>
                    <w:div w:id="556860775">
                      <w:marLeft w:val="720"/>
                      <w:marRight w:val="0"/>
                      <w:marTop w:val="0"/>
                      <w:marBottom w:val="0"/>
                      <w:divBdr>
                        <w:top w:val="none" w:sz="0" w:space="0" w:color="auto"/>
                        <w:left w:val="none" w:sz="0" w:space="0" w:color="auto"/>
                        <w:bottom w:val="none" w:sz="0" w:space="0" w:color="auto"/>
                        <w:right w:val="none" w:sz="0" w:space="0" w:color="auto"/>
                      </w:divBdr>
                    </w:div>
                  </w:divsChild>
                </w:div>
                <w:div w:id="1957330753">
                  <w:marLeft w:val="0"/>
                  <w:marRight w:val="0"/>
                  <w:marTop w:val="0"/>
                  <w:marBottom w:val="0"/>
                  <w:divBdr>
                    <w:top w:val="none" w:sz="0" w:space="0" w:color="auto"/>
                    <w:left w:val="none" w:sz="0" w:space="0" w:color="auto"/>
                    <w:bottom w:val="none" w:sz="0" w:space="0" w:color="auto"/>
                    <w:right w:val="none" w:sz="0" w:space="0" w:color="auto"/>
                  </w:divBdr>
                  <w:divsChild>
                    <w:div w:id="1979719412">
                      <w:marLeft w:val="720"/>
                      <w:marRight w:val="0"/>
                      <w:marTop w:val="0"/>
                      <w:marBottom w:val="0"/>
                      <w:divBdr>
                        <w:top w:val="none" w:sz="0" w:space="0" w:color="auto"/>
                        <w:left w:val="none" w:sz="0" w:space="0" w:color="auto"/>
                        <w:bottom w:val="none" w:sz="0" w:space="0" w:color="auto"/>
                        <w:right w:val="none" w:sz="0" w:space="0" w:color="auto"/>
                      </w:divBdr>
                    </w:div>
                  </w:divsChild>
                </w:div>
                <w:div w:id="2046320760">
                  <w:marLeft w:val="0"/>
                  <w:marRight w:val="0"/>
                  <w:marTop w:val="0"/>
                  <w:marBottom w:val="0"/>
                  <w:divBdr>
                    <w:top w:val="none" w:sz="0" w:space="0" w:color="auto"/>
                    <w:left w:val="none" w:sz="0" w:space="0" w:color="auto"/>
                    <w:bottom w:val="none" w:sz="0" w:space="0" w:color="auto"/>
                    <w:right w:val="none" w:sz="0" w:space="0" w:color="auto"/>
                  </w:divBdr>
                  <w:divsChild>
                    <w:div w:id="211631900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212111732">
              <w:marLeft w:val="0"/>
              <w:marRight w:val="0"/>
              <w:marTop w:val="0"/>
              <w:marBottom w:val="0"/>
              <w:divBdr>
                <w:top w:val="none" w:sz="0" w:space="0" w:color="auto"/>
                <w:left w:val="none" w:sz="0" w:space="0" w:color="auto"/>
                <w:bottom w:val="none" w:sz="0" w:space="0" w:color="auto"/>
                <w:right w:val="none" w:sz="0" w:space="0" w:color="auto"/>
              </w:divBdr>
              <w:divsChild>
                <w:div w:id="607736879">
                  <w:marLeft w:val="480"/>
                  <w:marRight w:val="0"/>
                  <w:marTop w:val="0"/>
                  <w:marBottom w:val="0"/>
                  <w:divBdr>
                    <w:top w:val="none" w:sz="0" w:space="0" w:color="auto"/>
                    <w:left w:val="none" w:sz="0" w:space="0" w:color="auto"/>
                    <w:bottom w:val="none" w:sz="0" w:space="0" w:color="auto"/>
                    <w:right w:val="none" w:sz="0" w:space="0" w:color="auto"/>
                  </w:divBdr>
                </w:div>
                <w:div w:id="83768632">
                  <w:marLeft w:val="0"/>
                  <w:marRight w:val="0"/>
                  <w:marTop w:val="0"/>
                  <w:marBottom w:val="0"/>
                  <w:divBdr>
                    <w:top w:val="none" w:sz="0" w:space="0" w:color="auto"/>
                    <w:left w:val="none" w:sz="0" w:space="0" w:color="auto"/>
                    <w:bottom w:val="none" w:sz="0" w:space="0" w:color="auto"/>
                    <w:right w:val="none" w:sz="0" w:space="0" w:color="auto"/>
                  </w:divBdr>
                  <w:divsChild>
                    <w:div w:id="599601129">
                      <w:marLeft w:val="720"/>
                      <w:marRight w:val="0"/>
                      <w:marTop w:val="0"/>
                      <w:marBottom w:val="0"/>
                      <w:divBdr>
                        <w:top w:val="none" w:sz="0" w:space="0" w:color="auto"/>
                        <w:left w:val="none" w:sz="0" w:space="0" w:color="auto"/>
                        <w:bottom w:val="none" w:sz="0" w:space="0" w:color="auto"/>
                        <w:right w:val="none" w:sz="0" w:space="0" w:color="auto"/>
                      </w:divBdr>
                    </w:div>
                  </w:divsChild>
                </w:div>
                <w:div w:id="1335766007">
                  <w:marLeft w:val="0"/>
                  <w:marRight w:val="0"/>
                  <w:marTop w:val="0"/>
                  <w:marBottom w:val="0"/>
                  <w:divBdr>
                    <w:top w:val="none" w:sz="0" w:space="0" w:color="auto"/>
                    <w:left w:val="none" w:sz="0" w:space="0" w:color="auto"/>
                    <w:bottom w:val="none" w:sz="0" w:space="0" w:color="auto"/>
                    <w:right w:val="none" w:sz="0" w:space="0" w:color="auto"/>
                  </w:divBdr>
                  <w:divsChild>
                    <w:div w:id="86999924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333797111">
              <w:marLeft w:val="0"/>
              <w:marRight w:val="0"/>
              <w:marTop w:val="0"/>
              <w:marBottom w:val="0"/>
              <w:divBdr>
                <w:top w:val="none" w:sz="0" w:space="0" w:color="auto"/>
                <w:left w:val="none" w:sz="0" w:space="0" w:color="auto"/>
                <w:bottom w:val="none" w:sz="0" w:space="0" w:color="auto"/>
                <w:right w:val="none" w:sz="0" w:space="0" w:color="auto"/>
              </w:divBdr>
              <w:divsChild>
                <w:div w:id="377359685">
                  <w:marLeft w:val="480"/>
                  <w:marRight w:val="0"/>
                  <w:marTop w:val="0"/>
                  <w:marBottom w:val="0"/>
                  <w:divBdr>
                    <w:top w:val="none" w:sz="0" w:space="0" w:color="auto"/>
                    <w:left w:val="none" w:sz="0" w:space="0" w:color="auto"/>
                    <w:bottom w:val="none" w:sz="0" w:space="0" w:color="auto"/>
                    <w:right w:val="none" w:sz="0" w:space="0" w:color="auto"/>
                  </w:divBdr>
                </w:div>
                <w:div w:id="1553082328">
                  <w:marLeft w:val="0"/>
                  <w:marRight w:val="0"/>
                  <w:marTop w:val="0"/>
                  <w:marBottom w:val="0"/>
                  <w:divBdr>
                    <w:top w:val="none" w:sz="0" w:space="0" w:color="auto"/>
                    <w:left w:val="none" w:sz="0" w:space="0" w:color="auto"/>
                    <w:bottom w:val="none" w:sz="0" w:space="0" w:color="auto"/>
                    <w:right w:val="none" w:sz="0" w:space="0" w:color="auto"/>
                  </w:divBdr>
                  <w:divsChild>
                    <w:div w:id="374815617">
                      <w:marLeft w:val="720"/>
                      <w:marRight w:val="0"/>
                      <w:marTop w:val="0"/>
                      <w:marBottom w:val="0"/>
                      <w:divBdr>
                        <w:top w:val="none" w:sz="0" w:space="0" w:color="auto"/>
                        <w:left w:val="none" w:sz="0" w:space="0" w:color="auto"/>
                        <w:bottom w:val="none" w:sz="0" w:space="0" w:color="auto"/>
                        <w:right w:val="none" w:sz="0" w:space="0" w:color="auto"/>
                      </w:divBdr>
                    </w:div>
                  </w:divsChild>
                </w:div>
                <w:div w:id="700474533">
                  <w:marLeft w:val="0"/>
                  <w:marRight w:val="0"/>
                  <w:marTop w:val="0"/>
                  <w:marBottom w:val="0"/>
                  <w:divBdr>
                    <w:top w:val="none" w:sz="0" w:space="0" w:color="auto"/>
                    <w:left w:val="none" w:sz="0" w:space="0" w:color="auto"/>
                    <w:bottom w:val="none" w:sz="0" w:space="0" w:color="auto"/>
                    <w:right w:val="none" w:sz="0" w:space="0" w:color="auto"/>
                  </w:divBdr>
                  <w:divsChild>
                    <w:div w:id="591277534">
                      <w:marLeft w:val="720"/>
                      <w:marRight w:val="0"/>
                      <w:marTop w:val="0"/>
                      <w:marBottom w:val="0"/>
                      <w:divBdr>
                        <w:top w:val="none" w:sz="0" w:space="0" w:color="auto"/>
                        <w:left w:val="none" w:sz="0" w:space="0" w:color="auto"/>
                        <w:bottom w:val="none" w:sz="0" w:space="0" w:color="auto"/>
                        <w:right w:val="none" w:sz="0" w:space="0" w:color="auto"/>
                      </w:divBdr>
                    </w:div>
                  </w:divsChild>
                </w:div>
                <w:div w:id="1818254472">
                  <w:marLeft w:val="0"/>
                  <w:marRight w:val="0"/>
                  <w:marTop w:val="0"/>
                  <w:marBottom w:val="0"/>
                  <w:divBdr>
                    <w:top w:val="none" w:sz="0" w:space="0" w:color="auto"/>
                    <w:left w:val="none" w:sz="0" w:space="0" w:color="auto"/>
                    <w:bottom w:val="none" w:sz="0" w:space="0" w:color="auto"/>
                    <w:right w:val="none" w:sz="0" w:space="0" w:color="auto"/>
                  </w:divBdr>
                  <w:divsChild>
                    <w:div w:id="1160196052">
                      <w:marLeft w:val="720"/>
                      <w:marRight w:val="0"/>
                      <w:marTop w:val="0"/>
                      <w:marBottom w:val="0"/>
                      <w:divBdr>
                        <w:top w:val="none" w:sz="0" w:space="0" w:color="auto"/>
                        <w:left w:val="none" w:sz="0" w:space="0" w:color="auto"/>
                        <w:bottom w:val="none" w:sz="0" w:space="0" w:color="auto"/>
                        <w:right w:val="none" w:sz="0" w:space="0" w:color="auto"/>
                      </w:divBdr>
                    </w:div>
                  </w:divsChild>
                </w:div>
                <w:div w:id="481772581">
                  <w:marLeft w:val="0"/>
                  <w:marRight w:val="0"/>
                  <w:marTop w:val="0"/>
                  <w:marBottom w:val="0"/>
                  <w:divBdr>
                    <w:top w:val="none" w:sz="0" w:space="0" w:color="auto"/>
                    <w:left w:val="none" w:sz="0" w:space="0" w:color="auto"/>
                    <w:bottom w:val="none" w:sz="0" w:space="0" w:color="auto"/>
                    <w:right w:val="none" w:sz="0" w:space="0" w:color="auto"/>
                  </w:divBdr>
                  <w:divsChild>
                    <w:div w:id="195254467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370701">
          <w:marLeft w:val="0"/>
          <w:marRight w:val="0"/>
          <w:marTop w:val="0"/>
          <w:marBottom w:val="0"/>
          <w:divBdr>
            <w:top w:val="none" w:sz="0" w:space="0" w:color="auto"/>
            <w:left w:val="none" w:sz="0" w:space="0" w:color="auto"/>
            <w:bottom w:val="none" w:sz="0" w:space="0" w:color="auto"/>
            <w:right w:val="none" w:sz="0" w:space="0" w:color="auto"/>
          </w:divBdr>
        </w:div>
        <w:div w:id="220409543">
          <w:marLeft w:val="0"/>
          <w:marRight w:val="0"/>
          <w:marTop w:val="0"/>
          <w:marBottom w:val="0"/>
          <w:divBdr>
            <w:top w:val="none" w:sz="0" w:space="0" w:color="auto"/>
            <w:left w:val="none" w:sz="0" w:space="0" w:color="auto"/>
            <w:bottom w:val="none" w:sz="0" w:space="0" w:color="auto"/>
            <w:right w:val="none" w:sz="0" w:space="0" w:color="auto"/>
          </w:divBdr>
        </w:div>
      </w:divsChild>
    </w:div>
    <w:div w:id="1086270357">
      <w:bodyDiv w:val="1"/>
      <w:marLeft w:val="0"/>
      <w:marRight w:val="0"/>
      <w:marTop w:val="0"/>
      <w:marBottom w:val="0"/>
      <w:divBdr>
        <w:top w:val="none" w:sz="0" w:space="0" w:color="auto"/>
        <w:left w:val="none" w:sz="0" w:space="0" w:color="auto"/>
        <w:bottom w:val="none" w:sz="0" w:space="0" w:color="auto"/>
        <w:right w:val="none" w:sz="0" w:space="0" w:color="auto"/>
      </w:divBdr>
      <w:divsChild>
        <w:div w:id="2144883540">
          <w:marLeft w:val="0"/>
          <w:marRight w:val="0"/>
          <w:marTop w:val="0"/>
          <w:marBottom w:val="0"/>
          <w:divBdr>
            <w:top w:val="none" w:sz="0" w:space="0" w:color="auto"/>
            <w:left w:val="none" w:sz="0" w:space="0" w:color="auto"/>
            <w:bottom w:val="none" w:sz="0" w:space="0" w:color="auto"/>
            <w:right w:val="none" w:sz="0" w:space="0" w:color="auto"/>
          </w:divBdr>
          <w:divsChild>
            <w:div w:id="1813864497">
              <w:marLeft w:val="0"/>
              <w:marRight w:val="0"/>
              <w:marTop w:val="0"/>
              <w:marBottom w:val="0"/>
              <w:divBdr>
                <w:top w:val="none" w:sz="0" w:space="0" w:color="auto"/>
                <w:left w:val="none" w:sz="0" w:space="0" w:color="auto"/>
                <w:bottom w:val="none" w:sz="0" w:space="0" w:color="auto"/>
                <w:right w:val="none" w:sz="0" w:space="0" w:color="auto"/>
              </w:divBdr>
            </w:div>
            <w:div w:id="1605572222">
              <w:marLeft w:val="0"/>
              <w:marRight w:val="0"/>
              <w:marTop w:val="0"/>
              <w:marBottom w:val="0"/>
              <w:divBdr>
                <w:top w:val="none" w:sz="0" w:space="0" w:color="auto"/>
                <w:left w:val="none" w:sz="0" w:space="0" w:color="auto"/>
                <w:bottom w:val="none" w:sz="0" w:space="0" w:color="auto"/>
                <w:right w:val="none" w:sz="0" w:space="0" w:color="auto"/>
              </w:divBdr>
            </w:div>
          </w:divsChild>
        </w:div>
        <w:div w:id="1058748562">
          <w:marLeft w:val="0"/>
          <w:marRight w:val="0"/>
          <w:marTop w:val="0"/>
          <w:marBottom w:val="0"/>
          <w:divBdr>
            <w:top w:val="none" w:sz="0" w:space="0" w:color="auto"/>
            <w:left w:val="none" w:sz="0" w:space="0" w:color="auto"/>
            <w:bottom w:val="none" w:sz="0" w:space="0" w:color="auto"/>
            <w:right w:val="none" w:sz="0" w:space="0" w:color="auto"/>
          </w:divBdr>
          <w:divsChild>
            <w:div w:id="1481313314">
              <w:marLeft w:val="0"/>
              <w:marRight w:val="0"/>
              <w:marTop w:val="0"/>
              <w:marBottom w:val="0"/>
              <w:divBdr>
                <w:top w:val="none" w:sz="0" w:space="0" w:color="auto"/>
                <w:left w:val="none" w:sz="0" w:space="0" w:color="auto"/>
                <w:bottom w:val="none" w:sz="0" w:space="0" w:color="auto"/>
                <w:right w:val="none" w:sz="0" w:space="0" w:color="auto"/>
              </w:divBdr>
            </w:div>
            <w:div w:id="1917085132">
              <w:marLeft w:val="0"/>
              <w:marRight w:val="0"/>
              <w:marTop w:val="0"/>
              <w:marBottom w:val="0"/>
              <w:divBdr>
                <w:top w:val="none" w:sz="0" w:space="0" w:color="auto"/>
                <w:left w:val="none" w:sz="0" w:space="0" w:color="auto"/>
                <w:bottom w:val="none" w:sz="0" w:space="0" w:color="auto"/>
                <w:right w:val="none" w:sz="0" w:space="0" w:color="auto"/>
              </w:divBdr>
            </w:div>
            <w:div w:id="15156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09951">
      <w:bodyDiv w:val="1"/>
      <w:marLeft w:val="0"/>
      <w:marRight w:val="0"/>
      <w:marTop w:val="0"/>
      <w:marBottom w:val="0"/>
      <w:divBdr>
        <w:top w:val="none" w:sz="0" w:space="0" w:color="auto"/>
        <w:left w:val="none" w:sz="0" w:space="0" w:color="auto"/>
        <w:bottom w:val="none" w:sz="0" w:space="0" w:color="auto"/>
        <w:right w:val="none" w:sz="0" w:space="0" w:color="auto"/>
      </w:divBdr>
      <w:divsChild>
        <w:div w:id="1913810700">
          <w:marLeft w:val="0"/>
          <w:marRight w:val="0"/>
          <w:marTop w:val="0"/>
          <w:marBottom w:val="0"/>
          <w:divBdr>
            <w:top w:val="none" w:sz="0" w:space="0" w:color="auto"/>
            <w:left w:val="none" w:sz="0" w:space="0" w:color="auto"/>
            <w:bottom w:val="none" w:sz="0" w:space="0" w:color="auto"/>
            <w:right w:val="none" w:sz="0" w:space="0" w:color="auto"/>
          </w:divBdr>
          <w:divsChild>
            <w:div w:id="119694664">
              <w:marLeft w:val="0"/>
              <w:marRight w:val="0"/>
              <w:marTop w:val="0"/>
              <w:marBottom w:val="0"/>
              <w:divBdr>
                <w:top w:val="none" w:sz="0" w:space="0" w:color="auto"/>
                <w:left w:val="none" w:sz="0" w:space="0" w:color="auto"/>
                <w:bottom w:val="none" w:sz="0" w:space="0" w:color="auto"/>
                <w:right w:val="none" w:sz="0" w:space="0" w:color="auto"/>
              </w:divBdr>
              <w:divsChild>
                <w:div w:id="830874104">
                  <w:marLeft w:val="480"/>
                  <w:marRight w:val="0"/>
                  <w:marTop w:val="0"/>
                  <w:marBottom w:val="0"/>
                  <w:divBdr>
                    <w:top w:val="none" w:sz="0" w:space="0" w:color="auto"/>
                    <w:left w:val="none" w:sz="0" w:space="0" w:color="auto"/>
                    <w:bottom w:val="none" w:sz="0" w:space="0" w:color="auto"/>
                    <w:right w:val="none" w:sz="0" w:space="0" w:color="auto"/>
                  </w:divBdr>
                </w:div>
                <w:div w:id="1222207631">
                  <w:marLeft w:val="0"/>
                  <w:marRight w:val="0"/>
                  <w:marTop w:val="0"/>
                  <w:marBottom w:val="0"/>
                  <w:divBdr>
                    <w:top w:val="none" w:sz="0" w:space="0" w:color="auto"/>
                    <w:left w:val="none" w:sz="0" w:space="0" w:color="auto"/>
                    <w:bottom w:val="none" w:sz="0" w:space="0" w:color="auto"/>
                    <w:right w:val="none" w:sz="0" w:space="0" w:color="auto"/>
                  </w:divBdr>
                  <w:divsChild>
                    <w:div w:id="1106193833">
                      <w:marLeft w:val="720"/>
                      <w:marRight w:val="0"/>
                      <w:marTop w:val="0"/>
                      <w:marBottom w:val="0"/>
                      <w:divBdr>
                        <w:top w:val="none" w:sz="0" w:space="0" w:color="auto"/>
                        <w:left w:val="none" w:sz="0" w:space="0" w:color="auto"/>
                        <w:bottom w:val="none" w:sz="0" w:space="0" w:color="auto"/>
                        <w:right w:val="none" w:sz="0" w:space="0" w:color="auto"/>
                      </w:divBdr>
                    </w:div>
                  </w:divsChild>
                </w:div>
                <w:div w:id="1580603988">
                  <w:marLeft w:val="0"/>
                  <w:marRight w:val="0"/>
                  <w:marTop w:val="0"/>
                  <w:marBottom w:val="0"/>
                  <w:divBdr>
                    <w:top w:val="none" w:sz="0" w:space="0" w:color="auto"/>
                    <w:left w:val="none" w:sz="0" w:space="0" w:color="auto"/>
                    <w:bottom w:val="none" w:sz="0" w:space="0" w:color="auto"/>
                    <w:right w:val="none" w:sz="0" w:space="0" w:color="auto"/>
                  </w:divBdr>
                  <w:divsChild>
                    <w:div w:id="1446075918">
                      <w:marLeft w:val="720"/>
                      <w:marRight w:val="0"/>
                      <w:marTop w:val="0"/>
                      <w:marBottom w:val="0"/>
                      <w:divBdr>
                        <w:top w:val="none" w:sz="0" w:space="0" w:color="auto"/>
                        <w:left w:val="none" w:sz="0" w:space="0" w:color="auto"/>
                        <w:bottom w:val="none" w:sz="0" w:space="0" w:color="auto"/>
                        <w:right w:val="none" w:sz="0" w:space="0" w:color="auto"/>
                      </w:divBdr>
                    </w:div>
                  </w:divsChild>
                </w:div>
                <w:div w:id="968631739">
                  <w:marLeft w:val="0"/>
                  <w:marRight w:val="0"/>
                  <w:marTop w:val="0"/>
                  <w:marBottom w:val="0"/>
                  <w:divBdr>
                    <w:top w:val="none" w:sz="0" w:space="0" w:color="auto"/>
                    <w:left w:val="none" w:sz="0" w:space="0" w:color="auto"/>
                    <w:bottom w:val="none" w:sz="0" w:space="0" w:color="auto"/>
                    <w:right w:val="none" w:sz="0" w:space="0" w:color="auto"/>
                  </w:divBdr>
                  <w:divsChild>
                    <w:div w:id="320425601">
                      <w:marLeft w:val="720"/>
                      <w:marRight w:val="0"/>
                      <w:marTop w:val="0"/>
                      <w:marBottom w:val="0"/>
                      <w:divBdr>
                        <w:top w:val="none" w:sz="0" w:space="0" w:color="auto"/>
                        <w:left w:val="none" w:sz="0" w:space="0" w:color="auto"/>
                        <w:bottom w:val="none" w:sz="0" w:space="0" w:color="auto"/>
                        <w:right w:val="none" w:sz="0" w:space="0" w:color="auto"/>
                      </w:divBdr>
                    </w:div>
                  </w:divsChild>
                </w:div>
                <w:div w:id="40642359">
                  <w:marLeft w:val="0"/>
                  <w:marRight w:val="0"/>
                  <w:marTop w:val="0"/>
                  <w:marBottom w:val="0"/>
                  <w:divBdr>
                    <w:top w:val="none" w:sz="0" w:space="0" w:color="auto"/>
                    <w:left w:val="none" w:sz="0" w:space="0" w:color="auto"/>
                    <w:bottom w:val="none" w:sz="0" w:space="0" w:color="auto"/>
                    <w:right w:val="none" w:sz="0" w:space="0" w:color="auto"/>
                  </w:divBdr>
                  <w:divsChild>
                    <w:div w:id="320626458">
                      <w:marLeft w:val="720"/>
                      <w:marRight w:val="0"/>
                      <w:marTop w:val="0"/>
                      <w:marBottom w:val="0"/>
                      <w:divBdr>
                        <w:top w:val="none" w:sz="0" w:space="0" w:color="auto"/>
                        <w:left w:val="none" w:sz="0" w:space="0" w:color="auto"/>
                        <w:bottom w:val="none" w:sz="0" w:space="0" w:color="auto"/>
                        <w:right w:val="none" w:sz="0" w:space="0" w:color="auto"/>
                      </w:divBdr>
                    </w:div>
                  </w:divsChild>
                </w:div>
                <w:div w:id="385298500">
                  <w:marLeft w:val="0"/>
                  <w:marRight w:val="0"/>
                  <w:marTop w:val="0"/>
                  <w:marBottom w:val="0"/>
                  <w:divBdr>
                    <w:top w:val="none" w:sz="0" w:space="0" w:color="auto"/>
                    <w:left w:val="none" w:sz="0" w:space="0" w:color="auto"/>
                    <w:bottom w:val="none" w:sz="0" w:space="0" w:color="auto"/>
                    <w:right w:val="none" w:sz="0" w:space="0" w:color="auto"/>
                  </w:divBdr>
                  <w:divsChild>
                    <w:div w:id="2096048889">
                      <w:marLeft w:val="720"/>
                      <w:marRight w:val="0"/>
                      <w:marTop w:val="0"/>
                      <w:marBottom w:val="0"/>
                      <w:divBdr>
                        <w:top w:val="none" w:sz="0" w:space="0" w:color="auto"/>
                        <w:left w:val="none" w:sz="0" w:space="0" w:color="auto"/>
                        <w:bottom w:val="none" w:sz="0" w:space="0" w:color="auto"/>
                        <w:right w:val="none" w:sz="0" w:space="0" w:color="auto"/>
                      </w:divBdr>
                    </w:div>
                  </w:divsChild>
                </w:div>
                <w:div w:id="1076902062">
                  <w:marLeft w:val="0"/>
                  <w:marRight w:val="0"/>
                  <w:marTop w:val="0"/>
                  <w:marBottom w:val="0"/>
                  <w:divBdr>
                    <w:top w:val="none" w:sz="0" w:space="0" w:color="auto"/>
                    <w:left w:val="none" w:sz="0" w:space="0" w:color="auto"/>
                    <w:bottom w:val="none" w:sz="0" w:space="0" w:color="auto"/>
                    <w:right w:val="none" w:sz="0" w:space="0" w:color="auto"/>
                  </w:divBdr>
                  <w:divsChild>
                    <w:div w:id="97367537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621768915">
              <w:marLeft w:val="0"/>
              <w:marRight w:val="0"/>
              <w:marTop w:val="0"/>
              <w:marBottom w:val="0"/>
              <w:divBdr>
                <w:top w:val="none" w:sz="0" w:space="0" w:color="auto"/>
                <w:left w:val="none" w:sz="0" w:space="0" w:color="auto"/>
                <w:bottom w:val="none" w:sz="0" w:space="0" w:color="auto"/>
                <w:right w:val="none" w:sz="0" w:space="0" w:color="auto"/>
              </w:divBdr>
              <w:divsChild>
                <w:div w:id="833763327">
                  <w:marLeft w:val="480"/>
                  <w:marRight w:val="0"/>
                  <w:marTop w:val="0"/>
                  <w:marBottom w:val="0"/>
                  <w:divBdr>
                    <w:top w:val="none" w:sz="0" w:space="0" w:color="auto"/>
                    <w:left w:val="none" w:sz="0" w:space="0" w:color="auto"/>
                    <w:bottom w:val="none" w:sz="0" w:space="0" w:color="auto"/>
                    <w:right w:val="none" w:sz="0" w:space="0" w:color="auto"/>
                  </w:divBdr>
                </w:div>
                <w:div w:id="528953193">
                  <w:marLeft w:val="0"/>
                  <w:marRight w:val="0"/>
                  <w:marTop w:val="0"/>
                  <w:marBottom w:val="0"/>
                  <w:divBdr>
                    <w:top w:val="none" w:sz="0" w:space="0" w:color="auto"/>
                    <w:left w:val="none" w:sz="0" w:space="0" w:color="auto"/>
                    <w:bottom w:val="none" w:sz="0" w:space="0" w:color="auto"/>
                    <w:right w:val="none" w:sz="0" w:space="0" w:color="auto"/>
                  </w:divBdr>
                  <w:divsChild>
                    <w:div w:id="1091241772">
                      <w:marLeft w:val="720"/>
                      <w:marRight w:val="0"/>
                      <w:marTop w:val="0"/>
                      <w:marBottom w:val="0"/>
                      <w:divBdr>
                        <w:top w:val="none" w:sz="0" w:space="0" w:color="auto"/>
                        <w:left w:val="none" w:sz="0" w:space="0" w:color="auto"/>
                        <w:bottom w:val="none" w:sz="0" w:space="0" w:color="auto"/>
                        <w:right w:val="none" w:sz="0" w:space="0" w:color="auto"/>
                      </w:divBdr>
                    </w:div>
                  </w:divsChild>
                </w:div>
                <w:div w:id="437917715">
                  <w:marLeft w:val="0"/>
                  <w:marRight w:val="0"/>
                  <w:marTop w:val="0"/>
                  <w:marBottom w:val="0"/>
                  <w:divBdr>
                    <w:top w:val="none" w:sz="0" w:space="0" w:color="auto"/>
                    <w:left w:val="none" w:sz="0" w:space="0" w:color="auto"/>
                    <w:bottom w:val="none" w:sz="0" w:space="0" w:color="auto"/>
                    <w:right w:val="none" w:sz="0" w:space="0" w:color="auto"/>
                  </w:divBdr>
                  <w:divsChild>
                    <w:div w:id="154494654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19737531">
              <w:marLeft w:val="0"/>
              <w:marRight w:val="0"/>
              <w:marTop w:val="0"/>
              <w:marBottom w:val="0"/>
              <w:divBdr>
                <w:top w:val="none" w:sz="0" w:space="0" w:color="auto"/>
                <w:left w:val="none" w:sz="0" w:space="0" w:color="auto"/>
                <w:bottom w:val="none" w:sz="0" w:space="0" w:color="auto"/>
                <w:right w:val="none" w:sz="0" w:space="0" w:color="auto"/>
              </w:divBdr>
              <w:divsChild>
                <w:div w:id="2137140242">
                  <w:marLeft w:val="480"/>
                  <w:marRight w:val="0"/>
                  <w:marTop w:val="0"/>
                  <w:marBottom w:val="0"/>
                  <w:divBdr>
                    <w:top w:val="none" w:sz="0" w:space="0" w:color="auto"/>
                    <w:left w:val="none" w:sz="0" w:space="0" w:color="auto"/>
                    <w:bottom w:val="none" w:sz="0" w:space="0" w:color="auto"/>
                    <w:right w:val="none" w:sz="0" w:space="0" w:color="auto"/>
                  </w:divBdr>
                </w:div>
                <w:div w:id="1281453295">
                  <w:marLeft w:val="0"/>
                  <w:marRight w:val="0"/>
                  <w:marTop w:val="0"/>
                  <w:marBottom w:val="0"/>
                  <w:divBdr>
                    <w:top w:val="none" w:sz="0" w:space="0" w:color="auto"/>
                    <w:left w:val="none" w:sz="0" w:space="0" w:color="auto"/>
                    <w:bottom w:val="none" w:sz="0" w:space="0" w:color="auto"/>
                    <w:right w:val="none" w:sz="0" w:space="0" w:color="auto"/>
                  </w:divBdr>
                  <w:divsChild>
                    <w:div w:id="932711674">
                      <w:marLeft w:val="720"/>
                      <w:marRight w:val="0"/>
                      <w:marTop w:val="0"/>
                      <w:marBottom w:val="0"/>
                      <w:divBdr>
                        <w:top w:val="none" w:sz="0" w:space="0" w:color="auto"/>
                        <w:left w:val="none" w:sz="0" w:space="0" w:color="auto"/>
                        <w:bottom w:val="none" w:sz="0" w:space="0" w:color="auto"/>
                        <w:right w:val="none" w:sz="0" w:space="0" w:color="auto"/>
                      </w:divBdr>
                    </w:div>
                  </w:divsChild>
                </w:div>
                <w:div w:id="2055427709">
                  <w:marLeft w:val="0"/>
                  <w:marRight w:val="0"/>
                  <w:marTop w:val="0"/>
                  <w:marBottom w:val="0"/>
                  <w:divBdr>
                    <w:top w:val="none" w:sz="0" w:space="0" w:color="auto"/>
                    <w:left w:val="none" w:sz="0" w:space="0" w:color="auto"/>
                    <w:bottom w:val="none" w:sz="0" w:space="0" w:color="auto"/>
                    <w:right w:val="none" w:sz="0" w:space="0" w:color="auto"/>
                  </w:divBdr>
                  <w:divsChild>
                    <w:div w:id="693532493">
                      <w:marLeft w:val="720"/>
                      <w:marRight w:val="0"/>
                      <w:marTop w:val="0"/>
                      <w:marBottom w:val="0"/>
                      <w:divBdr>
                        <w:top w:val="none" w:sz="0" w:space="0" w:color="auto"/>
                        <w:left w:val="none" w:sz="0" w:space="0" w:color="auto"/>
                        <w:bottom w:val="none" w:sz="0" w:space="0" w:color="auto"/>
                        <w:right w:val="none" w:sz="0" w:space="0" w:color="auto"/>
                      </w:divBdr>
                    </w:div>
                  </w:divsChild>
                </w:div>
                <w:div w:id="214242609">
                  <w:marLeft w:val="0"/>
                  <w:marRight w:val="0"/>
                  <w:marTop w:val="0"/>
                  <w:marBottom w:val="0"/>
                  <w:divBdr>
                    <w:top w:val="none" w:sz="0" w:space="0" w:color="auto"/>
                    <w:left w:val="none" w:sz="0" w:space="0" w:color="auto"/>
                    <w:bottom w:val="none" w:sz="0" w:space="0" w:color="auto"/>
                    <w:right w:val="none" w:sz="0" w:space="0" w:color="auto"/>
                  </w:divBdr>
                  <w:divsChild>
                    <w:div w:id="363677851">
                      <w:marLeft w:val="720"/>
                      <w:marRight w:val="0"/>
                      <w:marTop w:val="0"/>
                      <w:marBottom w:val="0"/>
                      <w:divBdr>
                        <w:top w:val="none" w:sz="0" w:space="0" w:color="auto"/>
                        <w:left w:val="none" w:sz="0" w:space="0" w:color="auto"/>
                        <w:bottom w:val="none" w:sz="0" w:space="0" w:color="auto"/>
                        <w:right w:val="none" w:sz="0" w:space="0" w:color="auto"/>
                      </w:divBdr>
                    </w:div>
                  </w:divsChild>
                </w:div>
                <w:div w:id="593980330">
                  <w:marLeft w:val="0"/>
                  <w:marRight w:val="0"/>
                  <w:marTop w:val="0"/>
                  <w:marBottom w:val="0"/>
                  <w:divBdr>
                    <w:top w:val="none" w:sz="0" w:space="0" w:color="auto"/>
                    <w:left w:val="none" w:sz="0" w:space="0" w:color="auto"/>
                    <w:bottom w:val="none" w:sz="0" w:space="0" w:color="auto"/>
                    <w:right w:val="none" w:sz="0" w:space="0" w:color="auto"/>
                  </w:divBdr>
                  <w:divsChild>
                    <w:div w:id="196938718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04087">
          <w:marLeft w:val="0"/>
          <w:marRight w:val="0"/>
          <w:marTop w:val="0"/>
          <w:marBottom w:val="0"/>
          <w:divBdr>
            <w:top w:val="none" w:sz="0" w:space="0" w:color="auto"/>
            <w:left w:val="none" w:sz="0" w:space="0" w:color="auto"/>
            <w:bottom w:val="none" w:sz="0" w:space="0" w:color="auto"/>
            <w:right w:val="none" w:sz="0" w:space="0" w:color="auto"/>
          </w:divBdr>
        </w:div>
        <w:div w:id="861557003">
          <w:marLeft w:val="0"/>
          <w:marRight w:val="0"/>
          <w:marTop w:val="0"/>
          <w:marBottom w:val="0"/>
          <w:divBdr>
            <w:top w:val="none" w:sz="0" w:space="0" w:color="auto"/>
            <w:left w:val="none" w:sz="0" w:space="0" w:color="auto"/>
            <w:bottom w:val="none" w:sz="0" w:space="0" w:color="auto"/>
            <w:right w:val="none" w:sz="0" w:space="0" w:color="auto"/>
          </w:divBdr>
        </w:div>
      </w:divsChild>
    </w:div>
    <w:div w:id="117561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C0360-5444-4021-AF27-858D27383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9108</Words>
  <Characters>54654</Characters>
  <Application>Microsoft Office Word</Application>
  <DocSecurity>0</DocSecurity>
  <Lines>455</Lines>
  <Paragraphs>127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Jezewski</dc:creator>
  <cp:lastModifiedBy>Grażyna D. Grabowska</cp:lastModifiedBy>
  <cp:revision>2</cp:revision>
  <cp:lastPrinted>2016-02-10T10:00:00Z</cp:lastPrinted>
  <dcterms:created xsi:type="dcterms:W3CDTF">2016-06-07T14:43:00Z</dcterms:created>
  <dcterms:modified xsi:type="dcterms:W3CDTF">2016-06-07T14:43:00Z</dcterms:modified>
</cp:coreProperties>
</file>