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955" w:rsidRPr="00EF0B5D" w:rsidRDefault="00EF0B5D" w:rsidP="00EF0B5D">
      <w:pPr>
        <w:spacing w:before="120" w:after="0" w:line="360" w:lineRule="auto"/>
        <w:jc w:val="center"/>
        <w:rPr>
          <w:rFonts w:ascii="Times New Roman" w:hAnsi="Times New Roman" w:cs="Times New Roman"/>
          <w:smallCaps/>
          <w:color w:val="000000" w:themeColor="text1"/>
          <w:sz w:val="24"/>
          <w:szCs w:val="24"/>
        </w:rPr>
      </w:pPr>
      <w:bookmarkStart w:id="0" w:name="_GoBack"/>
      <w:bookmarkEnd w:id="0"/>
      <w:r w:rsidRPr="00EF0B5D">
        <w:rPr>
          <w:rFonts w:ascii="Times New Roman" w:hAnsi="Times New Roman" w:cs="Times New Roman"/>
          <w:smallCaps/>
          <w:color w:val="000000" w:themeColor="text1"/>
          <w:sz w:val="24"/>
          <w:szCs w:val="24"/>
        </w:rPr>
        <w:t>UZASADNIENIE</w:t>
      </w:r>
    </w:p>
    <w:p w:rsidR="004D3955" w:rsidRPr="00EF0B5D" w:rsidRDefault="004D3955" w:rsidP="004D7FFA">
      <w:pPr>
        <w:spacing w:before="240"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Decyzja o przyjęciu Czarnogóry do NATO została podjęta przez ministrów spraw zagran</w:t>
      </w:r>
      <w:r w:rsidR="00DA5201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icznych państw NATO na sesji</w:t>
      </w:r>
      <w:r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7D7E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w dn</w:t>
      </w:r>
      <w:r w:rsidR="004D7FFA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BC7D7E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 </w:t>
      </w:r>
      <w:r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2 grudnia 2014 r. Jest ona świadectwem woli umacniania i jednoczenia kontynentu europejskiego</w:t>
      </w:r>
      <w:r w:rsidR="00BC7D7E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oraz</w:t>
      </w:r>
      <w:r w:rsidRPr="00EF0B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zachęca pozostałe państwa aspirujące do członkostwa do kontynuowania reform. Przede wszystkim stanowi</w:t>
      </w:r>
      <w:r w:rsidR="00DA5201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jednak</w:t>
      </w:r>
      <w:r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potwierdzenie kontynuacji polityki „otwartych drzwi”, zachowując perspektywę dla Gruzji</w:t>
      </w:r>
      <w:r w:rsidR="004D7FF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w przyszłości Finlandii i Szwecji, jeśli państwa te zdecydują się na przystąpienie do Sojuszu. </w:t>
      </w:r>
    </w:p>
    <w:p w:rsidR="005021A7" w:rsidRPr="00EF0B5D" w:rsidRDefault="00BC7D7E" w:rsidP="004D7FFA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W konsekwencji akcesji</w:t>
      </w:r>
      <w:r w:rsidR="004D3955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Czarnogóry, NATO rozciągnie swe gwarancje b</w:t>
      </w:r>
      <w:r w:rsidR="00DA5201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ezpieczeństwa na kolejne państwo Bałkanów Zachodnich</w:t>
      </w:r>
      <w:r w:rsidR="004D3955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, poszerzając tym samym obszar bezpieczeństwa i stabilności</w:t>
      </w:r>
      <w:r w:rsidR="00DA5201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Europie</w:t>
      </w:r>
      <w:r w:rsidR="004D3955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. Proces ten umocn</w:t>
      </w:r>
      <w:r w:rsidR="00DA5201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i w tym kraju</w:t>
      </w:r>
      <w:r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struktury demokratyczne przez nałożenie</w:t>
      </w:r>
      <w:r w:rsidR="004D3955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nie</w:t>
      </w:r>
      <w:r w:rsidR="00DA5201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go</w:t>
      </w:r>
      <w:r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obowiąz</w:t>
      </w:r>
      <w:r w:rsidR="004D3955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4D3955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przestrzegania wiążących standardów w polityce wewnętrznej i międzynarodowej. Członkostwo Czarnogóry ma ważny wymiar polityczny w kontekście ograniczenia wpływów rosyjskich w regionie Bałkanów Zachodnich. Przyjmując Czarnogórę do NATO</w:t>
      </w:r>
      <w:r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, potwierdzamy</w:t>
      </w:r>
      <w:r w:rsidR="004D3955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, że państwa t</w:t>
      </w:r>
      <w:r w:rsidR="00DA5201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rzecie nie mają prawa weta w</w:t>
      </w:r>
      <w:r w:rsidR="004D3955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sprawie</w:t>
      </w:r>
      <w:r w:rsidR="00DA5201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rozszerzenia</w:t>
      </w:r>
      <w:r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tej organizacji</w:t>
      </w:r>
      <w:r w:rsidR="004D3955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021A7" w:rsidRPr="00EF0B5D" w:rsidRDefault="00BC7D7E" w:rsidP="004D7FFA">
      <w:pPr>
        <w:spacing w:before="120" w:after="0" w:line="36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Wraz z postępującym </w:t>
      </w:r>
      <w:r w:rsidR="005021A7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hamowaniem procesu integracji euroatlantyckiej i rosnącymi wpływami partnerów zewnętrznych na Bałkanach Zachodnich (w tym Rosji), ważnym jest wysłanie sygnału, że Zachód nie stracił regionu z pola widzenia. Trudności</w:t>
      </w:r>
      <w:r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021A7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jakie przechodzą kraje bałkańskie (np. kryzys w Macedonii)</w:t>
      </w:r>
      <w:r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25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21A7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osłabiają wolę reform w</w:t>
      </w:r>
      <w:r w:rsidR="00EF0B5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5021A7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lokalnych elitach politycznych. Integracja Czarnogóry z NATO oraz </w:t>
      </w:r>
      <w:r w:rsidR="004D7F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jej </w:t>
      </w:r>
      <w:r w:rsidR="005021A7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negocjacje z U</w:t>
      </w:r>
      <w:r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nią </w:t>
      </w:r>
      <w:r w:rsidR="005021A7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uropejską, które postępują szybko</w:t>
      </w:r>
      <w:r w:rsidR="004D7FF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021A7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są pozytywnym</w:t>
      </w:r>
      <w:r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5021A7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przykładami dla regionu. Jest to ważne w szczególności dla sąsiadów kraju, tj. Kosowa </w:t>
      </w:r>
      <w:r w:rsidR="004C2894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oraz</w:t>
      </w:r>
      <w:r w:rsidR="005021A7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Bośni i Hercegowiny, </w:t>
      </w:r>
      <w:r w:rsidR="004C2894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których r</w:t>
      </w:r>
      <w:r w:rsidR="00125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ządy, pomimo złożonej sytuacji </w:t>
      </w:r>
      <w:r w:rsidR="004C2894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wewnętrznej i</w:t>
      </w:r>
      <w:r w:rsidR="00EF0B5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4C2894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zewnętrznej,</w:t>
      </w:r>
      <w:r w:rsidR="005D5B18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21A7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deklarują</w:t>
      </w:r>
      <w:r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chęć pozostania </w:t>
      </w:r>
      <w:r w:rsidR="005021A7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na ścieżce integracji euroatlantyckiej.  W tym kontekście</w:t>
      </w:r>
      <w:r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021A7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członkostwo Czarnogóry w NATO nie tylko </w:t>
      </w:r>
      <w:r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przyczyni się </w:t>
      </w:r>
      <w:r w:rsidR="005021A7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do  zwiększenia bezpieczeństwa</w:t>
      </w:r>
      <w:r w:rsidR="004C2894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tego</w:t>
      </w:r>
      <w:r w:rsidR="005021A7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kraju, ale ma też fundamentalne znaczenie dla stabilizacji całego regionu  Bałkan</w:t>
      </w:r>
      <w:r w:rsidR="00760923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ów Zachodnich.</w:t>
      </w:r>
      <w:r w:rsidR="005D5B18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60923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Istotne znaczenie strategiczne</w:t>
      </w:r>
      <w:r w:rsidR="005021A7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 </w:t>
      </w:r>
      <w:r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ponadto fakt, iż od</w:t>
      </w:r>
      <w:r w:rsidR="005021A7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chwil</w:t>
      </w:r>
      <w:r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5021A7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przyjęcia Czarnogóry do NATO</w:t>
      </w:r>
      <w:r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021A7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Sojusz </w:t>
      </w:r>
      <w:r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będzie </w:t>
      </w:r>
      <w:r w:rsidR="005021A7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kontrolował całą linię brzegową basenu Morza Adriatyckiego.</w:t>
      </w:r>
    </w:p>
    <w:p w:rsidR="004D3955" w:rsidRPr="00EF0B5D" w:rsidRDefault="004D3955" w:rsidP="00EF0B5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D3955" w:rsidRPr="00EF0B5D" w:rsidRDefault="004D3955" w:rsidP="004D7FFA">
      <w:pPr>
        <w:spacing w:before="120" w:after="0" w:line="36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Czarnogóra, choć jest małym państwem i stosunkowo niedawno uzyskała niepodległość (2006), wykonała ogromny wysiłek reformatorski w sferze politycznej, gospodarczej</w:t>
      </w:r>
      <w:r w:rsidR="004D7F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oraz bezpieczeństwa i obrony. </w:t>
      </w:r>
      <w:r w:rsidRPr="00EF0B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Siły Zbrojne Czarnogóry dysponują wystarczającym potencjałem, aby sprawnie dostosować się do wymogów sojuszniczych. Żołnierze czarnogórscy zdobywają cenne doświadczenie w ramach ćwiczeń wielonarodowych oraz bilateralnych, m.in. z USA. Czarnogóra zadeklarowała też utrzymanie swojego zaangażowania w operację Resolute Support w Afganistanie</w:t>
      </w:r>
      <w:r w:rsidR="004D7FF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</w:t>
      </w:r>
      <w:r w:rsidR="005D5B18" w:rsidRPr="00EF0B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jest </w:t>
      </w:r>
      <w:r w:rsidRPr="00EF0B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zaangażowana w operacje ONZ oraz UE</w:t>
      </w:r>
      <w:r w:rsidR="004D7FF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</w:t>
      </w:r>
      <w:r w:rsidRPr="00EF0B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4D3955" w:rsidRPr="00EF0B5D" w:rsidRDefault="005021A7" w:rsidP="00125247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Czarnogóra postrzega Polskę jako lidera regionu  Europy  Środowej</w:t>
      </w:r>
      <w:r w:rsidR="00760923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sojusznika o</w:t>
      </w:r>
      <w:r w:rsidR="00EF0B5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760923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znaczącym potencjale w procesie decyzyjnym</w:t>
      </w:r>
      <w:r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60923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Wizyta Ministra W.</w:t>
      </w:r>
      <w:r w:rsidR="00EF0B5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760923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EF0B5D">
        <w:rPr>
          <w:rFonts w:ascii="Times New Roman" w:hAnsi="Times New Roman" w:cs="Times New Roman"/>
          <w:color w:val="000000" w:themeColor="text1"/>
          <w:sz w:val="24"/>
          <w:szCs w:val="24"/>
        </w:rPr>
        <w:t>aszczykowskiego w Podgoricy (24–</w:t>
      </w:r>
      <w:r w:rsidR="00125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25 </w:t>
      </w:r>
      <w:r w:rsidR="00760923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maja 2016 r.) potwierdziła wysoką pozycję</w:t>
      </w:r>
      <w:r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</w:t>
      </w:r>
      <w:r w:rsidR="00760923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aszego kraju</w:t>
      </w:r>
      <w:r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4D3955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Strona czarnogórska kilkakrotnie sygnalizowała, że bardzo zależy jej na tym, aby Polska – gospodarz Szczytu NATO oraz kraj, który si</w:t>
      </w:r>
      <w:r w:rsidR="00BC7D7E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lnie popiera zaproszenie</w:t>
      </w:r>
      <w:r w:rsidR="004D3955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C2894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tego państwa</w:t>
      </w:r>
      <w:r w:rsidR="004D3955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Sojuszu – była jednym z </w:t>
      </w:r>
      <w:r w:rsidR="00BC7D7E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pierwszych państw członkowskich, które ratyfikują Protokół akcesyjny. </w:t>
      </w:r>
      <w:r w:rsidR="004D3955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Mając na celu utrzymanie wizerunku i wiarygodności </w:t>
      </w:r>
      <w:r w:rsidR="00BC7D7E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Polski</w:t>
      </w:r>
      <w:r w:rsidR="00B0551E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jako</w:t>
      </w:r>
      <w:r w:rsidR="004D3955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państwa </w:t>
      </w:r>
      <w:r w:rsidR="00BC7D7E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aktywnie</w:t>
      </w:r>
      <w:r w:rsidR="004D3955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wspierającego politykę </w:t>
      </w:r>
      <w:r w:rsidR="005D5B18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 w:rsidR="004D3955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otwartych drzwi</w:t>
      </w:r>
      <w:r w:rsidR="005D5B18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4D3955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oraz jednego z najważniejszych sojuszników Czarnogóry, wskazane jest jak najpilniejsze przeprowadzenie procesu ratyfikacji. Niewątpliwym sukcesem wizerunkowym byłoby, gdyby Polska – adwokat polityki </w:t>
      </w:r>
      <w:r w:rsidR="00B0551E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rozszerzenia </w:t>
      </w:r>
      <w:r w:rsidR="004D7F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NATO </w:t>
      </w:r>
      <w:r w:rsidR="00B0551E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876DF9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gospodarz S</w:t>
      </w:r>
      <w:r w:rsidR="00DA5201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zczytu </w:t>
      </w:r>
      <w:r w:rsidR="004D7F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NATO </w:t>
      </w:r>
      <w:r w:rsidR="00DA5201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znalazła się wśród </w:t>
      </w:r>
      <w:r w:rsidR="00F026B1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liderów</w:t>
      </w:r>
      <w:r w:rsidR="004D7FF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026B1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D5B18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państw</w:t>
      </w:r>
      <w:r w:rsidR="004D3955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najbardziej zaawansowanych w procesie ratyfikacji Protokołu o akcesji Czarnogóry do NATO. </w:t>
      </w:r>
      <w:r w:rsidR="00760923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Szybka ratyfikacja </w:t>
      </w:r>
      <w:r w:rsidR="005D5B18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760923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rotokoł</w:t>
      </w:r>
      <w:r w:rsidR="005D5B18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760923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</w:t>
      </w:r>
      <w:r w:rsidR="00EF0B5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760923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przyjęcie Czarnogóry do NATO pozwoli skutecznie zamknąć</w:t>
      </w:r>
      <w:r w:rsidR="00F026B1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dyskusję</w:t>
      </w:r>
      <w:r w:rsidR="00822A71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możliwym destabilizu</w:t>
      </w:r>
      <w:r w:rsidR="00760923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jącym dział</w:t>
      </w:r>
      <w:r w:rsidR="00822A71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760923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>niu Rosji</w:t>
      </w:r>
      <w:r w:rsidR="00822A71" w:rsidRPr="00EF0B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wobec tego kraju.</w:t>
      </w:r>
    </w:p>
    <w:p w:rsidR="00A533A6" w:rsidRPr="00EF0B5D" w:rsidRDefault="00A533A6" w:rsidP="004D7FFA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0B5D">
        <w:rPr>
          <w:rFonts w:ascii="Times New Roman" w:hAnsi="Times New Roman" w:cs="Times New Roman"/>
          <w:sz w:val="24"/>
          <w:szCs w:val="24"/>
        </w:rPr>
        <w:t>Po wejściu w życie Protokołu akcesyjnego</w:t>
      </w:r>
      <w:r w:rsidR="00F026B1" w:rsidRPr="00EF0B5D">
        <w:rPr>
          <w:rFonts w:ascii="Times New Roman" w:hAnsi="Times New Roman" w:cs="Times New Roman"/>
          <w:sz w:val="24"/>
          <w:szCs w:val="24"/>
        </w:rPr>
        <w:t>,</w:t>
      </w:r>
      <w:r w:rsidRPr="00EF0B5D">
        <w:rPr>
          <w:rFonts w:ascii="Times New Roman" w:hAnsi="Times New Roman" w:cs="Times New Roman"/>
          <w:sz w:val="24"/>
          <w:szCs w:val="24"/>
        </w:rPr>
        <w:t xml:space="preserve"> Czarnogóra stanie się stroną Traktatu P</w:t>
      </w:r>
      <w:r w:rsidR="00F026B1" w:rsidRPr="00EF0B5D">
        <w:rPr>
          <w:rFonts w:ascii="Times New Roman" w:hAnsi="Times New Roman" w:cs="Times New Roman"/>
          <w:sz w:val="24"/>
          <w:szCs w:val="24"/>
        </w:rPr>
        <w:t xml:space="preserve">ółnocnoatlantyckiego i na mocy </w:t>
      </w:r>
      <w:r w:rsidRPr="00EF0B5D">
        <w:rPr>
          <w:rFonts w:ascii="Times New Roman" w:hAnsi="Times New Roman" w:cs="Times New Roman"/>
          <w:sz w:val="24"/>
          <w:szCs w:val="24"/>
        </w:rPr>
        <w:t>jego postanowień Polska będzie zobowiązana do udzielania, w razie potrzeby, wsparcia wojskowego nowemu członkowi</w:t>
      </w:r>
      <w:r w:rsidR="00F026B1" w:rsidRPr="00EF0B5D">
        <w:rPr>
          <w:rFonts w:ascii="Times New Roman" w:hAnsi="Times New Roman" w:cs="Times New Roman"/>
          <w:sz w:val="24"/>
          <w:szCs w:val="24"/>
        </w:rPr>
        <w:t xml:space="preserve"> NATO</w:t>
      </w:r>
      <w:r w:rsidRPr="00EF0B5D">
        <w:rPr>
          <w:rFonts w:ascii="Times New Roman" w:hAnsi="Times New Roman" w:cs="Times New Roman"/>
          <w:sz w:val="24"/>
          <w:szCs w:val="24"/>
        </w:rPr>
        <w:t>. Z</w:t>
      </w:r>
      <w:r w:rsidR="00EF0B5D">
        <w:rPr>
          <w:rFonts w:ascii="Times New Roman" w:hAnsi="Times New Roman" w:cs="Times New Roman"/>
          <w:sz w:val="24"/>
          <w:szCs w:val="24"/>
        </w:rPr>
        <w:t> </w:t>
      </w:r>
      <w:r w:rsidRPr="00EF0B5D">
        <w:rPr>
          <w:rFonts w:ascii="Times New Roman" w:hAnsi="Times New Roman" w:cs="Times New Roman"/>
          <w:sz w:val="24"/>
          <w:szCs w:val="24"/>
        </w:rPr>
        <w:t>wyjątkiem zakresu podmiotowego</w:t>
      </w:r>
      <w:r w:rsidR="00F026B1" w:rsidRPr="00EF0B5D">
        <w:rPr>
          <w:rFonts w:ascii="Times New Roman" w:hAnsi="Times New Roman" w:cs="Times New Roman"/>
          <w:sz w:val="24"/>
          <w:szCs w:val="24"/>
        </w:rPr>
        <w:t xml:space="preserve"> tej organizacji,</w:t>
      </w:r>
      <w:r w:rsidRPr="00EF0B5D">
        <w:rPr>
          <w:rFonts w:ascii="Times New Roman" w:hAnsi="Times New Roman" w:cs="Times New Roman"/>
          <w:sz w:val="24"/>
          <w:szCs w:val="24"/>
        </w:rPr>
        <w:t xml:space="preserve"> nie zmienią się natomiast istniejące już mechanizmy podejmowania decyzji i współpracy Sojuszników w ramach NATO.</w:t>
      </w:r>
    </w:p>
    <w:p w:rsidR="00A533A6" w:rsidRPr="00EF0B5D" w:rsidRDefault="00A533A6" w:rsidP="004D7FFA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0B5D">
        <w:rPr>
          <w:rFonts w:ascii="Times New Roman" w:hAnsi="Times New Roman" w:cs="Times New Roman"/>
          <w:sz w:val="24"/>
          <w:szCs w:val="24"/>
        </w:rPr>
        <w:t>Podobnie jak w przypadku poprzedniego rozszerzenia</w:t>
      </w:r>
      <w:r w:rsidR="00F026B1" w:rsidRPr="00EF0B5D">
        <w:rPr>
          <w:rFonts w:ascii="Times New Roman" w:hAnsi="Times New Roman" w:cs="Times New Roman"/>
          <w:sz w:val="24"/>
          <w:szCs w:val="24"/>
        </w:rPr>
        <w:t xml:space="preserve"> NATO</w:t>
      </w:r>
      <w:r w:rsidRPr="00EF0B5D">
        <w:rPr>
          <w:rFonts w:ascii="Times New Roman" w:hAnsi="Times New Roman" w:cs="Times New Roman"/>
          <w:sz w:val="24"/>
          <w:szCs w:val="24"/>
        </w:rPr>
        <w:t>, Protokół składa się z</w:t>
      </w:r>
      <w:r w:rsidR="00EF0B5D">
        <w:rPr>
          <w:rFonts w:ascii="Times New Roman" w:hAnsi="Times New Roman" w:cs="Times New Roman"/>
          <w:sz w:val="24"/>
          <w:szCs w:val="24"/>
        </w:rPr>
        <w:t> </w:t>
      </w:r>
      <w:r w:rsidRPr="00EF0B5D">
        <w:rPr>
          <w:rFonts w:ascii="Times New Roman" w:hAnsi="Times New Roman" w:cs="Times New Roman"/>
          <w:sz w:val="24"/>
          <w:szCs w:val="24"/>
        </w:rPr>
        <w:t>trzech artykułów. Pierwszy upoważnia Sekretarza Generalnego NATO do przekazania</w:t>
      </w:r>
      <w:r w:rsidR="00F026B1" w:rsidRPr="00EF0B5D">
        <w:rPr>
          <w:rFonts w:ascii="Times New Roman" w:hAnsi="Times New Roman" w:cs="Times New Roman"/>
          <w:sz w:val="24"/>
          <w:szCs w:val="24"/>
        </w:rPr>
        <w:t>,</w:t>
      </w:r>
      <w:r w:rsidR="004D7FFA">
        <w:rPr>
          <w:rFonts w:ascii="Times New Roman" w:hAnsi="Times New Roman" w:cs="Times New Roman"/>
          <w:sz w:val="24"/>
          <w:szCs w:val="24"/>
        </w:rPr>
        <w:t xml:space="preserve"> w imieniu wszystkich </w:t>
      </w:r>
      <w:r w:rsidRPr="00EF0B5D">
        <w:rPr>
          <w:rFonts w:ascii="Times New Roman" w:hAnsi="Times New Roman" w:cs="Times New Roman"/>
          <w:sz w:val="24"/>
          <w:szCs w:val="24"/>
        </w:rPr>
        <w:t>Sojuszników</w:t>
      </w:r>
      <w:r w:rsidR="00F026B1" w:rsidRPr="00EF0B5D">
        <w:rPr>
          <w:rFonts w:ascii="Times New Roman" w:hAnsi="Times New Roman" w:cs="Times New Roman"/>
          <w:sz w:val="24"/>
          <w:szCs w:val="24"/>
        </w:rPr>
        <w:t>,</w:t>
      </w:r>
      <w:r w:rsidRPr="00EF0B5D">
        <w:rPr>
          <w:rFonts w:ascii="Times New Roman" w:hAnsi="Times New Roman" w:cs="Times New Roman"/>
          <w:sz w:val="24"/>
          <w:szCs w:val="24"/>
        </w:rPr>
        <w:t xml:space="preserve"> zaproszenia Rządowi Czarnogóry do </w:t>
      </w:r>
      <w:r w:rsidRPr="00EF0B5D">
        <w:rPr>
          <w:rFonts w:ascii="Times New Roman" w:hAnsi="Times New Roman" w:cs="Times New Roman"/>
          <w:sz w:val="24"/>
          <w:szCs w:val="24"/>
        </w:rPr>
        <w:lastRenderedPageBreak/>
        <w:t>przystąpienia do Traktatu Północnoatlantyckiego</w:t>
      </w:r>
      <w:r w:rsidR="000847A2" w:rsidRPr="00EF0B5D">
        <w:rPr>
          <w:rFonts w:ascii="Times New Roman" w:hAnsi="Times New Roman" w:cs="Times New Roman"/>
          <w:sz w:val="24"/>
          <w:szCs w:val="24"/>
        </w:rPr>
        <w:t xml:space="preserve">, co stanowi wypełnienie dyspozycji art. 10 Traktatu, </w:t>
      </w:r>
      <w:r w:rsidR="00A73DF3" w:rsidRPr="00EF0B5D">
        <w:rPr>
          <w:rFonts w:ascii="Times New Roman" w:hAnsi="Times New Roman" w:cs="Times New Roman"/>
          <w:sz w:val="24"/>
          <w:szCs w:val="24"/>
        </w:rPr>
        <w:t>zgodnie z którym</w:t>
      </w:r>
      <w:r w:rsidR="004D7FFA">
        <w:rPr>
          <w:rFonts w:ascii="Times New Roman" w:hAnsi="Times New Roman" w:cs="Times New Roman"/>
          <w:sz w:val="24"/>
          <w:szCs w:val="24"/>
        </w:rPr>
        <w:t xml:space="preserve"> strony </w:t>
      </w:r>
      <w:r w:rsidR="000847A2" w:rsidRPr="00EF0B5D">
        <w:rPr>
          <w:rFonts w:ascii="Times New Roman" w:hAnsi="Times New Roman" w:cs="Times New Roman"/>
          <w:sz w:val="24"/>
          <w:szCs w:val="24"/>
        </w:rPr>
        <w:t>mogą za jednomyślną</w:t>
      </w:r>
      <w:r w:rsidR="00A73DF3" w:rsidRPr="00EF0B5D">
        <w:rPr>
          <w:rFonts w:ascii="Times New Roman" w:hAnsi="Times New Roman" w:cs="Times New Roman"/>
          <w:sz w:val="24"/>
          <w:szCs w:val="24"/>
        </w:rPr>
        <w:t xml:space="preserve"> zgodą</w:t>
      </w:r>
      <w:r w:rsidR="000847A2" w:rsidRPr="00EF0B5D">
        <w:rPr>
          <w:rFonts w:ascii="Times New Roman" w:hAnsi="Times New Roman" w:cs="Times New Roman"/>
          <w:sz w:val="24"/>
          <w:szCs w:val="24"/>
        </w:rPr>
        <w:t xml:space="preserve"> zaprosić do Traktatu inne państwo europejskie, które jest w stanie realizować zasady Traktatu i</w:t>
      </w:r>
      <w:r w:rsidR="00EF0B5D">
        <w:rPr>
          <w:rFonts w:ascii="Times New Roman" w:hAnsi="Times New Roman" w:cs="Times New Roman"/>
          <w:sz w:val="24"/>
          <w:szCs w:val="24"/>
        </w:rPr>
        <w:t> </w:t>
      </w:r>
      <w:r w:rsidR="000847A2" w:rsidRPr="00EF0B5D">
        <w:rPr>
          <w:rFonts w:ascii="Times New Roman" w:hAnsi="Times New Roman" w:cs="Times New Roman"/>
          <w:sz w:val="24"/>
          <w:szCs w:val="24"/>
        </w:rPr>
        <w:t xml:space="preserve">wnosić wkład do bezpieczeństwa obszaru północnoatlantyckiego. Zgodnie z tym postanowieniem </w:t>
      </w:r>
      <w:r w:rsidRPr="00EF0B5D">
        <w:rPr>
          <w:rFonts w:ascii="Times New Roman" w:hAnsi="Times New Roman" w:cs="Times New Roman"/>
          <w:sz w:val="24"/>
          <w:szCs w:val="24"/>
        </w:rPr>
        <w:t>Czarnogóra stanie się stroną Traktatu w dniu złożenia swego dokumentu przystąpienia Rządowi Stanów Zjednoczonych</w:t>
      </w:r>
      <w:r w:rsidR="005D5B18" w:rsidRPr="00EF0B5D">
        <w:rPr>
          <w:rFonts w:ascii="Times New Roman" w:hAnsi="Times New Roman" w:cs="Times New Roman"/>
          <w:sz w:val="24"/>
          <w:szCs w:val="24"/>
        </w:rPr>
        <w:t>.</w:t>
      </w:r>
    </w:p>
    <w:p w:rsidR="00A533A6" w:rsidRPr="00EF0B5D" w:rsidRDefault="00A533A6" w:rsidP="004D7FFA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0B5D">
        <w:rPr>
          <w:rFonts w:ascii="Times New Roman" w:hAnsi="Times New Roman" w:cs="Times New Roman"/>
          <w:sz w:val="24"/>
          <w:szCs w:val="24"/>
        </w:rPr>
        <w:t>Pozostałe dwa a</w:t>
      </w:r>
      <w:r w:rsidR="00F026B1" w:rsidRPr="00EF0B5D">
        <w:rPr>
          <w:rFonts w:ascii="Times New Roman" w:hAnsi="Times New Roman" w:cs="Times New Roman"/>
          <w:sz w:val="24"/>
          <w:szCs w:val="24"/>
        </w:rPr>
        <w:t>rtykuły mają charakter formalno</w:t>
      </w:r>
      <w:r w:rsidRPr="00EF0B5D">
        <w:rPr>
          <w:rFonts w:ascii="Times New Roman" w:hAnsi="Times New Roman" w:cs="Times New Roman"/>
          <w:sz w:val="24"/>
          <w:szCs w:val="24"/>
        </w:rPr>
        <w:t xml:space="preserve">prawny. Artykuł drugi dotyczy warunków wejścia </w:t>
      </w:r>
      <w:r w:rsidR="00125247">
        <w:rPr>
          <w:rFonts w:ascii="Times New Roman" w:hAnsi="Times New Roman" w:cs="Times New Roman"/>
          <w:sz w:val="24"/>
          <w:szCs w:val="24"/>
        </w:rPr>
        <w:t xml:space="preserve">Protokołu </w:t>
      </w:r>
      <w:r w:rsidRPr="00EF0B5D">
        <w:rPr>
          <w:rFonts w:ascii="Times New Roman" w:hAnsi="Times New Roman" w:cs="Times New Roman"/>
          <w:sz w:val="24"/>
          <w:szCs w:val="24"/>
        </w:rPr>
        <w:t>w życie oraz obowiąz</w:t>
      </w:r>
      <w:r w:rsidR="00F026B1" w:rsidRPr="00EF0B5D">
        <w:rPr>
          <w:rFonts w:ascii="Times New Roman" w:hAnsi="Times New Roman" w:cs="Times New Roman"/>
          <w:sz w:val="24"/>
          <w:szCs w:val="24"/>
        </w:rPr>
        <w:t xml:space="preserve">ku Rządu Stanów Zjednoczonych </w:t>
      </w:r>
      <w:r w:rsidRPr="00EF0B5D">
        <w:rPr>
          <w:rFonts w:ascii="Times New Roman" w:hAnsi="Times New Roman" w:cs="Times New Roman"/>
          <w:sz w:val="24"/>
          <w:szCs w:val="24"/>
        </w:rPr>
        <w:t xml:space="preserve">poinformowania pozostałych Stron o dacie otrzymania </w:t>
      </w:r>
      <w:r w:rsidR="00F026B1" w:rsidRPr="00EF0B5D">
        <w:rPr>
          <w:rFonts w:ascii="Times New Roman" w:hAnsi="Times New Roman" w:cs="Times New Roman"/>
          <w:sz w:val="24"/>
          <w:szCs w:val="24"/>
        </w:rPr>
        <w:t>wszystkich</w:t>
      </w:r>
      <w:r w:rsidRPr="00EF0B5D">
        <w:rPr>
          <w:rFonts w:ascii="Times New Roman" w:hAnsi="Times New Roman" w:cs="Times New Roman"/>
          <w:sz w:val="24"/>
          <w:szCs w:val="24"/>
        </w:rPr>
        <w:t xml:space="preserve"> notyfikacji przyjęcia Protokołu przez poszczególne państwa. Postanowienia artykułu trzeciego obejmują kwestie języków </w:t>
      </w:r>
      <w:r w:rsidR="004D7FFA">
        <w:rPr>
          <w:rFonts w:ascii="Times New Roman" w:hAnsi="Times New Roman" w:cs="Times New Roman"/>
          <w:sz w:val="24"/>
          <w:szCs w:val="24"/>
        </w:rPr>
        <w:t>oryginalnych</w:t>
      </w:r>
      <w:r w:rsidRPr="00EF0B5D">
        <w:rPr>
          <w:rFonts w:ascii="Times New Roman" w:hAnsi="Times New Roman" w:cs="Times New Roman"/>
          <w:sz w:val="24"/>
          <w:szCs w:val="24"/>
        </w:rPr>
        <w:t xml:space="preserve"> Protokołu (angielski i francuski), depozytariusza oraz jego obowiązku rozesłania należycie poświadczonych kopii Protokołu jego Stronom.</w:t>
      </w:r>
    </w:p>
    <w:p w:rsidR="00A533A6" w:rsidRPr="00EF0B5D" w:rsidRDefault="00A533A6" w:rsidP="004D7FFA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0B5D">
        <w:rPr>
          <w:rFonts w:ascii="Times New Roman" w:hAnsi="Times New Roman" w:cs="Times New Roman"/>
          <w:sz w:val="24"/>
          <w:szCs w:val="24"/>
        </w:rPr>
        <w:t>Wejście w życie Pro</w:t>
      </w:r>
      <w:r w:rsidR="004D7FFA">
        <w:rPr>
          <w:rFonts w:ascii="Times New Roman" w:hAnsi="Times New Roman" w:cs="Times New Roman"/>
          <w:sz w:val="24"/>
          <w:szCs w:val="24"/>
        </w:rPr>
        <w:t>tokołu nie wywoła bezpośrednich</w:t>
      </w:r>
      <w:r w:rsidRPr="00EF0B5D">
        <w:rPr>
          <w:rFonts w:ascii="Times New Roman" w:hAnsi="Times New Roman" w:cs="Times New Roman"/>
          <w:sz w:val="24"/>
          <w:szCs w:val="24"/>
        </w:rPr>
        <w:t xml:space="preserve"> ani pośrednich skutków społecznych, gospodarczych, finansowych czy prawnych dla Polski i nie wymaga wskazania dodatkowych źródeł finansowania.</w:t>
      </w:r>
      <w:r w:rsidR="00125247">
        <w:rPr>
          <w:rFonts w:ascii="Times New Roman" w:hAnsi="Times New Roman" w:cs="Times New Roman"/>
          <w:sz w:val="24"/>
          <w:szCs w:val="24"/>
        </w:rPr>
        <w:t xml:space="preserve"> Będzie ono natomiast miało </w:t>
      </w:r>
      <w:r w:rsidR="000847A2" w:rsidRPr="00EF0B5D">
        <w:rPr>
          <w:rFonts w:ascii="Times New Roman" w:hAnsi="Times New Roman" w:cs="Times New Roman"/>
          <w:sz w:val="24"/>
          <w:szCs w:val="24"/>
        </w:rPr>
        <w:t>pozytywne skutki geopolityczne i międzynarodowe</w:t>
      </w:r>
      <w:r w:rsidR="00A73DF3" w:rsidRPr="00EF0B5D">
        <w:rPr>
          <w:rFonts w:ascii="Times New Roman" w:hAnsi="Times New Roman" w:cs="Times New Roman"/>
          <w:sz w:val="24"/>
          <w:szCs w:val="24"/>
        </w:rPr>
        <w:t xml:space="preserve"> </w:t>
      </w:r>
      <w:r w:rsidR="000847A2" w:rsidRPr="00EF0B5D">
        <w:rPr>
          <w:rFonts w:ascii="Times New Roman" w:hAnsi="Times New Roman" w:cs="Times New Roman"/>
          <w:sz w:val="24"/>
          <w:szCs w:val="24"/>
        </w:rPr>
        <w:t>dla naszego kraju,</w:t>
      </w:r>
      <w:r w:rsidR="00A73DF3" w:rsidRPr="00EF0B5D">
        <w:rPr>
          <w:rFonts w:ascii="Times New Roman" w:hAnsi="Times New Roman" w:cs="Times New Roman"/>
          <w:sz w:val="24"/>
          <w:szCs w:val="24"/>
        </w:rPr>
        <w:t xml:space="preserve"> </w:t>
      </w:r>
      <w:r w:rsidR="000847A2" w:rsidRPr="00EF0B5D">
        <w:rPr>
          <w:rFonts w:ascii="Times New Roman" w:hAnsi="Times New Roman" w:cs="Times New Roman"/>
          <w:sz w:val="24"/>
          <w:szCs w:val="24"/>
        </w:rPr>
        <w:t>wynikające z faktu dalszego wzmocnienia i rozszerzenia obszaru stabilności oraz współ</w:t>
      </w:r>
      <w:r w:rsidR="00F026B1" w:rsidRPr="00EF0B5D">
        <w:rPr>
          <w:rFonts w:ascii="Times New Roman" w:hAnsi="Times New Roman" w:cs="Times New Roman"/>
          <w:sz w:val="24"/>
          <w:szCs w:val="24"/>
        </w:rPr>
        <w:t xml:space="preserve">pracy wojskowej </w:t>
      </w:r>
      <w:r w:rsidR="000847A2" w:rsidRPr="00EF0B5D">
        <w:rPr>
          <w:rFonts w:ascii="Times New Roman" w:hAnsi="Times New Roman" w:cs="Times New Roman"/>
          <w:sz w:val="24"/>
          <w:szCs w:val="24"/>
        </w:rPr>
        <w:t>między państwami tego regionu Europy,</w:t>
      </w:r>
      <w:r w:rsidR="00A73DF3" w:rsidRPr="00EF0B5D">
        <w:rPr>
          <w:rFonts w:ascii="Times New Roman" w:hAnsi="Times New Roman" w:cs="Times New Roman"/>
          <w:sz w:val="24"/>
          <w:szCs w:val="24"/>
        </w:rPr>
        <w:t xml:space="preserve"> </w:t>
      </w:r>
      <w:r w:rsidR="000847A2" w:rsidRPr="00EF0B5D">
        <w:rPr>
          <w:rFonts w:ascii="Times New Roman" w:hAnsi="Times New Roman" w:cs="Times New Roman"/>
          <w:sz w:val="24"/>
          <w:szCs w:val="24"/>
        </w:rPr>
        <w:t>w celu utrzymania pokoju,</w:t>
      </w:r>
      <w:r w:rsidR="00A73DF3" w:rsidRPr="00EF0B5D">
        <w:rPr>
          <w:rFonts w:ascii="Times New Roman" w:hAnsi="Times New Roman" w:cs="Times New Roman"/>
          <w:sz w:val="24"/>
          <w:szCs w:val="24"/>
        </w:rPr>
        <w:t xml:space="preserve"> </w:t>
      </w:r>
      <w:r w:rsidR="000847A2" w:rsidRPr="00EF0B5D">
        <w:rPr>
          <w:rFonts w:ascii="Times New Roman" w:hAnsi="Times New Roman" w:cs="Times New Roman"/>
          <w:sz w:val="24"/>
          <w:szCs w:val="24"/>
        </w:rPr>
        <w:t>bezpieczeństwa</w:t>
      </w:r>
      <w:r w:rsidR="008169B2" w:rsidRPr="00EF0B5D">
        <w:rPr>
          <w:rFonts w:ascii="Times New Roman" w:hAnsi="Times New Roman" w:cs="Times New Roman"/>
          <w:sz w:val="24"/>
          <w:szCs w:val="24"/>
        </w:rPr>
        <w:t xml:space="preserve"> międzynarodowego </w:t>
      </w:r>
      <w:r w:rsidR="000847A2" w:rsidRPr="00EF0B5D">
        <w:rPr>
          <w:rFonts w:ascii="Times New Roman" w:hAnsi="Times New Roman" w:cs="Times New Roman"/>
          <w:sz w:val="24"/>
          <w:szCs w:val="24"/>
        </w:rPr>
        <w:t>i sprawiedliwości</w:t>
      </w:r>
      <w:r w:rsidR="008169B2" w:rsidRPr="00EF0B5D">
        <w:rPr>
          <w:rFonts w:ascii="Times New Roman" w:hAnsi="Times New Roman" w:cs="Times New Roman"/>
          <w:sz w:val="24"/>
          <w:szCs w:val="24"/>
        </w:rPr>
        <w:t>, zgodnie z art. 1 Traktatu Północnoatlantyckiego.</w:t>
      </w:r>
      <w:r w:rsidR="000847A2" w:rsidRPr="00EF0B5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533A6" w:rsidRPr="00EF0B5D" w:rsidRDefault="00A533A6" w:rsidP="004D7FFA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0B5D">
        <w:rPr>
          <w:rFonts w:ascii="Times New Roman" w:hAnsi="Times New Roman" w:cs="Times New Roman"/>
          <w:sz w:val="24"/>
          <w:szCs w:val="24"/>
        </w:rPr>
        <w:t>Postanowienia Protokołu nie odnoszą się wprost do podmiotów prawa krajowego, w</w:t>
      </w:r>
      <w:r w:rsidR="00EF0B5D">
        <w:rPr>
          <w:rFonts w:ascii="Times New Roman" w:hAnsi="Times New Roman" w:cs="Times New Roman"/>
          <w:sz w:val="24"/>
          <w:szCs w:val="24"/>
        </w:rPr>
        <w:t> </w:t>
      </w:r>
      <w:r w:rsidRPr="00EF0B5D">
        <w:rPr>
          <w:rFonts w:ascii="Times New Roman" w:hAnsi="Times New Roman" w:cs="Times New Roman"/>
          <w:sz w:val="24"/>
          <w:szCs w:val="24"/>
        </w:rPr>
        <w:t>tym zwłaszcza do osób fizycznych lub prawnych</w:t>
      </w:r>
      <w:r w:rsidR="00F026B1" w:rsidRPr="00EF0B5D">
        <w:rPr>
          <w:rFonts w:ascii="Times New Roman" w:hAnsi="Times New Roman" w:cs="Times New Roman"/>
          <w:sz w:val="24"/>
          <w:szCs w:val="24"/>
        </w:rPr>
        <w:t>,</w:t>
      </w:r>
      <w:r w:rsidR="004D7FFA">
        <w:rPr>
          <w:rFonts w:ascii="Times New Roman" w:hAnsi="Times New Roman" w:cs="Times New Roman"/>
          <w:sz w:val="24"/>
          <w:szCs w:val="24"/>
        </w:rPr>
        <w:t xml:space="preserve"> i nie rodzą </w:t>
      </w:r>
      <w:r w:rsidRPr="00EF0B5D">
        <w:rPr>
          <w:rFonts w:ascii="Times New Roman" w:hAnsi="Times New Roman" w:cs="Times New Roman"/>
          <w:sz w:val="24"/>
          <w:szCs w:val="24"/>
        </w:rPr>
        <w:t>bezpośrednio dla tych podmiotów żadnych dodatkowych praw lub obowiązków, które wykraczałyby poza ramy wynikające z istniejących już zobowiązań sojuszniczych Rzeczypospolitej Polskiej. Obowiązujące w prawie wewnętrznym regulacje</w:t>
      </w:r>
      <w:r w:rsidR="00F026B1" w:rsidRPr="00EF0B5D">
        <w:rPr>
          <w:rFonts w:ascii="Times New Roman" w:hAnsi="Times New Roman" w:cs="Times New Roman"/>
          <w:sz w:val="24"/>
          <w:szCs w:val="24"/>
        </w:rPr>
        <w:t>,</w:t>
      </w:r>
      <w:r w:rsidRPr="00EF0B5D">
        <w:rPr>
          <w:rFonts w:ascii="Times New Roman" w:hAnsi="Times New Roman" w:cs="Times New Roman"/>
          <w:sz w:val="24"/>
          <w:szCs w:val="24"/>
        </w:rPr>
        <w:t xml:space="preserve"> odnoszące się do realizacji przez Polskę postanowień </w:t>
      </w:r>
      <w:r w:rsidR="008169B2" w:rsidRPr="00EF0B5D">
        <w:rPr>
          <w:rFonts w:ascii="Times New Roman" w:hAnsi="Times New Roman" w:cs="Times New Roman"/>
          <w:sz w:val="24"/>
          <w:szCs w:val="24"/>
        </w:rPr>
        <w:t>T</w:t>
      </w:r>
      <w:r w:rsidRPr="00EF0B5D">
        <w:rPr>
          <w:rFonts w:ascii="Times New Roman" w:hAnsi="Times New Roman" w:cs="Times New Roman"/>
          <w:sz w:val="24"/>
          <w:szCs w:val="24"/>
        </w:rPr>
        <w:t>raktatu Północnoatlantyckiego</w:t>
      </w:r>
      <w:r w:rsidR="00F026B1" w:rsidRPr="00EF0B5D">
        <w:rPr>
          <w:rFonts w:ascii="Times New Roman" w:hAnsi="Times New Roman" w:cs="Times New Roman"/>
          <w:sz w:val="24"/>
          <w:szCs w:val="24"/>
        </w:rPr>
        <w:t>,</w:t>
      </w:r>
      <w:r w:rsidRPr="00EF0B5D">
        <w:rPr>
          <w:rFonts w:ascii="Times New Roman" w:hAnsi="Times New Roman" w:cs="Times New Roman"/>
          <w:sz w:val="24"/>
          <w:szCs w:val="24"/>
        </w:rPr>
        <w:t xml:space="preserve"> będą miały zastosowanie tak</w:t>
      </w:r>
      <w:r w:rsidR="009B3FFE">
        <w:rPr>
          <w:rFonts w:ascii="Times New Roman" w:hAnsi="Times New Roman" w:cs="Times New Roman"/>
          <w:sz w:val="24"/>
          <w:szCs w:val="24"/>
        </w:rPr>
        <w:t xml:space="preserve">że do Czarnogóry i nie zajdzie </w:t>
      </w:r>
      <w:r w:rsidRPr="00EF0B5D">
        <w:rPr>
          <w:rFonts w:ascii="Times New Roman" w:hAnsi="Times New Roman" w:cs="Times New Roman"/>
          <w:sz w:val="24"/>
          <w:szCs w:val="24"/>
        </w:rPr>
        <w:t xml:space="preserve">w tym zakresie konieczność przyjęcia nowych lub zmiany aktualnie obowiązujących aktów prawnych.  </w:t>
      </w:r>
    </w:p>
    <w:p w:rsidR="00A533A6" w:rsidRPr="00EF0B5D" w:rsidRDefault="00A533A6" w:rsidP="004D7FFA">
      <w:pPr>
        <w:spacing w:before="120" w:after="0" w:line="36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F0B5D">
        <w:rPr>
          <w:rFonts w:ascii="Times New Roman" w:hAnsi="Times New Roman" w:cs="Times New Roman"/>
          <w:sz w:val="24"/>
          <w:szCs w:val="24"/>
        </w:rPr>
        <w:t>Z uwagi na fakt, że Protokół jest umową, która dotyczy układów wojskowych</w:t>
      </w:r>
      <w:r w:rsidR="005D5B18" w:rsidRPr="00EF0B5D">
        <w:rPr>
          <w:rFonts w:ascii="Times New Roman" w:hAnsi="Times New Roman" w:cs="Times New Roman"/>
          <w:sz w:val="24"/>
          <w:szCs w:val="24"/>
        </w:rPr>
        <w:t xml:space="preserve"> będzie on </w:t>
      </w:r>
      <w:r w:rsidRPr="00EF0B5D">
        <w:rPr>
          <w:rFonts w:ascii="Times New Roman" w:hAnsi="Times New Roman" w:cs="Times New Roman"/>
          <w:sz w:val="24"/>
          <w:szCs w:val="24"/>
        </w:rPr>
        <w:t>podlegał ratyfikacji za uprzednią zgodą wyrażoną w ustawie</w:t>
      </w:r>
      <w:r w:rsidR="004D7FFA">
        <w:rPr>
          <w:rFonts w:ascii="Times New Roman" w:hAnsi="Times New Roman" w:cs="Times New Roman"/>
          <w:sz w:val="24"/>
          <w:szCs w:val="24"/>
        </w:rPr>
        <w:t xml:space="preserve">, zgodnie </w:t>
      </w:r>
      <w:r w:rsidR="009B3FFE">
        <w:rPr>
          <w:rFonts w:ascii="Times New Roman" w:hAnsi="Times New Roman" w:cs="Times New Roman"/>
          <w:sz w:val="24"/>
          <w:szCs w:val="24"/>
        </w:rPr>
        <w:br/>
      </w:r>
      <w:r w:rsidR="004D7FFA">
        <w:rPr>
          <w:rFonts w:ascii="Times New Roman" w:hAnsi="Times New Roman" w:cs="Times New Roman"/>
          <w:sz w:val="24"/>
          <w:szCs w:val="24"/>
        </w:rPr>
        <w:t>z art. 89</w:t>
      </w:r>
      <w:r w:rsidR="009B3FFE">
        <w:rPr>
          <w:rFonts w:ascii="Times New Roman" w:hAnsi="Times New Roman" w:cs="Times New Roman"/>
          <w:sz w:val="24"/>
          <w:szCs w:val="24"/>
        </w:rPr>
        <w:t xml:space="preserve"> ust. 1 pkt 1</w:t>
      </w:r>
      <w:r w:rsidR="00125247">
        <w:rPr>
          <w:rFonts w:ascii="Times New Roman" w:hAnsi="Times New Roman" w:cs="Times New Roman"/>
          <w:sz w:val="24"/>
          <w:szCs w:val="24"/>
        </w:rPr>
        <w:t xml:space="preserve"> </w:t>
      </w:r>
      <w:r w:rsidR="009B3FFE">
        <w:rPr>
          <w:rFonts w:ascii="Times New Roman" w:hAnsi="Times New Roman" w:cs="Times New Roman"/>
          <w:sz w:val="24"/>
          <w:szCs w:val="24"/>
        </w:rPr>
        <w:t>Konstytucji Rzeczypospolitej Polskiej.</w:t>
      </w:r>
    </w:p>
    <w:sectPr w:rsidR="00A533A6" w:rsidRPr="00EF0B5D" w:rsidSect="00EF0B5D">
      <w:footerReference w:type="default" r:id="rId7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B5D" w:rsidRDefault="00EF0B5D" w:rsidP="00EF0B5D">
      <w:pPr>
        <w:spacing w:after="0" w:line="240" w:lineRule="auto"/>
      </w:pPr>
      <w:r>
        <w:separator/>
      </w:r>
    </w:p>
  </w:endnote>
  <w:endnote w:type="continuationSeparator" w:id="0">
    <w:p w:rsidR="00EF0B5D" w:rsidRDefault="00EF0B5D" w:rsidP="00EF0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2490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F0B5D" w:rsidRPr="00EF0B5D" w:rsidRDefault="00EF0B5D" w:rsidP="00EF0B5D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F0B5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F0B5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F0B5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E00D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EF0B5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B5D" w:rsidRDefault="00EF0B5D" w:rsidP="00EF0B5D">
      <w:pPr>
        <w:spacing w:after="0" w:line="240" w:lineRule="auto"/>
      </w:pPr>
      <w:r>
        <w:separator/>
      </w:r>
    </w:p>
  </w:footnote>
  <w:footnote w:type="continuationSeparator" w:id="0">
    <w:p w:rsidR="00EF0B5D" w:rsidRDefault="00EF0B5D" w:rsidP="00EF0B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955"/>
    <w:rsid w:val="000847A2"/>
    <w:rsid w:val="000B607D"/>
    <w:rsid w:val="00125247"/>
    <w:rsid w:val="00184A2D"/>
    <w:rsid w:val="001A0CEB"/>
    <w:rsid w:val="001E00D1"/>
    <w:rsid w:val="00290AEA"/>
    <w:rsid w:val="004C2894"/>
    <w:rsid w:val="004D3955"/>
    <w:rsid w:val="004D7FFA"/>
    <w:rsid w:val="005021A7"/>
    <w:rsid w:val="005D5B18"/>
    <w:rsid w:val="00753EC5"/>
    <w:rsid w:val="00760923"/>
    <w:rsid w:val="008169B2"/>
    <w:rsid w:val="00822A71"/>
    <w:rsid w:val="00876DF9"/>
    <w:rsid w:val="008D34D5"/>
    <w:rsid w:val="008E22BE"/>
    <w:rsid w:val="009B3FFE"/>
    <w:rsid w:val="00A108AC"/>
    <w:rsid w:val="00A533A6"/>
    <w:rsid w:val="00A73DF3"/>
    <w:rsid w:val="00A90C30"/>
    <w:rsid w:val="00B0551E"/>
    <w:rsid w:val="00BC7D7E"/>
    <w:rsid w:val="00DA5201"/>
    <w:rsid w:val="00EF0B5D"/>
    <w:rsid w:val="00F0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39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F0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0B5D"/>
  </w:style>
  <w:style w:type="paragraph" w:styleId="Stopka">
    <w:name w:val="footer"/>
    <w:basedOn w:val="Normalny"/>
    <w:link w:val="StopkaZnak"/>
    <w:uiPriority w:val="99"/>
    <w:unhideWhenUsed/>
    <w:rsid w:val="00EF0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0B5D"/>
  </w:style>
  <w:style w:type="paragraph" w:styleId="Tekstdymka">
    <w:name w:val="Balloon Text"/>
    <w:basedOn w:val="Normalny"/>
    <w:link w:val="TekstdymkaZnak"/>
    <w:uiPriority w:val="99"/>
    <w:semiHidden/>
    <w:unhideWhenUsed/>
    <w:rsid w:val="00125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52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39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F0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0B5D"/>
  </w:style>
  <w:style w:type="paragraph" w:styleId="Stopka">
    <w:name w:val="footer"/>
    <w:basedOn w:val="Normalny"/>
    <w:link w:val="StopkaZnak"/>
    <w:uiPriority w:val="99"/>
    <w:unhideWhenUsed/>
    <w:rsid w:val="00EF0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0B5D"/>
  </w:style>
  <w:style w:type="paragraph" w:styleId="Tekstdymka">
    <w:name w:val="Balloon Text"/>
    <w:basedOn w:val="Normalny"/>
    <w:link w:val="TekstdymkaZnak"/>
    <w:uiPriority w:val="99"/>
    <w:semiHidden/>
    <w:unhideWhenUsed/>
    <w:rsid w:val="00125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52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982</Words>
  <Characters>5892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Spraw Zagranicznych</Company>
  <LinksUpToDate>false</LinksUpToDate>
  <CharactersWithSpaces>6861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Bartosiewicz Jolanta</dc:creator>
  <cp:lastModifiedBy>Ewa A. Genert</cp:lastModifiedBy>
  <cp:revision>2</cp:revision>
  <cp:lastPrinted>2016-06-14T10:32:00Z</cp:lastPrinted>
  <dcterms:created xsi:type="dcterms:W3CDTF">2016-06-22T09:21:00Z</dcterms:created>
  <dcterms:modified xsi:type="dcterms:W3CDTF">2016-06-22T09:21:00Z</dcterms:modified>
</cp:coreProperties>
</file>