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CE2" w:rsidRDefault="00511FB1" w:rsidP="008C467D">
      <w:pPr>
        <w:jc w:val="center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bookmarkStart w:id="0" w:name="_GoBack"/>
      <w:bookmarkEnd w:id="0"/>
      <w:r w:rsidRPr="00896F22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Uzasadnienie </w:t>
      </w:r>
    </w:p>
    <w:p w:rsidR="00910FB1" w:rsidRDefault="00910FB1" w:rsidP="00910F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1A71">
        <w:rPr>
          <w:rFonts w:ascii="Times New Roman" w:hAnsi="Times New Roman" w:cs="Times New Roman"/>
          <w:color w:val="000000"/>
          <w:sz w:val="24"/>
          <w:szCs w:val="24"/>
        </w:rPr>
        <w:t xml:space="preserve">Głównym celem regulacji jest wprowadzenie do systemu rozwiązań dotyczących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uproszczenia oraz przyspieszenia prac związanych z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 xml:space="preserve">przygotowaniem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oraz wykonywaniem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kolejowych inwestycji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infrastrukturalnych. </w:t>
      </w:r>
    </w:p>
    <w:p w:rsidR="00910FB1" w:rsidRDefault="00910FB1" w:rsidP="00910FB1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Przyspieszenie rozwoju sieci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kolejo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wej jest warunkiem nadrobienia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aległości w tym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zakresie,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występujących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międ</w:t>
      </w:r>
      <w:r>
        <w:rPr>
          <w:rFonts w:ascii="Times New Roman" w:hAnsi="Times New Roman" w:cs="Times New Roman"/>
          <w:color w:val="000000"/>
          <w:sz w:val="24"/>
          <w:szCs w:val="24"/>
        </w:rPr>
        <w:t>zy Polską a większością krajów Unii Europejskiej (UE) o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raz podstawą do długotrwa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łego rozwoju kraju. Potrzeba dalszego uproszczenia przygotowania </w:t>
      </w:r>
      <w:r w:rsidR="00BD2996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 realizacji inwestycji infrastrukturalnych w transporcie kolejowym wynika również </w:t>
      </w:r>
      <w:r w:rsidR="00BD2996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potrzeby pełnego wykonania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Programu Operacyjnego Infrastruktura i Środowisko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2014-2020.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 xml:space="preserve">Dotychczasowe doświadczenia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największego inwestora w sektorze kolejowym, będącego narodowym zarządcą infrastruktury, czyli 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>PKP Polskich Linii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Kolejowych SA (PKP PLK SA</w:t>
      </w:r>
      <w:r w:rsidRPr="00B61A71">
        <w:rPr>
          <w:rFonts w:ascii="Times New Roman" w:hAnsi="Times New Roman" w:cs="Times New Roman"/>
          <w:color w:val="000000"/>
          <w:sz w:val="24"/>
          <w:szCs w:val="24"/>
        </w:rPr>
        <w:t xml:space="preserve">) w stosowaniu obecnie obowiązujących przepisów implikują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przedłożenie zaproponowanych zmian. </w:t>
      </w:r>
    </w:p>
    <w:p w:rsidR="00910FB1" w:rsidRDefault="00910FB1" w:rsidP="00910FB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Dodatkowe uzasadnienie konieczności przyjęcia proponowanych zmian wynika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publikowanych corocznie przez Komisję Europejską (KE) tzw. </w:t>
      </w:r>
      <w:r w:rsidRPr="00064081">
        <w:rPr>
          <w:rFonts w:ascii="Times New Roman" w:hAnsi="Times New Roman" w:cs="Times New Roman"/>
          <w:color w:val="000000"/>
          <w:sz w:val="24"/>
          <w:szCs w:val="24"/>
        </w:rPr>
        <w:t xml:space="preserve">zaleceń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064081">
        <w:rPr>
          <w:rStyle w:val="Uwydatnienie"/>
          <w:rFonts w:ascii="Times New Roman" w:hAnsi="Times New Roman" w:cs="Times New Roman"/>
          <w:sz w:val="24"/>
          <w:szCs w:val="24"/>
        </w:rPr>
        <w:t>Country</w:t>
      </w:r>
      <w:r w:rsidRPr="00064081">
        <w:rPr>
          <w:rStyle w:val="st"/>
          <w:rFonts w:ascii="Times New Roman" w:hAnsi="Times New Roman" w:cs="Times New Roman"/>
          <w:sz w:val="24"/>
          <w:szCs w:val="24"/>
        </w:rPr>
        <w:t>-</w:t>
      </w:r>
      <w:r w:rsidRPr="00064081">
        <w:rPr>
          <w:rStyle w:val="Uwydatnienie"/>
          <w:rFonts w:ascii="Times New Roman" w:hAnsi="Times New Roman" w:cs="Times New Roman"/>
          <w:sz w:val="24"/>
          <w:szCs w:val="24"/>
        </w:rPr>
        <w:t>specific Recommendations</w:t>
      </w:r>
      <w:r>
        <w:rPr>
          <w:rStyle w:val="st"/>
          <w:rFonts w:ascii="Times New Roman" w:hAnsi="Times New Roman" w:cs="Times New Roman"/>
          <w:sz w:val="24"/>
          <w:szCs w:val="24"/>
        </w:rPr>
        <w:t xml:space="preserve">; CSR) </w:t>
      </w:r>
      <w:r w:rsidRPr="00064081">
        <w:rPr>
          <w:rFonts w:ascii="Times New Roman" w:hAnsi="Times New Roman" w:cs="Times New Roman"/>
          <w:color w:val="000000"/>
          <w:sz w:val="24"/>
          <w:szCs w:val="24"/>
        </w:rPr>
        <w:t xml:space="preserve">związanych z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realizacją przez państw członkowskie strategii „Europa 2020”. W zaleceniach kierowanych do Polski, od roku 2012 wskazywana jest potrzeba zwiększenia efektywności realizowanych inwestycji infrastrukturalnych oraz poprawa zdolności instytucjonalnych organów administracji publicznej zaangażowanych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ten proces. Państwo Polskie reagowało na dotychczasowe zalecenia KE przyjęciem 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stawy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</w:t>
      </w:r>
      <w:r w:rsidRPr="004C247C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26 czerwca 2014 r. o zmianie ustawy o transporcie kolejowym (Dz.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C24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2014,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poz. 962) oraz</w:t>
      </w:r>
      <w:r w:rsidRPr="004C24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u</w:t>
      </w:r>
      <w:r w:rsidRPr="004C24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staw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y</w:t>
      </w:r>
      <w:r w:rsidRPr="004C24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z dnia 15 stycznia 2015 r. o zmianie ustawy o transporcie kolejowym oraz niektórych innych ustaw (Dz.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Pr="004C24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U. 2015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, </w:t>
      </w:r>
      <w:r w:rsidRPr="004C24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poz. 200).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Tym niemniej, zarówno doświadczenia wyniesione z perspektywy finansowej UE 2007-2013, jak i potrzeba realizacji </w:t>
      </w:r>
      <w:r w:rsidRPr="006937D9">
        <w:rPr>
          <w:rFonts w:ascii="Times New Roman" w:eastAsia="Times New Roman" w:hAnsi="Times New Roman"/>
          <w:i/>
          <w:spacing w:val="4"/>
          <w:sz w:val="24"/>
          <w:szCs w:val="24"/>
          <w:lang w:eastAsia="pl-PL"/>
        </w:rPr>
        <w:t>Krajowego Programu Kolejowego do roku 2023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, który obejmuje wydatkowanie na kolejowe inwestycje infrastrukturalne kwoty </w:t>
      </w:r>
      <w:r w:rsidRPr="004B53A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67,5 mld PLN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 wiążą się z potrzebą wprowadzania dalszych ułatwień i uproszczeń procesu przygotowania i realizacji inwestycji podejmowanych przez PKP PLK SA.</w:t>
      </w:r>
    </w:p>
    <w:p w:rsidR="00BF2775" w:rsidRDefault="00BF2775" w:rsidP="005F4A77">
      <w:pPr>
        <w:spacing w:before="200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USTAWA O TRANSPORCIE KOLEJOWYM</w:t>
      </w:r>
    </w:p>
    <w:p w:rsidR="00F50C59" w:rsidRDefault="00F50C59" w:rsidP="00595AC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ACB">
        <w:rPr>
          <w:rFonts w:ascii="Times New Roman" w:hAnsi="Times New Roman" w:cs="Times New Roman"/>
          <w:b/>
          <w:sz w:val="24"/>
          <w:szCs w:val="24"/>
        </w:rPr>
        <w:t xml:space="preserve">Nowe obowiązki </w:t>
      </w:r>
      <w:r w:rsidRPr="00F50C59">
        <w:rPr>
          <w:rFonts w:ascii="Times New Roman" w:hAnsi="Times New Roman" w:cs="Times New Roman"/>
          <w:b/>
          <w:sz w:val="24"/>
          <w:szCs w:val="24"/>
        </w:rPr>
        <w:t>nabywców i zbywców nieruchomości</w:t>
      </w:r>
      <w:r w:rsidR="003C2323">
        <w:rPr>
          <w:rFonts w:ascii="Times New Roman" w:hAnsi="Times New Roman" w:cs="Times New Roman"/>
          <w:b/>
          <w:sz w:val="24"/>
          <w:szCs w:val="24"/>
        </w:rPr>
        <w:t xml:space="preserve"> – art. 9o</w:t>
      </w:r>
      <w:r w:rsidRPr="00F50C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2D6F" w:rsidRDefault="00162D6F" w:rsidP="009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5F9">
        <w:rPr>
          <w:rFonts w:ascii="Times New Roman" w:hAnsi="Times New Roman" w:cs="Times New Roman"/>
          <w:sz w:val="24"/>
          <w:szCs w:val="24"/>
        </w:rPr>
        <w:t xml:space="preserve">W przypadku zbycia własności lub prawa użytkowania wieczystego nieruchomości objętej wnioskiem o wydanie decyzji </w:t>
      </w:r>
      <w:r>
        <w:rPr>
          <w:rFonts w:ascii="Times New Roman" w:hAnsi="Times New Roman" w:cs="Times New Roman"/>
          <w:sz w:val="24"/>
          <w:szCs w:val="24"/>
        </w:rPr>
        <w:t xml:space="preserve">o ustaleniu lokalizacji linii kolejowej </w:t>
      </w:r>
      <w:r w:rsidRPr="004235F9">
        <w:rPr>
          <w:rFonts w:ascii="Times New Roman" w:hAnsi="Times New Roman" w:cs="Times New Roman"/>
          <w:sz w:val="24"/>
          <w:szCs w:val="24"/>
        </w:rPr>
        <w:t>po doręczeniu zawiadomienia</w:t>
      </w:r>
      <w:r w:rsidR="00376D50" w:rsidRPr="00376D50">
        <w:rPr>
          <w:rFonts w:ascii="Times New Roman" w:hAnsi="Times New Roman" w:cs="Times New Roman"/>
          <w:sz w:val="24"/>
          <w:szCs w:val="24"/>
        </w:rPr>
        <w:t xml:space="preserve"> </w:t>
      </w:r>
      <w:r w:rsidR="00376D50" w:rsidRPr="003138BA">
        <w:rPr>
          <w:rFonts w:ascii="Times New Roman" w:hAnsi="Times New Roman" w:cs="Times New Roman"/>
          <w:sz w:val="24"/>
          <w:szCs w:val="24"/>
        </w:rPr>
        <w:t xml:space="preserve">o wszczęciu postępowania o wydanie decyzji o ustaleniu lokalizacji linii </w:t>
      </w:r>
      <w:r w:rsidR="00376D50" w:rsidRPr="003138BA">
        <w:rPr>
          <w:rFonts w:ascii="Times New Roman" w:hAnsi="Times New Roman" w:cs="Times New Roman"/>
          <w:sz w:val="24"/>
          <w:szCs w:val="24"/>
        </w:rPr>
        <w:lastRenderedPageBreak/>
        <w:t>kolejowej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235F9">
        <w:rPr>
          <w:rFonts w:ascii="Times New Roman" w:hAnsi="Times New Roman" w:cs="Times New Roman"/>
          <w:sz w:val="24"/>
          <w:szCs w:val="24"/>
        </w:rPr>
        <w:t>nabywca i zbywca są zobowiązani do zgłoszenia właściwemu wojewodzie danych nowego właściciela lub użytkownika wieczystego</w:t>
      </w:r>
      <w:r w:rsidR="006618FE" w:rsidRPr="006618FE">
        <w:rPr>
          <w:rFonts w:ascii="Times New Roman" w:hAnsi="Times New Roman" w:cs="Times New Roman"/>
          <w:sz w:val="24"/>
          <w:szCs w:val="24"/>
        </w:rPr>
        <w:t xml:space="preserve"> </w:t>
      </w:r>
      <w:r w:rsidR="00307E42">
        <w:rPr>
          <w:rFonts w:ascii="Times New Roman" w:hAnsi="Times New Roman" w:cs="Times New Roman"/>
          <w:sz w:val="24"/>
          <w:szCs w:val="24"/>
        </w:rPr>
        <w:t xml:space="preserve"> w terminie 7 </w:t>
      </w:r>
      <w:r w:rsidR="006618FE">
        <w:rPr>
          <w:rFonts w:ascii="Times New Roman" w:hAnsi="Times New Roman" w:cs="Times New Roman"/>
          <w:sz w:val="24"/>
          <w:szCs w:val="24"/>
        </w:rPr>
        <w:t xml:space="preserve"> dni od dnia zbycia</w:t>
      </w:r>
      <w:r w:rsidRPr="004235F9">
        <w:rPr>
          <w:rFonts w:ascii="Times New Roman" w:hAnsi="Times New Roman" w:cs="Times New Roman"/>
          <w:sz w:val="24"/>
          <w:szCs w:val="24"/>
        </w:rPr>
        <w:t xml:space="preserve">. Brak </w:t>
      </w:r>
      <w:r w:rsidR="006618FE">
        <w:rPr>
          <w:rFonts w:ascii="Times New Roman" w:hAnsi="Times New Roman" w:cs="Times New Roman"/>
          <w:sz w:val="24"/>
          <w:szCs w:val="24"/>
        </w:rPr>
        <w:t xml:space="preserve">terminowego </w:t>
      </w:r>
      <w:r w:rsidRPr="004235F9">
        <w:rPr>
          <w:rFonts w:ascii="Times New Roman" w:hAnsi="Times New Roman" w:cs="Times New Roman"/>
          <w:sz w:val="24"/>
          <w:szCs w:val="24"/>
        </w:rPr>
        <w:t xml:space="preserve">dokonania powyższego zgłoszenia i prowadzenie postępowania bez udziału nowego właściciela lub użytkownika wieczystego nie stanowi podstawy do wznowienia postępowania na podstawie art. 145 § 1 pkt 4 ustawy z dnia 14 czerwca 1960 r. </w:t>
      </w:r>
      <w:r w:rsidR="00C93121">
        <w:rPr>
          <w:rFonts w:ascii="Times New Roman" w:hAnsi="Times New Roman" w:cs="Times New Roman"/>
          <w:sz w:val="24"/>
          <w:szCs w:val="24"/>
        </w:rPr>
        <w:t>–</w:t>
      </w:r>
      <w:r w:rsidRPr="004235F9">
        <w:rPr>
          <w:rFonts w:ascii="Times New Roman" w:hAnsi="Times New Roman" w:cs="Times New Roman"/>
          <w:sz w:val="24"/>
          <w:szCs w:val="24"/>
        </w:rPr>
        <w:t xml:space="preserve"> Kodeks</w:t>
      </w:r>
      <w:r w:rsidR="00C93121">
        <w:rPr>
          <w:rFonts w:ascii="Times New Roman" w:hAnsi="Times New Roman" w:cs="Times New Roman"/>
          <w:sz w:val="24"/>
          <w:szCs w:val="24"/>
        </w:rPr>
        <w:t xml:space="preserve"> </w:t>
      </w:r>
      <w:r w:rsidRPr="004235F9">
        <w:rPr>
          <w:rFonts w:ascii="Times New Roman" w:hAnsi="Times New Roman" w:cs="Times New Roman"/>
          <w:sz w:val="24"/>
          <w:szCs w:val="24"/>
        </w:rPr>
        <w:t>postępowania administracyjnego</w:t>
      </w:r>
      <w:r w:rsidR="004E10BC">
        <w:rPr>
          <w:rFonts w:ascii="Times New Roman" w:hAnsi="Times New Roman" w:cs="Times New Roman"/>
          <w:sz w:val="24"/>
          <w:szCs w:val="24"/>
        </w:rPr>
        <w:t xml:space="preserve"> K.p.a.</w:t>
      </w:r>
      <w:r w:rsidR="00810A6A">
        <w:rPr>
          <w:rFonts w:ascii="Times New Roman" w:hAnsi="Times New Roman" w:cs="Times New Roman"/>
          <w:sz w:val="24"/>
          <w:szCs w:val="24"/>
        </w:rPr>
        <w:t xml:space="preserve"> (</w:t>
      </w:r>
      <w:r w:rsidR="00810A6A" w:rsidRPr="00810A6A">
        <w:rPr>
          <w:rFonts w:ascii="Times New Roman" w:hAnsi="Times New Roman" w:cs="Times New Roman"/>
          <w:sz w:val="24"/>
          <w:szCs w:val="24"/>
        </w:rPr>
        <w:t>Dz.</w:t>
      </w:r>
      <w:r w:rsidR="00376D50">
        <w:rPr>
          <w:rFonts w:ascii="Times New Roman" w:hAnsi="Times New Roman" w:cs="Times New Roman"/>
          <w:sz w:val="24"/>
          <w:szCs w:val="24"/>
        </w:rPr>
        <w:t xml:space="preserve"> </w:t>
      </w:r>
      <w:r w:rsidR="00810A6A" w:rsidRPr="00810A6A">
        <w:rPr>
          <w:rFonts w:ascii="Times New Roman" w:hAnsi="Times New Roman" w:cs="Times New Roman"/>
          <w:sz w:val="24"/>
          <w:szCs w:val="24"/>
        </w:rPr>
        <w:t>U.</w:t>
      </w:r>
      <w:r w:rsidR="00376D50">
        <w:rPr>
          <w:rFonts w:ascii="Times New Roman" w:hAnsi="Times New Roman" w:cs="Times New Roman"/>
          <w:sz w:val="24"/>
          <w:szCs w:val="24"/>
        </w:rPr>
        <w:t xml:space="preserve"> </w:t>
      </w:r>
      <w:r w:rsidR="00810A6A">
        <w:rPr>
          <w:rFonts w:ascii="Times New Roman" w:hAnsi="Times New Roman" w:cs="Times New Roman"/>
          <w:sz w:val="24"/>
          <w:szCs w:val="24"/>
        </w:rPr>
        <w:t xml:space="preserve">z </w:t>
      </w:r>
      <w:r w:rsidR="00810A6A" w:rsidRPr="00810A6A">
        <w:rPr>
          <w:rFonts w:ascii="Times New Roman" w:hAnsi="Times New Roman" w:cs="Times New Roman"/>
          <w:sz w:val="24"/>
          <w:szCs w:val="24"/>
        </w:rPr>
        <w:t>2016</w:t>
      </w:r>
      <w:r w:rsidR="00810A6A">
        <w:rPr>
          <w:rFonts w:ascii="Times New Roman" w:hAnsi="Times New Roman" w:cs="Times New Roman"/>
          <w:sz w:val="24"/>
          <w:szCs w:val="24"/>
        </w:rPr>
        <w:t xml:space="preserve"> r</w:t>
      </w:r>
      <w:r w:rsidR="00810A6A" w:rsidRPr="00810A6A">
        <w:rPr>
          <w:rFonts w:ascii="Times New Roman" w:hAnsi="Times New Roman" w:cs="Times New Roman"/>
          <w:sz w:val="24"/>
          <w:szCs w:val="24"/>
        </w:rPr>
        <w:t>.</w:t>
      </w:r>
      <w:r w:rsidR="00810A6A">
        <w:rPr>
          <w:rFonts w:ascii="Times New Roman" w:hAnsi="Times New Roman" w:cs="Times New Roman"/>
          <w:sz w:val="24"/>
          <w:szCs w:val="24"/>
        </w:rPr>
        <w:t xml:space="preserve"> poz. </w:t>
      </w:r>
      <w:r w:rsidR="00810A6A" w:rsidRPr="00810A6A">
        <w:rPr>
          <w:rFonts w:ascii="Times New Roman" w:hAnsi="Times New Roman" w:cs="Times New Roman"/>
          <w:sz w:val="24"/>
          <w:szCs w:val="24"/>
        </w:rPr>
        <w:t>23</w:t>
      </w:r>
      <w:r w:rsidR="00810A6A">
        <w:rPr>
          <w:rFonts w:ascii="Times New Roman" w:hAnsi="Times New Roman" w:cs="Times New Roman"/>
          <w:sz w:val="24"/>
          <w:szCs w:val="24"/>
        </w:rPr>
        <w:t>)</w:t>
      </w:r>
      <w:r w:rsidR="00810A6A">
        <w:rPr>
          <w:b/>
          <w:bCs/>
        </w:rPr>
        <w:t xml:space="preserve"> </w:t>
      </w:r>
      <w:r w:rsidR="00810A6A">
        <w:rPr>
          <w:rFonts w:ascii="Times New Roman" w:hAnsi="Times New Roman" w:cs="Times New Roman"/>
          <w:sz w:val="24"/>
          <w:szCs w:val="24"/>
        </w:rPr>
        <w:t>stwierdzającego, iż</w:t>
      </w:r>
      <w:r w:rsidR="00810A6A" w:rsidRPr="00810A6A">
        <w:rPr>
          <w:rFonts w:ascii="Times New Roman" w:hAnsi="Times New Roman" w:cs="Times New Roman"/>
          <w:sz w:val="24"/>
          <w:szCs w:val="24"/>
        </w:rPr>
        <w:t xml:space="preserve"> </w:t>
      </w:r>
      <w:r w:rsidR="00376D50">
        <w:rPr>
          <w:rFonts w:ascii="Times New Roman" w:hAnsi="Times New Roman" w:cs="Times New Roman"/>
          <w:sz w:val="24"/>
          <w:szCs w:val="24"/>
        </w:rPr>
        <w:br/>
      </w:r>
      <w:r w:rsidR="00810A6A">
        <w:rPr>
          <w:rFonts w:ascii="Times New Roman" w:hAnsi="Times New Roman" w:cs="Times New Roman"/>
          <w:sz w:val="24"/>
          <w:szCs w:val="24"/>
        </w:rPr>
        <w:t>w</w:t>
      </w:r>
      <w:r w:rsidR="00810A6A" w:rsidRPr="00810A6A">
        <w:rPr>
          <w:rFonts w:ascii="Times New Roman" w:hAnsi="Times New Roman" w:cs="Times New Roman"/>
          <w:sz w:val="24"/>
          <w:szCs w:val="24"/>
        </w:rPr>
        <w:t xml:space="preserve"> sprawie zakończonej decyzją ostateczną wznawia się postępowanie, jeżeli strona bez własnej winy nie brała udziału w postępowaniu</w:t>
      </w:r>
      <w:r w:rsidRPr="004235F9">
        <w:rPr>
          <w:rFonts w:ascii="Times New Roman" w:hAnsi="Times New Roman" w:cs="Times New Roman"/>
          <w:sz w:val="24"/>
          <w:szCs w:val="24"/>
        </w:rPr>
        <w:t>.</w:t>
      </w:r>
      <w:r w:rsidR="00C93121">
        <w:rPr>
          <w:rFonts w:ascii="Times New Roman" w:hAnsi="Times New Roman" w:cs="Times New Roman"/>
          <w:sz w:val="24"/>
          <w:szCs w:val="24"/>
        </w:rPr>
        <w:t xml:space="preserve"> Projektowany przepis wyłącza taką możliwość. </w:t>
      </w:r>
    </w:p>
    <w:p w:rsidR="00162D6F" w:rsidRDefault="00162D6F" w:rsidP="0095687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Zawieszenie postępowań</w:t>
      </w:r>
      <w:r w:rsidR="003C2323">
        <w:rPr>
          <w:rFonts w:ascii="Times New Roman" w:hAnsi="Times New Roman" w:cs="Times New Roman"/>
          <w:b/>
          <w:sz w:val="24"/>
          <w:szCs w:val="24"/>
        </w:rPr>
        <w:t xml:space="preserve"> – art. 9o </w:t>
      </w:r>
    </w:p>
    <w:p w:rsidR="00162D6F" w:rsidRPr="00A07C47" w:rsidRDefault="00162D6F" w:rsidP="009568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2F">
        <w:rPr>
          <w:rFonts w:ascii="Times New Roman" w:hAnsi="Times New Roman" w:cs="Times New Roman"/>
          <w:sz w:val="24"/>
          <w:szCs w:val="24"/>
        </w:rPr>
        <w:t>Z dniem doręczenia zawiadomienia</w:t>
      </w:r>
      <w:r w:rsidR="003138BA" w:rsidRPr="003138BA">
        <w:rPr>
          <w:rFonts w:ascii="Times New Roman" w:hAnsi="Times New Roman" w:cs="Times New Roman"/>
          <w:sz w:val="24"/>
          <w:szCs w:val="24"/>
        </w:rPr>
        <w:t xml:space="preserve"> o wszczęciu postępowania o wydanie decyzji o ustaleniu lokalizacji linii kolejowej</w:t>
      </w:r>
      <w:r w:rsidR="003138BA">
        <w:rPr>
          <w:rFonts w:ascii="Times New Roman" w:hAnsi="Times New Roman" w:cs="Times New Roman"/>
          <w:sz w:val="24"/>
          <w:szCs w:val="24"/>
        </w:rPr>
        <w:t xml:space="preserve"> </w:t>
      </w:r>
      <w:r w:rsidRPr="00250A2F">
        <w:rPr>
          <w:rFonts w:ascii="Times New Roman" w:hAnsi="Times New Roman" w:cs="Times New Roman"/>
          <w:sz w:val="24"/>
          <w:szCs w:val="24"/>
        </w:rPr>
        <w:t>w odniesieniu do nieruchomości objętych wnioskiem o wydanie decyzji o ustaleni</w:t>
      </w:r>
      <w:r>
        <w:rPr>
          <w:rFonts w:ascii="Times New Roman" w:hAnsi="Times New Roman" w:cs="Times New Roman"/>
          <w:sz w:val="24"/>
          <w:szCs w:val="24"/>
        </w:rPr>
        <w:t xml:space="preserve">u lokalizacji linii kolejowej, </w:t>
      </w:r>
      <w:r w:rsidRPr="00250A2F">
        <w:rPr>
          <w:rFonts w:ascii="Times New Roman" w:hAnsi="Times New Roman" w:cs="Times New Roman"/>
          <w:sz w:val="24"/>
          <w:szCs w:val="24"/>
        </w:rPr>
        <w:t xml:space="preserve">do czasu </w:t>
      </w:r>
      <w:r w:rsidR="000B3DCB">
        <w:rPr>
          <w:rFonts w:ascii="Times New Roman" w:hAnsi="Times New Roman" w:cs="Times New Roman"/>
          <w:sz w:val="24"/>
          <w:szCs w:val="24"/>
        </w:rPr>
        <w:t>ostatecznego zakończenia postępowania w sprawie wydania takiej decyzji</w:t>
      </w:r>
      <w:r w:rsidRPr="00250A2F">
        <w:rPr>
          <w:rFonts w:ascii="Times New Roman" w:hAnsi="Times New Roman" w:cs="Times New Roman"/>
          <w:sz w:val="24"/>
          <w:szCs w:val="24"/>
        </w:rPr>
        <w:t xml:space="preserve">, nie </w:t>
      </w:r>
      <w:r w:rsidR="00A07C47">
        <w:rPr>
          <w:rFonts w:ascii="Times New Roman" w:hAnsi="Times New Roman" w:cs="Times New Roman"/>
          <w:sz w:val="24"/>
          <w:szCs w:val="24"/>
        </w:rPr>
        <w:t>są wydawane decyzje</w:t>
      </w:r>
      <w:r w:rsidRPr="00250A2F">
        <w:rPr>
          <w:rFonts w:ascii="Times New Roman" w:hAnsi="Times New Roman" w:cs="Times New Roman"/>
          <w:sz w:val="24"/>
          <w:szCs w:val="24"/>
        </w:rPr>
        <w:t xml:space="preserve"> o pozwoleniu na budowę dla</w:t>
      </w:r>
      <w:r>
        <w:rPr>
          <w:rFonts w:ascii="Times New Roman" w:hAnsi="Times New Roman" w:cs="Times New Roman"/>
          <w:sz w:val="24"/>
          <w:szCs w:val="24"/>
        </w:rPr>
        <w:t xml:space="preserve"> innych</w:t>
      </w:r>
      <w:r w:rsidRPr="00250A2F">
        <w:rPr>
          <w:rFonts w:ascii="Times New Roman" w:hAnsi="Times New Roman" w:cs="Times New Roman"/>
          <w:sz w:val="24"/>
          <w:szCs w:val="24"/>
        </w:rPr>
        <w:t xml:space="preserve"> inwestycji, a toczące się postępowania w tych sprawach </w:t>
      </w:r>
      <w:r>
        <w:rPr>
          <w:rFonts w:ascii="Times New Roman" w:hAnsi="Times New Roman" w:cs="Times New Roman"/>
          <w:sz w:val="24"/>
          <w:szCs w:val="24"/>
        </w:rPr>
        <w:t>podlegają</w:t>
      </w:r>
      <w:r w:rsidRPr="00250A2F">
        <w:rPr>
          <w:rFonts w:ascii="Times New Roman" w:hAnsi="Times New Roman" w:cs="Times New Roman"/>
          <w:sz w:val="24"/>
          <w:szCs w:val="24"/>
        </w:rPr>
        <w:t xml:space="preserve"> zawieszeni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50A2F">
        <w:rPr>
          <w:rFonts w:ascii="Times New Roman" w:hAnsi="Times New Roman" w:cs="Times New Roman"/>
          <w:sz w:val="24"/>
          <w:szCs w:val="24"/>
        </w:rPr>
        <w:t xml:space="preserve"> do czasu </w:t>
      </w:r>
      <w:r w:rsidR="00A20E00">
        <w:rPr>
          <w:rFonts w:ascii="Times New Roman" w:hAnsi="Times New Roman" w:cs="Times New Roman"/>
          <w:sz w:val="24"/>
          <w:szCs w:val="24"/>
        </w:rPr>
        <w:t xml:space="preserve">ostatecznego </w:t>
      </w:r>
      <w:r w:rsidR="00063531">
        <w:rPr>
          <w:rFonts w:ascii="Times New Roman" w:hAnsi="Times New Roman" w:cs="Times New Roman"/>
          <w:sz w:val="24"/>
          <w:szCs w:val="24"/>
        </w:rPr>
        <w:t>zakończenia postępowania w sprawie</w:t>
      </w:r>
      <w:r w:rsidRPr="00250A2F">
        <w:rPr>
          <w:rFonts w:ascii="Times New Roman" w:hAnsi="Times New Roman" w:cs="Times New Roman"/>
          <w:sz w:val="24"/>
          <w:szCs w:val="24"/>
        </w:rPr>
        <w:t xml:space="preserve"> </w:t>
      </w:r>
      <w:r w:rsidR="00063531">
        <w:rPr>
          <w:rFonts w:ascii="Times New Roman" w:hAnsi="Times New Roman" w:cs="Times New Roman"/>
          <w:sz w:val="24"/>
          <w:szCs w:val="24"/>
        </w:rPr>
        <w:t xml:space="preserve">wydania </w:t>
      </w:r>
      <w:r w:rsidRPr="00250A2F">
        <w:rPr>
          <w:rFonts w:ascii="Times New Roman" w:hAnsi="Times New Roman" w:cs="Times New Roman"/>
          <w:sz w:val="24"/>
          <w:szCs w:val="24"/>
        </w:rPr>
        <w:t>decyzj</w:t>
      </w:r>
      <w:r w:rsidR="00063531">
        <w:rPr>
          <w:rFonts w:ascii="Times New Roman" w:hAnsi="Times New Roman" w:cs="Times New Roman"/>
          <w:sz w:val="24"/>
          <w:szCs w:val="24"/>
        </w:rPr>
        <w:t>i</w:t>
      </w:r>
      <w:r w:rsidRPr="00250A2F">
        <w:rPr>
          <w:rFonts w:ascii="Times New Roman" w:hAnsi="Times New Roman" w:cs="Times New Roman"/>
          <w:sz w:val="24"/>
          <w:szCs w:val="24"/>
        </w:rPr>
        <w:t xml:space="preserve"> o ustaleniu lokalizacji linii kolejowej.</w:t>
      </w:r>
      <w:r w:rsidR="00A07C47">
        <w:rPr>
          <w:rFonts w:ascii="Times New Roman" w:hAnsi="Times New Roman" w:cs="Times New Roman"/>
          <w:sz w:val="24"/>
          <w:szCs w:val="24"/>
        </w:rPr>
        <w:t xml:space="preserve"> Jednocześnie, organ </w:t>
      </w:r>
      <w:r w:rsidR="00A07C47" w:rsidRPr="00A07C47">
        <w:rPr>
          <w:rFonts w:ascii="Times New Roman" w:hAnsi="Times New Roman" w:cs="Times New Roman"/>
          <w:sz w:val="24"/>
          <w:szCs w:val="24"/>
        </w:rPr>
        <w:t>administracji architektoniczno</w:t>
      </w:r>
      <w:r w:rsidR="00A07C47">
        <w:rPr>
          <w:rFonts w:ascii="Times New Roman" w:hAnsi="Times New Roman" w:cs="Times New Roman"/>
          <w:sz w:val="24"/>
          <w:szCs w:val="24"/>
        </w:rPr>
        <w:t xml:space="preserve"> – </w:t>
      </w:r>
      <w:r w:rsidR="00A07C47" w:rsidRPr="00A07C47">
        <w:rPr>
          <w:rFonts w:ascii="Times New Roman" w:hAnsi="Times New Roman" w:cs="Times New Roman"/>
          <w:sz w:val="24"/>
          <w:szCs w:val="24"/>
        </w:rPr>
        <w:t>budowlanej</w:t>
      </w:r>
      <w:r w:rsidR="00A07C47">
        <w:rPr>
          <w:rFonts w:ascii="Times New Roman" w:hAnsi="Times New Roman" w:cs="Times New Roman"/>
          <w:sz w:val="24"/>
          <w:szCs w:val="24"/>
        </w:rPr>
        <w:t xml:space="preserve"> ma obowiązek wniesienia sprzeciwu w przypadku, gdy </w:t>
      </w:r>
      <w:r w:rsidR="00AF1B61">
        <w:rPr>
          <w:rFonts w:ascii="Times New Roman" w:hAnsi="Times New Roman" w:cs="Times New Roman"/>
          <w:sz w:val="24"/>
          <w:szCs w:val="24"/>
        </w:rPr>
        <w:t>otrzyma zgłoszenie</w:t>
      </w:r>
      <w:r w:rsidR="00AF1B61" w:rsidRPr="00AF1B61">
        <w:rPr>
          <w:rFonts w:ascii="Times New Roman" w:hAnsi="Times New Roman" w:cs="Times New Roman"/>
          <w:sz w:val="24"/>
          <w:szCs w:val="24"/>
        </w:rPr>
        <w:t xml:space="preserve"> zamiaru wykonywania robót budowlanych </w:t>
      </w:r>
      <w:r w:rsidR="008677D1">
        <w:rPr>
          <w:rFonts w:ascii="Times New Roman" w:hAnsi="Times New Roman" w:cs="Times New Roman"/>
          <w:sz w:val="24"/>
          <w:szCs w:val="24"/>
        </w:rPr>
        <w:t>przy wszczynanym postępowaniu</w:t>
      </w:r>
      <w:r w:rsidR="00AF1B61" w:rsidRPr="00AF1B61">
        <w:rPr>
          <w:rFonts w:ascii="Times New Roman" w:hAnsi="Times New Roman" w:cs="Times New Roman"/>
          <w:sz w:val="24"/>
          <w:szCs w:val="24"/>
        </w:rPr>
        <w:t xml:space="preserve"> w przedmiocie wydania decyzji o ustaleniu lokalizacji linii kolejowej</w:t>
      </w:r>
      <w:r w:rsidR="008677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5059" w:rsidRPr="00956876" w:rsidRDefault="000A5059" w:rsidP="0095687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876">
        <w:rPr>
          <w:rFonts w:ascii="Times New Roman" w:hAnsi="Times New Roman" w:cs="Times New Roman"/>
          <w:b/>
          <w:sz w:val="24"/>
          <w:szCs w:val="24"/>
        </w:rPr>
        <w:t>Weryfikacja terminów uzgodnień</w:t>
      </w:r>
      <w:r w:rsidR="003C2323">
        <w:rPr>
          <w:rFonts w:ascii="Times New Roman" w:hAnsi="Times New Roman" w:cs="Times New Roman"/>
          <w:b/>
          <w:sz w:val="24"/>
          <w:szCs w:val="24"/>
        </w:rPr>
        <w:t xml:space="preserve"> – art. 9oa </w:t>
      </w:r>
    </w:p>
    <w:p w:rsidR="000A5059" w:rsidRPr="000A5059" w:rsidRDefault="000A5059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Celem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prze</w:t>
      </w: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pisu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projektowanego art. </w:t>
      </w:r>
      <w:r w:rsidR="00595AC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9o</w:t>
      </w:r>
      <w:r w:rsidR="00664E1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a</w:t>
      </w:r>
      <w:r w:rsidR="002206D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jest określenie ram czasowych związanych 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 usunięciem występujących kolizji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poprzez ustanowienie 14-sto </w:t>
      </w:r>
      <w:r w:rsidR="00907A3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dniowego terminu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uzgodnień</w:t>
      </w: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 W dotychczasowej ustawie brak jest terminu dla gestorów sieci na uzgodnien</w:t>
      </w:r>
      <w:r w:rsidR="009541F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ie dokumentacji projektowej dotyczącej</w:t>
      </w: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budowanych/przebudowywanych sieci w ramach kolizji</w:t>
      </w:r>
      <w:r w:rsidR="002D391D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 co często</w:t>
      </w: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znacząco wydłuża czas potrzebny na uzgodnienia. </w:t>
      </w:r>
    </w:p>
    <w:p w:rsidR="00106CB8" w:rsidRPr="00956876" w:rsidRDefault="00644CB2" w:rsidP="0095687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876">
        <w:rPr>
          <w:rFonts w:ascii="Times New Roman" w:hAnsi="Times New Roman" w:cs="Times New Roman"/>
          <w:b/>
          <w:sz w:val="24"/>
          <w:szCs w:val="24"/>
        </w:rPr>
        <w:t>Przyspieszenie procedowania</w:t>
      </w:r>
      <w:r w:rsidR="003C2323">
        <w:rPr>
          <w:rFonts w:ascii="Times New Roman" w:hAnsi="Times New Roman" w:cs="Times New Roman"/>
          <w:b/>
          <w:sz w:val="24"/>
          <w:szCs w:val="24"/>
        </w:rPr>
        <w:t xml:space="preserve"> – art. 9q </w:t>
      </w:r>
    </w:p>
    <w:p w:rsidR="00106CB8" w:rsidRPr="00106CB8" w:rsidRDefault="00644CB2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 projektowanym art. 9q z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miana analogiczna regulacji do art. 11f ust. 8 ustawy </w:t>
      </w:r>
      <w:r w:rsidR="00BD299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 dnia 10 kwietnia 2003 r. o szczególnych zasadach przygotowania i realizacji inwestycji w zakresie dróg publicznych 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(</w:t>
      </w:r>
      <w:r w:rsidR="002913DF" w:rsidRP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Dz.</w:t>
      </w:r>
      <w:r w:rsidR="004C5B9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2913DF" w:rsidRP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U.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z </w:t>
      </w:r>
      <w:r w:rsidR="002913DF" w:rsidRP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2015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r</w:t>
      </w:r>
      <w:r w:rsidR="002913DF" w:rsidRP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poz. </w:t>
      </w:r>
      <w:r w:rsidR="002913DF" w:rsidRP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2031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)</w:t>
      </w:r>
      <w:r w:rsidR="00C203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–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pozwala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na zmianę decyzji bez konieczności pozyskiwania zgody wszystkich stron postępowania. </w:t>
      </w:r>
      <w:r w:rsidR="00C203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Projektowany art. 9q umożliwia również </w:t>
      </w:r>
      <w:r w:rsidR="00C6698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zawiadomienie o wydaniu</w:t>
      </w:r>
      <w:r w:rsidR="00C203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C6698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 drugiej instancji </w:t>
      </w:r>
      <w:r w:rsidR="00C203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decyzji</w:t>
      </w:r>
      <w:r w:rsidR="00C203F6" w:rsidRPr="00C203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o ustaleniu lokalizacji linii kolejowej</w:t>
      </w:r>
      <w:r w:rsidR="00C6698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="00C203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3F38FD" w:rsidRPr="003F38FD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na adres wskazany w katastrze nieruchomości</w:t>
      </w:r>
      <w:r w:rsidR="00C6698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Zgodnie </w:t>
      </w:r>
      <w:r w:rsidR="00C6698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</w:t>
      </w:r>
      <w:r w:rsidR="00BD299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projektowanym art. 9q do zmiany decyzji 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 ustaleniu lokalizacji linii kolejowej s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tosuje 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się odpowiednio art. 155 K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.p.a.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 z zastrzeżeniem, że zgodę wyraża wyłącznie strona, która złożyła wniosek o wydanie decyzji o ustaleniu lokalizacji linii kolejowej. Działając bowiem na zasadach ogólnych wynikających z K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.p.a.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, zmiana decyzji, na mocy której strona nabyła prawo, możliwa jest zgodnie z art. 155 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K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.p.a., tylko za zgodą strony. 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 przypadku realizacji dużych inwestycji kolejowych, z uwagi na szeroki katalog stron postępowania uzyskanie zgody wszystkich stron postępowania w sprawie zmiany decyzji jest bardzo utrudnione ze względu na dużą liczbę stron postępowania. Jeżeli decyzja jest źródłem nabycia prawa, to zmiana takiej decyzji ostatecznej w trybie art. 155 </w:t>
      </w:r>
      <w:r w:rsidR="004E10B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K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.p.a. wymaga zgody osób, które były stronami w sprawie zakończonej tą decyzją, bez względu na to, jakie prawa nabyła każda z tych stron. W związku z powyższym, prop</w:t>
      </w:r>
      <w:r w:rsidR="00C6698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ozycja dodania przepisu art. 9q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, odnoszącego się do zmiany decyzji </w:t>
      </w:r>
      <w:r w:rsidR="002913D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 ustaleniu lokalizacji linii kolejowej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ułatwi zmianę tej decyzji</w:t>
      </w:r>
      <w:r w:rsidR="00AE6C1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(nawet w sytuacji, gdy stała się ona ostateczna)</w:t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9A7C83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="00106CB8" w:rsidRPr="00106CB8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i prowadzenie inwestycji kolejowych.</w:t>
      </w:r>
    </w:p>
    <w:p w:rsidR="00651B89" w:rsidRPr="00651B89" w:rsidRDefault="00651B89" w:rsidP="00956876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 w:rsidRPr="00651B89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Eliminacja wątpliwości interpretacyjnych</w:t>
      </w:r>
      <w:r w:rsidR="003C2323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 art. 9s</w:t>
      </w:r>
      <w:r w:rsidRPr="00651B89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</w:t>
      </w:r>
    </w:p>
    <w:p w:rsidR="00651B89" w:rsidRPr="00651B89" w:rsidRDefault="00651B89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651B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Proponowana </w:t>
      </w:r>
      <w:r w:rsid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 art. 9s </w:t>
      </w:r>
      <w:r w:rsidRPr="00651B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zmiana polega na zastąpieniu słów „określonych w ust. 3” słowami „lub stanowiących jego własność”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 co</w:t>
      </w:r>
      <w:r w:rsidRPr="00651B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pozwala na wyeliminowanie potencjalnych wątpliwości interpretacyjnych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Pr="00651B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czy ustanowienie prawa użytkowania wieczystego może dotyczyć również gruntów stanowiących własność S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karbu Państwa </w:t>
      </w:r>
      <w:r w:rsidRPr="00651B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przed wydaniem decyzji lokalizacyjnej, czy tylko tych nabytych w wyniku tej decyzji.</w:t>
      </w:r>
    </w:p>
    <w:p w:rsidR="00F25F20" w:rsidRDefault="00F25F20" w:rsidP="00956876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M</w:t>
      </w:r>
      <w:r w:rsidRPr="00F25F20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ożliwość zrzeczenia się odszkodowania</w:t>
      </w:r>
      <w:r w:rsidR="003C2323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 art. 9y</w:t>
      </w:r>
    </w:p>
    <w:p w:rsidR="00F25F20" w:rsidRPr="00F25F20" w:rsidRDefault="00F25F20" w:rsidP="00956876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Często zgłaszanym przez organy administracji problemem jest trudność we wzajemnym rozliczaniu się organów, których nieruchomości objęte zostały działaniem decyzji. Nie ma obecnie przepisu umożliwiającego przejęcie z mocy prawa nieruchomości na mocy ustawy bez ustalenia odszkodowania. Natomiast przyjęcie, że organ, na rzecz którego ustalane jest odszkodowanie, zrzeknie się go, budzi wśród organów działających za Skarb Państwa i jednostkę samorządu terytorialnego obawy naruszenia wyrażonej w art. 12 ustawy o gospodarce nieruchomościami </w:t>
      </w:r>
      <w:r w:rsidR="008C7834" w:rsidRPr="008C7834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(</w:t>
      </w:r>
      <w:r w:rsidR="008C7834" w:rsidRPr="008C7834">
        <w:rPr>
          <w:rFonts w:ascii="Times New Roman" w:hAnsi="Times New Roman" w:cs="Times New Roman"/>
          <w:bCs/>
          <w:sz w:val="24"/>
          <w:szCs w:val="24"/>
        </w:rPr>
        <w:t xml:space="preserve">Dz. U. z 2015 r. poz. 1774 z późn. zm.) </w:t>
      </w:r>
      <w:r w:rsidRPr="008C7834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zasady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prawidłowej gospodarki. Projekt ustawy </w:t>
      </w:r>
      <w:r w:rsidR="0005523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 art. 9y ust. 7-8 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wprowadza możliwość zrzeczenia się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prawa do</w:t>
      </w:r>
      <w:r w:rsidR="00156AC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odszkodowania. Organ działający w imieniu Skarbu Państwa 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i jednostki samorządu terytorialnego może, ale nie musi zrzec się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prawa do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odszkodowania. Proponuje się zatem aby, jeżeli przemawia za tym interes społeczny lub gospodarczy, Skarb Państwa albo jednostka samorządu terytorialnego mogły zrzec się 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 całości lub w części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prawa do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odszkodowania za nieruchomości, które stają się z mocy prawa:</w:t>
      </w:r>
    </w:p>
    <w:p w:rsidR="00F25F20" w:rsidRPr="00F25F20" w:rsidRDefault="00F25F20" w:rsidP="00F25F20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lastRenderedPageBreak/>
        <w:t>własnością Skarbu Państwa,</w:t>
      </w:r>
    </w:p>
    <w:p w:rsidR="00F25F20" w:rsidRPr="00F25F20" w:rsidRDefault="00F25F20" w:rsidP="00F25F20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własnością odpowiednich jednostek samorządu terytorialnego</w:t>
      </w:r>
      <w:r w:rsidR="008C7834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,</w:t>
      </w:r>
    </w:p>
    <w:p w:rsidR="00F25F20" w:rsidRPr="00F25F20" w:rsidRDefault="00F25F20" w:rsidP="00F25F20">
      <w:pPr>
        <w:spacing w:before="120" w:after="12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 dniem, w którym decyzja o ustaleniu lokalizacji linii kolejowej stała się ostateczna.</w:t>
      </w:r>
    </w:p>
    <w:p w:rsidR="00F25F20" w:rsidRPr="00F25F20" w:rsidRDefault="00F25F20" w:rsidP="00F25F20">
      <w:pPr>
        <w:spacing w:before="120" w:after="12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Zrzeczenie powinno nastąpić w formie pisemnej pod rygorem nieważności.</w:t>
      </w:r>
      <w:r w:rsidR="0005523F" w:rsidRPr="0005523F">
        <w:rPr>
          <w:rFonts w:ascii="Times New Roman" w:hAnsi="Times New Roman" w:cs="Times New Roman"/>
          <w:sz w:val="24"/>
          <w:szCs w:val="24"/>
        </w:rPr>
        <w:t xml:space="preserve"> </w:t>
      </w:r>
      <w:r w:rsidR="0005523F" w:rsidRPr="006E6DFF">
        <w:rPr>
          <w:rFonts w:ascii="Times New Roman" w:hAnsi="Times New Roman" w:cs="Times New Roman"/>
          <w:sz w:val="24"/>
          <w:szCs w:val="24"/>
        </w:rPr>
        <w:t xml:space="preserve">Oświadczenie to </w:t>
      </w:r>
      <w:r w:rsidR="0005523F">
        <w:rPr>
          <w:rFonts w:ascii="Times New Roman" w:hAnsi="Times New Roman" w:cs="Times New Roman"/>
          <w:sz w:val="24"/>
          <w:szCs w:val="24"/>
        </w:rPr>
        <w:t xml:space="preserve">może zostać złożone jedynie do czasu wydania ostatecznej decyzji o ustaleniu odszkodowania. 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Ponadto projektowany przepis wskazuje, iż w przypadku zrzeczenia się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prawa do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odszkodowania za nieruchomości:</w:t>
      </w:r>
    </w:p>
    <w:p w:rsidR="00F25F20" w:rsidRPr="00F25F20" w:rsidRDefault="00F25F20" w:rsidP="00F25F20">
      <w:pPr>
        <w:pStyle w:val="Akapitzlist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przed wszczęciem postępowania ustalającego wysokość odszkodowania – postępowania nie wszczyna się,</w:t>
      </w:r>
    </w:p>
    <w:p w:rsidR="00F25F20" w:rsidRPr="0005523F" w:rsidRDefault="00F25F20" w:rsidP="0005523F">
      <w:pPr>
        <w:pStyle w:val="Akapitzlist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w trakcie postępowania ustalającego wysokość odszkodo</w:t>
      </w:r>
      <w:r w:rsidR="0005523F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wania – postępowanie umarza się.</w:t>
      </w:r>
    </w:p>
    <w:p w:rsidR="00F25F20" w:rsidRPr="00F25F20" w:rsidRDefault="00F25F20" w:rsidP="00956876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Wskazuje się więc formę i ramy czasowe, w których strona będzie miała możliwość zrzeczenia się</w:t>
      </w:r>
      <w:r w:rsidR="00AA1C4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prawa do</w:t>
      </w:r>
      <w:r w:rsidRPr="00F25F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odszkodowania, oraz adresata stosownego oświadczenia.</w:t>
      </w:r>
    </w:p>
    <w:p w:rsidR="00B65FF6" w:rsidRDefault="00B65FF6" w:rsidP="00956876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Pozwolenie na użytkowanie </w:t>
      </w:r>
      <w:r w:rsidR="003C2323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– art. 9af </w:t>
      </w:r>
    </w:p>
    <w:p w:rsidR="00B65FF6" w:rsidRDefault="00B65FF6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Pozwolenie n</w:t>
      </w:r>
      <w:r w:rsid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a budowę, na podstawie którego o</w:t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rgan sprawdza wykonanie robót i wydaje pozwolenie na użytkowanie (PnU), wydawane jest na dwa tory, a nie tylko na jeden </w:t>
      </w:r>
      <w:r w:rsid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i obejmuje pełen zakres robót, w tym urządzenia ochrony środowiska. Dotychczasowe przepisy uniemożliwiają otrzymanie PnU dla jednego toru bez wykonania wszystkich urządzeń służących ochronie środowiska (ekrany, przepusty dla zwierząt, system odwodnienia itp.). W większości projektów występuje etapowanie wykonywania robót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na prace na poszczególnych torach. Z kolei wykonanie wszystkich elementów ochrony środowiska w ramach etapów, przy zamkniętym tylko jednym torze (po drugim odbywa się ruch pociągów), jest często niemożliwe. Jednocześnie, stosowanie długotrwałych zamknięć dwutorowych, szczególnie w aglomeracjach, może być niewykonalne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ze względów społecznych. </w:t>
      </w:r>
      <w:r w:rsidR="002206D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Projektowany</w:t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przepi</w:t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s </w:t>
      </w:r>
      <w:r w:rsidR="002206D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art. 9af </w:t>
      </w:r>
      <w:r w:rsidRPr="00B65FF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eliminuje konieczność oczekiwania na wykonanie całego zakresu inwestycji dla obu torów, w celu uzyskania PnU.</w:t>
      </w:r>
    </w:p>
    <w:p w:rsidR="00FE0A2B" w:rsidRPr="00B65FF6" w:rsidRDefault="00FE0A2B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Dodatkowo, wprowadzono możliwość wydania przez właściwy organ nadzoru budowlanego, na wniosek inwestora, decyzji o pozwoleniu na użytkowanie w odniesieniu do toru lub odcinka linii, na którym zakończono budowę lub przebudowę. Rozwiązanie takie dotyczy</w:t>
      </w:r>
      <w:r w:rsidRPr="00FE0A2B">
        <w:rPr>
          <w:rFonts w:ascii="Times New Roman" w:hAnsi="Times New Roman" w:cs="Times New Roman"/>
          <w:sz w:val="24"/>
          <w:szCs w:val="24"/>
        </w:rPr>
        <w:t xml:space="preserve"> </w:t>
      </w:r>
      <w:r w:rsidRPr="0077293E">
        <w:rPr>
          <w:rFonts w:ascii="Times New Roman" w:hAnsi="Times New Roman" w:cs="Times New Roman"/>
          <w:sz w:val="24"/>
          <w:szCs w:val="24"/>
        </w:rPr>
        <w:t>linii kolejowej posiadającej co najmniej dwa tory</w:t>
      </w:r>
      <w:r w:rsidR="00C2621B">
        <w:rPr>
          <w:rFonts w:ascii="Times New Roman" w:hAnsi="Times New Roman" w:cs="Times New Roman"/>
          <w:sz w:val="24"/>
          <w:szCs w:val="24"/>
        </w:rPr>
        <w:t>, dla której wydano decyzj</w:t>
      </w:r>
      <w:r w:rsidR="009A7C83">
        <w:rPr>
          <w:rFonts w:ascii="Times New Roman" w:hAnsi="Times New Roman" w:cs="Times New Roman"/>
          <w:sz w:val="24"/>
          <w:szCs w:val="24"/>
        </w:rPr>
        <w:t>ę</w:t>
      </w:r>
      <w:r w:rsidR="00C2621B">
        <w:rPr>
          <w:rFonts w:ascii="Times New Roman" w:hAnsi="Times New Roman" w:cs="Times New Roman"/>
          <w:sz w:val="24"/>
          <w:szCs w:val="24"/>
        </w:rPr>
        <w:t xml:space="preserve"> o pozwoleniu na budowę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62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26DF2" w:rsidRDefault="00126DF2" w:rsidP="00956876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E</w:t>
      </w:r>
      <w:r w:rsidRPr="00126DF2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ksploatacja tymczasowa podsystemu</w:t>
      </w:r>
      <w:r w:rsidR="003C2323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 art. 25e </w:t>
      </w:r>
    </w:p>
    <w:p w:rsidR="00126DF2" w:rsidRPr="00126DF2" w:rsidRDefault="00126DF2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Wprowadzenie przepisu wskazującego na możliwość eksploatacji podsystemu strukturalnego przez zarządcę w okresie przed uzyskaniem zezwolenia na dopuszczenie do eksploatacji. Zgodnie z art. 25e ust. 1 ustawy zarządca i przewoźnik mogą eksploatować tylko podsystemy strukturalne, na które Prezes U</w:t>
      </w:r>
      <w:r w:rsidR="00156AC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rzędu </w:t>
      </w: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T</w:t>
      </w:r>
      <w:r w:rsidR="00156AC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ransportu </w:t>
      </w: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K</w:t>
      </w:r>
      <w:r w:rsidR="00156AC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olejowego (UTK)</w:t>
      </w: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wydał zezwolenie na dopuszczenie do eksploatacji. Przepis ten może generować wątpliwości dotyczące eksploatacji podsystemów w okresie trwania budowy,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a następnie po jej zakończeniu do czasu uzyskania zezwolenia wydanego przez Prezesa UTK. Z obecnej praktyki wynika, że czas ten może sięgać nawet kilku miesięcy, kiedy gotowy podsystem oczekiwałby na zakończenie pracy jednostki notyfikowanej,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a następnie postępowania administracyjnego Prezesa UTK. </w:t>
      </w:r>
    </w:p>
    <w:p w:rsidR="00126DF2" w:rsidRPr="00126DF2" w:rsidRDefault="00126DF2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Proponowany przepis normuje możliwość tymczasowej eksploatacji podsystemów strukturalnych poddawanych modernizacji na zasadach sprzed jej rozpoczęcia. Aby przepis ten nie był nadużywany wprowadzono ograniczenie czasowe takiej eksploatacji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126DF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do 9 miesięcy, co powinno wystarczyć na uzyskanie niezbędnego zezwolenia. Jednocześnie szczegółowe zasady i warunki eksploatacji tymczasowej powinien określić zarządca infrastruktury w swoim systemie zarządzania bezpieczeństwem. </w:t>
      </w:r>
    </w:p>
    <w:p w:rsidR="00BF2775" w:rsidRPr="00BF2775" w:rsidRDefault="00BF2775" w:rsidP="00956876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 w:rsidRPr="00BF2775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Programowanie wieloletnie </w:t>
      </w:r>
      <w:r w:rsidR="00141EAC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– art. 38c </w:t>
      </w:r>
    </w:p>
    <w:p w:rsidR="00511FB1" w:rsidRPr="00942E30" w:rsidRDefault="00511FB1" w:rsidP="00956876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Zmiany w artykule 38c ustawy o transporcie kolejowym </w:t>
      </w:r>
      <w:r w:rsidRPr="00511FB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(Dz. U. z 2015 r. poz. 1297 z późn. zm.</w:t>
      </w:r>
      <w:r w:rsidR="00593FC9">
        <w:rPr>
          <w:rStyle w:val="Odwoanieprzypisudolnego"/>
          <w:rFonts w:ascii="Times New Roman" w:eastAsia="Times New Roman" w:hAnsi="Times New Roman"/>
          <w:spacing w:val="4"/>
          <w:sz w:val="24"/>
          <w:szCs w:val="24"/>
          <w:lang w:eastAsia="pl-PL"/>
        </w:rPr>
        <w:footnoteReference w:id="1"/>
      </w:r>
      <w:r w:rsidR="009E5EE0">
        <w:rPr>
          <w:rFonts w:ascii="Times New Roman" w:eastAsia="Times New Roman" w:hAnsi="Times New Roman"/>
          <w:spacing w:val="4"/>
          <w:sz w:val="24"/>
          <w:szCs w:val="24"/>
          <w:vertAlign w:val="superscript"/>
          <w:lang w:eastAsia="pl-PL"/>
        </w:rPr>
        <w:t>)</w:t>
      </w:r>
      <w:r w:rsidRPr="00511FB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) </w:t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mają na celu uelastycznienie procesu aktualizacji programu wieloletniego obejmującego inwestycje na liniach kolejowych. Proponuje się, aby przyjęcie przez Radę Ministrów sprawozdania z wykonania planu realizacji programu wieloletniego stanowiło jednocześnie jego aktualizację. Jednakże sprawozdanie będzie mogło zaktualizować program jedynie w przypadku, kiedy nie zostanie zwiększony łączny limit wydatków z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budżetu państwa na realizację programu.</w:t>
      </w:r>
      <w:r w:rsidR="00BF2775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 związku z tym, wydłużono termin przygotowania sprawozdania (z końca marca na</w:t>
      </w:r>
      <w:r w:rsidR="008C467D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koniec maja każdego roku) </w:t>
      </w:r>
      <w:r w:rsidR="00BF2775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i wprowadzono obowiązek jego publikacji w Biuletynie Informacji Publicznej urzędu zapewniającego obsługę ministra właściwego do spraw transportu. Ponadto wskazano elementy, które obligatoryjnie musi zawierać sprawozdanie. Z uwagi na ograniczony </w:t>
      </w:r>
      <w:r w:rsidR="000A2C9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 tym trybie zakres aktualizacji programu (aktualizacja określi nowy wieloletni montaż finansowy dla już ujętych w programie inwestycji), dla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sprawozdania aktualizującego program:</w:t>
      </w:r>
    </w:p>
    <w:p w:rsidR="00511FB1" w:rsidRPr="00942E30" w:rsidRDefault="00511FB1" w:rsidP="00511FB1">
      <w:pPr>
        <w:pStyle w:val="Akapitzlist"/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lastRenderedPageBreak/>
        <w:t>umożliwiono odstąpienie od przeprowadzenia strategicznej oceny oddziaływania na</w:t>
      </w:r>
      <w:r w:rsidR="00960CE2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 xml:space="preserve">środowisko </w:t>
      </w:r>
    </w:p>
    <w:p w:rsidR="00511FB1" w:rsidRPr="00942E30" w:rsidRDefault="00511FB1" w:rsidP="00511FB1">
      <w:pPr>
        <w:pStyle w:val="Akapitzlist"/>
        <w:spacing w:after="0" w:line="360" w:lineRule="auto"/>
        <w:ind w:left="567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oraz</w:t>
      </w:r>
    </w:p>
    <w:p w:rsidR="00511FB1" w:rsidRPr="00942E30" w:rsidRDefault="00511FB1" w:rsidP="00511FB1">
      <w:pPr>
        <w:pStyle w:val="Akapitzlist"/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</w:pP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wprowadzono wyjątki w stosowaniu ustawy z dnia 6 grudnia 2006 r. o zasadach prowadzenia polityki rozwoju (Dz. U. z 2014 r., poz. 1649 z późn. zm.</w:t>
      </w:r>
      <w:r w:rsidR="009E5EE0">
        <w:rPr>
          <w:rStyle w:val="Odwoanieprzypisudolnego"/>
          <w:rFonts w:ascii="Times New Roman" w:eastAsia="Times New Roman" w:hAnsi="Times New Roman"/>
          <w:spacing w:val="4"/>
          <w:sz w:val="24"/>
          <w:szCs w:val="24"/>
          <w:lang w:eastAsia="pl-PL"/>
        </w:rPr>
        <w:footnoteReference w:id="2"/>
      </w:r>
      <w:r w:rsidR="00687296">
        <w:rPr>
          <w:rFonts w:ascii="Times New Roman" w:eastAsia="Times New Roman" w:hAnsi="Times New Roman" w:cstheme="minorBidi"/>
          <w:spacing w:val="4"/>
          <w:sz w:val="24"/>
          <w:szCs w:val="24"/>
          <w:vertAlign w:val="superscript"/>
          <w:lang w:eastAsia="pl-PL"/>
        </w:rPr>
        <w:t>)</w:t>
      </w: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), zgodnie z</w:t>
      </w:r>
      <w:r w:rsidR="00960CE2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którym sprawozdanie m.in. nie będzie musiało być uzgadniane z pozostałymi ministrami w trybie przewidzianym dla programów rozwoju, opiniowane</w:t>
      </w:r>
      <w:r w:rsidR="00322351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 xml:space="preserve"> </w:t>
      </w: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pod</w:t>
      </w:r>
      <w:r w:rsidR="00960CE2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względem zgodności ze średniookresową strategią rozwoju kraju konsultowane z</w:t>
      </w:r>
      <w:r w:rsidR="00960CE2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 </w:t>
      </w:r>
      <w:r w:rsidRPr="00942E30">
        <w:rPr>
          <w:rFonts w:ascii="Times New Roman" w:eastAsia="Times New Roman" w:hAnsi="Times New Roman" w:cstheme="minorBidi"/>
          <w:spacing w:val="4"/>
          <w:sz w:val="24"/>
          <w:szCs w:val="24"/>
          <w:lang w:eastAsia="pl-PL"/>
        </w:rPr>
        <w:t>jednostkami samorządu terytorialnego, partnerami społecznymi i gospodarczymi oraz z Komisją Wspólną Rządu i Samorządu Terytorialnego.</w:t>
      </w:r>
    </w:p>
    <w:p w:rsidR="001A1E3E" w:rsidRPr="001A1E3E" w:rsidRDefault="001A1E3E" w:rsidP="00956876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 w:rsidRPr="001A1E3E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Ograniczenie zakazu zadrzewiania</w:t>
      </w:r>
      <w:r w:rsidR="00141EAC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 art. 57a </w:t>
      </w:r>
    </w:p>
    <w:p w:rsidR="001A1E3E" w:rsidRPr="001A1E3E" w:rsidRDefault="001A1E3E" w:rsidP="001A1E3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A1E3E">
        <w:rPr>
          <w:rFonts w:ascii="Times New Roman" w:hAnsi="Times New Roman"/>
          <w:sz w:val="24"/>
          <w:szCs w:val="24"/>
        </w:rPr>
        <w:t xml:space="preserve">Wydane na podstawie art. 54 ustawy o transporcie kolejowym rozporządzenie Ministra Infrastruktury z dnia 7 sierpnia 2008 r. w sprawie wymagań w zakresie odległości i warunków dopuszczających usytuowanie drzew i krzewów, elementów ochrony akustycznej </w:t>
      </w:r>
      <w:r w:rsidRPr="001A1E3E">
        <w:rPr>
          <w:rFonts w:ascii="Times New Roman" w:hAnsi="Times New Roman"/>
          <w:sz w:val="24"/>
          <w:szCs w:val="24"/>
        </w:rPr>
        <w:br/>
        <w:t xml:space="preserve">i wykonywania robót ziemnych w sąsiedztwie linii kolejowej, a także sposobu urządzania </w:t>
      </w:r>
      <w:r w:rsidRPr="001A1E3E">
        <w:rPr>
          <w:rFonts w:ascii="Times New Roman" w:hAnsi="Times New Roman"/>
          <w:sz w:val="24"/>
          <w:szCs w:val="24"/>
        </w:rPr>
        <w:br/>
        <w:t xml:space="preserve">i utrzymywania zasłon odśnieżnych oraz pasów przeciwpożarowych (Dz. U. z 2014 r. poz. 1227) określa warunek, zgodnie z którym na gruntach położonych w sąsiedztwie linii kolejowej drzewa i krzewy mogą być usytuowane w odległości nie mniejszej niż 15 metrów od osi skrajnego toru kolejowego. Warunek ten oznacza obowiązek usunięcia drzew istniejących oraz zakaz sadzenia nowych. Skutkuje to koniecznością dokonywania wycinki drzew i krzewów wzdłuż torów kolejowych również na terenach o walorach krajobrazowych </w:t>
      </w:r>
      <w:r w:rsidRPr="001A1E3E">
        <w:rPr>
          <w:rFonts w:ascii="Times New Roman" w:hAnsi="Times New Roman"/>
          <w:sz w:val="24"/>
          <w:szCs w:val="24"/>
        </w:rPr>
        <w:br/>
        <w:t xml:space="preserve">i historycznych, czy objętych ochroną przyrody. Proponowana zmiana umożliwi ograniczenie zakazu zadrzewiania i zakrzewiania w odległości do 15 metrów od osi skrajnego toru kolejowego, przy uzyskaniu opinii zarządcy infrastruktury kolejowej stwierdzającej brak negatywnego oddziaływania na bezpieczeństwo prowadzenia ruchu kolejowego. Stanowi </w:t>
      </w:r>
      <w:r w:rsidRPr="001A1E3E">
        <w:rPr>
          <w:rFonts w:ascii="Times New Roman" w:hAnsi="Times New Roman"/>
          <w:sz w:val="24"/>
          <w:szCs w:val="24"/>
        </w:rPr>
        <w:br/>
        <w:t xml:space="preserve">to odstępstwo, analogicznie do art. 57 ustawy o transporcie kolejowym, który dotychczas dotyczył usytuowania budynków i budowli oraz wykonywania robót ziemnych. Organem właściwym do rozstrzygnięcia w odniesieniu do wydania odstępstwa będzie starosta, który jest również właściwy w sprawie wydania decyzji o usunięciu drzew lub krzewów w trybie art. 56 ustawy o transporcie kolejowym. Zgoda na odstępstwo wydawana będzie w drodze postanowienia starosty, po uzgodnieniu właściwego zarządcy infrastruktury kolejowej. </w:t>
      </w:r>
      <w:r w:rsidRPr="001A1E3E">
        <w:rPr>
          <w:rFonts w:ascii="Times New Roman" w:hAnsi="Times New Roman"/>
          <w:sz w:val="24"/>
          <w:szCs w:val="24"/>
        </w:rPr>
        <w:lastRenderedPageBreak/>
        <w:t>Uzgodnienie zarządcy infrastruktury jest konieczne z uwagi na przesłankę odstępstwa, jaką jest brak zagrożenia dla bezpieczeństwa prowadzenia ruchu kolejowego.</w:t>
      </w:r>
    </w:p>
    <w:p w:rsidR="00BF2775" w:rsidRDefault="00BF2775" w:rsidP="005F4A77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PRZEPISY O FINANSACH PUBLICZNYCH</w:t>
      </w:r>
    </w:p>
    <w:p w:rsidR="00942E30" w:rsidRPr="007A2F03" w:rsidRDefault="00960CE2" w:rsidP="00BA5F0A">
      <w:pPr>
        <w:spacing w:after="0" w:line="360" w:lineRule="auto"/>
        <w:jc w:val="both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 w:rsidRPr="007A2F03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Zmiana ustawy o zmianie ustawy o finansach publiczn</w:t>
      </w:r>
      <w:r w:rsidR="00BF2775" w:rsidRPr="007A2F03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ych oraz niektórych innych ustaw</w:t>
      </w:r>
      <w:r w:rsidR="00141EAC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 art. 12 </w:t>
      </w:r>
    </w:p>
    <w:p w:rsidR="00942E30" w:rsidRPr="00991CD5" w:rsidRDefault="00942E30" w:rsidP="00942E30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9DD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 xml:space="preserve">projektowanej ustawie wprowadza się zmianę w </w:t>
      </w:r>
      <w:r w:rsidRPr="00FC39DD">
        <w:rPr>
          <w:rFonts w:ascii="Times New Roman" w:hAnsi="Times New Roman" w:cs="Times New Roman"/>
          <w:sz w:val="24"/>
          <w:szCs w:val="24"/>
        </w:rPr>
        <w:t>ustawie z dnia 8 listopada 2013 r. o</w:t>
      </w:r>
      <w:r w:rsidR="00960CE2">
        <w:rPr>
          <w:rFonts w:ascii="Times New Roman" w:hAnsi="Times New Roman" w:cs="Times New Roman"/>
          <w:sz w:val="24"/>
          <w:szCs w:val="24"/>
        </w:rPr>
        <w:t> </w:t>
      </w:r>
      <w:r w:rsidRPr="00FC39DD">
        <w:rPr>
          <w:rFonts w:ascii="Times New Roman" w:hAnsi="Times New Roman" w:cs="Times New Roman"/>
          <w:sz w:val="24"/>
          <w:szCs w:val="24"/>
        </w:rPr>
        <w:t>zmianie ustawy o finansach publicznych oraz niektórych innych ustaw (Dz. U. z 2013 r., poz. 1646 i z 2014 r., poz. 911)</w:t>
      </w:r>
      <w:r>
        <w:rPr>
          <w:rFonts w:ascii="Times New Roman" w:hAnsi="Times New Roman" w:cs="Times New Roman"/>
          <w:sz w:val="24"/>
          <w:szCs w:val="24"/>
        </w:rPr>
        <w:t>. Dotyczy to</w:t>
      </w:r>
      <w:r w:rsidRPr="00FC39DD">
        <w:rPr>
          <w:rFonts w:ascii="Times New Roman" w:hAnsi="Times New Roman" w:cs="Times New Roman"/>
          <w:sz w:val="24"/>
          <w:szCs w:val="24"/>
        </w:rPr>
        <w:t xml:space="preserve"> uchyl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FC39DD">
        <w:rPr>
          <w:rFonts w:ascii="Times New Roman" w:hAnsi="Times New Roman" w:cs="Times New Roman"/>
          <w:sz w:val="24"/>
          <w:szCs w:val="24"/>
        </w:rPr>
        <w:t xml:space="preserve"> art. 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2F03">
        <w:rPr>
          <w:rFonts w:ascii="Times New Roman" w:hAnsi="Times New Roman" w:cs="Times New Roman"/>
          <w:sz w:val="24"/>
          <w:szCs w:val="24"/>
        </w:rPr>
        <w:t xml:space="preserve"> </w:t>
      </w:r>
      <w:r w:rsidRPr="00F804BB">
        <w:rPr>
          <w:rFonts w:ascii="Times New Roman" w:hAnsi="Times New Roman" w:cs="Times New Roman"/>
          <w:sz w:val="24"/>
          <w:szCs w:val="24"/>
        </w:rPr>
        <w:t>Dzięki projektowanym zmianom, p</w:t>
      </w:r>
      <w:r w:rsidRPr="00991CD5">
        <w:rPr>
          <w:rFonts w:ascii="Times New Roman" w:hAnsi="Times New Roman" w:cs="Times New Roman"/>
          <w:sz w:val="24"/>
          <w:szCs w:val="24"/>
        </w:rPr>
        <w:t>rzy jednoczesnym zachowaniu w mocy obowiązującego Planu Finansowego Funduszu Kolejowego na 2016 rok i przygotowywanego obecnie Planu Finansowego Funduszu Kolejowego na 2017 rok, uelastyczni</w:t>
      </w:r>
      <w:r>
        <w:rPr>
          <w:rFonts w:ascii="Times New Roman" w:hAnsi="Times New Roman" w:cs="Times New Roman"/>
          <w:sz w:val="24"/>
          <w:szCs w:val="24"/>
        </w:rPr>
        <w:t>one zostanie</w:t>
      </w:r>
      <w:r w:rsidRPr="00991CD5">
        <w:rPr>
          <w:rFonts w:ascii="Times New Roman" w:hAnsi="Times New Roman" w:cs="Times New Roman"/>
          <w:sz w:val="24"/>
          <w:szCs w:val="24"/>
        </w:rPr>
        <w:t xml:space="preserve"> zarządzanie środkami Funduszu Kolejowego i odbiurokratyz</w:t>
      </w:r>
      <w:r>
        <w:rPr>
          <w:rFonts w:ascii="Times New Roman" w:hAnsi="Times New Roman" w:cs="Times New Roman"/>
          <w:sz w:val="24"/>
          <w:szCs w:val="24"/>
        </w:rPr>
        <w:t>owany zostanie</w:t>
      </w:r>
      <w:r w:rsidRPr="00991CD5">
        <w:rPr>
          <w:rFonts w:ascii="Times New Roman" w:hAnsi="Times New Roman" w:cs="Times New Roman"/>
          <w:sz w:val="24"/>
          <w:szCs w:val="24"/>
        </w:rPr>
        <w:t xml:space="preserve"> proces ustalania rocznego limitu wydatków Funduszu na dany rok budżetowy, bez uszczerbku dla kontroli przez Radę Ministrów wieloletniego limitu wydatków Funduszu.</w:t>
      </w:r>
      <w:r w:rsidR="00BF27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Zgodnie z projektowaną zmianą, </w:t>
      </w:r>
      <w:r w:rsidR="00BF277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</w:t>
      </w:r>
      <w:r w:rsidRPr="00991CD5">
        <w:rPr>
          <w:rFonts w:ascii="Times New Roman" w:hAnsi="Times New Roman" w:cs="Times New Roman"/>
          <w:sz w:val="24"/>
          <w:szCs w:val="24"/>
        </w:rPr>
        <w:t>a podstawie art. 9a ustawy z dnia 16 grudnia 2005 r. o</w:t>
      </w:r>
      <w:r w:rsidR="00960CE2">
        <w:rPr>
          <w:rFonts w:ascii="Times New Roman" w:hAnsi="Times New Roman" w:cs="Times New Roman"/>
          <w:sz w:val="24"/>
          <w:szCs w:val="24"/>
        </w:rPr>
        <w:t> </w:t>
      </w:r>
      <w:r w:rsidRPr="00991CD5">
        <w:rPr>
          <w:rFonts w:ascii="Times New Roman" w:hAnsi="Times New Roman" w:cs="Times New Roman"/>
          <w:sz w:val="24"/>
          <w:szCs w:val="24"/>
        </w:rPr>
        <w:t xml:space="preserve">Funduszu Kolejowym (Dz. U. </w:t>
      </w:r>
      <w:r w:rsidR="00BF2775">
        <w:rPr>
          <w:rFonts w:ascii="Times New Roman" w:hAnsi="Times New Roman" w:cs="Times New Roman"/>
          <w:sz w:val="24"/>
          <w:szCs w:val="24"/>
        </w:rPr>
        <w:br/>
      </w:r>
      <w:r w:rsidRPr="00991CD5">
        <w:rPr>
          <w:rFonts w:ascii="Times New Roman" w:hAnsi="Times New Roman" w:cs="Times New Roman"/>
          <w:sz w:val="24"/>
          <w:szCs w:val="24"/>
        </w:rPr>
        <w:t>z 2015 r., poz. 2115)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1CD5">
        <w:rPr>
          <w:rFonts w:ascii="Times New Roman" w:hAnsi="Times New Roman" w:cs="Times New Roman"/>
          <w:sz w:val="24"/>
          <w:szCs w:val="24"/>
        </w:rPr>
        <w:t xml:space="preserve"> podstawą działania Funduszu Kolejowego jest Plan finansowy Funduszu Kolejowego na dany rok budżetowy. Projekt planu przygotowuje </w:t>
      </w:r>
      <w:r>
        <w:rPr>
          <w:rFonts w:ascii="Times New Roman" w:hAnsi="Times New Roman" w:cs="Times New Roman"/>
          <w:sz w:val="24"/>
          <w:szCs w:val="24"/>
        </w:rPr>
        <w:t>B</w:t>
      </w:r>
      <w:r w:rsidR="002234C5">
        <w:rPr>
          <w:rFonts w:ascii="Times New Roman" w:hAnsi="Times New Roman" w:cs="Times New Roman"/>
          <w:sz w:val="24"/>
          <w:szCs w:val="24"/>
        </w:rPr>
        <w:t xml:space="preserve">ank </w:t>
      </w:r>
      <w:r>
        <w:rPr>
          <w:rFonts w:ascii="Times New Roman" w:hAnsi="Times New Roman" w:cs="Times New Roman"/>
          <w:sz w:val="24"/>
          <w:szCs w:val="24"/>
        </w:rPr>
        <w:t>G</w:t>
      </w:r>
      <w:r w:rsidR="0051130F">
        <w:rPr>
          <w:rFonts w:ascii="Times New Roman" w:hAnsi="Times New Roman" w:cs="Times New Roman"/>
          <w:sz w:val="24"/>
          <w:szCs w:val="24"/>
        </w:rPr>
        <w:t xml:space="preserve">ospodarstwa </w:t>
      </w:r>
      <w:r>
        <w:rPr>
          <w:rFonts w:ascii="Times New Roman" w:hAnsi="Times New Roman" w:cs="Times New Roman"/>
          <w:sz w:val="24"/>
          <w:szCs w:val="24"/>
        </w:rPr>
        <w:t>K</w:t>
      </w:r>
      <w:r w:rsidR="0051130F">
        <w:rPr>
          <w:rFonts w:ascii="Times New Roman" w:hAnsi="Times New Roman" w:cs="Times New Roman"/>
          <w:sz w:val="24"/>
          <w:szCs w:val="24"/>
        </w:rPr>
        <w:t xml:space="preserve">rajowego (BGK) </w:t>
      </w:r>
      <w:r w:rsidRPr="00991CD5">
        <w:rPr>
          <w:rFonts w:ascii="Times New Roman" w:hAnsi="Times New Roman" w:cs="Times New Roman"/>
          <w:sz w:val="24"/>
          <w:szCs w:val="24"/>
        </w:rPr>
        <w:t>i przedstawia do uzgodnienia:</w:t>
      </w:r>
    </w:p>
    <w:p w:rsidR="00942E30" w:rsidRPr="00991CD5" w:rsidRDefault="00942E30" w:rsidP="00942E3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1CD5">
        <w:rPr>
          <w:rFonts w:ascii="Times New Roman" w:hAnsi="Times New Roman" w:cs="Times New Roman"/>
          <w:sz w:val="24"/>
          <w:szCs w:val="24"/>
        </w:rPr>
        <w:t>ministrowi właściwemu do spraw transportu;</w:t>
      </w:r>
    </w:p>
    <w:p w:rsidR="00942E30" w:rsidRPr="00991CD5" w:rsidRDefault="00942E30" w:rsidP="00942E3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1CD5">
        <w:rPr>
          <w:rFonts w:ascii="Times New Roman" w:hAnsi="Times New Roman" w:cs="Times New Roman"/>
          <w:sz w:val="24"/>
          <w:szCs w:val="24"/>
        </w:rPr>
        <w:t>ministrowi właściwemu do spraw rozwoju regionalnego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1CD5">
        <w:rPr>
          <w:rFonts w:ascii="Times New Roman" w:hAnsi="Times New Roman" w:cs="Times New Roman"/>
          <w:sz w:val="24"/>
          <w:szCs w:val="24"/>
        </w:rPr>
        <w:t xml:space="preserve"> w zakresie projektów realizowanych z udziałem środków europejskich;</w:t>
      </w:r>
    </w:p>
    <w:p w:rsidR="00942E30" w:rsidRPr="00991CD5" w:rsidRDefault="00942E30" w:rsidP="00942E3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1CD5">
        <w:rPr>
          <w:rFonts w:ascii="Times New Roman" w:hAnsi="Times New Roman" w:cs="Times New Roman"/>
          <w:sz w:val="24"/>
          <w:szCs w:val="24"/>
        </w:rPr>
        <w:t>ministrowi właściwemu do spraw finansów publicznych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91CD5">
        <w:rPr>
          <w:rFonts w:ascii="Times New Roman" w:hAnsi="Times New Roman" w:cs="Times New Roman"/>
          <w:sz w:val="24"/>
          <w:szCs w:val="24"/>
        </w:rPr>
        <w:t xml:space="preserve"> w zakresie finansowym.</w:t>
      </w:r>
    </w:p>
    <w:p w:rsidR="00942E30" w:rsidRPr="0089604B" w:rsidRDefault="00942E30" w:rsidP="00942E30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991CD5">
        <w:rPr>
          <w:rFonts w:ascii="Times New Roman" w:hAnsi="Times New Roman" w:cs="Times New Roman"/>
          <w:sz w:val="24"/>
          <w:szCs w:val="24"/>
        </w:rPr>
        <w:t>Powyższe zasady przygotowania Planu finansowego Funduszu Kolejowego zostały wprowadzone ustawą z dnia 8 listopada 2013 r. o zmianie ustawy o finansach publicznych oraz niektórych innych ustaw, która w tym zakresie znowelizowała przepisy ustawy o</w:t>
      </w:r>
      <w:r w:rsidR="00960CE2">
        <w:rPr>
          <w:rFonts w:ascii="Times New Roman" w:hAnsi="Times New Roman" w:cs="Times New Roman"/>
          <w:sz w:val="24"/>
          <w:szCs w:val="24"/>
        </w:rPr>
        <w:t> </w:t>
      </w:r>
      <w:r w:rsidRPr="00991CD5">
        <w:rPr>
          <w:rFonts w:ascii="Times New Roman" w:hAnsi="Times New Roman" w:cs="Times New Roman"/>
          <w:sz w:val="24"/>
          <w:szCs w:val="24"/>
        </w:rPr>
        <w:t>Funduszu Kolejowym.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Jednocześnie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przepis art. 12 powyższej ustawy umożliwił przyjęcie przez Radę Ministrów „Programu rzeczowo-finansowego wykorzystania środków Funduszu Kolejowego w latach 2014-2019”, a także jego aktualizację na wniosek ministra właściwego do spraw transportu. Program został przyjęty przez Radę Ministrów uchwałą nr 184/2013 z dnia 15 października 2013 r., a następnie znowelizowany uchwałami Rady Ministrów nr: 96/2014 z dnia 29 maja 2014 r., 157/2014 z dnia 6 sierpnia 2014 r., 244/2014 z dnia 1 grudnia 2014 r. i 127/2015 z dnia 27 lipca 2015 r. oraz 235/2015 z dnia 31 grudnia 2015 roku.</w:t>
      </w:r>
      <w:r w:rsidR="007A2F03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Oznacza to, że w okresie 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obowiązywania „Programu rzeczowo-finansowego wykorzystania środków Funduszu Kolejowego w latach 2014-2019”, limit wydatków z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Funduszu Kolejowego określony jest jednocześnie w następujących dokumentach:</w:t>
      </w:r>
    </w:p>
    <w:p w:rsidR="00942E30" w:rsidRPr="0089604B" w:rsidRDefault="00942E30" w:rsidP="00942E3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uchwałach Rady Ministrów w sprawie zatwierdzenia Programu rzeczowo-finansowego wykorzystania środków Funduszu Kolejowego w latach 2014-2019,</w:t>
      </w:r>
    </w:p>
    <w:p w:rsidR="00942E30" w:rsidRPr="0089604B" w:rsidRDefault="00942E30" w:rsidP="00942E3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programie wieloletnim obejmującym inwestycje na liniach kolejowych, przyjmowanym przez Radę Ministrów również w drodze uchwały;</w:t>
      </w:r>
    </w:p>
    <w:p w:rsidR="00942E30" w:rsidRPr="0089604B" w:rsidRDefault="00942E30" w:rsidP="00942E3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Planie finansowym Funduszu Kolejowego na dany rok budżetowy;</w:t>
      </w:r>
    </w:p>
    <w:p w:rsidR="00942E30" w:rsidRPr="0089604B" w:rsidRDefault="00942E30" w:rsidP="00942E30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szczegółowym planie realizacji programu wieloletniego, uzgadnianym w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analogiczny sposób jak Plan finansowy Funduszu Kolejowego.</w:t>
      </w:r>
    </w:p>
    <w:p w:rsidR="00942E30" w:rsidRDefault="00942E30" w:rsidP="00942E30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Wszystkie powyższe dokumenty muszą być ze sobą zbieżne, co znacząco wydłuża proces uruchomienia środków Funduszu i uniemożliwia jakiekolwiek elastyczne zarządzanie środkami Funduszu Kolejowego z uwagi na odmienny tryb przyjmowania poszczególnych dokumentów. Jest to szczególnie widoczne na początku roku, kiedy przykładowo samorządy województw nie mogą otrzymać niewykorzystanych w poprzednim roku środków, na co zezwala ustawa o Funduszu Kolejowym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 Jednakże b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rak znowelizowanego przez Radę Ministrów Programu rzeczowo-finansowego uniemożliwia przeprowadzenie aktualizacji Planu Finansowego, która jest niezbędna do uruchomienia środków.</w:t>
      </w:r>
    </w:p>
    <w:p w:rsidR="00942E30" w:rsidRPr="0089604B" w:rsidRDefault="00942E30" w:rsidP="008C467D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Mając na uwadze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poniższe przesłanki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:</w:t>
      </w:r>
    </w:p>
    <w:p w:rsidR="00942E30" w:rsidRPr="0089604B" w:rsidRDefault="00942E30" w:rsidP="00942E3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Rada Ministrów ma kontrolę nad łącznym limitem wydatków Funduszu Kolejowego w danym roku, ponieważ planowane wydatki Funduszu są uwzględniane w tzw. stabilizującej regule wydatkowej, na podstawie art. 112aa ustawy z 27 sierpnia 2009 r. o finansach publicznych (Dz. U. z 2013 r. poz. 885,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późn. zm.</w:t>
      </w:r>
      <w:r w:rsidR="002D2D63">
        <w:rPr>
          <w:rStyle w:val="Odwoanieprzypisudolnego"/>
          <w:rFonts w:ascii="Times New Roman" w:eastAsia="Times New Roman" w:hAnsi="Times New Roman"/>
          <w:spacing w:val="4"/>
          <w:sz w:val="24"/>
          <w:szCs w:val="24"/>
          <w:lang w:eastAsia="pl-PL"/>
        </w:rPr>
        <w:footnoteReference w:id="3"/>
      </w:r>
      <w:r w:rsidR="002D2D63">
        <w:rPr>
          <w:rFonts w:ascii="Times New Roman" w:eastAsia="Times New Roman" w:hAnsi="Times New Roman"/>
          <w:spacing w:val="4"/>
          <w:sz w:val="24"/>
          <w:szCs w:val="24"/>
          <w:vertAlign w:val="superscript"/>
          <w:lang w:eastAsia="pl-PL"/>
        </w:rPr>
        <w:t>)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),</w:t>
      </w:r>
    </w:p>
    <w:p w:rsidR="00942E30" w:rsidRPr="0089604B" w:rsidRDefault="00942E30" w:rsidP="00942E3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Rada Ministrów ustaliła w Krajowym Programie Kolejowym do 2023 roku, przyjętym uchwałą nr 162/2015 z 15 września 2015 r., limit wydatków Funduszu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na inwestycje w linie kolejowe,</w:t>
      </w:r>
    </w:p>
    <w:p w:rsidR="00942E30" w:rsidRPr="0089604B" w:rsidRDefault="00942E30" w:rsidP="00942E3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podział wydatków Funduszu w danym roku na inwestycje na liniach kolejowych jest ujęty w szczegółowym planie realizacji programu wieloletniego, który może być również uzupełniony o dodatkowe informacje w zakresie środków Funduszu przezna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czonych na zadania inwestycyjne,</w:t>
      </w:r>
    </w:p>
    <w:p w:rsidR="00942E30" w:rsidRPr="0089604B" w:rsidRDefault="00942E30" w:rsidP="00942E3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przepisy ustawy o Funduszu Kolejowym precyzyjnie opisują mechanizm podziału środków Funduszu na finansowanie lub współfinansowanie przez samorządy województw zadań z zakresu zakupu, modernizacji oraz napraw pojazdów kolejowych przeznaczonych do przewozów pasażerskich wykonywanych na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podstawie umowy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 świadczenie usług publicznych,</w:t>
      </w:r>
    </w:p>
    <w:p w:rsidR="00942E30" w:rsidRPr="0089604B" w:rsidRDefault="00942E30" w:rsidP="00942E3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obecnie procedowany jest projekt programu wieloletniego określającego wieloletnie finansowanie ze środków budżetu państwa i Funduszu Kolejowego infrastruktury kolejowej w zakresie zarządzania nią, w tym utrzymania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i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remontów,</w:t>
      </w:r>
    </w:p>
    <w:p w:rsidR="00942E30" w:rsidRDefault="00942E30" w:rsidP="00942E30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nie jest zasadne powielanie powyższych danych w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„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Programie rzeczowo-finansowym wykorzystania środków Funduszu Kolejowego w latach 2014-2019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”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i utrzymywanie w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mocy art. 12 ustawy z dnia 8 listopada 2013 r. o zmianie ustawy o finansach publicznych oraz niektórych innych ustaw.</w:t>
      </w:r>
    </w:p>
    <w:p w:rsidR="00942E30" w:rsidRDefault="00942E30" w:rsidP="00BA5F0A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Dzięki uchyleniu art. 12 i Programu rzeczowo-finansowego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minister właściwy do spraw transportu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w porozumieniu z ministrem właściwym do spraw finansów publicznych i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ministrem właściwym do spraw rozwoju regionalnego będzie mógł lepiej wykorzystać środki Funduszu Kolejowego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 B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ędą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one w krótszym czasie uruchamiane</w:t>
      </w:r>
      <w:r w:rsidR="00BD101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na</w:t>
      </w:r>
      <w:r w:rsidR="00960CE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dofinansowanie zadań inwestycyjnych PKP PLK SA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Zachowane zostaną przy tym 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limit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y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wydatków Funduszu,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co nastąpi 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dzięki już funkcjonującym mechanizmom kontroli wydatków Funduszu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posiadanym </w:t>
      </w:r>
      <w:r w:rsidRPr="0089604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przez Radę Ministrów w postaci stabilizującej reguły wydatkowej i programów wieloletnich.</w:t>
      </w:r>
    </w:p>
    <w:p w:rsidR="00896F22" w:rsidRPr="00896F22" w:rsidRDefault="00960CE2" w:rsidP="00BA5F0A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Zmiana ustawy o finansach publicznych</w:t>
      </w:r>
      <w:r w:rsidR="00141EAC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 art. 5 </w:t>
      </w:r>
    </w:p>
    <w:p w:rsidR="00B54089" w:rsidRDefault="006A3CC9" w:rsidP="008C467D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Projekt wprowadza zmianę w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u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stawie z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dnia 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27 sierpnia </w:t>
      </w:r>
      <w:r w:rsidR="00C909E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2009 r. o finansach publicznych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</w:t>
      </w:r>
      <w:r w:rsidR="00B540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Zmiana rozszerza zakres delegacji do wydania rozporządzenia przez Radę Ministrów </w:t>
      </w:r>
      <w:r w:rsidR="00C909E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="00B540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 możliwość wskazania przez Radę Ministrów </w:t>
      </w:r>
      <w:r w:rsidR="00142E8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jakie środki pochodzące </w:t>
      </w:r>
      <w:r w:rsidR="00B540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 instrumentu „Łącząc Europę”</w:t>
      </w:r>
      <w:r w:rsidR="00B54089" w:rsidRPr="00B540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B5408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(</w:t>
      </w:r>
      <w:r w:rsidR="00B54089" w:rsidRPr="00190FFD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Connecting Europe Facility</w:t>
      </w:r>
      <w:r w:rsidR="00B540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– </w:t>
      </w:r>
      <w:r w:rsidR="00B54089" w:rsidRPr="003F3F2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CEF</w:t>
      </w:r>
      <w:r w:rsidR="00B5408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)</w:t>
      </w:r>
      <w:r w:rsidR="00142E8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B5408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nie będą zaliczane do środków publicznych.</w:t>
      </w:r>
    </w:p>
    <w:p w:rsidR="006A3CC9" w:rsidRDefault="00B54089" w:rsidP="008C467D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Obecnie </w:t>
      </w:r>
      <w:r w:rsidR="00142E8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wszystkie </w:t>
      </w:r>
      <w:r w:rsidR="006A3CC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środki pochodzące z instrumentu </w:t>
      </w:r>
      <w:r w:rsidR="00142E8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CEF </w:t>
      </w:r>
      <w:r w:rsidR="006A3CC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są zaliczane do środków publicznych. Oznacza to</w:t>
      </w:r>
      <w:r w:rsidR="00190FFD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="006A3CC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że środki te podlegają wszystkim rygorom ustawy o finansach publicznych, w tym w zakresie przepływów finansowych. System przepływów finansowych jest analogiczny</w:t>
      </w:r>
      <w:r w:rsidR="006A3CC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="006A3CC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jak przy funduszach strukturalnych, gdzie zawierana jest umowa o dofinansowanie</w:t>
      </w:r>
      <w:r w:rsidR="006A3CC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="006A3CC9"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a wypłaty dokonywane są w </w:t>
      </w:r>
      <w:r w:rsidR="006A3CC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złotych przez BGK.</w:t>
      </w:r>
    </w:p>
    <w:p w:rsidR="00A400BF" w:rsidRDefault="00A400BF" w:rsidP="00A400BF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Zdaniem projektodawców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system ten nie jest właściwy dla projektów finansowanych z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e środków tzw.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puli ogólnej CEF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, które w wielu przypadkach są 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realizowan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e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wspólnie 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przez kilka podmiotów z różnych państw członkowskich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a</w:t>
      </w:r>
      <w:r w:rsidRPr="00511FB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umowy o dofinansowanie podpisywane są bezpośrednio z Komisją Europejską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W tym przypadku </w:t>
      </w:r>
      <w:r w:rsidRPr="00511FB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przepływ środków finansowych w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 </w:t>
      </w:r>
      <w:r w:rsidRPr="00511FB1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ramach systemu płatności budżetu środków europejskich jest nieuzasadniony.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</w:t>
      </w:r>
      <w:r w:rsidRPr="00633B20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ożądanym rozwiązaniem jest przyznawanie środków bezpośrednio wielonarodowym beneficjentom w EUR.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Dzięki zmianie ustawy Rada Ministrów będzie mogła wyłączyć tę grupę środków z kategorii „środków publicznych” i wskazać system ich wydatkowania.</w:t>
      </w:r>
    </w:p>
    <w:p w:rsidR="00A400BF" w:rsidRDefault="00A400BF" w:rsidP="00307E42">
      <w:pPr>
        <w:spacing w:after="0" w:line="360" w:lineRule="auto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</w:p>
    <w:p w:rsidR="00A400BF" w:rsidRDefault="00E52D71" w:rsidP="00307E42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P</w:t>
      </w:r>
      <w:r w:rsidR="00307E42" w:rsidRPr="00307E42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RZEWIDYWANE SKUTKI WPROWADZENIA REGULACJI </w:t>
      </w:r>
    </w:p>
    <w:p w:rsidR="00A400BF" w:rsidRDefault="00A400BF" w:rsidP="00307E42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</w:p>
    <w:p w:rsidR="00E52D71" w:rsidRPr="00A400BF" w:rsidRDefault="00A400BF" w:rsidP="00A400BF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skutki </w:t>
      </w:r>
      <w:r w:rsidR="007572E3"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społeczno</w:t>
      </w:r>
      <w:r w:rsidR="00E52D71"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 –  gospodarcze</w:t>
      </w:r>
      <w:r w:rsidR="00307E42" w:rsidRP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: </w:t>
      </w:r>
      <w:r w:rsidR="005E53EE" w:rsidRP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8002DE" w:rsidRP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przyspieszenie </w:t>
      </w:r>
      <w:r w:rsidR="005E53EE" w:rsidRPr="00A400BF">
        <w:rPr>
          <w:rFonts w:ascii="Times New Roman" w:hAnsi="Times New Roman"/>
          <w:color w:val="000000"/>
          <w:sz w:val="24"/>
          <w:szCs w:val="24"/>
        </w:rPr>
        <w:t xml:space="preserve">procesu </w:t>
      </w:r>
      <w:r w:rsidR="008002DE" w:rsidRPr="00A400BF">
        <w:rPr>
          <w:rFonts w:ascii="Times New Roman" w:hAnsi="Times New Roman"/>
          <w:color w:val="000000"/>
          <w:sz w:val="24"/>
          <w:szCs w:val="24"/>
        </w:rPr>
        <w:t xml:space="preserve">realizacji </w:t>
      </w:r>
      <w:r w:rsidR="00307E42" w:rsidRPr="00A400BF">
        <w:rPr>
          <w:rFonts w:ascii="Times New Roman" w:hAnsi="Times New Roman"/>
          <w:color w:val="000000"/>
          <w:sz w:val="24"/>
          <w:szCs w:val="24"/>
        </w:rPr>
        <w:t xml:space="preserve">inwestycji kolejowych </w:t>
      </w:r>
      <w:r w:rsidR="008002DE" w:rsidRPr="00A400BF">
        <w:rPr>
          <w:rFonts w:ascii="Times New Roman" w:hAnsi="Times New Roman"/>
          <w:color w:val="000000"/>
          <w:sz w:val="24"/>
          <w:szCs w:val="24"/>
        </w:rPr>
        <w:t xml:space="preserve">oraz uproszczenie </w:t>
      </w:r>
      <w:r w:rsidR="005E53EE" w:rsidRPr="00A400BF">
        <w:rPr>
          <w:rFonts w:ascii="Times New Roman" w:hAnsi="Times New Roman"/>
          <w:color w:val="000000"/>
          <w:sz w:val="24"/>
          <w:szCs w:val="24"/>
        </w:rPr>
        <w:t>wydatkowania środków finansowych</w:t>
      </w:r>
      <w:r w:rsidR="00307E42" w:rsidRPr="00A400BF">
        <w:rPr>
          <w:rFonts w:ascii="Times New Roman" w:hAnsi="Times New Roman"/>
          <w:color w:val="000000"/>
          <w:sz w:val="24"/>
          <w:szCs w:val="24"/>
        </w:rPr>
        <w:t>.</w:t>
      </w:r>
    </w:p>
    <w:p w:rsidR="00307E42" w:rsidRDefault="002E54A3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Głównym skutkiem o charakterze społeczno – gospodarczym wynikającym </w:t>
      </w:r>
      <w:r w:rsidR="005E53EE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 wprowadzenia projektowanej regulacji </w:t>
      </w:r>
      <w:r w:rsidR="005E53EE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będzie możliwość sprawnej realizacji</w:t>
      </w:r>
      <w:r w:rsidR="00EC650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 programu inwestycyjnego ujętego w </w:t>
      </w:r>
      <w:r w:rsidR="005E53EE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EC6507">
        <w:rPr>
          <w:rFonts w:ascii="Times New Roman" w:eastAsia="Times New Roman" w:hAnsi="Times New Roman"/>
          <w:i/>
          <w:spacing w:val="4"/>
          <w:sz w:val="24"/>
          <w:szCs w:val="24"/>
          <w:lang w:eastAsia="pl-PL"/>
        </w:rPr>
        <w:t>Krajowym Programie Kolejowym</w:t>
      </w:r>
      <w:r w:rsidR="00EC6507" w:rsidRPr="006937D9">
        <w:rPr>
          <w:rFonts w:ascii="Times New Roman" w:eastAsia="Times New Roman" w:hAnsi="Times New Roman"/>
          <w:i/>
          <w:spacing w:val="4"/>
          <w:sz w:val="24"/>
          <w:szCs w:val="24"/>
          <w:lang w:eastAsia="pl-PL"/>
        </w:rPr>
        <w:t xml:space="preserve"> do </w:t>
      </w:r>
      <w:r w:rsidR="00B7325E" w:rsidRPr="006937D9">
        <w:rPr>
          <w:rFonts w:ascii="Times New Roman" w:eastAsia="Times New Roman" w:hAnsi="Times New Roman"/>
          <w:i/>
          <w:spacing w:val="4"/>
          <w:sz w:val="24"/>
          <w:szCs w:val="24"/>
          <w:lang w:eastAsia="pl-PL"/>
        </w:rPr>
        <w:t>2023</w:t>
      </w:r>
      <w:r w:rsidR="00B7325E">
        <w:rPr>
          <w:rFonts w:ascii="Times New Roman" w:eastAsia="Times New Roman" w:hAnsi="Times New Roman"/>
          <w:i/>
          <w:spacing w:val="4"/>
          <w:sz w:val="24"/>
          <w:szCs w:val="24"/>
          <w:lang w:eastAsia="pl-PL"/>
        </w:rPr>
        <w:t xml:space="preserve"> </w:t>
      </w:r>
      <w:r w:rsidR="00EC6507" w:rsidRPr="006937D9">
        <w:rPr>
          <w:rFonts w:ascii="Times New Roman" w:eastAsia="Times New Roman" w:hAnsi="Times New Roman"/>
          <w:i/>
          <w:spacing w:val="4"/>
          <w:sz w:val="24"/>
          <w:szCs w:val="24"/>
          <w:lang w:eastAsia="pl-PL"/>
        </w:rPr>
        <w:t>roku</w:t>
      </w:r>
      <w:r w:rsidR="00EC650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Na podstawie omawianego dokumentu planowane jest wydatkowanie na kolejowe inwestycje infrastrukturalne kwoty </w:t>
      </w:r>
      <w:r w:rsidR="00EC6507" w:rsidRPr="004B53AB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67,5 mld PLN</w:t>
      </w:r>
      <w:r w:rsidR="00EC650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 Dotyczy to perspektywy finansowej UE 2014 – 2020</w:t>
      </w:r>
      <w:r w:rsidR="00AF0EE6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</w:t>
      </w:r>
      <w:r w:rsidR="00B7325E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Stworzone ramy prawne umożliwią poprawę sytuacji społeczno – gospodarczej</w:t>
      </w:r>
      <w:r w:rsidR="00415BE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. </w:t>
      </w:r>
      <w:r w:rsidR="00E96A5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Wydatkowanie środków finansowych przeznaczonych na modernizację infrastruktury kolejowej umożliwi zwiększenia spójności społecznej i terytorialnej poszczególnych regionów Polski. Poprawa stanu infrastruktury kolejowej doprowadzi do zwiększenia konkurencyjności transportu kolejowego. Pozwoli to także na ograniczenie zewnętrznych kosztów </w:t>
      </w:r>
      <w:r w:rsidR="009A5B3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generowanych przez sektor </w:t>
      </w:r>
      <w:r w:rsidR="00E96A5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transportu</w:t>
      </w:r>
      <w:r w:rsidR="009A5B3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, ponieważ zakładane jest przeniesienie potoków pasażerów i towarów na bardziej ekologiczny i bezpieczny transport kolejowy. </w:t>
      </w:r>
    </w:p>
    <w:p w:rsidR="00E52D71" w:rsidRDefault="00E96A57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B7325E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EC6507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</w:p>
    <w:p w:rsidR="00E52D71" w:rsidRPr="00A400BF" w:rsidRDefault="00307E42" w:rsidP="00A400B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f</w:t>
      </w:r>
      <w:r w:rsidR="00E52D71"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inansowe</w:t>
      </w:r>
      <w:r w:rsidRP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: wejście w życie projektowanej regulacji nie będzie bezpośrednio powodować konieczności poniesienia wydatków z budżetu państwa ani budżetu jednostek samorządu terytorialnego.</w:t>
      </w:r>
    </w:p>
    <w:p w:rsidR="00307E42" w:rsidRDefault="00307E42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Przedkładana regulacja nie nakłada ani na jednostki samorządu terytorialnego</w:t>
      </w:r>
      <w:r w:rsidR="009A7C83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ani na budżet państwa dodatkowych zobowiązań finansowych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.</w:t>
      </w:r>
    </w:p>
    <w:p w:rsidR="00A400BF" w:rsidRDefault="00A400BF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</w:p>
    <w:p w:rsidR="00E52D71" w:rsidRPr="00A400BF" w:rsidRDefault="00E52D71" w:rsidP="00A400BF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prawne</w:t>
      </w:r>
      <w:r w:rsidR="005E53EE" w:rsidRP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:</w:t>
      </w:r>
      <w:r w:rsidRP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 w:rsidR="002E54A3" w:rsidRPr="00A400BF">
        <w:rPr>
          <w:rFonts w:ascii="Times New Roman" w:hAnsi="Times New Roman"/>
          <w:color w:val="000000"/>
          <w:sz w:val="24"/>
          <w:szCs w:val="24"/>
        </w:rPr>
        <w:t xml:space="preserve">przyspieszenie </w:t>
      </w:r>
      <w:r w:rsidR="005E53EE" w:rsidRPr="00A400BF">
        <w:rPr>
          <w:rFonts w:ascii="Times New Roman" w:hAnsi="Times New Roman"/>
          <w:color w:val="000000"/>
          <w:sz w:val="24"/>
          <w:szCs w:val="24"/>
        </w:rPr>
        <w:t>procedur</w:t>
      </w:r>
      <w:r w:rsidR="002E54A3" w:rsidRPr="00A400BF">
        <w:rPr>
          <w:rFonts w:ascii="Times New Roman" w:hAnsi="Times New Roman"/>
          <w:color w:val="000000"/>
          <w:sz w:val="24"/>
          <w:szCs w:val="24"/>
        </w:rPr>
        <w:t xml:space="preserve"> związanych z przygotowaniem oraz wykonywaniem kolejowych inwestycji infrastrukturalnych.</w:t>
      </w:r>
    </w:p>
    <w:p w:rsidR="00E52D71" w:rsidRPr="00307E42" w:rsidRDefault="00526D8B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Projekt przewiduje zmiany </w:t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ustawie o transporcie kolejowym, obejmujące: 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nowe obowiązki nabywców i zbywców nieruchomości, których zobowiązano do zgłoszenia właściwemu wojewodzie danych nowego właściciela lub użytkownika wieczystego nieruchomości objętej wnioskiem o wydanie decyzji o ustaleniu lokalizac</w:t>
      </w:r>
      <w:r w:rsid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ji linii kolejowej w terminie 7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dni od dnia zbycia,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możliwość zawieszenia postępowań w sprawie wydania decyzji o pozwoleniu na budowę dla </w:t>
      </w:r>
      <w:r w:rsid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innych 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inwestycji </w:t>
      </w:r>
      <w:r w:rsid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planowanych do realizacji na terenie objętym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wnioskiem o wydanie decyzji o ustaleniu lokalizacji linii kolejowej,</w:t>
      </w:r>
    </w:p>
    <w:p w:rsidR="00E52D71" w:rsidRPr="00307E42" w:rsidRDefault="00A400BF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0A505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określenie ram czasowych uzgodnień związanych z usunięciem występujących kolizji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 gestorami sieci uzbrojenia terenu</w:t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</w:p>
    <w:p w:rsidR="00E52D71" w:rsidRPr="00307E42" w:rsidRDefault="00A400BF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zasady zmiany ostatecznych decyzji lokalizacyjnych</w:t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,</w:t>
      </w:r>
    </w:p>
    <w:p w:rsidR="00A400BF" w:rsidRDefault="00405724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określenie trybów</w:t>
      </w:r>
      <w:r w:rsid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doręcz</w:t>
      </w: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eń pism i decyzji w postępowaniach odwoławczych i nadzwyczajnych</w:t>
      </w:r>
      <w:r w:rsid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dot.  decyzji lokalizacyjnej, 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eliminację wątpliwości interpretacyjnych w zakresie ustanowienia prawa użytkowania wieczystego dotyczącego również gruntów stanowiących własność Skarbu Państwa przed wydaniem decyzji lokalizacyjnej,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możliwość zrzeczenia się prawa do odszkod</w:t>
      </w:r>
      <w:r w:rsidR="00462E8C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owania przez </w:t>
      </w:r>
      <w:r w:rsidR="000154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Skarb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Państwa </w:t>
      </w:r>
      <w:r w:rsidR="000154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lub</w:t>
      </w: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jednostki samorządu terytorialnego,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pozwolenie na użytkowanie dla jednego toru bez wykonania wszystkich urządzeń służących ochronie środowiska,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eksploatacja tymczasowa podsystemu strukturalnego przez zarządcę w okresie przed uzyskaniem zezwolenia na dopuszczenie do eksploatacji,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programowanie wieloletnie mające na celu uelastycznienie procesu aktualizacji programu wieloletniego obejmującego inwestycje na liniach kolejowych,</w:t>
      </w:r>
    </w:p>
    <w:p w:rsidR="00E52D71" w:rsidRPr="00307E42" w:rsidRDefault="00E52D71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ograniczenie zakazu </w:t>
      </w:r>
      <w:r w:rsidR="00A400BF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zadrzewiania. </w:t>
      </w:r>
    </w:p>
    <w:p w:rsidR="00E52D71" w:rsidRPr="00307E42" w:rsidRDefault="00415BEA" w:rsidP="00307E42">
      <w:p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Dodatkowo, przewidywane są następujące zmiany w pozostałych przepisach:</w:t>
      </w:r>
    </w:p>
    <w:p w:rsidR="00E52D71" w:rsidRPr="00307E42" w:rsidRDefault="008F7829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F782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zmian</w:t>
      </w:r>
      <w:r w:rsidR="00415BE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a</w:t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ustawy o zmianie ustawy o finansach publicznych oraz niektórych innych ustaw: uelastycznione zostanie zarządzanie środkami Funduszu Kolejowego </w:t>
      </w:r>
      <w:r w:rsidR="00415BE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br/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i odbiurokratyzowany zostanie proces ustalania rocznego limitu wydatków Funduszu na dany rok budżetowy, bez uszczerbku dla kontroli przez Radę Ministrów wieloletniego limitu wydatków Funduszu,</w:t>
      </w:r>
    </w:p>
    <w:p w:rsidR="00E52D71" w:rsidRPr="00307E42" w:rsidRDefault="008F7829" w:rsidP="00307E42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8F7829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zmian</w:t>
      </w:r>
      <w:r w:rsidR="00415BEA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>a</w:t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 ustawy o finansach publicznych: rozszerzające zakres delegacji do wydania rozporządzenia przez Radę Ministrów o możliwość wskazania przez Radę </w:t>
      </w:r>
      <w:r w:rsidR="00E52D71"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lastRenderedPageBreak/>
        <w:t>Ministrów jakie środki pochodzące z instrumentu „Łącząc Europę” (Connecting Europe Facility – CEF) nie będą zaliczane do środków publicznych.</w:t>
      </w:r>
    </w:p>
    <w:p w:rsidR="00E52D71" w:rsidRDefault="00E52D71" w:rsidP="00A400BF">
      <w:pPr>
        <w:spacing w:before="120" w:after="120" w:line="360" w:lineRule="auto"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  <w:r w:rsidRPr="00307E42">
        <w:rPr>
          <w:rFonts w:ascii="Times New Roman" w:eastAsia="Times New Roman" w:hAnsi="Times New Roman"/>
          <w:spacing w:val="4"/>
          <w:sz w:val="24"/>
          <w:szCs w:val="24"/>
          <w:lang w:eastAsia="pl-PL"/>
        </w:rPr>
        <w:t xml:space="preserve">W efekcie planowanych zmian przewidywane jest usprawnienie realizacji procesu przygotowania i realizacji inwestycji podejmowanych przez zarządców infrastruktury kolejowej, w tym szczególnie PKP PLK SA. </w:t>
      </w:r>
    </w:p>
    <w:p w:rsidR="00A400BF" w:rsidRDefault="00A400BF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</w:p>
    <w:p w:rsidR="00E52D71" w:rsidRPr="00A400BF" w:rsidRDefault="00E52D71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Projektowana ustawa nie zawiera przepisów technicznych, w związku z tym nie podlega notyfikacji w rozumieniu przepisów rozporządzenia Rady Ministrów z dnia 23 grudnia 2002 r. w sprawie sposobu funkcjonowania krajowego systemu notyfikacji norm i aktów prawn</w:t>
      </w:r>
      <w:r w:rsidR="0042245D"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 xml:space="preserve">ych (Dz. U. Nr 239, poz. 2039, </w:t>
      </w:r>
      <w:r w:rsidRPr="00A400BF"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z późn. zm.).</w:t>
      </w:r>
    </w:p>
    <w:p w:rsidR="00E52D71" w:rsidRPr="00307E42" w:rsidRDefault="00E52D71" w:rsidP="00307E42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</w:p>
    <w:p w:rsidR="00E52D71" w:rsidRPr="00307E42" w:rsidRDefault="00A400BF" w:rsidP="00307E42">
      <w:pPr>
        <w:spacing w:after="0" w:line="360" w:lineRule="auto"/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pacing w:val="4"/>
          <w:sz w:val="24"/>
          <w:szCs w:val="24"/>
          <w:lang w:eastAsia="pl-PL"/>
        </w:rPr>
        <w:t>ZGODNOŚĆ Z PRAWEM UNII EUROPEJSKIEJ</w:t>
      </w:r>
    </w:p>
    <w:p w:rsidR="00ED1B3D" w:rsidRDefault="00ED1B3D" w:rsidP="00ED1B3D">
      <w:pPr>
        <w:pStyle w:val="doc-ti"/>
        <w:spacing w:before="120" w:beforeAutospacing="0" w:after="120" w:afterAutospacing="0" w:line="360" w:lineRule="auto"/>
        <w:jc w:val="both"/>
        <w:rPr>
          <w:rFonts w:cstheme="minorBidi"/>
          <w:spacing w:val="4"/>
        </w:rPr>
      </w:pPr>
      <w:r>
        <w:rPr>
          <w:rFonts w:cstheme="minorBidi"/>
          <w:spacing w:val="4"/>
        </w:rPr>
        <w:t>Projektowana regulacja nie jest sprzec</w:t>
      </w:r>
      <w:r w:rsidR="00FA26BF">
        <w:rPr>
          <w:rFonts w:cstheme="minorBidi"/>
          <w:spacing w:val="4"/>
        </w:rPr>
        <w:t>zna z prawem Unii Europejskiej.</w:t>
      </w:r>
    </w:p>
    <w:p w:rsidR="008A3F04" w:rsidRDefault="008A3F04" w:rsidP="00142E8A">
      <w:pPr>
        <w:spacing w:after="0" w:line="360" w:lineRule="auto"/>
        <w:contextualSpacing/>
        <w:jc w:val="both"/>
        <w:rPr>
          <w:rFonts w:ascii="Times New Roman" w:eastAsia="Times New Roman" w:hAnsi="Times New Roman"/>
          <w:spacing w:val="4"/>
          <w:sz w:val="24"/>
          <w:szCs w:val="24"/>
          <w:lang w:eastAsia="pl-PL"/>
        </w:rPr>
      </w:pPr>
    </w:p>
    <w:sectPr w:rsidR="008A3F04" w:rsidSect="00BD29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531" w:rsidRDefault="00063531" w:rsidP="00942E30">
      <w:pPr>
        <w:spacing w:after="0" w:line="240" w:lineRule="auto"/>
      </w:pPr>
      <w:r>
        <w:separator/>
      </w:r>
    </w:p>
  </w:endnote>
  <w:endnote w:type="continuationSeparator" w:id="0">
    <w:p w:rsidR="00063531" w:rsidRDefault="00063531" w:rsidP="00942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517"/>
      <w:docPartObj>
        <w:docPartGallery w:val="Page Numbers (Bottom of Page)"/>
        <w:docPartUnique/>
      </w:docPartObj>
    </w:sdtPr>
    <w:sdtEndPr/>
    <w:sdtContent>
      <w:p w:rsidR="00063531" w:rsidRDefault="00562E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58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63531" w:rsidRDefault="0006353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531" w:rsidRDefault="00063531" w:rsidP="00942E30">
      <w:pPr>
        <w:spacing w:after="0" w:line="240" w:lineRule="auto"/>
      </w:pPr>
      <w:r>
        <w:separator/>
      </w:r>
    </w:p>
  </w:footnote>
  <w:footnote w:type="continuationSeparator" w:id="0">
    <w:p w:rsidR="00063531" w:rsidRDefault="00063531" w:rsidP="00942E30">
      <w:pPr>
        <w:spacing w:after="0" w:line="240" w:lineRule="auto"/>
      </w:pPr>
      <w:r>
        <w:continuationSeparator/>
      </w:r>
    </w:p>
  </w:footnote>
  <w:footnote w:id="1">
    <w:p w:rsidR="00063531" w:rsidRDefault="0006353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ustawy zostały ogłoszone w Dz. U. z 2015 r. poz. 978, 1741, 1753, 1777 i 1893.</w:t>
      </w:r>
    </w:p>
  </w:footnote>
  <w:footnote w:id="2">
    <w:p w:rsidR="00063531" w:rsidRPr="0019738C" w:rsidRDefault="00063531" w:rsidP="0068729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7141F5">
        <w:t>Zmiany tekstu jednolitego ustawy zostały ogłoszone w Dz. U. z 2015 r., poz. 349, 1240, 1358 i 1890.</w:t>
      </w:r>
    </w:p>
    <w:p w:rsidR="00063531" w:rsidRDefault="00063531">
      <w:pPr>
        <w:pStyle w:val="Tekstprzypisudolnego"/>
      </w:pPr>
    </w:p>
  </w:footnote>
  <w:footnote w:id="3">
    <w:p w:rsidR="00063531" w:rsidRDefault="00063531" w:rsidP="002D2D6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ustawy zostały ogłoszone w Dz. U. z 2013 r., poz. 938 i 1646, z 2014 r., poz. 379, 911, 1146, 1626 i 1877, z 2015 r., poz. 532, 238, 1117, 1130, 1190, 1358, 1513, 1854, 2150, 1045, 1189, 1269, 1830 i 1890. </w:t>
      </w:r>
    </w:p>
    <w:p w:rsidR="00063531" w:rsidRDefault="00063531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472E"/>
    <w:multiLevelType w:val="hybridMultilevel"/>
    <w:tmpl w:val="C28ADC94"/>
    <w:lvl w:ilvl="0" w:tplc="B5DA171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EF3789"/>
    <w:multiLevelType w:val="hybridMultilevel"/>
    <w:tmpl w:val="4FB41020"/>
    <w:lvl w:ilvl="0" w:tplc="4CA49154">
      <w:start w:val="1"/>
      <w:numFmt w:val="decimal"/>
      <w:lvlText w:val="%1)"/>
      <w:lvlJc w:val="left"/>
      <w:pPr>
        <w:ind w:left="1065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63ED0"/>
    <w:multiLevelType w:val="hybridMultilevel"/>
    <w:tmpl w:val="C4CEAFD8"/>
    <w:lvl w:ilvl="0" w:tplc="841A45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45C03"/>
    <w:multiLevelType w:val="hybridMultilevel"/>
    <w:tmpl w:val="469C6584"/>
    <w:lvl w:ilvl="0" w:tplc="B054133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F07218"/>
    <w:multiLevelType w:val="hybridMultilevel"/>
    <w:tmpl w:val="8488C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C0F91"/>
    <w:multiLevelType w:val="hybridMultilevel"/>
    <w:tmpl w:val="E47CE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3B5109"/>
    <w:multiLevelType w:val="hybridMultilevel"/>
    <w:tmpl w:val="35A084BA"/>
    <w:lvl w:ilvl="0" w:tplc="E1D2CAE6">
      <w:start w:val="1"/>
      <w:numFmt w:val="lowerLetter"/>
      <w:lvlText w:val="%1)"/>
      <w:lvlJc w:val="left"/>
      <w:pPr>
        <w:ind w:left="19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C5D53"/>
    <w:multiLevelType w:val="hybridMultilevel"/>
    <w:tmpl w:val="0E7CE650"/>
    <w:lvl w:ilvl="0" w:tplc="04150017">
      <w:start w:val="1"/>
      <w:numFmt w:val="lowerLetter"/>
      <w:lvlText w:val="%1)"/>
      <w:lvlJc w:val="left"/>
      <w:pPr>
        <w:ind w:left="1995" w:hanging="360"/>
      </w:pPr>
    </w:lvl>
    <w:lvl w:ilvl="1" w:tplc="04150019" w:tentative="1">
      <w:start w:val="1"/>
      <w:numFmt w:val="lowerLetter"/>
      <w:lvlText w:val="%2."/>
      <w:lvlJc w:val="left"/>
      <w:pPr>
        <w:ind w:left="2715" w:hanging="360"/>
      </w:pPr>
    </w:lvl>
    <w:lvl w:ilvl="2" w:tplc="0415001B" w:tentative="1">
      <w:start w:val="1"/>
      <w:numFmt w:val="lowerRoman"/>
      <w:lvlText w:val="%3."/>
      <w:lvlJc w:val="right"/>
      <w:pPr>
        <w:ind w:left="3435" w:hanging="180"/>
      </w:pPr>
    </w:lvl>
    <w:lvl w:ilvl="3" w:tplc="0415000F" w:tentative="1">
      <w:start w:val="1"/>
      <w:numFmt w:val="decimal"/>
      <w:lvlText w:val="%4."/>
      <w:lvlJc w:val="left"/>
      <w:pPr>
        <w:ind w:left="4155" w:hanging="360"/>
      </w:pPr>
    </w:lvl>
    <w:lvl w:ilvl="4" w:tplc="04150019" w:tentative="1">
      <w:start w:val="1"/>
      <w:numFmt w:val="lowerLetter"/>
      <w:lvlText w:val="%5."/>
      <w:lvlJc w:val="left"/>
      <w:pPr>
        <w:ind w:left="4875" w:hanging="360"/>
      </w:pPr>
    </w:lvl>
    <w:lvl w:ilvl="5" w:tplc="0415001B" w:tentative="1">
      <w:start w:val="1"/>
      <w:numFmt w:val="lowerRoman"/>
      <w:lvlText w:val="%6."/>
      <w:lvlJc w:val="right"/>
      <w:pPr>
        <w:ind w:left="5595" w:hanging="180"/>
      </w:pPr>
    </w:lvl>
    <w:lvl w:ilvl="6" w:tplc="0415000F" w:tentative="1">
      <w:start w:val="1"/>
      <w:numFmt w:val="decimal"/>
      <w:lvlText w:val="%7."/>
      <w:lvlJc w:val="left"/>
      <w:pPr>
        <w:ind w:left="6315" w:hanging="360"/>
      </w:pPr>
    </w:lvl>
    <w:lvl w:ilvl="7" w:tplc="04150019" w:tentative="1">
      <w:start w:val="1"/>
      <w:numFmt w:val="lowerLetter"/>
      <w:lvlText w:val="%8."/>
      <w:lvlJc w:val="left"/>
      <w:pPr>
        <w:ind w:left="7035" w:hanging="360"/>
      </w:pPr>
    </w:lvl>
    <w:lvl w:ilvl="8" w:tplc="0415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8">
    <w:nsid w:val="6FA560ED"/>
    <w:multiLevelType w:val="hybridMultilevel"/>
    <w:tmpl w:val="5914AC0E"/>
    <w:lvl w:ilvl="0" w:tplc="8752F186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C0FDA"/>
    <w:multiLevelType w:val="hybridMultilevel"/>
    <w:tmpl w:val="BBF402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7442D"/>
    <w:multiLevelType w:val="hybridMultilevel"/>
    <w:tmpl w:val="72327852"/>
    <w:lvl w:ilvl="0" w:tplc="8752F186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F32802"/>
    <w:multiLevelType w:val="hybridMultilevel"/>
    <w:tmpl w:val="16D8A802"/>
    <w:lvl w:ilvl="0" w:tplc="4CA49154">
      <w:start w:val="1"/>
      <w:numFmt w:val="decimal"/>
      <w:lvlText w:val="%1)"/>
      <w:lvlJc w:val="left"/>
      <w:pPr>
        <w:ind w:left="1065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6D5ED1"/>
    <w:multiLevelType w:val="hybridMultilevel"/>
    <w:tmpl w:val="67F6D9C6"/>
    <w:lvl w:ilvl="0" w:tplc="841A45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A61E31"/>
    <w:multiLevelType w:val="hybridMultilevel"/>
    <w:tmpl w:val="D69EFDD4"/>
    <w:lvl w:ilvl="0" w:tplc="B0541332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1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  <w:num w:numId="11">
    <w:abstractNumId w:val="10"/>
  </w:num>
  <w:num w:numId="12">
    <w:abstractNumId w:val="13"/>
  </w:num>
  <w:num w:numId="13">
    <w:abstractNumId w:val="3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E30"/>
    <w:rsid w:val="00010EA0"/>
    <w:rsid w:val="000118BF"/>
    <w:rsid w:val="000145BA"/>
    <w:rsid w:val="00015442"/>
    <w:rsid w:val="00015804"/>
    <w:rsid w:val="0005523F"/>
    <w:rsid w:val="00063531"/>
    <w:rsid w:val="00085E1A"/>
    <w:rsid w:val="000942C6"/>
    <w:rsid w:val="000A2C91"/>
    <w:rsid w:val="000A5059"/>
    <w:rsid w:val="000B3DCB"/>
    <w:rsid w:val="00106CB8"/>
    <w:rsid w:val="00110F15"/>
    <w:rsid w:val="00126DF2"/>
    <w:rsid w:val="00141EAC"/>
    <w:rsid w:val="00142E8A"/>
    <w:rsid w:val="00156AC2"/>
    <w:rsid w:val="00162D6F"/>
    <w:rsid w:val="00190FFD"/>
    <w:rsid w:val="001A1E3E"/>
    <w:rsid w:val="001A3325"/>
    <w:rsid w:val="001C5C80"/>
    <w:rsid w:val="002206DB"/>
    <w:rsid w:val="002234C5"/>
    <w:rsid w:val="00243FC0"/>
    <w:rsid w:val="002913DF"/>
    <w:rsid w:val="002A5CF5"/>
    <w:rsid w:val="002D2D63"/>
    <w:rsid w:val="002D391D"/>
    <w:rsid w:val="002E54A3"/>
    <w:rsid w:val="00307E42"/>
    <w:rsid w:val="003138BA"/>
    <w:rsid w:val="00322351"/>
    <w:rsid w:val="00376D50"/>
    <w:rsid w:val="003C2323"/>
    <w:rsid w:val="003F38FD"/>
    <w:rsid w:val="00405724"/>
    <w:rsid w:val="00415BEA"/>
    <w:rsid w:val="0042245D"/>
    <w:rsid w:val="00462E8C"/>
    <w:rsid w:val="004C141E"/>
    <w:rsid w:val="004C5B9F"/>
    <w:rsid w:val="004E10BC"/>
    <w:rsid w:val="004E1784"/>
    <w:rsid w:val="0051130F"/>
    <w:rsid w:val="00511FB1"/>
    <w:rsid w:val="0051673C"/>
    <w:rsid w:val="00526D8B"/>
    <w:rsid w:val="00562ED0"/>
    <w:rsid w:val="00593FC9"/>
    <w:rsid w:val="00595ACB"/>
    <w:rsid w:val="005B7FA1"/>
    <w:rsid w:val="005E53EE"/>
    <w:rsid w:val="005E5778"/>
    <w:rsid w:val="005E69B3"/>
    <w:rsid w:val="005F4A77"/>
    <w:rsid w:val="0061604E"/>
    <w:rsid w:val="006320A6"/>
    <w:rsid w:val="00644CB2"/>
    <w:rsid w:val="00651B89"/>
    <w:rsid w:val="006618FE"/>
    <w:rsid w:val="00664E19"/>
    <w:rsid w:val="0067407B"/>
    <w:rsid w:val="00687296"/>
    <w:rsid w:val="006A3CC9"/>
    <w:rsid w:val="006D60C6"/>
    <w:rsid w:val="007311C7"/>
    <w:rsid w:val="007572E3"/>
    <w:rsid w:val="00766D3A"/>
    <w:rsid w:val="007A2F03"/>
    <w:rsid w:val="007E3752"/>
    <w:rsid w:val="008002DE"/>
    <w:rsid w:val="00810A6A"/>
    <w:rsid w:val="008118A8"/>
    <w:rsid w:val="0081261D"/>
    <w:rsid w:val="00842993"/>
    <w:rsid w:val="00865BFB"/>
    <w:rsid w:val="008677D1"/>
    <w:rsid w:val="00867B99"/>
    <w:rsid w:val="00896F22"/>
    <w:rsid w:val="008A3F04"/>
    <w:rsid w:val="008B2502"/>
    <w:rsid w:val="008C467D"/>
    <w:rsid w:val="008C7834"/>
    <w:rsid w:val="008F1363"/>
    <w:rsid w:val="008F7829"/>
    <w:rsid w:val="00907A37"/>
    <w:rsid w:val="00910FB1"/>
    <w:rsid w:val="009314A0"/>
    <w:rsid w:val="00942E30"/>
    <w:rsid w:val="00953BF8"/>
    <w:rsid w:val="009541FB"/>
    <w:rsid w:val="00956876"/>
    <w:rsid w:val="00960CE2"/>
    <w:rsid w:val="00965111"/>
    <w:rsid w:val="009A3BF9"/>
    <w:rsid w:val="009A5B39"/>
    <w:rsid w:val="009A7C83"/>
    <w:rsid w:val="009C2CD3"/>
    <w:rsid w:val="009E5EE0"/>
    <w:rsid w:val="00A07C47"/>
    <w:rsid w:val="00A20E00"/>
    <w:rsid w:val="00A400BF"/>
    <w:rsid w:val="00AA1C47"/>
    <w:rsid w:val="00AD31A3"/>
    <w:rsid w:val="00AE6C17"/>
    <w:rsid w:val="00AF0EE6"/>
    <w:rsid w:val="00AF1B61"/>
    <w:rsid w:val="00B54089"/>
    <w:rsid w:val="00B65FF6"/>
    <w:rsid w:val="00B7325E"/>
    <w:rsid w:val="00BA20ED"/>
    <w:rsid w:val="00BA5F0A"/>
    <w:rsid w:val="00BD101A"/>
    <w:rsid w:val="00BD2996"/>
    <w:rsid w:val="00BE6429"/>
    <w:rsid w:val="00BF2775"/>
    <w:rsid w:val="00C0696F"/>
    <w:rsid w:val="00C11AC3"/>
    <w:rsid w:val="00C203F6"/>
    <w:rsid w:val="00C2621B"/>
    <w:rsid w:val="00C57AED"/>
    <w:rsid w:val="00C66988"/>
    <w:rsid w:val="00C76B91"/>
    <w:rsid w:val="00C9091C"/>
    <w:rsid w:val="00C909EB"/>
    <w:rsid w:val="00C93121"/>
    <w:rsid w:val="00CB684E"/>
    <w:rsid w:val="00CE4DE5"/>
    <w:rsid w:val="00D32D11"/>
    <w:rsid w:val="00D51298"/>
    <w:rsid w:val="00D524D4"/>
    <w:rsid w:val="00D56489"/>
    <w:rsid w:val="00E15337"/>
    <w:rsid w:val="00E52D71"/>
    <w:rsid w:val="00E64160"/>
    <w:rsid w:val="00E9412A"/>
    <w:rsid w:val="00E96A57"/>
    <w:rsid w:val="00EC6507"/>
    <w:rsid w:val="00ED1B3D"/>
    <w:rsid w:val="00F07544"/>
    <w:rsid w:val="00F25F20"/>
    <w:rsid w:val="00F50C59"/>
    <w:rsid w:val="00FA26BF"/>
    <w:rsid w:val="00FE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2E30"/>
    <w:pPr>
      <w:spacing w:after="20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4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2E30"/>
  </w:style>
  <w:style w:type="character" w:styleId="Odwoanieprzypisudolnego">
    <w:name w:val="footnote reference"/>
    <w:aliases w:val="Footnote Reference Number"/>
    <w:basedOn w:val="Domylnaczcionkaakapitu"/>
    <w:uiPriority w:val="99"/>
    <w:rsid w:val="00942E3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942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42E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42E3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st">
    <w:name w:val="st"/>
    <w:basedOn w:val="Domylnaczcionkaakapitu"/>
    <w:rsid w:val="00910FB1"/>
  </w:style>
  <w:style w:type="character" w:styleId="Uwydatnienie">
    <w:name w:val="Emphasis"/>
    <w:basedOn w:val="Domylnaczcionkaakapitu"/>
    <w:uiPriority w:val="20"/>
    <w:qFormat/>
    <w:rsid w:val="00910FB1"/>
    <w:rPr>
      <w:i/>
      <w:iCs/>
    </w:rPr>
  </w:style>
  <w:style w:type="character" w:customStyle="1" w:styleId="luchili">
    <w:name w:val="luc_hili"/>
    <w:basedOn w:val="Domylnaczcionkaakapitu"/>
    <w:rsid w:val="00810A6A"/>
  </w:style>
  <w:style w:type="paragraph" w:styleId="Nagwek">
    <w:name w:val="header"/>
    <w:basedOn w:val="Normalny"/>
    <w:link w:val="NagwekZnak"/>
    <w:uiPriority w:val="99"/>
    <w:unhideWhenUsed/>
    <w:rsid w:val="00BA2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20ED"/>
  </w:style>
  <w:style w:type="paragraph" w:styleId="Tekstdymka">
    <w:name w:val="Balloon Text"/>
    <w:basedOn w:val="Normalny"/>
    <w:link w:val="TekstdymkaZnak"/>
    <w:uiPriority w:val="99"/>
    <w:semiHidden/>
    <w:unhideWhenUsed/>
    <w:rsid w:val="00BA2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0ED"/>
    <w:rPr>
      <w:rFonts w:ascii="Tahoma" w:hAnsi="Tahoma" w:cs="Tahoma"/>
      <w:sz w:val="16"/>
      <w:szCs w:val="16"/>
    </w:rPr>
  </w:style>
  <w:style w:type="paragraph" w:customStyle="1" w:styleId="doc-ti">
    <w:name w:val="doc-ti"/>
    <w:basedOn w:val="Normalny"/>
    <w:rsid w:val="00ED1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2E30"/>
    <w:pPr>
      <w:spacing w:after="20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4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2E30"/>
  </w:style>
  <w:style w:type="character" w:styleId="Odwoanieprzypisudolnego">
    <w:name w:val="footnote reference"/>
    <w:aliases w:val="Footnote Reference Number"/>
    <w:basedOn w:val="Domylnaczcionkaakapitu"/>
    <w:uiPriority w:val="99"/>
    <w:rsid w:val="00942E3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942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42E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42E3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st">
    <w:name w:val="st"/>
    <w:basedOn w:val="Domylnaczcionkaakapitu"/>
    <w:rsid w:val="00910FB1"/>
  </w:style>
  <w:style w:type="character" w:styleId="Uwydatnienie">
    <w:name w:val="Emphasis"/>
    <w:basedOn w:val="Domylnaczcionkaakapitu"/>
    <w:uiPriority w:val="20"/>
    <w:qFormat/>
    <w:rsid w:val="00910FB1"/>
    <w:rPr>
      <w:i/>
      <w:iCs/>
    </w:rPr>
  </w:style>
  <w:style w:type="character" w:customStyle="1" w:styleId="luchili">
    <w:name w:val="luc_hili"/>
    <w:basedOn w:val="Domylnaczcionkaakapitu"/>
    <w:rsid w:val="00810A6A"/>
  </w:style>
  <w:style w:type="paragraph" w:styleId="Nagwek">
    <w:name w:val="header"/>
    <w:basedOn w:val="Normalny"/>
    <w:link w:val="NagwekZnak"/>
    <w:uiPriority w:val="99"/>
    <w:unhideWhenUsed/>
    <w:rsid w:val="00BA2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20ED"/>
  </w:style>
  <w:style w:type="paragraph" w:styleId="Tekstdymka">
    <w:name w:val="Balloon Text"/>
    <w:basedOn w:val="Normalny"/>
    <w:link w:val="TekstdymkaZnak"/>
    <w:uiPriority w:val="99"/>
    <w:semiHidden/>
    <w:unhideWhenUsed/>
    <w:rsid w:val="00BA2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0ED"/>
    <w:rPr>
      <w:rFonts w:ascii="Tahoma" w:hAnsi="Tahoma" w:cs="Tahoma"/>
      <w:sz w:val="16"/>
      <w:szCs w:val="16"/>
    </w:rPr>
  </w:style>
  <w:style w:type="paragraph" w:customStyle="1" w:styleId="doc-ti">
    <w:name w:val="doc-ti"/>
    <w:basedOn w:val="Normalny"/>
    <w:rsid w:val="00ED1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17E999B-AF7D-4B82-A75E-DDACE18FE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3799</Words>
  <Characters>22800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2016-04-20T14:47:00Z</cp:lastPrinted>
  <dcterms:created xsi:type="dcterms:W3CDTF">2016-06-22T11:01:00Z</dcterms:created>
  <dcterms:modified xsi:type="dcterms:W3CDTF">2016-06-22T11:01:00Z</dcterms:modified>
</cp:coreProperties>
</file>