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9D0" w:rsidRPr="00FA179F" w:rsidRDefault="006B49D0" w:rsidP="006B49D0">
      <w:pPr>
        <w:pStyle w:val="DATAAKTUdatauchwalenialubwydaniaaktu"/>
        <w:jc w:val="right"/>
        <w:rPr>
          <w:rFonts w:ascii="Tahoma" w:hAnsi="Tahoma" w:cs="Tahoma"/>
        </w:rPr>
      </w:pPr>
      <w:bookmarkStart w:id="0" w:name="_GoBack"/>
      <w:bookmarkEnd w:id="0"/>
      <w:r w:rsidRPr="00FA179F">
        <w:rPr>
          <w:rFonts w:ascii="Tahoma" w:hAnsi="Tahoma" w:cs="Tahoma"/>
        </w:rPr>
        <w:t>Projekt</w:t>
      </w:r>
    </w:p>
    <w:p w:rsidR="006B49D0" w:rsidRPr="00FA179F" w:rsidRDefault="006B49D0" w:rsidP="006B49D0">
      <w:pPr>
        <w:pStyle w:val="DATAAKTUdatauchwalenialubwydaniaaktu"/>
        <w:rPr>
          <w:rFonts w:ascii="Tahoma" w:eastAsia="Times New Roman" w:hAnsi="Tahoma" w:cs="Tahoma"/>
          <w:spacing w:val="54"/>
          <w:kern w:val="24"/>
        </w:rPr>
      </w:pPr>
      <w:r w:rsidRPr="00FA179F">
        <w:rPr>
          <w:rFonts w:ascii="Tahoma" w:hAnsi="Tahoma" w:cs="Tahoma"/>
        </w:rPr>
        <w:t>USTAWA</w:t>
      </w:r>
    </w:p>
    <w:p w:rsidR="006B49D0" w:rsidRPr="00FA179F" w:rsidRDefault="006B49D0" w:rsidP="006B49D0">
      <w:pPr>
        <w:pStyle w:val="DATAAKTUdatauchwalenialubwydaniaaktu"/>
        <w:rPr>
          <w:rFonts w:ascii="Tahoma" w:hAnsi="Tahoma" w:cs="Tahoma"/>
        </w:rPr>
      </w:pPr>
      <w:r w:rsidRPr="00FA179F">
        <w:rPr>
          <w:rFonts w:ascii="Tahoma" w:hAnsi="Tahoma" w:cs="Tahoma"/>
        </w:rPr>
        <w:t>z dnia ………..…………. 2016 r.</w:t>
      </w:r>
    </w:p>
    <w:p w:rsidR="006B49D0" w:rsidRPr="00FA179F" w:rsidRDefault="006B49D0" w:rsidP="006B49D0">
      <w:pPr>
        <w:pStyle w:val="DATAAKTUdatauchwalenialubwydaniaaktu"/>
        <w:rPr>
          <w:rFonts w:ascii="Tahoma" w:hAnsi="Tahoma" w:cs="Tahoma"/>
          <w:b/>
        </w:rPr>
      </w:pPr>
      <w:r w:rsidRPr="00FA179F">
        <w:rPr>
          <w:rFonts w:ascii="Tahoma" w:hAnsi="Tahoma" w:cs="Tahoma"/>
          <w:b/>
        </w:rPr>
        <w:t xml:space="preserve">o zmianie ustawy o wstrzymaniu sprzedaży nieruchomości Zasobu Własności Rolnej Skarbu Państwa, ustawy o księgach wieczystych </w:t>
      </w:r>
      <w:r>
        <w:rPr>
          <w:rFonts w:ascii="Tahoma" w:hAnsi="Tahoma" w:cs="Tahoma"/>
          <w:b/>
        </w:rPr>
        <w:br/>
      </w:r>
      <w:r w:rsidRPr="00FA179F">
        <w:rPr>
          <w:rFonts w:ascii="Tahoma" w:hAnsi="Tahoma" w:cs="Tahoma"/>
          <w:b/>
        </w:rPr>
        <w:t>i hipotece oraz ustawy o kształtowaniu ustroju rolnego</w:t>
      </w:r>
    </w:p>
    <w:p w:rsidR="006B49D0" w:rsidRPr="00FA179F" w:rsidRDefault="006B49D0" w:rsidP="006B49D0">
      <w:pPr>
        <w:pStyle w:val="TYTUAKTUprzedmiotregulacjiustawylubrozporzdzenia"/>
        <w:jc w:val="both"/>
        <w:rPr>
          <w:rFonts w:ascii="Tahoma" w:hAnsi="Tahoma" w:cs="Tahoma"/>
        </w:rPr>
      </w:pPr>
    </w:p>
    <w:p w:rsidR="006B49D0" w:rsidRPr="00FA179F" w:rsidRDefault="006B49D0" w:rsidP="006B49D0">
      <w:pPr>
        <w:pStyle w:val="ARTartustawynprozporzdzenia"/>
        <w:ind w:firstLine="0"/>
        <w:rPr>
          <w:rFonts w:ascii="Tahoma" w:hAnsi="Tahoma" w:cs="Tahoma"/>
          <w:szCs w:val="24"/>
        </w:rPr>
      </w:pPr>
      <w:r>
        <w:rPr>
          <w:rFonts w:ascii="Tahoma" w:hAnsi="Tahoma" w:cs="Tahoma"/>
          <w:b/>
          <w:szCs w:val="24"/>
        </w:rPr>
        <w:t>Art. 1</w:t>
      </w:r>
      <w:r w:rsidRPr="00FA179F">
        <w:rPr>
          <w:rFonts w:ascii="Tahoma" w:hAnsi="Tahoma" w:cs="Tahoma"/>
          <w:b/>
          <w:szCs w:val="24"/>
        </w:rPr>
        <w:t>.</w:t>
      </w:r>
      <w:r w:rsidRPr="00FA179F">
        <w:rPr>
          <w:rFonts w:ascii="Tahoma" w:hAnsi="Tahoma" w:cs="Tahoma"/>
          <w:szCs w:val="24"/>
        </w:rPr>
        <w:t xml:space="preserve"> W ustawie z dnia 14 kwietnia 2016 r. o wstrzymaniu sprzedaży nieruchomości Zasobu Własności Rolnej Skarbu Państwa oraz o zmianie niektórych ustaw (Dz. U. poz. 585) art. 13 otrzymuje brzmienie:</w:t>
      </w:r>
    </w:p>
    <w:p w:rsidR="006B49D0" w:rsidRPr="00D849AA" w:rsidRDefault="006B49D0" w:rsidP="006B49D0">
      <w:pPr>
        <w:pStyle w:val="ARTartustawynprozporzdzenia"/>
        <w:ind w:left="709" w:firstLine="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„</w:t>
      </w:r>
      <w:r w:rsidRPr="00FA179F">
        <w:rPr>
          <w:rFonts w:ascii="Tahoma" w:hAnsi="Tahoma" w:cs="Tahoma"/>
          <w:szCs w:val="24"/>
        </w:rPr>
        <w:t>Art. 13 Do przeniesienia własności nieruchomości rolnej, będącego następstwem czynności prawnych podjętych przed dniem wejścia w życie niniejszej ustawy, stosuje się przepisy dotychczasowe.</w:t>
      </w:r>
      <w:r>
        <w:rPr>
          <w:rFonts w:ascii="Tahoma" w:hAnsi="Tahoma" w:cs="Tahoma"/>
          <w:szCs w:val="24"/>
        </w:rPr>
        <w:t>”.</w:t>
      </w:r>
    </w:p>
    <w:p w:rsidR="006B49D0" w:rsidRDefault="006B49D0" w:rsidP="006B49D0">
      <w:pPr>
        <w:pStyle w:val="ARTartustawynprozporzdzenia"/>
        <w:ind w:left="709" w:hanging="709"/>
        <w:rPr>
          <w:rFonts w:ascii="Tahoma" w:hAnsi="Tahoma" w:cs="Tahoma"/>
          <w:b/>
          <w:szCs w:val="24"/>
        </w:rPr>
      </w:pPr>
    </w:p>
    <w:p w:rsidR="006B49D0" w:rsidRPr="00FA179F" w:rsidRDefault="006B49D0" w:rsidP="006B49D0">
      <w:pPr>
        <w:pStyle w:val="ARTartustawynprozporzdzenia"/>
        <w:ind w:left="709" w:hanging="709"/>
        <w:rPr>
          <w:rFonts w:ascii="Tahoma" w:hAnsi="Tahoma" w:cs="Tahoma"/>
          <w:szCs w:val="24"/>
        </w:rPr>
      </w:pPr>
      <w:r>
        <w:rPr>
          <w:rFonts w:ascii="Tahoma" w:hAnsi="Tahoma" w:cs="Tahoma"/>
          <w:b/>
          <w:szCs w:val="24"/>
        </w:rPr>
        <w:t>Art. 2</w:t>
      </w:r>
      <w:r w:rsidRPr="00FA179F">
        <w:rPr>
          <w:rFonts w:ascii="Tahoma" w:hAnsi="Tahoma" w:cs="Tahoma"/>
          <w:b/>
          <w:szCs w:val="24"/>
        </w:rPr>
        <w:t>. </w:t>
      </w:r>
      <w:r w:rsidRPr="00FA179F">
        <w:rPr>
          <w:rFonts w:ascii="Tahoma" w:hAnsi="Tahoma" w:cs="Tahoma"/>
          <w:szCs w:val="24"/>
        </w:rPr>
        <w:t xml:space="preserve"> W ustawie z dnia 6 lipca 1982 r. o księgach wieczystych i hipotece </w:t>
      </w:r>
      <w:r>
        <w:rPr>
          <w:rFonts w:ascii="Tahoma" w:hAnsi="Tahoma" w:cs="Tahoma"/>
          <w:szCs w:val="24"/>
        </w:rPr>
        <w:br/>
      </w:r>
      <w:r w:rsidRPr="00FA179F">
        <w:rPr>
          <w:rFonts w:ascii="Tahoma" w:hAnsi="Tahoma" w:cs="Tahoma"/>
          <w:szCs w:val="24"/>
        </w:rPr>
        <w:t>(Dz. U. z 2013 r. poz. 707, z późn. zm.) w art. 68 ust 2a otrzymuje brzmienie:</w:t>
      </w:r>
    </w:p>
    <w:p w:rsidR="006B49D0" w:rsidRPr="00FA179F" w:rsidRDefault="006B49D0" w:rsidP="006B49D0">
      <w:pPr>
        <w:pStyle w:val="ARTartustawynprozporzdzenia"/>
        <w:ind w:left="709" w:firstLine="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„</w:t>
      </w:r>
      <w:r w:rsidRPr="00FA179F">
        <w:rPr>
          <w:rFonts w:ascii="Tahoma" w:hAnsi="Tahoma" w:cs="Tahoma"/>
          <w:szCs w:val="24"/>
        </w:rPr>
        <w:t>2a. Suma hipoteki na nieruchomości rolnej w rozumieniu ustawy z dnia 11 kwietnia 2003 r. o kształtowaniu ustroju rolnego (Dz. U. z 2012 r. poz. 803 oraz z 2016 r. poz. 585) nie może przewyższać:</w:t>
      </w:r>
    </w:p>
    <w:p w:rsidR="006B49D0" w:rsidRPr="00FA179F" w:rsidRDefault="006B49D0" w:rsidP="006B49D0">
      <w:pPr>
        <w:pStyle w:val="ARTartustawynprozporzdzenia"/>
        <w:numPr>
          <w:ilvl w:val="0"/>
          <w:numId w:val="1"/>
        </w:numPr>
        <w:ind w:left="1701"/>
        <w:rPr>
          <w:rFonts w:ascii="Tahoma" w:hAnsi="Tahoma" w:cs="Tahoma"/>
          <w:szCs w:val="24"/>
        </w:rPr>
      </w:pPr>
      <w:r w:rsidRPr="00FA179F">
        <w:rPr>
          <w:rFonts w:ascii="Tahoma" w:hAnsi="Tahoma" w:cs="Tahoma"/>
          <w:szCs w:val="24"/>
        </w:rPr>
        <w:t>Dwustu procent docelowej wartości rynkowej tej nieruchomości rolnej w przypadku hipoteki zabezpieczającej spłatę kredytu udzielonego na cele inwestycyjne pozostające w ścisłym związku z tą nieruchomością rolną. Do wniosku o wpis hipoteki do księgi wieczystej dołącza się operat szacunkowy przedstawiający wartość docelową nieruchomości, sporządzony przez rzeczoznawcę majątkowego stosownie do przepisów o gospodarce nieruchomościami.</w:t>
      </w:r>
    </w:p>
    <w:p w:rsidR="006B49D0" w:rsidRDefault="006B49D0" w:rsidP="006B49D0">
      <w:pPr>
        <w:pStyle w:val="ARTartustawynprozporzdzenia"/>
        <w:numPr>
          <w:ilvl w:val="0"/>
          <w:numId w:val="1"/>
        </w:numPr>
        <w:ind w:left="1701"/>
        <w:rPr>
          <w:rFonts w:ascii="Tahoma" w:hAnsi="Tahoma" w:cs="Tahoma"/>
          <w:szCs w:val="24"/>
        </w:rPr>
      </w:pPr>
      <w:r w:rsidRPr="00FA179F">
        <w:rPr>
          <w:rFonts w:ascii="Tahoma" w:hAnsi="Tahoma" w:cs="Tahoma"/>
          <w:szCs w:val="24"/>
        </w:rPr>
        <w:t xml:space="preserve"> Dwustu procent wartości rynkowej tej nieruchomości rolnej ustalonej na dzień ustanowienia hipoteki zabezpieczającej kredyty udzielone na cele inne niż inwestycyjne lub kredyty inwestycyjne, nie </w:t>
      </w:r>
      <w:r w:rsidRPr="00FA179F">
        <w:rPr>
          <w:rFonts w:ascii="Tahoma" w:hAnsi="Tahoma" w:cs="Tahoma"/>
          <w:szCs w:val="24"/>
        </w:rPr>
        <w:lastRenderedPageBreak/>
        <w:t>pozostające w ścisłym związku z tą nieruchomością rolną. Do wniosku o wpis hipoteki do księgi wieczystej dołącza się operat szacunkowy przedstawiający wartość nieruchomości, sporządzony przez rzeczoznawcę majątkowego stosownie do przepisów o gospodarce nieruchomościami.</w:t>
      </w:r>
      <w:r>
        <w:rPr>
          <w:rFonts w:ascii="Tahoma" w:hAnsi="Tahoma" w:cs="Tahoma"/>
          <w:szCs w:val="24"/>
        </w:rPr>
        <w:t>”.</w:t>
      </w:r>
    </w:p>
    <w:p w:rsidR="006B49D0" w:rsidRPr="00FA179F" w:rsidRDefault="006B49D0" w:rsidP="006B49D0">
      <w:pPr>
        <w:pStyle w:val="ARTartustawynprozporzdzenia"/>
        <w:ind w:left="1701" w:firstLine="0"/>
        <w:rPr>
          <w:rFonts w:ascii="Tahoma" w:hAnsi="Tahoma" w:cs="Tahoma"/>
          <w:szCs w:val="24"/>
        </w:rPr>
      </w:pPr>
    </w:p>
    <w:p w:rsidR="006B49D0" w:rsidRPr="00FA179F" w:rsidRDefault="006B49D0" w:rsidP="006B49D0">
      <w:pPr>
        <w:pStyle w:val="ARTartustawynprozporzdzenia"/>
        <w:ind w:firstLine="0"/>
        <w:rPr>
          <w:rFonts w:ascii="Tahoma" w:hAnsi="Tahoma" w:cs="Tahoma"/>
          <w:bCs/>
          <w:color w:val="000000"/>
          <w:szCs w:val="24"/>
          <w:shd w:val="clear" w:color="auto" w:fill="FFFFFF"/>
        </w:rPr>
      </w:pPr>
      <w:r w:rsidRPr="00FA179F">
        <w:rPr>
          <w:rFonts w:ascii="Tahoma" w:hAnsi="Tahoma" w:cs="Tahoma"/>
          <w:b/>
          <w:szCs w:val="24"/>
        </w:rPr>
        <w:t>Art. 3</w:t>
      </w:r>
      <w:r w:rsidRPr="00FA179F">
        <w:rPr>
          <w:rFonts w:ascii="Tahoma" w:hAnsi="Tahoma" w:cs="Tahoma"/>
          <w:szCs w:val="24"/>
        </w:rPr>
        <w:t xml:space="preserve"> W ustawie z dnia 11 kwietnia 2003 r. o kształtowaniu ustroju rolnego (</w:t>
      </w:r>
      <w:r w:rsidRPr="00FA179F">
        <w:rPr>
          <w:rFonts w:ascii="Tahoma" w:hAnsi="Tahoma" w:cs="Tahoma"/>
          <w:bCs/>
          <w:color w:val="000000"/>
          <w:szCs w:val="24"/>
          <w:shd w:val="clear" w:color="auto" w:fill="FFFFFF"/>
        </w:rPr>
        <w:t>Dz.U. 2012 poz. 803, z późn. zm.) art. 1a. pkt 2 otrzymuje brzmienie:</w:t>
      </w:r>
    </w:p>
    <w:p w:rsidR="006B49D0" w:rsidRPr="00FA179F" w:rsidRDefault="006B49D0" w:rsidP="006B49D0">
      <w:pPr>
        <w:pStyle w:val="ARTartustawynprozporzdzenia"/>
        <w:ind w:left="709" w:firstLine="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„2) o powierzchni nie większej niż 0,3</w:t>
      </w:r>
      <w:r w:rsidRPr="00661F9C">
        <w:rPr>
          <w:rFonts w:ascii="Tahoma" w:hAnsi="Tahoma" w:cs="Tahoma"/>
          <w:szCs w:val="24"/>
        </w:rPr>
        <w:t xml:space="preserve"> ha.”;</w:t>
      </w:r>
    </w:p>
    <w:p w:rsidR="006B49D0" w:rsidRPr="00FA179F" w:rsidRDefault="006B49D0" w:rsidP="006B49D0">
      <w:pPr>
        <w:pStyle w:val="ARTartustawynprozporzdzenia"/>
        <w:ind w:left="709" w:hanging="709"/>
        <w:rPr>
          <w:rFonts w:ascii="Tahoma" w:hAnsi="Tahoma" w:cs="Tahoma"/>
          <w:szCs w:val="24"/>
        </w:rPr>
      </w:pPr>
    </w:p>
    <w:p w:rsidR="006B49D0" w:rsidRPr="00FA179F" w:rsidRDefault="006B49D0" w:rsidP="006B49D0">
      <w:pPr>
        <w:spacing w:after="0" w:line="360" w:lineRule="auto"/>
        <w:jc w:val="both"/>
        <w:rPr>
          <w:rFonts w:ascii="Tahoma" w:eastAsiaTheme="minorEastAsia" w:hAnsi="Tahoma" w:cs="Tahoma"/>
          <w:sz w:val="24"/>
          <w:szCs w:val="24"/>
          <w:lang w:eastAsia="pl-PL"/>
        </w:rPr>
      </w:pPr>
    </w:p>
    <w:p w:rsidR="006B49D0" w:rsidRPr="00FA179F" w:rsidRDefault="006B49D0" w:rsidP="006B49D0">
      <w:pPr>
        <w:spacing w:after="0" w:line="360" w:lineRule="auto"/>
        <w:jc w:val="both"/>
        <w:rPr>
          <w:rFonts w:ascii="Tahoma" w:eastAsiaTheme="minorEastAsia" w:hAnsi="Tahoma" w:cs="Tahoma"/>
          <w:sz w:val="24"/>
          <w:szCs w:val="24"/>
          <w:lang w:eastAsia="pl-PL"/>
        </w:rPr>
      </w:pPr>
    </w:p>
    <w:p w:rsidR="006B49D0" w:rsidRPr="00FA179F" w:rsidRDefault="006B49D0" w:rsidP="006B49D0">
      <w:pPr>
        <w:spacing w:after="0"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FA179F">
        <w:rPr>
          <w:rFonts w:ascii="Tahoma" w:hAnsi="Tahoma" w:cs="Tahoma"/>
          <w:b/>
          <w:sz w:val="24"/>
          <w:szCs w:val="24"/>
        </w:rPr>
        <w:t>UZASADNIENIE</w:t>
      </w:r>
    </w:p>
    <w:p w:rsidR="006B49D0" w:rsidRPr="00FA179F" w:rsidRDefault="006B49D0" w:rsidP="006B49D0">
      <w:pPr>
        <w:spacing w:after="0" w:line="360" w:lineRule="auto"/>
        <w:ind w:firstLine="360"/>
        <w:jc w:val="both"/>
        <w:rPr>
          <w:rFonts w:ascii="Tahoma" w:hAnsi="Tahoma" w:cs="Tahoma"/>
          <w:b/>
          <w:sz w:val="24"/>
          <w:szCs w:val="24"/>
        </w:rPr>
      </w:pPr>
    </w:p>
    <w:p w:rsidR="006B49D0" w:rsidRPr="00FA179F" w:rsidRDefault="006B49D0" w:rsidP="006B49D0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  <w:r w:rsidRPr="00FA179F">
        <w:rPr>
          <w:rFonts w:ascii="Tahoma" w:hAnsi="Tahoma" w:cs="Tahoma"/>
          <w:b/>
          <w:sz w:val="24"/>
          <w:szCs w:val="24"/>
        </w:rPr>
        <w:t>POTRZEBA I CEL WYDANIA AKTU</w:t>
      </w:r>
    </w:p>
    <w:p w:rsidR="006B49D0" w:rsidRPr="00FA179F" w:rsidRDefault="006B49D0" w:rsidP="006B49D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FA179F">
        <w:rPr>
          <w:rFonts w:ascii="Tahoma" w:hAnsi="Tahoma" w:cs="Tahoma"/>
          <w:sz w:val="24"/>
          <w:szCs w:val="24"/>
        </w:rPr>
        <w:t>Rygorystyczne zapisy przedmiotowej ustawy poskutkowały wieloma negatywnymi następstwami gospodarczymi. Bezpośrednią przyczyną poniesionych konsekwencji jest zamknięty katalog produktów nabywców nieruchomości rolnych. Regulacje dotyczące rozporządzania nieruchomościami rolnymi w sposób oczywisty uderzają w prawo własności – stanowiące jeden z podstawowych aksjomatów Rzeczpospolitej Polski, wymieniony w Konstytucji RP. Bowiem, zgodnie z art. 21 ust. 1 Konstytucji Rzeczpospolita Polska chroni własność i prawo dziedziczenia.</w:t>
      </w:r>
    </w:p>
    <w:p w:rsidR="006B49D0" w:rsidRPr="00FA179F" w:rsidRDefault="006B49D0" w:rsidP="006B49D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FA179F">
        <w:rPr>
          <w:rFonts w:ascii="Tahoma" w:hAnsi="Tahoma" w:cs="Tahoma"/>
          <w:sz w:val="24"/>
          <w:szCs w:val="24"/>
        </w:rPr>
        <w:t>Kolejnym argumentem przemawiającym za nieprawidłowością przepisów obowiązującej ustawy jest fakt, iż Banki i inne instytucje zajmujące się kredytowaniem inwestycji zaprzestały swojej działalności w przedmiotowym segmencie, z uwagi na niemożność dokonania zabezpieczeń hipotecznych rozciągających się na wartość inwestycji.</w:t>
      </w:r>
      <w:r>
        <w:rPr>
          <w:rFonts w:ascii="Tahoma" w:hAnsi="Tahoma" w:cs="Tahoma"/>
          <w:sz w:val="24"/>
          <w:szCs w:val="24"/>
        </w:rPr>
        <w:t xml:space="preserve"> Problem dotyczy zarówno inwestycji komercyjnych, jak i prywatnych, także realizowanych na małych działkach do 0,3 ha włącznie, które w trakcie procesu legislacyjnego zostały wyłączone z ustawy. </w:t>
      </w:r>
    </w:p>
    <w:p w:rsidR="006B49D0" w:rsidRPr="005E0E11" w:rsidRDefault="006B49D0" w:rsidP="006B49D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FA179F">
        <w:rPr>
          <w:rFonts w:ascii="Tahoma" w:hAnsi="Tahoma" w:cs="Tahoma"/>
          <w:sz w:val="24"/>
          <w:szCs w:val="24"/>
        </w:rPr>
        <w:t xml:space="preserve">Celem wydania aktu jest uregulowanie wartości zabezpieczeń hipotecznych ustanawianych na nieruchomościach rolnych w sposób adekwatny do  sytuacji </w:t>
      </w:r>
      <w:r w:rsidRPr="00FA179F">
        <w:rPr>
          <w:rFonts w:ascii="Tahoma" w:hAnsi="Tahoma" w:cs="Tahoma"/>
          <w:sz w:val="24"/>
          <w:szCs w:val="24"/>
        </w:rPr>
        <w:lastRenderedPageBreak/>
        <w:t>rynkowej, a także uregulowanie problematycznej kwestii prawa właściwego, którym winno być prawo dotychczasowo obowiązujące przed dniem 01 maja br., w przypadku czynności prawnych będących następstwem czynności podjętych przed dniem wejścia w życie ustawy z dnia 14 kwietnia 2016 r.</w:t>
      </w:r>
      <w:r>
        <w:rPr>
          <w:rFonts w:ascii="Tahoma" w:hAnsi="Tahoma" w:cs="Tahoma"/>
          <w:sz w:val="24"/>
          <w:szCs w:val="24"/>
        </w:rPr>
        <w:t xml:space="preserve"> </w:t>
      </w:r>
      <w:r w:rsidRPr="005E0E11">
        <w:rPr>
          <w:rFonts w:ascii="Tahoma" w:hAnsi="Tahoma" w:cs="Tahoma"/>
          <w:sz w:val="24"/>
          <w:szCs w:val="24"/>
        </w:rPr>
        <w:t>Równocześnie proponowana zmiana wyłączając n</w:t>
      </w:r>
      <w:r>
        <w:rPr>
          <w:rFonts w:ascii="Tahoma" w:hAnsi="Tahoma" w:cs="Tahoma"/>
          <w:sz w:val="24"/>
          <w:szCs w:val="24"/>
        </w:rPr>
        <w:t>ieruchomości o powierzchni do 0,</w:t>
      </w:r>
      <w:r w:rsidRPr="005E0E11">
        <w:rPr>
          <w:rFonts w:ascii="Tahoma" w:hAnsi="Tahoma" w:cs="Tahoma"/>
          <w:sz w:val="24"/>
          <w:szCs w:val="24"/>
        </w:rPr>
        <w:t xml:space="preserve">3 ha </w:t>
      </w:r>
      <w:r>
        <w:rPr>
          <w:rFonts w:ascii="Tahoma" w:hAnsi="Tahoma" w:cs="Tahoma"/>
          <w:sz w:val="24"/>
          <w:szCs w:val="24"/>
        </w:rPr>
        <w:t xml:space="preserve">włącznie </w:t>
      </w:r>
      <w:r w:rsidRPr="005E0E11">
        <w:rPr>
          <w:rFonts w:ascii="Tahoma" w:hAnsi="Tahoma" w:cs="Tahoma"/>
          <w:sz w:val="24"/>
          <w:szCs w:val="24"/>
        </w:rPr>
        <w:t>umożliwi inwestycję na już istniejących</w:t>
      </w:r>
      <w:r>
        <w:rPr>
          <w:rFonts w:ascii="Tahoma" w:hAnsi="Tahoma" w:cs="Tahoma"/>
          <w:sz w:val="24"/>
          <w:szCs w:val="24"/>
        </w:rPr>
        <w:t xml:space="preserve"> nieruchomościach oraz pozwoli na dokonanie zgodnego z prawem wydzielenia nowych nieruchomości</w:t>
      </w:r>
      <w:r w:rsidRPr="005E0E11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o</w:t>
      </w:r>
      <w:r w:rsidRPr="005E0E11">
        <w:rPr>
          <w:rFonts w:ascii="Tahoma" w:hAnsi="Tahoma" w:cs="Tahoma"/>
          <w:sz w:val="24"/>
          <w:szCs w:val="24"/>
        </w:rPr>
        <w:t xml:space="preserve"> powierzchni</w:t>
      </w:r>
      <w:r>
        <w:rPr>
          <w:rFonts w:ascii="Tahoma" w:hAnsi="Tahoma" w:cs="Tahoma"/>
          <w:sz w:val="24"/>
          <w:szCs w:val="24"/>
        </w:rPr>
        <w:t xml:space="preserve"> do</w:t>
      </w:r>
      <w:r w:rsidRPr="005E0E11">
        <w:rPr>
          <w:rFonts w:ascii="Tahoma" w:hAnsi="Tahoma" w:cs="Tahoma"/>
          <w:sz w:val="24"/>
          <w:szCs w:val="24"/>
        </w:rPr>
        <w:t xml:space="preserve"> 0,3</w:t>
      </w:r>
      <w:r>
        <w:rPr>
          <w:rFonts w:ascii="Tahoma" w:hAnsi="Tahoma" w:cs="Tahoma"/>
          <w:sz w:val="24"/>
          <w:szCs w:val="24"/>
        </w:rPr>
        <w:t xml:space="preserve"> ha włącznie</w:t>
      </w:r>
      <w:r w:rsidRPr="005E0E11">
        <w:rPr>
          <w:rFonts w:ascii="Tahoma" w:hAnsi="Tahoma" w:cs="Tahoma"/>
          <w:sz w:val="24"/>
          <w:szCs w:val="24"/>
        </w:rPr>
        <w:t xml:space="preserve">. </w:t>
      </w:r>
    </w:p>
    <w:p w:rsidR="006B49D0" w:rsidRPr="00661F9C" w:rsidRDefault="006B49D0" w:rsidP="006B49D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6B49D0" w:rsidRDefault="006B49D0" w:rsidP="006B49D0">
      <w:pPr>
        <w:spacing w:after="0" w:line="360" w:lineRule="auto"/>
        <w:jc w:val="both"/>
        <w:rPr>
          <w:rFonts w:ascii="Tahoma" w:hAnsi="Tahoma" w:cs="Tahoma"/>
          <w:b/>
          <w:sz w:val="24"/>
          <w:szCs w:val="24"/>
        </w:rPr>
      </w:pPr>
      <w:r w:rsidRPr="00FA179F">
        <w:rPr>
          <w:rFonts w:ascii="Tahoma" w:hAnsi="Tahoma" w:cs="Tahoma"/>
          <w:b/>
          <w:sz w:val="24"/>
          <w:szCs w:val="24"/>
        </w:rPr>
        <w:t xml:space="preserve">PRZEDSTAWIENIE RZECZYWISTEGO (FAKTYCZNEGO) </w:t>
      </w:r>
      <w:r>
        <w:rPr>
          <w:rFonts w:ascii="Tahoma" w:hAnsi="Tahoma" w:cs="Tahoma"/>
          <w:b/>
          <w:sz w:val="24"/>
          <w:szCs w:val="24"/>
        </w:rPr>
        <w:t xml:space="preserve">STANU WRAZ ZE WSKAZANIEM RÓŻNIC </w:t>
      </w:r>
      <w:r w:rsidRPr="00FA179F">
        <w:rPr>
          <w:rFonts w:ascii="Tahoma" w:hAnsi="Tahoma" w:cs="Tahoma"/>
          <w:b/>
          <w:sz w:val="24"/>
          <w:szCs w:val="24"/>
        </w:rPr>
        <w:t>POMIĘDZY DO</w:t>
      </w:r>
      <w:r>
        <w:rPr>
          <w:rFonts w:ascii="Tahoma" w:hAnsi="Tahoma" w:cs="Tahoma"/>
          <w:b/>
          <w:sz w:val="24"/>
          <w:szCs w:val="24"/>
        </w:rPr>
        <w:t xml:space="preserve">TYCHCZASOWYM </w:t>
      </w:r>
      <w:r>
        <w:rPr>
          <w:rFonts w:ascii="Tahoma" w:hAnsi="Tahoma" w:cs="Tahoma"/>
          <w:b/>
          <w:sz w:val="24"/>
          <w:szCs w:val="24"/>
        </w:rPr>
        <w:br/>
        <w:t xml:space="preserve">A </w:t>
      </w:r>
      <w:r w:rsidRPr="00FA179F">
        <w:rPr>
          <w:rFonts w:ascii="Tahoma" w:hAnsi="Tahoma" w:cs="Tahoma"/>
          <w:b/>
          <w:sz w:val="24"/>
          <w:szCs w:val="24"/>
        </w:rPr>
        <w:t xml:space="preserve">PROJEKTOWANYM STANEM </w:t>
      </w:r>
      <w:r>
        <w:rPr>
          <w:rFonts w:ascii="Tahoma" w:hAnsi="Tahoma" w:cs="Tahoma"/>
          <w:b/>
          <w:sz w:val="24"/>
          <w:szCs w:val="24"/>
        </w:rPr>
        <w:t xml:space="preserve">PRAWNYM (PRZEWIDYWANYCH SKUTKÓW </w:t>
      </w:r>
      <w:r w:rsidRPr="00FA179F">
        <w:rPr>
          <w:rFonts w:ascii="Tahoma" w:hAnsi="Tahoma" w:cs="Tahoma"/>
          <w:b/>
          <w:sz w:val="24"/>
          <w:szCs w:val="24"/>
        </w:rPr>
        <w:t>PRAWNYCH WEJŚCIA AKTU W ŻYCIE)</w:t>
      </w:r>
    </w:p>
    <w:p w:rsidR="006B49D0" w:rsidRPr="00FA179F" w:rsidRDefault="006B49D0" w:rsidP="006B49D0">
      <w:pPr>
        <w:spacing w:after="0" w:line="360" w:lineRule="auto"/>
        <w:jc w:val="both"/>
        <w:rPr>
          <w:rFonts w:ascii="Tahoma" w:hAnsi="Tahoma" w:cs="Tahoma"/>
          <w:b/>
          <w:sz w:val="24"/>
          <w:szCs w:val="24"/>
        </w:rPr>
      </w:pPr>
    </w:p>
    <w:p w:rsidR="006B49D0" w:rsidRPr="00FA179F" w:rsidRDefault="006B49D0" w:rsidP="006B49D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FA179F">
        <w:rPr>
          <w:rFonts w:ascii="Tahoma" w:hAnsi="Tahoma" w:cs="Tahoma"/>
          <w:sz w:val="24"/>
          <w:szCs w:val="24"/>
        </w:rPr>
        <w:t>01 maja 2016 r. weszła w życie ustawa z dnia 14 kwietnia 2016 roku o wstrzymaniu sprzedaży nieruchomości Zasobu Własności Rolnej Skarbu Państwa oraz o zmianie niektórych ustaw (Dz. U. poz. 585). Obowiązujące przepisy wprowadziły szeroki zakres ograniczeń w obrocie nieruchomościami rolnymi w Polsce.</w:t>
      </w:r>
    </w:p>
    <w:p w:rsidR="006B49D0" w:rsidRPr="00FA179F" w:rsidRDefault="006B49D0" w:rsidP="006B49D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FA179F">
        <w:rPr>
          <w:rFonts w:ascii="Tahoma" w:hAnsi="Tahoma" w:cs="Tahoma"/>
          <w:sz w:val="24"/>
          <w:szCs w:val="24"/>
        </w:rPr>
        <w:t>W skutek obowiązujących przepisów rolnicy tracą możliwości inwestycyjne. Skutkiem obecnej sytuacji są ograniczone możliwości otrzymywania kredytów w sytuacji gdy ich zabezpieczeniem byłaby  hipoteka na nieruchomości rolnej. Kredytodawcy nie udzielają kredytów podmiotom, od których nie otrzymają zabezpieczenia w wysokości proporcjonalnej do przewidywanego ryzyka inwestycyjnego.</w:t>
      </w:r>
    </w:p>
    <w:p w:rsidR="006B49D0" w:rsidRPr="00FA179F" w:rsidRDefault="006B49D0" w:rsidP="006B49D0">
      <w:pPr>
        <w:pStyle w:val="ARTartustawynprozporzdzenia"/>
        <w:ind w:firstLine="0"/>
        <w:rPr>
          <w:rFonts w:ascii="Tahoma" w:hAnsi="Tahoma" w:cs="Tahoma"/>
          <w:szCs w:val="24"/>
        </w:rPr>
      </w:pPr>
      <w:r w:rsidRPr="00FA179F">
        <w:rPr>
          <w:rFonts w:ascii="Tahoma" w:hAnsi="Tahoma" w:cs="Tahoma"/>
          <w:szCs w:val="24"/>
        </w:rPr>
        <w:t>W świetle zgłaszanych zmian suma hipoteki na nieruchomości rolnej w rozumieniu ustawy z dnia 11 kwietnia 2003 r. o kształtowaniu ustroju rolnego (Dz. U. z 2012 r. poz. 803 oraz z 2016 r. poz. 585) nie może przewyższać:</w:t>
      </w:r>
    </w:p>
    <w:p w:rsidR="006B49D0" w:rsidRPr="00FA179F" w:rsidRDefault="006B49D0" w:rsidP="006B49D0">
      <w:pPr>
        <w:pStyle w:val="ARTartustawynprozporzdzenia"/>
        <w:numPr>
          <w:ilvl w:val="0"/>
          <w:numId w:val="2"/>
        </w:numPr>
        <w:rPr>
          <w:rFonts w:ascii="Tahoma" w:hAnsi="Tahoma" w:cs="Tahoma"/>
          <w:szCs w:val="24"/>
        </w:rPr>
      </w:pPr>
      <w:r w:rsidRPr="00FA179F">
        <w:rPr>
          <w:rFonts w:ascii="Tahoma" w:hAnsi="Tahoma" w:cs="Tahoma"/>
          <w:szCs w:val="24"/>
        </w:rPr>
        <w:t>Dwustu procent docelowej wartości rynkowej tej nieruchomości rolnej w przypadku hipoteki zabezpieczającej spłatę kredytu udzielonego na cele inwestycyjne pozostające w ścisłym związku z tą nieruchomością rolną. Do wniosku o wpis hipoteki do księgi wieczystej dołącza się operat szacunkowy przedstawiający wartość docelową nieruchomości, sporządzony przez rzeczoznawcę majątkowego stosownie do przepisów o gospodarce nieruchomościami.</w:t>
      </w:r>
    </w:p>
    <w:p w:rsidR="006B49D0" w:rsidRPr="00FA179F" w:rsidRDefault="006B49D0" w:rsidP="006B49D0">
      <w:pPr>
        <w:pStyle w:val="ARTartustawynprozporzdzenia"/>
        <w:numPr>
          <w:ilvl w:val="0"/>
          <w:numId w:val="2"/>
        </w:numPr>
        <w:rPr>
          <w:rFonts w:ascii="Tahoma" w:hAnsi="Tahoma" w:cs="Tahoma"/>
          <w:szCs w:val="24"/>
        </w:rPr>
      </w:pPr>
      <w:r w:rsidRPr="00FA179F">
        <w:rPr>
          <w:rFonts w:ascii="Tahoma" w:hAnsi="Tahoma" w:cs="Tahoma"/>
          <w:szCs w:val="24"/>
        </w:rPr>
        <w:lastRenderedPageBreak/>
        <w:t xml:space="preserve"> Dwustu procent wartości rynkowej tej nieruchomości rolnej ustalonej na dzień ustanowienia hipoteki zabezpieczającej kredyty udzielone na cele inne niż inwestycyjne lub kredyty inwestycyjne, nie pozostające w ścisłym związku z tą nieruchomością rolną. Do wniosku o wpis hipoteki do księgi wieczystej dołącza się operat szacunkowy przedstawiający wartość nieruchomości, sporządzony przez rzeczoznawcę majątkowego stosownie do przepisów o gospodarce nieruchomościami.</w:t>
      </w:r>
    </w:p>
    <w:p w:rsidR="006B49D0" w:rsidRPr="00FA179F" w:rsidRDefault="006B49D0" w:rsidP="006B49D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FA179F">
        <w:rPr>
          <w:rFonts w:ascii="Tahoma" w:hAnsi="Tahoma" w:cs="Tahoma"/>
          <w:sz w:val="24"/>
          <w:szCs w:val="24"/>
        </w:rPr>
        <w:t>Zaproponowane rozwiązanie nie tworzy nieskutecznych zabezpieczeń dla banków i innych instytucji zajmujących się kredytowaniem inwestycji. W opozycji do obowiązujących regulacji stanowi kompromis pomiędzy bezpieczeństwem wierzycieli, a szasną dla dłużników hipotecznych na pozyskanie niezbędnych środków finansowych do realizacji określonych planów inwestycyjnych.</w:t>
      </w:r>
    </w:p>
    <w:p w:rsidR="006B49D0" w:rsidRPr="00FA179F" w:rsidRDefault="006B49D0" w:rsidP="006B49D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FA179F">
        <w:rPr>
          <w:rFonts w:ascii="Tahoma" w:hAnsi="Tahoma" w:cs="Tahoma"/>
          <w:sz w:val="24"/>
          <w:szCs w:val="24"/>
        </w:rPr>
        <w:t>Obecnie obowiązujące przepisy regulują kwotę zabezpieczenia w taki sposób aby nie mogła przekroczyć wartości nieruchomości.</w:t>
      </w:r>
    </w:p>
    <w:p w:rsidR="006B49D0" w:rsidRPr="00FA179F" w:rsidRDefault="006B49D0" w:rsidP="006B49D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FA179F">
        <w:rPr>
          <w:rFonts w:ascii="Tahoma" w:hAnsi="Tahoma" w:cs="Tahoma"/>
          <w:sz w:val="24"/>
          <w:szCs w:val="24"/>
        </w:rPr>
        <w:t>Należy również zauważyć, że ustawodawca nie objął ochroną czynności prawnych zmierzających do przeniesienia własności nieruchomości, które zostały podjęte przed dniem wejścia w życie ustawy nowelizującej. Na mocy wprowadzonej w życie z dniem 1 maja ustawy skuteczne przeniesienie nieruchomości rolnych jest prawnie niemożliwe. Zatem celem wydania aktu jest również objęcie ochroną rzeczonych czynności prawnych.</w:t>
      </w:r>
    </w:p>
    <w:p w:rsidR="006B49D0" w:rsidRPr="00FA179F" w:rsidRDefault="006B49D0" w:rsidP="006B49D0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  <w:r w:rsidRPr="00FA179F">
        <w:rPr>
          <w:rFonts w:ascii="Tahoma" w:hAnsi="Tahoma" w:cs="Tahoma"/>
          <w:b/>
          <w:sz w:val="24"/>
          <w:szCs w:val="24"/>
        </w:rPr>
        <w:t xml:space="preserve">PRZEWIDYWANE SKUTKI SPOŁECZNE, GOSPODARCZE, FINANSOWE </w:t>
      </w:r>
      <w:r>
        <w:rPr>
          <w:rFonts w:ascii="Tahoma" w:hAnsi="Tahoma" w:cs="Tahoma"/>
          <w:b/>
          <w:sz w:val="24"/>
          <w:szCs w:val="24"/>
        </w:rPr>
        <w:br/>
      </w:r>
      <w:r w:rsidRPr="00FA179F">
        <w:rPr>
          <w:rFonts w:ascii="Tahoma" w:hAnsi="Tahoma" w:cs="Tahoma"/>
          <w:b/>
          <w:sz w:val="24"/>
          <w:szCs w:val="24"/>
        </w:rPr>
        <w:t>I PRAWNE</w:t>
      </w:r>
    </w:p>
    <w:p w:rsidR="006B49D0" w:rsidRPr="00FA179F" w:rsidRDefault="006B49D0" w:rsidP="006B49D0">
      <w:pPr>
        <w:autoSpaceDN w:val="0"/>
        <w:spacing w:after="120" w:line="360" w:lineRule="auto"/>
        <w:jc w:val="both"/>
        <w:rPr>
          <w:rFonts w:ascii="Tahoma" w:eastAsia="Calibri" w:hAnsi="Tahoma" w:cs="Tahoma"/>
          <w:sz w:val="24"/>
          <w:szCs w:val="24"/>
        </w:rPr>
      </w:pPr>
      <w:r w:rsidRPr="00FA179F">
        <w:rPr>
          <w:rFonts w:ascii="Tahoma" w:eastAsia="Calibri" w:hAnsi="Tahoma" w:cs="Tahoma"/>
          <w:sz w:val="24"/>
          <w:szCs w:val="24"/>
        </w:rPr>
        <w:t>Wejście w życie projektowanej ustawy nie odniesie skutków społecznych.</w:t>
      </w:r>
    </w:p>
    <w:p w:rsidR="006B49D0" w:rsidRPr="00FA179F" w:rsidRDefault="006B49D0" w:rsidP="006B49D0">
      <w:pPr>
        <w:autoSpaceDN w:val="0"/>
        <w:spacing w:after="120" w:line="360" w:lineRule="auto"/>
        <w:jc w:val="both"/>
        <w:rPr>
          <w:rFonts w:ascii="Tahoma" w:eastAsia="Calibri" w:hAnsi="Tahoma" w:cs="Tahoma"/>
          <w:sz w:val="24"/>
          <w:szCs w:val="24"/>
        </w:rPr>
      </w:pPr>
      <w:r w:rsidRPr="00FA179F">
        <w:rPr>
          <w:rFonts w:ascii="Tahoma" w:eastAsia="Calibri" w:hAnsi="Tahoma" w:cs="Tahoma"/>
          <w:sz w:val="24"/>
          <w:szCs w:val="24"/>
        </w:rPr>
        <w:t>Wejście w życie projektu ustawy nie będzie rodziło skutków finansowych</w:t>
      </w:r>
      <w:r>
        <w:rPr>
          <w:rFonts w:ascii="Tahoma" w:eastAsia="Calibri" w:hAnsi="Tahoma" w:cs="Tahoma"/>
          <w:sz w:val="24"/>
          <w:szCs w:val="24"/>
        </w:rPr>
        <w:t xml:space="preserve"> dla budżetu państwa i jednostek samorządu terytorialnego</w:t>
      </w:r>
      <w:r w:rsidRPr="00FA179F">
        <w:rPr>
          <w:rFonts w:ascii="Tahoma" w:eastAsia="Calibri" w:hAnsi="Tahoma" w:cs="Tahoma"/>
          <w:sz w:val="24"/>
          <w:szCs w:val="24"/>
        </w:rPr>
        <w:t>, nie będzie miało wpływu na konkurencyjność gospodarki.</w:t>
      </w:r>
    </w:p>
    <w:p w:rsidR="006B49D0" w:rsidRPr="00FA179F" w:rsidRDefault="006B49D0" w:rsidP="006B49D0">
      <w:pPr>
        <w:autoSpaceDN w:val="0"/>
        <w:spacing w:after="120" w:line="360" w:lineRule="auto"/>
        <w:jc w:val="both"/>
        <w:rPr>
          <w:rFonts w:ascii="Tahoma" w:eastAsia="Calibri" w:hAnsi="Tahoma" w:cs="Tahoma"/>
          <w:sz w:val="24"/>
          <w:szCs w:val="24"/>
        </w:rPr>
      </w:pPr>
      <w:r w:rsidRPr="00FA179F">
        <w:rPr>
          <w:rFonts w:ascii="Tahoma" w:eastAsia="Calibri" w:hAnsi="Tahoma" w:cs="Tahoma"/>
          <w:sz w:val="24"/>
          <w:szCs w:val="24"/>
        </w:rPr>
        <w:t>Wejście w życie projektowanej ustawy nie będzie miało wpływu na rynek pracy.</w:t>
      </w:r>
    </w:p>
    <w:p w:rsidR="006B49D0" w:rsidRPr="00FA179F" w:rsidRDefault="006B49D0" w:rsidP="006B49D0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  <w:r w:rsidRPr="00FA179F">
        <w:rPr>
          <w:rFonts w:ascii="Tahoma" w:hAnsi="Tahoma" w:cs="Tahoma"/>
          <w:b/>
          <w:sz w:val="24"/>
          <w:szCs w:val="24"/>
        </w:rPr>
        <w:t>ZAŁOŻENIA PROJEKTÓW PODSTAWOWYCH AKTÓW WYKONAWCZYCH</w:t>
      </w:r>
    </w:p>
    <w:p w:rsidR="006B49D0" w:rsidRPr="00FA179F" w:rsidRDefault="006B49D0" w:rsidP="006B49D0">
      <w:pPr>
        <w:autoSpaceDN w:val="0"/>
        <w:spacing w:line="360" w:lineRule="auto"/>
        <w:jc w:val="both"/>
        <w:rPr>
          <w:rFonts w:ascii="Tahoma" w:eastAsia="Calibri" w:hAnsi="Tahoma" w:cs="Tahoma"/>
          <w:sz w:val="24"/>
          <w:szCs w:val="24"/>
        </w:rPr>
      </w:pPr>
      <w:r w:rsidRPr="00FA179F">
        <w:rPr>
          <w:rFonts w:ascii="Tahoma" w:eastAsia="Calibri" w:hAnsi="Tahoma" w:cs="Tahoma"/>
          <w:sz w:val="24"/>
          <w:szCs w:val="24"/>
        </w:rPr>
        <w:t>Projekt ustawy nie wymaga wydania aktów wykonawczych.</w:t>
      </w:r>
    </w:p>
    <w:p w:rsidR="006B49D0" w:rsidRPr="00FA179F" w:rsidRDefault="006B49D0" w:rsidP="006B49D0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  <w:r w:rsidRPr="00FA179F">
        <w:rPr>
          <w:rFonts w:ascii="Tahoma" w:hAnsi="Tahoma" w:cs="Tahoma"/>
          <w:b/>
          <w:sz w:val="24"/>
          <w:szCs w:val="24"/>
        </w:rPr>
        <w:lastRenderedPageBreak/>
        <w:t>OŚWIADCZENIE O ZGODNOŚCI PROJEKTU USTAWY Z PRAWEM UNII EUROPEJSKIEJ</w:t>
      </w:r>
    </w:p>
    <w:p w:rsidR="006B49D0" w:rsidRPr="00FA179F" w:rsidRDefault="006B49D0" w:rsidP="006B49D0">
      <w:pPr>
        <w:widowControl w:val="0"/>
        <w:spacing w:after="388" w:line="360" w:lineRule="auto"/>
        <w:jc w:val="both"/>
        <w:rPr>
          <w:rFonts w:ascii="Tahoma" w:eastAsia="Calibri" w:hAnsi="Tahoma" w:cs="Tahoma"/>
          <w:b/>
          <w:bCs/>
          <w:sz w:val="24"/>
          <w:szCs w:val="24"/>
        </w:rPr>
      </w:pPr>
      <w:r w:rsidRPr="00FA179F">
        <w:rPr>
          <w:rFonts w:ascii="Tahoma" w:eastAsia="Calibri" w:hAnsi="Tahoma" w:cs="Tahoma"/>
          <w:bCs/>
          <w:sz w:val="24"/>
          <w:szCs w:val="24"/>
        </w:rPr>
        <w:t>Projekt proponowanych zmian ustawy nie jest sprzeczny z prawem Unii Europejskiej.</w:t>
      </w:r>
    </w:p>
    <w:p w:rsidR="006B49D0" w:rsidRPr="00FA179F" w:rsidRDefault="006B49D0" w:rsidP="006B49D0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:rsidR="006B49D0" w:rsidRPr="00FA179F" w:rsidRDefault="006B49D0" w:rsidP="006B49D0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:rsidR="006B49D0" w:rsidRPr="00FA179F" w:rsidRDefault="006B49D0" w:rsidP="006B49D0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:rsidR="00736D2E" w:rsidRPr="006B49D0" w:rsidRDefault="003F4CCC" w:rsidP="006B49D0"/>
    <w:sectPr w:rsidR="00736D2E" w:rsidRPr="006B49D0" w:rsidSect="000D06DE">
      <w:pgSz w:w="11906" w:h="16838"/>
      <w:pgMar w:top="993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9D0" w:rsidRDefault="006B49D0" w:rsidP="006B49D0">
      <w:pPr>
        <w:spacing w:after="0" w:line="240" w:lineRule="auto"/>
      </w:pPr>
      <w:r>
        <w:separator/>
      </w:r>
    </w:p>
  </w:endnote>
  <w:endnote w:type="continuationSeparator" w:id="0">
    <w:p w:rsidR="006B49D0" w:rsidRDefault="006B49D0" w:rsidP="006B4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9D0" w:rsidRDefault="006B49D0" w:rsidP="006B49D0">
      <w:pPr>
        <w:spacing w:after="0" w:line="240" w:lineRule="auto"/>
      </w:pPr>
      <w:r>
        <w:separator/>
      </w:r>
    </w:p>
  </w:footnote>
  <w:footnote w:type="continuationSeparator" w:id="0">
    <w:p w:rsidR="006B49D0" w:rsidRDefault="006B49D0" w:rsidP="006B49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94788"/>
    <w:multiLevelType w:val="hybridMultilevel"/>
    <w:tmpl w:val="4D96D3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AA223A"/>
    <w:multiLevelType w:val="hybridMultilevel"/>
    <w:tmpl w:val="4D96D3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9D0"/>
    <w:rsid w:val="003F4CCC"/>
    <w:rsid w:val="00673292"/>
    <w:rsid w:val="006B49D0"/>
    <w:rsid w:val="00C8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49D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6B49D0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6B49D0"/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2"/>
    <w:qFormat/>
    <w:rsid w:val="006B49D0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6B49D0"/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3"/>
    <w:qFormat/>
    <w:rsid w:val="006B49D0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6B49D0"/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B49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49D0"/>
  </w:style>
  <w:style w:type="paragraph" w:styleId="Stopka">
    <w:name w:val="footer"/>
    <w:basedOn w:val="Normalny"/>
    <w:link w:val="StopkaZnak"/>
    <w:uiPriority w:val="99"/>
    <w:unhideWhenUsed/>
    <w:rsid w:val="006B49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49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49D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6B49D0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6B49D0"/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2"/>
    <w:qFormat/>
    <w:rsid w:val="006B49D0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6B49D0"/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3"/>
    <w:qFormat/>
    <w:rsid w:val="006B49D0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6B49D0"/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B49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49D0"/>
  </w:style>
  <w:style w:type="paragraph" w:styleId="Stopka">
    <w:name w:val="footer"/>
    <w:basedOn w:val="Normalny"/>
    <w:link w:val="StopkaZnak"/>
    <w:uiPriority w:val="99"/>
    <w:unhideWhenUsed/>
    <w:rsid w:val="006B49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4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1055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Szewczak</dc:creator>
  <cp:lastModifiedBy>Ewa A. Genert</cp:lastModifiedBy>
  <cp:revision>2</cp:revision>
  <dcterms:created xsi:type="dcterms:W3CDTF">2016-07-01T10:01:00Z</dcterms:created>
  <dcterms:modified xsi:type="dcterms:W3CDTF">2016-07-01T10:01:00Z</dcterms:modified>
</cp:coreProperties>
</file>