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8CD" w:rsidRPr="00A50142" w:rsidRDefault="000F08CD" w:rsidP="00A50142">
      <w:pPr>
        <w:widowControl w:val="0"/>
        <w:autoSpaceDE w:val="0"/>
        <w:autoSpaceDN w:val="0"/>
        <w:adjustRightInd w:val="0"/>
        <w:spacing w:after="0" w:line="40" w:lineRule="atLeast"/>
        <w:jc w:val="center"/>
        <w:rPr>
          <w:rFonts w:ascii="Times New Roman" w:eastAsia="Times New Roman" w:hAnsi="Times New Roman" w:cs="Helvetica"/>
          <w:i/>
          <w:color w:val="000000"/>
          <w:sz w:val="24"/>
          <w:szCs w:val="24"/>
          <w:lang w:eastAsia="pl-PL"/>
        </w:rPr>
      </w:pPr>
    </w:p>
    <w:p w:rsidR="00A50142" w:rsidRPr="00A50142" w:rsidRDefault="00A50142" w:rsidP="00A50142">
      <w:pPr>
        <w:widowControl w:val="0"/>
        <w:autoSpaceDE w:val="0"/>
        <w:autoSpaceDN w:val="0"/>
        <w:adjustRightInd w:val="0"/>
        <w:spacing w:after="0" w:line="40" w:lineRule="atLeast"/>
        <w:rPr>
          <w:rFonts w:ascii="Times New Roman" w:eastAsia="Times New Roman" w:hAnsi="Times New Roman" w:cs="Helvetica"/>
          <w:i/>
          <w:color w:val="000000"/>
          <w:sz w:val="28"/>
          <w:szCs w:val="28"/>
          <w:lang w:eastAsia="pl-PL"/>
        </w:rPr>
      </w:pPr>
    </w:p>
    <w:p w:rsidR="00A50142" w:rsidRPr="00A50142" w:rsidRDefault="00A50142" w:rsidP="00A50142">
      <w:pPr>
        <w:widowControl w:val="0"/>
        <w:autoSpaceDE w:val="0"/>
        <w:autoSpaceDN w:val="0"/>
        <w:adjustRightInd w:val="0"/>
        <w:spacing w:after="0" w:line="40" w:lineRule="atLeast"/>
        <w:jc w:val="center"/>
        <w:rPr>
          <w:rFonts w:ascii="Times New Roman" w:eastAsia="Times New Roman" w:hAnsi="Times New Roman" w:cs="Helvetica"/>
          <w:i/>
          <w:color w:val="000000"/>
          <w:sz w:val="28"/>
          <w:szCs w:val="28"/>
          <w:lang w:eastAsia="pl-PL"/>
        </w:rPr>
      </w:pPr>
      <w:r w:rsidRPr="00A50142">
        <w:rPr>
          <w:rFonts w:ascii="Times New Roman" w:eastAsia="Times New Roman" w:hAnsi="Times New Roman" w:cs="Helvetica"/>
          <w:i/>
          <w:color w:val="000000"/>
          <w:sz w:val="28"/>
          <w:szCs w:val="28"/>
          <w:lang w:eastAsia="pl-PL"/>
        </w:rPr>
        <w:t xml:space="preserve">Stanowisko Rządu </w:t>
      </w:r>
    </w:p>
    <w:p w:rsidR="00A50142" w:rsidRPr="00A50142" w:rsidRDefault="00A50142" w:rsidP="00A50142">
      <w:pPr>
        <w:widowControl w:val="0"/>
        <w:autoSpaceDE w:val="0"/>
        <w:autoSpaceDN w:val="0"/>
        <w:adjustRightInd w:val="0"/>
        <w:spacing w:after="0" w:line="40" w:lineRule="atLeast"/>
        <w:jc w:val="center"/>
        <w:rPr>
          <w:rFonts w:ascii="Times New Roman" w:eastAsia="Times New Roman" w:hAnsi="Times New Roman" w:cs="Helvetica"/>
          <w:i/>
          <w:color w:val="000000"/>
          <w:sz w:val="28"/>
          <w:szCs w:val="28"/>
          <w:lang w:eastAsia="pl-PL"/>
        </w:rPr>
      </w:pPr>
      <w:r>
        <w:rPr>
          <w:rFonts w:ascii="Times New Roman" w:eastAsia="Times New Roman" w:hAnsi="Times New Roman" w:cs="Helvetica"/>
          <w:i/>
          <w:color w:val="000000"/>
          <w:sz w:val="28"/>
          <w:szCs w:val="28"/>
          <w:lang w:eastAsia="pl-PL"/>
        </w:rPr>
        <w:t>wobec senackiego</w:t>
      </w:r>
      <w:r w:rsidRPr="00A50142">
        <w:rPr>
          <w:rFonts w:ascii="Times New Roman" w:eastAsia="Times New Roman" w:hAnsi="Times New Roman" w:cs="Helvetica"/>
          <w:i/>
          <w:color w:val="000000"/>
          <w:sz w:val="28"/>
          <w:szCs w:val="28"/>
          <w:lang w:eastAsia="pl-PL"/>
        </w:rPr>
        <w:t xml:space="preserve"> projektu ustawy </w:t>
      </w:r>
    </w:p>
    <w:p w:rsidR="00A50142" w:rsidRPr="00A50142" w:rsidRDefault="00A50142" w:rsidP="00A50142">
      <w:pPr>
        <w:widowControl w:val="0"/>
        <w:autoSpaceDE w:val="0"/>
        <w:autoSpaceDN w:val="0"/>
        <w:adjustRightInd w:val="0"/>
        <w:spacing w:after="0" w:line="40" w:lineRule="atLeast"/>
        <w:jc w:val="center"/>
        <w:rPr>
          <w:rFonts w:ascii="Times New Roman" w:eastAsia="Times New Roman" w:hAnsi="Times New Roman" w:cs="Helvetica"/>
          <w:i/>
          <w:color w:val="000000"/>
          <w:sz w:val="28"/>
          <w:szCs w:val="28"/>
          <w:lang w:eastAsia="pl-PL"/>
        </w:rPr>
      </w:pPr>
      <w:r w:rsidRPr="00A50142">
        <w:rPr>
          <w:rFonts w:ascii="Times New Roman" w:eastAsia="Times New Roman" w:hAnsi="Times New Roman" w:cs="Helvetica"/>
          <w:i/>
          <w:color w:val="000000"/>
          <w:sz w:val="28"/>
          <w:szCs w:val="28"/>
          <w:lang w:eastAsia="pl-PL"/>
        </w:rPr>
        <w:t xml:space="preserve">o zmianie ustawy – Kodeks postępowania cywilnego </w:t>
      </w:r>
    </w:p>
    <w:p w:rsidR="00A50142" w:rsidRPr="00A50142" w:rsidRDefault="00A50142" w:rsidP="00A50142">
      <w:pPr>
        <w:widowControl w:val="0"/>
        <w:autoSpaceDE w:val="0"/>
        <w:autoSpaceDN w:val="0"/>
        <w:adjustRightInd w:val="0"/>
        <w:spacing w:after="0" w:line="40" w:lineRule="atLeast"/>
        <w:jc w:val="center"/>
        <w:rPr>
          <w:rFonts w:ascii="Times New Roman" w:eastAsia="Times New Roman" w:hAnsi="Times New Roman" w:cs="Helvetica"/>
          <w:i/>
          <w:color w:val="000000"/>
          <w:sz w:val="28"/>
          <w:szCs w:val="28"/>
          <w:lang w:eastAsia="pl-PL"/>
        </w:rPr>
      </w:pPr>
      <w:r>
        <w:rPr>
          <w:rFonts w:ascii="Times New Roman" w:eastAsia="Times New Roman" w:hAnsi="Times New Roman" w:cs="Helvetica"/>
          <w:i/>
          <w:color w:val="000000"/>
          <w:sz w:val="28"/>
          <w:szCs w:val="28"/>
          <w:lang w:eastAsia="pl-PL"/>
        </w:rPr>
        <w:t>(druk sejmowy nr 2769</w:t>
      </w:r>
      <w:r w:rsidR="000F08CD">
        <w:rPr>
          <w:rFonts w:ascii="Times New Roman" w:eastAsia="Times New Roman" w:hAnsi="Times New Roman" w:cs="Helvetica"/>
          <w:i/>
          <w:color w:val="000000"/>
          <w:sz w:val="28"/>
          <w:szCs w:val="28"/>
          <w:lang w:eastAsia="pl-PL"/>
        </w:rPr>
        <w:t>)</w:t>
      </w:r>
    </w:p>
    <w:p w:rsidR="00A50142" w:rsidRPr="00A50142" w:rsidRDefault="00A50142" w:rsidP="00A50142">
      <w:pPr>
        <w:widowControl w:val="0"/>
        <w:autoSpaceDE w:val="0"/>
        <w:autoSpaceDN w:val="0"/>
        <w:adjustRightInd w:val="0"/>
        <w:spacing w:after="0" w:line="40" w:lineRule="atLeast"/>
        <w:jc w:val="both"/>
        <w:rPr>
          <w:rFonts w:ascii="Times New Roman" w:eastAsia="Times New Roman" w:hAnsi="Times New Roman" w:cs="Helvetica"/>
          <w:color w:val="000000"/>
          <w:sz w:val="28"/>
          <w:szCs w:val="28"/>
          <w:lang w:eastAsia="pl-PL"/>
        </w:rPr>
      </w:pPr>
    </w:p>
    <w:p w:rsidR="00A50142" w:rsidRDefault="00A50142" w:rsidP="00A50142">
      <w:pPr>
        <w:rPr>
          <w:rFonts w:ascii="Times New Roman" w:hAnsi="Times New Roman" w:cs="Times New Roman"/>
          <w:sz w:val="24"/>
          <w:szCs w:val="24"/>
        </w:rPr>
      </w:pPr>
      <w:bookmarkStart w:id="0" w:name="_GoBack"/>
      <w:bookmarkEnd w:id="0"/>
    </w:p>
    <w:p w:rsidR="00A50142" w:rsidRPr="002B32CC" w:rsidRDefault="00A50142" w:rsidP="002B32CC">
      <w:pPr>
        <w:spacing w:after="0" w:line="360" w:lineRule="auto"/>
        <w:ind w:firstLine="708"/>
        <w:jc w:val="both"/>
        <w:rPr>
          <w:rFonts w:ascii="Times New Roman" w:hAnsi="Times New Roman" w:cs="Times New Roman"/>
          <w:b/>
          <w:sz w:val="24"/>
          <w:szCs w:val="24"/>
        </w:rPr>
      </w:pPr>
      <w:r w:rsidRPr="00A50142">
        <w:rPr>
          <w:rFonts w:ascii="Times New Roman" w:hAnsi="Times New Roman" w:cs="Times New Roman"/>
          <w:b/>
          <w:sz w:val="24"/>
          <w:szCs w:val="24"/>
        </w:rPr>
        <w:t>I. Przedmiot projektu ustawy i istota projektowanej zmiany.</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Projektowana ustawa o zmianie ustawy – Kodeks postępowania cywilnego ma celu dostosowanie prawa do wyroku Trybunału Konstytucyjnego z dnia 3 października 2017 r. (sygn. akt SK 31/15), stwie</w:t>
      </w:r>
      <w:r>
        <w:rPr>
          <w:rFonts w:ascii="Times New Roman" w:hAnsi="Times New Roman" w:cs="Times New Roman"/>
          <w:sz w:val="24"/>
          <w:szCs w:val="24"/>
        </w:rPr>
        <w:t>rdzającego niezgodność art. 778</w:t>
      </w:r>
      <w:r>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ustawy z dn</w:t>
      </w:r>
      <w:r w:rsidR="002B32CC">
        <w:rPr>
          <w:rFonts w:ascii="Times New Roman" w:hAnsi="Times New Roman" w:cs="Times New Roman"/>
          <w:sz w:val="24"/>
          <w:szCs w:val="24"/>
        </w:rPr>
        <w:t>ia 17 listopada</w:t>
      </w:r>
      <w:r>
        <w:rPr>
          <w:rFonts w:ascii="Times New Roman" w:hAnsi="Times New Roman" w:cs="Times New Roman"/>
          <w:sz w:val="24"/>
          <w:szCs w:val="24"/>
        </w:rPr>
        <w:t xml:space="preserve"> </w:t>
      </w:r>
      <w:r w:rsidR="002B32CC">
        <w:rPr>
          <w:rFonts w:ascii="Times New Roman" w:hAnsi="Times New Roman" w:cs="Times New Roman"/>
          <w:sz w:val="24"/>
          <w:szCs w:val="24"/>
        </w:rPr>
        <w:br/>
      </w:r>
      <w:r w:rsidRPr="00A50142">
        <w:rPr>
          <w:rFonts w:ascii="Times New Roman" w:hAnsi="Times New Roman" w:cs="Times New Roman"/>
          <w:sz w:val="24"/>
          <w:szCs w:val="24"/>
        </w:rPr>
        <w:t>1964 r. – Kodeks postępowania cywilnego</w:t>
      </w:r>
      <w:r w:rsidRPr="00A50142">
        <w:t xml:space="preserve"> </w:t>
      </w:r>
      <w:r>
        <w:t>(</w:t>
      </w:r>
      <w:r w:rsidRPr="00A50142">
        <w:rPr>
          <w:rFonts w:ascii="Times New Roman" w:hAnsi="Times New Roman" w:cs="Times New Roman"/>
          <w:sz w:val="24"/>
          <w:szCs w:val="24"/>
        </w:rPr>
        <w:t>Dz.</w:t>
      </w:r>
      <w:r>
        <w:rPr>
          <w:rFonts w:ascii="Times New Roman" w:hAnsi="Times New Roman" w:cs="Times New Roman"/>
          <w:sz w:val="24"/>
          <w:szCs w:val="24"/>
        </w:rPr>
        <w:t xml:space="preserve"> </w:t>
      </w:r>
      <w:r w:rsidRPr="00A50142">
        <w:rPr>
          <w:rFonts w:ascii="Times New Roman" w:hAnsi="Times New Roman" w:cs="Times New Roman"/>
          <w:sz w:val="24"/>
          <w:szCs w:val="24"/>
        </w:rPr>
        <w:t>U.</w:t>
      </w:r>
      <w:r>
        <w:rPr>
          <w:rFonts w:ascii="Times New Roman" w:hAnsi="Times New Roman" w:cs="Times New Roman"/>
          <w:sz w:val="24"/>
          <w:szCs w:val="24"/>
        </w:rPr>
        <w:t xml:space="preserve"> z 2018 r. poz. </w:t>
      </w:r>
      <w:r w:rsidRPr="00A50142">
        <w:rPr>
          <w:rFonts w:ascii="Times New Roman" w:hAnsi="Times New Roman" w:cs="Times New Roman"/>
          <w:sz w:val="24"/>
          <w:szCs w:val="24"/>
        </w:rPr>
        <w:t>1360</w:t>
      </w:r>
      <w:r w:rsidR="00FE5276">
        <w:rPr>
          <w:rFonts w:ascii="Times New Roman" w:hAnsi="Times New Roman" w:cs="Times New Roman"/>
          <w:sz w:val="24"/>
          <w:szCs w:val="24"/>
        </w:rPr>
        <w:t>, z późn. zm.</w:t>
      </w:r>
      <w:r>
        <w:rPr>
          <w:rFonts w:ascii="Times New Roman" w:hAnsi="Times New Roman" w:cs="Times New Roman"/>
          <w:sz w:val="24"/>
          <w:szCs w:val="24"/>
        </w:rPr>
        <w:t>)</w:t>
      </w:r>
      <w:r w:rsidRPr="00A50142">
        <w:rPr>
          <w:rFonts w:ascii="Times New Roman" w:hAnsi="Times New Roman" w:cs="Times New Roman"/>
          <w:sz w:val="24"/>
          <w:szCs w:val="24"/>
        </w:rPr>
        <w:t xml:space="preserve">, dalej zwanej </w:t>
      </w:r>
      <w:r w:rsidR="000F08CD">
        <w:rPr>
          <w:rFonts w:ascii="Times New Roman" w:hAnsi="Times New Roman" w:cs="Times New Roman"/>
          <w:sz w:val="24"/>
          <w:szCs w:val="24"/>
        </w:rPr>
        <w:t>„</w:t>
      </w:r>
      <w:r w:rsidRPr="00A50142">
        <w:rPr>
          <w:rFonts w:ascii="Times New Roman" w:hAnsi="Times New Roman" w:cs="Times New Roman"/>
          <w:sz w:val="24"/>
          <w:szCs w:val="24"/>
        </w:rPr>
        <w:t>k.p.c.</w:t>
      </w:r>
      <w:r w:rsidR="000F08CD">
        <w:rPr>
          <w:rFonts w:ascii="Times New Roman" w:hAnsi="Times New Roman" w:cs="Times New Roman"/>
          <w:sz w:val="24"/>
          <w:szCs w:val="24"/>
        </w:rPr>
        <w:t>”</w:t>
      </w:r>
      <w:r w:rsidRPr="00A50142">
        <w:rPr>
          <w:rFonts w:ascii="Times New Roman" w:hAnsi="Times New Roman" w:cs="Times New Roman"/>
          <w:sz w:val="24"/>
          <w:szCs w:val="24"/>
        </w:rPr>
        <w:t>, z Konstytu</w:t>
      </w:r>
      <w:r>
        <w:rPr>
          <w:rFonts w:ascii="Times New Roman" w:hAnsi="Times New Roman" w:cs="Times New Roman"/>
          <w:sz w:val="24"/>
          <w:szCs w:val="24"/>
        </w:rPr>
        <w:t xml:space="preserve">cją Rzeczypospolitej Polskiej. </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Trybunał Ko</w:t>
      </w:r>
      <w:r>
        <w:rPr>
          <w:rFonts w:ascii="Times New Roman" w:hAnsi="Times New Roman" w:cs="Times New Roman"/>
          <w:sz w:val="24"/>
          <w:szCs w:val="24"/>
        </w:rPr>
        <w:t>nstytucyjny orzekł, że art. 778</w:t>
      </w:r>
      <w:r>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k.p.c. w zakresie w jakim dopuszcza nadanie przez sąd tytułowi egzekucyjnemu, wydanemu przeciwko spółce jawnej, klauzuli wykonalności przeciwko byłemu wspólnikowi tej spółk</w:t>
      </w:r>
      <w:r>
        <w:rPr>
          <w:rFonts w:ascii="Times New Roman" w:hAnsi="Times New Roman" w:cs="Times New Roman"/>
          <w:sz w:val="24"/>
          <w:szCs w:val="24"/>
        </w:rPr>
        <w:t xml:space="preserve">i, niebędącemu już wspólnikiem </w:t>
      </w:r>
      <w:r>
        <w:rPr>
          <w:rFonts w:ascii="Times New Roman" w:hAnsi="Times New Roman" w:cs="Times New Roman"/>
          <w:sz w:val="24"/>
          <w:szCs w:val="24"/>
        </w:rPr>
        <w:br/>
      </w:r>
      <w:r w:rsidRPr="00A50142">
        <w:rPr>
          <w:rFonts w:ascii="Times New Roman" w:hAnsi="Times New Roman" w:cs="Times New Roman"/>
          <w:sz w:val="24"/>
          <w:szCs w:val="24"/>
        </w:rPr>
        <w:t xml:space="preserve">w chwili wszczęcia postępowania w sprawie, w której wydany został tytuł egzekucyjny przeciwko spółce jawnej, jest niezgodny z art. 45 ust. 1 i art. 77 ust. 2 Konstytucji Rzeczypospolitej Polskiej. </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Należy wskazać, że w uzasadnieniu powołanego wyżej wyroku Trybunał Konstytucyjny stwierdził, że w świetle obecnie obowiązujących przepisów możliwość rozszerzenia klauzuli wykonalności przeciwko byłemu wspólnikowi spółki jawnej, partnerskiej, komandytowej lub komandytowo-akcyjnej pozbawia go dostępu do sądu niejako ex post, ponieważ były wspólnik nie uczestniczy w postępowaniu rozpoznawczym prowadzącym do wydania wyroku, któremu nadawana jest klauzula wykonalności. Na podstawie wyroku zaopatrzonego w klauzulę wykonalności, to jest tytułu wykonawczego możliwe jest prowadzenie przeciwko byłemu wspólniko</w:t>
      </w:r>
      <w:r>
        <w:rPr>
          <w:rFonts w:ascii="Times New Roman" w:hAnsi="Times New Roman" w:cs="Times New Roman"/>
          <w:sz w:val="24"/>
          <w:szCs w:val="24"/>
        </w:rPr>
        <w:t xml:space="preserve">wi postępowania egzekucyjnego. </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 xml:space="preserve">W konsekwencji, w obecnym stanie prawnym, były wspólnik spółek osobowych nie może dochodzić przed sądem swoich praw, zaś na etapie postępowania egzekucyjnego nie dysponuje już środkami procesowymi, które umożliwiają podniesienie zarzutów przeciwko </w:t>
      </w:r>
      <w:r w:rsidRPr="00A50142">
        <w:rPr>
          <w:rFonts w:ascii="Times New Roman" w:hAnsi="Times New Roman" w:cs="Times New Roman"/>
          <w:sz w:val="24"/>
          <w:szCs w:val="24"/>
        </w:rPr>
        <w:lastRenderedPageBreak/>
        <w:t>roszczeniu dochodzonemu przez wierzyciela od spółki. Byłemu wspólnikowi przysługuje wprawdzie zażalenie na postanowienie sądu w przedmiocie nadania klauzuli wykonalności, jednakże co istotne, w postępowaniu zażaleniowym dłużnik nie może podnosić zarzutów odnoszących się d</w:t>
      </w:r>
      <w:r>
        <w:rPr>
          <w:rFonts w:ascii="Times New Roman" w:hAnsi="Times New Roman" w:cs="Times New Roman"/>
          <w:sz w:val="24"/>
          <w:szCs w:val="24"/>
        </w:rPr>
        <w:t xml:space="preserve">o postępowania rozpoznawczego. </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Również powództwo przeciwegzekucyjne przewidziane w art. 840 k.p.c. nie pozwala byłemu wspólnikowi na możliwość podjęcia skutecznej obrony, jako że nie służy podważeniu tytułu egzekucyjnego z uwagi na okoliczności, które mogły lub powinny były zostać przedstawione sądowi w pos</w:t>
      </w:r>
      <w:r>
        <w:rPr>
          <w:rFonts w:ascii="Times New Roman" w:hAnsi="Times New Roman" w:cs="Times New Roman"/>
          <w:sz w:val="24"/>
          <w:szCs w:val="24"/>
        </w:rPr>
        <w:t xml:space="preserve">tępowaniu rozpoznawczym. </w:t>
      </w:r>
    </w:p>
    <w:p w:rsid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Zatem instytucja przewidziana w</w:t>
      </w:r>
      <w:r w:rsidR="002B32CC">
        <w:rPr>
          <w:rFonts w:ascii="Times New Roman" w:hAnsi="Times New Roman" w:cs="Times New Roman"/>
          <w:sz w:val="24"/>
          <w:szCs w:val="24"/>
        </w:rPr>
        <w:t xml:space="preserve"> obecnie obowiązującym art. 778</w:t>
      </w:r>
      <w:r w:rsidR="002B32CC">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k.p.c. tzw. rozszerzenia wykonalności tytułu egzekucyjnego wydanego przeciwko spółce wobec byłego wspólnika tej spółki nie zasługuje na akceptację. Powoduje zamknięcie drogi do sądu - niedopuszczalne w świetle art. 77 ust. 2 Konstytucji oraz pozbawienie możliwości obrony swych praw majątkowych – sprzeczne z art. 64 ust. 1 Konstytucji, a także naruszenie prawa do odpowiednio ukształtowanej procedury niezgodne z art. 45 </w:t>
      </w:r>
      <w:r>
        <w:rPr>
          <w:rFonts w:ascii="Times New Roman" w:hAnsi="Times New Roman" w:cs="Times New Roman"/>
          <w:sz w:val="24"/>
          <w:szCs w:val="24"/>
        </w:rPr>
        <w:t>ust. 1 Konstytucji.</w:t>
      </w:r>
    </w:p>
    <w:p w:rsidR="002B32CC" w:rsidRDefault="002B32CC" w:rsidP="00A50142">
      <w:pPr>
        <w:spacing w:after="0" w:line="360" w:lineRule="auto"/>
        <w:ind w:firstLine="708"/>
        <w:jc w:val="both"/>
        <w:rPr>
          <w:rFonts w:ascii="Times New Roman" w:hAnsi="Times New Roman" w:cs="Times New Roman"/>
          <w:sz w:val="24"/>
          <w:szCs w:val="24"/>
        </w:rPr>
      </w:pPr>
    </w:p>
    <w:p w:rsidR="00A50142" w:rsidRDefault="00A50142" w:rsidP="00A50142">
      <w:pPr>
        <w:spacing w:after="0" w:line="360" w:lineRule="auto"/>
        <w:ind w:firstLine="708"/>
        <w:jc w:val="both"/>
        <w:rPr>
          <w:rFonts w:ascii="Times New Roman" w:hAnsi="Times New Roman" w:cs="Times New Roman"/>
          <w:b/>
          <w:sz w:val="24"/>
          <w:szCs w:val="24"/>
        </w:rPr>
      </w:pPr>
      <w:r w:rsidRPr="00A50142">
        <w:rPr>
          <w:rFonts w:ascii="Times New Roman" w:hAnsi="Times New Roman" w:cs="Times New Roman"/>
          <w:b/>
          <w:sz w:val="24"/>
          <w:szCs w:val="24"/>
        </w:rPr>
        <w:t>II. Uwagi szczegółowe.</w:t>
      </w:r>
    </w:p>
    <w:p w:rsidR="00A50142" w:rsidRDefault="00A50142" w:rsidP="00A50142">
      <w:pPr>
        <w:spacing w:after="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Art. 778</w:t>
      </w:r>
      <w:r>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k.p.c. w obecnym brzmieniu stanowi, że tytułowi egzekucyjnemu wydanemu przeciwko spółce jawnej, spółce partnerskiej, spółce komandytowej lub spółce komandytowo-akcyjnej sąd nadaje klauzulę wykonalności przeciwko wspólnikowi ponoszącemu odpowiedzialność bez ograniczenia całym swoim majątkiem za zobowiązania spółki, jeżeli egzekucja przeciwko spółce okaże się bezskuteczna, jak również wtedy, gdy jest oczywiste, że egzekucja ta będzie bezskuteczna.</w:t>
      </w:r>
    </w:p>
    <w:p w:rsidR="00A50142" w:rsidRPr="00A50142" w:rsidRDefault="00A50142" w:rsidP="00A50142">
      <w:pPr>
        <w:spacing w:after="0" w:line="360" w:lineRule="auto"/>
        <w:ind w:firstLine="708"/>
        <w:jc w:val="both"/>
        <w:rPr>
          <w:rFonts w:ascii="Times New Roman" w:hAnsi="Times New Roman" w:cs="Times New Roman"/>
          <w:b/>
          <w:sz w:val="24"/>
          <w:szCs w:val="24"/>
        </w:rPr>
      </w:pPr>
      <w:r w:rsidRPr="00A50142">
        <w:rPr>
          <w:rFonts w:ascii="Times New Roman" w:hAnsi="Times New Roman" w:cs="Times New Roman"/>
          <w:sz w:val="24"/>
          <w:szCs w:val="24"/>
        </w:rPr>
        <w:t xml:space="preserve">W art. 1 </w:t>
      </w:r>
      <w:r w:rsidRPr="00A50142">
        <w:rPr>
          <w:rFonts w:ascii="Times New Roman" w:hAnsi="Times New Roman" w:cs="Times New Roman"/>
          <w:i/>
          <w:sz w:val="24"/>
          <w:szCs w:val="24"/>
        </w:rPr>
        <w:t>projektu</w:t>
      </w:r>
      <w:r w:rsidRPr="00A50142">
        <w:rPr>
          <w:rFonts w:ascii="Times New Roman" w:hAnsi="Times New Roman" w:cs="Times New Roman"/>
          <w:sz w:val="24"/>
          <w:szCs w:val="24"/>
        </w:rPr>
        <w:t xml:space="preserve"> wskazano, że w ustawie Kodeks po</w:t>
      </w:r>
      <w:r w:rsidR="002B32CC">
        <w:rPr>
          <w:rFonts w:ascii="Times New Roman" w:hAnsi="Times New Roman" w:cs="Times New Roman"/>
          <w:sz w:val="24"/>
          <w:szCs w:val="24"/>
        </w:rPr>
        <w:t>stępowania cywilnego w art. 778</w:t>
      </w:r>
      <w:r w:rsidR="002B32CC">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k.p.c. dodaje się zdanie drugie w brzmieniu:</w:t>
      </w:r>
    </w:p>
    <w:p w:rsidR="00A50142" w:rsidRPr="00A50142" w:rsidRDefault="00A50142" w:rsidP="002B32CC">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„Nie dotyczy to osoby, która w chwili wszczęcia postępowania w sprawie, w której został wydany tytuł egzekucyjny przeciwko spółce nie była już jej wspólnikiem.</w:t>
      </w:r>
      <w:r w:rsidR="002B32CC">
        <w:rPr>
          <w:rFonts w:ascii="Times New Roman" w:hAnsi="Times New Roman" w:cs="Times New Roman"/>
          <w:sz w:val="24"/>
          <w:szCs w:val="24"/>
        </w:rPr>
        <w:t>”.</w:t>
      </w:r>
    </w:p>
    <w:p w:rsidR="00A50142" w:rsidRPr="00A50142" w:rsidRDefault="00A50142" w:rsidP="00A50142">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 xml:space="preserve">Art. 2 </w:t>
      </w:r>
      <w:r w:rsidRPr="00A50142">
        <w:rPr>
          <w:rFonts w:ascii="Times New Roman" w:hAnsi="Times New Roman" w:cs="Times New Roman"/>
          <w:i/>
          <w:sz w:val="24"/>
          <w:szCs w:val="24"/>
        </w:rPr>
        <w:t>projektu</w:t>
      </w:r>
      <w:r w:rsidRPr="00A50142">
        <w:rPr>
          <w:rFonts w:ascii="Times New Roman" w:hAnsi="Times New Roman" w:cs="Times New Roman"/>
          <w:sz w:val="24"/>
          <w:szCs w:val="24"/>
        </w:rPr>
        <w:t xml:space="preserve"> stanowi, że do postępowań o nadanie klauzuli wykonalności przeciwko wspólnikowi spółki partnerskiej, spółki komandytowej lub spółki komandytowo-akcyjnej wszczętych przed dniem wejścia w życie niniejszej usta</w:t>
      </w:r>
      <w:r w:rsidR="002B32CC">
        <w:rPr>
          <w:rFonts w:ascii="Times New Roman" w:hAnsi="Times New Roman" w:cs="Times New Roman"/>
          <w:sz w:val="24"/>
          <w:szCs w:val="24"/>
        </w:rPr>
        <w:t>wy stosuje się przepis art. 778</w:t>
      </w:r>
      <w:r w:rsidR="002B32CC">
        <w:rPr>
          <w:rFonts w:ascii="Times New Roman" w:hAnsi="Times New Roman" w:cs="Times New Roman"/>
          <w:sz w:val="24"/>
          <w:szCs w:val="24"/>
          <w:vertAlign w:val="superscript"/>
        </w:rPr>
        <w:t>1</w:t>
      </w:r>
      <w:r w:rsidRPr="00A50142">
        <w:rPr>
          <w:rFonts w:ascii="Times New Roman" w:hAnsi="Times New Roman" w:cs="Times New Roman"/>
          <w:sz w:val="24"/>
          <w:szCs w:val="24"/>
        </w:rPr>
        <w:t xml:space="preserve"> ustawy zmienianej w art. 1 w brzmieniu nadanym niniejszą ustawą. </w:t>
      </w:r>
    </w:p>
    <w:p w:rsidR="002B32CC" w:rsidRDefault="00A50142" w:rsidP="002B32CC">
      <w:pPr>
        <w:spacing w:after="0" w:line="360" w:lineRule="auto"/>
        <w:ind w:firstLine="708"/>
        <w:jc w:val="both"/>
        <w:rPr>
          <w:rFonts w:ascii="Times New Roman" w:hAnsi="Times New Roman" w:cs="Times New Roman"/>
          <w:sz w:val="24"/>
          <w:szCs w:val="24"/>
        </w:rPr>
      </w:pPr>
      <w:r w:rsidRPr="00A50142">
        <w:rPr>
          <w:rFonts w:ascii="Times New Roman" w:hAnsi="Times New Roman" w:cs="Times New Roman"/>
          <w:sz w:val="24"/>
          <w:szCs w:val="24"/>
        </w:rPr>
        <w:t xml:space="preserve">W art. 3 </w:t>
      </w:r>
      <w:r w:rsidRPr="00A50142">
        <w:rPr>
          <w:rFonts w:ascii="Times New Roman" w:hAnsi="Times New Roman" w:cs="Times New Roman"/>
          <w:i/>
          <w:sz w:val="24"/>
          <w:szCs w:val="24"/>
        </w:rPr>
        <w:t xml:space="preserve">projektu </w:t>
      </w:r>
      <w:r w:rsidRPr="00A50142">
        <w:rPr>
          <w:rFonts w:ascii="Times New Roman" w:hAnsi="Times New Roman" w:cs="Times New Roman"/>
          <w:sz w:val="24"/>
          <w:szCs w:val="24"/>
        </w:rPr>
        <w:t xml:space="preserve">przewidziano, że ustawa wchodzi w życie po upływie 14 dni od dnia ogłoszenia. </w:t>
      </w:r>
    </w:p>
    <w:p w:rsidR="002B32CC" w:rsidRDefault="002B32CC" w:rsidP="002B32CC">
      <w:pPr>
        <w:spacing w:after="0" w:line="360" w:lineRule="auto"/>
        <w:ind w:firstLine="708"/>
        <w:jc w:val="both"/>
        <w:rPr>
          <w:rFonts w:ascii="Times New Roman" w:hAnsi="Times New Roman" w:cs="Times New Roman"/>
          <w:sz w:val="24"/>
          <w:szCs w:val="24"/>
        </w:rPr>
      </w:pPr>
      <w:r w:rsidRPr="002B32CC">
        <w:rPr>
          <w:rFonts w:ascii="Times New Roman" w:hAnsi="Times New Roman" w:cs="Times New Roman"/>
          <w:sz w:val="24"/>
          <w:szCs w:val="24"/>
        </w:rPr>
        <w:t>Istotą projektowanej, zasługującej na aprobatę, zmiany jest wykluczenie możliwości nadania klauzuli wykonalności przeciwko osobie, która w chwili wszczęcia postępowania nie była już wspólnikiem spółki osobowej, nie eliminując jednocześnie całkowicie, korzystnego dla wierzycieli spółek osobowych unormowania, przewi</w:t>
      </w:r>
      <w:r>
        <w:rPr>
          <w:rFonts w:ascii="Times New Roman" w:hAnsi="Times New Roman" w:cs="Times New Roman"/>
          <w:sz w:val="24"/>
          <w:szCs w:val="24"/>
        </w:rPr>
        <w:t>dzianego w art. 778</w:t>
      </w:r>
      <w:r>
        <w:rPr>
          <w:rFonts w:ascii="Times New Roman" w:hAnsi="Times New Roman" w:cs="Times New Roman"/>
          <w:sz w:val="24"/>
          <w:szCs w:val="24"/>
          <w:vertAlign w:val="superscript"/>
        </w:rPr>
        <w:t>1</w:t>
      </w:r>
      <w:r w:rsidRPr="002B32CC">
        <w:rPr>
          <w:rFonts w:ascii="Times New Roman" w:hAnsi="Times New Roman" w:cs="Times New Roman"/>
          <w:sz w:val="24"/>
          <w:szCs w:val="24"/>
        </w:rPr>
        <w:t xml:space="preserve"> k.p.c. tzw. „rozszerzenia wykonalności” tytułu egzekucyjnego wydanego przeciwko spółce wobec wspólnika tej spółki.</w:t>
      </w:r>
    </w:p>
    <w:p w:rsidR="00A50142" w:rsidRDefault="00A50142" w:rsidP="00A5014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konsekwencji Rada Ministrów rekomenduje prowadzenie dalszych prac nad senackim </w:t>
      </w:r>
      <w:r w:rsidRPr="00A50142">
        <w:rPr>
          <w:rFonts w:ascii="Times New Roman" w:hAnsi="Times New Roman" w:cs="Times New Roman"/>
          <w:i/>
          <w:sz w:val="24"/>
          <w:szCs w:val="24"/>
        </w:rPr>
        <w:t>projektem ustawy o zmianie ustawy – Kodeks postępowania cywilnego</w:t>
      </w:r>
      <w:r>
        <w:rPr>
          <w:rFonts w:ascii="Times New Roman" w:hAnsi="Times New Roman" w:cs="Times New Roman"/>
          <w:sz w:val="24"/>
          <w:szCs w:val="24"/>
        </w:rPr>
        <w:t xml:space="preserve"> (druk sejmowy nr 2769).</w:t>
      </w: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A50142">
      <w:pPr>
        <w:spacing w:after="0" w:line="360" w:lineRule="auto"/>
        <w:ind w:firstLine="708"/>
        <w:jc w:val="both"/>
        <w:rPr>
          <w:rFonts w:ascii="Times New Roman" w:hAnsi="Times New Roman" w:cs="Times New Roman"/>
          <w:sz w:val="24"/>
          <w:szCs w:val="24"/>
        </w:rPr>
      </w:pPr>
    </w:p>
    <w:p w:rsidR="002B32CC" w:rsidRDefault="002B32CC" w:rsidP="002B32CC">
      <w:pPr>
        <w:spacing w:after="0" w:line="360" w:lineRule="auto"/>
        <w:jc w:val="both"/>
        <w:rPr>
          <w:rFonts w:ascii="Times New Roman" w:hAnsi="Times New Roman" w:cs="Times New Roman"/>
          <w:sz w:val="20"/>
          <w:szCs w:val="20"/>
        </w:rPr>
      </w:pPr>
    </w:p>
    <w:p w:rsidR="002B32CC" w:rsidRDefault="002B32CC" w:rsidP="002B32CC">
      <w:pPr>
        <w:spacing w:after="0" w:line="360" w:lineRule="auto"/>
        <w:jc w:val="both"/>
        <w:rPr>
          <w:rFonts w:ascii="Times New Roman" w:hAnsi="Times New Roman" w:cs="Times New Roman"/>
          <w:sz w:val="20"/>
          <w:szCs w:val="20"/>
        </w:rPr>
      </w:pPr>
    </w:p>
    <w:p w:rsidR="007E422C" w:rsidRPr="002B32CC" w:rsidRDefault="007E422C" w:rsidP="00A50142">
      <w:pPr>
        <w:spacing w:after="0" w:line="360" w:lineRule="auto"/>
        <w:jc w:val="both"/>
        <w:rPr>
          <w:rFonts w:ascii="Times New Roman" w:hAnsi="Times New Roman" w:cs="Times New Roman"/>
          <w:sz w:val="20"/>
          <w:szCs w:val="20"/>
        </w:rPr>
      </w:pPr>
    </w:p>
    <w:sectPr w:rsidR="007E422C" w:rsidRPr="002B32C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A5C" w:rsidRDefault="00625A5C">
      <w:pPr>
        <w:spacing w:after="0" w:line="240" w:lineRule="auto"/>
      </w:pPr>
      <w:r>
        <w:separator/>
      </w:r>
    </w:p>
  </w:endnote>
  <w:endnote w:type="continuationSeparator" w:id="0">
    <w:p w:rsidR="00625A5C" w:rsidRDefault="0062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931395"/>
      <w:docPartObj>
        <w:docPartGallery w:val="Page Numbers (Bottom of Page)"/>
        <w:docPartUnique/>
      </w:docPartObj>
    </w:sdtPr>
    <w:sdtEndPr/>
    <w:sdtContent>
      <w:p w:rsidR="002B32CC" w:rsidRDefault="002B32CC">
        <w:pPr>
          <w:pStyle w:val="Stopka"/>
          <w:jc w:val="center"/>
        </w:pPr>
        <w:r>
          <w:fldChar w:fldCharType="begin"/>
        </w:r>
        <w:r>
          <w:instrText>PAGE   \* MERGEFORMAT</w:instrText>
        </w:r>
        <w:r>
          <w:fldChar w:fldCharType="separate"/>
        </w:r>
        <w:r w:rsidR="001004CB">
          <w:rPr>
            <w:noProof/>
          </w:rPr>
          <w:t>1</w:t>
        </w:r>
        <w:r>
          <w:fldChar w:fldCharType="end"/>
        </w:r>
      </w:p>
    </w:sdtContent>
  </w:sdt>
  <w:p w:rsidR="002B32CC" w:rsidRDefault="002B32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A5C" w:rsidRDefault="00625A5C">
      <w:pPr>
        <w:spacing w:after="0" w:line="240" w:lineRule="auto"/>
      </w:pPr>
      <w:r>
        <w:separator/>
      </w:r>
    </w:p>
  </w:footnote>
  <w:footnote w:type="continuationSeparator" w:id="0">
    <w:p w:rsidR="00625A5C" w:rsidRDefault="00625A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D42"/>
    <w:rsid w:val="000C6F8D"/>
    <w:rsid w:val="000F08CD"/>
    <w:rsid w:val="001004CB"/>
    <w:rsid w:val="00127744"/>
    <w:rsid w:val="002B32CC"/>
    <w:rsid w:val="004F6D42"/>
    <w:rsid w:val="00625A5C"/>
    <w:rsid w:val="007E422C"/>
    <w:rsid w:val="009076AD"/>
    <w:rsid w:val="00A50142"/>
    <w:rsid w:val="00B06E89"/>
    <w:rsid w:val="00B55EEE"/>
    <w:rsid w:val="00D13843"/>
    <w:rsid w:val="00FE52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0F7D74"/>
  <w15:docId w15:val="{B9F38490-9D89-46DE-BBFC-14686B37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B32C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32CC"/>
  </w:style>
  <w:style w:type="paragraph" w:styleId="Stopka">
    <w:name w:val="footer"/>
    <w:basedOn w:val="Normalny"/>
    <w:link w:val="StopkaZnak"/>
    <w:uiPriority w:val="99"/>
    <w:unhideWhenUsed/>
    <w:rsid w:val="002B32C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3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022853">
      <w:bodyDiv w:val="1"/>
      <w:marLeft w:val="0"/>
      <w:marRight w:val="0"/>
      <w:marTop w:val="0"/>
      <w:marBottom w:val="0"/>
      <w:divBdr>
        <w:top w:val="none" w:sz="0" w:space="0" w:color="auto"/>
        <w:left w:val="none" w:sz="0" w:space="0" w:color="auto"/>
        <w:bottom w:val="none" w:sz="0" w:space="0" w:color="auto"/>
        <w:right w:val="none" w:sz="0" w:space="0" w:color="auto"/>
      </w:divBdr>
    </w:div>
    <w:div w:id="1036201574">
      <w:bodyDiv w:val="1"/>
      <w:marLeft w:val="0"/>
      <w:marRight w:val="0"/>
      <w:marTop w:val="0"/>
      <w:marBottom w:val="0"/>
      <w:divBdr>
        <w:top w:val="none" w:sz="0" w:space="0" w:color="auto"/>
        <w:left w:val="none" w:sz="0" w:space="0" w:color="auto"/>
        <w:bottom w:val="none" w:sz="0" w:space="0" w:color="auto"/>
        <w:right w:val="none" w:sz="0" w:space="0" w:color="auto"/>
      </w:divBdr>
      <w:divsChild>
        <w:div w:id="972179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4179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Woźniak Bartosz  (DSO)</dc:creator>
  <cp:lastModifiedBy>Grażyna D. Grabowska</cp:lastModifiedBy>
  <cp:revision>2</cp:revision>
  <dcterms:created xsi:type="dcterms:W3CDTF">2018-09-13T13:45:00Z</dcterms:created>
  <dcterms:modified xsi:type="dcterms:W3CDTF">2018-09-13T13:45:00Z</dcterms:modified>
</cp:coreProperties>
</file>