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C41" w:rsidRPr="00182043" w:rsidRDefault="00C60592" w:rsidP="00D04BA0">
      <w:pPr>
        <w:spacing w:after="0" w:line="360" w:lineRule="auto"/>
        <w:jc w:val="center"/>
        <w:rPr>
          <w:rFonts w:ascii="Times New Roman" w:hAnsi="Times New Roman" w:cs="Times New Roman"/>
          <w:sz w:val="24"/>
          <w:szCs w:val="24"/>
        </w:rPr>
      </w:pPr>
      <w:bookmarkStart w:id="0" w:name="_GoBack"/>
      <w:bookmarkEnd w:id="0"/>
      <w:r w:rsidRPr="00182043">
        <w:rPr>
          <w:rFonts w:ascii="Times New Roman" w:hAnsi="Times New Roman" w:cs="Times New Roman"/>
          <w:sz w:val="24"/>
          <w:szCs w:val="24"/>
        </w:rPr>
        <w:t>UZASADNIENIE</w:t>
      </w:r>
    </w:p>
    <w:p w:rsidR="00D04BA0" w:rsidRPr="00D04BA0" w:rsidRDefault="00D04BA0" w:rsidP="00D04BA0">
      <w:pPr>
        <w:spacing w:after="0" w:line="360" w:lineRule="auto"/>
        <w:jc w:val="center"/>
        <w:rPr>
          <w:rFonts w:ascii="Times New Roman" w:hAnsi="Times New Roman" w:cs="Times New Roman"/>
          <w:b/>
          <w:sz w:val="24"/>
          <w:szCs w:val="24"/>
        </w:rPr>
      </w:pPr>
    </w:p>
    <w:p w:rsidR="00C60592" w:rsidRPr="00D04BA0" w:rsidRDefault="00C60592" w:rsidP="00960B35">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t>Podstawowym celem projektu ustawy o zmianie ustawy o funduszach inwestycyjnych oraz niektórych innych ustaw (dalej: projekt) jest wdrożenie dyrektywy Parlamentu Europejskiego i Rady 2011/61/UE z dnia 8 czerwca 2011</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r. w sprawie zarządzających alternatywnymi funduszami inwestycyjnymi i zmiany dyrektyw 2003/41/WE i 2009/65/WE oraz rozporządzeń (WE) nr 1060/2009 i (UE) nr 1095/2010 (Dz. Urz. UE L 174 z </w:t>
      </w:r>
      <w:r w:rsidR="00196F92" w:rsidRPr="00D04BA0">
        <w:rPr>
          <w:rFonts w:ascii="Times New Roman" w:hAnsi="Times New Roman" w:cs="Times New Roman"/>
          <w:sz w:val="24"/>
          <w:szCs w:val="24"/>
        </w:rPr>
        <w:t>0</w:t>
      </w:r>
      <w:r w:rsidRPr="00D04BA0">
        <w:rPr>
          <w:rFonts w:ascii="Times New Roman" w:hAnsi="Times New Roman" w:cs="Times New Roman"/>
          <w:sz w:val="24"/>
          <w:szCs w:val="24"/>
        </w:rPr>
        <w:t>1.07.2011, str. 1) (dalej: dyrektywa ZAFI)</w:t>
      </w:r>
      <w:r w:rsidR="00F278B0" w:rsidRPr="00D04BA0">
        <w:rPr>
          <w:rFonts w:ascii="Times New Roman" w:hAnsi="Times New Roman" w:cs="Times New Roman"/>
          <w:sz w:val="24"/>
          <w:szCs w:val="24"/>
        </w:rPr>
        <w:t>, a tym samym realizacja w ramach prawa krajowego celów wyznaczonych przez prawodawcę unijnego</w:t>
      </w:r>
      <w:r w:rsidRPr="00D04BA0">
        <w:rPr>
          <w:rFonts w:ascii="Times New Roman" w:hAnsi="Times New Roman" w:cs="Times New Roman"/>
          <w:sz w:val="24"/>
          <w:szCs w:val="24"/>
        </w:rPr>
        <w:t xml:space="preserve">. </w:t>
      </w:r>
      <w:r w:rsidR="00AC132D" w:rsidRPr="00D04BA0">
        <w:rPr>
          <w:rFonts w:ascii="Times New Roman" w:hAnsi="Times New Roman" w:cs="Times New Roman"/>
          <w:sz w:val="24"/>
          <w:szCs w:val="24"/>
        </w:rPr>
        <w:t>Dodatkowo projekt wdraża dyrektywę Parlamentu Europejskiego i Rady 2014/91/UE z dnia 23 lipca 2014 r. zmieniającą dyrektywę 2009/65/WE w sprawie koordynacji przepisów ustawowych, wykonawczych</w:t>
      </w:r>
      <w:r w:rsidR="00D04BA0">
        <w:rPr>
          <w:rFonts w:ascii="Times New Roman" w:hAnsi="Times New Roman" w:cs="Times New Roman"/>
          <w:sz w:val="24"/>
          <w:szCs w:val="24"/>
        </w:rPr>
        <w:t xml:space="preserve"> </w:t>
      </w:r>
      <w:r w:rsidR="00AC132D" w:rsidRPr="00D04BA0">
        <w:rPr>
          <w:rFonts w:ascii="Times New Roman" w:hAnsi="Times New Roman" w:cs="Times New Roman"/>
          <w:sz w:val="24"/>
          <w:szCs w:val="24"/>
        </w:rPr>
        <w:t>i administracyjnych odnoszących się do przedsiębiorstw zbiorowego inwestowania</w:t>
      </w:r>
      <w:r w:rsidR="00D04BA0">
        <w:rPr>
          <w:rFonts w:ascii="Times New Roman" w:hAnsi="Times New Roman" w:cs="Times New Roman"/>
          <w:sz w:val="24"/>
          <w:szCs w:val="24"/>
        </w:rPr>
        <w:t xml:space="preserve"> </w:t>
      </w:r>
      <w:r w:rsidR="00AC132D" w:rsidRPr="00D04BA0">
        <w:rPr>
          <w:rFonts w:ascii="Times New Roman" w:hAnsi="Times New Roman" w:cs="Times New Roman"/>
          <w:sz w:val="24"/>
          <w:szCs w:val="24"/>
        </w:rPr>
        <w:t>w zbywalne papiery wartościowe (UCITS) w zakresie funkcji depozytariusza, polityki wynagrodzeń oraz sankcji (Dz. Urz. UE L 257 z</w:t>
      </w:r>
      <w:r w:rsidR="00D14EF5">
        <w:rPr>
          <w:rFonts w:ascii="Times New Roman" w:hAnsi="Times New Roman" w:cs="Times New Roman"/>
          <w:sz w:val="24"/>
          <w:szCs w:val="24"/>
        </w:rPr>
        <w:t> </w:t>
      </w:r>
      <w:r w:rsidR="00AC132D" w:rsidRPr="00D04BA0">
        <w:rPr>
          <w:rFonts w:ascii="Times New Roman" w:hAnsi="Times New Roman" w:cs="Times New Roman"/>
          <w:sz w:val="24"/>
          <w:szCs w:val="24"/>
        </w:rPr>
        <w:t>28.08.2014, str. 186) (dalej: dyrektywa UCITS V)</w:t>
      </w:r>
      <w:r w:rsidR="00D34C89" w:rsidRPr="00D04BA0">
        <w:rPr>
          <w:rFonts w:ascii="Times New Roman" w:hAnsi="Times New Roman" w:cs="Times New Roman"/>
          <w:sz w:val="24"/>
          <w:szCs w:val="24"/>
        </w:rPr>
        <w:t>, a także</w:t>
      </w:r>
      <w:r w:rsidR="00656B72" w:rsidRPr="00D04BA0">
        <w:rPr>
          <w:rFonts w:ascii="Times New Roman" w:hAnsi="Times New Roman" w:cs="Times New Roman"/>
          <w:sz w:val="24"/>
          <w:szCs w:val="24"/>
        </w:rPr>
        <w:t xml:space="preserve"> </w:t>
      </w:r>
      <w:r w:rsidR="006C1236" w:rsidRPr="00D04BA0">
        <w:rPr>
          <w:rFonts w:ascii="Times New Roman" w:hAnsi="Times New Roman" w:cs="Times New Roman"/>
          <w:sz w:val="24"/>
          <w:szCs w:val="24"/>
        </w:rPr>
        <w:t xml:space="preserve">częściowo </w:t>
      </w:r>
      <w:r w:rsidR="00656B72" w:rsidRPr="00D04BA0">
        <w:rPr>
          <w:rFonts w:ascii="Times New Roman" w:hAnsi="Times New Roman" w:cs="Times New Roman"/>
          <w:sz w:val="24"/>
          <w:szCs w:val="24"/>
        </w:rPr>
        <w:t>dyrektywę Parlamentu Europejskiego i Rady 2013/14/UE z dnia 21 maja 2013 r. zmieniającą dyrektywę 2003/41/WE w sprawie działalności instytucji pracowniczych programów emerytalnych oraz nadzoru nad takimi instytucjami, dyrektywę 2009/65/WE w sprawie koordynacji przepisów ustawowych, wykonawczych i administracyjnych odnoszących się do przedsiębiorstw zbiorowego inwestowania w zbywalne papiery wartościowe (UCITS) i dyrektywę 2011/61/UE w sprawie zarządzających alternatywnymi funduszami inwestycyjnymi w odniesieniu do nadmiernego polegania na ratingach kredytowych (Dz. Urz. UE L 145 z 31.05.2013, str. 1</w:t>
      </w:r>
      <w:r w:rsidR="00AC132D" w:rsidRPr="00D04BA0">
        <w:rPr>
          <w:rFonts w:ascii="Times New Roman" w:hAnsi="Times New Roman" w:cs="Times New Roman"/>
          <w:sz w:val="24"/>
          <w:szCs w:val="24"/>
        </w:rPr>
        <w:t>).</w:t>
      </w:r>
    </w:p>
    <w:p w:rsidR="008B5F10" w:rsidRPr="00D04BA0" w:rsidRDefault="008B5F10" w:rsidP="00960B35">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t xml:space="preserve">Regulacje zawarte w projekcie będą także służyć </w:t>
      </w:r>
      <w:r w:rsidR="004D00E0" w:rsidRPr="00D04BA0">
        <w:rPr>
          <w:rFonts w:ascii="Times New Roman" w:hAnsi="Times New Roman" w:cs="Times New Roman"/>
          <w:sz w:val="24"/>
          <w:szCs w:val="24"/>
        </w:rPr>
        <w:t>stosowaniu</w:t>
      </w:r>
      <w:r w:rsidRPr="00D04BA0">
        <w:rPr>
          <w:rFonts w:ascii="Times New Roman" w:hAnsi="Times New Roman" w:cs="Times New Roman"/>
          <w:sz w:val="24"/>
          <w:szCs w:val="24"/>
        </w:rPr>
        <w:t xml:space="preserve"> rozporządzeń </w:t>
      </w:r>
      <w:r w:rsidRPr="00D04BA0">
        <w:rPr>
          <w:rFonts w:ascii="Times New Roman" w:hAnsi="Times New Roman" w:cs="Times New Roman"/>
          <w:bCs/>
          <w:sz w:val="24"/>
          <w:szCs w:val="24"/>
        </w:rPr>
        <w:t xml:space="preserve">Parlamentu Europejskiego i Rady (UE): nr 345/2013 </w:t>
      </w:r>
      <w:r w:rsidRPr="00D04BA0">
        <w:rPr>
          <w:rFonts w:ascii="Times New Roman" w:hAnsi="Times New Roman" w:cs="Times New Roman"/>
          <w:sz w:val="24"/>
          <w:szCs w:val="24"/>
        </w:rPr>
        <w:t xml:space="preserve">z dnia 17 kwietnia 2013 r. </w:t>
      </w:r>
      <w:r w:rsidRPr="00D04BA0">
        <w:rPr>
          <w:rFonts w:ascii="Times New Roman" w:hAnsi="Times New Roman" w:cs="Times New Roman"/>
          <w:bCs/>
          <w:sz w:val="24"/>
          <w:szCs w:val="24"/>
        </w:rPr>
        <w:t xml:space="preserve">w sprawie europejskich funduszy venture capital </w:t>
      </w:r>
      <w:r w:rsidRPr="00D04BA0">
        <w:rPr>
          <w:rFonts w:ascii="Times New Roman" w:hAnsi="Times New Roman" w:cs="Times New Roman"/>
          <w:sz w:val="24"/>
          <w:szCs w:val="24"/>
        </w:rPr>
        <w:t>(Dz. Urz. UE L 115 z 25.04.2013, str. 1) oraz nr</w:t>
      </w:r>
      <w:r w:rsidR="00512C19">
        <w:rPr>
          <w:rFonts w:ascii="Times New Roman" w:hAnsi="Times New Roman" w:cs="Times New Roman"/>
          <w:sz w:val="24"/>
          <w:szCs w:val="24"/>
        </w:rPr>
        <w:t> </w:t>
      </w:r>
      <w:r w:rsidRPr="00D04BA0">
        <w:rPr>
          <w:rFonts w:ascii="Times New Roman" w:hAnsi="Times New Roman" w:cs="Times New Roman"/>
          <w:bCs/>
          <w:sz w:val="24"/>
          <w:szCs w:val="24"/>
        </w:rPr>
        <w:t xml:space="preserve">346/2013 </w:t>
      </w:r>
      <w:r w:rsidRPr="00D04BA0">
        <w:rPr>
          <w:rFonts w:ascii="Times New Roman" w:hAnsi="Times New Roman" w:cs="Times New Roman"/>
          <w:sz w:val="24"/>
          <w:szCs w:val="24"/>
        </w:rPr>
        <w:t>z dnia 17</w:t>
      </w:r>
      <w:r w:rsidR="00D04BA0">
        <w:rPr>
          <w:rFonts w:ascii="Times New Roman" w:hAnsi="Times New Roman" w:cs="Times New Roman"/>
          <w:sz w:val="24"/>
          <w:szCs w:val="24"/>
        </w:rPr>
        <w:t xml:space="preserve"> </w:t>
      </w:r>
      <w:r w:rsidR="00656B72" w:rsidRPr="00D04BA0">
        <w:rPr>
          <w:rFonts w:ascii="Times New Roman" w:hAnsi="Times New Roman" w:cs="Times New Roman"/>
          <w:sz w:val="24"/>
          <w:szCs w:val="24"/>
        </w:rPr>
        <w:t>kwietnia 2013 r.</w:t>
      </w:r>
      <w:r w:rsidRPr="00D04BA0">
        <w:rPr>
          <w:rFonts w:ascii="Times New Roman" w:hAnsi="Times New Roman" w:cs="Times New Roman"/>
          <w:sz w:val="24"/>
          <w:szCs w:val="24"/>
        </w:rPr>
        <w:t xml:space="preserve"> </w:t>
      </w:r>
      <w:r w:rsidRPr="00D04BA0">
        <w:rPr>
          <w:rFonts w:ascii="Times New Roman" w:hAnsi="Times New Roman" w:cs="Times New Roman"/>
          <w:bCs/>
          <w:sz w:val="24"/>
          <w:szCs w:val="24"/>
        </w:rPr>
        <w:t xml:space="preserve">w sprawie europejskich funduszy na rzecz przedsiębiorczości społecznej </w:t>
      </w:r>
      <w:r w:rsidRPr="00D04BA0">
        <w:rPr>
          <w:rFonts w:ascii="Times New Roman" w:hAnsi="Times New Roman" w:cs="Times New Roman"/>
          <w:sz w:val="24"/>
          <w:szCs w:val="24"/>
        </w:rPr>
        <w:t xml:space="preserve">(Dz. Urz. UE L </w:t>
      </w:r>
      <w:r w:rsidR="004D00E0" w:rsidRPr="00D04BA0">
        <w:rPr>
          <w:rFonts w:ascii="Times New Roman" w:hAnsi="Times New Roman" w:cs="Times New Roman"/>
          <w:sz w:val="24"/>
          <w:szCs w:val="24"/>
        </w:rPr>
        <w:t>115 z</w:t>
      </w:r>
      <w:r w:rsidRPr="00D04BA0">
        <w:rPr>
          <w:rFonts w:ascii="Times New Roman" w:hAnsi="Times New Roman" w:cs="Times New Roman"/>
          <w:sz w:val="24"/>
          <w:szCs w:val="24"/>
        </w:rPr>
        <w:t xml:space="preserve"> </w:t>
      </w:r>
      <w:r w:rsidR="004D00E0" w:rsidRPr="00D04BA0">
        <w:rPr>
          <w:rFonts w:ascii="Times New Roman" w:hAnsi="Times New Roman" w:cs="Times New Roman"/>
          <w:sz w:val="24"/>
          <w:szCs w:val="24"/>
        </w:rPr>
        <w:t>25.04.2013, str.</w:t>
      </w:r>
      <w:r w:rsidR="00512C19">
        <w:rPr>
          <w:rFonts w:ascii="Times New Roman" w:hAnsi="Times New Roman" w:cs="Times New Roman"/>
          <w:sz w:val="24"/>
          <w:szCs w:val="24"/>
        </w:rPr>
        <w:t xml:space="preserve"> </w:t>
      </w:r>
      <w:r w:rsidR="004D00E0" w:rsidRPr="00D04BA0">
        <w:rPr>
          <w:rFonts w:ascii="Times New Roman" w:hAnsi="Times New Roman" w:cs="Times New Roman"/>
          <w:sz w:val="24"/>
          <w:szCs w:val="24"/>
        </w:rPr>
        <w:t>18</w:t>
      </w:r>
      <w:r w:rsidRPr="00D04BA0">
        <w:rPr>
          <w:rFonts w:ascii="Times New Roman" w:hAnsi="Times New Roman" w:cs="Times New Roman"/>
          <w:sz w:val="24"/>
          <w:szCs w:val="24"/>
        </w:rPr>
        <w:t>)</w:t>
      </w:r>
      <w:r w:rsidR="004D00E0" w:rsidRPr="00D04BA0">
        <w:rPr>
          <w:rFonts w:ascii="Times New Roman" w:hAnsi="Times New Roman" w:cs="Times New Roman"/>
          <w:sz w:val="24"/>
          <w:szCs w:val="24"/>
        </w:rPr>
        <w:t xml:space="preserve">. </w:t>
      </w:r>
      <w:r w:rsidR="00B16481" w:rsidRPr="00D04BA0">
        <w:rPr>
          <w:rFonts w:ascii="Times New Roman" w:hAnsi="Times New Roman" w:cs="Times New Roman"/>
          <w:sz w:val="24"/>
          <w:szCs w:val="24"/>
        </w:rPr>
        <w:t xml:space="preserve">Rozporządzenia te regulują zasady funkcjonowania określonych, kwalifikowanych rodzajów alternatywnych funduszy inwestycyjnych. </w:t>
      </w:r>
      <w:r w:rsidR="004D00E0" w:rsidRPr="00D04BA0">
        <w:rPr>
          <w:rFonts w:ascii="Times New Roman" w:hAnsi="Times New Roman" w:cs="Times New Roman"/>
          <w:sz w:val="24"/>
          <w:szCs w:val="24"/>
        </w:rPr>
        <w:t>Niezbędne do zapewnienia ich stosowania jes</w:t>
      </w:r>
      <w:r w:rsidR="00B16481" w:rsidRPr="00D04BA0">
        <w:rPr>
          <w:rFonts w:ascii="Times New Roman" w:hAnsi="Times New Roman" w:cs="Times New Roman"/>
          <w:sz w:val="24"/>
          <w:szCs w:val="24"/>
        </w:rPr>
        <w:t xml:space="preserve">t </w:t>
      </w:r>
      <w:r w:rsidR="000E7A36" w:rsidRPr="00D04BA0">
        <w:rPr>
          <w:rFonts w:ascii="Times New Roman" w:hAnsi="Times New Roman" w:cs="Times New Roman"/>
          <w:sz w:val="24"/>
          <w:szCs w:val="24"/>
        </w:rPr>
        <w:t xml:space="preserve">w szczególności </w:t>
      </w:r>
      <w:r w:rsidR="00D042B9" w:rsidRPr="00D04BA0">
        <w:rPr>
          <w:rFonts w:ascii="Times New Roman" w:hAnsi="Times New Roman" w:cs="Times New Roman"/>
          <w:sz w:val="24"/>
          <w:szCs w:val="24"/>
        </w:rPr>
        <w:t>określenie sankcji za naruszenia ich regulacji oraz wskazanie właściwego organu nadzoru.</w:t>
      </w:r>
    </w:p>
    <w:p w:rsidR="00196F92" w:rsidRPr="00D04BA0" w:rsidRDefault="00C60592" w:rsidP="00960B35">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lastRenderedPageBreak/>
        <w:t>Celem dyrektywy ZAFI jest ustanowienie rynku wewnętrznego zarządzających alternatywnymi funduszami inwestycyjnymi</w:t>
      </w:r>
      <w:r w:rsidR="00F21E7F" w:rsidRPr="00D04BA0">
        <w:rPr>
          <w:rFonts w:ascii="Times New Roman" w:hAnsi="Times New Roman" w:cs="Times New Roman"/>
          <w:sz w:val="24"/>
          <w:szCs w:val="24"/>
        </w:rPr>
        <w:t>, tj.</w:t>
      </w:r>
      <w:r w:rsidRPr="00D04BA0">
        <w:rPr>
          <w:rFonts w:ascii="Times New Roman" w:hAnsi="Times New Roman" w:cs="Times New Roman"/>
          <w:sz w:val="24"/>
          <w:szCs w:val="24"/>
        </w:rPr>
        <w:t xml:space="preserve"> </w:t>
      </w:r>
      <w:r w:rsidR="00F21E7F" w:rsidRPr="00D04BA0">
        <w:rPr>
          <w:rFonts w:ascii="Times New Roman" w:hAnsi="Times New Roman" w:cs="Times New Roman"/>
          <w:sz w:val="24"/>
          <w:szCs w:val="24"/>
        </w:rPr>
        <w:t>zarządzających wszelkimi typami funduszy, które nie są objęte dyrektywą Parlamentu Europejskiego i Rady 2009/65/WE z dnia 13 lipca 2009 r. w sprawie koordynacji przepisów ustawowych, wykonawczych i administracyjnych odnoszących się do przedsiębiorstw zbiorowego inwestowania w zbywalne papiery wartościowe (UCITS) (Dz. Urz. UE L 302 z 17.11.2009, str. 32, z</w:t>
      </w:r>
      <w:r w:rsidR="00D14EF5">
        <w:rPr>
          <w:rFonts w:ascii="Times New Roman" w:hAnsi="Times New Roman" w:cs="Times New Roman"/>
          <w:sz w:val="24"/>
          <w:szCs w:val="24"/>
        </w:rPr>
        <w:t> </w:t>
      </w:r>
      <w:r w:rsidR="00F21E7F" w:rsidRPr="00D04BA0">
        <w:rPr>
          <w:rFonts w:ascii="Times New Roman" w:hAnsi="Times New Roman" w:cs="Times New Roman"/>
          <w:sz w:val="24"/>
          <w:szCs w:val="24"/>
        </w:rPr>
        <w:t>późn. zm.)</w:t>
      </w:r>
      <w:r w:rsidR="00DD7723" w:rsidRPr="00D04BA0">
        <w:rPr>
          <w:rFonts w:ascii="Times New Roman" w:hAnsi="Times New Roman" w:cs="Times New Roman"/>
          <w:sz w:val="24"/>
          <w:szCs w:val="24"/>
        </w:rPr>
        <w:t xml:space="preserve"> (dalej: dyrektywa UCITS)</w:t>
      </w:r>
      <w:r w:rsidR="00F21E7F" w:rsidRPr="00D04BA0">
        <w:rPr>
          <w:rFonts w:ascii="Times New Roman" w:hAnsi="Times New Roman" w:cs="Times New Roman"/>
          <w:sz w:val="24"/>
          <w:szCs w:val="24"/>
        </w:rPr>
        <w:t xml:space="preserve">, </w:t>
      </w:r>
      <w:r w:rsidRPr="00D04BA0">
        <w:rPr>
          <w:rFonts w:ascii="Times New Roman" w:hAnsi="Times New Roman" w:cs="Times New Roman"/>
          <w:sz w:val="24"/>
          <w:szCs w:val="24"/>
        </w:rPr>
        <w:t>oraz zharmonizowanych i rygorystycznych ram regulacyjnych</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i nadzorczych Unii dla ich działalności.</w:t>
      </w:r>
      <w:r w:rsidR="00F21E7F" w:rsidRPr="00D04BA0">
        <w:rPr>
          <w:rFonts w:ascii="Times New Roman" w:hAnsi="Times New Roman" w:cs="Times New Roman"/>
          <w:sz w:val="24"/>
          <w:szCs w:val="24"/>
        </w:rPr>
        <w:t xml:space="preserve"> </w:t>
      </w:r>
      <w:r w:rsidR="00196F92" w:rsidRPr="00D04BA0">
        <w:rPr>
          <w:rFonts w:ascii="Times New Roman" w:hAnsi="Times New Roman" w:cs="Times New Roman"/>
          <w:sz w:val="24"/>
          <w:szCs w:val="24"/>
        </w:rPr>
        <w:t>Regulując wspólne wymogi w tym zakresie, uwzględniono</w:t>
      </w:r>
      <w:r w:rsidR="004D00E0" w:rsidRPr="00D04BA0">
        <w:rPr>
          <w:rFonts w:ascii="Times New Roman" w:hAnsi="Times New Roman" w:cs="Times New Roman"/>
          <w:sz w:val="24"/>
          <w:szCs w:val="24"/>
        </w:rPr>
        <w:t xml:space="preserve"> zidentyfikowane w czasie kryzysu finansowego ryzyka związane</w:t>
      </w:r>
      <w:r w:rsidR="00D04BA0">
        <w:rPr>
          <w:rFonts w:ascii="Times New Roman" w:hAnsi="Times New Roman" w:cs="Times New Roman"/>
          <w:sz w:val="24"/>
          <w:szCs w:val="24"/>
        </w:rPr>
        <w:t xml:space="preserve"> </w:t>
      </w:r>
      <w:r w:rsidR="004D00E0" w:rsidRPr="00D04BA0">
        <w:rPr>
          <w:rFonts w:ascii="Times New Roman" w:hAnsi="Times New Roman" w:cs="Times New Roman"/>
          <w:sz w:val="24"/>
          <w:szCs w:val="24"/>
        </w:rPr>
        <w:t>z działalnością takich podmiotów.</w:t>
      </w:r>
      <w:r w:rsidR="00196F92" w:rsidRPr="00D04BA0">
        <w:rPr>
          <w:rFonts w:ascii="Times New Roman" w:hAnsi="Times New Roman" w:cs="Times New Roman"/>
          <w:sz w:val="24"/>
          <w:szCs w:val="24"/>
        </w:rPr>
        <w:t xml:space="preserve"> </w:t>
      </w:r>
      <w:r w:rsidR="00B2400B" w:rsidRPr="00D04BA0">
        <w:rPr>
          <w:rFonts w:ascii="Times New Roman" w:hAnsi="Times New Roman" w:cs="Times New Roman"/>
          <w:sz w:val="24"/>
          <w:szCs w:val="24"/>
        </w:rPr>
        <w:t>Podmioty te o</w:t>
      </w:r>
      <w:r w:rsidR="00196F92" w:rsidRPr="00D04BA0">
        <w:rPr>
          <w:rFonts w:ascii="Times New Roman" w:hAnsi="Times New Roman" w:cs="Times New Roman"/>
          <w:sz w:val="24"/>
          <w:szCs w:val="24"/>
        </w:rPr>
        <w:t>dpowiadają</w:t>
      </w:r>
      <w:r w:rsidR="004D00E0" w:rsidRPr="00D04BA0">
        <w:rPr>
          <w:rFonts w:ascii="Times New Roman" w:hAnsi="Times New Roman" w:cs="Times New Roman"/>
          <w:sz w:val="24"/>
          <w:szCs w:val="24"/>
        </w:rPr>
        <w:t xml:space="preserve"> </w:t>
      </w:r>
      <w:r w:rsidR="00196F92" w:rsidRPr="00D04BA0">
        <w:rPr>
          <w:rFonts w:ascii="Times New Roman" w:hAnsi="Times New Roman" w:cs="Times New Roman"/>
          <w:sz w:val="24"/>
          <w:szCs w:val="24"/>
        </w:rPr>
        <w:t>w Unii za zarządzanie znaczną kwotą zainwestowanych aktywów, dokonują na rynkach instrumentów finansowych transakcji o istotnej wartości i mogą wywierać znaczący wpływ na rynki i przedsiębiorstwa, w które inwestują, a ich działalność może przyczyniać się również do rozprzestrzeniania lub zwiększania ryzyka w obrębie systemu finansowego</w:t>
      </w:r>
      <w:r w:rsidR="00F278B0" w:rsidRPr="00D04BA0">
        <w:rPr>
          <w:rFonts w:ascii="Times New Roman" w:hAnsi="Times New Roman" w:cs="Times New Roman"/>
          <w:sz w:val="24"/>
          <w:szCs w:val="24"/>
        </w:rPr>
        <w:t>, w tym ryzyka dla inwestorów, kontrahentów i innych uczestników rynku finansowego</w:t>
      </w:r>
      <w:r w:rsidR="00196F92" w:rsidRPr="00D04BA0">
        <w:rPr>
          <w:rFonts w:ascii="Times New Roman" w:hAnsi="Times New Roman" w:cs="Times New Roman"/>
          <w:sz w:val="24"/>
          <w:szCs w:val="24"/>
        </w:rPr>
        <w:t xml:space="preserve">. </w:t>
      </w:r>
      <w:r w:rsidR="00B2400B" w:rsidRPr="00D04BA0">
        <w:rPr>
          <w:rFonts w:ascii="Times New Roman" w:hAnsi="Times New Roman" w:cs="Times New Roman"/>
          <w:sz w:val="24"/>
          <w:szCs w:val="24"/>
        </w:rPr>
        <w:t>T</w:t>
      </w:r>
      <w:r w:rsidR="00F278B0" w:rsidRPr="00D04BA0">
        <w:rPr>
          <w:rFonts w:ascii="Times New Roman" w:hAnsi="Times New Roman" w:cs="Times New Roman"/>
          <w:sz w:val="24"/>
          <w:szCs w:val="24"/>
        </w:rPr>
        <w:t xml:space="preserve">worząc rynek wewnętrzny zarządzających alternatywnymi funduszami inwestycyjnymi (dalej: ZAFI), dyrektywa ZAFI umożliwia </w:t>
      </w:r>
      <w:r w:rsidR="00B2400B" w:rsidRPr="00D04BA0">
        <w:rPr>
          <w:rFonts w:ascii="Times New Roman" w:hAnsi="Times New Roman" w:cs="Times New Roman"/>
          <w:sz w:val="24"/>
          <w:szCs w:val="24"/>
        </w:rPr>
        <w:t xml:space="preserve">równocześnie </w:t>
      </w:r>
      <w:r w:rsidR="00F278B0" w:rsidRPr="00D04BA0">
        <w:rPr>
          <w:rFonts w:ascii="Times New Roman" w:hAnsi="Times New Roman" w:cs="Times New Roman"/>
          <w:sz w:val="24"/>
          <w:szCs w:val="24"/>
        </w:rPr>
        <w:t>podmiotowi spełniającemu określone wymagania prowadzenie działalności na obszarze całej Unii Europejskiej na zasadzie paszportu</w:t>
      </w:r>
      <w:r w:rsidR="00EB3377" w:rsidRPr="00D04BA0">
        <w:rPr>
          <w:rFonts w:ascii="Times New Roman" w:hAnsi="Times New Roman" w:cs="Times New Roman"/>
          <w:sz w:val="24"/>
          <w:szCs w:val="24"/>
        </w:rPr>
        <w:t xml:space="preserve"> europejskiego</w:t>
      </w:r>
      <w:r w:rsidR="00F278B0" w:rsidRPr="00D04BA0">
        <w:rPr>
          <w:rFonts w:ascii="Times New Roman" w:hAnsi="Times New Roman" w:cs="Times New Roman"/>
          <w:sz w:val="24"/>
          <w:szCs w:val="24"/>
        </w:rPr>
        <w:t>, tj.</w:t>
      </w:r>
      <w:r w:rsidR="00D14EF5">
        <w:rPr>
          <w:rFonts w:ascii="Times New Roman" w:hAnsi="Times New Roman" w:cs="Times New Roman"/>
          <w:sz w:val="24"/>
          <w:szCs w:val="24"/>
        </w:rPr>
        <w:t> </w:t>
      </w:r>
      <w:r w:rsidR="00F278B0" w:rsidRPr="00D04BA0">
        <w:rPr>
          <w:rFonts w:ascii="Times New Roman" w:hAnsi="Times New Roman" w:cs="Times New Roman"/>
          <w:sz w:val="24"/>
          <w:szCs w:val="24"/>
        </w:rPr>
        <w:t>bez konieczności uzyskiwania odrębnych zezwoleń</w:t>
      </w:r>
      <w:r w:rsidR="00B2400B" w:rsidRPr="00D04BA0">
        <w:rPr>
          <w:rFonts w:ascii="Times New Roman" w:hAnsi="Times New Roman" w:cs="Times New Roman"/>
          <w:sz w:val="24"/>
          <w:szCs w:val="24"/>
        </w:rPr>
        <w:t xml:space="preserve"> w każdym z państw członkowskich</w:t>
      </w:r>
      <w:r w:rsidR="00F278B0" w:rsidRPr="00D04BA0">
        <w:rPr>
          <w:rFonts w:ascii="Times New Roman" w:hAnsi="Times New Roman" w:cs="Times New Roman"/>
          <w:sz w:val="24"/>
          <w:szCs w:val="24"/>
        </w:rPr>
        <w:t xml:space="preserve">. </w:t>
      </w:r>
      <w:r w:rsidR="005C57BE" w:rsidRPr="00D04BA0">
        <w:rPr>
          <w:rFonts w:ascii="Times New Roman" w:hAnsi="Times New Roman" w:cs="Times New Roman"/>
          <w:sz w:val="24"/>
          <w:szCs w:val="24"/>
        </w:rPr>
        <w:t>Dyrektywa ZAFI obejmuje zakresem swojej regulacji wszystkich</w:t>
      </w:r>
      <w:r w:rsidR="00F278B0" w:rsidRPr="00D04BA0">
        <w:rPr>
          <w:rFonts w:ascii="Times New Roman" w:hAnsi="Times New Roman" w:cs="Times New Roman"/>
          <w:sz w:val="24"/>
          <w:szCs w:val="24"/>
        </w:rPr>
        <w:t xml:space="preserve"> ZAFI</w:t>
      </w:r>
      <w:r w:rsidR="005C57BE" w:rsidRPr="00D04BA0">
        <w:rPr>
          <w:rFonts w:ascii="Times New Roman" w:hAnsi="Times New Roman" w:cs="Times New Roman"/>
          <w:sz w:val="24"/>
          <w:szCs w:val="24"/>
        </w:rPr>
        <w:t xml:space="preserve"> – również zarządzających funduszami spoza Unii oraz działających na terytorium Unii Europejskiej ZAFI posiadających siedziby w państwach trzecich, jednakże w tym przypadku ustanawia okresy przejściowe w szczególności dla objęcia ich zharmonizowanym systemem paszportowym.</w:t>
      </w:r>
    </w:p>
    <w:p w:rsidR="00656B72" w:rsidRPr="00D04BA0" w:rsidRDefault="00656B72" w:rsidP="00960B35">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t xml:space="preserve">Z kolei </w:t>
      </w:r>
      <w:r w:rsidR="00B81CAF" w:rsidRPr="00D04BA0">
        <w:rPr>
          <w:rFonts w:ascii="Times New Roman" w:hAnsi="Times New Roman" w:cs="Times New Roman"/>
          <w:sz w:val="24"/>
          <w:szCs w:val="24"/>
        </w:rPr>
        <w:t>głównym celem dyrektywy UCITS V jest zwiększenie zaufania inwestorów do funduszy UCITS, dzięki wzmocnieniu wymogów dotyczących obowiązków</w:t>
      </w:r>
      <w:r w:rsidR="00D04BA0">
        <w:rPr>
          <w:rFonts w:ascii="Times New Roman" w:hAnsi="Times New Roman" w:cs="Times New Roman"/>
          <w:sz w:val="24"/>
          <w:szCs w:val="24"/>
        </w:rPr>
        <w:t xml:space="preserve"> </w:t>
      </w:r>
      <w:r w:rsidR="00B81CAF" w:rsidRPr="00D04BA0">
        <w:rPr>
          <w:rFonts w:ascii="Times New Roman" w:hAnsi="Times New Roman" w:cs="Times New Roman"/>
          <w:sz w:val="24"/>
          <w:szCs w:val="24"/>
        </w:rPr>
        <w:t xml:space="preserve">i odpowiedzialności depozytariuszy, polityki wynagrodzeń spółek zarządzających i spółek inwestycyjnych oraz wprowadzeniu wspólnych </w:t>
      </w:r>
      <w:r w:rsidR="00D34C89" w:rsidRPr="00D04BA0">
        <w:rPr>
          <w:rFonts w:ascii="Times New Roman" w:hAnsi="Times New Roman" w:cs="Times New Roman"/>
          <w:sz w:val="24"/>
          <w:szCs w:val="24"/>
        </w:rPr>
        <w:t xml:space="preserve">unijnych </w:t>
      </w:r>
      <w:r w:rsidR="00B81CAF" w:rsidRPr="00D04BA0">
        <w:rPr>
          <w:rFonts w:ascii="Times New Roman" w:hAnsi="Times New Roman" w:cs="Times New Roman"/>
          <w:sz w:val="24"/>
          <w:szCs w:val="24"/>
        </w:rPr>
        <w:t xml:space="preserve">standardów dotyczących sankcji. Wart odnotowania jest również fakt, iż bezpośrednią przyczyną uchwalenia </w:t>
      </w:r>
      <w:r w:rsidRPr="00D04BA0">
        <w:rPr>
          <w:rFonts w:ascii="Times New Roman" w:hAnsi="Times New Roman" w:cs="Times New Roman"/>
          <w:sz w:val="24"/>
          <w:szCs w:val="24"/>
        </w:rPr>
        <w:t>dyrektyw</w:t>
      </w:r>
      <w:r w:rsidR="00B81CAF" w:rsidRPr="00D04BA0">
        <w:rPr>
          <w:rFonts w:ascii="Times New Roman" w:hAnsi="Times New Roman" w:cs="Times New Roman"/>
          <w:sz w:val="24"/>
          <w:szCs w:val="24"/>
        </w:rPr>
        <w:t>y</w:t>
      </w:r>
      <w:r w:rsidRPr="00D04BA0">
        <w:rPr>
          <w:rFonts w:ascii="Times New Roman" w:hAnsi="Times New Roman" w:cs="Times New Roman"/>
          <w:sz w:val="24"/>
          <w:szCs w:val="24"/>
        </w:rPr>
        <w:t xml:space="preserve"> UCITS</w:t>
      </w:r>
      <w:r w:rsidR="00B81CAF" w:rsidRPr="00D04BA0">
        <w:rPr>
          <w:rFonts w:ascii="Times New Roman" w:hAnsi="Times New Roman" w:cs="Times New Roman"/>
          <w:sz w:val="24"/>
          <w:szCs w:val="24"/>
        </w:rPr>
        <w:t xml:space="preserve"> V była tzw. </w:t>
      </w:r>
      <w:r w:rsidRPr="00D04BA0">
        <w:rPr>
          <w:rFonts w:ascii="Times New Roman" w:hAnsi="Times New Roman" w:cs="Times New Roman"/>
          <w:sz w:val="24"/>
          <w:szCs w:val="24"/>
        </w:rPr>
        <w:t xml:space="preserve">afera Madoffa oraz upadek </w:t>
      </w:r>
      <w:r w:rsidR="00B81CAF" w:rsidRPr="00D04BA0">
        <w:rPr>
          <w:rFonts w:ascii="Times New Roman" w:hAnsi="Times New Roman" w:cs="Times New Roman"/>
          <w:sz w:val="24"/>
          <w:szCs w:val="24"/>
        </w:rPr>
        <w:t xml:space="preserve">banku </w:t>
      </w:r>
      <w:r w:rsidRPr="00D04BA0">
        <w:rPr>
          <w:rFonts w:ascii="Times New Roman" w:hAnsi="Times New Roman" w:cs="Times New Roman"/>
          <w:sz w:val="24"/>
          <w:szCs w:val="24"/>
        </w:rPr>
        <w:t xml:space="preserve">Lehman Brothers. </w:t>
      </w:r>
      <w:r w:rsidR="00D34C89" w:rsidRPr="00D04BA0">
        <w:rPr>
          <w:rFonts w:ascii="Times New Roman" w:hAnsi="Times New Roman" w:cs="Times New Roman"/>
          <w:sz w:val="24"/>
          <w:szCs w:val="24"/>
        </w:rPr>
        <w:t>N</w:t>
      </w:r>
      <w:r w:rsidRPr="00D04BA0">
        <w:rPr>
          <w:rFonts w:ascii="Times New Roman" w:hAnsi="Times New Roman" w:cs="Times New Roman"/>
          <w:sz w:val="24"/>
          <w:szCs w:val="24"/>
        </w:rPr>
        <w:t>a skutek dokonanych przez banki pełniące funkcje depozytariuszy funduszy UCITS inwestycji</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w papiery wartościowe oferowane przez Bernarda Madoffa powstały </w:t>
      </w:r>
      <w:r w:rsidRPr="00D04BA0">
        <w:rPr>
          <w:rFonts w:ascii="Times New Roman" w:hAnsi="Times New Roman" w:cs="Times New Roman"/>
          <w:sz w:val="24"/>
          <w:szCs w:val="24"/>
        </w:rPr>
        <w:lastRenderedPageBreak/>
        <w:t xml:space="preserve">obawy co do bezpieczeństwa środków zgromadzonych w funduszach UCITS. </w:t>
      </w:r>
      <w:r w:rsidR="00D34C89" w:rsidRPr="00D04BA0">
        <w:rPr>
          <w:rFonts w:ascii="Times New Roman" w:hAnsi="Times New Roman" w:cs="Times New Roman"/>
          <w:sz w:val="24"/>
          <w:szCs w:val="24"/>
        </w:rPr>
        <w:t>Istotny jest również fakt, iż od czasu przyjęcia dyrektywy UCITS w 1985 r. przepisy tej dyrektywy</w:t>
      </w:r>
      <w:r w:rsidR="00000207" w:rsidRPr="00D04BA0">
        <w:rPr>
          <w:rFonts w:ascii="Times New Roman" w:hAnsi="Times New Roman" w:cs="Times New Roman"/>
          <w:sz w:val="24"/>
          <w:szCs w:val="24"/>
        </w:rPr>
        <w:t>,</w:t>
      </w:r>
      <w:r w:rsidR="00D34C89" w:rsidRPr="00D04BA0">
        <w:rPr>
          <w:rFonts w:ascii="Times New Roman" w:hAnsi="Times New Roman" w:cs="Times New Roman"/>
          <w:sz w:val="24"/>
          <w:szCs w:val="24"/>
        </w:rPr>
        <w:t xml:space="preserve"> w części dotyczącej depozytariuszy</w:t>
      </w:r>
      <w:r w:rsidR="00000207" w:rsidRPr="00D04BA0">
        <w:rPr>
          <w:rFonts w:ascii="Times New Roman" w:hAnsi="Times New Roman" w:cs="Times New Roman"/>
          <w:sz w:val="24"/>
          <w:szCs w:val="24"/>
        </w:rPr>
        <w:t>,</w:t>
      </w:r>
      <w:r w:rsidR="00D34C89" w:rsidRPr="00D04BA0">
        <w:rPr>
          <w:rFonts w:ascii="Times New Roman" w:hAnsi="Times New Roman" w:cs="Times New Roman"/>
          <w:sz w:val="24"/>
          <w:szCs w:val="24"/>
        </w:rPr>
        <w:t xml:space="preserve"> pozosta</w:t>
      </w:r>
      <w:r w:rsidR="00000207" w:rsidRPr="00D04BA0">
        <w:rPr>
          <w:rFonts w:ascii="Times New Roman" w:hAnsi="Times New Roman" w:cs="Times New Roman"/>
          <w:sz w:val="24"/>
          <w:szCs w:val="24"/>
        </w:rPr>
        <w:t xml:space="preserve">wały </w:t>
      </w:r>
      <w:r w:rsidR="00D34C89" w:rsidRPr="00D04BA0">
        <w:rPr>
          <w:rFonts w:ascii="Times New Roman" w:hAnsi="Times New Roman" w:cs="Times New Roman"/>
          <w:sz w:val="24"/>
          <w:szCs w:val="24"/>
        </w:rPr>
        <w:t>niezmienione.</w:t>
      </w:r>
      <w:r w:rsidR="00000207" w:rsidRPr="00D04BA0">
        <w:rPr>
          <w:rFonts w:ascii="Times New Roman" w:hAnsi="Times New Roman" w:cs="Times New Roman"/>
          <w:sz w:val="24"/>
          <w:szCs w:val="24"/>
        </w:rPr>
        <w:t xml:space="preserve"> </w:t>
      </w:r>
      <w:r w:rsidR="00B81CAF" w:rsidRPr="00D04BA0">
        <w:rPr>
          <w:rFonts w:ascii="Times New Roman" w:hAnsi="Times New Roman" w:cs="Times New Roman"/>
          <w:sz w:val="24"/>
          <w:szCs w:val="24"/>
        </w:rPr>
        <w:t xml:space="preserve">Z tego też względu </w:t>
      </w:r>
      <w:r w:rsidR="00397E62" w:rsidRPr="00D04BA0">
        <w:rPr>
          <w:rFonts w:ascii="Times New Roman" w:hAnsi="Times New Roman" w:cs="Times New Roman"/>
          <w:sz w:val="24"/>
          <w:szCs w:val="24"/>
        </w:rPr>
        <w:t xml:space="preserve">dyrektywa UCITS V precyzyjnie określa katalog podmiotów, które mogą pełnić funkcję depozytariusza, zadania oraz obowiązki depozytariusza, w tym zadania o charakterze nadzorczym, odpowiedzialność depozytariusza w przypadku utraty instrumentów finansowych lub innych strat oraz zasady powierzania wykonywanych przez siebie obowiązków innym podmiotom. </w:t>
      </w:r>
      <w:r w:rsidR="00F8663B" w:rsidRPr="00D04BA0">
        <w:rPr>
          <w:rFonts w:ascii="Times New Roman" w:hAnsi="Times New Roman" w:cs="Times New Roman"/>
          <w:sz w:val="24"/>
          <w:szCs w:val="24"/>
        </w:rPr>
        <w:t xml:space="preserve">Kryzys finansowy pokazał </w:t>
      </w:r>
      <w:r w:rsidR="00D34C89" w:rsidRPr="00D04BA0">
        <w:rPr>
          <w:rFonts w:ascii="Times New Roman" w:hAnsi="Times New Roman" w:cs="Times New Roman"/>
          <w:sz w:val="24"/>
          <w:szCs w:val="24"/>
        </w:rPr>
        <w:t>także</w:t>
      </w:r>
      <w:r w:rsidR="00F8663B" w:rsidRPr="00D04BA0">
        <w:rPr>
          <w:rFonts w:ascii="Times New Roman" w:hAnsi="Times New Roman" w:cs="Times New Roman"/>
          <w:sz w:val="24"/>
          <w:szCs w:val="24"/>
        </w:rPr>
        <w:t>, że istniejący system wynagrodzeń oraz zachęt, powszechnie stosowany</w:t>
      </w:r>
      <w:r w:rsidR="00D04BA0">
        <w:rPr>
          <w:rFonts w:ascii="Times New Roman" w:hAnsi="Times New Roman" w:cs="Times New Roman"/>
          <w:sz w:val="24"/>
          <w:szCs w:val="24"/>
        </w:rPr>
        <w:t xml:space="preserve"> </w:t>
      </w:r>
      <w:r w:rsidR="00F8663B" w:rsidRPr="00D04BA0">
        <w:rPr>
          <w:rFonts w:ascii="Times New Roman" w:hAnsi="Times New Roman" w:cs="Times New Roman"/>
          <w:sz w:val="24"/>
          <w:szCs w:val="24"/>
        </w:rPr>
        <w:t xml:space="preserve">w instytucjach finansowych, przyczyniał się do podejmowania decyzji o krótkim horyzoncie czasowym i obarczonych nadmiernym ryzykiem. W konsekwencji dyrektywa UCITS V przewiduje ustanowienie na poziomie zarządzającego funduszem UCITS polityki wynagrodzeń </w:t>
      </w:r>
      <w:r w:rsidR="00397E62" w:rsidRPr="00D04BA0">
        <w:rPr>
          <w:rFonts w:ascii="Times New Roman" w:hAnsi="Times New Roman" w:cs="Times New Roman"/>
          <w:sz w:val="24"/>
          <w:szCs w:val="24"/>
        </w:rPr>
        <w:t xml:space="preserve">w stosunku do kategorii pracowników, których działalność zawodowa ma istotny wpływ na profil ryzyka zarządzanych </w:t>
      </w:r>
      <w:r w:rsidR="00F8663B" w:rsidRPr="00D04BA0">
        <w:rPr>
          <w:rFonts w:ascii="Times New Roman" w:hAnsi="Times New Roman" w:cs="Times New Roman"/>
          <w:sz w:val="24"/>
          <w:szCs w:val="24"/>
        </w:rPr>
        <w:t xml:space="preserve">funduszy </w:t>
      </w:r>
      <w:r w:rsidR="00397E62" w:rsidRPr="00D04BA0">
        <w:rPr>
          <w:rFonts w:ascii="Times New Roman" w:hAnsi="Times New Roman" w:cs="Times New Roman"/>
          <w:sz w:val="24"/>
          <w:szCs w:val="24"/>
        </w:rPr>
        <w:t>UCITS</w:t>
      </w:r>
      <w:r w:rsidR="00F8663B" w:rsidRPr="00D04BA0">
        <w:rPr>
          <w:rFonts w:ascii="Times New Roman" w:hAnsi="Times New Roman" w:cs="Times New Roman"/>
          <w:sz w:val="24"/>
          <w:szCs w:val="24"/>
        </w:rPr>
        <w:t xml:space="preserve">. Dyrektywa UCITS V </w:t>
      </w:r>
      <w:r w:rsidR="000317CC" w:rsidRPr="00D04BA0">
        <w:rPr>
          <w:rFonts w:ascii="Times New Roman" w:hAnsi="Times New Roman" w:cs="Times New Roman"/>
          <w:sz w:val="24"/>
          <w:szCs w:val="24"/>
        </w:rPr>
        <w:t xml:space="preserve">ustanawia również </w:t>
      </w:r>
      <w:r w:rsidR="00F8663B" w:rsidRPr="00D04BA0">
        <w:rPr>
          <w:rFonts w:ascii="Times New Roman" w:hAnsi="Times New Roman" w:cs="Times New Roman"/>
          <w:sz w:val="24"/>
          <w:szCs w:val="24"/>
        </w:rPr>
        <w:t>minimaln</w:t>
      </w:r>
      <w:r w:rsidR="000317CC" w:rsidRPr="00D04BA0">
        <w:rPr>
          <w:rFonts w:ascii="Times New Roman" w:hAnsi="Times New Roman" w:cs="Times New Roman"/>
          <w:sz w:val="24"/>
          <w:szCs w:val="24"/>
        </w:rPr>
        <w:t>y</w:t>
      </w:r>
      <w:r w:rsidR="00F8663B" w:rsidRPr="00D04BA0">
        <w:rPr>
          <w:rFonts w:ascii="Times New Roman" w:hAnsi="Times New Roman" w:cs="Times New Roman"/>
          <w:sz w:val="24"/>
          <w:szCs w:val="24"/>
        </w:rPr>
        <w:t xml:space="preserve"> katalog sankcji i środków administracyjnych </w:t>
      </w:r>
      <w:r w:rsidR="000317CC" w:rsidRPr="00D04BA0">
        <w:rPr>
          <w:rFonts w:ascii="Times New Roman" w:hAnsi="Times New Roman" w:cs="Times New Roman"/>
          <w:sz w:val="24"/>
          <w:szCs w:val="24"/>
        </w:rPr>
        <w:t>za nieprzestrzeganie przepisów dyrektywy UCITS</w:t>
      </w:r>
      <w:r w:rsidR="00BE100E" w:rsidRPr="00D04BA0">
        <w:rPr>
          <w:rFonts w:ascii="Times New Roman" w:hAnsi="Times New Roman" w:cs="Times New Roman"/>
          <w:sz w:val="24"/>
          <w:szCs w:val="24"/>
        </w:rPr>
        <w:t xml:space="preserve">. Rozwiązanie to wpisuje się w tendencję prawodawcy europejskiego do </w:t>
      </w:r>
      <w:r w:rsidR="000317CC" w:rsidRPr="00D04BA0">
        <w:rPr>
          <w:rFonts w:ascii="Times New Roman" w:hAnsi="Times New Roman" w:cs="Times New Roman"/>
          <w:sz w:val="24"/>
          <w:szCs w:val="24"/>
        </w:rPr>
        <w:t>ujednolic</w:t>
      </w:r>
      <w:r w:rsidR="00BE100E" w:rsidRPr="00D04BA0">
        <w:rPr>
          <w:rFonts w:ascii="Times New Roman" w:hAnsi="Times New Roman" w:cs="Times New Roman"/>
          <w:sz w:val="24"/>
          <w:szCs w:val="24"/>
        </w:rPr>
        <w:t xml:space="preserve">ania </w:t>
      </w:r>
      <w:r w:rsidR="000317CC" w:rsidRPr="00D04BA0">
        <w:rPr>
          <w:rFonts w:ascii="Times New Roman" w:hAnsi="Times New Roman" w:cs="Times New Roman"/>
          <w:sz w:val="24"/>
          <w:szCs w:val="24"/>
        </w:rPr>
        <w:t xml:space="preserve">w państwach europejskich </w:t>
      </w:r>
      <w:r w:rsidR="00F8663B" w:rsidRPr="00D04BA0">
        <w:rPr>
          <w:rFonts w:ascii="Times New Roman" w:hAnsi="Times New Roman" w:cs="Times New Roman"/>
          <w:sz w:val="24"/>
          <w:szCs w:val="24"/>
        </w:rPr>
        <w:t xml:space="preserve">dolnego </w:t>
      </w:r>
      <w:r w:rsidR="000317CC" w:rsidRPr="00D04BA0">
        <w:rPr>
          <w:rFonts w:ascii="Times New Roman" w:hAnsi="Times New Roman" w:cs="Times New Roman"/>
          <w:sz w:val="24"/>
          <w:szCs w:val="24"/>
        </w:rPr>
        <w:t xml:space="preserve">pułapu </w:t>
      </w:r>
      <w:r w:rsidR="00BE100E" w:rsidRPr="00D04BA0">
        <w:rPr>
          <w:rFonts w:ascii="Times New Roman" w:hAnsi="Times New Roman" w:cs="Times New Roman"/>
          <w:sz w:val="24"/>
          <w:szCs w:val="24"/>
        </w:rPr>
        <w:t xml:space="preserve">sankcji administracyjnych oraz </w:t>
      </w:r>
      <w:r w:rsidR="00F8663B" w:rsidRPr="00D04BA0">
        <w:rPr>
          <w:rFonts w:ascii="Times New Roman" w:hAnsi="Times New Roman" w:cs="Times New Roman"/>
          <w:sz w:val="24"/>
          <w:szCs w:val="24"/>
        </w:rPr>
        <w:t xml:space="preserve">minimalnego wykazu kryteriów nakładania </w:t>
      </w:r>
      <w:r w:rsidR="00BE100E" w:rsidRPr="00D04BA0">
        <w:rPr>
          <w:rFonts w:ascii="Times New Roman" w:hAnsi="Times New Roman" w:cs="Times New Roman"/>
          <w:sz w:val="24"/>
          <w:szCs w:val="24"/>
        </w:rPr>
        <w:t xml:space="preserve">takich </w:t>
      </w:r>
      <w:r w:rsidR="00F8663B" w:rsidRPr="00D04BA0">
        <w:rPr>
          <w:rFonts w:ascii="Times New Roman" w:hAnsi="Times New Roman" w:cs="Times New Roman"/>
          <w:sz w:val="24"/>
          <w:szCs w:val="24"/>
        </w:rPr>
        <w:t>sankcji</w:t>
      </w:r>
      <w:r w:rsidR="000317CC" w:rsidRPr="00D04BA0">
        <w:rPr>
          <w:rFonts w:ascii="Times New Roman" w:hAnsi="Times New Roman" w:cs="Times New Roman"/>
          <w:sz w:val="24"/>
          <w:szCs w:val="24"/>
        </w:rPr>
        <w:t>.</w:t>
      </w:r>
    </w:p>
    <w:p w:rsidR="0015199D" w:rsidRPr="00D04BA0" w:rsidRDefault="00BE100E" w:rsidP="00960B35">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t xml:space="preserve">Co prawda </w:t>
      </w:r>
      <w:r w:rsidR="003916A4" w:rsidRPr="00D04BA0">
        <w:rPr>
          <w:rFonts w:ascii="Times New Roman" w:hAnsi="Times New Roman" w:cs="Times New Roman"/>
          <w:sz w:val="24"/>
          <w:szCs w:val="24"/>
        </w:rPr>
        <w:t>termin publikacji przepisów ustawowych, wykonawczych i administracyjnych niezbędnych do wykonania dyrektywy UCITS V upływa w dniu 18</w:t>
      </w:r>
      <w:r w:rsidR="00D14EF5">
        <w:rPr>
          <w:rFonts w:ascii="Times New Roman" w:hAnsi="Times New Roman" w:cs="Times New Roman"/>
          <w:sz w:val="24"/>
          <w:szCs w:val="24"/>
        </w:rPr>
        <w:t> </w:t>
      </w:r>
      <w:r w:rsidR="003916A4" w:rsidRPr="00D04BA0">
        <w:rPr>
          <w:rFonts w:ascii="Times New Roman" w:hAnsi="Times New Roman" w:cs="Times New Roman"/>
          <w:sz w:val="24"/>
          <w:szCs w:val="24"/>
        </w:rPr>
        <w:t>marca 2016</w:t>
      </w:r>
      <w:r w:rsidR="00D04BA0">
        <w:rPr>
          <w:rFonts w:ascii="Times New Roman" w:hAnsi="Times New Roman" w:cs="Times New Roman"/>
          <w:sz w:val="24"/>
          <w:szCs w:val="24"/>
        </w:rPr>
        <w:t xml:space="preserve"> </w:t>
      </w:r>
      <w:r w:rsidR="003916A4" w:rsidRPr="00D04BA0">
        <w:rPr>
          <w:rFonts w:ascii="Times New Roman" w:hAnsi="Times New Roman" w:cs="Times New Roman"/>
          <w:sz w:val="24"/>
          <w:szCs w:val="24"/>
        </w:rPr>
        <w:t>r., niemniej jednak zdecydowano się na objęcie projektowaną regulacją również tej dyrektywy</w:t>
      </w:r>
      <w:r w:rsidR="001971A2" w:rsidRPr="00D04BA0">
        <w:rPr>
          <w:rFonts w:ascii="Times New Roman" w:hAnsi="Times New Roman" w:cs="Times New Roman"/>
          <w:sz w:val="24"/>
          <w:szCs w:val="24"/>
        </w:rPr>
        <w:t>. Wynika to z faktu</w:t>
      </w:r>
      <w:r w:rsidR="003916A4" w:rsidRPr="00D04BA0">
        <w:rPr>
          <w:rFonts w:ascii="Times New Roman" w:hAnsi="Times New Roman" w:cs="Times New Roman"/>
          <w:sz w:val="24"/>
          <w:szCs w:val="24"/>
        </w:rPr>
        <w:t xml:space="preserve">, </w:t>
      </w:r>
      <w:r w:rsidR="001971A2" w:rsidRPr="00D04BA0">
        <w:rPr>
          <w:rFonts w:ascii="Times New Roman" w:hAnsi="Times New Roman" w:cs="Times New Roman"/>
          <w:sz w:val="24"/>
          <w:szCs w:val="24"/>
        </w:rPr>
        <w:t>że</w:t>
      </w:r>
      <w:r w:rsidR="003916A4" w:rsidRPr="00D04BA0">
        <w:rPr>
          <w:rFonts w:ascii="Times New Roman" w:hAnsi="Times New Roman" w:cs="Times New Roman"/>
          <w:sz w:val="24"/>
          <w:szCs w:val="24"/>
        </w:rPr>
        <w:t xml:space="preserve"> w rzeczywistości dyrektywa ta w zakresie depozytariusza i polityki wynagrodzeń </w:t>
      </w:r>
      <w:r w:rsidRPr="00D04BA0">
        <w:rPr>
          <w:rFonts w:ascii="Times New Roman" w:hAnsi="Times New Roman" w:cs="Times New Roman"/>
          <w:sz w:val="24"/>
          <w:szCs w:val="24"/>
        </w:rPr>
        <w:t xml:space="preserve">dostosowuje przepisy dyrektywy </w:t>
      </w:r>
      <w:r w:rsidR="003916A4" w:rsidRPr="00D04BA0">
        <w:rPr>
          <w:rFonts w:ascii="Times New Roman" w:hAnsi="Times New Roman" w:cs="Times New Roman"/>
          <w:sz w:val="24"/>
          <w:szCs w:val="24"/>
        </w:rPr>
        <w:t xml:space="preserve">UCITS </w:t>
      </w:r>
      <w:r w:rsidRPr="00D04BA0">
        <w:rPr>
          <w:rFonts w:ascii="Times New Roman" w:hAnsi="Times New Roman" w:cs="Times New Roman"/>
          <w:sz w:val="24"/>
          <w:szCs w:val="24"/>
        </w:rPr>
        <w:t>do rozwiązań przyjętych w dyrektywie ZAFI</w:t>
      </w:r>
      <w:r w:rsidR="003916A4" w:rsidRPr="00D04BA0">
        <w:rPr>
          <w:rFonts w:ascii="Times New Roman" w:hAnsi="Times New Roman" w:cs="Times New Roman"/>
          <w:sz w:val="24"/>
          <w:szCs w:val="24"/>
        </w:rPr>
        <w:t xml:space="preserve">. Proponowane rozwiązanie zapewni </w:t>
      </w:r>
      <w:r w:rsidR="001971A2" w:rsidRPr="00D04BA0">
        <w:rPr>
          <w:rFonts w:ascii="Times New Roman" w:hAnsi="Times New Roman" w:cs="Times New Roman"/>
          <w:sz w:val="24"/>
          <w:szCs w:val="24"/>
        </w:rPr>
        <w:t xml:space="preserve">zatem </w:t>
      </w:r>
      <w:r w:rsidR="00042F1B" w:rsidRPr="00D04BA0">
        <w:rPr>
          <w:rFonts w:ascii="Times New Roman" w:hAnsi="Times New Roman" w:cs="Times New Roman"/>
          <w:sz w:val="24"/>
          <w:szCs w:val="24"/>
        </w:rPr>
        <w:t xml:space="preserve">jednolite standardy obowiązujące </w:t>
      </w:r>
      <w:r w:rsidR="0015199D" w:rsidRPr="00D04BA0">
        <w:rPr>
          <w:rFonts w:ascii="Times New Roman" w:hAnsi="Times New Roman" w:cs="Times New Roman"/>
          <w:sz w:val="24"/>
          <w:szCs w:val="24"/>
        </w:rPr>
        <w:t>depozytariu</w:t>
      </w:r>
      <w:r w:rsidR="00CF5A3D" w:rsidRPr="00D04BA0">
        <w:rPr>
          <w:rFonts w:ascii="Times New Roman" w:hAnsi="Times New Roman" w:cs="Times New Roman"/>
          <w:sz w:val="24"/>
          <w:szCs w:val="24"/>
        </w:rPr>
        <w:t xml:space="preserve">szy krajowych funduszy UCITS i </w:t>
      </w:r>
      <w:r w:rsidR="0015199D" w:rsidRPr="00D04BA0">
        <w:rPr>
          <w:rFonts w:ascii="Times New Roman" w:hAnsi="Times New Roman" w:cs="Times New Roman"/>
          <w:sz w:val="24"/>
          <w:szCs w:val="24"/>
        </w:rPr>
        <w:t>AFI</w:t>
      </w:r>
      <w:r w:rsidR="00813644" w:rsidRPr="00D04BA0">
        <w:rPr>
          <w:rFonts w:ascii="Times New Roman" w:hAnsi="Times New Roman" w:cs="Times New Roman"/>
          <w:sz w:val="24"/>
          <w:szCs w:val="24"/>
        </w:rPr>
        <w:t xml:space="preserve">, a także </w:t>
      </w:r>
      <w:r w:rsidR="0015199D" w:rsidRPr="00D04BA0">
        <w:rPr>
          <w:rFonts w:ascii="Times New Roman" w:hAnsi="Times New Roman" w:cs="Times New Roman"/>
          <w:sz w:val="24"/>
          <w:szCs w:val="24"/>
        </w:rPr>
        <w:t>zarządzających takimi funduszami w zakresie polityki wynagrodzeń, przez co wyeliminowane zostanie</w:t>
      </w:r>
      <w:r w:rsidR="00813644" w:rsidRPr="00D04BA0">
        <w:rPr>
          <w:rFonts w:ascii="Times New Roman" w:hAnsi="Times New Roman" w:cs="Times New Roman"/>
          <w:sz w:val="24"/>
          <w:szCs w:val="24"/>
        </w:rPr>
        <w:t xml:space="preserve"> </w:t>
      </w:r>
      <w:r w:rsidR="0015199D" w:rsidRPr="00D04BA0">
        <w:rPr>
          <w:rFonts w:ascii="Times New Roman" w:hAnsi="Times New Roman" w:cs="Times New Roman"/>
          <w:sz w:val="24"/>
          <w:szCs w:val="24"/>
        </w:rPr>
        <w:t>niekorzystne zjawisko</w:t>
      </w:r>
      <w:r w:rsidR="00512C19">
        <w:rPr>
          <w:rFonts w:ascii="Times New Roman" w:hAnsi="Times New Roman" w:cs="Times New Roman"/>
          <w:sz w:val="24"/>
          <w:szCs w:val="24"/>
        </w:rPr>
        <w:t>,</w:t>
      </w:r>
      <w:r w:rsidR="0015199D" w:rsidRPr="00D04BA0">
        <w:rPr>
          <w:rFonts w:ascii="Times New Roman" w:hAnsi="Times New Roman" w:cs="Times New Roman"/>
          <w:sz w:val="24"/>
          <w:szCs w:val="24"/>
        </w:rPr>
        <w:t xml:space="preserve"> </w:t>
      </w:r>
      <w:r w:rsidR="00813644" w:rsidRPr="00D04BA0">
        <w:rPr>
          <w:rFonts w:ascii="Times New Roman" w:hAnsi="Times New Roman" w:cs="Times New Roman"/>
          <w:sz w:val="24"/>
          <w:szCs w:val="24"/>
        </w:rPr>
        <w:t>gdzie fundusze UCITS kierowane do inwestorów detaliczny</w:t>
      </w:r>
      <w:r w:rsidR="00512C19">
        <w:rPr>
          <w:rFonts w:ascii="Times New Roman" w:hAnsi="Times New Roman" w:cs="Times New Roman"/>
          <w:sz w:val="24"/>
          <w:szCs w:val="24"/>
        </w:rPr>
        <w:t>ch</w:t>
      </w:r>
      <w:r w:rsidR="00813644" w:rsidRPr="00D04BA0">
        <w:rPr>
          <w:rFonts w:ascii="Times New Roman" w:hAnsi="Times New Roman" w:cs="Times New Roman"/>
          <w:sz w:val="24"/>
          <w:szCs w:val="24"/>
        </w:rPr>
        <w:t>, do czasu implementacji dyrektywy UCITS V, był</w:t>
      </w:r>
      <w:r w:rsidR="00512C19">
        <w:rPr>
          <w:rFonts w:ascii="Times New Roman" w:hAnsi="Times New Roman" w:cs="Times New Roman"/>
          <w:sz w:val="24"/>
          <w:szCs w:val="24"/>
        </w:rPr>
        <w:t>y</w:t>
      </w:r>
      <w:r w:rsidR="00813644" w:rsidRPr="00D04BA0">
        <w:rPr>
          <w:rFonts w:ascii="Times New Roman" w:hAnsi="Times New Roman" w:cs="Times New Roman"/>
          <w:sz w:val="24"/>
          <w:szCs w:val="24"/>
        </w:rPr>
        <w:t xml:space="preserve">by objęte niższymi </w:t>
      </w:r>
      <w:r w:rsidR="00CD5436" w:rsidRPr="00D04BA0">
        <w:rPr>
          <w:rFonts w:ascii="Times New Roman" w:hAnsi="Times New Roman" w:cs="Times New Roman"/>
          <w:sz w:val="24"/>
          <w:szCs w:val="24"/>
        </w:rPr>
        <w:t xml:space="preserve">standardami </w:t>
      </w:r>
      <w:r w:rsidR="00813644" w:rsidRPr="00D04BA0">
        <w:rPr>
          <w:rFonts w:ascii="Times New Roman" w:hAnsi="Times New Roman" w:cs="Times New Roman"/>
          <w:sz w:val="24"/>
          <w:szCs w:val="24"/>
        </w:rPr>
        <w:t xml:space="preserve">w przedmiotowym zakresie niż fundusze ZAFI, </w:t>
      </w:r>
      <w:r w:rsidR="001971A2" w:rsidRPr="00D04BA0">
        <w:rPr>
          <w:rFonts w:ascii="Times New Roman" w:hAnsi="Times New Roman" w:cs="Times New Roman"/>
          <w:sz w:val="24"/>
          <w:szCs w:val="24"/>
        </w:rPr>
        <w:t>które</w:t>
      </w:r>
      <w:r w:rsidR="00512C19">
        <w:rPr>
          <w:rFonts w:ascii="Times New Roman" w:hAnsi="Times New Roman" w:cs="Times New Roman"/>
          <w:sz w:val="24"/>
          <w:szCs w:val="24"/>
        </w:rPr>
        <w:t>,</w:t>
      </w:r>
      <w:r w:rsidR="001971A2" w:rsidRPr="00D04BA0">
        <w:rPr>
          <w:rFonts w:ascii="Times New Roman" w:hAnsi="Times New Roman" w:cs="Times New Roman"/>
          <w:sz w:val="24"/>
          <w:szCs w:val="24"/>
        </w:rPr>
        <w:t xml:space="preserve"> co </w:t>
      </w:r>
      <w:r w:rsidR="00813644" w:rsidRPr="00D04BA0">
        <w:rPr>
          <w:rFonts w:ascii="Times New Roman" w:hAnsi="Times New Roman" w:cs="Times New Roman"/>
          <w:sz w:val="24"/>
          <w:szCs w:val="24"/>
        </w:rPr>
        <w:t>do zasady</w:t>
      </w:r>
      <w:r w:rsidR="00512C19">
        <w:rPr>
          <w:rFonts w:ascii="Times New Roman" w:hAnsi="Times New Roman" w:cs="Times New Roman"/>
          <w:sz w:val="24"/>
          <w:szCs w:val="24"/>
        </w:rPr>
        <w:t>,</w:t>
      </w:r>
      <w:r w:rsidR="00813644" w:rsidRPr="00D04BA0">
        <w:rPr>
          <w:rFonts w:ascii="Times New Roman" w:hAnsi="Times New Roman" w:cs="Times New Roman"/>
          <w:sz w:val="24"/>
          <w:szCs w:val="24"/>
        </w:rPr>
        <w:t xml:space="preserve"> </w:t>
      </w:r>
      <w:r w:rsidR="00000207" w:rsidRPr="00D04BA0">
        <w:rPr>
          <w:rFonts w:ascii="Times New Roman" w:hAnsi="Times New Roman" w:cs="Times New Roman"/>
          <w:sz w:val="24"/>
          <w:szCs w:val="24"/>
        </w:rPr>
        <w:t xml:space="preserve">dedykowane są </w:t>
      </w:r>
      <w:r w:rsidR="00813644" w:rsidRPr="00D04BA0">
        <w:rPr>
          <w:rFonts w:ascii="Times New Roman" w:hAnsi="Times New Roman" w:cs="Times New Roman"/>
          <w:sz w:val="24"/>
          <w:szCs w:val="24"/>
        </w:rPr>
        <w:t>inwestor</w:t>
      </w:r>
      <w:r w:rsidR="00000207" w:rsidRPr="00D04BA0">
        <w:rPr>
          <w:rFonts w:ascii="Times New Roman" w:hAnsi="Times New Roman" w:cs="Times New Roman"/>
          <w:sz w:val="24"/>
          <w:szCs w:val="24"/>
        </w:rPr>
        <w:t xml:space="preserve">om </w:t>
      </w:r>
      <w:r w:rsidR="00813644" w:rsidRPr="00D04BA0">
        <w:rPr>
          <w:rFonts w:ascii="Times New Roman" w:hAnsi="Times New Roman" w:cs="Times New Roman"/>
          <w:sz w:val="24"/>
          <w:szCs w:val="24"/>
        </w:rPr>
        <w:t>profesjonalny</w:t>
      </w:r>
      <w:r w:rsidR="00000207" w:rsidRPr="00D04BA0">
        <w:rPr>
          <w:rFonts w:ascii="Times New Roman" w:hAnsi="Times New Roman" w:cs="Times New Roman"/>
          <w:sz w:val="24"/>
          <w:szCs w:val="24"/>
        </w:rPr>
        <w:t>m</w:t>
      </w:r>
      <w:r w:rsidR="00813644" w:rsidRPr="00D04BA0">
        <w:rPr>
          <w:rFonts w:ascii="Times New Roman" w:hAnsi="Times New Roman" w:cs="Times New Roman"/>
          <w:sz w:val="24"/>
          <w:szCs w:val="24"/>
        </w:rPr>
        <w:t>.</w:t>
      </w:r>
    </w:p>
    <w:p w:rsidR="008B5F10" w:rsidRPr="00D04BA0" w:rsidRDefault="00CD5436" w:rsidP="00960B35">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t xml:space="preserve">Ostatnia z implementowanych dyrektyw (2013/14/UE) </w:t>
      </w:r>
      <w:r w:rsidR="00166400" w:rsidRPr="00D04BA0">
        <w:rPr>
          <w:rFonts w:ascii="Times New Roman" w:hAnsi="Times New Roman" w:cs="Times New Roman"/>
          <w:sz w:val="24"/>
          <w:szCs w:val="24"/>
        </w:rPr>
        <w:t>wprowadza ogólną zasadę unikania nadmiernego polegania na zewnętrznych ratingach kredytowych do procesów</w:t>
      </w:r>
      <w:r w:rsidR="00D04BA0">
        <w:rPr>
          <w:rFonts w:ascii="Times New Roman" w:hAnsi="Times New Roman" w:cs="Times New Roman"/>
          <w:sz w:val="24"/>
          <w:szCs w:val="24"/>
        </w:rPr>
        <w:t xml:space="preserve"> </w:t>
      </w:r>
      <w:r w:rsidR="00166400" w:rsidRPr="00D04BA0">
        <w:rPr>
          <w:rFonts w:ascii="Times New Roman" w:hAnsi="Times New Roman" w:cs="Times New Roman"/>
          <w:sz w:val="24"/>
          <w:szCs w:val="24"/>
        </w:rPr>
        <w:t xml:space="preserve">i </w:t>
      </w:r>
      <w:r w:rsidR="00166400" w:rsidRPr="00D04BA0">
        <w:rPr>
          <w:rFonts w:ascii="Times New Roman" w:hAnsi="Times New Roman" w:cs="Times New Roman"/>
          <w:sz w:val="24"/>
          <w:szCs w:val="24"/>
        </w:rPr>
        <w:lastRenderedPageBreak/>
        <w:t>systemów zarządzania ryzykiem stosowanych przez zarządzających funduszami UCITS</w:t>
      </w:r>
      <w:r w:rsidR="00D04BA0">
        <w:rPr>
          <w:rFonts w:ascii="Times New Roman" w:hAnsi="Times New Roman" w:cs="Times New Roman"/>
          <w:sz w:val="24"/>
          <w:szCs w:val="24"/>
        </w:rPr>
        <w:t xml:space="preserve"> </w:t>
      </w:r>
      <w:r w:rsidR="00321F55" w:rsidRPr="00D04BA0">
        <w:rPr>
          <w:rFonts w:ascii="Times New Roman" w:hAnsi="Times New Roman" w:cs="Times New Roman"/>
          <w:sz w:val="24"/>
          <w:szCs w:val="24"/>
        </w:rPr>
        <w:t>i A</w:t>
      </w:r>
      <w:r w:rsidR="00166400" w:rsidRPr="00D04BA0">
        <w:rPr>
          <w:rFonts w:ascii="Times New Roman" w:hAnsi="Times New Roman" w:cs="Times New Roman"/>
          <w:sz w:val="24"/>
          <w:szCs w:val="24"/>
        </w:rPr>
        <w:t>F</w:t>
      </w:r>
      <w:r w:rsidR="00321F55" w:rsidRPr="00D04BA0">
        <w:rPr>
          <w:rFonts w:ascii="Times New Roman" w:hAnsi="Times New Roman" w:cs="Times New Roman"/>
          <w:sz w:val="24"/>
          <w:szCs w:val="24"/>
        </w:rPr>
        <w:t>I</w:t>
      </w:r>
      <w:r w:rsidR="00166400" w:rsidRPr="00D04BA0">
        <w:rPr>
          <w:rFonts w:ascii="Times New Roman" w:hAnsi="Times New Roman" w:cs="Times New Roman"/>
          <w:sz w:val="24"/>
          <w:szCs w:val="24"/>
        </w:rPr>
        <w:t xml:space="preserve">, a także dostosowanie jej do ich cech szczególnych. Zgodnie z dyrektywą, zewnętrzne ratingi kredytowe nie </w:t>
      </w:r>
      <w:r w:rsidR="00000207" w:rsidRPr="00D04BA0">
        <w:rPr>
          <w:rFonts w:ascii="Times New Roman" w:hAnsi="Times New Roman" w:cs="Times New Roman"/>
          <w:sz w:val="24"/>
          <w:szCs w:val="24"/>
        </w:rPr>
        <w:t xml:space="preserve">mogą być </w:t>
      </w:r>
      <w:r w:rsidR="00166400" w:rsidRPr="00D04BA0">
        <w:rPr>
          <w:rFonts w:ascii="Times New Roman" w:hAnsi="Times New Roman" w:cs="Times New Roman"/>
          <w:sz w:val="24"/>
          <w:szCs w:val="24"/>
        </w:rPr>
        <w:t xml:space="preserve">wykorzystywane jako zasadniczy element procesu zarządzania ryzykiem inwestycyjnym. Ratingi te będą mogły być wykorzystywane wyłącznie jako jeden z wielu czynników </w:t>
      </w:r>
      <w:r w:rsidR="00000207" w:rsidRPr="00D04BA0">
        <w:rPr>
          <w:rFonts w:ascii="Times New Roman" w:hAnsi="Times New Roman" w:cs="Times New Roman"/>
          <w:sz w:val="24"/>
          <w:szCs w:val="24"/>
        </w:rPr>
        <w:t xml:space="preserve">branych pod uwagę podczas </w:t>
      </w:r>
      <w:r w:rsidR="00166400" w:rsidRPr="00D04BA0">
        <w:rPr>
          <w:rFonts w:ascii="Times New Roman" w:hAnsi="Times New Roman" w:cs="Times New Roman"/>
          <w:sz w:val="24"/>
          <w:szCs w:val="24"/>
        </w:rPr>
        <w:t>tego procesu.</w:t>
      </w:r>
      <w:r w:rsidR="006C1236" w:rsidRPr="00D04BA0">
        <w:rPr>
          <w:rFonts w:ascii="Times New Roman" w:hAnsi="Times New Roman" w:cs="Times New Roman"/>
          <w:sz w:val="24"/>
          <w:szCs w:val="24"/>
        </w:rPr>
        <w:t xml:space="preserve"> Projektowana ustawa zakłada wdrożenie przedmiotowej dyrektywy w części dotyczącej zarządzających funduszami UCITS oraz zarządzających AFI</w:t>
      </w:r>
      <w:r w:rsidR="00B06FC3" w:rsidRPr="00D04BA0">
        <w:rPr>
          <w:rFonts w:ascii="Times New Roman" w:hAnsi="Times New Roman" w:cs="Times New Roman"/>
          <w:sz w:val="24"/>
          <w:szCs w:val="24"/>
        </w:rPr>
        <w:t xml:space="preserve">. Implementacja w zakresie </w:t>
      </w:r>
      <w:r w:rsidR="006C1236" w:rsidRPr="00D04BA0">
        <w:rPr>
          <w:rFonts w:ascii="Times New Roman" w:hAnsi="Times New Roman" w:cs="Times New Roman"/>
          <w:sz w:val="24"/>
          <w:szCs w:val="24"/>
        </w:rPr>
        <w:t xml:space="preserve">pracowniczych programów emerytalnych </w:t>
      </w:r>
      <w:r w:rsidR="00B06FC3" w:rsidRPr="00D04BA0">
        <w:rPr>
          <w:rFonts w:ascii="Times New Roman" w:hAnsi="Times New Roman" w:cs="Times New Roman"/>
          <w:sz w:val="24"/>
          <w:szCs w:val="24"/>
        </w:rPr>
        <w:t>jest procedowana innym projektem ustawy.</w:t>
      </w:r>
    </w:p>
    <w:p w:rsidR="007A72F9" w:rsidRPr="00D04BA0" w:rsidRDefault="005C57BE" w:rsidP="00960B35">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t xml:space="preserve">W projekcie proponuje się ponadto </w:t>
      </w:r>
      <w:r w:rsidR="008B5F10" w:rsidRPr="00D04BA0">
        <w:rPr>
          <w:rFonts w:ascii="Times New Roman" w:hAnsi="Times New Roman" w:cs="Times New Roman"/>
          <w:sz w:val="24"/>
          <w:szCs w:val="24"/>
        </w:rPr>
        <w:t>zmiany dotyczące działalności funduszy inwestycyjnych oraz towarzystw funduszy inwestycyjnych niezwiązane bezpośrednio</w:t>
      </w:r>
      <w:r w:rsidR="00D04BA0">
        <w:rPr>
          <w:rFonts w:ascii="Times New Roman" w:hAnsi="Times New Roman" w:cs="Times New Roman"/>
          <w:sz w:val="24"/>
          <w:szCs w:val="24"/>
        </w:rPr>
        <w:t xml:space="preserve"> </w:t>
      </w:r>
      <w:r w:rsidR="008B5F10" w:rsidRPr="00D04BA0">
        <w:rPr>
          <w:rFonts w:ascii="Times New Roman" w:hAnsi="Times New Roman" w:cs="Times New Roman"/>
          <w:sz w:val="24"/>
          <w:szCs w:val="24"/>
        </w:rPr>
        <w:t xml:space="preserve">z wdrożeniem </w:t>
      </w:r>
      <w:r w:rsidR="00AC132D" w:rsidRPr="00D04BA0">
        <w:rPr>
          <w:rFonts w:ascii="Times New Roman" w:hAnsi="Times New Roman" w:cs="Times New Roman"/>
          <w:sz w:val="24"/>
          <w:szCs w:val="24"/>
        </w:rPr>
        <w:t xml:space="preserve">ww. </w:t>
      </w:r>
      <w:r w:rsidR="008B5F10" w:rsidRPr="00D04BA0">
        <w:rPr>
          <w:rFonts w:ascii="Times New Roman" w:hAnsi="Times New Roman" w:cs="Times New Roman"/>
          <w:sz w:val="24"/>
          <w:szCs w:val="24"/>
        </w:rPr>
        <w:t>dyrektyw. Zakres tych zmian został przedstawiony w załączonym wykazie (odwrócona tabela zgodności).</w:t>
      </w:r>
    </w:p>
    <w:p w:rsidR="00D042B9" w:rsidRPr="00483BD1" w:rsidRDefault="00110A56" w:rsidP="008266F6">
      <w:pPr>
        <w:spacing w:before="240" w:after="0" w:line="360" w:lineRule="auto"/>
        <w:jc w:val="both"/>
        <w:rPr>
          <w:rFonts w:ascii="Times New Roman" w:hAnsi="Times New Roman" w:cs="Times New Roman"/>
          <w:sz w:val="24"/>
          <w:szCs w:val="24"/>
        </w:rPr>
      </w:pPr>
      <w:r w:rsidRPr="00483BD1">
        <w:rPr>
          <w:rFonts w:ascii="Times New Roman" w:hAnsi="Times New Roman" w:cs="Times New Roman"/>
          <w:sz w:val="24"/>
          <w:szCs w:val="24"/>
        </w:rPr>
        <w:t>Ograniczenie swobody działalności gospodarczej</w:t>
      </w:r>
    </w:p>
    <w:p w:rsidR="00E954FF" w:rsidRPr="00D04BA0" w:rsidRDefault="007A11D9" w:rsidP="0066072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Do najistotniejszych rozstrzygnięć zawartych w projekcie należ</w:t>
      </w:r>
      <w:r w:rsidR="00B2400B" w:rsidRPr="00D04BA0">
        <w:rPr>
          <w:rFonts w:ascii="Times New Roman" w:hAnsi="Times New Roman" w:cs="Times New Roman"/>
          <w:sz w:val="24"/>
          <w:szCs w:val="24"/>
        </w:rPr>
        <w:t>y ustalenie zakresu podmiotów, do których odnosić się będą</w:t>
      </w:r>
      <w:r w:rsidRPr="00D04BA0">
        <w:rPr>
          <w:rFonts w:ascii="Times New Roman" w:hAnsi="Times New Roman" w:cs="Times New Roman"/>
          <w:sz w:val="24"/>
          <w:szCs w:val="24"/>
        </w:rPr>
        <w:t xml:space="preserve"> regulacj</w:t>
      </w:r>
      <w:r w:rsidR="00B2400B" w:rsidRPr="00D04BA0">
        <w:rPr>
          <w:rFonts w:ascii="Times New Roman" w:hAnsi="Times New Roman" w:cs="Times New Roman"/>
          <w:sz w:val="24"/>
          <w:szCs w:val="24"/>
        </w:rPr>
        <w:t>e</w:t>
      </w:r>
      <w:r w:rsidRPr="00D04BA0">
        <w:rPr>
          <w:rFonts w:ascii="Times New Roman" w:hAnsi="Times New Roman" w:cs="Times New Roman"/>
          <w:sz w:val="24"/>
          <w:szCs w:val="24"/>
        </w:rPr>
        <w:t xml:space="preserve"> wymagan</w:t>
      </w:r>
      <w:r w:rsidR="00B2400B" w:rsidRPr="00D04BA0">
        <w:rPr>
          <w:rFonts w:ascii="Times New Roman" w:hAnsi="Times New Roman" w:cs="Times New Roman"/>
          <w:sz w:val="24"/>
          <w:szCs w:val="24"/>
        </w:rPr>
        <w:t>e</w:t>
      </w:r>
      <w:r w:rsidRPr="00D04BA0">
        <w:rPr>
          <w:rFonts w:ascii="Times New Roman" w:hAnsi="Times New Roman" w:cs="Times New Roman"/>
          <w:sz w:val="24"/>
          <w:szCs w:val="24"/>
        </w:rPr>
        <w:t xml:space="preserve"> dyrektywą ZAFI</w:t>
      </w:r>
      <w:r w:rsidR="00E954FF" w:rsidRPr="00D04BA0">
        <w:rPr>
          <w:rFonts w:ascii="Times New Roman" w:hAnsi="Times New Roman" w:cs="Times New Roman"/>
          <w:sz w:val="24"/>
          <w:szCs w:val="24"/>
        </w:rPr>
        <w:t>, gdyż</w:t>
      </w:r>
      <w:r w:rsidR="00D04BA0">
        <w:rPr>
          <w:rFonts w:ascii="Times New Roman" w:hAnsi="Times New Roman" w:cs="Times New Roman"/>
          <w:sz w:val="24"/>
          <w:szCs w:val="24"/>
        </w:rPr>
        <w:t xml:space="preserve"> </w:t>
      </w:r>
      <w:r w:rsidR="00E954FF" w:rsidRPr="00D04BA0">
        <w:rPr>
          <w:rFonts w:ascii="Times New Roman" w:hAnsi="Times New Roman" w:cs="Times New Roman"/>
          <w:sz w:val="24"/>
          <w:szCs w:val="24"/>
        </w:rPr>
        <w:t>w konsekwencji prowadzi ono do wyznaczenia zakresu dopuszczalnych form prowadzenia działalności pozyskiwania kapitału od inwestorów w celu inwestowania go zgodnie</w:t>
      </w:r>
      <w:r w:rsidR="00D04BA0">
        <w:rPr>
          <w:rFonts w:ascii="Times New Roman" w:hAnsi="Times New Roman" w:cs="Times New Roman"/>
          <w:sz w:val="24"/>
          <w:szCs w:val="24"/>
        </w:rPr>
        <w:t xml:space="preserve"> </w:t>
      </w:r>
      <w:r w:rsidR="00E954FF" w:rsidRPr="00D04BA0">
        <w:rPr>
          <w:rFonts w:ascii="Times New Roman" w:hAnsi="Times New Roman" w:cs="Times New Roman"/>
          <w:sz w:val="24"/>
          <w:szCs w:val="24"/>
        </w:rPr>
        <w:t>z określoną polityką inwestycyjną z korzyścią dla tych inwestorów</w:t>
      </w:r>
      <w:r w:rsidRPr="00D04BA0">
        <w:rPr>
          <w:rFonts w:ascii="Times New Roman" w:hAnsi="Times New Roman" w:cs="Times New Roman"/>
          <w:sz w:val="24"/>
          <w:szCs w:val="24"/>
        </w:rPr>
        <w:t xml:space="preserve">. </w:t>
      </w:r>
    </w:p>
    <w:p w:rsidR="00C970FE" w:rsidRPr="00D04BA0" w:rsidRDefault="00D042B9" w:rsidP="00660721">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t xml:space="preserve">Realizując cele </w:t>
      </w:r>
      <w:r w:rsidR="007A11D9" w:rsidRPr="00D04BA0">
        <w:rPr>
          <w:rFonts w:ascii="Times New Roman" w:hAnsi="Times New Roman" w:cs="Times New Roman"/>
          <w:sz w:val="24"/>
          <w:szCs w:val="24"/>
        </w:rPr>
        <w:t xml:space="preserve">tej </w:t>
      </w:r>
      <w:r w:rsidRPr="00D04BA0">
        <w:rPr>
          <w:rFonts w:ascii="Times New Roman" w:hAnsi="Times New Roman" w:cs="Times New Roman"/>
          <w:sz w:val="24"/>
          <w:szCs w:val="24"/>
        </w:rPr>
        <w:t>dyrektywy, przepisy projektu nie kreują nowych form prawnych prowadzenia działalności ZAFI, ale obejmują pod względem podmiotowym zidentyfi</w:t>
      </w:r>
      <w:r w:rsidR="001B7049" w:rsidRPr="00D04BA0">
        <w:rPr>
          <w:rFonts w:ascii="Times New Roman" w:hAnsi="Times New Roman" w:cs="Times New Roman"/>
          <w:sz w:val="24"/>
          <w:szCs w:val="24"/>
        </w:rPr>
        <w:t xml:space="preserve">kowane na rynku krajowym formy prowadzenia działalności objętej regulacjami dyrektywy ZAFI. </w:t>
      </w:r>
      <w:r w:rsidR="00DD7723" w:rsidRPr="00D04BA0">
        <w:rPr>
          <w:rFonts w:ascii="Times New Roman" w:hAnsi="Times New Roman" w:cs="Times New Roman"/>
          <w:sz w:val="24"/>
          <w:szCs w:val="24"/>
        </w:rPr>
        <w:t xml:space="preserve">Zgodnie z tą dyrektywą </w:t>
      </w:r>
      <w:r w:rsidR="00C970FE" w:rsidRPr="00D04BA0">
        <w:rPr>
          <w:rFonts w:ascii="Times New Roman" w:hAnsi="Times New Roman" w:cs="Times New Roman"/>
          <w:sz w:val="24"/>
          <w:szCs w:val="24"/>
        </w:rPr>
        <w:t xml:space="preserve">(art. 4 ust. 1 lit. a i b) przez ZAFI rozumie się osoby prawne, których stała działalność polega na zarządzaniu jednym lub większą liczbą AFI, natomiast AFI to przedsiębiorstwa zbiorowego inwestowania, w tym subfundusze takich przedsiębiorstw, które pozyskują kapitał od wielu inwestorów z myślą o inwestowaniu go zgodnie z określoną polityką inwestycyjną z korzyścią dla tych inwestorów, oraz nie potrzebują zezwolenia na mocy art. 5 dyrektywy UCITS. </w:t>
      </w:r>
      <w:r w:rsidR="004D065A" w:rsidRPr="00D04BA0">
        <w:rPr>
          <w:rFonts w:ascii="Times New Roman" w:hAnsi="Times New Roman" w:cs="Times New Roman"/>
          <w:sz w:val="24"/>
          <w:szCs w:val="24"/>
        </w:rPr>
        <w:t>Przy tym</w:t>
      </w:r>
      <w:r w:rsidR="00B2400B" w:rsidRPr="00D04BA0">
        <w:rPr>
          <w:rFonts w:ascii="Times New Roman" w:hAnsi="Times New Roman" w:cs="Times New Roman"/>
          <w:sz w:val="24"/>
          <w:szCs w:val="24"/>
        </w:rPr>
        <w:t xml:space="preserve"> (art. 5 ust. 1 dyrektywy ZAFI)</w:t>
      </w:r>
      <w:r w:rsidR="004D065A" w:rsidRPr="00D04BA0">
        <w:rPr>
          <w:rFonts w:ascii="Times New Roman" w:hAnsi="Times New Roman" w:cs="Times New Roman"/>
          <w:sz w:val="24"/>
          <w:szCs w:val="24"/>
        </w:rPr>
        <w:t xml:space="preserve"> ZAFI może być zarządzającym zewnętrznym (będącym osobą prawną mianowaną przez AFI lub w imieniu AFI), albo być tożsamy z AFI, w przypadku gdy forma prawna AFI pozwala na zarządzanie wewnętrzne (wówczas AFI uzyskuje zezwolenie jako ZAFI</w:t>
      </w:r>
      <w:r w:rsidR="00B2400B" w:rsidRPr="00D04BA0">
        <w:rPr>
          <w:rFonts w:ascii="Times New Roman" w:hAnsi="Times New Roman" w:cs="Times New Roman"/>
          <w:sz w:val="24"/>
          <w:szCs w:val="24"/>
        </w:rPr>
        <w:t>)</w:t>
      </w:r>
      <w:r w:rsidR="004D065A" w:rsidRPr="00D04BA0">
        <w:rPr>
          <w:rFonts w:ascii="Times New Roman" w:hAnsi="Times New Roman" w:cs="Times New Roman"/>
          <w:sz w:val="24"/>
          <w:szCs w:val="24"/>
        </w:rPr>
        <w:t xml:space="preserve">. </w:t>
      </w:r>
      <w:r w:rsidR="00C970FE" w:rsidRPr="00D04BA0">
        <w:rPr>
          <w:rFonts w:ascii="Times New Roman" w:hAnsi="Times New Roman" w:cs="Times New Roman"/>
          <w:sz w:val="24"/>
          <w:szCs w:val="24"/>
        </w:rPr>
        <w:t xml:space="preserve">Na rynku krajowym funkcjonują dwie </w:t>
      </w:r>
      <w:r w:rsidR="00C970FE" w:rsidRPr="00D04BA0">
        <w:rPr>
          <w:rFonts w:ascii="Times New Roman" w:hAnsi="Times New Roman" w:cs="Times New Roman"/>
          <w:sz w:val="24"/>
          <w:szCs w:val="24"/>
        </w:rPr>
        <w:lastRenderedPageBreak/>
        <w:t>grupy podmiotów, któr</w:t>
      </w:r>
      <w:r w:rsidR="00BE63F6" w:rsidRPr="00D04BA0">
        <w:rPr>
          <w:rFonts w:ascii="Times New Roman" w:hAnsi="Times New Roman" w:cs="Times New Roman"/>
          <w:sz w:val="24"/>
          <w:szCs w:val="24"/>
        </w:rPr>
        <w:t>e należy zakwalifikować jako</w:t>
      </w:r>
      <w:r w:rsidR="00C970FE" w:rsidRPr="00D04BA0">
        <w:rPr>
          <w:rFonts w:ascii="Times New Roman" w:hAnsi="Times New Roman" w:cs="Times New Roman"/>
          <w:sz w:val="24"/>
          <w:szCs w:val="24"/>
        </w:rPr>
        <w:t xml:space="preserve"> AFI </w:t>
      </w:r>
      <w:r w:rsidR="00BE63F6" w:rsidRPr="00D04BA0">
        <w:rPr>
          <w:rFonts w:ascii="Times New Roman" w:hAnsi="Times New Roman" w:cs="Times New Roman"/>
          <w:sz w:val="24"/>
          <w:szCs w:val="24"/>
        </w:rPr>
        <w:t>lub</w:t>
      </w:r>
      <w:r w:rsidR="00C970FE" w:rsidRPr="00D04BA0">
        <w:rPr>
          <w:rFonts w:ascii="Times New Roman" w:hAnsi="Times New Roman" w:cs="Times New Roman"/>
          <w:sz w:val="24"/>
          <w:szCs w:val="24"/>
        </w:rPr>
        <w:t xml:space="preserve"> ZAFI</w:t>
      </w:r>
      <w:r w:rsidR="00D04BA0">
        <w:rPr>
          <w:rFonts w:ascii="Times New Roman" w:hAnsi="Times New Roman" w:cs="Times New Roman"/>
          <w:sz w:val="24"/>
          <w:szCs w:val="24"/>
        </w:rPr>
        <w:t xml:space="preserve"> </w:t>
      </w:r>
      <w:r w:rsidR="00C970FE" w:rsidRPr="00D04BA0">
        <w:rPr>
          <w:rFonts w:ascii="Times New Roman" w:hAnsi="Times New Roman" w:cs="Times New Roman"/>
          <w:sz w:val="24"/>
          <w:szCs w:val="24"/>
        </w:rPr>
        <w:t>w rozumieniu dyrektywy ZAFI:</w:t>
      </w:r>
    </w:p>
    <w:p w:rsidR="00C970FE" w:rsidRPr="00D04BA0" w:rsidRDefault="004D065A" w:rsidP="00D04BA0">
      <w:pPr>
        <w:pStyle w:val="Akapitzlist"/>
        <w:numPr>
          <w:ilvl w:val="0"/>
          <w:numId w:val="1"/>
        </w:numPr>
        <w:spacing w:before="120" w:after="0" w:line="360" w:lineRule="auto"/>
        <w:ind w:left="567" w:hanging="567"/>
        <w:jc w:val="both"/>
        <w:rPr>
          <w:rFonts w:ascii="Times New Roman" w:hAnsi="Times New Roman" w:cs="Times New Roman"/>
          <w:sz w:val="24"/>
          <w:szCs w:val="24"/>
        </w:rPr>
      </w:pPr>
      <w:r w:rsidRPr="00D04BA0">
        <w:rPr>
          <w:rFonts w:ascii="Times New Roman" w:hAnsi="Times New Roman" w:cs="Times New Roman"/>
          <w:sz w:val="24"/>
          <w:szCs w:val="24"/>
        </w:rPr>
        <w:t>s</w:t>
      </w:r>
      <w:r w:rsidR="00C970FE" w:rsidRPr="00D04BA0">
        <w:rPr>
          <w:rFonts w:ascii="Times New Roman" w:hAnsi="Times New Roman" w:cs="Times New Roman"/>
          <w:sz w:val="24"/>
          <w:szCs w:val="24"/>
        </w:rPr>
        <w:t>pecjalistyczne fundusze inwestycyjne (dalej: SFIO) i fundusze inwestycyjne zamknięte (dalej: FIZ) zarządzane przez towarzystwa funduszy inwestycyjnych (dalej: TFI)</w:t>
      </w:r>
      <w:r w:rsidRPr="00D04BA0">
        <w:rPr>
          <w:rFonts w:ascii="Times New Roman" w:hAnsi="Times New Roman" w:cs="Times New Roman"/>
          <w:sz w:val="24"/>
          <w:szCs w:val="24"/>
        </w:rPr>
        <w:t>;</w:t>
      </w:r>
    </w:p>
    <w:p w:rsidR="004D065A" w:rsidRPr="00D04BA0" w:rsidRDefault="004D065A" w:rsidP="00D04BA0">
      <w:pPr>
        <w:pStyle w:val="Akapitzlist"/>
        <w:numPr>
          <w:ilvl w:val="0"/>
          <w:numId w:val="1"/>
        </w:numPr>
        <w:spacing w:before="120" w:after="0" w:line="360" w:lineRule="auto"/>
        <w:ind w:left="567" w:hanging="567"/>
        <w:jc w:val="both"/>
        <w:rPr>
          <w:rFonts w:ascii="Times New Roman" w:hAnsi="Times New Roman" w:cs="Times New Roman"/>
          <w:sz w:val="24"/>
          <w:szCs w:val="24"/>
        </w:rPr>
      </w:pPr>
      <w:r w:rsidRPr="00D04BA0">
        <w:rPr>
          <w:rFonts w:ascii="Times New Roman" w:hAnsi="Times New Roman" w:cs="Times New Roman"/>
          <w:sz w:val="24"/>
          <w:szCs w:val="24"/>
        </w:rPr>
        <w:t>spółki handlowe</w:t>
      </w:r>
      <w:r w:rsidR="00BE63F6" w:rsidRPr="00D04BA0">
        <w:rPr>
          <w:rFonts w:ascii="Times New Roman" w:hAnsi="Times New Roman" w:cs="Times New Roman"/>
          <w:sz w:val="24"/>
          <w:szCs w:val="24"/>
        </w:rPr>
        <w:t>, których działalność jest tożsama z działalnością AFI lub ZAFI</w:t>
      </w:r>
      <w:r w:rsidR="00D04BA0">
        <w:rPr>
          <w:rFonts w:ascii="Times New Roman" w:hAnsi="Times New Roman" w:cs="Times New Roman"/>
          <w:sz w:val="24"/>
          <w:szCs w:val="24"/>
        </w:rPr>
        <w:t xml:space="preserve"> </w:t>
      </w:r>
      <w:r w:rsidR="00BE63F6" w:rsidRPr="00D04BA0">
        <w:rPr>
          <w:rFonts w:ascii="Times New Roman" w:hAnsi="Times New Roman" w:cs="Times New Roman"/>
          <w:sz w:val="24"/>
          <w:szCs w:val="24"/>
        </w:rPr>
        <w:t>w rozumieniu dyrektywy ZAFI.</w:t>
      </w:r>
    </w:p>
    <w:p w:rsidR="007026E7" w:rsidRPr="00D04BA0" w:rsidRDefault="00BE63F6" w:rsidP="0066072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Działalność TFI oraz działalność zarządzanych przez nie funduszy inwestycyjnych jest regulowana ustawą z dnia 27 maja 2004 r. o funduszach inwestycyjnych </w:t>
      </w:r>
      <w:r w:rsidR="00512C19">
        <w:rPr>
          <w:rFonts w:ascii="Times New Roman" w:hAnsi="Times New Roman" w:cs="Times New Roman"/>
          <w:sz w:val="24"/>
          <w:szCs w:val="24"/>
        </w:rPr>
        <w:br/>
      </w:r>
      <w:r w:rsidRPr="00D04BA0">
        <w:rPr>
          <w:rFonts w:ascii="Times New Roman" w:hAnsi="Times New Roman" w:cs="Times New Roman"/>
          <w:sz w:val="24"/>
          <w:szCs w:val="24"/>
        </w:rPr>
        <w:t>(Dz. U. z</w:t>
      </w:r>
      <w:r w:rsidR="00D14EF5">
        <w:rPr>
          <w:rFonts w:ascii="Times New Roman" w:hAnsi="Times New Roman" w:cs="Times New Roman"/>
          <w:sz w:val="24"/>
          <w:szCs w:val="24"/>
        </w:rPr>
        <w:t> </w:t>
      </w:r>
      <w:r w:rsidRPr="00D04BA0">
        <w:rPr>
          <w:rFonts w:ascii="Times New Roman" w:hAnsi="Times New Roman" w:cs="Times New Roman"/>
          <w:sz w:val="24"/>
          <w:szCs w:val="24"/>
        </w:rPr>
        <w:t>2014</w:t>
      </w:r>
      <w:r w:rsidR="00D14EF5">
        <w:rPr>
          <w:rFonts w:ascii="Times New Roman" w:hAnsi="Times New Roman" w:cs="Times New Roman"/>
          <w:sz w:val="24"/>
          <w:szCs w:val="24"/>
        </w:rPr>
        <w:t> </w:t>
      </w:r>
      <w:r w:rsidRPr="00D04BA0">
        <w:rPr>
          <w:rFonts w:ascii="Times New Roman" w:hAnsi="Times New Roman" w:cs="Times New Roman"/>
          <w:sz w:val="24"/>
          <w:szCs w:val="24"/>
        </w:rPr>
        <w:t>r. poz. 157</w:t>
      </w:r>
      <w:r w:rsidR="00C54389" w:rsidRPr="00D04BA0">
        <w:rPr>
          <w:rFonts w:ascii="Times New Roman" w:hAnsi="Times New Roman" w:cs="Times New Roman"/>
          <w:sz w:val="24"/>
          <w:szCs w:val="24"/>
        </w:rPr>
        <w:t>; dalej: ustawa o funduszach inwestycyjnych albo ustawa</w:t>
      </w:r>
      <w:r w:rsidRPr="00D04BA0">
        <w:rPr>
          <w:rFonts w:ascii="Times New Roman" w:hAnsi="Times New Roman" w:cs="Times New Roman"/>
          <w:sz w:val="24"/>
          <w:szCs w:val="24"/>
        </w:rPr>
        <w:t>)</w:t>
      </w:r>
      <w:r w:rsidR="004018AA" w:rsidRPr="00D04BA0">
        <w:rPr>
          <w:rFonts w:ascii="Times New Roman" w:hAnsi="Times New Roman" w:cs="Times New Roman"/>
          <w:sz w:val="24"/>
          <w:szCs w:val="24"/>
        </w:rPr>
        <w:t>, która reglamentuje działalność wspólnego inwestowania w formie funduszu inwestycyjnego</w:t>
      </w:r>
      <w:r w:rsidRPr="00D04BA0">
        <w:rPr>
          <w:rFonts w:ascii="Times New Roman" w:hAnsi="Times New Roman" w:cs="Times New Roman"/>
          <w:sz w:val="24"/>
          <w:szCs w:val="24"/>
        </w:rPr>
        <w:t xml:space="preserve">. </w:t>
      </w:r>
      <w:r w:rsidR="007A11D9" w:rsidRPr="00D04BA0">
        <w:rPr>
          <w:rFonts w:ascii="Times New Roman" w:hAnsi="Times New Roman" w:cs="Times New Roman"/>
          <w:sz w:val="24"/>
          <w:szCs w:val="24"/>
        </w:rPr>
        <w:t>Ustawa ta rozróżnia trzy rodzaje funduszy inwestycyjnych – obok ww. SFIO i FIZ są to otwarte fundusze inwestycyjne</w:t>
      </w:r>
      <w:r w:rsidR="008C1EE2" w:rsidRPr="00D04BA0">
        <w:rPr>
          <w:rFonts w:ascii="Times New Roman" w:hAnsi="Times New Roman" w:cs="Times New Roman"/>
          <w:sz w:val="24"/>
          <w:szCs w:val="24"/>
        </w:rPr>
        <w:t xml:space="preserve"> (dalej</w:t>
      </w:r>
      <w:r w:rsidR="00512C19">
        <w:rPr>
          <w:rFonts w:ascii="Times New Roman" w:hAnsi="Times New Roman" w:cs="Times New Roman"/>
          <w:sz w:val="24"/>
          <w:szCs w:val="24"/>
        </w:rPr>
        <w:t>:</w:t>
      </w:r>
      <w:r w:rsidR="008C1EE2" w:rsidRPr="00D04BA0">
        <w:rPr>
          <w:rFonts w:ascii="Times New Roman" w:hAnsi="Times New Roman" w:cs="Times New Roman"/>
          <w:sz w:val="24"/>
          <w:szCs w:val="24"/>
        </w:rPr>
        <w:t xml:space="preserve"> FIO)</w:t>
      </w:r>
      <w:r w:rsidR="007A11D9" w:rsidRPr="00D04BA0">
        <w:rPr>
          <w:rFonts w:ascii="Times New Roman" w:hAnsi="Times New Roman" w:cs="Times New Roman"/>
          <w:sz w:val="24"/>
          <w:szCs w:val="24"/>
        </w:rPr>
        <w:t>, które jednak ze względu na ich charakter są objęte dyrektywą UCITS. W tej sytuacji, biorąc pod uwagę przedmiot działalności SFIO i FIZ</w:t>
      </w:r>
      <w:r w:rsidR="00512C19">
        <w:rPr>
          <w:rFonts w:ascii="Times New Roman" w:hAnsi="Times New Roman" w:cs="Times New Roman"/>
          <w:sz w:val="24"/>
          <w:szCs w:val="24"/>
        </w:rPr>
        <w:t>,</w:t>
      </w:r>
      <w:r w:rsidR="007A11D9" w:rsidRPr="00D04BA0">
        <w:rPr>
          <w:rFonts w:ascii="Times New Roman" w:hAnsi="Times New Roman" w:cs="Times New Roman"/>
          <w:sz w:val="24"/>
          <w:szCs w:val="24"/>
        </w:rPr>
        <w:t xml:space="preserve"> należy uznać je za AFI, a zarządzające nimi TFI – za ZAFI</w:t>
      </w:r>
      <w:r w:rsidR="007026E7" w:rsidRPr="00D04BA0">
        <w:rPr>
          <w:rFonts w:ascii="Times New Roman" w:hAnsi="Times New Roman" w:cs="Times New Roman"/>
          <w:sz w:val="24"/>
          <w:szCs w:val="24"/>
        </w:rPr>
        <w:t xml:space="preserve">. </w:t>
      </w:r>
      <w:r w:rsidR="00255FDC" w:rsidRPr="00D04BA0">
        <w:rPr>
          <w:rFonts w:ascii="Times New Roman" w:hAnsi="Times New Roman" w:cs="Times New Roman"/>
          <w:sz w:val="24"/>
          <w:szCs w:val="24"/>
        </w:rPr>
        <w:t xml:space="preserve">Kształt obowiązujących w </w:t>
      </w:r>
      <w:r w:rsidR="007026E7" w:rsidRPr="00D04BA0">
        <w:rPr>
          <w:rFonts w:ascii="Times New Roman" w:hAnsi="Times New Roman" w:cs="Times New Roman"/>
          <w:sz w:val="24"/>
          <w:szCs w:val="24"/>
        </w:rPr>
        <w:t xml:space="preserve">prawie krajowym </w:t>
      </w:r>
      <w:r w:rsidR="00255FDC" w:rsidRPr="00D04BA0">
        <w:rPr>
          <w:rFonts w:ascii="Times New Roman" w:hAnsi="Times New Roman" w:cs="Times New Roman"/>
          <w:sz w:val="24"/>
          <w:szCs w:val="24"/>
        </w:rPr>
        <w:t xml:space="preserve">regulacji dotyczących działalności tych podmiotów w znacznej mierze już obecnie odpowiada wymaganiom określonym przez dyrektywę ZAFI </w:t>
      </w:r>
      <w:r w:rsidR="007026E7" w:rsidRPr="00D04BA0">
        <w:rPr>
          <w:rFonts w:ascii="Times New Roman" w:hAnsi="Times New Roman" w:cs="Times New Roman"/>
          <w:sz w:val="24"/>
          <w:szCs w:val="24"/>
        </w:rPr>
        <w:t xml:space="preserve">(w szczególności </w:t>
      </w:r>
      <w:r w:rsidR="00255FDC" w:rsidRPr="00D04BA0">
        <w:rPr>
          <w:rFonts w:ascii="Times New Roman" w:hAnsi="Times New Roman" w:cs="Times New Roman"/>
          <w:sz w:val="24"/>
          <w:szCs w:val="24"/>
        </w:rPr>
        <w:t xml:space="preserve">działalność ta </w:t>
      </w:r>
      <w:r w:rsidR="007026E7" w:rsidRPr="00D04BA0">
        <w:rPr>
          <w:rFonts w:ascii="Times New Roman" w:hAnsi="Times New Roman" w:cs="Times New Roman"/>
          <w:sz w:val="24"/>
          <w:szCs w:val="24"/>
        </w:rPr>
        <w:t>wymaga uzyskania zezwolenia i podlega nadzorowi)</w:t>
      </w:r>
      <w:r w:rsidR="00DF524A" w:rsidRPr="00D04BA0">
        <w:rPr>
          <w:rFonts w:ascii="Times New Roman" w:hAnsi="Times New Roman" w:cs="Times New Roman"/>
          <w:sz w:val="24"/>
          <w:szCs w:val="24"/>
        </w:rPr>
        <w:t>.</w:t>
      </w:r>
      <w:r w:rsidR="007026E7" w:rsidRPr="00D04BA0">
        <w:rPr>
          <w:rFonts w:ascii="Times New Roman" w:hAnsi="Times New Roman" w:cs="Times New Roman"/>
          <w:sz w:val="24"/>
          <w:szCs w:val="24"/>
        </w:rPr>
        <w:t xml:space="preserve"> </w:t>
      </w:r>
      <w:r w:rsidR="00DF524A" w:rsidRPr="00D04BA0">
        <w:rPr>
          <w:rFonts w:ascii="Times New Roman" w:hAnsi="Times New Roman" w:cs="Times New Roman"/>
          <w:sz w:val="24"/>
          <w:szCs w:val="24"/>
        </w:rPr>
        <w:t xml:space="preserve">Projekt wprowadza w tym zakresie </w:t>
      </w:r>
      <w:r w:rsidR="007026E7" w:rsidRPr="00D04BA0">
        <w:rPr>
          <w:rFonts w:ascii="Times New Roman" w:hAnsi="Times New Roman" w:cs="Times New Roman"/>
          <w:sz w:val="24"/>
          <w:szCs w:val="24"/>
        </w:rPr>
        <w:t>jedynie niezbędn</w:t>
      </w:r>
      <w:r w:rsidR="00DF524A" w:rsidRPr="00D04BA0">
        <w:rPr>
          <w:rFonts w:ascii="Times New Roman" w:hAnsi="Times New Roman" w:cs="Times New Roman"/>
          <w:sz w:val="24"/>
          <w:szCs w:val="24"/>
        </w:rPr>
        <w:t>e</w:t>
      </w:r>
      <w:r w:rsidR="007026E7" w:rsidRPr="00D04BA0">
        <w:rPr>
          <w:rFonts w:ascii="Times New Roman" w:hAnsi="Times New Roman" w:cs="Times New Roman"/>
          <w:sz w:val="24"/>
          <w:szCs w:val="24"/>
        </w:rPr>
        <w:t xml:space="preserve"> uzupełnie</w:t>
      </w:r>
      <w:r w:rsidR="00DF524A" w:rsidRPr="00D04BA0">
        <w:rPr>
          <w:rFonts w:ascii="Times New Roman" w:hAnsi="Times New Roman" w:cs="Times New Roman"/>
          <w:sz w:val="24"/>
          <w:szCs w:val="24"/>
        </w:rPr>
        <w:t>nia</w:t>
      </w:r>
      <w:r w:rsidR="007026E7" w:rsidRPr="00D04BA0">
        <w:rPr>
          <w:rFonts w:ascii="Times New Roman" w:hAnsi="Times New Roman" w:cs="Times New Roman"/>
          <w:sz w:val="24"/>
          <w:szCs w:val="24"/>
        </w:rPr>
        <w:t xml:space="preserve"> i dostosowa</w:t>
      </w:r>
      <w:r w:rsidR="00DF524A" w:rsidRPr="00D04BA0">
        <w:rPr>
          <w:rFonts w:ascii="Times New Roman" w:hAnsi="Times New Roman" w:cs="Times New Roman"/>
          <w:sz w:val="24"/>
          <w:szCs w:val="24"/>
        </w:rPr>
        <w:t>nia</w:t>
      </w:r>
      <w:r w:rsidR="007026E7" w:rsidRPr="00D04BA0">
        <w:rPr>
          <w:rFonts w:ascii="Times New Roman" w:hAnsi="Times New Roman" w:cs="Times New Roman"/>
          <w:sz w:val="24"/>
          <w:szCs w:val="24"/>
        </w:rPr>
        <w:t>.</w:t>
      </w:r>
    </w:p>
    <w:p w:rsidR="00DF524A" w:rsidRPr="00D04BA0" w:rsidRDefault="004018AA" w:rsidP="0066072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Działalność spółek handlowych, które </w:t>
      </w:r>
      <w:r w:rsidR="00255FDC" w:rsidRPr="00D04BA0">
        <w:rPr>
          <w:rFonts w:ascii="Times New Roman" w:hAnsi="Times New Roman" w:cs="Times New Roman"/>
          <w:sz w:val="24"/>
          <w:szCs w:val="24"/>
        </w:rPr>
        <w:t xml:space="preserve">w inny sposób niż w formie funduszu inwestycyjnego </w:t>
      </w:r>
      <w:r w:rsidRPr="00D04BA0">
        <w:rPr>
          <w:rFonts w:ascii="Times New Roman" w:hAnsi="Times New Roman" w:cs="Times New Roman"/>
          <w:sz w:val="24"/>
          <w:szCs w:val="24"/>
        </w:rPr>
        <w:t xml:space="preserve">pozyskują kapitał od wielu inwestorów z myślą o inwestowaniu go zgodnie z określoną polityką inwestycyjną z korzyścią dla tych inwestorów, jest w obecnym stanie prawnym prowadzona na zasadach </w:t>
      </w:r>
      <w:r w:rsidR="00110A56" w:rsidRPr="00D04BA0">
        <w:rPr>
          <w:rFonts w:ascii="Times New Roman" w:hAnsi="Times New Roman" w:cs="Times New Roman"/>
          <w:sz w:val="24"/>
          <w:szCs w:val="24"/>
        </w:rPr>
        <w:t xml:space="preserve">ogólnych </w:t>
      </w:r>
      <w:r w:rsidRPr="00D04BA0">
        <w:rPr>
          <w:rFonts w:ascii="Times New Roman" w:hAnsi="Times New Roman" w:cs="Times New Roman"/>
          <w:sz w:val="24"/>
          <w:szCs w:val="24"/>
        </w:rPr>
        <w:t>(w szczególności zgodnie z przepisami Kodeksu spółek handlowych)</w:t>
      </w:r>
      <w:r w:rsidR="00DF524A" w:rsidRPr="00D04BA0">
        <w:rPr>
          <w:rFonts w:ascii="Times New Roman" w:hAnsi="Times New Roman" w:cs="Times New Roman"/>
          <w:sz w:val="24"/>
          <w:szCs w:val="24"/>
        </w:rPr>
        <w:t xml:space="preserve">. W odniesieniu do tej grupy podmiotów projekt wprowadza nowe </w:t>
      </w:r>
      <w:r w:rsidR="00255FDC" w:rsidRPr="00D04BA0">
        <w:rPr>
          <w:rFonts w:ascii="Times New Roman" w:hAnsi="Times New Roman" w:cs="Times New Roman"/>
          <w:sz w:val="24"/>
          <w:szCs w:val="24"/>
        </w:rPr>
        <w:t>regulacje istotnie zmieniające warunki funkcjonowania takich podmiotów</w:t>
      </w:r>
      <w:r w:rsidR="00DF524A" w:rsidRPr="00D04BA0">
        <w:rPr>
          <w:rFonts w:ascii="Times New Roman" w:hAnsi="Times New Roman" w:cs="Times New Roman"/>
          <w:sz w:val="24"/>
          <w:szCs w:val="24"/>
        </w:rPr>
        <w:t>, w szczególności wymóg uzyskania zezwoleń</w:t>
      </w:r>
      <w:r w:rsidR="00F46D52" w:rsidRPr="00D04BA0">
        <w:rPr>
          <w:rFonts w:ascii="Times New Roman" w:hAnsi="Times New Roman" w:cs="Times New Roman"/>
          <w:sz w:val="24"/>
          <w:szCs w:val="24"/>
        </w:rPr>
        <w:t xml:space="preserve"> na zarządzanie takimi podmiotami</w:t>
      </w:r>
      <w:r w:rsidR="00DF524A" w:rsidRPr="00D04BA0">
        <w:rPr>
          <w:rFonts w:ascii="Times New Roman" w:hAnsi="Times New Roman" w:cs="Times New Roman"/>
          <w:sz w:val="24"/>
          <w:szCs w:val="24"/>
        </w:rPr>
        <w:t xml:space="preserve"> i nadzór </w:t>
      </w:r>
      <w:r w:rsidR="0053597F" w:rsidRPr="00D04BA0">
        <w:rPr>
          <w:rFonts w:ascii="Times New Roman" w:hAnsi="Times New Roman" w:cs="Times New Roman"/>
          <w:sz w:val="24"/>
          <w:szCs w:val="24"/>
        </w:rPr>
        <w:t>Komisji Nadzoru Finansowego (dalej: KNF)</w:t>
      </w:r>
      <w:r w:rsidR="00F46D52" w:rsidRPr="00D04BA0">
        <w:rPr>
          <w:rFonts w:ascii="Times New Roman" w:hAnsi="Times New Roman" w:cs="Times New Roman"/>
          <w:sz w:val="24"/>
          <w:szCs w:val="24"/>
        </w:rPr>
        <w:t xml:space="preserve"> </w:t>
      </w:r>
      <w:r w:rsidR="0053597F" w:rsidRPr="00D04BA0">
        <w:rPr>
          <w:rFonts w:ascii="Times New Roman" w:hAnsi="Times New Roman" w:cs="Times New Roman"/>
          <w:sz w:val="24"/>
          <w:szCs w:val="24"/>
        </w:rPr>
        <w:t xml:space="preserve">jako </w:t>
      </w:r>
      <w:r w:rsidR="00DF524A" w:rsidRPr="00D04BA0">
        <w:rPr>
          <w:rFonts w:ascii="Times New Roman" w:hAnsi="Times New Roman" w:cs="Times New Roman"/>
          <w:sz w:val="24"/>
          <w:szCs w:val="24"/>
        </w:rPr>
        <w:t>organu sprawującego nadzór nad rynkiem finansowym</w:t>
      </w:r>
      <w:r w:rsidR="00F46D52" w:rsidRPr="00D04BA0">
        <w:rPr>
          <w:rFonts w:ascii="Times New Roman" w:hAnsi="Times New Roman" w:cs="Times New Roman"/>
          <w:sz w:val="24"/>
          <w:szCs w:val="24"/>
        </w:rPr>
        <w:t xml:space="preserve"> nad wykonywaniem działalności zarządzania nimi</w:t>
      </w:r>
      <w:r w:rsidR="00DF524A" w:rsidRPr="00D04BA0">
        <w:rPr>
          <w:rFonts w:ascii="Times New Roman" w:hAnsi="Times New Roman" w:cs="Times New Roman"/>
          <w:sz w:val="24"/>
          <w:szCs w:val="24"/>
        </w:rPr>
        <w:t>. W tej grupie podmiotów znajdują się:</w:t>
      </w:r>
    </w:p>
    <w:p w:rsidR="00BE63F6" w:rsidRPr="00D04BA0" w:rsidRDefault="00DF524A" w:rsidP="00D04BA0">
      <w:pPr>
        <w:pStyle w:val="Akapitzlist"/>
        <w:numPr>
          <w:ilvl w:val="0"/>
          <w:numId w:val="25"/>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lastRenderedPageBreak/>
        <w:t xml:space="preserve">spółki kapitałowe (spółki z ograniczoną odpowiedzialnością oraz spółki akcyjne, w tym spółki europejskie) – </w:t>
      </w:r>
      <w:r w:rsidR="00255FDC" w:rsidRPr="00D04BA0">
        <w:rPr>
          <w:rFonts w:ascii="Times New Roman" w:hAnsi="Times New Roman" w:cs="Times New Roman"/>
          <w:sz w:val="24"/>
          <w:szCs w:val="24"/>
        </w:rPr>
        <w:t xml:space="preserve">uznaje się je za </w:t>
      </w:r>
      <w:r w:rsidRPr="00D04BA0">
        <w:rPr>
          <w:rFonts w:ascii="Times New Roman" w:hAnsi="Times New Roman" w:cs="Times New Roman"/>
          <w:sz w:val="24"/>
          <w:szCs w:val="24"/>
        </w:rPr>
        <w:t>ZAFI tożsam</w:t>
      </w:r>
      <w:r w:rsidR="00255FDC" w:rsidRPr="00D04BA0">
        <w:rPr>
          <w:rFonts w:ascii="Times New Roman" w:hAnsi="Times New Roman" w:cs="Times New Roman"/>
          <w:sz w:val="24"/>
          <w:szCs w:val="24"/>
        </w:rPr>
        <w:t>e</w:t>
      </w:r>
      <w:r w:rsidRPr="00D04BA0">
        <w:rPr>
          <w:rFonts w:ascii="Times New Roman" w:hAnsi="Times New Roman" w:cs="Times New Roman"/>
          <w:sz w:val="24"/>
          <w:szCs w:val="24"/>
        </w:rPr>
        <w:t xml:space="preserve"> z AFI</w:t>
      </w:r>
      <w:r w:rsidR="005F2651" w:rsidRPr="00D04BA0">
        <w:rPr>
          <w:rFonts w:ascii="Times New Roman" w:hAnsi="Times New Roman" w:cs="Times New Roman"/>
          <w:sz w:val="24"/>
          <w:szCs w:val="24"/>
        </w:rPr>
        <w:t xml:space="preserve"> z uwagi na wynikający z tej formy prawnej wewnętrzny charakter zarządzania spółką;</w:t>
      </w:r>
    </w:p>
    <w:p w:rsidR="005F2651" w:rsidRPr="00D04BA0" w:rsidRDefault="005F2651" w:rsidP="00D04BA0">
      <w:pPr>
        <w:pStyle w:val="Akapitzlist"/>
        <w:numPr>
          <w:ilvl w:val="0"/>
          <w:numId w:val="25"/>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spółki komandytowe oraz spółki komandytowo-akcyjne –</w:t>
      </w:r>
      <w:r w:rsidR="0053597F" w:rsidRPr="00D04BA0">
        <w:rPr>
          <w:rFonts w:ascii="Times New Roman" w:hAnsi="Times New Roman" w:cs="Times New Roman"/>
          <w:sz w:val="24"/>
          <w:szCs w:val="24"/>
        </w:rPr>
        <w:t xml:space="preserve"> biorąc</w:t>
      </w:r>
      <w:r w:rsidR="00255FDC" w:rsidRPr="00D04BA0">
        <w:rPr>
          <w:rFonts w:ascii="Times New Roman" w:hAnsi="Times New Roman" w:cs="Times New Roman"/>
          <w:sz w:val="24"/>
          <w:szCs w:val="24"/>
        </w:rPr>
        <w:t xml:space="preserve"> jednak</w:t>
      </w:r>
      <w:r w:rsidR="0053597F" w:rsidRPr="00D04BA0">
        <w:rPr>
          <w:rFonts w:ascii="Times New Roman" w:hAnsi="Times New Roman" w:cs="Times New Roman"/>
          <w:sz w:val="24"/>
          <w:szCs w:val="24"/>
        </w:rPr>
        <w:t xml:space="preserve"> pod uwagę wymagania dyrektywy ZAFI, w tym wymóg posiadania osobowości p</w:t>
      </w:r>
      <w:r w:rsidR="008F79A8" w:rsidRPr="00D04BA0">
        <w:rPr>
          <w:rFonts w:ascii="Times New Roman" w:hAnsi="Times New Roman" w:cs="Times New Roman"/>
          <w:sz w:val="24"/>
          <w:szCs w:val="24"/>
        </w:rPr>
        <w:t>rawnej przez ZAFI oraz wymóg</w:t>
      </w:r>
      <w:r w:rsidR="0053597F" w:rsidRPr="00D04BA0">
        <w:rPr>
          <w:rFonts w:ascii="Times New Roman" w:hAnsi="Times New Roman" w:cs="Times New Roman"/>
          <w:sz w:val="24"/>
          <w:szCs w:val="24"/>
        </w:rPr>
        <w:t xml:space="preserve">, </w:t>
      </w:r>
      <w:r w:rsidR="00512C19">
        <w:rPr>
          <w:rFonts w:ascii="Times New Roman" w:hAnsi="Times New Roman" w:cs="Times New Roman"/>
          <w:sz w:val="24"/>
          <w:szCs w:val="24"/>
        </w:rPr>
        <w:t>a</w:t>
      </w:r>
      <w:r w:rsidR="0053597F" w:rsidRPr="00D04BA0">
        <w:rPr>
          <w:rFonts w:ascii="Times New Roman" w:hAnsi="Times New Roman" w:cs="Times New Roman"/>
          <w:sz w:val="24"/>
          <w:szCs w:val="24"/>
        </w:rPr>
        <w:t xml:space="preserve">by każdy AFI miał jednego ZAFI odpowiedzialnego za zapewnienie zgodności z dyrektywą, prowadzenie działalności ZAFI i AFI w tej formie będzie możliwe </w:t>
      </w:r>
      <w:r w:rsidRPr="00D04BA0">
        <w:rPr>
          <w:rFonts w:ascii="Times New Roman" w:hAnsi="Times New Roman" w:cs="Times New Roman"/>
          <w:sz w:val="24"/>
          <w:szCs w:val="24"/>
        </w:rPr>
        <w:t>wyłącznie</w:t>
      </w:r>
      <w:r w:rsidR="00512C19">
        <w:rPr>
          <w:rFonts w:ascii="Times New Roman" w:hAnsi="Times New Roman" w:cs="Times New Roman"/>
          <w:sz w:val="24"/>
          <w:szCs w:val="24"/>
        </w:rPr>
        <w:t>,</w:t>
      </w:r>
      <w:r w:rsidR="0053597F" w:rsidRP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w przypadku gdy jedynym komplementariuszem (czyli wspólnikiem wyłącznie uprawnionym do reprezentowania spółki) </w:t>
      </w:r>
      <w:r w:rsidR="0053597F" w:rsidRPr="00D04BA0">
        <w:rPr>
          <w:rFonts w:ascii="Times New Roman" w:hAnsi="Times New Roman" w:cs="Times New Roman"/>
          <w:sz w:val="24"/>
          <w:szCs w:val="24"/>
        </w:rPr>
        <w:t>jest</w:t>
      </w:r>
      <w:r w:rsidRPr="00D04BA0">
        <w:rPr>
          <w:rFonts w:ascii="Times New Roman" w:hAnsi="Times New Roman" w:cs="Times New Roman"/>
          <w:sz w:val="24"/>
          <w:szCs w:val="24"/>
        </w:rPr>
        <w:t xml:space="preserve"> osoba prawna </w:t>
      </w:r>
      <w:r w:rsidR="0053597F" w:rsidRPr="00D04BA0">
        <w:rPr>
          <w:rFonts w:ascii="Times New Roman" w:hAnsi="Times New Roman" w:cs="Times New Roman"/>
          <w:sz w:val="24"/>
          <w:szCs w:val="24"/>
        </w:rPr>
        <w:t>i odpowiada ona za zarządzanie portfelem inwestycyjnym i ryzykiem; w tym przypadku</w:t>
      </w:r>
      <w:r w:rsidR="00371760" w:rsidRPr="00D04BA0">
        <w:rPr>
          <w:rFonts w:ascii="Times New Roman" w:hAnsi="Times New Roman" w:cs="Times New Roman"/>
          <w:sz w:val="24"/>
          <w:szCs w:val="24"/>
        </w:rPr>
        <w:t xml:space="preserve"> taki komplementariusz jest</w:t>
      </w:r>
      <w:r w:rsidR="00255FDC" w:rsidRPr="00D04BA0">
        <w:rPr>
          <w:rFonts w:ascii="Times New Roman" w:hAnsi="Times New Roman" w:cs="Times New Roman"/>
          <w:sz w:val="24"/>
          <w:szCs w:val="24"/>
        </w:rPr>
        <w:t xml:space="preserve"> uznany za </w:t>
      </w:r>
      <w:r w:rsidR="0053597F" w:rsidRPr="00D04BA0">
        <w:rPr>
          <w:rFonts w:ascii="Times New Roman" w:hAnsi="Times New Roman" w:cs="Times New Roman"/>
          <w:sz w:val="24"/>
          <w:szCs w:val="24"/>
        </w:rPr>
        <w:t xml:space="preserve">ZAFI </w:t>
      </w:r>
      <w:r w:rsidR="00255FDC" w:rsidRPr="00D04BA0">
        <w:rPr>
          <w:rFonts w:ascii="Times New Roman" w:hAnsi="Times New Roman" w:cs="Times New Roman"/>
          <w:sz w:val="24"/>
          <w:szCs w:val="24"/>
        </w:rPr>
        <w:t>(</w:t>
      </w:r>
      <w:r w:rsidR="00371760" w:rsidRPr="00D04BA0">
        <w:rPr>
          <w:rFonts w:ascii="Times New Roman" w:hAnsi="Times New Roman" w:cs="Times New Roman"/>
          <w:sz w:val="24"/>
          <w:szCs w:val="24"/>
        </w:rPr>
        <w:t>zewnętrznie zarządzając</w:t>
      </w:r>
      <w:r w:rsidR="00255FDC" w:rsidRPr="00D04BA0">
        <w:rPr>
          <w:rFonts w:ascii="Times New Roman" w:hAnsi="Times New Roman" w:cs="Times New Roman"/>
          <w:sz w:val="24"/>
          <w:szCs w:val="24"/>
        </w:rPr>
        <w:t xml:space="preserve">ego AFI, którym jest </w:t>
      </w:r>
      <w:r w:rsidR="00371760" w:rsidRPr="00D04BA0">
        <w:rPr>
          <w:rFonts w:ascii="Times New Roman" w:hAnsi="Times New Roman" w:cs="Times New Roman"/>
          <w:sz w:val="24"/>
          <w:szCs w:val="24"/>
        </w:rPr>
        <w:t xml:space="preserve">spółka komandytowa lub </w:t>
      </w:r>
      <w:r w:rsidR="00255FDC" w:rsidRPr="00D04BA0">
        <w:rPr>
          <w:rFonts w:ascii="Times New Roman" w:hAnsi="Times New Roman" w:cs="Times New Roman"/>
          <w:sz w:val="24"/>
          <w:szCs w:val="24"/>
        </w:rPr>
        <w:t>spółka komandytowo-</w:t>
      </w:r>
      <w:r w:rsidR="00512C19">
        <w:rPr>
          <w:rFonts w:ascii="Times New Roman" w:hAnsi="Times New Roman" w:cs="Times New Roman"/>
          <w:sz w:val="24"/>
          <w:szCs w:val="24"/>
        </w:rPr>
        <w:br/>
        <w:t>-</w:t>
      </w:r>
      <w:r w:rsidR="00255FDC" w:rsidRPr="00D04BA0">
        <w:rPr>
          <w:rFonts w:ascii="Times New Roman" w:hAnsi="Times New Roman" w:cs="Times New Roman"/>
          <w:sz w:val="24"/>
          <w:szCs w:val="24"/>
        </w:rPr>
        <w:t>akcyjna)</w:t>
      </w:r>
      <w:r w:rsidR="0038138C" w:rsidRPr="00D04BA0">
        <w:rPr>
          <w:rFonts w:ascii="Times New Roman" w:hAnsi="Times New Roman" w:cs="Times New Roman"/>
          <w:sz w:val="24"/>
          <w:szCs w:val="24"/>
        </w:rPr>
        <w:t xml:space="preserve">, przy czym w projekcie wskazuje się – spośród szerokiego kręgu osób prawnych – wyłącznie spółki kapitałowe jako uprawnione do prowadzenia działalności w tej formie. </w:t>
      </w:r>
      <w:r w:rsidR="000A2EE8" w:rsidRPr="00D04BA0">
        <w:rPr>
          <w:rFonts w:ascii="Times New Roman" w:hAnsi="Times New Roman" w:cs="Times New Roman"/>
          <w:sz w:val="24"/>
          <w:szCs w:val="24"/>
        </w:rPr>
        <w:t>Zawężenie formy organizacyjno-prawnej do spółek kapitałowych uzasadnione jest nie tylko ze względu na gwarancję bezpiecznego, sprawnego oraz profesjonal</w:t>
      </w:r>
      <w:r w:rsidR="00295495">
        <w:rPr>
          <w:rFonts w:ascii="Times New Roman" w:hAnsi="Times New Roman" w:cs="Times New Roman"/>
          <w:sz w:val="24"/>
          <w:szCs w:val="24"/>
        </w:rPr>
        <w:t>nego systemu zarzą</w:t>
      </w:r>
      <w:r w:rsidR="000A2EE8" w:rsidRPr="00D04BA0">
        <w:rPr>
          <w:rFonts w:ascii="Times New Roman" w:hAnsi="Times New Roman" w:cs="Times New Roman"/>
          <w:sz w:val="24"/>
          <w:szCs w:val="24"/>
        </w:rPr>
        <w:t>dzania aktywami inwestorów, ale także ze względów racjonalnych i praktycznych. W opinii projektodawcy rozszerzeni</w:t>
      </w:r>
      <w:r w:rsidR="00512C19">
        <w:rPr>
          <w:rFonts w:ascii="Times New Roman" w:hAnsi="Times New Roman" w:cs="Times New Roman"/>
          <w:sz w:val="24"/>
          <w:szCs w:val="24"/>
        </w:rPr>
        <w:t>e</w:t>
      </w:r>
      <w:r w:rsidR="000A2EE8" w:rsidRPr="00D04BA0">
        <w:rPr>
          <w:rFonts w:ascii="Times New Roman" w:hAnsi="Times New Roman" w:cs="Times New Roman"/>
          <w:sz w:val="24"/>
          <w:szCs w:val="24"/>
        </w:rPr>
        <w:t xml:space="preserve"> katalogu ZAFI na wszystkie podmioty posiadające osobowość prawną doprowadziłoby do nieuzasadnionego objęcia regulacją podmiotów, których zwykła działalność czy też prawne i ekonomiczne podstawy ich utworzenia nie uwzględniają specyfiki działalności inwestycyjnej, a w niektórych wręcz przypadkach mogą nawet być postrzegane jako sprzeczne z taką działalnością, np. działalność fundacji, spółdzielni,</w:t>
      </w:r>
      <w:r w:rsidR="00DE1961">
        <w:rPr>
          <w:rFonts w:ascii="Times New Roman" w:hAnsi="Times New Roman" w:cs="Times New Roman"/>
          <w:sz w:val="24"/>
          <w:szCs w:val="24"/>
        </w:rPr>
        <w:t xml:space="preserve"> </w:t>
      </w:r>
      <w:r w:rsidR="000A2EE8" w:rsidRPr="00D04BA0">
        <w:rPr>
          <w:rFonts w:ascii="Times New Roman" w:hAnsi="Times New Roman" w:cs="Times New Roman"/>
          <w:sz w:val="24"/>
          <w:szCs w:val="24"/>
        </w:rPr>
        <w:t>partii politycznych czy związków zawodowych. Dodatkowo wskazania wymaga, iż</w:t>
      </w:r>
      <w:r w:rsidR="00DE1961">
        <w:rPr>
          <w:rFonts w:ascii="Times New Roman" w:hAnsi="Times New Roman" w:cs="Times New Roman"/>
          <w:sz w:val="24"/>
          <w:szCs w:val="24"/>
        </w:rPr>
        <w:t xml:space="preserve"> </w:t>
      </w:r>
      <w:r w:rsidR="000A2EE8" w:rsidRPr="00D04BA0">
        <w:rPr>
          <w:rFonts w:ascii="Times New Roman" w:hAnsi="Times New Roman" w:cs="Times New Roman"/>
          <w:sz w:val="24"/>
          <w:szCs w:val="24"/>
        </w:rPr>
        <w:t xml:space="preserve">zgodnie z art. 33 ustawy </w:t>
      </w:r>
      <w:r w:rsidR="00512C19">
        <w:rPr>
          <w:rFonts w:ascii="Times New Roman" w:hAnsi="Times New Roman" w:cs="Times New Roman"/>
          <w:sz w:val="24"/>
          <w:szCs w:val="24"/>
        </w:rPr>
        <w:t>–</w:t>
      </w:r>
      <w:r w:rsidR="00874DDD">
        <w:rPr>
          <w:rFonts w:ascii="Times New Roman" w:hAnsi="Times New Roman" w:cs="Times New Roman"/>
          <w:sz w:val="24"/>
          <w:szCs w:val="24"/>
        </w:rPr>
        <w:t xml:space="preserve"> </w:t>
      </w:r>
      <w:r w:rsidR="000A2EE8" w:rsidRPr="00D04BA0">
        <w:rPr>
          <w:rFonts w:ascii="Times New Roman" w:hAnsi="Times New Roman" w:cs="Times New Roman"/>
          <w:sz w:val="24"/>
          <w:szCs w:val="24"/>
        </w:rPr>
        <w:t>Kodeks cywilny, osobami prawnymi są Skarb Państwa</w:t>
      </w:r>
      <w:r w:rsidR="00D04BA0">
        <w:rPr>
          <w:rFonts w:ascii="Times New Roman" w:hAnsi="Times New Roman" w:cs="Times New Roman"/>
          <w:sz w:val="24"/>
          <w:szCs w:val="24"/>
        </w:rPr>
        <w:t xml:space="preserve"> </w:t>
      </w:r>
      <w:r w:rsidR="000A2EE8" w:rsidRPr="00D04BA0">
        <w:rPr>
          <w:rFonts w:ascii="Times New Roman" w:hAnsi="Times New Roman" w:cs="Times New Roman"/>
          <w:sz w:val="24"/>
          <w:szCs w:val="24"/>
        </w:rPr>
        <w:t>i jednostki organizacyjne, którym przepisy szczególne przyznają osobowość prawną. Konsekwencją takiej definicji jest bardzo szeroki katalog podmiotów, którym przyznaje się osobowość prawną</w:t>
      </w:r>
      <w:r w:rsidR="00512C19">
        <w:rPr>
          <w:rFonts w:ascii="Times New Roman" w:hAnsi="Times New Roman" w:cs="Times New Roman"/>
          <w:sz w:val="24"/>
          <w:szCs w:val="24"/>
        </w:rPr>
        <w:t>,</w:t>
      </w:r>
      <w:r w:rsidR="000A2EE8" w:rsidRPr="00D04BA0">
        <w:rPr>
          <w:rFonts w:ascii="Times New Roman" w:hAnsi="Times New Roman" w:cs="Times New Roman"/>
          <w:sz w:val="24"/>
          <w:szCs w:val="24"/>
        </w:rPr>
        <w:t xml:space="preserve"> a jednocześnie bliżej nieokreślony jego zakres, co jednocześnie wiąże się z możliwością powstania w przyszłości nowych rodzajów jednostek organizacyjnych, którym zostanie nadany taki przymiot.</w:t>
      </w:r>
    </w:p>
    <w:p w:rsidR="00062214" w:rsidRPr="00D04BA0" w:rsidRDefault="00062214" w:rsidP="0066072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Powyższe rozstrzygnięcia zostały w projekcie ujęte </w:t>
      </w:r>
      <w:r w:rsidR="001578E8" w:rsidRPr="00D04BA0">
        <w:rPr>
          <w:rFonts w:ascii="Times New Roman" w:hAnsi="Times New Roman" w:cs="Times New Roman"/>
          <w:sz w:val="24"/>
          <w:szCs w:val="24"/>
        </w:rPr>
        <w:t>w dodanych przepisach ustawy</w:t>
      </w:r>
      <w:r w:rsidR="00D04BA0">
        <w:rPr>
          <w:rFonts w:ascii="Times New Roman" w:hAnsi="Times New Roman" w:cs="Times New Roman"/>
          <w:sz w:val="24"/>
          <w:szCs w:val="24"/>
        </w:rPr>
        <w:t xml:space="preserve"> </w:t>
      </w:r>
      <w:r w:rsidR="001578E8" w:rsidRPr="00D04BA0">
        <w:rPr>
          <w:rFonts w:ascii="Times New Roman" w:hAnsi="Times New Roman" w:cs="Times New Roman"/>
          <w:sz w:val="24"/>
          <w:szCs w:val="24"/>
        </w:rPr>
        <w:t xml:space="preserve">o funduszach inwestycyjnych: art. 3 ust. 4, w którym SFIO i FIZ zostały zaliczone do </w:t>
      </w:r>
      <w:r w:rsidR="001578E8" w:rsidRPr="00D04BA0">
        <w:rPr>
          <w:rFonts w:ascii="Times New Roman" w:hAnsi="Times New Roman" w:cs="Times New Roman"/>
          <w:sz w:val="24"/>
          <w:szCs w:val="24"/>
        </w:rPr>
        <w:lastRenderedPageBreak/>
        <w:t>alternatywnych funduszy inwestycyjnych, oraz art. 8a i art. 8b</w:t>
      </w:r>
      <w:r w:rsidR="00E57069" w:rsidRPr="00D04BA0">
        <w:rPr>
          <w:rFonts w:ascii="Times New Roman" w:hAnsi="Times New Roman" w:cs="Times New Roman"/>
          <w:sz w:val="24"/>
          <w:szCs w:val="24"/>
        </w:rPr>
        <w:t xml:space="preserve">, w których proponuje się określenie dopuszczalnego katalogu form prawnych prowadzenia działalności </w:t>
      </w:r>
      <w:r w:rsidR="0038138C" w:rsidRPr="00D04BA0">
        <w:rPr>
          <w:rFonts w:ascii="Times New Roman" w:hAnsi="Times New Roman" w:cs="Times New Roman"/>
          <w:sz w:val="24"/>
          <w:szCs w:val="24"/>
        </w:rPr>
        <w:t>alternatywnych spółek inwestycyjnych</w:t>
      </w:r>
      <w:r w:rsidR="00E57069" w:rsidRPr="00D04BA0">
        <w:rPr>
          <w:rFonts w:ascii="Times New Roman" w:hAnsi="Times New Roman" w:cs="Times New Roman"/>
          <w:sz w:val="24"/>
          <w:szCs w:val="24"/>
        </w:rPr>
        <w:t xml:space="preserve"> (czyli AFI niebędących funduszami inwestycyjnymi ani unijnymi AFI) oraz wskazuje</w:t>
      </w:r>
      <w:r w:rsidR="001578E8" w:rsidRPr="00D04BA0">
        <w:rPr>
          <w:rFonts w:ascii="Times New Roman" w:hAnsi="Times New Roman" w:cs="Times New Roman"/>
          <w:sz w:val="24"/>
          <w:szCs w:val="24"/>
        </w:rPr>
        <w:t xml:space="preserve"> </w:t>
      </w:r>
      <w:r w:rsidR="00E57069" w:rsidRPr="00D04BA0">
        <w:rPr>
          <w:rFonts w:ascii="Times New Roman" w:hAnsi="Times New Roman" w:cs="Times New Roman"/>
          <w:sz w:val="24"/>
          <w:szCs w:val="24"/>
        </w:rPr>
        <w:t>podmioty, które</w:t>
      </w:r>
      <w:r w:rsidR="0038138C" w:rsidRPr="00D04BA0">
        <w:rPr>
          <w:rFonts w:ascii="Times New Roman" w:hAnsi="Times New Roman" w:cs="Times New Roman"/>
          <w:sz w:val="24"/>
          <w:szCs w:val="24"/>
        </w:rPr>
        <w:t xml:space="preserve"> mogą być zarządzającymi ASI (czyli ZAFI niebędącymi TFI ani zarządzającymi z UE)</w:t>
      </w:r>
      <w:r w:rsidR="00E57069" w:rsidRPr="00D04BA0">
        <w:rPr>
          <w:rFonts w:ascii="Times New Roman" w:hAnsi="Times New Roman" w:cs="Times New Roman"/>
          <w:sz w:val="24"/>
          <w:szCs w:val="24"/>
        </w:rPr>
        <w:t>.</w:t>
      </w:r>
    </w:p>
    <w:p w:rsidR="00FD6FEC" w:rsidRPr="00D04BA0" w:rsidRDefault="00653866" w:rsidP="00660721">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t>Skutkiem prawnym</w:t>
      </w:r>
      <w:r w:rsidR="0038138C" w:rsidRPr="00D04BA0">
        <w:rPr>
          <w:rFonts w:ascii="Times New Roman" w:hAnsi="Times New Roman" w:cs="Times New Roman"/>
          <w:sz w:val="24"/>
          <w:szCs w:val="24"/>
        </w:rPr>
        <w:t xml:space="preserve"> powyższych regulacji </w:t>
      </w:r>
      <w:r w:rsidR="000205F6" w:rsidRPr="00D04BA0">
        <w:rPr>
          <w:rFonts w:ascii="Times New Roman" w:hAnsi="Times New Roman" w:cs="Times New Roman"/>
          <w:sz w:val="24"/>
          <w:szCs w:val="24"/>
        </w:rPr>
        <w:t>jest zamknięcie katalogu form prawnych prowadzenia działalności instytucji wspólnego inwestowania, które zgodnie z założeniami dyrektywy ZAFI będą klasyfikowane do jednej z dwóch kategorii, tj. UCITS (czyli FIO) albo AFI (czyli SFIO, FIZ i alternatywna spółka inwestycyjna). Rozwiązanie to znajduje uzasadnienie w regulacjach innych państw członkowskich</w:t>
      </w:r>
      <w:r w:rsidR="00512C19">
        <w:rPr>
          <w:rFonts w:ascii="Times New Roman" w:hAnsi="Times New Roman" w:cs="Times New Roman"/>
          <w:sz w:val="24"/>
          <w:szCs w:val="24"/>
        </w:rPr>
        <w:t>,</w:t>
      </w:r>
      <w:r w:rsidR="000205F6" w:rsidRPr="00D04BA0">
        <w:rPr>
          <w:rFonts w:ascii="Times New Roman" w:hAnsi="Times New Roman" w:cs="Times New Roman"/>
          <w:sz w:val="24"/>
          <w:szCs w:val="24"/>
        </w:rPr>
        <w:t xml:space="preserve"> a zarazem zwiększa pewność prawną prowadzenia tej działalności. Wynikający z powyższego </w:t>
      </w:r>
      <w:r w:rsidR="0080334E" w:rsidRPr="00D04BA0">
        <w:rPr>
          <w:rFonts w:ascii="Times New Roman" w:hAnsi="Times New Roman" w:cs="Times New Roman"/>
          <w:sz w:val="24"/>
          <w:szCs w:val="24"/>
        </w:rPr>
        <w:t>zakaz</w:t>
      </w:r>
      <w:r w:rsidR="000205F6" w:rsidRPr="00D04BA0">
        <w:rPr>
          <w:rFonts w:ascii="Times New Roman" w:hAnsi="Times New Roman" w:cs="Times New Roman"/>
          <w:sz w:val="24"/>
          <w:szCs w:val="24"/>
        </w:rPr>
        <w:t xml:space="preserve"> prowadzenia działalności wspólnego inwestowania w innych formach</w:t>
      </w:r>
      <w:r w:rsidR="0080334E" w:rsidRPr="00D04BA0">
        <w:rPr>
          <w:rFonts w:ascii="Times New Roman" w:hAnsi="Times New Roman" w:cs="Times New Roman"/>
          <w:sz w:val="24"/>
          <w:szCs w:val="24"/>
        </w:rPr>
        <w:t xml:space="preserve"> nie obejmuje </w:t>
      </w:r>
      <w:r w:rsidR="000205F6" w:rsidRPr="00D04BA0">
        <w:rPr>
          <w:rFonts w:ascii="Times New Roman" w:hAnsi="Times New Roman" w:cs="Times New Roman"/>
          <w:sz w:val="24"/>
          <w:szCs w:val="24"/>
        </w:rPr>
        <w:t xml:space="preserve">działalności </w:t>
      </w:r>
      <w:r w:rsidR="0080334E" w:rsidRPr="00D04BA0">
        <w:rPr>
          <w:rFonts w:ascii="Times New Roman" w:hAnsi="Times New Roman" w:cs="Times New Roman"/>
          <w:sz w:val="24"/>
          <w:szCs w:val="24"/>
        </w:rPr>
        <w:t xml:space="preserve">podmiotów wskazanych w </w:t>
      </w:r>
      <w:r w:rsidR="00894C9C" w:rsidRPr="00D04BA0">
        <w:rPr>
          <w:rFonts w:ascii="Times New Roman" w:hAnsi="Times New Roman" w:cs="Times New Roman"/>
          <w:sz w:val="24"/>
          <w:szCs w:val="24"/>
        </w:rPr>
        <w:t>dodawanym art. 1a ust. 2 ustawy o funduszach inwestycyjnych. Wyłączenie to – oparte na dyrektywie ZAFI – obejmuje przypadki wykonywania działalności zbliżonej do działalności AFI, ale prowadzonej w szczególnych celach i z reguły w sposób uregulowany w odrębnych przepisach, zatem wyłączone spod działania zmienianej ustawy</w:t>
      </w:r>
      <w:r w:rsidR="00D04BA0">
        <w:rPr>
          <w:rFonts w:ascii="Times New Roman" w:hAnsi="Times New Roman" w:cs="Times New Roman"/>
          <w:sz w:val="24"/>
          <w:szCs w:val="24"/>
        </w:rPr>
        <w:t xml:space="preserve"> </w:t>
      </w:r>
      <w:r w:rsidR="00894C9C" w:rsidRPr="00D04BA0">
        <w:rPr>
          <w:rFonts w:ascii="Times New Roman" w:hAnsi="Times New Roman" w:cs="Times New Roman"/>
          <w:sz w:val="24"/>
          <w:szCs w:val="24"/>
        </w:rPr>
        <w:t xml:space="preserve">o funduszach inwestycyjnych. </w:t>
      </w:r>
      <w:r w:rsidR="00DD5C57" w:rsidRPr="00D04BA0">
        <w:rPr>
          <w:rFonts w:ascii="Times New Roman" w:hAnsi="Times New Roman" w:cs="Times New Roman"/>
          <w:sz w:val="24"/>
          <w:szCs w:val="24"/>
        </w:rPr>
        <w:t>Należy również wskazać, iż istnieje szereg podmiotów, które pomimo braku wyraźnego wyłączenia spod stosowania przepisów ustawy na mocy art. 1a nie będą uznawan</w:t>
      </w:r>
      <w:r w:rsidR="00512C19">
        <w:rPr>
          <w:rFonts w:ascii="Times New Roman" w:hAnsi="Times New Roman" w:cs="Times New Roman"/>
          <w:sz w:val="24"/>
          <w:szCs w:val="24"/>
        </w:rPr>
        <w:t>e</w:t>
      </w:r>
      <w:r w:rsidR="00DD5C57" w:rsidRPr="00D04BA0">
        <w:rPr>
          <w:rFonts w:ascii="Times New Roman" w:hAnsi="Times New Roman" w:cs="Times New Roman"/>
          <w:sz w:val="24"/>
          <w:szCs w:val="24"/>
        </w:rPr>
        <w:t xml:space="preserve"> za alternatywne fundusze inwestycyjne, gdyż nie wypełniają </w:t>
      </w:r>
      <w:r w:rsidR="00EE4ABE" w:rsidRPr="00D04BA0">
        <w:rPr>
          <w:rFonts w:ascii="Times New Roman" w:hAnsi="Times New Roman" w:cs="Times New Roman"/>
          <w:sz w:val="24"/>
          <w:szCs w:val="24"/>
        </w:rPr>
        <w:t xml:space="preserve">przewidzianej projektem </w:t>
      </w:r>
      <w:r w:rsidR="00DD5C57" w:rsidRPr="00D04BA0">
        <w:rPr>
          <w:rFonts w:ascii="Times New Roman" w:hAnsi="Times New Roman" w:cs="Times New Roman"/>
          <w:sz w:val="24"/>
          <w:szCs w:val="24"/>
        </w:rPr>
        <w:t xml:space="preserve">definicji </w:t>
      </w:r>
      <w:r w:rsidR="00FD5AED" w:rsidRPr="00D04BA0">
        <w:rPr>
          <w:rFonts w:ascii="Times New Roman" w:hAnsi="Times New Roman" w:cs="Times New Roman"/>
          <w:sz w:val="24"/>
          <w:szCs w:val="24"/>
        </w:rPr>
        <w:t xml:space="preserve">alternatywnego funduszu inwestycyjnego, są to np. </w:t>
      </w:r>
      <w:r w:rsidR="00DD5C57" w:rsidRPr="00D04BA0">
        <w:rPr>
          <w:rFonts w:ascii="Times New Roman" w:hAnsi="Times New Roman" w:cs="Times New Roman"/>
          <w:sz w:val="24"/>
          <w:szCs w:val="24"/>
        </w:rPr>
        <w:t>spółk</w:t>
      </w:r>
      <w:r w:rsidR="00FD5AED" w:rsidRPr="00D04BA0">
        <w:rPr>
          <w:rFonts w:ascii="Times New Roman" w:hAnsi="Times New Roman" w:cs="Times New Roman"/>
          <w:sz w:val="24"/>
          <w:szCs w:val="24"/>
        </w:rPr>
        <w:t>i</w:t>
      </w:r>
      <w:r w:rsidR="00DD5C57" w:rsidRPr="00D04BA0">
        <w:rPr>
          <w:rFonts w:ascii="Times New Roman" w:hAnsi="Times New Roman" w:cs="Times New Roman"/>
          <w:sz w:val="24"/>
          <w:szCs w:val="24"/>
        </w:rPr>
        <w:t xml:space="preserve"> specjalnego przeznaczenia </w:t>
      </w:r>
      <w:r w:rsidR="00FD5AED" w:rsidRPr="00D04BA0">
        <w:rPr>
          <w:rFonts w:ascii="Times New Roman" w:hAnsi="Times New Roman" w:cs="Times New Roman"/>
          <w:sz w:val="24"/>
          <w:szCs w:val="24"/>
        </w:rPr>
        <w:t>(</w:t>
      </w:r>
      <w:r w:rsidR="00DD5C57" w:rsidRPr="00D04BA0">
        <w:rPr>
          <w:rFonts w:ascii="Times New Roman" w:hAnsi="Times New Roman" w:cs="Times New Roman"/>
          <w:sz w:val="24"/>
          <w:szCs w:val="24"/>
        </w:rPr>
        <w:t>SPV</w:t>
      </w:r>
      <w:r w:rsidR="00FD5AED" w:rsidRPr="00D04BA0">
        <w:rPr>
          <w:rFonts w:ascii="Times New Roman" w:hAnsi="Times New Roman" w:cs="Times New Roman"/>
          <w:sz w:val="24"/>
          <w:szCs w:val="24"/>
        </w:rPr>
        <w:t>)</w:t>
      </w:r>
      <w:r w:rsidR="00DD5C57" w:rsidRPr="00D04BA0">
        <w:rPr>
          <w:rFonts w:ascii="Times New Roman" w:hAnsi="Times New Roman" w:cs="Times New Roman"/>
          <w:sz w:val="24"/>
          <w:szCs w:val="24"/>
        </w:rPr>
        <w:t xml:space="preserve"> tworzon</w:t>
      </w:r>
      <w:r w:rsidR="00FD5AED" w:rsidRPr="00D04BA0">
        <w:rPr>
          <w:rFonts w:ascii="Times New Roman" w:hAnsi="Times New Roman" w:cs="Times New Roman"/>
          <w:sz w:val="24"/>
          <w:szCs w:val="24"/>
        </w:rPr>
        <w:t>e do</w:t>
      </w:r>
      <w:r w:rsidR="00DD5C57" w:rsidRPr="00D04BA0">
        <w:rPr>
          <w:rFonts w:ascii="Times New Roman" w:hAnsi="Times New Roman" w:cs="Times New Roman"/>
          <w:sz w:val="24"/>
          <w:szCs w:val="24"/>
        </w:rPr>
        <w:t xml:space="preserve"> realizacji szczególnych celów, w ramach funduszy inwestycyjnych zamkniętych.</w:t>
      </w:r>
    </w:p>
    <w:p w:rsidR="0053597F" w:rsidRPr="00067927" w:rsidRDefault="00653866" w:rsidP="008266F6">
      <w:pPr>
        <w:spacing w:before="24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t xml:space="preserve">Przyjęty sposób implementacji </w:t>
      </w:r>
    </w:p>
    <w:p w:rsidR="00B63172" w:rsidRDefault="003348E8" w:rsidP="0066072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Z uwagi na obowiązujące już w systemie prawa uregulowania dotyczące TFI</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i zarządzanych przez nie SFIO i FIZ, p</w:t>
      </w:r>
      <w:r w:rsidR="007E7414" w:rsidRPr="00D04BA0">
        <w:rPr>
          <w:rFonts w:ascii="Times New Roman" w:hAnsi="Times New Roman" w:cs="Times New Roman"/>
          <w:sz w:val="24"/>
          <w:szCs w:val="24"/>
        </w:rPr>
        <w:t>rzepisy</w:t>
      </w:r>
      <w:r w:rsidR="0080334E" w:rsidRPr="00D04BA0">
        <w:rPr>
          <w:rFonts w:ascii="Times New Roman" w:hAnsi="Times New Roman" w:cs="Times New Roman"/>
          <w:sz w:val="24"/>
          <w:szCs w:val="24"/>
        </w:rPr>
        <w:t xml:space="preserve"> projektu wprowadzające</w:t>
      </w:r>
      <w:r w:rsidRPr="00D04BA0">
        <w:rPr>
          <w:rFonts w:ascii="Times New Roman" w:hAnsi="Times New Roman" w:cs="Times New Roman"/>
          <w:sz w:val="24"/>
          <w:szCs w:val="24"/>
        </w:rPr>
        <w:t xml:space="preserve"> w tym zakresie</w:t>
      </w:r>
      <w:r w:rsidR="0080334E" w:rsidRPr="00D04BA0">
        <w:rPr>
          <w:rFonts w:ascii="Times New Roman" w:hAnsi="Times New Roman" w:cs="Times New Roman"/>
          <w:sz w:val="24"/>
          <w:szCs w:val="24"/>
        </w:rPr>
        <w:t xml:space="preserve"> uzupełnienia i dostosowania do dyrektywy ZAFI oparto na założeniu, aby modyfikacja obowiązujących zasad </w:t>
      </w:r>
      <w:r w:rsidR="008F79A8" w:rsidRPr="00D04BA0">
        <w:rPr>
          <w:rFonts w:ascii="Times New Roman" w:hAnsi="Times New Roman" w:cs="Times New Roman"/>
          <w:sz w:val="24"/>
          <w:szCs w:val="24"/>
        </w:rPr>
        <w:t>f</w:t>
      </w:r>
      <w:r w:rsidR="0080334E" w:rsidRPr="00D04BA0">
        <w:rPr>
          <w:rFonts w:ascii="Times New Roman" w:hAnsi="Times New Roman" w:cs="Times New Roman"/>
          <w:sz w:val="24"/>
          <w:szCs w:val="24"/>
        </w:rPr>
        <w:t>unkcjonowania</w:t>
      </w:r>
      <w:r w:rsidR="008F79A8" w:rsidRPr="00D04BA0">
        <w:rPr>
          <w:rFonts w:ascii="Times New Roman" w:hAnsi="Times New Roman" w:cs="Times New Roman"/>
          <w:sz w:val="24"/>
          <w:szCs w:val="24"/>
        </w:rPr>
        <w:t xml:space="preserve"> tych podmiotów</w:t>
      </w:r>
      <w:r w:rsidR="0080334E" w:rsidRPr="00D04BA0">
        <w:rPr>
          <w:rFonts w:ascii="Times New Roman" w:hAnsi="Times New Roman" w:cs="Times New Roman"/>
          <w:sz w:val="24"/>
          <w:szCs w:val="24"/>
        </w:rPr>
        <w:t xml:space="preserve"> była ograniczona do minimum </w:t>
      </w:r>
      <w:r w:rsidR="007E7414" w:rsidRPr="00D04BA0">
        <w:rPr>
          <w:rFonts w:ascii="Times New Roman" w:hAnsi="Times New Roman" w:cs="Times New Roman"/>
          <w:sz w:val="24"/>
          <w:szCs w:val="24"/>
        </w:rPr>
        <w:t>niezbędnego z</w:t>
      </w:r>
      <w:r w:rsidR="0080334E" w:rsidRPr="00D04BA0">
        <w:rPr>
          <w:rFonts w:ascii="Times New Roman" w:hAnsi="Times New Roman" w:cs="Times New Roman"/>
          <w:sz w:val="24"/>
          <w:szCs w:val="24"/>
        </w:rPr>
        <w:t xml:space="preserve">e względu na regulacje dyrektywy </w:t>
      </w:r>
      <w:r w:rsidR="007E7414" w:rsidRPr="00D04BA0">
        <w:rPr>
          <w:rFonts w:ascii="Times New Roman" w:hAnsi="Times New Roman" w:cs="Times New Roman"/>
          <w:sz w:val="24"/>
          <w:szCs w:val="24"/>
        </w:rPr>
        <w:t xml:space="preserve">ZAFI. W szczególności proponuje się utrzymanie bezwzględnego wymogu uzyskiwania </w:t>
      </w:r>
      <w:r w:rsidRPr="00D04BA0">
        <w:rPr>
          <w:rFonts w:ascii="Times New Roman" w:hAnsi="Times New Roman" w:cs="Times New Roman"/>
          <w:sz w:val="24"/>
          <w:szCs w:val="24"/>
        </w:rPr>
        <w:t>przez TFI</w:t>
      </w:r>
      <w:r w:rsidR="00AE28CF" w:rsidRPr="00D04BA0">
        <w:rPr>
          <w:rFonts w:ascii="Times New Roman" w:hAnsi="Times New Roman" w:cs="Times New Roman"/>
          <w:sz w:val="24"/>
          <w:szCs w:val="24"/>
        </w:rPr>
        <w:t xml:space="preserve"> zezwoleń na prowadzenie działalności</w:t>
      </w:r>
      <w:r w:rsidR="007E7414" w:rsidRPr="00D04BA0">
        <w:rPr>
          <w:rFonts w:ascii="Times New Roman" w:hAnsi="Times New Roman" w:cs="Times New Roman"/>
          <w:sz w:val="24"/>
          <w:szCs w:val="24"/>
        </w:rPr>
        <w:t xml:space="preserve">, wyłączając możliwość prowadzenia działalności w tej formie tylko na podstawie wpisu </w:t>
      </w:r>
      <w:r w:rsidR="00004AFD" w:rsidRPr="00D04BA0">
        <w:rPr>
          <w:rFonts w:ascii="Times New Roman" w:hAnsi="Times New Roman" w:cs="Times New Roman"/>
          <w:sz w:val="24"/>
          <w:szCs w:val="24"/>
        </w:rPr>
        <w:t xml:space="preserve">do </w:t>
      </w:r>
      <w:r w:rsidR="007E7414" w:rsidRPr="00D04BA0">
        <w:rPr>
          <w:rFonts w:ascii="Times New Roman" w:hAnsi="Times New Roman" w:cs="Times New Roman"/>
          <w:sz w:val="24"/>
          <w:szCs w:val="24"/>
        </w:rPr>
        <w:t xml:space="preserve">rejestru, oraz utrzymanie regulacji dotyczących funkcjonowania </w:t>
      </w:r>
      <w:r w:rsidR="007E7414" w:rsidRPr="00D04BA0">
        <w:rPr>
          <w:rFonts w:ascii="Times New Roman" w:hAnsi="Times New Roman" w:cs="Times New Roman"/>
          <w:sz w:val="24"/>
          <w:szCs w:val="24"/>
        </w:rPr>
        <w:lastRenderedPageBreak/>
        <w:t>samych SFIO i FIZ (dyrektywa ZAFI</w:t>
      </w:r>
      <w:r w:rsidR="00512C19">
        <w:rPr>
          <w:rFonts w:ascii="Times New Roman" w:hAnsi="Times New Roman" w:cs="Times New Roman"/>
          <w:sz w:val="24"/>
          <w:szCs w:val="24"/>
        </w:rPr>
        <w:t>,</w:t>
      </w:r>
      <w:r w:rsidR="007E7414" w:rsidRPr="00D04BA0">
        <w:rPr>
          <w:rFonts w:ascii="Times New Roman" w:hAnsi="Times New Roman" w:cs="Times New Roman"/>
          <w:sz w:val="24"/>
          <w:szCs w:val="24"/>
        </w:rPr>
        <w:t xml:space="preserve"> co do zasady</w:t>
      </w:r>
      <w:r w:rsidR="00874DDD">
        <w:rPr>
          <w:rFonts w:ascii="Times New Roman" w:hAnsi="Times New Roman" w:cs="Times New Roman"/>
          <w:sz w:val="24"/>
          <w:szCs w:val="24"/>
        </w:rPr>
        <w:t>,</w:t>
      </w:r>
      <w:r w:rsidR="007E7414" w:rsidRPr="00D04BA0">
        <w:rPr>
          <w:rFonts w:ascii="Times New Roman" w:hAnsi="Times New Roman" w:cs="Times New Roman"/>
          <w:sz w:val="24"/>
          <w:szCs w:val="24"/>
        </w:rPr>
        <w:t xml:space="preserve"> nie reguluje działalności samych AFI</w:t>
      </w:r>
      <w:r w:rsidR="000634F0">
        <w:rPr>
          <w:rFonts w:ascii="Times New Roman" w:hAnsi="Times New Roman" w:cs="Times New Roman"/>
          <w:sz w:val="24"/>
          <w:szCs w:val="24"/>
        </w:rPr>
        <w:t xml:space="preserve"> – motyw 10</w:t>
      </w:r>
      <w:r w:rsidR="00D14EF5">
        <w:rPr>
          <w:rFonts w:ascii="Times New Roman" w:hAnsi="Times New Roman" w:cs="Times New Roman"/>
          <w:sz w:val="24"/>
          <w:szCs w:val="24"/>
        </w:rPr>
        <w:t xml:space="preserve"> </w:t>
      </w:r>
      <w:r w:rsidR="00D85260" w:rsidRPr="00D04BA0">
        <w:rPr>
          <w:rFonts w:ascii="Times New Roman" w:hAnsi="Times New Roman" w:cs="Times New Roman"/>
          <w:sz w:val="24"/>
          <w:szCs w:val="24"/>
        </w:rPr>
        <w:t>preambuły</w:t>
      </w:r>
      <w:r w:rsidR="007E7414" w:rsidRPr="00D04BA0">
        <w:rPr>
          <w:rFonts w:ascii="Times New Roman" w:hAnsi="Times New Roman" w:cs="Times New Roman"/>
          <w:sz w:val="24"/>
          <w:szCs w:val="24"/>
        </w:rPr>
        <w:t>)</w:t>
      </w:r>
      <w:r w:rsidR="00894C9C" w:rsidRPr="00D04BA0">
        <w:rPr>
          <w:rFonts w:ascii="Times New Roman" w:hAnsi="Times New Roman" w:cs="Times New Roman"/>
          <w:sz w:val="24"/>
          <w:szCs w:val="24"/>
        </w:rPr>
        <w:t>. W konsekwencji</w:t>
      </w:r>
      <w:r w:rsidR="00D85260" w:rsidRPr="00D04BA0">
        <w:rPr>
          <w:rFonts w:ascii="Times New Roman" w:hAnsi="Times New Roman" w:cs="Times New Roman"/>
          <w:sz w:val="24"/>
          <w:szCs w:val="24"/>
        </w:rPr>
        <w:t xml:space="preserve"> projekt przewiduje uregulowanie całości spraw dotyczących instytucji zbiorowego inwestowania objętych tak dyrektywą UCITS, jak i dyrektywą ZAFI w jednej ustawie</w:t>
      </w:r>
      <w:r w:rsidRPr="00D04BA0">
        <w:rPr>
          <w:rFonts w:ascii="Times New Roman" w:hAnsi="Times New Roman" w:cs="Times New Roman"/>
          <w:sz w:val="24"/>
          <w:szCs w:val="24"/>
        </w:rPr>
        <w:t>, tj. w ustawie o funduszach inwestycyjnych</w:t>
      </w:r>
      <w:r w:rsidR="00366221" w:rsidRPr="00D04BA0">
        <w:rPr>
          <w:rFonts w:ascii="Times New Roman" w:hAnsi="Times New Roman" w:cs="Times New Roman"/>
          <w:sz w:val="24"/>
          <w:szCs w:val="24"/>
        </w:rPr>
        <w:t xml:space="preserve">. </w:t>
      </w:r>
      <w:r w:rsidR="00B63172" w:rsidRPr="00D04BA0">
        <w:rPr>
          <w:rFonts w:ascii="Times New Roman" w:hAnsi="Times New Roman" w:cs="Times New Roman"/>
          <w:sz w:val="24"/>
          <w:szCs w:val="24"/>
        </w:rPr>
        <w:t>Pozwala to na zwiększenie spójności regulacji niezbędnej z uwagi na tożsamość TFI zarządzających zarówno FIO</w:t>
      </w:r>
      <w:r w:rsidR="00512C19">
        <w:rPr>
          <w:rFonts w:ascii="Times New Roman" w:hAnsi="Times New Roman" w:cs="Times New Roman"/>
          <w:sz w:val="24"/>
          <w:szCs w:val="24"/>
        </w:rPr>
        <w:t>,</w:t>
      </w:r>
      <w:r w:rsidR="00B63172" w:rsidRPr="00D04BA0">
        <w:rPr>
          <w:rFonts w:ascii="Times New Roman" w:hAnsi="Times New Roman" w:cs="Times New Roman"/>
          <w:sz w:val="24"/>
          <w:szCs w:val="24"/>
        </w:rPr>
        <w:t xml:space="preserve"> jak i SFIO lub FIZ. Rozwiązanie to skutkuje koniecznością rozszerzenia zakresu przedmiotowego</w:t>
      </w:r>
      <w:r w:rsidR="00D04BA0">
        <w:rPr>
          <w:rFonts w:ascii="Times New Roman" w:hAnsi="Times New Roman" w:cs="Times New Roman"/>
          <w:sz w:val="24"/>
          <w:szCs w:val="24"/>
        </w:rPr>
        <w:t xml:space="preserve"> </w:t>
      </w:r>
      <w:r w:rsidR="00B63172" w:rsidRPr="00D04BA0">
        <w:rPr>
          <w:rFonts w:ascii="Times New Roman" w:hAnsi="Times New Roman" w:cs="Times New Roman"/>
          <w:sz w:val="24"/>
          <w:szCs w:val="24"/>
        </w:rPr>
        <w:t>i podmiotowego ustawy o funduszach inwestycyjnych, co wyraża również proponowana zmiana tytułu ustawy.</w:t>
      </w:r>
      <w:r w:rsidR="00D04BA0">
        <w:rPr>
          <w:rFonts w:ascii="Times New Roman" w:hAnsi="Times New Roman" w:cs="Times New Roman"/>
          <w:sz w:val="24"/>
          <w:szCs w:val="24"/>
        </w:rPr>
        <w:t xml:space="preserve"> </w:t>
      </w:r>
    </w:p>
    <w:p w:rsidR="00653866" w:rsidRPr="00D04BA0" w:rsidRDefault="00653866" w:rsidP="008266F6">
      <w:pPr>
        <w:pStyle w:val="ZARTzmartartykuempunktem"/>
        <w:spacing w:before="240"/>
        <w:ind w:left="0" w:firstLine="0"/>
        <w:rPr>
          <w:rStyle w:val="Kkursywa"/>
          <w:rFonts w:ascii="Times New Roman" w:hAnsi="Times New Roman" w:cs="Times New Roman"/>
          <w:i w:val="0"/>
          <w:szCs w:val="24"/>
        </w:rPr>
      </w:pPr>
      <w:r w:rsidRPr="00067927">
        <w:rPr>
          <w:rStyle w:val="Kkursywa"/>
          <w:rFonts w:ascii="Times New Roman" w:hAnsi="Times New Roman" w:cs="Times New Roman"/>
          <w:i w:val="0"/>
          <w:szCs w:val="24"/>
        </w:rPr>
        <w:t>Siatka terminologiczna</w:t>
      </w:r>
    </w:p>
    <w:p w:rsidR="002938A3" w:rsidRPr="00D04BA0" w:rsidRDefault="002938A3" w:rsidP="00660721">
      <w:pPr>
        <w:pStyle w:val="ZARTzmartartykuempunktem"/>
        <w:spacing w:before="120"/>
        <w:ind w:left="0" w:firstLine="0"/>
        <w:rPr>
          <w:rFonts w:ascii="Times New Roman" w:hAnsi="Times New Roman" w:cs="Times New Roman"/>
          <w:szCs w:val="24"/>
        </w:rPr>
      </w:pPr>
      <w:r w:rsidRPr="00D04BA0">
        <w:rPr>
          <w:rStyle w:val="Kkursywa"/>
          <w:rFonts w:ascii="Times New Roman" w:hAnsi="Times New Roman" w:cs="Times New Roman"/>
          <w:i w:val="0"/>
          <w:szCs w:val="24"/>
        </w:rPr>
        <w:t xml:space="preserve">W celu zwiększenia przejrzystości regulacji wdrażających dyrektywę ZAFI w zakresie, w jakim obejmuje ona TFI zarządzające SFIO i FIZ, przy zachowaniu istniejących szczególnych regulacji dotyczących tych podmiotów, w tym uwzględniając terminologię, jaką już posługuje się ustawa o funduszach inwestycyjnych, w projekcie proponuje się terminologiczne odróżnienie </w:t>
      </w:r>
      <w:r w:rsidR="00E0707D" w:rsidRPr="00D04BA0">
        <w:rPr>
          <w:rStyle w:val="Kkursywa"/>
          <w:rFonts w:ascii="Times New Roman" w:hAnsi="Times New Roman" w:cs="Times New Roman"/>
          <w:i w:val="0"/>
          <w:szCs w:val="24"/>
        </w:rPr>
        <w:t>na gruncie ustawy trzech</w:t>
      </w:r>
      <w:r w:rsidR="00E94A27" w:rsidRPr="00D04BA0">
        <w:rPr>
          <w:rStyle w:val="Kkursywa"/>
          <w:rFonts w:ascii="Times New Roman" w:hAnsi="Times New Roman" w:cs="Times New Roman"/>
          <w:i w:val="0"/>
          <w:szCs w:val="24"/>
        </w:rPr>
        <w:t xml:space="preserve"> grup </w:t>
      </w:r>
      <w:r w:rsidRPr="00D04BA0">
        <w:rPr>
          <w:rStyle w:val="Kkursywa"/>
          <w:rFonts w:ascii="Times New Roman" w:hAnsi="Times New Roman" w:cs="Times New Roman"/>
          <w:i w:val="0"/>
          <w:szCs w:val="24"/>
        </w:rPr>
        <w:t>AFI</w:t>
      </w:r>
      <w:r w:rsidR="00B63172" w:rsidRPr="00D04BA0">
        <w:rPr>
          <w:rStyle w:val="Kkursywa"/>
          <w:rFonts w:ascii="Times New Roman" w:hAnsi="Times New Roman" w:cs="Times New Roman"/>
          <w:i w:val="0"/>
          <w:szCs w:val="24"/>
        </w:rPr>
        <w:t xml:space="preserve">, do których odnosi się </w:t>
      </w:r>
      <w:r w:rsidRPr="00D04BA0">
        <w:rPr>
          <w:rStyle w:val="Kkursywa"/>
          <w:rFonts w:ascii="Times New Roman" w:hAnsi="Times New Roman" w:cs="Times New Roman"/>
          <w:i w:val="0"/>
          <w:szCs w:val="24"/>
        </w:rPr>
        <w:t>dyrektyw</w:t>
      </w:r>
      <w:r w:rsidR="00B63172" w:rsidRPr="00D04BA0">
        <w:rPr>
          <w:rStyle w:val="Kkursywa"/>
          <w:rFonts w:ascii="Times New Roman" w:hAnsi="Times New Roman" w:cs="Times New Roman"/>
          <w:i w:val="0"/>
          <w:szCs w:val="24"/>
        </w:rPr>
        <w:t>a</w:t>
      </w:r>
      <w:r w:rsidRPr="00D04BA0">
        <w:rPr>
          <w:rStyle w:val="Kkursywa"/>
          <w:rFonts w:ascii="Times New Roman" w:hAnsi="Times New Roman" w:cs="Times New Roman"/>
          <w:i w:val="0"/>
          <w:szCs w:val="24"/>
        </w:rPr>
        <w:t xml:space="preserve"> ZAFI</w:t>
      </w:r>
      <w:r w:rsidR="00E0707D" w:rsidRPr="00D04BA0">
        <w:rPr>
          <w:rStyle w:val="Kkursywa"/>
          <w:rFonts w:ascii="Times New Roman" w:hAnsi="Times New Roman" w:cs="Times New Roman"/>
          <w:i w:val="0"/>
          <w:szCs w:val="24"/>
        </w:rPr>
        <w:t xml:space="preserve">, tj. SFIO i FIZ zarządzanych przez TFI, </w:t>
      </w:r>
      <w:r w:rsidR="00B63172" w:rsidRPr="00D04BA0">
        <w:rPr>
          <w:rStyle w:val="Kkursywa"/>
          <w:rFonts w:ascii="Times New Roman" w:hAnsi="Times New Roman" w:cs="Times New Roman"/>
          <w:i w:val="0"/>
          <w:szCs w:val="24"/>
        </w:rPr>
        <w:t>alternatywnych spółek inwestycyjnych</w:t>
      </w:r>
      <w:r w:rsidR="00E0707D" w:rsidRPr="00D04BA0">
        <w:rPr>
          <w:rStyle w:val="Kkursywa"/>
          <w:rFonts w:ascii="Times New Roman" w:hAnsi="Times New Roman" w:cs="Times New Roman"/>
          <w:i w:val="0"/>
          <w:szCs w:val="24"/>
        </w:rPr>
        <w:t xml:space="preserve"> </w:t>
      </w:r>
      <w:r w:rsidR="008F79A8" w:rsidRPr="00D04BA0">
        <w:rPr>
          <w:rStyle w:val="Kkursywa"/>
          <w:rFonts w:ascii="Times New Roman" w:hAnsi="Times New Roman" w:cs="Times New Roman"/>
          <w:i w:val="0"/>
          <w:szCs w:val="24"/>
        </w:rPr>
        <w:t>będących</w:t>
      </w:r>
      <w:r w:rsidR="00E0707D" w:rsidRPr="00D04BA0">
        <w:rPr>
          <w:rStyle w:val="Kkursywa"/>
          <w:rFonts w:ascii="Times New Roman" w:hAnsi="Times New Roman" w:cs="Times New Roman"/>
          <w:i w:val="0"/>
          <w:szCs w:val="24"/>
        </w:rPr>
        <w:t xml:space="preserve"> spółk</w:t>
      </w:r>
      <w:r w:rsidR="008F79A8" w:rsidRPr="00D04BA0">
        <w:rPr>
          <w:rStyle w:val="Kkursywa"/>
          <w:rFonts w:ascii="Times New Roman" w:hAnsi="Times New Roman" w:cs="Times New Roman"/>
          <w:i w:val="0"/>
          <w:szCs w:val="24"/>
        </w:rPr>
        <w:t>ami</w:t>
      </w:r>
      <w:r w:rsidR="00E0707D" w:rsidRPr="00D04BA0">
        <w:rPr>
          <w:rStyle w:val="Kkursywa"/>
          <w:rFonts w:ascii="Times New Roman" w:hAnsi="Times New Roman" w:cs="Times New Roman"/>
          <w:i w:val="0"/>
          <w:szCs w:val="24"/>
        </w:rPr>
        <w:t xml:space="preserve"> handlow</w:t>
      </w:r>
      <w:r w:rsidR="008F79A8" w:rsidRPr="00D04BA0">
        <w:rPr>
          <w:rStyle w:val="Kkursywa"/>
          <w:rFonts w:ascii="Times New Roman" w:hAnsi="Times New Roman" w:cs="Times New Roman"/>
          <w:i w:val="0"/>
          <w:szCs w:val="24"/>
        </w:rPr>
        <w:t>ymi</w:t>
      </w:r>
      <w:r w:rsidR="00E0707D" w:rsidRPr="00D04BA0">
        <w:rPr>
          <w:rStyle w:val="Kkursywa"/>
          <w:rFonts w:ascii="Times New Roman" w:hAnsi="Times New Roman" w:cs="Times New Roman"/>
          <w:i w:val="0"/>
          <w:szCs w:val="24"/>
        </w:rPr>
        <w:t xml:space="preserve"> oraz AFI unijnych</w:t>
      </w:r>
      <w:r w:rsidRPr="00D04BA0">
        <w:rPr>
          <w:rStyle w:val="Kkursywa"/>
          <w:rFonts w:ascii="Times New Roman" w:hAnsi="Times New Roman" w:cs="Times New Roman"/>
          <w:i w:val="0"/>
          <w:szCs w:val="24"/>
        </w:rPr>
        <w:t xml:space="preserve">. </w:t>
      </w:r>
      <w:r w:rsidR="00E94A27" w:rsidRPr="00D04BA0">
        <w:rPr>
          <w:rStyle w:val="Kkursywa"/>
          <w:rFonts w:ascii="Times New Roman" w:hAnsi="Times New Roman" w:cs="Times New Roman"/>
          <w:i w:val="0"/>
          <w:szCs w:val="24"/>
        </w:rPr>
        <w:t xml:space="preserve">Wprowadzana w słowniczku ustawy (art. 2) </w:t>
      </w:r>
      <w:r w:rsidR="00E0707D" w:rsidRPr="00D04BA0">
        <w:rPr>
          <w:rStyle w:val="Kkursywa"/>
          <w:rFonts w:ascii="Times New Roman" w:hAnsi="Times New Roman" w:cs="Times New Roman"/>
          <w:i w:val="0"/>
          <w:szCs w:val="24"/>
        </w:rPr>
        <w:t xml:space="preserve">zgodna z dyrektywą ZAFI </w:t>
      </w:r>
      <w:r w:rsidR="00E94A27" w:rsidRPr="00D04BA0">
        <w:rPr>
          <w:rStyle w:val="Kkursywa"/>
          <w:rFonts w:ascii="Times New Roman" w:hAnsi="Times New Roman" w:cs="Times New Roman"/>
          <w:i w:val="0"/>
          <w:szCs w:val="24"/>
        </w:rPr>
        <w:t xml:space="preserve">definicja </w:t>
      </w:r>
      <w:r w:rsidR="00E0707D" w:rsidRPr="00D04BA0">
        <w:rPr>
          <w:rStyle w:val="Kkursywa"/>
          <w:rFonts w:ascii="Times New Roman" w:hAnsi="Times New Roman" w:cs="Times New Roman"/>
          <w:i w:val="0"/>
          <w:szCs w:val="24"/>
        </w:rPr>
        <w:t>„</w:t>
      </w:r>
      <w:r w:rsidR="00E94A27" w:rsidRPr="00D04BA0">
        <w:rPr>
          <w:rStyle w:val="Kkursywa"/>
          <w:rFonts w:ascii="Times New Roman" w:hAnsi="Times New Roman" w:cs="Times New Roman"/>
          <w:i w:val="0"/>
          <w:szCs w:val="24"/>
        </w:rPr>
        <w:t>alternatywnego funduszu inwestycyjnego</w:t>
      </w:r>
      <w:r w:rsidR="00E0707D" w:rsidRPr="00D04BA0">
        <w:rPr>
          <w:rStyle w:val="Kkursywa"/>
          <w:rFonts w:ascii="Times New Roman" w:hAnsi="Times New Roman" w:cs="Times New Roman"/>
          <w:i w:val="0"/>
          <w:szCs w:val="24"/>
        </w:rPr>
        <w:t>”</w:t>
      </w:r>
      <w:r w:rsidR="00E94A27" w:rsidRPr="00D04BA0">
        <w:rPr>
          <w:rStyle w:val="Kkursywa"/>
          <w:rFonts w:ascii="Times New Roman" w:hAnsi="Times New Roman" w:cs="Times New Roman"/>
          <w:i w:val="0"/>
          <w:szCs w:val="24"/>
        </w:rPr>
        <w:t xml:space="preserve"> </w:t>
      </w:r>
      <w:r w:rsidR="00E0707D" w:rsidRPr="00D04BA0">
        <w:rPr>
          <w:rStyle w:val="Kkursywa"/>
          <w:rFonts w:ascii="Times New Roman" w:hAnsi="Times New Roman" w:cs="Times New Roman"/>
          <w:i w:val="0"/>
          <w:szCs w:val="24"/>
        </w:rPr>
        <w:t xml:space="preserve">ma charakter ogólny (przedmiotowy) i obejmuje wszystkie ww. grupy. Jednakże SFIO i FIZ </w:t>
      </w:r>
      <w:r w:rsidRPr="00D04BA0">
        <w:rPr>
          <w:rStyle w:val="Kkursywa"/>
          <w:rFonts w:ascii="Times New Roman" w:hAnsi="Times New Roman" w:cs="Times New Roman"/>
          <w:i w:val="0"/>
          <w:szCs w:val="24"/>
        </w:rPr>
        <w:t xml:space="preserve">nadal mieścić się będą w kategorii </w:t>
      </w:r>
      <w:r w:rsidR="00E94A27" w:rsidRPr="00D04BA0">
        <w:rPr>
          <w:rStyle w:val="Kkursywa"/>
          <w:rFonts w:ascii="Times New Roman" w:hAnsi="Times New Roman" w:cs="Times New Roman"/>
          <w:i w:val="0"/>
          <w:szCs w:val="24"/>
        </w:rPr>
        <w:t>„</w:t>
      </w:r>
      <w:r w:rsidRPr="00D04BA0">
        <w:rPr>
          <w:rStyle w:val="Kkursywa"/>
          <w:rFonts w:ascii="Times New Roman" w:hAnsi="Times New Roman" w:cs="Times New Roman"/>
          <w:i w:val="0"/>
          <w:szCs w:val="24"/>
        </w:rPr>
        <w:t>funduszy inwestycyjnych</w:t>
      </w:r>
      <w:r w:rsidR="00E94A27" w:rsidRPr="00D04BA0">
        <w:rPr>
          <w:rStyle w:val="Kkursywa"/>
          <w:rFonts w:ascii="Times New Roman" w:hAnsi="Times New Roman" w:cs="Times New Roman"/>
          <w:i w:val="0"/>
          <w:szCs w:val="24"/>
        </w:rPr>
        <w:t>”</w:t>
      </w:r>
      <w:r w:rsidR="00E0707D" w:rsidRPr="00D04BA0">
        <w:rPr>
          <w:rStyle w:val="Kkursywa"/>
          <w:rFonts w:ascii="Times New Roman" w:hAnsi="Times New Roman" w:cs="Times New Roman"/>
          <w:i w:val="0"/>
          <w:szCs w:val="24"/>
        </w:rPr>
        <w:t>, które to określenie jest w ustawie używane wyłącznie w odniesieniu do</w:t>
      </w:r>
      <w:r w:rsidRPr="00D04BA0">
        <w:rPr>
          <w:rStyle w:val="Kkursywa"/>
          <w:rFonts w:ascii="Times New Roman" w:hAnsi="Times New Roman" w:cs="Times New Roman"/>
          <w:i w:val="0"/>
          <w:szCs w:val="24"/>
        </w:rPr>
        <w:t xml:space="preserve"> funduszy tworzonych przez </w:t>
      </w:r>
      <w:r w:rsidR="00E0707D" w:rsidRPr="00D04BA0">
        <w:rPr>
          <w:rStyle w:val="Kkursywa"/>
          <w:rFonts w:ascii="Times New Roman" w:hAnsi="Times New Roman" w:cs="Times New Roman"/>
          <w:i w:val="0"/>
          <w:szCs w:val="24"/>
        </w:rPr>
        <w:t xml:space="preserve">TFI </w:t>
      </w:r>
      <w:r w:rsidRPr="00D04BA0">
        <w:rPr>
          <w:rStyle w:val="Kkursywa"/>
          <w:rFonts w:ascii="Times New Roman" w:hAnsi="Times New Roman" w:cs="Times New Roman"/>
          <w:i w:val="0"/>
          <w:szCs w:val="24"/>
        </w:rPr>
        <w:t xml:space="preserve">(łącznie z </w:t>
      </w:r>
      <w:r w:rsidR="008C1EE2" w:rsidRPr="00D04BA0">
        <w:rPr>
          <w:rFonts w:ascii="Times New Roman" w:hAnsi="Times New Roman" w:cs="Times New Roman"/>
          <w:szCs w:val="24"/>
        </w:rPr>
        <w:t>FIO</w:t>
      </w:r>
      <w:r w:rsidRPr="00D04BA0">
        <w:rPr>
          <w:rStyle w:val="Kkursywa"/>
          <w:rFonts w:ascii="Times New Roman" w:hAnsi="Times New Roman" w:cs="Times New Roman"/>
          <w:i w:val="0"/>
          <w:szCs w:val="24"/>
        </w:rPr>
        <w:t xml:space="preserve">, które </w:t>
      </w:r>
      <w:r w:rsidR="00E0707D" w:rsidRPr="00D04BA0">
        <w:rPr>
          <w:rStyle w:val="Kkursywa"/>
          <w:rFonts w:ascii="Times New Roman" w:hAnsi="Times New Roman" w:cs="Times New Roman"/>
          <w:i w:val="0"/>
          <w:szCs w:val="24"/>
        </w:rPr>
        <w:t xml:space="preserve">nie </w:t>
      </w:r>
      <w:r w:rsidRPr="00D04BA0">
        <w:rPr>
          <w:rStyle w:val="Kkursywa"/>
          <w:rFonts w:ascii="Times New Roman" w:hAnsi="Times New Roman" w:cs="Times New Roman"/>
          <w:i w:val="0"/>
          <w:szCs w:val="24"/>
        </w:rPr>
        <w:t xml:space="preserve">są objęte dyrektywą </w:t>
      </w:r>
      <w:r w:rsidR="00E0707D" w:rsidRPr="00D04BA0">
        <w:rPr>
          <w:rStyle w:val="Kkursywa"/>
          <w:rFonts w:ascii="Times New Roman" w:hAnsi="Times New Roman" w:cs="Times New Roman"/>
          <w:i w:val="0"/>
          <w:szCs w:val="24"/>
        </w:rPr>
        <w:t>ZAFI</w:t>
      </w:r>
      <w:r w:rsidRPr="00D04BA0">
        <w:rPr>
          <w:rStyle w:val="Kkursywa"/>
          <w:rFonts w:ascii="Times New Roman" w:hAnsi="Times New Roman" w:cs="Times New Roman"/>
          <w:i w:val="0"/>
          <w:szCs w:val="24"/>
        </w:rPr>
        <w:t>)</w:t>
      </w:r>
      <w:r w:rsidR="00E94A27" w:rsidRPr="00D04BA0">
        <w:rPr>
          <w:rStyle w:val="Kkursywa"/>
          <w:rFonts w:ascii="Times New Roman" w:hAnsi="Times New Roman" w:cs="Times New Roman"/>
          <w:i w:val="0"/>
          <w:szCs w:val="24"/>
        </w:rPr>
        <w:t>.</w:t>
      </w:r>
      <w:r w:rsidRPr="00D04BA0">
        <w:rPr>
          <w:rStyle w:val="Kkursywa"/>
          <w:rFonts w:ascii="Times New Roman" w:hAnsi="Times New Roman" w:cs="Times New Roman"/>
          <w:i w:val="0"/>
          <w:szCs w:val="24"/>
        </w:rPr>
        <w:t xml:space="preserve"> </w:t>
      </w:r>
      <w:r w:rsidR="00E94A27" w:rsidRPr="00D04BA0">
        <w:rPr>
          <w:rStyle w:val="Kkursywa"/>
          <w:rFonts w:ascii="Times New Roman" w:hAnsi="Times New Roman" w:cs="Times New Roman"/>
          <w:i w:val="0"/>
          <w:szCs w:val="24"/>
        </w:rPr>
        <w:t>N</w:t>
      </w:r>
      <w:r w:rsidRPr="00D04BA0">
        <w:rPr>
          <w:rStyle w:val="Kkursywa"/>
          <w:rFonts w:ascii="Times New Roman" w:hAnsi="Times New Roman" w:cs="Times New Roman"/>
          <w:i w:val="0"/>
          <w:szCs w:val="24"/>
        </w:rPr>
        <w:t xml:space="preserve">a ich </w:t>
      </w:r>
      <w:r w:rsidR="00E94A27" w:rsidRPr="00D04BA0">
        <w:rPr>
          <w:rStyle w:val="Kkursywa"/>
          <w:rFonts w:ascii="Times New Roman" w:hAnsi="Times New Roman" w:cs="Times New Roman"/>
          <w:i w:val="0"/>
          <w:szCs w:val="24"/>
        </w:rPr>
        <w:t>„</w:t>
      </w:r>
      <w:r w:rsidRPr="00D04BA0">
        <w:rPr>
          <w:rStyle w:val="Kkursywa"/>
          <w:rFonts w:ascii="Times New Roman" w:hAnsi="Times New Roman" w:cs="Times New Roman"/>
          <w:i w:val="0"/>
          <w:szCs w:val="24"/>
        </w:rPr>
        <w:t>alternatywny</w:t>
      </w:r>
      <w:r w:rsidR="00E94A27" w:rsidRPr="00D04BA0">
        <w:rPr>
          <w:rStyle w:val="Kkursywa"/>
          <w:rFonts w:ascii="Times New Roman" w:hAnsi="Times New Roman" w:cs="Times New Roman"/>
          <w:i w:val="0"/>
          <w:szCs w:val="24"/>
        </w:rPr>
        <w:t>”</w:t>
      </w:r>
      <w:r w:rsidRPr="00D04BA0">
        <w:rPr>
          <w:rStyle w:val="Kkursywa"/>
          <w:rFonts w:ascii="Times New Roman" w:hAnsi="Times New Roman" w:cs="Times New Roman"/>
          <w:i w:val="0"/>
          <w:szCs w:val="24"/>
        </w:rPr>
        <w:t xml:space="preserve"> charakter wskazuje się </w:t>
      </w:r>
      <w:r w:rsidR="00D214CB" w:rsidRPr="00D04BA0">
        <w:rPr>
          <w:rStyle w:val="Kkursywa"/>
          <w:rFonts w:ascii="Times New Roman" w:hAnsi="Times New Roman" w:cs="Times New Roman"/>
          <w:i w:val="0"/>
          <w:szCs w:val="24"/>
        </w:rPr>
        <w:t>wprost</w:t>
      </w:r>
      <w:r w:rsidR="00D04BA0">
        <w:rPr>
          <w:rStyle w:val="Kkursywa"/>
          <w:rFonts w:ascii="Times New Roman" w:hAnsi="Times New Roman" w:cs="Times New Roman"/>
          <w:i w:val="0"/>
          <w:szCs w:val="24"/>
        </w:rPr>
        <w:t xml:space="preserve"> </w:t>
      </w:r>
      <w:r w:rsidRPr="00D04BA0">
        <w:rPr>
          <w:rStyle w:val="Kkursywa"/>
          <w:rFonts w:ascii="Times New Roman" w:hAnsi="Times New Roman" w:cs="Times New Roman"/>
          <w:i w:val="0"/>
          <w:szCs w:val="24"/>
        </w:rPr>
        <w:t xml:space="preserve">w </w:t>
      </w:r>
      <w:r w:rsidR="00D214CB" w:rsidRPr="00D04BA0">
        <w:rPr>
          <w:rStyle w:val="Kkursywa"/>
          <w:rFonts w:ascii="Times New Roman" w:hAnsi="Times New Roman" w:cs="Times New Roman"/>
          <w:i w:val="0"/>
          <w:szCs w:val="24"/>
        </w:rPr>
        <w:t xml:space="preserve">projektowanym </w:t>
      </w:r>
      <w:r w:rsidRPr="00D04BA0">
        <w:rPr>
          <w:rStyle w:val="Kkursywa"/>
          <w:rFonts w:ascii="Times New Roman" w:hAnsi="Times New Roman" w:cs="Times New Roman"/>
          <w:i w:val="0"/>
          <w:szCs w:val="24"/>
        </w:rPr>
        <w:t>art. 3 ust. 4</w:t>
      </w:r>
      <w:r w:rsidR="00D214CB" w:rsidRPr="00D04BA0">
        <w:rPr>
          <w:rStyle w:val="Kkursywa"/>
          <w:rFonts w:ascii="Times New Roman" w:hAnsi="Times New Roman" w:cs="Times New Roman"/>
          <w:i w:val="0"/>
          <w:szCs w:val="24"/>
        </w:rPr>
        <w:t xml:space="preserve"> ustawy,</w:t>
      </w:r>
      <w:r w:rsidRPr="00D04BA0">
        <w:rPr>
          <w:rStyle w:val="Kkursywa"/>
          <w:rFonts w:ascii="Times New Roman" w:hAnsi="Times New Roman" w:cs="Times New Roman"/>
          <w:i w:val="0"/>
          <w:szCs w:val="24"/>
        </w:rPr>
        <w:t xml:space="preserve"> natomiast pozostałe regulacje dotyczące tych funduszy </w:t>
      </w:r>
      <w:r w:rsidR="00D214CB" w:rsidRPr="00D04BA0">
        <w:rPr>
          <w:rStyle w:val="Kkursywa"/>
          <w:rFonts w:ascii="Times New Roman" w:hAnsi="Times New Roman" w:cs="Times New Roman"/>
          <w:i w:val="0"/>
          <w:szCs w:val="24"/>
        </w:rPr>
        <w:t>(</w:t>
      </w:r>
      <w:r w:rsidRPr="00D04BA0">
        <w:rPr>
          <w:rStyle w:val="Kkursywa"/>
          <w:rFonts w:ascii="Times New Roman" w:hAnsi="Times New Roman" w:cs="Times New Roman"/>
          <w:i w:val="0"/>
          <w:szCs w:val="24"/>
        </w:rPr>
        <w:t xml:space="preserve">i zarządzających nimi </w:t>
      </w:r>
      <w:r w:rsidR="00D214CB" w:rsidRPr="00D04BA0">
        <w:rPr>
          <w:rStyle w:val="Kkursywa"/>
          <w:rFonts w:ascii="Times New Roman" w:hAnsi="Times New Roman" w:cs="Times New Roman"/>
          <w:i w:val="0"/>
          <w:szCs w:val="24"/>
        </w:rPr>
        <w:t>TFI)</w:t>
      </w:r>
      <w:r w:rsidRPr="00D04BA0">
        <w:rPr>
          <w:rStyle w:val="Kkursywa"/>
          <w:rFonts w:ascii="Times New Roman" w:hAnsi="Times New Roman" w:cs="Times New Roman"/>
          <w:i w:val="0"/>
          <w:szCs w:val="24"/>
        </w:rPr>
        <w:t xml:space="preserve"> są jedynie dostosowywane pod względem merytorycznym do wymagań dyrektywy </w:t>
      </w:r>
      <w:r w:rsidR="00D214CB" w:rsidRPr="00D04BA0">
        <w:rPr>
          <w:rStyle w:val="Kkursywa"/>
          <w:rFonts w:ascii="Times New Roman" w:hAnsi="Times New Roman" w:cs="Times New Roman"/>
          <w:i w:val="0"/>
          <w:szCs w:val="24"/>
        </w:rPr>
        <w:t>ZAFI</w:t>
      </w:r>
      <w:r w:rsidR="00B63172" w:rsidRPr="00D04BA0">
        <w:rPr>
          <w:rStyle w:val="Kkursywa"/>
          <w:rFonts w:ascii="Times New Roman" w:hAnsi="Times New Roman" w:cs="Times New Roman"/>
          <w:i w:val="0"/>
          <w:szCs w:val="24"/>
        </w:rPr>
        <w:t>.</w:t>
      </w:r>
      <w:r w:rsidR="00D214CB" w:rsidRPr="00D04BA0">
        <w:rPr>
          <w:rStyle w:val="Kkursywa"/>
          <w:rFonts w:ascii="Times New Roman" w:hAnsi="Times New Roman" w:cs="Times New Roman"/>
          <w:i w:val="0"/>
          <w:szCs w:val="24"/>
        </w:rPr>
        <w:t xml:space="preserve"> </w:t>
      </w:r>
      <w:r w:rsidR="00B63172" w:rsidRPr="00D04BA0">
        <w:rPr>
          <w:rStyle w:val="Kkursywa"/>
          <w:rFonts w:ascii="Times New Roman" w:hAnsi="Times New Roman" w:cs="Times New Roman"/>
          <w:i w:val="0"/>
          <w:szCs w:val="24"/>
        </w:rPr>
        <w:t>I</w:t>
      </w:r>
      <w:r w:rsidR="00D214CB" w:rsidRPr="00D04BA0">
        <w:rPr>
          <w:rStyle w:val="Kkursywa"/>
          <w:rFonts w:ascii="Times New Roman" w:hAnsi="Times New Roman" w:cs="Times New Roman"/>
          <w:i w:val="0"/>
          <w:szCs w:val="24"/>
        </w:rPr>
        <w:t>ch adresatami pozostają bądź „imiennie wskazany” SFIO lub FIZ, bądź szerzej – fundusz inwestycyjny (lub zarządzając</w:t>
      </w:r>
      <w:r w:rsidR="00D63418" w:rsidRPr="00D04BA0">
        <w:rPr>
          <w:rStyle w:val="Kkursywa"/>
          <w:rFonts w:ascii="Times New Roman" w:hAnsi="Times New Roman" w:cs="Times New Roman"/>
          <w:i w:val="0"/>
          <w:szCs w:val="24"/>
        </w:rPr>
        <w:t>e</w:t>
      </w:r>
      <w:r w:rsidR="00D214CB" w:rsidRPr="00D04BA0">
        <w:rPr>
          <w:rStyle w:val="Kkursywa"/>
          <w:rFonts w:ascii="Times New Roman" w:hAnsi="Times New Roman" w:cs="Times New Roman"/>
          <w:i w:val="0"/>
          <w:szCs w:val="24"/>
        </w:rPr>
        <w:t xml:space="preserve"> nimi TFI). Dla oznaczenia AFI tworzonych w innych państwach członkowskich</w:t>
      </w:r>
      <w:r w:rsidR="008F79A8" w:rsidRPr="00D04BA0">
        <w:rPr>
          <w:rStyle w:val="Kkursywa"/>
          <w:rFonts w:ascii="Times New Roman" w:hAnsi="Times New Roman" w:cs="Times New Roman"/>
          <w:i w:val="0"/>
          <w:szCs w:val="24"/>
        </w:rPr>
        <w:t>, bez względu na ich formę,</w:t>
      </w:r>
      <w:r w:rsidR="00D214CB" w:rsidRPr="00D04BA0">
        <w:rPr>
          <w:rStyle w:val="Kkursywa"/>
          <w:rFonts w:ascii="Times New Roman" w:hAnsi="Times New Roman" w:cs="Times New Roman"/>
          <w:i w:val="0"/>
          <w:szCs w:val="24"/>
        </w:rPr>
        <w:t xml:space="preserve"> używa się zdefiniowanego w projekcie określenia „unijny AFI” nawiązującego do ogólnej definicji „alternatywnego funduszu inwestycyjnego”. Natomiast dla oznaczenia</w:t>
      </w:r>
      <w:r w:rsidRPr="00D04BA0">
        <w:rPr>
          <w:rStyle w:val="Kkursywa"/>
          <w:rFonts w:ascii="Times New Roman" w:hAnsi="Times New Roman" w:cs="Times New Roman"/>
          <w:i w:val="0"/>
          <w:szCs w:val="24"/>
        </w:rPr>
        <w:t xml:space="preserve"> nowo regulowanych</w:t>
      </w:r>
      <w:r w:rsidR="00D04BA0">
        <w:rPr>
          <w:rStyle w:val="Kkursywa"/>
          <w:rFonts w:ascii="Times New Roman" w:hAnsi="Times New Roman" w:cs="Times New Roman"/>
          <w:i w:val="0"/>
          <w:szCs w:val="24"/>
        </w:rPr>
        <w:t xml:space="preserve"> </w:t>
      </w:r>
      <w:r w:rsidRPr="00D04BA0">
        <w:rPr>
          <w:rStyle w:val="Kkursywa"/>
          <w:rFonts w:ascii="Times New Roman" w:hAnsi="Times New Roman" w:cs="Times New Roman"/>
          <w:i w:val="0"/>
          <w:szCs w:val="24"/>
        </w:rPr>
        <w:t>w systemie prawny</w:t>
      </w:r>
      <w:r w:rsidR="00D214CB" w:rsidRPr="00D04BA0">
        <w:rPr>
          <w:rStyle w:val="Kkursywa"/>
          <w:rFonts w:ascii="Times New Roman" w:hAnsi="Times New Roman" w:cs="Times New Roman"/>
          <w:i w:val="0"/>
          <w:szCs w:val="24"/>
        </w:rPr>
        <w:t>m</w:t>
      </w:r>
      <w:r w:rsidRPr="00D04BA0">
        <w:rPr>
          <w:rStyle w:val="Kkursywa"/>
          <w:rFonts w:ascii="Times New Roman" w:hAnsi="Times New Roman" w:cs="Times New Roman"/>
          <w:i w:val="0"/>
          <w:szCs w:val="24"/>
        </w:rPr>
        <w:t xml:space="preserve"> funduszy działających w formie wskazanych ustawą spółek handlowych</w:t>
      </w:r>
      <w:r w:rsidR="00D214CB" w:rsidRPr="00D04BA0">
        <w:rPr>
          <w:rStyle w:val="Kkursywa"/>
          <w:rFonts w:ascii="Times New Roman" w:hAnsi="Times New Roman" w:cs="Times New Roman"/>
          <w:i w:val="0"/>
          <w:szCs w:val="24"/>
        </w:rPr>
        <w:t>, czyli AFI niebędących SFIO lub FIZ ani unijnym AFI, wprowadza się</w:t>
      </w:r>
      <w:r w:rsidR="00D04BA0">
        <w:rPr>
          <w:rStyle w:val="Kkursywa"/>
          <w:rFonts w:ascii="Times New Roman" w:hAnsi="Times New Roman" w:cs="Times New Roman"/>
          <w:i w:val="0"/>
          <w:szCs w:val="24"/>
        </w:rPr>
        <w:t xml:space="preserve"> </w:t>
      </w:r>
      <w:r w:rsidRPr="00D04BA0">
        <w:rPr>
          <w:rStyle w:val="Kkursywa"/>
          <w:rFonts w:ascii="Times New Roman" w:hAnsi="Times New Roman" w:cs="Times New Roman"/>
          <w:i w:val="0"/>
          <w:szCs w:val="24"/>
        </w:rPr>
        <w:t>w projekcie</w:t>
      </w:r>
      <w:r w:rsidR="00AF7C81">
        <w:rPr>
          <w:rStyle w:val="Kkursywa"/>
          <w:rFonts w:ascii="Times New Roman" w:hAnsi="Times New Roman" w:cs="Times New Roman"/>
          <w:i w:val="0"/>
          <w:szCs w:val="24"/>
        </w:rPr>
        <w:t xml:space="preserve"> (w </w:t>
      </w:r>
      <w:r w:rsidR="00AF7C81">
        <w:rPr>
          <w:rStyle w:val="Kkursywa"/>
          <w:rFonts w:ascii="Times New Roman" w:hAnsi="Times New Roman" w:cs="Times New Roman"/>
          <w:i w:val="0"/>
          <w:szCs w:val="24"/>
        </w:rPr>
        <w:lastRenderedPageBreak/>
        <w:t>dodawanym art.</w:t>
      </w:r>
      <w:r w:rsidR="00D14EF5">
        <w:rPr>
          <w:rStyle w:val="Kkursywa"/>
          <w:rFonts w:ascii="Times New Roman" w:hAnsi="Times New Roman" w:cs="Times New Roman"/>
          <w:i w:val="0"/>
          <w:szCs w:val="24"/>
        </w:rPr>
        <w:t xml:space="preserve"> </w:t>
      </w:r>
      <w:r w:rsidR="00062214" w:rsidRPr="00D04BA0">
        <w:rPr>
          <w:rStyle w:val="Kkursywa"/>
          <w:rFonts w:ascii="Times New Roman" w:hAnsi="Times New Roman" w:cs="Times New Roman"/>
          <w:i w:val="0"/>
          <w:szCs w:val="24"/>
        </w:rPr>
        <w:t xml:space="preserve">8a ust. 1 ustawy o funduszach inwestycyjnych) </w:t>
      </w:r>
      <w:r w:rsidR="00B63172" w:rsidRPr="00D04BA0">
        <w:rPr>
          <w:rStyle w:val="Kkursywa"/>
          <w:rFonts w:ascii="Times New Roman" w:hAnsi="Times New Roman" w:cs="Times New Roman"/>
          <w:i w:val="0"/>
          <w:szCs w:val="24"/>
        </w:rPr>
        <w:t xml:space="preserve">określenie </w:t>
      </w:r>
      <w:r w:rsidR="00D214CB" w:rsidRPr="00D04BA0">
        <w:rPr>
          <w:rStyle w:val="Kkursywa"/>
          <w:rFonts w:ascii="Times New Roman" w:hAnsi="Times New Roman" w:cs="Times New Roman"/>
          <w:i w:val="0"/>
          <w:szCs w:val="24"/>
        </w:rPr>
        <w:t>„</w:t>
      </w:r>
      <w:r w:rsidRPr="00D04BA0">
        <w:rPr>
          <w:rStyle w:val="Kkursywa"/>
          <w:rFonts w:ascii="Times New Roman" w:hAnsi="Times New Roman" w:cs="Times New Roman"/>
          <w:i w:val="0"/>
          <w:szCs w:val="24"/>
        </w:rPr>
        <w:t>alternatywn</w:t>
      </w:r>
      <w:r w:rsidR="00B63172" w:rsidRPr="00D04BA0">
        <w:rPr>
          <w:rStyle w:val="Kkursywa"/>
          <w:rFonts w:ascii="Times New Roman" w:hAnsi="Times New Roman" w:cs="Times New Roman"/>
          <w:i w:val="0"/>
          <w:szCs w:val="24"/>
        </w:rPr>
        <w:t>a spółka inwestycyjna</w:t>
      </w:r>
      <w:r w:rsidR="00D214CB" w:rsidRPr="00D04BA0">
        <w:rPr>
          <w:rStyle w:val="Kkursywa"/>
          <w:rFonts w:ascii="Times New Roman" w:hAnsi="Times New Roman" w:cs="Times New Roman"/>
          <w:i w:val="0"/>
          <w:szCs w:val="24"/>
        </w:rPr>
        <w:t>”</w:t>
      </w:r>
      <w:r w:rsidR="00D976AD" w:rsidRPr="00D04BA0">
        <w:rPr>
          <w:rStyle w:val="Kkursywa"/>
          <w:rFonts w:ascii="Times New Roman" w:hAnsi="Times New Roman" w:cs="Times New Roman"/>
          <w:i w:val="0"/>
          <w:szCs w:val="24"/>
        </w:rPr>
        <w:t>.</w:t>
      </w:r>
    </w:p>
    <w:p w:rsidR="004D065A" w:rsidRPr="00D04BA0" w:rsidRDefault="00653866" w:rsidP="00D04BA0">
      <w:pPr>
        <w:tabs>
          <w:tab w:val="left" w:pos="510"/>
        </w:tabs>
        <w:autoSpaceDE w:val="0"/>
        <w:autoSpaceDN w:val="0"/>
        <w:adjustRightInd w:val="0"/>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Do istotniejszych wprowadzanych projek</w:t>
      </w:r>
      <w:r w:rsidR="00D63418" w:rsidRPr="00D04BA0">
        <w:rPr>
          <w:rFonts w:ascii="Times New Roman" w:hAnsi="Times New Roman" w:cs="Times New Roman"/>
          <w:sz w:val="24"/>
          <w:szCs w:val="24"/>
        </w:rPr>
        <w:t>tem</w:t>
      </w:r>
      <w:r w:rsidRPr="00D04BA0">
        <w:rPr>
          <w:rFonts w:ascii="Times New Roman" w:hAnsi="Times New Roman" w:cs="Times New Roman"/>
          <w:sz w:val="24"/>
          <w:szCs w:val="24"/>
        </w:rPr>
        <w:t xml:space="preserve"> </w:t>
      </w:r>
      <w:r w:rsidR="00E57069" w:rsidRPr="00D04BA0">
        <w:rPr>
          <w:rFonts w:ascii="Times New Roman" w:hAnsi="Times New Roman" w:cs="Times New Roman"/>
          <w:sz w:val="24"/>
          <w:szCs w:val="24"/>
        </w:rPr>
        <w:t xml:space="preserve">w ustawie o funduszach inwestycyjnych </w:t>
      </w:r>
      <w:r w:rsidR="00062214" w:rsidRPr="00D04BA0">
        <w:rPr>
          <w:rFonts w:ascii="Times New Roman" w:hAnsi="Times New Roman" w:cs="Times New Roman"/>
          <w:sz w:val="24"/>
          <w:szCs w:val="24"/>
        </w:rPr>
        <w:t>definicji ustawowych dotyczących działalności nowej grupy podmiotów, tj.</w:t>
      </w:r>
      <w:r w:rsidR="00D14EF5">
        <w:rPr>
          <w:rFonts w:ascii="Times New Roman" w:hAnsi="Times New Roman" w:cs="Times New Roman"/>
          <w:sz w:val="24"/>
          <w:szCs w:val="24"/>
        </w:rPr>
        <w:t> </w:t>
      </w:r>
      <w:r w:rsidR="00D976AD" w:rsidRPr="00D04BA0">
        <w:rPr>
          <w:rStyle w:val="Kkursywa"/>
          <w:rFonts w:ascii="Times New Roman" w:hAnsi="Times New Roman" w:cs="Times New Roman"/>
          <w:i w:val="0"/>
          <w:sz w:val="24"/>
          <w:szCs w:val="24"/>
        </w:rPr>
        <w:t>alternatywnych spółek inwestycyjnych</w:t>
      </w:r>
      <w:r w:rsidR="00062214" w:rsidRPr="00D04BA0">
        <w:rPr>
          <w:rFonts w:ascii="Times New Roman" w:hAnsi="Times New Roman" w:cs="Times New Roman"/>
          <w:sz w:val="24"/>
          <w:szCs w:val="24"/>
        </w:rPr>
        <w:t xml:space="preserve"> oraz </w:t>
      </w:r>
      <w:r w:rsidR="00D976AD" w:rsidRPr="00D04BA0">
        <w:rPr>
          <w:rFonts w:ascii="Times New Roman" w:hAnsi="Times New Roman" w:cs="Times New Roman"/>
          <w:sz w:val="24"/>
          <w:szCs w:val="24"/>
        </w:rPr>
        <w:t xml:space="preserve">podmiotów nimi </w:t>
      </w:r>
      <w:r w:rsidR="00062214" w:rsidRPr="00D04BA0">
        <w:rPr>
          <w:rFonts w:ascii="Times New Roman" w:hAnsi="Times New Roman" w:cs="Times New Roman"/>
          <w:sz w:val="24"/>
          <w:szCs w:val="24"/>
        </w:rPr>
        <w:t>zarządzających</w:t>
      </w:r>
      <w:r w:rsidR="00D976AD" w:rsidRPr="00D04BA0">
        <w:rPr>
          <w:rFonts w:ascii="Times New Roman" w:hAnsi="Times New Roman" w:cs="Times New Roman"/>
          <w:sz w:val="24"/>
          <w:szCs w:val="24"/>
        </w:rPr>
        <w:t xml:space="preserve">, czyli zarządzających ASI </w:t>
      </w:r>
      <w:r w:rsidRPr="00D04BA0">
        <w:rPr>
          <w:rFonts w:ascii="Times New Roman" w:hAnsi="Times New Roman" w:cs="Times New Roman"/>
          <w:sz w:val="24"/>
          <w:szCs w:val="24"/>
        </w:rPr>
        <w:t>należą definicje:</w:t>
      </w:r>
    </w:p>
    <w:p w:rsidR="00D976AD" w:rsidRPr="00D04BA0" w:rsidRDefault="00E57069" w:rsidP="00D04BA0">
      <w:pPr>
        <w:pStyle w:val="Akapitzlist"/>
        <w:numPr>
          <w:ilvl w:val="0"/>
          <w:numId w:val="3"/>
        </w:numPr>
        <w:tabs>
          <w:tab w:val="left" w:pos="510"/>
        </w:tabs>
        <w:autoSpaceDE w:val="0"/>
        <w:autoSpaceDN w:val="0"/>
        <w:adjustRightInd w:val="0"/>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zarządzania </w:t>
      </w:r>
      <w:r w:rsidR="00D976AD" w:rsidRPr="00D04BA0">
        <w:rPr>
          <w:rFonts w:ascii="Times New Roman" w:hAnsi="Times New Roman" w:cs="Times New Roman"/>
          <w:sz w:val="24"/>
          <w:szCs w:val="24"/>
        </w:rPr>
        <w:t xml:space="preserve">spółką </w:t>
      </w:r>
      <w:r w:rsidRPr="00D04BA0">
        <w:rPr>
          <w:rFonts w:ascii="Times New Roman" w:hAnsi="Times New Roman" w:cs="Times New Roman"/>
          <w:sz w:val="24"/>
          <w:szCs w:val="24"/>
        </w:rPr>
        <w:t xml:space="preserve">(art. 8b ust. </w:t>
      </w:r>
      <w:r w:rsidR="00D976AD" w:rsidRPr="00D04BA0">
        <w:rPr>
          <w:rFonts w:ascii="Times New Roman" w:hAnsi="Times New Roman" w:cs="Times New Roman"/>
          <w:sz w:val="24"/>
          <w:szCs w:val="24"/>
        </w:rPr>
        <w:t>1</w:t>
      </w:r>
      <w:r w:rsidRPr="00D04BA0">
        <w:rPr>
          <w:rFonts w:ascii="Times New Roman" w:hAnsi="Times New Roman" w:cs="Times New Roman"/>
          <w:sz w:val="24"/>
          <w:szCs w:val="24"/>
        </w:rPr>
        <w:t xml:space="preserve"> ustawy) – zgodnie z art. 4</w:t>
      </w:r>
      <w:r w:rsidR="00AF7C81">
        <w:rPr>
          <w:rFonts w:ascii="Times New Roman" w:hAnsi="Times New Roman" w:cs="Times New Roman"/>
          <w:sz w:val="24"/>
          <w:szCs w:val="24"/>
        </w:rPr>
        <w:t xml:space="preserve"> ust. 1 lit. v i załącznikiem I</w:t>
      </w:r>
      <w:r w:rsidR="00D14EF5">
        <w:rPr>
          <w:rFonts w:ascii="Times New Roman" w:hAnsi="Times New Roman" w:cs="Times New Roman"/>
          <w:sz w:val="24"/>
          <w:szCs w:val="24"/>
        </w:rPr>
        <w:t xml:space="preserve"> </w:t>
      </w:r>
      <w:r w:rsidRPr="00D04BA0">
        <w:rPr>
          <w:rFonts w:ascii="Times New Roman" w:hAnsi="Times New Roman" w:cs="Times New Roman"/>
          <w:sz w:val="24"/>
          <w:szCs w:val="24"/>
        </w:rPr>
        <w:t xml:space="preserve">dyrektywy ZAFI, zarządzanie portfelami inwestycyjnymi i zarządzanie ryzykiem to minimalny zakres funkcji w zakresie zarządzania inwestycyjnego, które musi wykonywać ZAFI, zarządzając AFI; </w:t>
      </w:r>
    </w:p>
    <w:p w:rsidR="00E57069" w:rsidRPr="00D04BA0" w:rsidRDefault="00D976AD" w:rsidP="00D04BA0">
      <w:pPr>
        <w:pStyle w:val="Akapitzlist"/>
        <w:numPr>
          <w:ilvl w:val="0"/>
          <w:numId w:val="3"/>
        </w:numPr>
        <w:tabs>
          <w:tab w:val="left" w:pos="510"/>
        </w:tabs>
        <w:autoSpaceDE w:val="0"/>
        <w:autoSpaceDN w:val="0"/>
        <w:adjustRightInd w:val="0"/>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praw uczestnictwa (art. 8c ust. 2 ustawy) – charakter praw uczestnictwa </w:t>
      </w:r>
      <w:r w:rsidRPr="00D04BA0">
        <w:rPr>
          <w:rStyle w:val="Kkursywa"/>
          <w:rFonts w:ascii="Times New Roman" w:hAnsi="Times New Roman" w:cs="Times New Roman"/>
          <w:i w:val="0"/>
          <w:sz w:val="24"/>
          <w:szCs w:val="24"/>
        </w:rPr>
        <w:t>alternatywnych spółek inwestycyjnych</w:t>
      </w:r>
      <w:r w:rsidRPr="00D04BA0">
        <w:rPr>
          <w:rFonts w:ascii="Times New Roman" w:hAnsi="Times New Roman" w:cs="Times New Roman"/>
          <w:sz w:val="24"/>
          <w:szCs w:val="24"/>
        </w:rPr>
        <w:t xml:space="preserve"> jest zdeterminowany ich dopuszczalną formą prawną, zatem prawami tymi są udziały w spółce z ograniczoną odpowiedzialnością i udziały (ogół praw i obowiązków wspólnika) w spółce komandytowej i komandytowo-akcyjnej oraz akcje</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w spółce akcyjnej i komandytowo-akcyjnej</w:t>
      </w:r>
      <w:r w:rsidR="00312B6D" w:rsidRPr="00D04BA0">
        <w:rPr>
          <w:rFonts w:ascii="Times New Roman" w:hAnsi="Times New Roman" w:cs="Times New Roman"/>
          <w:sz w:val="24"/>
          <w:szCs w:val="24"/>
        </w:rPr>
        <w:t>;</w:t>
      </w:r>
    </w:p>
    <w:p w:rsidR="00C970FE" w:rsidRPr="00D04BA0" w:rsidRDefault="00C01BB6" w:rsidP="00D04BA0">
      <w:pPr>
        <w:pStyle w:val="Akapitzlist"/>
        <w:numPr>
          <w:ilvl w:val="0"/>
          <w:numId w:val="3"/>
        </w:numPr>
        <w:tabs>
          <w:tab w:val="left" w:pos="510"/>
        </w:tabs>
        <w:autoSpaceDE w:val="0"/>
        <w:autoSpaceDN w:val="0"/>
        <w:adjustRightInd w:val="0"/>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inwestora (art. 8c </w:t>
      </w:r>
      <w:r w:rsidR="00312B6D" w:rsidRPr="00D04BA0">
        <w:rPr>
          <w:rFonts w:ascii="Times New Roman" w:hAnsi="Times New Roman" w:cs="Times New Roman"/>
          <w:sz w:val="24"/>
          <w:szCs w:val="24"/>
        </w:rPr>
        <w:t xml:space="preserve">ust. 1 </w:t>
      </w:r>
      <w:r w:rsidRPr="00D04BA0">
        <w:rPr>
          <w:rFonts w:ascii="Times New Roman" w:hAnsi="Times New Roman" w:cs="Times New Roman"/>
          <w:sz w:val="24"/>
          <w:szCs w:val="24"/>
        </w:rPr>
        <w:t xml:space="preserve">ustawy) – którym jest każdy podmiot </w:t>
      </w:r>
      <w:r w:rsidR="00312B6D" w:rsidRPr="00D04BA0">
        <w:rPr>
          <w:rFonts w:ascii="Times New Roman" w:hAnsi="Times New Roman" w:cs="Times New Roman"/>
          <w:sz w:val="24"/>
          <w:szCs w:val="24"/>
        </w:rPr>
        <w:t>posiadający</w:t>
      </w:r>
      <w:r w:rsidRPr="00D04BA0">
        <w:rPr>
          <w:rFonts w:ascii="Times New Roman" w:hAnsi="Times New Roman" w:cs="Times New Roman"/>
          <w:sz w:val="24"/>
          <w:szCs w:val="24"/>
        </w:rPr>
        <w:t xml:space="preserve"> prawa uczestnictwa </w:t>
      </w:r>
      <w:r w:rsidR="00312B6D" w:rsidRPr="00D04BA0">
        <w:rPr>
          <w:rFonts w:ascii="Times New Roman" w:hAnsi="Times New Roman" w:cs="Times New Roman"/>
          <w:sz w:val="24"/>
          <w:szCs w:val="24"/>
        </w:rPr>
        <w:t>danej spółki</w:t>
      </w:r>
      <w:r w:rsidRPr="00D04BA0">
        <w:rPr>
          <w:rFonts w:ascii="Times New Roman" w:hAnsi="Times New Roman" w:cs="Times New Roman"/>
          <w:sz w:val="24"/>
          <w:szCs w:val="24"/>
        </w:rPr>
        <w:t xml:space="preserve">, czyli </w:t>
      </w:r>
      <w:r w:rsidR="00AE28CF" w:rsidRPr="00D04BA0">
        <w:rPr>
          <w:rFonts w:ascii="Times New Roman" w:hAnsi="Times New Roman" w:cs="Times New Roman"/>
          <w:sz w:val="24"/>
          <w:szCs w:val="24"/>
        </w:rPr>
        <w:t xml:space="preserve">jej </w:t>
      </w:r>
      <w:r w:rsidRPr="00D04BA0">
        <w:rPr>
          <w:rFonts w:ascii="Times New Roman" w:hAnsi="Times New Roman" w:cs="Times New Roman"/>
          <w:sz w:val="24"/>
          <w:szCs w:val="24"/>
        </w:rPr>
        <w:t>wspólnicy</w:t>
      </w:r>
      <w:r w:rsidR="00AE28CF" w:rsidRPr="00D04BA0">
        <w:rPr>
          <w:rFonts w:ascii="Times New Roman" w:hAnsi="Times New Roman" w:cs="Times New Roman"/>
          <w:sz w:val="24"/>
          <w:szCs w:val="24"/>
        </w:rPr>
        <w:t>,</w:t>
      </w:r>
      <w:r w:rsidRPr="00D04BA0">
        <w:rPr>
          <w:rFonts w:ascii="Times New Roman" w:hAnsi="Times New Roman" w:cs="Times New Roman"/>
          <w:sz w:val="24"/>
          <w:szCs w:val="24"/>
        </w:rPr>
        <w:t xml:space="preserve"> akcjonariusze</w:t>
      </w:r>
      <w:r w:rsidR="00AE28CF" w:rsidRPr="00D04BA0">
        <w:rPr>
          <w:rFonts w:ascii="Times New Roman" w:hAnsi="Times New Roman" w:cs="Times New Roman"/>
          <w:sz w:val="24"/>
          <w:szCs w:val="24"/>
        </w:rPr>
        <w:t>, komandytariusze</w:t>
      </w:r>
      <w:r w:rsidR="00D04BA0">
        <w:rPr>
          <w:rFonts w:ascii="Times New Roman" w:hAnsi="Times New Roman" w:cs="Times New Roman"/>
          <w:sz w:val="24"/>
          <w:szCs w:val="24"/>
        </w:rPr>
        <w:t xml:space="preserve"> </w:t>
      </w:r>
      <w:r w:rsidR="00AE28CF" w:rsidRPr="00D04BA0">
        <w:rPr>
          <w:rFonts w:ascii="Times New Roman" w:hAnsi="Times New Roman" w:cs="Times New Roman"/>
          <w:sz w:val="24"/>
          <w:szCs w:val="24"/>
        </w:rPr>
        <w:t>i komplementariusz</w:t>
      </w:r>
      <w:r w:rsidRPr="00D04BA0">
        <w:rPr>
          <w:rFonts w:ascii="Times New Roman" w:hAnsi="Times New Roman" w:cs="Times New Roman"/>
          <w:sz w:val="24"/>
          <w:szCs w:val="24"/>
        </w:rPr>
        <w:t xml:space="preserve">; należy podkreślić, że w odróżnieniu od funduszy inwestycyjnych objętych dyrektywą UCITS (czyli </w:t>
      </w:r>
      <w:r w:rsidR="008C1EE2" w:rsidRPr="00D04BA0">
        <w:rPr>
          <w:rFonts w:ascii="Times New Roman" w:hAnsi="Times New Roman" w:cs="Times New Roman"/>
          <w:sz w:val="24"/>
          <w:szCs w:val="24"/>
        </w:rPr>
        <w:t>FIO</w:t>
      </w:r>
      <w:r w:rsidRPr="00D04BA0">
        <w:rPr>
          <w:rFonts w:ascii="Times New Roman" w:hAnsi="Times New Roman" w:cs="Times New Roman"/>
          <w:sz w:val="24"/>
          <w:szCs w:val="24"/>
        </w:rPr>
        <w:t>) wszystkie AFI są instytucjami, które</w:t>
      </w:r>
      <w:r w:rsidR="00512C19">
        <w:rPr>
          <w:rFonts w:ascii="Times New Roman" w:hAnsi="Times New Roman" w:cs="Times New Roman"/>
          <w:sz w:val="24"/>
          <w:szCs w:val="24"/>
        </w:rPr>
        <w:t>,</w:t>
      </w:r>
      <w:r w:rsidRPr="00D04BA0">
        <w:rPr>
          <w:rFonts w:ascii="Times New Roman" w:hAnsi="Times New Roman" w:cs="Times New Roman"/>
          <w:sz w:val="24"/>
          <w:szCs w:val="24"/>
        </w:rPr>
        <w:t xml:space="preserve"> co do zasady</w:t>
      </w:r>
      <w:r w:rsidR="00512C19">
        <w:rPr>
          <w:rFonts w:ascii="Times New Roman" w:hAnsi="Times New Roman" w:cs="Times New Roman"/>
          <w:sz w:val="24"/>
          <w:szCs w:val="24"/>
        </w:rPr>
        <w:t>,</w:t>
      </w:r>
      <w:r w:rsidRPr="00D04BA0">
        <w:rPr>
          <w:rFonts w:ascii="Times New Roman" w:hAnsi="Times New Roman" w:cs="Times New Roman"/>
          <w:sz w:val="24"/>
          <w:szCs w:val="24"/>
        </w:rPr>
        <w:t xml:space="preserve"> zbierają </w:t>
      </w:r>
      <w:r w:rsidR="00001B74" w:rsidRPr="00D04BA0">
        <w:rPr>
          <w:rFonts w:ascii="Times New Roman" w:hAnsi="Times New Roman" w:cs="Times New Roman"/>
          <w:sz w:val="24"/>
          <w:szCs w:val="24"/>
        </w:rPr>
        <w:t xml:space="preserve">i inwestują </w:t>
      </w:r>
      <w:r w:rsidRPr="00D04BA0">
        <w:rPr>
          <w:rFonts w:ascii="Times New Roman" w:hAnsi="Times New Roman" w:cs="Times New Roman"/>
          <w:sz w:val="24"/>
          <w:szCs w:val="24"/>
        </w:rPr>
        <w:t>aktywa tylko klientów profesjonalnych</w:t>
      </w:r>
      <w:r w:rsidR="008B0D7C" w:rsidRPr="00D04BA0">
        <w:rPr>
          <w:rFonts w:ascii="Times New Roman" w:hAnsi="Times New Roman" w:cs="Times New Roman"/>
          <w:sz w:val="24"/>
          <w:szCs w:val="24"/>
        </w:rPr>
        <w:t xml:space="preserve"> </w:t>
      </w:r>
      <w:r w:rsidR="00001B74" w:rsidRPr="00D04BA0">
        <w:rPr>
          <w:rFonts w:ascii="Times New Roman" w:hAnsi="Times New Roman" w:cs="Times New Roman"/>
          <w:sz w:val="24"/>
          <w:szCs w:val="24"/>
        </w:rPr>
        <w:t xml:space="preserve">(instytucji </w:t>
      </w:r>
      <w:r w:rsidR="00AE28CF" w:rsidRPr="00D04BA0">
        <w:rPr>
          <w:rFonts w:ascii="Times New Roman" w:hAnsi="Times New Roman" w:cs="Times New Roman"/>
          <w:sz w:val="24"/>
          <w:szCs w:val="24"/>
        </w:rPr>
        <w:t xml:space="preserve">rynku </w:t>
      </w:r>
      <w:r w:rsidR="00001B74" w:rsidRPr="00D04BA0">
        <w:rPr>
          <w:rFonts w:ascii="Times New Roman" w:hAnsi="Times New Roman" w:cs="Times New Roman"/>
          <w:sz w:val="24"/>
          <w:szCs w:val="24"/>
        </w:rPr>
        <w:t>finansow</w:t>
      </w:r>
      <w:r w:rsidR="00AE28CF" w:rsidRPr="00D04BA0">
        <w:rPr>
          <w:rFonts w:ascii="Times New Roman" w:hAnsi="Times New Roman" w:cs="Times New Roman"/>
          <w:sz w:val="24"/>
          <w:szCs w:val="24"/>
        </w:rPr>
        <w:t>ego</w:t>
      </w:r>
      <w:r w:rsidR="00001B74" w:rsidRPr="00D04BA0">
        <w:rPr>
          <w:rFonts w:ascii="Times New Roman" w:hAnsi="Times New Roman" w:cs="Times New Roman"/>
          <w:sz w:val="24"/>
          <w:szCs w:val="24"/>
        </w:rPr>
        <w:t xml:space="preserve"> i przedsiębiorców prowadzących działalność w znacznych rozmiarach)</w:t>
      </w:r>
      <w:r w:rsidR="00D04BA0">
        <w:rPr>
          <w:rFonts w:ascii="Times New Roman" w:hAnsi="Times New Roman" w:cs="Times New Roman"/>
          <w:sz w:val="24"/>
          <w:szCs w:val="24"/>
        </w:rPr>
        <w:t xml:space="preserve"> </w:t>
      </w:r>
      <w:r w:rsidR="00001B74" w:rsidRPr="00D04BA0">
        <w:rPr>
          <w:rFonts w:ascii="Times New Roman" w:hAnsi="Times New Roman" w:cs="Times New Roman"/>
          <w:sz w:val="24"/>
          <w:szCs w:val="24"/>
        </w:rPr>
        <w:t xml:space="preserve">– w projekcie przewidziano możliwość zbierania kapitału od klientów detalicznych </w:t>
      </w:r>
      <w:r w:rsidR="00312B6D" w:rsidRPr="00D04BA0">
        <w:rPr>
          <w:rFonts w:ascii="Times New Roman" w:hAnsi="Times New Roman" w:cs="Times New Roman"/>
          <w:sz w:val="24"/>
          <w:szCs w:val="24"/>
        </w:rPr>
        <w:t>zarówno na etapie tworzenia takiej spółki (art. 8c ust. 4 ustawy)</w:t>
      </w:r>
      <w:r w:rsidR="00512C19">
        <w:rPr>
          <w:rFonts w:ascii="Times New Roman" w:hAnsi="Times New Roman" w:cs="Times New Roman"/>
          <w:sz w:val="24"/>
          <w:szCs w:val="24"/>
        </w:rPr>
        <w:t>,</w:t>
      </w:r>
      <w:r w:rsidR="00312B6D" w:rsidRPr="00D04BA0">
        <w:rPr>
          <w:rFonts w:ascii="Times New Roman" w:hAnsi="Times New Roman" w:cs="Times New Roman"/>
          <w:sz w:val="24"/>
          <w:szCs w:val="24"/>
        </w:rPr>
        <w:t xml:space="preserve"> jak i pozyskiwania nowych wspólników</w:t>
      </w:r>
      <w:r w:rsidR="00AE28CF" w:rsidRPr="00D04BA0">
        <w:rPr>
          <w:rFonts w:ascii="Times New Roman" w:hAnsi="Times New Roman" w:cs="Times New Roman"/>
          <w:sz w:val="24"/>
          <w:szCs w:val="24"/>
        </w:rPr>
        <w:t xml:space="preserve"> lub zwiększania ich zaangażowania kapitałowego</w:t>
      </w:r>
      <w:r w:rsidR="00312B6D" w:rsidRPr="00D04BA0">
        <w:rPr>
          <w:rFonts w:ascii="Times New Roman" w:hAnsi="Times New Roman" w:cs="Times New Roman"/>
          <w:sz w:val="24"/>
          <w:szCs w:val="24"/>
        </w:rPr>
        <w:t>, czyli wprowadzania takiej spó</w:t>
      </w:r>
      <w:r w:rsidR="00AE28CF" w:rsidRPr="00D04BA0">
        <w:rPr>
          <w:rFonts w:ascii="Times New Roman" w:hAnsi="Times New Roman" w:cs="Times New Roman"/>
          <w:sz w:val="24"/>
          <w:szCs w:val="24"/>
        </w:rPr>
        <w:t>łki do obrotu (art. 70e ustawy)</w:t>
      </w:r>
      <w:r w:rsidR="00312B6D" w:rsidRPr="00D04BA0">
        <w:rPr>
          <w:rFonts w:ascii="Times New Roman" w:hAnsi="Times New Roman" w:cs="Times New Roman"/>
          <w:sz w:val="24"/>
          <w:szCs w:val="24"/>
        </w:rPr>
        <w:t xml:space="preserve">, </w:t>
      </w:r>
      <w:r w:rsidR="00001B74" w:rsidRPr="00D04BA0">
        <w:rPr>
          <w:rFonts w:ascii="Times New Roman" w:hAnsi="Times New Roman" w:cs="Times New Roman"/>
          <w:sz w:val="24"/>
          <w:szCs w:val="24"/>
        </w:rPr>
        <w:t>jednakże tylko</w:t>
      </w:r>
      <w:r w:rsidR="00312B6D" w:rsidRPr="00D04BA0">
        <w:rPr>
          <w:rFonts w:ascii="Times New Roman" w:hAnsi="Times New Roman" w:cs="Times New Roman"/>
          <w:sz w:val="24"/>
          <w:szCs w:val="24"/>
        </w:rPr>
        <w:t xml:space="preserve"> w drodze oferty publicznej</w:t>
      </w:r>
      <w:r w:rsidR="00001B74" w:rsidRPr="00D04BA0">
        <w:rPr>
          <w:rFonts w:ascii="Times New Roman" w:hAnsi="Times New Roman" w:cs="Times New Roman"/>
          <w:sz w:val="24"/>
          <w:szCs w:val="24"/>
        </w:rPr>
        <w:t>.</w:t>
      </w:r>
    </w:p>
    <w:p w:rsidR="00D976AD" w:rsidRPr="00D04BA0" w:rsidRDefault="00C4191F" w:rsidP="008266F6">
      <w:pPr>
        <w:tabs>
          <w:tab w:val="left" w:pos="510"/>
        </w:tabs>
        <w:autoSpaceDE w:val="0"/>
        <w:autoSpaceDN w:val="0"/>
        <w:adjustRightInd w:val="0"/>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projekcie przyjęto rozwiązanie polegające na niewyodrębnianiu portfela inwestycyjnego z pozostałych aktywów spółki</w:t>
      </w:r>
      <w:r w:rsidR="00E50EC3" w:rsidRPr="00D04BA0">
        <w:rPr>
          <w:rFonts w:ascii="Times New Roman" w:hAnsi="Times New Roman" w:cs="Times New Roman"/>
          <w:sz w:val="24"/>
          <w:szCs w:val="24"/>
        </w:rPr>
        <w:t>, zatem całość aktywów alternatywnej spółki inwestycyjnej będzie stanowić równocześnie jej portfel inwestycyjny</w:t>
      </w:r>
      <w:r w:rsidRPr="00D04BA0">
        <w:rPr>
          <w:rFonts w:ascii="Times New Roman" w:hAnsi="Times New Roman" w:cs="Times New Roman"/>
          <w:sz w:val="24"/>
          <w:szCs w:val="24"/>
        </w:rPr>
        <w:t>.</w:t>
      </w:r>
      <w:r w:rsidR="00E50EC3" w:rsidRPr="00D04BA0">
        <w:rPr>
          <w:rFonts w:ascii="Times New Roman" w:hAnsi="Times New Roman" w:cs="Times New Roman"/>
          <w:sz w:val="24"/>
          <w:szCs w:val="24"/>
        </w:rPr>
        <w:t xml:space="preserve"> </w:t>
      </w:r>
      <w:r w:rsidR="000A2EE8" w:rsidRPr="00D04BA0">
        <w:rPr>
          <w:rFonts w:ascii="Times New Roman" w:hAnsi="Times New Roman" w:cs="Times New Roman"/>
          <w:sz w:val="24"/>
          <w:szCs w:val="24"/>
        </w:rPr>
        <w:t xml:space="preserve">Jak zostało to wskazane wcześniej jednym z celów implementowanej dyrektywy jest identyfikacja prawna istniejących ZAFI poprzez określenie wspólnych wymogów dotyczących </w:t>
      </w:r>
      <w:r w:rsidR="000A2EE8" w:rsidRPr="00D04BA0">
        <w:rPr>
          <w:rFonts w:ascii="Times New Roman" w:hAnsi="Times New Roman" w:cs="Times New Roman"/>
          <w:sz w:val="24"/>
          <w:szCs w:val="24"/>
        </w:rPr>
        <w:lastRenderedPageBreak/>
        <w:t>wydawania zezwoleń i nadzoru nad ZAFI (motyw 2</w:t>
      </w:r>
      <w:r w:rsidR="00D04BA0">
        <w:rPr>
          <w:rFonts w:ascii="Times New Roman" w:hAnsi="Times New Roman" w:cs="Times New Roman"/>
          <w:sz w:val="24"/>
          <w:szCs w:val="24"/>
        </w:rPr>
        <w:t xml:space="preserve"> </w:t>
      </w:r>
      <w:r w:rsidR="000A2EE8" w:rsidRPr="00D04BA0">
        <w:rPr>
          <w:rFonts w:ascii="Times New Roman" w:hAnsi="Times New Roman" w:cs="Times New Roman"/>
          <w:sz w:val="24"/>
          <w:szCs w:val="24"/>
        </w:rPr>
        <w:t>preambuły dyrektywy). Dyrektywa ta nie jest podstawą do kreowania</w:t>
      </w:r>
      <w:r w:rsidR="00D04BA0">
        <w:rPr>
          <w:rFonts w:ascii="Times New Roman" w:hAnsi="Times New Roman" w:cs="Times New Roman"/>
          <w:sz w:val="24"/>
          <w:szCs w:val="24"/>
        </w:rPr>
        <w:t xml:space="preserve"> </w:t>
      </w:r>
      <w:r w:rsidR="000A2EE8" w:rsidRPr="00D04BA0">
        <w:rPr>
          <w:rFonts w:ascii="Times New Roman" w:hAnsi="Times New Roman" w:cs="Times New Roman"/>
          <w:sz w:val="24"/>
          <w:szCs w:val="24"/>
        </w:rPr>
        <w:t>w krajowych porządkach prawnych nowych form prawnych ZAFI, natomiast wskazany cel zostanie zrealizowany poprzez objęcie przepisami projektowanej ustawy podmiotów funkcjonujących na rynku krajowym, których działalność jest tożsama z działalnością ZAFI. Tym samym ustawa implementująca nada jedynie formalny ton działalności prowadzonej przez obecnie istniejące spółki inwestycyjne. Jednocześnie z uwagi na prawną i ekonomiczną kontynuację działalności podmiotów obejmowanych regulacją, zdaniem ustawodawcy nie ma potrzeby formalnej ingerencji, w przyjęty zwyczajowo przez te podmioty model kwalifikowania aktywów do portfela inwestycyjnego. Przyjęcie odmiennego rozwiązania wprowadziłoby sztuczny i niepragmatyczny, oraz z punktu widzenia zarządzających</w:t>
      </w:r>
      <w:r w:rsidR="00512C19">
        <w:rPr>
          <w:rFonts w:ascii="Times New Roman" w:hAnsi="Times New Roman" w:cs="Times New Roman"/>
          <w:sz w:val="24"/>
          <w:szCs w:val="24"/>
        </w:rPr>
        <w:t>,</w:t>
      </w:r>
      <w:r w:rsidR="000A2EE8" w:rsidRPr="00D04BA0">
        <w:rPr>
          <w:rFonts w:ascii="Times New Roman" w:hAnsi="Times New Roman" w:cs="Times New Roman"/>
          <w:sz w:val="24"/>
          <w:szCs w:val="24"/>
        </w:rPr>
        <w:t xml:space="preserve"> problematyczny obowiązek kategoryzacji posiadanych aktywów do dwóch grup, tj. aktywów własnych spółki zarządzającej, niestanowiących elementów składowych portfela inwestycyjnego oraz aktywów wchodzących do przedmiotu inwestycji. Co więcej zaproponowane rozwiązanie, co do zasady, zgodne jest </w:t>
      </w:r>
      <w:r w:rsidR="00B0764B" w:rsidRPr="00D04BA0">
        <w:rPr>
          <w:rFonts w:ascii="Times New Roman" w:hAnsi="Times New Roman" w:cs="Times New Roman"/>
          <w:sz w:val="24"/>
          <w:szCs w:val="24"/>
        </w:rPr>
        <w:t xml:space="preserve">z </w:t>
      </w:r>
      <w:r w:rsidR="000A2EE8" w:rsidRPr="00D04BA0">
        <w:rPr>
          <w:rFonts w:ascii="Times New Roman" w:hAnsi="Times New Roman" w:cs="Times New Roman"/>
          <w:sz w:val="24"/>
          <w:szCs w:val="24"/>
        </w:rPr>
        <w:t>przyjętym modelem w innych państwach członkowskich.</w:t>
      </w:r>
      <w:r w:rsidRPr="00D04BA0">
        <w:rPr>
          <w:rFonts w:ascii="Times New Roman" w:hAnsi="Times New Roman" w:cs="Times New Roman"/>
          <w:sz w:val="24"/>
          <w:szCs w:val="24"/>
        </w:rPr>
        <w:t xml:space="preserve"> A</w:t>
      </w:r>
      <w:r w:rsidR="002B76F4" w:rsidRPr="00D04BA0">
        <w:rPr>
          <w:rFonts w:ascii="Times New Roman" w:hAnsi="Times New Roman" w:cs="Times New Roman"/>
          <w:sz w:val="24"/>
          <w:szCs w:val="24"/>
        </w:rPr>
        <w:t xml:space="preserve">nalogicznie do funduszy inwestycyjnych – nie </w:t>
      </w:r>
      <w:r w:rsidRPr="00D04BA0">
        <w:rPr>
          <w:rFonts w:ascii="Times New Roman" w:hAnsi="Times New Roman" w:cs="Times New Roman"/>
          <w:sz w:val="24"/>
          <w:szCs w:val="24"/>
        </w:rPr>
        <w:t>definiuje się przy tym pojęcia</w:t>
      </w:r>
      <w:r w:rsidR="00E50EC3" w:rsidRPr="00D04BA0">
        <w:rPr>
          <w:rFonts w:ascii="Times New Roman" w:hAnsi="Times New Roman" w:cs="Times New Roman"/>
          <w:sz w:val="24"/>
          <w:szCs w:val="24"/>
        </w:rPr>
        <w:t xml:space="preserve"> portfel inwestycyjny</w:t>
      </w:r>
      <w:r w:rsidRPr="00D04BA0">
        <w:rPr>
          <w:rFonts w:ascii="Times New Roman" w:hAnsi="Times New Roman" w:cs="Times New Roman"/>
          <w:sz w:val="24"/>
          <w:szCs w:val="24"/>
        </w:rPr>
        <w:t xml:space="preserve"> – jego z</w:t>
      </w:r>
      <w:r w:rsidR="002B76F4" w:rsidRPr="00D04BA0">
        <w:rPr>
          <w:rFonts w:ascii="Times New Roman" w:hAnsi="Times New Roman" w:cs="Times New Roman"/>
          <w:sz w:val="24"/>
          <w:szCs w:val="24"/>
        </w:rPr>
        <w:t>akres wyznaczają regulacje materialne</w:t>
      </w:r>
      <w:r w:rsidRPr="00D04BA0">
        <w:rPr>
          <w:rFonts w:ascii="Times New Roman" w:hAnsi="Times New Roman" w:cs="Times New Roman"/>
          <w:sz w:val="24"/>
          <w:szCs w:val="24"/>
        </w:rPr>
        <w:t>,</w:t>
      </w:r>
      <w:r w:rsidR="002B76F4" w:rsidRPr="00D04BA0">
        <w:rPr>
          <w:rFonts w:ascii="Times New Roman" w:hAnsi="Times New Roman" w:cs="Times New Roman"/>
          <w:sz w:val="24"/>
          <w:szCs w:val="24"/>
        </w:rPr>
        <w:t xml:space="preserve"> w szczególności odnoszące się do wyceny aktywów oraz wymogów kapitałowych</w:t>
      </w:r>
      <w:r w:rsidRPr="00D04BA0">
        <w:rPr>
          <w:rFonts w:ascii="Times New Roman" w:hAnsi="Times New Roman" w:cs="Times New Roman"/>
          <w:sz w:val="24"/>
          <w:szCs w:val="24"/>
        </w:rPr>
        <w:t>, oraz forma prawna prowadzenia działalności</w:t>
      </w:r>
      <w:r w:rsidR="002B76F4" w:rsidRPr="00D04BA0">
        <w:rPr>
          <w:rFonts w:ascii="Times New Roman" w:hAnsi="Times New Roman" w:cs="Times New Roman"/>
          <w:sz w:val="24"/>
          <w:szCs w:val="24"/>
        </w:rPr>
        <w:t xml:space="preserve">. </w:t>
      </w:r>
      <w:r w:rsidR="00E50EC3" w:rsidRPr="00D04BA0">
        <w:rPr>
          <w:rFonts w:ascii="Times New Roman" w:hAnsi="Times New Roman" w:cs="Times New Roman"/>
          <w:sz w:val="24"/>
          <w:szCs w:val="24"/>
        </w:rPr>
        <w:t>Jedną z konsekwencji powyższego</w:t>
      </w:r>
      <w:r w:rsidRPr="00D04BA0">
        <w:rPr>
          <w:rFonts w:ascii="Times New Roman" w:hAnsi="Times New Roman" w:cs="Times New Roman"/>
          <w:sz w:val="24"/>
          <w:szCs w:val="24"/>
        </w:rPr>
        <w:t xml:space="preserve"> rozwiąza</w:t>
      </w:r>
      <w:r w:rsidR="00E50EC3" w:rsidRPr="00D04BA0">
        <w:rPr>
          <w:rFonts w:ascii="Times New Roman" w:hAnsi="Times New Roman" w:cs="Times New Roman"/>
          <w:sz w:val="24"/>
          <w:szCs w:val="24"/>
        </w:rPr>
        <w:t>nia</w:t>
      </w:r>
      <w:r w:rsidRPr="00D04BA0">
        <w:rPr>
          <w:rFonts w:ascii="Times New Roman" w:hAnsi="Times New Roman" w:cs="Times New Roman"/>
          <w:sz w:val="24"/>
          <w:szCs w:val="24"/>
        </w:rPr>
        <w:t xml:space="preserve"> jest zastosowanie również do spółek komandytowych typowego dla spółek kapitałowych i spółki komandytowo-akcyjnej</w:t>
      </w:r>
      <w:r w:rsidR="00E50EC3" w:rsidRPr="00D04BA0">
        <w:rPr>
          <w:rFonts w:ascii="Times New Roman" w:hAnsi="Times New Roman" w:cs="Times New Roman"/>
          <w:sz w:val="24"/>
          <w:szCs w:val="24"/>
        </w:rPr>
        <w:t xml:space="preserve"> ograniczenia co do przedmiotu wkładu (art. 8c ust. 5 ustawy)</w:t>
      </w:r>
      <w:r w:rsidRPr="00D04BA0">
        <w:rPr>
          <w:rFonts w:ascii="Times New Roman" w:hAnsi="Times New Roman" w:cs="Times New Roman"/>
          <w:sz w:val="24"/>
          <w:szCs w:val="24"/>
        </w:rPr>
        <w:t>.</w:t>
      </w:r>
      <w:r w:rsidR="00D04BA0">
        <w:rPr>
          <w:rFonts w:ascii="Times New Roman" w:hAnsi="Times New Roman" w:cs="Times New Roman"/>
          <w:sz w:val="24"/>
          <w:szCs w:val="24"/>
        </w:rPr>
        <w:t xml:space="preserve"> </w:t>
      </w:r>
    </w:p>
    <w:p w:rsidR="00D62A4D" w:rsidRPr="00067927" w:rsidRDefault="00D62A4D" w:rsidP="008266F6">
      <w:pPr>
        <w:tabs>
          <w:tab w:val="left" w:pos="510"/>
        </w:tabs>
        <w:autoSpaceDE w:val="0"/>
        <w:autoSpaceDN w:val="0"/>
        <w:adjustRightInd w:val="0"/>
        <w:spacing w:before="24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t>Dostosowanie warunków prowadzenia działalności przez TFI do wymogów</w:t>
      </w:r>
      <w:r w:rsidR="00D04BA0" w:rsidRPr="00067927">
        <w:rPr>
          <w:rFonts w:ascii="Times New Roman" w:hAnsi="Times New Roman" w:cs="Times New Roman"/>
          <w:sz w:val="24"/>
          <w:szCs w:val="24"/>
        </w:rPr>
        <w:t xml:space="preserve"> </w:t>
      </w:r>
      <w:r w:rsidRPr="00067927">
        <w:rPr>
          <w:rFonts w:ascii="Times New Roman" w:hAnsi="Times New Roman" w:cs="Times New Roman"/>
          <w:sz w:val="24"/>
          <w:szCs w:val="24"/>
        </w:rPr>
        <w:t>w zakresie zarządzania AFI (SFIO i FIZ)</w:t>
      </w:r>
    </w:p>
    <w:p w:rsidR="00D62A4D" w:rsidRPr="00D04BA0" w:rsidRDefault="00D62A4D" w:rsidP="008266F6">
      <w:pPr>
        <w:spacing w:before="24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1. Zezwolenia</w:t>
      </w:r>
    </w:p>
    <w:p w:rsidR="00D62A4D" w:rsidRPr="00D04BA0" w:rsidRDefault="00D62A4D" w:rsidP="008266F6">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W obowiązującym stanie prawnym TFI podlega obowiązkowi uzyskania zezwolenia na wykonywanie działalności obejmującej tworzenie, zarządzanie i reprezentowanie funduszy inwestycyjnych lub funduszy zagranicznych (tj. zagranicznych funduszy typu UCITS). Zezwolenie na wykonywanie działalności towarzystwa, które otrzymują TFI, upoważnia je </w:t>
      </w:r>
      <w:r w:rsidR="008C1EE2" w:rsidRPr="00D04BA0">
        <w:rPr>
          <w:rFonts w:ascii="Times New Roman" w:hAnsi="Times New Roman" w:cs="Times New Roman"/>
          <w:sz w:val="24"/>
          <w:szCs w:val="24"/>
        </w:rPr>
        <w:t xml:space="preserve">zatem </w:t>
      </w:r>
      <w:r w:rsidRPr="00D04BA0">
        <w:rPr>
          <w:rFonts w:ascii="Times New Roman" w:hAnsi="Times New Roman" w:cs="Times New Roman"/>
          <w:sz w:val="24"/>
          <w:szCs w:val="24"/>
        </w:rPr>
        <w:t xml:space="preserve">do tworzenia i zarządzania </w:t>
      </w:r>
      <w:r w:rsidR="008C1EE2" w:rsidRPr="00D04BA0">
        <w:rPr>
          <w:rFonts w:ascii="Times New Roman" w:hAnsi="Times New Roman" w:cs="Times New Roman"/>
          <w:sz w:val="24"/>
          <w:szCs w:val="24"/>
        </w:rPr>
        <w:t xml:space="preserve">zarówno </w:t>
      </w:r>
      <w:r w:rsidRPr="00D04BA0">
        <w:rPr>
          <w:rFonts w:ascii="Times New Roman" w:hAnsi="Times New Roman" w:cs="Times New Roman"/>
          <w:sz w:val="24"/>
          <w:szCs w:val="24"/>
        </w:rPr>
        <w:t>– zgodnie z wymogami dyrektywy UCITS</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 polskimi funduszami typu UCITS (to jest FIO), jak i funduszami </w:t>
      </w:r>
      <w:r w:rsidRPr="00D04BA0">
        <w:rPr>
          <w:rFonts w:ascii="Times New Roman" w:hAnsi="Times New Roman" w:cs="Times New Roman"/>
          <w:sz w:val="24"/>
          <w:szCs w:val="24"/>
        </w:rPr>
        <w:lastRenderedPageBreak/>
        <w:t>uprzednio nieuregulowanymi</w:t>
      </w:r>
      <w:r w:rsidR="008C1EE2" w:rsidRPr="00D04BA0">
        <w:rPr>
          <w:rFonts w:ascii="Times New Roman" w:hAnsi="Times New Roman" w:cs="Times New Roman"/>
          <w:sz w:val="24"/>
          <w:szCs w:val="24"/>
        </w:rPr>
        <w:t xml:space="preserve"> w prawie UE</w:t>
      </w:r>
      <w:r w:rsidR="00512C19">
        <w:rPr>
          <w:rFonts w:ascii="Times New Roman" w:hAnsi="Times New Roman" w:cs="Times New Roman"/>
          <w:sz w:val="24"/>
          <w:szCs w:val="24"/>
        </w:rPr>
        <w:t>,</w:t>
      </w:r>
      <w:r w:rsidR="008C1EE2" w:rsidRPr="00D04BA0">
        <w:rPr>
          <w:rFonts w:ascii="Times New Roman" w:hAnsi="Times New Roman" w:cs="Times New Roman"/>
          <w:sz w:val="24"/>
          <w:szCs w:val="24"/>
        </w:rPr>
        <w:t xml:space="preserve"> a w projekcie kwalifikowanymi jako AFI – czyli </w:t>
      </w:r>
      <w:r w:rsidRPr="00D04BA0">
        <w:rPr>
          <w:rFonts w:ascii="Times New Roman" w:hAnsi="Times New Roman" w:cs="Times New Roman"/>
          <w:sz w:val="24"/>
          <w:szCs w:val="24"/>
        </w:rPr>
        <w:t xml:space="preserve">SFIO oraz FIZ. </w:t>
      </w:r>
    </w:p>
    <w:p w:rsidR="006E4466" w:rsidRPr="00D04BA0" w:rsidRDefault="003F3964" w:rsidP="008266F6">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Wdrażając wymóg art. 6 dyrektywy ZAFI, projekt </w:t>
      </w:r>
      <w:r w:rsidR="00D62A4D" w:rsidRPr="00D04BA0">
        <w:rPr>
          <w:rFonts w:ascii="Times New Roman" w:hAnsi="Times New Roman" w:cs="Times New Roman"/>
          <w:sz w:val="24"/>
          <w:szCs w:val="24"/>
        </w:rPr>
        <w:t xml:space="preserve">wprowadza </w:t>
      </w:r>
      <w:r w:rsidR="006E4466" w:rsidRPr="00D04BA0">
        <w:rPr>
          <w:rFonts w:ascii="Times New Roman" w:hAnsi="Times New Roman" w:cs="Times New Roman"/>
          <w:sz w:val="24"/>
          <w:szCs w:val="24"/>
        </w:rPr>
        <w:t xml:space="preserve">(art. 38 i art. 45 ustawy o funduszach inwestycyjnych) </w:t>
      </w:r>
      <w:r w:rsidR="00D62A4D" w:rsidRPr="00D04BA0">
        <w:rPr>
          <w:rFonts w:ascii="Times New Roman" w:hAnsi="Times New Roman" w:cs="Times New Roman"/>
          <w:sz w:val="24"/>
          <w:szCs w:val="24"/>
        </w:rPr>
        <w:t xml:space="preserve">rozwiązanie polegające na </w:t>
      </w:r>
      <w:r w:rsidR="00C4191F" w:rsidRPr="00D04BA0">
        <w:rPr>
          <w:rFonts w:ascii="Times New Roman" w:hAnsi="Times New Roman" w:cs="Times New Roman"/>
          <w:sz w:val="24"/>
          <w:szCs w:val="24"/>
        </w:rPr>
        <w:t xml:space="preserve">rozdzieleniu </w:t>
      </w:r>
      <w:r w:rsidR="006E4466" w:rsidRPr="00D04BA0">
        <w:rPr>
          <w:rFonts w:ascii="Times New Roman" w:hAnsi="Times New Roman" w:cs="Times New Roman"/>
          <w:sz w:val="24"/>
          <w:szCs w:val="24"/>
        </w:rPr>
        <w:t xml:space="preserve">zakresu zezwoleń: </w:t>
      </w:r>
      <w:r w:rsidR="00D62A4D" w:rsidRPr="00D04BA0">
        <w:rPr>
          <w:rFonts w:ascii="Times New Roman" w:hAnsi="Times New Roman" w:cs="Times New Roman"/>
          <w:sz w:val="24"/>
          <w:szCs w:val="24"/>
        </w:rPr>
        <w:t>zezwolenie na wykonywanie działalności</w:t>
      </w:r>
      <w:r w:rsidR="006E4466" w:rsidRPr="00D04BA0">
        <w:rPr>
          <w:rFonts w:ascii="Times New Roman" w:hAnsi="Times New Roman" w:cs="Times New Roman"/>
          <w:sz w:val="24"/>
          <w:szCs w:val="24"/>
        </w:rPr>
        <w:t xml:space="preserve"> przez</w:t>
      </w:r>
      <w:r w:rsidR="00D62A4D" w:rsidRPr="00D04BA0">
        <w:rPr>
          <w:rFonts w:ascii="Times New Roman" w:hAnsi="Times New Roman" w:cs="Times New Roman"/>
          <w:sz w:val="24"/>
          <w:szCs w:val="24"/>
        </w:rPr>
        <w:t xml:space="preserve"> </w:t>
      </w:r>
      <w:r w:rsidRPr="00D04BA0">
        <w:rPr>
          <w:rFonts w:ascii="Times New Roman" w:hAnsi="Times New Roman" w:cs="Times New Roman"/>
          <w:sz w:val="24"/>
          <w:szCs w:val="24"/>
        </w:rPr>
        <w:t>towarzystw</w:t>
      </w:r>
      <w:r w:rsidR="006E4466" w:rsidRPr="00D04BA0">
        <w:rPr>
          <w:rFonts w:ascii="Times New Roman" w:hAnsi="Times New Roman" w:cs="Times New Roman"/>
          <w:sz w:val="24"/>
          <w:szCs w:val="24"/>
        </w:rPr>
        <w:t>o</w:t>
      </w:r>
      <w:r w:rsidR="00D62A4D" w:rsidRPr="00D04BA0">
        <w:rPr>
          <w:rFonts w:ascii="Times New Roman" w:hAnsi="Times New Roman" w:cs="Times New Roman"/>
          <w:sz w:val="24"/>
          <w:szCs w:val="24"/>
        </w:rPr>
        <w:t xml:space="preserve"> będzie uprawniało TFI do </w:t>
      </w:r>
      <w:r w:rsidR="006E4466" w:rsidRPr="00D04BA0">
        <w:rPr>
          <w:rFonts w:ascii="Times New Roman" w:hAnsi="Times New Roman" w:cs="Times New Roman"/>
          <w:sz w:val="24"/>
          <w:szCs w:val="24"/>
        </w:rPr>
        <w:t xml:space="preserve">działalności w zakresie funduszy typu UCITS, </w:t>
      </w:r>
      <w:r w:rsidR="007103F6" w:rsidRPr="00D04BA0">
        <w:rPr>
          <w:rFonts w:ascii="Times New Roman" w:hAnsi="Times New Roman" w:cs="Times New Roman"/>
          <w:sz w:val="24"/>
          <w:szCs w:val="24"/>
        </w:rPr>
        <w:t>czyli</w:t>
      </w:r>
      <w:r w:rsidR="006E4466" w:rsidRPr="00D04BA0">
        <w:rPr>
          <w:rFonts w:ascii="Times New Roman" w:hAnsi="Times New Roman" w:cs="Times New Roman"/>
          <w:sz w:val="24"/>
          <w:szCs w:val="24"/>
        </w:rPr>
        <w:t xml:space="preserve"> </w:t>
      </w:r>
      <w:r w:rsidR="00D62A4D" w:rsidRPr="00D04BA0">
        <w:rPr>
          <w:rFonts w:ascii="Times New Roman" w:hAnsi="Times New Roman" w:cs="Times New Roman"/>
          <w:sz w:val="24"/>
          <w:szCs w:val="24"/>
        </w:rPr>
        <w:t>tworzenia, zarządzania i rep</w:t>
      </w:r>
      <w:r w:rsidR="007103F6" w:rsidRPr="00D04BA0">
        <w:rPr>
          <w:rFonts w:ascii="Times New Roman" w:hAnsi="Times New Roman" w:cs="Times New Roman"/>
          <w:sz w:val="24"/>
          <w:szCs w:val="24"/>
        </w:rPr>
        <w:t>rezentowania FIO i funduszy zagranicznych, a w przypadku</w:t>
      </w:r>
      <w:r w:rsidR="00D62A4D" w:rsidRPr="00D04BA0">
        <w:rPr>
          <w:rFonts w:ascii="Times New Roman" w:hAnsi="Times New Roman" w:cs="Times New Roman"/>
          <w:sz w:val="24"/>
          <w:szCs w:val="24"/>
        </w:rPr>
        <w:t xml:space="preserve"> gdy TFI będzie chciał</w:t>
      </w:r>
      <w:r w:rsidRPr="00D04BA0">
        <w:rPr>
          <w:rFonts w:ascii="Times New Roman" w:hAnsi="Times New Roman" w:cs="Times New Roman"/>
          <w:sz w:val="24"/>
          <w:szCs w:val="24"/>
        </w:rPr>
        <w:t>o</w:t>
      </w:r>
      <w:r w:rsidR="00D62A4D" w:rsidRPr="00D04BA0">
        <w:rPr>
          <w:rFonts w:ascii="Times New Roman" w:hAnsi="Times New Roman" w:cs="Times New Roman"/>
          <w:sz w:val="24"/>
          <w:szCs w:val="24"/>
        </w:rPr>
        <w:t xml:space="preserve"> </w:t>
      </w:r>
      <w:r w:rsidR="006E4466" w:rsidRPr="00D04BA0">
        <w:rPr>
          <w:rFonts w:ascii="Times New Roman" w:hAnsi="Times New Roman" w:cs="Times New Roman"/>
          <w:sz w:val="24"/>
          <w:szCs w:val="24"/>
        </w:rPr>
        <w:t>wykonywać działalność w z</w:t>
      </w:r>
      <w:r w:rsidR="007103F6" w:rsidRPr="00D04BA0">
        <w:rPr>
          <w:rFonts w:ascii="Times New Roman" w:hAnsi="Times New Roman" w:cs="Times New Roman"/>
          <w:sz w:val="24"/>
          <w:szCs w:val="24"/>
        </w:rPr>
        <w:t>akresie funduszy typu AFI, czyli</w:t>
      </w:r>
      <w:r w:rsidR="006E4466" w:rsidRPr="00D04BA0">
        <w:rPr>
          <w:rFonts w:ascii="Times New Roman" w:hAnsi="Times New Roman" w:cs="Times New Roman"/>
          <w:sz w:val="24"/>
          <w:szCs w:val="24"/>
        </w:rPr>
        <w:t xml:space="preserve"> </w:t>
      </w:r>
      <w:r w:rsidR="00D62A4D" w:rsidRPr="00D04BA0">
        <w:rPr>
          <w:rFonts w:ascii="Times New Roman" w:hAnsi="Times New Roman" w:cs="Times New Roman"/>
          <w:sz w:val="24"/>
          <w:szCs w:val="24"/>
        </w:rPr>
        <w:t xml:space="preserve">zarządzać SFIO, FIZ lub unijnymi AFI, będzie musiało </w:t>
      </w:r>
      <w:r w:rsidRPr="00D04BA0">
        <w:rPr>
          <w:rFonts w:ascii="Times New Roman" w:hAnsi="Times New Roman" w:cs="Times New Roman"/>
          <w:sz w:val="24"/>
          <w:szCs w:val="24"/>
        </w:rPr>
        <w:t xml:space="preserve">uzyskać </w:t>
      </w:r>
      <w:r w:rsidR="006E4466" w:rsidRPr="00D04BA0">
        <w:rPr>
          <w:rFonts w:ascii="Times New Roman" w:hAnsi="Times New Roman" w:cs="Times New Roman"/>
          <w:sz w:val="24"/>
          <w:szCs w:val="24"/>
        </w:rPr>
        <w:t xml:space="preserve">dodatkowe </w:t>
      </w:r>
      <w:r w:rsidR="00D62A4D" w:rsidRPr="00D04BA0">
        <w:rPr>
          <w:rFonts w:ascii="Times New Roman" w:hAnsi="Times New Roman" w:cs="Times New Roman"/>
          <w:sz w:val="24"/>
          <w:szCs w:val="24"/>
        </w:rPr>
        <w:t xml:space="preserve">zezwolenie na </w:t>
      </w:r>
      <w:r w:rsidRPr="00D04BA0">
        <w:rPr>
          <w:rFonts w:ascii="Times New Roman" w:hAnsi="Times New Roman" w:cs="Times New Roman"/>
          <w:sz w:val="24"/>
          <w:szCs w:val="24"/>
        </w:rPr>
        <w:t xml:space="preserve">zarządzanie </w:t>
      </w:r>
      <w:r w:rsidR="00D62A4D" w:rsidRPr="00D04BA0">
        <w:rPr>
          <w:rFonts w:ascii="Times New Roman" w:hAnsi="Times New Roman" w:cs="Times New Roman"/>
          <w:sz w:val="24"/>
          <w:szCs w:val="24"/>
        </w:rPr>
        <w:t xml:space="preserve">AFI. </w:t>
      </w:r>
      <w:r w:rsidR="006E4466" w:rsidRPr="00D04BA0">
        <w:rPr>
          <w:rFonts w:ascii="Times New Roman" w:hAnsi="Times New Roman" w:cs="Times New Roman"/>
          <w:sz w:val="24"/>
          <w:szCs w:val="24"/>
        </w:rPr>
        <w:t xml:space="preserve">Zatem zezwolenie na wykonywanie działalności przez towarzystwo będzie zezwoleniem „podstawowym” – jego uzyskanie lub posiadanie </w:t>
      </w:r>
      <w:r w:rsidR="007103F6" w:rsidRPr="00D04BA0">
        <w:rPr>
          <w:rFonts w:ascii="Times New Roman" w:hAnsi="Times New Roman" w:cs="Times New Roman"/>
          <w:sz w:val="24"/>
          <w:szCs w:val="24"/>
        </w:rPr>
        <w:t xml:space="preserve">będzie </w:t>
      </w:r>
      <w:r w:rsidR="006E4466" w:rsidRPr="00D04BA0">
        <w:rPr>
          <w:rFonts w:ascii="Times New Roman" w:hAnsi="Times New Roman" w:cs="Times New Roman"/>
          <w:sz w:val="24"/>
          <w:szCs w:val="24"/>
        </w:rPr>
        <w:t>warunk</w:t>
      </w:r>
      <w:r w:rsidR="007103F6" w:rsidRPr="00D04BA0">
        <w:rPr>
          <w:rFonts w:ascii="Times New Roman" w:hAnsi="Times New Roman" w:cs="Times New Roman"/>
          <w:sz w:val="24"/>
          <w:szCs w:val="24"/>
        </w:rPr>
        <w:t>ować</w:t>
      </w:r>
      <w:r w:rsidR="006E4466" w:rsidRPr="00D04BA0">
        <w:rPr>
          <w:rFonts w:ascii="Times New Roman" w:hAnsi="Times New Roman" w:cs="Times New Roman"/>
          <w:sz w:val="24"/>
          <w:szCs w:val="24"/>
        </w:rPr>
        <w:t xml:space="preserve"> możliwość</w:t>
      </w:r>
      <w:r w:rsidR="007E3CE3" w:rsidRPr="00D04BA0">
        <w:rPr>
          <w:rFonts w:ascii="Times New Roman" w:hAnsi="Times New Roman" w:cs="Times New Roman"/>
          <w:sz w:val="24"/>
          <w:szCs w:val="24"/>
        </w:rPr>
        <w:t xml:space="preserve"> uzyskania zezwolenia </w:t>
      </w:r>
      <w:r w:rsidR="00A545EE" w:rsidRPr="00D04BA0">
        <w:rPr>
          <w:rFonts w:ascii="Times New Roman" w:hAnsi="Times New Roman" w:cs="Times New Roman"/>
          <w:sz w:val="24"/>
          <w:szCs w:val="24"/>
        </w:rPr>
        <w:t>n</w:t>
      </w:r>
      <w:r w:rsidR="007E3CE3" w:rsidRPr="00D04BA0">
        <w:rPr>
          <w:rFonts w:ascii="Times New Roman" w:hAnsi="Times New Roman" w:cs="Times New Roman"/>
          <w:sz w:val="24"/>
          <w:szCs w:val="24"/>
        </w:rPr>
        <w:t>a działalność zarządzania AFI. W konsekwencji też jego utrata (cofnięcie albo wygaśnięcie) skutk</w:t>
      </w:r>
      <w:r w:rsidR="007103F6" w:rsidRPr="00D04BA0">
        <w:rPr>
          <w:rFonts w:ascii="Times New Roman" w:hAnsi="Times New Roman" w:cs="Times New Roman"/>
          <w:sz w:val="24"/>
          <w:szCs w:val="24"/>
        </w:rPr>
        <w:t>ować będzie</w:t>
      </w:r>
      <w:r w:rsidR="007E3CE3" w:rsidRPr="00D04BA0">
        <w:rPr>
          <w:rFonts w:ascii="Times New Roman" w:hAnsi="Times New Roman" w:cs="Times New Roman"/>
          <w:sz w:val="24"/>
          <w:szCs w:val="24"/>
        </w:rPr>
        <w:t xml:space="preserve"> wygaśnięciem pozostałych zezwoleń (art. 67 ustawy o funduszach inwestycyjnych). Uzyskanie obu zezwoleń może przy tym nastąpić równocześnie, bądź też już powstałe TFI może uzyskać dodatkowe zezwolenie później.</w:t>
      </w:r>
    </w:p>
    <w:p w:rsidR="006E4466" w:rsidRPr="00D04BA0" w:rsidRDefault="005D1286" w:rsidP="008266F6">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Równocześnie projekt zakłada utrzymanie dotychczasowych zasad tworzenia przez TFI funduszy inwestycyjnych – również SFIO i FIZ. Biorąc zatem pod uwagę konstrukcję prawną funduszy inwestycyjnych istniejącą </w:t>
      </w:r>
      <w:r w:rsidRPr="00373C4B">
        <w:rPr>
          <w:rFonts w:ascii="Times New Roman" w:hAnsi="Times New Roman" w:cs="Times New Roman"/>
          <w:i/>
          <w:sz w:val="24"/>
          <w:szCs w:val="24"/>
        </w:rPr>
        <w:t>de lege lata</w:t>
      </w:r>
      <w:r w:rsidRPr="00D04BA0">
        <w:rPr>
          <w:rFonts w:ascii="Times New Roman" w:hAnsi="Times New Roman" w:cs="Times New Roman"/>
          <w:sz w:val="24"/>
          <w:szCs w:val="24"/>
        </w:rPr>
        <w:t xml:space="preserve"> w polskim porządku prawnym, w której podmiotem wyłącznie uprawnionym do tworzenia funduszy inwestycyjnych jest TFI będące również organem tworzonego funduszu,</w:t>
      </w:r>
      <w:r w:rsidR="00DF387C" w:rsidRPr="00D04BA0">
        <w:rPr>
          <w:rFonts w:ascii="Times New Roman" w:hAnsi="Times New Roman" w:cs="Times New Roman"/>
          <w:sz w:val="24"/>
          <w:szCs w:val="24"/>
        </w:rPr>
        <w:t xml:space="preserve"> </w:t>
      </w:r>
      <w:r w:rsidRPr="00D04BA0">
        <w:rPr>
          <w:rFonts w:ascii="Times New Roman" w:hAnsi="Times New Roman" w:cs="Times New Roman"/>
          <w:sz w:val="24"/>
          <w:szCs w:val="24"/>
        </w:rPr>
        <w:t>zakresem zezwolenia na zarządzanie AFI objęto nie tylko samo zarządzanie inwestycyjne SFIO i FIZ, ale także tworzenie tych funduszy.</w:t>
      </w:r>
      <w:r w:rsidR="003F3964" w:rsidRPr="00D04BA0">
        <w:rPr>
          <w:rFonts w:ascii="Times New Roman" w:hAnsi="Times New Roman" w:cs="Times New Roman"/>
          <w:sz w:val="24"/>
          <w:szCs w:val="24"/>
        </w:rPr>
        <w:t xml:space="preserve"> </w:t>
      </w:r>
      <w:r w:rsidR="007E3CE3" w:rsidRPr="00D04BA0">
        <w:rPr>
          <w:rFonts w:ascii="Times New Roman" w:hAnsi="Times New Roman" w:cs="Times New Roman"/>
          <w:sz w:val="24"/>
          <w:szCs w:val="24"/>
        </w:rPr>
        <w:t>Nadal zatem utworzyć SFIO lub FIZ będzie mogło wyłącznie TFI – o ile posiada zezwolenie na działalność zarządzania AFI oraz</w:t>
      </w:r>
      <w:r w:rsidR="007103F6" w:rsidRPr="00D04BA0">
        <w:rPr>
          <w:rFonts w:ascii="Times New Roman" w:hAnsi="Times New Roman" w:cs="Times New Roman"/>
          <w:sz w:val="24"/>
          <w:szCs w:val="24"/>
        </w:rPr>
        <w:t xml:space="preserve"> uzyskało</w:t>
      </w:r>
      <w:r w:rsidR="007E3CE3" w:rsidRPr="00D04BA0">
        <w:rPr>
          <w:rFonts w:ascii="Times New Roman" w:hAnsi="Times New Roman" w:cs="Times New Roman"/>
          <w:sz w:val="24"/>
          <w:szCs w:val="24"/>
        </w:rPr>
        <w:t xml:space="preserve"> zezwolenie na utworzenie danego funduszu (chyba że w danym przypadku nie jest ono wymagane)</w:t>
      </w:r>
      <w:r w:rsidR="00A545EE" w:rsidRPr="00D04BA0">
        <w:rPr>
          <w:rFonts w:ascii="Times New Roman" w:hAnsi="Times New Roman" w:cs="Times New Roman"/>
          <w:sz w:val="24"/>
          <w:szCs w:val="24"/>
        </w:rPr>
        <w:t>.</w:t>
      </w:r>
    </w:p>
    <w:p w:rsidR="0069474D" w:rsidRPr="00D04BA0" w:rsidRDefault="00482E7C" w:rsidP="008266F6">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Projekt nie zmienia zasady, iż wraz z wnioskiem o zezwolenie na wykonywanie działalności </w:t>
      </w:r>
      <w:r w:rsidR="007E3CE3" w:rsidRPr="00D04BA0">
        <w:rPr>
          <w:rFonts w:ascii="Times New Roman" w:hAnsi="Times New Roman" w:cs="Times New Roman"/>
          <w:sz w:val="24"/>
          <w:szCs w:val="24"/>
        </w:rPr>
        <w:t xml:space="preserve">przez </w:t>
      </w:r>
      <w:r w:rsidRPr="00D04BA0">
        <w:rPr>
          <w:rFonts w:ascii="Times New Roman" w:hAnsi="Times New Roman" w:cs="Times New Roman"/>
          <w:sz w:val="24"/>
          <w:szCs w:val="24"/>
        </w:rPr>
        <w:t>towarzystw</w:t>
      </w:r>
      <w:r w:rsidR="007E3CE3" w:rsidRPr="00D04BA0">
        <w:rPr>
          <w:rFonts w:ascii="Times New Roman" w:hAnsi="Times New Roman" w:cs="Times New Roman"/>
          <w:sz w:val="24"/>
          <w:szCs w:val="24"/>
        </w:rPr>
        <w:t>o</w:t>
      </w:r>
      <w:r w:rsidRPr="00D04BA0">
        <w:rPr>
          <w:rFonts w:ascii="Times New Roman" w:hAnsi="Times New Roman" w:cs="Times New Roman"/>
          <w:sz w:val="24"/>
          <w:szCs w:val="24"/>
        </w:rPr>
        <w:t xml:space="preserve"> należy złożyć wniosek o utworzenie funduszu inwestycyjnego. Zasada ta zostaje natomiast w projekcie </w:t>
      </w:r>
      <w:r w:rsidR="0069474D" w:rsidRPr="00D04BA0">
        <w:rPr>
          <w:rFonts w:ascii="Times New Roman" w:hAnsi="Times New Roman" w:cs="Times New Roman"/>
          <w:sz w:val="24"/>
          <w:szCs w:val="24"/>
        </w:rPr>
        <w:t>zmodyfikowana</w:t>
      </w:r>
      <w:r w:rsidRPr="00D04BA0">
        <w:rPr>
          <w:rFonts w:ascii="Times New Roman" w:hAnsi="Times New Roman" w:cs="Times New Roman"/>
          <w:sz w:val="24"/>
          <w:szCs w:val="24"/>
        </w:rPr>
        <w:t xml:space="preserve"> w związku</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z wyodrębnieniem dzi</w:t>
      </w:r>
      <w:r w:rsidR="0069474D" w:rsidRPr="00D04BA0">
        <w:rPr>
          <w:rFonts w:ascii="Times New Roman" w:hAnsi="Times New Roman" w:cs="Times New Roman"/>
          <w:sz w:val="24"/>
          <w:szCs w:val="24"/>
        </w:rPr>
        <w:t>ałalności w zakresie</w:t>
      </w:r>
      <w:r w:rsidRPr="00D04BA0">
        <w:rPr>
          <w:rFonts w:ascii="Times New Roman" w:hAnsi="Times New Roman" w:cs="Times New Roman"/>
          <w:sz w:val="24"/>
          <w:szCs w:val="24"/>
        </w:rPr>
        <w:t xml:space="preserve"> zarządzania SFIO i FIZ oraz unijnymi AFI</w:t>
      </w:r>
      <w:r w:rsidR="00965118" w:rsidRPr="00D04BA0">
        <w:rPr>
          <w:rFonts w:ascii="Times New Roman" w:hAnsi="Times New Roman" w:cs="Times New Roman"/>
          <w:sz w:val="24"/>
          <w:szCs w:val="24"/>
        </w:rPr>
        <w:t xml:space="preserve">. </w:t>
      </w:r>
      <w:r w:rsidR="007E3CE3" w:rsidRPr="00D04BA0">
        <w:rPr>
          <w:rFonts w:ascii="Times New Roman" w:hAnsi="Times New Roman" w:cs="Times New Roman"/>
          <w:sz w:val="24"/>
          <w:szCs w:val="24"/>
        </w:rPr>
        <w:t>W</w:t>
      </w:r>
      <w:r w:rsidR="00965118" w:rsidRPr="00D04BA0">
        <w:rPr>
          <w:rFonts w:ascii="Times New Roman" w:hAnsi="Times New Roman" w:cs="Times New Roman"/>
          <w:sz w:val="24"/>
          <w:szCs w:val="24"/>
        </w:rPr>
        <w:t>niosek taki powinien</w:t>
      </w:r>
      <w:r w:rsidR="00512C19">
        <w:rPr>
          <w:rFonts w:ascii="Times New Roman" w:hAnsi="Times New Roman" w:cs="Times New Roman"/>
          <w:sz w:val="24"/>
          <w:szCs w:val="24"/>
        </w:rPr>
        <w:t>,</w:t>
      </w:r>
      <w:r w:rsidR="00965118" w:rsidRPr="00D04BA0">
        <w:rPr>
          <w:rFonts w:ascii="Times New Roman" w:hAnsi="Times New Roman" w:cs="Times New Roman"/>
          <w:sz w:val="24"/>
          <w:szCs w:val="24"/>
        </w:rPr>
        <w:t xml:space="preserve"> </w:t>
      </w:r>
      <w:r w:rsidR="0069474D" w:rsidRPr="00D04BA0">
        <w:rPr>
          <w:rFonts w:ascii="Times New Roman" w:hAnsi="Times New Roman" w:cs="Times New Roman"/>
          <w:sz w:val="24"/>
          <w:szCs w:val="24"/>
        </w:rPr>
        <w:t>co do zasady</w:t>
      </w:r>
      <w:r w:rsidR="00512C19">
        <w:rPr>
          <w:rFonts w:ascii="Times New Roman" w:hAnsi="Times New Roman" w:cs="Times New Roman"/>
          <w:sz w:val="24"/>
          <w:szCs w:val="24"/>
        </w:rPr>
        <w:t>,</w:t>
      </w:r>
      <w:r w:rsidR="0069474D" w:rsidRPr="00D04BA0">
        <w:rPr>
          <w:rFonts w:ascii="Times New Roman" w:hAnsi="Times New Roman" w:cs="Times New Roman"/>
          <w:sz w:val="24"/>
          <w:szCs w:val="24"/>
        </w:rPr>
        <w:t xml:space="preserve"> </w:t>
      </w:r>
      <w:r w:rsidR="00965118" w:rsidRPr="00D04BA0">
        <w:rPr>
          <w:rFonts w:ascii="Times New Roman" w:hAnsi="Times New Roman" w:cs="Times New Roman"/>
          <w:sz w:val="24"/>
          <w:szCs w:val="24"/>
        </w:rPr>
        <w:t>dotyczyć utworzenia FIO</w:t>
      </w:r>
      <w:r w:rsidR="0069474D" w:rsidRPr="00D04BA0">
        <w:rPr>
          <w:rFonts w:ascii="Times New Roman" w:hAnsi="Times New Roman" w:cs="Times New Roman"/>
          <w:sz w:val="24"/>
          <w:szCs w:val="24"/>
        </w:rPr>
        <w:t>.</w:t>
      </w:r>
      <w:r w:rsidR="007E3CE3" w:rsidRPr="00D04BA0">
        <w:rPr>
          <w:rFonts w:ascii="Times New Roman" w:hAnsi="Times New Roman" w:cs="Times New Roman"/>
          <w:sz w:val="24"/>
          <w:szCs w:val="24"/>
        </w:rPr>
        <w:t xml:space="preserve"> </w:t>
      </w:r>
      <w:r w:rsidR="0069474D" w:rsidRPr="00D04BA0">
        <w:rPr>
          <w:rFonts w:ascii="Times New Roman" w:hAnsi="Times New Roman" w:cs="Times New Roman"/>
          <w:sz w:val="24"/>
          <w:szCs w:val="24"/>
        </w:rPr>
        <w:t>J</w:t>
      </w:r>
      <w:r w:rsidR="007E3CE3" w:rsidRPr="00D04BA0">
        <w:rPr>
          <w:rFonts w:ascii="Times New Roman" w:hAnsi="Times New Roman" w:cs="Times New Roman"/>
          <w:sz w:val="24"/>
          <w:szCs w:val="24"/>
        </w:rPr>
        <w:t>eżeli</w:t>
      </w:r>
      <w:r w:rsidR="0069474D" w:rsidRPr="00D04BA0">
        <w:rPr>
          <w:rFonts w:ascii="Times New Roman" w:hAnsi="Times New Roman" w:cs="Times New Roman"/>
          <w:sz w:val="24"/>
          <w:szCs w:val="24"/>
        </w:rPr>
        <w:t xml:space="preserve"> jednak</w:t>
      </w:r>
      <w:r w:rsidR="00965118" w:rsidRPr="00D04BA0">
        <w:rPr>
          <w:rFonts w:ascii="Times New Roman" w:hAnsi="Times New Roman" w:cs="Times New Roman"/>
          <w:sz w:val="24"/>
          <w:szCs w:val="24"/>
        </w:rPr>
        <w:t xml:space="preserve"> spółka składa</w:t>
      </w:r>
      <w:r w:rsidR="007103F6" w:rsidRPr="00D04BA0">
        <w:rPr>
          <w:rFonts w:ascii="Times New Roman" w:hAnsi="Times New Roman" w:cs="Times New Roman"/>
          <w:sz w:val="24"/>
          <w:szCs w:val="24"/>
        </w:rPr>
        <w:t>ć będzie</w:t>
      </w:r>
      <w:r w:rsidR="00965118" w:rsidRPr="00D04BA0">
        <w:rPr>
          <w:rFonts w:ascii="Times New Roman" w:hAnsi="Times New Roman" w:cs="Times New Roman"/>
          <w:sz w:val="24"/>
          <w:szCs w:val="24"/>
        </w:rPr>
        <w:t xml:space="preserve"> równocześnie wniosek o zezwolenie na zarządzanie AFI – wówczas </w:t>
      </w:r>
      <w:r w:rsidR="0069474D" w:rsidRPr="00D04BA0">
        <w:rPr>
          <w:rFonts w:ascii="Times New Roman" w:hAnsi="Times New Roman" w:cs="Times New Roman"/>
          <w:sz w:val="24"/>
          <w:szCs w:val="24"/>
        </w:rPr>
        <w:lastRenderedPageBreak/>
        <w:t>powinna wystąpić o zezwolenie na utworzenie funduszu typu AFI (SFIO lub FIZ)</w:t>
      </w:r>
      <w:r w:rsidR="007103F6" w:rsidRPr="00D04BA0">
        <w:rPr>
          <w:rFonts w:ascii="Times New Roman" w:hAnsi="Times New Roman" w:cs="Times New Roman"/>
          <w:sz w:val="24"/>
          <w:szCs w:val="24"/>
        </w:rPr>
        <w:t>, natomiast</w:t>
      </w:r>
      <w:r w:rsidR="0069474D" w:rsidRPr="00D04BA0">
        <w:rPr>
          <w:rFonts w:ascii="Times New Roman" w:hAnsi="Times New Roman" w:cs="Times New Roman"/>
          <w:sz w:val="24"/>
          <w:szCs w:val="24"/>
        </w:rPr>
        <w:t xml:space="preserve"> </w:t>
      </w:r>
      <w:r w:rsidR="00965118" w:rsidRPr="00D04BA0">
        <w:rPr>
          <w:rFonts w:ascii="Times New Roman" w:hAnsi="Times New Roman" w:cs="Times New Roman"/>
          <w:sz w:val="24"/>
          <w:szCs w:val="24"/>
        </w:rPr>
        <w:t>może</w:t>
      </w:r>
      <w:r w:rsidR="0069474D" w:rsidRPr="00D04BA0">
        <w:rPr>
          <w:rFonts w:ascii="Times New Roman" w:hAnsi="Times New Roman" w:cs="Times New Roman"/>
          <w:sz w:val="24"/>
          <w:szCs w:val="24"/>
        </w:rPr>
        <w:t xml:space="preserve"> nie tworzyć FIO. Wymóg wystąpienia z takim wnioskiem nie </w:t>
      </w:r>
      <w:r w:rsidR="007103F6" w:rsidRPr="00D04BA0">
        <w:rPr>
          <w:rFonts w:ascii="Times New Roman" w:hAnsi="Times New Roman" w:cs="Times New Roman"/>
          <w:sz w:val="24"/>
          <w:szCs w:val="24"/>
        </w:rPr>
        <w:t xml:space="preserve">będzie </w:t>
      </w:r>
      <w:r w:rsidR="0069474D" w:rsidRPr="00D04BA0">
        <w:rPr>
          <w:rFonts w:ascii="Times New Roman" w:hAnsi="Times New Roman" w:cs="Times New Roman"/>
          <w:sz w:val="24"/>
          <w:szCs w:val="24"/>
        </w:rPr>
        <w:t>dotyczy</w:t>
      </w:r>
      <w:r w:rsidR="007103F6" w:rsidRPr="00D04BA0">
        <w:rPr>
          <w:rFonts w:ascii="Times New Roman" w:hAnsi="Times New Roman" w:cs="Times New Roman"/>
          <w:sz w:val="24"/>
          <w:szCs w:val="24"/>
        </w:rPr>
        <w:t>ć</w:t>
      </w:r>
      <w:r w:rsidR="0069474D" w:rsidRPr="00D04BA0">
        <w:rPr>
          <w:rFonts w:ascii="Times New Roman" w:hAnsi="Times New Roman" w:cs="Times New Roman"/>
          <w:sz w:val="24"/>
          <w:szCs w:val="24"/>
        </w:rPr>
        <w:t xml:space="preserve"> przypadku</w:t>
      </w:r>
      <w:r w:rsidR="007103F6" w:rsidRPr="00D04BA0">
        <w:rPr>
          <w:rFonts w:ascii="Times New Roman" w:hAnsi="Times New Roman" w:cs="Times New Roman"/>
          <w:sz w:val="24"/>
          <w:szCs w:val="24"/>
        </w:rPr>
        <w:t>,</w:t>
      </w:r>
      <w:r w:rsidR="0069474D" w:rsidRPr="00D04BA0">
        <w:rPr>
          <w:rFonts w:ascii="Times New Roman" w:hAnsi="Times New Roman" w:cs="Times New Roman"/>
          <w:sz w:val="24"/>
          <w:szCs w:val="24"/>
        </w:rPr>
        <w:t xml:space="preserve"> </w:t>
      </w:r>
      <w:r w:rsidR="00965118" w:rsidRPr="00D04BA0">
        <w:rPr>
          <w:rFonts w:ascii="Times New Roman" w:hAnsi="Times New Roman" w:cs="Times New Roman"/>
          <w:sz w:val="24"/>
          <w:szCs w:val="24"/>
        </w:rPr>
        <w:t>gdy spółka zamierza utworzyć wyłącznie FIZ, o którym mowa w art. 15 ust. 1a ustawy o funduszach inwestycyjnych (p</w:t>
      </w:r>
      <w:r w:rsidR="001B40CA" w:rsidRPr="00D04BA0">
        <w:rPr>
          <w:rFonts w:ascii="Times New Roman" w:hAnsi="Times New Roman" w:cs="Times New Roman"/>
          <w:sz w:val="24"/>
          <w:szCs w:val="24"/>
        </w:rPr>
        <w:t>rojekt utrzymuje</w:t>
      </w:r>
      <w:r w:rsidR="00965118" w:rsidRPr="00D04BA0">
        <w:rPr>
          <w:rFonts w:ascii="Times New Roman" w:hAnsi="Times New Roman" w:cs="Times New Roman"/>
          <w:sz w:val="24"/>
          <w:szCs w:val="24"/>
        </w:rPr>
        <w:t xml:space="preserve"> brak wymogu uzyskania zezwolenia na utworzenie takiego funduszu)</w:t>
      </w:r>
      <w:r w:rsidR="00A545EE" w:rsidRPr="00D04BA0">
        <w:rPr>
          <w:rFonts w:ascii="Times New Roman" w:hAnsi="Times New Roman" w:cs="Times New Roman"/>
          <w:sz w:val="24"/>
          <w:szCs w:val="24"/>
        </w:rPr>
        <w:t>,</w:t>
      </w:r>
      <w:r w:rsidR="00965118" w:rsidRPr="00D04BA0">
        <w:rPr>
          <w:rFonts w:ascii="Times New Roman" w:hAnsi="Times New Roman" w:cs="Times New Roman"/>
          <w:sz w:val="24"/>
          <w:szCs w:val="24"/>
        </w:rPr>
        <w:t xml:space="preserve"> </w:t>
      </w:r>
      <w:r w:rsidR="0069474D" w:rsidRPr="00D04BA0">
        <w:rPr>
          <w:rFonts w:ascii="Times New Roman" w:hAnsi="Times New Roman" w:cs="Times New Roman"/>
          <w:sz w:val="24"/>
          <w:szCs w:val="24"/>
        </w:rPr>
        <w:t xml:space="preserve">albo zamierza zarządzać unijnym AFI. Zatem projekt zmienia w tym zakresie </w:t>
      </w:r>
      <w:r w:rsidR="00D62A4D" w:rsidRPr="00D04BA0">
        <w:rPr>
          <w:rFonts w:ascii="Times New Roman" w:hAnsi="Times New Roman" w:cs="Times New Roman"/>
          <w:sz w:val="24"/>
          <w:szCs w:val="24"/>
        </w:rPr>
        <w:t>sytuacj</w:t>
      </w:r>
      <w:r w:rsidR="0069474D" w:rsidRPr="00D04BA0">
        <w:rPr>
          <w:rFonts w:ascii="Times New Roman" w:hAnsi="Times New Roman" w:cs="Times New Roman"/>
          <w:sz w:val="24"/>
          <w:szCs w:val="24"/>
        </w:rPr>
        <w:t>ę</w:t>
      </w:r>
      <w:r w:rsidR="00D62A4D" w:rsidRPr="00D04BA0">
        <w:rPr>
          <w:rFonts w:ascii="Times New Roman" w:hAnsi="Times New Roman" w:cs="Times New Roman"/>
          <w:sz w:val="24"/>
          <w:szCs w:val="24"/>
        </w:rPr>
        <w:t xml:space="preserve"> prawn</w:t>
      </w:r>
      <w:r w:rsidR="0069474D" w:rsidRPr="00D04BA0">
        <w:rPr>
          <w:rFonts w:ascii="Times New Roman" w:hAnsi="Times New Roman" w:cs="Times New Roman"/>
          <w:sz w:val="24"/>
          <w:szCs w:val="24"/>
        </w:rPr>
        <w:t>ą</w:t>
      </w:r>
      <w:r w:rsidR="00D62A4D" w:rsidRPr="00D04BA0">
        <w:rPr>
          <w:rFonts w:ascii="Times New Roman" w:hAnsi="Times New Roman" w:cs="Times New Roman"/>
          <w:sz w:val="24"/>
          <w:szCs w:val="24"/>
        </w:rPr>
        <w:t xml:space="preserve"> spółek akcyjnych zamierzających jako TFI zarządzać SFIO lub FIZ,</w:t>
      </w:r>
      <w:r w:rsidR="0069474D" w:rsidRPr="00D04BA0">
        <w:rPr>
          <w:rFonts w:ascii="Times New Roman" w:hAnsi="Times New Roman" w:cs="Times New Roman"/>
          <w:sz w:val="24"/>
          <w:szCs w:val="24"/>
        </w:rPr>
        <w:t xml:space="preserve"> jak też TFI wykonujących taką działalność </w:t>
      </w:r>
      <w:r w:rsidR="001B40CA" w:rsidRPr="00D04BA0">
        <w:rPr>
          <w:rFonts w:ascii="Times New Roman" w:hAnsi="Times New Roman" w:cs="Times New Roman"/>
          <w:sz w:val="24"/>
          <w:szCs w:val="24"/>
        </w:rPr>
        <w:t xml:space="preserve">– posiadanie zezwolenia na zarządzanie AFI </w:t>
      </w:r>
      <w:r w:rsidR="007103F6" w:rsidRPr="00D04BA0">
        <w:rPr>
          <w:rFonts w:ascii="Times New Roman" w:hAnsi="Times New Roman" w:cs="Times New Roman"/>
          <w:sz w:val="24"/>
          <w:szCs w:val="24"/>
        </w:rPr>
        <w:t xml:space="preserve">będzie </w:t>
      </w:r>
      <w:r w:rsidR="001B40CA" w:rsidRPr="00D04BA0">
        <w:rPr>
          <w:rFonts w:ascii="Times New Roman" w:hAnsi="Times New Roman" w:cs="Times New Roman"/>
          <w:sz w:val="24"/>
          <w:szCs w:val="24"/>
        </w:rPr>
        <w:t>oblig</w:t>
      </w:r>
      <w:r w:rsidR="007103F6" w:rsidRPr="00D04BA0">
        <w:rPr>
          <w:rFonts w:ascii="Times New Roman" w:hAnsi="Times New Roman" w:cs="Times New Roman"/>
          <w:sz w:val="24"/>
          <w:szCs w:val="24"/>
        </w:rPr>
        <w:t>ować</w:t>
      </w:r>
      <w:r w:rsidR="001B40CA" w:rsidRPr="00D04BA0">
        <w:rPr>
          <w:rFonts w:ascii="Times New Roman" w:hAnsi="Times New Roman" w:cs="Times New Roman"/>
          <w:sz w:val="24"/>
          <w:szCs w:val="24"/>
        </w:rPr>
        <w:t xml:space="preserve"> do faktycznego rozpoczęcia działalności w zakresie SFIO, FIZ lub unijnych AFI pod rygorem wygaśnięcia tego zezwolenia.</w:t>
      </w:r>
      <w:r w:rsidR="007103F6" w:rsidRPr="00D04BA0">
        <w:rPr>
          <w:rFonts w:ascii="Times New Roman" w:hAnsi="Times New Roman" w:cs="Times New Roman"/>
          <w:sz w:val="24"/>
          <w:szCs w:val="24"/>
        </w:rPr>
        <w:t xml:space="preserve"> Tymczasem w obecnym stanie prawnym TFI</w:t>
      </w:r>
      <w:r w:rsidR="00C82055" w:rsidRPr="00D04BA0">
        <w:rPr>
          <w:rFonts w:ascii="Times New Roman" w:hAnsi="Times New Roman" w:cs="Times New Roman"/>
          <w:sz w:val="24"/>
          <w:szCs w:val="24"/>
        </w:rPr>
        <w:t xml:space="preserve"> musi utworzyć dowolny fundusz inwestycyjny.</w:t>
      </w:r>
      <w:r w:rsidR="001B40CA" w:rsidRPr="00D04BA0">
        <w:rPr>
          <w:rFonts w:ascii="Times New Roman" w:hAnsi="Times New Roman" w:cs="Times New Roman"/>
          <w:sz w:val="24"/>
          <w:szCs w:val="24"/>
        </w:rPr>
        <w:t xml:space="preserve"> </w:t>
      </w:r>
      <w:r w:rsidR="00164EC3" w:rsidRPr="00D04BA0">
        <w:rPr>
          <w:rFonts w:ascii="Times New Roman" w:hAnsi="Times New Roman" w:cs="Times New Roman"/>
          <w:sz w:val="24"/>
          <w:szCs w:val="24"/>
        </w:rPr>
        <w:t>Nowo</w:t>
      </w:r>
      <w:r w:rsidR="00512C19">
        <w:rPr>
          <w:rFonts w:ascii="Times New Roman" w:hAnsi="Times New Roman" w:cs="Times New Roman"/>
          <w:sz w:val="24"/>
          <w:szCs w:val="24"/>
        </w:rPr>
        <w:t xml:space="preserve"> </w:t>
      </w:r>
      <w:r w:rsidR="00164EC3" w:rsidRPr="00D04BA0">
        <w:rPr>
          <w:rFonts w:ascii="Times New Roman" w:hAnsi="Times New Roman" w:cs="Times New Roman"/>
          <w:sz w:val="24"/>
          <w:szCs w:val="24"/>
        </w:rPr>
        <w:t>wprowadzane rozwiązanie uzasadnione jest wymogami nakłada</w:t>
      </w:r>
      <w:r w:rsidR="00512C19">
        <w:rPr>
          <w:rFonts w:ascii="Times New Roman" w:hAnsi="Times New Roman" w:cs="Times New Roman"/>
          <w:sz w:val="24"/>
          <w:szCs w:val="24"/>
        </w:rPr>
        <w:t>ny</w:t>
      </w:r>
      <w:r w:rsidR="00164EC3" w:rsidRPr="00D04BA0">
        <w:rPr>
          <w:rFonts w:ascii="Times New Roman" w:hAnsi="Times New Roman" w:cs="Times New Roman"/>
          <w:sz w:val="24"/>
          <w:szCs w:val="24"/>
        </w:rPr>
        <w:t>mi przez dyrektywę ZAFI, która jednoznacznie wskazuje, iż zezwolenie na prowadzenie działalności UCITS nie uprawnia automatycznie do zarządzania funduszami AFI. Wręcz przeciwnie, podmiot zainteresowany utworzeniem lub zarządzaniem AFI zobowiązany jest uzyskać odrębne zezwolenie oraz</w:t>
      </w:r>
      <w:r w:rsidR="00512C19">
        <w:rPr>
          <w:rFonts w:ascii="Times New Roman" w:hAnsi="Times New Roman" w:cs="Times New Roman"/>
          <w:sz w:val="24"/>
          <w:szCs w:val="24"/>
        </w:rPr>
        <w:t>,</w:t>
      </w:r>
      <w:r w:rsidR="00164EC3" w:rsidRPr="00D04BA0">
        <w:rPr>
          <w:rFonts w:ascii="Times New Roman" w:hAnsi="Times New Roman" w:cs="Times New Roman"/>
          <w:sz w:val="24"/>
          <w:szCs w:val="24"/>
        </w:rPr>
        <w:t xml:space="preserve"> co więcej, w celu utrzymania takiego zezwolenia, musi permanentnie spełniać warunki jego wydania. W innym przypadku zezwolenie takie zostaje cofnięte.</w:t>
      </w:r>
      <w:r w:rsidR="00C82055" w:rsidRPr="00D04BA0">
        <w:rPr>
          <w:rFonts w:ascii="Times New Roman" w:hAnsi="Times New Roman" w:cs="Times New Roman"/>
          <w:sz w:val="24"/>
          <w:szCs w:val="24"/>
        </w:rPr>
        <w:t xml:space="preserve"> W odniesieniu do TFI prowadzących obecnie działalność projekt wprowadza regulacje przejściowe (art. </w:t>
      </w:r>
      <w:r w:rsidR="00615EF9">
        <w:rPr>
          <w:rFonts w:ascii="Times New Roman" w:hAnsi="Times New Roman" w:cs="Times New Roman"/>
          <w:sz w:val="24"/>
          <w:szCs w:val="24"/>
        </w:rPr>
        <w:t xml:space="preserve">41 i art. </w:t>
      </w:r>
      <w:r w:rsidR="004A0702" w:rsidRPr="00D04BA0">
        <w:rPr>
          <w:rFonts w:ascii="Times New Roman" w:hAnsi="Times New Roman" w:cs="Times New Roman"/>
          <w:sz w:val="24"/>
          <w:szCs w:val="24"/>
        </w:rPr>
        <w:t>42</w:t>
      </w:r>
      <w:r w:rsidR="00C82055" w:rsidRPr="00D04BA0">
        <w:rPr>
          <w:rFonts w:ascii="Times New Roman" w:hAnsi="Times New Roman" w:cs="Times New Roman"/>
          <w:sz w:val="24"/>
          <w:szCs w:val="24"/>
        </w:rPr>
        <w:t xml:space="preserve"> projektu), które </w:t>
      </w:r>
      <w:r w:rsidR="006C5C9B">
        <w:rPr>
          <w:rFonts w:ascii="Times New Roman" w:hAnsi="Times New Roman" w:cs="Times New Roman"/>
          <w:sz w:val="24"/>
          <w:szCs w:val="24"/>
        </w:rPr>
        <w:t xml:space="preserve">m.in. </w:t>
      </w:r>
      <w:r w:rsidR="00C82055" w:rsidRPr="00D04BA0">
        <w:rPr>
          <w:rFonts w:ascii="Times New Roman" w:hAnsi="Times New Roman" w:cs="Times New Roman"/>
          <w:sz w:val="24"/>
          <w:szCs w:val="24"/>
        </w:rPr>
        <w:t xml:space="preserve">przewidują zachowanie dotychczasowego zakresu uzyskanych przez nich zezwoleń i dostosowują do ich sytuacji wymóg rozpoczęcia działalności w zakresie funduszy typu AFI (wprowadzając 12-miesięczny termin na rozpoczęcie tej działalności przez TFI, które chcą utrzymać zezwolenie w tym zakresie, a które prowadzą działalność wyłącznie w zakresie funduszy typu UCITS). Nawet jednak w razie wygaśnięcia tego zezwolenia TFI w każdej chwili będzie mogło wystąpić o jego udzielenie. </w:t>
      </w:r>
    </w:p>
    <w:p w:rsidR="001F492F" w:rsidRPr="00D04BA0" w:rsidRDefault="001F492F" w:rsidP="008266F6">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zakresie działalności dodatkowej TFI wprowadzono, uwzględniając art. 6 ust. 4 dyrektywy ZAFI, możliwość uzyskania przez TFI prowadzące działalność zarządzania AFI, które rozszerzyło zakres swojej działalności o działalność dodatkową zarządzania portfelami, w skład których wchodzi jeden lub większa liczba instrumentów finansowych, dodatkowo</w:t>
      </w:r>
      <w:r w:rsidR="00D04BA0">
        <w:rPr>
          <w:rFonts w:ascii="Times New Roman" w:hAnsi="Times New Roman" w:cs="Times New Roman"/>
          <w:sz w:val="24"/>
          <w:szCs w:val="24"/>
        </w:rPr>
        <w:t xml:space="preserve"> </w:t>
      </w:r>
      <w:r w:rsidR="006E2699" w:rsidRPr="00D04BA0">
        <w:rPr>
          <w:rFonts w:ascii="Times New Roman" w:hAnsi="Times New Roman" w:cs="Times New Roman"/>
          <w:sz w:val="24"/>
          <w:szCs w:val="24"/>
        </w:rPr>
        <w:t xml:space="preserve">o </w:t>
      </w:r>
      <w:r w:rsidRPr="00D04BA0">
        <w:rPr>
          <w:rFonts w:ascii="Times New Roman" w:hAnsi="Times New Roman" w:cs="Times New Roman"/>
          <w:sz w:val="24"/>
          <w:szCs w:val="24"/>
        </w:rPr>
        <w:t>zezwoleni</w:t>
      </w:r>
      <w:r w:rsidR="006E2699" w:rsidRPr="00D04BA0">
        <w:rPr>
          <w:rFonts w:ascii="Times New Roman" w:hAnsi="Times New Roman" w:cs="Times New Roman"/>
          <w:sz w:val="24"/>
          <w:szCs w:val="24"/>
        </w:rPr>
        <w:t>e</w:t>
      </w:r>
      <w:r w:rsidRPr="00D04BA0">
        <w:rPr>
          <w:rFonts w:ascii="Times New Roman" w:hAnsi="Times New Roman" w:cs="Times New Roman"/>
          <w:sz w:val="24"/>
          <w:szCs w:val="24"/>
        </w:rPr>
        <w:t xml:space="preserve"> na przyjmowanie i przekazywanie zleceń nabycia lub zbycia instrumentów finansowych.</w:t>
      </w:r>
      <w:r w:rsidR="00611FE3" w:rsidRPr="00D04BA0">
        <w:rPr>
          <w:rFonts w:ascii="Times New Roman" w:hAnsi="Times New Roman" w:cs="Times New Roman"/>
          <w:sz w:val="24"/>
          <w:szCs w:val="24"/>
        </w:rPr>
        <w:t xml:space="preserve"> W konsekwencji, uwzględniając ścisły związek tych rodzajów działalności,</w:t>
      </w:r>
      <w:r w:rsidR="00D04BA0">
        <w:rPr>
          <w:rFonts w:ascii="Times New Roman" w:hAnsi="Times New Roman" w:cs="Times New Roman"/>
          <w:sz w:val="24"/>
          <w:szCs w:val="24"/>
        </w:rPr>
        <w:t xml:space="preserve"> </w:t>
      </w:r>
      <w:r w:rsidR="00547987" w:rsidRPr="00D04BA0">
        <w:rPr>
          <w:rFonts w:ascii="Times New Roman" w:hAnsi="Times New Roman" w:cs="Times New Roman"/>
          <w:sz w:val="24"/>
          <w:szCs w:val="24"/>
        </w:rPr>
        <w:t xml:space="preserve">w projekcie zaproponowano uregulowanie warunków wykonywania działalności przyjmowania i przekazywania </w:t>
      </w:r>
      <w:r w:rsidR="006C5C9B">
        <w:rPr>
          <w:rFonts w:ascii="Times New Roman" w:hAnsi="Times New Roman" w:cs="Times New Roman"/>
          <w:sz w:val="24"/>
          <w:szCs w:val="24"/>
        </w:rPr>
        <w:t xml:space="preserve">takich </w:t>
      </w:r>
      <w:r w:rsidR="00547987" w:rsidRPr="00D04BA0">
        <w:rPr>
          <w:rFonts w:ascii="Times New Roman" w:hAnsi="Times New Roman" w:cs="Times New Roman"/>
          <w:sz w:val="24"/>
          <w:szCs w:val="24"/>
        </w:rPr>
        <w:t xml:space="preserve">zleceń, </w:t>
      </w:r>
      <w:r w:rsidR="006C5C9B">
        <w:rPr>
          <w:rFonts w:ascii="Times New Roman" w:hAnsi="Times New Roman" w:cs="Times New Roman"/>
          <w:sz w:val="24"/>
          <w:szCs w:val="24"/>
        </w:rPr>
        <w:lastRenderedPageBreak/>
        <w:t xml:space="preserve">oraz </w:t>
      </w:r>
      <w:r w:rsidR="00547987" w:rsidRPr="00D04BA0">
        <w:rPr>
          <w:rFonts w:ascii="Times New Roman" w:hAnsi="Times New Roman" w:cs="Times New Roman"/>
          <w:sz w:val="24"/>
          <w:szCs w:val="24"/>
        </w:rPr>
        <w:t>uzyskiwania, wygaśnięcia i cof</w:t>
      </w:r>
      <w:r w:rsidR="00A42A65" w:rsidRPr="00D04BA0">
        <w:rPr>
          <w:rFonts w:ascii="Times New Roman" w:hAnsi="Times New Roman" w:cs="Times New Roman"/>
          <w:sz w:val="24"/>
          <w:szCs w:val="24"/>
        </w:rPr>
        <w:t>nięcia zezwolenia</w:t>
      </w:r>
      <w:r w:rsidR="00D04BA0">
        <w:rPr>
          <w:rFonts w:ascii="Times New Roman" w:hAnsi="Times New Roman" w:cs="Times New Roman"/>
          <w:sz w:val="24"/>
          <w:szCs w:val="24"/>
        </w:rPr>
        <w:t xml:space="preserve"> </w:t>
      </w:r>
      <w:r w:rsidR="00A42A65" w:rsidRPr="00D04BA0">
        <w:rPr>
          <w:rFonts w:ascii="Times New Roman" w:hAnsi="Times New Roman" w:cs="Times New Roman"/>
          <w:sz w:val="24"/>
          <w:szCs w:val="24"/>
        </w:rPr>
        <w:t>w tym zakresie w sposób analogiczny do uregulowań odnoszących się do wykonywania działalności zarządzania portfelami, w skład których wchodzi jeden lub większa liczba instrumentów finansowych, oraz doradztwa inwestycyjnego.</w:t>
      </w:r>
      <w:r w:rsidR="00D04BA0">
        <w:rPr>
          <w:rFonts w:ascii="Times New Roman" w:hAnsi="Times New Roman" w:cs="Times New Roman"/>
          <w:sz w:val="24"/>
          <w:szCs w:val="24"/>
        </w:rPr>
        <w:t xml:space="preserve"> </w:t>
      </w:r>
    </w:p>
    <w:p w:rsidR="00D62A4D" w:rsidRPr="00D04BA0" w:rsidRDefault="001F492F" w:rsidP="008266F6">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Z uwagi na zwiększenie liczby zezwoleń udzielanych TFI, w</w:t>
      </w:r>
      <w:r w:rsidR="00110A56" w:rsidRPr="00D04BA0">
        <w:rPr>
          <w:rFonts w:ascii="Times New Roman" w:hAnsi="Times New Roman" w:cs="Times New Roman"/>
          <w:sz w:val="24"/>
          <w:szCs w:val="24"/>
        </w:rPr>
        <w:t xml:space="preserve"> projekcie proponuje się również</w:t>
      </w:r>
      <w:r w:rsidR="001B40CA" w:rsidRPr="00D04BA0">
        <w:rPr>
          <w:rFonts w:ascii="Times New Roman" w:hAnsi="Times New Roman" w:cs="Times New Roman"/>
          <w:sz w:val="24"/>
          <w:szCs w:val="24"/>
        </w:rPr>
        <w:t xml:space="preserve"> uporządkowanie</w:t>
      </w:r>
      <w:r w:rsidR="00110A56" w:rsidRP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przepisów określających </w:t>
      </w:r>
      <w:r w:rsidR="00110A56" w:rsidRPr="00D04BA0">
        <w:rPr>
          <w:rFonts w:ascii="Times New Roman" w:hAnsi="Times New Roman" w:cs="Times New Roman"/>
          <w:sz w:val="24"/>
          <w:szCs w:val="24"/>
        </w:rPr>
        <w:t>procedury udzielania zezwoleń</w:t>
      </w:r>
      <w:r w:rsidR="001B40CA" w:rsidRPr="00D04BA0">
        <w:rPr>
          <w:rFonts w:ascii="Times New Roman" w:hAnsi="Times New Roman" w:cs="Times New Roman"/>
          <w:sz w:val="24"/>
          <w:szCs w:val="24"/>
        </w:rPr>
        <w:t xml:space="preserve"> i </w:t>
      </w:r>
      <w:r w:rsidR="00B45D65" w:rsidRPr="00D04BA0">
        <w:rPr>
          <w:rFonts w:ascii="Times New Roman" w:hAnsi="Times New Roman" w:cs="Times New Roman"/>
          <w:sz w:val="24"/>
          <w:szCs w:val="24"/>
        </w:rPr>
        <w:t>ich</w:t>
      </w:r>
      <w:r w:rsidR="00110A56" w:rsidRPr="00D04BA0">
        <w:rPr>
          <w:rFonts w:ascii="Times New Roman" w:hAnsi="Times New Roman" w:cs="Times New Roman"/>
          <w:sz w:val="24"/>
          <w:szCs w:val="24"/>
        </w:rPr>
        <w:t xml:space="preserve"> </w:t>
      </w:r>
      <w:r w:rsidR="001B40CA" w:rsidRPr="00D04BA0">
        <w:rPr>
          <w:rFonts w:ascii="Times New Roman" w:hAnsi="Times New Roman" w:cs="Times New Roman"/>
          <w:sz w:val="24"/>
          <w:szCs w:val="24"/>
        </w:rPr>
        <w:t xml:space="preserve">dostosowanie, </w:t>
      </w:r>
      <w:r w:rsidR="00110A56" w:rsidRPr="00D04BA0">
        <w:rPr>
          <w:rFonts w:ascii="Times New Roman" w:hAnsi="Times New Roman" w:cs="Times New Roman"/>
          <w:sz w:val="24"/>
          <w:szCs w:val="24"/>
        </w:rPr>
        <w:t>w szczególności</w:t>
      </w:r>
      <w:r w:rsidR="00B45D65" w:rsidRPr="00D04BA0">
        <w:rPr>
          <w:rFonts w:ascii="Times New Roman" w:hAnsi="Times New Roman" w:cs="Times New Roman"/>
          <w:sz w:val="24"/>
          <w:szCs w:val="24"/>
        </w:rPr>
        <w:t xml:space="preserve"> co do</w:t>
      </w:r>
      <w:r w:rsidR="00110A56" w:rsidRPr="00D04BA0">
        <w:rPr>
          <w:rFonts w:ascii="Times New Roman" w:hAnsi="Times New Roman" w:cs="Times New Roman"/>
          <w:sz w:val="24"/>
          <w:szCs w:val="24"/>
        </w:rPr>
        <w:t xml:space="preserve"> zakresu przedstawianych</w:t>
      </w:r>
      <w:r w:rsidR="004C7C0D" w:rsidRPr="00D04BA0">
        <w:rPr>
          <w:rFonts w:ascii="Times New Roman" w:hAnsi="Times New Roman" w:cs="Times New Roman"/>
          <w:sz w:val="24"/>
          <w:szCs w:val="24"/>
        </w:rPr>
        <w:t xml:space="preserve"> we wniosk</w:t>
      </w:r>
      <w:r w:rsidR="00B45D65" w:rsidRPr="00D04BA0">
        <w:rPr>
          <w:rFonts w:ascii="Times New Roman" w:hAnsi="Times New Roman" w:cs="Times New Roman"/>
          <w:sz w:val="24"/>
          <w:szCs w:val="24"/>
        </w:rPr>
        <w:t>ach</w:t>
      </w:r>
      <w:r w:rsidR="004C7C0D" w:rsidRPr="00D04BA0">
        <w:rPr>
          <w:rFonts w:ascii="Times New Roman" w:hAnsi="Times New Roman" w:cs="Times New Roman"/>
          <w:sz w:val="24"/>
          <w:szCs w:val="24"/>
        </w:rPr>
        <w:t xml:space="preserve"> informacji </w:t>
      </w:r>
      <w:r w:rsidR="001B40CA" w:rsidRPr="00D04BA0">
        <w:rPr>
          <w:rFonts w:ascii="Times New Roman" w:hAnsi="Times New Roman" w:cs="Times New Roman"/>
          <w:sz w:val="24"/>
          <w:szCs w:val="24"/>
        </w:rPr>
        <w:t>oraz</w:t>
      </w:r>
      <w:r w:rsidR="004C7C0D" w:rsidRPr="00D04BA0">
        <w:rPr>
          <w:rFonts w:ascii="Times New Roman" w:hAnsi="Times New Roman" w:cs="Times New Roman"/>
          <w:sz w:val="24"/>
          <w:szCs w:val="24"/>
        </w:rPr>
        <w:t xml:space="preserve"> dołączanych</w:t>
      </w:r>
      <w:r w:rsidR="00110A56" w:rsidRPr="00D04BA0">
        <w:rPr>
          <w:rFonts w:ascii="Times New Roman" w:hAnsi="Times New Roman" w:cs="Times New Roman"/>
          <w:sz w:val="24"/>
          <w:szCs w:val="24"/>
        </w:rPr>
        <w:t xml:space="preserve"> </w:t>
      </w:r>
      <w:r w:rsidR="004C7C0D" w:rsidRPr="00D04BA0">
        <w:rPr>
          <w:rFonts w:ascii="Times New Roman" w:hAnsi="Times New Roman" w:cs="Times New Roman"/>
          <w:sz w:val="24"/>
          <w:szCs w:val="24"/>
        </w:rPr>
        <w:t xml:space="preserve">dokumentów, do wprowadzanych zgodnie z dyrektywą ZAFI wymagań, jakie muszą spełniać podmioty prowadzące działalność zarządzania AFI. </w:t>
      </w:r>
      <w:r w:rsidR="00B45D65" w:rsidRPr="00D04BA0">
        <w:rPr>
          <w:rFonts w:ascii="Times New Roman" w:hAnsi="Times New Roman" w:cs="Times New Roman"/>
          <w:sz w:val="24"/>
          <w:szCs w:val="24"/>
        </w:rPr>
        <w:t>Uwzględniając możliwość składania równocześnie kilku wniosków oraz składania wniosków przez już działające TFI, p</w:t>
      </w:r>
      <w:r w:rsidR="00C31B3F" w:rsidRPr="00D04BA0">
        <w:rPr>
          <w:rFonts w:ascii="Times New Roman" w:hAnsi="Times New Roman" w:cs="Times New Roman"/>
          <w:sz w:val="24"/>
          <w:szCs w:val="24"/>
        </w:rPr>
        <w:t xml:space="preserve">rojekt </w:t>
      </w:r>
      <w:r w:rsidR="00B45D65" w:rsidRPr="00D04BA0">
        <w:rPr>
          <w:rFonts w:ascii="Times New Roman" w:hAnsi="Times New Roman" w:cs="Times New Roman"/>
          <w:sz w:val="24"/>
          <w:szCs w:val="24"/>
        </w:rPr>
        <w:t>przewiduje uproszczenia</w:t>
      </w:r>
      <w:r w:rsidR="00D62A4D" w:rsidRPr="00D04BA0">
        <w:rPr>
          <w:rFonts w:ascii="Times New Roman" w:hAnsi="Times New Roman" w:cs="Times New Roman"/>
          <w:sz w:val="24"/>
          <w:szCs w:val="24"/>
        </w:rPr>
        <w:t xml:space="preserve"> proceduralne dla TFI występujących o udzielenie zezwolenia na </w:t>
      </w:r>
      <w:r w:rsidR="00227E56" w:rsidRPr="00D04BA0">
        <w:rPr>
          <w:rFonts w:ascii="Times New Roman" w:hAnsi="Times New Roman" w:cs="Times New Roman"/>
          <w:sz w:val="24"/>
          <w:szCs w:val="24"/>
        </w:rPr>
        <w:t xml:space="preserve">zarządzanie </w:t>
      </w:r>
      <w:r w:rsidR="00D62A4D" w:rsidRPr="00D04BA0">
        <w:rPr>
          <w:rFonts w:ascii="Times New Roman" w:hAnsi="Times New Roman" w:cs="Times New Roman"/>
          <w:sz w:val="24"/>
          <w:szCs w:val="24"/>
        </w:rPr>
        <w:t>AFI</w:t>
      </w:r>
      <w:r w:rsidR="00227E56" w:rsidRPr="00D04BA0">
        <w:rPr>
          <w:rFonts w:ascii="Times New Roman" w:hAnsi="Times New Roman" w:cs="Times New Roman"/>
          <w:sz w:val="24"/>
          <w:szCs w:val="24"/>
        </w:rPr>
        <w:t xml:space="preserve"> (</w:t>
      </w:r>
      <w:r w:rsidR="00B45D65" w:rsidRPr="00D04BA0">
        <w:rPr>
          <w:rFonts w:ascii="Times New Roman" w:hAnsi="Times New Roman" w:cs="Times New Roman"/>
          <w:sz w:val="24"/>
          <w:szCs w:val="24"/>
        </w:rPr>
        <w:t>art</w:t>
      </w:r>
      <w:r w:rsidR="00227E56" w:rsidRPr="00D04BA0">
        <w:rPr>
          <w:rFonts w:ascii="Times New Roman" w:hAnsi="Times New Roman" w:cs="Times New Roman"/>
          <w:sz w:val="24"/>
          <w:szCs w:val="24"/>
        </w:rPr>
        <w:t>.</w:t>
      </w:r>
      <w:r w:rsidR="00B45D65" w:rsidRPr="00D04BA0">
        <w:rPr>
          <w:rFonts w:ascii="Times New Roman" w:hAnsi="Times New Roman" w:cs="Times New Roman"/>
          <w:sz w:val="24"/>
          <w:szCs w:val="24"/>
        </w:rPr>
        <w:t xml:space="preserve"> 58a i art. 59a</w:t>
      </w:r>
      <w:r w:rsidR="00227E56" w:rsidRPr="00D04BA0">
        <w:rPr>
          <w:rFonts w:ascii="Times New Roman" w:hAnsi="Times New Roman" w:cs="Times New Roman"/>
          <w:sz w:val="24"/>
          <w:szCs w:val="24"/>
        </w:rPr>
        <w:t xml:space="preserve"> ustawy o funduszach inwestycyjnych)</w:t>
      </w:r>
      <w:r w:rsidR="00D62A4D" w:rsidRPr="00D04BA0">
        <w:rPr>
          <w:rFonts w:ascii="Times New Roman" w:hAnsi="Times New Roman" w:cs="Times New Roman"/>
          <w:sz w:val="24"/>
          <w:szCs w:val="24"/>
        </w:rPr>
        <w:t xml:space="preserve">. </w:t>
      </w:r>
      <w:r w:rsidR="00B45D65" w:rsidRPr="00D04BA0">
        <w:rPr>
          <w:rFonts w:ascii="Times New Roman" w:hAnsi="Times New Roman" w:cs="Times New Roman"/>
          <w:sz w:val="24"/>
          <w:szCs w:val="24"/>
        </w:rPr>
        <w:t xml:space="preserve">Polegają one na </w:t>
      </w:r>
      <w:r w:rsidR="00D62A4D" w:rsidRPr="00D04BA0">
        <w:rPr>
          <w:rFonts w:ascii="Times New Roman" w:hAnsi="Times New Roman" w:cs="Times New Roman"/>
          <w:sz w:val="24"/>
          <w:szCs w:val="24"/>
        </w:rPr>
        <w:t>zwolni</w:t>
      </w:r>
      <w:r w:rsidR="00B45D65" w:rsidRPr="00D04BA0">
        <w:rPr>
          <w:rFonts w:ascii="Times New Roman" w:hAnsi="Times New Roman" w:cs="Times New Roman"/>
          <w:sz w:val="24"/>
          <w:szCs w:val="24"/>
        </w:rPr>
        <w:t>eniu TFI</w:t>
      </w:r>
      <w:r w:rsidR="00D62A4D" w:rsidRPr="00D04BA0">
        <w:rPr>
          <w:rFonts w:ascii="Times New Roman" w:hAnsi="Times New Roman" w:cs="Times New Roman"/>
          <w:sz w:val="24"/>
          <w:szCs w:val="24"/>
        </w:rPr>
        <w:t xml:space="preserve"> z obowiązku dostarczania dokumentó</w:t>
      </w:r>
      <w:r w:rsidR="00227E56" w:rsidRPr="00D04BA0">
        <w:rPr>
          <w:rFonts w:ascii="Times New Roman" w:hAnsi="Times New Roman" w:cs="Times New Roman"/>
          <w:sz w:val="24"/>
          <w:szCs w:val="24"/>
        </w:rPr>
        <w:t>w, które wcześniej złożyło</w:t>
      </w:r>
      <w:r w:rsidR="00D62A4D" w:rsidRPr="00D04BA0">
        <w:rPr>
          <w:rFonts w:ascii="Times New Roman" w:hAnsi="Times New Roman" w:cs="Times New Roman"/>
          <w:sz w:val="24"/>
          <w:szCs w:val="24"/>
        </w:rPr>
        <w:t xml:space="preserve"> w związku z uzyskaniem zezwolenia na wykonywanie działalności </w:t>
      </w:r>
      <w:r w:rsidR="00B45D65" w:rsidRPr="00D04BA0">
        <w:rPr>
          <w:rFonts w:ascii="Times New Roman" w:hAnsi="Times New Roman" w:cs="Times New Roman"/>
          <w:sz w:val="24"/>
          <w:szCs w:val="24"/>
        </w:rPr>
        <w:t xml:space="preserve">przez </w:t>
      </w:r>
      <w:r w:rsidR="00227E56" w:rsidRPr="00D04BA0">
        <w:rPr>
          <w:rFonts w:ascii="Times New Roman" w:hAnsi="Times New Roman" w:cs="Times New Roman"/>
          <w:sz w:val="24"/>
          <w:szCs w:val="24"/>
        </w:rPr>
        <w:t>towarzystw</w:t>
      </w:r>
      <w:r w:rsidR="00B45D65" w:rsidRPr="00D04BA0">
        <w:rPr>
          <w:rFonts w:ascii="Times New Roman" w:hAnsi="Times New Roman" w:cs="Times New Roman"/>
          <w:sz w:val="24"/>
          <w:szCs w:val="24"/>
        </w:rPr>
        <w:t>o</w:t>
      </w:r>
      <w:r w:rsidR="00D62A4D" w:rsidRPr="00D04BA0">
        <w:rPr>
          <w:rFonts w:ascii="Times New Roman" w:hAnsi="Times New Roman" w:cs="Times New Roman"/>
          <w:sz w:val="24"/>
          <w:szCs w:val="24"/>
        </w:rPr>
        <w:t xml:space="preserve"> lub w czasie wykonywania tej działalności, o ile dokumenty te pozostają nadal aktualne. W tym zakresie TFI powinno złożyć oświadczenie o aktualności tych dokumentów. Rozwiązanie takie nie wpłynie negatywnie na proces rozpatrywania wniosków, a jednocześnie zwolni TFI z obowiązku przedkładania dokumentacji, która i tak znajduje się w dyspozycji K</w:t>
      </w:r>
      <w:r w:rsidR="00227E56" w:rsidRPr="00D04BA0">
        <w:rPr>
          <w:rFonts w:ascii="Times New Roman" w:hAnsi="Times New Roman" w:cs="Times New Roman"/>
          <w:sz w:val="24"/>
          <w:szCs w:val="24"/>
        </w:rPr>
        <w:t>NF</w:t>
      </w:r>
      <w:r w:rsidR="00D62A4D" w:rsidRPr="00D04BA0">
        <w:rPr>
          <w:rFonts w:ascii="Times New Roman" w:hAnsi="Times New Roman" w:cs="Times New Roman"/>
          <w:sz w:val="24"/>
          <w:szCs w:val="24"/>
        </w:rPr>
        <w:t xml:space="preserve">. W postępowaniu o udzielenie TFI zezwolenia na </w:t>
      </w:r>
      <w:r w:rsidR="00227E56" w:rsidRPr="00D04BA0">
        <w:rPr>
          <w:rFonts w:ascii="Times New Roman" w:hAnsi="Times New Roman" w:cs="Times New Roman"/>
          <w:sz w:val="24"/>
          <w:szCs w:val="24"/>
        </w:rPr>
        <w:t>zarządzanie</w:t>
      </w:r>
      <w:r w:rsidR="00D62A4D" w:rsidRPr="00D04BA0">
        <w:rPr>
          <w:rFonts w:ascii="Times New Roman" w:hAnsi="Times New Roman" w:cs="Times New Roman"/>
          <w:sz w:val="24"/>
          <w:szCs w:val="24"/>
        </w:rPr>
        <w:t xml:space="preserve"> AFI będą</w:t>
      </w:r>
      <w:r w:rsidR="00227E56" w:rsidRPr="00D04BA0">
        <w:rPr>
          <w:rFonts w:ascii="Times New Roman" w:hAnsi="Times New Roman" w:cs="Times New Roman"/>
          <w:sz w:val="24"/>
          <w:szCs w:val="24"/>
        </w:rPr>
        <w:t xml:space="preserve"> więc</w:t>
      </w:r>
      <w:r w:rsidR="00D62A4D" w:rsidRPr="00D04BA0">
        <w:rPr>
          <w:rFonts w:ascii="Times New Roman" w:hAnsi="Times New Roman" w:cs="Times New Roman"/>
          <w:sz w:val="24"/>
          <w:szCs w:val="24"/>
        </w:rPr>
        <w:t xml:space="preserve"> oceniane zarówno te elementy, które są w zbiorach informacyjnych K</w:t>
      </w:r>
      <w:r w:rsidR="00227E56" w:rsidRPr="00D04BA0">
        <w:rPr>
          <w:rFonts w:ascii="Times New Roman" w:hAnsi="Times New Roman" w:cs="Times New Roman"/>
          <w:sz w:val="24"/>
          <w:szCs w:val="24"/>
        </w:rPr>
        <w:t>NF</w:t>
      </w:r>
      <w:r w:rsidR="00D62A4D" w:rsidRPr="00D04BA0">
        <w:rPr>
          <w:rFonts w:ascii="Times New Roman" w:hAnsi="Times New Roman" w:cs="Times New Roman"/>
          <w:sz w:val="24"/>
          <w:szCs w:val="24"/>
        </w:rPr>
        <w:t xml:space="preserve"> w związku</w:t>
      </w:r>
      <w:r w:rsidR="00D04BA0">
        <w:rPr>
          <w:rFonts w:ascii="Times New Roman" w:hAnsi="Times New Roman" w:cs="Times New Roman"/>
          <w:sz w:val="24"/>
          <w:szCs w:val="24"/>
        </w:rPr>
        <w:t xml:space="preserve"> </w:t>
      </w:r>
      <w:r w:rsidR="00D62A4D" w:rsidRPr="00D04BA0">
        <w:rPr>
          <w:rFonts w:ascii="Times New Roman" w:hAnsi="Times New Roman" w:cs="Times New Roman"/>
          <w:sz w:val="24"/>
          <w:szCs w:val="24"/>
        </w:rPr>
        <w:t xml:space="preserve">z dotychczasową działalnością TFI oraz te, które są po raz pierwszy przekazywane w związku z wnioskiem TFI o udzielenie zezwolenia na </w:t>
      </w:r>
      <w:r w:rsidR="00227E56" w:rsidRPr="00D04BA0">
        <w:rPr>
          <w:rFonts w:ascii="Times New Roman" w:hAnsi="Times New Roman" w:cs="Times New Roman"/>
          <w:sz w:val="24"/>
          <w:szCs w:val="24"/>
        </w:rPr>
        <w:t>zarządzanie</w:t>
      </w:r>
      <w:r w:rsidR="00D62A4D" w:rsidRPr="00D04BA0">
        <w:rPr>
          <w:rFonts w:ascii="Times New Roman" w:hAnsi="Times New Roman" w:cs="Times New Roman"/>
          <w:sz w:val="24"/>
          <w:szCs w:val="24"/>
        </w:rPr>
        <w:t xml:space="preserve"> AFI. Zaprezentowane rozwiązanie</w:t>
      </w:r>
      <w:r w:rsidR="00227E56" w:rsidRPr="00D04BA0">
        <w:rPr>
          <w:rFonts w:ascii="Times New Roman" w:hAnsi="Times New Roman" w:cs="Times New Roman"/>
          <w:sz w:val="24"/>
          <w:szCs w:val="24"/>
        </w:rPr>
        <w:t xml:space="preserve"> </w:t>
      </w:r>
      <w:r w:rsidR="00D62A4D" w:rsidRPr="00D04BA0">
        <w:rPr>
          <w:rFonts w:ascii="Times New Roman" w:hAnsi="Times New Roman" w:cs="Times New Roman"/>
          <w:sz w:val="24"/>
          <w:szCs w:val="24"/>
        </w:rPr>
        <w:t>jest zgodne z art. 7 ust. 4 dyrektywy</w:t>
      </w:r>
      <w:r w:rsidR="00227E56" w:rsidRPr="00D04BA0">
        <w:rPr>
          <w:rFonts w:ascii="Times New Roman" w:hAnsi="Times New Roman" w:cs="Times New Roman"/>
          <w:sz w:val="24"/>
          <w:szCs w:val="24"/>
        </w:rPr>
        <w:t xml:space="preserve"> ZAFI</w:t>
      </w:r>
      <w:r w:rsidR="00D62A4D" w:rsidRPr="00FB5E40">
        <w:rPr>
          <w:rFonts w:ascii="Times New Roman" w:hAnsi="Times New Roman" w:cs="Times New Roman"/>
          <w:sz w:val="24"/>
          <w:szCs w:val="24"/>
        </w:rPr>
        <w:t>.</w:t>
      </w:r>
    </w:p>
    <w:p w:rsidR="00D62A4D" w:rsidRPr="00D04BA0" w:rsidRDefault="00A8310B" w:rsidP="008266F6">
      <w:pPr>
        <w:spacing w:before="120" w:after="0" w:line="360" w:lineRule="auto"/>
        <w:jc w:val="both"/>
        <w:rPr>
          <w:rFonts w:ascii="Times New Roman" w:hAnsi="Times New Roman" w:cs="Times New Roman"/>
          <w:sz w:val="24"/>
          <w:szCs w:val="24"/>
          <w:u w:val="single"/>
        </w:rPr>
      </w:pPr>
      <w:r w:rsidRPr="00D04BA0">
        <w:rPr>
          <w:rFonts w:ascii="Times New Roman" w:hAnsi="Times New Roman" w:cs="Times New Roman"/>
          <w:sz w:val="24"/>
          <w:szCs w:val="24"/>
        </w:rPr>
        <w:t>Dostosowaniu do zmian zakresu udzielanych zezwoleń uległy także przepisy regulujące kwestie wygaśnięcia i cofania zezwoleń. Nową instytucją j</w:t>
      </w:r>
      <w:r w:rsidR="000634F0">
        <w:rPr>
          <w:rFonts w:ascii="Times New Roman" w:hAnsi="Times New Roman" w:cs="Times New Roman"/>
          <w:sz w:val="24"/>
          <w:szCs w:val="24"/>
        </w:rPr>
        <w:t>est natomiast wynikająca z art.</w:t>
      </w:r>
      <w:r w:rsidR="00D14EF5">
        <w:rPr>
          <w:rFonts w:ascii="Times New Roman" w:hAnsi="Times New Roman" w:cs="Times New Roman"/>
          <w:sz w:val="24"/>
          <w:szCs w:val="24"/>
        </w:rPr>
        <w:t xml:space="preserve"> </w:t>
      </w:r>
      <w:r w:rsidRPr="00D04BA0">
        <w:rPr>
          <w:rFonts w:ascii="Times New Roman" w:hAnsi="Times New Roman" w:cs="Times New Roman"/>
          <w:sz w:val="24"/>
          <w:szCs w:val="24"/>
        </w:rPr>
        <w:t>10 dyrektywy ZAFI instytucja powiadamiania KNF o planowanych istotnych zmianach warunków wykonywania działalności przez TFI określonych w jego dokumentach założycielskich i innych dokumentach, które były przedstawione KNF na etapie uzyskania zezwolenia na zarządzanie AFI (art. 61b ustawy o funduszach inwestycyjnych). Przyznane KNF prawo sprzeciwu wobec planowanej zmiany ma na celu zapobieżenie zmianom, które – w razie ich wprowadzenia</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mogłyby prowadzić do cofnięcia zezwolenia</w:t>
      </w:r>
      <w:r w:rsidR="00A55DD9" w:rsidRPr="00D04BA0">
        <w:rPr>
          <w:rFonts w:ascii="Times New Roman" w:hAnsi="Times New Roman" w:cs="Times New Roman"/>
          <w:sz w:val="24"/>
          <w:szCs w:val="24"/>
        </w:rPr>
        <w:t xml:space="preserve">, jak też zapobieżenie dokonywaniu w tym trybie zmiany </w:t>
      </w:r>
      <w:r w:rsidR="00A55DD9" w:rsidRPr="00D04BA0">
        <w:rPr>
          <w:rFonts w:ascii="Times New Roman" w:hAnsi="Times New Roman" w:cs="Times New Roman"/>
          <w:sz w:val="24"/>
          <w:szCs w:val="24"/>
        </w:rPr>
        <w:lastRenderedPageBreak/>
        <w:t xml:space="preserve">zezwolenia. Wobec utrzymania wymogu uzyskania odrębnego zezwolenia na utworzenie funduszu, powyższy tryb notyfikacyjny zmodyfikowano w odniesieniu do zmian związanych z zamiarem utworzenia takiego nowego funduszu. Tryb ten nie obejmuje całości zmian, jakie w praktyce mogą nastąpić w działalności TFI – dla części takich zmian przewidziany jest odrębny tryb informowania o zmianach (np. o zmianach w składzie zarządu i rady nadzorczej, w strukturze akcjonariatu czy zakresie czynności powierzanych do wykonania innym podmiotom). </w:t>
      </w:r>
      <w:r w:rsidR="000768C9" w:rsidRPr="00D04BA0">
        <w:rPr>
          <w:rFonts w:ascii="Times New Roman" w:hAnsi="Times New Roman" w:cs="Times New Roman"/>
          <w:sz w:val="24"/>
          <w:szCs w:val="24"/>
        </w:rPr>
        <w:t>Przyjęte rozwiązanie wynika z faktu, iż działalność TFI regulowana będzie zarówno przepisami dyrektywy ZAFI</w:t>
      </w:r>
      <w:r w:rsidR="001A2EA7">
        <w:rPr>
          <w:rFonts w:ascii="Times New Roman" w:hAnsi="Times New Roman" w:cs="Times New Roman"/>
          <w:sz w:val="24"/>
          <w:szCs w:val="24"/>
        </w:rPr>
        <w:t>,</w:t>
      </w:r>
      <w:r w:rsidR="000768C9" w:rsidRPr="00D04BA0">
        <w:rPr>
          <w:rFonts w:ascii="Times New Roman" w:hAnsi="Times New Roman" w:cs="Times New Roman"/>
          <w:sz w:val="24"/>
          <w:szCs w:val="24"/>
        </w:rPr>
        <w:t xml:space="preserve"> jak i UCITS</w:t>
      </w:r>
      <w:r w:rsidR="006666DF" w:rsidRPr="00D04BA0">
        <w:rPr>
          <w:rFonts w:ascii="Times New Roman" w:hAnsi="Times New Roman" w:cs="Times New Roman"/>
          <w:sz w:val="24"/>
          <w:szCs w:val="24"/>
        </w:rPr>
        <w:t>, z tym jednak zastrzeżeniem,</w:t>
      </w:r>
      <w:r w:rsidR="000768C9" w:rsidRPr="00D04BA0">
        <w:rPr>
          <w:rFonts w:ascii="Times New Roman" w:hAnsi="Times New Roman" w:cs="Times New Roman"/>
          <w:sz w:val="24"/>
          <w:szCs w:val="24"/>
        </w:rPr>
        <w:t xml:space="preserve"> iż </w:t>
      </w:r>
      <w:r w:rsidR="006666DF" w:rsidRPr="00D04BA0">
        <w:rPr>
          <w:rFonts w:ascii="Times New Roman" w:hAnsi="Times New Roman" w:cs="Times New Roman"/>
          <w:sz w:val="24"/>
          <w:szCs w:val="24"/>
        </w:rPr>
        <w:t>zezwolenie na wykonywanie działalności przez towarzystwo będzie zezwoleniem „podstawowym”. Mając zatem na uwadze, że zezwolenie podstawowe oparte jest na przepisach dyrektywy UCITS</w:t>
      </w:r>
      <w:r w:rsidR="008470AD">
        <w:rPr>
          <w:rFonts w:ascii="Times New Roman" w:hAnsi="Times New Roman" w:cs="Times New Roman"/>
          <w:sz w:val="24"/>
          <w:szCs w:val="24"/>
        </w:rPr>
        <w:t>,</w:t>
      </w:r>
      <w:r w:rsidR="006666DF" w:rsidRPr="00D04BA0">
        <w:rPr>
          <w:rFonts w:ascii="Times New Roman" w:hAnsi="Times New Roman" w:cs="Times New Roman"/>
          <w:sz w:val="24"/>
          <w:szCs w:val="24"/>
        </w:rPr>
        <w:t xml:space="preserve"> </w:t>
      </w:r>
      <w:r w:rsidR="000768C9" w:rsidRPr="00D04BA0">
        <w:rPr>
          <w:rFonts w:ascii="Times New Roman" w:hAnsi="Times New Roman" w:cs="Times New Roman"/>
          <w:sz w:val="24"/>
          <w:szCs w:val="24"/>
        </w:rPr>
        <w:t>zasadn</w:t>
      </w:r>
      <w:r w:rsidR="001A2EA7">
        <w:rPr>
          <w:rFonts w:ascii="Times New Roman" w:hAnsi="Times New Roman" w:cs="Times New Roman"/>
          <w:sz w:val="24"/>
          <w:szCs w:val="24"/>
        </w:rPr>
        <w:t xml:space="preserve">e </w:t>
      </w:r>
      <w:r w:rsidR="000768C9" w:rsidRPr="00D04BA0">
        <w:rPr>
          <w:rFonts w:ascii="Times New Roman" w:hAnsi="Times New Roman" w:cs="Times New Roman"/>
          <w:sz w:val="24"/>
          <w:szCs w:val="24"/>
        </w:rPr>
        <w:t>jest</w:t>
      </w:r>
      <w:r w:rsidR="001A2EA7">
        <w:rPr>
          <w:rFonts w:ascii="Times New Roman" w:hAnsi="Times New Roman" w:cs="Times New Roman"/>
          <w:sz w:val="24"/>
          <w:szCs w:val="24"/>
        </w:rPr>
        <w:t>,</w:t>
      </w:r>
      <w:r w:rsidR="000768C9" w:rsidRPr="00D04BA0">
        <w:rPr>
          <w:rFonts w:ascii="Times New Roman" w:hAnsi="Times New Roman" w:cs="Times New Roman"/>
          <w:sz w:val="24"/>
          <w:szCs w:val="24"/>
        </w:rPr>
        <w:t xml:space="preserve"> aby w przypadku gdy zmiana zakresu zezwolenia dotyczyć będzie kwestii wspólnych</w:t>
      </w:r>
      <w:r w:rsidR="008470AD">
        <w:rPr>
          <w:rFonts w:ascii="Times New Roman" w:hAnsi="Times New Roman" w:cs="Times New Roman"/>
          <w:sz w:val="24"/>
          <w:szCs w:val="24"/>
        </w:rPr>
        <w:t>,</w:t>
      </w:r>
      <w:r w:rsidR="000768C9" w:rsidRPr="00D04BA0">
        <w:rPr>
          <w:rFonts w:ascii="Times New Roman" w:hAnsi="Times New Roman" w:cs="Times New Roman"/>
          <w:sz w:val="24"/>
          <w:szCs w:val="24"/>
        </w:rPr>
        <w:t xml:space="preserve"> prymat wiodły obowiązujące zasady wynikające z tej dyrektywy. </w:t>
      </w:r>
    </w:p>
    <w:p w:rsidR="008B5F10" w:rsidRPr="00D04BA0" w:rsidRDefault="00C92288"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2. Paszport europejski</w:t>
      </w:r>
    </w:p>
    <w:p w:rsidR="00C92288" w:rsidRPr="00D04BA0" w:rsidRDefault="00554615" w:rsidP="00D04BA0">
      <w:pPr>
        <w:spacing w:before="120" w:after="0" w:line="360" w:lineRule="auto"/>
        <w:contextualSpacing/>
        <w:jc w:val="both"/>
        <w:rPr>
          <w:rFonts w:ascii="Times New Roman" w:hAnsi="Times New Roman" w:cs="Times New Roman"/>
          <w:sz w:val="24"/>
          <w:szCs w:val="24"/>
        </w:rPr>
      </w:pPr>
      <w:r w:rsidRPr="00D04BA0">
        <w:rPr>
          <w:rFonts w:ascii="Times New Roman" w:hAnsi="Times New Roman" w:cs="Times New Roman"/>
          <w:sz w:val="24"/>
          <w:szCs w:val="24"/>
        </w:rPr>
        <w:t>R</w:t>
      </w:r>
      <w:r w:rsidR="00C92288" w:rsidRPr="00D04BA0">
        <w:rPr>
          <w:rFonts w:ascii="Times New Roman" w:hAnsi="Times New Roman" w:cs="Times New Roman"/>
          <w:sz w:val="24"/>
          <w:szCs w:val="24"/>
        </w:rPr>
        <w:t xml:space="preserve">egulacje wdrażające zasadę paszportu europejskiego </w:t>
      </w:r>
      <w:r w:rsidRPr="00D04BA0">
        <w:rPr>
          <w:rFonts w:ascii="Times New Roman" w:hAnsi="Times New Roman" w:cs="Times New Roman"/>
          <w:sz w:val="24"/>
          <w:szCs w:val="24"/>
        </w:rPr>
        <w:t>(prowadzenie działalności przez</w:t>
      </w:r>
      <w:r w:rsidR="00C92288" w:rsidRP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podmiot </w:t>
      </w:r>
      <w:r w:rsidR="00C92288" w:rsidRPr="00D04BA0">
        <w:rPr>
          <w:rFonts w:ascii="Times New Roman" w:hAnsi="Times New Roman" w:cs="Times New Roman"/>
          <w:sz w:val="24"/>
          <w:szCs w:val="24"/>
        </w:rPr>
        <w:t>posiadaj</w:t>
      </w:r>
      <w:r w:rsidRPr="00D04BA0">
        <w:rPr>
          <w:rFonts w:ascii="Times New Roman" w:hAnsi="Times New Roman" w:cs="Times New Roman"/>
          <w:sz w:val="24"/>
          <w:szCs w:val="24"/>
        </w:rPr>
        <w:t xml:space="preserve">ący </w:t>
      </w:r>
      <w:r w:rsidR="00C92288" w:rsidRPr="00D04BA0">
        <w:rPr>
          <w:rFonts w:ascii="Times New Roman" w:hAnsi="Times New Roman" w:cs="Times New Roman"/>
          <w:sz w:val="24"/>
          <w:szCs w:val="24"/>
        </w:rPr>
        <w:t>status ZAFI (zezwolenie) na obszarze całej Unii Europejskiej bez konieczności uzyskiwania odrębnych zezwoleń w każdym z państw członkowskich</w:t>
      </w:r>
      <w:r w:rsidRPr="00D04BA0">
        <w:rPr>
          <w:rFonts w:ascii="Times New Roman" w:hAnsi="Times New Roman" w:cs="Times New Roman"/>
          <w:sz w:val="24"/>
          <w:szCs w:val="24"/>
        </w:rPr>
        <w:t>) obejmują w odniesieniu do TFI</w:t>
      </w:r>
      <w:r w:rsidR="0072182D" w:rsidRPr="00D04BA0">
        <w:rPr>
          <w:rFonts w:ascii="Times New Roman" w:hAnsi="Times New Roman" w:cs="Times New Roman"/>
          <w:sz w:val="24"/>
          <w:szCs w:val="24"/>
        </w:rPr>
        <w:t xml:space="preserve"> przepisy przewidujące</w:t>
      </w:r>
      <w:r w:rsidRPr="00D04BA0">
        <w:rPr>
          <w:rFonts w:ascii="Times New Roman" w:hAnsi="Times New Roman" w:cs="Times New Roman"/>
          <w:sz w:val="24"/>
          <w:szCs w:val="24"/>
        </w:rPr>
        <w:t>:</w:t>
      </w:r>
    </w:p>
    <w:p w:rsidR="0072182D" w:rsidRPr="00D04BA0" w:rsidRDefault="00554615" w:rsidP="00D04BA0">
      <w:pPr>
        <w:pStyle w:val="Akapitzlist"/>
        <w:numPr>
          <w:ilvl w:val="0"/>
          <w:numId w:val="7"/>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możliwość zarządzania SFIO i FIZ przez zarządzających z UE</w:t>
      </w:r>
      <w:r w:rsidR="0072182D" w:rsidRPr="00D04BA0">
        <w:rPr>
          <w:rFonts w:ascii="Times New Roman" w:hAnsi="Times New Roman" w:cs="Times New Roman"/>
          <w:sz w:val="24"/>
          <w:szCs w:val="24"/>
        </w:rPr>
        <w:t>;</w:t>
      </w:r>
    </w:p>
    <w:p w:rsidR="0072182D" w:rsidRPr="00D04BA0" w:rsidRDefault="0072182D" w:rsidP="00D04BA0">
      <w:pPr>
        <w:pStyle w:val="Akapitzlist"/>
        <w:numPr>
          <w:ilvl w:val="0"/>
          <w:numId w:val="7"/>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możliwość prowadzenia przez TFI działalności zarządzania AFI w innych państwach członkowskich.</w:t>
      </w:r>
    </w:p>
    <w:p w:rsidR="00554615" w:rsidRPr="00D04BA0" w:rsidRDefault="0072182D" w:rsidP="008266F6">
      <w:pPr>
        <w:spacing w:before="120" w:after="0" w:line="360" w:lineRule="auto"/>
        <w:contextualSpacing/>
        <w:jc w:val="both"/>
        <w:rPr>
          <w:rFonts w:ascii="Times New Roman" w:hAnsi="Times New Roman" w:cs="Times New Roman"/>
          <w:sz w:val="24"/>
          <w:szCs w:val="24"/>
          <w:u w:val="single"/>
        </w:rPr>
      </w:pPr>
      <w:r w:rsidRPr="00D04BA0">
        <w:rPr>
          <w:rFonts w:ascii="Times New Roman" w:hAnsi="Times New Roman" w:cs="Times New Roman"/>
          <w:sz w:val="24"/>
          <w:szCs w:val="24"/>
        </w:rPr>
        <w:t xml:space="preserve">W zakresie zarządzania SFIO i FIZ przez podmioty z UE mające status ZAFI, z </w:t>
      </w:r>
      <w:r w:rsidR="00554615" w:rsidRPr="00D04BA0">
        <w:rPr>
          <w:rFonts w:ascii="Times New Roman" w:hAnsi="Times New Roman" w:cs="Times New Roman"/>
          <w:sz w:val="24"/>
          <w:szCs w:val="24"/>
        </w:rPr>
        <w:t xml:space="preserve">uwagi na szczególną konstrukcję prawną funduszy inwestycyjnych, proponuje się wprowadzenie rozwiązania analogicznego do </w:t>
      </w:r>
      <w:r w:rsidRPr="00D04BA0">
        <w:rPr>
          <w:rFonts w:ascii="Times New Roman" w:hAnsi="Times New Roman" w:cs="Times New Roman"/>
          <w:sz w:val="24"/>
          <w:szCs w:val="24"/>
        </w:rPr>
        <w:t xml:space="preserve">uregulowanej już w ustawie o funduszach inwestycyjnych instytucji </w:t>
      </w:r>
      <w:r w:rsidR="00554615" w:rsidRPr="00D04BA0">
        <w:rPr>
          <w:rFonts w:ascii="Times New Roman" w:hAnsi="Times New Roman" w:cs="Times New Roman"/>
          <w:sz w:val="24"/>
          <w:szCs w:val="24"/>
        </w:rPr>
        <w:t>przejęcia przez spółkę zarządzającą zarządzania i reprezentowania FIO</w:t>
      </w:r>
      <w:r w:rsidRPr="00D04BA0">
        <w:rPr>
          <w:rFonts w:ascii="Times New Roman" w:hAnsi="Times New Roman" w:cs="Times New Roman"/>
          <w:sz w:val="24"/>
          <w:szCs w:val="24"/>
        </w:rPr>
        <w:t>. Z</w:t>
      </w:r>
      <w:r w:rsidR="00554615" w:rsidRPr="00D04BA0">
        <w:rPr>
          <w:rFonts w:ascii="Times New Roman" w:hAnsi="Times New Roman" w:cs="Times New Roman"/>
          <w:sz w:val="24"/>
          <w:szCs w:val="24"/>
        </w:rPr>
        <w:t>akłada</w:t>
      </w:r>
      <w:r w:rsidRPr="00D04BA0">
        <w:rPr>
          <w:rFonts w:ascii="Times New Roman" w:hAnsi="Times New Roman" w:cs="Times New Roman"/>
          <w:sz w:val="24"/>
          <w:szCs w:val="24"/>
        </w:rPr>
        <w:t xml:space="preserve"> ono</w:t>
      </w:r>
      <w:r w:rsidR="00554615" w:rsidRPr="00D04BA0">
        <w:rPr>
          <w:rFonts w:ascii="Times New Roman" w:hAnsi="Times New Roman" w:cs="Times New Roman"/>
          <w:sz w:val="24"/>
          <w:szCs w:val="24"/>
        </w:rPr>
        <w:t>, iż mimo takiego przejęcia TFI nadal pozostaje organem funduszu i zachowuje część swoich kompetencji i zadań w zakresie, w jakim wykraczają one poza zarządzanie</w:t>
      </w:r>
      <w:r w:rsidRPr="00D04BA0">
        <w:rPr>
          <w:rFonts w:ascii="Times New Roman" w:hAnsi="Times New Roman" w:cs="Times New Roman"/>
          <w:sz w:val="24"/>
          <w:szCs w:val="24"/>
        </w:rPr>
        <w:t xml:space="preserve"> inwestycyjne zdefiniowane w załączniku I dyrektywy ZAFI. W analogiczny do przejęcia zarządzania FIO sposób proponuje się uregulować w szczególności kwestie: formy przekazania zarządzania (art. 4 ust. 1b ustawy), </w:t>
      </w:r>
      <w:r w:rsidR="00BF51A3" w:rsidRPr="00D04BA0">
        <w:rPr>
          <w:rFonts w:ascii="Times New Roman" w:hAnsi="Times New Roman" w:cs="Times New Roman"/>
          <w:sz w:val="24"/>
          <w:szCs w:val="24"/>
        </w:rPr>
        <w:t>wskazania podmiotu z UE, który przejął zarządzanie w rejestrze funduszy inwestycyjnych oraz w statucie funduszu (art. 17, art. 18</w:t>
      </w:r>
      <w:r w:rsidR="00D04BA0">
        <w:rPr>
          <w:rFonts w:ascii="Times New Roman" w:hAnsi="Times New Roman" w:cs="Times New Roman"/>
          <w:sz w:val="24"/>
          <w:szCs w:val="24"/>
        </w:rPr>
        <w:t xml:space="preserve"> </w:t>
      </w:r>
      <w:r w:rsidR="00BF51A3" w:rsidRPr="00D04BA0">
        <w:rPr>
          <w:rFonts w:ascii="Times New Roman" w:hAnsi="Times New Roman" w:cs="Times New Roman"/>
          <w:sz w:val="24"/>
          <w:szCs w:val="24"/>
        </w:rPr>
        <w:t xml:space="preserve">i art. 24 ustawy), </w:t>
      </w:r>
      <w:r w:rsidR="00594A60" w:rsidRPr="00D04BA0">
        <w:rPr>
          <w:rFonts w:ascii="Times New Roman" w:hAnsi="Times New Roman" w:cs="Times New Roman"/>
          <w:sz w:val="24"/>
          <w:szCs w:val="24"/>
        </w:rPr>
        <w:t xml:space="preserve">wymogu </w:t>
      </w:r>
      <w:r w:rsidR="00594A60" w:rsidRPr="00D04BA0">
        <w:rPr>
          <w:rFonts w:ascii="Times New Roman" w:hAnsi="Times New Roman" w:cs="Times New Roman"/>
          <w:sz w:val="24"/>
          <w:szCs w:val="24"/>
        </w:rPr>
        <w:lastRenderedPageBreak/>
        <w:t>uzyskania zgody na przejęcie – zarówno uczestników funduszu, jak i KNF (art. 112 ust.</w:t>
      </w:r>
      <w:r w:rsidR="001A2EA7">
        <w:rPr>
          <w:rFonts w:ascii="Times New Roman" w:hAnsi="Times New Roman" w:cs="Times New Roman"/>
          <w:sz w:val="24"/>
          <w:szCs w:val="24"/>
        </w:rPr>
        <w:t> </w:t>
      </w:r>
      <w:r w:rsidR="00594A60" w:rsidRPr="00D04BA0">
        <w:rPr>
          <w:rFonts w:ascii="Times New Roman" w:hAnsi="Times New Roman" w:cs="Times New Roman"/>
          <w:sz w:val="24"/>
          <w:szCs w:val="24"/>
        </w:rPr>
        <w:t xml:space="preserve">2 i art. 144 oraz art. </w:t>
      </w:r>
      <w:r w:rsidR="006E1708" w:rsidRPr="00D04BA0">
        <w:rPr>
          <w:rFonts w:ascii="Times New Roman" w:hAnsi="Times New Roman" w:cs="Times New Roman"/>
          <w:sz w:val="24"/>
          <w:szCs w:val="24"/>
        </w:rPr>
        <w:t>276d</w:t>
      </w:r>
      <w:r w:rsidR="00594A60" w:rsidRPr="00D04BA0">
        <w:rPr>
          <w:rFonts w:ascii="Times New Roman" w:hAnsi="Times New Roman" w:cs="Times New Roman"/>
          <w:sz w:val="24"/>
          <w:szCs w:val="24"/>
        </w:rPr>
        <w:t xml:space="preserve"> ustawy) oraz wykonywania działalności przez podmiot z UE</w:t>
      </w:r>
      <w:r w:rsidR="00AB1606" w:rsidRPr="00D04BA0">
        <w:rPr>
          <w:rFonts w:ascii="Times New Roman" w:hAnsi="Times New Roman" w:cs="Times New Roman"/>
          <w:sz w:val="24"/>
          <w:szCs w:val="24"/>
        </w:rPr>
        <w:t>, w tym sankcji związanych z wykonywaniem jej z naruszeniem prawa</w:t>
      </w:r>
      <w:r w:rsidR="00594A60" w:rsidRPr="00D04BA0">
        <w:rPr>
          <w:rFonts w:ascii="Times New Roman" w:hAnsi="Times New Roman" w:cs="Times New Roman"/>
          <w:sz w:val="24"/>
          <w:szCs w:val="24"/>
        </w:rPr>
        <w:t xml:space="preserve"> (</w:t>
      </w:r>
      <w:r w:rsidR="00AA30E9" w:rsidRPr="00D04BA0">
        <w:rPr>
          <w:rFonts w:ascii="Times New Roman" w:hAnsi="Times New Roman" w:cs="Times New Roman"/>
          <w:sz w:val="24"/>
          <w:szCs w:val="24"/>
        </w:rPr>
        <w:t>przepisy dodanego oddziału 3 w rozdziale 2 działu XII).</w:t>
      </w:r>
      <w:r w:rsidR="00AB1606" w:rsidRPr="00D04BA0">
        <w:rPr>
          <w:rFonts w:ascii="Times New Roman" w:hAnsi="Times New Roman" w:cs="Times New Roman"/>
          <w:sz w:val="24"/>
          <w:szCs w:val="24"/>
        </w:rPr>
        <w:t xml:space="preserve"> </w:t>
      </w:r>
      <w:r w:rsidR="004867AD" w:rsidRPr="00D04BA0">
        <w:rPr>
          <w:rFonts w:ascii="Times New Roman" w:hAnsi="Times New Roman" w:cs="Times New Roman"/>
          <w:sz w:val="24"/>
          <w:szCs w:val="24"/>
        </w:rPr>
        <w:t>Fundusze SFIO i FIZ podobnie jak fundusze FIO, są osobami prawnymi, jednakże organem tych funduszy jest towarzystwo funduszy inwestycyjnych, będące odrębną osobą prawną. Oznacza to, że fundusze te są jedynie masą majątkową obdarzoną osobowością prawną, natomiast towarzystwo funduszy inwestycyjnych, jako organ funduszu, tworzy te fundusze, zarządza nimi i reprezentuje je</w:t>
      </w:r>
      <w:r w:rsidR="00D04BA0">
        <w:rPr>
          <w:rFonts w:ascii="Times New Roman" w:hAnsi="Times New Roman" w:cs="Times New Roman"/>
          <w:sz w:val="24"/>
          <w:szCs w:val="24"/>
        </w:rPr>
        <w:t xml:space="preserve"> </w:t>
      </w:r>
      <w:r w:rsidR="004867AD" w:rsidRPr="00D04BA0">
        <w:rPr>
          <w:rFonts w:ascii="Times New Roman" w:hAnsi="Times New Roman" w:cs="Times New Roman"/>
          <w:sz w:val="24"/>
          <w:szCs w:val="24"/>
        </w:rPr>
        <w:t xml:space="preserve">w stosunkach z osobami trzecimi. </w:t>
      </w:r>
      <w:r w:rsidR="00A07541" w:rsidRPr="00D04BA0">
        <w:rPr>
          <w:rFonts w:ascii="Times New Roman" w:hAnsi="Times New Roman" w:cs="Times New Roman"/>
          <w:sz w:val="24"/>
          <w:szCs w:val="24"/>
        </w:rPr>
        <w:t xml:space="preserve">Sprawia to z kolei, iż konstrukcja krajowych funduszy inwestycyjnych zarządzanych przez towarzystwa funduszy inwestycyjnych znacznie odbiega od konstrukcji prawnych funduszy inwestycyjnych w innych państwach członkowskich. </w:t>
      </w:r>
      <w:r w:rsidR="004867AD" w:rsidRPr="00D04BA0">
        <w:rPr>
          <w:rFonts w:ascii="Times New Roman" w:hAnsi="Times New Roman" w:cs="Times New Roman"/>
          <w:sz w:val="24"/>
          <w:szCs w:val="24"/>
        </w:rPr>
        <w:t>Zastosowanie pełnego paszportu do obowiązujących przepisów ustawy o funduszach inwestycyjnych</w:t>
      </w:r>
      <w:r w:rsidR="00A07541" w:rsidRPr="00D04BA0">
        <w:rPr>
          <w:rFonts w:ascii="Times New Roman" w:hAnsi="Times New Roman" w:cs="Times New Roman"/>
          <w:sz w:val="24"/>
          <w:szCs w:val="24"/>
        </w:rPr>
        <w:t>,</w:t>
      </w:r>
      <w:r w:rsidR="004867AD" w:rsidRPr="00D04BA0">
        <w:rPr>
          <w:rFonts w:ascii="Times New Roman" w:hAnsi="Times New Roman" w:cs="Times New Roman"/>
          <w:sz w:val="24"/>
          <w:szCs w:val="24"/>
        </w:rPr>
        <w:t xml:space="preserve"> </w:t>
      </w:r>
      <w:r w:rsidR="00A07541" w:rsidRPr="00D04BA0">
        <w:rPr>
          <w:rFonts w:ascii="Times New Roman" w:hAnsi="Times New Roman" w:cs="Times New Roman"/>
          <w:sz w:val="24"/>
          <w:szCs w:val="24"/>
        </w:rPr>
        <w:t xml:space="preserve">podobnie jak miało to miejsce w przypadku funduszy FIO, </w:t>
      </w:r>
      <w:r w:rsidR="004867AD" w:rsidRPr="00D04BA0">
        <w:rPr>
          <w:rFonts w:ascii="Times New Roman" w:hAnsi="Times New Roman" w:cs="Times New Roman"/>
          <w:sz w:val="24"/>
          <w:szCs w:val="24"/>
        </w:rPr>
        <w:t>napotkało</w:t>
      </w:r>
      <w:r w:rsidR="00A07541" w:rsidRPr="00D04BA0">
        <w:rPr>
          <w:rFonts w:ascii="Times New Roman" w:hAnsi="Times New Roman" w:cs="Times New Roman"/>
          <w:sz w:val="24"/>
          <w:szCs w:val="24"/>
        </w:rPr>
        <w:t xml:space="preserve"> na</w:t>
      </w:r>
      <w:r w:rsidR="004867AD" w:rsidRPr="00D04BA0">
        <w:rPr>
          <w:rFonts w:ascii="Times New Roman" w:hAnsi="Times New Roman" w:cs="Times New Roman"/>
          <w:sz w:val="24"/>
          <w:szCs w:val="24"/>
        </w:rPr>
        <w:t xml:space="preserve"> istotne trudności zarówno w zakresie funkcjonowania samego funduszu inwestycyjnego, który miałby być zarządzany przez </w:t>
      </w:r>
      <w:r w:rsidR="00A07541" w:rsidRPr="00D04BA0">
        <w:rPr>
          <w:rFonts w:ascii="Times New Roman" w:hAnsi="Times New Roman" w:cs="Times New Roman"/>
          <w:sz w:val="24"/>
          <w:szCs w:val="24"/>
        </w:rPr>
        <w:t>zarządzającego z UE</w:t>
      </w:r>
      <w:r w:rsidR="004867AD" w:rsidRPr="00D04BA0">
        <w:rPr>
          <w:rFonts w:ascii="Times New Roman" w:hAnsi="Times New Roman" w:cs="Times New Roman"/>
          <w:sz w:val="24"/>
          <w:szCs w:val="24"/>
        </w:rPr>
        <w:t xml:space="preserve">, braku siedziby takiego funduszu na terytorium Rzeczypospolitej Polskiej, jak również w odniesieniu do prowadzenia efektywnego nadzoru nad działalnością takiego funduszu czy też prawidłowego działania depozytariusza funduszu. </w:t>
      </w:r>
      <w:r w:rsidR="00A07541" w:rsidRPr="00D04BA0">
        <w:rPr>
          <w:rFonts w:ascii="Times New Roman" w:hAnsi="Times New Roman" w:cs="Times New Roman"/>
          <w:sz w:val="24"/>
          <w:szCs w:val="24"/>
        </w:rPr>
        <w:t>Należy bowiem zauważyć, iż w przypadku przejęcia wprost zarządzania funduszem inwestycyjnym przez zarządzającego z UE</w:t>
      </w:r>
      <w:r w:rsidR="004867AD" w:rsidRPr="00D04BA0">
        <w:rPr>
          <w:rFonts w:ascii="Times New Roman" w:hAnsi="Times New Roman" w:cs="Times New Roman"/>
          <w:sz w:val="24"/>
          <w:szCs w:val="24"/>
        </w:rPr>
        <w:t xml:space="preserve"> siedzibą funduszu utworzonego zgodnie z prawem polskim byłaby siedziba spółki zarządzającej. Zgodnie bowiem z przepisami ustawy o funduszach inwestycyjnych, siedzibą funduszu jest siedziba zarządzającego nim towarzystwa funduszy inwestycyjnych, co jest zgodne z ogólnie przyjętą na gruncie polskiego systemu prawa koncepcją siedziby podmiotów (por. art. 41 Kodeksu cywilnego). Taka konstrukcja prowadziłaby do szeregu problemów praktycznych związanych z funkcjonowaniem i nadzorem nad takim funduszem. </w:t>
      </w:r>
      <w:r w:rsidR="0017146C" w:rsidRPr="00D04BA0">
        <w:rPr>
          <w:rFonts w:ascii="Times New Roman" w:hAnsi="Times New Roman" w:cs="Times New Roman"/>
          <w:sz w:val="24"/>
          <w:szCs w:val="24"/>
        </w:rPr>
        <w:t>Ponadto,</w:t>
      </w:r>
      <w:r w:rsidR="004867AD" w:rsidRPr="00D04BA0">
        <w:rPr>
          <w:rFonts w:ascii="Times New Roman" w:hAnsi="Times New Roman" w:cs="Times New Roman"/>
          <w:sz w:val="24"/>
          <w:szCs w:val="24"/>
        </w:rPr>
        <w:t xml:space="preserve"> stosownie do art. 35 Kodeksu cywilnego, powstanie, ustrój i ustanie osób prawnych określają właściwe przepisy, przy czym zgodnie z art. 33 Kodeksu cywilnego, osobami prawnymi są tylko takie jednostki organizacyjne, którym przepisy szczególne przyznają osobowość prawną. Zgodnie z art. 38 Kodeksu cywilnego, osoba prawna działa przez swoje organy. Spełnienie wymogów określonych we właściwych przepisach prowadzi do powstania jednostki prawnej, której przepisy szczególne przyznają osobowość prawną. Osobowość prawna oznacza natomiast, że </w:t>
      </w:r>
      <w:r w:rsidR="004867AD" w:rsidRPr="00D04BA0">
        <w:rPr>
          <w:rFonts w:ascii="Times New Roman" w:hAnsi="Times New Roman" w:cs="Times New Roman"/>
          <w:sz w:val="24"/>
          <w:szCs w:val="24"/>
        </w:rPr>
        <w:lastRenderedPageBreak/>
        <w:t>posiadająca ją jednostka organizacyjna ma zdolność prawną, działa poprzez organy, a osoby, które ją tworzą nie ponoszą odpowiedzialności za jej zobowiązania. Jak wynika</w:t>
      </w:r>
      <w:r w:rsidR="00D04BA0">
        <w:rPr>
          <w:rFonts w:ascii="Times New Roman" w:hAnsi="Times New Roman" w:cs="Times New Roman"/>
          <w:sz w:val="24"/>
          <w:szCs w:val="24"/>
        </w:rPr>
        <w:t xml:space="preserve"> </w:t>
      </w:r>
      <w:r w:rsidR="004867AD" w:rsidRPr="00D04BA0">
        <w:rPr>
          <w:rFonts w:ascii="Times New Roman" w:hAnsi="Times New Roman" w:cs="Times New Roman"/>
          <w:sz w:val="24"/>
          <w:szCs w:val="24"/>
        </w:rPr>
        <w:t xml:space="preserve">z powyższego, materia związana z kreacją jednostki organizacyjnej jako osoby prawnej, jest materią ustawową. Jednostka organizacyjna, która nie spełnia kryteriów ustawowych nie jest osobą prawną. Taka konstrukcja prawna wyklucza tworzenie osób prawnych, których organy (element konstrukcji jednostki organizacyjnej, który składa się na istotę konstrukcji określonej osoby prawnej) mogą zostać zmienione w drodze umowy. </w:t>
      </w:r>
      <w:r w:rsidR="004E5171" w:rsidRPr="00D04BA0">
        <w:rPr>
          <w:rFonts w:ascii="Times New Roman" w:hAnsi="Times New Roman" w:cs="Times New Roman"/>
          <w:sz w:val="24"/>
          <w:szCs w:val="24"/>
        </w:rPr>
        <w:t xml:space="preserve">Z tych też względów </w:t>
      </w:r>
      <w:r w:rsidR="004867AD" w:rsidRPr="00D04BA0">
        <w:rPr>
          <w:rFonts w:ascii="Times New Roman" w:hAnsi="Times New Roman" w:cs="Times New Roman"/>
          <w:sz w:val="24"/>
          <w:szCs w:val="24"/>
        </w:rPr>
        <w:t xml:space="preserve">konstrukcja przejęcia zarządzania funduszem </w:t>
      </w:r>
      <w:r w:rsidR="004E5171" w:rsidRPr="00D04BA0">
        <w:rPr>
          <w:rFonts w:ascii="Times New Roman" w:hAnsi="Times New Roman" w:cs="Times New Roman"/>
          <w:sz w:val="24"/>
          <w:szCs w:val="24"/>
        </w:rPr>
        <w:t xml:space="preserve">SFIO oraz FIZ </w:t>
      </w:r>
      <w:r w:rsidR="004867AD" w:rsidRPr="00D04BA0">
        <w:rPr>
          <w:rFonts w:ascii="Times New Roman" w:hAnsi="Times New Roman" w:cs="Times New Roman"/>
          <w:sz w:val="24"/>
          <w:szCs w:val="24"/>
        </w:rPr>
        <w:t>– jako konstrukcja umowna</w:t>
      </w:r>
      <w:r w:rsidR="00D04BA0">
        <w:rPr>
          <w:rFonts w:ascii="Times New Roman" w:hAnsi="Times New Roman" w:cs="Times New Roman"/>
          <w:sz w:val="24"/>
          <w:szCs w:val="24"/>
        </w:rPr>
        <w:t xml:space="preserve"> </w:t>
      </w:r>
      <w:r w:rsidR="004867AD" w:rsidRPr="00D04BA0">
        <w:rPr>
          <w:rFonts w:ascii="Times New Roman" w:hAnsi="Times New Roman" w:cs="Times New Roman"/>
          <w:sz w:val="24"/>
          <w:szCs w:val="24"/>
        </w:rPr>
        <w:t xml:space="preserve">– nie mogła wprost zostać zastosowana w odniesieniu do krajowych funduszy inwestycyjnych, których organem z mocy ustawy jest towarzystwo funduszy inwestycyjnych. </w:t>
      </w:r>
      <w:r w:rsidR="004E5171" w:rsidRPr="00D04BA0">
        <w:rPr>
          <w:rFonts w:ascii="Times New Roman" w:hAnsi="Times New Roman" w:cs="Times New Roman"/>
          <w:sz w:val="24"/>
          <w:szCs w:val="24"/>
        </w:rPr>
        <w:t>Ostatecznie</w:t>
      </w:r>
      <w:r w:rsidR="001A2EA7">
        <w:rPr>
          <w:rFonts w:ascii="Times New Roman" w:hAnsi="Times New Roman" w:cs="Times New Roman"/>
          <w:sz w:val="24"/>
          <w:szCs w:val="24"/>
        </w:rPr>
        <w:t>,</w:t>
      </w:r>
      <w:r w:rsidR="004E5171" w:rsidRPr="00D04BA0">
        <w:rPr>
          <w:rFonts w:ascii="Times New Roman" w:hAnsi="Times New Roman" w:cs="Times New Roman"/>
          <w:sz w:val="24"/>
          <w:szCs w:val="24"/>
        </w:rPr>
        <w:t xml:space="preserve"> podobnie jak ma to miejsce w przypadku funduszy FIO</w:t>
      </w:r>
      <w:r w:rsidR="004867AD" w:rsidRPr="00D04BA0">
        <w:rPr>
          <w:rFonts w:ascii="Times New Roman" w:hAnsi="Times New Roman" w:cs="Times New Roman"/>
          <w:sz w:val="24"/>
          <w:szCs w:val="24"/>
        </w:rPr>
        <w:t>, w projekcie zawarta została koncepcja zakładająca, iż zastosowanie pełnego paszportu spółki zarządzającej</w:t>
      </w:r>
      <w:r w:rsidR="00D04BA0">
        <w:rPr>
          <w:rFonts w:ascii="Times New Roman" w:hAnsi="Times New Roman" w:cs="Times New Roman"/>
          <w:sz w:val="24"/>
          <w:szCs w:val="24"/>
        </w:rPr>
        <w:t xml:space="preserve"> </w:t>
      </w:r>
      <w:r w:rsidR="004867AD" w:rsidRPr="00D04BA0">
        <w:rPr>
          <w:rFonts w:ascii="Times New Roman" w:hAnsi="Times New Roman" w:cs="Times New Roman"/>
          <w:sz w:val="24"/>
          <w:szCs w:val="24"/>
        </w:rPr>
        <w:t>w odniesieniu do fundusz</w:t>
      </w:r>
      <w:r w:rsidR="004E5171" w:rsidRPr="00D04BA0">
        <w:rPr>
          <w:rFonts w:ascii="Times New Roman" w:hAnsi="Times New Roman" w:cs="Times New Roman"/>
          <w:sz w:val="24"/>
          <w:szCs w:val="24"/>
        </w:rPr>
        <w:t>y SFIO i FIZ</w:t>
      </w:r>
      <w:r w:rsidR="004867AD" w:rsidRPr="00D04BA0">
        <w:rPr>
          <w:rFonts w:ascii="Times New Roman" w:hAnsi="Times New Roman" w:cs="Times New Roman"/>
          <w:sz w:val="24"/>
          <w:szCs w:val="24"/>
        </w:rPr>
        <w:t xml:space="preserve"> będzie możliwe przy wykorzystaniu dotychczasowego rozwiązania, jakim jest towarzystwo funduszy inwestycyjnych stanowiące organ funduszu inwestycyjnego. Należy podkreślić, iż </w:t>
      </w:r>
      <w:r w:rsidR="004E5171" w:rsidRPr="00D04BA0">
        <w:rPr>
          <w:rFonts w:ascii="Times New Roman" w:hAnsi="Times New Roman" w:cs="Times New Roman"/>
          <w:sz w:val="24"/>
          <w:szCs w:val="24"/>
        </w:rPr>
        <w:t xml:space="preserve">proponowany </w:t>
      </w:r>
      <w:r w:rsidR="004867AD" w:rsidRPr="00D04BA0">
        <w:rPr>
          <w:rFonts w:ascii="Times New Roman" w:hAnsi="Times New Roman" w:cs="Times New Roman"/>
          <w:sz w:val="24"/>
          <w:szCs w:val="24"/>
        </w:rPr>
        <w:t xml:space="preserve">model, jako bazujący na obecnej konstrukcji </w:t>
      </w:r>
      <w:r w:rsidR="004E5171" w:rsidRPr="00D04BA0">
        <w:rPr>
          <w:rFonts w:ascii="Times New Roman" w:hAnsi="Times New Roman" w:cs="Times New Roman"/>
          <w:sz w:val="24"/>
          <w:szCs w:val="24"/>
        </w:rPr>
        <w:t>przyjętej dla funduszy FIO</w:t>
      </w:r>
      <w:r w:rsidR="004867AD" w:rsidRPr="00D04BA0">
        <w:rPr>
          <w:rFonts w:ascii="Times New Roman" w:hAnsi="Times New Roman" w:cs="Times New Roman"/>
          <w:sz w:val="24"/>
          <w:szCs w:val="24"/>
        </w:rPr>
        <w:t xml:space="preserve">, w opinii projektodawcy, w najmniejszym możliwym stopniu ingeruje w obecną regulację prawną dotyczącą funkcjonowania funduszy inwestycyjnych, a jednocześnie pozwala uniknąć konieczności tworzenia nowych „samodzielnych” organów funduszu, odrębnych od towarzystwa. Dodatkowo należy zauważyć, iż celem dyrektywy </w:t>
      </w:r>
      <w:r w:rsidR="004E5171" w:rsidRPr="00D04BA0">
        <w:rPr>
          <w:rFonts w:ascii="Times New Roman" w:hAnsi="Times New Roman" w:cs="Times New Roman"/>
          <w:sz w:val="24"/>
          <w:szCs w:val="24"/>
        </w:rPr>
        <w:t xml:space="preserve">ZAFI </w:t>
      </w:r>
      <w:r w:rsidR="004867AD" w:rsidRPr="00D04BA0">
        <w:rPr>
          <w:rFonts w:ascii="Times New Roman" w:hAnsi="Times New Roman" w:cs="Times New Roman"/>
          <w:sz w:val="24"/>
          <w:szCs w:val="24"/>
        </w:rPr>
        <w:t xml:space="preserve">nie była zmiana konstrukcji prawnych istniejących </w:t>
      </w:r>
      <w:r w:rsidR="004E5171" w:rsidRPr="00D04BA0">
        <w:rPr>
          <w:rFonts w:ascii="Times New Roman" w:hAnsi="Times New Roman" w:cs="Times New Roman"/>
          <w:sz w:val="24"/>
          <w:szCs w:val="24"/>
        </w:rPr>
        <w:t>AFI</w:t>
      </w:r>
      <w:r w:rsidR="004867AD" w:rsidRPr="00D04BA0">
        <w:rPr>
          <w:rFonts w:ascii="Times New Roman" w:hAnsi="Times New Roman" w:cs="Times New Roman"/>
          <w:sz w:val="24"/>
          <w:szCs w:val="24"/>
        </w:rPr>
        <w:t xml:space="preserve">. Uznając zatem, że formuła </w:t>
      </w:r>
      <w:r w:rsidR="004E5171" w:rsidRPr="00D04BA0">
        <w:rPr>
          <w:rFonts w:ascii="Times New Roman" w:hAnsi="Times New Roman" w:cs="Times New Roman"/>
          <w:sz w:val="24"/>
          <w:szCs w:val="24"/>
        </w:rPr>
        <w:t xml:space="preserve">tej dyrektywy </w:t>
      </w:r>
      <w:r w:rsidR="004867AD" w:rsidRPr="00D04BA0">
        <w:rPr>
          <w:rFonts w:ascii="Times New Roman" w:hAnsi="Times New Roman" w:cs="Times New Roman"/>
          <w:sz w:val="24"/>
          <w:szCs w:val="24"/>
        </w:rPr>
        <w:t>pozwala implementować prawo unijne przy wyborze środków do tego najbardziej odpowiednich na gruncie prawa krajowego, z tego też względu w projekcie przyjęto konstrukcję przedstawioną powyżej.</w:t>
      </w:r>
    </w:p>
    <w:p w:rsidR="008B5F10" w:rsidRPr="00D04BA0" w:rsidRDefault="00AB1606" w:rsidP="008266F6">
      <w:pPr>
        <w:autoSpaceDE w:val="0"/>
        <w:autoSpaceDN w:val="0"/>
        <w:adjustRightInd w:val="0"/>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zakresie prowadzenia przez TFI działalności zarządzania AFI w innych państwach członkowskich projekt wprowadza, zgodnie z dyrektywą ZAFI, wymóg notyfikacji zamiaru wykonywania tej działalności właściwym organom państwa członkowskiego za pośrednictwem KNF, której przysługuje prawo sprzeciwu w tym zakresie (odmowy przekazania zawiadomienia tym organom). Jest to rozwiązanie analogiczne do warunków rozpoczęcia w innych państwach UE działalności w zakresie funduszy typu UCITS</w:t>
      </w:r>
      <w:r w:rsidR="006B03B5" w:rsidRPr="00D04BA0">
        <w:rPr>
          <w:rFonts w:ascii="Times New Roman" w:hAnsi="Times New Roman" w:cs="Times New Roman"/>
          <w:sz w:val="24"/>
          <w:szCs w:val="24"/>
        </w:rPr>
        <w:t>, z tym jednak</w:t>
      </w:r>
      <w:r w:rsidR="001A2EA7">
        <w:rPr>
          <w:rFonts w:ascii="Times New Roman" w:hAnsi="Times New Roman" w:cs="Times New Roman"/>
          <w:sz w:val="24"/>
          <w:szCs w:val="24"/>
        </w:rPr>
        <w:t>,</w:t>
      </w:r>
      <w:r w:rsidR="006B03B5" w:rsidRPr="00D04BA0">
        <w:rPr>
          <w:rFonts w:ascii="Times New Roman" w:hAnsi="Times New Roman" w:cs="Times New Roman"/>
          <w:sz w:val="24"/>
          <w:szCs w:val="24"/>
        </w:rPr>
        <w:t xml:space="preserve"> że dla rozpoczęcia zarządzania unijnym AFI nie będzie wymagane zarządzanie krajowym funduszem tego typu (czyli SFIO lub FIZ)</w:t>
      </w:r>
      <w:r w:rsidRPr="00D04BA0">
        <w:rPr>
          <w:rFonts w:ascii="Times New Roman" w:hAnsi="Times New Roman" w:cs="Times New Roman"/>
          <w:sz w:val="24"/>
          <w:szCs w:val="24"/>
        </w:rPr>
        <w:t>.</w:t>
      </w:r>
      <w:r w:rsidR="00C95C67" w:rsidRPr="00D04BA0">
        <w:rPr>
          <w:rFonts w:ascii="Times New Roman" w:hAnsi="Times New Roman" w:cs="Times New Roman"/>
          <w:sz w:val="24"/>
          <w:szCs w:val="24"/>
        </w:rPr>
        <w:t xml:space="preserve"> Wynika to z </w:t>
      </w:r>
      <w:r w:rsidR="004E5171" w:rsidRPr="00D04BA0">
        <w:rPr>
          <w:rFonts w:ascii="Times New Roman" w:hAnsi="Times New Roman" w:cs="Times New Roman"/>
          <w:sz w:val="24"/>
          <w:szCs w:val="24"/>
        </w:rPr>
        <w:t>faktu, iż</w:t>
      </w:r>
      <w:r w:rsidR="00D04BA0">
        <w:rPr>
          <w:rFonts w:ascii="Times New Roman" w:hAnsi="Times New Roman" w:cs="Times New Roman"/>
          <w:sz w:val="24"/>
          <w:szCs w:val="24"/>
        </w:rPr>
        <w:t xml:space="preserve"> </w:t>
      </w:r>
      <w:r w:rsidR="004E5171" w:rsidRPr="00D04BA0">
        <w:rPr>
          <w:rFonts w:ascii="Times New Roman" w:hAnsi="Times New Roman" w:cs="Times New Roman"/>
          <w:sz w:val="24"/>
          <w:szCs w:val="24"/>
        </w:rPr>
        <w:t xml:space="preserve">w przeciwieństwie do dyrektywy UCITS implementowana dyrektywa nie </w:t>
      </w:r>
      <w:r w:rsidR="004E5171" w:rsidRPr="00D04BA0">
        <w:rPr>
          <w:rFonts w:ascii="Times New Roman" w:hAnsi="Times New Roman" w:cs="Times New Roman"/>
          <w:sz w:val="24"/>
          <w:szCs w:val="24"/>
        </w:rPr>
        <w:lastRenderedPageBreak/>
        <w:t>zastrzega koni</w:t>
      </w:r>
      <w:r w:rsidR="00221750">
        <w:rPr>
          <w:rFonts w:ascii="Times New Roman" w:hAnsi="Times New Roman" w:cs="Times New Roman"/>
          <w:sz w:val="24"/>
          <w:szCs w:val="24"/>
        </w:rPr>
        <w:t>e</w:t>
      </w:r>
      <w:r w:rsidR="004E5171" w:rsidRPr="00D04BA0">
        <w:rPr>
          <w:rFonts w:ascii="Times New Roman" w:hAnsi="Times New Roman" w:cs="Times New Roman"/>
          <w:sz w:val="24"/>
          <w:szCs w:val="24"/>
        </w:rPr>
        <w:t xml:space="preserve">czności zarządzania funduszem AFI w państwie siedziby ZAFI </w:t>
      </w:r>
      <w:r w:rsidR="00325DA0" w:rsidRPr="00D04BA0">
        <w:rPr>
          <w:rFonts w:ascii="Times New Roman" w:hAnsi="Times New Roman" w:cs="Times New Roman"/>
          <w:sz w:val="24"/>
          <w:szCs w:val="24"/>
        </w:rPr>
        <w:t>na potrzeby przejęcia zarządzania funduszem AFI z innego państwa.</w:t>
      </w:r>
      <w:r w:rsidR="00C95C67" w:rsidRPr="00D04BA0">
        <w:rPr>
          <w:rFonts w:ascii="Times New Roman" w:hAnsi="Times New Roman" w:cs="Times New Roman"/>
          <w:sz w:val="24"/>
          <w:szCs w:val="24"/>
        </w:rPr>
        <w:t xml:space="preserve"> </w:t>
      </w:r>
      <w:r w:rsidR="006B03B5" w:rsidRPr="00D04BA0">
        <w:rPr>
          <w:rFonts w:ascii="Times New Roman" w:hAnsi="Times New Roman" w:cs="Times New Roman"/>
          <w:sz w:val="24"/>
          <w:szCs w:val="24"/>
        </w:rPr>
        <w:t>Uwzględniając przy tym istniejącą już</w:t>
      </w:r>
      <w:r w:rsidR="00D04BA0">
        <w:rPr>
          <w:rFonts w:ascii="Times New Roman" w:hAnsi="Times New Roman" w:cs="Times New Roman"/>
          <w:sz w:val="24"/>
          <w:szCs w:val="24"/>
        </w:rPr>
        <w:t xml:space="preserve"> </w:t>
      </w:r>
      <w:r w:rsidR="006B03B5" w:rsidRPr="00D04BA0">
        <w:rPr>
          <w:rFonts w:ascii="Times New Roman" w:hAnsi="Times New Roman" w:cs="Times New Roman"/>
          <w:sz w:val="24"/>
          <w:szCs w:val="24"/>
        </w:rPr>
        <w:t>w obowiązującym stanie prawnym możliwość prowadzenia w UE działalności w zakresie funduszy typu UCITS, projektowane zmiany przepisów rozdziału 2 działu XII ustawy</w:t>
      </w:r>
      <w:r w:rsidR="00D04BA0">
        <w:rPr>
          <w:rFonts w:ascii="Times New Roman" w:hAnsi="Times New Roman" w:cs="Times New Roman"/>
          <w:sz w:val="24"/>
          <w:szCs w:val="24"/>
        </w:rPr>
        <w:t xml:space="preserve"> </w:t>
      </w:r>
      <w:r w:rsidR="006B03B5" w:rsidRPr="00D04BA0">
        <w:rPr>
          <w:rFonts w:ascii="Times New Roman" w:hAnsi="Times New Roman" w:cs="Times New Roman"/>
          <w:sz w:val="24"/>
          <w:szCs w:val="24"/>
        </w:rPr>
        <w:t>o funduszach inwestycyjnych przewidują, że dla prowadzenia działalności w zakresie zarządzania AFI nie będzie wymagane tworzenie odrębnych oddziałów. Niezbędna będzie natomiast odrębna notyfikacja zamiaru wykonywania w danym państwie tej działalności, jak też ewentualnie – działalności dodatkowej określonej w art</w:t>
      </w:r>
      <w:r w:rsidR="00201950">
        <w:rPr>
          <w:rFonts w:ascii="Times New Roman" w:hAnsi="Times New Roman" w:cs="Times New Roman"/>
          <w:sz w:val="24"/>
          <w:szCs w:val="24"/>
        </w:rPr>
        <w:t>. 45 ust. 2 lub 2a ustawy (art.</w:t>
      </w:r>
      <w:r w:rsidR="00D14EF5">
        <w:rPr>
          <w:rFonts w:ascii="Times New Roman" w:hAnsi="Times New Roman" w:cs="Times New Roman"/>
          <w:sz w:val="24"/>
          <w:szCs w:val="24"/>
        </w:rPr>
        <w:t xml:space="preserve"> </w:t>
      </w:r>
      <w:r w:rsidR="006B03B5" w:rsidRPr="00D04BA0">
        <w:rPr>
          <w:rFonts w:ascii="Times New Roman" w:hAnsi="Times New Roman" w:cs="Times New Roman"/>
          <w:sz w:val="24"/>
          <w:szCs w:val="24"/>
        </w:rPr>
        <w:t>265b ustawy)</w:t>
      </w:r>
      <w:r w:rsidR="00C95C67" w:rsidRPr="00D04BA0">
        <w:rPr>
          <w:rFonts w:ascii="Times New Roman" w:hAnsi="Times New Roman" w:cs="Times New Roman"/>
          <w:sz w:val="24"/>
          <w:szCs w:val="24"/>
        </w:rPr>
        <w:t>. Projekt wprowadza również (art. 264 ust. 10b i 10c ustawy) odmienny tryb informowania o zmianach w zakresie działalności zarządzania unijnymi AFI wynikający</w:t>
      </w:r>
      <w:r w:rsidR="00D04BA0">
        <w:rPr>
          <w:rFonts w:ascii="Times New Roman" w:hAnsi="Times New Roman" w:cs="Times New Roman"/>
          <w:sz w:val="24"/>
          <w:szCs w:val="24"/>
        </w:rPr>
        <w:t xml:space="preserve"> </w:t>
      </w:r>
      <w:r w:rsidR="00C95C67" w:rsidRPr="00D04BA0">
        <w:rPr>
          <w:rFonts w:ascii="Times New Roman" w:hAnsi="Times New Roman" w:cs="Times New Roman"/>
          <w:sz w:val="24"/>
          <w:szCs w:val="24"/>
        </w:rPr>
        <w:t>z art. 33 ust. 6 dyrektywy ZAFI.</w:t>
      </w:r>
    </w:p>
    <w:p w:rsidR="00C95C67" w:rsidRPr="00D04BA0" w:rsidRDefault="00C95C67" w:rsidP="008266F6">
      <w:pPr>
        <w:autoSpaceDE w:val="0"/>
        <w:autoSpaceDN w:val="0"/>
        <w:adjustRightInd w:val="0"/>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Podobnie jak w odniesieniu do funduszy typu UCITS</w:t>
      </w:r>
      <w:r w:rsidR="001A2EA7">
        <w:rPr>
          <w:rFonts w:ascii="Times New Roman" w:hAnsi="Times New Roman" w:cs="Times New Roman"/>
          <w:sz w:val="24"/>
          <w:szCs w:val="24"/>
        </w:rPr>
        <w:t>,</w:t>
      </w:r>
      <w:r w:rsidRPr="00D04BA0">
        <w:rPr>
          <w:rFonts w:ascii="Times New Roman" w:hAnsi="Times New Roman" w:cs="Times New Roman"/>
          <w:sz w:val="24"/>
          <w:szCs w:val="24"/>
        </w:rPr>
        <w:t xml:space="preserve"> odrębnej notyfikacji wymagać będzie zamiar wprowadzania do obrotu na terytorium Polski unijnych AFI oraz na terytorium państwa członkowskiego AFI zarządzanych przez TFI (czyli zbywanie jednostek uczestnictwa SFIO, proponowanie objęcia certyfikatów inwestycyjnych FIZ i wprowadzanie do obrotu zarządzanych przez TFI unijnych AFI). Projektowane w tym zakresie regulacje nowego rozdziału 1a w dziale XII ustawy o funduszach inwestycyjnych </w:t>
      </w:r>
      <w:r w:rsidR="00514501" w:rsidRPr="00D04BA0">
        <w:rPr>
          <w:rFonts w:ascii="Times New Roman" w:hAnsi="Times New Roman" w:cs="Times New Roman"/>
          <w:sz w:val="24"/>
          <w:szCs w:val="24"/>
        </w:rPr>
        <w:t>określają wymagane zgodnie z art. 32 dyrektywy ZAFI procedury notyfikacji takiego zamiaru i dokonywania zmian w tym zakresie. W odniesieniu do wykonywania tej działalności przez podmioty podlegające nadzorowi KNF (tj. TFI i nową grupę zarządzających ASI) uregulowano także kompetencje KNF w zakresie sprzeciwu wobec wprowadzania do obrotu na terytorium Polski unijnych AFI (art. 263c ust. 4</w:t>
      </w:r>
      <w:r w:rsidR="001D37A6">
        <w:rPr>
          <w:rFonts w:ascii="Times New Roman" w:hAnsi="Times New Roman" w:cs="Times New Roman"/>
          <w:sz w:val="24"/>
          <w:szCs w:val="24"/>
        </w:rPr>
        <w:t>–</w:t>
      </w:r>
      <w:r w:rsidR="00514501" w:rsidRPr="00D04BA0">
        <w:rPr>
          <w:rFonts w:ascii="Times New Roman" w:hAnsi="Times New Roman" w:cs="Times New Roman"/>
          <w:sz w:val="24"/>
          <w:szCs w:val="24"/>
        </w:rPr>
        <w:t xml:space="preserve">6 ustawy) oraz na terytorium państwa członkowskiego AFI zarządzanych przez TFI (odmowa przekazania zawiadomienia – art. 263f ust. 5 i 10 ustawy). </w:t>
      </w:r>
      <w:r w:rsidR="00CE590C" w:rsidRPr="00D04BA0">
        <w:rPr>
          <w:rFonts w:ascii="Times New Roman" w:hAnsi="Times New Roman" w:cs="Times New Roman"/>
          <w:sz w:val="24"/>
          <w:szCs w:val="24"/>
        </w:rPr>
        <w:t xml:space="preserve">Podkreślenia wymaga przy tym przeniesione na grunt ustawy o funduszach inwestycyjnych ograniczenie wprowadzania do obrotu funduszy typu AFI – wyłącznie wśród klientów profesjonalnych. Biorąc pod uwagę, że </w:t>
      </w:r>
      <w:r w:rsidR="001A2EA7">
        <w:rPr>
          <w:rFonts w:ascii="Times New Roman" w:hAnsi="Times New Roman" w:cs="Times New Roman"/>
          <w:sz w:val="24"/>
          <w:szCs w:val="24"/>
        </w:rPr>
        <w:t>na podstawie</w:t>
      </w:r>
      <w:r w:rsidR="00CE590C" w:rsidRPr="00D04BA0">
        <w:rPr>
          <w:rFonts w:ascii="Times New Roman" w:hAnsi="Times New Roman" w:cs="Times New Roman"/>
          <w:sz w:val="24"/>
          <w:szCs w:val="24"/>
        </w:rPr>
        <w:t xml:space="preserve"> art. 43 dyrektywy ZAFI, w projekcie zaproponowano dopuszczenie wprowadzania do obrotu na terytorium Polski funduszy typu AFI również wśród klientów detalicznych – wyłącznie jednak na zasadach określonych</w:t>
      </w:r>
      <w:r w:rsidR="00D04BA0">
        <w:rPr>
          <w:rFonts w:ascii="Times New Roman" w:hAnsi="Times New Roman" w:cs="Times New Roman"/>
          <w:sz w:val="24"/>
          <w:szCs w:val="24"/>
        </w:rPr>
        <w:t xml:space="preserve"> </w:t>
      </w:r>
      <w:r w:rsidR="00CE590C" w:rsidRPr="00D04BA0">
        <w:rPr>
          <w:rFonts w:ascii="Times New Roman" w:hAnsi="Times New Roman" w:cs="Times New Roman"/>
          <w:sz w:val="24"/>
          <w:szCs w:val="24"/>
        </w:rPr>
        <w:t>w przepisach o ofercie publicznej, analogiczne rozwiązanie odniesiono do unijnych AFI oraz,</w:t>
      </w:r>
      <w:r w:rsidR="00D04BA0">
        <w:rPr>
          <w:rFonts w:ascii="Times New Roman" w:hAnsi="Times New Roman" w:cs="Times New Roman"/>
          <w:sz w:val="24"/>
          <w:szCs w:val="24"/>
        </w:rPr>
        <w:t xml:space="preserve"> </w:t>
      </w:r>
      <w:r w:rsidR="00CE590C" w:rsidRPr="00D04BA0">
        <w:rPr>
          <w:rFonts w:ascii="Times New Roman" w:hAnsi="Times New Roman" w:cs="Times New Roman"/>
          <w:sz w:val="24"/>
          <w:szCs w:val="24"/>
        </w:rPr>
        <w:t>o ile przewiduje to</w:t>
      </w:r>
      <w:r w:rsidR="00514501" w:rsidRPr="00D04BA0">
        <w:rPr>
          <w:rFonts w:ascii="Times New Roman" w:hAnsi="Times New Roman" w:cs="Times New Roman"/>
          <w:sz w:val="24"/>
          <w:szCs w:val="24"/>
        </w:rPr>
        <w:t xml:space="preserve"> </w:t>
      </w:r>
      <w:r w:rsidR="00CE590C" w:rsidRPr="00D04BA0">
        <w:rPr>
          <w:rFonts w:ascii="Times New Roman" w:hAnsi="Times New Roman" w:cs="Times New Roman"/>
          <w:sz w:val="24"/>
          <w:szCs w:val="24"/>
        </w:rPr>
        <w:t>prawo danego państwa członkowskiego – do wprowadzania do obrotu</w:t>
      </w:r>
      <w:r w:rsidR="00D04BA0">
        <w:rPr>
          <w:rFonts w:ascii="Times New Roman" w:hAnsi="Times New Roman" w:cs="Times New Roman"/>
          <w:sz w:val="24"/>
          <w:szCs w:val="24"/>
        </w:rPr>
        <w:t xml:space="preserve"> </w:t>
      </w:r>
      <w:r w:rsidR="00CE590C" w:rsidRPr="00D04BA0">
        <w:rPr>
          <w:rFonts w:ascii="Times New Roman" w:hAnsi="Times New Roman" w:cs="Times New Roman"/>
          <w:sz w:val="24"/>
          <w:szCs w:val="24"/>
        </w:rPr>
        <w:t xml:space="preserve">w tym państwie funduszy typu AFI </w:t>
      </w:r>
      <w:r w:rsidR="00CE590C" w:rsidRPr="00D04BA0">
        <w:rPr>
          <w:rFonts w:ascii="Times New Roman" w:hAnsi="Times New Roman" w:cs="Times New Roman"/>
          <w:sz w:val="24"/>
          <w:szCs w:val="24"/>
        </w:rPr>
        <w:lastRenderedPageBreak/>
        <w:t xml:space="preserve">zarządzanych przez TFI. Należy przy tym podkreślić, że projekt nie wprowadza zmian w zakresie wprowadzania </w:t>
      </w:r>
      <w:r w:rsidR="00060A4A" w:rsidRPr="00D04BA0">
        <w:rPr>
          <w:rFonts w:ascii="Times New Roman" w:hAnsi="Times New Roman" w:cs="Times New Roman"/>
          <w:sz w:val="24"/>
          <w:szCs w:val="24"/>
        </w:rPr>
        <w:t xml:space="preserve">SFIO i FIZ </w:t>
      </w:r>
      <w:r w:rsidR="00CE590C" w:rsidRPr="00D04BA0">
        <w:rPr>
          <w:rFonts w:ascii="Times New Roman" w:hAnsi="Times New Roman" w:cs="Times New Roman"/>
          <w:sz w:val="24"/>
          <w:szCs w:val="24"/>
        </w:rPr>
        <w:t>do obrotu</w:t>
      </w:r>
      <w:r w:rsidR="00060A4A" w:rsidRPr="00D04BA0">
        <w:rPr>
          <w:rFonts w:ascii="Times New Roman" w:hAnsi="Times New Roman" w:cs="Times New Roman"/>
          <w:sz w:val="24"/>
          <w:szCs w:val="24"/>
        </w:rPr>
        <w:t xml:space="preserve"> (zbywania</w:t>
      </w:r>
      <w:r w:rsidR="00D04BA0">
        <w:rPr>
          <w:rFonts w:ascii="Times New Roman" w:hAnsi="Times New Roman" w:cs="Times New Roman"/>
          <w:sz w:val="24"/>
          <w:szCs w:val="24"/>
        </w:rPr>
        <w:t xml:space="preserve"> </w:t>
      </w:r>
      <w:r w:rsidR="00060A4A" w:rsidRPr="00D04BA0">
        <w:rPr>
          <w:rFonts w:ascii="Times New Roman" w:hAnsi="Times New Roman" w:cs="Times New Roman"/>
          <w:sz w:val="24"/>
          <w:szCs w:val="24"/>
        </w:rPr>
        <w:t xml:space="preserve">i proponowania objęcia </w:t>
      </w:r>
      <w:r w:rsidR="00CE590C" w:rsidRPr="00D04BA0">
        <w:rPr>
          <w:rFonts w:ascii="Times New Roman" w:hAnsi="Times New Roman" w:cs="Times New Roman"/>
          <w:sz w:val="24"/>
          <w:szCs w:val="24"/>
        </w:rPr>
        <w:t>jednostek i certyfikatów</w:t>
      </w:r>
      <w:r w:rsidR="00060A4A" w:rsidRPr="00D04BA0">
        <w:rPr>
          <w:rFonts w:ascii="Times New Roman" w:hAnsi="Times New Roman" w:cs="Times New Roman"/>
          <w:sz w:val="24"/>
          <w:szCs w:val="24"/>
        </w:rPr>
        <w:t>) na terytorium Polski.</w:t>
      </w:r>
    </w:p>
    <w:p w:rsidR="00060A4A" w:rsidRPr="00D04BA0" w:rsidRDefault="00060A4A" w:rsidP="008266F6">
      <w:pPr>
        <w:spacing w:before="24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3. Warunki wykonywania działalności</w:t>
      </w:r>
    </w:p>
    <w:p w:rsidR="008B5F10" w:rsidRPr="00D04BA0" w:rsidRDefault="00060A4A" w:rsidP="008266F6">
      <w:pPr>
        <w:autoSpaceDE w:val="0"/>
        <w:autoSpaceDN w:val="0"/>
        <w:adjustRightInd w:val="0"/>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wyniku dostosowania określonych ustawą o funduszach inwestycyjnych warunków wykonywania działalności TFI, proponuje się</w:t>
      </w:r>
      <w:r w:rsidR="00332D6B" w:rsidRPr="00D04BA0">
        <w:rPr>
          <w:rFonts w:ascii="Times New Roman" w:hAnsi="Times New Roman" w:cs="Times New Roman"/>
          <w:sz w:val="24"/>
          <w:szCs w:val="24"/>
        </w:rPr>
        <w:t xml:space="preserve"> w szczególności </w:t>
      </w:r>
      <w:r w:rsidRPr="00D04BA0">
        <w:rPr>
          <w:rFonts w:ascii="Times New Roman" w:hAnsi="Times New Roman" w:cs="Times New Roman"/>
          <w:sz w:val="24"/>
          <w:szCs w:val="24"/>
        </w:rPr>
        <w:t>wprowadzenie:</w:t>
      </w:r>
    </w:p>
    <w:p w:rsidR="00060A4A" w:rsidRPr="00D04BA0" w:rsidRDefault="00060A4A" w:rsidP="008266F6">
      <w:pPr>
        <w:pStyle w:val="Akapitzlist"/>
        <w:numPr>
          <w:ilvl w:val="0"/>
          <w:numId w:val="9"/>
        </w:numPr>
        <w:tabs>
          <w:tab w:val="left" w:pos="426"/>
        </w:tabs>
        <w:autoSpaceDE w:val="0"/>
        <w:autoSpaceDN w:val="0"/>
        <w:adjustRightInd w:val="0"/>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reguł wyznaczania podmiotu dokonującego czynności wyceny aktywów SFIO i FIZ (art. 36a ustawy) – wyceny aktywów dokonuje</w:t>
      </w:r>
      <w:r w:rsidR="008470AD">
        <w:rPr>
          <w:rFonts w:ascii="Times New Roman" w:hAnsi="Times New Roman" w:cs="Times New Roman"/>
          <w:sz w:val="24"/>
          <w:szCs w:val="24"/>
        </w:rPr>
        <w:t>,</w:t>
      </w:r>
      <w:r w:rsidRPr="00D04BA0">
        <w:rPr>
          <w:rFonts w:ascii="Times New Roman" w:hAnsi="Times New Roman" w:cs="Times New Roman"/>
          <w:sz w:val="24"/>
          <w:szCs w:val="24"/>
        </w:rPr>
        <w:t xml:space="preserve"> co do zasady</w:t>
      </w:r>
      <w:r w:rsidR="008470AD">
        <w:rPr>
          <w:rFonts w:ascii="Times New Roman" w:hAnsi="Times New Roman" w:cs="Times New Roman"/>
          <w:sz w:val="24"/>
          <w:szCs w:val="24"/>
        </w:rPr>
        <w:t>,</w:t>
      </w:r>
      <w:r w:rsidRPr="00D04BA0">
        <w:rPr>
          <w:rFonts w:ascii="Times New Roman" w:hAnsi="Times New Roman" w:cs="Times New Roman"/>
          <w:sz w:val="24"/>
          <w:szCs w:val="24"/>
        </w:rPr>
        <w:t xml:space="preserve"> fundusz (art. 8 ustawy)</w:t>
      </w:r>
      <w:r w:rsidR="001A2EA7">
        <w:rPr>
          <w:rFonts w:ascii="Times New Roman" w:hAnsi="Times New Roman" w:cs="Times New Roman"/>
          <w:sz w:val="24"/>
          <w:szCs w:val="24"/>
        </w:rPr>
        <w:t>,</w:t>
      </w:r>
      <w:r w:rsidRPr="00D04BA0">
        <w:rPr>
          <w:rFonts w:ascii="Times New Roman" w:hAnsi="Times New Roman" w:cs="Times New Roman"/>
          <w:sz w:val="24"/>
          <w:szCs w:val="24"/>
        </w:rPr>
        <w:t xml:space="preserve"> a w jego imieniu TFI będące jego organem</w:t>
      </w:r>
      <w:r w:rsidR="00F605D5" w:rsidRPr="00D04BA0">
        <w:rPr>
          <w:rFonts w:ascii="Times New Roman" w:hAnsi="Times New Roman" w:cs="Times New Roman"/>
          <w:sz w:val="24"/>
          <w:szCs w:val="24"/>
        </w:rPr>
        <w:t>; w uzupełnieniu tych regulacji zgodnie</w:t>
      </w:r>
      <w:r w:rsidR="00D04BA0">
        <w:rPr>
          <w:rFonts w:ascii="Times New Roman" w:hAnsi="Times New Roman" w:cs="Times New Roman"/>
          <w:sz w:val="24"/>
          <w:szCs w:val="24"/>
        </w:rPr>
        <w:t xml:space="preserve"> </w:t>
      </w:r>
      <w:r w:rsidR="00F605D5" w:rsidRPr="00D04BA0">
        <w:rPr>
          <w:rFonts w:ascii="Times New Roman" w:hAnsi="Times New Roman" w:cs="Times New Roman"/>
          <w:sz w:val="24"/>
          <w:szCs w:val="24"/>
        </w:rPr>
        <w:t>z art. 19 ust. 4</w:t>
      </w:r>
      <w:r w:rsidR="001D37A6">
        <w:rPr>
          <w:rFonts w:ascii="Times New Roman" w:hAnsi="Times New Roman" w:cs="Times New Roman"/>
          <w:sz w:val="24"/>
          <w:szCs w:val="24"/>
        </w:rPr>
        <w:t>–</w:t>
      </w:r>
      <w:r w:rsidR="00F605D5" w:rsidRPr="00D04BA0">
        <w:rPr>
          <w:rFonts w:ascii="Times New Roman" w:hAnsi="Times New Roman" w:cs="Times New Roman"/>
          <w:sz w:val="24"/>
          <w:szCs w:val="24"/>
        </w:rPr>
        <w:t>10 dyrektywy ZAFI proponuje się uregulowanie zasad wyznaczania zewnętrznego podmiotu wyceniającego i warunków, jakie musi spełniać taki podmiot;</w:t>
      </w:r>
    </w:p>
    <w:p w:rsidR="00D04F4B" w:rsidRPr="00D04BA0" w:rsidRDefault="00F605D5" w:rsidP="008266F6">
      <w:pPr>
        <w:pStyle w:val="Akapitzlist"/>
        <w:numPr>
          <w:ilvl w:val="0"/>
          <w:numId w:val="9"/>
        </w:numPr>
        <w:tabs>
          <w:tab w:val="left" w:pos="426"/>
        </w:tabs>
        <w:autoSpaceDE w:val="0"/>
        <w:autoSpaceDN w:val="0"/>
        <w:adjustRightInd w:val="0"/>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zmian zasad powierzania wykonywania czynności TFI innym przedsiębiorcom</w:t>
      </w:r>
      <w:r w:rsidR="00D04BA0">
        <w:rPr>
          <w:rFonts w:ascii="Times New Roman" w:hAnsi="Times New Roman" w:cs="Times New Roman"/>
          <w:sz w:val="24"/>
          <w:szCs w:val="24"/>
        </w:rPr>
        <w:t xml:space="preserve"> </w:t>
      </w:r>
      <w:r w:rsidR="001A2EA7">
        <w:rPr>
          <w:rFonts w:ascii="Times New Roman" w:hAnsi="Times New Roman" w:cs="Times New Roman"/>
          <w:sz w:val="24"/>
          <w:szCs w:val="24"/>
        </w:rPr>
        <w:br/>
      </w:r>
      <w:r w:rsidR="00201950">
        <w:rPr>
          <w:rFonts w:ascii="Times New Roman" w:hAnsi="Times New Roman" w:cs="Times New Roman"/>
          <w:sz w:val="24"/>
          <w:szCs w:val="24"/>
        </w:rPr>
        <w:t>(art.</w:t>
      </w:r>
      <w:r w:rsidR="00D14EF5">
        <w:rPr>
          <w:rFonts w:ascii="Times New Roman" w:hAnsi="Times New Roman" w:cs="Times New Roman"/>
          <w:sz w:val="24"/>
          <w:szCs w:val="24"/>
        </w:rPr>
        <w:t xml:space="preserve"> </w:t>
      </w:r>
      <w:r w:rsidRPr="00D04BA0">
        <w:rPr>
          <w:rFonts w:ascii="Times New Roman" w:hAnsi="Times New Roman" w:cs="Times New Roman"/>
          <w:sz w:val="24"/>
          <w:szCs w:val="24"/>
        </w:rPr>
        <w:t>45a, art. 46 i art. 46a ustawy) – w szczególności przez wprowadzenie (wyłącznie</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w odniesieniu do SFIO i FIZ) możliwości dalszego przekazywania wykonywania czynności, modyfikację ograniczeń dotyczących zlecania zarządzania portfelem inwestycyjnym funduszu związanych z możliwością występowania konfliktów interesów oraz wprowadzenie takich ograniczeń co do zlecania zarządzania </w:t>
      </w:r>
      <w:r w:rsidR="00D04F4B" w:rsidRPr="00D04BA0">
        <w:rPr>
          <w:rFonts w:ascii="Times New Roman" w:hAnsi="Times New Roman" w:cs="Times New Roman"/>
          <w:sz w:val="24"/>
          <w:szCs w:val="24"/>
        </w:rPr>
        <w:t>ryzykiem</w:t>
      </w:r>
      <w:r w:rsidR="001D3A28" w:rsidRPr="00D04BA0">
        <w:rPr>
          <w:rFonts w:ascii="Times New Roman" w:hAnsi="Times New Roman" w:cs="Times New Roman"/>
          <w:sz w:val="24"/>
          <w:szCs w:val="24"/>
        </w:rPr>
        <w:t xml:space="preserve"> SFIO i FIZ</w:t>
      </w:r>
      <w:r w:rsidR="00D04F4B" w:rsidRPr="00D04BA0">
        <w:rPr>
          <w:rFonts w:ascii="Times New Roman" w:hAnsi="Times New Roman" w:cs="Times New Roman"/>
          <w:sz w:val="24"/>
          <w:szCs w:val="24"/>
        </w:rPr>
        <w:t>;</w:t>
      </w:r>
    </w:p>
    <w:p w:rsidR="00D04F4B" w:rsidRPr="00D04BA0" w:rsidRDefault="00D04F4B" w:rsidP="008266F6">
      <w:pPr>
        <w:pStyle w:val="Akapitzlist"/>
        <w:numPr>
          <w:ilvl w:val="0"/>
          <w:numId w:val="9"/>
        </w:numPr>
        <w:tabs>
          <w:tab w:val="left" w:pos="426"/>
        </w:tabs>
        <w:autoSpaceDE w:val="0"/>
        <w:autoSpaceDN w:val="0"/>
        <w:adjustRightInd w:val="0"/>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obowiązku opracowania i wdrożenia polityki wynagrodzeń (art. 47a ustawy)</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zgodnie z wymaganiami zarówno dyrektywy ZAFI, jak i dyrektywy UCITS V;</w:t>
      </w:r>
    </w:p>
    <w:p w:rsidR="00D04F4B" w:rsidRPr="008266F6" w:rsidRDefault="00D04F4B" w:rsidP="008266F6">
      <w:pPr>
        <w:pStyle w:val="Akapitzlist"/>
        <w:numPr>
          <w:ilvl w:val="0"/>
          <w:numId w:val="9"/>
        </w:numPr>
        <w:tabs>
          <w:tab w:val="left" w:pos="426"/>
        </w:tabs>
        <w:autoSpaceDE w:val="0"/>
        <w:autoSpaceDN w:val="0"/>
        <w:adjustRightInd w:val="0"/>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obowiązku wdrożenia systemu kontroli wewnętrznej również przez TFI obecnie</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z tego obowiązku zwolnione (czyli zarządzające wyłącznie określonymi funduszami aktywów niepublicznych (art. 48 ust. 1 ustawy)</w:t>
      </w:r>
      <w:r w:rsidR="001A2EA7">
        <w:rPr>
          <w:rFonts w:ascii="Times New Roman" w:hAnsi="Times New Roman" w:cs="Times New Roman"/>
          <w:sz w:val="24"/>
          <w:szCs w:val="24"/>
        </w:rPr>
        <w:t>)</w:t>
      </w:r>
      <w:r w:rsidRPr="00D04BA0">
        <w:rPr>
          <w:rFonts w:ascii="Times New Roman" w:hAnsi="Times New Roman" w:cs="Times New Roman"/>
          <w:sz w:val="24"/>
          <w:szCs w:val="24"/>
        </w:rPr>
        <w:t xml:space="preserve"> – z</w:t>
      </w:r>
      <w:r w:rsidR="00325DA0" w:rsidRPr="00D04BA0">
        <w:rPr>
          <w:rFonts w:ascii="Times New Roman" w:hAnsi="Times New Roman" w:cs="Times New Roman"/>
          <w:sz w:val="24"/>
          <w:szCs w:val="24"/>
        </w:rPr>
        <w:t>wiązane jest to z opisaną wcześniej zasadą, iż wszystkie TFI niezależnie od wartości zarządzanych aktywów funduszy SFIO i FIZ będą zobowiązane posiadać zezwolenie na zarządzanie tymi funduszami; rozwiązanie to kreuje z kolei uprawnienie do prowadzenia działalności transgranicznej, co pociąga za sobą konieczność spełniania przez takie TFI wyższych standardów technicznych oraz organizacyjnych</w:t>
      </w:r>
      <w:r w:rsidRPr="00D04BA0">
        <w:rPr>
          <w:rFonts w:ascii="Times New Roman" w:hAnsi="Times New Roman" w:cs="Times New Roman"/>
          <w:sz w:val="24"/>
          <w:szCs w:val="24"/>
        </w:rPr>
        <w:t>;</w:t>
      </w:r>
    </w:p>
    <w:p w:rsidR="00D04F4B" w:rsidRPr="00D04BA0" w:rsidRDefault="001B29F4" w:rsidP="008266F6">
      <w:pPr>
        <w:pStyle w:val="Akapitzlist"/>
        <w:numPr>
          <w:ilvl w:val="0"/>
          <w:numId w:val="9"/>
        </w:numPr>
        <w:tabs>
          <w:tab w:val="left" w:pos="426"/>
        </w:tabs>
        <w:autoSpaceDE w:val="0"/>
        <w:autoSpaceDN w:val="0"/>
        <w:adjustRightInd w:val="0"/>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wymogu prowadzenia działalności z uwzględnieniem również interesu integralności rynku finansowego oraz wymogów dotyczących stosowania dźwigni finansowej AFI i wyznaczania ekspozycji AFI (pojęcia te zostały przy tym w art. 2 </w:t>
      </w:r>
      <w:r w:rsidRPr="00D04BA0">
        <w:rPr>
          <w:rFonts w:ascii="Times New Roman" w:hAnsi="Times New Roman" w:cs="Times New Roman"/>
          <w:sz w:val="24"/>
          <w:szCs w:val="24"/>
        </w:rPr>
        <w:lastRenderedPageBreak/>
        <w:t>ustawy zdefiniowane w odniesieniu do SFI i FIZ, z uwzględnieniem nowych rodzajów funduszy typu AFI, które mogą być zarządzane przez TFI</w:t>
      </w:r>
      <w:r w:rsidR="00332D6B" w:rsidRPr="00D04BA0">
        <w:rPr>
          <w:rFonts w:ascii="Times New Roman" w:hAnsi="Times New Roman" w:cs="Times New Roman"/>
          <w:sz w:val="24"/>
          <w:szCs w:val="24"/>
        </w:rPr>
        <w:t>, tj. unijnych AFI)</w:t>
      </w:r>
      <w:r w:rsidR="001A2EA7">
        <w:rPr>
          <w:rFonts w:ascii="Times New Roman" w:hAnsi="Times New Roman" w:cs="Times New Roman"/>
          <w:sz w:val="24"/>
          <w:szCs w:val="24"/>
        </w:rPr>
        <w:t>,</w:t>
      </w:r>
      <w:r w:rsidR="00332D6B" w:rsidRPr="00D04BA0">
        <w:rPr>
          <w:rFonts w:ascii="Times New Roman" w:hAnsi="Times New Roman" w:cs="Times New Roman"/>
          <w:sz w:val="24"/>
          <w:szCs w:val="24"/>
        </w:rPr>
        <w:t xml:space="preserve"> </w:t>
      </w:r>
      <w:r w:rsidRPr="00D04BA0">
        <w:rPr>
          <w:rFonts w:ascii="Times New Roman" w:hAnsi="Times New Roman" w:cs="Times New Roman"/>
          <w:sz w:val="24"/>
          <w:szCs w:val="24"/>
        </w:rPr>
        <w:t>a także posługiwania się ratingami</w:t>
      </w:r>
      <w:r w:rsidR="00332D6B" w:rsidRPr="00D04BA0">
        <w:rPr>
          <w:rFonts w:ascii="Times New Roman" w:hAnsi="Times New Roman" w:cs="Times New Roman"/>
          <w:sz w:val="24"/>
          <w:szCs w:val="24"/>
        </w:rPr>
        <w:t>;</w:t>
      </w:r>
    </w:p>
    <w:p w:rsidR="00332D6B" w:rsidRPr="00D04BA0" w:rsidRDefault="00332D6B" w:rsidP="008266F6">
      <w:pPr>
        <w:pStyle w:val="Akapitzlist"/>
        <w:numPr>
          <w:ilvl w:val="0"/>
          <w:numId w:val="9"/>
        </w:numPr>
        <w:tabs>
          <w:tab w:val="left" w:pos="426"/>
        </w:tabs>
        <w:autoSpaceDE w:val="0"/>
        <w:autoSpaceDN w:val="0"/>
        <w:adjustRightInd w:val="0"/>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zwiększonych wymogów kapitałowych dotyczących dzi</w:t>
      </w:r>
      <w:r w:rsidR="00201950">
        <w:rPr>
          <w:rFonts w:ascii="Times New Roman" w:hAnsi="Times New Roman" w:cs="Times New Roman"/>
          <w:sz w:val="24"/>
          <w:szCs w:val="24"/>
        </w:rPr>
        <w:t>ałalności zarządzania AFI (art.</w:t>
      </w:r>
      <w:r w:rsidR="00D14EF5">
        <w:rPr>
          <w:rFonts w:ascii="Times New Roman" w:hAnsi="Times New Roman" w:cs="Times New Roman"/>
          <w:sz w:val="24"/>
          <w:szCs w:val="24"/>
        </w:rPr>
        <w:t xml:space="preserve"> </w:t>
      </w:r>
      <w:r w:rsidRPr="00D04BA0">
        <w:rPr>
          <w:rFonts w:ascii="Times New Roman" w:hAnsi="Times New Roman" w:cs="Times New Roman"/>
          <w:sz w:val="24"/>
          <w:szCs w:val="24"/>
        </w:rPr>
        <w:t>50 ust. 4a ustawy) – zgodnie z art. 9 ust. 7 dyrektywy ZAFI mogą one być spełnione alternatywnie przez zwiększenie kapitału własnego albo zawarcie umowy ubezpieczenia.</w:t>
      </w:r>
    </w:p>
    <w:p w:rsidR="00332D6B" w:rsidRPr="00D04BA0" w:rsidRDefault="00332D6B" w:rsidP="008266F6">
      <w:pPr>
        <w:autoSpaceDE w:val="0"/>
        <w:autoSpaceDN w:val="0"/>
        <w:adjustRightInd w:val="0"/>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Należy przy tym podkreślić, że szczegółowe warunki wykonywania działalności zarządzania AFI są w znacznej mierze uregulowane przez bezpośrednio stosowane rozporządzenie delegowane Komisji (UE) nr 231/2013 z dnia 19 grudnia 2012 r. uzupełniające dyrektywę Parlamentu Europejskiego i Rady 2011/61/UE w odniesieniu do zwolnień, ogólnych warunków dotyczących prowadzenia działalności, depozytariuszy, dźwigni finansowej, przejrzystości i nadzoru (Dz. Urz. UE L 83 z</w:t>
      </w:r>
      <w:r w:rsidR="00D14EF5">
        <w:rPr>
          <w:rFonts w:ascii="Times New Roman" w:hAnsi="Times New Roman" w:cs="Times New Roman"/>
          <w:sz w:val="24"/>
          <w:szCs w:val="24"/>
        </w:rPr>
        <w:t> </w:t>
      </w:r>
      <w:r w:rsidRPr="00D04BA0">
        <w:rPr>
          <w:rFonts w:ascii="Times New Roman" w:hAnsi="Times New Roman" w:cs="Times New Roman"/>
          <w:sz w:val="24"/>
          <w:szCs w:val="24"/>
        </w:rPr>
        <w:t xml:space="preserve">22.03.2013, str. 1). Z uwagi na wykonywanie przez większość TFI działalności zarówno w zakresie funduszy typu UCITS, jak i funduszy </w:t>
      </w:r>
      <w:r w:rsidR="00611FE3" w:rsidRPr="00D04BA0">
        <w:rPr>
          <w:rFonts w:ascii="Times New Roman" w:hAnsi="Times New Roman" w:cs="Times New Roman"/>
          <w:sz w:val="24"/>
          <w:szCs w:val="24"/>
        </w:rPr>
        <w:t>typu AFI oraz ze względu na fakt, że wynikające z prawa UE warunki wykonywania działalności w obu tych zakresach są zbliżone i służą realizacji podobnych celów, proponuje się (w dodawanym art. 48b ustawy) wyraźne umożliwienie uniknięcia dublowania rozwiązań organizacyjnych i technicznych oraz regulacji wewnętrznych przyjmowanych dla obu zakresów działalności TFI.</w:t>
      </w:r>
    </w:p>
    <w:p w:rsidR="00405E45" w:rsidRPr="00D04BA0" w:rsidRDefault="00405E45" w:rsidP="008266F6">
      <w:pPr>
        <w:autoSpaceDE w:val="0"/>
        <w:autoSpaceDN w:val="0"/>
        <w:adjustRightInd w:val="0"/>
        <w:spacing w:before="120" w:after="0" w:line="360" w:lineRule="auto"/>
        <w:jc w:val="both"/>
        <w:rPr>
          <w:rFonts w:ascii="Times New Roman" w:hAnsi="Times New Roman" w:cs="Times New Roman"/>
          <w:sz w:val="24"/>
          <w:szCs w:val="24"/>
        </w:rPr>
      </w:pPr>
      <w:r w:rsidRPr="00D04BA0">
        <w:rPr>
          <w:rFonts w:ascii="Times New Roman" w:hAnsi="Times New Roman" w:cs="Times New Roman"/>
          <w:iCs/>
          <w:sz w:val="24"/>
          <w:szCs w:val="24"/>
        </w:rPr>
        <w:t>W kontekście przewidzianej projektem możliwości dalszego przekazywania wykonywania czynności, zauważenia wymaga, iż przewidzian</w:t>
      </w:r>
      <w:r w:rsidR="00F3209E" w:rsidRPr="00D04BA0">
        <w:rPr>
          <w:rFonts w:ascii="Times New Roman" w:hAnsi="Times New Roman" w:cs="Times New Roman"/>
          <w:iCs/>
          <w:sz w:val="24"/>
          <w:szCs w:val="24"/>
        </w:rPr>
        <w:t>y</w:t>
      </w:r>
      <w:r w:rsidRPr="00D04BA0">
        <w:rPr>
          <w:rFonts w:ascii="Times New Roman" w:hAnsi="Times New Roman" w:cs="Times New Roman"/>
          <w:iCs/>
          <w:sz w:val="24"/>
          <w:szCs w:val="24"/>
        </w:rPr>
        <w:t xml:space="preserve"> w nowelizującym art.</w:t>
      </w:r>
      <w:r w:rsidR="00D14EF5">
        <w:rPr>
          <w:rFonts w:ascii="Times New Roman" w:hAnsi="Times New Roman" w:cs="Times New Roman"/>
          <w:iCs/>
          <w:sz w:val="24"/>
          <w:szCs w:val="24"/>
        </w:rPr>
        <w:t> </w:t>
      </w:r>
      <w:r w:rsidRPr="00D04BA0">
        <w:rPr>
          <w:rFonts w:ascii="Times New Roman" w:hAnsi="Times New Roman" w:cs="Times New Roman"/>
          <w:iCs/>
          <w:sz w:val="24"/>
          <w:szCs w:val="24"/>
        </w:rPr>
        <w:t xml:space="preserve">225a pkt 3 ustawy o funduszach inwestycyjnych obowiązek dostarczania </w:t>
      </w:r>
      <w:r w:rsidR="00F3209E" w:rsidRPr="00D04BA0">
        <w:rPr>
          <w:rFonts w:ascii="Times New Roman" w:hAnsi="Times New Roman" w:cs="Times New Roman"/>
          <w:iCs/>
          <w:sz w:val="24"/>
          <w:szCs w:val="24"/>
        </w:rPr>
        <w:t xml:space="preserve">KNF </w:t>
      </w:r>
      <w:r w:rsidRPr="00D04BA0">
        <w:rPr>
          <w:rFonts w:ascii="Times New Roman" w:hAnsi="Times New Roman" w:cs="Times New Roman"/>
          <w:iCs/>
          <w:sz w:val="24"/>
          <w:szCs w:val="24"/>
        </w:rPr>
        <w:t>informacji, dokumentów lub wyjaśnień niezbędnych do wykonywania efektywnego nadzoru</w:t>
      </w:r>
      <w:r w:rsidR="00F3209E" w:rsidRPr="00D04BA0">
        <w:rPr>
          <w:rFonts w:ascii="Times New Roman" w:hAnsi="Times New Roman" w:cs="Times New Roman"/>
          <w:iCs/>
          <w:sz w:val="24"/>
          <w:szCs w:val="24"/>
        </w:rPr>
        <w:t xml:space="preserve"> nie dotyczy zawieranych przez towarzystwo umów, o których mowa w art. 45a ust. 7, to jest takich, których przedmiotem są czynności niemające istotnego znaczenia dla prawidłowego wykonywania przez towarzystwo obowiązków określonych przepisami prawa, sytuacji finansowej towarzystwa, ciągłości lub stabilności prowadzenia przez towarzystwo działalności</w:t>
      </w:r>
      <w:r w:rsidRPr="00D04BA0">
        <w:rPr>
          <w:rFonts w:ascii="Times New Roman" w:hAnsi="Times New Roman" w:cs="Times New Roman"/>
          <w:iCs/>
          <w:sz w:val="24"/>
          <w:szCs w:val="24"/>
        </w:rPr>
        <w:t>.</w:t>
      </w:r>
    </w:p>
    <w:p w:rsidR="00E50EC3" w:rsidRPr="00D04BA0" w:rsidRDefault="00E50EC3" w:rsidP="00F2487E">
      <w:pPr>
        <w:autoSpaceDE w:val="0"/>
        <w:autoSpaceDN w:val="0"/>
        <w:adjustRightInd w:val="0"/>
        <w:spacing w:before="24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4. Zmiany dotyczące SFIO i FIZ</w:t>
      </w:r>
    </w:p>
    <w:p w:rsidR="00E50EC3" w:rsidRPr="00D04BA0" w:rsidRDefault="00E50EC3" w:rsidP="00F2487E">
      <w:pPr>
        <w:autoSpaceDE w:val="0"/>
        <w:autoSpaceDN w:val="0"/>
        <w:adjustRightInd w:val="0"/>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Projekt nie zmienia zasad działalności samych funduszy inwestycyjnych – dyrektywa ZAFI co do zasady odnosi się do działalności podmiotów zarządzających funduszami, </w:t>
      </w:r>
      <w:r w:rsidRPr="00D04BA0">
        <w:rPr>
          <w:rFonts w:ascii="Times New Roman" w:hAnsi="Times New Roman" w:cs="Times New Roman"/>
          <w:sz w:val="24"/>
          <w:szCs w:val="24"/>
        </w:rPr>
        <w:lastRenderedPageBreak/>
        <w:t>jednakże proponuje się wprowadzenie niezbędnych dostosowań do regulacji wynikających</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z wdrożenia tej dyrektywy. </w:t>
      </w:r>
      <w:r w:rsidR="000D1A54" w:rsidRPr="00D04BA0">
        <w:rPr>
          <w:rFonts w:ascii="Times New Roman" w:hAnsi="Times New Roman" w:cs="Times New Roman"/>
          <w:sz w:val="24"/>
          <w:szCs w:val="24"/>
        </w:rPr>
        <w:t xml:space="preserve">Obok przedstawionych w dalszej części zmian w zakresie sprawozdawczości funduszy, projekt przewiduje </w:t>
      </w:r>
      <w:r w:rsidR="00467020" w:rsidRPr="00D04BA0">
        <w:rPr>
          <w:rFonts w:ascii="Times New Roman" w:hAnsi="Times New Roman" w:cs="Times New Roman"/>
          <w:sz w:val="24"/>
          <w:szCs w:val="24"/>
        </w:rPr>
        <w:t xml:space="preserve">wymóg </w:t>
      </w:r>
      <w:r w:rsidR="000D1A54" w:rsidRPr="00D04BA0">
        <w:rPr>
          <w:rFonts w:ascii="Times New Roman" w:hAnsi="Times New Roman" w:cs="Times New Roman"/>
          <w:sz w:val="24"/>
          <w:szCs w:val="24"/>
        </w:rPr>
        <w:t>utworzeni</w:t>
      </w:r>
      <w:r w:rsidR="00467020" w:rsidRPr="00D04BA0">
        <w:rPr>
          <w:rFonts w:ascii="Times New Roman" w:hAnsi="Times New Roman" w:cs="Times New Roman"/>
          <w:sz w:val="24"/>
          <w:szCs w:val="24"/>
        </w:rPr>
        <w:t>a</w:t>
      </w:r>
      <w:r w:rsidR="000D1A54" w:rsidRPr="00D04BA0">
        <w:rPr>
          <w:rFonts w:ascii="Times New Roman" w:hAnsi="Times New Roman" w:cs="Times New Roman"/>
          <w:sz w:val="24"/>
          <w:szCs w:val="24"/>
        </w:rPr>
        <w:t xml:space="preserve"> w SFIO nowego organu, tj. </w:t>
      </w:r>
      <w:r w:rsidR="00467020" w:rsidRPr="00D04BA0">
        <w:rPr>
          <w:rFonts w:ascii="Times New Roman" w:hAnsi="Times New Roman" w:cs="Times New Roman"/>
          <w:sz w:val="24"/>
          <w:szCs w:val="24"/>
        </w:rPr>
        <w:t xml:space="preserve">zgromadzenia uczestników. Do jego kompetencji – analogicznie </w:t>
      </w:r>
      <w:r w:rsidR="001A2EA7">
        <w:rPr>
          <w:rFonts w:ascii="Times New Roman" w:hAnsi="Times New Roman" w:cs="Times New Roman"/>
          <w:sz w:val="24"/>
          <w:szCs w:val="24"/>
        </w:rPr>
        <w:t xml:space="preserve">do </w:t>
      </w:r>
      <w:r w:rsidR="00467020" w:rsidRPr="00D04BA0">
        <w:rPr>
          <w:rFonts w:ascii="Times New Roman" w:hAnsi="Times New Roman" w:cs="Times New Roman"/>
          <w:sz w:val="24"/>
          <w:szCs w:val="24"/>
        </w:rPr>
        <w:t>przypadku FIO</w:t>
      </w:r>
      <w:r w:rsidR="00D04BA0">
        <w:rPr>
          <w:rFonts w:ascii="Times New Roman" w:hAnsi="Times New Roman" w:cs="Times New Roman"/>
          <w:sz w:val="24"/>
          <w:szCs w:val="24"/>
        </w:rPr>
        <w:t xml:space="preserve"> </w:t>
      </w:r>
      <w:r w:rsidR="00467020" w:rsidRPr="00D04BA0">
        <w:rPr>
          <w:rFonts w:ascii="Times New Roman" w:hAnsi="Times New Roman" w:cs="Times New Roman"/>
          <w:sz w:val="24"/>
          <w:szCs w:val="24"/>
        </w:rPr>
        <w:t xml:space="preserve">– należałoby wyrażanie zgody na przejęcie zarządzania funduszem przez inne TFI albo przejęcia zarządzania funduszem i prowadzenia jego spraw przez zarządzającego z UE. Rozwiązanie takie </w:t>
      </w:r>
      <w:r w:rsidR="00325DA0" w:rsidRPr="00D04BA0">
        <w:rPr>
          <w:rFonts w:ascii="Times New Roman" w:hAnsi="Times New Roman" w:cs="Times New Roman"/>
          <w:sz w:val="24"/>
          <w:szCs w:val="24"/>
        </w:rPr>
        <w:t xml:space="preserve">wzorowane jest na przyjętym dla funduszy FIO i </w:t>
      </w:r>
      <w:r w:rsidR="00467020" w:rsidRPr="00D04BA0">
        <w:rPr>
          <w:rFonts w:ascii="Times New Roman" w:hAnsi="Times New Roman" w:cs="Times New Roman"/>
          <w:sz w:val="24"/>
          <w:szCs w:val="24"/>
        </w:rPr>
        <w:t xml:space="preserve">jest </w:t>
      </w:r>
      <w:r w:rsidR="00325DA0" w:rsidRPr="00D04BA0">
        <w:rPr>
          <w:rFonts w:ascii="Times New Roman" w:hAnsi="Times New Roman" w:cs="Times New Roman"/>
          <w:sz w:val="24"/>
          <w:szCs w:val="24"/>
        </w:rPr>
        <w:t>uzasadnione potrzebą jak najszerszej ochrony praw majątkowych uczestników funduszu w sytu</w:t>
      </w:r>
      <w:r w:rsidR="00D51956">
        <w:rPr>
          <w:rFonts w:ascii="Times New Roman" w:hAnsi="Times New Roman" w:cs="Times New Roman"/>
          <w:sz w:val="24"/>
          <w:szCs w:val="24"/>
        </w:rPr>
        <w:t>acji przekazywania funkcji zarzą</w:t>
      </w:r>
      <w:r w:rsidR="00325DA0" w:rsidRPr="00D04BA0">
        <w:rPr>
          <w:rFonts w:ascii="Times New Roman" w:hAnsi="Times New Roman" w:cs="Times New Roman"/>
          <w:sz w:val="24"/>
          <w:szCs w:val="24"/>
        </w:rPr>
        <w:t>dzania. Przepis ten jest swego rodzaju realizacją prawa korporacyjnego, realizowanego w momencie podejmowania strategicznych decyzji dotyczących działalności funduszu, w tym</w:t>
      </w:r>
      <w:r w:rsidR="00201950">
        <w:rPr>
          <w:rFonts w:ascii="Times New Roman" w:hAnsi="Times New Roman" w:cs="Times New Roman"/>
          <w:sz w:val="24"/>
          <w:szCs w:val="24"/>
        </w:rPr>
        <w:t xml:space="preserve"> m.in. decyzji o przejęciu zarzą</w:t>
      </w:r>
      <w:r w:rsidR="00325DA0" w:rsidRPr="00D04BA0">
        <w:rPr>
          <w:rFonts w:ascii="Times New Roman" w:hAnsi="Times New Roman" w:cs="Times New Roman"/>
          <w:sz w:val="24"/>
          <w:szCs w:val="24"/>
        </w:rPr>
        <w:t>dzania tym funduszem przez podmiot zewnętrzny. Wpisuje się również w dyspozycję dyrektywy ZAFI zagwarantowania wysokich standardów bezpieczeństwa</w:t>
      </w:r>
      <w:r w:rsidR="001A2EA7">
        <w:rPr>
          <w:rFonts w:ascii="Times New Roman" w:hAnsi="Times New Roman" w:cs="Times New Roman"/>
          <w:sz w:val="24"/>
          <w:szCs w:val="24"/>
        </w:rPr>
        <w:t>,</w:t>
      </w:r>
      <w:r w:rsidR="00325DA0" w:rsidRPr="00D04BA0">
        <w:rPr>
          <w:rFonts w:ascii="Times New Roman" w:hAnsi="Times New Roman" w:cs="Times New Roman"/>
          <w:sz w:val="24"/>
          <w:szCs w:val="24"/>
        </w:rPr>
        <w:t xml:space="preserve"> a także kontroli w kierunku obiektywnych ekonomicznie i funkcjonalnie uzasadnionych przesłanek przejęcia</w:t>
      </w:r>
      <w:r w:rsidR="00467020" w:rsidRPr="00D04BA0">
        <w:rPr>
          <w:rFonts w:ascii="Times New Roman" w:hAnsi="Times New Roman" w:cs="Times New Roman"/>
          <w:sz w:val="24"/>
          <w:szCs w:val="24"/>
        </w:rPr>
        <w:t xml:space="preserve">. </w:t>
      </w:r>
      <w:r w:rsidR="00144109" w:rsidRPr="00D04BA0">
        <w:rPr>
          <w:rFonts w:ascii="Times New Roman" w:hAnsi="Times New Roman" w:cs="Times New Roman"/>
          <w:sz w:val="24"/>
          <w:szCs w:val="24"/>
        </w:rPr>
        <w:t xml:space="preserve">Podkreślenia przy tym wymaga, iż </w:t>
      </w:r>
      <w:r w:rsidR="000B6750" w:rsidRPr="00D04BA0">
        <w:rPr>
          <w:rFonts w:ascii="Times New Roman" w:hAnsi="Times New Roman" w:cs="Times New Roman"/>
          <w:sz w:val="24"/>
          <w:szCs w:val="24"/>
        </w:rPr>
        <w:t xml:space="preserve">zgodnie ze zmienianą ustawą fundusze </w:t>
      </w:r>
      <w:r w:rsidR="00144109" w:rsidRPr="00D04BA0">
        <w:rPr>
          <w:rFonts w:ascii="Times New Roman" w:hAnsi="Times New Roman" w:cs="Times New Roman"/>
          <w:sz w:val="24"/>
          <w:szCs w:val="24"/>
        </w:rPr>
        <w:t>SFIO przyjmujące politykę inwestycyjną funduszy FIO mogą być kierowane do szerokiego grona inwestorów zwłaszcza nieprofesjonalnych.</w:t>
      </w:r>
      <w:r w:rsidR="00467020" w:rsidRPr="00D04BA0">
        <w:rPr>
          <w:rFonts w:ascii="Times New Roman" w:hAnsi="Times New Roman" w:cs="Times New Roman"/>
          <w:sz w:val="24"/>
          <w:szCs w:val="24"/>
        </w:rPr>
        <w:t xml:space="preserve"> W konsekwencji wprowadzenia nowego organu SFIO, jak też z uwagi na dopuszczalność przejęcia zarządzania SFIO lub FIZ przez podmiot zarządzający z innego państwa członkowskiego (zarządzającego z UE), projekt rozszerza wymagany zakres uregulowań statutu funduszu (art. 18 ust. 2 ustawy). Ponadto regulacje szczegółowe dotyczące funkcjonowania SFIO i FIZ i ich relacji z zarządzającym nimi TFI zostały uzupełnione przez uwzględnienie w nich przypadków przejęcia zarządzania funduszem i prowadzenia jego spraw przez zarządzającego z UE.</w:t>
      </w:r>
      <w:r w:rsidR="00733A1A" w:rsidRPr="00D04BA0">
        <w:rPr>
          <w:rFonts w:ascii="Times New Roman" w:hAnsi="Times New Roman" w:cs="Times New Roman"/>
          <w:sz w:val="24"/>
          <w:szCs w:val="24"/>
        </w:rPr>
        <w:t xml:space="preserve"> </w:t>
      </w:r>
    </w:p>
    <w:p w:rsidR="009D0D0C" w:rsidRPr="00D04BA0" w:rsidRDefault="009D0D0C" w:rsidP="00F2487E">
      <w:pPr>
        <w:autoSpaceDE w:val="0"/>
        <w:autoSpaceDN w:val="0"/>
        <w:adjustRightInd w:val="0"/>
        <w:spacing w:before="120" w:after="0" w:line="360" w:lineRule="auto"/>
        <w:jc w:val="both"/>
        <w:rPr>
          <w:rFonts w:ascii="Times New Roman" w:hAnsi="Times New Roman" w:cs="Times New Roman"/>
          <w:bCs/>
          <w:sz w:val="24"/>
          <w:szCs w:val="24"/>
        </w:rPr>
      </w:pPr>
      <w:r w:rsidRPr="00D04BA0">
        <w:rPr>
          <w:rFonts w:ascii="Times New Roman" w:hAnsi="Times New Roman" w:cs="Times New Roman"/>
          <w:bCs/>
          <w:sz w:val="24"/>
          <w:szCs w:val="24"/>
        </w:rPr>
        <w:t xml:space="preserve">W związku z wprowadzeniem w art. 2 pkt 42a definicji ekspozycji AFI, konieczne jest dokonanie modyfikacji zasad dotyczących inwestowania przez SFIO w instrumenty pochodne. Zgodnie z projektem każdy SFIO będzie alternatywnym funduszem inwestycyjnym, niezależnie od tego, czy stosuje on zasady i ograniczenia inwestycyjne określone dla FIO, czy dla FIZ. Ponieważ rozporządzenie 231/2013 wprowadza dwie obligatoryjne metody obliczania ekspozycji AFI, które są odmienne w stosunku do metod ustalania całkowitej ekspozycji w przypadku FIO oraz ze względu na specyfikę przepisów rozporządzenia Ministra Finansów z dnia 30 kwietnia 2013 r. w sprawie zawierania przez fundusz inwestycyjny otwarty umów, których przedmiotem są </w:t>
      </w:r>
      <w:r w:rsidRPr="00D04BA0">
        <w:rPr>
          <w:rFonts w:ascii="Times New Roman" w:hAnsi="Times New Roman" w:cs="Times New Roman"/>
          <w:bCs/>
          <w:sz w:val="24"/>
          <w:szCs w:val="24"/>
        </w:rPr>
        <w:lastRenderedPageBreak/>
        <w:t>instrumenty pochodne, w tym niewystandaryzowane instrumenty pochodne, które posługują się odniesieniami do pojęcia całkowitej ekspozycji – znajdującego zastosowanie wyłącznie w odniesieniu do FIO, nie będzie możliwe jednoczesne stosowanie przepisów tego rozporządzenia zarówno w przypadku FIO</w:t>
      </w:r>
      <w:r w:rsidR="001A2EA7">
        <w:rPr>
          <w:rFonts w:ascii="Times New Roman" w:hAnsi="Times New Roman" w:cs="Times New Roman"/>
          <w:bCs/>
          <w:sz w:val="24"/>
          <w:szCs w:val="24"/>
        </w:rPr>
        <w:t>,</w:t>
      </w:r>
      <w:r w:rsidRPr="00D04BA0">
        <w:rPr>
          <w:rFonts w:ascii="Times New Roman" w:hAnsi="Times New Roman" w:cs="Times New Roman"/>
          <w:bCs/>
          <w:sz w:val="24"/>
          <w:szCs w:val="24"/>
        </w:rPr>
        <w:t xml:space="preserve"> jak i SFIO. Mając to na uwadze</w:t>
      </w:r>
      <w:r w:rsidR="001A2EA7">
        <w:rPr>
          <w:rFonts w:ascii="Times New Roman" w:hAnsi="Times New Roman" w:cs="Times New Roman"/>
          <w:bCs/>
          <w:sz w:val="24"/>
          <w:szCs w:val="24"/>
        </w:rPr>
        <w:t>,</w:t>
      </w:r>
      <w:r w:rsidRPr="00D04BA0">
        <w:rPr>
          <w:rFonts w:ascii="Times New Roman" w:hAnsi="Times New Roman" w:cs="Times New Roman"/>
          <w:bCs/>
          <w:sz w:val="24"/>
          <w:szCs w:val="24"/>
        </w:rPr>
        <w:t xml:space="preserve"> projekt przewiduje (art. </w:t>
      </w:r>
      <w:r w:rsidR="00F808D9" w:rsidRPr="00D04BA0">
        <w:rPr>
          <w:rFonts w:ascii="Times New Roman" w:hAnsi="Times New Roman" w:cs="Times New Roman"/>
          <w:bCs/>
          <w:sz w:val="24"/>
          <w:szCs w:val="24"/>
        </w:rPr>
        <w:t>116</w:t>
      </w:r>
      <w:r w:rsidR="00F808D9">
        <w:rPr>
          <w:rFonts w:ascii="Times New Roman" w:hAnsi="Times New Roman" w:cs="Times New Roman"/>
          <w:bCs/>
          <w:sz w:val="24"/>
          <w:szCs w:val="24"/>
        </w:rPr>
        <w:t>d</w:t>
      </w:r>
      <w:r w:rsidR="00F808D9" w:rsidRPr="00D04BA0">
        <w:rPr>
          <w:rFonts w:ascii="Times New Roman" w:hAnsi="Times New Roman" w:cs="Times New Roman"/>
          <w:bCs/>
          <w:sz w:val="24"/>
          <w:szCs w:val="24"/>
        </w:rPr>
        <w:t xml:space="preserve"> </w:t>
      </w:r>
      <w:r w:rsidRPr="00D04BA0">
        <w:rPr>
          <w:rFonts w:ascii="Times New Roman" w:hAnsi="Times New Roman" w:cs="Times New Roman"/>
          <w:bCs/>
          <w:sz w:val="24"/>
          <w:szCs w:val="24"/>
        </w:rPr>
        <w:t>ustawy o funduszach) odrębną delegację dla ministra właściwego do spraw instytucji finansowych stanowiącą podstawę do wydania rozporządzenia określającego zasady i warunki inwestowania SFIO w instrumenty pochodne – mające zastosowanie w przypadku SFIO stosującego zasady i ograniczenia inwestycyjne dla FIO, oraz zasady i warunki dokonywania lokat, o których mowa w art.</w:t>
      </w:r>
      <w:r w:rsidR="00D04BA0">
        <w:rPr>
          <w:rFonts w:ascii="Times New Roman" w:hAnsi="Times New Roman" w:cs="Times New Roman"/>
          <w:bCs/>
          <w:sz w:val="24"/>
          <w:szCs w:val="24"/>
        </w:rPr>
        <w:t xml:space="preserve"> </w:t>
      </w:r>
      <w:r w:rsidRPr="00D04BA0">
        <w:rPr>
          <w:rFonts w:ascii="Times New Roman" w:hAnsi="Times New Roman" w:cs="Times New Roman"/>
          <w:bCs/>
          <w:sz w:val="24"/>
          <w:szCs w:val="24"/>
        </w:rPr>
        <w:t>145 ust.</w:t>
      </w:r>
      <w:r w:rsidR="00D04BA0">
        <w:rPr>
          <w:rFonts w:ascii="Times New Roman" w:hAnsi="Times New Roman" w:cs="Times New Roman"/>
          <w:bCs/>
          <w:sz w:val="24"/>
          <w:szCs w:val="24"/>
        </w:rPr>
        <w:t xml:space="preserve"> </w:t>
      </w:r>
      <w:r w:rsidRPr="00D04BA0">
        <w:rPr>
          <w:rFonts w:ascii="Times New Roman" w:hAnsi="Times New Roman" w:cs="Times New Roman"/>
          <w:bCs/>
          <w:sz w:val="24"/>
          <w:szCs w:val="24"/>
        </w:rPr>
        <w:t>1 pkt</w:t>
      </w:r>
      <w:r w:rsidR="00D04BA0">
        <w:rPr>
          <w:rFonts w:ascii="Times New Roman" w:hAnsi="Times New Roman" w:cs="Times New Roman"/>
          <w:bCs/>
          <w:sz w:val="24"/>
          <w:szCs w:val="24"/>
        </w:rPr>
        <w:t xml:space="preserve"> </w:t>
      </w:r>
      <w:r w:rsidRPr="00D04BA0">
        <w:rPr>
          <w:rFonts w:ascii="Times New Roman" w:hAnsi="Times New Roman" w:cs="Times New Roman"/>
          <w:bCs/>
          <w:sz w:val="24"/>
          <w:szCs w:val="24"/>
        </w:rPr>
        <w:t>6 ustawy – mające zastosowanie w przypadku SFIO stosujących zasady i ograniczenia inwestycyjne dla FIZ.</w:t>
      </w:r>
    </w:p>
    <w:p w:rsidR="00F2487E" w:rsidRPr="00067927" w:rsidRDefault="00F2487E" w:rsidP="00F2487E">
      <w:pPr>
        <w:autoSpaceDE w:val="0"/>
        <w:autoSpaceDN w:val="0"/>
        <w:adjustRightInd w:val="0"/>
        <w:spacing w:before="120" w:after="0" w:line="360" w:lineRule="auto"/>
        <w:jc w:val="both"/>
        <w:rPr>
          <w:rFonts w:ascii="Times New Roman" w:hAnsi="Times New Roman" w:cs="Times New Roman"/>
          <w:sz w:val="24"/>
          <w:szCs w:val="24"/>
        </w:rPr>
      </w:pPr>
    </w:p>
    <w:p w:rsidR="00F605D5" w:rsidRPr="00067927" w:rsidRDefault="00A42A65" w:rsidP="00F2487E">
      <w:pPr>
        <w:autoSpaceDE w:val="0"/>
        <w:autoSpaceDN w:val="0"/>
        <w:adjustRightInd w:val="0"/>
        <w:spacing w:before="12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t xml:space="preserve">Działalność alternatywnych spółek inwestycyjnych i zarządzających ASI </w:t>
      </w:r>
    </w:p>
    <w:p w:rsidR="00A42A65" w:rsidRPr="00D04BA0" w:rsidRDefault="00A42A65" w:rsidP="00F2487E">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Jak wskazano już w uzasadnieniu projektu, jednym z jego najistotniejszych skutków jest zamknięcie katalogu form prawnych prowadzenia działalności instytucji wspólnego inwestowania. W zakresie takich </w:t>
      </w:r>
      <w:r w:rsidR="00F46D52" w:rsidRPr="00D04BA0">
        <w:rPr>
          <w:rFonts w:ascii="Times New Roman" w:hAnsi="Times New Roman" w:cs="Times New Roman"/>
          <w:sz w:val="24"/>
          <w:szCs w:val="24"/>
        </w:rPr>
        <w:t xml:space="preserve">krajowych </w:t>
      </w:r>
      <w:r w:rsidRPr="00D04BA0">
        <w:rPr>
          <w:rFonts w:ascii="Times New Roman" w:hAnsi="Times New Roman" w:cs="Times New Roman"/>
          <w:sz w:val="24"/>
          <w:szCs w:val="24"/>
        </w:rPr>
        <w:t xml:space="preserve">instytucji typu AFI </w:t>
      </w:r>
      <w:r w:rsidR="00F46D52" w:rsidRPr="00D04BA0">
        <w:rPr>
          <w:rFonts w:ascii="Times New Roman" w:hAnsi="Times New Roman" w:cs="Times New Roman"/>
          <w:sz w:val="24"/>
          <w:szCs w:val="24"/>
        </w:rPr>
        <w:t xml:space="preserve">obok SFIO i FIZ tworzonych przez TFI, będą </w:t>
      </w:r>
      <w:r w:rsidR="002A0208" w:rsidRPr="00D04BA0">
        <w:rPr>
          <w:rFonts w:ascii="Times New Roman" w:hAnsi="Times New Roman" w:cs="Times New Roman"/>
          <w:sz w:val="24"/>
          <w:szCs w:val="24"/>
        </w:rPr>
        <w:t xml:space="preserve">mogły </w:t>
      </w:r>
      <w:r w:rsidR="00F46D52" w:rsidRPr="00D04BA0">
        <w:rPr>
          <w:rFonts w:ascii="Times New Roman" w:hAnsi="Times New Roman" w:cs="Times New Roman"/>
          <w:sz w:val="24"/>
          <w:szCs w:val="24"/>
        </w:rPr>
        <w:t>funkcjonować wyłącznie</w:t>
      </w:r>
      <w:r w:rsidRPr="00D04BA0">
        <w:rPr>
          <w:rFonts w:ascii="Times New Roman" w:hAnsi="Times New Roman" w:cs="Times New Roman"/>
          <w:sz w:val="24"/>
          <w:szCs w:val="24"/>
        </w:rPr>
        <w:t xml:space="preserve"> alternatywn</w:t>
      </w:r>
      <w:r w:rsidR="00F46D52" w:rsidRPr="00D04BA0">
        <w:rPr>
          <w:rFonts w:ascii="Times New Roman" w:hAnsi="Times New Roman" w:cs="Times New Roman"/>
          <w:sz w:val="24"/>
          <w:szCs w:val="24"/>
        </w:rPr>
        <w:t>e</w:t>
      </w:r>
      <w:r w:rsidRPr="00D04BA0">
        <w:rPr>
          <w:rFonts w:ascii="Times New Roman" w:hAnsi="Times New Roman" w:cs="Times New Roman"/>
          <w:sz w:val="24"/>
          <w:szCs w:val="24"/>
        </w:rPr>
        <w:t xml:space="preserve"> spółk</w:t>
      </w:r>
      <w:r w:rsidR="00F46D52" w:rsidRPr="00D04BA0">
        <w:rPr>
          <w:rFonts w:ascii="Times New Roman" w:hAnsi="Times New Roman" w:cs="Times New Roman"/>
          <w:sz w:val="24"/>
          <w:szCs w:val="24"/>
        </w:rPr>
        <w:t>i</w:t>
      </w:r>
      <w:r w:rsidRPr="00D04BA0">
        <w:rPr>
          <w:rFonts w:ascii="Times New Roman" w:hAnsi="Times New Roman" w:cs="Times New Roman"/>
          <w:sz w:val="24"/>
          <w:szCs w:val="24"/>
        </w:rPr>
        <w:t xml:space="preserve"> inwestycyjn</w:t>
      </w:r>
      <w:r w:rsidR="00F46D52" w:rsidRPr="00D04BA0">
        <w:rPr>
          <w:rFonts w:ascii="Times New Roman" w:hAnsi="Times New Roman" w:cs="Times New Roman"/>
          <w:sz w:val="24"/>
          <w:szCs w:val="24"/>
        </w:rPr>
        <w:t>e zarządzane przez uprawnione podmioty podlegające nadzorowi KNF, tj.:</w:t>
      </w:r>
    </w:p>
    <w:p w:rsidR="00A42A65" w:rsidRPr="00D04BA0" w:rsidRDefault="00A42A65" w:rsidP="00D04BA0">
      <w:pPr>
        <w:pStyle w:val="Akapitzlist"/>
        <w:numPr>
          <w:ilvl w:val="0"/>
          <w:numId w:val="11"/>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spółki kapitałowe (spółki z ograniczoną odpowiedzialnością oraz spółki akcyjne, w tym spółki europejskie) –</w:t>
      </w:r>
      <w:r w:rsidR="00F46D52" w:rsidRPr="00D04BA0">
        <w:rPr>
          <w:rFonts w:ascii="Times New Roman" w:hAnsi="Times New Roman" w:cs="Times New Roman"/>
          <w:sz w:val="24"/>
          <w:szCs w:val="24"/>
        </w:rPr>
        <w:t xml:space="preserve"> które </w:t>
      </w:r>
      <w:r w:rsidRPr="00D04BA0">
        <w:rPr>
          <w:rFonts w:ascii="Times New Roman" w:hAnsi="Times New Roman" w:cs="Times New Roman"/>
          <w:sz w:val="24"/>
          <w:szCs w:val="24"/>
        </w:rPr>
        <w:t>z uwagi na wynikający z tej formy prawnej wewnętrzny charakter zarządzania spółką</w:t>
      </w:r>
      <w:r w:rsidR="00F46D52" w:rsidRPr="00D04BA0">
        <w:rPr>
          <w:rFonts w:ascii="Times New Roman" w:hAnsi="Times New Roman" w:cs="Times New Roman"/>
          <w:sz w:val="24"/>
          <w:szCs w:val="24"/>
        </w:rPr>
        <w:t xml:space="preserve"> będą tożsame z podmiotem nimi zarządzającym</w:t>
      </w:r>
      <w:r w:rsidR="001A2EA7">
        <w:rPr>
          <w:rFonts w:ascii="Times New Roman" w:hAnsi="Times New Roman" w:cs="Times New Roman"/>
          <w:sz w:val="24"/>
          <w:szCs w:val="24"/>
        </w:rPr>
        <w:t>,</w:t>
      </w:r>
      <w:r w:rsidR="00F46D52" w:rsidRPr="00D04BA0">
        <w:rPr>
          <w:rFonts w:ascii="Times New Roman" w:hAnsi="Times New Roman" w:cs="Times New Roman"/>
          <w:sz w:val="24"/>
          <w:szCs w:val="24"/>
        </w:rPr>
        <w:t xml:space="preserve"> czyli </w:t>
      </w:r>
      <w:r w:rsidR="002A0208" w:rsidRPr="00D04BA0">
        <w:rPr>
          <w:rFonts w:ascii="Times New Roman" w:hAnsi="Times New Roman" w:cs="Times New Roman"/>
          <w:sz w:val="24"/>
          <w:szCs w:val="24"/>
        </w:rPr>
        <w:t xml:space="preserve">będą równocześnie wewnętrznie </w:t>
      </w:r>
      <w:r w:rsidR="00F46D52" w:rsidRPr="00D04BA0">
        <w:rPr>
          <w:rFonts w:ascii="Times New Roman" w:hAnsi="Times New Roman" w:cs="Times New Roman"/>
          <w:sz w:val="24"/>
          <w:szCs w:val="24"/>
        </w:rPr>
        <w:t>zarządzającym ASI oraz</w:t>
      </w:r>
    </w:p>
    <w:p w:rsidR="002A0208" w:rsidRPr="00D04BA0" w:rsidRDefault="00A42A65" w:rsidP="00D04BA0">
      <w:pPr>
        <w:pStyle w:val="Akapitzlist"/>
        <w:numPr>
          <w:ilvl w:val="0"/>
          <w:numId w:val="11"/>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spółki komandytowe oraz spółki komandytowo-akcyjne – </w:t>
      </w:r>
      <w:r w:rsidR="00F46D52" w:rsidRPr="00D04BA0">
        <w:rPr>
          <w:rFonts w:ascii="Times New Roman" w:hAnsi="Times New Roman" w:cs="Times New Roman"/>
          <w:sz w:val="24"/>
          <w:szCs w:val="24"/>
        </w:rPr>
        <w:t>wyłącznie</w:t>
      </w:r>
      <w:r w:rsidR="001A2EA7">
        <w:rPr>
          <w:rFonts w:ascii="Times New Roman" w:hAnsi="Times New Roman" w:cs="Times New Roman"/>
          <w:sz w:val="24"/>
          <w:szCs w:val="24"/>
        </w:rPr>
        <w:t>,</w:t>
      </w:r>
      <w:r w:rsidR="00F46D52" w:rsidRPr="00D04BA0">
        <w:rPr>
          <w:rFonts w:ascii="Times New Roman" w:hAnsi="Times New Roman" w:cs="Times New Roman"/>
          <w:sz w:val="24"/>
          <w:szCs w:val="24"/>
        </w:rPr>
        <w:t xml:space="preserve"> w przypadku </w:t>
      </w:r>
      <w:r w:rsidRPr="00D04BA0">
        <w:rPr>
          <w:rFonts w:ascii="Times New Roman" w:hAnsi="Times New Roman" w:cs="Times New Roman"/>
          <w:sz w:val="24"/>
          <w:szCs w:val="24"/>
        </w:rPr>
        <w:t xml:space="preserve">gdy </w:t>
      </w:r>
      <w:r w:rsidR="002A0208" w:rsidRPr="00D04BA0">
        <w:rPr>
          <w:rFonts w:ascii="Times New Roman" w:hAnsi="Times New Roman" w:cs="Times New Roman"/>
          <w:sz w:val="24"/>
          <w:szCs w:val="24"/>
        </w:rPr>
        <w:t xml:space="preserve">jej </w:t>
      </w:r>
      <w:r w:rsidRPr="00D04BA0">
        <w:rPr>
          <w:rFonts w:ascii="Times New Roman" w:hAnsi="Times New Roman" w:cs="Times New Roman"/>
          <w:sz w:val="24"/>
          <w:szCs w:val="24"/>
        </w:rPr>
        <w:t xml:space="preserve">jedynym komplementariuszem (czyli wspólnikiem wyłącznie uprawnionym do reprezentowania spółki) </w:t>
      </w:r>
      <w:r w:rsidR="00F46D52" w:rsidRPr="00D04BA0">
        <w:rPr>
          <w:rFonts w:ascii="Times New Roman" w:hAnsi="Times New Roman" w:cs="Times New Roman"/>
          <w:sz w:val="24"/>
          <w:szCs w:val="24"/>
        </w:rPr>
        <w:t>będzie spółka kapitałowa</w:t>
      </w:r>
      <w:r w:rsidR="002A0208" w:rsidRPr="00D04BA0">
        <w:rPr>
          <w:rFonts w:ascii="Times New Roman" w:hAnsi="Times New Roman" w:cs="Times New Roman"/>
          <w:sz w:val="24"/>
          <w:szCs w:val="24"/>
        </w:rPr>
        <w:t xml:space="preserve">, która w odniesieniu do tej spółki komandytowej albo komandytowo-akcyjnej będzie </w:t>
      </w:r>
      <w:r w:rsidRPr="00D04BA0">
        <w:rPr>
          <w:rFonts w:ascii="Times New Roman" w:hAnsi="Times New Roman" w:cs="Times New Roman"/>
          <w:sz w:val="24"/>
          <w:szCs w:val="24"/>
        </w:rPr>
        <w:t>zewnętrznie zarządzając</w:t>
      </w:r>
      <w:r w:rsidR="002A0208" w:rsidRPr="00D04BA0">
        <w:rPr>
          <w:rFonts w:ascii="Times New Roman" w:hAnsi="Times New Roman" w:cs="Times New Roman"/>
          <w:sz w:val="24"/>
          <w:szCs w:val="24"/>
        </w:rPr>
        <w:t>ym</w:t>
      </w:r>
      <w:r w:rsidRPr="00D04BA0">
        <w:rPr>
          <w:rFonts w:ascii="Times New Roman" w:hAnsi="Times New Roman" w:cs="Times New Roman"/>
          <w:sz w:val="24"/>
          <w:szCs w:val="24"/>
        </w:rPr>
        <w:t xml:space="preserve"> A</w:t>
      </w:r>
      <w:r w:rsidR="002A0208" w:rsidRPr="00D04BA0">
        <w:rPr>
          <w:rFonts w:ascii="Times New Roman" w:hAnsi="Times New Roman" w:cs="Times New Roman"/>
          <w:sz w:val="24"/>
          <w:szCs w:val="24"/>
        </w:rPr>
        <w:t>S</w:t>
      </w:r>
      <w:r w:rsidRPr="00D04BA0">
        <w:rPr>
          <w:rFonts w:ascii="Times New Roman" w:hAnsi="Times New Roman" w:cs="Times New Roman"/>
          <w:sz w:val="24"/>
          <w:szCs w:val="24"/>
        </w:rPr>
        <w:t>I</w:t>
      </w:r>
      <w:r w:rsidR="002A0208" w:rsidRPr="00D04BA0">
        <w:rPr>
          <w:rFonts w:ascii="Times New Roman" w:hAnsi="Times New Roman" w:cs="Times New Roman"/>
          <w:sz w:val="24"/>
          <w:szCs w:val="24"/>
        </w:rPr>
        <w:t>.</w:t>
      </w:r>
    </w:p>
    <w:p w:rsidR="002A0208" w:rsidRDefault="002A0208"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Warunki prowadzenia działalności przez te podmioty proponuje się uregulować</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w szczególności w dodawanych przepisach działu IIIa ustawy o funduszach inwestycyjnych.</w:t>
      </w:r>
    </w:p>
    <w:p w:rsidR="00D14EF5" w:rsidRPr="00D04BA0" w:rsidRDefault="00D14EF5" w:rsidP="00D04BA0">
      <w:pPr>
        <w:spacing w:before="120" w:after="0" w:line="360" w:lineRule="auto"/>
        <w:jc w:val="both"/>
        <w:rPr>
          <w:rFonts w:ascii="Times New Roman" w:hAnsi="Times New Roman" w:cs="Times New Roman"/>
          <w:sz w:val="24"/>
          <w:szCs w:val="24"/>
        </w:rPr>
      </w:pPr>
    </w:p>
    <w:p w:rsidR="002A0208" w:rsidRPr="00D04BA0" w:rsidRDefault="002A0208"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lastRenderedPageBreak/>
        <w:t xml:space="preserve">1. Wykonywanie działalności </w:t>
      </w:r>
    </w:p>
    <w:p w:rsidR="00CF1283" w:rsidRPr="00D04BA0" w:rsidRDefault="00CF1283" w:rsidP="00F2487E">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Wykonywanie działalności jako wewnętrznie albo zewnętrznie zarządzający ASI ma istotny wpływ na zakres tej działalności. Wyłącznie zewnętrznie zarządzający ASI może bowiem:</w:t>
      </w:r>
    </w:p>
    <w:p w:rsidR="00CF1283" w:rsidRPr="00D04BA0" w:rsidRDefault="00CF1283" w:rsidP="00D04BA0">
      <w:pPr>
        <w:pStyle w:val="Akapitzlist"/>
        <w:numPr>
          <w:ilvl w:val="0"/>
          <w:numId w:val="13"/>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zarządzać więcej niż jedną alternatywną spółką inwestycyjną (art. 70d ust. 3 ustawy)</w:t>
      </w:r>
      <w:r w:rsidR="00D04BA0">
        <w:rPr>
          <w:rFonts w:ascii="Times New Roman" w:hAnsi="Times New Roman" w:cs="Times New Roman"/>
          <w:sz w:val="24"/>
          <w:szCs w:val="24"/>
        </w:rPr>
        <w:t xml:space="preserve"> </w:t>
      </w:r>
      <w:r w:rsidR="00D912FC" w:rsidRPr="00D04BA0">
        <w:rPr>
          <w:rFonts w:ascii="Times New Roman" w:hAnsi="Times New Roman" w:cs="Times New Roman"/>
          <w:sz w:val="24"/>
          <w:szCs w:val="24"/>
        </w:rPr>
        <w:t>– będąc komplementariuszem w takich spółkach, a w konsekwencji również przejąć zarządzanie taką spółką (art. 238b ust. 1 ustawy)</w:t>
      </w:r>
      <w:r w:rsidRPr="00D04BA0">
        <w:rPr>
          <w:rFonts w:ascii="Times New Roman" w:hAnsi="Times New Roman" w:cs="Times New Roman"/>
          <w:sz w:val="24"/>
          <w:szCs w:val="24"/>
        </w:rPr>
        <w:t>;</w:t>
      </w:r>
    </w:p>
    <w:p w:rsidR="00CF1283" w:rsidRPr="00D04BA0" w:rsidRDefault="00CF1283" w:rsidP="00D04BA0">
      <w:pPr>
        <w:pStyle w:val="Akapitzlist"/>
        <w:numPr>
          <w:ilvl w:val="0"/>
          <w:numId w:val="13"/>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zarządzać unijnym AFI (art. 70d ust. 2 ustawy)</w:t>
      </w:r>
      <w:r w:rsidR="006A71C7" w:rsidRPr="00D04BA0">
        <w:rPr>
          <w:rFonts w:ascii="Times New Roman" w:hAnsi="Times New Roman" w:cs="Times New Roman"/>
          <w:sz w:val="24"/>
          <w:szCs w:val="24"/>
        </w:rPr>
        <w:t>.</w:t>
      </w:r>
    </w:p>
    <w:p w:rsidR="00D912FC" w:rsidRPr="00D04BA0" w:rsidRDefault="00D912FC"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Rozwiązanie to wynika </w:t>
      </w:r>
      <w:r w:rsidR="006B6825" w:rsidRPr="00D04BA0">
        <w:rPr>
          <w:rFonts w:ascii="Times New Roman" w:hAnsi="Times New Roman" w:cs="Times New Roman"/>
          <w:sz w:val="24"/>
          <w:szCs w:val="24"/>
        </w:rPr>
        <w:t xml:space="preserve">wprost z dyspozycji </w:t>
      </w:r>
      <w:r w:rsidR="0047059E" w:rsidRPr="00D04BA0">
        <w:rPr>
          <w:rFonts w:ascii="Times New Roman" w:hAnsi="Times New Roman" w:cs="Times New Roman"/>
          <w:sz w:val="24"/>
          <w:szCs w:val="24"/>
        </w:rPr>
        <w:t xml:space="preserve">art. 6 ust. 3 </w:t>
      </w:r>
      <w:r w:rsidR="006B6825" w:rsidRPr="00D04BA0">
        <w:rPr>
          <w:rFonts w:ascii="Times New Roman" w:hAnsi="Times New Roman" w:cs="Times New Roman"/>
          <w:sz w:val="24"/>
          <w:szCs w:val="24"/>
        </w:rPr>
        <w:t>dyrektywy ZAFI</w:t>
      </w:r>
      <w:r w:rsidR="00DB44F1" w:rsidRPr="00D04BA0">
        <w:rPr>
          <w:rFonts w:ascii="Times New Roman" w:hAnsi="Times New Roman" w:cs="Times New Roman"/>
          <w:sz w:val="24"/>
          <w:szCs w:val="24"/>
        </w:rPr>
        <w:t>, który zobowiązuje państwa członkowskie, aby żaden wewnętrznie zarządzany AFI nie zajmował się działalnością inną niż wewnętrzne zarządzanie tym AFI</w:t>
      </w:r>
      <w:r w:rsidRPr="00D04BA0">
        <w:rPr>
          <w:rFonts w:ascii="Times New Roman" w:hAnsi="Times New Roman" w:cs="Times New Roman"/>
          <w:sz w:val="24"/>
          <w:szCs w:val="24"/>
        </w:rPr>
        <w:t>.</w:t>
      </w:r>
    </w:p>
    <w:p w:rsidR="00F42236" w:rsidRPr="00D04BA0" w:rsidRDefault="002A0208" w:rsidP="00F2487E">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Niezależnie od wskazanego wyżej odróżnienia wewnętrznie i zewnętrznie zarządzających ASI (zależnego od formy prawnej</w:t>
      </w:r>
      <w:r w:rsidR="00916177" w:rsidRPr="00D04BA0">
        <w:rPr>
          <w:rFonts w:ascii="Times New Roman" w:hAnsi="Times New Roman" w:cs="Times New Roman"/>
          <w:sz w:val="24"/>
          <w:szCs w:val="24"/>
        </w:rPr>
        <w:t xml:space="preserve"> prowadzenia </w:t>
      </w:r>
      <w:r w:rsidRPr="00D04BA0">
        <w:rPr>
          <w:rFonts w:ascii="Times New Roman" w:hAnsi="Times New Roman" w:cs="Times New Roman"/>
          <w:sz w:val="24"/>
          <w:szCs w:val="24"/>
        </w:rPr>
        <w:t>działalności</w:t>
      </w:r>
      <w:r w:rsidR="00916177" w:rsidRPr="00D04BA0">
        <w:rPr>
          <w:rFonts w:ascii="Times New Roman" w:hAnsi="Times New Roman" w:cs="Times New Roman"/>
          <w:sz w:val="24"/>
          <w:szCs w:val="24"/>
        </w:rPr>
        <w:t xml:space="preserve"> nie przez tego zarządzającego ale przez</w:t>
      </w:r>
      <w:r w:rsidRPr="00D04BA0">
        <w:rPr>
          <w:rFonts w:ascii="Times New Roman" w:hAnsi="Times New Roman" w:cs="Times New Roman"/>
          <w:sz w:val="24"/>
          <w:szCs w:val="24"/>
        </w:rPr>
        <w:t xml:space="preserve"> alternatywn</w:t>
      </w:r>
      <w:r w:rsidR="00916177" w:rsidRPr="00D04BA0">
        <w:rPr>
          <w:rFonts w:ascii="Times New Roman" w:hAnsi="Times New Roman" w:cs="Times New Roman"/>
          <w:sz w:val="24"/>
          <w:szCs w:val="24"/>
        </w:rPr>
        <w:t>ą</w:t>
      </w:r>
      <w:r w:rsidRPr="00D04BA0">
        <w:rPr>
          <w:rFonts w:ascii="Times New Roman" w:hAnsi="Times New Roman" w:cs="Times New Roman"/>
          <w:sz w:val="24"/>
          <w:szCs w:val="24"/>
        </w:rPr>
        <w:t xml:space="preserve"> spółk</w:t>
      </w:r>
      <w:r w:rsidR="00916177" w:rsidRPr="00D04BA0">
        <w:rPr>
          <w:rFonts w:ascii="Times New Roman" w:hAnsi="Times New Roman" w:cs="Times New Roman"/>
          <w:sz w:val="24"/>
          <w:szCs w:val="24"/>
        </w:rPr>
        <w:t>ę</w:t>
      </w:r>
      <w:r w:rsidRPr="00D04BA0">
        <w:rPr>
          <w:rFonts w:ascii="Times New Roman" w:hAnsi="Times New Roman" w:cs="Times New Roman"/>
          <w:sz w:val="24"/>
          <w:szCs w:val="24"/>
        </w:rPr>
        <w:t xml:space="preserve"> inwestycyjn</w:t>
      </w:r>
      <w:r w:rsidR="00916177" w:rsidRPr="00D04BA0">
        <w:rPr>
          <w:rFonts w:ascii="Times New Roman" w:hAnsi="Times New Roman" w:cs="Times New Roman"/>
          <w:sz w:val="24"/>
          <w:szCs w:val="24"/>
        </w:rPr>
        <w:t>ą</w:t>
      </w:r>
      <w:r w:rsidRPr="00D04BA0">
        <w:rPr>
          <w:rFonts w:ascii="Times New Roman" w:hAnsi="Times New Roman" w:cs="Times New Roman"/>
          <w:sz w:val="24"/>
          <w:szCs w:val="24"/>
        </w:rPr>
        <w:t xml:space="preserve">) istotne znaczenie prawne ma </w:t>
      </w:r>
      <w:r w:rsidR="00916177" w:rsidRPr="00D04BA0">
        <w:rPr>
          <w:rFonts w:ascii="Times New Roman" w:hAnsi="Times New Roman" w:cs="Times New Roman"/>
          <w:sz w:val="24"/>
          <w:szCs w:val="24"/>
        </w:rPr>
        <w:t xml:space="preserve">także </w:t>
      </w:r>
      <w:r w:rsidRPr="00D04BA0">
        <w:rPr>
          <w:rFonts w:ascii="Times New Roman" w:hAnsi="Times New Roman" w:cs="Times New Roman"/>
          <w:sz w:val="24"/>
          <w:szCs w:val="24"/>
        </w:rPr>
        <w:t>odróżnienie zarządzających ASI prowadzących działalność na podstawie zezwolenia</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i na podstawie wpisu do rejestru. Projekt przewiduje</w:t>
      </w:r>
      <w:r w:rsidR="001A2EA7">
        <w:rPr>
          <w:rFonts w:ascii="Times New Roman" w:hAnsi="Times New Roman" w:cs="Times New Roman"/>
          <w:sz w:val="24"/>
          <w:szCs w:val="24"/>
        </w:rPr>
        <w:t>, na podstawie</w:t>
      </w:r>
      <w:r w:rsidRPr="00D04BA0">
        <w:rPr>
          <w:rFonts w:ascii="Times New Roman" w:hAnsi="Times New Roman" w:cs="Times New Roman"/>
          <w:sz w:val="24"/>
          <w:szCs w:val="24"/>
        </w:rPr>
        <w:t xml:space="preserve"> </w:t>
      </w:r>
      <w:r w:rsidR="00C200A9" w:rsidRPr="00D04BA0">
        <w:rPr>
          <w:rFonts w:ascii="Times New Roman" w:hAnsi="Times New Roman" w:cs="Times New Roman"/>
          <w:sz w:val="24"/>
          <w:szCs w:val="24"/>
        </w:rPr>
        <w:t>art. 3 ust. 2</w:t>
      </w:r>
      <w:r w:rsidR="001D37A6">
        <w:rPr>
          <w:rFonts w:ascii="Times New Roman" w:hAnsi="Times New Roman" w:cs="Times New Roman"/>
          <w:sz w:val="24"/>
          <w:szCs w:val="24"/>
        </w:rPr>
        <w:t>–</w:t>
      </w:r>
      <w:r w:rsidR="00C200A9" w:rsidRPr="00D04BA0">
        <w:rPr>
          <w:rFonts w:ascii="Times New Roman" w:hAnsi="Times New Roman" w:cs="Times New Roman"/>
          <w:sz w:val="24"/>
          <w:szCs w:val="24"/>
        </w:rPr>
        <w:t>4 dyrektywy ZAFI, możliwość prowadzenia działalności bez uzyskania zezwolenia KNF</w:t>
      </w:r>
      <w:r w:rsidR="00D04BA0">
        <w:rPr>
          <w:rFonts w:ascii="Times New Roman" w:hAnsi="Times New Roman" w:cs="Times New Roman"/>
          <w:sz w:val="24"/>
          <w:szCs w:val="24"/>
        </w:rPr>
        <w:t xml:space="preserve"> </w:t>
      </w:r>
      <w:r w:rsidR="00C200A9" w:rsidRPr="00D04BA0">
        <w:rPr>
          <w:rFonts w:ascii="Times New Roman" w:hAnsi="Times New Roman" w:cs="Times New Roman"/>
          <w:sz w:val="24"/>
          <w:szCs w:val="24"/>
        </w:rPr>
        <w:t>– wyłącznie na podstawie wpisu do rejestru zarządzających ASI (art. 70a ust. 2 i przepisy rozdziału 3 działu IIIa ustawy). Dotyczy ona wyłącznie podmiotów (zarówno wewnętrznie, jak i zewnętrznie zarządzających), które zarządzają portfelami inwestycyjnymi o łącznej wartości nieprzekraczającej określonego progu, tj.</w:t>
      </w:r>
      <w:r w:rsidR="00D14EF5">
        <w:rPr>
          <w:rFonts w:ascii="Times New Roman" w:hAnsi="Times New Roman" w:cs="Times New Roman"/>
          <w:sz w:val="24"/>
          <w:szCs w:val="24"/>
        </w:rPr>
        <w:t> </w:t>
      </w:r>
      <w:r w:rsidR="00C200A9" w:rsidRPr="00D04BA0">
        <w:rPr>
          <w:rFonts w:ascii="Times New Roman" w:hAnsi="Times New Roman" w:cs="Times New Roman"/>
          <w:sz w:val="24"/>
          <w:szCs w:val="24"/>
        </w:rPr>
        <w:t>równowartości kwoty 100</w:t>
      </w:r>
      <w:r w:rsidR="00D04BA0">
        <w:rPr>
          <w:rFonts w:ascii="Times New Roman" w:hAnsi="Times New Roman" w:cs="Times New Roman"/>
          <w:sz w:val="24"/>
          <w:szCs w:val="24"/>
        </w:rPr>
        <w:t xml:space="preserve"> </w:t>
      </w:r>
      <w:r w:rsidR="00C200A9" w:rsidRPr="00D04BA0">
        <w:rPr>
          <w:rFonts w:ascii="Times New Roman" w:hAnsi="Times New Roman" w:cs="Times New Roman"/>
          <w:sz w:val="24"/>
          <w:szCs w:val="24"/>
        </w:rPr>
        <w:t>000</w:t>
      </w:r>
      <w:r w:rsidR="00D04BA0">
        <w:rPr>
          <w:rFonts w:ascii="Times New Roman" w:hAnsi="Times New Roman" w:cs="Times New Roman"/>
          <w:sz w:val="24"/>
          <w:szCs w:val="24"/>
        </w:rPr>
        <w:t xml:space="preserve"> </w:t>
      </w:r>
      <w:r w:rsidR="00C200A9" w:rsidRPr="00D04BA0">
        <w:rPr>
          <w:rFonts w:ascii="Times New Roman" w:hAnsi="Times New Roman" w:cs="Times New Roman"/>
          <w:sz w:val="24"/>
          <w:szCs w:val="24"/>
        </w:rPr>
        <w:t>000 euro,</w:t>
      </w:r>
      <w:r w:rsidR="00D04BA0">
        <w:rPr>
          <w:rFonts w:ascii="Times New Roman" w:hAnsi="Times New Roman" w:cs="Times New Roman"/>
          <w:sz w:val="24"/>
          <w:szCs w:val="24"/>
        </w:rPr>
        <w:t xml:space="preserve"> </w:t>
      </w:r>
      <w:r w:rsidR="00C200A9" w:rsidRPr="00D04BA0">
        <w:rPr>
          <w:rFonts w:ascii="Times New Roman" w:hAnsi="Times New Roman" w:cs="Times New Roman"/>
          <w:sz w:val="24"/>
          <w:szCs w:val="24"/>
        </w:rPr>
        <w:t>a w przypadku gdy zarządzający ASI zarządza wyłącznie spółkami, które nie stosują dźwigni finansowej</w:t>
      </w:r>
      <w:r w:rsidR="001A2EA7">
        <w:rPr>
          <w:rFonts w:ascii="Times New Roman" w:hAnsi="Times New Roman" w:cs="Times New Roman"/>
          <w:sz w:val="24"/>
          <w:szCs w:val="24"/>
        </w:rPr>
        <w:t>,</w:t>
      </w:r>
      <w:r w:rsidR="00C200A9" w:rsidRPr="00D04BA0">
        <w:rPr>
          <w:rFonts w:ascii="Times New Roman" w:hAnsi="Times New Roman" w:cs="Times New Roman"/>
          <w:sz w:val="24"/>
          <w:szCs w:val="24"/>
        </w:rPr>
        <w:t xml:space="preserve"> i w których prawa uczestnictwa mogą być umorzone po co najmniej pięciu latach od momentu ich nabycia – równowartości kwoty 500</w:t>
      </w:r>
      <w:r w:rsidR="00D04BA0">
        <w:rPr>
          <w:rFonts w:ascii="Times New Roman" w:hAnsi="Times New Roman" w:cs="Times New Roman"/>
          <w:sz w:val="24"/>
          <w:szCs w:val="24"/>
        </w:rPr>
        <w:t xml:space="preserve"> </w:t>
      </w:r>
      <w:r w:rsidR="00C200A9" w:rsidRPr="00D04BA0">
        <w:rPr>
          <w:rFonts w:ascii="Times New Roman" w:hAnsi="Times New Roman" w:cs="Times New Roman"/>
          <w:sz w:val="24"/>
          <w:szCs w:val="24"/>
        </w:rPr>
        <w:t>000</w:t>
      </w:r>
      <w:r w:rsidR="00D04BA0">
        <w:rPr>
          <w:rFonts w:ascii="Times New Roman" w:hAnsi="Times New Roman" w:cs="Times New Roman"/>
          <w:sz w:val="24"/>
          <w:szCs w:val="24"/>
        </w:rPr>
        <w:t xml:space="preserve"> </w:t>
      </w:r>
      <w:r w:rsidR="00C200A9" w:rsidRPr="00D04BA0">
        <w:rPr>
          <w:rFonts w:ascii="Times New Roman" w:hAnsi="Times New Roman" w:cs="Times New Roman"/>
          <w:sz w:val="24"/>
          <w:szCs w:val="24"/>
        </w:rPr>
        <w:t xml:space="preserve">000 euro (art. </w:t>
      </w:r>
      <w:r w:rsidR="00F808D9" w:rsidRPr="00D04BA0">
        <w:rPr>
          <w:rFonts w:ascii="Times New Roman" w:hAnsi="Times New Roman" w:cs="Times New Roman"/>
          <w:sz w:val="24"/>
          <w:szCs w:val="24"/>
        </w:rPr>
        <w:t>70</w:t>
      </w:r>
      <w:r w:rsidR="00F808D9">
        <w:rPr>
          <w:rFonts w:ascii="Times New Roman" w:hAnsi="Times New Roman" w:cs="Times New Roman"/>
          <w:sz w:val="24"/>
          <w:szCs w:val="24"/>
        </w:rPr>
        <w:t>z</w:t>
      </w:r>
      <w:r w:rsidR="00F808D9" w:rsidRPr="00D04BA0">
        <w:rPr>
          <w:rFonts w:ascii="Times New Roman" w:hAnsi="Times New Roman" w:cs="Times New Roman"/>
          <w:sz w:val="24"/>
          <w:szCs w:val="24"/>
        </w:rPr>
        <w:t xml:space="preserve"> </w:t>
      </w:r>
      <w:r w:rsidR="00C200A9" w:rsidRPr="00D04BA0">
        <w:rPr>
          <w:rFonts w:ascii="Times New Roman" w:hAnsi="Times New Roman" w:cs="Times New Roman"/>
          <w:sz w:val="24"/>
          <w:szCs w:val="24"/>
        </w:rPr>
        <w:t>ustawy). W odniesieniu do tej grupy zarządzających ASI</w:t>
      </w:r>
      <w:r w:rsidR="001A2EA7">
        <w:rPr>
          <w:rFonts w:ascii="Times New Roman" w:hAnsi="Times New Roman" w:cs="Times New Roman"/>
          <w:sz w:val="24"/>
          <w:szCs w:val="24"/>
        </w:rPr>
        <w:t>,</w:t>
      </w:r>
      <w:r w:rsidR="00C200A9" w:rsidRPr="00D04BA0">
        <w:rPr>
          <w:rFonts w:ascii="Times New Roman" w:hAnsi="Times New Roman" w:cs="Times New Roman"/>
          <w:sz w:val="24"/>
          <w:szCs w:val="24"/>
        </w:rPr>
        <w:t xml:space="preserve"> z jednej strony</w:t>
      </w:r>
      <w:r w:rsidR="001A2EA7">
        <w:rPr>
          <w:rFonts w:ascii="Times New Roman" w:hAnsi="Times New Roman" w:cs="Times New Roman"/>
          <w:sz w:val="24"/>
          <w:szCs w:val="24"/>
        </w:rPr>
        <w:t>,</w:t>
      </w:r>
      <w:r w:rsidR="00C200A9" w:rsidRPr="00D04BA0">
        <w:rPr>
          <w:rFonts w:ascii="Times New Roman" w:hAnsi="Times New Roman" w:cs="Times New Roman"/>
          <w:sz w:val="24"/>
          <w:szCs w:val="24"/>
        </w:rPr>
        <w:t xml:space="preserve"> </w:t>
      </w:r>
      <w:r w:rsidR="00916177" w:rsidRPr="00D04BA0">
        <w:rPr>
          <w:rFonts w:ascii="Times New Roman" w:hAnsi="Times New Roman" w:cs="Times New Roman"/>
          <w:sz w:val="24"/>
          <w:szCs w:val="24"/>
        </w:rPr>
        <w:t xml:space="preserve">projekt </w:t>
      </w:r>
      <w:r w:rsidR="00C200A9" w:rsidRPr="00D04BA0">
        <w:rPr>
          <w:rFonts w:ascii="Times New Roman" w:hAnsi="Times New Roman" w:cs="Times New Roman"/>
          <w:sz w:val="24"/>
          <w:szCs w:val="24"/>
        </w:rPr>
        <w:t>istotnie ogranicz</w:t>
      </w:r>
      <w:r w:rsidR="00916177" w:rsidRPr="00D04BA0">
        <w:rPr>
          <w:rFonts w:ascii="Times New Roman" w:hAnsi="Times New Roman" w:cs="Times New Roman"/>
          <w:sz w:val="24"/>
          <w:szCs w:val="24"/>
        </w:rPr>
        <w:t>a</w:t>
      </w:r>
      <w:r w:rsidR="00C200A9" w:rsidRPr="00D04BA0">
        <w:rPr>
          <w:rFonts w:ascii="Times New Roman" w:hAnsi="Times New Roman" w:cs="Times New Roman"/>
          <w:sz w:val="24"/>
          <w:szCs w:val="24"/>
        </w:rPr>
        <w:t xml:space="preserve"> wymagania i warunki prowadzenia działalności</w:t>
      </w:r>
      <w:r w:rsidR="00FD1503" w:rsidRPr="00D04BA0">
        <w:rPr>
          <w:rFonts w:ascii="Times New Roman" w:hAnsi="Times New Roman" w:cs="Times New Roman"/>
          <w:sz w:val="24"/>
          <w:szCs w:val="24"/>
        </w:rPr>
        <w:t xml:space="preserve"> (</w:t>
      </w:r>
      <w:r w:rsidR="00916177" w:rsidRPr="00D04BA0">
        <w:rPr>
          <w:rFonts w:ascii="Times New Roman" w:hAnsi="Times New Roman" w:cs="Times New Roman"/>
          <w:sz w:val="24"/>
          <w:szCs w:val="24"/>
        </w:rPr>
        <w:t xml:space="preserve">co wyraża w szczególności </w:t>
      </w:r>
      <w:r w:rsidR="00FD1503" w:rsidRPr="00D04BA0">
        <w:rPr>
          <w:rFonts w:ascii="Times New Roman" w:hAnsi="Times New Roman" w:cs="Times New Roman"/>
          <w:sz w:val="24"/>
          <w:szCs w:val="24"/>
        </w:rPr>
        <w:t xml:space="preserve">art. 70z ust. </w:t>
      </w:r>
      <w:r w:rsidR="001132B8">
        <w:rPr>
          <w:rFonts w:ascii="Times New Roman" w:hAnsi="Times New Roman" w:cs="Times New Roman"/>
          <w:sz w:val="24"/>
          <w:szCs w:val="24"/>
        </w:rPr>
        <w:t>4</w:t>
      </w:r>
      <w:r w:rsidR="00FD1503" w:rsidRPr="00D04BA0">
        <w:rPr>
          <w:rFonts w:ascii="Times New Roman" w:hAnsi="Times New Roman" w:cs="Times New Roman"/>
          <w:sz w:val="24"/>
          <w:szCs w:val="24"/>
        </w:rPr>
        <w:t xml:space="preserve"> ustawy)</w:t>
      </w:r>
      <w:r w:rsidR="00C200A9" w:rsidRPr="00D04BA0">
        <w:rPr>
          <w:rFonts w:ascii="Times New Roman" w:hAnsi="Times New Roman" w:cs="Times New Roman"/>
          <w:sz w:val="24"/>
          <w:szCs w:val="24"/>
        </w:rPr>
        <w:t>, a w konsekwencji – również zakres nadzoru KNF, a z drugiej strony</w:t>
      </w:r>
      <w:r w:rsidR="001A2EA7">
        <w:rPr>
          <w:rFonts w:ascii="Times New Roman" w:hAnsi="Times New Roman" w:cs="Times New Roman"/>
          <w:sz w:val="24"/>
          <w:szCs w:val="24"/>
        </w:rPr>
        <w:t>,</w:t>
      </w:r>
      <w:r w:rsidR="00C200A9" w:rsidRPr="00D04BA0">
        <w:rPr>
          <w:rFonts w:ascii="Times New Roman" w:hAnsi="Times New Roman" w:cs="Times New Roman"/>
          <w:sz w:val="24"/>
          <w:szCs w:val="24"/>
        </w:rPr>
        <w:t xml:space="preserve"> </w:t>
      </w:r>
      <w:r w:rsidR="00916177" w:rsidRPr="00D04BA0">
        <w:rPr>
          <w:rFonts w:ascii="Times New Roman" w:hAnsi="Times New Roman" w:cs="Times New Roman"/>
          <w:sz w:val="24"/>
          <w:szCs w:val="24"/>
        </w:rPr>
        <w:t>ogranicza też</w:t>
      </w:r>
      <w:r w:rsidR="00CF1283" w:rsidRPr="00D04BA0">
        <w:rPr>
          <w:rFonts w:ascii="Times New Roman" w:hAnsi="Times New Roman" w:cs="Times New Roman"/>
          <w:sz w:val="24"/>
          <w:szCs w:val="24"/>
        </w:rPr>
        <w:t xml:space="preserve"> zakres działalności, jaką mogą prowadzić. W szczególności należy podkreślić, że podmioty te nie mogą </w:t>
      </w:r>
      <w:r w:rsidR="00D912FC" w:rsidRPr="00D04BA0">
        <w:rPr>
          <w:rFonts w:ascii="Times New Roman" w:hAnsi="Times New Roman" w:cs="Times New Roman"/>
          <w:sz w:val="24"/>
          <w:szCs w:val="24"/>
        </w:rPr>
        <w:t xml:space="preserve">korzystać z paszportu europejskiego, czyli </w:t>
      </w:r>
      <w:r w:rsidR="00916177" w:rsidRPr="00D04BA0">
        <w:rPr>
          <w:rFonts w:ascii="Times New Roman" w:hAnsi="Times New Roman" w:cs="Times New Roman"/>
          <w:sz w:val="24"/>
          <w:szCs w:val="24"/>
        </w:rPr>
        <w:t xml:space="preserve">nie mogą </w:t>
      </w:r>
      <w:r w:rsidR="00D912FC" w:rsidRPr="00D04BA0">
        <w:rPr>
          <w:rFonts w:ascii="Times New Roman" w:hAnsi="Times New Roman" w:cs="Times New Roman"/>
          <w:sz w:val="24"/>
          <w:szCs w:val="24"/>
        </w:rPr>
        <w:t xml:space="preserve">ani zarządzać unijnymi AFI ani wprowadzać do obrotu zarządzanych spółek w państwach UE. Równocześnie podmiotów tych nie dotyczą wymagania organizacyjne, </w:t>
      </w:r>
      <w:r w:rsidR="00FD1503" w:rsidRPr="00D04BA0">
        <w:rPr>
          <w:rFonts w:ascii="Times New Roman" w:hAnsi="Times New Roman" w:cs="Times New Roman"/>
          <w:sz w:val="24"/>
          <w:szCs w:val="24"/>
        </w:rPr>
        <w:t xml:space="preserve">techniczne, </w:t>
      </w:r>
      <w:r w:rsidR="00D912FC" w:rsidRPr="00D04BA0">
        <w:rPr>
          <w:rFonts w:ascii="Times New Roman" w:hAnsi="Times New Roman" w:cs="Times New Roman"/>
          <w:sz w:val="24"/>
          <w:szCs w:val="24"/>
        </w:rPr>
        <w:t>kapitałowe</w:t>
      </w:r>
      <w:r w:rsidR="00FD1503" w:rsidRPr="00D04BA0">
        <w:rPr>
          <w:rFonts w:ascii="Times New Roman" w:hAnsi="Times New Roman" w:cs="Times New Roman"/>
          <w:sz w:val="24"/>
          <w:szCs w:val="24"/>
        </w:rPr>
        <w:t xml:space="preserve"> i </w:t>
      </w:r>
      <w:r w:rsidR="00FD1503" w:rsidRPr="00D04BA0">
        <w:rPr>
          <w:rFonts w:ascii="Times New Roman" w:hAnsi="Times New Roman" w:cs="Times New Roman"/>
          <w:sz w:val="24"/>
          <w:szCs w:val="24"/>
        </w:rPr>
        <w:lastRenderedPageBreak/>
        <w:t xml:space="preserve">informacyjno-sprawozdawcze, jakie odnoszą się do zarządzających ASI działających na podstawie zezwolenia (w szczególności nie muszą wyznaczać depozytariusza, zatrudniać doradców inwestycyjnych, utrzymywać określonych kapitałów własnych, sporządzać informacji dla klienta AFI czy sprawozdań rocznych) – jedynym ich obowiązkiem (oprócz wymogów rejestracyjnych) jest przekazywanie KNF okresowych sprawozdań dotyczących działalności inwestycyjnej, płynności i zarządzania ryzykiem oraz stosowania dźwigni finansowej oraz </w:t>
      </w:r>
      <w:r w:rsidR="00F42236" w:rsidRPr="00D04BA0">
        <w:rPr>
          <w:rFonts w:ascii="Times New Roman" w:hAnsi="Times New Roman" w:cs="Times New Roman"/>
          <w:sz w:val="24"/>
          <w:szCs w:val="24"/>
        </w:rPr>
        <w:t>informacji w tym zakresie</w:t>
      </w:r>
      <w:r w:rsidR="001D3A28" w:rsidRPr="00D04BA0">
        <w:rPr>
          <w:rFonts w:ascii="Times New Roman" w:hAnsi="Times New Roman" w:cs="Times New Roman"/>
          <w:sz w:val="24"/>
          <w:szCs w:val="24"/>
        </w:rPr>
        <w:t>, jak też dostosowanie się do ewentualnych ograniczeń, które mogą być w tym zakresie nakładane przez KNF</w:t>
      </w:r>
      <w:r w:rsidR="00F42236" w:rsidRPr="00D04BA0">
        <w:rPr>
          <w:rFonts w:ascii="Times New Roman" w:hAnsi="Times New Roman" w:cs="Times New Roman"/>
          <w:sz w:val="24"/>
          <w:szCs w:val="24"/>
        </w:rPr>
        <w:t xml:space="preserve"> (art. 222c i art. 227c ustawy). </w:t>
      </w:r>
      <w:r w:rsidR="00916177" w:rsidRPr="00D04BA0">
        <w:rPr>
          <w:rFonts w:ascii="Times New Roman" w:hAnsi="Times New Roman" w:cs="Times New Roman"/>
          <w:sz w:val="24"/>
          <w:szCs w:val="24"/>
        </w:rPr>
        <w:t>Ponadto są oni obowiązani do stałego monitorowania, czy nie został przekroczony próg wartości portfeli inwestycyjnych uprawniający ich do prowadzenia działalności na podstawie wpisu do rejestru. Trwałe przekroczenie tego progu – w razie zamiaru kontynuowania działalności – powoduje konieczność wystąpienia o zezwolenie. Natomiast do czasu przekroczenia ww. progu</w:t>
      </w:r>
      <w:r w:rsidR="001A2EA7">
        <w:rPr>
          <w:rFonts w:ascii="Times New Roman" w:hAnsi="Times New Roman" w:cs="Times New Roman"/>
          <w:sz w:val="24"/>
          <w:szCs w:val="24"/>
        </w:rPr>
        <w:t>,</w:t>
      </w:r>
      <w:r w:rsidR="00916177" w:rsidRPr="00D04BA0">
        <w:rPr>
          <w:rFonts w:ascii="Times New Roman" w:hAnsi="Times New Roman" w:cs="Times New Roman"/>
          <w:sz w:val="24"/>
          <w:szCs w:val="24"/>
        </w:rPr>
        <w:t xml:space="preserve"> z</w:t>
      </w:r>
      <w:r w:rsidR="00F42236" w:rsidRPr="00D04BA0">
        <w:rPr>
          <w:rFonts w:ascii="Times New Roman" w:hAnsi="Times New Roman" w:cs="Times New Roman"/>
          <w:sz w:val="24"/>
          <w:szCs w:val="24"/>
        </w:rPr>
        <w:t xml:space="preserve">arządzający ASI dysponuje swobodą podjęcia decyzji co do wystąpienia o zezwolenie KNF mimo spełniania wymogów uprawniających go do prowadzenia działalności na podstawie wpisu do rejestru. W razie uzyskania takiego zezwolenia mają do niego zastosowanie w pełni zarówno wymagania i obowiązki, jak i uprawnienia </w:t>
      </w:r>
      <w:r w:rsidR="0067155B" w:rsidRPr="00D04BA0">
        <w:rPr>
          <w:rFonts w:ascii="Times New Roman" w:hAnsi="Times New Roman" w:cs="Times New Roman"/>
          <w:sz w:val="24"/>
          <w:szCs w:val="24"/>
        </w:rPr>
        <w:t xml:space="preserve">zarządzającego ASI prowadzącego działalność na podstawie zezwolenia. </w:t>
      </w:r>
      <w:r w:rsidR="00F42236" w:rsidRPr="00D04BA0">
        <w:rPr>
          <w:rFonts w:ascii="Times New Roman" w:hAnsi="Times New Roman" w:cs="Times New Roman"/>
          <w:sz w:val="24"/>
          <w:szCs w:val="24"/>
        </w:rPr>
        <w:t>Powyższe rozwiązania oznaczają</w:t>
      </w:r>
      <w:r w:rsidR="001D3A28" w:rsidRPr="00D04BA0">
        <w:rPr>
          <w:rFonts w:ascii="Times New Roman" w:hAnsi="Times New Roman" w:cs="Times New Roman"/>
          <w:sz w:val="24"/>
          <w:szCs w:val="24"/>
        </w:rPr>
        <w:t>, iż w znacznym stopniu w projekcie</w:t>
      </w:r>
      <w:r w:rsidR="00F42236" w:rsidRPr="00D04BA0">
        <w:rPr>
          <w:rFonts w:ascii="Times New Roman" w:hAnsi="Times New Roman" w:cs="Times New Roman"/>
          <w:sz w:val="24"/>
          <w:szCs w:val="24"/>
        </w:rPr>
        <w:t xml:space="preserve"> rezygn</w:t>
      </w:r>
      <w:r w:rsidR="001D3A28" w:rsidRPr="00D04BA0">
        <w:rPr>
          <w:rFonts w:ascii="Times New Roman" w:hAnsi="Times New Roman" w:cs="Times New Roman"/>
          <w:sz w:val="24"/>
          <w:szCs w:val="24"/>
        </w:rPr>
        <w:t>uje się</w:t>
      </w:r>
      <w:r w:rsidR="00F42236" w:rsidRPr="00D04BA0">
        <w:rPr>
          <w:rFonts w:ascii="Times New Roman" w:hAnsi="Times New Roman" w:cs="Times New Roman"/>
          <w:sz w:val="24"/>
          <w:szCs w:val="24"/>
        </w:rPr>
        <w:t xml:space="preserve"> z możliwości przyjęcia przez państwo członkowskie surowszych przepisów w tym zakresie</w:t>
      </w:r>
      <w:r w:rsidR="00282F2C" w:rsidRPr="00D04BA0">
        <w:rPr>
          <w:rFonts w:ascii="Times New Roman" w:hAnsi="Times New Roman" w:cs="Times New Roman"/>
          <w:sz w:val="24"/>
          <w:szCs w:val="24"/>
        </w:rPr>
        <w:t>, oprócz wspomnianego objęcia tych podmiotów kompetencją KNF do nakładania ograniczeń związanych głównie ze stosowaniem dźwigni finansowej</w:t>
      </w:r>
      <w:r w:rsidR="00F42236" w:rsidRPr="00D04BA0">
        <w:rPr>
          <w:rFonts w:ascii="Times New Roman" w:hAnsi="Times New Roman" w:cs="Times New Roman"/>
          <w:sz w:val="24"/>
          <w:szCs w:val="24"/>
        </w:rPr>
        <w:t xml:space="preserve">. </w:t>
      </w:r>
      <w:r w:rsidR="00D377DA" w:rsidRPr="00D04BA0">
        <w:rPr>
          <w:rFonts w:ascii="Times New Roman" w:hAnsi="Times New Roman" w:cs="Times New Roman"/>
          <w:sz w:val="24"/>
          <w:szCs w:val="24"/>
        </w:rPr>
        <w:t xml:space="preserve">W tym kontekście </w:t>
      </w:r>
      <w:r w:rsidR="005E67F5" w:rsidRPr="00D04BA0">
        <w:rPr>
          <w:rFonts w:ascii="Times New Roman" w:hAnsi="Times New Roman" w:cs="Times New Roman"/>
          <w:sz w:val="24"/>
          <w:szCs w:val="24"/>
        </w:rPr>
        <w:t xml:space="preserve">podniesienia </w:t>
      </w:r>
      <w:r w:rsidR="00D377DA" w:rsidRPr="00D04BA0">
        <w:rPr>
          <w:rFonts w:ascii="Times New Roman" w:hAnsi="Times New Roman" w:cs="Times New Roman"/>
          <w:sz w:val="24"/>
          <w:szCs w:val="24"/>
        </w:rPr>
        <w:t xml:space="preserve">wymaga, iż krajowy rynek alternatywnych funduszy inwestycyjnych, innych niż SFIO i FIZ, jest stosunkowo nisko rozwinięty, </w:t>
      </w:r>
      <w:r w:rsidR="005E67F5" w:rsidRPr="00D04BA0">
        <w:rPr>
          <w:rFonts w:ascii="Times New Roman" w:hAnsi="Times New Roman" w:cs="Times New Roman"/>
          <w:sz w:val="24"/>
          <w:szCs w:val="24"/>
        </w:rPr>
        <w:t xml:space="preserve">zaś </w:t>
      </w:r>
      <w:r w:rsidR="00D377DA" w:rsidRPr="00D04BA0">
        <w:rPr>
          <w:rFonts w:ascii="Times New Roman" w:hAnsi="Times New Roman" w:cs="Times New Roman"/>
          <w:sz w:val="24"/>
          <w:szCs w:val="24"/>
        </w:rPr>
        <w:t>same alternatywne spółki inwestycyjne</w:t>
      </w:r>
      <w:r w:rsidR="001A2EA7">
        <w:rPr>
          <w:rFonts w:ascii="Times New Roman" w:hAnsi="Times New Roman" w:cs="Times New Roman"/>
          <w:sz w:val="24"/>
          <w:szCs w:val="24"/>
        </w:rPr>
        <w:t>,</w:t>
      </w:r>
      <w:r w:rsidR="00D377DA" w:rsidRPr="00D04BA0">
        <w:rPr>
          <w:rFonts w:ascii="Times New Roman" w:hAnsi="Times New Roman" w:cs="Times New Roman"/>
          <w:sz w:val="24"/>
          <w:szCs w:val="24"/>
        </w:rPr>
        <w:t xml:space="preserve"> jak i zarządzający nimi, z uwagi na </w:t>
      </w:r>
      <w:r w:rsidR="00E017DE" w:rsidRPr="00D04BA0">
        <w:rPr>
          <w:rFonts w:ascii="Times New Roman" w:hAnsi="Times New Roman" w:cs="Times New Roman"/>
          <w:sz w:val="24"/>
          <w:szCs w:val="24"/>
        </w:rPr>
        <w:t>skalę prowadzonej działalności</w:t>
      </w:r>
      <w:r w:rsidR="005E67F5" w:rsidRPr="00D04BA0">
        <w:rPr>
          <w:rFonts w:ascii="Times New Roman" w:hAnsi="Times New Roman" w:cs="Times New Roman"/>
          <w:sz w:val="24"/>
          <w:szCs w:val="24"/>
        </w:rPr>
        <w:t>,</w:t>
      </w:r>
      <w:r w:rsidR="00E017DE" w:rsidRPr="00D04BA0">
        <w:rPr>
          <w:rFonts w:ascii="Times New Roman" w:hAnsi="Times New Roman" w:cs="Times New Roman"/>
          <w:sz w:val="24"/>
          <w:szCs w:val="24"/>
        </w:rPr>
        <w:t xml:space="preserve"> </w:t>
      </w:r>
      <w:r w:rsidR="00D377DA" w:rsidRPr="00D04BA0">
        <w:rPr>
          <w:rFonts w:ascii="Times New Roman" w:hAnsi="Times New Roman" w:cs="Times New Roman"/>
          <w:sz w:val="24"/>
          <w:szCs w:val="24"/>
        </w:rPr>
        <w:t xml:space="preserve">nie generują istotnego ryzyka systemowego. </w:t>
      </w:r>
      <w:r w:rsidR="00E40B17" w:rsidRPr="00D04BA0">
        <w:rPr>
          <w:rFonts w:ascii="Times New Roman" w:hAnsi="Times New Roman" w:cs="Times New Roman"/>
          <w:sz w:val="24"/>
          <w:szCs w:val="24"/>
        </w:rPr>
        <w:t xml:space="preserve">Mając zatem </w:t>
      </w:r>
      <w:r w:rsidR="005E67F5" w:rsidRPr="00D04BA0">
        <w:rPr>
          <w:rFonts w:ascii="Times New Roman" w:hAnsi="Times New Roman" w:cs="Times New Roman"/>
          <w:sz w:val="24"/>
          <w:szCs w:val="24"/>
        </w:rPr>
        <w:t xml:space="preserve">na uwadze </w:t>
      </w:r>
      <w:r w:rsidR="00E40B17" w:rsidRPr="00D04BA0">
        <w:rPr>
          <w:rFonts w:ascii="Times New Roman" w:hAnsi="Times New Roman" w:cs="Times New Roman"/>
          <w:sz w:val="24"/>
          <w:szCs w:val="24"/>
        </w:rPr>
        <w:t>potrzebę zapewnienia warunków do dalszego rozwoju wymienionych podmiotów, w szczególności funduszy venture capita</w:t>
      </w:r>
      <w:r w:rsidR="002522DC" w:rsidRPr="00D04BA0">
        <w:rPr>
          <w:rFonts w:ascii="Times New Roman" w:hAnsi="Times New Roman" w:cs="Times New Roman"/>
          <w:sz w:val="24"/>
          <w:szCs w:val="24"/>
        </w:rPr>
        <w:t>l</w:t>
      </w:r>
      <w:r w:rsidR="00E40B17" w:rsidRPr="00D04BA0">
        <w:rPr>
          <w:rFonts w:ascii="Times New Roman" w:hAnsi="Times New Roman" w:cs="Times New Roman"/>
          <w:sz w:val="24"/>
          <w:szCs w:val="24"/>
        </w:rPr>
        <w:t>/private equity zdecydowano o nienakładaniu na zarządzających ASI nadmiernych wymogów organizacyjno</w:t>
      </w:r>
      <w:r w:rsidR="001A2EA7">
        <w:rPr>
          <w:rFonts w:ascii="Times New Roman" w:hAnsi="Times New Roman" w:cs="Times New Roman"/>
          <w:sz w:val="24"/>
          <w:szCs w:val="24"/>
        </w:rPr>
        <w:t>-</w:t>
      </w:r>
      <w:r w:rsidR="00E40B17" w:rsidRPr="00D04BA0">
        <w:rPr>
          <w:rFonts w:ascii="Times New Roman" w:hAnsi="Times New Roman" w:cs="Times New Roman"/>
          <w:sz w:val="24"/>
          <w:szCs w:val="24"/>
        </w:rPr>
        <w:t>prawnych. Rozwiązanie to uwzględnia przyjętą na poziomie implementowanej dyrektywy zasadę proporcjonalności.</w:t>
      </w:r>
      <w:r w:rsidR="006A71C7" w:rsidRPr="00D04BA0">
        <w:rPr>
          <w:rFonts w:ascii="Times New Roman" w:hAnsi="Times New Roman" w:cs="Times New Roman"/>
          <w:sz w:val="24"/>
          <w:szCs w:val="24"/>
        </w:rPr>
        <w:t xml:space="preserve"> </w:t>
      </w:r>
      <w:r w:rsidR="005F2157" w:rsidRPr="00D04BA0">
        <w:rPr>
          <w:rFonts w:ascii="Times New Roman" w:hAnsi="Times New Roman" w:cs="Times New Roman"/>
          <w:sz w:val="24"/>
          <w:szCs w:val="24"/>
        </w:rPr>
        <w:t xml:space="preserve">Natomiast w sytuacji, gdy zarządzający ASI nie decyduje się na kontynuowanie działalności po przekroczeniu progu wartości portfeli inwestycyjnych uprawniającego do prowadzenia działalności na podstawie wpisu do rejestru, musi </w:t>
      </w:r>
      <w:r w:rsidR="005F2157" w:rsidRPr="00D04BA0">
        <w:rPr>
          <w:rFonts w:ascii="Times New Roman" w:hAnsi="Times New Roman" w:cs="Times New Roman"/>
          <w:sz w:val="24"/>
          <w:szCs w:val="24"/>
        </w:rPr>
        <w:lastRenderedPageBreak/>
        <w:t xml:space="preserve">zakończyć swoją działalność. Niezłożenie w takiej sytuacji w wymaganym terminie wniosku o zezwolenie jest sankcjonowane wykreśleniem z rejestru zarządzających ASI (art. </w:t>
      </w:r>
      <w:r w:rsidR="001132B8" w:rsidRPr="00D04BA0">
        <w:rPr>
          <w:rFonts w:ascii="Times New Roman" w:hAnsi="Times New Roman" w:cs="Times New Roman"/>
          <w:sz w:val="24"/>
          <w:szCs w:val="24"/>
        </w:rPr>
        <w:t>70z</w:t>
      </w:r>
      <w:r w:rsidR="001132B8">
        <w:rPr>
          <w:rFonts w:ascii="Times New Roman" w:hAnsi="Times New Roman" w:cs="Times New Roman"/>
          <w:sz w:val="24"/>
          <w:szCs w:val="24"/>
        </w:rPr>
        <w:t>c</w:t>
      </w:r>
      <w:r w:rsidR="001132B8" w:rsidRPr="00D04BA0">
        <w:rPr>
          <w:rFonts w:ascii="Times New Roman" w:hAnsi="Times New Roman" w:cs="Times New Roman"/>
          <w:sz w:val="24"/>
          <w:szCs w:val="24"/>
        </w:rPr>
        <w:t xml:space="preserve"> </w:t>
      </w:r>
      <w:r w:rsidR="005F2157" w:rsidRPr="00D04BA0">
        <w:rPr>
          <w:rFonts w:ascii="Times New Roman" w:hAnsi="Times New Roman" w:cs="Times New Roman"/>
          <w:sz w:val="24"/>
          <w:szCs w:val="24"/>
        </w:rPr>
        <w:t>ust. 3 ustawy). Należy zauważyć, że tylko w ww. przypadku oraz w sytuacji wykreślenia z rejestru jako sankcji za niepra</w:t>
      </w:r>
      <w:r w:rsidR="00D51956">
        <w:rPr>
          <w:rFonts w:ascii="Times New Roman" w:hAnsi="Times New Roman" w:cs="Times New Roman"/>
          <w:sz w:val="24"/>
          <w:szCs w:val="24"/>
        </w:rPr>
        <w:t>widłowości w działalności (art.</w:t>
      </w:r>
      <w:r w:rsidR="00D14EF5">
        <w:rPr>
          <w:rFonts w:ascii="Times New Roman" w:hAnsi="Times New Roman" w:cs="Times New Roman"/>
          <w:sz w:val="24"/>
          <w:szCs w:val="24"/>
        </w:rPr>
        <w:t xml:space="preserve"> </w:t>
      </w:r>
      <w:r w:rsidR="005F2157" w:rsidRPr="00D04BA0">
        <w:rPr>
          <w:rFonts w:ascii="Times New Roman" w:hAnsi="Times New Roman" w:cs="Times New Roman"/>
          <w:sz w:val="24"/>
          <w:szCs w:val="24"/>
        </w:rPr>
        <w:t xml:space="preserve">229a ust. </w:t>
      </w:r>
      <w:r w:rsidR="00F565A6" w:rsidRPr="00D04BA0">
        <w:rPr>
          <w:rFonts w:ascii="Times New Roman" w:hAnsi="Times New Roman" w:cs="Times New Roman"/>
          <w:sz w:val="24"/>
          <w:szCs w:val="24"/>
        </w:rPr>
        <w:t>2</w:t>
      </w:r>
      <w:r w:rsidR="005F2157" w:rsidRPr="00D04BA0">
        <w:rPr>
          <w:rFonts w:ascii="Times New Roman" w:hAnsi="Times New Roman" w:cs="Times New Roman"/>
          <w:sz w:val="24"/>
          <w:szCs w:val="24"/>
        </w:rPr>
        <w:t xml:space="preserve"> ustawy) KNF będzie rozstrzygała o wykreśleniu z rejestru w drodze decyzji</w:t>
      </w:r>
      <w:r w:rsidR="00E20EC4" w:rsidRPr="00D04BA0">
        <w:rPr>
          <w:rFonts w:ascii="Times New Roman" w:hAnsi="Times New Roman" w:cs="Times New Roman"/>
          <w:sz w:val="24"/>
          <w:szCs w:val="24"/>
        </w:rPr>
        <w:t>.</w:t>
      </w:r>
      <w:r w:rsidR="005F2157" w:rsidRPr="00D04BA0">
        <w:rPr>
          <w:rFonts w:ascii="Times New Roman" w:hAnsi="Times New Roman" w:cs="Times New Roman"/>
          <w:sz w:val="24"/>
          <w:szCs w:val="24"/>
        </w:rPr>
        <w:t xml:space="preserve"> </w:t>
      </w:r>
      <w:r w:rsidR="00E20EC4" w:rsidRPr="00D04BA0">
        <w:rPr>
          <w:rFonts w:ascii="Times New Roman" w:hAnsi="Times New Roman" w:cs="Times New Roman"/>
          <w:sz w:val="24"/>
          <w:szCs w:val="24"/>
        </w:rPr>
        <w:t>S</w:t>
      </w:r>
      <w:r w:rsidR="005F2157" w:rsidRPr="00D04BA0">
        <w:rPr>
          <w:rFonts w:ascii="Times New Roman" w:hAnsi="Times New Roman" w:cs="Times New Roman"/>
          <w:sz w:val="24"/>
          <w:szCs w:val="24"/>
        </w:rPr>
        <w:t xml:space="preserve">amo wydanie takiej decyzji o wykreśleniu z rejestru nie spowoduje jeszcze faktycznego wykreślenia </w:t>
      </w:r>
      <w:r w:rsidR="00E20EC4" w:rsidRPr="00D04BA0">
        <w:rPr>
          <w:rFonts w:ascii="Times New Roman" w:hAnsi="Times New Roman" w:cs="Times New Roman"/>
          <w:sz w:val="24"/>
          <w:szCs w:val="24"/>
        </w:rPr>
        <w:t>takiego wpisu – nastąpi to dopiero z dniem, w którym taka decyzja stanie się ostateczna. Kwestie te proponuje się uregulować w art. 70z</w:t>
      </w:r>
      <w:r w:rsidR="00A977C4">
        <w:rPr>
          <w:rFonts w:ascii="Times New Roman" w:hAnsi="Times New Roman" w:cs="Times New Roman"/>
          <w:sz w:val="24"/>
          <w:szCs w:val="24"/>
        </w:rPr>
        <w:t>d</w:t>
      </w:r>
      <w:r w:rsidR="00E20EC4" w:rsidRPr="00D04BA0">
        <w:rPr>
          <w:rFonts w:ascii="Times New Roman" w:hAnsi="Times New Roman" w:cs="Times New Roman"/>
          <w:sz w:val="24"/>
          <w:szCs w:val="24"/>
        </w:rPr>
        <w:t xml:space="preserve"> ustawy, w którym dokonanie z urzędu czynności wykreślenia z rejestru przewidziano również w sytuacjach analogicznych do </w:t>
      </w:r>
      <w:r w:rsidR="00282F2C" w:rsidRPr="00D04BA0">
        <w:rPr>
          <w:rFonts w:ascii="Times New Roman" w:hAnsi="Times New Roman" w:cs="Times New Roman"/>
          <w:sz w:val="24"/>
          <w:szCs w:val="24"/>
        </w:rPr>
        <w:t xml:space="preserve">tych, jakie </w:t>
      </w:r>
      <w:r w:rsidR="00E20EC4" w:rsidRPr="00D04BA0">
        <w:rPr>
          <w:rFonts w:ascii="Times New Roman" w:hAnsi="Times New Roman" w:cs="Times New Roman"/>
          <w:sz w:val="24"/>
          <w:szCs w:val="24"/>
        </w:rPr>
        <w:t xml:space="preserve">powodują wygaśnięcie zezwolenia (upadłość i likwidacja oraz niewykonywanie działalności przez okres 12 miesięcy). Dopiero w przypadku dokonania tej czynności nastąpić powinno rozwiązanie alternatywnej spółki inwestycyjnej. Konsekwencja taka nie dotyczy oczywiście szczególnego przypadku wykreślenia z rejestru, gdy podmiot wpisany nie traci uprawnienia do wykonywania działalności ale zmienia się </w:t>
      </w:r>
      <w:r w:rsidR="00B8265B" w:rsidRPr="00D04BA0">
        <w:rPr>
          <w:rFonts w:ascii="Times New Roman" w:hAnsi="Times New Roman" w:cs="Times New Roman"/>
          <w:sz w:val="24"/>
          <w:szCs w:val="24"/>
        </w:rPr>
        <w:t>podstawa tego uprawnienia w związku z uzyskaniem zezwolenia.</w:t>
      </w:r>
    </w:p>
    <w:p w:rsidR="00C200A9" w:rsidRPr="00D04BA0" w:rsidRDefault="00F42236" w:rsidP="00F2487E">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Należy jednak podkreślić, że niezależnie od powyższych regulacji zarządzający ASI</w:t>
      </w:r>
      <w:r w:rsidR="0067155B" w:rsidRPr="00D04BA0">
        <w:rPr>
          <w:rFonts w:ascii="Times New Roman" w:hAnsi="Times New Roman" w:cs="Times New Roman"/>
          <w:sz w:val="24"/>
          <w:szCs w:val="24"/>
        </w:rPr>
        <w:t xml:space="preserve"> wpisani do rejestru</w:t>
      </w:r>
      <w:r w:rsidRPr="00D04BA0">
        <w:rPr>
          <w:rFonts w:ascii="Times New Roman" w:hAnsi="Times New Roman" w:cs="Times New Roman"/>
          <w:sz w:val="24"/>
          <w:szCs w:val="24"/>
        </w:rPr>
        <w:t>, którzy będą chcieli skorzystać z przywilejów wynikających</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z </w:t>
      </w:r>
      <w:r w:rsidR="0067155B" w:rsidRPr="00D04BA0">
        <w:rPr>
          <w:rFonts w:ascii="Times New Roman" w:hAnsi="Times New Roman" w:cs="Times New Roman"/>
          <w:sz w:val="24"/>
          <w:szCs w:val="24"/>
        </w:rPr>
        <w:t>posługiwania się nazwą EuVECA albo EuSEF, będą zobowiązani do spełnienia wymagań określonych w bezpośrednio stosowanych rozporządzeniach Parlamentu Europejskiego</w:t>
      </w:r>
      <w:r w:rsidR="00D04BA0">
        <w:rPr>
          <w:rFonts w:ascii="Times New Roman" w:hAnsi="Times New Roman" w:cs="Times New Roman"/>
          <w:sz w:val="24"/>
          <w:szCs w:val="24"/>
        </w:rPr>
        <w:t xml:space="preserve"> </w:t>
      </w:r>
      <w:r w:rsidR="0067155B" w:rsidRPr="00D04BA0">
        <w:rPr>
          <w:rFonts w:ascii="Times New Roman" w:hAnsi="Times New Roman" w:cs="Times New Roman"/>
          <w:sz w:val="24"/>
          <w:szCs w:val="24"/>
        </w:rPr>
        <w:t>i Rady (UE) nr 345/2013 z dnia 17 kwietnia 2013 r. w sprawie europejskich funduszy venture capital oraz (UE) nr 346/2013 z dnia 17 kwietnia 2013 r. w sprawie europejskich funduszy na rzecz przedsiębiorczości społecznej.</w:t>
      </w:r>
    </w:p>
    <w:p w:rsidR="0067155B" w:rsidRPr="00D04BA0" w:rsidRDefault="00932690" w:rsidP="00F2487E">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Z</w:t>
      </w:r>
      <w:r w:rsidR="0067155B" w:rsidRPr="00D04BA0">
        <w:rPr>
          <w:rFonts w:ascii="Times New Roman" w:hAnsi="Times New Roman" w:cs="Times New Roman"/>
          <w:sz w:val="24"/>
          <w:szCs w:val="24"/>
        </w:rPr>
        <w:t>arządzających ASI prowadzących działalność na podstawie zezwolenia obejmują wymagania w dużym stopniu zbliżone do wymagań określonych dla działalności TFI i dotyczące w szczególności:</w:t>
      </w:r>
    </w:p>
    <w:p w:rsidR="0067155B" w:rsidRPr="00D04BA0" w:rsidRDefault="0067155B" w:rsidP="00D04BA0">
      <w:pPr>
        <w:pStyle w:val="Akapitzlist"/>
        <w:numPr>
          <w:ilvl w:val="0"/>
          <w:numId w:val="15"/>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wymagań</w:t>
      </w:r>
      <w:r w:rsidR="003C74A1" w:rsidRPr="00D04BA0">
        <w:rPr>
          <w:rFonts w:ascii="Times New Roman" w:hAnsi="Times New Roman" w:cs="Times New Roman"/>
          <w:sz w:val="24"/>
          <w:szCs w:val="24"/>
        </w:rPr>
        <w:t>, jakie muszą spełniać</w:t>
      </w:r>
      <w:r w:rsidRPr="00D04BA0">
        <w:rPr>
          <w:rFonts w:ascii="Times New Roman" w:hAnsi="Times New Roman" w:cs="Times New Roman"/>
          <w:sz w:val="24"/>
          <w:szCs w:val="24"/>
        </w:rPr>
        <w:t xml:space="preserve"> członk</w:t>
      </w:r>
      <w:r w:rsidR="003C74A1" w:rsidRPr="00D04BA0">
        <w:rPr>
          <w:rFonts w:ascii="Times New Roman" w:hAnsi="Times New Roman" w:cs="Times New Roman"/>
          <w:sz w:val="24"/>
          <w:szCs w:val="24"/>
        </w:rPr>
        <w:t>owie</w:t>
      </w:r>
      <w:r w:rsidRPr="00D04BA0">
        <w:rPr>
          <w:rFonts w:ascii="Times New Roman" w:hAnsi="Times New Roman" w:cs="Times New Roman"/>
          <w:sz w:val="24"/>
          <w:szCs w:val="24"/>
        </w:rPr>
        <w:t xml:space="preserve"> zarządu i rady nadzorczej </w:t>
      </w:r>
      <w:r w:rsidR="00C976A6" w:rsidRPr="00D04BA0">
        <w:rPr>
          <w:rFonts w:ascii="Times New Roman" w:hAnsi="Times New Roman" w:cs="Times New Roman"/>
          <w:sz w:val="24"/>
          <w:szCs w:val="24"/>
        </w:rPr>
        <w:t>oraz obowiązku zatrudniania doradców inwestycyjnych (art. 70c ustawy);</w:t>
      </w:r>
    </w:p>
    <w:p w:rsidR="00C976A6" w:rsidRPr="00D04BA0" w:rsidRDefault="00C976A6" w:rsidP="00D04BA0">
      <w:pPr>
        <w:pStyle w:val="Akapitzlist"/>
        <w:numPr>
          <w:ilvl w:val="0"/>
          <w:numId w:val="15"/>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ograniczeń i warunków powierzania wykonywania czynności innym podmiotom oraz dokonywania wyceny aktywów (art. 70f i art. 70g ustawy);</w:t>
      </w:r>
    </w:p>
    <w:p w:rsidR="00C976A6" w:rsidRPr="00D04BA0" w:rsidRDefault="00C976A6" w:rsidP="00D04BA0">
      <w:pPr>
        <w:pStyle w:val="Akapitzlist"/>
        <w:numPr>
          <w:ilvl w:val="0"/>
          <w:numId w:val="15"/>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polityki wynagrodzeń (art. 70</w:t>
      </w:r>
      <w:r w:rsidR="00F565A6" w:rsidRPr="00D04BA0">
        <w:rPr>
          <w:rFonts w:ascii="Times New Roman" w:hAnsi="Times New Roman" w:cs="Times New Roman"/>
          <w:sz w:val="24"/>
          <w:szCs w:val="24"/>
        </w:rPr>
        <w:t>i</w:t>
      </w:r>
      <w:r w:rsidRPr="00D04BA0">
        <w:rPr>
          <w:rFonts w:ascii="Times New Roman" w:hAnsi="Times New Roman" w:cs="Times New Roman"/>
          <w:sz w:val="24"/>
          <w:szCs w:val="24"/>
        </w:rPr>
        <w:t xml:space="preserve"> ustawy);</w:t>
      </w:r>
    </w:p>
    <w:p w:rsidR="00C976A6" w:rsidRPr="00D04BA0" w:rsidRDefault="00C976A6" w:rsidP="00D04BA0">
      <w:pPr>
        <w:pStyle w:val="Akapitzlist"/>
        <w:numPr>
          <w:ilvl w:val="0"/>
          <w:numId w:val="15"/>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lastRenderedPageBreak/>
        <w:t>wymagań organizacyjnych i technicznych, w tym w zakresie systemu kontroli wewnętrznej (art. 70</w:t>
      </w:r>
      <w:r w:rsidR="00F565A6" w:rsidRPr="00D04BA0">
        <w:rPr>
          <w:rFonts w:ascii="Times New Roman" w:hAnsi="Times New Roman" w:cs="Times New Roman"/>
          <w:sz w:val="24"/>
          <w:szCs w:val="24"/>
        </w:rPr>
        <w:t>k</w:t>
      </w:r>
      <w:r w:rsidRPr="00D04BA0">
        <w:rPr>
          <w:rFonts w:ascii="Times New Roman" w:hAnsi="Times New Roman" w:cs="Times New Roman"/>
          <w:sz w:val="24"/>
          <w:szCs w:val="24"/>
        </w:rPr>
        <w:t xml:space="preserve"> i art. 70</w:t>
      </w:r>
      <w:r w:rsidR="00F565A6" w:rsidRPr="00D04BA0">
        <w:rPr>
          <w:rFonts w:ascii="Times New Roman" w:hAnsi="Times New Roman" w:cs="Times New Roman"/>
          <w:sz w:val="24"/>
          <w:szCs w:val="24"/>
        </w:rPr>
        <w:t>l</w:t>
      </w:r>
      <w:r w:rsidRPr="00D04BA0">
        <w:rPr>
          <w:rFonts w:ascii="Times New Roman" w:hAnsi="Times New Roman" w:cs="Times New Roman"/>
          <w:sz w:val="24"/>
          <w:szCs w:val="24"/>
        </w:rPr>
        <w:t xml:space="preserve"> ustawy);</w:t>
      </w:r>
    </w:p>
    <w:p w:rsidR="00BE08FA" w:rsidRPr="00D04BA0" w:rsidRDefault="00C976A6" w:rsidP="00D04BA0">
      <w:pPr>
        <w:pStyle w:val="Akapitzlist"/>
        <w:numPr>
          <w:ilvl w:val="0"/>
          <w:numId w:val="15"/>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wymogów kapitałowych, z tym że </w:t>
      </w:r>
      <w:r w:rsidR="002C158E" w:rsidRPr="00D04BA0">
        <w:rPr>
          <w:rFonts w:ascii="Times New Roman" w:hAnsi="Times New Roman" w:cs="Times New Roman"/>
          <w:sz w:val="24"/>
          <w:szCs w:val="24"/>
        </w:rPr>
        <w:t>wewnętrznie zarządzającego ASI obowiązują wyższe wymagania co do kapitału początkowego, który ma stanowić równowartość co najmniej 300</w:t>
      </w:r>
      <w:r w:rsidR="00D04BA0">
        <w:rPr>
          <w:rFonts w:ascii="Times New Roman" w:hAnsi="Times New Roman" w:cs="Times New Roman"/>
          <w:sz w:val="24"/>
          <w:szCs w:val="24"/>
        </w:rPr>
        <w:t xml:space="preserve"> </w:t>
      </w:r>
      <w:r w:rsidR="002C158E" w:rsidRPr="00D04BA0">
        <w:rPr>
          <w:rFonts w:ascii="Times New Roman" w:hAnsi="Times New Roman" w:cs="Times New Roman"/>
          <w:sz w:val="24"/>
          <w:szCs w:val="24"/>
        </w:rPr>
        <w:t xml:space="preserve">000 euro (przy wymaganych dla TFI i zewnętrznie zarządzającego ASI </w:t>
      </w:r>
      <w:r w:rsidR="003C74A1" w:rsidRPr="00D04BA0">
        <w:rPr>
          <w:rFonts w:ascii="Times New Roman" w:hAnsi="Times New Roman" w:cs="Times New Roman"/>
          <w:sz w:val="24"/>
          <w:szCs w:val="24"/>
        </w:rPr>
        <w:t>na poziomie</w:t>
      </w:r>
      <w:r w:rsidR="002C158E" w:rsidRPr="00D04BA0">
        <w:rPr>
          <w:rFonts w:ascii="Times New Roman" w:hAnsi="Times New Roman" w:cs="Times New Roman"/>
          <w:sz w:val="24"/>
          <w:szCs w:val="24"/>
        </w:rPr>
        <w:t xml:space="preserve"> 125</w:t>
      </w:r>
      <w:r w:rsidR="00D04BA0">
        <w:rPr>
          <w:rFonts w:ascii="Times New Roman" w:hAnsi="Times New Roman" w:cs="Times New Roman"/>
          <w:sz w:val="24"/>
          <w:szCs w:val="24"/>
        </w:rPr>
        <w:t xml:space="preserve"> </w:t>
      </w:r>
      <w:r w:rsidR="002C158E" w:rsidRPr="00D04BA0">
        <w:rPr>
          <w:rFonts w:ascii="Times New Roman" w:hAnsi="Times New Roman" w:cs="Times New Roman"/>
          <w:sz w:val="24"/>
          <w:szCs w:val="24"/>
        </w:rPr>
        <w:t>000 euro)</w:t>
      </w:r>
      <w:r w:rsidR="001A2EA7">
        <w:rPr>
          <w:rFonts w:ascii="Times New Roman" w:hAnsi="Times New Roman" w:cs="Times New Roman"/>
          <w:sz w:val="24"/>
          <w:szCs w:val="24"/>
        </w:rPr>
        <w:t>,</w:t>
      </w:r>
      <w:r w:rsidR="002C158E" w:rsidRPr="00D04BA0">
        <w:rPr>
          <w:rFonts w:ascii="Times New Roman" w:hAnsi="Times New Roman" w:cs="Times New Roman"/>
          <w:sz w:val="24"/>
          <w:szCs w:val="24"/>
        </w:rPr>
        <w:t xml:space="preserve"> a wymagania dotyczące utrzymywania kapitału własnego uwzględniają tożsamość aktywów zarządzającego ASI i portfela inwestycyjnego alternatywnej spółki inwestycyjnej (art. 70</w:t>
      </w:r>
      <w:r w:rsidR="00F565A6" w:rsidRPr="00D04BA0">
        <w:rPr>
          <w:rFonts w:ascii="Times New Roman" w:hAnsi="Times New Roman" w:cs="Times New Roman"/>
          <w:sz w:val="24"/>
          <w:szCs w:val="24"/>
        </w:rPr>
        <w:t>m</w:t>
      </w:r>
      <w:r w:rsidR="001D37A6">
        <w:rPr>
          <w:rFonts w:ascii="Times New Roman" w:hAnsi="Times New Roman" w:cs="Times New Roman"/>
          <w:sz w:val="24"/>
          <w:szCs w:val="24"/>
        </w:rPr>
        <w:t>–</w:t>
      </w:r>
      <w:r w:rsidR="002C158E" w:rsidRPr="00D04BA0">
        <w:rPr>
          <w:rFonts w:ascii="Times New Roman" w:hAnsi="Times New Roman" w:cs="Times New Roman"/>
          <w:sz w:val="24"/>
          <w:szCs w:val="24"/>
        </w:rPr>
        <w:t>70</w:t>
      </w:r>
      <w:r w:rsidR="00F565A6" w:rsidRPr="00D04BA0">
        <w:rPr>
          <w:rFonts w:ascii="Times New Roman" w:hAnsi="Times New Roman" w:cs="Times New Roman"/>
          <w:sz w:val="24"/>
          <w:szCs w:val="24"/>
        </w:rPr>
        <w:t>p</w:t>
      </w:r>
      <w:r w:rsidR="002C158E" w:rsidRPr="00D04BA0">
        <w:rPr>
          <w:rFonts w:ascii="Times New Roman" w:hAnsi="Times New Roman" w:cs="Times New Roman"/>
          <w:sz w:val="24"/>
          <w:szCs w:val="24"/>
        </w:rPr>
        <w:t xml:space="preserve"> ustawy).</w:t>
      </w:r>
    </w:p>
    <w:p w:rsidR="00BE08FA" w:rsidRPr="00D04BA0" w:rsidRDefault="00BE08FA"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W celu zagwarantowania możliwie najbardziej </w:t>
      </w:r>
      <w:r w:rsidR="00C358AC" w:rsidRPr="00D04BA0">
        <w:rPr>
          <w:rFonts w:ascii="Times New Roman" w:hAnsi="Times New Roman" w:cs="Times New Roman"/>
          <w:sz w:val="24"/>
          <w:szCs w:val="24"/>
        </w:rPr>
        <w:t>wysokich standardów usług projekt wprowadza analogiczny, jak to ma miejsce w przypadku</w:t>
      </w:r>
      <w:r w:rsidR="00D04BA0">
        <w:rPr>
          <w:rFonts w:ascii="Times New Roman" w:hAnsi="Times New Roman" w:cs="Times New Roman"/>
          <w:sz w:val="24"/>
          <w:szCs w:val="24"/>
        </w:rPr>
        <w:t xml:space="preserve"> </w:t>
      </w:r>
      <w:r w:rsidR="00C358AC" w:rsidRPr="00D04BA0">
        <w:rPr>
          <w:rFonts w:ascii="Times New Roman" w:hAnsi="Times New Roman" w:cs="Times New Roman"/>
          <w:sz w:val="24"/>
          <w:szCs w:val="24"/>
        </w:rPr>
        <w:t xml:space="preserve">TFI, wymóg przedstawienia </w:t>
      </w:r>
      <w:r w:rsidR="00497FF7" w:rsidRPr="00D04BA0">
        <w:rPr>
          <w:rFonts w:ascii="Times New Roman" w:hAnsi="Times New Roman" w:cs="Times New Roman"/>
          <w:sz w:val="24"/>
          <w:szCs w:val="24"/>
        </w:rPr>
        <w:t xml:space="preserve">przez zarządzającego ASI </w:t>
      </w:r>
      <w:r w:rsidR="00C358AC" w:rsidRPr="00D04BA0">
        <w:rPr>
          <w:rFonts w:ascii="Times New Roman" w:hAnsi="Times New Roman" w:cs="Times New Roman"/>
          <w:sz w:val="24"/>
          <w:szCs w:val="24"/>
        </w:rPr>
        <w:t xml:space="preserve">na etapie </w:t>
      </w:r>
      <w:r w:rsidR="00497FF7" w:rsidRPr="00D04BA0">
        <w:rPr>
          <w:rFonts w:ascii="Times New Roman" w:hAnsi="Times New Roman" w:cs="Times New Roman"/>
          <w:sz w:val="24"/>
          <w:szCs w:val="24"/>
        </w:rPr>
        <w:t xml:space="preserve">ubiegania się o zezwolenie na prowadzenie działalności </w:t>
      </w:r>
      <w:r w:rsidR="00C358AC" w:rsidRPr="00D04BA0">
        <w:rPr>
          <w:rFonts w:ascii="Times New Roman" w:hAnsi="Times New Roman" w:cs="Times New Roman"/>
          <w:sz w:val="24"/>
          <w:szCs w:val="24"/>
        </w:rPr>
        <w:t>weryfikacji zasad wyceny aktywów alternatywnych spółek inwestycyjnych (ASI) przez podmiot uprawniony do badania sprawozdań finansowych również w przypadku</w:t>
      </w:r>
      <w:r w:rsidR="004F7CA3">
        <w:rPr>
          <w:rFonts w:ascii="Times New Roman" w:hAnsi="Times New Roman" w:cs="Times New Roman"/>
          <w:sz w:val="24"/>
          <w:szCs w:val="24"/>
        </w:rPr>
        <w:t>,</w:t>
      </w:r>
      <w:r w:rsidR="00C358AC" w:rsidRPr="00D04BA0">
        <w:rPr>
          <w:rFonts w:ascii="Times New Roman" w:hAnsi="Times New Roman" w:cs="Times New Roman"/>
          <w:sz w:val="24"/>
          <w:szCs w:val="24"/>
        </w:rPr>
        <w:t xml:space="preserve"> gdy wycena ta jest dokonywana przez zewnętrzny podmiot wyceniający (art. 70r ust. 3 pkt 15 projektu). Podkreślenia przy tym wymaga, iż w przypadku ASI dotyczy on tylko spółek, których prawa uczestnictwa będą oferowane klientom detalicznym, a więc osób</w:t>
      </w:r>
      <w:r w:rsidR="001A2EA7">
        <w:rPr>
          <w:rFonts w:ascii="Times New Roman" w:hAnsi="Times New Roman" w:cs="Times New Roman"/>
          <w:sz w:val="24"/>
          <w:szCs w:val="24"/>
        </w:rPr>
        <w:t>,</w:t>
      </w:r>
      <w:r w:rsidR="00C358AC" w:rsidRPr="00D04BA0">
        <w:rPr>
          <w:rFonts w:ascii="Times New Roman" w:hAnsi="Times New Roman" w:cs="Times New Roman"/>
          <w:sz w:val="24"/>
          <w:szCs w:val="24"/>
        </w:rPr>
        <w:t xml:space="preserve"> w stosunku do których powinny być przyjęte wyższe standardy bezpieczeństwa świadczonych usług. P</w:t>
      </w:r>
      <w:r w:rsidR="008F2CCA" w:rsidRPr="00D04BA0">
        <w:rPr>
          <w:rFonts w:ascii="Times New Roman" w:hAnsi="Times New Roman" w:cs="Times New Roman"/>
          <w:sz w:val="24"/>
          <w:szCs w:val="24"/>
        </w:rPr>
        <w:t>rzepis ten stanowi nadregulację</w:t>
      </w:r>
      <w:r w:rsidR="00A87537" w:rsidRPr="00D04BA0">
        <w:rPr>
          <w:rFonts w:ascii="Times New Roman" w:hAnsi="Times New Roman" w:cs="Times New Roman"/>
          <w:sz w:val="24"/>
          <w:szCs w:val="24"/>
        </w:rPr>
        <w:t xml:space="preserve"> wykraczającą poza wymogi implementowanej dyrektywy</w:t>
      </w:r>
      <w:r w:rsidR="008F2CCA" w:rsidRPr="00D04BA0">
        <w:rPr>
          <w:rFonts w:ascii="Times New Roman" w:hAnsi="Times New Roman" w:cs="Times New Roman"/>
          <w:sz w:val="24"/>
          <w:szCs w:val="24"/>
        </w:rPr>
        <w:t xml:space="preserve">. Mając </w:t>
      </w:r>
      <w:r w:rsidR="003E5EEE" w:rsidRPr="00D04BA0">
        <w:rPr>
          <w:rFonts w:ascii="Times New Roman" w:hAnsi="Times New Roman" w:cs="Times New Roman"/>
          <w:sz w:val="24"/>
          <w:szCs w:val="24"/>
        </w:rPr>
        <w:t xml:space="preserve">jednak </w:t>
      </w:r>
      <w:r w:rsidR="008F2CCA" w:rsidRPr="00D04BA0">
        <w:rPr>
          <w:rFonts w:ascii="Times New Roman" w:hAnsi="Times New Roman" w:cs="Times New Roman"/>
          <w:sz w:val="24"/>
          <w:szCs w:val="24"/>
        </w:rPr>
        <w:t>na uwadze, iż dyrektywa 2011/61/UE jest dyrektywą minimalnej harmonizacji przewidziane projektem rozwiązanie nie jest sprzeczne z prawem europejskim i ma na celu zapewnienie jednolitych standardów wśród produktów wspólnego inwestowania oferowanych inwestorom detalicznym.</w:t>
      </w:r>
    </w:p>
    <w:p w:rsidR="00C976A6" w:rsidRPr="00D04BA0" w:rsidRDefault="002C158E" w:rsidP="00F2487E">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Natomiast </w:t>
      </w:r>
      <w:r w:rsidR="003C74A1" w:rsidRPr="00D04BA0">
        <w:rPr>
          <w:rFonts w:ascii="Times New Roman" w:hAnsi="Times New Roman" w:cs="Times New Roman"/>
          <w:sz w:val="24"/>
          <w:szCs w:val="24"/>
        </w:rPr>
        <w:t xml:space="preserve">projekt przewiduje </w:t>
      </w:r>
      <w:r w:rsidRPr="00D04BA0">
        <w:rPr>
          <w:rFonts w:ascii="Times New Roman" w:hAnsi="Times New Roman" w:cs="Times New Roman"/>
          <w:sz w:val="24"/>
          <w:szCs w:val="24"/>
        </w:rPr>
        <w:t xml:space="preserve">w znacznie mniejszym stopniu niż w odniesieniu do TFI </w:t>
      </w:r>
      <w:r w:rsidR="003C74A1" w:rsidRPr="00D04BA0">
        <w:rPr>
          <w:rFonts w:ascii="Times New Roman" w:hAnsi="Times New Roman" w:cs="Times New Roman"/>
          <w:sz w:val="24"/>
          <w:szCs w:val="24"/>
        </w:rPr>
        <w:t xml:space="preserve">możliwość ingerencji </w:t>
      </w:r>
      <w:r w:rsidRPr="00D04BA0">
        <w:rPr>
          <w:rFonts w:ascii="Times New Roman" w:hAnsi="Times New Roman" w:cs="Times New Roman"/>
          <w:sz w:val="24"/>
          <w:szCs w:val="24"/>
        </w:rPr>
        <w:t xml:space="preserve">organu nadzoru </w:t>
      </w:r>
      <w:r w:rsidR="003C74A1" w:rsidRPr="00D04BA0">
        <w:rPr>
          <w:rFonts w:ascii="Times New Roman" w:hAnsi="Times New Roman" w:cs="Times New Roman"/>
          <w:sz w:val="24"/>
          <w:szCs w:val="24"/>
        </w:rPr>
        <w:t>w</w:t>
      </w:r>
      <w:r w:rsidRPr="00D04BA0">
        <w:rPr>
          <w:rFonts w:ascii="Times New Roman" w:hAnsi="Times New Roman" w:cs="Times New Roman"/>
          <w:sz w:val="24"/>
          <w:szCs w:val="24"/>
        </w:rPr>
        <w:t xml:space="preserve"> zmian</w:t>
      </w:r>
      <w:r w:rsidR="003C74A1" w:rsidRPr="00D04BA0">
        <w:rPr>
          <w:rFonts w:ascii="Times New Roman" w:hAnsi="Times New Roman" w:cs="Times New Roman"/>
          <w:sz w:val="24"/>
          <w:szCs w:val="24"/>
        </w:rPr>
        <w:t>y</w:t>
      </w:r>
      <w:r w:rsidRPr="00D04BA0">
        <w:rPr>
          <w:rFonts w:ascii="Times New Roman" w:hAnsi="Times New Roman" w:cs="Times New Roman"/>
          <w:sz w:val="24"/>
          <w:szCs w:val="24"/>
        </w:rPr>
        <w:t xml:space="preserve"> zaangażowania kapitałowego wspólników</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i akcjonariuszy zarządzającego ASI. </w:t>
      </w:r>
      <w:r w:rsidR="00710428" w:rsidRPr="00D04BA0">
        <w:rPr>
          <w:rFonts w:ascii="Times New Roman" w:hAnsi="Times New Roman" w:cs="Times New Roman"/>
          <w:sz w:val="24"/>
          <w:szCs w:val="24"/>
        </w:rPr>
        <w:t>Projekt przewiduje wyłącznie (art.</w:t>
      </w:r>
      <w:r w:rsidR="00D14EF5">
        <w:rPr>
          <w:rFonts w:ascii="Times New Roman" w:hAnsi="Times New Roman" w:cs="Times New Roman"/>
          <w:sz w:val="24"/>
          <w:szCs w:val="24"/>
        </w:rPr>
        <w:t> </w:t>
      </w:r>
      <w:r w:rsidR="00710428" w:rsidRPr="00D04BA0">
        <w:rPr>
          <w:rFonts w:ascii="Times New Roman" w:hAnsi="Times New Roman" w:cs="Times New Roman"/>
          <w:sz w:val="24"/>
          <w:szCs w:val="24"/>
        </w:rPr>
        <w:t>70</w:t>
      </w:r>
      <w:r w:rsidR="00F565A6" w:rsidRPr="00D04BA0">
        <w:rPr>
          <w:rFonts w:ascii="Times New Roman" w:hAnsi="Times New Roman" w:cs="Times New Roman"/>
          <w:sz w:val="24"/>
          <w:szCs w:val="24"/>
        </w:rPr>
        <w:t>q</w:t>
      </w:r>
      <w:r w:rsidR="00710428" w:rsidRPr="00D04BA0">
        <w:rPr>
          <w:rFonts w:ascii="Times New Roman" w:hAnsi="Times New Roman" w:cs="Times New Roman"/>
          <w:sz w:val="24"/>
          <w:szCs w:val="24"/>
        </w:rPr>
        <w:t xml:space="preserve"> ustawy) obowiązek informacyjny zarządzającego ASI</w:t>
      </w:r>
      <w:r w:rsidR="003C74A1" w:rsidRPr="00D04BA0">
        <w:rPr>
          <w:rFonts w:ascii="Times New Roman" w:hAnsi="Times New Roman" w:cs="Times New Roman"/>
          <w:sz w:val="24"/>
          <w:szCs w:val="24"/>
        </w:rPr>
        <w:t xml:space="preserve"> w tym zakresie</w:t>
      </w:r>
      <w:r w:rsidR="00710428" w:rsidRPr="00D04BA0">
        <w:rPr>
          <w:rFonts w:ascii="Times New Roman" w:hAnsi="Times New Roman" w:cs="Times New Roman"/>
          <w:sz w:val="24"/>
          <w:szCs w:val="24"/>
        </w:rPr>
        <w:t xml:space="preserve"> i kontrolę następczą KNF, która może doprowadzić do uruchomienia instrumentów mających na celu zniwelowanie negatywnego wpływu wspólnika lub akcjonariusza na zarządzanie podmiotem.</w:t>
      </w:r>
    </w:p>
    <w:p w:rsidR="00CC5805" w:rsidRPr="00D04BA0" w:rsidRDefault="00CC5805" w:rsidP="00F2487E">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Zgodnie z przepisami dyrektywy państwa członkowskie mogą zezwolić </w:t>
      </w:r>
      <w:r w:rsidR="00120268" w:rsidRPr="00D04BA0">
        <w:rPr>
          <w:rFonts w:ascii="Times New Roman" w:hAnsi="Times New Roman" w:cs="Times New Roman"/>
          <w:sz w:val="24"/>
          <w:szCs w:val="24"/>
        </w:rPr>
        <w:t xml:space="preserve">zewnętrznie zarządzającym </w:t>
      </w:r>
      <w:r w:rsidRPr="00D04BA0">
        <w:rPr>
          <w:rFonts w:ascii="Times New Roman" w:hAnsi="Times New Roman" w:cs="Times New Roman"/>
          <w:sz w:val="24"/>
          <w:szCs w:val="24"/>
        </w:rPr>
        <w:t>ZAFI na świadczeni</w:t>
      </w:r>
      <w:r w:rsidR="00D14EF5">
        <w:rPr>
          <w:rFonts w:ascii="Times New Roman" w:hAnsi="Times New Roman" w:cs="Times New Roman"/>
          <w:sz w:val="24"/>
          <w:szCs w:val="24"/>
        </w:rPr>
        <w:t>e działalności ubocznej do zarzą</w:t>
      </w:r>
      <w:r w:rsidRPr="00D04BA0">
        <w:rPr>
          <w:rFonts w:ascii="Times New Roman" w:hAnsi="Times New Roman" w:cs="Times New Roman"/>
          <w:sz w:val="24"/>
          <w:szCs w:val="24"/>
        </w:rPr>
        <w:t xml:space="preserve">dzania </w:t>
      </w:r>
      <w:r w:rsidRPr="00D04BA0">
        <w:rPr>
          <w:rFonts w:ascii="Times New Roman" w:hAnsi="Times New Roman" w:cs="Times New Roman"/>
          <w:sz w:val="24"/>
          <w:szCs w:val="24"/>
        </w:rPr>
        <w:lastRenderedPageBreak/>
        <w:t xml:space="preserve">alternatywnymi funduszami inwestycyjnymi. </w:t>
      </w:r>
      <w:r w:rsidR="00120268" w:rsidRPr="00D04BA0">
        <w:rPr>
          <w:rFonts w:ascii="Times New Roman" w:hAnsi="Times New Roman" w:cs="Times New Roman"/>
          <w:sz w:val="24"/>
          <w:szCs w:val="24"/>
        </w:rPr>
        <w:t xml:space="preserve">W oparciu o te wytyczne w projekcie umożliwiono TFI posiadającym zezwolenie na zarządzanie alternatywnymi funduszami inwestycyjnymi świadczenie dodatkowej usługi </w:t>
      </w:r>
      <w:r w:rsidRPr="00D04BA0">
        <w:rPr>
          <w:rFonts w:ascii="Times New Roman" w:hAnsi="Times New Roman" w:cs="Times New Roman"/>
          <w:sz w:val="24"/>
          <w:szCs w:val="24"/>
        </w:rPr>
        <w:t>przyjmowani</w:t>
      </w:r>
      <w:r w:rsidR="00120268" w:rsidRPr="00D04BA0">
        <w:rPr>
          <w:rFonts w:ascii="Times New Roman" w:hAnsi="Times New Roman" w:cs="Times New Roman"/>
          <w:sz w:val="24"/>
          <w:szCs w:val="24"/>
        </w:rPr>
        <w:t>a</w:t>
      </w:r>
      <w:r w:rsidRPr="00D04BA0">
        <w:rPr>
          <w:rFonts w:ascii="Times New Roman" w:hAnsi="Times New Roman" w:cs="Times New Roman"/>
          <w:sz w:val="24"/>
          <w:szCs w:val="24"/>
        </w:rPr>
        <w:t xml:space="preserve"> i przekazywani</w:t>
      </w:r>
      <w:r w:rsidR="00120268" w:rsidRPr="00D04BA0">
        <w:rPr>
          <w:rFonts w:ascii="Times New Roman" w:hAnsi="Times New Roman" w:cs="Times New Roman"/>
          <w:sz w:val="24"/>
          <w:szCs w:val="24"/>
        </w:rPr>
        <w:t>a</w:t>
      </w:r>
      <w:r w:rsidRPr="00D04BA0">
        <w:rPr>
          <w:rFonts w:ascii="Times New Roman" w:hAnsi="Times New Roman" w:cs="Times New Roman"/>
          <w:sz w:val="24"/>
          <w:szCs w:val="24"/>
        </w:rPr>
        <w:t xml:space="preserve"> zleceń nabycia lub zbycia instrumentów finansowych. </w:t>
      </w:r>
      <w:r w:rsidR="00971FD7" w:rsidRPr="00D04BA0">
        <w:rPr>
          <w:rFonts w:ascii="Times New Roman" w:hAnsi="Times New Roman" w:cs="Times New Roman"/>
          <w:sz w:val="24"/>
          <w:szCs w:val="24"/>
        </w:rPr>
        <w:t>D</w:t>
      </w:r>
      <w:r w:rsidR="00631330" w:rsidRPr="00D04BA0">
        <w:rPr>
          <w:rFonts w:ascii="Times New Roman" w:hAnsi="Times New Roman" w:cs="Times New Roman"/>
          <w:sz w:val="24"/>
          <w:szCs w:val="24"/>
        </w:rPr>
        <w:t>yrektywa ZAFI nie uzależnia ww. możliwości od formy organizacyjno-prawnej</w:t>
      </w:r>
      <w:r w:rsidR="00B23757" w:rsidRPr="00D04BA0">
        <w:rPr>
          <w:rFonts w:ascii="Times New Roman" w:hAnsi="Times New Roman" w:cs="Times New Roman"/>
          <w:sz w:val="24"/>
          <w:szCs w:val="24"/>
        </w:rPr>
        <w:t xml:space="preserve"> ZAFI</w:t>
      </w:r>
      <w:r w:rsidR="00631330" w:rsidRPr="00D04BA0">
        <w:rPr>
          <w:rFonts w:ascii="Times New Roman" w:hAnsi="Times New Roman" w:cs="Times New Roman"/>
          <w:sz w:val="24"/>
          <w:szCs w:val="24"/>
        </w:rPr>
        <w:t>,</w:t>
      </w:r>
      <w:r w:rsidR="00971FD7" w:rsidRPr="00D04BA0">
        <w:rPr>
          <w:rFonts w:ascii="Times New Roman" w:hAnsi="Times New Roman" w:cs="Times New Roman"/>
          <w:sz w:val="24"/>
          <w:szCs w:val="24"/>
        </w:rPr>
        <w:t xml:space="preserve"> tym samym, pomimo iż wprowadzana </w:t>
      </w:r>
      <w:r w:rsidR="00BD6ED7" w:rsidRPr="00D04BA0">
        <w:rPr>
          <w:rFonts w:ascii="Times New Roman" w:hAnsi="Times New Roman" w:cs="Times New Roman"/>
          <w:sz w:val="24"/>
          <w:szCs w:val="24"/>
        </w:rPr>
        <w:t xml:space="preserve">projektem zmiana przepisów </w:t>
      </w:r>
      <w:r w:rsidR="00971FD7" w:rsidRPr="00D04BA0">
        <w:rPr>
          <w:rFonts w:ascii="Times New Roman" w:hAnsi="Times New Roman" w:cs="Times New Roman"/>
          <w:sz w:val="24"/>
          <w:szCs w:val="24"/>
        </w:rPr>
        <w:t>przyczyni się do zróżnicowania pozycji zarządzających ASI z siedzibą na terytorium RP</w:t>
      </w:r>
      <w:r w:rsidR="00631330" w:rsidRPr="00D04BA0">
        <w:rPr>
          <w:rFonts w:ascii="Times New Roman" w:hAnsi="Times New Roman" w:cs="Times New Roman"/>
          <w:sz w:val="24"/>
          <w:szCs w:val="24"/>
        </w:rPr>
        <w:t xml:space="preserve"> </w:t>
      </w:r>
      <w:r w:rsidR="00971FD7" w:rsidRPr="00D04BA0">
        <w:rPr>
          <w:rFonts w:ascii="Times New Roman" w:hAnsi="Times New Roman" w:cs="Times New Roman"/>
          <w:sz w:val="24"/>
          <w:szCs w:val="24"/>
        </w:rPr>
        <w:t>oraz zarządzających ZAFI z siedzibą w innych państwach członkowskich,</w:t>
      </w:r>
      <w:r w:rsidR="00D04BA0">
        <w:rPr>
          <w:rFonts w:ascii="Times New Roman" w:hAnsi="Times New Roman" w:cs="Times New Roman"/>
          <w:sz w:val="24"/>
          <w:szCs w:val="24"/>
        </w:rPr>
        <w:t xml:space="preserve"> </w:t>
      </w:r>
      <w:r w:rsidR="00971FD7" w:rsidRPr="00D04BA0">
        <w:rPr>
          <w:rFonts w:ascii="Times New Roman" w:hAnsi="Times New Roman" w:cs="Times New Roman"/>
          <w:sz w:val="24"/>
          <w:szCs w:val="24"/>
        </w:rPr>
        <w:t xml:space="preserve">w </w:t>
      </w:r>
      <w:r w:rsidR="00120268" w:rsidRPr="00D04BA0">
        <w:rPr>
          <w:rFonts w:ascii="Times New Roman" w:hAnsi="Times New Roman" w:cs="Times New Roman"/>
          <w:sz w:val="24"/>
          <w:szCs w:val="24"/>
        </w:rPr>
        <w:t xml:space="preserve">przypadku zarządzających ASI uznano, iż brak jest podstaw </w:t>
      </w:r>
      <w:r w:rsidRPr="00D04BA0">
        <w:rPr>
          <w:rFonts w:ascii="Times New Roman" w:hAnsi="Times New Roman" w:cs="Times New Roman"/>
          <w:sz w:val="24"/>
          <w:szCs w:val="24"/>
        </w:rPr>
        <w:t xml:space="preserve">do rozszerzenia ich przedmiotu działalności ponad zarządzanie </w:t>
      </w:r>
      <w:r w:rsidR="00120268" w:rsidRPr="00D04BA0">
        <w:rPr>
          <w:rFonts w:ascii="Times New Roman" w:hAnsi="Times New Roman" w:cs="Times New Roman"/>
          <w:sz w:val="24"/>
          <w:szCs w:val="24"/>
        </w:rPr>
        <w:t>ASI</w:t>
      </w:r>
      <w:r w:rsidRPr="00D04BA0">
        <w:rPr>
          <w:rFonts w:ascii="Times New Roman" w:hAnsi="Times New Roman" w:cs="Times New Roman"/>
          <w:sz w:val="24"/>
          <w:szCs w:val="24"/>
        </w:rPr>
        <w:t xml:space="preserve">. </w:t>
      </w:r>
      <w:r w:rsidR="00120268" w:rsidRPr="00D04BA0">
        <w:rPr>
          <w:rFonts w:ascii="Times New Roman" w:hAnsi="Times New Roman" w:cs="Times New Roman"/>
          <w:sz w:val="24"/>
          <w:szCs w:val="24"/>
        </w:rPr>
        <w:t>K</w:t>
      </w:r>
      <w:r w:rsidRPr="00D04BA0">
        <w:rPr>
          <w:rFonts w:ascii="Times New Roman" w:hAnsi="Times New Roman" w:cs="Times New Roman"/>
          <w:sz w:val="24"/>
          <w:szCs w:val="24"/>
        </w:rPr>
        <w:t xml:space="preserve">ategoria takich zewnętrznych zarządzających została wprowadzona wyłącznie w celu umożliwienia implementowania </w:t>
      </w:r>
      <w:r w:rsidR="001A2EA7">
        <w:rPr>
          <w:rFonts w:ascii="Times New Roman" w:hAnsi="Times New Roman" w:cs="Times New Roman"/>
          <w:sz w:val="24"/>
          <w:szCs w:val="24"/>
        </w:rPr>
        <w:t>d</w:t>
      </w:r>
      <w:r w:rsidRPr="00D04BA0">
        <w:rPr>
          <w:rFonts w:ascii="Times New Roman" w:hAnsi="Times New Roman" w:cs="Times New Roman"/>
          <w:sz w:val="24"/>
          <w:szCs w:val="24"/>
        </w:rPr>
        <w:t>yrektywy ZAFI w stosunku do spółek komandytowych i spółek komandytowo</w:t>
      </w:r>
      <w:r w:rsidR="00D51956">
        <w:rPr>
          <w:rFonts w:ascii="Times New Roman" w:hAnsi="Times New Roman" w:cs="Times New Roman"/>
          <w:sz w:val="24"/>
          <w:szCs w:val="24"/>
        </w:rPr>
        <w:t>-</w:t>
      </w:r>
      <w:r w:rsidRPr="00D04BA0">
        <w:rPr>
          <w:rFonts w:ascii="Times New Roman" w:hAnsi="Times New Roman" w:cs="Times New Roman"/>
          <w:sz w:val="24"/>
          <w:szCs w:val="24"/>
        </w:rPr>
        <w:t xml:space="preserve">akcyjnych, których status prawny (brak osobowości prawnej) uniemożliwia potraktowanie ich jako wewnętrznie zarządzanych alternatywnych funduszy inwestycyjnych. Tym samym komplementariuszowi takiej spółki postanowiono przypisać funkcję zewnętrznego ZAFI, odpowiedzialnego za zarządzanie takim funduszem. </w:t>
      </w:r>
      <w:r w:rsidR="008A0A39" w:rsidRPr="00D04BA0">
        <w:rPr>
          <w:rFonts w:ascii="Times New Roman" w:hAnsi="Times New Roman" w:cs="Times New Roman"/>
          <w:sz w:val="24"/>
          <w:szCs w:val="24"/>
        </w:rPr>
        <w:t xml:space="preserve">Natomiast celem </w:t>
      </w:r>
      <w:r w:rsidRPr="00D04BA0">
        <w:rPr>
          <w:rFonts w:ascii="Times New Roman" w:hAnsi="Times New Roman" w:cs="Times New Roman"/>
          <w:sz w:val="24"/>
          <w:szCs w:val="24"/>
        </w:rPr>
        <w:t xml:space="preserve">projektowanej regulacji nie jest tworzenie nowej kategorii podmiotów uprawnionych do wykonywania działalności maklerskiej. </w:t>
      </w:r>
      <w:r w:rsidR="008A0A39" w:rsidRPr="00D04BA0">
        <w:rPr>
          <w:rFonts w:ascii="Times New Roman" w:hAnsi="Times New Roman" w:cs="Times New Roman"/>
          <w:sz w:val="24"/>
          <w:szCs w:val="24"/>
        </w:rPr>
        <w:t>Działalność taka niesie ze sobą nowe ryzyka w stosunku do zarządzania funduszami, wymaga też wdrożenia specyficznych rozwiązań organizacyjnych, powinna zatem być pozostawiona firmom inwestycyjnym. Wobec tego k</w:t>
      </w:r>
      <w:r w:rsidRPr="00D04BA0">
        <w:rPr>
          <w:rFonts w:ascii="Times New Roman" w:hAnsi="Times New Roman" w:cs="Times New Roman"/>
          <w:sz w:val="24"/>
          <w:szCs w:val="24"/>
        </w:rPr>
        <w:t xml:space="preserve">omplementariusz </w:t>
      </w:r>
      <w:r w:rsidR="008A0A39" w:rsidRPr="00D04BA0">
        <w:rPr>
          <w:rFonts w:ascii="Times New Roman" w:hAnsi="Times New Roman" w:cs="Times New Roman"/>
          <w:sz w:val="24"/>
          <w:szCs w:val="24"/>
        </w:rPr>
        <w:t xml:space="preserve">powinien </w:t>
      </w:r>
      <w:r w:rsidRPr="00D04BA0">
        <w:rPr>
          <w:rFonts w:ascii="Times New Roman" w:hAnsi="Times New Roman" w:cs="Times New Roman"/>
          <w:sz w:val="24"/>
          <w:szCs w:val="24"/>
        </w:rPr>
        <w:t>skupić się na zarządzaniu spółką komandytową lub komandytowo</w:t>
      </w:r>
      <w:r w:rsidR="00D51956">
        <w:rPr>
          <w:rFonts w:ascii="Times New Roman" w:hAnsi="Times New Roman" w:cs="Times New Roman"/>
          <w:sz w:val="24"/>
          <w:szCs w:val="24"/>
        </w:rPr>
        <w:t>-</w:t>
      </w:r>
      <w:r w:rsidRPr="00D04BA0">
        <w:rPr>
          <w:rFonts w:ascii="Times New Roman" w:hAnsi="Times New Roman" w:cs="Times New Roman"/>
          <w:sz w:val="24"/>
          <w:szCs w:val="24"/>
        </w:rPr>
        <w:t>akcyjną będącą alternatywnym funduszem inwestycyjnym, a nie podejmować, niemającej związku z funkcjonowaniem zarządzanego przez niego alternatywnego funduszu inwestycyjnego, działalności mających charakter czynności maklerskich.</w:t>
      </w:r>
    </w:p>
    <w:p w:rsidR="00F62217" w:rsidRPr="00D04BA0" w:rsidRDefault="0045207C" w:rsidP="00F2487E">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Zauważenia </w:t>
      </w:r>
      <w:r w:rsidR="00CC5805" w:rsidRPr="00D04BA0">
        <w:rPr>
          <w:rFonts w:ascii="Times New Roman" w:hAnsi="Times New Roman" w:cs="Times New Roman"/>
          <w:sz w:val="24"/>
          <w:szCs w:val="24"/>
        </w:rPr>
        <w:t xml:space="preserve">również </w:t>
      </w:r>
      <w:r w:rsidRPr="00D04BA0">
        <w:rPr>
          <w:rFonts w:ascii="Times New Roman" w:hAnsi="Times New Roman" w:cs="Times New Roman"/>
          <w:sz w:val="24"/>
          <w:szCs w:val="24"/>
        </w:rPr>
        <w:t>wymaga, iż w przeciwieństwie do dyrektywy UCITS</w:t>
      </w:r>
      <w:r w:rsidR="00F21993" w:rsidRPr="00D04BA0">
        <w:rPr>
          <w:rFonts w:ascii="Times New Roman" w:hAnsi="Times New Roman" w:cs="Times New Roman"/>
          <w:sz w:val="24"/>
          <w:szCs w:val="24"/>
        </w:rPr>
        <w:t>,</w:t>
      </w:r>
      <w:r w:rsidRPr="00D04BA0">
        <w:rPr>
          <w:rFonts w:ascii="Times New Roman" w:hAnsi="Times New Roman" w:cs="Times New Roman"/>
          <w:sz w:val="24"/>
          <w:szCs w:val="24"/>
        </w:rPr>
        <w:t xml:space="preserve"> której odzwierciedleniem w prawie krajowym w stosunku do TFI są przepisy art. 50a ust. 2 nowelizowanej ustawy</w:t>
      </w:r>
      <w:r w:rsidR="00F21993" w:rsidRPr="00D04BA0">
        <w:rPr>
          <w:rFonts w:ascii="Times New Roman" w:hAnsi="Times New Roman" w:cs="Times New Roman"/>
          <w:sz w:val="24"/>
          <w:szCs w:val="24"/>
        </w:rPr>
        <w:t>,</w:t>
      </w:r>
      <w:r w:rsidRPr="00D04BA0">
        <w:rPr>
          <w:rFonts w:ascii="Times New Roman" w:hAnsi="Times New Roman" w:cs="Times New Roman"/>
          <w:sz w:val="24"/>
          <w:szCs w:val="24"/>
        </w:rPr>
        <w:t xml:space="preserve"> </w:t>
      </w:r>
      <w:r w:rsidRPr="00F2487E">
        <w:rPr>
          <w:rFonts w:ascii="Times New Roman" w:hAnsi="Times New Roman" w:cs="Times New Roman"/>
          <w:sz w:val="24"/>
          <w:szCs w:val="24"/>
        </w:rPr>
        <w:t>dyrektywa ZAFI nie przewiduje wprowadzenia ograniczonego reżimu regulacyjnego wobec ZAFI, które okresowo albo w sposób stały zaprzestały zarządzać AFI</w:t>
      </w:r>
      <w:r w:rsidRPr="00D04BA0">
        <w:rPr>
          <w:rFonts w:ascii="Times New Roman" w:hAnsi="Times New Roman" w:cs="Times New Roman"/>
          <w:sz w:val="24"/>
          <w:szCs w:val="24"/>
        </w:rPr>
        <w:t xml:space="preserve"> (np. ze względu na umowne powierzenie zadań w tym zakresie innym podmiotom). Przeciwnie </w:t>
      </w:r>
      <w:r w:rsidR="001A2EA7">
        <w:rPr>
          <w:rFonts w:ascii="Times New Roman" w:hAnsi="Times New Roman" w:cs="Times New Roman"/>
          <w:sz w:val="24"/>
          <w:szCs w:val="24"/>
        </w:rPr>
        <w:t>d</w:t>
      </w:r>
      <w:r w:rsidRPr="00D04BA0">
        <w:rPr>
          <w:rFonts w:ascii="Times New Roman" w:hAnsi="Times New Roman" w:cs="Times New Roman"/>
          <w:sz w:val="24"/>
          <w:szCs w:val="24"/>
        </w:rPr>
        <w:t>yrektywa ZAFI wymaga, aby państwa członkowskie w sposób permanentny sprawdzały, czy podmiot, który uzyskał zezwolenie na wykonywanie działalności ZAFI spełnia wszystkie wymagania przewid</w:t>
      </w:r>
      <w:r w:rsidR="00386B04">
        <w:rPr>
          <w:rFonts w:ascii="Times New Roman" w:hAnsi="Times New Roman" w:cs="Times New Roman"/>
          <w:sz w:val="24"/>
          <w:szCs w:val="24"/>
        </w:rPr>
        <w:t xml:space="preserve">ziane przez </w:t>
      </w:r>
      <w:r w:rsidR="00386B04">
        <w:rPr>
          <w:rFonts w:ascii="Times New Roman" w:hAnsi="Times New Roman" w:cs="Times New Roman"/>
          <w:sz w:val="24"/>
          <w:szCs w:val="24"/>
        </w:rPr>
        <w:lastRenderedPageBreak/>
        <w:t>dyrektyw</w:t>
      </w:r>
      <w:r w:rsidR="002A0F04">
        <w:rPr>
          <w:rFonts w:ascii="Times New Roman" w:hAnsi="Times New Roman" w:cs="Times New Roman"/>
          <w:sz w:val="24"/>
          <w:szCs w:val="24"/>
        </w:rPr>
        <w:t>ę</w:t>
      </w:r>
      <w:r w:rsidR="00386B04">
        <w:rPr>
          <w:rFonts w:ascii="Times New Roman" w:hAnsi="Times New Roman" w:cs="Times New Roman"/>
          <w:sz w:val="24"/>
          <w:szCs w:val="24"/>
        </w:rPr>
        <w:t xml:space="preserve"> ZAFI (pkt</w:t>
      </w:r>
      <w:r w:rsidR="00D14EF5">
        <w:rPr>
          <w:rFonts w:ascii="Times New Roman" w:hAnsi="Times New Roman" w:cs="Times New Roman"/>
          <w:sz w:val="24"/>
          <w:szCs w:val="24"/>
        </w:rPr>
        <w:t xml:space="preserve"> </w:t>
      </w:r>
      <w:r w:rsidRPr="00D04BA0">
        <w:rPr>
          <w:rFonts w:ascii="Times New Roman" w:hAnsi="Times New Roman" w:cs="Times New Roman"/>
          <w:sz w:val="24"/>
          <w:szCs w:val="24"/>
        </w:rPr>
        <w:t xml:space="preserve">18 oraz 50 preambuły oraz z art. 6 ust. 1, art. 12 ust. 1, art. </w:t>
      </w:r>
      <w:r w:rsidR="004027DC">
        <w:rPr>
          <w:rFonts w:ascii="Times New Roman" w:hAnsi="Times New Roman" w:cs="Times New Roman"/>
          <w:sz w:val="24"/>
          <w:szCs w:val="24"/>
        </w:rPr>
        <w:t>15 ust.</w:t>
      </w:r>
      <w:r w:rsidR="00D14EF5">
        <w:rPr>
          <w:rFonts w:ascii="Times New Roman" w:hAnsi="Times New Roman" w:cs="Times New Roman"/>
          <w:sz w:val="24"/>
          <w:szCs w:val="24"/>
        </w:rPr>
        <w:t> </w:t>
      </w:r>
      <w:r w:rsidR="004027DC">
        <w:rPr>
          <w:rFonts w:ascii="Times New Roman" w:hAnsi="Times New Roman" w:cs="Times New Roman"/>
          <w:sz w:val="24"/>
          <w:szCs w:val="24"/>
        </w:rPr>
        <w:t>1 i 3 oraz art. 18 ust.</w:t>
      </w:r>
      <w:r w:rsidR="00D14EF5">
        <w:rPr>
          <w:rFonts w:ascii="Times New Roman" w:hAnsi="Times New Roman" w:cs="Times New Roman"/>
          <w:sz w:val="24"/>
          <w:szCs w:val="24"/>
        </w:rPr>
        <w:t xml:space="preserve"> </w:t>
      </w:r>
      <w:r w:rsidRPr="00D04BA0">
        <w:rPr>
          <w:rFonts w:ascii="Times New Roman" w:hAnsi="Times New Roman" w:cs="Times New Roman"/>
          <w:sz w:val="24"/>
          <w:szCs w:val="24"/>
        </w:rPr>
        <w:t xml:space="preserve">1 dyrektywy ZAFI). Z tego też względu w projektowanej ustawie zrezygnowano z wprowadzania dla zarządzających ASI analogicznych przepisów do art. 50a ust. 2 nowelizowanej ustawy, które w przypadku TFI z uwagi na ich specyfikę (wykonywanie funkcji organów </w:t>
      </w:r>
      <w:r w:rsidR="00F21993" w:rsidRPr="00D04BA0">
        <w:rPr>
          <w:rFonts w:ascii="Times New Roman" w:hAnsi="Times New Roman" w:cs="Times New Roman"/>
          <w:sz w:val="24"/>
          <w:szCs w:val="24"/>
        </w:rPr>
        <w:t>SFIO i FIZ) są uzasadnione.</w:t>
      </w:r>
    </w:p>
    <w:p w:rsidR="00710428" w:rsidRPr="00D04BA0" w:rsidRDefault="00710428"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2. Zezwolenie i wpis do rejestru</w:t>
      </w:r>
    </w:p>
    <w:p w:rsidR="003C2C0C" w:rsidRPr="00F2487E" w:rsidRDefault="00710428" w:rsidP="00F2487E">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Projekt przewiduje, iż udzielanie zezwolenia oraz wpis do rejestru będą następować na etapie tworzenia alternatywnej spółki inwestycyjnej, którą ma zarządzać dany zarządzający ASI, czyli po zawiązaniu tej spółki</w:t>
      </w:r>
      <w:r w:rsidR="001A2EA7">
        <w:rPr>
          <w:rFonts w:ascii="Times New Roman" w:hAnsi="Times New Roman" w:cs="Times New Roman"/>
          <w:sz w:val="24"/>
          <w:szCs w:val="24"/>
        </w:rPr>
        <w:t>,</w:t>
      </w:r>
      <w:r w:rsidRPr="00D04BA0">
        <w:rPr>
          <w:rFonts w:ascii="Times New Roman" w:hAnsi="Times New Roman" w:cs="Times New Roman"/>
          <w:sz w:val="24"/>
          <w:szCs w:val="24"/>
        </w:rPr>
        <w:t xml:space="preserve"> a przed jej zgłoszeniem do Krajowego Rejestru Sądowego (art. 70</w:t>
      </w:r>
      <w:r w:rsidR="00F565A6" w:rsidRPr="00D04BA0">
        <w:rPr>
          <w:rFonts w:ascii="Times New Roman" w:hAnsi="Times New Roman" w:cs="Times New Roman"/>
          <w:sz w:val="24"/>
          <w:szCs w:val="24"/>
        </w:rPr>
        <w:t>r</w:t>
      </w:r>
      <w:r w:rsidRPr="00D04BA0">
        <w:rPr>
          <w:rFonts w:ascii="Times New Roman" w:hAnsi="Times New Roman" w:cs="Times New Roman"/>
          <w:sz w:val="24"/>
          <w:szCs w:val="24"/>
        </w:rPr>
        <w:t xml:space="preserve"> ust. 1 i 2 i art. 70z ust. 1 i 4</w:t>
      </w:r>
      <w:r w:rsidR="00F462D0" w:rsidRPr="00D04BA0">
        <w:rPr>
          <w:rFonts w:ascii="Times New Roman" w:hAnsi="Times New Roman" w:cs="Times New Roman"/>
          <w:sz w:val="24"/>
          <w:szCs w:val="24"/>
        </w:rPr>
        <w:t xml:space="preserve"> ustawy). </w:t>
      </w:r>
      <w:r w:rsidR="003C74A1" w:rsidRPr="00D04BA0">
        <w:rPr>
          <w:rFonts w:ascii="Times New Roman" w:hAnsi="Times New Roman" w:cs="Times New Roman"/>
          <w:sz w:val="24"/>
          <w:szCs w:val="24"/>
        </w:rPr>
        <w:t>Odstępstwa w tym zakresie wprowadzone są</w:t>
      </w:r>
      <w:r w:rsidR="00D04BA0">
        <w:rPr>
          <w:rFonts w:ascii="Times New Roman" w:hAnsi="Times New Roman" w:cs="Times New Roman"/>
          <w:sz w:val="24"/>
          <w:szCs w:val="24"/>
        </w:rPr>
        <w:t xml:space="preserve"> </w:t>
      </w:r>
      <w:r w:rsidR="003C74A1" w:rsidRPr="00D04BA0">
        <w:rPr>
          <w:rFonts w:ascii="Times New Roman" w:hAnsi="Times New Roman" w:cs="Times New Roman"/>
          <w:sz w:val="24"/>
          <w:szCs w:val="24"/>
        </w:rPr>
        <w:t xml:space="preserve">w regulacjach przejściowych w odniesieniu do podmiotów, które obecnie prowadzą działalność w tym segmencie rynku. </w:t>
      </w:r>
      <w:r w:rsidR="00F462D0" w:rsidRPr="00D04BA0">
        <w:rPr>
          <w:rFonts w:ascii="Times New Roman" w:hAnsi="Times New Roman" w:cs="Times New Roman"/>
          <w:sz w:val="24"/>
          <w:szCs w:val="24"/>
        </w:rPr>
        <w:t>Zakres dokumentów i informacji składanych wraz</w:t>
      </w:r>
      <w:r w:rsidR="00D04BA0">
        <w:rPr>
          <w:rFonts w:ascii="Times New Roman" w:hAnsi="Times New Roman" w:cs="Times New Roman"/>
          <w:sz w:val="24"/>
          <w:szCs w:val="24"/>
        </w:rPr>
        <w:t xml:space="preserve"> </w:t>
      </w:r>
      <w:r w:rsidR="00F462D0" w:rsidRPr="00D04BA0">
        <w:rPr>
          <w:rFonts w:ascii="Times New Roman" w:hAnsi="Times New Roman" w:cs="Times New Roman"/>
          <w:sz w:val="24"/>
          <w:szCs w:val="24"/>
        </w:rPr>
        <w:t>z wnioskiem o udzielenie zezwolenia oraz procedura jego udzielania i przypadki wygaśnięcia zostały uregulowane w projektowanych przepisach rozdziału 2 działu IIIb w sposób analogiczny do zezwoleń udzielanych TFI na zarządzanie AFI, z tym że projekt nie przewiduje</w:t>
      </w:r>
      <w:r w:rsidR="00282F2C" w:rsidRPr="00D04BA0">
        <w:rPr>
          <w:rFonts w:ascii="Times New Roman" w:hAnsi="Times New Roman" w:cs="Times New Roman"/>
          <w:sz w:val="24"/>
          <w:szCs w:val="24"/>
        </w:rPr>
        <w:t xml:space="preserve"> wymogu uzyskania</w:t>
      </w:r>
      <w:r w:rsidR="00F462D0" w:rsidRPr="00D04BA0">
        <w:rPr>
          <w:rFonts w:ascii="Times New Roman" w:hAnsi="Times New Roman" w:cs="Times New Roman"/>
          <w:sz w:val="24"/>
          <w:szCs w:val="24"/>
        </w:rPr>
        <w:t xml:space="preserve"> zezwoleń na utworzenie alternatywnej spółki inwestycyjnej. </w:t>
      </w:r>
      <w:r w:rsidR="00EF7BC6" w:rsidRPr="00D04BA0">
        <w:rPr>
          <w:rFonts w:ascii="Times New Roman" w:hAnsi="Times New Roman" w:cs="Times New Roman"/>
          <w:sz w:val="24"/>
          <w:szCs w:val="24"/>
        </w:rPr>
        <w:t xml:space="preserve">Zgodnie z </w:t>
      </w:r>
      <w:r w:rsidR="00EF7BC6" w:rsidRPr="008E7A41">
        <w:rPr>
          <w:rFonts w:ascii="Times New Roman" w:hAnsi="Times New Roman" w:cs="Times New Roman"/>
          <w:sz w:val="24"/>
          <w:szCs w:val="24"/>
        </w:rPr>
        <w:t xml:space="preserve">art. 8 ust. 5 dyrektywy ZAFI właściwy organ nadzoru </w:t>
      </w:r>
      <w:r w:rsidR="00EF7BC6" w:rsidRPr="00D04BA0">
        <w:rPr>
          <w:rFonts w:ascii="Times New Roman" w:hAnsi="Times New Roman" w:cs="Times New Roman"/>
          <w:sz w:val="24"/>
          <w:szCs w:val="24"/>
        </w:rPr>
        <w:t>może udzielić zezwolenia na wykonywanie działalności przez zarządzającego ASI mimo nieprzedstawienia na etapie składania wniosku niektórych z wymaganych informacji i dokumentacji. W takim przypadku zarządzający ASI może rozpocząć zarz</w:t>
      </w:r>
      <w:r w:rsidR="003C2C0C" w:rsidRPr="00D04BA0">
        <w:rPr>
          <w:rFonts w:ascii="Times New Roman" w:hAnsi="Times New Roman" w:cs="Times New Roman"/>
          <w:sz w:val="24"/>
          <w:szCs w:val="24"/>
        </w:rPr>
        <w:t>ą</w:t>
      </w:r>
      <w:r w:rsidR="00EF7BC6" w:rsidRPr="00D04BA0">
        <w:rPr>
          <w:rFonts w:ascii="Times New Roman" w:hAnsi="Times New Roman" w:cs="Times New Roman"/>
          <w:sz w:val="24"/>
          <w:szCs w:val="24"/>
        </w:rPr>
        <w:t>dzanie alternatywn</w:t>
      </w:r>
      <w:r w:rsidR="003C2C0C" w:rsidRPr="00D04BA0">
        <w:rPr>
          <w:rFonts w:ascii="Times New Roman" w:hAnsi="Times New Roman" w:cs="Times New Roman"/>
          <w:sz w:val="24"/>
          <w:szCs w:val="24"/>
        </w:rPr>
        <w:t>ą</w:t>
      </w:r>
      <w:r w:rsidR="00EF7BC6" w:rsidRPr="00D04BA0">
        <w:rPr>
          <w:rFonts w:ascii="Times New Roman" w:hAnsi="Times New Roman" w:cs="Times New Roman"/>
          <w:sz w:val="24"/>
          <w:szCs w:val="24"/>
        </w:rPr>
        <w:t xml:space="preserve"> spółką inwestycyjną po upływie miesiąca od dnia otrzymania przez </w:t>
      </w:r>
      <w:r w:rsidR="003C2C0C" w:rsidRPr="00D04BA0">
        <w:rPr>
          <w:rFonts w:ascii="Times New Roman" w:hAnsi="Times New Roman" w:cs="Times New Roman"/>
          <w:sz w:val="24"/>
          <w:szCs w:val="24"/>
        </w:rPr>
        <w:t xml:space="preserve">właściwy organ nadzoru </w:t>
      </w:r>
      <w:r w:rsidR="00EF7BC6" w:rsidRPr="00D04BA0">
        <w:rPr>
          <w:rFonts w:ascii="Times New Roman" w:hAnsi="Times New Roman" w:cs="Times New Roman"/>
          <w:sz w:val="24"/>
          <w:szCs w:val="24"/>
        </w:rPr>
        <w:t>wszystkich brakujących informacji i</w:t>
      </w:r>
      <w:r w:rsidR="003C2C0C" w:rsidRPr="00D04BA0">
        <w:rPr>
          <w:rFonts w:ascii="Times New Roman" w:hAnsi="Times New Roman" w:cs="Times New Roman"/>
          <w:sz w:val="24"/>
          <w:szCs w:val="24"/>
        </w:rPr>
        <w:t xml:space="preserve"> </w:t>
      </w:r>
      <w:r w:rsidR="00EF7BC6" w:rsidRPr="00D04BA0">
        <w:rPr>
          <w:rFonts w:ascii="Times New Roman" w:hAnsi="Times New Roman" w:cs="Times New Roman"/>
          <w:sz w:val="24"/>
          <w:szCs w:val="24"/>
        </w:rPr>
        <w:t xml:space="preserve">dokumentów. </w:t>
      </w:r>
      <w:r w:rsidR="003C2C0C" w:rsidRPr="00D04BA0">
        <w:rPr>
          <w:rFonts w:ascii="Times New Roman" w:hAnsi="Times New Roman" w:cs="Times New Roman"/>
          <w:sz w:val="24"/>
          <w:szCs w:val="24"/>
        </w:rPr>
        <w:t xml:space="preserve">W polskim porządku prawnym </w:t>
      </w:r>
      <w:r w:rsidR="003C2C0C" w:rsidRPr="00D04BA0">
        <w:rPr>
          <w:rFonts w:ascii="Times New Roman" w:hAnsi="Times New Roman" w:cs="Times New Roman"/>
          <w:i/>
          <w:sz w:val="24"/>
          <w:szCs w:val="24"/>
        </w:rPr>
        <w:t>de lege lata</w:t>
      </w:r>
      <w:r w:rsidR="003C2C0C" w:rsidRPr="00D04BA0">
        <w:rPr>
          <w:rFonts w:ascii="Times New Roman" w:hAnsi="Times New Roman" w:cs="Times New Roman"/>
          <w:sz w:val="24"/>
          <w:szCs w:val="24"/>
        </w:rPr>
        <w:t xml:space="preserve"> brak jest regulacji określającej charakter prawny „wstępnej” („niekompletnej”) decyzji administracyjnej udzielającej zezwolenia, charakter prawny decyzji „następczej” („kompletnej”) stwierdzającej, że wnioskodawca uzupełnił wszystkie wymagane elementy wniosku, wpływ wydania decyzji „następczej” na istnienie w obrocie prawnym decyzji „wstępnej” oraz brak jest uregulowania sytuacji, gdy zajdzie rozbieżność (niespójność) pomiędzy treściami obydwu decyzji. Z tych też względów w projekcie </w:t>
      </w:r>
      <w:r w:rsidR="00EF7BC6" w:rsidRPr="00F2487E">
        <w:rPr>
          <w:rFonts w:ascii="Times New Roman" w:hAnsi="Times New Roman" w:cs="Times New Roman"/>
          <w:sz w:val="24"/>
          <w:szCs w:val="24"/>
        </w:rPr>
        <w:t>odst</w:t>
      </w:r>
      <w:r w:rsidR="003C2C0C" w:rsidRPr="00F2487E">
        <w:rPr>
          <w:rFonts w:ascii="Times New Roman" w:hAnsi="Times New Roman" w:cs="Times New Roman"/>
          <w:sz w:val="24"/>
          <w:szCs w:val="24"/>
        </w:rPr>
        <w:t xml:space="preserve">ąpiono od </w:t>
      </w:r>
      <w:r w:rsidR="00EF7BC6" w:rsidRPr="00F2487E">
        <w:rPr>
          <w:rFonts w:ascii="Times New Roman" w:hAnsi="Times New Roman" w:cs="Times New Roman"/>
          <w:sz w:val="24"/>
          <w:szCs w:val="24"/>
        </w:rPr>
        <w:t xml:space="preserve">literalnej implementacji </w:t>
      </w:r>
      <w:r w:rsidR="003C2C0C" w:rsidRPr="00F2487E">
        <w:rPr>
          <w:rFonts w:ascii="Times New Roman" w:hAnsi="Times New Roman" w:cs="Times New Roman"/>
          <w:sz w:val="24"/>
          <w:szCs w:val="24"/>
        </w:rPr>
        <w:t xml:space="preserve">przewidzianych w tym zakresie rozwiązań. </w:t>
      </w:r>
      <w:r w:rsidR="00741AEA" w:rsidRPr="00F2487E">
        <w:rPr>
          <w:rFonts w:ascii="Times New Roman" w:hAnsi="Times New Roman" w:cs="Times New Roman"/>
          <w:sz w:val="24"/>
          <w:szCs w:val="24"/>
        </w:rPr>
        <w:t xml:space="preserve">Praktyka nadzorcza </w:t>
      </w:r>
      <w:r w:rsidR="003C2C0C" w:rsidRPr="00F2487E">
        <w:rPr>
          <w:rFonts w:ascii="Times New Roman" w:hAnsi="Times New Roman" w:cs="Times New Roman"/>
          <w:sz w:val="24"/>
          <w:szCs w:val="24"/>
        </w:rPr>
        <w:t xml:space="preserve">w zakresie prowadzenia postępowań licencyjnych TFI </w:t>
      </w:r>
      <w:r w:rsidR="00741AEA" w:rsidRPr="00F2487E">
        <w:rPr>
          <w:rFonts w:ascii="Times New Roman" w:hAnsi="Times New Roman" w:cs="Times New Roman"/>
          <w:sz w:val="24"/>
          <w:szCs w:val="24"/>
        </w:rPr>
        <w:t>wskazuje również</w:t>
      </w:r>
      <w:r w:rsidR="003C2C0C" w:rsidRPr="00F2487E">
        <w:rPr>
          <w:rFonts w:ascii="Times New Roman" w:hAnsi="Times New Roman" w:cs="Times New Roman"/>
          <w:sz w:val="24"/>
          <w:szCs w:val="24"/>
        </w:rPr>
        <w:t xml:space="preserve">, że niezwykle ważne jest, </w:t>
      </w:r>
      <w:r w:rsidR="001A2EA7">
        <w:rPr>
          <w:rFonts w:ascii="Times New Roman" w:hAnsi="Times New Roman" w:cs="Times New Roman"/>
          <w:sz w:val="24"/>
          <w:szCs w:val="24"/>
        </w:rPr>
        <w:t>a</w:t>
      </w:r>
      <w:r w:rsidR="003C2C0C" w:rsidRPr="00F2487E">
        <w:rPr>
          <w:rFonts w:ascii="Times New Roman" w:hAnsi="Times New Roman" w:cs="Times New Roman"/>
          <w:sz w:val="24"/>
          <w:szCs w:val="24"/>
        </w:rPr>
        <w:t xml:space="preserve">by decyzja o udzieleniu zezwolenia dla nowego podmiotu była podejmowana w oparciu o zebraną w trakcie postępowania kompletną dokumentację, </w:t>
      </w:r>
      <w:r w:rsidR="003C2C0C" w:rsidRPr="00F2487E">
        <w:rPr>
          <w:rFonts w:ascii="Times New Roman" w:hAnsi="Times New Roman" w:cs="Times New Roman"/>
          <w:sz w:val="24"/>
          <w:szCs w:val="24"/>
        </w:rPr>
        <w:lastRenderedPageBreak/>
        <w:t xml:space="preserve">zawierającą szczegółowe informacje o podmiocie, oświadczenia podmiotu w zakresie planowanej działalności i konkretne dokumenty w sprawie. </w:t>
      </w:r>
      <w:r w:rsidR="00741AEA" w:rsidRPr="00F2487E">
        <w:rPr>
          <w:rFonts w:ascii="Times New Roman" w:hAnsi="Times New Roman" w:cs="Times New Roman"/>
          <w:sz w:val="24"/>
          <w:szCs w:val="24"/>
        </w:rPr>
        <w:t>W</w:t>
      </w:r>
      <w:r w:rsidR="003C2C0C" w:rsidRPr="00F2487E">
        <w:rPr>
          <w:rFonts w:ascii="Times New Roman" w:hAnsi="Times New Roman" w:cs="Times New Roman"/>
          <w:sz w:val="24"/>
          <w:szCs w:val="24"/>
        </w:rPr>
        <w:t xml:space="preserve">nioskodawca w momencie uzyskania zezwolenia powinien </w:t>
      </w:r>
      <w:r w:rsidR="00741AEA" w:rsidRPr="00F2487E">
        <w:rPr>
          <w:rFonts w:ascii="Times New Roman" w:hAnsi="Times New Roman" w:cs="Times New Roman"/>
          <w:sz w:val="24"/>
          <w:szCs w:val="24"/>
        </w:rPr>
        <w:t xml:space="preserve">również </w:t>
      </w:r>
      <w:r w:rsidR="003C2C0C" w:rsidRPr="00F2487E">
        <w:rPr>
          <w:rFonts w:ascii="Times New Roman" w:hAnsi="Times New Roman" w:cs="Times New Roman"/>
          <w:sz w:val="24"/>
          <w:szCs w:val="24"/>
        </w:rPr>
        <w:t xml:space="preserve">być w pełni przygotowany do prowadzenia reglamentowanej działalności. Komisja powinna mieć możliwość podejmowania decyzji w oparciu o kompletne dokumenty, które ustawodawca uznał za istotne. </w:t>
      </w:r>
    </w:p>
    <w:p w:rsidR="00710428" w:rsidRPr="00D04BA0" w:rsidRDefault="00AD205E"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Zakres informacji podlegających wpisowi do rejestru zarządzających ASI został wskazany w projektowanych przepisach rozdziału 3 działu IIIb. Projekt przewiduje, że w celu zapewnienia prawidłowej identyfikacji zarządzających ASI wpisanych do rejestru przez inwestorów oraz w celu skutecznego wykonywania przez Komisję wszystkich, wynikających z projektu, zadań nadzorczych wobec tych podmiotów, wpisowi do rejestru będą podlegały dane adresowe zarządzających ASI i wszelkie ich zmiany.</w:t>
      </w:r>
    </w:p>
    <w:p w:rsidR="00D33B30" w:rsidRPr="00D04BA0" w:rsidRDefault="009B43DD"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Projekt przewiduje, że zarówno cofnięcie lub wygaśniecie zezwolenia, jak i wykreślenie wpisu do rejestru zarządzających ASI </w:t>
      </w:r>
      <w:r w:rsidR="009C5643" w:rsidRPr="00D04BA0">
        <w:rPr>
          <w:rFonts w:ascii="Times New Roman" w:hAnsi="Times New Roman" w:cs="Times New Roman"/>
          <w:sz w:val="24"/>
          <w:szCs w:val="24"/>
        </w:rPr>
        <w:t>prowadzącą</w:t>
      </w:r>
      <w:r w:rsidR="008F5D53" w:rsidRPr="00D04BA0">
        <w:rPr>
          <w:rFonts w:ascii="Times New Roman" w:hAnsi="Times New Roman" w:cs="Times New Roman"/>
          <w:sz w:val="24"/>
          <w:szCs w:val="24"/>
        </w:rPr>
        <w:t xml:space="preserve"> działalność jako wewnętrznie zarządzający ASI, </w:t>
      </w:r>
      <w:r w:rsidRPr="00D04BA0">
        <w:rPr>
          <w:rFonts w:ascii="Times New Roman" w:hAnsi="Times New Roman" w:cs="Times New Roman"/>
          <w:sz w:val="24"/>
          <w:szCs w:val="24"/>
        </w:rPr>
        <w:t>skutkuje rozwiązaniem zarządzan</w:t>
      </w:r>
      <w:r w:rsidR="00741AEA" w:rsidRPr="00D04BA0">
        <w:rPr>
          <w:rFonts w:ascii="Times New Roman" w:hAnsi="Times New Roman" w:cs="Times New Roman"/>
          <w:sz w:val="24"/>
          <w:szCs w:val="24"/>
        </w:rPr>
        <w:t>ej</w:t>
      </w:r>
      <w:r w:rsidRPr="00D04BA0">
        <w:rPr>
          <w:rFonts w:ascii="Times New Roman" w:hAnsi="Times New Roman" w:cs="Times New Roman"/>
          <w:sz w:val="24"/>
          <w:szCs w:val="24"/>
        </w:rPr>
        <w:t xml:space="preserve"> przez tego zarządzającego alternatywn</w:t>
      </w:r>
      <w:r w:rsidR="00741AEA" w:rsidRPr="00D04BA0">
        <w:rPr>
          <w:rFonts w:ascii="Times New Roman" w:hAnsi="Times New Roman" w:cs="Times New Roman"/>
          <w:sz w:val="24"/>
          <w:szCs w:val="24"/>
        </w:rPr>
        <w:t>ej</w:t>
      </w:r>
      <w:r w:rsidRPr="00D04BA0">
        <w:rPr>
          <w:rFonts w:ascii="Times New Roman" w:hAnsi="Times New Roman" w:cs="Times New Roman"/>
          <w:sz w:val="24"/>
          <w:szCs w:val="24"/>
        </w:rPr>
        <w:t xml:space="preserve"> spół</w:t>
      </w:r>
      <w:r w:rsidR="00741AEA" w:rsidRPr="00D04BA0">
        <w:rPr>
          <w:rFonts w:ascii="Times New Roman" w:hAnsi="Times New Roman" w:cs="Times New Roman"/>
          <w:sz w:val="24"/>
          <w:szCs w:val="24"/>
        </w:rPr>
        <w:t>ki</w:t>
      </w:r>
      <w:r w:rsidRPr="00D04BA0">
        <w:rPr>
          <w:rFonts w:ascii="Times New Roman" w:hAnsi="Times New Roman" w:cs="Times New Roman"/>
          <w:sz w:val="24"/>
          <w:szCs w:val="24"/>
        </w:rPr>
        <w:t xml:space="preserve"> inwestycyjn</w:t>
      </w:r>
      <w:r w:rsidR="00741AEA" w:rsidRPr="00D04BA0">
        <w:rPr>
          <w:rFonts w:ascii="Times New Roman" w:hAnsi="Times New Roman" w:cs="Times New Roman"/>
          <w:sz w:val="24"/>
          <w:szCs w:val="24"/>
        </w:rPr>
        <w:t>ej</w:t>
      </w:r>
      <w:r w:rsidRPr="00D04BA0">
        <w:rPr>
          <w:rFonts w:ascii="Times New Roman" w:hAnsi="Times New Roman" w:cs="Times New Roman"/>
          <w:sz w:val="24"/>
          <w:szCs w:val="24"/>
        </w:rPr>
        <w:t xml:space="preserve"> (art. 70</w:t>
      </w:r>
      <w:r w:rsidR="00F565A6" w:rsidRPr="00D04BA0">
        <w:rPr>
          <w:rFonts w:ascii="Times New Roman" w:hAnsi="Times New Roman" w:cs="Times New Roman"/>
          <w:sz w:val="24"/>
          <w:szCs w:val="24"/>
        </w:rPr>
        <w:t>v</w:t>
      </w:r>
      <w:r w:rsidRPr="00D04BA0">
        <w:rPr>
          <w:rFonts w:ascii="Times New Roman" w:hAnsi="Times New Roman" w:cs="Times New Roman"/>
          <w:sz w:val="24"/>
          <w:szCs w:val="24"/>
        </w:rPr>
        <w:t xml:space="preserve"> ust. </w:t>
      </w:r>
      <w:r w:rsidR="00BA3812">
        <w:rPr>
          <w:rFonts w:ascii="Times New Roman" w:hAnsi="Times New Roman" w:cs="Times New Roman"/>
          <w:sz w:val="24"/>
          <w:szCs w:val="24"/>
        </w:rPr>
        <w:t xml:space="preserve">3 i </w:t>
      </w:r>
      <w:r w:rsidR="00F565A6" w:rsidRPr="00D04BA0">
        <w:rPr>
          <w:rFonts w:ascii="Times New Roman" w:hAnsi="Times New Roman" w:cs="Times New Roman"/>
          <w:sz w:val="24"/>
          <w:szCs w:val="24"/>
        </w:rPr>
        <w:t>4</w:t>
      </w:r>
      <w:r w:rsidRPr="00D04BA0">
        <w:rPr>
          <w:rFonts w:ascii="Times New Roman" w:hAnsi="Times New Roman" w:cs="Times New Roman"/>
          <w:sz w:val="24"/>
          <w:szCs w:val="24"/>
        </w:rPr>
        <w:t xml:space="preserve"> i art. 70z</w:t>
      </w:r>
      <w:r w:rsidR="0060461D" w:rsidRPr="00D04BA0">
        <w:rPr>
          <w:rFonts w:ascii="Times New Roman" w:hAnsi="Times New Roman" w:cs="Times New Roman"/>
          <w:sz w:val="24"/>
          <w:szCs w:val="24"/>
        </w:rPr>
        <w:t>c</w:t>
      </w:r>
      <w:r w:rsidRPr="00D04BA0">
        <w:rPr>
          <w:rFonts w:ascii="Times New Roman" w:hAnsi="Times New Roman" w:cs="Times New Roman"/>
          <w:sz w:val="24"/>
          <w:szCs w:val="24"/>
        </w:rPr>
        <w:t xml:space="preserve"> ust. 3 ustawy). Wynika to z </w:t>
      </w:r>
      <w:r w:rsidR="008F5D53" w:rsidRPr="00D04BA0">
        <w:rPr>
          <w:rFonts w:ascii="Times New Roman" w:hAnsi="Times New Roman" w:cs="Times New Roman"/>
          <w:sz w:val="24"/>
          <w:szCs w:val="24"/>
        </w:rPr>
        <w:t>przyjętej konstrukcji spółki inwestyc</w:t>
      </w:r>
      <w:r w:rsidR="00BB77E7" w:rsidRPr="00D04BA0">
        <w:rPr>
          <w:rFonts w:ascii="Times New Roman" w:hAnsi="Times New Roman" w:cs="Times New Roman"/>
          <w:sz w:val="24"/>
          <w:szCs w:val="24"/>
        </w:rPr>
        <w:t>yjnej prowadzącej działalność w formie spółki kapitałowe</w:t>
      </w:r>
      <w:r w:rsidR="00741AEA" w:rsidRPr="00D04BA0">
        <w:rPr>
          <w:rFonts w:ascii="Times New Roman" w:hAnsi="Times New Roman" w:cs="Times New Roman"/>
          <w:sz w:val="24"/>
          <w:szCs w:val="24"/>
        </w:rPr>
        <w:t>j</w:t>
      </w:r>
      <w:r w:rsidR="00BB77E7" w:rsidRPr="00D04BA0">
        <w:rPr>
          <w:rFonts w:ascii="Times New Roman" w:hAnsi="Times New Roman" w:cs="Times New Roman"/>
          <w:sz w:val="24"/>
          <w:szCs w:val="24"/>
        </w:rPr>
        <w:t xml:space="preserve">, która jako wewnętrznie zarządzana spółka inwestycyjna staje </w:t>
      </w:r>
      <w:r w:rsidR="008F5D53" w:rsidRPr="00D04BA0">
        <w:rPr>
          <w:rFonts w:ascii="Times New Roman" w:hAnsi="Times New Roman" w:cs="Times New Roman"/>
          <w:sz w:val="24"/>
          <w:szCs w:val="24"/>
        </w:rPr>
        <w:t>się tożsam</w:t>
      </w:r>
      <w:r w:rsidR="00BB77E7" w:rsidRPr="00D04BA0">
        <w:rPr>
          <w:rFonts w:ascii="Times New Roman" w:hAnsi="Times New Roman" w:cs="Times New Roman"/>
          <w:sz w:val="24"/>
          <w:szCs w:val="24"/>
        </w:rPr>
        <w:t>a</w:t>
      </w:r>
      <w:r w:rsidR="008F5D53" w:rsidRPr="00D04BA0">
        <w:rPr>
          <w:rFonts w:ascii="Times New Roman" w:hAnsi="Times New Roman" w:cs="Times New Roman"/>
          <w:sz w:val="24"/>
          <w:szCs w:val="24"/>
        </w:rPr>
        <w:t xml:space="preserve"> z zarządzającym ASI</w:t>
      </w:r>
      <w:r w:rsidR="00BB77E7" w:rsidRPr="00D04BA0">
        <w:rPr>
          <w:rFonts w:ascii="Times New Roman" w:hAnsi="Times New Roman" w:cs="Times New Roman"/>
          <w:sz w:val="24"/>
          <w:szCs w:val="24"/>
        </w:rPr>
        <w:t xml:space="preserve"> (patrz recital 20 dyrektywy ZAFI)</w:t>
      </w:r>
      <w:r w:rsidRPr="00D04BA0">
        <w:rPr>
          <w:rFonts w:ascii="Times New Roman" w:hAnsi="Times New Roman" w:cs="Times New Roman"/>
          <w:sz w:val="24"/>
          <w:szCs w:val="24"/>
        </w:rPr>
        <w:t xml:space="preserve">. </w:t>
      </w:r>
      <w:r w:rsidR="00DF4C01" w:rsidRPr="00D04BA0">
        <w:rPr>
          <w:rFonts w:ascii="Times New Roman" w:hAnsi="Times New Roman" w:cs="Times New Roman"/>
          <w:sz w:val="24"/>
          <w:szCs w:val="24"/>
        </w:rPr>
        <w:t xml:space="preserve">Jednocześnie w przypadku cofnięcia lub wygaśnięcia zezwolenia dla wewnętrznie zarządzającego ASI, a w niektórych przypadkach również w przypadku wykreślenia jego wpisu do rejestru zarządzających ASI, umożliwiono </w:t>
      </w:r>
      <w:r w:rsidR="00DF4C01" w:rsidRPr="00D04BA0">
        <w:rPr>
          <w:rFonts w:ascii="Times New Roman" w:hAnsi="Times New Roman" w:cs="Times New Roman"/>
          <w:iCs/>
          <w:sz w:val="24"/>
          <w:szCs w:val="24"/>
        </w:rPr>
        <w:t>spółce będącej uprzednio ASI prowadzenie działalności w innej dziedzinie, jeżeli będzie taka wola wspólników</w:t>
      </w:r>
      <w:r w:rsidR="00592C23" w:rsidRPr="00D04BA0">
        <w:rPr>
          <w:rFonts w:ascii="Times New Roman" w:hAnsi="Times New Roman" w:cs="Times New Roman"/>
          <w:iCs/>
          <w:sz w:val="24"/>
          <w:szCs w:val="24"/>
        </w:rPr>
        <w:t xml:space="preserve"> i w terminie 3 miesięcy dokonają odpowiedniej zmiany statutu spółki</w:t>
      </w:r>
      <w:r w:rsidR="00DF4C01" w:rsidRPr="00D04BA0">
        <w:rPr>
          <w:rFonts w:ascii="Times New Roman" w:hAnsi="Times New Roman" w:cs="Times New Roman"/>
          <w:iCs/>
          <w:sz w:val="24"/>
          <w:szCs w:val="24"/>
        </w:rPr>
        <w:t xml:space="preserve">. </w:t>
      </w:r>
      <w:r w:rsidRPr="00D04BA0">
        <w:rPr>
          <w:rFonts w:ascii="Times New Roman" w:hAnsi="Times New Roman" w:cs="Times New Roman"/>
          <w:sz w:val="24"/>
          <w:szCs w:val="24"/>
        </w:rPr>
        <w:t xml:space="preserve">Samo rozwiązanie alternatywnych spółek inwestycyjnych, jako spółek handlowych, będzie następować zgodnie z przepisami Kodeksu spółek handlowych </w:t>
      </w:r>
      <w:r w:rsidR="00D51956">
        <w:rPr>
          <w:rFonts w:ascii="Times New Roman" w:hAnsi="Times New Roman" w:cs="Times New Roman"/>
          <w:sz w:val="24"/>
          <w:szCs w:val="24"/>
        </w:rPr>
        <w:t>–</w:t>
      </w:r>
      <w:r w:rsidRPr="00D04BA0">
        <w:rPr>
          <w:rFonts w:ascii="Times New Roman" w:hAnsi="Times New Roman" w:cs="Times New Roman"/>
          <w:sz w:val="24"/>
          <w:szCs w:val="24"/>
        </w:rPr>
        <w:t xml:space="preserve"> w tym zakresie projekt wprowadza jedynie niezbędne modyfikacje, w tym związane z nadzorem KNF.</w:t>
      </w:r>
    </w:p>
    <w:p w:rsidR="00D33B30" w:rsidRPr="00D04BA0" w:rsidRDefault="00D33B30"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3. Zarządzający ASI z państwa trzeciego</w:t>
      </w:r>
    </w:p>
    <w:p w:rsidR="009B43DD" w:rsidRPr="00D04BA0" w:rsidRDefault="00D33B30" w:rsidP="00642265">
      <w:pPr>
        <w:tabs>
          <w:tab w:val="left" w:pos="5670"/>
        </w:tabs>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Uregulowanie w projekcie możliwości wykonywania działalności na terytorium Polski przez zarządzającego ASI</w:t>
      </w:r>
      <w:r w:rsidR="009B43DD" w:rsidRP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mającego siedzibę w państwie trzecim (innym niż państwo członkowskie lub państwo należące do EEA) jest spowodowane </w:t>
      </w:r>
      <w:r w:rsidR="008149D8" w:rsidRPr="00D04BA0">
        <w:rPr>
          <w:rFonts w:ascii="Times New Roman" w:hAnsi="Times New Roman" w:cs="Times New Roman"/>
          <w:sz w:val="24"/>
          <w:szCs w:val="24"/>
        </w:rPr>
        <w:t xml:space="preserve">potrzebą zachowania </w:t>
      </w:r>
      <w:r w:rsidR="008149D8" w:rsidRPr="00A04C2E">
        <w:rPr>
          <w:rFonts w:ascii="Times New Roman" w:hAnsi="Times New Roman" w:cs="Times New Roman"/>
          <w:i/>
          <w:sz w:val="24"/>
          <w:szCs w:val="24"/>
        </w:rPr>
        <w:lastRenderedPageBreak/>
        <w:t>status quo</w:t>
      </w:r>
      <w:r w:rsidR="008149D8" w:rsidRPr="00D04BA0">
        <w:rPr>
          <w:rFonts w:ascii="Times New Roman" w:hAnsi="Times New Roman" w:cs="Times New Roman"/>
          <w:sz w:val="24"/>
          <w:szCs w:val="24"/>
        </w:rPr>
        <w:t xml:space="preserve"> funkcjonującego obecnie programu zwiększania dostępności kapitału dla małych</w:t>
      </w:r>
      <w:r w:rsidR="00D04BA0">
        <w:rPr>
          <w:rFonts w:ascii="Times New Roman" w:hAnsi="Times New Roman" w:cs="Times New Roman"/>
          <w:sz w:val="24"/>
          <w:szCs w:val="24"/>
        </w:rPr>
        <w:t xml:space="preserve"> </w:t>
      </w:r>
      <w:r w:rsidR="008149D8" w:rsidRPr="00D04BA0">
        <w:rPr>
          <w:rFonts w:ascii="Times New Roman" w:hAnsi="Times New Roman" w:cs="Times New Roman"/>
          <w:sz w:val="24"/>
          <w:szCs w:val="24"/>
        </w:rPr>
        <w:t>i średnich przedsiębiorstw poprzez wsparcie finansowe funduszy podwyższonego ryzyka inwestujących w polskie innowacyjne MŚP z wykorzystaniem Krajowego Funduszu Kapitałowego. Krajowy Fundusz Kapitałowy S</w:t>
      </w:r>
      <w:r w:rsidR="009C5643" w:rsidRPr="00D04BA0">
        <w:rPr>
          <w:rFonts w:ascii="Times New Roman" w:hAnsi="Times New Roman" w:cs="Times New Roman"/>
          <w:sz w:val="24"/>
          <w:szCs w:val="24"/>
        </w:rPr>
        <w:t>.</w:t>
      </w:r>
      <w:r w:rsidR="008149D8" w:rsidRPr="00D04BA0">
        <w:rPr>
          <w:rFonts w:ascii="Times New Roman" w:hAnsi="Times New Roman" w:cs="Times New Roman"/>
          <w:sz w:val="24"/>
          <w:szCs w:val="24"/>
        </w:rPr>
        <w:t>A</w:t>
      </w:r>
      <w:r w:rsidR="009C5643" w:rsidRPr="00D04BA0">
        <w:rPr>
          <w:rFonts w:ascii="Times New Roman" w:hAnsi="Times New Roman" w:cs="Times New Roman"/>
          <w:sz w:val="24"/>
          <w:szCs w:val="24"/>
        </w:rPr>
        <w:t>.</w:t>
      </w:r>
      <w:r w:rsidR="008149D8" w:rsidRPr="00D04BA0">
        <w:rPr>
          <w:rFonts w:ascii="Times New Roman" w:hAnsi="Times New Roman" w:cs="Times New Roman"/>
          <w:sz w:val="24"/>
          <w:szCs w:val="24"/>
        </w:rPr>
        <w:t xml:space="preserve"> został utworzony przez Bank Gospodarstwa Krajowego w dniu 1 lipca 2005 r. na podst</w:t>
      </w:r>
      <w:r w:rsidR="00AE5FD4">
        <w:rPr>
          <w:rFonts w:ascii="Times New Roman" w:hAnsi="Times New Roman" w:cs="Times New Roman"/>
          <w:sz w:val="24"/>
          <w:szCs w:val="24"/>
        </w:rPr>
        <w:t>awie ustawy z dnia 4 marca 2005</w:t>
      </w:r>
      <w:r w:rsidR="00D14EF5">
        <w:rPr>
          <w:rFonts w:ascii="Times New Roman" w:hAnsi="Times New Roman" w:cs="Times New Roman"/>
          <w:sz w:val="24"/>
          <w:szCs w:val="24"/>
        </w:rPr>
        <w:t xml:space="preserve"> </w:t>
      </w:r>
      <w:r w:rsidR="008149D8" w:rsidRPr="00D04BA0">
        <w:rPr>
          <w:rFonts w:ascii="Times New Roman" w:hAnsi="Times New Roman" w:cs="Times New Roman"/>
          <w:sz w:val="24"/>
          <w:szCs w:val="24"/>
        </w:rPr>
        <w:t>r. o Krajowym Funduszu Kapitałowym</w:t>
      </w:r>
      <w:r w:rsidRPr="00D04BA0">
        <w:rPr>
          <w:rFonts w:ascii="Times New Roman" w:hAnsi="Times New Roman" w:cs="Times New Roman"/>
          <w:sz w:val="24"/>
          <w:szCs w:val="24"/>
        </w:rPr>
        <w:t xml:space="preserve"> (Dz. U. Nr 57, poz.</w:t>
      </w:r>
      <w:r w:rsidR="001D0296">
        <w:rPr>
          <w:rFonts w:ascii="Times New Roman" w:hAnsi="Times New Roman" w:cs="Times New Roman"/>
          <w:sz w:val="24"/>
          <w:szCs w:val="24"/>
        </w:rPr>
        <w:t> </w:t>
      </w:r>
      <w:r w:rsidRPr="00D04BA0">
        <w:rPr>
          <w:rFonts w:ascii="Times New Roman" w:hAnsi="Times New Roman" w:cs="Times New Roman"/>
          <w:sz w:val="24"/>
          <w:szCs w:val="24"/>
        </w:rPr>
        <w:t>491, z późn</w:t>
      </w:r>
      <w:r w:rsidR="008149D8" w:rsidRPr="00D04BA0">
        <w:rPr>
          <w:rFonts w:ascii="Times New Roman" w:hAnsi="Times New Roman" w:cs="Times New Roman"/>
          <w:sz w:val="24"/>
          <w:szCs w:val="24"/>
        </w:rPr>
        <w:t>. zm.). Wyłącznym przedmiotem działalności Funduszu jest udzielanie wsparcia finansowego funduszom kapitałowym, inwestującym w przedsiębiorców mających siedzibę na terytorium RP,</w:t>
      </w:r>
      <w:r w:rsidR="00D04BA0">
        <w:rPr>
          <w:rFonts w:ascii="Times New Roman" w:hAnsi="Times New Roman" w:cs="Times New Roman"/>
          <w:sz w:val="24"/>
          <w:szCs w:val="24"/>
        </w:rPr>
        <w:t xml:space="preserve"> </w:t>
      </w:r>
      <w:r w:rsidR="008149D8" w:rsidRPr="00D04BA0">
        <w:rPr>
          <w:rFonts w:ascii="Times New Roman" w:hAnsi="Times New Roman" w:cs="Times New Roman"/>
          <w:sz w:val="24"/>
          <w:szCs w:val="24"/>
        </w:rPr>
        <w:t>w szczególności w przedsiębiorców innowacyjnych lub prowadzących działalność badawczo-rozwojową</w:t>
      </w:r>
      <w:r w:rsidRPr="00D04BA0">
        <w:rPr>
          <w:rFonts w:ascii="Times New Roman" w:hAnsi="Times New Roman" w:cs="Times New Roman"/>
          <w:sz w:val="24"/>
          <w:szCs w:val="24"/>
        </w:rPr>
        <w:t xml:space="preserve">. W konsekwencji, </w:t>
      </w:r>
      <w:r w:rsidR="00E27FA0">
        <w:rPr>
          <w:rFonts w:ascii="Times New Roman" w:hAnsi="Times New Roman" w:cs="Times New Roman"/>
          <w:sz w:val="24"/>
          <w:szCs w:val="24"/>
        </w:rPr>
        <w:t>na podstawie</w:t>
      </w:r>
      <w:r w:rsidRPr="00D04BA0">
        <w:rPr>
          <w:rFonts w:ascii="Times New Roman" w:hAnsi="Times New Roman" w:cs="Times New Roman"/>
          <w:sz w:val="24"/>
          <w:szCs w:val="24"/>
        </w:rPr>
        <w:t xml:space="preserve"> art. 42 dyrektywy ZAFI, projekt przewiduje</w:t>
      </w:r>
      <w:r w:rsidR="00D04BA0">
        <w:rPr>
          <w:rFonts w:ascii="Times New Roman" w:hAnsi="Times New Roman" w:cs="Times New Roman"/>
          <w:sz w:val="24"/>
          <w:szCs w:val="24"/>
        </w:rPr>
        <w:t xml:space="preserve"> </w:t>
      </w:r>
      <w:r w:rsidR="00AE5FD4">
        <w:rPr>
          <w:rFonts w:ascii="Times New Roman" w:hAnsi="Times New Roman" w:cs="Times New Roman"/>
          <w:sz w:val="24"/>
          <w:szCs w:val="24"/>
        </w:rPr>
        <w:t>(art.</w:t>
      </w:r>
      <w:r w:rsidR="00D14EF5">
        <w:rPr>
          <w:rFonts w:ascii="Times New Roman" w:hAnsi="Times New Roman" w:cs="Times New Roman"/>
          <w:sz w:val="24"/>
          <w:szCs w:val="24"/>
        </w:rPr>
        <w:t xml:space="preserve"> </w:t>
      </w:r>
      <w:r w:rsidRPr="00D04BA0">
        <w:rPr>
          <w:rFonts w:ascii="Times New Roman" w:hAnsi="Times New Roman" w:cs="Times New Roman"/>
          <w:sz w:val="24"/>
          <w:szCs w:val="24"/>
        </w:rPr>
        <w:t>70z</w:t>
      </w:r>
      <w:r w:rsidR="0060461D" w:rsidRPr="00D04BA0">
        <w:rPr>
          <w:rFonts w:ascii="Times New Roman" w:hAnsi="Times New Roman" w:cs="Times New Roman"/>
          <w:sz w:val="24"/>
          <w:szCs w:val="24"/>
        </w:rPr>
        <w:t>e</w:t>
      </w:r>
      <w:r w:rsidRPr="00D04BA0">
        <w:rPr>
          <w:rFonts w:ascii="Times New Roman" w:hAnsi="Times New Roman" w:cs="Times New Roman"/>
          <w:sz w:val="24"/>
          <w:szCs w:val="24"/>
        </w:rPr>
        <w:t xml:space="preserve"> ustawy) możliwość wykonywania działalności jako zewnętrznie zarządzający ASI przez spółkę kapitałową z państwa trzeciego, w przypadku gdy alternatywna spółka inwestycyjna, którą zarządza, jest funduszem kapitałowym prowadzącym działalność</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w formie spółki koman</w:t>
      </w:r>
      <w:r w:rsidR="00D14EF5">
        <w:rPr>
          <w:rFonts w:ascii="Times New Roman" w:hAnsi="Times New Roman" w:cs="Times New Roman"/>
          <w:sz w:val="24"/>
          <w:szCs w:val="24"/>
        </w:rPr>
        <w:t>dytowej albo spółki komandytowo</w:t>
      </w:r>
      <w:r w:rsidR="00AE5FD4">
        <w:rPr>
          <w:rFonts w:ascii="Times New Roman" w:hAnsi="Times New Roman" w:cs="Times New Roman"/>
          <w:sz w:val="24"/>
          <w:szCs w:val="24"/>
        </w:rPr>
        <w:t>-</w:t>
      </w:r>
      <w:r w:rsidRPr="00D04BA0">
        <w:rPr>
          <w:rFonts w:ascii="Times New Roman" w:hAnsi="Times New Roman" w:cs="Times New Roman"/>
          <w:sz w:val="24"/>
          <w:szCs w:val="24"/>
        </w:rPr>
        <w:t xml:space="preserve">akcyjnej, któremu Krajowy Fundusz Kapitałowy udzielił wsparcia finansowego zgodnie z przepisami ustawy z dnia 4 marca 2005 r. o Krajowym Funduszu Kapitałowym. Niezbędne jest jednak uzyskanie przez taki podmiot odpowiednio zezwolenia na wykonywanie działalności zarządzającego ASI albo wpisu do rejestru zarządzających ASI – na takich samych zasadach jak podmiot krajowy, z zastrzeżeniem spełnienia dodatkowych warunków </w:t>
      </w:r>
      <w:r w:rsidR="00825966" w:rsidRPr="00D04BA0">
        <w:rPr>
          <w:rFonts w:ascii="Times New Roman" w:hAnsi="Times New Roman" w:cs="Times New Roman"/>
          <w:sz w:val="24"/>
          <w:szCs w:val="24"/>
        </w:rPr>
        <w:t>wynikających z art. 42 dyrektywy ZAFI.</w:t>
      </w:r>
    </w:p>
    <w:p w:rsidR="008E7A41" w:rsidRPr="00067927" w:rsidRDefault="008E7A41" w:rsidP="008E7A41">
      <w:pPr>
        <w:autoSpaceDE w:val="0"/>
        <w:autoSpaceDN w:val="0"/>
        <w:adjustRightInd w:val="0"/>
        <w:spacing w:before="120" w:after="0" w:line="360" w:lineRule="auto"/>
        <w:jc w:val="both"/>
        <w:rPr>
          <w:rFonts w:ascii="Times New Roman" w:hAnsi="Times New Roman" w:cs="Times New Roman"/>
          <w:sz w:val="24"/>
          <w:szCs w:val="24"/>
        </w:rPr>
      </w:pPr>
    </w:p>
    <w:p w:rsidR="00C54389" w:rsidRPr="00067927" w:rsidRDefault="00C54389" w:rsidP="008E7A41">
      <w:pPr>
        <w:autoSpaceDE w:val="0"/>
        <w:autoSpaceDN w:val="0"/>
        <w:adjustRightInd w:val="0"/>
        <w:spacing w:before="12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t xml:space="preserve">Przejęcie przez AFI kontroli nad innymi podmiotami </w:t>
      </w:r>
    </w:p>
    <w:p w:rsidR="001A04A5" w:rsidRPr="00D04BA0" w:rsidRDefault="00C54389"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Biorąc pod uwagę, iż działalność inwestycyjna AFI może skutkować przejęciem kontroli nad innymi przedsiębiorcami, dyrektywa ZAFI wprowadza związane z takimi zdarzeniami obowiązki informacyjne i ograniczenia. W projekcie proponuje się uregulowanie tych zagadnień w dodawanym dziale IIIb ustawy o funduszach inwestycyjnych, którego regulacje znajdą zastosowanie</w:t>
      </w:r>
      <w:r w:rsidR="00E27FA0">
        <w:rPr>
          <w:rFonts w:ascii="Times New Roman" w:hAnsi="Times New Roman" w:cs="Times New Roman"/>
          <w:sz w:val="24"/>
          <w:szCs w:val="24"/>
        </w:rPr>
        <w:t>,</w:t>
      </w:r>
      <w:r w:rsidRPr="00D04BA0">
        <w:rPr>
          <w:rFonts w:ascii="Times New Roman" w:hAnsi="Times New Roman" w:cs="Times New Roman"/>
          <w:sz w:val="24"/>
          <w:szCs w:val="24"/>
        </w:rPr>
        <w:t xml:space="preserve"> w przypadkach gdy przejęcia kontroli dokonuje AFI zarządzany przez podmiot podlegający nadzorowi KNF, czyli SFIO, FIZ lub unijny AFI zarządzane przez TFI albo alternatywna spółka inwestycyjna lub unijny AFI zarządzane przez zarządzającego ASI, a przejmowanym podmiotem jest spółka handlowa lub emitent nienależący do kategorii małych i średnich </w:t>
      </w:r>
      <w:r w:rsidRPr="00D04BA0">
        <w:rPr>
          <w:rFonts w:ascii="Times New Roman" w:hAnsi="Times New Roman" w:cs="Times New Roman"/>
          <w:sz w:val="24"/>
          <w:szCs w:val="24"/>
        </w:rPr>
        <w:lastRenderedPageBreak/>
        <w:t>przedsiębiorców (MŚP)</w:t>
      </w:r>
      <w:r w:rsidR="001A04A5" w:rsidRPr="00D04BA0">
        <w:rPr>
          <w:rFonts w:ascii="Times New Roman" w:hAnsi="Times New Roman" w:cs="Times New Roman"/>
          <w:sz w:val="24"/>
          <w:szCs w:val="24"/>
        </w:rPr>
        <w:t xml:space="preserve"> oraz niebędący spółką celową specjalnego przeznaczenia (inwestycje w nieruchomości). Należy przypomnieć, że zgodnie z przepisami o swobodzie działalności gospodarczej za</w:t>
      </w:r>
      <w:r w:rsidR="00D04BA0">
        <w:rPr>
          <w:rFonts w:ascii="Times New Roman" w:hAnsi="Times New Roman" w:cs="Times New Roman"/>
          <w:sz w:val="24"/>
          <w:szCs w:val="24"/>
        </w:rPr>
        <w:t xml:space="preserve"> </w:t>
      </w:r>
      <w:r w:rsidR="001A04A5" w:rsidRPr="00D04BA0">
        <w:rPr>
          <w:rFonts w:ascii="Times New Roman" w:hAnsi="Times New Roman" w:cs="Times New Roman"/>
          <w:sz w:val="24"/>
          <w:szCs w:val="24"/>
        </w:rPr>
        <w:t xml:space="preserve">średniego przedsiębiorcę uważa się przedsiębiorcę, który w co najmniej jednym z dwóch ostatnich lat obrotowych zatrudniał średniorocznie mniej niż 250 pracowników oraz osiągnął roczny obrót netto ze sprzedaży towarów, wyrobów i usług oraz operacji finansowych nieprzekraczający równowartości w złotych 50 milionów euro, lub sumy aktywów jego bilansu sporządzonego na koniec jednego z tych lat nie przekroczyły równowartości w złotych 43 milionów euro. </w:t>
      </w:r>
      <w:r w:rsidR="00F659A0" w:rsidRPr="00D04BA0">
        <w:rPr>
          <w:rFonts w:ascii="Times New Roman" w:hAnsi="Times New Roman" w:cs="Times New Roman"/>
          <w:sz w:val="24"/>
          <w:szCs w:val="24"/>
        </w:rPr>
        <w:t>Z uwagi na specyfikę przepisów dział</w:t>
      </w:r>
      <w:r w:rsidR="00E27FA0">
        <w:rPr>
          <w:rFonts w:ascii="Times New Roman" w:hAnsi="Times New Roman" w:cs="Times New Roman"/>
          <w:sz w:val="24"/>
          <w:szCs w:val="24"/>
        </w:rPr>
        <w:t>u</w:t>
      </w:r>
      <w:r w:rsidR="00F659A0" w:rsidRPr="00D04BA0">
        <w:rPr>
          <w:rFonts w:ascii="Times New Roman" w:hAnsi="Times New Roman" w:cs="Times New Roman"/>
          <w:sz w:val="24"/>
          <w:szCs w:val="24"/>
        </w:rPr>
        <w:t xml:space="preserve"> IIIb, które nie znajdują odzwierciedlenia w innych przepisach projektowanej ustawy, zdecydowano się na zawarcie w nim nowych definicji wykorzystywanych wyłącznie na potrzeby tego działu. Definicje te co do zasady wywodzą się z definicji zawartych w art. 4 dyrektywy ZAFI. </w:t>
      </w:r>
      <w:r w:rsidR="001A04A5" w:rsidRPr="00D04BA0">
        <w:rPr>
          <w:rFonts w:ascii="Times New Roman" w:hAnsi="Times New Roman" w:cs="Times New Roman"/>
          <w:sz w:val="24"/>
          <w:szCs w:val="24"/>
        </w:rPr>
        <w:t>Obowiązki informacyjne obejmują zgłaszanie KNF faktu osiągnięcia lub przekroczenia</w:t>
      </w:r>
      <w:r w:rsidR="008473EB" w:rsidRPr="00D04BA0">
        <w:rPr>
          <w:rFonts w:ascii="Times New Roman" w:hAnsi="Times New Roman" w:cs="Times New Roman"/>
          <w:sz w:val="24"/>
          <w:szCs w:val="24"/>
        </w:rPr>
        <w:t xml:space="preserve"> </w:t>
      </w:r>
      <w:r w:rsidR="001A04A5" w:rsidRPr="00D04BA0">
        <w:rPr>
          <w:rFonts w:ascii="Times New Roman" w:hAnsi="Times New Roman" w:cs="Times New Roman"/>
          <w:sz w:val="24"/>
          <w:szCs w:val="24"/>
        </w:rPr>
        <w:t>określonego poziomu zaangażowania kapitałowego</w:t>
      </w:r>
      <w:r w:rsidR="008473EB" w:rsidRPr="00D04BA0">
        <w:rPr>
          <w:rFonts w:ascii="Times New Roman" w:hAnsi="Times New Roman" w:cs="Times New Roman"/>
          <w:sz w:val="24"/>
          <w:szCs w:val="24"/>
        </w:rPr>
        <w:t xml:space="preserve"> w danym podmiocie</w:t>
      </w:r>
      <w:r w:rsidR="00E27FA0">
        <w:rPr>
          <w:rFonts w:ascii="Times New Roman" w:hAnsi="Times New Roman" w:cs="Times New Roman"/>
          <w:sz w:val="24"/>
          <w:szCs w:val="24"/>
        </w:rPr>
        <w:t>,</w:t>
      </w:r>
      <w:r w:rsidR="008473EB" w:rsidRPr="00D04BA0">
        <w:rPr>
          <w:rFonts w:ascii="Times New Roman" w:hAnsi="Times New Roman" w:cs="Times New Roman"/>
          <w:sz w:val="24"/>
          <w:szCs w:val="24"/>
        </w:rPr>
        <w:t xml:space="preserve"> jak też obniżenia tego zaangażowania (art. 70z</w:t>
      </w:r>
      <w:r w:rsidR="00467410">
        <w:rPr>
          <w:rFonts w:ascii="Times New Roman" w:hAnsi="Times New Roman" w:cs="Times New Roman"/>
          <w:sz w:val="24"/>
          <w:szCs w:val="24"/>
        </w:rPr>
        <w:t>i</w:t>
      </w:r>
      <w:r w:rsidR="008473EB" w:rsidRPr="00D04BA0">
        <w:rPr>
          <w:rFonts w:ascii="Times New Roman" w:hAnsi="Times New Roman" w:cs="Times New Roman"/>
          <w:sz w:val="24"/>
          <w:szCs w:val="24"/>
        </w:rPr>
        <w:t xml:space="preserve"> ustawy) oraz faktu przejęcia kontroli nad podmiotem. W tym ostatnim przypadku wymaga się także poinformowania spółki, nad którą AFI przejął kontrolę oraz jej udziałowców (art. 70z</w:t>
      </w:r>
      <w:r w:rsidR="00467410">
        <w:rPr>
          <w:rFonts w:ascii="Times New Roman" w:hAnsi="Times New Roman" w:cs="Times New Roman"/>
          <w:sz w:val="24"/>
          <w:szCs w:val="24"/>
        </w:rPr>
        <w:t>j</w:t>
      </w:r>
      <w:r w:rsidR="00AE5FD4">
        <w:rPr>
          <w:rFonts w:ascii="Times New Roman" w:hAnsi="Times New Roman" w:cs="Times New Roman"/>
          <w:sz w:val="24"/>
          <w:szCs w:val="24"/>
        </w:rPr>
        <w:t xml:space="preserve"> i</w:t>
      </w:r>
      <w:r w:rsidR="00D14EF5">
        <w:rPr>
          <w:rFonts w:ascii="Times New Roman" w:hAnsi="Times New Roman" w:cs="Times New Roman"/>
          <w:sz w:val="24"/>
          <w:szCs w:val="24"/>
        </w:rPr>
        <w:t xml:space="preserve"> </w:t>
      </w:r>
      <w:r w:rsidR="00AE5FD4">
        <w:rPr>
          <w:rFonts w:ascii="Times New Roman" w:hAnsi="Times New Roman" w:cs="Times New Roman"/>
          <w:sz w:val="24"/>
          <w:szCs w:val="24"/>
        </w:rPr>
        <w:t>art.</w:t>
      </w:r>
      <w:r w:rsidR="00D14EF5">
        <w:rPr>
          <w:rFonts w:ascii="Times New Roman" w:hAnsi="Times New Roman" w:cs="Times New Roman"/>
          <w:sz w:val="24"/>
          <w:szCs w:val="24"/>
        </w:rPr>
        <w:t xml:space="preserve"> </w:t>
      </w:r>
      <w:r w:rsidR="008473EB" w:rsidRPr="00D04BA0">
        <w:rPr>
          <w:rFonts w:ascii="Times New Roman" w:hAnsi="Times New Roman" w:cs="Times New Roman"/>
          <w:sz w:val="24"/>
          <w:szCs w:val="24"/>
        </w:rPr>
        <w:t>70z</w:t>
      </w:r>
      <w:r w:rsidR="00467410">
        <w:rPr>
          <w:rFonts w:ascii="Times New Roman" w:hAnsi="Times New Roman" w:cs="Times New Roman"/>
          <w:sz w:val="24"/>
          <w:szCs w:val="24"/>
        </w:rPr>
        <w:t>k</w:t>
      </w:r>
      <w:r w:rsidR="008473EB" w:rsidRPr="00D04BA0">
        <w:rPr>
          <w:rFonts w:ascii="Times New Roman" w:hAnsi="Times New Roman" w:cs="Times New Roman"/>
          <w:sz w:val="24"/>
          <w:szCs w:val="24"/>
        </w:rPr>
        <w:t xml:space="preserve"> ustawy) o okolicznościach i warunkach przejęcia kontroli</w:t>
      </w:r>
      <w:r w:rsidR="00E27FA0">
        <w:rPr>
          <w:rFonts w:ascii="Times New Roman" w:hAnsi="Times New Roman" w:cs="Times New Roman"/>
          <w:sz w:val="24"/>
          <w:szCs w:val="24"/>
        </w:rPr>
        <w:t>,</w:t>
      </w:r>
      <w:r w:rsidR="008473EB" w:rsidRPr="00D04BA0">
        <w:rPr>
          <w:rFonts w:ascii="Times New Roman" w:hAnsi="Times New Roman" w:cs="Times New Roman"/>
          <w:sz w:val="24"/>
          <w:szCs w:val="24"/>
        </w:rPr>
        <w:t xml:space="preserve"> a także dołożenia starań o przekazanie niezbędnych informacji pracownikom przejmowanej spółki. Wprowadzane ograniczenia (art. 70z</w:t>
      </w:r>
      <w:r w:rsidR="00467410">
        <w:rPr>
          <w:rFonts w:ascii="Times New Roman" w:hAnsi="Times New Roman" w:cs="Times New Roman"/>
          <w:sz w:val="24"/>
          <w:szCs w:val="24"/>
        </w:rPr>
        <w:t>l</w:t>
      </w:r>
      <w:r w:rsidR="008473EB" w:rsidRPr="00D04BA0">
        <w:rPr>
          <w:rFonts w:ascii="Times New Roman" w:hAnsi="Times New Roman" w:cs="Times New Roman"/>
          <w:sz w:val="24"/>
          <w:szCs w:val="24"/>
        </w:rPr>
        <w:t xml:space="preserve"> ustawy) nakładają natomiast na zarządzającego danym AFI zarówno zakaz dokonywania określonych czynności skutkujących wyprzedażą aktywów przejętej spółki, jak i obowiązek podejmowania działań w celu zapobieżenia </w:t>
      </w:r>
      <w:r w:rsidR="009040E4" w:rsidRPr="00D04BA0">
        <w:rPr>
          <w:rFonts w:ascii="Times New Roman" w:hAnsi="Times New Roman" w:cs="Times New Roman"/>
          <w:sz w:val="24"/>
          <w:szCs w:val="24"/>
        </w:rPr>
        <w:t>takim skutkom. Ograniczenia te mają charakter czasowy</w:t>
      </w:r>
      <w:r w:rsidR="008473EB" w:rsidRPr="00D04BA0">
        <w:rPr>
          <w:rFonts w:ascii="Times New Roman" w:hAnsi="Times New Roman" w:cs="Times New Roman"/>
          <w:sz w:val="24"/>
          <w:szCs w:val="24"/>
        </w:rPr>
        <w:t xml:space="preserve"> </w:t>
      </w:r>
      <w:r w:rsidR="009040E4" w:rsidRPr="00D04BA0">
        <w:rPr>
          <w:rFonts w:ascii="Times New Roman" w:hAnsi="Times New Roman" w:cs="Times New Roman"/>
          <w:sz w:val="24"/>
          <w:szCs w:val="24"/>
        </w:rPr>
        <w:t>(2 lata</w:t>
      </w:r>
      <w:r w:rsidR="008473EB" w:rsidRPr="00D04BA0">
        <w:rPr>
          <w:rFonts w:ascii="Times New Roman" w:hAnsi="Times New Roman" w:cs="Times New Roman"/>
          <w:sz w:val="24"/>
          <w:szCs w:val="24"/>
        </w:rPr>
        <w:t xml:space="preserve"> </w:t>
      </w:r>
      <w:r w:rsidR="009040E4" w:rsidRPr="00D04BA0">
        <w:rPr>
          <w:rFonts w:ascii="Times New Roman" w:hAnsi="Times New Roman" w:cs="Times New Roman"/>
          <w:sz w:val="24"/>
          <w:szCs w:val="24"/>
        </w:rPr>
        <w:t xml:space="preserve">od przejęcia kontroli). Powyższe rozwiązania są uzasadnione </w:t>
      </w:r>
      <w:r w:rsidR="00E14626" w:rsidRPr="00D04BA0">
        <w:rPr>
          <w:rFonts w:ascii="Times New Roman" w:hAnsi="Times New Roman" w:cs="Times New Roman"/>
          <w:sz w:val="24"/>
          <w:szCs w:val="24"/>
        </w:rPr>
        <w:t>potrzebą zapewnienia przejmowanym przedsiębiorstwom oraz ich pracownikom niektórych informacji niezbędnych do oceny wpływu, jaki to przejęcie będzie miało na ich sytuację. Podkreślenia przy tym wymaga, iż zaproponowane w projekcie rozwiązania nie wykraczają poza przyjęte na poziomie dyrektywy ZAFI.</w:t>
      </w:r>
    </w:p>
    <w:p w:rsidR="00F001D1" w:rsidRDefault="00F001D1">
      <w:pPr>
        <w:rPr>
          <w:rFonts w:ascii="Times New Roman" w:hAnsi="Times New Roman" w:cs="Times New Roman"/>
          <w:sz w:val="24"/>
          <w:szCs w:val="24"/>
        </w:rPr>
      </w:pPr>
      <w:r>
        <w:rPr>
          <w:rFonts w:ascii="Times New Roman" w:hAnsi="Times New Roman" w:cs="Times New Roman"/>
          <w:sz w:val="24"/>
          <w:szCs w:val="24"/>
        </w:rPr>
        <w:br w:type="page"/>
      </w:r>
    </w:p>
    <w:p w:rsidR="009040E4" w:rsidRPr="00067927" w:rsidRDefault="009040E4" w:rsidP="008E7A41">
      <w:pPr>
        <w:spacing w:before="24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lastRenderedPageBreak/>
        <w:t>Depozytariusz</w:t>
      </w:r>
    </w:p>
    <w:p w:rsidR="001D36E9" w:rsidRPr="00D04BA0" w:rsidRDefault="003805EC"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zmienionym dziale IV ustawy o funduszach inwestycyjnych proponuje się dostosowanie regulacji dotyczących depozytariusza funduszu inwestycyjnego do zmian wynikających z dyrektywy UCITS V – w odniesieniu do depozytariuszy FIO, oraz</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z dyrektywy ZAFI – w odniesieniu do depozytariuszy </w:t>
      </w:r>
      <w:r w:rsidR="00AB6B9B" w:rsidRPr="00D04BA0">
        <w:rPr>
          <w:rFonts w:ascii="Times New Roman" w:hAnsi="Times New Roman" w:cs="Times New Roman"/>
          <w:sz w:val="24"/>
          <w:szCs w:val="24"/>
        </w:rPr>
        <w:t>S</w:t>
      </w:r>
      <w:r w:rsidRPr="00D04BA0">
        <w:rPr>
          <w:rFonts w:ascii="Times New Roman" w:hAnsi="Times New Roman" w:cs="Times New Roman"/>
          <w:sz w:val="24"/>
          <w:szCs w:val="24"/>
        </w:rPr>
        <w:t>FIO</w:t>
      </w:r>
      <w:r w:rsidR="00AB6B9B" w:rsidRPr="00D04BA0">
        <w:rPr>
          <w:rFonts w:ascii="Times New Roman" w:hAnsi="Times New Roman" w:cs="Times New Roman"/>
          <w:sz w:val="24"/>
          <w:szCs w:val="24"/>
        </w:rPr>
        <w:t xml:space="preserve"> i FIZ, a także uregulowanie</w:t>
      </w:r>
      <w:r w:rsidR="00D04BA0">
        <w:rPr>
          <w:rFonts w:ascii="Times New Roman" w:hAnsi="Times New Roman" w:cs="Times New Roman"/>
          <w:sz w:val="24"/>
          <w:szCs w:val="24"/>
        </w:rPr>
        <w:t xml:space="preserve"> </w:t>
      </w:r>
      <w:r w:rsidR="00AB6B9B" w:rsidRPr="00D04BA0">
        <w:rPr>
          <w:rFonts w:ascii="Times New Roman" w:hAnsi="Times New Roman" w:cs="Times New Roman"/>
          <w:sz w:val="24"/>
          <w:szCs w:val="24"/>
        </w:rPr>
        <w:t>w oparciu o dyrektywę ZAFI wymagań dotyczących ustanowienia depozytariusz</w:t>
      </w:r>
      <w:r w:rsidR="001D36E9" w:rsidRPr="00D04BA0">
        <w:rPr>
          <w:rFonts w:ascii="Times New Roman" w:hAnsi="Times New Roman" w:cs="Times New Roman"/>
          <w:sz w:val="24"/>
          <w:szCs w:val="24"/>
        </w:rPr>
        <w:t>a</w:t>
      </w:r>
      <w:r w:rsidR="00AB6B9B" w:rsidRPr="00D04BA0">
        <w:rPr>
          <w:rFonts w:ascii="Times New Roman" w:hAnsi="Times New Roman" w:cs="Times New Roman"/>
          <w:sz w:val="24"/>
          <w:szCs w:val="24"/>
        </w:rPr>
        <w:t xml:space="preserve"> alternatywnej spółki inwestycyjnej.</w:t>
      </w:r>
      <w:r w:rsidR="008A6FF7" w:rsidRPr="00D04BA0">
        <w:rPr>
          <w:rFonts w:ascii="Times New Roman" w:hAnsi="Times New Roman" w:cs="Times New Roman"/>
          <w:sz w:val="24"/>
          <w:szCs w:val="24"/>
        </w:rPr>
        <w:t xml:space="preserve"> </w:t>
      </w:r>
    </w:p>
    <w:p w:rsidR="00F72D53" w:rsidRPr="00D04BA0" w:rsidRDefault="00F72D53"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Projektowana ustawa wzorem implementowanej dyrektyw</w:t>
      </w:r>
      <w:r w:rsidR="0084137D">
        <w:rPr>
          <w:rFonts w:ascii="Times New Roman" w:hAnsi="Times New Roman" w:cs="Times New Roman"/>
          <w:sz w:val="24"/>
          <w:szCs w:val="24"/>
        </w:rPr>
        <w:t>y</w:t>
      </w:r>
      <w:r w:rsidRPr="00D04BA0">
        <w:rPr>
          <w:rFonts w:ascii="Times New Roman" w:hAnsi="Times New Roman" w:cs="Times New Roman"/>
          <w:sz w:val="24"/>
          <w:szCs w:val="24"/>
        </w:rPr>
        <w:t xml:space="preserve"> wskazuje, iż TFI i zarządzający ASI zawiera z depozytariuszem w formie pisemnej umowę o wykonywanie funkcji depozytariusza odpowiednio funduszu inwestycyjnego lub alternatywnej spółki inwestycyjnej. Wyjaśnienia przy tym wymaga, iż przepisy te nie stanowią przeszkód dla </w:t>
      </w:r>
      <w:r w:rsidR="0059298D" w:rsidRPr="00D04BA0">
        <w:rPr>
          <w:rFonts w:ascii="Times New Roman" w:hAnsi="Times New Roman" w:cs="Times New Roman"/>
          <w:sz w:val="24"/>
          <w:szCs w:val="24"/>
        </w:rPr>
        <w:t xml:space="preserve">stosowania dotychczasowej praktyki </w:t>
      </w:r>
      <w:r w:rsidRPr="00D04BA0">
        <w:rPr>
          <w:rFonts w:ascii="Times New Roman" w:hAnsi="Times New Roman" w:cs="Times New Roman"/>
          <w:sz w:val="24"/>
          <w:szCs w:val="24"/>
        </w:rPr>
        <w:t xml:space="preserve">objęcia jednym dokumentem </w:t>
      </w:r>
      <w:r w:rsidR="005D729F" w:rsidRPr="00D04BA0">
        <w:rPr>
          <w:rFonts w:ascii="Times New Roman" w:hAnsi="Times New Roman" w:cs="Times New Roman"/>
          <w:sz w:val="24"/>
          <w:szCs w:val="24"/>
        </w:rPr>
        <w:t>szeregu umów dla poszczególnych funduszy inwestycyjnych.</w:t>
      </w:r>
    </w:p>
    <w:p w:rsidR="001D36E9" w:rsidRPr="00D04BA0" w:rsidRDefault="008A6FF7"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odniesieniu do wymogu ustanowienia depozytariuszy funduszy inwest</w:t>
      </w:r>
      <w:r w:rsidR="00213C1D" w:rsidRPr="00D04BA0">
        <w:rPr>
          <w:rFonts w:ascii="Times New Roman" w:hAnsi="Times New Roman" w:cs="Times New Roman"/>
          <w:sz w:val="24"/>
          <w:szCs w:val="24"/>
        </w:rPr>
        <w:t>ycyjnych należy zwrócić uwagę</w:t>
      </w:r>
      <w:r w:rsidR="00112FED" w:rsidRPr="00D04BA0">
        <w:rPr>
          <w:rFonts w:ascii="Times New Roman" w:hAnsi="Times New Roman" w:cs="Times New Roman"/>
          <w:sz w:val="24"/>
          <w:szCs w:val="24"/>
        </w:rPr>
        <w:t>, iż nie zdecydowano się</w:t>
      </w:r>
      <w:r w:rsidR="00213C1D" w:rsidRPr="00D04BA0">
        <w:rPr>
          <w:rFonts w:ascii="Times New Roman" w:hAnsi="Times New Roman" w:cs="Times New Roman"/>
          <w:sz w:val="24"/>
          <w:szCs w:val="24"/>
        </w:rPr>
        <w:t xml:space="preserve"> na </w:t>
      </w:r>
      <w:r w:rsidRPr="00D04BA0">
        <w:rPr>
          <w:rFonts w:ascii="Times New Roman" w:hAnsi="Times New Roman" w:cs="Times New Roman"/>
          <w:sz w:val="24"/>
          <w:szCs w:val="24"/>
        </w:rPr>
        <w:t>zniesienie wymagań kapitałowych dla banków (oddziałów instytucji kredytowych), które mogą pełnić funkcję depozytariusza</w:t>
      </w:r>
      <w:r w:rsidR="00A17579" w:rsidRPr="00D04BA0">
        <w:rPr>
          <w:rFonts w:ascii="Times New Roman" w:hAnsi="Times New Roman" w:cs="Times New Roman"/>
          <w:sz w:val="24"/>
          <w:szCs w:val="24"/>
        </w:rPr>
        <w:t xml:space="preserve"> </w:t>
      </w:r>
      <w:r w:rsidR="00112FED" w:rsidRPr="00D04BA0">
        <w:rPr>
          <w:rFonts w:ascii="Times New Roman" w:hAnsi="Times New Roman" w:cs="Times New Roman"/>
          <w:sz w:val="24"/>
          <w:szCs w:val="24"/>
        </w:rPr>
        <w:t>(art. 71 ust. 2 ustawy).</w:t>
      </w:r>
      <w:r w:rsidR="00112FED" w:rsidRPr="00D04BA0">
        <w:rPr>
          <w:rFonts w:ascii="Times New Roman" w:hAnsi="Times New Roman" w:cs="Times New Roman"/>
          <w:iCs/>
          <w:sz w:val="24"/>
          <w:szCs w:val="24"/>
        </w:rPr>
        <w:t xml:space="preserve"> Utrzymanie zasady, że funkcje depozytariusza SFIO albo FIZ mogą wykonywać tylko banki, które posiadają fundusze własne na poziomie co najmniej 100</w:t>
      </w:r>
      <w:r w:rsidR="00D04BA0">
        <w:rPr>
          <w:rFonts w:ascii="Times New Roman" w:hAnsi="Times New Roman" w:cs="Times New Roman"/>
          <w:iCs/>
          <w:sz w:val="24"/>
          <w:szCs w:val="24"/>
        </w:rPr>
        <w:t xml:space="preserve"> </w:t>
      </w:r>
      <w:r w:rsidR="00112FED" w:rsidRPr="00D04BA0">
        <w:rPr>
          <w:rFonts w:ascii="Times New Roman" w:hAnsi="Times New Roman" w:cs="Times New Roman"/>
          <w:iCs/>
          <w:sz w:val="24"/>
          <w:szCs w:val="24"/>
        </w:rPr>
        <w:t>000</w:t>
      </w:r>
      <w:r w:rsidR="00D04BA0">
        <w:rPr>
          <w:rFonts w:ascii="Times New Roman" w:hAnsi="Times New Roman" w:cs="Times New Roman"/>
          <w:iCs/>
          <w:sz w:val="24"/>
          <w:szCs w:val="24"/>
        </w:rPr>
        <w:t xml:space="preserve"> </w:t>
      </w:r>
      <w:r w:rsidR="00112FED" w:rsidRPr="00D04BA0">
        <w:rPr>
          <w:rFonts w:ascii="Times New Roman" w:hAnsi="Times New Roman" w:cs="Times New Roman"/>
          <w:iCs/>
          <w:sz w:val="24"/>
          <w:szCs w:val="24"/>
        </w:rPr>
        <w:t>000 zł oraz oddziały instytucji kredytowych, którym przydzielono do dyspozycji fundusze w wysokości co najmniej 100</w:t>
      </w:r>
      <w:r w:rsidR="00D04BA0">
        <w:rPr>
          <w:rFonts w:ascii="Times New Roman" w:hAnsi="Times New Roman" w:cs="Times New Roman"/>
          <w:iCs/>
          <w:sz w:val="24"/>
          <w:szCs w:val="24"/>
        </w:rPr>
        <w:t xml:space="preserve"> </w:t>
      </w:r>
      <w:r w:rsidR="00112FED" w:rsidRPr="00D04BA0">
        <w:rPr>
          <w:rFonts w:ascii="Times New Roman" w:hAnsi="Times New Roman" w:cs="Times New Roman"/>
          <w:iCs/>
          <w:sz w:val="24"/>
          <w:szCs w:val="24"/>
        </w:rPr>
        <w:t>000</w:t>
      </w:r>
      <w:r w:rsidR="00D04BA0">
        <w:rPr>
          <w:rFonts w:ascii="Times New Roman" w:hAnsi="Times New Roman" w:cs="Times New Roman"/>
          <w:iCs/>
          <w:sz w:val="24"/>
          <w:szCs w:val="24"/>
        </w:rPr>
        <w:t xml:space="preserve"> </w:t>
      </w:r>
      <w:r w:rsidR="00112FED" w:rsidRPr="00D04BA0">
        <w:rPr>
          <w:rFonts w:ascii="Times New Roman" w:hAnsi="Times New Roman" w:cs="Times New Roman"/>
          <w:iCs/>
          <w:sz w:val="24"/>
          <w:szCs w:val="24"/>
        </w:rPr>
        <w:t xml:space="preserve">000 zł wynika z potrzeby ochrony interesów uczestników tych funduszy. Zwiększy to bezpieczeństwo aktywów zgromadzonych w funduszach inwestycyjnych, gdyż aktywa te będą przechowywane przez podmioty o stabilnej sytuacji finansowej. Ponadto </w:t>
      </w:r>
      <w:r w:rsidR="001D36E9" w:rsidRPr="00D04BA0">
        <w:rPr>
          <w:rFonts w:ascii="Times New Roman" w:hAnsi="Times New Roman" w:cs="Times New Roman"/>
          <w:sz w:val="24"/>
          <w:szCs w:val="24"/>
        </w:rPr>
        <w:t>w</w:t>
      </w:r>
      <w:r w:rsidRPr="00D04BA0">
        <w:rPr>
          <w:rFonts w:ascii="Times New Roman" w:hAnsi="Times New Roman" w:cs="Times New Roman"/>
          <w:sz w:val="24"/>
          <w:szCs w:val="24"/>
        </w:rPr>
        <w:t>prowadz</w:t>
      </w:r>
      <w:r w:rsidR="00112FED" w:rsidRPr="00D04BA0">
        <w:rPr>
          <w:rFonts w:ascii="Times New Roman" w:hAnsi="Times New Roman" w:cs="Times New Roman"/>
          <w:sz w:val="24"/>
          <w:szCs w:val="24"/>
        </w:rPr>
        <w:t>ono</w:t>
      </w:r>
      <w:r w:rsidRPr="00D04BA0">
        <w:rPr>
          <w:rFonts w:ascii="Times New Roman" w:hAnsi="Times New Roman" w:cs="Times New Roman"/>
          <w:sz w:val="24"/>
          <w:szCs w:val="24"/>
        </w:rPr>
        <w:t xml:space="preserve"> możliwoś</w:t>
      </w:r>
      <w:r w:rsidR="00112FED" w:rsidRPr="00D04BA0">
        <w:rPr>
          <w:rFonts w:ascii="Times New Roman" w:hAnsi="Times New Roman" w:cs="Times New Roman"/>
          <w:sz w:val="24"/>
          <w:szCs w:val="24"/>
        </w:rPr>
        <w:t>ć</w:t>
      </w:r>
      <w:r w:rsidRPr="00D04BA0">
        <w:rPr>
          <w:rFonts w:ascii="Times New Roman" w:hAnsi="Times New Roman" w:cs="Times New Roman"/>
          <w:sz w:val="24"/>
          <w:szCs w:val="24"/>
        </w:rPr>
        <w:t xml:space="preserve"> </w:t>
      </w:r>
      <w:r w:rsidR="001D36E9" w:rsidRPr="00D04BA0">
        <w:rPr>
          <w:rFonts w:ascii="Times New Roman" w:hAnsi="Times New Roman" w:cs="Times New Roman"/>
          <w:sz w:val="24"/>
          <w:szCs w:val="24"/>
        </w:rPr>
        <w:t>pełnienia tej funkcji</w:t>
      </w:r>
      <w:r w:rsidR="00213C1D" w:rsidRPr="00D04BA0">
        <w:rPr>
          <w:rFonts w:ascii="Times New Roman" w:hAnsi="Times New Roman" w:cs="Times New Roman"/>
          <w:sz w:val="24"/>
          <w:szCs w:val="24"/>
        </w:rPr>
        <w:t xml:space="preserve"> – wyłącznie jednak w odniesieniu do FIZ – </w:t>
      </w:r>
      <w:r w:rsidR="001D36E9" w:rsidRPr="00D04BA0">
        <w:rPr>
          <w:rFonts w:ascii="Times New Roman" w:hAnsi="Times New Roman" w:cs="Times New Roman"/>
          <w:sz w:val="24"/>
          <w:szCs w:val="24"/>
        </w:rPr>
        <w:t xml:space="preserve">przez </w:t>
      </w:r>
      <w:r w:rsidR="00F8570A" w:rsidRPr="00D04BA0">
        <w:rPr>
          <w:rFonts w:ascii="Times New Roman" w:hAnsi="Times New Roman" w:cs="Times New Roman"/>
          <w:sz w:val="24"/>
          <w:szCs w:val="24"/>
        </w:rPr>
        <w:t>firmę inwestycyjną</w:t>
      </w:r>
      <w:r w:rsidR="001D36E9" w:rsidRPr="00D04BA0">
        <w:rPr>
          <w:rFonts w:ascii="Times New Roman" w:hAnsi="Times New Roman" w:cs="Times New Roman"/>
          <w:sz w:val="24"/>
          <w:szCs w:val="24"/>
        </w:rPr>
        <w:t xml:space="preserve"> spełniając</w:t>
      </w:r>
      <w:r w:rsidR="00A17579" w:rsidRPr="00D04BA0">
        <w:rPr>
          <w:rFonts w:ascii="Times New Roman" w:hAnsi="Times New Roman" w:cs="Times New Roman"/>
          <w:sz w:val="24"/>
          <w:szCs w:val="24"/>
        </w:rPr>
        <w:t>ą</w:t>
      </w:r>
      <w:r w:rsidR="001D36E9" w:rsidRPr="00D04BA0">
        <w:rPr>
          <w:rFonts w:ascii="Times New Roman" w:hAnsi="Times New Roman" w:cs="Times New Roman"/>
          <w:sz w:val="24"/>
          <w:szCs w:val="24"/>
        </w:rPr>
        <w:t xml:space="preserve"> określone wymagania kapitałowe (art. 71 </w:t>
      </w:r>
      <w:r w:rsidR="00F001D1">
        <w:rPr>
          <w:rFonts w:ascii="Times New Roman" w:hAnsi="Times New Roman" w:cs="Times New Roman"/>
          <w:sz w:val="24"/>
          <w:szCs w:val="24"/>
        </w:rPr>
        <w:t xml:space="preserve">ust. </w:t>
      </w:r>
      <w:r w:rsidR="001D36E9" w:rsidRPr="00D04BA0">
        <w:rPr>
          <w:rFonts w:ascii="Times New Roman" w:hAnsi="Times New Roman" w:cs="Times New Roman"/>
          <w:sz w:val="24"/>
          <w:szCs w:val="24"/>
        </w:rPr>
        <w:t>3 ustawy)</w:t>
      </w:r>
      <w:r w:rsidR="00213C1D" w:rsidRPr="00D04BA0">
        <w:rPr>
          <w:rFonts w:ascii="Times New Roman" w:hAnsi="Times New Roman" w:cs="Times New Roman"/>
          <w:sz w:val="24"/>
          <w:szCs w:val="24"/>
        </w:rPr>
        <w:t xml:space="preserve">. </w:t>
      </w:r>
      <w:r w:rsidR="00282F2C" w:rsidRPr="00D04BA0">
        <w:rPr>
          <w:rFonts w:ascii="Times New Roman" w:hAnsi="Times New Roman" w:cs="Times New Roman"/>
          <w:sz w:val="24"/>
          <w:szCs w:val="24"/>
        </w:rPr>
        <w:t xml:space="preserve">Zakres </w:t>
      </w:r>
      <w:r w:rsidR="00E14626" w:rsidRPr="00D04BA0">
        <w:rPr>
          <w:rFonts w:ascii="Times New Roman" w:hAnsi="Times New Roman" w:cs="Times New Roman"/>
          <w:sz w:val="24"/>
          <w:szCs w:val="24"/>
        </w:rPr>
        <w:t>te</w:t>
      </w:r>
      <w:r w:rsidR="005B07C2" w:rsidRPr="00D04BA0">
        <w:rPr>
          <w:rFonts w:ascii="Times New Roman" w:hAnsi="Times New Roman" w:cs="Times New Roman"/>
          <w:sz w:val="24"/>
          <w:szCs w:val="24"/>
        </w:rPr>
        <w:t>n</w:t>
      </w:r>
      <w:r w:rsidR="00E14626" w:rsidRPr="00D04BA0">
        <w:rPr>
          <w:rFonts w:ascii="Times New Roman" w:hAnsi="Times New Roman" w:cs="Times New Roman"/>
          <w:sz w:val="24"/>
          <w:szCs w:val="24"/>
        </w:rPr>
        <w:t xml:space="preserve"> jest konsekwencją przyjętego podziału funduszy inwestycyjnych oraz różnego podejścia do podmiotów mogących pełnić funkcje depozytariusza w dyrektywie ZAFI oraz dyrektywie </w:t>
      </w:r>
      <w:r w:rsidR="00282F2C" w:rsidRPr="00D04BA0">
        <w:rPr>
          <w:rFonts w:ascii="Times New Roman" w:hAnsi="Times New Roman" w:cs="Times New Roman"/>
          <w:sz w:val="24"/>
          <w:szCs w:val="24"/>
        </w:rPr>
        <w:t>UCITS V.</w:t>
      </w:r>
      <w:r w:rsidR="00112FED" w:rsidRPr="00D04BA0">
        <w:rPr>
          <w:rFonts w:ascii="Times New Roman" w:hAnsi="Times New Roman" w:cs="Times New Roman"/>
          <w:sz w:val="24"/>
          <w:szCs w:val="24"/>
        </w:rPr>
        <w:t xml:space="preserve"> Pomimo, iż SFIO </w:t>
      </w:r>
      <w:r w:rsidR="00F8570A" w:rsidRPr="00D04BA0">
        <w:rPr>
          <w:rFonts w:ascii="Times New Roman" w:hAnsi="Times New Roman" w:cs="Times New Roman"/>
          <w:sz w:val="24"/>
          <w:szCs w:val="24"/>
        </w:rPr>
        <w:t xml:space="preserve">zgodnie z projektem mają </w:t>
      </w:r>
      <w:r w:rsidR="00112FED" w:rsidRPr="00D04BA0">
        <w:rPr>
          <w:rFonts w:ascii="Times New Roman" w:hAnsi="Times New Roman" w:cs="Times New Roman"/>
          <w:sz w:val="24"/>
          <w:szCs w:val="24"/>
        </w:rPr>
        <w:t xml:space="preserve">charakter alternatywnych funduszy inwestycyjnych </w:t>
      </w:r>
      <w:r w:rsidR="00F8570A" w:rsidRPr="00D04BA0">
        <w:rPr>
          <w:rFonts w:ascii="Times New Roman" w:hAnsi="Times New Roman" w:cs="Times New Roman"/>
          <w:sz w:val="24"/>
          <w:szCs w:val="24"/>
        </w:rPr>
        <w:t>w projekcie odstąpiono od możliwości pełnienia dla tych funduszy funkcji depozytariusza przez firmę inwestycyjną</w:t>
      </w:r>
      <w:r w:rsidR="00112FED" w:rsidRPr="00D04BA0">
        <w:rPr>
          <w:rFonts w:ascii="Times New Roman" w:hAnsi="Times New Roman" w:cs="Times New Roman"/>
          <w:sz w:val="24"/>
          <w:szCs w:val="24"/>
        </w:rPr>
        <w:t xml:space="preserve"> ze względu na otwarty charakter</w:t>
      </w:r>
      <w:r w:rsidR="00F8570A" w:rsidRPr="00D04BA0">
        <w:rPr>
          <w:rFonts w:ascii="Times New Roman" w:hAnsi="Times New Roman" w:cs="Times New Roman"/>
          <w:sz w:val="24"/>
          <w:szCs w:val="24"/>
        </w:rPr>
        <w:t xml:space="preserve"> tych funduszy</w:t>
      </w:r>
      <w:r w:rsidR="00112FED" w:rsidRPr="00D04BA0">
        <w:rPr>
          <w:rFonts w:ascii="Times New Roman" w:hAnsi="Times New Roman" w:cs="Times New Roman"/>
          <w:sz w:val="24"/>
          <w:szCs w:val="24"/>
        </w:rPr>
        <w:t xml:space="preserve">, co w konsekwencji oznacza zbywanie przez nie jednostek uczestnictwa do nieoznaczonego kręgu </w:t>
      </w:r>
      <w:r w:rsidR="00112FED" w:rsidRPr="00D04BA0">
        <w:rPr>
          <w:rFonts w:ascii="Times New Roman" w:hAnsi="Times New Roman" w:cs="Times New Roman"/>
          <w:sz w:val="24"/>
          <w:szCs w:val="24"/>
        </w:rPr>
        <w:lastRenderedPageBreak/>
        <w:t>adresatów (w tym inwestorów detalicznych)</w:t>
      </w:r>
      <w:r w:rsidR="00F8570A" w:rsidRPr="00D04BA0">
        <w:rPr>
          <w:rFonts w:ascii="Times New Roman" w:hAnsi="Times New Roman" w:cs="Times New Roman"/>
          <w:sz w:val="24"/>
          <w:szCs w:val="24"/>
        </w:rPr>
        <w:t>, a co za tym idzie potrzebę zachowania należytej ochrony interesów inwestorów</w:t>
      </w:r>
      <w:r w:rsidR="00112FED" w:rsidRPr="00D04BA0">
        <w:rPr>
          <w:rFonts w:ascii="Times New Roman" w:hAnsi="Times New Roman" w:cs="Times New Roman"/>
          <w:sz w:val="24"/>
          <w:szCs w:val="24"/>
        </w:rPr>
        <w:t>.</w:t>
      </w:r>
    </w:p>
    <w:p w:rsidR="00CC3E21" w:rsidRPr="00D04BA0" w:rsidRDefault="00213C1D"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Zakres obowiązków depozytariusza</w:t>
      </w:r>
      <w:r w:rsidR="008E599D" w:rsidRPr="00D04BA0">
        <w:rPr>
          <w:rFonts w:ascii="Times New Roman" w:hAnsi="Times New Roman" w:cs="Times New Roman"/>
          <w:sz w:val="24"/>
          <w:szCs w:val="24"/>
        </w:rPr>
        <w:t xml:space="preserve"> ulegnie rozszerzeniu o zapewnienie, aby środki pieniężne funduszu zgromadzone na rachunkach pieniężnych służących obsłudze rachunków papierów wartościowych </w:t>
      </w:r>
      <w:r w:rsidR="00A17579" w:rsidRPr="00D04BA0">
        <w:rPr>
          <w:rFonts w:ascii="Times New Roman" w:hAnsi="Times New Roman" w:cs="Times New Roman"/>
          <w:sz w:val="24"/>
          <w:szCs w:val="24"/>
        </w:rPr>
        <w:t xml:space="preserve">oraz na rachunkach bankowych </w:t>
      </w:r>
      <w:r w:rsidR="008E599D" w:rsidRPr="00D04BA0">
        <w:rPr>
          <w:rFonts w:ascii="Times New Roman" w:hAnsi="Times New Roman" w:cs="Times New Roman"/>
          <w:sz w:val="24"/>
          <w:szCs w:val="24"/>
        </w:rPr>
        <w:t>były przechowywane przez podmioty uprawnione do prowadzenia takich rachunków</w:t>
      </w:r>
      <w:r w:rsidR="004114E2" w:rsidRPr="00D04BA0">
        <w:rPr>
          <w:rFonts w:ascii="Times New Roman" w:hAnsi="Times New Roman" w:cs="Times New Roman"/>
          <w:sz w:val="24"/>
          <w:szCs w:val="24"/>
        </w:rPr>
        <w:t xml:space="preserve"> (art. 7</w:t>
      </w:r>
      <w:r w:rsidR="00A17579" w:rsidRPr="00D04BA0">
        <w:rPr>
          <w:rFonts w:ascii="Times New Roman" w:hAnsi="Times New Roman" w:cs="Times New Roman"/>
          <w:sz w:val="24"/>
          <w:szCs w:val="24"/>
        </w:rPr>
        <w:t>2</w:t>
      </w:r>
      <w:r w:rsidR="004114E2" w:rsidRPr="00D04BA0">
        <w:rPr>
          <w:rFonts w:ascii="Times New Roman" w:hAnsi="Times New Roman" w:cs="Times New Roman"/>
          <w:sz w:val="24"/>
          <w:szCs w:val="24"/>
        </w:rPr>
        <w:t xml:space="preserve"> ust. 1 pkt 3 ustawy)</w:t>
      </w:r>
      <w:r w:rsidR="008E599D" w:rsidRPr="00D04BA0">
        <w:rPr>
          <w:rFonts w:ascii="Times New Roman" w:hAnsi="Times New Roman" w:cs="Times New Roman"/>
          <w:sz w:val="24"/>
          <w:szCs w:val="24"/>
        </w:rPr>
        <w:t>, jak też o konieczność weryfikowania uprawnień funduszu do aktywów innych niż papiery wartościowe (art. 74</w:t>
      </w:r>
      <w:r w:rsidR="004114E2" w:rsidRPr="00D04BA0">
        <w:rPr>
          <w:rFonts w:ascii="Times New Roman" w:hAnsi="Times New Roman" w:cs="Times New Roman"/>
          <w:sz w:val="24"/>
          <w:szCs w:val="24"/>
        </w:rPr>
        <w:t xml:space="preserve"> ust. </w:t>
      </w:r>
      <w:r w:rsidR="00032B1E" w:rsidRPr="00D04BA0">
        <w:rPr>
          <w:rFonts w:ascii="Times New Roman" w:hAnsi="Times New Roman" w:cs="Times New Roman"/>
          <w:sz w:val="24"/>
          <w:szCs w:val="24"/>
        </w:rPr>
        <w:t>4</w:t>
      </w:r>
      <w:r w:rsidR="008E599D" w:rsidRPr="00D04BA0">
        <w:rPr>
          <w:rFonts w:ascii="Times New Roman" w:hAnsi="Times New Roman" w:cs="Times New Roman"/>
          <w:sz w:val="24"/>
          <w:szCs w:val="24"/>
        </w:rPr>
        <w:t xml:space="preserve"> ustawy)</w:t>
      </w:r>
      <w:r w:rsidR="004114E2" w:rsidRPr="00D04BA0">
        <w:rPr>
          <w:rFonts w:ascii="Times New Roman" w:hAnsi="Times New Roman" w:cs="Times New Roman"/>
          <w:sz w:val="24"/>
          <w:szCs w:val="24"/>
        </w:rPr>
        <w:t xml:space="preserve"> – zgodnie z art. 22 ust.</w:t>
      </w:r>
      <w:r w:rsidR="001D0296">
        <w:rPr>
          <w:rFonts w:ascii="Times New Roman" w:hAnsi="Times New Roman" w:cs="Times New Roman"/>
          <w:sz w:val="24"/>
          <w:szCs w:val="24"/>
        </w:rPr>
        <w:t> </w:t>
      </w:r>
      <w:r w:rsidR="004114E2" w:rsidRPr="00D04BA0">
        <w:rPr>
          <w:rFonts w:ascii="Times New Roman" w:hAnsi="Times New Roman" w:cs="Times New Roman"/>
          <w:sz w:val="24"/>
          <w:szCs w:val="24"/>
        </w:rPr>
        <w:t>7</w:t>
      </w:r>
      <w:r w:rsidR="001D37A6">
        <w:rPr>
          <w:rFonts w:ascii="Times New Roman" w:hAnsi="Times New Roman" w:cs="Times New Roman"/>
          <w:sz w:val="24"/>
          <w:szCs w:val="24"/>
        </w:rPr>
        <w:t>–</w:t>
      </w:r>
      <w:r w:rsidR="004114E2" w:rsidRPr="00D04BA0">
        <w:rPr>
          <w:rFonts w:ascii="Times New Roman" w:hAnsi="Times New Roman" w:cs="Times New Roman"/>
          <w:sz w:val="24"/>
          <w:szCs w:val="24"/>
        </w:rPr>
        <w:t>9 dyrektyw ZAFI</w:t>
      </w:r>
      <w:r w:rsidR="008E599D" w:rsidRPr="00D04BA0">
        <w:rPr>
          <w:rFonts w:ascii="Times New Roman" w:hAnsi="Times New Roman" w:cs="Times New Roman"/>
          <w:sz w:val="24"/>
          <w:szCs w:val="24"/>
        </w:rPr>
        <w:t>.</w:t>
      </w:r>
      <w:r w:rsidR="004114E2" w:rsidRPr="00D04BA0">
        <w:rPr>
          <w:rFonts w:ascii="Times New Roman" w:hAnsi="Times New Roman" w:cs="Times New Roman"/>
          <w:sz w:val="24"/>
          <w:szCs w:val="24"/>
        </w:rPr>
        <w:t xml:space="preserve"> Ponadto depozytariusz powinien zapewnić monitorowanie </w:t>
      </w:r>
      <w:r w:rsidR="00032B1E" w:rsidRPr="00D04BA0">
        <w:rPr>
          <w:rFonts w:ascii="Times New Roman" w:hAnsi="Times New Roman" w:cs="Times New Roman"/>
          <w:sz w:val="24"/>
          <w:szCs w:val="24"/>
        </w:rPr>
        <w:t>przepływu środków pieniężnych</w:t>
      </w:r>
      <w:r w:rsidR="004114E2" w:rsidRPr="00D04BA0">
        <w:rPr>
          <w:rFonts w:ascii="Times New Roman" w:hAnsi="Times New Roman" w:cs="Times New Roman"/>
          <w:sz w:val="24"/>
          <w:szCs w:val="24"/>
        </w:rPr>
        <w:t xml:space="preserve"> funduszu (art. 7</w:t>
      </w:r>
      <w:r w:rsidR="00BC2762" w:rsidRPr="00D04BA0">
        <w:rPr>
          <w:rFonts w:ascii="Times New Roman" w:hAnsi="Times New Roman" w:cs="Times New Roman"/>
          <w:sz w:val="24"/>
          <w:szCs w:val="24"/>
        </w:rPr>
        <w:t>2</w:t>
      </w:r>
      <w:r w:rsidR="004114E2" w:rsidRPr="00D04BA0">
        <w:rPr>
          <w:rFonts w:ascii="Times New Roman" w:hAnsi="Times New Roman" w:cs="Times New Roman"/>
          <w:sz w:val="24"/>
          <w:szCs w:val="24"/>
        </w:rPr>
        <w:t xml:space="preserve"> ust. 1 pkt 4 ustawy), co </w:t>
      </w:r>
      <w:r w:rsidR="00184921" w:rsidRPr="00D04BA0">
        <w:rPr>
          <w:rFonts w:ascii="Times New Roman" w:hAnsi="Times New Roman" w:cs="Times New Roman"/>
          <w:sz w:val="24"/>
          <w:szCs w:val="24"/>
        </w:rPr>
        <w:t xml:space="preserve">pośrednio </w:t>
      </w:r>
      <w:r w:rsidR="004114E2" w:rsidRPr="00D04BA0">
        <w:rPr>
          <w:rFonts w:ascii="Times New Roman" w:hAnsi="Times New Roman" w:cs="Times New Roman"/>
          <w:sz w:val="24"/>
          <w:szCs w:val="24"/>
        </w:rPr>
        <w:t xml:space="preserve">wynika z </w:t>
      </w:r>
      <w:r w:rsidR="00184921" w:rsidRPr="00D04BA0">
        <w:rPr>
          <w:rFonts w:ascii="Times New Roman" w:hAnsi="Times New Roman" w:cs="Times New Roman"/>
          <w:sz w:val="24"/>
          <w:szCs w:val="24"/>
        </w:rPr>
        <w:t>przepisów dyrektywy ZAFI a zarazem ma służyć przypisaniu depozytariuszowi kompletnych funkcji kontrolnych</w:t>
      </w:r>
      <w:r w:rsidR="004114E2" w:rsidRPr="00D04BA0">
        <w:rPr>
          <w:rFonts w:ascii="Times New Roman" w:hAnsi="Times New Roman" w:cs="Times New Roman"/>
          <w:sz w:val="24"/>
          <w:szCs w:val="24"/>
        </w:rPr>
        <w:t>.</w:t>
      </w:r>
      <w:r w:rsidR="008E599D" w:rsidRPr="00D04BA0">
        <w:rPr>
          <w:rFonts w:ascii="Times New Roman" w:hAnsi="Times New Roman" w:cs="Times New Roman"/>
          <w:sz w:val="24"/>
          <w:szCs w:val="24"/>
        </w:rPr>
        <w:t xml:space="preserve"> Projekt </w:t>
      </w:r>
      <w:r w:rsidR="004114E2" w:rsidRPr="00D04BA0">
        <w:rPr>
          <w:rFonts w:ascii="Times New Roman" w:hAnsi="Times New Roman" w:cs="Times New Roman"/>
          <w:sz w:val="24"/>
          <w:szCs w:val="24"/>
        </w:rPr>
        <w:t>wprowadza także, przewidzianą w dyrektywie ZAFI i dyrektywie UCITS V, możliwość</w:t>
      </w:r>
      <w:r w:rsidR="00AE5FD4">
        <w:rPr>
          <w:rFonts w:ascii="Times New Roman" w:hAnsi="Times New Roman" w:cs="Times New Roman"/>
          <w:sz w:val="24"/>
          <w:szCs w:val="24"/>
        </w:rPr>
        <w:t xml:space="preserve"> (i</w:t>
      </w:r>
      <w:r w:rsidR="00D14EF5">
        <w:rPr>
          <w:rFonts w:ascii="Times New Roman" w:hAnsi="Times New Roman" w:cs="Times New Roman"/>
          <w:sz w:val="24"/>
          <w:szCs w:val="24"/>
        </w:rPr>
        <w:t xml:space="preserve"> </w:t>
      </w:r>
      <w:r w:rsidR="00A80C2D" w:rsidRPr="00D04BA0">
        <w:rPr>
          <w:rFonts w:ascii="Times New Roman" w:hAnsi="Times New Roman" w:cs="Times New Roman"/>
          <w:sz w:val="24"/>
          <w:szCs w:val="24"/>
        </w:rPr>
        <w:t>warunki)</w:t>
      </w:r>
      <w:r w:rsidR="004114E2" w:rsidRPr="00D04BA0">
        <w:rPr>
          <w:rFonts w:ascii="Times New Roman" w:hAnsi="Times New Roman" w:cs="Times New Roman"/>
          <w:sz w:val="24"/>
          <w:szCs w:val="24"/>
        </w:rPr>
        <w:t xml:space="preserve"> wyznaczenia tzw. subdepozytariusza, któremu może być przekazane wykonywanie czynności z zakresu przechowywania aktywów funduszu</w:t>
      </w:r>
      <w:r w:rsidR="00A80C2D" w:rsidRPr="00D04BA0">
        <w:rPr>
          <w:rFonts w:ascii="Times New Roman" w:hAnsi="Times New Roman" w:cs="Times New Roman"/>
          <w:sz w:val="24"/>
          <w:szCs w:val="24"/>
        </w:rPr>
        <w:t xml:space="preserve"> (art. 81</w:t>
      </w:r>
      <w:r w:rsidR="00032B1E" w:rsidRPr="00D04BA0">
        <w:rPr>
          <w:rFonts w:ascii="Times New Roman" w:hAnsi="Times New Roman" w:cs="Times New Roman"/>
          <w:sz w:val="24"/>
          <w:szCs w:val="24"/>
        </w:rPr>
        <w:t>i</w:t>
      </w:r>
      <w:r w:rsidR="00A80C2D" w:rsidRPr="00D04BA0">
        <w:rPr>
          <w:rFonts w:ascii="Times New Roman" w:hAnsi="Times New Roman" w:cs="Times New Roman"/>
          <w:sz w:val="24"/>
          <w:szCs w:val="24"/>
        </w:rPr>
        <w:t xml:space="preserve"> ustawy)</w:t>
      </w:r>
      <w:r w:rsidR="004114E2" w:rsidRPr="00D04BA0">
        <w:rPr>
          <w:rFonts w:ascii="Times New Roman" w:hAnsi="Times New Roman" w:cs="Times New Roman"/>
          <w:sz w:val="24"/>
          <w:szCs w:val="24"/>
        </w:rPr>
        <w:t xml:space="preserve">. </w:t>
      </w:r>
      <w:r w:rsidR="00DD1C70" w:rsidRPr="00D04BA0">
        <w:rPr>
          <w:rFonts w:ascii="Times New Roman" w:hAnsi="Times New Roman" w:cs="Times New Roman"/>
          <w:sz w:val="24"/>
          <w:szCs w:val="24"/>
        </w:rPr>
        <w:t xml:space="preserve">Zawarcie przez depozytariusza umowy, na podstawie której powierzy przedsiębiorcy lub przedsiębiorcy zagranicznemu wykonywanie czynności związanych z realizacją funkcji przechowywania aktywów funduszu albo alternatywnej spółki inwestycyjnej będzie możliwe po łącznym spełnieniu warunków określonych w art. </w:t>
      </w:r>
      <w:r w:rsidR="00E41238" w:rsidRPr="00D04BA0">
        <w:rPr>
          <w:rFonts w:ascii="Times New Roman" w:hAnsi="Times New Roman" w:cs="Times New Roman"/>
          <w:sz w:val="24"/>
          <w:szCs w:val="24"/>
        </w:rPr>
        <w:t>81</w:t>
      </w:r>
      <w:r w:rsidR="00E41238">
        <w:rPr>
          <w:rFonts w:ascii="Times New Roman" w:hAnsi="Times New Roman" w:cs="Times New Roman"/>
          <w:sz w:val="24"/>
          <w:szCs w:val="24"/>
        </w:rPr>
        <w:t>i</w:t>
      </w:r>
      <w:r w:rsidR="00E41238" w:rsidRPr="00D04BA0">
        <w:rPr>
          <w:rFonts w:ascii="Times New Roman" w:hAnsi="Times New Roman" w:cs="Times New Roman"/>
          <w:sz w:val="24"/>
          <w:szCs w:val="24"/>
        </w:rPr>
        <w:t xml:space="preserve"> </w:t>
      </w:r>
      <w:r w:rsidR="00DD1C70" w:rsidRPr="00D04BA0">
        <w:rPr>
          <w:rFonts w:ascii="Times New Roman" w:hAnsi="Times New Roman" w:cs="Times New Roman"/>
          <w:sz w:val="24"/>
          <w:szCs w:val="24"/>
        </w:rPr>
        <w:t>ust. 2. Przyjęte wymogi mają na celu przede wszystkim zapewnienie należytej ochrony aktywom funduszy inwestycyjnych w warunkach ich powierzania do przechowywania kolejnym podmiotom.</w:t>
      </w:r>
    </w:p>
    <w:p w:rsidR="00A80C2D" w:rsidRPr="00D04BA0" w:rsidRDefault="00A80C2D"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D</w:t>
      </w:r>
      <w:r w:rsidR="004114E2" w:rsidRPr="00D04BA0">
        <w:rPr>
          <w:rFonts w:ascii="Times New Roman" w:hAnsi="Times New Roman" w:cs="Times New Roman"/>
          <w:sz w:val="24"/>
          <w:szCs w:val="24"/>
        </w:rPr>
        <w:t xml:space="preserve">oprecyzowane zostają </w:t>
      </w:r>
      <w:r w:rsidRPr="00D04BA0">
        <w:rPr>
          <w:rFonts w:ascii="Times New Roman" w:hAnsi="Times New Roman" w:cs="Times New Roman"/>
          <w:sz w:val="24"/>
          <w:szCs w:val="24"/>
        </w:rPr>
        <w:t>również</w:t>
      </w:r>
      <w:r w:rsidR="00A12917" w:rsidRPr="00D04BA0">
        <w:rPr>
          <w:rFonts w:ascii="Times New Roman" w:hAnsi="Times New Roman" w:cs="Times New Roman"/>
          <w:sz w:val="24"/>
          <w:szCs w:val="24"/>
        </w:rPr>
        <w:t xml:space="preserve"> zasady</w:t>
      </w:r>
      <w:r w:rsidRPr="00D04BA0">
        <w:rPr>
          <w:rFonts w:ascii="Times New Roman" w:hAnsi="Times New Roman" w:cs="Times New Roman"/>
          <w:sz w:val="24"/>
          <w:szCs w:val="24"/>
        </w:rPr>
        <w:t>:</w:t>
      </w:r>
    </w:p>
    <w:p w:rsidR="00A80C2D" w:rsidRPr="00D04BA0" w:rsidRDefault="00A80C2D" w:rsidP="00D04BA0">
      <w:pPr>
        <w:pStyle w:val="Akapitzlist"/>
        <w:numPr>
          <w:ilvl w:val="0"/>
          <w:numId w:val="19"/>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wykorzystywania aktywów funduszu (art. 74 ust. 6 ustawy);</w:t>
      </w:r>
    </w:p>
    <w:p w:rsidR="00DD1C70" w:rsidRPr="00D04BA0" w:rsidRDefault="004114E2" w:rsidP="00D04BA0">
      <w:pPr>
        <w:pStyle w:val="Akapitzlist"/>
        <w:numPr>
          <w:ilvl w:val="0"/>
          <w:numId w:val="19"/>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odpowiedzialności depozytariusza</w:t>
      </w:r>
      <w:r w:rsidR="00A80C2D" w:rsidRPr="00D04BA0">
        <w:rPr>
          <w:rFonts w:ascii="Times New Roman" w:hAnsi="Times New Roman" w:cs="Times New Roman"/>
          <w:sz w:val="24"/>
          <w:szCs w:val="24"/>
        </w:rPr>
        <w:t>, w tym obowiązek zwrotu utraconego instrumentu finansowego,</w:t>
      </w:r>
      <w:r w:rsidRPr="00D04BA0">
        <w:rPr>
          <w:rFonts w:ascii="Times New Roman" w:hAnsi="Times New Roman" w:cs="Times New Roman"/>
          <w:sz w:val="24"/>
          <w:szCs w:val="24"/>
        </w:rPr>
        <w:t xml:space="preserve"> i warunki uwolnienia się przez niego z tej odpowiedzialności</w:t>
      </w:r>
      <w:r w:rsidR="00A80C2D" w:rsidRPr="00D04BA0">
        <w:rPr>
          <w:rFonts w:ascii="Times New Roman" w:hAnsi="Times New Roman" w:cs="Times New Roman"/>
          <w:sz w:val="24"/>
          <w:szCs w:val="24"/>
        </w:rPr>
        <w:t xml:space="preserve"> (art. 77 ustawy), przy czym</w:t>
      </w:r>
      <w:r w:rsidRPr="00D04BA0">
        <w:rPr>
          <w:rFonts w:ascii="Times New Roman" w:hAnsi="Times New Roman" w:cs="Times New Roman"/>
          <w:sz w:val="24"/>
          <w:szCs w:val="24"/>
        </w:rPr>
        <w:t xml:space="preserve"> </w:t>
      </w:r>
      <w:r w:rsidR="00A80C2D" w:rsidRPr="00D04BA0">
        <w:rPr>
          <w:rFonts w:ascii="Times New Roman" w:hAnsi="Times New Roman" w:cs="Times New Roman"/>
          <w:sz w:val="24"/>
          <w:szCs w:val="24"/>
        </w:rPr>
        <w:t xml:space="preserve">szczególne regulacje dotyczą odpowiedzialności depozytariusza za </w:t>
      </w:r>
      <w:r w:rsidR="004E5F18" w:rsidRPr="00D04BA0">
        <w:rPr>
          <w:rFonts w:ascii="Times New Roman" w:hAnsi="Times New Roman" w:cs="Times New Roman"/>
          <w:sz w:val="24"/>
          <w:szCs w:val="24"/>
        </w:rPr>
        <w:t>utratę instrumentu finansowego przez subdepozytariusza (art. 81</w:t>
      </w:r>
      <w:r w:rsidR="0060461D" w:rsidRPr="00D04BA0">
        <w:rPr>
          <w:rFonts w:ascii="Times New Roman" w:hAnsi="Times New Roman" w:cs="Times New Roman"/>
          <w:sz w:val="24"/>
          <w:szCs w:val="24"/>
        </w:rPr>
        <w:t>k</w:t>
      </w:r>
      <w:r w:rsidR="004E5F18" w:rsidRPr="00D04BA0">
        <w:rPr>
          <w:rFonts w:ascii="Times New Roman" w:hAnsi="Times New Roman" w:cs="Times New Roman"/>
          <w:sz w:val="24"/>
          <w:szCs w:val="24"/>
        </w:rPr>
        <w:t xml:space="preserve"> i art. 81</w:t>
      </w:r>
      <w:r w:rsidR="0060461D" w:rsidRPr="00D04BA0">
        <w:rPr>
          <w:rFonts w:ascii="Times New Roman" w:hAnsi="Times New Roman" w:cs="Times New Roman"/>
          <w:sz w:val="24"/>
          <w:szCs w:val="24"/>
        </w:rPr>
        <w:t>l</w:t>
      </w:r>
      <w:r w:rsidR="004E5F18" w:rsidRPr="00D04BA0">
        <w:rPr>
          <w:rFonts w:ascii="Times New Roman" w:hAnsi="Times New Roman" w:cs="Times New Roman"/>
          <w:sz w:val="24"/>
          <w:szCs w:val="24"/>
        </w:rPr>
        <w:t xml:space="preserve"> ustawy) – w tym przypadku uwolnienie się depozytariusza od odpowiedzialności jest uzależnione od uprzedniego uregulowania takiej możliwości między stronami w ramach stosunków umownych; </w:t>
      </w:r>
      <w:r w:rsidR="004E5F18" w:rsidRPr="00D04BA0">
        <w:rPr>
          <w:rFonts w:ascii="Times New Roman" w:hAnsi="Times New Roman" w:cs="Times New Roman"/>
          <w:sz w:val="24"/>
          <w:szCs w:val="24"/>
        </w:rPr>
        <w:lastRenderedPageBreak/>
        <w:t>przy braku stosownych ustaleń umownych odpowiedzialność wobec fundus</w:t>
      </w:r>
      <w:r w:rsidR="00780F2C" w:rsidRPr="00D04BA0">
        <w:rPr>
          <w:rFonts w:ascii="Times New Roman" w:hAnsi="Times New Roman" w:cs="Times New Roman"/>
          <w:sz w:val="24"/>
          <w:szCs w:val="24"/>
        </w:rPr>
        <w:t>zu ponosić będzie depozytariusz</w:t>
      </w:r>
      <w:r w:rsidR="0084137D">
        <w:rPr>
          <w:rFonts w:ascii="Times New Roman" w:hAnsi="Times New Roman" w:cs="Times New Roman"/>
          <w:sz w:val="24"/>
          <w:szCs w:val="24"/>
        </w:rPr>
        <w:t>;</w:t>
      </w:r>
    </w:p>
    <w:p w:rsidR="004E5F18" w:rsidRPr="00D04BA0" w:rsidRDefault="00A12917" w:rsidP="00D04BA0">
      <w:pPr>
        <w:pStyle w:val="Akapitzlist"/>
        <w:numPr>
          <w:ilvl w:val="0"/>
          <w:numId w:val="19"/>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występowania przez depozytariusza z powództwem przeciwko towarzystwu, spółce zarządzającej lub zarządzającemu z UE z tytułu szkody spowodowanej niewłaściwym wykonywaniem przez te podmioty obowiązków w zakre</w:t>
      </w:r>
      <w:r w:rsidR="00AE5FD4">
        <w:rPr>
          <w:rFonts w:ascii="Times New Roman" w:hAnsi="Times New Roman" w:cs="Times New Roman"/>
          <w:sz w:val="24"/>
          <w:szCs w:val="24"/>
        </w:rPr>
        <w:t>sie zarządzania funduszem (art.</w:t>
      </w:r>
      <w:r w:rsidR="00D14EF5">
        <w:rPr>
          <w:rFonts w:ascii="Times New Roman" w:hAnsi="Times New Roman" w:cs="Times New Roman"/>
          <w:sz w:val="24"/>
          <w:szCs w:val="24"/>
        </w:rPr>
        <w:t xml:space="preserve"> </w:t>
      </w:r>
      <w:r w:rsidRPr="00D04BA0">
        <w:rPr>
          <w:rFonts w:ascii="Times New Roman" w:hAnsi="Times New Roman" w:cs="Times New Roman"/>
          <w:sz w:val="24"/>
          <w:szCs w:val="24"/>
        </w:rPr>
        <w:t>73 ustawy); obowiązujące obecnie przepisy (art. 72 ust. 5 nowelizowanej ustawy) są niefunkcjonalne, ze względu na problemy związane z kosztami takiego postępowania, gdyż ustawa nie rozstrzyga kogo obciążałyby koszty działań podejmowanych w oparciu o przedmiotowy przepis</w:t>
      </w:r>
      <w:r w:rsidR="00780F2C" w:rsidRPr="00D04BA0">
        <w:rPr>
          <w:rFonts w:ascii="Times New Roman" w:hAnsi="Times New Roman" w:cs="Times New Roman"/>
          <w:sz w:val="24"/>
          <w:szCs w:val="24"/>
        </w:rPr>
        <w:t>.</w:t>
      </w:r>
    </w:p>
    <w:p w:rsidR="003E5EEE" w:rsidRPr="00D04BA0" w:rsidRDefault="00A87537"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Projekt wprowadza </w:t>
      </w:r>
      <w:r w:rsidR="004629F0" w:rsidRPr="00D04BA0">
        <w:rPr>
          <w:rFonts w:ascii="Times New Roman" w:hAnsi="Times New Roman" w:cs="Times New Roman"/>
          <w:sz w:val="24"/>
          <w:szCs w:val="24"/>
        </w:rPr>
        <w:t xml:space="preserve">dodatkowo </w:t>
      </w:r>
      <w:r w:rsidRPr="00D04BA0">
        <w:rPr>
          <w:rFonts w:ascii="Times New Roman" w:hAnsi="Times New Roman" w:cs="Times New Roman"/>
          <w:sz w:val="24"/>
          <w:szCs w:val="24"/>
        </w:rPr>
        <w:t>możliwość żądania przez d</w:t>
      </w:r>
      <w:r w:rsidR="003E5EEE" w:rsidRPr="00D04BA0">
        <w:rPr>
          <w:rFonts w:ascii="Times New Roman" w:hAnsi="Times New Roman" w:cs="Times New Roman"/>
          <w:sz w:val="24"/>
          <w:szCs w:val="24"/>
        </w:rPr>
        <w:t xml:space="preserve">epozytariusza </w:t>
      </w:r>
      <w:r w:rsidR="004629F0" w:rsidRPr="00D04BA0">
        <w:rPr>
          <w:rFonts w:ascii="Times New Roman" w:hAnsi="Times New Roman" w:cs="Times New Roman"/>
          <w:sz w:val="24"/>
          <w:szCs w:val="24"/>
        </w:rPr>
        <w:t xml:space="preserve">od towarzystwa, spółki zarządzającej oraz zarządzającego z UE </w:t>
      </w:r>
      <w:r w:rsidRPr="00D04BA0">
        <w:rPr>
          <w:rFonts w:ascii="Times New Roman" w:hAnsi="Times New Roman" w:cs="Times New Roman"/>
          <w:sz w:val="24"/>
          <w:szCs w:val="24"/>
        </w:rPr>
        <w:t>informacji</w:t>
      </w:r>
      <w:r w:rsidR="004629F0" w:rsidRPr="00D04BA0">
        <w:rPr>
          <w:rFonts w:ascii="Times New Roman" w:hAnsi="Times New Roman" w:cs="Times New Roman"/>
          <w:sz w:val="24"/>
          <w:szCs w:val="24"/>
        </w:rPr>
        <w:t xml:space="preserve"> związanych </w:t>
      </w:r>
      <w:r w:rsidR="00F001D1">
        <w:rPr>
          <w:rFonts w:ascii="Times New Roman" w:hAnsi="Times New Roman" w:cs="Times New Roman"/>
          <w:sz w:val="24"/>
          <w:szCs w:val="24"/>
        </w:rPr>
        <w:t xml:space="preserve">z </w:t>
      </w:r>
      <w:r w:rsidR="004629F0" w:rsidRPr="00D04BA0">
        <w:rPr>
          <w:rFonts w:ascii="Times New Roman" w:hAnsi="Times New Roman" w:cs="Times New Roman"/>
          <w:sz w:val="24"/>
          <w:szCs w:val="24"/>
        </w:rPr>
        <w:t>działalnością prowadzoną na rzecz inwestorów</w:t>
      </w:r>
      <w:r w:rsidR="005422D5" w:rsidRPr="00D04BA0">
        <w:rPr>
          <w:rFonts w:ascii="Times New Roman" w:hAnsi="Times New Roman" w:cs="Times New Roman"/>
          <w:sz w:val="24"/>
          <w:szCs w:val="24"/>
        </w:rPr>
        <w:t xml:space="preserve">, które niezbędne są do wystąpienia z powództwem </w:t>
      </w:r>
      <w:r w:rsidR="00DE6278" w:rsidRPr="00D04BA0">
        <w:rPr>
          <w:rFonts w:ascii="Times New Roman" w:hAnsi="Times New Roman" w:cs="Times New Roman"/>
          <w:sz w:val="24"/>
          <w:szCs w:val="24"/>
        </w:rPr>
        <w:t xml:space="preserve">przeciwko ww. podmiotom </w:t>
      </w:r>
      <w:r w:rsidR="005422D5" w:rsidRPr="00D04BA0">
        <w:rPr>
          <w:rFonts w:ascii="Times New Roman" w:hAnsi="Times New Roman" w:cs="Times New Roman"/>
          <w:sz w:val="24"/>
          <w:szCs w:val="24"/>
        </w:rPr>
        <w:t>w imieniu inwestorów</w:t>
      </w:r>
      <w:r w:rsidR="004629F0" w:rsidRPr="00D04BA0">
        <w:rPr>
          <w:rFonts w:ascii="Times New Roman" w:hAnsi="Times New Roman" w:cs="Times New Roman"/>
          <w:sz w:val="24"/>
          <w:szCs w:val="24"/>
        </w:rPr>
        <w:t>.</w:t>
      </w:r>
      <w:r w:rsidRPr="00D04BA0">
        <w:rPr>
          <w:rFonts w:ascii="Times New Roman" w:hAnsi="Times New Roman" w:cs="Times New Roman"/>
          <w:sz w:val="24"/>
          <w:szCs w:val="24"/>
        </w:rPr>
        <w:t xml:space="preserve"> </w:t>
      </w:r>
      <w:r w:rsidR="004629F0" w:rsidRPr="00D04BA0">
        <w:rPr>
          <w:rFonts w:ascii="Times New Roman" w:hAnsi="Times New Roman" w:cs="Times New Roman"/>
          <w:sz w:val="24"/>
          <w:szCs w:val="24"/>
        </w:rPr>
        <w:t xml:space="preserve">Uprawnienie to jak i samo </w:t>
      </w:r>
      <w:r w:rsidR="003E5EEE" w:rsidRPr="00D04BA0">
        <w:rPr>
          <w:rFonts w:ascii="Times New Roman" w:hAnsi="Times New Roman" w:cs="Times New Roman"/>
          <w:sz w:val="24"/>
          <w:szCs w:val="24"/>
        </w:rPr>
        <w:t>wystąpieni</w:t>
      </w:r>
      <w:r w:rsidR="0084137D">
        <w:rPr>
          <w:rFonts w:ascii="Times New Roman" w:hAnsi="Times New Roman" w:cs="Times New Roman"/>
          <w:sz w:val="24"/>
          <w:szCs w:val="24"/>
        </w:rPr>
        <w:t>e</w:t>
      </w:r>
      <w:r w:rsidR="003E5EEE" w:rsidRPr="00D04BA0">
        <w:rPr>
          <w:rFonts w:ascii="Times New Roman" w:hAnsi="Times New Roman" w:cs="Times New Roman"/>
          <w:sz w:val="24"/>
          <w:szCs w:val="24"/>
        </w:rPr>
        <w:t xml:space="preserve"> z powództwem </w:t>
      </w:r>
      <w:r w:rsidR="00BA568C" w:rsidRPr="00D04BA0">
        <w:rPr>
          <w:rFonts w:ascii="Times New Roman" w:hAnsi="Times New Roman" w:cs="Times New Roman"/>
          <w:sz w:val="24"/>
          <w:szCs w:val="24"/>
        </w:rPr>
        <w:t xml:space="preserve">podyktowane jest przesłanką zagwarantowania </w:t>
      </w:r>
      <w:r w:rsidR="005D7DDB" w:rsidRPr="00D04BA0">
        <w:rPr>
          <w:rFonts w:ascii="Times New Roman" w:hAnsi="Times New Roman" w:cs="Times New Roman"/>
          <w:sz w:val="24"/>
          <w:szCs w:val="24"/>
        </w:rPr>
        <w:t>formalnej równości inwestorów w kontaktach z TFI.</w:t>
      </w:r>
      <w:r w:rsidR="00D04BA0">
        <w:rPr>
          <w:rFonts w:ascii="Times New Roman" w:hAnsi="Times New Roman" w:cs="Times New Roman"/>
          <w:sz w:val="24"/>
          <w:szCs w:val="24"/>
        </w:rPr>
        <w:t xml:space="preserve"> </w:t>
      </w:r>
      <w:r w:rsidR="004629F0" w:rsidRPr="00D04BA0">
        <w:rPr>
          <w:rFonts w:ascii="Times New Roman" w:hAnsi="Times New Roman" w:cs="Times New Roman"/>
          <w:sz w:val="24"/>
          <w:szCs w:val="24"/>
        </w:rPr>
        <w:t>P</w:t>
      </w:r>
      <w:r w:rsidR="005D7DDB" w:rsidRPr="00D04BA0">
        <w:rPr>
          <w:rFonts w:ascii="Times New Roman" w:hAnsi="Times New Roman" w:cs="Times New Roman"/>
          <w:sz w:val="24"/>
          <w:szCs w:val="24"/>
        </w:rPr>
        <w:t xml:space="preserve">odejście </w:t>
      </w:r>
      <w:r w:rsidR="004629F0" w:rsidRPr="00D04BA0">
        <w:rPr>
          <w:rFonts w:ascii="Times New Roman" w:hAnsi="Times New Roman" w:cs="Times New Roman"/>
          <w:sz w:val="24"/>
          <w:szCs w:val="24"/>
        </w:rPr>
        <w:t xml:space="preserve">to </w:t>
      </w:r>
      <w:r w:rsidR="005D7DDB" w:rsidRPr="00D04BA0">
        <w:rPr>
          <w:rFonts w:ascii="Times New Roman" w:hAnsi="Times New Roman" w:cs="Times New Roman"/>
          <w:sz w:val="24"/>
          <w:szCs w:val="24"/>
        </w:rPr>
        <w:t>uzasadnione jest koncepcją funduszy, jako wehikułów inwestycyjnych dostępnych dla podmiotów nieposiadających specjalistycznej wiedzy koniecznej do właściwego samodzielnego inwestowania na rynku kapitałowym,</w:t>
      </w:r>
      <w:r w:rsidR="00D04BA0">
        <w:rPr>
          <w:rFonts w:ascii="Times New Roman" w:hAnsi="Times New Roman" w:cs="Times New Roman"/>
          <w:sz w:val="24"/>
          <w:szCs w:val="24"/>
        </w:rPr>
        <w:t xml:space="preserve"> </w:t>
      </w:r>
      <w:r w:rsidR="005D7DDB" w:rsidRPr="00D04BA0">
        <w:rPr>
          <w:rFonts w:ascii="Times New Roman" w:hAnsi="Times New Roman" w:cs="Times New Roman"/>
          <w:sz w:val="24"/>
          <w:szCs w:val="24"/>
        </w:rPr>
        <w:t>co w konsekwencji wiąże się z koniecznością wyznaczenia niezależnych podmiotów, które na bieżąco zapewnią odpowiednią dbałość (ze strony towarzystwa/funduszu) o interesy</w:t>
      </w:r>
      <w:r w:rsidR="00D04BA0">
        <w:rPr>
          <w:rFonts w:ascii="Times New Roman" w:hAnsi="Times New Roman" w:cs="Times New Roman"/>
          <w:sz w:val="24"/>
          <w:szCs w:val="24"/>
        </w:rPr>
        <w:t xml:space="preserve"> </w:t>
      </w:r>
      <w:r w:rsidR="005D7DDB" w:rsidRPr="00D04BA0">
        <w:rPr>
          <w:rFonts w:ascii="Times New Roman" w:hAnsi="Times New Roman" w:cs="Times New Roman"/>
          <w:sz w:val="24"/>
          <w:szCs w:val="24"/>
        </w:rPr>
        <w:t>ww. inwestorów. Należy podkreślić, że z uwagi na przesłanki natury formalnej</w:t>
      </w:r>
      <w:r w:rsidR="00D04BA0">
        <w:rPr>
          <w:rFonts w:ascii="Times New Roman" w:hAnsi="Times New Roman" w:cs="Times New Roman"/>
          <w:sz w:val="24"/>
          <w:szCs w:val="24"/>
        </w:rPr>
        <w:t xml:space="preserve"> </w:t>
      </w:r>
      <w:r w:rsidR="005D7DDB" w:rsidRPr="00D04BA0">
        <w:rPr>
          <w:rFonts w:ascii="Times New Roman" w:hAnsi="Times New Roman" w:cs="Times New Roman"/>
          <w:sz w:val="24"/>
          <w:szCs w:val="24"/>
        </w:rPr>
        <w:t>(np. ograniczenia inwestorów w dostępie do informacji o działalności funduszu inwestycyjnego czy zarządzającego nim towarzystwa z uwagi na przepisy dotyczące tajemnicy zawodowej), jak również natury praktycznej, tj. skomplikowanie działalności inwestycyjnej, uczestnicy funduszy inwestycyjnych w praktyce pozbawieni są możliwości samodzielnej oceny poprawności działalności funduszy i TFI. Zatem, konieczne jest funkcjonowanie podmiotu, takiego jak depozytariusz, wyposażonego w odpowiednią wiedzę, zasoby kadrowe i instrumenty prawne, pozwalające podejmować mu działania na rzecz uczestników funduszu.</w:t>
      </w:r>
    </w:p>
    <w:p w:rsidR="00C54389" w:rsidRPr="00D04BA0" w:rsidRDefault="004E5F18"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Regulacje dotyczące depozytariusza alternatywnej spółki inwestycyjnej są zbliżone do regulacji dotyczących depozytariusza FIZ. A</w:t>
      </w:r>
      <w:r w:rsidR="008E599D" w:rsidRPr="00D04BA0">
        <w:rPr>
          <w:rFonts w:ascii="Times New Roman" w:hAnsi="Times New Roman" w:cs="Times New Roman"/>
          <w:sz w:val="24"/>
          <w:szCs w:val="24"/>
        </w:rPr>
        <w:t xml:space="preserve">nalogiczny jest też krąg potencjalnych depozytariuszy, przy czym (przy właściwym zarządzaniu potencjalnymi konfliktami interesów) w tym przypadku depozytariuszem może być także prime broker tej spółki </w:t>
      </w:r>
      <w:r w:rsidR="008E599D" w:rsidRPr="00D04BA0">
        <w:rPr>
          <w:rFonts w:ascii="Times New Roman" w:hAnsi="Times New Roman" w:cs="Times New Roman"/>
          <w:sz w:val="24"/>
          <w:szCs w:val="24"/>
        </w:rPr>
        <w:lastRenderedPageBreak/>
        <w:t>(art.</w:t>
      </w:r>
      <w:r w:rsidR="00D14EF5">
        <w:rPr>
          <w:rFonts w:ascii="Times New Roman" w:hAnsi="Times New Roman" w:cs="Times New Roman"/>
          <w:sz w:val="24"/>
          <w:szCs w:val="24"/>
        </w:rPr>
        <w:t xml:space="preserve"> </w:t>
      </w:r>
      <w:r w:rsidR="008E599D" w:rsidRPr="00D04BA0">
        <w:rPr>
          <w:rFonts w:ascii="Times New Roman" w:hAnsi="Times New Roman" w:cs="Times New Roman"/>
          <w:sz w:val="24"/>
          <w:szCs w:val="24"/>
        </w:rPr>
        <w:t>81b ust. 2 i 3 ustawy).</w:t>
      </w:r>
      <w:r w:rsidRPr="00D04BA0">
        <w:rPr>
          <w:rFonts w:ascii="Times New Roman" w:hAnsi="Times New Roman" w:cs="Times New Roman"/>
          <w:sz w:val="24"/>
          <w:szCs w:val="24"/>
        </w:rPr>
        <w:t xml:space="preserve"> W mniejszym natomiast stopniu przewiduje się ingerencję </w:t>
      </w:r>
      <w:r w:rsidR="00780F2C" w:rsidRPr="00D04BA0">
        <w:rPr>
          <w:rFonts w:ascii="Times New Roman" w:hAnsi="Times New Roman" w:cs="Times New Roman"/>
          <w:sz w:val="24"/>
          <w:szCs w:val="24"/>
        </w:rPr>
        <w:t xml:space="preserve">ustawodawcy </w:t>
      </w:r>
      <w:r w:rsidRPr="00D04BA0">
        <w:rPr>
          <w:rFonts w:ascii="Times New Roman" w:hAnsi="Times New Roman" w:cs="Times New Roman"/>
          <w:sz w:val="24"/>
          <w:szCs w:val="24"/>
        </w:rPr>
        <w:t>w</w:t>
      </w:r>
      <w:r w:rsidR="00780F2C" w:rsidRPr="00D04BA0">
        <w:rPr>
          <w:rFonts w:ascii="Times New Roman" w:hAnsi="Times New Roman" w:cs="Times New Roman"/>
          <w:sz w:val="24"/>
          <w:szCs w:val="24"/>
        </w:rPr>
        <w:t xml:space="preserve"> sposób zakończenia współpracy</w:t>
      </w:r>
      <w:r w:rsidRPr="00D04BA0">
        <w:rPr>
          <w:rFonts w:ascii="Times New Roman" w:hAnsi="Times New Roman" w:cs="Times New Roman"/>
          <w:sz w:val="24"/>
          <w:szCs w:val="24"/>
        </w:rPr>
        <w:t xml:space="preserve"> </w:t>
      </w:r>
      <w:r w:rsidR="00780F2C" w:rsidRPr="00D04BA0">
        <w:rPr>
          <w:rFonts w:ascii="Times New Roman" w:hAnsi="Times New Roman" w:cs="Times New Roman"/>
          <w:sz w:val="24"/>
          <w:szCs w:val="24"/>
        </w:rPr>
        <w:t>z depozytariuszem (art. 81</w:t>
      </w:r>
      <w:r w:rsidR="0060461D" w:rsidRPr="00D04BA0">
        <w:rPr>
          <w:rFonts w:ascii="Times New Roman" w:hAnsi="Times New Roman" w:cs="Times New Roman"/>
          <w:sz w:val="24"/>
          <w:szCs w:val="24"/>
        </w:rPr>
        <w:t>h</w:t>
      </w:r>
      <w:r w:rsidR="00780F2C" w:rsidRPr="00D04BA0">
        <w:rPr>
          <w:rFonts w:ascii="Times New Roman" w:hAnsi="Times New Roman" w:cs="Times New Roman"/>
          <w:sz w:val="24"/>
          <w:szCs w:val="24"/>
        </w:rPr>
        <w:t xml:space="preserve"> ust. 1 i 2 ustawy), w szczególności do decyzji stron umowy projekt pozostawia </w:t>
      </w:r>
      <w:r w:rsidR="00733A1A" w:rsidRPr="00D04BA0">
        <w:rPr>
          <w:rFonts w:ascii="Times New Roman" w:hAnsi="Times New Roman" w:cs="Times New Roman"/>
          <w:sz w:val="24"/>
          <w:szCs w:val="24"/>
        </w:rPr>
        <w:t>uzgodnienie sposobów jej rozwiązania.</w:t>
      </w:r>
      <w:r w:rsidR="00F8570A" w:rsidRPr="00D04BA0">
        <w:rPr>
          <w:rFonts w:ascii="Times New Roman" w:hAnsi="Times New Roman" w:cs="Times New Roman"/>
          <w:sz w:val="24"/>
          <w:szCs w:val="24"/>
        </w:rPr>
        <w:t xml:space="preserve"> </w:t>
      </w:r>
    </w:p>
    <w:p w:rsidR="005270E8" w:rsidRPr="00D04BA0" w:rsidRDefault="005270E8"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zakresie przyjętego sposobu implementacji do polskiego porządku prawnego znowelizowanego art. 22a dyrektywy UCITS oraz art. 21 ust. 11 dyrektywy ZAFI, zauważeni</w:t>
      </w:r>
      <w:r w:rsidR="00DF5485">
        <w:rPr>
          <w:rFonts w:ascii="Times New Roman" w:hAnsi="Times New Roman" w:cs="Times New Roman"/>
          <w:sz w:val="24"/>
          <w:szCs w:val="24"/>
        </w:rPr>
        <w:t>a</w:t>
      </w:r>
      <w:r w:rsidRPr="00D04BA0">
        <w:rPr>
          <w:rFonts w:ascii="Times New Roman" w:hAnsi="Times New Roman" w:cs="Times New Roman"/>
          <w:sz w:val="24"/>
          <w:szCs w:val="24"/>
        </w:rPr>
        <w:t xml:space="preserve"> wymaga, iż realizuje on kierunkowe cele regulacji określone przez prawodawcę europejskiego, jakimi są przede wszystkim każdorazowa identyfikowalność aktywów funduszy inwestycyjnych powierzonych innym podmiotom przez depozytariuszy oraz zapewnienie odpowiedniego wyodrębnienia, w szczególności pod względem prawnym, aktywów należnych funduszowi inwestycyjnemu. Wskazane wyodrębnienie</w:t>
      </w:r>
      <w:r w:rsidR="00A12917" w:rsidRPr="00D04BA0">
        <w:rPr>
          <w:rFonts w:ascii="Times New Roman" w:hAnsi="Times New Roman" w:cs="Times New Roman"/>
          <w:sz w:val="24"/>
          <w:szCs w:val="24"/>
        </w:rPr>
        <w:t xml:space="preserve"> w szczególności ma na celu </w:t>
      </w:r>
      <w:r w:rsidRPr="00D04BA0">
        <w:rPr>
          <w:rFonts w:ascii="Times New Roman" w:hAnsi="Times New Roman" w:cs="Times New Roman"/>
          <w:sz w:val="24"/>
          <w:szCs w:val="24"/>
        </w:rPr>
        <w:t>wyklucz</w:t>
      </w:r>
      <w:r w:rsidR="00A12917" w:rsidRPr="00D04BA0">
        <w:rPr>
          <w:rFonts w:ascii="Times New Roman" w:hAnsi="Times New Roman" w:cs="Times New Roman"/>
          <w:sz w:val="24"/>
          <w:szCs w:val="24"/>
        </w:rPr>
        <w:t xml:space="preserve">enie </w:t>
      </w:r>
      <w:r w:rsidRPr="00D04BA0">
        <w:rPr>
          <w:rFonts w:ascii="Times New Roman" w:hAnsi="Times New Roman" w:cs="Times New Roman"/>
          <w:sz w:val="24"/>
          <w:szCs w:val="24"/>
        </w:rPr>
        <w:t>możliwoś</w:t>
      </w:r>
      <w:r w:rsidR="00A12917" w:rsidRPr="00D04BA0">
        <w:rPr>
          <w:rFonts w:ascii="Times New Roman" w:hAnsi="Times New Roman" w:cs="Times New Roman"/>
          <w:sz w:val="24"/>
          <w:szCs w:val="24"/>
        </w:rPr>
        <w:t>ci</w:t>
      </w:r>
      <w:r w:rsidRPr="00D04BA0">
        <w:rPr>
          <w:rFonts w:ascii="Times New Roman" w:hAnsi="Times New Roman" w:cs="Times New Roman"/>
          <w:sz w:val="24"/>
          <w:szCs w:val="24"/>
        </w:rPr>
        <w:t xml:space="preserve"> podnoszenia przez podmioty inne niż wierzyciele funduszu inwestycyjnego, skutecznych roszczeń wobec przechowujących, których przedmiotem są aktywa przynależne funduszom inwestycyjnym.</w:t>
      </w:r>
    </w:p>
    <w:p w:rsidR="00920A57" w:rsidRDefault="00CD209A" w:rsidP="008E7A41">
      <w:pPr>
        <w:spacing w:before="240" w:after="0" w:line="360" w:lineRule="auto"/>
        <w:jc w:val="both"/>
        <w:rPr>
          <w:rFonts w:ascii="Times New Roman" w:hAnsi="Times New Roman" w:cs="Times New Roman"/>
          <w:sz w:val="24"/>
          <w:szCs w:val="24"/>
        </w:rPr>
      </w:pPr>
      <w:r w:rsidRPr="00B67BA4">
        <w:rPr>
          <w:rFonts w:ascii="Times New Roman" w:hAnsi="Times New Roman" w:cs="Times New Roman"/>
          <w:sz w:val="24"/>
          <w:szCs w:val="24"/>
        </w:rPr>
        <w:t>W związku z przewidzianą projektowaną ustawą implementacją zarówno dyrektywy ZAFI</w:t>
      </w:r>
      <w:r w:rsidR="00892093">
        <w:rPr>
          <w:rFonts w:ascii="Times New Roman" w:hAnsi="Times New Roman" w:cs="Times New Roman"/>
          <w:sz w:val="24"/>
          <w:szCs w:val="24"/>
        </w:rPr>
        <w:t>,</w:t>
      </w:r>
      <w:r w:rsidRPr="00B67BA4">
        <w:rPr>
          <w:rFonts w:ascii="Times New Roman" w:hAnsi="Times New Roman" w:cs="Times New Roman"/>
          <w:sz w:val="24"/>
          <w:szCs w:val="24"/>
        </w:rPr>
        <w:t xml:space="preserve"> jak i</w:t>
      </w:r>
      <w:r>
        <w:rPr>
          <w:rFonts w:ascii="Times New Roman" w:hAnsi="Times New Roman" w:cs="Times New Roman"/>
          <w:sz w:val="24"/>
          <w:szCs w:val="24"/>
        </w:rPr>
        <w:t xml:space="preserve"> </w:t>
      </w:r>
      <w:r w:rsidRPr="00B67BA4">
        <w:rPr>
          <w:rFonts w:ascii="Times New Roman" w:hAnsi="Times New Roman" w:cs="Times New Roman"/>
          <w:sz w:val="24"/>
          <w:szCs w:val="24"/>
        </w:rPr>
        <w:t>UCITS V dookreślono również obowiązujące zasady w zakresie reprezentacji funduszu przez</w:t>
      </w:r>
      <w:r>
        <w:rPr>
          <w:rFonts w:ascii="Times New Roman" w:hAnsi="Times New Roman" w:cs="Times New Roman"/>
          <w:sz w:val="24"/>
          <w:szCs w:val="24"/>
        </w:rPr>
        <w:t xml:space="preserve"> </w:t>
      </w:r>
      <w:r w:rsidRPr="00B67BA4">
        <w:rPr>
          <w:rFonts w:ascii="Times New Roman" w:hAnsi="Times New Roman" w:cs="Times New Roman"/>
          <w:sz w:val="24"/>
          <w:szCs w:val="24"/>
        </w:rPr>
        <w:t>depozytariusza w przypadku cofnięcia zezwolenia na wykonywanie działalności przez</w:t>
      </w:r>
      <w:r>
        <w:rPr>
          <w:rFonts w:ascii="Times New Roman" w:hAnsi="Times New Roman" w:cs="Times New Roman"/>
          <w:sz w:val="24"/>
          <w:szCs w:val="24"/>
        </w:rPr>
        <w:t xml:space="preserve"> </w:t>
      </w:r>
      <w:r w:rsidRPr="00B67BA4">
        <w:rPr>
          <w:rFonts w:ascii="Times New Roman" w:hAnsi="Times New Roman" w:cs="Times New Roman"/>
          <w:sz w:val="24"/>
          <w:szCs w:val="24"/>
        </w:rPr>
        <w:t>towarzystwo funduszy inwestycyjnych. Mając na uwadze potrzebę zapewnienia zgodności</w:t>
      </w:r>
      <w:r>
        <w:rPr>
          <w:rFonts w:ascii="Times New Roman" w:hAnsi="Times New Roman" w:cs="Times New Roman"/>
          <w:sz w:val="24"/>
          <w:szCs w:val="24"/>
        </w:rPr>
        <w:t xml:space="preserve"> </w:t>
      </w:r>
      <w:r w:rsidRPr="00B67BA4">
        <w:rPr>
          <w:rFonts w:ascii="Times New Roman" w:hAnsi="Times New Roman" w:cs="Times New Roman"/>
          <w:sz w:val="24"/>
          <w:szCs w:val="24"/>
        </w:rPr>
        <w:t>obowiązującego rozwiązania z wymienionymi wcześniej dyrektywami w dodawanym w art. 68</w:t>
      </w:r>
      <w:r>
        <w:rPr>
          <w:rFonts w:ascii="Times New Roman" w:hAnsi="Times New Roman" w:cs="Times New Roman"/>
          <w:sz w:val="24"/>
          <w:szCs w:val="24"/>
        </w:rPr>
        <w:t xml:space="preserve"> </w:t>
      </w:r>
      <w:r w:rsidRPr="00B67BA4">
        <w:rPr>
          <w:rFonts w:ascii="Times New Roman" w:hAnsi="Times New Roman" w:cs="Times New Roman"/>
          <w:sz w:val="24"/>
          <w:szCs w:val="24"/>
        </w:rPr>
        <w:t>ust. 7</w:t>
      </w:r>
      <w:r w:rsidR="00892093">
        <w:rPr>
          <w:rFonts w:ascii="Times New Roman" w:hAnsi="Times New Roman" w:cs="Times New Roman"/>
          <w:sz w:val="24"/>
          <w:szCs w:val="24"/>
        </w:rPr>
        <w:t>,</w:t>
      </w:r>
      <w:r w:rsidRPr="00B67BA4">
        <w:rPr>
          <w:rFonts w:ascii="Times New Roman" w:hAnsi="Times New Roman" w:cs="Times New Roman"/>
          <w:sz w:val="24"/>
          <w:szCs w:val="24"/>
        </w:rPr>
        <w:t xml:space="preserve"> wskazano, iż depozytariusz w okresie wykonywania funkcji reprezentacji funduszu</w:t>
      </w:r>
      <w:r>
        <w:rPr>
          <w:rFonts w:ascii="Times New Roman" w:hAnsi="Times New Roman" w:cs="Times New Roman"/>
          <w:sz w:val="24"/>
          <w:szCs w:val="24"/>
        </w:rPr>
        <w:t xml:space="preserve"> </w:t>
      </w:r>
      <w:r w:rsidRPr="00B67BA4">
        <w:rPr>
          <w:rFonts w:ascii="Times New Roman" w:hAnsi="Times New Roman" w:cs="Times New Roman"/>
          <w:sz w:val="24"/>
          <w:szCs w:val="24"/>
        </w:rPr>
        <w:t>obowiązany jest do jej oddzielenia pod względem organizacyjnym i technicznym od</w:t>
      </w:r>
      <w:r>
        <w:rPr>
          <w:rFonts w:ascii="Times New Roman" w:hAnsi="Times New Roman" w:cs="Times New Roman"/>
          <w:sz w:val="24"/>
          <w:szCs w:val="24"/>
        </w:rPr>
        <w:t xml:space="preserve"> </w:t>
      </w:r>
      <w:r w:rsidRPr="00B67BA4">
        <w:rPr>
          <w:rFonts w:ascii="Times New Roman" w:hAnsi="Times New Roman" w:cs="Times New Roman"/>
          <w:sz w:val="24"/>
          <w:szCs w:val="24"/>
        </w:rPr>
        <w:t>wykonywania funkcji depozytariusza. Rozwiązanie to pozwoli na eliminację możliwych</w:t>
      </w:r>
      <w:r>
        <w:rPr>
          <w:rFonts w:ascii="Times New Roman" w:hAnsi="Times New Roman" w:cs="Times New Roman"/>
          <w:sz w:val="24"/>
          <w:szCs w:val="24"/>
        </w:rPr>
        <w:t xml:space="preserve"> </w:t>
      </w:r>
      <w:r w:rsidRPr="00B67BA4">
        <w:rPr>
          <w:rFonts w:ascii="Times New Roman" w:hAnsi="Times New Roman" w:cs="Times New Roman"/>
          <w:sz w:val="24"/>
          <w:szCs w:val="24"/>
        </w:rPr>
        <w:t>konfliktów interesów, gdzie w ramach tej samej komórki organizacyjnej dochodziłoby do</w:t>
      </w:r>
      <w:r>
        <w:rPr>
          <w:rFonts w:ascii="Times New Roman" w:hAnsi="Times New Roman" w:cs="Times New Roman"/>
          <w:sz w:val="24"/>
          <w:szCs w:val="24"/>
        </w:rPr>
        <w:t xml:space="preserve"> </w:t>
      </w:r>
      <w:r w:rsidRPr="00B67BA4">
        <w:rPr>
          <w:rFonts w:ascii="Times New Roman" w:hAnsi="Times New Roman" w:cs="Times New Roman"/>
          <w:sz w:val="24"/>
          <w:szCs w:val="24"/>
        </w:rPr>
        <w:t>kontroli wykonywanych przez nią funkcji. W związku z obowiązującym modelem reprezentacji</w:t>
      </w:r>
      <w:r>
        <w:rPr>
          <w:rFonts w:ascii="Times New Roman" w:hAnsi="Times New Roman" w:cs="Times New Roman"/>
          <w:sz w:val="24"/>
          <w:szCs w:val="24"/>
        </w:rPr>
        <w:t xml:space="preserve"> </w:t>
      </w:r>
      <w:r w:rsidRPr="00B67BA4">
        <w:rPr>
          <w:rFonts w:ascii="Times New Roman" w:hAnsi="Times New Roman" w:cs="Times New Roman"/>
          <w:sz w:val="24"/>
          <w:szCs w:val="24"/>
        </w:rPr>
        <w:t>funduszu przez depozytariusza w przypadku wydania decyzji o cofnięciu zezwolenia na</w:t>
      </w:r>
      <w:r>
        <w:rPr>
          <w:rFonts w:ascii="Times New Roman" w:hAnsi="Times New Roman" w:cs="Times New Roman"/>
          <w:sz w:val="24"/>
          <w:szCs w:val="24"/>
        </w:rPr>
        <w:t xml:space="preserve"> </w:t>
      </w:r>
      <w:r w:rsidRPr="00B67BA4">
        <w:rPr>
          <w:rFonts w:ascii="Times New Roman" w:hAnsi="Times New Roman" w:cs="Times New Roman"/>
          <w:sz w:val="24"/>
          <w:szCs w:val="24"/>
        </w:rPr>
        <w:t>wykonywanie działalności przez towarzystwo lub od dnia wygaśnięcia takiego zezwolenia</w:t>
      </w:r>
      <w:r>
        <w:rPr>
          <w:rFonts w:ascii="Times New Roman" w:hAnsi="Times New Roman" w:cs="Times New Roman"/>
          <w:sz w:val="24"/>
          <w:szCs w:val="24"/>
        </w:rPr>
        <w:t xml:space="preserve"> </w:t>
      </w:r>
      <w:r w:rsidRPr="00B67BA4">
        <w:rPr>
          <w:rFonts w:ascii="Times New Roman" w:hAnsi="Times New Roman" w:cs="Times New Roman"/>
          <w:sz w:val="24"/>
          <w:szCs w:val="24"/>
        </w:rPr>
        <w:t>dostosowano również przepisy dotyczące tajemnicy zawodowej. Zgodnie z projektem</w:t>
      </w:r>
      <w:r>
        <w:rPr>
          <w:rFonts w:ascii="Times New Roman" w:hAnsi="Times New Roman" w:cs="Times New Roman"/>
          <w:sz w:val="24"/>
          <w:szCs w:val="24"/>
        </w:rPr>
        <w:t xml:space="preserve"> </w:t>
      </w:r>
      <w:r w:rsidRPr="00B67BA4">
        <w:rPr>
          <w:rFonts w:ascii="Times New Roman" w:hAnsi="Times New Roman" w:cs="Times New Roman"/>
          <w:sz w:val="24"/>
          <w:szCs w:val="24"/>
        </w:rPr>
        <w:t>zwolnienie z tajemnicy zawodowej obowiązywać będzie zarówno w przypadku</w:t>
      </w:r>
      <w:r w:rsidR="00892093">
        <w:rPr>
          <w:rFonts w:ascii="Times New Roman" w:hAnsi="Times New Roman" w:cs="Times New Roman"/>
          <w:sz w:val="24"/>
          <w:szCs w:val="24"/>
        </w:rPr>
        <w:t>,</w:t>
      </w:r>
      <w:r w:rsidRPr="00B67BA4">
        <w:rPr>
          <w:rFonts w:ascii="Times New Roman" w:hAnsi="Times New Roman" w:cs="Times New Roman"/>
          <w:sz w:val="24"/>
          <w:szCs w:val="24"/>
        </w:rPr>
        <w:t xml:space="preserve"> gdy dokumenty</w:t>
      </w:r>
      <w:r>
        <w:rPr>
          <w:rFonts w:ascii="Times New Roman" w:hAnsi="Times New Roman" w:cs="Times New Roman"/>
          <w:sz w:val="24"/>
          <w:szCs w:val="24"/>
        </w:rPr>
        <w:t xml:space="preserve"> </w:t>
      </w:r>
      <w:r w:rsidRPr="00B67BA4">
        <w:rPr>
          <w:rFonts w:ascii="Times New Roman" w:hAnsi="Times New Roman" w:cs="Times New Roman"/>
          <w:sz w:val="24"/>
          <w:szCs w:val="24"/>
        </w:rPr>
        <w:t>dotyczące TFI, któremu cofnięto zezwolenie lub zezwolenie wygasło, są przekazywane</w:t>
      </w:r>
      <w:r>
        <w:rPr>
          <w:rFonts w:ascii="Times New Roman" w:hAnsi="Times New Roman" w:cs="Times New Roman"/>
          <w:sz w:val="24"/>
          <w:szCs w:val="24"/>
        </w:rPr>
        <w:t xml:space="preserve"> </w:t>
      </w:r>
      <w:r w:rsidRPr="00B67BA4">
        <w:rPr>
          <w:rFonts w:ascii="Times New Roman" w:hAnsi="Times New Roman" w:cs="Times New Roman"/>
          <w:sz w:val="24"/>
          <w:szCs w:val="24"/>
        </w:rPr>
        <w:t xml:space="preserve">depozytariuszowi, jak i gdy depozytariusz przekazuje dokumenty </w:t>
      </w:r>
      <w:r w:rsidRPr="00B67BA4">
        <w:rPr>
          <w:rFonts w:ascii="Times New Roman" w:hAnsi="Times New Roman" w:cs="Times New Roman"/>
          <w:sz w:val="24"/>
          <w:szCs w:val="24"/>
        </w:rPr>
        <w:lastRenderedPageBreak/>
        <w:t>towarzystwu, przejmując</w:t>
      </w:r>
      <w:r>
        <w:rPr>
          <w:rFonts w:ascii="Times New Roman" w:hAnsi="Times New Roman" w:cs="Times New Roman"/>
          <w:sz w:val="24"/>
          <w:szCs w:val="24"/>
        </w:rPr>
        <w:t xml:space="preserve"> </w:t>
      </w:r>
      <w:r w:rsidRPr="00B67BA4">
        <w:rPr>
          <w:rFonts w:ascii="Times New Roman" w:hAnsi="Times New Roman" w:cs="Times New Roman"/>
          <w:sz w:val="24"/>
          <w:szCs w:val="24"/>
        </w:rPr>
        <w:t>zarządzanie na podstawie art. 68 ust. 2 ustawy (dodawany ust. 3a i 3b w art. 282 nowelizowanej</w:t>
      </w:r>
      <w:r>
        <w:rPr>
          <w:rFonts w:ascii="Times New Roman" w:hAnsi="Times New Roman" w:cs="Times New Roman"/>
          <w:sz w:val="24"/>
          <w:szCs w:val="24"/>
        </w:rPr>
        <w:t xml:space="preserve"> </w:t>
      </w:r>
      <w:r w:rsidRPr="00B67BA4">
        <w:rPr>
          <w:rFonts w:ascii="Times New Roman" w:hAnsi="Times New Roman" w:cs="Times New Roman"/>
          <w:sz w:val="24"/>
          <w:szCs w:val="24"/>
        </w:rPr>
        <w:t>ustawy). Proponuje się również wprowadzenie przepisu sankcyjnego, pozwalającego na</w:t>
      </w:r>
      <w:r>
        <w:rPr>
          <w:rFonts w:ascii="Times New Roman" w:hAnsi="Times New Roman" w:cs="Times New Roman"/>
          <w:sz w:val="24"/>
          <w:szCs w:val="24"/>
        </w:rPr>
        <w:t xml:space="preserve"> </w:t>
      </w:r>
      <w:r w:rsidRPr="00B67BA4">
        <w:rPr>
          <w:rFonts w:ascii="Times New Roman" w:hAnsi="Times New Roman" w:cs="Times New Roman"/>
          <w:sz w:val="24"/>
          <w:szCs w:val="24"/>
        </w:rPr>
        <w:t>nałożenie kary pieniężnej na depozytariusza, za naruszenia przepisów przez fundusz</w:t>
      </w:r>
      <w:r>
        <w:rPr>
          <w:rFonts w:ascii="Times New Roman" w:hAnsi="Times New Roman" w:cs="Times New Roman"/>
          <w:sz w:val="24"/>
          <w:szCs w:val="24"/>
        </w:rPr>
        <w:t xml:space="preserve"> </w:t>
      </w:r>
      <w:r w:rsidRPr="00B67BA4">
        <w:rPr>
          <w:rFonts w:ascii="Times New Roman" w:hAnsi="Times New Roman" w:cs="Times New Roman"/>
          <w:sz w:val="24"/>
          <w:szCs w:val="24"/>
        </w:rPr>
        <w:t>inwestycyjny w okresie reprezentowania funduszu przez depozytariusza (dodawany art. 228</w:t>
      </w:r>
      <w:r>
        <w:rPr>
          <w:rFonts w:ascii="Times New Roman" w:hAnsi="Times New Roman" w:cs="Times New Roman"/>
          <w:sz w:val="24"/>
          <w:szCs w:val="24"/>
        </w:rPr>
        <w:t>a</w:t>
      </w:r>
      <w:r w:rsidRPr="00B67BA4">
        <w:rPr>
          <w:rFonts w:ascii="Times New Roman" w:hAnsi="Times New Roman" w:cs="Times New Roman"/>
          <w:sz w:val="24"/>
          <w:szCs w:val="24"/>
        </w:rPr>
        <w:t>)</w:t>
      </w:r>
      <w:r>
        <w:rPr>
          <w:rFonts w:ascii="Times New Roman" w:hAnsi="Times New Roman" w:cs="Times New Roman"/>
          <w:sz w:val="24"/>
          <w:szCs w:val="24"/>
        </w:rPr>
        <w:t>.</w:t>
      </w:r>
    </w:p>
    <w:p w:rsidR="00733A1A" w:rsidRPr="00067927" w:rsidRDefault="00733A1A" w:rsidP="008E7A41">
      <w:pPr>
        <w:spacing w:before="24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t>Obowiązki informacyjne</w:t>
      </w:r>
    </w:p>
    <w:p w:rsidR="00733A1A" w:rsidRPr="00D04BA0" w:rsidRDefault="00733A1A"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W zakresie obowiązków informacyjnych dotyczących FIO, projekt (zgodnie z art. 69 dyrektywy UCITS zmienionym dyrektywą UCITS V) przewiduje </w:t>
      </w:r>
      <w:r w:rsidR="00915D11" w:rsidRPr="00D04BA0">
        <w:rPr>
          <w:rFonts w:ascii="Times New Roman" w:hAnsi="Times New Roman" w:cs="Times New Roman"/>
          <w:sz w:val="24"/>
          <w:szCs w:val="24"/>
        </w:rPr>
        <w:t>wymóg uzupełnienia rocznego sprawozdania finansowego tego funduszu o dodatkową informację dotyczącą wynagrodzeń wypłaconych pracownikom TFI, a także polityki wy</w:t>
      </w:r>
      <w:r w:rsidR="00AE5FD4">
        <w:rPr>
          <w:rFonts w:ascii="Times New Roman" w:hAnsi="Times New Roman" w:cs="Times New Roman"/>
          <w:sz w:val="24"/>
          <w:szCs w:val="24"/>
        </w:rPr>
        <w:t>nagrodzeń (art. 219 ust.</w:t>
      </w:r>
      <w:r w:rsidR="00D14EF5">
        <w:rPr>
          <w:rFonts w:ascii="Times New Roman" w:hAnsi="Times New Roman" w:cs="Times New Roman"/>
          <w:sz w:val="24"/>
          <w:szCs w:val="24"/>
        </w:rPr>
        <w:t xml:space="preserve"> </w:t>
      </w:r>
      <w:r w:rsidR="00915D11" w:rsidRPr="00D04BA0">
        <w:rPr>
          <w:rFonts w:ascii="Times New Roman" w:hAnsi="Times New Roman" w:cs="Times New Roman"/>
          <w:sz w:val="24"/>
          <w:szCs w:val="24"/>
        </w:rPr>
        <w:t xml:space="preserve">1a ustawy). </w:t>
      </w:r>
      <w:r w:rsidR="000770E7" w:rsidRPr="00D04BA0">
        <w:rPr>
          <w:rFonts w:ascii="Times New Roman" w:hAnsi="Times New Roman" w:cs="Times New Roman"/>
          <w:sz w:val="24"/>
          <w:szCs w:val="24"/>
        </w:rPr>
        <w:t>Skrótowe i</w:t>
      </w:r>
      <w:r w:rsidR="00915D11" w:rsidRPr="00D04BA0">
        <w:rPr>
          <w:rFonts w:ascii="Times New Roman" w:hAnsi="Times New Roman" w:cs="Times New Roman"/>
          <w:sz w:val="24"/>
          <w:szCs w:val="24"/>
        </w:rPr>
        <w:t>nformacje dotyczące polityki wynagrodzeń, której obowiązek opracowania (jak wskazano wyżej) będzie dotyczyć TFI, będą także podawane w prospekcie informacyjnym FIO</w:t>
      </w:r>
      <w:r w:rsidR="000770E7" w:rsidRPr="00D04BA0">
        <w:rPr>
          <w:rFonts w:ascii="Times New Roman" w:hAnsi="Times New Roman" w:cs="Times New Roman"/>
          <w:sz w:val="24"/>
          <w:szCs w:val="24"/>
        </w:rPr>
        <w:t>, ponadto w dokumencie tym oraz</w:t>
      </w:r>
      <w:r w:rsidR="00915D11" w:rsidRPr="00D04BA0">
        <w:rPr>
          <w:rFonts w:ascii="Times New Roman" w:hAnsi="Times New Roman" w:cs="Times New Roman"/>
          <w:sz w:val="24"/>
          <w:szCs w:val="24"/>
        </w:rPr>
        <w:t xml:space="preserve"> kluczowych informacjach dla inwestorów </w:t>
      </w:r>
      <w:r w:rsidR="000770E7" w:rsidRPr="00D04BA0">
        <w:rPr>
          <w:rFonts w:ascii="Times New Roman" w:hAnsi="Times New Roman" w:cs="Times New Roman"/>
          <w:sz w:val="24"/>
          <w:szCs w:val="24"/>
        </w:rPr>
        <w:t xml:space="preserve">wskazywana będzie strona internetowa, na której polityka ta będzie udostępniona </w:t>
      </w:r>
      <w:r w:rsidR="00915D11" w:rsidRPr="00D04BA0">
        <w:rPr>
          <w:rFonts w:ascii="Times New Roman" w:hAnsi="Times New Roman" w:cs="Times New Roman"/>
          <w:sz w:val="24"/>
          <w:szCs w:val="24"/>
        </w:rPr>
        <w:t>(art. 220 ust. 1a i art. 220a ust. 2a ustawy).</w:t>
      </w:r>
    </w:p>
    <w:p w:rsidR="00915D11" w:rsidRPr="00D04BA0" w:rsidRDefault="00915D11"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Szersze zmiany obowiązków informacyjnych obejmują SFIO i FIZ</w:t>
      </w:r>
      <w:r w:rsidR="007E273A" w:rsidRPr="00D04BA0">
        <w:rPr>
          <w:rFonts w:ascii="Times New Roman" w:hAnsi="Times New Roman" w:cs="Times New Roman"/>
          <w:sz w:val="24"/>
          <w:szCs w:val="24"/>
        </w:rPr>
        <w:t xml:space="preserve"> (w związku</w:t>
      </w:r>
      <w:r w:rsidR="00D04BA0">
        <w:rPr>
          <w:rFonts w:ascii="Times New Roman" w:hAnsi="Times New Roman" w:cs="Times New Roman"/>
          <w:sz w:val="24"/>
          <w:szCs w:val="24"/>
        </w:rPr>
        <w:t xml:space="preserve"> </w:t>
      </w:r>
      <w:r w:rsidR="007E273A" w:rsidRPr="00D04BA0">
        <w:rPr>
          <w:rFonts w:ascii="Times New Roman" w:hAnsi="Times New Roman" w:cs="Times New Roman"/>
          <w:sz w:val="24"/>
          <w:szCs w:val="24"/>
        </w:rPr>
        <w:t>z dyrektywą ZAFI)</w:t>
      </w:r>
      <w:r w:rsidRPr="00D04BA0">
        <w:rPr>
          <w:rFonts w:ascii="Times New Roman" w:hAnsi="Times New Roman" w:cs="Times New Roman"/>
          <w:sz w:val="24"/>
          <w:szCs w:val="24"/>
        </w:rPr>
        <w:t xml:space="preserve">. Przede wszystkim </w:t>
      </w:r>
      <w:r w:rsidR="005A01EB" w:rsidRPr="00D04BA0">
        <w:rPr>
          <w:rFonts w:ascii="Times New Roman" w:hAnsi="Times New Roman" w:cs="Times New Roman"/>
          <w:sz w:val="24"/>
          <w:szCs w:val="24"/>
        </w:rPr>
        <w:t xml:space="preserve">w odniesieniu do tych </w:t>
      </w:r>
      <w:r w:rsidRPr="00D04BA0">
        <w:rPr>
          <w:rFonts w:ascii="Times New Roman" w:hAnsi="Times New Roman" w:cs="Times New Roman"/>
          <w:sz w:val="24"/>
          <w:szCs w:val="24"/>
        </w:rPr>
        <w:t>fundusz</w:t>
      </w:r>
      <w:r w:rsidR="005A01EB" w:rsidRPr="00D04BA0">
        <w:rPr>
          <w:rFonts w:ascii="Times New Roman" w:hAnsi="Times New Roman" w:cs="Times New Roman"/>
          <w:sz w:val="24"/>
          <w:szCs w:val="24"/>
        </w:rPr>
        <w:t>y</w:t>
      </w:r>
      <w:r w:rsidRPr="00D04BA0">
        <w:rPr>
          <w:rFonts w:ascii="Times New Roman" w:hAnsi="Times New Roman" w:cs="Times New Roman"/>
          <w:sz w:val="24"/>
          <w:szCs w:val="24"/>
        </w:rPr>
        <w:t xml:space="preserve"> – podobnie jak</w:t>
      </w:r>
      <w:r w:rsidR="00D04BA0">
        <w:rPr>
          <w:rFonts w:ascii="Times New Roman" w:hAnsi="Times New Roman" w:cs="Times New Roman"/>
          <w:sz w:val="24"/>
          <w:szCs w:val="24"/>
        </w:rPr>
        <w:t xml:space="preserve"> </w:t>
      </w:r>
      <w:r w:rsidR="005A01EB" w:rsidRPr="00D04BA0">
        <w:rPr>
          <w:rFonts w:ascii="Times New Roman" w:hAnsi="Times New Roman" w:cs="Times New Roman"/>
          <w:sz w:val="24"/>
          <w:szCs w:val="24"/>
        </w:rPr>
        <w:t xml:space="preserve">w odniesieniu do </w:t>
      </w:r>
      <w:r w:rsidRPr="00D04BA0">
        <w:rPr>
          <w:rFonts w:ascii="Times New Roman" w:hAnsi="Times New Roman" w:cs="Times New Roman"/>
          <w:sz w:val="24"/>
          <w:szCs w:val="24"/>
        </w:rPr>
        <w:t>inn</w:t>
      </w:r>
      <w:r w:rsidR="005A01EB" w:rsidRPr="00D04BA0">
        <w:rPr>
          <w:rFonts w:ascii="Times New Roman" w:hAnsi="Times New Roman" w:cs="Times New Roman"/>
          <w:sz w:val="24"/>
          <w:szCs w:val="24"/>
        </w:rPr>
        <w:t>ych</w:t>
      </w:r>
      <w:r w:rsidRPr="00D04BA0">
        <w:rPr>
          <w:rFonts w:ascii="Times New Roman" w:hAnsi="Times New Roman" w:cs="Times New Roman"/>
          <w:sz w:val="24"/>
          <w:szCs w:val="24"/>
        </w:rPr>
        <w:t xml:space="preserve"> fundusz</w:t>
      </w:r>
      <w:r w:rsidR="005A01EB" w:rsidRPr="00D04BA0">
        <w:rPr>
          <w:rFonts w:ascii="Times New Roman" w:hAnsi="Times New Roman" w:cs="Times New Roman"/>
          <w:sz w:val="24"/>
          <w:szCs w:val="24"/>
        </w:rPr>
        <w:t>y</w:t>
      </w:r>
      <w:r w:rsidRPr="00D04BA0">
        <w:rPr>
          <w:rFonts w:ascii="Times New Roman" w:hAnsi="Times New Roman" w:cs="Times New Roman"/>
          <w:sz w:val="24"/>
          <w:szCs w:val="24"/>
        </w:rPr>
        <w:t xml:space="preserve"> alternatywn</w:t>
      </w:r>
      <w:r w:rsidR="005A01EB" w:rsidRPr="00D04BA0">
        <w:rPr>
          <w:rFonts w:ascii="Times New Roman" w:hAnsi="Times New Roman" w:cs="Times New Roman"/>
          <w:sz w:val="24"/>
          <w:szCs w:val="24"/>
        </w:rPr>
        <w:t>ych</w:t>
      </w:r>
      <w:r w:rsidR="00884664" w:rsidRPr="00D04BA0">
        <w:rPr>
          <w:rFonts w:ascii="Times New Roman" w:hAnsi="Times New Roman" w:cs="Times New Roman"/>
          <w:sz w:val="24"/>
          <w:szCs w:val="24"/>
        </w:rPr>
        <w:t>, tj. alternatywnych spółek inwestycyjnych</w:t>
      </w:r>
      <w:r w:rsidR="00D04BA0">
        <w:rPr>
          <w:rFonts w:ascii="Times New Roman" w:hAnsi="Times New Roman" w:cs="Times New Roman"/>
          <w:sz w:val="24"/>
          <w:szCs w:val="24"/>
        </w:rPr>
        <w:t xml:space="preserve"> </w:t>
      </w:r>
      <w:r w:rsidR="00884664" w:rsidRPr="00D04BA0">
        <w:rPr>
          <w:rFonts w:ascii="Times New Roman" w:hAnsi="Times New Roman" w:cs="Times New Roman"/>
          <w:sz w:val="24"/>
          <w:szCs w:val="24"/>
        </w:rPr>
        <w:t>i unijnych AFI</w:t>
      </w:r>
      <w:r w:rsidRPr="00D04BA0">
        <w:rPr>
          <w:rFonts w:ascii="Times New Roman" w:hAnsi="Times New Roman" w:cs="Times New Roman"/>
          <w:sz w:val="24"/>
          <w:szCs w:val="24"/>
        </w:rPr>
        <w:t xml:space="preserve"> </w:t>
      </w:r>
      <w:r w:rsidR="005A01EB" w:rsidRPr="00D04BA0">
        <w:rPr>
          <w:rFonts w:ascii="Times New Roman" w:hAnsi="Times New Roman" w:cs="Times New Roman"/>
          <w:sz w:val="24"/>
          <w:szCs w:val="24"/>
        </w:rPr>
        <w:t xml:space="preserve">– projekt wprowadza obowiązek udostępniania przy zbywaniu jednostek uczestnictwa SFIO oraz emisji certyfikatów inwestycyjnych FIZ (przy wprowadzaniu do obrotu innych funduszy alternatywnych) szeregu informacji o funduszu i samej inwestycji (art. 222a ustawy). </w:t>
      </w:r>
      <w:r w:rsidR="00EE42E5" w:rsidRPr="00D04BA0">
        <w:rPr>
          <w:rFonts w:ascii="Times New Roman" w:hAnsi="Times New Roman" w:cs="Times New Roman"/>
          <w:sz w:val="24"/>
          <w:szCs w:val="24"/>
        </w:rPr>
        <w:t>Zgodnie z projektem informacje te będą mogły być prezentow</w:t>
      </w:r>
      <w:r w:rsidR="00DF5485">
        <w:rPr>
          <w:rFonts w:ascii="Times New Roman" w:hAnsi="Times New Roman" w:cs="Times New Roman"/>
          <w:sz w:val="24"/>
          <w:szCs w:val="24"/>
        </w:rPr>
        <w:t>an</w:t>
      </w:r>
      <w:r w:rsidR="00EE42E5" w:rsidRPr="00D04BA0">
        <w:rPr>
          <w:rFonts w:ascii="Times New Roman" w:hAnsi="Times New Roman" w:cs="Times New Roman"/>
          <w:sz w:val="24"/>
          <w:szCs w:val="24"/>
        </w:rPr>
        <w:t>e w formie</w:t>
      </w:r>
      <w:r w:rsidR="00D04BA0">
        <w:rPr>
          <w:rFonts w:ascii="Times New Roman" w:hAnsi="Times New Roman" w:cs="Times New Roman"/>
          <w:sz w:val="24"/>
          <w:szCs w:val="24"/>
        </w:rPr>
        <w:t xml:space="preserve"> </w:t>
      </w:r>
      <w:r w:rsidR="005A01EB" w:rsidRPr="00D04BA0">
        <w:rPr>
          <w:rFonts w:ascii="Times New Roman" w:hAnsi="Times New Roman" w:cs="Times New Roman"/>
          <w:sz w:val="24"/>
          <w:szCs w:val="24"/>
        </w:rPr>
        <w:t>ujednolicon</w:t>
      </w:r>
      <w:r w:rsidR="00EE42E5" w:rsidRPr="00D04BA0">
        <w:rPr>
          <w:rFonts w:ascii="Times New Roman" w:hAnsi="Times New Roman" w:cs="Times New Roman"/>
          <w:sz w:val="24"/>
          <w:szCs w:val="24"/>
        </w:rPr>
        <w:t>ego</w:t>
      </w:r>
      <w:r w:rsidR="005A01EB" w:rsidRPr="00D04BA0">
        <w:rPr>
          <w:rFonts w:ascii="Times New Roman" w:hAnsi="Times New Roman" w:cs="Times New Roman"/>
          <w:sz w:val="24"/>
          <w:szCs w:val="24"/>
        </w:rPr>
        <w:t xml:space="preserve"> dokumen</w:t>
      </w:r>
      <w:r w:rsidR="00EE42E5" w:rsidRPr="00D04BA0">
        <w:rPr>
          <w:rFonts w:ascii="Times New Roman" w:hAnsi="Times New Roman" w:cs="Times New Roman"/>
          <w:sz w:val="24"/>
          <w:szCs w:val="24"/>
        </w:rPr>
        <w:t>tu</w:t>
      </w:r>
      <w:r w:rsidR="005A01EB" w:rsidRPr="00D04BA0">
        <w:rPr>
          <w:rFonts w:ascii="Times New Roman" w:hAnsi="Times New Roman" w:cs="Times New Roman"/>
          <w:sz w:val="24"/>
          <w:szCs w:val="24"/>
        </w:rPr>
        <w:t xml:space="preserve">, tj. informacji dla klienta alternatywnego funduszu inwestycyjnego </w:t>
      </w:r>
      <w:r w:rsidR="00EE42E5" w:rsidRPr="00D04BA0">
        <w:rPr>
          <w:rFonts w:ascii="Times New Roman" w:hAnsi="Times New Roman" w:cs="Times New Roman"/>
          <w:sz w:val="24"/>
          <w:szCs w:val="24"/>
        </w:rPr>
        <w:t xml:space="preserve">albo przez zamieszczenie ich w </w:t>
      </w:r>
      <w:r w:rsidR="006501FC" w:rsidRPr="00D04BA0">
        <w:rPr>
          <w:rFonts w:ascii="Times New Roman" w:hAnsi="Times New Roman" w:cs="Times New Roman"/>
          <w:iCs/>
          <w:sz w:val="24"/>
          <w:szCs w:val="24"/>
        </w:rPr>
        <w:t>prospekcie informacyjnym w przypadku SFIO albo prospekcie emisyjnym (w przypadku FIZ) albo warunkach emisji (w przypadku FIZ niepublicznego)</w:t>
      </w:r>
      <w:r w:rsidR="00810C6E" w:rsidRPr="00D04BA0">
        <w:rPr>
          <w:rFonts w:ascii="Times New Roman" w:hAnsi="Times New Roman" w:cs="Times New Roman"/>
          <w:sz w:val="24"/>
          <w:szCs w:val="24"/>
        </w:rPr>
        <w:t xml:space="preserve"> </w:t>
      </w:r>
      <w:r w:rsidR="001D37A6">
        <w:rPr>
          <w:rFonts w:ascii="Times New Roman" w:hAnsi="Times New Roman" w:cs="Times New Roman"/>
          <w:sz w:val="24"/>
          <w:szCs w:val="24"/>
        </w:rPr>
        <w:t>–</w:t>
      </w:r>
      <w:r w:rsidR="00810C6E" w:rsidRPr="00D04BA0">
        <w:rPr>
          <w:rFonts w:ascii="Times New Roman" w:hAnsi="Times New Roman" w:cs="Times New Roman"/>
          <w:sz w:val="24"/>
          <w:szCs w:val="24"/>
        </w:rPr>
        <w:t xml:space="preserve"> </w:t>
      </w:r>
      <w:r w:rsidR="00810C6E" w:rsidRPr="00D04BA0">
        <w:rPr>
          <w:rFonts w:ascii="Times New Roman" w:hAnsi="Times New Roman" w:cs="Times New Roman"/>
          <w:iCs/>
          <w:sz w:val="24"/>
          <w:szCs w:val="24"/>
        </w:rPr>
        <w:t>(art. 222a ust. 6 i 7 ustawy)</w:t>
      </w:r>
      <w:r w:rsidR="006501FC" w:rsidRPr="00D04BA0">
        <w:rPr>
          <w:rFonts w:ascii="Times New Roman" w:hAnsi="Times New Roman" w:cs="Times New Roman"/>
          <w:iCs/>
          <w:sz w:val="24"/>
          <w:szCs w:val="24"/>
        </w:rPr>
        <w:t xml:space="preserve">. </w:t>
      </w:r>
      <w:r w:rsidR="00810C6E" w:rsidRPr="00D04BA0">
        <w:rPr>
          <w:rFonts w:ascii="Times New Roman" w:hAnsi="Times New Roman" w:cs="Times New Roman"/>
          <w:iCs/>
          <w:sz w:val="24"/>
          <w:szCs w:val="24"/>
        </w:rPr>
        <w:t xml:space="preserve">W projekcie przyjęto również, iż SFIO, pomimo zaklasyfikowania ich do alternatywnych funduszy inwestycyjnych, w dalszym ciągu udostępniać będą przy zbywaniu jednostek uczestnictwa kluczowe informacje dla inwestorów. </w:t>
      </w:r>
      <w:r w:rsidR="00C06264" w:rsidRPr="00D04BA0">
        <w:rPr>
          <w:rFonts w:ascii="Times New Roman" w:hAnsi="Times New Roman" w:cs="Times New Roman"/>
          <w:iCs/>
          <w:sz w:val="24"/>
          <w:szCs w:val="24"/>
        </w:rPr>
        <w:t>U</w:t>
      </w:r>
      <w:r w:rsidR="004F1129" w:rsidRPr="00D04BA0">
        <w:rPr>
          <w:rFonts w:ascii="Times New Roman" w:hAnsi="Times New Roman" w:cs="Times New Roman"/>
          <w:iCs/>
          <w:sz w:val="24"/>
          <w:szCs w:val="24"/>
        </w:rPr>
        <w:t>znano bowiem, iż z</w:t>
      </w:r>
      <w:r w:rsidR="00B57E01" w:rsidRPr="00D04BA0">
        <w:rPr>
          <w:rFonts w:ascii="Times New Roman" w:hAnsi="Times New Roman" w:cs="Times New Roman"/>
          <w:iCs/>
          <w:sz w:val="24"/>
          <w:szCs w:val="24"/>
        </w:rPr>
        <w:t xml:space="preserve">e względu na zbliżony charakter tych funduszy do FIO rezygnacja z udostępniania dokumentu kluczowych informacji dla inwestorów ograniczy inwestorom porównywalność SFIO i </w:t>
      </w:r>
      <w:r w:rsidR="00B57E01" w:rsidRPr="00D04BA0">
        <w:rPr>
          <w:rFonts w:ascii="Times New Roman" w:hAnsi="Times New Roman" w:cs="Times New Roman"/>
          <w:iCs/>
          <w:sz w:val="24"/>
          <w:szCs w:val="24"/>
        </w:rPr>
        <w:lastRenderedPageBreak/>
        <w:t xml:space="preserve">FIO, co może wpłynąć na zmniejszenie </w:t>
      </w:r>
      <w:r w:rsidR="00AA1459" w:rsidRPr="00D04BA0">
        <w:rPr>
          <w:rFonts w:ascii="Times New Roman" w:hAnsi="Times New Roman" w:cs="Times New Roman"/>
          <w:iCs/>
          <w:sz w:val="24"/>
          <w:szCs w:val="24"/>
        </w:rPr>
        <w:t xml:space="preserve">zainteresowania </w:t>
      </w:r>
      <w:r w:rsidR="00B57E01" w:rsidRPr="00D04BA0">
        <w:rPr>
          <w:rFonts w:ascii="Times New Roman" w:hAnsi="Times New Roman" w:cs="Times New Roman"/>
          <w:iCs/>
          <w:sz w:val="24"/>
          <w:szCs w:val="24"/>
        </w:rPr>
        <w:t>SFIO wśród inwestorów</w:t>
      </w:r>
      <w:r w:rsidR="00AA1459" w:rsidRPr="00D04BA0">
        <w:rPr>
          <w:rFonts w:ascii="Times New Roman" w:hAnsi="Times New Roman" w:cs="Times New Roman"/>
          <w:iCs/>
          <w:sz w:val="24"/>
          <w:szCs w:val="24"/>
        </w:rPr>
        <w:t xml:space="preserve"> detalicznych</w:t>
      </w:r>
      <w:r w:rsidR="00B57E01" w:rsidRPr="00D04BA0">
        <w:rPr>
          <w:rFonts w:ascii="Times New Roman" w:hAnsi="Times New Roman" w:cs="Times New Roman"/>
          <w:iCs/>
          <w:sz w:val="24"/>
          <w:szCs w:val="24"/>
        </w:rPr>
        <w:t xml:space="preserve">. </w:t>
      </w:r>
    </w:p>
    <w:p w:rsidR="00713729" w:rsidRPr="00D04BA0" w:rsidRDefault="00884664"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Nowe obowiązki w odniesieniu do SFIO</w:t>
      </w:r>
      <w:r w:rsidR="005A4F8B" w:rsidRPr="00D04BA0">
        <w:rPr>
          <w:rFonts w:ascii="Times New Roman" w:hAnsi="Times New Roman" w:cs="Times New Roman"/>
          <w:sz w:val="24"/>
          <w:szCs w:val="24"/>
        </w:rPr>
        <w:t xml:space="preserve"> i</w:t>
      </w:r>
      <w:r w:rsidRPr="00D04BA0">
        <w:rPr>
          <w:rFonts w:ascii="Times New Roman" w:hAnsi="Times New Roman" w:cs="Times New Roman"/>
          <w:sz w:val="24"/>
          <w:szCs w:val="24"/>
        </w:rPr>
        <w:t xml:space="preserve"> FIZ</w:t>
      </w:r>
      <w:r w:rsidR="005A4F8B" w:rsidRPr="00D04BA0">
        <w:rPr>
          <w:rFonts w:ascii="Times New Roman" w:hAnsi="Times New Roman" w:cs="Times New Roman"/>
          <w:sz w:val="24"/>
          <w:szCs w:val="24"/>
        </w:rPr>
        <w:t xml:space="preserve"> a także</w:t>
      </w:r>
      <w:r w:rsidRPr="00D04BA0">
        <w:rPr>
          <w:rFonts w:ascii="Times New Roman" w:hAnsi="Times New Roman" w:cs="Times New Roman"/>
          <w:sz w:val="24"/>
          <w:szCs w:val="24"/>
        </w:rPr>
        <w:t xml:space="preserve"> alternatywnych spółek inwestycyjnych i unijnych AFI obejmują też informowanie uczestników (inwestorów)</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o kwestiach zarządzania płynnością i zarządzania ryzykiem </w:t>
      </w:r>
      <w:r w:rsidR="0067019B" w:rsidRPr="00D04BA0">
        <w:rPr>
          <w:rFonts w:ascii="Times New Roman" w:hAnsi="Times New Roman" w:cs="Times New Roman"/>
          <w:sz w:val="24"/>
          <w:szCs w:val="24"/>
        </w:rPr>
        <w:t xml:space="preserve">oraz o kwestiach związanych ze stosowaniem dźwigni finansowej </w:t>
      </w:r>
      <w:r w:rsidRPr="00D04BA0">
        <w:rPr>
          <w:rFonts w:ascii="Times New Roman" w:hAnsi="Times New Roman" w:cs="Times New Roman"/>
          <w:sz w:val="24"/>
          <w:szCs w:val="24"/>
        </w:rPr>
        <w:t xml:space="preserve">(art. </w:t>
      </w:r>
      <w:r w:rsidR="0067019B" w:rsidRPr="00D04BA0">
        <w:rPr>
          <w:rFonts w:ascii="Times New Roman" w:hAnsi="Times New Roman" w:cs="Times New Roman"/>
          <w:sz w:val="24"/>
          <w:szCs w:val="24"/>
        </w:rPr>
        <w:t>222b ustawy) oraz składanie KNF sprawozdań dotyczących zarówno ww. kwestii, jak i działalności inwestycyjnej (art. 222c ustawy).</w:t>
      </w:r>
      <w:r w:rsidR="00D04BA0">
        <w:rPr>
          <w:rFonts w:ascii="Times New Roman" w:hAnsi="Times New Roman" w:cs="Times New Roman"/>
          <w:sz w:val="24"/>
          <w:szCs w:val="24"/>
        </w:rPr>
        <w:t xml:space="preserve"> </w:t>
      </w:r>
      <w:r w:rsidR="0067019B" w:rsidRPr="00D04BA0">
        <w:rPr>
          <w:rFonts w:ascii="Times New Roman" w:hAnsi="Times New Roman" w:cs="Times New Roman"/>
          <w:sz w:val="24"/>
          <w:szCs w:val="24"/>
        </w:rPr>
        <w:t>W odniesieniu do tej grupy podmiotów projekt wprowadza również wymóg sporządzania</w:t>
      </w:r>
      <w:r w:rsidR="00D04BA0">
        <w:rPr>
          <w:rFonts w:ascii="Times New Roman" w:hAnsi="Times New Roman" w:cs="Times New Roman"/>
          <w:sz w:val="24"/>
          <w:szCs w:val="24"/>
        </w:rPr>
        <w:t xml:space="preserve"> </w:t>
      </w:r>
      <w:r w:rsidR="0067019B" w:rsidRPr="00D04BA0">
        <w:rPr>
          <w:rFonts w:ascii="Times New Roman" w:hAnsi="Times New Roman" w:cs="Times New Roman"/>
          <w:sz w:val="24"/>
          <w:szCs w:val="24"/>
        </w:rPr>
        <w:t>i udostępniania KNF oraz uczestnikom (inwestorom) tzw. sprawozdań rocznych AFI</w:t>
      </w:r>
      <w:r w:rsidR="00D04BA0">
        <w:rPr>
          <w:rFonts w:ascii="Times New Roman" w:hAnsi="Times New Roman" w:cs="Times New Roman"/>
          <w:sz w:val="24"/>
          <w:szCs w:val="24"/>
        </w:rPr>
        <w:t xml:space="preserve"> </w:t>
      </w:r>
      <w:r w:rsidR="00AE5FD4">
        <w:rPr>
          <w:rFonts w:ascii="Times New Roman" w:hAnsi="Times New Roman" w:cs="Times New Roman"/>
          <w:sz w:val="24"/>
          <w:szCs w:val="24"/>
        </w:rPr>
        <w:t>(art.</w:t>
      </w:r>
      <w:r w:rsidR="00D14EF5">
        <w:rPr>
          <w:rFonts w:ascii="Times New Roman" w:hAnsi="Times New Roman" w:cs="Times New Roman"/>
          <w:sz w:val="24"/>
          <w:szCs w:val="24"/>
        </w:rPr>
        <w:t xml:space="preserve"> </w:t>
      </w:r>
      <w:r w:rsidR="0067019B" w:rsidRPr="00D04BA0">
        <w:rPr>
          <w:rFonts w:ascii="Times New Roman" w:hAnsi="Times New Roman" w:cs="Times New Roman"/>
          <w:sz w:val="24"/>
          <w:szCs w:val="24"/>
        </w:rPr>
        <w:t xml:space="preserve">222d ustawy). Są to sprawozdania zawierające </w:t>
      </w:r>
      <w:r w:rsidR="001D2F3F" w:rsidRPr="00D04BA0">
        <w:rPr>
          <w:rFonts w:ascii="Times New Roman" w:hAnsi="Times New Roman" w:cs="Times New Roman"/>
          <w:sz w:val="24"/>
          <w:szCs w:val="24"/>
        </w:rPr>
        <w:t>szereg informacji odnoszących się do działalności prowadzonej w minionym roku przez fundusz, w których skład wchodzą</w:t>
      </w:r>
      <w:r w:rsidR="00D04BA0">
        <w:rPr>
          <w:rFonts w:ascii="Times New Roman" w:hAnsi="Times New Roman" w:cs="Times New Roman"/>
          <w:sz w:val="24"/>
          <w:szCs w:val="24"/>
        </w:rPr>
        <w:t xml:space="preserve"> </w:t>
      </w:r>
      <w:r w:rsidR="0067019B" w:rsidRPr="00D04BA0">
        <w:rPr>
          <w:rFonts w:ascii="Times New Roman" w:hAnsi="Times New Roman" w:cs="Times New Roman"/>
          <w:sz w:val="24"/>
          <w:szCs w:val="24"/>
        </w:rPr>
        <w:t>roczn</w:t>
      </w:r>
      <w:r w:rsidR="001D2F3F" w:rsidRPr="00D04BA0">
        <w:rPr>
          <w:rFonts w:ascii="Times New Roman" w:hAnsi="Times New Roman" w:cs="Times New Roman"/>
          <w:sz w:val="24"/>
          <w:szCs w:val="24"/>
        </w:rPr>
        <w:t>e</w:t>
      </w:r>
      <w:r w:rsidR="0067019B" w:rsidRPr="00D04BA0">
        <w:rPr>
          <w:rFonts w:ascii="Times New Roman" w:hAnsi="Times New Roman" w:cs="Times New Roman"/>
          <w:sz w:val="24"/>
          <w:szCs w:val="24"/>
        </w:rPr>
        <w:t xml:space="preserve"> sprawozdani</w:t>
      </w:r>
      <w:r w:rsidR="001D2F3F" w:rsidRPr="00D04BA0">
        <w:rPr>
          <w:rFonts w:ascii="Times New Roman" w:hAnsi="Times New Roman" w:cs="Times New Roman"/>
          <w:sz w:val="24"/>
          <w:szCs w:val="24"/>
        </w:rPr>
        <w:t>a</w:t>
      </w:r>
      <w:r w:rsidR="0067019B" w:rsidRPr="00D04BA0">
        <w:rPr>
          <w:rFonts w:ascii="Times New Roman" w:hAnsi="Times New Roman" w:cs="Times New Roman"/>
          <w:sz w:val="24"/>
          <w:szCs w:val="24"/>
        </w:rPr>
        <w:t xml:space="preserve"> finansow</w:t>
      </w:r>
      <w:r w:rsidR="001D2F3F" w:rsidRPr="00D04BA0">
        <w:rPr>
          <w:rFonts w:ascii="Times New Roman" w:hAnsi="Times New Roman" w:cs="Times New Roman"/>
          <w:sz w:val="24"/>
          <w:szCs w:val="24"/>
        </w:rPr>
        <w:t>e</w:t>
      </w:r>
      <w:r w:rsidR="0067019B" w:rsidRPr="00D04BA0">
        <w:rPr>
          <w:rFonts w:ascii="Times New Roman" w:hAnsi="Times New Roman" w:cs="Times New Roman"/>
          <w:sz w:val="24"/>
          <w:szCs w:val="24"/>
        </w:rPr>
        <w:t xml:space="preserve"> fundusz</w:t>
      </w:r>
      <w:r w:rsidR="001D2F3F" w:rsidRPr="00D04BA0">
        <w:rPr>
          <w:rFonts w:ascii="Times New Roman" w:hAnsi="Times New Roman" w:cs="Times New Roman"/>
          <w:sz w:val="24"/>
          <w:szCs w:val="24"/>
        </w:rPr>
        <w:t>y</w:t>
      </w:r>
      <w:r w:rsidR="0067019B" w:rsidRPr="00D04BA0">
        <w:rPr>
          <w:rFonts w:ascii="Times New Roman" w:hAnsi="Times New Roman" w:cs="Times New Roman"/>
          <w:sz w:val="24"/>
          <w:szCs w:val="24"/>
        </w:rPr>
        <w:t xml:space="preserve"> czy spół</w:t>
      </w:r>
      <w:r w:rsidR="001D2F3F" w:rsidRPr="00D04BA0">
        <w:rPr>
          <w:rFonts w:ascii="Times New Roman" w:hAnsi="Times New Roman" w:cs="Times New Roman"/>
          <w:sz w:val="24"/>
          <w:szCs w:val="24"/>
        </w:rPr>
        <w:t>e</w:t>
      </w:r>
      <w:r w:rsidR="0067019B" w:rsidRPr="00D04BA0">
        <w:rPr>
          <w:rFonts w:ascii="Times New Roman" w:hAnsi="Times New Roman" w:cs="Times New Roman"/>
          <w:sz w:val="24"/>
          <w:szCs w:val="24"/>
        </w:rPr>
        <w:t>k</w:t>
      </w:r>
      <w:r w:rsidR="001D2F3F" w:rsidRPr="00D04BA0">
        <w:rPr>
          <w:rFonts w:ascii="Times New Roman" w:hAnsi="Times New Roman" w:cs="Times New Roman"/>
          <w:sz w:val="24"/>
          <w:szCs w:val="24"/>
        </w:rPr>
        <w:t>.</w:t>
      </w:r>
      <w:r w:rsidR="0067019B" w:rsidRPr="00D04BA0">
        <w:rPr>
          <w:rFonts w:ascii="Times New Roman" w:hAnsi="Times New Roman" w:cs="Times New Roman"/>
          <w:sz w:val="24"/>
          <w:szCs w:val="24"/>
        </w:rPr>
        <w:t xml:space="preserve"> </w:t>
      </w:r>
      <w:r w:rsidR="001D2F3F" w:rsidRPr="00D04BA0">
        <w:rPr>
          <w:rFonts w:ascii="Times New Roman" w:hAnsi="Times New Roman" w:cs="Times New Roman"/>
          <w:sz w:val="24"/>
          <w:szCs w:val="24"/>
        </w:rPr>
        <w:t xml:space="preserve">W ocenie projektodawcy za przyjętym rozwiązaniem przemawia fakt, iż dążenie, w przypadku funduszy SFIO i FIZ, do zrównania zakresu informacyjnego rocznego sprawozdania finansowego z rocznym sprawozdaniem finansowym, w konsekwencji musiałoby prowadzić do zmian w zasadach rachunkowości SFIO i FIZ, co z kolei prowadziłoby do braku porównywalności </w:t>
      </w:r>
      <w:r w:rsidR="00713729" w:rsidRPr="00D04BA0">
        <w:rPr>
          <w:rFonts w:ascii="Times New Roman" w:hAnsi="Times New Roman" w:cs="Times New Roman"/>
          <w:sz w:val="24"/>
          <w:szCs w:val="24"/>
        </w:rPr>
        <w:t xml:space="preserve">sprawozdań finansowych tych funduszy z FIO. Ponadto, określenie zasad sporządzania rocznych sprawozdań finansowych i sprawozdań rocznych w przypadku ASI mogłoby generować poważne trudności, ze względu na fakt, iż ASI będą mogły funkcjonować zarówno jako spółka publiczna (będąc tym samym zobowiązanymi do stosowania MSR/MSSF przy prowadzeniu rachunkowości i sporządzaniu sprawozdań finansowych), jak też jako spółka niepubliczna (co implikuje możliwość stosowania przepisów ustawy o rachunkowości lub MSR). Proponowane rozwiązanie polegające na załączaniu sprawozdań finansowych do sprawozdań rocznych AFI jest zatem rozwiązaniem elastycznym pozwalającym na uniknięcie zbędnych ingerencji w utrwalony ład regulacyjny, a w tym konkretnym przypadku w przepisy o rachunkowości. Przyjęte rozwiązanie znajduje również potwierdzenie na gruncie przepisów rozporządzeń 345/2013 </w:t>
      </w:r>
      <w:r w:rsidR="006C36B8" w:rsidRPr="00D04BA0">
        <w:rPr>
          <w:rFonts w:ascii="Times New Roman" w:hAnsi="Times New Roman" w:cs="Times New Roman"/>
          <w:sz w:val="24"/>
          <w:szCs w:val="24"/>
        </w:rPr>
        <w:t xml:space="preserve">i </w:t>
      </w:r>
      <w:r w:rsidR="00713729" w:rsidRPr="00D04BA0">
        <w:rPr>
          <w:rFonts w:ascii="Times New Roman" w:hAnsi="Times New Roman" w:cs="Times New Roman"/>
          <w:sz w:val="24"/>
          <w:szCs w:val="24"/>
        </w:rPr>
        <w:t>346/2013.</w:t>
      </w:r>
      <w:r w:rsidR="006C36B8" w:rsidRPr="00D04BA0">
        <w:rPr>
          <w:rFonts w:ascii="Times New Roman" w:hAnsi="Times New Roman" w:cs="Times New Roman"/>
          <w:sz w:val="24"/>
          <w:szCs w:val="24"/>
        </w:rPr>
        <w:t xml:space="preserve"> </w:t>
      </w:r>
      <w:r w:rsidR="00713729" w:rsidRPr="00D04BA0">
        <w:rPr>
          <w:rFonts w:ascii="Times New Roman" w:hAnsi="Times New Roman" w:cs="Times New Roman"/>
          <w:sz w:val="24"/>
          <w:szCs w:val="24"/>
        </w:rPr>
        <w:t xml:space="preserve">Zgodnie z treścią art. 12 rozporządzenia </w:t>
      </w:r>
      <w:r w:rsidR="006C36B8" w:rsidRPr="00D04BA0">
        <w:rPr>
          <w:rFonts w:ascii="Times New Roman" w:hAnsi="Times New Roman" w:cs="Times New Roman"/>
          <w:sz w:val="24"/>
          <w:szCs w:val="24"/>
        </w:rPr>
        <w:t>345/2013</w:t>
      </w:r>
      <w:r w:rsidR="00713729" w:rsidRPr="00D04BA0">
        <w:rPr>
          <w:rFonts w:ascii="Times New Roman" w:hAnsi="Times New Roman" w:cs="Times New Roman"/>
          <w:sz w:val="24"/>
          <w:szCs w:val="24"/>
        </w:rPr>
        <w:t xml:space="preserve"> zarządzający kwalifikowanymi funduszami </w:t>
      </w:r>
      <w:r w:rsidR="00713729" w:rsidRPr="00AE5FD4">
        <w:rPr>
          <w:rFonts w:ascii="Times New Roman" w:hAnsi="Times New Roman" w:cs="Times New Roman"/>
          <w:sz w:val="24"/>
          <w:szCs w:val="24"/>
        </w:rPr>
        <w:t>venture capital</w:t>
      </w:r>
      <w:r w:rsidR="00713729" w:rsidRPr="00D04BA0">
        <w:rPr>
          <w:rFonts w:ascii="Times New Roman" w:hAnsi="Times New Roman" w:cs="Times New Roman"/>
          <w:sz w:val="24"/>
          <w:szCs w:val="24"/>
        </w:rPr>
        <w:t xml:space="preserve"> udostępniają właściwym organom państwa członkowskiego sprawozdania roczne w odniesieniu do każdego kwalifikowalnego funduszu </w:t>
      </w:r>
      <w:r w:rsidR="00713729" w:rsidRPr="00AE5FD4">
        <w:rPr>
          <w:rFonts w:ascii="Times New Roman" w:hAnsi="Times New Roman" w:cs="Times New Roman"/>
          <w:sz w:val="24"/>
          <w:szCs w:val="24"/>
        </w:rPr>
        <w:t>venture capital</w:t>
      </w:r>
      <w:r w:rsidR="00713729" w:rsidRPr="00D04BA0">
        <w:rPr>
          <w:rFonts w:ascii="Times New Roman" w:hAnsi="Times New Roman" w:cs="Times New Roman"/>
          <w:sz w:val="24"/>
          <w:szCs w:val="24"/>
        </w:rPr>
        <w:t xml:space="preserve"> którym zarządzają. W skład sprawozdania rocznego wchodzi szereg informacji odnoszących się do działalności prowadzonej w minionym roku przez fundusz. Jednocześnie przepis ten </w:t>
      </w:r>
      <w:r w:rsidR="00713729" w:rsidRPr="00D04BA0">
        <w:rPr>
          <w:rFonts w:ascii="Times New Roman" w:hAnsi="Times New Roman" w:cs="Times New Roman"/>
          <w:sz w:val="24"/>
          <w:szCs w:val="24"/>
        </w:rPr>
        <w:lastRenderedPageBreak/>
        <w:t xml:space="preserve">stanowi, iż sprawozdanie roczne zawiera zbadane sprawozdanie finansowe ww. funduszu. Analogiczny przepis znajduje się również w art. 13 rozporządzenia </w:t>
      </w:r>
      <w:r w:rsidR="006C36B8" w:rsidRPr="00D04BA0">
        <w:rPr>
          <w:rFonts w:ascii="Times New Roman" w:hAnsi="Times New Roman" w:cs="Times New Roman"/>
          <w:sz w:val="24"/>
          <w:szCs w:val="24"/>
        </w:rPr>
        <w:t>346/2013</w:t>
      </w:r>
      <w:r w:rsidR="00713729" w:rsidRPr="00D04BA0">
        <w:rPr>
          <w:rFonts w:ascii="Times New Roman" w:hAnsi="Times New Roman" w:cs="Times New Roman"/>
          <w:sz w:val="24"/>
          <w:szCs w:val="24"/>
        </w:rPr>
        <w:t>.</w:t>
      </w:r>
    </w:p>
    <w:p w:rsidR="00884664" w:rsidRPr="00D04BA0" w:rsidRDefault="00815ABE"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zakresie obowiązków sprawozdawczych</w:t>
      </w:r>
      <w:r w:rsidR="00FF3F99" w:rsidRPr="00D04BA0">
        <w:rPr>
          <w:rFonts w:ascii="Times New Roman" w:hAnsi="Times New Roman" w:cs="Times New Roman"/>
          <w:sz w:val="24"/>
          <w:szCs w:val="24"/>
        </w:rPr>
        <w:t xml:space="preserve"> należy </w:t>
      </w:r>
      <w:r w:rsidRPr="00D04BA0">
        <w:rPr>
          <w:rFonts w:ascii="Times New Roman" w:hAnsi="Times New Roman" w:cs="Times New Roman"/>
          <w:sz w:val="24"/>
          <w:szCs w:val="24"/>
        </w:rPr>
        <w:t xml:space="preserve">również </w:t>
      </w:r>
      <w:r w:rsidR="00FF3F99" w:rsidRPr="00D04BA0">
        <w:rPr>
          <w:rFonts w:ascii="Times New Roman" w:hAnsi="Times New Roman" w:cs="Times New Roman"/>
          <w:sz w:val="24"/>
          <w:szCs w:val="24"/>
        </w:rPr>
        <w:t>zaznaczyć, że projekt prz</w:t>
      </w:r>
      <w:r w:rsidR="008877F3" w:rsidRPr="00D04BA0">
        <w:rPr>
          <w:rFonts w:ascii="Times New Roman" w:hAnsi="Times New Roman" w:cs="Times New Roman"/>
          <w:sz w:val="24"/>
          <w:szCs w:val="24"/>
        </w:rPr>
        <w:t xml:space="preserve">ewiduje </w:t>
      </w:r>
      <w:r w:rsidRPr="00D04BA0">
        <w:rPr>
          <w:rFonts w:ascii="Times New Roman" w:hAnsi="Times New Roman" w:cs="Times New Roman"/>
          <w:sz w:val="24"/>
          <w:szCs w:val="24"/>
        </w:rPr>
        <w:t>także</w:t>
      </w:r>
      <w:r w:rsidR="008877F3" w:rsidRPr="00D04BA0">
        <w:rPr>
          <w:rFonts w:ascii="Times New Roman" w:hAnsi="Times New Roman" w:cs="Times New Roman"/>
          <w:sz w:val="24"/>
          <w:szCs w:val="24"/>
        </w:rPr>
        <w:t xml:space="preserve"> zmiany w ustawie o rachunkowości (w tym obowiązek sporządzania sprawozdań z działalności </w:t>
      </w:r>
      <w:r w:rsidR="00CB2043" w:rsidRPr="00D04BA0">
        <w:rPr>
          <w:rFonts w:ascii="Times New Roman" w:hAnsi="Times New Roman" w:cs="Times New Roman"/>
          <w:sz w:val="24"/>
          <w:szCs w:val="24"/>
        </w:rPr>
        <w:t>alternatywnych funduszy inwestycyjnych</w:t>
      </w:r>
      <w:r w:rsidR="005A4F8B" w:rsidRPr="00D04BA0">
        <w:rPr>
          <w:rFonts w:ascii="Times New Roman" w:hAnsi="Times New Roman" w:cs="Times New Roman"/>
          <w:sz w:val="24"/>
          <w:szCs w:val="24"/>
        </w:rPr>
        <w:t xml:space="preserve"> oraz </w:t>
      </w:r>
      <w:r w:rsidR="007E273A" w:rsidRPr="00D04BA0">
        <w:rPr>
          <w:rFonts w:ascii="Times New Roman" w:hAnsi="Times New Roman" w:cs="Times New Roman"/>
          <w:sz w:val="24"/>
          <w:szCs w:val="24"/>
        </w:rPr>
        <w:t xml:space="preserve">analogicznie jak dla funduszy inwestycyjnych – </w:t>
      </w:r>
      <w:r w:rsidR="005A4F8B" w:rsidRPr="00D04BA0">
        <w:rPr>
          <w:rFonts w:ascii="Times New Roman" w:hAnsi="Times New Roman" w:cs="Times New Roman"/>
          <w:sz w:val="24"/>
          <w:szCs w:val="24"/>
        </w:rPr>
        <w:t>obowiązek badania rocznych sprawozdań finansowych</w:t>
      </w:r>
      <w:r w:rsidR="007E273A" w:rsidRPr="00D04BA0">
        <w:rPr>
          <w:rFonts w:ascii="Times New Roman" w:hAnsi="Times New Roman" w:cs="Times New Roman"/>
          <w:sz w:val="24"/>
          <w:szCs w:val="24"/>
        </w:rPr>
        <w:t xml:space="preserve"> alternatywnych spółek inwestycyjnych</w:t>
      </w:r>
      <w:r w:rsidR="008877F3" w:rsidRPr="00D04BA0">
        <w:rPr>
          <w:rFonts w:ascii="Times New Roman" w:hAnsi="Times New Roman" w:cs="Times New Roman"/>
          <w:sz w:val="24"/>
          <w:szCs w:val="24"/>
        </w:rPr>
        <w:t>) oraz dodatkowo – dane wynikające z wdrożenia art. 22 i art. 29 dyrektywy ZAFI, w tym dotyczące wynagrodzeń dla podmiotu zarządzającego</w:t>
      </w:r>
      <w:r w:rsidR="00D04BA0">
        <w:rPr>
          <w:rFonts w:ascii="Times New Roman" w:hAnsi="Times New Roman" w:cs="Times New Roman"/>
          <w:sz w:val="24"/>
          <w:szCs w:val="24"/>
        </w:rPr>
        <w:t xml:space="preserve"> </w:t>
      </w:r>
      <w:r w:rsidR="008877F3" w:rsidRPr="00D04BA0">
        <w:rPr>
          <w:rFonts w:ascii="Times New Roman" w:hAnsi="Times New Roman" w:cs="Times New Roman"/>
          <w:sz w:val="24"/>
          <w:szCs w:val="24"/>
        </w:rPr>
        <w:t>i dla jego pracowników (osób wykonujących pracę). Również w odniesieniu do tego obowiązku projekt uwzględnia jego ograniczenie w związku</w:t>
      </w:r>
      <w:r w:rsidR="00D04BA0">
        <w:rPr>
          <w:rFonts w:ascii="Times New Roman" w:hAnsi="Times New Roman" w:cs="Times New Roman"/>
          <w:sz w:val="24"/>
          <w:szCs w:val="24"/>
        </w:rPr>
        <w:t xml:space="preserve"> </w:t>
      </w:r>
      <w:r w:rsidR="005A4F8B" w:rsidRPr="00D04BA0">
        <w:rPr>
          <w:rFonts w:ascii="Times New Roman" w:hAnsi="Times New Roman" w:cs="Times New Roman"/>
          <w:sz w:val="24"/>
          <w:szCs w:val="24"/>
        </w:rPr>
        <w:t xml:space="preserve">z </w:t>
      </w:r>
      <w:r w:rsidR="008877F3" w:rsidRPr="00D04BA0">
        <w:rPr>
          <w:rFonts w:ascii="Times New Roman" w:hAnsi="Times New Roman" w:cs="Times New Roman"/>
          <w:sz w:val="24"/>
          <w:szCs w:val="24"/>
        </w:rPr>
        <w:t xml:space="preserve">przekazaniem </w:t>
      </w:r>
      <w:r w:rsidR="005A4F8B" w:rsidRPr="00D04BA0">
        <w:rPr>
          <w:rFonts w:ascii="Times New Roman" w:hAnsi="Times New Roman" w:cs="Times New Roman"/>
          <w:sz w:val="24"/>
          <w:szCs w:val="24"/>
        </w:rPr>
        <w:t>KNF lub do publicznej wiadomości raportu rocznego</w:t>
      </w:r>
      <w:r w:rsidR="008877F3" w:rsidRPr="00D04BA0">
        <w:rPr>
          <w:rFonts w:ascii="Times New Roman" w:hAnsi="Times New Roman" w:cs="Times New Roman"/>
          <w:sz w:val="24"/>
          <w:szCs w:val="24"/>
        </w:rPr>
        <w:t xml:space="preserve"> na podstawie ustawy</w:t>
      </w:r>
      <w:r w:rsidR="00D04BA0">
        <w:rPr>
          <w:rFonts w:ascii="Times New Roman" w:hAnsi="Times New Roman" w:cs="Times New Roman"/>
          <w:sz w:val="24"/>
          <w:szCs w:val="24"/>
        </w:rPr>
        <w:t xml:space="preserve"> </w:t>
      </w:r>
      <w:r w:rsidR="008877F3" w:rsidRPr="00D04BA0">
        <w:rPr>
          <w:rFonts w:ascii="Times New Roman" w:hAnsi="Times New Roman" w:cs="Times New Roman"/>
          <w:sz w:val="24"/>
          <w:szCs w:val="24"/>
        </w:rPr>
        <w:t>o ofercie publicznej</w:t>
      </w:r>
      <w:r w:rsidR="00AE5FD4">
        <w:rPr>
          <w:rFonts w:ascii="Times New Roman" w:hAnsi="Times New Roman" w:cs="Times New Roman"/>
          <w:sz w:val="24"/>
          <w:szCs w:val="24"/>
        </w:rPr>
        <w:t xml:space="preserve"> (art.</w:t>
      </w:r>
      <w:r w:rsidR="00D14EF5">
        <w:rPr>
          <w:rFonts w:ascii="Times New Roman" w:hAnsi="Times New Roman" w:cs="Times New Roman"/>
          <w:sz w:val="24"/>
          <w:szCs w:val="24"/>
        </w:rPr>
        <w:t xml:space="preserve"> </w:t>
      </w:r>
      <w:r w:rsidR="005A4F8B" w:rsidRPr="00D04BA0">
        <w:rPr>
          <w:rFonts w:ascii="Times New Roman" w:hAnsi="Times New Roman" w:cs="Times New Roman"/>
          <w:sz w:val="24"/>
          <w:szCs w:val="24"/>
        </w:rPr>
        <w:t xml:space="preserve">222d ust. 7 ustawy). Projekt przewiduje przy tym rozwiązania przejściowe dotyczące wykonywania nowych obowiązków sprawozdawczych (art. </w:t>
      </w:r>
      <w:r w:rsidR="006913D4" w:rsidRPr="00D04BA0">
        <w:rPr>
          <w:rFonts w:ascii="Times New Roman" w:hAnsi="Times New Roman" w:cs="Times New Roman"/>
          <w:sz w:val="24"/>
          <w:szCs w:val="24"/>
        </w:rPr>
        <w:t>4</w:t>
      </w:r>
      <w:r w:rsidR="006913D4">
        <w:rPr>
          <w:rFonts w:ascii="Times New Roman" w:hAnsi="Times New Roman" w:cs="Times New Roman"/>
          <w:sz w:val="24"/>
          <w:szCs w:val="24"/>
        </w:rPr>
        <w:t>7</w:t>
      </w:r>
      <w:r w:rsidR="006913D4" w:rsidRPr="00D04BA0">
        <w:rPr>
          <w:rFonts w:ascii="Times New Roman" w:hAnsi="Times New Roman" w:cs="Times New Roman"/>
          <w:sz w:val="24"/>
          <w:szCs w:val="24"/>
        </w:rPr>
        <w:t xml:space="preserve"> </w:t>
      </w:r>
      <w:r w:rsidR="005A4F8B" w:rsidRPr="00D04BA0">
        <w:rPr>
          <w:rFonts w:ascii="Times New Roman" w:hAnsi="Times New Roman" w:cs="Times New Roman"/>
          <w:sz w:val="24"/>
          <w:szCs w:val="24"/>
        </w:rPr>
        <w:t xml:space="preserve">i art. </w:t>
      </w:r>
      <w:r w:rsidR="006913D4" w:rsidRPr="00D04BA0">
        <w:rPr>
          <w:rFonts w:ascii="Times New Roman" w:hAnsi="Times New Roman" w:cs="Times New Roman"/>
          <w:sz w:val="24"/>
          <w:szCs w:val="24"/>
        </w:rPr>
        <w:t>4</w:t>
      </w:r>
      <w:r w:rsidR="006913D4">
        <w:rPr>
          <w:rFonts w:ascii="Times New Roman" w:hAnsi="Times New Roman" w:cs="Times New Roman"/>
          <w:sz w:val="24"/>
          <w:szCs w:val="24"/>
        </w:rPr>
        <w:t>8</w:t>
      </w:r>
      <w:r w:rsidR="006913D4" w:rsidRPr="00D04BA0">
        <w:rPr>
          <w:rFonts w:ascii="Times New Roman" w:hAnsi="Times New Roman" w:cs="Times New Roman"/>
          <w:sz w:val="24"/>
          <w:szCs w:val="24"/>
        </w:rPr>
        <w:t xml:space="preserve"> </w:t>
      </w:r>
      <w:r w:rsidR="005A4F8B" w:rsidRPr="00D04BA0">
        <w:rPr>
          <w:rFonts w:ascii="Times New Roman" w:hAnsi="Times New Roman" w:cs="Times New Roman"/>
          <w:sz w:val="24"/>
          <w:szCs w:val="24"/>
        </w:rPr>
        <w:t xml:space="preserve">ust. </w:t>
      </w:r>
      <w:r w:rsidR="00FD6FEC" w:rsidRPr="00D04BA0">
        <w:rPr>
          <w:rFonts w:ascii="Times New Roman" w:hAnsi="Times New Roman" w:cs="Times New Roman"/>
          <w:sz w:val="24"/>
          <w:szCs w:val="24"/>
        </w:rPr>
        <w:t>7</w:t>
      </w:r>
      <w:r w:rsidR="005A4F8B" w:rsidRPr="00D04BA0">
        <w:rPr>
          <w:rFonts w:ascii="Times New Roman" w:hAnsi="Times New Roman" w:cs="Times New Roman"/>
          <w:sz w:val="24"/>
          <w:szCs w:val="24"/>
        </w:rPr>
        <w:t xml:space="preserve"> projektu) – początek ich stosowania odniesiono do sprawozdań za pierwszy pełny rok obrotowy </w:t>
      </w:r>
      <w:r w:rsidR="00B91409" w:rsidRPr="00D04BA0">
        <w:rPr>
          <w:rFonts w:ascii="Times New Roman" w:hAnsi="Times New Roman" w:cs="Times New Roman"/>
          <w:sz w:val="24"/>
          <w:szCs w:val="24"/>
        </w:rPr>
        <w:t>działalności wykonywanej pod rządem zmienionych regulacji. Ponadto zarządzający ASI zostaną objęci obowiązkami sprawozdawczo-informacyjnymi dotyczącymi</w:t>
      </w:r>
      <w:r w:rsidR="005A4F8B" w:rsidRPr="00D04BA0">
        <w:rPr>
          <w:rFonts w:ascii="Times New Roman" w:hAnsi="Times New Roman" w:cs="Times New Roman"/>
          <w:sz w:val="24"/>
          <w:szCs w:val="24"/>
        </w:rPr>
        <w:t xml:space="preserve"> </w:t>
      </w:r>
      <w:r w:rsidR="00B91409" w:rsidRPr="00D04BA0">
        <w:rPr>
          <w:rFonts w:ascii="Times New Roman" w:hAnsi="Times New Roman" w:cs="Times New Roman"/>
          <w:sz w:val="24"/>
          <w:szCs w:val="24"/>
        </w:rPr>
        <w:t>ich działalności zbliżonymi do takich obowiązków ciążących na TFI (art. 225 ustawy). Należy podkreślić, że w odniesieniu do nowej grupy podmiotów (alternatywnych spółek inwestycyjnych i zarządzających ASI) wskazane obowiązki sprawozdawcze i informacyjne co do zasady ciążyć będą wyłącznie na zarządzających ASI prowadzących działalność</w:t>
      </w:r>
      <w:r w:rsidR="00D04BA0">
        <w:rPr>
          <w:rFonts w:ascii="Times New Roman" w:hAnsi="Times New Roman" w:cs="Times New Roman"/>
          <w:sz w:val="24"/>
          <w:szCs w:val="24"/>
        </w:rPr>
        <w:t xml:space="preserve"> </w:t>
      </w:r>
      <w:r w:rsidR="00B91409" w:rsidRPr="00D04BA0">
        <w:rPr>
          <w:rFonts w:ascii="Times New Roman" w:hAnsi="Times New Roman" w:cs="Times New Roman"/>
          <w:sz w:val="24"/>
          <w:szCs w:val="24"/>
        </w:rPr>
        <w:t>w większej skali (prowadzących działalność na podstawie zezwolenia) i zarządzanych przez nich spółkach. Zarządzający ASI wpisani do rejestru zarządzających ASI są objęci wyłącznie obowiązkami sprawozdawczo-informacyjnymi</w:t>
      </w:r>
      <w:r w:rsidR="009C717A" w:rsidRPr="00D04BA0">
        <w:rPr>
          <w:rFonts w:ascii="Times New Roman" w:hAnsi="Times New Roman" w:cs="Times New Roman"/>
          <w:sz w:val="24"/>
          <w:szCs w:val="24"/>
        </w:rPr>
        <w:t xml:space="preserve"> oraz środkami nadzoru</w:t>
      </w:r>
      <w:r w:rsidR="00B91409" w:rsidRPr="00D04BA0">
        <w:rPr>
          <w:rFonts w:ascii="Times New Roman" w:hAnsi="Times New Roman" w:cs="Times New Roman"/>
          <w:sz w:val="24"/>
          <w:szCs w:val="24"/>
        </w:rPr>
        <w:t xml:space="preserve"> dotyczącymi ich działalności inwestycyjnej, zarządzania płynnością i zarządzania ryzykiem oraz stosowania dźwigni finansowej (art. 222c i art.</w:t>
      </w:r>
      <w:r w:rsidR="001D0296">
        <w:rPr>
          <w:rFonts w:ascii="Times New Roman" w:hAnsi="Times New Roman" w:cs="Times New Roman"/>
          <w:sz w:val="24"/>
          <w:szCs w:val="24"/>
        </w:rPr>
        <w:t> </w:t>
      </w:r>
      <w:r w:rsidR="00B91409" w:rsidRPr="00D04BA0">
        <w:rPr>
          <w:rFonts w:ascii="Times New Roman" w:hAnsi="Times New Roman" w:cs="Times New Roman"/>
          <w:sz w:val="24"/>
          <w:szCs w:val="24"/>
        </w:rPr>
        <w:t>227c ustawy).</w:t>
      </w:r>
    </w:p>
    <w:p w:rsidR="009F0EFE" w:rsidRPr="00067927" w:rsidRDefault="009F0EFE" w:rsidP="008E7A41">
      <w:pPr>
        <w:spacing w:before="24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t>Działalność transgraniczna</w:t>
      </w:r>
    </w:p>
    <w:p w:rsidR="009E705A" w:rsidRPr="00D04BA0" w:rsidRDefault="009E705A" w:rsidP="00D04BA0">
      <w:pPr>
        <w:tabs>
          <w:tab w:val="left" w:pos="426"/>
        </w:tabs>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Uzupełniając przedstawione już omówienie konsekwencji dla TFI zmian związanych</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z objęciem SFIO, FIZ oraz unijnych AFI zasadą paszportu europejskiego, należy podkreślić, że reguły prowadzenia działalności transgranicznej w pełni odnoszą się również do zarządzających ASI prowadzących działalność na podstawie zezwolenia – </w:t>
      </w:r>
      <w:r w:rsidRPr="00D04BA0">
        <w:rPr>
          <w:rFonts w:ascii="Times New Roman" w:hAnsi="Times New Roman" w:cs="Times New Roman"/>
          <w:sz w:val="24"/>
          <w:szCs w:val="24"/>
        </w:rPr>
        <w:lastRenderedPageBreak/>
        <w:t xml:space="preserve">wyłącznie jednak zewnętrznie zarządzających. Działalność transgraniczna wewnętrznie zarządzającego ASI jest ograniczona wyłącznie do </w:t>
      </w:r>
      <w:r w:rsidR="007E273A" w:rsidRPr="00D04BA0">
        <w:rPr>
          <w:rFonts w:ascii="Times New Roman" w:hAnsi="Times New Roman" w:cs="Times New Roman"/>
          <w:sz w:val="24"/>
          <w:szCs w:val="24"/>
        </w:rPr>
        <w:t xml:space="preserve">możliwości </w:t>
      </w:r>
      <w:r w:rsidRPr="00D04BA0">
        <w:rPr>
          <w:rFonts w:ascii="Times New Roman" w:hAnsi="Times New Roman" w:cs="Times New Roman"/>
          <w:sz w:val="24"/>
          <w:szCs w:val="24"/>
        </w:rPr>
        <w:t>wprowadzania spółki do obrotu w innych państwach członkowskich. Natomiast zewnętrznie zarządzający ASI może dodatkowo zarządzać unijnymi AFI i wprowadzać je do obrotu w Polsce bądź w innym państwie. Z drugiej strony zarządzający, którzy w państwach swojej siedziby uzyskali zezwolenia, będą mogli przejąć zarządzanie alternatywną spółką inwestycyjną od zewnętrznie zarządzającego ASI</w:t>
      </w:r>
      <w:r w:rsidR="007139F7" w:rsidRPr="00D04BA0">
        <w:rPr>
          <w:rFonts w:ascii="Times New Roman" w:hAnsi="Times New Roman" w:cs="Times New Roman"/>
          <w:sz w:val="24"/>
          <w:szCs w:val="24"/>
        </w:rPr>
        <w:t xml:space="preserve"> (w drodze stosownej zmiany umowy spółki albo jej statutu). Prowadzenie działalności w ramach paszportu europejskiego nie wymaga uzyskiwania zezwoleń w państwach goszczących</w:t>
      </w:r>
      <w:r w:rsidR="00D04BA0">
        <w:rPr>
          <w:rFonts w:ascii="Times New Roman" w:hAnsi="Times New Roman" w:cs="Times New Roman"/>
          <w:sz w:val="24"/>
          <w:szCs w:val="24"/>
        </w:rPr>
        <w:t xml:space="preserve"> </w:t>
      </w:r>
      <w:r w:rsidR="007139F7" w:rsidRPr="00D04BA0">
        <w:rPr>
          <w:rFonts w:ascii="Times New Roman" w:hAnsi="Times New Roman" w:cs="Times New Roman"/>
          <w:sz w:val="24"/>
          <w:szCs w:val="24"/>
        </w:rPr>
        <w:t xml:space="preserve">a jedynie formalnego zgłoszenia zamiaru jej wykonywania, czyli notyfikacji obejmującej też przekazanie właściwym organom niezbędnych informacji </w:t>
      </w:r>
      <w:r w:rsidR="007E273A" w:rsidRPr="00D04BA0">
        <w:rPr>
          <w:rFonts w:ascii="Times New Roman" w:hAnsi="Times New Roman" w:cs="Times New Roman"/>
          <w:sz w:val="24"/>
          <w:szCs w:val="24"/>
        </w:rPr>
        <w:t xml:space="preserve">o </w:t>
      </w:r>
      <w:r w:rsidR="007139F7" w:rsidRPr="00D04BA0">
        <w:rPr>
          <w:rFonts w:ascii="Times New Roman" w:hAnsi="Times New Roman" w:cs="Times New Roman"/>
          <w:sz w:val="24"/>
          <w:szCs w:val="24"/>
        </w:rPr>
        <w:t>działalności, która będzie wykonywana i jej formie (bezpośrednio albo przez oddział). Notyfikacja zamiaru wykonywania działalności w UE jest niezbędna w odniesieniu do każdego jej obszaru – może dotyczyć bądź tylko zamiaru zarządzania unijnym AFI, bądź wykonywania tylko działalności dodatkowej (np. tylko zarządzania portfelami, w skład których wchodzi jeden lub większa liczba instrumentów finansowych, doradztwa inwestycyjnego albo tylko przyjmowania</w:t>
      </w:r>
      <w:r w:rsidR="00D04BA0">
        <w:rPr>
          <w:rFonts w:ascii="Times New Roman" w:hAnsi="Times New Roman" w:cs="Times New Roman"/>
          <w:sz w:val="24"/>
          <w:szCs w:val="24"/>
        </w:rPr>
        <w:t xml:space="preserve"> </w:t>
      </w:r>
      <w:r w:rsidR="007139F7" w:rsidRPr="00D04BA0">
        <w:rPr>
          <w:rFonts w:ascii="Times New Roman" w:hAnsi="Times New Roman" w:cs="Times New Roman"/>
          <w:sz w:val="24"/>
          <w:szCs w:val="24"/>
        </w:rPr>
        <w:t>i przekazywania zleceń nabycia lub zbycia instrumentów finansowych), bądź też kilku czy wszystkich obszarów – a możliwość jej notyfikowania zależy od posiadania zezwolenia na jej wykonywanie w Polsce. Niezależnie od notyfikacji działalności niezbędna jest odrębna notyfikacja zamiaru wprowadzania do obrotu unijnego AFI w Polsce i polskich AFI</w:t>
      </w:r>
      <w:r w:rsidR="00D04BA0">
        <w:rPr>
          <w:rFonts w:ascii="Times New Roman" w:hAnsi="Times New Roman" w:cs="Times New Roman"/>
          <w:sz w:val="24"/>
          <w:szCs w:val="24"/>
        </w:rPr>
        <w:t xml:space="preserve"> </w:t>
      </w:r>
      <w:r w:rsidR="007139F7" w:rsidRPr="00D04BA0">
        <w:rPr>
          <w:rFonts w:ascii="Times New Roman" w:hAnsi="Times New Roman" w:cs="Times New Roman"/>
          <w:sz w:val="24"/>
          <w:szCs w:val="24"/>
        </w:rPr>
        <w:t>w państwie UE. Instytucja takiej notyfikacji jest już uregulowana w ustawie w odniesieniu do wykonywania działalności w zakresie zarządzania funduszami typu UCITS</w:t>
      </w:r>
      <w:r w:rsidR="007E273A" w:rsidRPr="00D04BA0">
        <w:rPr>
          <w:rFonts w:ascii="Times New Roman" w:hAnsi="Times New Roman" w:cs="Times New Roman"/>
          <w:sz w:val="24"/>
          <w:szCs w:val="24"/>
        </w:rPr>
        <w:t>,</w:t>
      </w:r>
      <w:r w:rsidR="007139F7" w:rsidRPr="00D04BA0">
        <w:rPr>
          <w:rFonts w:ascii="Times New Roman" w:hAnsi="Times New Roman" w:cs="Times New Roman"/>
          <w:sz w:val="24"/>
          <w:szCs w:val="24"/>
        </w:rPr>
        <w:t xml:space="preserve"> a nowe regulacje</w:t>
      </w:r>
      <w:r w:rsidR="001B20A3" w:rsidRPr="00D04BA0">
        <w:rPr>
          <w:rFonts w:ascii="Times New Roman" w:hAnsi="Times New Roman" w:cs="Times New Roman"/>
          <w:sz w:val="24"/>
          <w:szCs w:val="24"/>
        </w:rPr>
        <w:t xml:space="preserve">, z uwzględnieniem pewnych różnic proceduralnych wynikających z odrębności dyrektywy UCITS i dyrektywy ZAFI, są analogiczne do obecnie obowiązujących. Istotna różnica dotyczy natomiast zakresu stosowania tych przepisów. Reguły prowadzenia działalności transgranicznej w zakresie funduszy typu </w:t>
      </w:r>
      <w:r w:rsidR="008A7D5F" w:rsidRPr="00D04BA0">
        <w:rPr>
          <w:rFonts w:ascii="Times New Roman" w:hAnsi="Times New Roman" w:cs="Times New Roman"/>
          <w:sz w:val="24"/>
          <w:szCs w:val="24"/>
        </w:rPr>
        <w:t>AFI</w:t>
      </w:r>
      <w:r w:rsidR="001B20A3" w:rsidRPr="00D04BA0">
        <w:rPr>
          <w:rFonts w:ascii="Times New Roman" w:hAnsi="Times New Roman" w:cs="Times New Roman"/>
          <w:sz w:val="24"/>
          <w:szCs w:val="24"/>
        </w:rPr>
        <w:t xml:space="preserve"> stosuje się odpowiednio do funduszy tego typu również z państw EOG – pod warunkiem wdrożenia w tych państwach rozwiązań równoważnych do przewidzianych dyrektywą </w:t>
      </w:r>
      <w:r w:rsidR="008A7D5F" w:rsidRPr="00D04BA0">
        <w:rPr>
          <w:rFonts w:ascii="Times New Roman" w:hAnsi="Times New Roman" w:cs="Times New Roman"/>
          <w:sz w:val="24"/>
          <w:szCs w:val="24"/>
        </w:rPr>
        <w:t>ZAFI</w:t>
      </w:r>
      <w:r w:rsidR="001B20A3" w:rsidRPr="00D04BA0">
        <w:rPr>
          <w:rFonts w:ascii="Times New Roman" w:hAnsi="Times New Roman" w:cs="Times New Roman"/>
          <w:sz w:val="24"/>
          <w:szCs w:val="24"/>
        </w:rPr>
        <w:t xml:space="preserve">. </w:t>
      </w:r>
      <w:r w:rsidR="007E273A" w:rsidRPr="00D04BA0">
        <w:rPr>
          <w:rFonts w:ascii="Times New Roman" w:hAnsi="Times New Roman" w:cs="Times New Roman"/>
          <w:sz w:val="24"/>
          <w:szCs w:val="24"/>
        </w:rPr>
        <w:t xml:space="preserve">Rozwiązanie takie wynika z </w:t>
      </w:r>
      <w:r w:rsidR="00D07993" w:rsidRPr="00D04BA0">
        <w:rPr>
          <w:rFonts w:ascii="Times New Roman" w:hAnsi="Times New Roman" w:cs="Times New Roman"/>
          <w:sz w:val="24"/>
          <w:szCs w:val="24"/>
        </w:rPr>
        <w:t xml:space="preserve">faktu, iż dyrektywa ZAFI w odniesieniu do funduszy typu AFI z państw trzecich (siedziba poza UE) </w:t>
      </w:r>
      <w:r w:rsidR="00827E7E" w:rsidRPr="00D04BA0">
        <w:rPr>
          <w:rFonts w:ascii="Times New Roman" w:hAnsi="Times New Roman" w:cs="Times New Roman"/>
          <w:sz w:val="24"/>
          <w:szCs w:val="24"/>
        </w:rPr>
        <w:t xml:space="preserve">wyraźnie </w:t>
      </w:r>
      <w:r w:rsidR="00D07993" w:rsidRPr="00D04BA0">
        <w:rPr>
          <w:rFonts w:ascii="Times New Roman" w:hAnsi="Times New Roman" w:cs="Times New Roman"/>
          <w:sz w:val="24"/>
          <w:szCs w:val="24"/>
        </w:rPr>
        <w:t xml:space="preserve">przewiduje oddzielne reżimy wprowadzania </w:t>
      </w:r>
      <w:r w:rsidR="00827E7E" w:rsidRPr="00D04BA0">
        <w:rPr>
          <w:rFonts w:ascii="Times New Roman" w:hAnsi="Times New Roman" w:cs="Times New Roman"/>
          <w:sz w:val="24"/>
          <w:szCs w:val="24"/>
        </w:rPr>
        <w:t xml:space="preserve">ich </w:t>
      </w:r>
      <w:r w:rsidR="00D07993" w:rsidRPr="00D04BA0">
        <w:rPr>
          <w:rFonts w:ascii="Times New Roman" w:hAnsi="Times New Roman" w:cs="Times New Roman"/>
          <w:sz w:val="24"/>
          <w:szCs w:val="24"/>
        </w:rPr>
        <w:t>do obrotu na terytorium państw członkowskich</w:t>
      </w:r>
      <w:r w:rsidR="00827E7E" w:rsidRPr="00D04BA0">
        <w:rPr>
          <w:rFonts w:ascii="Times New Roman" w:hAnsi="Times New Roman" w:cs="Times New Roman"/>
          <w:sz w:val="24"/>
          <w:szCs w:val="24"/>
        </w:rPr>
        <w:t xml:space="preserve">. Istotnym w tym kontekście jest również fakt, że jak to zostało wskazane wcześniej projektodawca, poza funduszami powstałymi w ramach Krajowego </w:t>
      </w:r>
      <w:r w:rsidR="00827E7E" w:rsidRPr="00D04BA0">
        <w:rPr>
          <w:rFonts w:ascii="Times New Roman" w:hAnsi="Times New Roman" w:cs="Times New Roman"/>
          <w:sz w:val="24"/>
          <w:szCs w:val="24"/>
        </w:rPr>
        <w:lastRenderedPageBreak/>
        <w:t xml:space="preserve">Funduszu Kapitałowego SA, korzystając z przewidzianej dyrektywą możliwości nie zdecydował </w:t>
      </w:r>
      <w:r w:rsidR="00297A37" w:rsidRPr="00D04BA0">
        <w:rPr>
          <w:rFonts w:ascii="Times New Roman" w:hAnsi="Times New Roman" w:cs="Times New Roman"/>
          <w:sz w:val="24"/>
          <w:szCs w:val="24"/>
        </w:rPr>
        <w:t xml:space="preserve">się </w:t>
      </w:r>
      <w:r w:rsidR="00827E7E" w:rsidRPr="00D04BA0">
        <w:rPr>
          <w:rFonts w:ascii="Times New Roman" w:hAnsi="Times New Roman" w:cs="Times New Roman"/>
          <w:sz w:val="24"/>
          <w:szCs w:val="24"/>
        </w:rPr>
        <w:t>na zezwolenie wprowadzania na terytorium RP funduszy AFI z państw trzecich</w:t>
      </w:r>
      <w:r w:rsidR="007E273A" w:rsidRPr="00D04BA0">
        <w:rPr>
          <w:rFonts w:ascii="Times New Roman" w:hAnsi="Times New Roman" w:cs="Times New Roman"/>
          <w:sz w:val="24"/>
          <w:szCs w:val="24"/>
        </w:rPr>
        <w:t>.</w:t>
      </w:r>
      <w:r w:rsidR="00297A37" w:rsidRPr="00D04BA0">
        <w:rPr>
          <w:rFonts w:ascii="Times New Roman" w:hAnsi="Times New Roman" w:cs="Times New Roman"/>
          <w:sz w:val="24"/>
          <w:szCs w:val="24"/>
        </w:rPr>
        <w:t xml:space="preserve"> Wyjaśnienia również wymaga, iż dyrektywa ZAFI ma znaczenie dla wszystkich państw EOG, a więc również tych, które nie są członkami Unii Europejskiej (obecnie to: Norwegia, Islandia i Lichtenstein). Ze wskazanego względu, w przypadku gdy państwa te wdrożą postanowienia przedmiotowej dyrektyw</w:t>
      </w:r>
      <w:r w:rsidR="00DF5485">
        <w:rPr>
          <w:rFonts w:ascii="Times New Roman" w:hAnsi="Times New Roman" w:cs="Times New Roman"/>
          <w:sz w:val="24"/>
          <w:szCs w:val="24"/>
        </w:rPr>
        <w:t>y</w:t>
      </w:r>
      <w:r w:rsidR="00297A37" w:rsidRPr="00D04BA0">
        <w:rPr>
          <w:rFonts w:ascii="Times New Roman" w:hAnsi="Times New Roman" w:cs="Times New Roman"/>
          <w:sz w:val="24"/>
          <w:szCs w:val="24"/>
        </w:rPr>
        <w:t xml:space="preserve"> w swoim porządku prawnym, nie ma przeszkód aby fundusze AFI z tych państw mogły być wprowadzana na terytorium RP i odwrotnie</w:t>
      </w:r>
      <w:r w:rsidR="007E273A" w:rsidRPr="00D04BA0">
        <w:rPr>
          <w:rFonts w:ascii="Times New Roman" w:hAnsi="Times New Roman" w:cs="Times New Roman"/>
          <w:sz w:val="24"/>
          <w:szCs w:val="24"/>
        </w:rPr>
        <w:t>.</w:t>
      </w:r>
      <w:r w:rsidR="008A7D5F" w:rsidRPr="00D04BA0">
        <w:rPr>
          <w:rFonts w:ascii="Times New Roman" w:hAnsi="Times New Roman" w:cs="Times New Roman"/>
          <w:sz w:val="24"/>
          <w:szCs w:val="24"/>
        </w:rPr>
        <w:t xml:space="preserve"> </w:t>
      </w:r>
      <w:r w:rsidR="008A7D5F" w:rsidRPr="00D04BA0">
        <w:rPr>
          <w:rFonts w:ascii="Times New Roman" w:hAnsi="Times New Roman" w:cs="Times New Roman"/>
          <w:iCs/>
          <w:sz w:val="24"/>
          <w:szCs w:val="24"/>
        </w:rPr>
        <w:t xml:space="preserve">W związku z zakresem podmiotowym dyrektywy ZAFI i uregulowaniem w niej relacji w stosunku do AFI i ZAFI z państw trzecich, zdecydowano o skreśleniu postanowień ustawy dotyczących funduszy inwestycyjnych otwartych z siedzibą w państwach należących do OECD innych niż państwo członkowskie lub państwo należące do EEA, jako że fundusze takie </w:t>
      </w:r>
      <w:r w:rsidR="00BC4E86" w:rsidRPr="00D04BA0">
        <w:rPr>
          <w:rFonts w:ascii="Times New Roman" w:hAnsi="Times New Roman" w:cs="Times New Roman"/>
          <w:iCs/>
          <w:sz w:val="24"/>
          <w:szCs w:val="24"/>
        </w:rPr>
        <w:t xml:space="preserve">powinny być </w:t>
      </w:r>
      <w:r w:rsidR="008A7D5F" w:rsidRPr="00D04BA0">
        <w:rPr>
          <w:rFonts w:ascii="Times New Roman" w:hAnsi="Times New Roman" w:cs="Times New Roman"/>
          <w:iCs/>
          <w:sz w:val="24"/>
          <w:szCs w:val="24"/>
        </w:rPr>
        <w:t>kwalifikowane do kategorii „fundusze alternatywne z siedzibą w państwach trzecich”, w związku z czym nie powinny i nie mogą być już traktowane w sposób tożsamy/analogiczny z funduszami typu UCITS. Można przy tym zauważyć, że powyższa zmiana nie będzie miała praktycznych konsekwencji dla towarzystw czy innych podmiotów rynku finansowego, ponieważ dotychczas nie miała miejsca notyfikacja zamiaru zbywania na terytorium Polski jakiegokolwiek funduszu z siedzibą w państwach należących do OECD, a w konsekwencji nie było możliwe wykonywanie na terytorium Polski czynności pośrednictwa w zbywaniu i odkupywaniu tytułów uczestnictwa takich funduszy.</w:t>
      </w:r>
    </w:p>
    <w:p w:rsidR="00B91409" w:rsidRPr="00067927" w:rsidRDefault="00B91409" w:rsidP="008E7A41">
      <w:pPr>
        <w:spacing w:before="24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t>Nadzór KNF</w:t>
      </w:r>
    </w:p>
    <w:p w:rsidR="00B8265B" w:rsidRPr="00D04BA0" w:rsidRDefault="00B8265B"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Konsekwencją uregulowania w ustawie o funduszach inwestycyjnych nowego zakresu działalności jest poddanie tej działalności – z uwagi na jej charakter częściowo zbliżony do działalności TFI a częściowo pokrywający się z ich działalnością – nadzorowi KNF.</w:t>
      </w:r>
      <w:r w:rsidR="00D04BA0">
        <w:rPr>
          <w:rFonts w:ascii="Times New Roman" w:hAnsi="Times New Roman" w:cs="Times New Roman"/>
          <w:sz w:val="24"/>
          <w:szCs w:val="24"/>
        </w:rPr>
        <w:t xml:space="preserve"> </w:t>
      </w:r>
      <w:r w:rsidR="007E273A" w:rsidRPr="00D04BA0">
        <w:rPr>
          <w:rFonts w:ascii="Times New Roman" w:hAnsi="Times New Roman" w:cs="Times New Roman"/>
          <w:sz w:val="24"/>
          <w:szCs w:val="24"/>
        </w:rPr>
        <w:t>Do</w:t>
      </w:r>
      <w:r w:rsidRPr="00D04BA0">
        <w:rPr>
          <w:rFonts w:ascii="Times New Roman" w:hAnsi="Times New Roman" w:cs="Times New Roman"/>
          <w:sz w:val="24"/>
          <w:szCs w:val="24"/>
        </w:rPr>
        <w:t xml:space="preserve"> now</w:t>
      </w:r>
      <w:r w:rsidR="007E273A" w:rsidRPr="00D04BA0">
        <w:rPr>
          <w:rFonts w:ascii="Times New Roman" w:hAnsi="Times New Roman" w:cs="Times New Roman"/>
          <w:sz w:val="24"/>
          <w:szCs w:val="24"/>
        </w:rPr>
        <w:t>ej</w:t>
      </w:r>
      <w:r w:rsidRPr="00D04BA0">
        <w:rPr>
          <w:rFonts w:ascii="Times New Roman" w:hAnsi="Times New Roman" w:cs="Times New Roman"/>
          <w:sz w:val="24"/>
          <w:szCs w:val="24"/>
        </w:rPr>
        <w:t xml:space="preserve"> grup</w:t>
      </w:r>
      <w:r w:rsidR="007E273A" w:rsidRPr="00D04BA0">
        <w:rPr>
          <w:rFonts w:ascii="Times New Roman" w:hAnsi="Times New Roman" w:cs="Times New Roman"/>
          <w:sz w:val="24"/>
          <w:szCs w:val="24"/>
        </w:rPr>
        <w:t>y</w:t>
      </w:r>
      <w:r w:rsidRPr="00D04BA0">
        <w:rPr>
          <w:rFonts w:ascii="Times New Roman" w:hAnsi="Times New Roman" w:cs="Times New Roman"/>
          <w:sz w:val="24"/>
          <w:szCs w:val="24"/>
        </w:rPr>
        <w:t xml:space="preserve"> podmiotów </w:t>
      </w:r>
      <w:r w:rsidR="007E273A" w:rsidRPr="00D04BA0">
        <w:rPr>
          <w:rFonts w:ascii="Times New Roman" w:hAnsi="Times New Roman" w:cs="Times New Roman"/>
          <w:sz w:val="24"/>
          <w:szCs w:val="24"/>
        </w:rPr>
        <w:t>proponuje się stosowanie takich samych</w:t>
      </w:r>
      <w:r w:rsidRPr="00D04BA0">
        <w:rPr>
          <w:rFonts w:ascii="Times New Roman" w:hAnsi="Times New Roman" w:cs="Times New Roman"/>
          <w:sz w:val="24"/>
          <w:szCs w:val="24"/>
        </w:rPr>
        <w:t xml:space="preserve"> instrumentów nadzoru </w:t>
      </w:r>
      <w:r w:rsidR="007E273A" w:rsidRPr="00D04BA0">
        <w:rPr>
          <w:rFonts w:ascii="Times New Roman" w:hAnsi="Times New Roman" w:cs="Times New Roman"/>
          <w:sz w:val="24"/>
          <w:szCs w:val="24"/>
        </w:rPr>
        <w:t xml:space="preserve">jak </w:t>
      </w:r>
      <w:r w:rsidRPr="00D04BA0">
        <w:rPr>
          <w:rFonts w:ascii="Times New Roman" w:hAnsi="Times New Roman" w:cs="Times New Roman"/>
          <w:sz w:val="24"/>
          <w:szCs w:val="24"/>
        </w:rPr>
        <w:t>dotychczas określon</w:t>
      </w:r>
      <w:r w:rsidR="007E273A" w:rsidRPr="00D04BA0">
        <w:rPr>
          <w:rFonts w:ascii="Times New Roman" w:hAnsi="Times New Roman" w:cs="Times New Roman"/>
          <w:sz w:val="24"/>
          <w:szCs w:val="24"/>
        </w:rPr>
        <w:t>e</w:t>
      </w:r>
      <w:r w:rsidRPr="00D04BA0">
        <w:rPr>
          <w:rFonts w:ascii="Times New Roman" w:hAnsi="Times New Roman" w:cs="Times New Roman"/>
          <w:sz w:val="24"/>
          <w:szCs w:val="24"/>
        </w:rPr>
        <w:t xml:space="preserve"> dla TFI i innych podmiotów zaangażowanych w działalność funduszy inwestycyjnych.</w:t>
      </w:r>
    </w:p>
    <w:p w:rsidR="00B91409" w:rsidRPr="00D04BA0" w:rsidRDefault="00B8265B"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konsekwencji rozłączenia zakresów dotychczasowego zezwolenia na prowadzenie działalności przez TFI na dwa odrębne zezwolenia – rozdzielono także określone w art.</w:t>
      </w:r>
      <w:r w:rsidR="001D0296">
        <w:rPr>
          <w:rFonts w:ascii="Times New Roman" w:hAnsi="Times New Roman" w:cs="Times New Roman"/>
          <w:sz w:val="24"/>
          <w:szCs w:val="24"/>
        </w:rPr>
        <w:t> </w:t>
      </w:r>
      <w:r w:rsidRPr="00D04BA0">
        <w:rPr>
          <w:rFonts w:ascii="Times New Roman" w:hAnsi="Times New Roman" w:cs="Times New Roman"/>
          <w:sz w:val="24"/>
          <w:szCs w:val="24"/>
        </w:rPr>
        <w:t>228 ust. 1 ustawy przesłanki zastosowania wobec TFI sankcji administracyjnych obejmujących</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m.in. cofnięcie zezwolenia. Z uwagi na „podstawowy” dla TFI charakter </w:t>
      </w:r>
      <w:r w:rsidRPr="00D04BA0">
        <w:rPr>
          <w:rFonts w:ascii="Times New Roman" w:hAnsi="Times New Roman" w:cs="Times New Roman"/>
          <w:sz w:val="24"/>
          <w:szCs w:val="24"/>
        </w:rPr>
        <w:lastRenderedPageBreak/>
        <w:t xml:space="preserve">zezwolenia </w:t>
      </w:r>
      <w:r w:rsidR="00944990" w:rsidRPr="00D04BA0">
        <w:rPr>
          <w:rFonts w:ascii="Times New Roman" w:hAnsi="Times New Roman" w:cs="Times New Roman"/>
          <w:sz w:val="24"/>
          <w:szCs w:val="24"/>
        </w:rPr>
        <w:t>n</w:t>
      </w:r>
      <w:r w:rsidRPr="00D04BA0">
        <w:rPr>
          <w:rFonts w:ascii="Times New Roman" w:hAnsi="Times New Roman" w:cs="Times New Roman"/>
          <w:sz w:val="24"/>
          <w:szCs w:val="24"/>
        </w:rPr>
        <w:t>a wykonywanie działalności przez towarzystwo</w:t>
      </w:r>
      <w:r w:rsidR="00851F23" w:rsidRPr="00D04BA0">
        <w:rPr>
          <w:rFonts w:ascii="Times New Roman" w:hAnsi="Times New Roman" w:cs="Times New Roman"/>
          <w:sz w:val="24"/>
          <w:szCs w:val="24"/>
        </w:rPr>
        <w:t xml:space="preserve"> sankcja ta będzie grozić za wszystkie nieprawidłowości w działalności TFI z wyjątkiem tych, które jednoznacznie dotyczyć będą wyłącznie jego działalności w zakresie dotyczącym SFIO, FIZ lub unijnych AFI albo działalności dodatkowej. W takich z kolei przypadkach TFI</w:t>
      </w:r>
      <w:r w:rsidRPr="00D04BA0">
        <w:rPr>
          <w:rFonts w:ascii="Times New Roman" w:hAnsi="Times New Roman" w:cs="Times New Roman"/>
          <w:sz w:val="24"/>
          <w:szCs w:val="24"/>
        </w:rPr>
        <w:t xml:space="preserve"> </w:t>
      </w:r>
      <w:r w:rsidR="00851F23" w:rsidRPr="00D04BA0">
        <w:rPr>
          <w:rFonts w:ascii="Times New Roman" w:hAnsi="Times New Roman" w:cs="Times New Roman"/>
          <w:sz w:val="24"/>
          <w:szCs w:val="24"/>
        </w:rPr>
        <w:t xml:space="preserve">będzie groziła utrata wyłącznie tego „dodatkowego” zezwolenia. </w:t>
      </w:r>
    </w:p>
    <w:p w:rsidR="00851F23" w:rsidRPr="00D04BA0" w:rsidRDefault="00851F23"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W odniesieniu dla sankcji administracyjnych dla zarządzających ASI, szczególną regulację proponuje się wprowadzić w zakresie wymierzania kar pieniężnych dla wewnętrznie zarządzających ASI. W miejsce kary dla samego zarządzającego ASI wymierzana byłaby wówczas (w niższej maksymalnej wysokości) kara pieniężna dla każdego członka zarządu takiego zarządzającego ASI </w:t>
      </w:r>
      <w:r w:rsidR="0055353A" w:rsidRPr="00D04BA0">
        <w:rPr>
          <w:rFonts w:ascii="Times New Roman" w:hAnsi="Times New Roman" w:cs="Times New Roman"/>
          <w:sz w:val="24"/>
          <w:szCs w:val="24"/>
        </w:rPr>
        <w:t>odpowiedzialnego za zaistniałe naruszenie</w:t>
      </w:r>
      <w:r w:rsidRPr="00D04BA0">
        <w:rPr>
          <w:rFonts w:ascii="Times New Roman" w:hAnsi="Times New Roman" w:cs="Times New Roman"/>
          <w:sz w:val="24"/>
          <w:szCs w:val="24"/>
        </w:rPr>
        <w:t xml:space="preserve"> (art. 229a ust. </w:t>
      </w:r>
      <w:r w:rsidR="0055353A" w:rsidRPr="00D04BA0">
        <w:rPr>
          <w:rFonts w:ascii="Times New Roman" w:hAnsi="Times New Roman" w:cs="Times New Roman"/>
          <w:sz w:val="24"/>
          <w:szCs w:val="24"/>
        </w:rPr>
        <w:t>3</w:t>
      </w:r>
      <w:r w:rsidRPr="00D04BA0">
        <w:rPr>
          <w:rFonts w:ascii="Times New Roman" w:hAnsi="Times New Roman" w:cs="Times New Roman"/>
          <w:sz w:val="24"/>
          <w:szCs w:val="24"/>
        </w:rPr>
        <w:t xml:space="preserve"> ustawy). Rozwiązanie to</w:t>
      </w:r>
      <w:r w:rsidR="00297A37" w:rsidRPr="00D04BA0">
        <w:rPr>
          <w:rFonts w:ascii="Times New Roman" w:hAnsi="Times New Roman" w:cs="Times New Roman"/>
          <w:sz w:val="24"/>
          <w:szCs w:val="24"/>
        </w:rPr>
        <w:t xml:space="preserve"> </w:t>
      </w:r>
      <w:r w:rsidR="003C6CB7" w:rsidRPr="00D04BA0">
        <w:rPr>
          <w:rFonts w:ascii="Times New Roman" w:hAnsi="Times New Roman" w:cs="Times New Roman"/>
          <w:sz w:val="24"/>
          <w:szCs w:val="24"/>
        </w:rPr>
        <w:t>jest konsekwencją formuły wewnętrznie zarządzanego ASI. Należy bowiem zauważyć, iż nałożenie kary na wewnętrznie zarządzającego ASI byłoby tak naprawdę nałożeniem kary na ASI</w:t>
      </w:r>
      <w:r w:rsidR="00AB65F5" w:rsidRPr="00D04BA0">
        <w:rPr>
          <w:rFonts w:ascii="Times New Roman" w:hAnsi="Times New Roman" w:cs="Times New Roman"/>
          <w:sz w:val="24"/>
          <w:szCs w:val="24"/>
        </w:rPr>
        <w:t xml:space="preserve">, a w konsekwencji na </w:t>
      </w:r>
      <w:r w:rsidR="00D83BD5" w:rsidRPr="00D04BA0">
        <w:rPr>
          <w:rFonts w:ascii="Times New Roman" w:hAnsi="Times New Roman" w:cs="Times New Roman"/>
          <w:sz w:val="24"/>
          <w:szCs w:val="24"/>
        </w:rPr>
        <w:t xml:space="preserve">posiadaczy praw uczestnictwa </w:t>
      </w:r>
      <w:r w:rsidR="00AB65F5" w:rsidRPr="00D04BA0">
        <w:rPr>
          <w:rFonts w:ascii="Times New Roman" w:hAnsi="Times New Roman" w:cs="Times New Roman"/>
          <w:sz w:val="24"/>
          <w:szCs w:val="24"/>
        </w:rPr>
        <w:t xml:space="preserve">tych spółek inwestycyjnych, gdyż kara ta zostałaby pokryta z aktywów </w:t>
      </w:r>
      <w:r w:rsidR="00D83BD5" w:rsidRPr="00D04BA0">
        <w:rPr>
          <w:rFonts w:ascii="Times New Roman" w:hAnsi="Times New Roman" w:cs="Times New Roman"/>
          <w:sz w:val="24"/>
          <w:szCs w:val="24"/>
        </w:rPr>
        <w:t>ASI</w:t>
      </w:r>
      <w:r w:rsidR="003C6CB7" w:rsidRPr="00D04BA0">
        <w:rPr>
          <w:rFonts w:ascii="Times New Roman" w:hAnsi="Times New Roman" w:cs="Times New Roman"/>
          <w:sz w:val="24"/>
          <w:szCs w:val="24"/>
        </w:rPr>
        <w:t>.</w:t>
      </w:r>
      <w:r w:rsidR="00D83BD5" w:rsidRPr="00D04BA0">
        <w:rPr>
          <w:rFonts w:ascii="Times New Roman" w:hAnsi="Times New Roman" w:cs="Times New Roman"/>
          <w:sz w:val="24"/>
          <w:szCs w:val="24"/>
        </w:rPr>
        <w:t xml:space="preserve"> </w:t>
      </w:r>
      <w:r w:rsidR="003D7859" w:rsidRPr="00D04BA0">
        <w:rPr>
          <w:rFonts w:ascii="Times New Roman" w:hAnsi="Times New Roman" w:cs="Times New Roman"/>
          <w:sz w:val="24"/>
          <w:szCs w:val="24"/>
        </w:rPr>
        <w:t xml:space="preserve">Zaproponowane </w:t>
      </w:r>
      <w:r w:rsidR="00DF5485">
        <w:rPr>
          <w:rFonts w:ascii="Times New Roman" w:hAnsi="Times New Roman" w:cs="Times New Roman"/>
          <w:sz w:val="24"/>
          <w:szCs w:val="24"/>
        </w:rPr>
        <w:t xml:space="preserve">w </w:t>
      </w:r>
      <w:r w:rsidR="003D7859" w:rsidRPr="00D04BA0">
        <w:rPr>
          <w:rFonts w:ascii="Times New Roman" w:hAnsi="Times New Roman" w:cs="Times New Roman"/>
          <w:sz w:val="24"/>
          <w:szCs w:val="24"/>
        </w:rPr>
        <w:t>projek</w:t>
      </w:r>
      <w:r w:rsidR="00DF5485">
        <w:rPr>
          <w:rFonts w:ascii="Times New Roman" w:hAnsi="Times New Roman" w:cs="Times New Roman"/>
          <w:sz w:val="24"/>
          <w:szCs w:val="24"/>
        </w:rPr>
        <w:t>ci</w:t>
      </w:r>
      <w:r w:rsidR="003D7859" w:rsidRPr="00D04BA0">
        <w:rPr>
          <w:rFonts w:ascii="Times New Roman" w:hAnsi="Times New Roman" w:cs="Times New Roman"/>
          <w:sz w:val="24"/>
          <w:szCs w:val="24"/>
        </w:rPr>
        <w:t xml:space="preserve">e rozwiązanie </w:t>
      </w:r>
      <w:r w:rsidR="00D83BD5" w:rsidRPr="00D04BA0">
        <w:rPr>
          <w:rFonts w:ascii="Times New Roman" w:hAnsi="Times New Roman" w:cs="Times New Roman"/>
          <w:sz w:val="24"/>
          <w:szCs w:val="24"/>
        </w:rPr>
        <w:t>ma nie tylko za zadanie penalizację w trybie administracyjnym bezprawnych działań zarządu</w:t>
      </w:r>
      <w:r w:rsidR="003D7859" w:rsidRPr="00D04BA0">
        <w:rPr>
          <w:rFonts w:ascii="Times New Roman" w:hAnsi="Times New Roman" w:cs="Times New Roman"/>
          <w:sz w:val="24"/>
          <w:szCs w:val="24"/>
        </w:rPr>
        <w:t>,</w:t>
      </w:r>
      <w:r w:rsidR="00D83BD5" w:rsidRPr="00D04BA0">
        <w:rPr>
          <w:rFonts w:ascii="Times New Roman" w:hAnsi="Times New Roman" w:cs="Times New Roman"/>
          <w:sz w:val="24"/>
          <w:szCs w:val="24"/>
        </w:rPr>
        <w:t xml:space="preserve"> ale jednocześnie zawiera w sobie element prewencyjny, wymuszający na członkach zarządu działanie, zgodnie z przepisami prawa oraz w jak najlepiej pojętym interesie zarządzanego przez nich ASI.</w:t>
      </w:r>
    </w:p>
    <w:p w:rsidR="00851F23" w:rsidRPr="00D04BA0" w:rsidRDefault="00851F23"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Projekt przewiduje, że co do zasady, wydanie zezwoleń określonych w ustawie</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również podmiotom z nowej grupy objętej jej regulacjami – będzie podlegać takim samym opłatom</w:t>
      </w:r>
      <w:r w:rsidR="009F0EFE" w:rsidRPr="00D04BA0">
        <w:rPr>
          <w:rFonts w:ascii="Times New Roman" w:hAnsi="Times New Roman" w:cs="Times New Roman"/>
          <w:sz w:val="24"/>
          <w:szCs w:val="24"/>
        </w:rPr>
        <w:t xml:space="preserve">. Opłatę w </w:t>
      </w:r>
      <w:r w:rsidR="00EB3377" w:rsidRPr="00D04BA0">
        <w:rPr>
          <w:rFonts w:ascii="Times New Roman" w:hAnsi="Times New Roman" w:cs="Times New Roman"/>
          <w:sz w:val="24"/>
          <w:szCs w:val="24"/>
        </w:rPr>
        <w:t>niższej</w:t>
      </w:r>
      <w:r w:rsidR="009F0EFE" w:rsidRPr="00D04BA0">
        <w:rPr>
          <w:rFonts w:ascii="Times New Roman" w:hAnsi="Times New Roman" w:cs="Times New Roman"/>
          <w:sz w:val="24"/>
          <w:szCs w:val="24"/>
        </w:rPr>
        <w:t xml:space="preserve"> wysokości</w:t>
      </w:r>
      <w:r w:rsidR="00EB3377" w:rsidRPr="00D04BA0">
        <w:rPr>
          <w:rFonts w:ascii="Times New Roman" w:hAnsi="Times New Roman" w:cs="Times New Roman"/>
          <w:sz w:val="24"/>
          <w:szCs w:val="24"/>
        </w:rPr>
        <w:t xml:space="preserve"> (</w:t>
      </w:r>
      <w:r w:rsidR="007E273A" w:rsidRPr="00D04BA0">
        <w:rPr>
          <w:rFonts w:ascii="Times New Roman" w:hAnsi="Times New Roman" w:cs="Times New Roman"/>
          <w:sz w:val="24"/>
          <w:szCs w:val="24"/>
        </w:rPr>
        <w:t xml:space="preserve">do </w:t>
      </w:r>
      <w:r w:rsidR="00EB3377" w:rsidRPr="00D04BA0">
        <w:rPr>
          <w:rFonts w:ascii="Times New Roman" w:hAnsi="Times New Roman" w:cs="Times New Roman"/>
          <w:sz w:val="24"/>
          <w:szCs w:val="24"/>
        </w:rPr>
        <w:t>2</w:t>
      </w:r>
      <w:r w:rsidR="00D04BA0">
        <w:rPr>
          <w:rFonts w:ascii="Times New Roman" w:hAnsi="Times New Roman" w:cs="Times New Roman"/>
          <w:sz w:val="24"/>
          <w:szCs w:val="24"/>
        </w:rPr>
        <w:t xml:space="preserve"> </w:t>
      </w:r>
      <w:r w:rsidR="00EB3377" w:rsidRPr="00D04BA0">
        <w:rPr>
          <w:rFonts w:ascii="Times New Roman" w:hAnsi="Times New Roman" w:cs="Times New Roman"/>
          <w:sz w:val="24"/>
          <w:szCs w:val="24"/>
        </w:rPr>
        <w:t xml:space="preserve">000 </w:t>
      </w:r>
      <w:r w:rsidR="00FD5AED" w:rsidRPr="00D04BA0">
        <w:rPr>
          <w:rFonts w:ascii="Times New Roman" w:hAnsi="Times New Roman" w:cs="Times New Roman"/>
          <w:sz w:val="24"/>
          <w:szCs w:val="24"/>
        </w:rPr>
        <w:t>euro</w:t>
      </w:r>
      <w:r w:rsidR="00EB3377" w:rsidRPr="00D04BA0">
        <w:rPr>
          <w:rFonts w:ascii="Times New Roman" w:hAnsi="Times New Roman" w:cs="Times New Roman"/>
          <w:sz w:val="24"/>
          <w:szCs w:val="24"/>
        </w:rPr>
        <w:t>)</w:t>
      </w:r>
      <w:r w:rsidR="009F0EFE" w:rsidRPr="00D04BA0">
        <w:rPr>
          <w:rFonts w:ascii="Times New Roman" w:hAnsi="Times New Roman" w:cs="Times New Roman"/>
          <w:sz w:val="24"/>
          <w:szCs w:val="24"/>
        </w:rPr>
        <w:t xml:space="preserve">, </w:t>
      </w:r>
      <w:r w:rsidR="00EB3377" w:rsidRPr="00D04BA0">
        <w:rPr>
          <w:rFonts w:ascii="Times New Roman" w:hAnsi="Times New Roman" w:cs="Times New Roman"/>
          <w:sz w:val="24"/>
          <w:szCs w:val="24"/>
        </w:rPr>
        <w:t>niż</w:t>
      </w:r>
      <w:r w:rsidR="009F0EFE" w:rsidRPr="00D04BA0">
        <w:rPr>
          <w:rFonts w:ascii="Times New Roman" w:hAnsi="Times New Roman" w:cs="Times New Roman"/>
          <w:sz w:val="24"/>
          <w:szCs w:val="24"/>
        </w:rPr>
        <w:t xml:space="preserve"> za wydanie zezwolenia, proponuje się wprowadzić dla dokonania wpisu zarządzającego ASI do rejestru takich podmiotów. Przewiduje się </w:t>
      </w:r>
      <w:r w:rsidR="00EB3377" w:rsidRPr="00D04BA0">
        <w:rPr>
          <w:rFonts w:ascii="Times New Roman" w:hAnsi="Times New Roman" w:cs="Times New Roman"/>
          <w:sz w:val="24"/>
          <w:szCs w:val="24"/>
        </w:rPr>
        <w:t>także</w:t>
      </w:r>
      <w:r w:rsidR="009F0EFE" w:rsidRPr="00D04BA0">
        <w:rPr>
          <w:rFonts w:ascii="Times New Roman" w:hAnsi="Times New Roman" w:cs="Times New Roman"/>
          <w:sz w:val="24"/>
          <w:szCs w:val="24"/>
        </w:rPr>
        <w:t xml:space="preserve"> zmniejszenie wysokości </w:t>
      </w:r>
      <w:r w:rsidR="007E273A" w:rsidRPr="00D04BA0">
        <w:rPr>
          <w:rFonts w:ascii="Times New Roman" w:hAnsi="Times New Roman" w:cs="Times New Roman"/>
          <w:sz w:val="24"/>
          <w:szCs w:val="24"/>
        </w:rPr>
        <w:t xml:space="preserve">maksymalnej </w:t>
      </w:r>
      <w:r w:rsidR="009F0EFE" w:rsidRPr="00D04BA0">
        <w:rPr>
          <w:rFonts w:ascii="Times New Roman" w:hAnsi="Times New Roman" w:cs="Times New Roman"/>
          <w:sz w:val="24"/>
          <w:szCs w:val="24"/>
        </w:rPr>
        <w:t xml:space="preserve">opłaty za udzielane </w:t>
      </w:r>
      <w:r w:rsidR="00EB3377" w:rsidRPr="00D04BA0">
        <w:rPr>
          <w:rFonts w:ascii="Times New Roman" w:hAnsi="Times New Roman" w:cs="Times New Roman"/>
          <w:sz w:val="24"/>
          <w:szCs w:val="24"/>
        </w:rPr>
        <w:t xml:space="preserve">TFI </w:t>
      </w:r>
      <w:r w:rsidR="009F0EFE" w:rsidRPr="00D04BA0">
        <w:rPr>
          <w:rFonts w:ascii="Times New Roman" w:hAnsi="Times New Roman" w:cs="Times New Roman"/>
          <w:sz w:val="24"/>
          <w:szCs w:val="24"/>
        </w:rPr>
        <w:t xml:space="preserve">„dodatkowo” </w:t>
      </w:r>
      <w:r w:rsidR="00944990" w:rsidRPr="00D04BA0">
        <w:rPr>
          <w:rFonts w:ascii="Times New Roman" w:hAnsi="Times New Roman" w:cs="Times New Roman"/>
          <w:sz w:val="24"/>
          <w:szCs w:val="24"/>
        </w:rPr>
        <w:t>zezwolenia</w:t>
      </w:r>
      <w:r w:rsidR="009F0EFE" w:rsidRPr="00D04BA0">
        <w:rPr>
          <w:rFonts w:ascii="Times New Roman" w:hAnsi="Times New Roman" w:cs="Times New Roman"/>
          <w:sz w:val="24"/>
          <w:szCs w:val="24"/>
        </w:rPr>
        <w:t xml:space="preserve"> na wykonywanie działalności AFI</w:t>
      </w:r>
      <w:r w:rsidR="00EB3377" w:rsidRPr="00D04BA0">
        <w:rPr>
          <w:rFonts w:ascii="Times New Roman" w:hAnsi="Times New Roman" w:cs="Times New Roman"/>
          <w:sz w:val="24"/>
          <w:szCs w:val="24"/>
        </w:rPr>
        <w:t>, natomiast w przypadku jednoczesnego udzielania obu zezwoleń, tj. na wykonywanie działalności przez towarzystwo oraz na zarządzanie AFI pobierana byłaby opłata jak za wydanie jednego zezwolenia</w:t>
      </w:r>
      <w:r w:rsidR="009F0EFE" w:rsidRPr="00D04BA0">
        <w:rPr>
          <w:rFonts w:ascii="Times New Roman" w:hAnsi="Times New Roman" w:cs="Times New Roman"/>
          <w:sz w:val="24"/>
          <w:szCs w:val="24"/>
        </w:rPr>
        <w:t xml:space="preserve"> (art. 236 ustawy).</w:t>
      </w:r>
    </w:p>
    <w:p w:rsidR="00AB19CD" w:rsidRPr="00D04BA0" w:rsidRDefault="00E84D4D"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W stosunku m.in. do funduszy inwestycyjnych otwartych oraz zarządzających nimi TFI </w:t>
      </w:r>
      <w:r w:rsidR="002A5F4B" w:rsidRPr="00D04BA0">
        <w:rPr>
          <w:rFonts w:ascii="Times New Roman" w:hAnsi="Times New Roman" w:cs="Times New Roman"/>
          <w:sz w:val="24"/>
          <w:szCs w:val="24"/>
        </w:rPr>
        <w:t xml:space="preserve">a </w:t>
      </w:r>
      <w:r w:rsidRPr="00D04BA0">
        <w:rPr>
          <w:rFonts w:ascii="Times New Roman" w:hAnsi="Times New Roman" w:cs="Times New Roman"/>
          <w:sz w:val="24"/>
          <w:szCs w:val="24"/>
        </w:rPr>
        <w:t xml:space="preserve">także depozytariuszy tych funduszy, </w:t>
      </w:r>
      <w:r w:rsidR="00986AAC" w:rsidRPr="00D04BA0">
        <w:rPr>
          <w:rFonts w:ascii="Times New Roman" w:hAnsi="Times New Roman" w:cs="Times New Roman"/>
          <w:sz w:val="24"/>
          <w:szCs w:val="24"/>
        </w:rPr>
        <w:t xml:space="preserve">zmieniany </w:t>
      </w:r>
      <w:r w:rsidR="00AB19CD" w:rsidRPr="00D04BA0">
        <w:rPr>
          <w:rFonts w:ascii="Times New Roman" w:hAnsi="Times New Roman" w:cs="Times New Roman"/>
          <w:sz w:val="24"/>
          <w:szCs w:val="24"/>
        </w:rPr>
        <w:t xml:space="preserve">art. </w:t>
      </w:r>
      <w:r w:rsidR="00986AAC" w:rsidRPr="00D04BA0">
        <w:rPr>
          <w:rFonts w:ascii="Times New Roman" w:hAnsi="Times New Roman" w:cs="Times New Roman"/>
          <w:sz w:val="24"/>
          <w:szCs w:val="24"/>
        </w:rPr>
        <w:t xml:space="preserve">38 ustawy o nadzorze nad rynkiem kapitałowym </w:t>
      </w:r>
      <w:r w:rsidR="002A5F4B" w:rsidRPr="00D04BA0">
        <w:rPr>
          <w:rFonts w:ascii="Times New Roman" w:hAnsi="Times New Roman" w:cs="Times New Roman"/>
          <w:sz w:val="24"/>
          <w:szCs w:val="24"/>
        </w:rPr>
        <w:t xml:space="preserve">wprowadza nieistniejące </w:t>
      </w:r>
      <w:r w:rsidR="00222262" w:rsidRPr="00D04BA0">
        <w:rPr>
          <w:rFonts w:ascii="Times New Roman" w:hAnsi="Times New Roman" w:cs="Times New Roman"/>
          <w:sz w:val="24"/>
          <w:szCs w:val="24"/>
        </w:rPr>
        <w:t>dotychczas</w:t>
      </w:r>
      <w:r w:rsidR="002A5F4B" w:rsidRPr="00D04BA0">
        <w:rPr>
          <w:rFonts w:ascii="Times New Roman" w:hAnsi="Times New Roman" w:cs="Times New Roman"/>
          <w:sz w:val="24"/>
          <w:szCs w:val="24"/>
        </w:rPr>
        <w:t xml:space="preserve"> uprawnienie organu nadzoru do żądania nagrań rozmów telefonicznych oraz innych informacji zarejestrowanych za </w:t>
      </w:r>
      <w:r w:rsidR="002A5F4B" w:rsidRPr="00D04BA0">
        <w:rPr>
          <w:rFonts w:ascii="Times New Roman" w:hAnsi="Times New Roman" w:cs="Times New Roman"/>
          <w:sz w:val="24"/>
          <w:szCs w:val="24"/>
        </w:rPr>
        <w:lastRenderedPageBreak/>
        <w:t xml:space="preserve">pośrednictwem urządzeń i systemów teleinformatycznych. </w:t>
      </w:r>
      <w:r w:rsidR="00B5079D" w:rsidRPr="00D04BA0">
        <w:rPr>
          <w:rFonts w:ascii="Times New Roman" w:hAnsi="Times New Roman" w:cs="Times New Roman"/>
          <w:sz w:val="24"/>
          <w:szCs w:val="24"/>
        </w:rPr>
        <w:t>Wprowadzenie w/w rozwiązania jest wymogiem znowelizowanej dyrektywy 2009/65/WE (art. 98 ust. 2 lit.</w:t>
      </w:r>
      <w:r w:rsidR="001D0296">
        <w:rPr>
          <w:rFonts w:ascii="Times New Roman" w:hAnsi="Times New Roman" w:cs="Times New Roman"/>
          <w:sz w:val="24"/>
          <w:szCs w:val="24"/>
        </w:rPr>
        <w:t> </w:t>
      </w:r>
      <w:r w:rsidR="00B5079D" w:rsidRPr="00D04BA0">
        <w:rPr>
          <w:rFonts w:ascii="Times New Roman" w:hAnsi="Times New Roman" w:cs="Times New Roman"/>
          <w:sz w:val="24"/>
          <w:szCs w:val="24"/>
        </w:rPr>
        <w:t>d</w:t>
      </w:r>
      <w:r w:rsidR="00D04BA0">
        <w:rPr>
          <w:rFonts w:ascii="Times New Roman" w:hAnsi="Times New Roman" w:cs="Times New Roman"/>
          <w:sz w:val="24"/>
          <w:szCs w:val="24"/>
        </w:rPr>
        <w:t xml:space="preserve"> </w:t>
      </w:r>
      <w:r w:rsidR="00B5079D" w:rsidRPr="00D04BA0">
        <w:rPr>
          <w:rFonts w:ascii="Times New Roman" w:hAnsi="Times New Roman" w:cs="Times New Roman"/>
          <w:sz w:val="24"/>
          <w:szCs w:val="24"/>
        </w:rPr>
        <w:t xml:space="preserve">(ii) w/w dyrektywy). </w:t>
      </w:r>
      <w:r w:rsidR="00B81930" w:rsidRPr="00D04BA0">
        <w:rPr>
          <w:rFonts w:ascii="Times New Roman" w:hAnsi="Times New Roman" w:cs="Times New Roman"/>
          <w:sz w:val="24"/>
          <w:szCs w:val="24"/>
        </w:rPr>
        <w:t>Możliwość żądania nagrań realizowana będzie jedyni</w:t>
      </w:r>
      <w:r w:rsidR="00AE5FD4">
        <w:rPr>
          <w:rFonts w:ascii="Times New Roman" w:hAnsi="Times New Roman" w:cs="Times New Roman"/>
          <w:sz w:val="24"/>
          <w:szCs w:val="24"/>
        </w:rPr>
        <w:t>e w ramach postę</w:t>
      </w:r>
      <w:r w:rsidR="00B81930" w:rsidRPr="00D04BA0">
        <w:rPr>
          <w:rFonts w:ascii="Times New Roman" w:hAnsi="Times New Roman" w:cs="Times New Roman"/>
          <w:sz w:val="24"/>
          <w:szCs w:val="24"/>
        </w:rPr>
        <w:t xml:space="preserve">powania wyjaśniającego prowadzonego w celu ustalenia czy zachodzą uzasadnione podstawy do złożenia zawiadomienia o podejrzeniu popełnienia przestępstwa lub czy istnieje potrzeba wszczęcia postępowania administracyjnego w odniesieniu do zachowań mogących stanowić naruszenia przepisów ustawy o funduszach inwestycyjnych </w:t>
      </w:r>
      <w:r w:rsidR="00C025BA" w:rsidRPr="00D04BA0">
        <w:rPr>
          <w:rFonts w:ascii="Times New Roman" w:hAnsi="Times New Roman" w:cs="Times New Roman"/>
          <w:sz w:val="24"/>
          <w:szCs w:val="24"/>
        </w:rPr>
        <w:t>i zagrożonych sankcjami karnymi lub odpowiedzialnością administracyjną.</w:t>
      </w:r>
      <w:r w:rsidR="00986AAC" w:rsidRPr="00D04BA0">
        <w:rPr>
          <w:rFonts w:ascii="Times New Roman" w:hAnsi="Times New Roman" w:cs="Times New Roman"/>
          <w:sz w:val="24"/>
          <w:szCs w:val="24"/>
        </w:rPr>
        <w:t xml:space="preserve"> Regulacj</w:t>
      </w:r>
      <w:r w:rsidR="00311615" w:rsidRPr="00D04BA0">
        <w:rPr>
          <w:rFonts w:ascii="Times New Roman" w:hAnsi="Times New Roman" w:cs="Times New Roman"/>
          <w:sz w:val="24"/>
          <w:szCs w:val="24"/>
        </w:rPr>
        <w:t>a</w:t>
      </w:r>
      <w:r w:rsidR="00986AAC" w:rsidRPr="00D04BA0">
        <w:rPr>
          <w:rFonts w:ascii="Times New Roman" w:hAnsi="Times New Roman" w:cs="Times New Roman"/>
          <w:sz w:val="24"/>
          <w:szCs w:val="24"/>
        </w:rPr>
        <w:t xml:space="preserve"> tak</w:t>
      </w:r>
      <w:r w:rsidR="00311615" w:rsidRPr="00D04BA0">
        <w:rPr>
          <w:rFonts w:ascii="Times New Roman" w:hAnsi="Times New Roman" w:cs="Times New Roman"/>
          <w:sz w:val="24"/>
          <w:szCs w:val="24"/>
        </w:rPr>
        <w:t xml:space="preserve">a, jako konieczna dla zapewnienia należytej ochrony interesów inwestorów oraz przestrzegania przez podmioty działające na rynku funduszy inwestycyjnych przepisów regulujących ich funkcjonowanie, mimo iż potencjalnie może ingerować w chronione konstytucyjnie wartości, takie jak tajemnica komunikowania się czy prawo do ochrony prawnej życia prywatnego (art. 47 i art. 49 Konstytucji RP) </w:t>
      </w:r>
      <w:r w:rsidR="001D37A6">
        <w:rPr>
          <w:rFonts w:ascii="Times New Roman" w:hAnsi="Times New Roman" w:cs="Times New Roman"/>
          <w:sz w:val="24"/>
          <w:szCs w:val="24"/>
        </w:rPr>
        <w:t>–</w:t>
      </w:r>
      <w:r w:rsidR="00311615" w:rsidRPr="00D04BA0">
        <w:rPr>
          <w:rFonts w:ascii="Times New Roman" w:hAnsi="Times New Roman" w:cs="Times New Roman"/>
          <w:sz w:val="24"/>
          <w:szCs w:val="24"/>
        </w:rPr>
        <w:t xml:space="preserve"> będzie</w:t>
      </w:r>
      <w:r w:rsidR="00986AAC" w:rsidRPr="00D04BA0">
        <w:rPr>
          <w:rFonts w:ascii="Times New Roman" w:hAnsi="Times New Roman" w:cs="Times New Roman"/>
          <w:sz w:val="24"/>
          <w:szCs w:val="24"/>
        </w:rPr>
        <w:t xml:space="preserve"> </w:t>
      </w:r>
      <w:r w:rsidR="00311615" w:rsidRPr="00D04BA0">
        <w:rPr>
          <w:rFonts w:ascii="Times New Roman" w:hAnsi="Times New Roman" w:cs="Times New Roman"/>
          <w:sz w:val="24"/>
          <w:szCs w:val="24"/>
        </w:rPr>
        <w:t xml:space="preserve">jednocześnie </w:t>
      </w:r>
      <w:r w:rsidR="00986AAC" w:rsidRPr="00D04BA0">
        <w:rPr>
          <w:rFonts w:ascii="Times New Roman" w:hAnsi="Times New Roman" w:cs="Times New Roman"/>
          <w:sz w:val="24"/>
          <w:szCs w:val="24"/>
        </w:rPr>
        <w:t>spełnia</w:t>
      </w:r>
      <w:r w:rsidR="00311615" w:rsidRPr="00D04BA0">
        <w:rPr>
          <w:rFonts w:ascii="Times New Roman" w:hAnsi="Times New Roman" w:cs="Times New Roman"/>
          <w:sz w:val="24"/>
          <w:szCs w:val="24"/>
        </w:rPr>
        <w:t>ć</w:t>
      </w:r>
      <w:r w:rsidR="00986AAC" w:rsidRPr="00D04BA0">
        <w:rPr>
          <w:rFonts w:ascii="Times New Roman" w:hAnsi="Times New Roman" w:cs="Times New Roman"/>
          <w:sz w:val="24"/>
          <w:szCs w:val="24"/>
        </w:rPr>
        <w:t xml:space="preserve"> konstytucyjne standardy proporcjonalności (art. 31 ust. 3 Konstytucji RP).</w:t>
      </w:r>
    </w:p>
    <w:p w:rsidR="00B91B9D" w:rsidRPr="00067927" w:rsidRDefault="00EF5B11" w:rsidP="008E7A41">
      <w:pPr>
        <w:spacing w:before="24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t>Przepisy karne</w:t>
      </w:r>
    </w:p>
    <w:p w:rsidR="00EF5B11" w:rsidRPr="00D04BA0" w:rsidRDefault="00EF5B11"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W projekcie proponuje się wprowadzenie – w związku z nowym obszarem działalności regulowanej ustawą o funduszach inwestycyjnych – sankcji karnych za najpoważniejsze naruszenia prawa w tym obszarze (analogicznie do dotychczasowych sankcji karnych), czyli za prowadzenie działalności bez wymaganego zezwolenia albo wpisu, za fałszowanie informacji dla klienta AFI, za bezprawne wykorzystywanie określeń zastrzeżonych dla alternatywnych spółek inwestycyjnych, za naruszenie obowiązku zachowania tajemnicy zawodowej </w:t>
      </w:r>
      <w:r w:rsidR="00DE7EEC" w:rsidRPr="00D04BA0">
        <w:rPr>
          <w:rFonts w:ascii="Times New Roman" w:hAnsi="Times New Roman" w:cs="Times New Roman"/>
          <w:sz w:val="24"/>
          <w:szCs w:val="24"/>
        </w:rPr>
        <w:t xml:space="preserve">(w związku z rozszerzeniem zakresu podmiotowego i przedmiotowego tego obowiązku) </w:t>
      </w:r>
      <w:r w:rsidRPr="00D04BA0">
        <w:rPr>
          <w:rFonts w:ascii="Times New Roman" w:hAnsi="Times New Roman" w:cs="Times New Roman"/>
          <w:sz w:val="24"/>
          <w:szCs w:val="24"/>
        </w:rPr>
        <w:t>oraz za naruszenie obowiązków przechowywania dokumentacji.</w:t>
      </w:r>
    </w:p>
    <w:p w:rsidR="000E7A36" w:rsidRPr="00067927" w:rsidRDefault="000E7A36" w:rsidP="008E7A41">
      <w:pPr>
        <w:spacing w:before="240" w:after="0" w:line="360" w:lineRule="auto"/>
        <w:jc w:val="both"/>
        <w:rPr>
          <w:rFonts w:ascii="Times New Roman" w:hAnsi="Times New Roman" w:cs="Times New Roman"/>
          <w:bCs/>
          <w:sz w:val="24"/>
          <w:szCs w:val="24"/>
        </w:rPr>
      </w:pPr>
      <w:r w:rsidRPr="00067927">
        <w:rPr>
          <w:rFonts w:ascii="Times New Roman" w:hAnsi="Times New Roman" w:cs="Times New Roman"/>
          <w:sz w:val="24"/>
          <w:szCs w:val="24"/>
        </w:rPr>
        <w:t>Umożliwienie stosowania rozporządze</w:t>
      </w:r>
      <w:r w:rsidR="007E6E52" w:rsidRPr="00067927">
        <w:rPr>
          <w:rFonts w:ascii="Times New Roman" w:hAnsi="Times New Roman" w:cs="Times New Roman"/>
          <w:sz w:val="24"/>
          <w:szCs w:val="24"/>
        </w:rPr>
        <w:t>ń</w:t>
      </w:r>
      <w:r w:rsidRPr="00067927">
        <w:rPr>
          <w:rFonts w:ascii="Times New Roman" w:hAnsi="Times New Roman" w:cs="Times New Roman"/>
          <w:sz w:val="24"/>
          <w:szCs w:val="24"/>
        </w:rPr>
        <w:t xml:space="preserve"> </w:t>
      </w:r>
      <w:r w:rsidRPr="00067927">
        <w:rPr>
          <w:rFonts w:ascii="Times New Roman" w:hAnsi="Times New Roman" w:cs="Times New Roman"/>
          <w:bCs/>
          <w:sz w:val="24"/>
          <w:szCs w:val="24"/>
        </w:rPr>
        <w:t>345/2013 i</w:t>
      </w:r>
      <w:r w:rsidRPr="00067927">
        <w:rPr>
          <w:rFonts w:ascii="Times New Roman" w:hAnsi="Times New Roman" w:cs="Times New Roman"/>
          <w:sz w:val="24"/>
          <w:szCs w:val="24"/>
        </w:rPr>
        <w:t xml:space="preserve"> </w:t>
      </w:r>
      <w:r w:rsidRPr="00067927">
        <w:rPr>
          <w:rFonts w:ascii="Times New Roman" w:hAnsi="Times New Roman" w:cs="Times New Roman"/>
          <w:bCs/>
          <w:sz w:val="24"/>
          <w:szCs w:val="24"/>
        </w:rPr>
        <w:t>346/2013</w:t>
      </w:r>
    </w:p>
    <w:p w:rsidR="000E7A36" w:rsidRPr="00D04BA0" w:rsidRDefault="007E6E52"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Przepisy rozporządzeń 345/2013 i 346/2013 zawierają specyficzną konstrukcję, w której, pomimo bezpośredniej stosowalności tych rozporządzeń, wymaga się od państw członkowskich określenia środków nadzorczych (z zachowaniem zasad proporcjonalności) oraz sankcji. Jednocześnie przepisy rozporządzeń (art. 19–21 w rozporządzeniu 345/2013 oraz art. 20–22 w rozporządzeniu 346/2013) nie stwarzają samoistnego katalogu sankcji ani działań podlegających sankcjonowaniu. Z tego też </w:t>
      </w:r>
      <w:r w:rsidRPr="00D04BA0">
        <w:rPr>
          <w:rFonts w:ascii="Times New Roman" w:hAnsi="Times New Roman" w:cs="Times New Roman"/>
          <w:sz w:val="24"/>
          <w:szCs w:val="24"/>
        </w:rPr>
        <w:lastRenderedPageBreak/>
        <w:t>względu projekt ustawy z</w:t>
      </w:r>
      <w:r w:rsidR="00DF5485">
        <w:rPr>
          <w:rFonts w:ascii="Times New Roman" w:hAnsi="Times New Roman" w:cs="Times New Roman"/>
          <w:sz w:val="24"/>
          <w:szCs w:val="24"/>
        </w:rPr>
        <w:t>a</w:t>
      </w:r>
      <w:r w:rsidRPr="00D04BA0">
        <w:rPr>
          <w:rFonts w:ascii="Times New Roman" w:hAnsi="Times New Roman" w:cs="Times New Roman"/>
          <w:sz w:val="24"/>
          <w:szCs w:val="24"/>
        </w:rPr>
        <w:t xml:space="preserve">wiera odpowiednie przepisy przyznające Komisji kompetencję do stosowania określonych środków nadzorczych oraz sankcji administracyjnych, a także zapewniające stosowalność przedmiotowych rozporządzeń. Przykładowo oba z rozporządzeń przewidują obowiązek prowadzenia przez właściwe organy nadzoru </w:t>
      </w:r>
      <w:r w:rsidR="00BB1524" w:rsidRPr="00D04BA0">
        <w:rPr>
          <w:rFonts w:ascii="Times New Roman" w:hAnsi="Times New Roman" w:cs="Times New Roman"/>
          <w:sz w:val="24"/>
          <w:szCs w:val="24"/>
        </w:rPr>
        <w:t xml:space="preserve">rejestru zarządzających EuVECA oraz zarządzających EuSEF, niemniej jednak celem wyeliminowania potencjalnych wątpliwości projekt ustawy doprecyzowuje, </w:t>
      </w:r>
      <w:r w:rsidRPr="00D04BA0">
        <w:rPr>
          <w:rFonts w:ascii="Times New Roman" w:hAnsi="Times New Roman" w:cs="Times New Roman"/>
          <w:sz w:val="24"/>
          <w:szCs w:val="24"/>
        </w:rPr>
        <w:t>że odmowy wpisu zarządzającego ASI do rejestru zarządzających EuVECA albo rejestru zarządzających EuSEF dokonuje się w formie decyzji administracyjnej</w:t>
      </w:r>
      <w:r w:rsidR="00BB1524" w:rsidRPr="00D04BA0">
        <w:rPr>
          <w:rFonts w:ascii="Times New Roman" w:hAnsi="Times New Roman" w:cs="Times New Roman"/>
          <w:sz w:val="24"/>
          <w:szCs w:val="24"/>
        </w:rPr>
        <w:t xml:space="preserve"> (art. 13</w:t>
      </w:r>
      <w:r w:rsidR="00E84C73">
        <w:rPr>
          <w:rFonts w:ascii="Times New Roman" w:hAnsi="Times New Roman" w:cs="Times New Roman"/>
          <w:sz w:val="24"/>
          <w:szCs w:val="24"/>
        </w:rPr>
        <w:t>a</w:t>
      </w:r>
      <w:r w:rsidR="00BB1524" w:rsidRPr="00D04BA0">
        <w:rPr>
          <w:rFonts w:ascii="Times New Roman" w:hAnsi="Times New Roman" w:cs="Times New Roman"/>
          <w:sz w:val="24"/>
          <w:szCs w:val="24"/>
        </w:rPr>
        <w:t xml:space="preserve"> ustawy). </w:t>
      </w:r>
      <w:r w:rsidR="00AC2624" w:rsidRPr="00D04BA0">
        <w:rPr>
          <w:rFonts w:ascii="Times New Roman" w:hAnsi="Times New Roman" w:cs="Times New Roman"/>
          <w:sz w:val="24"/>
          <w:szCs w:val="24"/>
        </w:rPr>
        <w:t>Ponadto, celem umożliwienia sprawowania efektywnego nadzoru nad EuVECA i EuSEF oraz zarządzającymi tymi podmiotami w projektowanej ustawi</w:t>
      </w:r>
      <w:r w:rsidR="003424E7" w:rsidRPr="00D04BA0">
        <w:rPr>
          <w:rFonts w:ascii="Times New Roman" w:hAnsi="Times New Roman" w:cs="Times New Roman"/>
          <w:sz w:val="24"/>
          <w:szCs w:val="24"/>
        </w:rPr>
        <w:t>e</w:t>
      </w:r>
      <w:r w:rsidR="00AC2624" w:rsidRPr="00D04BA0">
        <w:rPr>
          <w:rFonts w:ascii="Times New Roman" w:hAnsi="Times New Roman" w:cs="Times New Roman"/>
          <w:sz w:val="24"/>
          <w:szCs w:val="24"/>
        </w:rPr>
        <w:t xml:space="preserve">, podobnie jak ma to miejsce obecnie w przypadku TFI oraz funduszy inwestycyjnych, </w:t>
      </w:r>
      <w:r w:rsidR="003424E7" w:rsidRPr="00D04BA0">
        <w:rPr>
          <w:rFonts w:ascii="Times New Roman" w:hAnsi="Times New Roman" w:cs="Times New Roman"/>
          <w:sz w:val="24"/>
          <w:szCs w:val="24"/>
        </w:rPr>
        <w:t>z</w:t>
      </w:r>
      <w:r w:rsidR="00AC2624" w:rsidRPr="00D04BA0">
        <w:rPr>
          <w:rFonts w:ascii="Times New Roman" w:hAnsi="Times New Roman" w:cs="Times New Roman"/>
          <w:sz w:val="24"/>
          <w:szCs w:val="24"/>
        </w:rPr>
        <w:t>obowiązano biegłych rewidentów do informowania Komisji o stwierdzonych podczas badania lub przeglądu sprawozdań finansowych tych podmiotów istotnych uchybieniach w działalności badanego podmiotu oraz naruszeniach obowiązujących przepisów (art. 223 ustawy)</w:t>
      </w:r>
      <w:r w:rsidR="003424E7" w:rsidRPr="00D04BA0">
        <w:rPr>
          <w:rFonts w:ascii="Times New Roman" w:hAnsi="Times New Roman" w:cs="Times New Roman"/>
          <w:sz w:val="24"/>
          <w:szCs w:val="24"/>
        </w:rPr>
        <w:t>, zobowiązano EuVECA i EuSEF do dostarczania Komisji informacji bieżących i okresowych (art. 225 ust. 4 i 5), uprawniono osobę upoważnioną przez Przewodniczącego Komisji do wstępu do pomieszczeń podmiotu, któremu zarządzający ASI prowadzący działalność na podstawie wpisu do rejestru zarządzających ASI wpisany do rejestru zarządzających EuVECA lub wpisany do rejestru zarządzających EuSEF, powierzył wykonywanie czynności (art. 226 ust. 1</w:t>
      </w:r>
      <w:r w:rsidR="00E30E7C" w:rsidRPr="00D04BA0">
        <w:rPr>
          <w:rFonts w:ascii="Times New Roman" w:hAnsi="Times New Roman" w:cs="Times New Roman"/>
          <w:sz w:val="24"/>
          <w:szCs w:val="24"/>
        </w:rPr>
        <w:t xml:space="preserve"> pkt</w:t>
      </w:r>
      <w:r w:rsidR="001D0296">
        <w:rPr>
          <w:rFonts w:ascii="Times New Roman" w:hAnsi="Times New Roman" w:cs="Times New Roman"/>
          <w:sz w:val="24"/>
          <w:szCs w:val="24"/>
        </w:rPr>
        <w:t> </w:t>
      </w:r>
      <w:r w:rsidR="00E30E7C" w:rsidRPr="00D04BA0">
        <w:rPr>
          <w:rFonts w:ascii="Times New Roman" w:hAnsi="Times New Roman" w:cs="Times New Roman"/>
          <w:sz w:val="24"/>
          <w:szCs w:val="24"/>
        </w:rPr>
        <w:t>4b) oraz żądania od takiego podmiotu</w:t>
      </w:r>
      <w:r w:rsidR="00D04BA0">
        <w:rPr>
          <w:rFonts w:ascii="Times New Roman" w:hAnsi="Times New Roman" w:cs="Times New Roman"/>
          <w:sz w:val="24"/>
          <w:szCs w:val="24"/>
        </w:rPr>
        <w:t xml:space="preserve"> </w:t>
      </w:r>
      <w:r w:rsidR="00E30E7C" w:rsidRPr="00D04BA0">
        <w:rPr>
          <w:rFonts w:ascii="Times New Roman" w:hAnsi="Times New Roman" w:cs="Times New Roman"/>
          <w:sz w:val="24"/>
          <w:szCs w:val="24"/>
        </w:rPr>
        <w:t>informacji, dokumentów lub wyjaśnień (art.</w:t>
      </w:r>
      <w:r w:rsidR="001D0296">
        <w:rPr>
          <w:rFonts w:ascii="Times New Roman" w:hAnsi="Times New Roman" w:cs="Times New Roman"/>
          <w:sz w:val="24"/>
          <w:szCs w:val="24"/>
        </w:rPr>
        <w:t> </w:t>
      </w:r>
      <w:r w:rsidR="00E30E7C" w:rsidRPr="00D04BA0">
        <w:rPr>
          <w:rFonts w:ascii="Times New Roman" w:hAnsi="Times New Roman" w:cs="Times New Roman"/>
          <w:sz w:val="24"/>
          <w:szCs w:val="24"/>
        </w:rPr>
        <w:t>225a pkt 3b).</w:t>
      </w:r>
      <w:r w:rsidR="00D04BA0">
        <w:rPr>
          <w:rFonts w:ascii="Times New Roman" w:hAnsi="Times New Roman" w:cs="Times New Roman"/>
          <w:sz w:val="24"/>
          <w:szCs w:val="24"/>
        </w:rPr>
        <w:t xml:space="preserve"> </w:t>
      </w:r>
    </w:p>
    <w:p w:rsidR="00D85F30" w:rsidRPr="00067927" w:rsidRDefault="00D85F30" w:rsidP="008E7A41">
      <w:pPr>
        <w:spacing w:before="240" w:after="0" w:line="360" w:lineRule="auto"/>
        <w:jc w:val="both"/>
        <w:rPr>
          <w:rFonts w:ascii="Times New Roman" w:hAnsi="Times New Roman" w:cs="Times New Roman"/>
          <w:sz w:val="24"/>
          <w:szCs w:val="24"/>
        </w:rPr>
      </w:pPr>
      <w:r w:rsidRPr="00067927">
        <w:rPr>
          <w:rFonts w:ascii="Times New Roman" w:hAnsi="Times New Roman" w:cs="Times New Roman"/>
          <w:sz w:val="24"/>
          <w:szCs w:val="24"/>
        </w:rPr>
        <w:t>Zmiany innych ustaw</w:t>
      </w:r>
    </w:p>
    <w:p w:rsidR="00B91B9D" w:rsidRPr="00D04BA0" w:rsidRDefault="00D85F30"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1. Ustawa o r</w:t>
      </w:r>
      <w:r w:rsidR="00B91B9D" w:rsidRPr="00D04BA0">
        <w:rPr>
          <w:rFonts w:ascii="Times New Roman" w:hAnsi="Times New Roman" w:cs="Times New Roman"/>
          <w:sz w:val="24"/>
          <w:szCs w:val="24"/>
        </w:rPr>
        <w:t>achunkowoś</w:t>
      </w:r>
      <w:r w:rsidRPr="00D04BA0">
        <w:rPr>
          <w:rFonts w:ascii="Times New Roman" w:hAnsi="Times New Roman" w:cs="Times New Roman"/>
          <w:sz w:val="24"/>
          <w:szCs w:val="24"/>
        </w:rPr>
        <w:t>ci (art. 7 projektu)</w:t>
      </w:r>
    </w:p>
    <w:p w:rsidR="00B91B9D" w:rsidRPr="00D04BA0" w:rsidRDefault="00B91B9D"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Zmodyfikowano zakres podmiotowy ustawy. Na szczególnych zasadach, tj. bez względu na wielkość przychodów, objęte tym zakresem </w:t>
      </w:r>
      <w:r w:rsidR="00DE7EEC" w:rsidRPr="00D04BA0">
        <w:rPr>
          <w:rFonts w:ascii="Times New Roman" w:hAnsi="Times New Roman" w:cs="Times New Roman"/>
          <w:sz w:val="24"/>
          <w:szCs w:val="24"/>
        </w:rPr>
        <w:t xml:space="preserve">będą </w:t>
      </w:r>
      <w:r w:rsidRPr="00D04BA0">
        <w:rPr>
          <w:rFonts w:ascii="Times New Roman" w:hAnsi="Times New Roman" w:cs="Times New Roman"/>
          <w:sz w:val="24"/>
          <w:szCs w:val="24"/>
        </w:rPr>
        <w:t>prowadzące działalność na podstawie ustawy o funduszach inwestycyjnych: TFI oraz fundusze inwestycyjne (jak dotychczas) oraz nowa grupa podmiotów czyli zarządzający ASI</w:t>
      </w:r>
      <w:r w:rsidR="003913DC" w:rsidRPr="00D04BA0">
        <w:rPr>
          <w:rFonts w:ascii="Times New Roman" w:hAnsi="Times New Roman" w:cs="Times New Roman"/>
          <w:sz w:val="24"/>
          <w:szCs w:val="24"/>
        </w:rPr>
        <w:t xml:space="preserve">, niezależnie od tego czy </w:t>
      </w:r>
      <w:r w:rsidRPr="00D04BA0">
        <w:rPr>
          <w:rFonts w:ascii="Times New Roman" w:hAnsi="Times New Roman" w:cs="Times New Roman"/>
          <w:sz w:val="24"/>
          <w:szCs w:val="24"/>
        </w:rPr>
        <w:t xml:space="preserve">prowadzą działalność na podstawie zezwolenia </w:t>
      </w:r>
      <w:r w:rsidR="003913DC" w:rsidRPr="00D04BA0">
        <w:rPr>
          <w:rFonts w:ascii="Times New Roman" w:hAnsi="Times New Roman" w:cs="Times New Roman"/>
          <w:sz w:val="24"/>
          <w:szCs w:val="24"/>
        </w:rPr>
        <w:t xml:space="preserve">czy na podstawie wpisu do rejestru </w:t>
      </w:r>
      <w:r w:rsidRPr="00D04BA0">
        <w:rPr>
          <w:rFonts w:ascii="Times New Roman" w:hAnsi="Times New Roman" w:cs="Times New Roman"/>
          <w:sz w:val="24"/>
          <w:szCs w:val="24"/>
        </w:rPr>
        <w:t>(art.</w:t>
      </w:r>
      <w:r w:rsidR="00F001D1">
        <w:rPr>
          <w:rFonts w:ascii="Times New Roman" w:hAnsi="Times New Roman" w:cs="Times New Roman"/>
          <w:sz w:val="24"/>
          <w:szCs w:val="24"/>
        </w:rPr>
        <w:t xml:space="preserve"> </w:t>
      </w:r>
      <w:r w:rsidRPr="00D04BA0">
        <w:rPr>
          <w:rFonts w:ascii="Times New Roman" w:hAnsi="Times New Roman" w:cs="Times New Roman"/>
          <w:sz w:val="24"/>
          <w:szCs w:val="24"/>
        </w:rPr>
        <w:t xml:space="preserve">2 ust. 1 pkt 3 ustawy o rachunkowości). </w:t>
      </w:r>
      <w:r w:rsidR="0063765B" w:rsidRPr="00D04BA0">
        <w:rPr>
          <w:rFonts w:ascii="Times New Roman" w:hAnsi="Times New Roman" w:cs="Times New Roman"/>
          <w:sz w:val="24"/>
          <w:szCs w:val="24"/>
        </w:rPr>
        <w:t>D</w:t>
      </w:r>
      <w:r w:rsidRPr="00D04BA0">
        <w:rPr>
          <w:rFonts w:ascii="Times New Roman" w:hAnsi="Times New Roman" w:cs="Times New Roman"/>
          <w:sz w:val="24"/>
          <w:szCs w:val="24"/>
        </w:rPr>
        <w:t>odawany art. 2 ust. 2</w:t>
      </w:r>
      <w:r w:rsidR="00C47308" w:rsidRPr="00D04BA0">
        <w:rPr>
          <w:rFonts w:ascii="Times New Roman" w:hAnsi="Times New Roman" w:cs="Times New Roman"/>
          <w:sz w:val="24"/>
          <w:szCs w:val="24"/>
        </w:rPr>
        <w:t>b</w:t>
      </w:r>
      <w:r w:rsidRPr="00D04BA0">
        <w:rPr>
          <w:rFonts w:ascii="Times New Roman" w:hAnsi="Times New Roman" w:cs="Times New Roman"/>
          <w:sz w:val="24"/>
          <w:szCs w:val="24"/>
        </w:rPr>
        <w:t xml:space="preserve"> ustawy o rachunkowości reguluje odrębnie stosowanie ustawy do alternatywnych spółek inwestycyjnych (jako podmioty, które nie prowadzą działalności „na podstawie” ustawy </w:t>
      </w:r>
      <w:r w:rsidRPr="00D04BA0">
        <w:rPr>
          <w:rFonts w:ascii="Times New Roman" w:hAnsi="Times New Roman" w:cs="Times New Roman"/>
          <w:sz w:val="24"/>
          <w:szCs w:val="24"/>
        </w:rPr>
        <w:lastRenderedPageBreak/>
        <w:t xml:space="preserve">o funduszach inwestycyjnych są one ujęte w odrębnej regulacji) – co do zasady bez względu na wielkość przychodu ustawie podlegać będzie taka spółka, </w:t>
      </w:r>
      <w:r w:rsidR="003913DC" w:rsidRPr="00D04BA0">
        <w:rPr>
          <w:rFonts w:ascii="Times New Roman" w:hAnsi="Times New Roman" w:cs="Times New Roman"/>
          <w:sz w:val="24"/>
          <w:szCs w:val="24"/>
        </w:rPr>
        <w:t xml:space="preserve">niezależnie od tego czy </w:t>
      </w:r>
      <w:r w:rsidRPr="00D04BA0">
        <w:rPr>
          <w:rFonts w:ascii="Times New Roman" w:hAnsi="Times New Roman" w:cs="Times New Roman"/>
          <w:sz w:val="24"/>
          <w:szCs w:val="24"/>
        </w:rPr>
        <w:t>jest zarządzana przez zarządzającego ASI działającego na podstawie zezwolenia</w:t>
      </w:r>
      <w:r w:rsidR="003913DC" w:rsidRPr="00D04BA0">
        <w:rPr>
          <w:rFonts w:ascii="Times New Roman" w:hAnsi="Times New Roman" w:cs="Times New Roman"/>
          <w:sz w:val="24"/>
          <w:szCs w:val="24"/>
        </w:rPr>
        <w:t>, czy też wpisu do rejestru</w:t>
      </w:r>
      <w:r w:rsidRPr="00D04BA0">
        <w:rPr>
          <w:rFonts w:ascii="Times New Roman" w:hAnsi="Times New Roman" w:cs="Times New Roman"/>
          <w:sz w:val="24"/>
          <w:szCs w:val="24"/>
        </w:rPr>
        <w:t xml:space="preserve">. </w:t>
      </w:r>
      <w:r w:rsidR="003913DC" w:rsidRPr="00D04BA0">
        <w:rPr>
          <w:rFonts w:ascii="Times New Roman" w:hAnsi="Times New Roman" w:cs="Times New Roman"/>
          <w:iCs/>
          <w:sz w:val="24"/>
          <w:szCs w:val="24"/>
        </w:rPr>
        <w:t xml:space="preserve">Jest to uzasadnione potrzebą m.in. zapewnienia odpowiedniego poziomu ochrony inwestorów alternatywnych spółek inwestycyjnych, którzy powinni otrzymywać w pełnym zakresie sprawozdawczym informacje o tych spółkach oraz koniecznością zapewnienia spójności między wymogami wynikającymi z przepisów o rachunkowości a przepisami dyrektywy ZAFI oraz wymogami rozporządzenia 231/2013. </w:t>
      </w:r>
      <w:r w:rsidR="00C47308" w:rsidRPr="00D04BA0">
        <w:rPr>
          <w:rFonts w:ascii="Times New Roman" w:hAnsi="Times New Roman" w:cs="Times New Roman"/>
          <w:iCs/>
          <w:sz w:val="24"/>
          <w:szCs w:val="24"/>
        </w:rPr>
        <w:t>Brzmienie art. 2 ust. 2b ma ścisły związek z projektowanym brzmieniem art. 64 ust. 1 pkt 2 ustawy o rachunkowości, ze względu na fakt, iż z jednej strony określa on katalog jednostek, których sprawozdania finansowe powinny podlegać badaniu, a z drugiej strony informacje prezentowane w sprawozdaniach rocznych alternatywnych spółek inwestycyjnych (projektowany art. 222d ust. 5 ustawy) są zamieszczane w tych sprawozdaniach po uprzednim ich zbadaniu przez biegłego rewidenta w ramach badania rocznego sprawozdania finansowego. Z tego też względu nieobjęcie alternatywnych spółek inwestycyjnych zarządzanych przez zarządzających ASI wpisanych do rejestru oraz tych zarządzających ASI obowiązkiem stosowania przepisów ustawy o rachunkowości w pełnym zakresie, w tym wymogiem badania sprawozdań finansowych sporządzanych przez te podmioty, był</w:t>
      </w:r>
      <w:r w:rsidR="00362C44">
        <w:rPr>
          <w:rFonts w:ascii="Times New Roman" w:hAnsi="Times New Roman" w:cs="Times New Roman"/>
          <w:iCs/>
          <w:sz w:val="24"/>
          <w:szCs w:val="24"/>
        </w:rPr>
        <w:t>o</w:t>
      </w:r>
      <w:r w:rsidR="00C47308" w:rsidRPr="00D04BA0">
        <w:rPr>
          <w:rFonts w:ascii="Times New Roman" w:hAnsi="Times New Roman" w:cs="Times New Roman"/>
          <w:iCs/>
          <w:sz w:val="24"/>
          <w:szCs w:val="24"/>
        </w:rPr>
        <w:t>by niekorzystn</w:t>
      </w:r>
      <w:r w:rsidR="00362C44">
        <w:rPr>
          <w:rFonts w:ascii="Times New Roman" w:hAnsi="Times New Roman" w:cs="Times New Roman"/>
          <w:iCs/>
          <w:sz w:val="24"/>
          <w:szCs w:val="24"/>
        </w:rPr>
        <w:t>e</w:t>
      </w:r>
      <w:r w:rsidR="00C47308" w:rsidRPr="00D04BA0">
        <w:rPr>
          <w:rFonts w:ascii="Times New Roman" w:hAnsi="Times New Roman" w:cs="Times New Roman"/>
          <w:iCs/>
          <w:sz w:val="24"/>
          <w:szCs w:val="24"/>
        </w:rPr>
        <w:t xml:space="preserve"> z punktu widzenia inwestorów tych alternatywnych spółek inwestycyjnych (ze względu na ograniczony zakres nadzoru sprawowanego nad działalnością tego typu jednostek przez organ nadzoru objęcie sprawozdań finansowych przez nie sporządzanych obowiązkiem badania stanowiłoby dla inwestorów istotne źródło informacji dotyczących rzetelności danych przedstawianych w sprawozdaniach finansowych tych podmiotów przygotowywanych przez niezależny profesjonalny podmiot) oraz z punktu widzenia organu nadzoru (brak objęcia badaniem przez biegłego rewidenta danych prezentowanych w sprawozdaniach finansowych alternatywnych spółek inwestycyjnych, które mają istotny wpływ na wartość dźwigni finansowej stosowanej przez rejestrowych zarządzających ASI – której wysokość może wpływać na powstanie obowiązku wystąpienia o uzyskanie zezwolenia KNF).</w:t>
      </w:r>
      <w:r w:rsidR="00D401DC" w:rsidRPr="00D04BA0">
        <w:rPr>
          <w:rFonts w:ascii="Times New Roman" w:hAnsi="Times New Roman" w:cs="Times New Roman"/>
          <w:iCs/>
          <w:sz w:val="24"/>
          <w:szCs w:val="24"/>
        </w:rPr>
        <w:t xml:space="preserve"> </w:t>
      </w:r>
      <w:r w:rsidR="00D401DC" w:rsidRPr="00D04BA0">
        <w:rPr>
          <w:rFonts w:ascii="Times New Roman" w:hAnsi="Times New Roman" w:cs="Times New Roman"/>
          <w:sz w:val="24"/>
          <w:szCs w:val="24"/>
        </w:rPr>
        <w:t xml:space="preserve">Ponadto, </w:t>
      </w:r>
      <w:r w:rsidR="0063765B" w:rsidRPr="00D04BA0">
        <w:rPr>
          <w:rFonts w:ascii="Times New Roman" w:hAnsi="Times New Roman" w:cs="Times New Roman"/>
          <w:sz w:val="24"/>
          <w:szCs w:val="24"/>
        </w:rPr>
        <w:t>uregulowane w rozporządzeniach</w:t>
      </w:r>
      <w:r w:rsidR="0063765B" w:rsidRPr="00D04BA0">
        <w:rPr>
          <w:rFonts w:ascii="Times New Roman" w:hAnsi="Times New Roman" w:cs="Times New Roman"/>
          <w:bCs/>
          <w:sz w:val="24"/>
          <w:szCs w:val="24"/>
        </w:rPr>
        <w:t xml:space="preserve"> Parlamentu Europejskiego i Rady (UE)</w:t>
      </w:r>
      <w:r w:rsidRPr="00D04BA0">
        <w:rPr>
          <w:rFonts w:ascii="Times New Roman" w:hAnsi="Times New Roman" w:cs="Times New Roman"/>
          <w:sz w:val="24"/>
          <w:szCs w:val="24"/>
        </w:rPr>
        <w:t xml:space="preserve"> </w:t>
      </w:r>
      <w:r w:rsidR="0063765B" w:rsidRPr="00D04BA0">
        <w:rPr>
          <w:rFonts w:ascii="Times New Roman" w:hAnsi="Times New Roman" w:cs="Times New Roman"/>
          <w:bCs/>
          <w:sz w:val="24"/>
          <w:szCs w:val="24"/>
        </w:rPr>
        <w:t xml:space="preserve">nr 345/2013 </w:t>
      </w:r>
      <w:r w:rsidR="0063765B" w:rsidRPr="00D04BA0">
        <w:rPr>
          <w:rFonts w:ascii="Times New Roman" w:hAnsi="Times New Roman" w:cs="Times New Roman"/>
          <w:sz w:val="24"/>
          <w:szCs w:val="24"/>
        </w:rPr>
        <w:t xml:space="preserve">oraz nr </w:t>
      </w:r>
      <w:r w:rsidR="0063765B" w:rsidRPr="00D04BA0">
        <w:rPr>
          <w:rFonts w:ascii="Times New Roman" w:hAnsi="Times New Roman" w:cs="Times New Roman"/>
          <w:bCs/>
          <w:sz w:val="24"/>
          <w:szCs w:val="24"/>
        </w:rPr>
        <w:t xml:space="preserve">346/2013 </w:t>
      </w:r>
      <w:r w:rsidRPr="00D04BA0">
        <w:rPr>
          <w:rFonts w:ascii="Times New Roman" w:hAnsi="Times New Roman" w:cs="Times New Roman"/>
          <w:sz w:val="24"/>
          <w:szCs w:val="24"/>
        </w:rPr>
        <w:t xml:space="preserve">kwalifikowane alternatywne fundusze inwestycyjne uprawnione do korzystania z </w:t>
      </w:r>
      <w:r w:rsidR="0063765B" w:rsidRPr="00D04BA0">
        <w:rPr>
          <w:rFonts w:ascii="Times New Roman" w:hAnsi="Times New Roman" w:cs="Times New Roman"/>
          <w:sz w:val="24"/>
          <w:szCs w:val="24"/>
        </w:rPr>
        <w:t xml:space="preserve">„przywilejów” (m. in. paszportu europejskiego) wynikających z posługiwania się </w:t>
      </w:r>
      <w:r w:rsidRPr="00D04BA0">
        <w:rPr>
          <w:rFonts w:ascii="Times New Roman" w:hAnsi="Times New Roman" w:cs="Times New Roman"/>
          <w:sz w:val="24"/>
          <w:szCs w:val="24"/>
        </w:rPr>
        <w:t>nazw</w:t>
      </w:r>
      <w:r w:rsidR="0063765B" w:rsidRPr="00D04BA0">
        <w:rPr>
          <w:rFonts w:ascii="Times New Roman" w:hAnsi="Times New Roman" w:cs="Times New Roman"/>
          <w:sz w:val="24"/>
          <w:szCs w:val="24"/>
        </w:rPr>
        <w:t>ą</w:t>
      </w:r>
      <w:r w:rsidRPr="00D04BA0">
        <w:rPr>
          <w:rFonts w:ascii="Times New Roman" w:hAnsi="Times New Roman" w:cs="Times New Roman"/>
          <w:sz w:val="24"/>
          <w:szCs w:val="24"/>
        </w:rPr>
        <w:t xml:space="preserve"> </w:t>
      </w:r>
      <w:r w:rsidRPr="00D04BA0">
        <w:rPr>
          <w:rFonts w:ascii="Times New Roman" w:hAnsi="Times New Roman" w:cs="Times New Roman"/>
          <w:sz w:val="24"/>
          <w:szCs w:val="24"/>
        </w:rPr>
        <w:lastRenderedPageBreak/>
        <w:t>EuVECA i EuSEF, których zarządzający działają tylko na podstawie rejestracji a nie zezwolenia</w:t>
      </w:r>
      <w:r w:rsidR="0063765B" w:rsidRPr="00D04BA0">
        <w:rPr>
          <w:rFonts w:ascii="Times New Roman" w:hAnsi="Times New Roman" w:cs="Times New Roman"/>
          <w:sz w:val="24"/>
          <w:szCs w:val="24"/>
        </w:rPr>
        <w:t xml:space="preserve">, zgodnie z ww. rozporządzeniami muszą spełniać szereg warunków, w tym w zakresie rachunkowości. Zatem niezbędne jest objęcie ustawą o rachunkowości również wszystkich alternatywnych spółek inwestycyjnych korzystających z tych nazw – także gdy zarządzający nimi działają na podstawie wpisu do rejestru. </w:t>
      </w:r>
      <w:r w:rsidR="0040516D" w:rsidRPr="00D04BA0">
        <w:rPr>
          <w:rFonts w:ascii="Times New Roman" w:hAnsi="Times New Roman" w:cs="Times New Roman"/>
          <w:sz w:val="24"/>
          <w:szCs w:val="24"/>
        </w:rPr>
        <w:t xml:space="preserve">Mając na uwadze wcześniejsze wyjaśnienia w projekcie przewidziano również brak możliwości uznania za </w:t>
      </w:r>
      <w:r w:rsidR="00D017C3" w:rsidRPr="00D04BA0">
        <w:rPr>
          <w:rFonts w:ascii="Times New Roman" w:hAnsi="Times New Roman" w:cs="Times New Roman"/>
          <w:sz w:val="24"/>
          <w:szCs w:val="24"/>
        </w:rPr>
        <w:t>„</w:t>
      </w:r>
      <w:r w:rsidR="0040516D" w:rsidRPr="00D04BA0">
        <w:rPr>
          <w:rFonts w:ascii="Times New Roman" w:hAnsi="Times New Roman" w:cs="Times New Roman"/>
          <w:sz w:val="24"/>
          <w:szCs w:val="24"/>
        </w:rPr>
        <w:t>jednostki mikro</w:t>
      </w:r>
      <w:r w:rsidR="00D017C3" w:rsidRPr="00D04BA0">
        <w:rPr>
          <w:rFonts w:ascii="Times New Roman" w:hAnsi="Times New Roman" w:cs="Times New Roman"/>
          <w:sz w:val="24"/>
          <w:szCs w:val="24"/>
        </w:rPr>
        <w:t>”</w:t>
      </w:r>
      <w:r w:rsidR="0040516D" w:rsidRPr="00D04BA0">
        <w:rPr>
          <w:rFonts w:ascii="Times New Roman" w:hAnsi="Times New Roman" w:cs="Times New Roman"/>
          <w:sz w:val="24"/>
          <w:szCs w:val="24"/>
        </w:rPr>
        <w:t xml:space="preserve"> </w:t>
      </w:r>
      <w:r w:rsidR="0040516D" w:rsidRPr="00D04BA0">
        <w:rPr>
          <w:rFonts w:ascii="Times New Roman" w:hAnsi="Times New Roman" w:cs="Times New Roman"/>
          <w:iCs/>
          <w:sz w:val="24"/>
          <w:szCs w:val="24"/>
        </w:rPr>
        <w:t xml:space="preserve">zarówno zarządzających ASI posiadających zezwolenie, jak również wpisanych do rejestru oraz zarządzane przez nich alternatywne spółki inwestycyjne (art. 3 ustawy o rachunkowości). </w:t>
      </w:r>
      <w:r w:rsidR="00D017C3" w:rsidRPr="00D04BA0">
        <w:rPr>
          <w:rFonts w:ascii="Times New Roman" w:hAnsi="Times New Roman" w:cs="Times New Roman"/>
          <w:iCs/>
          <w:sz w:val="24"/>
          <w:szCs w:val="24"/>
        </w:rPr>
        <w:t xml:space="preserve">Rozwiązanie to </w:t>
      </w:r>
      <w:r w:rsidR="0040516D" w:rsidRPr="00D04BA0">
        <w:rPr>
          <w:rFonts w:ascii="Times New Roman" w:hAnsi="Times New Roman" w:cs="Times New Roman"/>
          <w:iCs/>
          <w:sz w:val="24"/>
          <w:szCs w:val="24"/>
        </w:rPr>
        <w:t>jest spójn</w:t>
      </w:r>
      <w:r w:rsidR="00D017C3" w:rsidRPr="00D04BA0">
        <w:rPr>
          <w:rFonts w:ascii="Times New Roman" w:hAnsi="Times New Roman" w:cs="Times New Roman"/>
          <w:iCs/>
          <w:sz w:val="24"/>
          <w:szCs w:val="24"/>
        </w:rPr>
        <w:t>e</w:t>
      </w:r>
      <w:r w:rsidR="0040516D" w:rsidRPr="00D04BA0">
        <w:rPr>
          <w:rFonts w:ascii="Times New Roman" w:hAnsi="Times New Roman" w:cs="Times New Roman"/>
          <w:iCs/>
          <w:sz w:val="24"/>
          <w:szCs w:val="24"/>
        </w:rPr>
        <w:t xml:space="preserve"> z wyłączeniem z definicji „jednostek mikro” pozostałych podmiotów nadzorowanych przez KNF</w:t>
      </w:r>
      <w:r w:rsidR="0040516D" w:rsidRPr="008E7A41">
        <w:rPr>
          <w:rFonts w:ascii="Times New Roman" w:hAnsi="Times New Roman" w:cs="Times New Roman"/>
          <w:iCs/>
          <w:sz w:val="24"/>
          <w:szCs w:val="24"/>
        </w:rPr>
        <w:t xml:space="preserve">. Podkreślenia </w:t>
      </w:r>
      <w:r w:rsidR="00D017C3" w:rsidRPr="008E7A41">
        <w:rPr>
          <w:rFonts w:ascii="Times New Roman" w:hAnsi="Times New Roman" w:cs="Times New Roman"/>
          <w:iCs/>
          <w:sz w:val="24"/>
          <w:szCs w:val="24"/>
        </w:rPr>
        <w:t xml:space="preserve">przy tym </w:t>
      </w:r>
      <w:r w:rsidR="0040516D" w:rsidRPr="008E7A41">
        <w:rPr>
          <w:rFonts w:ascii="Times New Roman" w:hAnsi="Times New Roman" w:cs="Times New Roman"/>
          <w:iCs/>
          <w:sz w:val="24"/>
          <w:szCs w:val="24"/>
        </w:rPr>
        <w:t xml:space="preserve">wymaga, że „jednostki mikro” mogą odstąpić od stosowania zasady ostrożnej wyceny, co nie jest zgodne z celem wyceny aktywów </w:t>
      </w:r>
      <w:r w:rsidR="00D017C3" w:rsidRPr="008E7A41">
        <w:rPr>
          <w:rFonts w:ascii="Times New Roman" w:hAnsi="Times New Roman" w:cs="Times New Roman"/>
          <w:iCs/>
          <w:sz w:val="24"/>
          <w:szCs w:val="24"/>
        </w:rPr>
        <w:t xml:space="preserve">alternatywnych spółek inwestycyjnych </w:t>
      </w:r>
      <w:r w:rsidR="0040516D" w:rsidRPr="008E7A41">
        <w:rPr>
          <w:rFonts w:ascii="Times New Roman" w:hAnsi="Times New Roman" w:cs="Times New Roman"/>
          <w:iCs/>
          <w:sz w:val="24"/>
          <w:szCs w:val="24"/>
        </w:rPr>
        <w:t xml:space="preserve">wyrażonym w rozporządzeniu UE 231/2013 i </w:t>
      </w:r>
      <w:r w:rsidR="00D017C3" w:rsidRPr="008E7A41">
        <w:rPr>
          <w:rFonts w:ascii="Times New Roman" w:hAnsi="Times New Roman" w:cs="Times New Roman"/>
          <w:iCs/>
          <w:sz w:val="24"/>
          <w:szCs w:val="24"/>
        </w:rPr>
        <w:t>d</w:t>
      </w:r>
      <w:r w:rsidR="0040516D" w:rsidRPr="008E7A41">
        <w:rPr>
          <w:rFonts w:ascii="Times New Roman" w:hAnsi="Times New Roman" w:cs="Times New Roman"/>
          <w:iCs/>
          <w:sz w:val="24"/>
          <w:szCs w:val="24"/>
        </w:rPr>
        <w:t>yrektywie ZAFI</w:t>
      </w:r>
      <w:r w:rsidR="0040516D" w:rsidRPr="00D04BA0">
        <w:rPr>
          <w:rFonts w:ascii="Times New Roman" w:hAnsi="Times New Roman" w:cs="Times New Roman"/>
          <w:iCs/>
          <w:sz w:val="24"/>
          <w:szCs w:val="24"/>
        </w:rPr>
        <w:t xml:space="preserve"> i mogłoby skutkować ustalaniem niewłaściwej wartości aktywów netto na prawo uczestnictwa </w:t>
      </w:r>
      <w:r w:rsidR="00D017C3" w:rsidRPr="00D04BA0">
        <w:rPr>
          <w:rFonts w:ascii="Times New Roman" w:hAnsi="Times New Roman" w:cs="Times New Roman"/>
          <w:iCs/>
          <w:sz w:val="24"/>
          <w:szCs w:val="24"/>
        </w:rPr>
        <w:t>alternatywnej spółki inwestycyjnej</w:t>
      </w:r>
      <w:r w:rsidR="0040516D" w:rsidRPr="00D04BA0">
        <w:rPr>
          <w:rFonts w:ascii="Times New Roman" w:hAnsi="Times New Roman" w:cs="Times New Roman"/>
          <w:iCs/>
          <w:sz w:val="24"/>
          <w:szCs w:val="24"/>
        </w:rPr>
        <w:t>.</w:t>
      </w:r>
      <w:r w:rsidR="00D017C3" w:rsidRPr="00D04BA0">
        <w:rPr>
          <w:rFonts w:ascii="Times New Roman" w:hAnsi="Times New Roman" w:cs="Times New Roman"/>
          <w:iCs/>
          <w:sz w:val="24"/>
          <w:szCs w:val="24"/>
        </w:rPr>
        <w:t xml:space="preserve"> </w:t>
      </w:r>
      <w:r w:rsidR="00EE625E" w:rsidRPr="00D04BA0">
        <w:rPr>
          <w:rFonts w:ascii="Times New Roman" w:hAnsi="Times New Roman" w:cs="Times New Roman"/>
          <w:sz w:val="24"/>
          <w:szCs w:val="24"/>
        </w:rPr>
        <w:t xml:space="preserve">W konsekwencji tej regulacji, alternatywne spółki inwestycyjne uprawnione do posługiwania się nazwą „EuVECA” albo „EuSEF” nie mogą być także jednostkami mikro, gdyż oznaczałoby stosowanie uproszczeń niedopuszczalnych w świetle wymagań określonych ww. rozporządzeniami unijnymi. Zmiany ustawy o rachunkowości odnoszą się co do zasady do alternatywnych spółek inwestycyjnych, rozszerzając w ich przypadku zakres sprawozdań finansowych o dodatkowe elementy, tj. zestawienie lokat i </w:t>
      </w:r>
      <w:r w:rsidR="00D27A2E" w:rsidRPr="00D04BA0">
        <w:rPr>
          <w:rFonts w:ascii="Times New Roman" w:hAnsi="Times New Roman" w:cs="Times New Roman"/>
          <w:sz w:val="24"/>
          <w:szCs w:val="24"/>
        </w:rPr>
        <w:t>zestawienie informacji dodatkowych o spółce</w:t>
      </w:r>
      <w:r w:rsidR="00EE625E" w:rsidRPr="00D04BA0">
        <w:rPr>
          <w:rFonts w:ascii="Times New Roman" w:hAnsi="Times New Roman" w:cs="Times New Roman"/>
          <w:sz w:val="24"/>
          <w:szCs w:val="24"/>
        </w:rPr>
        <w:t xml:space="preserve">, które są niezbędne ze względu na </w:t>
      </w:r>
      <w:r w:rsidR="00D83BD5" w:rsidRPr="00D04BA0">
        <w:rPr>
          <w:rFonts w:ascii="Times New Roman" w:hAnsi="Times New Roman" w:cs="Times New Roman"/>
          <w:sz w:val="24"/>
          <w:szCs w:val="24"/>
        </w:rPr>
        <w:t xml:space="preserve">potrzebę </w:t>
      </w:r>
      <w:r w:rsidR="003D7859" w:rsidRPr="00D04BA0">
        <w:rPr>
          <w:rFonts w:ascii="Times New Roman" w:hAnsi="Times New Roman" w:cs="Times New Roman"/>
          <w:sz w:val="24"/>
          <w:szCs w:val="24"/>
        </w:rPr>
        <w:t xml:space="preserve">zapewniania </w:t>
      </w:r>
      <w:r w:rsidR="008334A5" w:rsidRPr="00D04BA0">
        <w:rPr>
          <w:rFonts w:ascii="Times New Roman" w:hAnsi="Times New Roman" w:cs="Times New Roman"/>
          <w:sz w:val="24"/>
          <w:szCs w:val="24"/>
        </w:rPr>
        <w:t xml:space="preserve">inwestorom </w:t>
      </w:r>
      <w:r w:rsidR="003D7859" w:rsidRPr="00D04BA0">
        <w:rPr>
          <w:rFonts w:ascii="Times New Roman" w:hAnsi="Times New Roman" w:cs="Times New Roman"/>
          <w:sz w:val="24"/>
          <w:szCs w:val="24"/>
        </w:rPr>
        <w:t xml:space="preserve">kompletnych informacji </w:t>
      </w:r>
      <w:r w:rsidR="008334A5" w:rsidRPr="00D04BA0">
        <w:rPr>
          <w:rFonts w:ascii="Times New Roman" w:hAnsi="Times New Roman" w:cs="Times New Roman"/>
          <w:sz w:val="24"/>
          <w:szCs w:val="24"/>
        </w:rPr>
        <w:t xml:space="preserve">pozwalających na właściwą ocenę sytuacji majątkowej i finansowej alternatywnej spółki inwestycyjnej, a także </w:t>
      </w:r>
      <w:r w:rsidR="002C60B3" w:rsidRPr="00D04BA0">
        <w:rPr>
          <w:rFonts w:ascii="Times New Roman" w:hAnsi="Times New Roman" w:cs="Times New Roman"/>
          <w:sz w:val="24"/>
          <w:szCs w:val="24"/>
        </w:rPr>
        <w:t>ryzyk</w:t>
      </w:r>
      <w:r w:rsidR="00D2362A" w:rsidRPr="00D04BA0">
        <w:rPr>
          <w:rFonts w:ascii="Times New Roman" w:hAnsi="Times New Roman" w:cs="Times New Roman"/>
          <w:sz w:val="24"/>
          <w:szCs w:val="24"/>
        </w:rPr>
        <w:t>a</w:t>
      </w:r>
      <w:r w:rsidR="002C60B3" w:rsidRPr="00D04BA0">
        <w:rPr>
          <w:rFonts w:ascii="Times New Roman" w:hAnsi="Times New Roman" w:cs="Times New Roman"/>
          <w:sz w:val="24"/>
          <w:szCs w:val="24"/>
        </w:rPr>
        <w:t xml:space="preserve"> inwestycyjne</w:t>
      </w:r>
      <w:r w:rsidR="00D2362A" w:rsidRPr="00D04BA0">
        <w:rPr>
          <w:rFonts w:ascii="Times New Roman" w:hAnsi="Times New Roman" w:cs="Times New Roman"/>
          <w:sz w:val="24"/>
          <w:szCs w:val="24"/>
        </w:rPr>
        <w:t>go</w:t>
      </w:r>
      <w:r w:rsidR="002C60B3" w:rsidRPr="00D04BA0">
        <w:rPr>
          <w:rFonts w:ascii="Times New Roman" w:hAnsi="Times New Roman" w:cs="Times New Roman"/>
          <w:sz w:val="24"/>
          <w:szCs w:val="24"/>
        </w:rPr>
        <w:t xml:space="preserve"> </w:t>
      </w:r>
      <w:r w:rsidR="00D2362A" w:rsidRPr="00D04BA0">
        <w:rPr>
          <w:rFonts w:ascii="Times New Roman" w:hAnsi="Times New Roman" w:cs="Times New Roman"/>
          <w:sz w:val="24"/>
          <w:szCs w:val="24"/>
        </w:rPr>
        <w:t xml:space="preserve">wynikającego ze </w:t>
      </w:r>
      <w:r w:rsidR="002C60B3" w:rsidRPr="00D04BA0">
        <w:rPr>
          <w:rFonts w:ascii="Times New Roman" w:hAnsi="Times New Roman" w:cs="Times New Roman"/>
          <w:sz w:val="24"/>
          <w:szCs w:val="24"/>
        </w:rPr>
        <w:t>zbudowan</w:t>
      </w:r>
      <w:r w:rsidR="00D2362A" w:rsidRPr="00D04BA0">
        <w:rPr>
          <w:rFonts w:ascii="Times New Roman" w:hAnsi="Times New Roman" w:cs="Times New Roman"/>
          <w:sz w:val="24"/>
          <w:szCs w:val="24"/>
        </w:rPr>
        <w:t>ego</w:t>
      </w:r>
      <w:r w:rsidR="002C60B3" w:rsidRPr="00D04BA0">
        <w:rPr>
          <w:rFonts w:ascii="Times New Roman" w:hAnsi="Times New Roman" w:cs="Times New Roman"/>
          <w:sz w:val="24"/>
          <w:szCs w:val="24"/>
        </w:rPr>
        <w:t xml:space="preserve"> przez spółkę portfel</w:t>
      </w:r>
      <w:r w:rsidR="00D2362A" w:rsidRPr="00D04BA0">
        <w:rPr>
          <w:rFonts w:ascii="Times New Roman" w:hAnsi="Times New Roman" w:cs="Times New Roman"/>
          <w:sz w:val="24"/>
          <w:szCs w:val="24"/>
        </w:rPr>
        <w:t>a</w:t>
      </w:r>
      <w:r w:rsidR="002C60B3" w:rsidRPr="00D04BA0">
        <w:rPr>
          <w:rFonts w:ascii="Times New Roman" w:hAnsi="Times New Roman" w:cs="Times New Roman"/>
          <w:sz w:val="24"/>
          <w:szCs w:val="24"/>
        </w:rPr>
        <w:t xml:space="preserve"> inwestycyjn</w:t>
      </w:r>
      <w:r w:rsidR="00D2362A" w:rsidRPr="00D04BA0">
        <w:rPr>
          <w:rFonts w:ascii="Times New Roman" w:hAnsi="Times New Roman" w:cs="Times New Roman"/>
          <w:sz w:val="24"/>
          <w:szCs w:val="24"/>
        </w:rPr>
        <w:t>ego</w:t>
      </w:r>
      <w:r w:rsidR="00EE625E" w:rsidRPr="00D04BA0">
        <w:rPr>
          <w:rFonts w:ascii="Times New Roman" w:hAnsi="Times New Roman" w:cs="Times New Roman"/>
          <w:sz w:val="24"/>
          <w:szCs w:val="24"/>
        </w:rPr>
        <w:t xml:space="preserve"> (należy zauważyć, że fundusze inwestycyjne już obecnie – zgodnie z przepisami aktu wykonawczego – obejmują sprawozdaniem zestawienie lokat). </w:t>
      </w:r>
      <w:r w:rsidR="00D27A2E" w:rsidRPr="00D04BA0">
        <w:rPr>
          <w:rFonts w:ascii="Times New Roman" w:hAnsi="Times New Roman" w:cs="Times New Roman"/>
          <w:sz w:val="24"/>
          <w:szCs w:val="24"/>
        </w:rPr>
        <w:t>Ponadto ich sprawozdanie finansowe będzie podlegało badaniu (art. 64 ust. 1 pkt 2 ustawy o rachunkowości). Natomiast oprócz tych spółek również SFIO i FIZ zostały objęte wymogiem sporządzania sprawozdań z działalności jednostki (art. 49 ustawy o rachunkowości), co rozszerza zakres obowiązków sprawozdawczych tych jednostek</w:t>
      </w:r>
      <w:r w:rsidR="00DE7EEC" w:rsidRPr="00D04BA0">
        <w:rPr>
          <w:rFonts w:ascii="Times New Roman" w:hAnsi="Times New Roman" w:cs="Times New Roman"/>
          <w:sz w:val="24"/>
          <w:szCs w:val="24"/>
        </w:rPr>
        <w:t xml:space="preserve"> z uwagi na </w:t>
      </w:r>
      <w:r w:rsidR="00692ACF" w:rsidRPr="00D04BA0">
        <w:rPr>
          <w:rFonts w:ascii="Times New Roman" w:hAnsi="Times New Roman" w:cs="Times New Roman"/>
          <w:sz w:val="24"/>
          <w:szCs w:val="24"/>
        </w:rPr>
        <w:t xml:space="preserve">przepisy art. 105 rozporządzenia 231/2013, które wprost wskazują, iż alternatywne fundusze inwestycyjne zobowiązane są do sporządzenia takiego </w:t>
      </w:r>
      <w:r w:rsidR="00692ACF" w:rsidRPr="00D04BA0">
        <w:rPr>
          <w:rFonts w:ascii="Times New Roman" w:hAnsi="Times New Roman" w:cs="Times New Roman"/>
          <w:sz w:val="24"/>
          <w:szCs w:val="24"/>
        </w:rPr>
        <w:lastRenderedPageBreak/>
        <w:t>sprawozdania.</w:t>
      </w:r>
      <w:r w:rsidR="00D27A2E" w:rsidRPr="00D04BA0">
        <w:rPr>
          <w:rFonts w:ascii="Times New Roman" w:hAnsi="Times New Roman" w:cs="Times New Roman"/>
          <w:sz w:val="24"/>
          <w:szCs w:val="24"/>
        </w:rPr>
        <w:t xml:space="preserve"> Proponuje się w tym zakresie (jak też w odniesieniu do podmiotów, które obecnie prowadzą działalność właściwą dla AFI i będą korzystać z proponowanych rozwiązań przejściowych co do kontynuowania swojej działalności) regulacje przejściowe, które nakazują stosowanie tych zmienionych zasad dopiero do sprawozdań za pierwszy pełny rok obrotowy po wejściu w życie nowelizacji</w:t>
      </w:r>
      <w:r w:rsidR="00DE7EEC" w:rsidRPr="00D04BA0">
        <w:rPr>
          <w:rFonts w:ascii="Times New Roman" w:hAnsi="Times New Roman" w:cs="Times New Roman"/>
          <w:sz w:val="24"/>
          <w:szCs w:val="24"/>
        </w:rPr>
        <w:t xml:space="preserve"> (uzyskaniu zezwolenia)</w:t>
      </w:r>
      <w:r w:rsidR="00D27A2E" w:rsidRPr="00D04BA0">
        <w:rPr>
          <w:rFonts w:ascii="Times New Roman" w:hAnsi="Times New Roman" w:cs="Times New Roman"/>
          <w:sz w:val="24"/>
          <w:szCs w:val="24"/>
        </w:rPr>
        <w:t>.</w:t>
      </w:r>
      <w:r w:rsidR="00D04BA0">
        <w:rPr>
          <w:rFonts w:ascii="Times New Roman" w:hAnsi="Times New Roman" w:cs="Times New Roman"/>
          <w:sz w:val="24"/>
          <w:szCs w:val="24"/>
        </w:rPr>
        <w:t xml:space="preserve"> </w:t>
      </w:r>
    </w:p>
    <w:p w:rsidR="00F10375" w:rsidRPr="00D04BA0" w:rsidRDefault="00D85F30"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2.</w:t>
      </w:r>
      <w:r w:rsidR="00F10375" w:rsidRPr="00D04BA0">
        <w:rPr>
          <w:rFonts w:ascii="Times New Roman" w:hAnsi="Times New Roman" w:cs="Times New Roman"/>
          <w:sz w:val="24"/>
          <w:szCs w:val="24"/>
        </w:rPr>
        <w:t xml:space="preserve"> Ustawa o Bankowym Funduszu Gwarancyjnym (art. 9 projektu)</w:t>
      </w:r>
    </w:p>
    <w:p w:rsidR="00F10375" w:rsidRPr="00D04BA0" w:rsidRDefault="00F10375"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Z uwagi na uznanie </w:t>
      </w:r>
      <w:r w:rsidR="006B4BB5" w:rsidRPr="00D04BA0">
        <w:rPr>
          <w:rFonts w:ascii="Times New Roman" w:hAnsi="Times New Roman" w:cs="Times New Roman"/>
          <w:sz w:val="24"/>
          <w:szCs w:val="24"/>
        </w:rPr>
        <w:t xml:space="preserve">alternatywnych funduszy inwestycyjnych, </w:t>
      </w:r>
      <w:r w:rsidRPr="00D04BA0">
        <w:rPr>
          <w:rFonts w:ascii="Times New Roman" w:hAnsi="Times New Roman" w:cs="Times New Roman"/>
          <w:sz w:val="24"/>
          <w:szCs w:val="24"/>
        </w:rPr>
        <w:t>zarządzających ASI</w:t>
      </w:r>
      <w:r w:rsidR="006B4BB5" w:rsidRPr="00D04BA0">
        <w:rPr>
          <w:rFonts w:ascii="Times New Roman" w:hAnsi="Times New Roman" w:cs="Times New Roman"/>
          <w:sz w:val="24"/>
          <w:szCs w:val="24"/>
        </w:rPr>
        <w:t xml:space="preserve"> oraz zarządzających z UE</w:t>
      </w:r>
      <w:r w:rsidRPr="00D04BA0">
        <w:rPr>
          <w:rFonts w:ascii="Times New Roman" w:hAnsi="Times New Roman" w:cs="Times New Roman"/>
          <w:sz w:val="24"/>
          <w:szCs w:val="24"/>
        </w:rPr>
        <w:t xml:space="preserve"> za podmioty profesjonalne</w:t>
      </w:r>
      <w:r w:rsidR="006B4BB5" w:rsidRPr="00D04BA0">
        <w:rPr>
          <w:rFonts w:ascii="Times New Roman" w:hAnsi="Times New Roman" w:cs="Times New Roman"/>
          <w:sz w:val="24"/>
          <w:szCs w:val="24"/>
        </w:rPr>
        <w:t>,</w:t>
      </w:r>
      <w:r w:rsidRPr="00D04BA0">
        <w:rPr>
          <w:rFonts w:ascii="Times New Roman" w:hAnsi="Times New Roman" w:cs="Times New Roman"/>
          <w:sz w:val="24"/>
          <w:szCs w:val="24"/>
        </w:rPr>
        <w:t xml:space="preserve"> podobnie jak </w:t>
      </w:r>
      <w:r w:rsidR="006B4BB5" w:rsidRPr="00D04BA0">
        <w:rPr>
          <w:rFonts w:ascii="Times New Roman" w:hAnsi="Times New Roman" w:cs="Times New Roman"/>
          <w:sz w:val="24"/>
          <w:szCs w:val="24"/>
        </w:rPr>
        <w:t xml:space="preserve">obecnie </w:t>
      </w:r>
      <w:r w:rsidRPr="00D04BA0">
        <w:rPr>
          <w:rFonts w:ascii="Times New Roman" w:hAnsi="Times New Roman" w:cs="Times New Roman"/>
          <w:sz w:val="24"/>
          <w:szCs w:val="24"/>
        </w:rPr>
        <w:t>TFI</w:t>
      </w:r>
      <w:r w:rsidR="006B4BB5" w:rsidRPr="00D04BA0">
        <w:rPr>
          <w:rFonts w:ascii="Times New Roman" w:hAnsi="Times New Roman" w:cs="Times New Roman"/>
          <w:sz w:val="24"/>
          <w:szCs w:val="24"/>
        </w:rPr>
        <w:t>,</w:t>
      </w:r>
      <w:r w:rsidRPr="00D04BA0">
        <w:rPr>
          <w:rFonts w:ascii="Times New Roman" w:hAnsi="Times New Roman" w:cs="Times New Roman"/>
          <w:sz w:val="24"/>
          <w:szCs w:val="24"/>
        </w:rPr>
        <w:t xml:space="preserve"> fundusz</w:t>
      </w:r>
      <w:r w:rsidR="006B4BB5" w:rsidRPr="00D04BA0">
        <w:rPr>
          <w:rFonts w:ascii="Times New Roman" w:hAnsi="Times New Roman" w:cs="Times New Roman"/>
          <w:sz w:val="24"/>
          <w:szCs w:val="24"/>
        </w:rPr>
        <w:t>y</w:t>
      </w:r>
      <w:r w:rsidRPr="00D04BA0">
        <w:rPr>
          <w:rFonts w:ascii="Times New Roman" w:hAnsi="Times New Roman" w:cs="Times New Roman"/>
          <w:sz w:val="24"/>
          <w:szCs w:val="24"/>
        </w:rPr>
        <w:t xml:space="preserve"> inwestycyjn</w:t>
      </w:r>
      <w:r w:rsidR="006B4BB5" w:rsidRPr="00D04BA0">
        <w:rPr>
          <w:rFonts w:ascii="Times New Roman" w:hAnsi="Times New Roman" w:cs="Times New Roman"/>
          <w:sz w:val="24"/>
          <w:szCs w:val="24"/>
        </w:rPr>
        <w:t>ych oraz spółek zarządzających,</w:t>
      </w:r>
      <w:r w:rsidRPr="00D04BA0">
        <w:rPr>
          <w:rFonts w:ascii="Times New Roman" w:hAnsi="Times New Roman" w:cs="Times New Roman"/>
          <w:sz w:val="24"/>
          <w:szCs w:val="24"/>
        </w:rPr>
        <w:t xml:space="preserve"> wyłączono te podmioty z systemu gwarantowania depozytów przez modyfikację definicji deponenta (art. 2 pkt 1 lit. f). </w:t>
      </w:r>
      <w:r w:rsidR="006B4BB5" w:rsidRPr="00D04BA0">
        <w:rPr>
          <w:rFonts w:ascii="Times New Roman" w:hAnsi="Times New Roman" w:cs="Times New Roman"/>
          <w:sz w:val="24"/>
          <w:szCs w:val="24"/>
        </w:rPr>
        <w:t>Zmiana art. 16 ust. 3 pkt 3 ustawy ma charakter legislacyjny wynikający ze zmiany nazwy ustawy o funduszach inwestycyjnych.</w:t>
      </w:r>
    </w:p>
    <w:p w:rsidR="00316379" w:rsidRPr="00D04BA0" w:rsidRDefault="00F10375"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3.</w:t>
      </w:r>
      <w:r w:rsidR="00316379" w:rsidRPr="00D04BA0">
        <w:rPr>
          <w:rFonts w:ascii="Times New Roman" w:hAnsi="Times New Roman" w:cs="Times New Roman"/>
          <w:sz w:val="24"/>
          <w:szCs w:val="24"/>
        </w:rPr>
        <w:t xml:space="preserve"> Ustawa o podatku od towarów i usług (art. 22 projektu)</w:t>
      </w:r>
    </w:p>
    <w:p w:rsidR="00316379" w:rsidRPr="00D04BA0" w:rsidRDefault="00377272"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Zgodnie z art. 135 lit. d dyrektywy 2006/112/WE Rady z dnia 28 listopada 2006 r. w sprawie wspólnego systemu podatku od wartości dodanej zwolnione z podatku VAT jest zarządzanie specjalnymi funduszami inwestycyjnymi, określonymi przez państwa członkowskie. Mając na uwadze, iż projektowana ustawa </w:t>
      </w:r>
      <w:r w:rsidR="00460A29" w:rsidRPr="00D04BA0">
        <w:rPr>
          <w:rFonts w:ascii="Times New Roman" w:hAnsi="Times New Roman" w:cs="Times New Roman"/>
          <w:sz w:val="24"/>
          <w:szCs w:val="24"/>
        </w:rPr>
        <w:t>wprowadza nową kategorię funduszy inwestycyjnych, jak</w:t>
      </w:r>
      <w:r w:rsidR="00DF5485">
        <w:rPr>
          <w:rFonts w:ascii="Times New Roman" w:hAnsi="Times New Roman" w:cs="Times New Roman"/>
          <w:sz w:val="24"/>
          <w:szCs w:val="24"/>
        </w:rPr>
        <w:t>ą</w:t>
      </w:r>
      <w:r w:rsidR="00460A29" w:rsidRPr="00D04BA0">
        <w:rPr>
          <w:rFonts w:ascii="Times New Roman" w:hAnsi="Times New Roman" w:cs="Times New Roman"/>
          <w:sz w:val="24"/>
          <w:szCs w:val="24"/>
        </w:rPr>
        <w:t xml:space="preserve"> są </w:t>
      </w:r>
      <w:r w:rsidRPr="00D04BA0">
        <w:rPr>
          <w:rFonts w:ascii="Times New Roman" w:hAnsi="Times New Roman" w:cs="Times New Roman"/>
          <w:sz w:val="24"/>
          <w:szCs w:val="24"/>
        </w:rPr>
        <w:t>alternatywne fundusze inwestycyjne</w:t>
      </w:r>
      <w:r w:rsidR="00460A29" w:rsidRPr="00D04BA0">
        <w:rPr>
          <w:rFonts w:ascii="Times New Roman" w:hAnsi="Times New Roman" w:cs="Times New Roman"/>
          <w:sz w:val="24"/>
          <w:szCs w:val="24"/>
        </w:rPr>
        <w:t>, za zasadne uznano również wprowadzenie odpowiednich zmian w ustawie o podatku dochodowym od towarów i usług.</w:t>
      </w:r>
    </w:p>
    <w:p w:rsidR="00D85F30" w:rsidRPr="00D04BA0" w:rsidRDefault="00BE328D" w:rsidP="00D04BA0">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4</w:t>
      </w:r>
      <w:r w:rsidR="00316379" w:rsidRPr="00D04BA0">
        <w:rPr>
          <w:rFonts w:ascii="Times New Roman" w:hAnsi="Times New Roman" w:cs="Times New Roman"/>
          <w:sz w:val="24"/>
          <w:szCs w:val="24"/>
        </w:rPr>
        <w:t>.</w:t>
      </w:r>
      <w:r w:rsidR="00D85F30" w:rsidRPr="00D04BA0">
        <w:rPr>
          <w:rFonts w:ascii="Times New Roman" w:hAnsi="Times New Roman" w:cs="Times New Roman"/>
          <w:sz w:val="24"/>
          <w:szCs w:val="24"/>
        </w:rPr>
        <w:t xml:space="preserve"> Ustawa o Krajowym Funduszu Kapitałowym (art. 2</w:t>
      </w:r>
      <w:r w:rsidR="00F001D1">
        <w:rPr>
          <w:rFonts w:ascii="Times New Roman" w:hAnsi="Times New Roman" w:cs="Times New Roman"/>
          <w:sz w:val="24"/>
          <w:szCs w:val="24"/>
        </w:rPr>
        <w:t>7</w:t>
      </w:r>
      <w:r w:rsidR="00D85F30" w:rsidRPr="00D04BA0">
        <w:rPr>
          <w:rFonts w:ascii="Times New Roman" w:hAnsi="Times New Roman" w:cs="Times New Roman"/>
          <w:sz w:val="24"/>
          <w:szCs w:val="24"/>
        </w:rPr>
        <w:t xml:space="preserve"> projektu)</w:t>
      </w:r>
    </w:p>
    <w:p w:rsidR="00D85F30" w:rsidRPr="00D04BA0" w:rsidRDefault="00D85F30" w:rsidP="00D04BA0">
      <w:pPr>
        <w:spacing w:before="120" w:after="0" w:line="360" w:lineRule="auto"/>
        <w:jc w:val="both"/>
        <w:rPr>
          <w:rFonts w:ascii="Times New Roman" w:hAnsi="Times New Roman" w:cs="Times New Roman"/>
          <w:bCs/>
          <w:sz w:val="24"/>
          <w:szCs w:val="24"/>
        </w:rPr>
      </w:pPr>
      <w:r w:rsidRPr="00D04BA0">
        <w:rPr>
          <w:rFonts w:ascii="Times New Roman" w:hAnsi="Times New Roman" w:cs="Times New Roman"/>
          <w:sz w:val="24"/>
          <w:szCs w:val="24"/>
        </w:rPr>
        <w:t xml:space="preserve">Uwzględniono w ustawie możliwość wynikającą z dodawanych przepisów rozdziału 4 w dziale IIIa ustawy o funduszach inwestycyjnych, aby działalność alternatywnej spółki inwestycyjnej wykonywała spółka komandytowa albo spółka komandytowo-akcyjna, w których jedynym komplementariuszem jest osoba prawna z siedzibą w państwie trzecim innym niż państwo członkowskie Unii Europejskiej lub Europejskiego Obszaru Gospodarczego, czyli </w:t>
      </w:r>
      <w:r w:rsidRPr="00D04BA0">
        <w:rPr>
          <w:rFonts w:ascii="Times New Roman" w:hAnsi="Times New Roman" w:cs="Times New Roman"/>
          <w:bCs/>
          <w:sz w:val="24"/>
          <w:szCs w:val="24"/>
        </w:rPr>
        <w:t>zarządzający ASI z państw trzeci</w:t>
      </w:r>
      <w:r w:rsidR="00AE5FD4">
        <w:rPr>
          <w:rFonts w:ascii="Times New Roman" w:hAnsi="Times New Roman" w:cs="Times New Roman"/>
          <w:bCs/>
          <w:sz w:val="24"/>
          <w:szCs w:val="24"/>
        </w:rPr>
        <w:t>ch. Dodatkowo w zmienianym art.</w:t>
      </w:r>
      <w:r w:rsidR="00D14EF5">
        <w:rPr>
          <w:rFonts w:ascii="Times New Roman" w:hAnsi="Times New Roman" w:cs="Times New Roman"/>
          <w:bCs/>
          <w:sz w:val="24"/>
          <w:szCs w:val="24"/>
        </w:rPr>
        <w:t xml:space="preserve"> </w:t>
      </w:r>
      <w:r w:rsidRPr="00D04BA0">
        <w:rPr>
          <w:rFonts w:ascii="Times New Roman" w:hAnsi="Times New Roman" w:cs="Times New Roman"/>
          <w:bCs/>
          <w:sz w:val="24"/>
          <w:szCs w:val="24"/>
        </w:rPr>
        <w:t>13 ustawy powiązano procedury uzyskiwania przez taki podmiot zezwolenia albo wpisu na podstawie ustawy o funduszach inwestycyjnych z procedurą pozyskiwania wsparcia ze środków Krajowego Funduszu Kapitałowego.</w:t>
      </w:r>
    </w:p>
    <w:p w:rsidR="00384D4C" w:rsidRPr="00D04BA0" w:rsidRDefault="00BE328D" w:rsidP="00D04BA0">
      <w:pPr>
        <w:spacing w:before="120" w:after="0" w:line="360" w:lineRule="auto"/>
        <w:jc w:val="both"/>
        <w:rPr>
          <w:rFonts w:ascii="Times New Roman" w:hAnsi="Times New Roman" w:cs="Times New Roman"/>
          <w:bCs/>
          <w:sz w:val="24"/>
          <w:szCs w:val="24"/>
        </w:rPr>
      </w:pPr>
      <w:r w:rsidRPr="00D04BA0">
        <w:rPr>
          <w:rFonts w:ascii="Times New Roman" w:hAnsi="Times New Roman" w:cs="Times New Roman"/>
          <w:bCs/>
          <w:sz w:val="24"/>
          <w:szCs w:val="24"/>
        </w:rPr>
        <w:lastRenderedPageBreak/>
        <w:t>5</w:t>
      </w:r>
      <w:r w:rsidR="00384D4C" w:rsidRPr="00D04BA0">
        <w:rPr>
          <w:rFonts w:ascii="Times New Roman" w:hAnsi="Times New Roman" w:cs="Times New Roman"/>
          <w:bCs/>
          <w:sz w:val="24"/>
          <w:szCs w:val="24"/>
        </w:rPr>
        <w:t>. Ustawa o nadzorze uzupełniającym nad instytucjami kredytowymi, zakładami ubezpieczeń i firmami inwestycyjnymi wchodzącymi w skład konglomeratu finansowego</w:t>
      </w:r>
      <w:r w:rsidR="00362C44">
        <w:rPr>
          <w:rFonts w:ascii="Times New Roman" w:hAnsi="Times New Roman" w:cs="Times New Roman"/>
          <w:bCs/>
          <w:sz w:val="24"/>
          <w:szCs w:val="24"/>
        </w:rPr>
        <w:t xml:space="preserve"> (art. 28 projektu)</w:t>
      </w:r>
    </w:p>
    <w:p w:rsidR="00384D4C" w:rsidRPr="00D04BA0" w:rsidRDefault="00B47790" w:rsidP="00D04BA0">
      <w:pPr>
        <w:spacing w:before="120" w:after="0" w:line="360" w:lineRule="auto"/>
        <w:jc w:val="both"/>
        <w:rPr>
          <w:rFonts w:ascii="Times New Roman" w:hAnsi="Times New Roman" w:cs="Times New Roman"/>
          <w:bCs/>
          <w:sz w:val="24"/>
          <w:szCs w:val="24"/>
        </w:rPr>
      </w:pPr>
      <w:r w:rsidRPr="00D04BA0">
        <w:rPr>
          <w:rFonts w:ascii="Times New Roman" w:hAnsi="Times New Roman" w:cs="Times New Roman"/>
          <w:bCs/>
          <w:sz w:val="24"/>
          <w:szCs w:val="24"/>
        </w:rPr>
        <w:t xml:space="preserve">Wdrożona częściowo w ustawie o nadzorze uzupełniającym (…) </w:t>
      </w:r>
      <w:r w:rsidR="00FD6FEC" w:rsidRPr="00D04BA0">
        <w:rPr>
          <w:rFonts w:ascii="Times New Roman" w:hAnsi="Times New Roman" w:cs="Times New Roman"/>
          <w:bCs/>
          <w:sz w:val="24"/>
          <w:szCs w:val="24"/>
        </w:rPr>
        <w:t>dyrektywa</w:t>
      </w:r>
      <w:r w:rsidRPr="00D04BA0">
        <w:rPr>
          <w:rFonts w:ascii="Times New Roman" w:hAnsi="Times New Roman" w:cs="Times New Roman"/>
          <w:bCs/>
          <w:sz w:val="24"/>
          <w:szCs w:val="24"/>
        </w:rPr>
        <w:t xml:space="preserve"> Parlamentu Europejskiego i Rady 2011/89/UE z dnia 16 listopada 2011 r. w sprawie zmiany dyrektyw 98/78/WE, 2002/87/WE, 2006/48/WE i 2009/138/WE w odniesieniu do dodatkowego nadzoru nad podmiotami finansowymi konglomeratu finansowego (Dz.</w:t>
      </w:r>
      <w:r w:rsidR="001D0296">
        <w:rPr>
          <w:rFonts w:ascii="Times New Roman" w:hAnsi="Times New Roman" w:cs="Times New Roman"/>
          <w:bCs/>
          <w:sz w:val="24"/>
          <w:szCs w:val="24"/>
        </w:rPr>
        <w:t> </w:t>
      </w:r>
      <w:r w:rsidRPr="00D04BA0">
        <w:rPr>
          <w:rFonts w:ascii="Times New Roman" w:hAnsi="Times New Roman" w:cs="Times New Roman"/>
          <w:bCs/>
          <w:sz w:val="24"/>
          <w:szCs w:val="24"/>
        </w:rPr>
        <w:t xml:space="preserve">Urz. UE L 326 z 08.12.2011, str. 113) </w:t>
      </w:r>
      <w:r w:rsidR="00706F60" w:rsidRPr="00D04BA0">
        <w:rPr>
          <w:rFonts w:ascii="Times New Roman" w:hAnsi="Times New Roman" w:cs="Times New Roman"/>
          <w:bCs/>
          <w:sz w:val="24"/>
          <w:szCs w:val="24"/>
        </w:rPr>
        <w:t>rozszerzyła nadzór nad po</w:t>
      </w:r>
      <w:r w:rsidR="00DF5485">
        <w:rPr>
          <w:rFonts w:ascii="Times New Roman" w:hAnsi="Times New Roman" w:cs="Times New Roman"/>
          <w:bCs/>
          <w:sz w:val="24"/>
          <w:szCs w:val="24"/>
        </w:rPr>
        <w:t>d</w:t>
      </w:r>
      <w:r w:rsidR="00706F60" w:rsidRPr="00D04BA0">
        <w:rPr>
          <w:rFonts w:ascii="Times New Roman" w:hAnsi="Times New Roman" w:cs="Times New Roman"/>
          <w:bCs/>
          <w:sz w:val="24"/>
          <w:szCs w:val="24"/>
        </w:rPr>
        <w:t>miotami wchodzącymi w skład konglomeratów finansowych o zarządzających alternatywnymi funduszami inwestycyjnymi. Niemniej jednak z chwilą tego wdrożenia w krajowym prawodawstwie podmioty te nie zostały jeszcze zidentyfikowane, z tego też względu projektowana ustawa uzupełnia definicję firmy inwestycyjnej o zarządzającego ASI (art. 3 pkt 3 lit. g) oraz odsyła do krajowych przepisów regulujących działalność zarządzania alternatywnymi funduszami inwestycyjnymi (art. 3 pkt 3 lit. i).</w:t>
      </w:r>
    </w:p>
    <w:p w:rsidR="00D85F30" w:rsidRPr="00D04BA0" w:rsidRDefault="00BE328D" w:rsidP="00D04BA0">
      <w:pPr>
        <w:spacing w:before="120" w:after="0" w:line="360" w:lineRule="auto"/>
        <w:jc w:val="both"/>
        <w:rPr>
          <w:rFonts w:ascii="Times New Roman" w:hAnsi="Times New Roman" w:cs="Times New Roman"/>
          <w:bCs/>
          <w:sz w:val="24"/>
          <w:szCs w:val="24"/>
        </w:rPr>
      </w:pPr>
      <w:r w:rsidRPr="00D04BA0">
        <w:rPr>
          <w:rFonts w:ascii="Times New Roman" w:hAnsi="Times New Roman" w:cs="Times New Roman"/>
          <w:bCs/>
          <w:sz w:val="24"/>
          <w:szCs w:val="24"/>
        </w:rPr>
        <w:t>6</w:t>
      </w:r>
      <w:r w:rsidR="00D85F30" w:rsidRPr="00D04BA0">
        <w:rPr>
          <w:rFonts w:ascii="Times New Roman" w:hAnsi="Times New Roman" w:cs="Times New Roman"/>
          <w:bCs/>
          <w:sz w:val="24"/>
          <w:szCs w:val="24"/>
        </w:rPr>
        <w:t>. Ustawa o nadzorze nad rynkiem kapitałowym</w:t>
      </w:r>
      <w:r w:rsidR="00362C44">
        <w:rPr>
          <w:rFonts w:ascii="Times New Roman" w:hAnsi="Times New Roman" w:cs="Times New Roman"/>
          <w:bCs/>
          <w:sz w:val="24"/>
          <w:szCs w:val="24"/>
        </w:rPr>
        <w:t xml:space="preserve"> (art. 29 projektu)</w:t>
      </w:r>
    </w:p>
    <w:p w:rsidR="002A6092" w:rsidRPr="00D04BA0" w:rsidRDefault="00D85F30" w:rsidP="00D04BA0">
      <w:pPr>
        <w:spacing w:before="120" w:after="0" w:line="360" w:lineRule="auto"/>
        <w:jc w:val="both"/>
        <w:rPr>
          <w:rFonts w:ascii="Times New Roman" w:hAnsi="Times New Roman" w:cs="Times New Roman"/>
          <w:bCs/>
          <w:sz w:val="24"/>
          <w:szCs w:val="24"/>
        </w:rPr>
      </w:pPr>
      <w:r w:rsidRPr="00D04BA0">
        <w:rPr>
          <w:rFonts w:ascii="Times New Roman" w:hAnsi="Times New Roman" w:cs="Times New Roman"/>
          <w:bCs/>
          <w:sz w:val="24"/>
          <w:szCs w:val="24"/>
        </w:rPr>
        <w:t xml:space="preserve">Oprócz uwzględnienia </w:t>
      </w:r>
      <w:r w:rsidR="002A6092" w:rsidRPr="00D04BA0">
        <w:rPr>
          <w:rFonts w:ascii="Times New Roman" w:hAnsi="Times New Roman" w:cs="Times New Roman"/>
          <w:bCs/>
          <w:sz w:val="24"/>
          <w:szCs w:val="24"/>
        </w:rPr>
        <w:t xml:space="preserve">w przepisach ustawy </w:t>
      </w:r>
      <w:r w:rsidRPr="00D04BA0">
        <w:rPr>
          <w:rFonts w:ascii="Times New Roman" w:hAnsi="Times New Roman" w:cs="Times New Roman"/>
          <w:bCs/>
          <w:sz w:val="24"/>
          <w:szCs w:val="24"/>
        </w:rPr>
        <w:t xml:space="preserve">nowej grupy podmiotów podlegających nadzorowi nad rynkiem kapitałowym sprawowanemu przez KNF </w:t>
      </w:r>
      <w:r w:rsidR="002A6092" w:rsidRPr="00D04BA0">
        <w:rPr>
          <w:rFonts w:ascii="Times New Roman" w:hAnsi="Times New Roman" w:cs="Times New Roman"/>
          <w:bCs/>
          <w:sz w:val="24"/>
          <w:szCs w:val="24"/>
        </w:rPr>
        <w:t>(tj. zarządzających ASI, jak też szerszego zakresu podwykonawców, którym powierzono wykonywanie czynności lub je dalej przekazano), umocowano KNF jako organ właściwy w sprawach przewidzianych dla organu nadzoru w rozporządzeniach Parlamentu Europejskiego i Rady (UE) nr 345/2013</w:t>
      </w:r>
      <w:r w:rsidR="00D04BA0">
        <w:rPr>
          <w:rFonts w:ascii="Times New Roman" w:hAnsi="Times New Roman" w:cs="Times New Roman"/>
          <w:bCs/>
          <w:sz w:val="24"/>
          <w:szCs w:val="24"/>
        </w:rPr>
        <w:t xml:space="preserve"> </w:t>
      </w:r>
      <w:r w:rsidR="002A6092" w:rsidRPr="00D04BA0">
        <w:rPr>
          <w:rFonts w:ascii="Times New Roman" w:hAnsi="Times New Roman" w:cs="Times New Roman"/>
          <w:bCs/>
          <w:sz w:val="24"/>
          <w:szCs w:val="24"/>
        </w:rPr>
        <w:t>i nr 346/2013 (dotyczących funduszy EuVECA i EuSEF).</w:t>
      </w:r>
    </w:p>
    <w:p w:rsidR="00BE3A99" w:rsidRPr="00D04BA0" w:rsidRDefault="00BE3A99" w:rsidP="00D04BA0">
      <w:pPr>
        <w:spacing w:before="120" w:after="0" w:line="360" w:lineRule="auto"/>
        <w:jc w:val="both"/>
        <w:rPr>
          <w:rFonts w:ascii="Times New Roman" w:hAnsi="Times New Roman" w:cs="Times New Roman"/>
          <w:bCs/>
          <w:sz w:val="24"/>
          <w:szCs w:val="24"/>
        </w:rPr>
      </w:pPr>
      <w:r w:rsidRPr="00D04BA0">
        <w:rPr>
          <w:rFonts w:ascii="Times New Roman" w:hAnsi="Times New Roman" w:cs="Times New Roman"/>
          <w:bCs/>
          <w:sz w:val="24"/>
          <w:szCs w:val="24"/>
        </w:rPr>
        <w:t>7.</w:t>
      </w:r>
      <w:r w:rsidR="00D04BA0">
        <w:rPr>
          <w:rFonts w:ascii="Times New Roman" w:hAnsi="Times New Roman" w:cs="Times New Roman"/>
          <w:bCs/>
          <w:sz w:val="24"/>
          <w:szCs w:val="24"/>
        </w:rPr>
        <w:t xml:space="preserve"> </w:t>
      </w:r>
      <w:r w:rsidRPr="00D04BA0">
        <w:rPr>
          <w:rFonts w:ascii="Times New Roman" w:hAnsi="Times New Roman" w:cs="Times New Roman"/>
          <w:bCs/>
          <w:sz w:val="24"/>
          <w:szCs w:val="24"/>
        </w:rPr>
        <w:t>Ustawa o prawach konsumenta</w:t>
      </w:r>
      <w:r w:rsidR="006F0E4D">
        <w:rPr>
          <w:rFonts w:ascii="Times New Roman" w:hAnsi="Times New Roman" w:cs="Times New Roman"/>
          <w:bCs/>
          <w:sz w:val="24"/>
          <w:szCs w:val="24"/>
        </w:rPr>
        <w:t xml:space="preserve"> (art. 40 projektu)</w:t>
      </w:r>
    </w:p>
    <w:p w:rsidR="00677EA3" w:rsidRDefault="00175ED3" w:rsidP="00D04BA0">
      <w:pPr>
        <w:spacing w:before="120" w:after="0" w:line="360" w:lineRule="auto"/>
        <w:jc w:val="both"/>
        <w:rPr>
          <w:rFonts w:ascii="Times New Roman" w:hAnsi="Times New Roman" w:cs="Times New Roman"/>
          <w:bCs/>
          <w:sz w:val="24"/>
          <w:szCs w:val="24"/>
        </w:rPr>
      </w:pPr>
      <w:r w:rsidRPr="00D04BA0">
        <w:rPr>
          <w:rFonts w:ascii="Times New Roman" w:hAnsi="Times New Roman" w:cs="Times New Roman"/>
          <w:bCs/>
          <w:sz w:val="24"/>
          <w:szCs w:val="24"/>
        </w:rPr>
        <w:t xml:space="preserve">Zmodyfikowano przepis ustawy wyłączający jej zastosowanie w przypadku umów dotyczących usług finansowych. Zmiana ta podyktowana jest koniecznością dostosowania brzmienia </w:t>
      </w:r>
      <w:r w:rsidR="008C4CD0" w:rsidRPr="00D04BA0">
        <w:rPr>
          <w:rFonts w:ascii="Times New Roman" w:hAnsi="Times New Roman" w:cs="Times New Roman"/>
          <w:bCs/>
          <w:sz w:val="24"/>
          <w:szCs w:val="24"/>
        </w:rPr>
        <w:t xml:space="preserve">jej </w:t>
      </w:r>
      <w:r w:rsidR="001A167F" w:rsidRPr="00D04BA0">
        <w:rPr>
          <w:rFonts w:ascii="Times New Roman" w:hAnsi="Times New Roman" w:cs="Times New Roman"/>
          <w:bCs/>
          <w:sz w:val="24"/>
          <w:szCs w:val="24"/>
        </w:rPr>
        <w:t xml:space="preserve">art. 4 ust. 2 </w:t>
      </w:r>
      <w:r w:rsidRPr="00D04BA0">
        <w:rPr>
          <w:rFonts w:ascii="Times New Roman" w:hAnsi="Times New Roman" w:cs="Times New Roman"/>
          <w:bCs/>
          <w:sz w:val="24"/>
          <w:szCs w:val="24"/>
        </w:rPr>
        <w:t xml:space="preserve">do istniejącego obecnie na gruncie ustawy o funduszach </w:t>
      </w:r>
      <w:r w:rsidR="00AD413B" w:rsidRPr="00D04BA0">
        <w:rPr>
          <w:rFonts w:ascii="Times New Roman" w:hAnsi="Times New Roman" w:cs="Times New Roman"/>
          <w:bCs/>
          <w:sz w:val="24"/>
          <w:szCs w:val="24"/>
        </w:rPr>
        <w:t xml:space="preserve">inwestycyjnych </w:t>
      </w:r>
      <w:r w:rsidRPr="00D04BA0">
        <w:rPr>
          <w:rFonts w:ascii="Times New Roman" w:hAnsi="Times New Roman" w:cs="Times New Roman"/>
          <w:bCs/>
          <w:sz w:val="24"/>
          <w:szCs w:val="24"/>
        </w:rPr>
        <w:t xml:space="preserve">podziału funduszy na: fundusze inwestycyjne otwarte, </w:t>
      </w:r>
      <w:r w:rsidR="001A167F" w:rsidRPr="00D04BA0">
        <w:rPr>
          <w:rFonts w:ascii="Times New Roman" w:hAnsi="Times New Roman" w:cs="Times New Roman"/>
          <w:bCs/>
          <w:sz w:val="24"/>
          <w:szCs w:val="24"/>
        </w:rPr>
        <w:t xml:space="preserve">specjalistyczne fundusze inwestycyjne otwarte oraz </w:t>
      </w:r>
      <w:r w:rsidRPr="00D04BA0">
        <w:rPr>
          <w:rFonts w:ascii="Times New Roman" w:hAnsi="Times New Roman" w:cs="Times New Roman"/>
          <w:bCs/>
          <w:sz w:val="24"/>
          <w:szCs w:val="24"/>
        </w:rPr>
        <w:t xml:space="preserve">fundusze </w:t>
      </w:r>
      <w:r w:rsidR="001A167F" w:rsidRPr="00D04BA0">
        <w:rPr>
          <w:rFonts w:ascii="Times New Roman" w:hAnsi="Times New Roman" w:cs="Times New Roman"/>
          <w:bCs/>
          <w:sz w:val="24"/>
          <w:szCs w:val="24"/>
        </w:rPr>
        <w:t>inwestycyjne zamknięte</w:t>
      </w:r>
      <w:r w:rsidR="00F001D1">
        <w:rPr>
          <w:rFonts w:ascii="Times New Roman" w:hAnsi="Times New Roman" w:cs="Times New Roman"/>
          <w:bCs/>
          <w:sz w:val="24"/>
          <w:szCs w:val="24"/>
        </w:rPr>
        <w:t>,</w:t>
      </w:r>
      <w:r w:rsidR="001A167F" w:rsidRPr="00D04BA0">
        <w:rPr>
          <w:rFonts w:ascii="Times New Roman" w:hAnsi="Times New Roman" w:cs="Times New Roman"/>
          <w:bCs/>
          <w:sz w:val="24"/>
          <w:szCs w:val="24"/>
        </w:rPr>
        <w:t xml:space="preserve"> a także dostosowan</w:t>
      </w:r>
      <w:r w:rsidR="00AD413B" w:rsidRPr="00D04BA0">
        <w:rPr>
          <w:rFonts w:ascii="Times New Roman" w:hAnsi="Times New Roman" w:cs="Times New Roman"/>
          <w:bCs/>
          <w:sz w:val="24"/>
          <w:szCs w:val="24"/>
        </w:rPr>
        <w:t>ia siatki pojęciowej odwołującej się do stosunku kontraktowego umowy nabycia lub odkupienia jednostek uczestnictwa oraz nabycia lub objęcia certyfikatów inwestycyjnych.</w:t>
      </w:r>
    </w:p>
    <w:p w:rsidR="0017004E" w:rsidRDefault="0017004E" w:rsidP="00D04BA0">
      <w:pPr>
        <w:spacing w:before="120" w:after="0" w:line="360" w:lineRule="auto"/>
        <w:jc w:val="both"/>
        <w:rPr>
          <w:rFonts w:ascii="Times New Roman" w:hAnsi="Times New Roman" w:cs="Times New Roman"/>
          <w:bCs/>
          <w:sz w:val="24"/>
          <w:szCs w:val="24"/>
        </w:rPr>
      </w:pPr>
    </w:p>
    <w:p w:rsidR="00D85F30" w:rsidRPr="00D04BA0" w:rsidRDefault="00BE3A99" w:rsidP="00D04BA0">
      <w:pPr>
        <w:spacing w:before="120" w:after="0" w:line="360" w:lineRule="auto"/>
        <w:jc w:val="both"/>
        <w:rPr>
          <w:rFonts w:ascii="Times New Roman" w:hAnsi="Times New Roman" w:cs="Times New Roman"/>
          <w:bCs/>
          <w:sz w:val="24"/>
          <w:szCs w:val="24"/>
        </w:rPr>
      </w:pPr>
      <w:r w:rsidRPr="00D04BA0">
        <w:rPr>
          <w:rFonts w:ascii="Times New Roman" w:hAnsi="Times New Roman" w:cs="Times New Roman"/>
          <w:bCs/>
          <w:sz w:val="24"/>
          <w:szCs w:val="24"/>
        </w:rPr>
        <w:lastRenderedPageBreak/>
        <w:t>8</w:t>
      </w:r>
      <w:r w:rsidR="002A6092" w:rsidRPr="00D04BA0">
        <w:rPr>
          <w:rFonts w:ascii="Times New Roman" w:hAnsi="Times New Roman" w:cs="Times New Roman"/>
          <w:bCs/>
          <w:sz w:val="24"/>
          <w:szCs w:val="24"/>
        </w:rPr>
        <w:t>. Zmiany zakresu podmiotowego innych regulacji</w:t>
      </w:r>
    </w:p>
    <w:p w:rsidR="002A6092" w:rsidRPr="00D04BA0" w:rsidRDefault="002A6092" w:rsidP="00D04BA0">
      <w:pPr>
        <w:spacing w:before="120" w:after="0" w:line="360" w:lineRule="auto"/>
        <w:jc w:val="both"/>
        <w:rPr>
          <w:rFonts w:ascii="Times New Roman" w:hAnsi="Times New Roman" w:cs="Times New Roman"/>
          <w:bCs/>
          <w:sz w:val="24"/>
          <w:szCs w:val="24"/>
        </w:rPr>
      </w:pPr>
      <w:r w:rsidRPr="00D04BA0">
        <w:rPr>
          <w:rFonts w:ascii="Times New Roman" w:hAnsi="Times New Roman" w:cs="Times New Roman"/>
          <w:bCs/>
          <w:sz w:val="24"/>
          <w:szCs w:val="24"/>
        </w:rPr>
        <w:t>Zmiany części ustaw polegają na rozszerzeniu o nową grupę podmiotów,</w:t>
      </w:r>
      <w:r w:rsidR="00D04BA0">
        <w:rPr>
          <w:rFonts w:ascii="Times New Roman" w:hAnsi="Times New Roman" w:cs="Times New Roman"/>
          <w:bCs/>
          <w:sz w:val="24"/>
          <w:szCs w:val="24"/>
        </w:rPr>
        <w:t xml:space="preserve"> </w:t>
      </w:r>
      <w:r w:rsidRPr="00D04BA0">
        <w:rPr>
          <w:rFonts w:ascii="Times New Roman" w:hAnsi="Times New Roman" w:cs="Times New Roman"/>
          <w:bCs/>
          <w:sz w:val="24"/>
          <w:szCs w:val="24"/>
        </w:rPr>
        <w:t>tj.</w:t>
      </w:r>
      <w:r w:rsidR="001D0296">
        <w:rPr>
          <w:rFonts w:ascii="Times New Roman" w:hAnsi="Times New Roman" w:cs="Times New Roman"/>
          <w:bCs/>
          <w:sz w:val="24"/>
          <w:szCs w:val="24"/>
        </w:rPr>
        <w:t> </w:t>
      </w:r>
      <w:r w:rsidRPr="00D04BA0">
        <w:rPr>
          <w:rFonts w:ascii="Times New Roman" w:hAnsi="Times New Roman" w:cs="Times New Roman"/>
          <w:bCs/>
          <w:sz w:val="24"/>
          <w:szCs w:val="24"/>
        </w:rPr>
        <w:t>alternatywną spółkę inwestycyjną lub zarządzającego ASI</w:t>
      </w:r>
      <w:r w:rsidR="005164A7" w:rsidRPr="00D04BA0">
        <w:rPr>
          <w:rFonts w:ascii="Times New Roman" w:hAnsi="Times New Roman" w:cs="Times New Roman"/>
          <w:bCs/>
          <w:sz w:val="24"/>
          <w:szCs w:val="24"/>
        </w:rPr>
        <w:t xml:space="preserve"> albo zarządzającego z UE</w:t>
      </w:r>
      <w:r w:rsidRPr="00D04BA0">
        <w:rPr>
          <w:rFonts w:ascii="Times New Roman" w:hAnsi="Times New Roman" w:cs="Times New Roman"/>
          <w:bCs/>
          <w:sz w:val="24"/>
          <w:szCs w:val="24"/>
        </w:rPr>
        <w:t xml:space="preserve">, zakresu podmiotowego bądź całej ustawy, bądź części jej regulacji – analogicznie do zakresu, w jakim dotychczas miała ona zastosowanie do funduszy inwestycyjnych i </w:t>
      </w:r>
      <w:r w:rsidR="005164A7" w:rsidRPr="00D04BA0">
        <w:rPr>
          <w:rFonts w:ascii="Times New Roman" w:hAnsi="Times New Roman" w:cs="Times New Roman"/>
          <w:bCs/>
          <w:sz w:val="24"/>
          <w:szCs w:val="24"/>
        </w:rPr>
        <w:t>TFI albo spółki zarządzającej. Tego rodzaju zmianę wprowadzono:</w:t>
      </w:r>
    </w:p>
    <w:p w:rsidR="005164A7" w:rsidRPr="00D04BA0" w:rsidRDefault="00C919AB" w:rsidP="008E7A41">
      <w:pPr>
        <w:pStyle w:val="Akapitzlist"/>
        <w:numPr>
          <w:ilvl w:val="0"/>
          <w:numId w:val="21"/>
        </w:numPr>
        <w:spacing w:before="120" w:after="0" w:line="360" w:lineRule="auto"/>
        <w:ind w:left="462" w:hanging="462"/>
        <w:jc w:val="both"/>
        <w:rPr>
          <w:rFonts w:ascii="Times New Roman" w:hAnsi="Times New Roman" w:cs="Times New Roman"/>
          <w:bCs/>
          <w:sz w:val="24"/>
          <w:szCs w:val="24"/>
        </w:rPr>
      </w:pPr>
      <w:r w:rsidRPr="00D04BA0">
        <w:rPr>
          <w:rFonts w:ascii="Times New Roman" w:hAnsi="Times New Roman" w:cs="Times New Roman"/>
          <w:bCs/>
          <w:sz w:val="24"/>
          <w:szCs w:val="24"/>
        </w:rPr>
        <w:t>w odniesieniu do możliwości pozyskiwania informacji przez uprawnione służby</w:t>
      </w:r>
      <w:r w:rsidR="00D04BA0">
        <w:rPr>
          <w:rFonts w:ascii="Times New Roman" w:hAnsi="Times New Roman" w:cs="Times New Roman"/>
          <w:bCs/>
          <w:sz w:val="24"/>
          <w:szCs w:val="24"/>
        </w:rPr>
        <w:t xml:space="preserve"> </w:t>
      </w:r>
      <w:r w:rsidRPr="00D04BA0">
        <w:rPr>
          <w:rFonts w:ascii="Times New Roman" w:hAnsi="Times New Roman" w:cs="Times New Roman"/>
          <w:bCs/>
          <w:sz w:val="24"/>
          <w:szCs w:val="24"/>
        </w:rPr>
        <w:t xml:space="preserve">– w </w:t>
      </w:r>
      <w:r w:rsidR="005164A7" w:rsidRPr="00D04BA0">
        <w:rPr>
          <w:rFonts w:ascii="Times New Roman" w:hAnsi="Times New Roman" w:cs="Times New Roman"/>
          <w:bCs/>
          <w:sz w:val="24"/>
          <w:szCs w:val="24"/>
        </w:rPr>
        <w:t>ustawie o Straży Granicznej,</w:t>
      </w:r>
      <w:r w:rsidR="005164A7" w:rsidRPr="00D04BA0">
        <w:rPr>
          <w:rFonts w:ascii="Times New Roman" w:eastAsia="Times New Roman" w:hAnsi="Times New Roman" w:cs="Times New Roman"/>
          <w:sz w:val="24"/>
          <w:szCs w:val="24"/>
          <w:lang w:eastAsia="pl-PL"/>
        </w:rPr>
        <w:t xml:space="preserve"> </w:t>
      </w:r>
      <w:r w:rsidR="005164A7" w:rsidRPr="00D04BA0">
        <w:rPr>
          <w:rFonts w:ascii="Times New Roman" w:hAnsi="Times New Roman" w:cs="Times New Roman"/>
          <w:bCs/>
          <w:sz w:val="24"/>
          <w:szCs w:val="24"/>
        </w:rPr>
        <w:t>ustawie</w:t>
      </w:r>
      <w:r w:rsidR="00E325E8" w:rsidRPr="00D04BA0">
        <w:rPr>
          <w:rFonts w:ascii="Times New Roman" w:hAnsi="Times New Roman" w:cs="Times New Roman"/>
          <w:bCs/>
          <w:sz w:val="24"/>
          <w:szCs w:val="24"/>
        </w:rPr>
        <w:t xml:space="preserve"> </w:t>
      </w:r>
      <w:r w:rsidR="005164A7" w:rsidRPr="00D04BA0">
        <w:rPr>
          <w:rFonts w:ascii="Times New Roman" w:hAnsi="Times New Roman" w:cs="Times New Roman"/>
          <w:bCs/>
          <w:sz w:val="24"/>
          <w:szCs w:val="24"/>
        </w:rPr>
        <w:t>– Ordynacja podatkowa, ustawie</w:t>
      </w:r>
      <w:r w:rsidR="00D04BA0">
        <w:rPr>
          <w:rFonts w:ascii="Times New Roman" w:hAnsi="Times New Roman" w:cs="Times New Roman"/>
          <w:bCs/>
          <w:sz w:val="24"/>
          <w:szCs w:val="24"/>
        </w:rPr>
        <w:t xml:space="preserve"> </w:t>
      </w:r>
      <w:r w:rsidR="005164A7" w:rsidRPr="00D04BA0">
        <w:rPr>
          <w:rFonts w:ascii="Times New Roman" w:hAnsi="Times New Roman" w:cs="Times New Roman"/>
          <w:bCs/>
          <w:sz w:val="24"/>
          <w:szCs w:val="24"/>
        </w:rPr>
        <w:t>o przeciwdziałaniu praniu pieniędzy oraz finansowaniu terroryzmu</w:t>
      </w:r>
      <w:r w:rsidR="00E325E8" w:rsidRPr="00D04BA0">
        <w:rPr>
          <w:rFonts w:ascii="Times New Roman" w:hAnsi="Times New Roman" w:cs="Times New Roman"/>
          <w:bCs/>
          <w:sz w:val="24"/>
          <w:szCs w:val="24"/>
        </w:rPr>
        <w:t xml:space="preserve"> i</w:t>
      </w:r>
      <w:r w:rsidRPr="00D04BA0">
        <w:rPr>
          <w:rFonts w:ascii="Times New Roman" w:hAnsi="Times New Roman" w:cs="Times New Roman"/>
          <w:bCs/>
          <w:sz w:val="24"/>
          <w:szCs w:val="24"/>
        </w:rPr>
        <w:t xml:space="preserve"> ustawie o Centralnym Biurze Antykorupcyjnym;</w:t>
      </w:r>
    </w:p>
    <w:p w:rsidR="00C919AB" w:rsidRPr="00D04BA0" w:rsidRDefault="00E325E8" w:rsidP="008E7A41">
      <w:pPr>
        <w:pStyle w:val="Akapitzlist"/>
        <w:numPr>
          <w:ilvl w:val="0"/>
          <w:numId w:val="21"/>
        </w:numPr>
        <w:spacing w:before="120" w:after="0" w:line="360" w:lineRule="auto"/>
        <w:ind w:left="462" w:hanging="462"/>
        <w:jc w:val="both"/>
        <w:rPr>
          <w:rFonts w:ascii="Times New Roman" w:hAnsi="Times New Roman" w:cs="Times New Roman"/>
          <w:bCs/>
          <w:sz w:val="24"/>
          <w:szCs w:val="24"/>
        </w:rPr>
      </w:pPr>
      <w:r w:rsidRPr="00D04BA0">
        <w:rPr>
          <w:rFonts w:ascii="Times New Roman" w:hAnsi="Times New Roman" w:cs="Times New Roman"/>
          <w:bCs/>
          <w:sz w:val="24"/>
          <w:szCs w:val="24"/>
        </w:rPr>
        <w:t>obejmując alternatywną spółkę inwestycyjną i zarządzającego ASI w całości regulacjami ustawy o przeciwdziałaniu praniu pieniędzy oraz finansowaniu terroryzmu, jako instytucję obowiązaną;</w:t>
      </w:r>
    </w:p>
    <w:p w:rsidR="00E325E8" w:rsidRPr="00D04BA0" w:rsidRDefault="00E325E8" w:rsidP="008E7A41">
      <w:pPr>
        <w:pStyle w:val="Akapitzlist"/>
        <w:numPr>
          <w:ilvl w:val="0"/>
          <w:numId w:val="21"/>
        </w:numPr>
        <w:spacing w:before="120" w:after="0" w:line="360" w:lineRule="auto"/>
        <w:ind w:left="462" w:hanging="462"/>
        <w:jc w:val="both"/>
        <w:rPr>
          <w:rFonts w:ascii="Times New Roman" w:hAnsi="Times New Roman" w:cs="Times New Roman"/>
          <w:bCs/>
          <w:sz w:val="24"/>
          <w:szCs w:val="24"/>
        </w:rPr>
      </w:pPr>
      <w:r w:rsidRPr="00D04BA0">
        <w:rPr>
          <w:rFonts w:ascii="Times New Roman" w:hAnsi="Times New Roman" w:cs="Times New Roman"/>
          <w:bCs/>
          <w:sz w:val="24"/>
          <w:szCs w:val="24"/>
        </w:rPr>
        <w:t xml:space="preserve">obejmując alternatywną spółkę inwestycyjną i zarządzającego ASI szczególnymi przepisami ustawy – Kodeks spółek handlowych odnoszącymi się do instytucji finansowych; </w:t>
      </w:r>
    </w:p>
    <w:p w:rsidR="00E325E8" w:rsidRPr="00D04BA0" w:rsidRDefault="00E325E8" w:rsidP="008E7A41">
      <w:pPr>
        <w:pStyle w:val="Akapitzlist"/>
        <w:numPr>
          <w:ilvl w:val="0"/>
          <w:numId w:val="21"/>
        </w:numPr>
        <w:spacing w:before="120" w:after="0" w:line="360" w:lineRule="auto"/>
        <w:ind w:left="462" w:hanging="462"/>
        <w:jc w:val="both"/>
        <w:rPr>
          <w:rFonts w:ascii="Times New Roman" w:hAnsi="Times New Roman" w:cs="Times New Roman"/>
          <w:bCs/>
          <w:sz w:val="24"/>
          <w:szCs w:val="24"/>
        </w:rPr>
      </w:pPr>
      <w:r w:rsidRPr="00D04BA0">
        <w:rPr>
          <w:rFonts w:ascii="Times New Roman" w:hAnsi="Times New Roman" w:cs="Times New Roman"/>
          <w:bCs/>
          <w:sz w:val="24"/>
          <w:szCs w:val="24"/>
        </w:rPr>
        <w:t>umożliwiając alternatywnej spółce inwestycyjnej bycie uczestnikiem systemu płatności lub systemu rozrachunku papierów wartościowych (jako „instytucja”) – w ustawie</w:t>
      </w:r>
      <w:r w:rsidR="00D04BA0">
        <w:rPr>
          <w:rFonts w:ascii="Times New Roman" w:hAnsi="Times New Roman" w:cs="Times New Roman"/>
          <w:bCs/>
          <w:sz w:val="24"/>
          <w:szCs w:val="24"/>
        </w:rPr>
        <w:t xml:space="preserve"> </w:t>
      </w:r>
      <w:r w:rsidRPr="00D04BA0">
        <w:rPr>
          <w:rFonts w:ascii="Times New Roman" w:hAnsi="Times New Roman" w:cs="Times New Roman"/>
          <w:bCs/>
          <w:sz w:val="24"/>
          <w:szCs w:val="24"/>
        </w:rPr>
        <w:t>o ostateczności rozrachunku w systemach płatności i systemach rozrachunku papierów wartościowych oraz zasadach nadzoru nad tymi systemami</w:t>
      </w:r>
      <w:r w:rsidR="008A5CFF" w:rsidRPr="00D04BA0">
        <w:rPr>
          <w:rFonts w:ascii="Times New Roman" w:hAnsi="Times New Roman" w:cs="Times New Roman"/>
          <w:bCs/>
          <w:sz w:val="24"/>
          <w:szCs w:val="24"/>
        </w:rPr>
        <w:t>;</w:t>
      </w:r>
    </w:p>
    <w:p w:rsidR="008A5CFF" w:rsidRPr="00D04BA0" w:rsidRDefault="008A5CFF" w:rsidP="008E7A41">
      <w:pPr>
        <w:pStyle w:val="Akapitzlist"/>
        <w:numPr>
          <w:ilvl w:val="0"/>
          <w:numId w:val="21"/>
        </w:numPr>
        <w:spacing w:before="120" w:after="0" w:line="360" w:lineRule="auto"/>
        <w:ind w:left="462" w:hanging="462"/>
        <w:jc w:val="both"/>
        <w:rPr>
          <w:rFonts w:ascii="Times New Roman" w:hAnsi="Times New Roman" w:cs="Times New Roman"/>
          <w:bCs/>
          <w:sz w:val="24"/>
          <w:szCs w:val="24"/>
        </w:rPr>
      </w:pPr>
      <w:r w:rsidRPr="00D04BA0">
        <w:rPr>
          <w:rFonts w:ascii="Times New Roman" w:hAnsi="Times New Roman" w:cs="Times New Roman"/>
          <w:bCs/>
          <w:sz w:val="24"/>
          <w:szCs w:val="24"/>
        </w:rPr>
        <w:t>nakładając na zarządzającego z UE wymóg stosowania prawa polskiego w zakresie udostępniania w Polsce informacji reklamowych – w ustawie o świadczeniu usług drogą elektroniczną;</w:t>
      </w:r>
    </w:p>
    <w:p w:rsidR="008A5CFF" w:rsidRPr="00D04BA0" w:rsidRDefault="008A5CFF" w:rsidP="008E7A41">
      <w:pPr>
        <w:pStyle w:val="Akapitzlist"/>
        <w:numPr>
          <w:ilvl w:val="0"/>
          <w:numId w:val="21"/>
        </w:numPr>
        <w:spacing w:before="120" w:after="0" w:line="360" w:lineRule="auto"/>
        <w:ind w:left="462" w:hanging="462"/>
        <w:jc w:val="both"/>
        <w:rPr>
          <w:rFonts w:ascii="Times New Roman" w:hAnsi="Times New Roman" w:cs="Times New Roman"/>
          <w:bCs/>
          <w:sz w:val="24"/>
          <w:szCs w:val="24"/>
        </w:rPr>
      </w:pPr>
      <w:r w:rsidRPr="00D04BA0">
        <w:rPr>
          <w:rFonts w:ascii="Times New Roman" w:hAnsi="Times New Roman" w:cs="Times New Roman"/>
          <w:bCs/>
          <w:sz w:val="24"/>
          <w:szCs w:val="24"/>
        </w:rPr>
        <w:t xml:space="preserve">obejmując relacje zakładu ubezpieczeń lub zakładu reasekuracji i zarządzającego ASI </w:t>
      </w:r>
      <w:r w:rsidR="006371B4" w:rsidRPr="00D04BA0">
        <w:rPr>
          <w:rFonts w:ascii="Times New Roman" w:hAnsi="Times New Roman" w:cs="Times New Roman"/>
          <w:bCs/>
          <w:sz w:val="24"/>
          <w:szCs w:val="24"/>
        </w:rPr>
        <w:t xml:space="preserve">zakazem powiązań osobowych między zarządami </w:t>
      </w:r>
      <w:r w:rsidR="00DE7EEC" w:rsidRPr="00D04BA0">
        <w:rPr>
          <w:rFonts w:ascii="Times New Roman" w:hAnsi="Times New Roman" w:cs="Times New Roman"/>
          <w:bCs/>
          <w:sz w:val="24"/>
          <w:szCs w:val="24"/>
        </w:rPr>
        <w:t xml:space="preserve">tych instytucji </w:t>
      </w:r>
      <w:r w:rsidRPr="00D04BA0">
        <w:rPr>
          <w:rFonts w:ascii="Times New Roman" w:hAnsi="Times New Roman" w:cs="Times New Roman"/>
          <w:bCs/>
          <w:sz w:val="24"/>
          <w:szCs w:val="24"/>
        </w:rPr>
        <w:t>– w ustawie</w:t>
      </w:r>
      <w:r w:rsidR="00D04BA0">
        <w:rPr>
          <w:rFonts w:ascii="Times New Roman" w:hAnsi="Times New Roman" w:cs="Times New Roman"/>
          <w:bCs/>
          <w:sz w:val="24"/>
          <w:szCs w:val="24"/>
        </w:rPr>
        <w:t xml:space="preserve"> </w:t>
      </w:r>
      <w:r w:rsidRPr="00D04BA0">
        <w:rPr>
          <w:rFonts w:ascii="Times New Roman" w:hAnsi="Times New Roman" w:cs="Times New Roman"/>
          <w:sz w:val="24"/>
          <w:szCs w:val="24"/>
        </w:rPr>
        <w:t>o działalności ubezpieczeniowej;</w:t>
      </w:r>
    </w:p>
    <w:p w:rsidR="006371B4" w:rsidRPr="00D04BA0" w:rsidRDefault="006371B4" w:rsidP="008E7A41">
      <w:pPr>
        <w:pStyle w:val="Akapitzlist"/>
        <w:numPr>
          <w:ilvl w:val="0"/>
          <w:numId w:val="21"/>
        </w:numPr>
        <w:spacing w:before="120" w:after="0" w:line="360" w:lineRule="auto"/>
        <w:ind w:left="462" w:hanging="462"/>
        <w:jc w:val="both"/>
        <w:rPr>
          <w:rFonts w:ascii="Times New Roman" w:hAnsi="Times New Roman" w:cs="Times New Roman"/>
          <w:bCs/>
          <w:sz w:val="24"/>
          <w:szCs w:val="24"/>
        </w:rPr>
      </w:pPr>
      <w:r w:rsidRPr="00D04BA0">
        <w:rPr>
          <w:rFonts w:ascii="Times New Roman" w:hAnsi="Times New Roman" w:cs="Times New Roman"/>
          <w:sz w:val="24"/>
          <w:szCs w:val="24"/>
        </w:rPr>
        <w:t xml:space="preserve">uwzględniając zarządzającego ASI (posiadającego zezwolenie) wśród podmiotów, które mogą </w:t>
      </w:r>
      <w:r w:rsidRPr="008E7A41">
        <w:rPr>
          <w:rFonts w:ascii="Times New Roman" w:hAnsi="Times New Roman" w:cs="Times New Roman"/>
          <w:bCs/>
          <w:sz w:val="24"/>
          <w:szCs w:val="24"/>
        </w:rPr>
        <w:t>nabywać</w:t>
      </w:r>
      <w:r w:rsidRPr="00D04BA0">
        <w:rPr>
          <w:rFonts w:ascii="Times New Roman" w:hAnsi="Times New Roman" w:cs="Times New Roman"/>
          <w:sz w:val="24"/>
          <w:szCs w:val="24"/>
        </w:rPr>
        <w:t xml:space="preserve"> akcje spółek prowadzących giełd</w:t>
      </w:r>
      <w:r w:rsidR="00DE7EEC" w:rsidRPr="00D04BA0">
        <w:rPr>
          <w:rFonts w:ascii="Times New Roman" w:hAnsi="Times New Roman" w:cs="Times New Roman"/>
          <w:sz w:val="24"/>
          <w:szCs w:val="24"/>
        </w:rPr>
        <w:t>ę</w:t>
      </w:r>
      <w:r w:rsidRPr="00D04BA0">
        <w:rPr>
          <w:rFonts w:ascii="Times New Roman" w:hAnsi="Times New Roman" w:cs="Times New Roman"/>
          <w:sz w:val="24"/>
          <w:szCs w:val="24"/>
        </w:rPr>
        <w:t xml:space="preserve"> i rynek pozagiełdowy </w:t>
      </w:r>
      <w:r w:rsidR="001D37A6">
        <w:rPr>
          <w:rFonts w:ascii="Times New Roman" w:hAnsi="Times New Roman" w:cs="Times New Roman"/>
          <w:sz w:val="24"/>
          <w:szCs w:val="24"/>
        </w:rPr>
        <w:t>–</w:t>
      </w:r>
      <w:r w:rsidRPr="00D04BA0">
        <w:rPr>
          <w:rFonts w:ascii="Times New Roman" w:hAnsi="Times New Roman" w:cs="Times New Roman"/>
          <w:sz w:val="24"/>
          <w:szCs w:val="24"/>
        </w:rPr>
        <w:t xml:space="preserve"> </w:t>
      </w:r>
      <w:r w:rsidRPr="00D04BA0">
        <w:rPr>
          <w:rFonts w:ascii="Times New Roman" w:hAnsi="Times New Roman" w:cs="Times New Roman"/>
          <w:bCs/>
          <w:sz w:val="24"/>
          <w:szCs w:val="24"/>
        </w:rPr>
        <w:t>w ustawie</w:t>
      </w:r>
      <w:r w:rsidR="00D04BA0">
        <w:rPr>
          <w:rFonts w:ascii="Times New Roman" w:hAnsi="Times New Roman" w:cs="Times New Roman"/>
          <w:bCs/>
          <w:sz w:val="24"/>
          <w:szCs w:val="24"/>
        </w:rPr>
        <w:t xml:space="preserve"> </w:t>
      </w:r>
      <w:r w:rsidRPr="00D04BA0">
        <w:rPr>
          <w:rFonts w:ascii="Times New Roman" w:hAnsi="Times New Roman" w:cs="Times New Roman"/>
          <w:sz w:val="24"/>
          <w:szCs w:val="24"/>
        </w:rPr>
        <w:t>o obrocie instrumentami finansowymi</w:t>
      </w:r>
      <w:r w:rsidR="0008390B" w:rsidRPr="00D04BA0">
        <w:rPr>
          <w:rFonts w:ascii="Times New Roman" w:hAnsi="Times New Roman" w:cs="Times New Roman"/>
          <w:sz w:val="24"/>
          <w:szCs w:val="24"/>
        </w:rPr>
        <w:t>.</w:t>
      </w:r>
    </w:p>
    <w:p w:rsidR="00C919AB" w:rsidRPr="00D04BA0" w:rsidRDefault="00C919AB"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Pozostałe zmiany innych ustaw mają charakter niezbędnych uzupełnień będących konsekwencją zmian ustawy o funduszach inwestycyjnych</w:t>
      </w:r>
      <w:r w:rsidR="00DE7EEC" w:rsidRPr="00D04BA0">
        <w:rPr>
          <w:rFonts w:ascii="Times New Roman" w:hAnsi="Times New Roman" w:cs="Times New Roman"/>
          <w:sz w:val="24"/>
          <w:szCs w:val="24"/>
        </w:rPr>
        <w:t xml:space="preserve"> i obejmują</w:t>
      </w:r>
      <w:r w:rsidRPr="00D04BA0">
        <w:rPr>
          <w:rFonts w:ascii="Times New Roman" w:hAnsi="Times New Roman" w:cs="Times New Roman"/>
          <w:sz w:val="24"/>
          <w:szCs w:val="24"/>
        </w:rPr>
        <w:t>:</w:t>
      </w:r>
    </w:p>
    <w:p w:rsidR="00D85F30" w:rsidRPr="00D04BA0" w:rsidRDefault="00C919AB" w:rsidP="00D04BA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lastRenderedPageBreak/>
        <w:t>uwzględnienie nowych podmiotów (zarządzających z UE) w gronie instytucji finansowych o podobnym chara</w:t>
      </w:r>
      <w:r w:rsidR="001D0296">
        <w:rPr>
          <w:rFonts w:ascii="Times New Roman" w:hAnsi="Times New Roman" w:cs="Times New Roman"/>
          <w:sz w:val="24"/>
          <w:szCs w:val="24"/>
        </w:rPr>
        <w:t>kterze, których ewentualne powią</w:t>
      </w:r>
      <w:r w:rsidRPr="00D04BA0">
        <w:rPr>
          <w:rFonts w:ascii="Times New Roman" w:hAnsi="Times New Roman" w:cs="Times New Roman"/>
          <w:sz w:val="24"/>
          <w:szCs w:val="24"/>
        </w:rPr>
        <w:t>zania z innymi podmiotami wpływają na tryb notyfikacji zmian zaangażowania kapitałowego</w:t>
      </w:r>
      <w:r w:rsidR="00D04BA0">
        <w:rPr>
          <w:rFonts w:ascii="Times New Roman" w:hAnsi="Times New Roman" w:cs="Times New Roman"/>
          <w:sz w:val="24"/>
          <w:szCs w:val="24"/>
        </w:rPr>
        <w:t xml:space="preserve"> </w:t>
      </w:r>
      <w:r w:rsidR="0008390B" w:rsidRPr="00D04BA0">
        <w:rPr>
          <w:rFonts w:ascii="Times New Roman" w:hAnsi="Times New Roman" w:cs="Times New Roman"/>
          <w:sz w:val="24"/>
          <w:szCs w:val="24"/>
        </w:rPr>
        <w:t>w podmiotach nadzorowanych</w:t>
      </w:r>
      <w:r w:rsidRPr="00D04BA0">
        <w:rPr>
          <w:rFonts w:ascii="Times New Roman" w:hAnsi="Times New Roman" w:cs="Times New Roman"/>
          <w:sz w:val="24"/>
          <w:szCs w:val="24"/>
        </w:rPr>
        <w:t xml:space="preserve"> (</w:t>
      </w:r>
      <w:r w:rsidR="00E325E8" w:rsidRPr="00D04BA0">
        <w:rPr>
          <w:rFonts w:ascii="Times New Roman" w:hAnsi="Times New Roman" w:cs="Times New Roman"/>
          <w:sz w:val="24"/>
          <w:szCs w:val="24"/>
        </w:rPr>
        <w:t>w ustawie – Prawo bankowe,</w:t>
      </w:r>
      <w:r w:rsidR="00E325E8" w:rsidRPr="00D04BA0">
        <w:rPr>
          <w:rFonts w:ascii="Times New Roman" w:eastAsia="Times New Roman" w:hAnsi="Times New Roman" w:cs="Times New Roman"/>
          <w:sz w:val="24"/>
          <w:szCs w:val="24"/>
          <w:lang w:eastAsia="pl-PL"/>
        </w:rPr>
        <w:t xml:space="preserve"> </w:t>
      </w:r>
      <w:r w:rsidR="00E325E8" w:rsidRPr="00D04BA0">
        <w:rPr>
          <w:rFonts w:ascii="Times New Roman" w:hAnsi="Times New Roman" w:cs="Times New Roman"/>
          <w:sz w:val="24"/>
          <w:szCs w:val="24"/>
        </w:rPr>
        <w:t>ustawie</w:t>
      </w:r>
      <w:r w:rsidR="008A5CFF" w:rsidRPr="00D04BA0">
        <w:rPr>
          <w:rFonts w:ascii="Times New Roman" w:hAnsi="Times New Roman" w:cs="Times New Roman"/>
          <w:sz w:val="24"/>
          <w:szCs w:val="24"/>
        </w:rPr>
        <w:t xml:space="preserve"> </w:t>
      </w:r>
      <w:r w:rsidR="00E325E8" w:rsidRPr="00D04BA0">
        <w:rPr>
          <w:rFonts w:ascii="Times New Roman" w:hAnsi="Times New Roman" w:cs="Times New Roman"/>
          <w:sz w:val="24"/>
          <w:szCs w:val="24"/>
        </w:rPr>
        <w:t xml:space="preserve">o działalności ubezpieczeniowej i </w:t>
      </w:r>
      <w:r w:rsidR="008A5CFF" w:rsidRPr="00D04BA0">
        <w:rPr>
          <w:rFonts w:ascii="Times New Roman" w:hAnsi="Times New Roman" w:cs="Times New Roman"/>
          <w:sz w:val="24"/>
          <w:szCs w:val="24"/>
        </w:rPr>
        <w:t>ustawie</w:t>
      </w:r>
      <w:r w:rsidR="00E325E8" w:rsidRPr="00D04BA0">
        <w:rPr>
          <w:rFonts w:ascii="Times New Roman" w:hAnsi="Times New Roman" w:cs="Times New Roman"/>
          <w:sz w:val="24"/>
          <w:szCs w:val="24"/>
        </w:rPr>
        <w:t xml:space="preserve"> o obrocie instrumentami finansowymi</w:t>
      </w:r>
      <w:r w:rsidR="0008390B" w:rsidRPr="00D04BA0">
        <w:rPr>
          <w:rFonts w:ascii="Times New Roman" w:hAnsi="Times New Roman" w:cs="Times New Roman"/>
          <w:sz w:val="24"/>
          <w:szCs w:val="24"/>
        </w:rPr>
        <w:t xml:space="preserve"> oraz w ustawie</w:t>
      </w:r>
      <w:r w:rsidR="00D04BA0">
        <w:rPr>
          <w:rFonts w:ascii="Times New Roman" w:hAnsi="Times New Roman" w:cs="Times New Roman"/>
          <w:sz w:val="24"/>
          <w:szCs w:val="24"/>
        </w:rPr>
        <w:t xml:space="preserve"> </w:t>
      </w:r>
      <w:r w:rsidR="0008390B" w:rsidRPr="00D04BA0">
        <w:rPr>
          <w:rFonts w:ascii="Times New Roman" w:hAnsi="Times New Roman" w:cs="Times New Roman"/>
          <w:sz w:val="24"/>
          <w:szCs w:val="24"/>
        </w:rPr>
        <w:t>o ofercie publicznej i warunkach wprowadzania instrumentów finansowych do zorganizowanego systemu obrotu oraz o spółkach publicznych</w:t>
      </w:r>
      <w:r w:rsidR="006371B4" w:rsidRPr="00D04BA0">
        <w:rPr>
          <w:rFonts w:ascii="Times New Roman" w:hAnsi="Times New Roman" w:cs="Times New Roman"/>
          <w:sz w:val="24"/>
          <w:szCs w:val="24"/>
        </w:rPr>
        <w:t>);</w:t>
      </w:r>
    </w:p>
    <w:p w:rsidR="006371B4" w:rsidRPr="00D04BA0" w:rsidRDefault="006371B4" w:rsidP="00D04BA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uwzględnienie nowych podmiotów (</w:t>
      </w:r>
      <w:r w:rsidRPr="00D04BA0">
        <w:rPr>
          <w:rFonts w:ascii="Times New Roman" w:hAnsi="Times New Roman" w:cs="Times New Roman"/>
          <w:bCs/>
          <w:sz w:val="24"/>
          <w:szCs w:val="24"/>
        </w:rPr>
        <w:t>alternatywnych spółek inwestycyjnych</w:t>
      </w:r>
      <w:r w:rsidR="00D04BA0">
        <w:rPr>
          <w:rFonts w:ascii="Times New Roman" w:hAnsi="Times New Roman" w:cs="Times New Roman"/>
          <w:bCs/>
          <w:sz w:val="24"/>
          <w:szCs w:val="24"/>
        </w:rPr>
        <w:t xml:space="preserve"> </w:t>
      </w:r>
      <w:r w:rsidRPr="00D04BA0">
        <w:rPr>
          <w:rFonts w:ascii="Times New Roman" w:hAnsi="Times New Roman" w:cs="Times New Roman"/>
          <w:bCs/>
          <w:sz w:val="24"/>
          <w:szCs w:val="24"/>
        </w:rPr>
        <w:t xml:space="preserve">i zarządzających ASI) w grupie podmiotów uznawanych za profesjonalne na rynku finansowym (w definicji klienta profesjonalnego w </w:t>
      </w:r>
      <w:r w:rsidRPr="00D04BA0">
        <w:rPr>
          <w:rFonts w:ascii="Times New Roman" w:hAnsi="Times New Roman" w:cs="Times New Roman"/>
          <w:sz w:val="24"/>
          <w:szCs w:val="24"/>
        </w:rPr>
        <w:t>ustawie o obrocie instrumentami finansowymi);</w:t>
      </w:r>
    </w:p>
    <w:p w:rsidR="0008390B" w:rsidRPr="00D04BA0" w:rsidRDefault="006371B4" w:rsidP="00D04BA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uwzględnienie nowych instrumentów finansowych w przepisach określających dopuszczalność obrotu takimi instrumentami </w:t>
      </w:r>
      <w:r w:rsidR="004C54EB" w:rsidRPr="00D04BA0">
        <w:rPr>
          <w:rFonts w:ascii="Times New Roman" w:hAnsi="Times New Roman" w:cs="Times New Roman"/>
          <w:sz w:val="24"/>
          <w:szCs w:val="24"/>
        </w:rPr>
        <w:t xml:space="preserve">w Polsce </w:t>
      </w:r>
      <w:r w:rsidRPr="00D04BA0">
        <w:rPr>
          <w:rFonts w:ascii="Times New Roman" w:hAnsi="Times New Roman" w:cs="Times New Roman"/>
          <w:sz w:val="24"/>
          <w:szCs w:val="24"/>
        </w:rPr>
        <w:t xml:space="preserve">(w ustawie o obrocie instrumentami finansowymi oraz ustawie o ofercie publicznej i warunkach wprowadzania instrumentów finansowych do zorganizowanego systemu obrotu oraz o spółkach publicznych) oraz nowych podmiotów </w:t>
      </w:r>
      <w:r w:rsidR="004C54EB" w:rsidRPr="00D04BA0">
        <w:rPr>
          <w:rFonts w:ascii="Times New Roman" w:hAnsi="Times New Roman" w:cs="Times New Roman"/>
          <w:sz w:val="24"/>
          <w:szCs w:val="24"/>
        </w:rPr>
        <w:t>(</w:t>
      </w:r>
      <w:r w:rsidR="004C54EB" w:rsidRPr="00D04BA0">
        <w:rPr>
          <w:rFonts w:ascii="Times New Roman" w:hAnsi="Times New Roman" w:cs="Times New Roman"/>
          <w:bCs/>
          <w:sz w:val="24"/>
          <w:szCs w:val="24"/>
        </w:rPr>
        <w:t>alternatywnych spółek inwestycyjnych</w:t>
      </w:r>
      <w:r w:rsidR="00D04BA0">
        <w:rPr>
          <w:rFonts w:ascii="Times New Roman" w:hAnsi="Times New Roman" w:cs="Times New Roman"/>
          <w:bCs/>
          <w:sz w:val="24"/>
          <w:szCs w:val="24"/>
        </w:rPr>
        <w:t xml:space="preserve"> </w:t>
      </w:r>
      <w:r w:rsidR="004C54EB" w:rsidRPr="00D04BA0">
        <w:rPr>
          <w:rFonts w:ascii="Times New Roman" w:hAnsi="Times New Roman" w:cs="Times New Roman"/>
          <w:bCs/>
          <w:sz w:val="24"/>
          <w:szCs w:val="24"/>
        </w:rPr>
        <w:t xml:space="preserve">i zarządzających ASI) </w:t>
      </w:r>
      <w:r w:rsidRPr="00D04BA0">
        <w:rPr>
          <w:rFonts w:ascii="Times New Roman" w:hAnsi="Times New Roman" w:cs="Times New Roman"/>
          <w:sz w:val="24"/>
          <w:szCs w:val="24"/>
        </w:rPr>
        <w:t>uprawnionych do wykonywania ograniczonej działalności maklerskiej na szczególnych zasadach (w ustawie o obrocie instrumentami finansowymi)</w:t>
      </w:r>
      <w:r w:rsidR="0008390B" w:rsidRPr="00D04BA0">
        <w:rPr>
          <w:rFonts w:ascii="Times New Roman" w:hAnsi="Times New Roman" w:cs="Times New Roman"/>
          <w:sz w:val="24"/>
          <w:szCs w:val="24"/>
        </w:rPr>
        <w:t>;</w:t>
      </w:r>
    </w:p>
    <w:p w:rsidR="006371B4" w:rsidRPr="00D04BA0" w:rsidRDefault="0008390B" w:rsidP="00D04BA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uwzględnienie nowej grupy podmiotów nadzorowanych i nadzorowanej działalności</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w ustawie o nadzorze nad rynkiem finansowym.</w:t>
      </w:r>
      <w:r w:rsidR="006371B4" w:rsidRPr="00D04BA0">
        <w:rPr>
          <w:rFonts w:ascii="Times New Roman" w:hAnsi="Times New Roman" w:cs="Times New Roman"/>
          <w:sz w:val="24"/>
          <w:szCs w:val="24"/>
        </w:rPr>
        <w:t xml:space="preserve"> </w:t>
      </w:r>
    </w:p>
    <w:p w:rsidR="0008390B" w:rsidRPr="00D04BA0" w:rsidRDefault="0008390B"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W pozostałych przepisach zmieniających inne ustawy wprowadzono zmiany redakcyjne będące konsekwencją zmian ustawy o funduszach inwestycyjnych, w szczególności wynikające ze zmiany tytułu tej ustawy.</w:t>
      </w:r>
    </w:p>
    <w:p w:rsidR="004F1146" w:rsidRPr="00D04BA0" w:rsidRDefault="00AE6EF0"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Treść projekt</w:t>
      </w:r>
      <w:r w:rsidR="00190660" w:rsidRPr="00D04BA0">
        <w:rPr>
          <w:rFonts w:ascii="Times New Roman" w:hAnsi="Times New Roman" w:cs="Times New Roman"/>
          <w:sz w:val="24"/>
          <w:szCs w:val="24"/>
        </w:rPr>
        <w:t>u</w:t>
      </w:r>
      <w:r w:rsidRPr="00D04BA0">
        <w:rPr>
          <w:rFonts w:ascii="Times New Roman" w:hAnsi="Times New Roman" w:cs="Times New Roman"/>
          <w:sz w:val="24"/>
          <w:szCs w:val="24"/>
        </w:rPr>
        <w:t xml:space="preserve"> ustawy uwzględnia </w:t>
      </w:r>
      <w:r w:rsidR="00E520FE" w:rsidRPr="00D04BA0">
        <w:rPr>
          <w:rFonts w:ascii="Times New Roman" w:hAnsi="Times New Roman" w:cs="Times New Roman"/>
          <w:sz w:val="24"/>
          <w:szCs w:val="24"/>
        </w:rPr>
        <w:t xml:space="preserve">również stan prawny </w:t>
      </w:r>
      <w:r w:rsidRPr="00D04BA0">
        <w:rPr>
          <w:rFonts w:ascii="Times New Roman" w:hAnsi="Times New Roman" w:cs="Times New Roman"/>
          <w:sz w:val="24"/>
          <w:szCs w:val="24"/>
        </w:rPr>
        <w:t>ustawy</w:t>
      </w:r>
      <w:r w:rsidR="004B3B64" w:rsidRPr="00D04BA0">
        <w:rPr>
          <w:rFonts w:ascii="Times New Roman" w:hAnsi="Times New Roman" w:cs="Times New Roman"/>
          <w:sz w:val="24"/>
          <w:szCs w:val="24"/>
        </w:rPr>
        <w:t xml:space="preserve"> z dnia 15 maja 2015 r. – Prawo restrukturyzacyjne (Dz. U. poz. 978), ustawy </w:t>
      </w:r>
      <w:r w:rsidRPr="00D04BA0">
        <w:rPr>
          <w:rFonts w:ascii="Times New Roman" w:hAnsi="Times New Roman" w:cs="Times New Roman"/>
          <w:sz w:val="24"/>
          <w:szCs w:val="24"/>
        </w:rPr>
        <w:t>z dnia 5 sierpnia 2015 r. o</w:t>
      </w:r>
      <w:r w:rsidR="001D0296">
        <w:rPr>
          <w:rFonts w:ascii="Times New Roman" w:hAnsi="Times New Roman" w:cs="Times New Roman"/>
          <w:sz w:val="24"/>
          <w:szCs w:val="24"/>
        </w:rPr>
        <w:t> </w:t>
      </w:r>
      <w:r w:rsidRPr="00D04BA0">
        <w:rPr>
          <w:rFonts w:ascii="Times New Roman" w:hAnsi="Times New Roman" w:cs="Times New Roman"/>
          <w:sz w:val="24"/>
          <w:szCs w:val="24"/>
        </w:rPr>
        <w:t>zmianie ustawy o nadzorze nad rynkiem finansowym oraz niektórych innych ustaw (Dz. U.</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 xml:space="preserve"> poz.</w:t>
      </w:r>
      <w:r w:rsidR="00F001D1">
        <w:rPr>
          <w:rFonts w:ascii="Times New Roman" w:hAnsi="Times New Roman" w:cs="Times New Roman"/>
          <w:sz w:val="24"/>
          <w:szCs w:val="24"/>
        </w:rPr>
        <w:t> </w:t>
      </w:r>
      <w:r w:rsidRPr="00D04BA0">
        <w:rPr>
          <w:rFonts w:ascii="Times New Roman" w:hAnsi="Times New Roman" w:cs="Times New Roman"/>
          <w:sz w:val="24"/>
          <w:szCs w:val="24"/>
        </w:rPr>
        <w:t xml:space="preserve">1357), </w:t>
      </w:r>
      <w:r w:rsidR="004B3B64" w:rsidRPr="00D04BA0">
        <w:rPr>
          <w:rFonts w:ascii="Times New Roman" w:hAnsi="Times New Roman" w:cs="Times New Roman"/>
          <w:sz w:val="24"/>
          <w:szCs w:val="24"/>
        </w:rPr>
        <w:t xml:space="preserve">a także </w:t>
      </w:r>
      <w:r w:rsidR="00E520FE" w:rsidRPr="00D04BA0">
        <w:rPr>
          <w:rFonts w:ascii="Times New Roman" w:hAnsi="Times New Roman" w:cs="Times New Roman"/>
          <w:sz w:val="24"/>
          <w:szCs w:val="24"/>
        </w:rPr>
        <w:t xml:space="preserve">ustawy </w:t>
      </w:r>
      <w:r w:rsidR="004F1146" w:rsidRPr="00D04BA0">
        <w:rPr>
          <w:rFonts w:ascii="Times New Roman" w:hAnsi="Times New Roman" w:cs="Times New Roman"/>
          <w:sz w:val="24"/>
          <w:szCs w:val="24"/>
        </w:rPr>
        <w:t>z dnia 12 czerwca 2015 r. o zmianie ustawy o nadzorze nad rynkiem kapitałowym</w:t>
      </w:r>
      <w:r w:rsidR="00D04BA0">
        <w:rPr>
          <w:rFonts w:ascii="Times New Roman" w:hAnsi="Times New Roman" w:cs="Times New Roman"/>
          <w:sz w:val="24"/>
          <w:szCs w:val="24"/>
        </w:rPr>
        <w:t xml:space="preserve"> </w:t>
      </w:r>
      <w:r w:rsidR="004F1146" w:rsidRPr="00D04BA0">
        <w:rPr>
          <w:rFonts w:ascii="Times New Roman" w:hAnsi="Times New Roman" w:cs="Times New Roman"/>
          <w:sz w:val="24"/>
          <w:szCs w:val="24"/>
        </w:rPr>
        <w:t>oraz niektórych innych ustaw (Dz. U. poz.</w:t>
      </w:r>
      <w:r w:rsidR="001D0296">
        <w:rPr>
          <w:rFonts w:ascii="Times New Roman" w:hAnsi="Times New Roman" w:cs="Times New Roman"/>
          <w:sz w:val="24"/>
          <w:szCs w:val="24"/>
        </w:rPr>
        <w:t> </w:t>
      </w:r>
      <w:r w:rsidR="004F1146" w:rsidRPr="00D04BA0">
        <w:rPr>
          <w:rFonts w:ascii="Times New Roman" w:hAnsi="Times New Roman" w:cs="Times New Roman"/>
          <w:sz w:val="24"/>
          <w:szCs w:val="24"/>
        </w:rPr>
        <w:t>1260).</w:t>
      </w:r>
    </w:p>
    <w:p w:rsidR="0008390B" w:rsidRPr="00067927" w:rsidRDefault="0008390B" w:rsidP="00A04C2E">
      <w:pPr>
        <w:rPr>
          <w:rFonts w:ascii="Times New Roman" w:hAnsi="Times New Roman" w:cs="Times New Roman"/>
          <w:sz w:val="24"/>
          <w:szCs w:val="24"/>
        </w:rPr>
      </w:pPr>
      <w:r w:rsidRPr="00067927">
        <w:rPr>
          <w:rFonts w:ascii="Times New Roman" w:hAnsi="Times New Roman" w:cs="Times New Roman"/>
          <w:sz w:val="24"/>
          <w:szCs w:val="24"/>
        </w:rPr>
        <w:t>Przepisy przejściowe</w:t>
      </w:r>
    </w:p>
    <w:p w:rsidR="0008390B" w:rsidRPr="00D04BA0" w:rsidRDefault="0008390B"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Skutkiem prawnym zaproponowanych przepisów przejściowych ma być płynne przejście do stosowania regulacji zmienianej ustawy</w:t>
      </w:r>
      <w:r w:rsidR="004642E6" w:rsidRPr="00D04BA0">
        <w:rPr>
          <w:rFonts w:ascii="Times New Roman" w:hAnsi="Times New Roman" w:cs="Times New Roman"/>
          <w:sz w:val="24"/>
          <w:szCs w:val="24"/>
        </w:rPr>
        <w:t xml:space="preserve"> przy zminimalizowaniu zakłócenia </w:t>
      </w:r>
      <w:r w:rsidR="004642E6" w:rsidRPr="00D04BA0">
        <w:rPr>
          <w:rFonts w:ascii="Times New Roman" w:hAnsi="Times New Roman" w:cs="Times New Roman"/>
          <w:sz w:val="24"/>
          <w:szCs w:val="24"/>
        </w:rPr>
        <w:lastRenderedPageBreak/>
        <w:t>bieżącej działalności podmiotów będących adresatami projektu. W szczególności należy podkreślić, że:</w:t>
      </w:r>
    </w:p>
    <w:p w:rsidR="004642E6" w:rsidRPr="00D04BA0" w:rsidRDefault="004C54EB" w:rsidP="00D04BA0">
      <w:pPr>
        <w:pStyle w:val="Akapitzlist"/>
        <w:numPr>
          <w:ilvl w:val="0"/>
          <w:numId w:val="23"/>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bez względu na nadanie „nowego kształtu” zezwoleniom udzielanym TFI, TFI </w:t>
      </w:r>
      <w:r w:rsidR="004642E6" w:rsidRPr="00D04BA0">
        <w:rPr>
          <w:rFonts w:ascii="Times New Roman" w:hAnsi="Times New Roman" w:cs="Times New Roman"/>
          <w:sz w:val="24"/>
          <w:szCs w:val="24"/>
        </w:rPr>
        <w:t xml:space="preserve">wykonujące aktualnie działalność nie będą musiały występować o </w:t>
      </w:r>
      <w:r w:rsidRPr="00D04BA0">
        <w:rPr>
          <w:rFonts w:ascii="Times New Roman" w:hAnsi="Times New Roman" w:cs="Times New Roman"/>
          <w:sz w:val="24"/>
          <w:szCs w:val="24"/>
        </w:rPr>
        <w:t xml:space="preserve">nowe </w:t>
      </w:r>
      <w:r w:rsidR="004642E6" w:rsidRPr="00D04BA0">
        <w:rPr>
          <w:rFonts w:ascii="Times New Roman" w:hAnsi="Times New Roman" w:cs="Times New Roman"/>
          <w:sz w:val="24"/>
          <w:szCs w:val="24"/>
        </w:rPr>
        <w:t>zezwolenia na działalność, którą obecnie mogą już wykonywać</w:t>
      </w:r>
      <w:r w:rsidRPr="00D04BA0">
        <w:rPr>
          <w:rFonts w:ascii="Times New Roman" w:hAnsi="Times New Roman" w:cs="Times New Roman"/>
          <w:sz w:val="24"/>
          <w:szCs w:val="24"/>
        </w:rPr>
        <w:t xml:space="preserve"> </w:t>
      </w:r>
      <w:r w:rsidR="004642E6" w:rsidRPr="00D04BA0">
        <w:rPr>
          <w:rFonts w:ascii="Times New Roman" w:hAnsi="Times New Roman" w:cs="Times New Roman"/>
          <w:sz w:val="24"/>
          <w:szCs w:val="24"/>
        </w:rPr>
        <w:t>– zakres ich uprawnień zostanie utrzymany, z tym że do udzielonych im zezwoleń będzie się już stosować nowe regulacje;</w:t>
      </w:r>
    </w:p>
    <w:p w:rsidR="004642E6" w:rsidRPr="00D04BA0" w:rsidRDefault="004642E6" w:rsidP="00D04BA0">
      <w:pPr>
        <w:pStyle w:val="Akapitzlist"/>
        <w:numPr>
          <w:ilvl w:val="0"/>
          <w:numId w:val="23"/>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wyznacza się okres 6 miesięcy na dostosowanie się adresatów do zmienionych regulacji, oraz „uzupełnienie” dokumentacji, jaką powinien dysponować organ nadzoru, przy czym termin uzupełnienia tej dokumentacji może być dłuższy, jeżeli TFI </w:t>
      </w:r>
      <w:r w:rsidR="004C54EB" w:rsidRPr="00D04BA0">
        <w:rPr>
          <w:rFonts w:ascii="Times New Roman" w:hAnsi="Times New Roman" w:cs="Times New Roman"/>
          <w:sz w:val="24"/>
          <w:szCs w:val="24"/>
        </w:rPr>
        <w:t xml:space="preserve">nie </w:t>
      </w:r>
      <w:r w:rsidRPr="00D04BA0">
        <w:rPr>
          <w:rFonts w:ascii="Times New Roman" w:hAnsi="Times New Roman" w:cs="Times New Roman"/>
          <w:sz w:val="24"/>
          <w:szCs w:val="24"/>
        </w:rPr>
        <w:t>zamierza od razu prowadzić działalności objętej dyrektywą ZAFI;</w:t>
      </w:r>
    </w:p>
    <w:p w:rsidR="004642E6" w:rsidRPr="00D04BA0" w:rsidRDefault="004642E6" w:rsidP="00D04BA0">
      <w:pPr>
        <w:pStyle w:val="Akapitzlist"/>
        <w:numPr>
          <w:ilvl w:val="0"/>
          <w:numId w:val="23"/>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wyznacza się wydłużony (12 miesięcy) okres na niezbędną zmianę statutów SFIO oraz na rozwiązanie niespełniających nowych wymagań umów zawartych dotychczas</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z podwykonawcami;</w:t>
      </w:r>
    </w:p>
    <w:p w:rsidR="009C7664" w:rsidRPr="00D04BA0" w:rsidRDefault="009C7664" w:rsidP="00D04BA0">
      <w:pPr>
        <w:pStyle w:val="Akapitzlist"/>
        <w:numPr>
          <w:ilvl w:val="0"/>
          <w:numId w:val="23"/>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wyznacza się okres 6 miesięcy na dostosowanie się depozytariuszy do wymogów wynikających z ustawy;</w:t>
      </w:r>
    </w:p>
    <w:p w:rsidR="00C10E61" w:rsidRPr="00D04BA0" w:rsidRDefault="00C10E61" w:rsidP="00D04BA0">
      <w:pPr>
        <w:pStyle w:val="Akapitzlist"/>
        <w:numPr>
          <w:ilvl w:val="0"/>
          <w:numId w:val="23"/>
        </w:numPr>
        <w:spacing w:before="120" w:after="0" w:line="360" w:lineRule="auto"/>
        <w:ind w:left="426" w:hanging="426"/>
        <w:jc w:val="both"/>
        <w:rPr>
          <w:rFonts w:ascii="Times New Roman" w:hAnsi="Times New Roman" w:cs="Times New Roman"/>
          <w:sz w:val="24"/>
          <w:szCs w:val="24"/>
        </w:rPr>
      </w:pPr>
      <w:r w:rsidRPr="00D04BA0">
        <w:rPr>
          <w:rFonts w:ascii="Times New Roman" w:hAnsi="Times New Roman" w:cs="Times New Roman"/>
          <w:sz w:val="24"/>
          <w:szCs w:val="24"/>
        </w:rPr>
        <w:t xml:space="preserve">podmioty wykonujące aktualnie działalność inwestycyjną inną niż działalność funduszy inwestycyjnych nie będą musiały z dnia na dzień przerwać jej wykonywania dla uzyskania wymaganych zezwoleń i wpisów do rejestru – proponuje się </w:t>
      </w:r>
      <w:r w:rsidR="003A1A26">
        <w:rPr>
          <w:rFonts w:ascii="Times New Roman" w:hAnsi="Times New Roman" w:cs="Times New Roman"/>
          <w:sz w:val="24"/>
          <w:szCs w:val="24"/>
        </w:rPr>
        <w:t>12</w:t>
      </w:r>
      <w:r w:rsidR="003A1A26" w:rsidRPr="00D04BA0">
        <w:rPr>
          <w:rFonts w:ascii="Times New Roman" w:hAnsi="Times New Roman" w:cs="Times New Roman"/>
          <w:sz w:val="24"/>
          <w:szCs w:val="24"/>
        </w:rPr>
        <w:t xml:space="preserve"> </w:t>
      </w:r>
      <w:r w:rsidRPr="00D04BA0">
        <w:rPr>
          <w:rFonts w:ascii="Times New Roman" w:hAnsi="Times New Roman" w:cs="Times New Roman"/>
          <w:sz w:val="24"/>
          <w:szCs w:val="24"/>
        </w:rPr>
        <w:t>miesięczny okres na zakończenie dotychczasowej działalności na dotychczasowych zasadach, bez względu na zamierzenia co do jej kontynuowania; natomiast podmioty, które zdecydowałyby się na kontynuowanie swojej działalności będą obowiązane do dostosowania zarówno sposobu jej wykonywania, jak i w wielu przypadkach – również formy prawnej jej wykonywania (np.</w:t>
      </w:r>
      <w:r w:rsidR="001D0296">
        <w:rPr>
          <w:rFonts w:ascii="Times New Roman" w:hAnsi="Times New Roman" w:cs="Times New Roman"/>
          <w:sz w:val="24"/>
          <w:szCs w:val="24"/>
        </w:rPr>
        <w:t> </w:t>
      </w:r>
      <w:r w:rsidRPr="00D04BA0">
        <w:rPr>
          <w:rFonts w:ascii="Times New Roman" w:hAnsi="Times New Roman" w:cs="Times New Roman"/>
          <w:sz w:val="24"/>
          <w:szCs w:val="24"/>
        </w:rPr>
        <w:t xml:space="preserve">utworzenia określonej spółki) – jednakże w razie złożenia stosownego wniosku o zezwolenie albo wpis w „podstawowym” </w:t>
      </w:r>
      <w:r w:rsidR="004C54EB" w:rsidRPr="00D04BA0">
        <w:rPr>
          <w:rFonts w:ascii="Times New Roman" w:hAnsi="Times New Roman" w:cs="Times New Roman"/>
          <w:sz w:val="24"/>
          <w:szCs w:val="24"/>
        </w:rPr>
        <w:t xml:space="preserve">dostosowawczym </w:t>
      </w:r>
      <w:r w:rsidRPr="00D04BA0">
        <w:rPr>
          <w:rFonts w:ascii="Times New Roman" w:hAnsi="Times New Roman" w:cs="Times New Roman"/>
          <w:sz w:val="24"/>
          <w:szCs w:val="24"/>
        </w:rPr>
        <w:t xml:space="preserve">okresie </w:t>
      </w:r>
      <w:r w:rsidR="003A1A26">
        <w:rPr>
          <w:rFonts w:ascii="Times New Roman" w:hAnsi="Times New Roman" w:cs="Times New Roman"/>
          <w:sz w:val="24"/>
          <w:szCs w:val="24"/>
        </w:rPr>
        <w:t xml:space="preserve">12 </w:t>
      </w:r>
      <w:r w:rsidRPr="00D04BA0">
        <w:rPr>
          <w:rFonts w:ascii="Times New Roman" w:hAnsi="Times New Roman" w:cs="Times New Roman"/>
          <w:sz w:val="24"/>
          <w:szCs w:val="24"/>
        </w:rPr>
        <w:t>miesięcy, będą mogły oczekiwać na rozstrzygnięcie sprawy</w:t>
      </w:r>
      <w:r w:rsidR="004C54EB" w:rsidRPr="00D04BA0">
        <w:rPr>
          <w:rFonts w:ascii="Times New Roman" w:hAnsi="Times New Roman" w:cs="Times New Roman"/>
          <w:sz w:val="24"/>
          <w:szCs w:val="24"/>
        </w:rPr>
        <w:t>,</w:t>
      </w:r>
      <w:r w:rsidRPr="00D04BA0">
        <w:rPr>
          <w:rFonts w:ascii="Times New Roman" w:hAnsi="Times New Roman" w:cs="Times New Roman"/>
          <w:sz w:val="24"/>
          <w:szCs w:val="24"/>
        </w:rPr>
        <w:t xml:space="preserve"> kontynuując działalność na dotychczasowych zasadach;</w:t>
      </w:r>
    </w:p>
    <w:p w:rsidR="00E72BF6" w:rsidRPr="00D04BA0" w:rsidRDefault="00C10E61" w:rsidP="00D04BA0">
      <w:pPr>
        <w:pStyle w:val="Akapitzlist"/>
        <w:numPr>
          <w:ilvl w:val="0"/>
          <w:numId w:val="23"/>
        </w:numPr>
        <w:spacing w:before="120" w:after="0" w:line="360" w:lineRule="auto"/>
        <w:ind w:left="425" w:hanging="425"/>
        <w:jc w:val="both"/>
        <w:rPr>
          <w:rFonts w:ascii="Times New Roman" w:hAnsi="Times New Roman" w:cs="Times New Roman"/>
          <w:sz w:val="24"/>
          <w:szCs w:val="24"/>
        </w:rPr>
      </w:pPr>
      <w:r w:rsidRPr="00D04BA0">
        <w:rPr>
          <w:rFonts w:ascii="Times New Roman" w:hAnsi="Times New Roman" w:cs="Times New Roman"/>
          <w:sz w:val="24"/>
          <w:szCs w:val="24"/>
        </w:rPr>
        <w:t>analogicznie do ww. rozwiązania proponuje się umożliwienie kontynuowania na dotychczasowych zasadach działalności przez podmiot zarządzający funduszem kapitałowym, który już korzysta z wsparcia udzielanego przez Krajowy Fundusz Kapitałowy</w:t>
      </w:r>
      <w:r w:rsidRPr="00D04BA0">
        <w:rPr>
          <w:rFonts w:ascii="Times New Roman" w:eastAsia="Times New Roman" w:hAnsi="Times New Roman" w:cs="Times New Roman"/>
          <w:sz w:val="24"/>
          <w:szCs w:val="24"/>
          <w:lang w:eastAsia="pl-PL"/>
        </w:rPr>
        <w:t xml:space="preserve"> – </w:t>
      </w:r>
      <w:r w:rsidRPr="00D04BA0">
        <w:rPr>
          <w:rFonts w:ascii="Times New Roman" w:hAnsi="Times New Roman" w:cs="Times New Roman"/>
          <w:sz w:val="24"/>
          <w:szCs w:val="24"/>
        </w:rPr>
        <w:t>do dnia wygaśnięcia albo rozwiązania umowy o udzielenie wsparcia</w:t>
      </w:r>
      <w:r w:rsidR="009C7664" w:rsidRPr="00D04BA0">
        <w:rPr>
          <w:rFonts w:ascii="Times New Roman" w:hAnsi="Times New Roman" w:cs="Times New Roman"/>
          <w:sz w:val="24"/>
          <w:szCs w:val="24"/>
        </w:rPr>
        <w:t>;</w:t>
      </w:r>
    </w:p>
    <w:p w:rsidR="004642E6" w:rsidRPr="00D04BA0" w:rsidRDefault="00E72BF6" w:rsidP="00D04BA0">
      <w:pPr>
        <w:pStyle w:val="Akapitzlist"/>
        <w:numPr>
          <w:ilvl w:val="0"/>
          <w:numId w:val="23"/>
        </w:numPr>
        <w:spacing w:before="120" w:after="0" w:line="360" w:lineRule="auto"/>
        <w:ind w:left="425" w:hanging="425"/>
        <w:jc w:val="both"/>
        <w:rPr>
          <w:rFonts w:ascii="Times New Roman" w:hAnsi="Times New Roman" w:cs="Times New Roman"/>
          <w:sz w:val="24"/>
          <w:szCs w:val="24"/>
        </w:rPr>
      </w:pPr>
      <w:r w:rsidRPr="00D04BA0">
        <w:rPr>
          <w:rFonts w:ascii="Times New Roman" w:hAnsi="Times New Roman" w:cs="Times New Roman"/>
          <w:sz w:val="24"/>
          <w:szCs w:val="24"/>
        </w:rPr>
        <w:lastRenderedPageBreak/>
        <w:t>przepisy rozporządzenia 231/2013</w:t>
      </w:r>
      <w:r w:rsidR="003F42E8" w:rsidRPr="00D04BA0">
        <w:rPr>
          <w:rFonts w:ascii="Times New Roman" w:hAnsi="Times New Roman" w:cs="Times New Roman"/>
          <w:sz w:val="24"/>
          <w:szCs w:val="24"/>
        </w:rPr>
        <w:t xml:space="preserve"> stosuje się wprost od dnia 22 lipca 2013 r., z tego też względu na poziomie ustawy nie jest możliw</w:t>
      </w:r>
      <w:r w:rsidR="00E93F14" w:rsidRPr="00D04BA0">
        <w:rPr>
          <w:rFonts w:ascii="Times New Roman" w:hAnsi="Times New Roman" w:cs="Times New Roman"/>
          <w:sz w:val="24"/>
          <w:szCs w:val="24"/>
        </w:rPr>
        <w:t>e</w:t>
      </w:r>
      <w:r w:rsidR="003F42E8" w:rsidRPr="00D04BA0">
        <w:rPr>
          <w:rFonts w:ascii="Times New Roman" w:hAnsi="Times New Roman" w:cs="Times New Roman"/>
          <w:sz w:val="24"/>
          <w:szCs w:val="24"/>
        </w:rPr>
        <w:t xml:space="preserve"> zawarcie wprost przepisów wskazujących termin na dostosowanie się </w:t>
      </w:r>
      <w:r w:rsidR="00E93F14" w:rsidRPr="00D04BA0">
        <w:rPr>
          <w:rFonts w:ascii="Times New Roman" w:hAnsi="Times New Roman" w:cs="Times New Roman"/>
          <w:sz w:val="24"/>
          <w:szCs w:val="24"/>
        </w:rPr>
        <w:t>adresatów</w:t>
      </w:r>
      <w:r w:rsidR="003F42E8" w:rsidRPr="00D04BA0">
        <w:rPr>
          <w:rFonts w:ascii="Times New Roman" w:hAnsi="Times New Roman" w:cs="Times New Roman"/>
          <w:sz w:val="24"/>
          <w:szCs w:val="24"/>
        </w:rPr>
        <w:t xml:space="preserve"> do przepisów tego rozporządzenia, zauważenia jednak wymaga, że dopiero projektowana ustawy ustanawia przepisy materialne pozwalające na stosowanie rozporządzenia, jak się zatem wydaje w okresie wyznaczonym na dostosowanie się adresatów do regulacji zmienionych ustawą, nie będą się do nich stosować w pełni również odpowiednie przepisy rozporządzenia 231/2013</w:t>
      </w:r>
      <w:r w:rsidR="00C10E61" w:rsidRPr="00D04BA0">
        <w:rPr>
          <w:rFonts w:ascii="Times New Roman" w:hAnsi="Times New Roman" w:cs="Times New Roman"/>
          <w:sz w:val="24"/>
          <w:szCs w:val="24"/>
        </w:rPr>
        <w:t>.</w:t>
      </w:r>
    </w:p>
    <w:p w:rsidR="00692ACF" w:rsidRPr="00D04BA0" w:rsidRDefault="00692ACF"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Projekt ustawy nie zawiera przepisów technicznych i nie podlega notyfikacji zgodnie</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z trybem przewidzianym w przepisach dotyczących sposobu funkcjonowania krajowego systemu notyfikacji norm i aktów prawnych, tj. rozporządzeniem Rady Ministrów z</w:t>
      </w:r>
      <w:r w:rsidR="001D0296">
        <w:rPr>
          <w:rFonts w:ascii="Times New Roman" w:hAnsi="Times New Roman" w:cs="Times New Roman"/>
          <w:sz w:val="24"/>
          <w:szCs w:val="24"/>
        </w:rPr>
        <w:t> </w:t>
      </w:r>
      <w:r w:rsidRPr="00D04BA0">
        <w:rPr>
          <w:rFonts w:ascii="Times New Roman" w:hAnsi="Times New Roman" w:cs="Times New Roman"/>
          <w:sz w:val="24"/>
          <w:szCs w:val="24"/>
        </w:rPr>
        <w:t>dnia 23</w:t>
      </w:r>
      <w:r w:rsidR="00D14EF5">
        <w:rPr>
          <w:rFonts w:ascii="Times New Roman" w:hAnsi="Times New Roman" w:cs="Times New Roman"/>
          <w:sz w:val="24"/>
          <w:szCs w:val="24"/>
        </w:rPr>
        <w:t xml:space="preserve"> </w:t>
      </w:r>
      <w:r w:rsidRPr="00D04BA0">
        <w:rPr>
          <w:rFonts w:ascii="Times New Roman" w:hAnsi="Times New Roman" w:cs="Times New Roman"/>
          <w:sz w:val="24"/>
          <w:szCs w:val="24"/>
        </w:rPr>
        <w:t>grudnia 2002 r. w sprawie sposobu funkcjonowania krajowego systemu notyfikacji norm</w:t>
      </w:r>
      <w:r w:rsidR="00D04BA0">
        <w:rPr>
          <w:rFonts w:ascii="Times New Roman" w:hAnsi="Times New Roman" w:cs="Times New Roman"/>
          <w:sz w:val="24"/>
          <w:szCs w:val="24"/>
        </w:rPr>
        <w:t xml:space="preserve"> </w:t>
      </w:r>
      <w:r w:rsidRPr="00D04BA0">
        <w:rPr>
          <w:rFonts w:ascii="Times New Roman" w:hAnsi="Times New Roman" w:cs="Times New Roman"/>
          <w:sz w:val="24"/>
          <w:szCs w:val="24"/>
        </w:rPr>
        <w:t>i aktów prawnych (Dz. U. Nr 239, poz. 2039 oraz z 2004 r. Nr 65, poz.</w:t>
      </w:r>
      <w:r w:rsidR="001D0296">
        <w:rPr>
          <w:rFonts w:ascii="Times New Roman" w:hAnsi="Times New Roman" w:cs="Times New Roman"/>
          <w:sz w:val="24"/>
          <w:szCs w:val="24"/>
        </w:rPr>
        <w:t> </w:t>
      </w:r>
      <w:r w:rsidRPr="00D04BA0">
        <w:rPr>
          <w:rFonts w:ascii="Times New Roman" w:hAnsi="Times New Roman" w:cs="Times New Roman"/>
          <w:sz w:val="24"/>
          <w:szCs w:val="24"/>
        </w:rPr>
        <w:t>597).</w:t>
      </w:r>
    </w:p>
    <w:p w:rsidR="00692ACF" w:rsidRPr="00D04BA0" w:rsidRDefault="00692ACF"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Zgodnie z art. 2 ust. 1 decyzji Rady 98/415/WE z dnia 29 czerwca 1998 r. w sprawie konsultacji Europejskiego Banku Centralnego udzielanych władzom krajowym w sprawie projektów przepisów prawnych (Dz. Urz. WE L 189 z 03.07.1998, str. 42; Dz.</w:t>
      </w:r>
      <w:r w:rsidR="001D0296">
        <w:rPr>
          <w:rFonts w:ascii="Times New Roman" w:hAnsi="Times New Roman" w:cs="Times New Roman"/>
          <w:sz w:val="24"/>
          <w:szCs w:val="24"/>
        </w:rPr>
        <w:t> </w:t>
      </w:r>
      <w:r w:rsidRPr="00D04BA0">
        <w:rPr>
          <w:rFonts w:ascii="Times New Roman" w:hAnsi="Times New Roman" w:cs="Times New Roman"/>
          <w:sz w:val="24"/>
          <w:szCs w:val="24"/>
        </w:rPr>
        <w:t>Urz. UE Polskie Wydanie Specjalne rozdz. 1, t. 1, str. 446), projekt ustawy nie będzie przedmiotem konsultacji z Europejskim Bankiem Centralnym.</w:t>
      </w:r>
    </w:p>
    <w:p w:rsidR="003E5785" w:rsidRPr="00D04BA0" w:rsidRDefault="00692ACF"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Zgodnie z przepisami ustawy z dnia 7 lipca 2005 r. o działalności lobbingowej w procesie stanowienia prawa (Dz. U. Nr 169, poz. 1414, z późn. zm.) oraz na podstawie § 52 uchwały Nr 190 Rady Ministrów z dnia 29 października 2013 r. – Regulamin pracy Rady Ministrów (M</w:t>
      </w:r>
      <w:r w:rsidR="00DF5485">
        <w:rPr>
          <w:rFonts w:ascii="Times New Roman" w:hAnsi="Times New Roman" w:cs="Times New Roman"/>
          <w:sz w:val="24"/>
          <w:szCs w:val="24"/>
        </w:rPr>
        <w:t>.</w:t>
      </w:r>
      <w:r w:rsidRPr="00D04BA0">
        <w:rPr>
          <w:rFonts w:ascii="Times New Roman" w:hAnsi="Times New Roman" w:cs="Times New Roman"/>
          <w:sz w:val="24"/>
          <w:szCs w:val="24"/>
        </w:rPr>
        <w:t>P</w:t>
      </w:r>
      <w:r w:rsidR="00DF5485">
        <w:rPr>
          <w:rFonts w:ascii="Times New Roman" w:hAnsi="Times New Roman" w:cs="Times New Roman"/>
          <w:sz w:val="24"/>
          <w:szCs w:val="24"/>
        </w:rPr>
        <w:t>.</w:t>
      </w:r>
      <w:r w:rsidRPr="00D04BA0">
        <w:rPr>
          <w:rFonts w:ascii="Times New Roman" w:hAnsi="Times New Roman" w:cs="Times New Roman"/>
          <w:sz w:val="24"/>
          <w:szCs w:val="24"/>
        </w:rPr>
        <w:t xml:space="preserve"> poz. 979) projekt ustawy zosta</w:t>
      </w:r>
      <w:r w:rsidR="003E5785" w:rsidRPr="00D04BA0">
        <w:rPr>
          <w:rFonts w:ascii="Times New Roman" w:hAnsi="Times New Roman" w:cs="Times New Roman"/>
          <w:sz w:val="24"/>
          <w:szCs w:val="24"/>
        </w:rPr>
        <w:t>ł</w:t>
      </w:r>
      <w:r w:rsidRPr="00D04BA0">
        <w:rPr>
          <w:rFonts w:ascii="Times New Roman" w:hAnsi="Times New Roman" w:cs="Times New Roman"/>
          <w:sz w:val="24"/>
          <w:szCs w:val="24"/>
        </w:rPr>
        <w:t xml:space="preserve"> zamieszczony w Biuletynie Informacji Publicznej na stronie podmiotowej Rządowego Centrum Legislacji. </w:t>
      </w:r>
    </w:p>
    <w:p w:rsidR="004642E6" w:rsidRDefault="00692ACF" w:rsidP="008E7A41">
      <w:pPr>
        <w:spacing w:before="120" w:after="0" w:line="360" w:lineRule="auto"/>
        <w:jc w:val="both"/>
        <w:rPr>
          <w:rFonts w:ascii="Times New Roman" w:hAnsi="Times New Roman" w:cs="Times New Roman"/>
          <w:sz w:val="24"/>
          <w:szCs w:val="24"/>
        </w:rPr>
      </w:pPr>
      <w:r w:rsidRPr="00D04BA0">
        <w:rPr>
          <w:rFonts w:ascii="Times New Roman" w:hAnsi="Times New Roman" w:cs="Times New Roman"/>
          <w:sz w:val="24"/>
          <w:szCs w:val="24"/>
        </w:rPr>
        <w:t xml:space="preserve">Projekt ustawy </w:t>
      </w:r>
      <w:r w:rsidR="003E5785" w:rsidRPr="00D04BA0">
        <w:rPr>
          <w:rFonts w:ascii="Times New Roman" w:hAnsi="Times New Roman" w:cs="Times New Roman"/>
          <w:sz w:val="24"/>
          <w:szCs w:val="24"/>
        </w:rPr>
        <w:t xml:space="preserve">jest zgodny </w:t>
      </w:r>
      <w:r w:rsidRPr="00D04BA0">
        <w:rPr>
          <w:rFonts w:ascii="Times New Roman" w:hAnsi="Times New Roman" w:cs="Times New Roman"/>
          <w:sz w:val="24"/>
          <w:szCs w:val="24"/>
        </w:rPr>
        <w:t>z prawem Unii Europejskiej</w:t>
      </w:r>
      <w:r w:rsidRPr="00FD6FEC">
        <w:rPr>
          <w:rFonts w:ascii="Times New Roman" w:hAnsi="Times New Roman" w:cs="Times New Roman"/>
          <w:sz w:val="24"/>
          <w:szCs w:val="24"/>
        </w:rPr>
        <w:t>.</w:t>
      </w:r>
    </w:p>
    <w:p w:rsidR="00D04BA0" w:rsidRDefault="00D04BA0" w:rsidP="00B00A01">
      <w:pPr>
        <w:spacing w:after="0" w:line="360" w:lineRule="auto"/>
        <w:ind w:firstLine="284"/>
        <w:jc w:val="both"/>
        <w:rPr>
          <w:rFonts w:ascii="Times New Roman" w:hAnsi="Times New Roman" w:cs="Times New Roman"/>
          <w:sz w:val="24"/>
          <w:szCs w:val="24"/>
        </w:rPr>
        <w:sectPr w:rsidR="00D04BA0" w:rsidSect="00D14EF5">
          <w:headerReference w:type="even" r:id="rId9"/>
          <w:headerReference w:type="default" r:id="rId10"/>
          <w:footerReference w:type="even" r:id="rId11"/>
          <w:footerReference w:type="default" r:id="rId12"/>
          <w:headerReference w:type="first" r:id="rId13"/>
          <w:footerReference w:type="first" r:id="rId14"/>
          <w:pgSz w:w="11906" w:h="16838" w:code="9"/>
          <w:pgMar w:top="1588" w:right="1418" w:bottom="1418" w:left="1985" w:header="709" w:footer="709" w:gutter="0"/>
          <w:cols w:space="708"/>
          <w:titlePg/>
          <w:docGrid w:linePitch="360"/>
        </w:sectPr>
      </w:pPr>
    </w:p>
    <w:tbl>
      <w:tblPr>
        <w:tblW w:w="10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91"/>
        <w:gridCol w:w="689"/>
        <w:gridCol w:w="635"/>
        <w:gridCol w:w="54"/>
        <w:gridCol w:w="79"/>
        <w:gridCol w:w="403"/>
        <w:gridCol w:w="495"/>
        <w:gridCol w:w="228"/>
        <w:gridCol w:w="615"/>
        <w:gridCol w:w="67"/>
        <w:gridCol w:w="243"/>
        <w:gridCol w:w="472"/>
        <w:gridCol w:w="467"/>
        <w:gridCol w:w="248"/>
        <w:gridCol w:w="474"/>
        <w:gridCol w:w="175"/>
        <w:gridCol w:w="66"/>
        <w:gridCol w:w="281"/>
        <w:gridCol w:w="434"/>
        <w:gridCol w:w="78"/>
        <w:gridCol w:w="401"/>
        <w:gridCol w:w="236"/>
        <w:gridCol w:w="715"/>
        <w:gridCol w:w="713"/>
        <w:gridCol w:w="934"/>
      </w:tblGrid>
      <w:tr w:rsidR="00D04BA0" w:rsidRPr="00D04BA0" w:rsidTr="00C12765">
        <w:trPr>
          <w:trHeight w:val="1611"/>
        </w:trPr>
        <w:tc>
          <w:tcPr>
            <w:tcW w:w="6960" w:type="dxa"/>
            <w:gridSpan w:val="15"/>
          </w:tcPr>
          <w:p w:rsidR="00D04BA0" w:rsidRPr="00FB5E40" w:rsidRDefault="00D04BA0" w:rsidP="00677EA3">
            <w:pPr>
              <w:spacing w:after="0" w:line="240" w:lineRule="auto"/>
              <w:ind w:hanging="45"/>
              <w:rPr>
                <w:rFonts w:ascii="Times New Roman" w:eastAsia="Calibri" w:hAnsi="Times New Roman" w:cs="Times New Roman"/>
                <w:b/>
                <w:color w:val="000000"/>
              </w:rPr>
            </w:pPr>
            <w:bookmarkStart w:id="1" w:name="t1"/>
            <w:r w:rsidRPr="00D04BA0">
              <w:rPr>
                <w:rFonts w:ascii="Times New Roman" w:eastAsia="Calibri" w:hAnsi="Times New Roman" w:cs="Times New Roman"/>
                <w:b/>
                <w:color w:val="000000"/>
              </w:rPr>
              <w:lastRenderedPageBreak/>
              <w:t>Nazwa projektu</w:t>
            </w:r>
          </w:p>
          <w:p w:rsidR="00D04BA0" w:rsidRPr="00D04BA0" w:rsidRDefault="00D04BA0" w:rsidP="00D04BA0">
            <w:pPr>
              <w:spacing w:before="120" w:after="0" w:line="240" w:lineRule="auto"/>
              <w:ind w:hanging="45"/>
              <w:rPr>
                <w:rFonts w:ascii="Times New Roman" w:eastAsia="Calibri" w:hAnsi="Times New Roman" w:cs="Times New Roman"/>
                <w:color w:val="000000"/>
              </w:rPr>
            </w:pPr>
            <w:r w:rsidRPr="00D04BA0">
              <w:rPr>
                <w:rFonts w:ascii="Times New Roman" w:eastAsia="Calibri" w:hAnsi="Times New Roman" w:cs="Times New Roman"/>
                <w:bCs/>
              </w:rPr>
              <w:t>Ustawa o zmianie ustawy o funduszach inwestycyjnych oraz niektórych innych ustaw</w:t>
            </w:r>
          </w:p>
          <w:p w:rsidR="00D04BA0" w:rsidRPr="00D04BA0" w:rsidRDefault="00D04BA0" w:rsidP="00D04BA0">
            <w:pPr>
              <w:spacing w:before="120" w:after="0" w:line="240" w:lineRule="auto"/>
              <w:ind w:hanging="45"/>
              <w:rPr>
                <w:rFonts w:ascii="Times New Roman" w:eastAsia="Calibri" w:hAnsi="Times New Roman" w:cs="Times New Roman"/>
                <w:b/>
                <w:color w:val="000000"/>
              </w:rPr>
            </w:pPr>
            <w:r w:rsidRPr="00D04BA0">
              <w:rPr>
                <w:rFonts w:ascii="Times New Roman" w:eastAsia="Calibri" w:hAnsi="Times New Roman" w:cs="Times New Roman"/>
                <w:b/>
                <w:color w:val="000000"/>
              </w:rPr>
              <w:t>Ministerstwo wiodące i ministerstwa współpracujące</w:t>
            </w:r>
          </w:p>
          <w:bookmarkEnd w:id="1"/>
          <w:p w:rsidR="00D04BA0" w:rsidRPr="00D04BA0" w:rsidRDefault="00D04BA0" w:rsidP="00D04BA0">
            <w:pPr>
              <w:spacing w:after="0" w:line="240" w:lineRule="auto"/>
              <w:ind w:hanging="34"/>
              <w:rPr>
                <w:rFonts w:ascii="Times New Roman" w:eastAsia="Calibri" w:hAnsi="Times New Roman" w:cs="Times New Roman"/>
                <w:bCs/>
              </w:rPr>
            </w:pPr>
            <w:r w:rsidRPr="00D04BA0">
              <w:rPr>
                <w:rFonts w:ascii="Times New Roman" w:eastAsia="Calibri" w:hAnsi="Times New Roman" w:cs="Times New Roman"/>
                <w:bCs/>
              </w:rPr>
              <w:t>Ministerstwo Finansów</w:t>
            </w:r>
          </w:p>
          <w:p w:rsidR="00D04BA0" w:rsidRPr="00D04BA0" w:rsidRDefault="00D04BA0" w:rsidP="00D04BA0">
            <w:pPr>
              <w:spacing w:after="0" w:line="240" w:lineRule="auto"/>
              <w:rPr>
                <w:rFonts w:ascii="Times New Roman" w:eastAsia="Calibri" w:hAnsi="Times New Roman" w:cs="Times New Roman"/>
                <w:b/>
              </w:rPr>
            </w:pPr>
            <w:r w:rsidRPr="00D04BA0">
              <w:rPr>
                <w:rFonts w:ascii="Times New Roman" w:eastAsia="Calibri" w:hAnsi="Times New Roman" w:cs="Times New Roman"/>
                <w:b/>
              </w:rPr>
              <w:t xml:space="preserve">Osoba odpowiedzialna za projekt w randze Ministra, Sekretarza Stanu lub Podsekretarza Stanu </w:t>
            </w:r>
          </w:p>
          <w:p w:rsidR="00D04BA0" w:rsidRPr="00D04BA0" w:rsidRDefault="00D04BA0" w:rsidP="00D04BA0">
            <w:pPr>
              <w:spacing w:after="0" w:line="240" w:lineRule="auto"/>
              <w:ind w:hanging="34"/>
              <w:rPr>
                <w:rFonts w:ascii="Times New Roman" w:eastAsia="Calibri" w:hAnsi="Times New Roman" w:cs="Times New Roman"/>
                <w:bCs/>
              </w:rPr>
            </w:pPr>
            <w:r w:rsidRPr="00D04BA0">
              <w:rPr>
                <w:rFonts w:ascii="Times New Roman" w:eastAsia="Calibri" w:hAnsi="Times New Roman" w:cs="Times New Roman"/>
                <w:bCs/>
              </w:rPr>
              <w:t>Pani Izabela Leszczyna, Sekretarz Stanu w Ministerstwie Finansów</w:t>
            </w:r>
          </w:p>
          <w:p w:rsidR="00D04BA0" w:rsidRPr="00D04BA0" w:rsidRDefault="00D04BA0" w:rsidP="00D04BA0">
            <w:pPr>
              <w:spacing w:before="120" w:after="0" w:line="240" w:lineRule="auto"/>
              <w:ind w:hanging="45"/>
              <w:rPr>
                <w:rFonts w:ascii="Times New Roman" w:eastAsia="Calibri" w:hAnsi="Times New Roman" w:cs="Times New Roman"/>
                <w:b/>
                <w:color w:val="000000"/>
              </w:rPr>
            </w:pPr>
            <w:r w:rsidRPr="00D04BA0">
              <w:rPr>
                <w:rFonts w:ascii="Times New Roman" w:eastAsia="Calibri" w:hAnsi="Times New Roman" w:cs="Times New Roman"/>
                <w:b/>
                <w:color w:val="000000"/>
              </w:rPr>
              <w:t>Kontakt do opiekuna merytorycznego projektu</w:t>
            </w:r>
          </w:p>
          <w:p w:rsidR="00D04BA0" w:rsidRPr="00FB5E40" w:rsidRDefault="00D04BA0" w:rsidP="00D04BA0">
            <w:pPr>
              <w:spacing w:after="0" w:line="240" w:lineRule="auto"/>
              <w:ind w:hanging="34"/>
              <w:rPr>
                <w:rFonts w:ascii="Times New Roman" w:eastAsia="Calibri" w:hAnsi="Times New Roman" w:cs="Times New Roman"/>
                <w:bCs/>
              </w:rPr>
            </w:pPr>
            <w:r w:rsidRPr="00D04BA0">
              <w:rPr>
                <w:rFonts w:ascii="Times New Roman" w:eastAsia="Calibri" w:hAnsi="Times New Roman" w:cs="Times New Roman"/>
                <w:bCs/>
              </w:rPr>
              <w:t xml:space="preserve">Mariusz Staniak, Starszy specjalista, Wydział Rynku Kapitałowego </w:t>
            </w:r>
          </w:p>
          <w:p w:rsidR="00D04BA0" w:rsidRPr="00FB5E40" w:rsidRDefault="00D04BA0" w:rsidP="00D04BA0">
            <w:pPr>
              <w:spacing w:after="0" w:line="240" w:lineRule="auto"/>
              <w:ind w:hanging="34"/>
              <w:rPr>
                <w:rFonts w:ascii="Times New Roman" w:eastAsia="Calibri" w:hAnsi="Times New Roman" w:cs="Times New Roman"/>
                <w:bCs/>
              </w:rPr>
            </w:pPr>
            <w:r w:rsidRPr="00D04BA0">
              <w:rPr>
                <w:rFonts w:ascii="Times New Roman" w:eastAsia="Calibri" w:hAnsi="Times New Roman" w:cs="Times New Roman"/>
                <w:bCs/>
              </w:rPr>
              <w:t xml:space="preserve">w Departamencie Rozwoju Rynku Finansowego, Ministerstwo Finansów, tel. (22) 694-4828, </w:t>
            </w:r>
          </w:p>
          <w:p w:rsidR="00D04BA0" w:rsidRPr="00920A57" w:rsidRDefault="00D04BA0" w:rsidP="00D04BA0">
            <w:pPr>
              <w:spacing w:after="0" w:line="240" w:lineRule="auto"/>
              <w:ind w:hanging="34"/>
              <w:rPr>
                <w:rFonts w:ascii="Times New Roman" w:eastAsia="Calibri" w:hAnsi="Times New Roman" w:cs="Times New Roman"/>
                <w:color w:val="000000"/>
              </w:rPr>
            </w:pPr>
            <w:r w:rsidRPr="00920A57">
              <w:rPr>
                <w:rFonts w:ascii="Times New Roman" w:eastAsia="Calibri" w:hAnsi="Times New Roman" w:cs="Times New Roman"/>
                <w:bCs/>
              </w:rPr>
              <w:t>e-mail: Mariusz.Staniak@mofnet.gov.pl</w:t>
            </w:r>
          </w:p>
        </w:tc>
        <w:tc>
          <w:tcPr>
            <w:tcW w:w="4033" w:type="dxa"/>
            <w:gridSpan w:val="10"/>
            <w:shd w:val="clear" w:color="auto" w:fill="FFFFFF"/>
          </w:tcPr>
          <w:p w:rsidR="00D04BA0" w:rsidRPr="00D04BA0" w:rsidRDefault="00D04BA0" w:rsidP="00D04BA0">
            <w:pPr>
              <w:spacing w:after="0" w:line="240" w:lineRule="auto"/>
              <w:rPr>
                <w:rFonts w:ascii="Times New Roman" w:eastAsia="Calibri" w:hAnsi="Times New Roman" w:cs="Times New Roman"/>
                <w:b/>
                <w:sz w:val="21"/>
                <w:szCs w:val="21"/>
              </w:rPr>
            </w:pPr>
            <w:r w:rsidRPr="00D04BA0">
              <w:rPr>
                <w:rFonts w:ascii="Times New Roman" w:eastAsia="Calibri" w:hAnsi="Times New Roman" w:cs="Times New Roman"/>
                <w:b/>
                <w:sz w:val="21"/>
                <w:szCs w:val="21"/>
              </w:rPr>
              <w:t>Data sporządzenia</w:t>
            </w:r>
            <w:r w:rsidRPr="00D04BA0">
              <w:rPr>
                <w:rFonts w:ascii="Times New Roman" w:eastAsia="Calibri" w:hAnsi="Times New Roman" w:cs="Times New Roman"/>
                <w:b/>
                <w:sz w:val="21"/>
                <w:szCs w:val="21"/>
              </w:rPr>
              <w:br/>
            </w:r>
            <w:r w:rsidRPr="00D04BA0">
              <w:rPr>
                <w:rFonts w:ascii="Times New Roman" w:eastAsia="Times New Roman" w:hAnsi="Times New Roman" w:cs="Times New Roman"/>
                <w:sz w:val="24"/>
                <w:szCs w:val="20"/>
                <w:lang w:eastAsia="pl-PL"/>
              </w:rPr>
              <w:t>18.09.2015 r.</w:t>
            </w:r>
          </w:p>
          <w:p w:rsidR="00D04BA0" w:rsidRPr="00D04BA0" w:rsidRDefault="00D04BA0" w:rsidP="00D04BA0">
            <w:pPr>
              <w:spacing w:after="0" w:line="240" w:lineRule="auto"/>
              <w:rPr>
                <w:rFonts w:ascii="Times New Roman" w:eastAsia="Calibri" w:hAnsi="Times New Roman" w:cs="Times New Roman"/>
                <w:b/>
              </w:rPr>
            </w:pPr>
          </w:p>
          <w:p w:rsidR="00D04BA0" w:rsidRPr="00D04BA0" w:rsidRDefault="00D04BA0" w:rsidP="00D04BA0">
            <w:pPr>
              <w:spacing w:after="0" w:line="240" w:lineRule="auto"/>
              <w:rPr>
                <w:rFonts w:ascii="Times New Roman" w:eastAsia="Calibri" w:hAnsi="Times New Roman" w:cs="Times New Roman"/>
                <w:b/>
              </w:rPr>
            </w:pPr>
            <w:r w:rsidRPr="00D04BA0">
              <w:rPr>
                <w:rFonts w:ascii="Times New Roman" w:eastAsia="Calibri" w:hAnsi="Times New Roman" w:cs="Times New Roman"/>
                <w:b/>
              </w:rPr>
              <w:t xml:space="preserve">Źródło: </w:t>
            </w:r>
            <w:bookmarkStart w:id="2" w:name="Lista1"/>
          </w:p>
          <w:bookmarkEnd w:id="2"/>
          <w:p w:rsidR="00D04BA0" w:rsidRPr="00D04BA0" w:rsidRDefault="00D04BA0" w:rsidP="00D04BA0">
            <w:pPr>
              <w:spacing w:after="0" w:line="240" w:lineRule="auto"/>
              <w:rPr>
                <w:rFonts w:ascii="Times New Roman" w:eastAsia="Calibri" w:hAnsi="Times New Roman" w:cs="Times New Roman"/>
              </w:rPr>
            </w:pPr>
            <w:r w:rsidRPr="00D04BA0">
              <w:rPr>
                <w:rFonts w:ascii="Times New Roman" w:eastAsia="Calibri" w:hAnsi="Times New Roman" w:cs="Times New Roman"/>
              </w:rPr>
              <w:t xml:space="preserve">Dyrektywa 2011/61/UE </w:t>
            </w:r>
          </w:p>
          <w:p w:rsidR="00D04BA0" w:rsidRPr="00D04BA0" w:rsidRDefault="00D04BA0" w:rsidP="00D04BA0">
            <w:pPr>
              <w:spacing w:after="0" w:line="240" w:lineRule="auto"/>
              <w:rPr>
                <w:rFonts w:ascii="Times New Roman" w:eastAsia="Calibri" w:hAnsi="Times New Roman" w:cs="Times New Roman"/>
              </w:rPr>
            </w:pPr>
            <w:r w:rsidRPr="00D04BA0">
              <w:rPr>
                <w:rFonts w:ascii="Times New Roman" w:eastAsia="Calibri" w:hAnsi="Times New Roman" w:cs="Times New Roman"/>
              </w:rPr>
              <w:t>Dyrektywa 2014/91/UE</w:t>
            </w:r>
          </w:p>
          <w:p w:rsidR="00D04BA0" w:rsidRPr="00D04BA0" w:rsidRDefault="00D04BA0" w:rsidP="00D04BA0">
            <w:pPr>
              <w:spacing w:after="0" w:line="240" w:lineRule="auto"/>
              <w:rPr>
                <w:rFonts w:ascii="Times New Roman" w:eastAsia="Calibri" w:hAnsi="Times New Roman" w:cs="Times New Roman"/>
              </w:rPr>
            </w:pPr>
            <w:r w:rsidRPr="00D04BA0">
              <w:rPr>
                <w:rFonts w:ascii="Times New Roman" w:eastAsia="Calibri" w:hAnsi="Times New Roman" w:cs="Times New Roman"/>
                <w:color w:val="000000"/>
                <w:spacing w:val="-2"/>
              </w:rPr>
              <w:t>Dyrektywa 2013/14/UE</w:t>
            </w:r>
            <w:r w:rsidRPr="00D04BA0">
              <w:rPr>
                <w:rFonts w:ascii="Times New Roman" w:eastAsia="Calibri" w:hAnsi="Times New Roman" w:cs="Times New Roman"/>
              </w:rPr>
              <w:t xml:space="preserve"> </w:t>
            </w:r>
          </w:p>
          <w:p w:rsidR="00D04BA0" w:rsidRPr="00D04BA0" w:rsidRDefault="00D04BA0" w:rsidP="00D04BA0">
            <w:pPr>
              <w:spacing w:after="0" w:line="240" w:lineRule="auto"/>
              <w:rPr>
                <w:rFonts w:ascii="Times New Roman" w:eastAsia="Calibri" w:hAnsi="Times New Roman" w:cs="Times New Roman"/>
                <w:b/>
                <w:color w:val="000000"/>
              </w:rPr>
            </w:pPr>
            <w:r w:rsidRPr="00D04BA0">
              <w:rPr>
                <w:rFonts w:ascii="Times New Roman" w:eastAsia="Calibri" w:hAnsi="Times New Roman" w:cs="Times New Roman"/>
                <w:b/>
                <w:color w:val="000000"/>
              </w:rPr>
              <w:t xml:space="preserve">Nr w wykazie prac </w:t>
            </w:r>
          </w:p>
          <w:p w:rsidR="00D04BA0" w:rsidRPr="00D04BA0" w:rsidRDefault="00D04BA0"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t>UC151</w:t>
            </w:r>
            <w:r w:rsidRPr="00D04BA0">
              <w:rPr>
                <w:rFonts w:ascii="Times New Roman" w:eastAsia="Calibri" w:hAnsi="Times New Roman" w:cs="Times New Roman"/>
                <w:b/>
                <w:color w:val="000000"/>
              </w:rPr>
              <w:t xml:space="preserve"> </w:t>
            </w:r>
            <w:r w:rsidRPr="00D04BA0">
              <w:rPr>
                <w:rFonts w:ascii="Times New Roman" w:eastAsia="Calibri" w:hAnsi="Times New Roman" w:cs="Times New Roman"/>
                <w:color w:val="000000"/>
              </w:rPr>
              <w:t>w Wykazie prac legislacyjnych i programowych Rady Ministrów.</w:t>
            </w:r>
          </w:p>
          <w:p w:rsidR="00D04BA0" w:rsidRPr="00D04BA0" w:rsidRDefault="00D04BA0" w:rsidP="00D04BA0">
            <w:pPr>
              <w:spacing w:after="0" w:line="240" w:lineRule="auto"/>
              <w:rPr>
                <w:rFonts w:ascii="Times New Roman" w:eastAsia="Calibri" w:hAnsi="Times New Roman" w:cs="Times New Roman"/>
                <w:color w:val="000000"/>
                <w:sz w:val="28"/>
                <w:szCs w:val="28"/>
              </w:rPr>
            </w:pPr>
          </w:p>
        </w:tc>
      </w:tr>
      <w:tr w:rsidR="00D04BA0" w:rsidRPr="00D04BA0" w:rsidTr="00C12765">
        <w:trPr>
          <w:trHeight w:val="142"/>
        </w:trPr>
        <w:tc>
          <w:tcPr>
            <w:tcW w:w="10993" w:type="dxa"/>
            <w:gridSpan w:val="25"/>
            <w:shd w:val="clear" w:color="auto" w:fill="99CCFF"/>
          </w:tcPr>
          <w:p w:rsidR="00D04BA0" w:rsidRPr="00D04BA0" w:rsidRDefault="00D04BA0" w:rsidP="00D04BA0">
            <w:pPr>
              <w:spacing w:after="0" w:line="240" w:lineRule="auto"/>
              <w:ind w:left="57"/>
              <w:jc w:val="center"/>
              <w:rPr>
                <w:rFonts w:ascii="Times New Roman" w:eastAsia="Calibri" w:hAnsi="Times New Roman" w:cs="Times New Roman"/>
                <w:b/>
                <w:color w:val="FFFFFF"/>
                <w:sz w:val="32"/>
                <w:szCs w:val="32"/>
              </w:rPr>
            </w:pPr>
            <w:r w:rsidRPr="00D04BA0">
              <w:rPr>
                <w:rFonts w:ascii="Times New Roman" w:eastAsia="Calibri" w:hAnsi="Times New Roman" w:cs="Times New Roman"/>
                <w:b/>
                <w:color w:val="FFFFFF"/>
                <w:sz w:val="32"/>
                <w:szCs w:val="32"/>
              </w:rPr>
              <w:t>OCENA SKUTKÓW REGULACJI</w:t>
            </w:r>
          </w:p>
        </w:tc>
      </w:tr>
      <w:tr w:rsidR="00D04BA0" w:rsidRPr="00D04BA0" w:rsidTr="00C12765">
        <w:trPr>
          <w:trHeight w:val="333"/>
        </w:trPr>
        <w:tc>
          <w:tcPr>
            <w:tcW w:w="10993" w:type="dxa"/>
            <w:gridSpan w:val="25"/>
            <w:shd w:val="clear" w:color="auto" w:fill="99CCFF"/>
            <w:vAlign w:val="center"/>
          </w:tcPr>
          <w:p w:rsidR="00D04BA0" w:rsidRPr="00D04BA0" w:rsidRDefault="00D04BA0" w:rsidP="00D04BA0">
            <w:pPr>
              <w:numPr>
                <w:ilvl w:val="0"/>
                <w:numId w:val="30"/>
              </w:numPr>
              <w:spacing w:before="60" w:after="60" w:line="240" w:lineRule="auto"/>
              <w:ind w:left="318" w:hanging="284"/>
              <w:jc w:val="both"/>
              <w:rPr>
                <w:rFonts w:ascii="Times New Roman" w:eastAsia="Calibri" w:hAnsi="Times New Roman" w:cs="Times New Roman"/>
                <w:b/>
                <w:color w:val="000000"/>
              </w:rPr>
            </w:pPr>
            <w:r w:rsidRPr="00D04BA0">
              <w:rPr>
                <w:rFonts w:ascii="Times New Roman" w:eastAsia="Calibri" w:hAnsi="Times New Roman" w:cs="Times New Roman"/>
                <w:b/>
              </w:rPr>
              <w:t>Jaki problem jest rozwiązywany?</w:t>
            </w:r>
            <w:bookmarkStart w:id="3" w:name="Wybór1"/>
            <w:bookmarkEnd w:id="3"/>
          </w:p>
        </w:tc>
      </w:tr>
      <w:tr w:rsidR="00D04BA0" w:rsidRPr="00D04BA0" w:rsidTr="00C12765">
        <w:trPr>
          <w:trHeight w:val="142"/>
        </w:trPr>
        <w:tc>
          <w:tcPr>
            <w:tcW w:w="10993" w:type="dxa"/>
            <w:gridSpan w:val="25"/>
            <w:shd w:val="clear" w:color="auto" w:fill="FFFFFF"/>
          </w:tcPr>
          <w:p w:rsidR="00D04BA0" w:rsidRPr="00D04BA0" w:rsidRDefault="00D04BA0" w:rsidP="00D04BA0">
            <w:pPr>
              <w:spacing w:before="120"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Wdrożenie do krajowego porządku prawnego dyrektywy Parlamentu Europejskiego i Rady:</w:t>
            </w:r>
          </w:p>
          <w:p w:rsidR="00D04BA0" w:rsidRPr="00D04BA0" w:rsidRDefault="001D37A6" w:rsidP="002210A3">
            <w:pPr>
              <w:tabs>
                <w:tab w:val="left" w:pos="284"/>
              </w:tabs>
              <w:spacing w:before="120" w:after="120" w:line="240" w:lineRule="auto"/>
              <w:ind w:left="284" w:hanging="28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2011/61/UE z dnia 8 czerwca 2011 r. w sprawie zarządzających alternatywnymi funduszami inwestycyjnymi i zmiany dyrektyw 2003/41/WE i 2009/65/WE oraz rozporządzeń (WE) nr 1060/2009 i (UE) nr 1095/2010 – termin implementacji dyrektywy minął w dniu 22 lipca 2013</w:t>
            </w:r>
            <w:r w:rsidR="00D04BA0" w:rsidRPr="00FB5E40">
              <w:rPr>
                <w:rFonts w:ascii="Times New Roman" w:eastAsia="Calibri" w:hAnsi="Times New Roman" w:cs="Times New Roman"/>
                <w:color w:val="000000"/>
                <w:spacing w:val="-2"/>
              </w:rPr>
              <w:t xml:space="preserve"> </w:t>
            </w:r>
            <w:r w:rsidR="00D04BA0" w:rsidRPr="00D04BA0">
              <w:rPr>
                <w:rFonts w:ascii="Times New Roman" w:eastAsia="Calibri" w:hAnsi="Times New Roman" w:cs="Times New Roman"/>
                <w:color w:val="000000"/>
                <w:spacing w:val="-2"/>
              </w:rPr>
              <w:t>r.</w:t>
            </w:r>
            <w:r w:rsidR="00DF5485">
              <w:rPr>
                <w:rFonts w:ascii="Times New Roman" w:eastAsia="Calibri" w:hAnsi="Times New Roman" w:cs="Times New Roman"/>
                <w:color w:val="000000"/>
                <w:spacing w:val="-2"/>
              </w:rPr>
              <w:t>;</w:t>
            </w:r>
          </w:p>
          <w:p w:rsidR="00D04BA0" w:rsidRPr="00D04BA0" w:rsidRDefault="001D37A6" w:rsidP="002210A3">
            <w:pPr>
              <w:tabs>
                <w:tab w:val="left" w:pos="284"/>
              </w:tabs>
              <w:spacing w:before="120" w:after="120" w:line="240" w:lineRule="auto"/>
              <w:ind w:left="284" w:hanging="28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2014/91/UE z dnia 23 lipca 2014 r. zmieniającej dyrektywę 2009/65/WE w sprawie koordynacji przepisów ustawowych, wykonawczych i administracyjnych odnoszących się do przedsiębiorstw zbiorowego inwestowania w zbywalne papiery wartościowe (UCITS) w zakresie funkcji depozytariusza, polityki wynagrodzeń oraz sankcji – termin implementacji upływa w dniu 18 marca 2016</w:t>
            </w:r>
            <w:r w:rsidR="00D04BA0" w:rsidRPr="00FB5E40">
              <w:rPr>
                <w:rFonts w:ascii="Times New Roman" w:eastAsia="Calibri" w:hAnsi="Times New Roman" w:cs="Times New Roman"/>
                <w:color w:val="000000"/>
                <w:spacing w:val="-2"/>
              </w:rPr>
              <w:t xml:space="preserve"> </w:t>
            </w:r>
            <w:r w:rsidR="00D04BA0" w:rsidRPr="00D04BA0">
              <w:rPr>
                <w:rFonts w:ascii="Times New Roman" w:eastAsia="Calibri" w:hAnsi="Times New Roman" w:cs="Times New Roman"/>
                <w:color w:val="000000"/>
                <w:spacing w:val="-2"/>
              </w:rPr>
              <w:t>r.</w:t>
            </w:r>
            <w:r w:rsidR="003F13B8" w:rsidRPr="00D04BA0">
              <w:rPr>
                <w:rFonts w:ascii="Times New Roman" w:eastAsia="Calibri" w:hAnsi="Times New Roman" w:cs="Times New Roman"/>
                <w:color w:val="000000"/>
                <w:spacing w:val="-2"/>
              </w:rPr>
              <w:t xml:space="preserve"> (dalej: UCITS V)</w:t>
            </w:r>
            <w:r w:rsidR="00DF5485">
              <w:rPr>
                <w:rFonts w:ascii="Times New Roman" w:eastAsia="Calibri" w:hAnsi="Times New Roman" w:cs="Times New Roman"/>
                <w:color w:val="000000"/>
                <w:spacing w:val="-2"/>
              </w:rPr>
              <w:t>;</w:t>
            </w:r>
          </w:p>
          <w:p w:rsidR="00D04BA0" w:rsidRPr="00D04BA0" w:rsidRDefault="001D37A6" w:rsidP="002210A3">
            <w:pPr>
              <w:tabs>
                <w:tab w:val="left" w:pos="284"/>
              </w:tabs>
              <w:spacing w:before="120" w:after="120" w:line="240" w:lineRule="auto"/>
              <w:ind w:left="284" w:hanging="28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2013/14/UE z dnia 21 maja 2013</w:t>
            </w:r>
            <w:r w:rsidR="00D04BA0" w:rsidRPr="00FB5E40">
              <w:rPr>
                <w:rFonts w:ascii="Times New Roman" w:eastAsia="Calibri" w:hAnsi="Times New Roman" w:cs="Times New Roman"/>
                <w:color w:val="000000"/>
                <w:spacing w:val="-2"/>
              </w:rPr>
              <w:t xml:space="preserve"> </w:t>
            </w:r>
            <w:r w:rsidR="00D04BA0" w:rsidRPr="00D04BA0">
              <w:rPr>
                <w:rFonts w:ascii="Times New Roman" w:eastAsia="Calibri" w:hAnsi="Times New Roman" w:cs="Times New Roman"/>
                <w:color w:val="000000"/>
                <w:spacing w:val="-2"/>
              </w:rPr>
              <w:t>r. zmieniającej dyrektywę 2003/41/WE w sprawie działalności instytucji pracowniczych programów emerytalnych oraz nadzoru nad takimi instytucjami, dyrektywę 2009/65/WE w sprawie koordynacji przepisów ustawowych, wykonawczych i administracyjnych odnoszących się do przedsiębiorstw zbiorowego inwestowania</w:t>
            </w:r>
            <w:r w:rsidR="00D04BA0" w:rsidRPr="00FB5E40">
              <w:rPr>
                <w:rFonts w:ascii="Times New Roman" w:eastAsia="Calibri" w:hAnsi="Times New Roman" w:cs="Times New Roman"/>
                <w:color w:val="000000"/>
                <w:spacing w:val="-2"/>
              </w:rPr>
              <w:t xml:space="preserve"> </w:t>
            </w:r>
            <w:r w:rsidR="00D04BA0" w:rsidRPr="00D04BA0">
              <w:rPr>
                <w:rFonts w:ascii="Times New Roman" w:eastAsia="Calibri" w:hAnsi="Times New Roman" w:cs="Times New Roman"/>
                <w:color w:val="000000"/>
                <w:spacing w:val="-2"/>
              </w:rPr>
              <w:t>w zbywalne papiery wartościowe (UCITS) i dyrektywę 2011/61/UE w sprawie zarządzających alternatywnymi funduszami inwestycyjnymi w odniesieniu do nadmiernego polegania na ratingach kredytowych (Dz. Urz. UE L 145 z 31.05.2013, str. 1)</w:t>
            </w:r>
            <w:r w:rsidR="00DF5485">
              <w:rPr>
                <w:rFonts w:ascii="Times New Roman" w:eastAsia="Calibri" w:hAnsi="Times New Roman" w:cs="Times New Roman"/>
                <w:color w:val="000000"/>
                <w:spacing w:val="-2"/>
              </w:rPr>
              <w:t>.</w:t>
            </w:r>
          </w:p>
          <w:p w:rsidR="00D04BA0" w:rsidRPr="00D04BA0" w:rsidRDefault="00D04BA0" w:rsidP="00D04BA0">
            <w:pPr>
              <w:spacing w:before="120" w:after="120" w:line="240" w:lineRule="auto"/>
              <w:contextualSpacing/>
              <w:jc w:val="both"/>
              <w:rPr>
                <w:rFonts w:ascii="Times New Roman" w:eastAsia="Calibri" w:hAnsi="Times New Roman" w:cs="Times New Roman"/>
              </w:rPr>
            </w:pPr>
            <w:r w:rsidRPr="00D04BA0">
              <w:rPr>
                <w:rFonts w:ascii="Times New Roman" w:eastAsia="Calibri" w:hAnsi="Times New Roman" w:cs="Times New Roman"/>
              </w:rPr>
              <w:t>Regulacje zawarte w projekcie będą także służyć stosowaniu rozporządzeń Parlament</w:t>
            </w:r>
            <w:r w:rsidR="00677EA3">
              <w:rPr>
                <w:rFonts w:ascii="Times New Roman" w:eastAsia="Calibri" w:hAnsi="Times New Roman" w:cs="Times New Roman"/>
              </w:rPr>
              <w:t>u Europejskiego i Rady (UE): nr</w:t>
            </w:r>
            <w:r w:rsidR="001D0296">
              <w:rPr>
                <w:rFonts w:ascii="Times New Roman" w:eastAsia="Calibri" w:hAnsi="Times New Roman" w:cs="Times New Roman"/>
              </w:rPr>
              <w:t> </w:t>
            </w:r>
            <w:r w:rsidRPr="00D04BA0">
              <w:rPr>
                <w:rFonts w:ascii="Times New Roman" w:eastAsia="Calibri" w:hAnsi="Times New Roman" w:cs="Times New Roman"/>
              </w:rPr>
              <w:t>345/2013 z dnia 17 kwietnia 2013 r. w sprawie europejskich funduszy venture capital (Dz. Urz. UE L 115 z</w:t>
            </w:r>
            <w:r w:rsidR="001D0296">
              <w:rPr>
                <w:rFonts w:ascii="Times New Roman" w:eastAsia="Calibri" w:hAnsi="Times New Roman" w:cs="Times New Roman"/>
              </w:rPr>
              <w:t> </w:t>
            </w:r>
            <w:r w:rsidRPr="00D04BA0">
              <w:rPr>
                <w:rFonts w:ascii="Times New Roman" w:eastAsia="Calibri" w:hAnsi="Times New Roman" w:cs="Times New Roman"/>
              </w:rPr>
              <w:t>25.04.2013, str. 1) oraz nr 346/2013 z dnia 17 kwietnia 2013 r. w sprawie europejskich funduszy na rzecz przedsiębiorczości społecznej (Dz. Urz. UE L 115 z 25.04.2013, str.18).</w:t>
            </w:r>
          </w:p>
          <w:p w:rsidR="00D04BA0" w:rsidRPr="00D04BA0" w:rsidRDefault="00D04BA0" w:rsidP="00D04BA0">
            <w:pPr>
              <w:spacing w:before="120" w:after="120" w:line="240" w:lineRule="auto"/>
              <w:contextualSpacing/>
              <w:jc w:val="both"/>
              <w:rPr>
                <w:rFonts w:ascii="Times New Roman" w:eastAsia="Calibri" w:hAnsi="Times New Roman" w:cs="Times New Roman"/>
              </w:rPr>
            </w:pPr>
            <w:r w:rsidRPr="00D04BA0">
              <w:rPr>
                <w:rFonts w:ascii="Times New Roman" w:eastAsia="Calibri" w:hAnsi="Times New Roman" w:cs="Times New Roman"/>
              </w:rPr>
              <w:t>Dyrektywa 2011/61/UE została przyjęta w reakcji na zidentyfikowane w czasie kryzysu finansowego ryzyka związane z</w:t>
            </w:r>
            <w:r w:rsidRPr="00FB5E40">
              <w:rPr>
                <w:rFonts w:ascii="Times New Roman" w:eastAsia="Calibri" w:hAnsi="Times New Roman" w:cs="Times New Roman"/>
              </w:rPr>
              <w:t xml:space="preserve"> </w:t>
            </w:r>
            <w:r w:rsidRPr="00D04BA0">
              <w:rPr>
                <w:rFonts w:ascii="Times New Roman" w:eastAsia="Calibri" w:hAnsi="Times New Roman" w:cs="Times New Roman"/>
              </w:rPr>
              <w:t>działalnością zarządzających alternatywnymi funduszami inwestycyjnymi, stosujących różnorodne techniki inwestycyjne oraz inwestujących na różnych rynkach. Dyrektywa tworzy na poziomie europejskim ramy prawne regulujące nadzór wewnętrzny i</w:t>
            </w:r>
            <w:r w:rsidRPr="00FB5E40">
              <w:rPr>
                <w:rFonts w:ascii="Times New Roman" w:eastAsia="Calibri" w:hAnsi="Times New Roman" w:cs="Times New Roman"/>
              </w:rPr>
              <w:t xml:space="preserve"> </w:t>
            </w:r>
            <w:r w:rsidRPr="00D04BA0">
              <w:rPr>
                <w:rFonts w:ascii="Times New Roman" w:eastAsia="Calibri" w:hAnsi="Times New Roman" w:cs="Times New Roman"/>
              </w:rPr>
              <w:t>zewnętrzny oraz funkcjonowanie zarządzających alternatywnymi funduszami inwestycyjnymi (ZAFI) w celu monitorowania i nadzorowania ryzyka, jakie mogą generować te podmioty dla stabilności finansowej oraz inwestorów i kontrahentów, a także innych uczestników rynku finansowego. Dodatkowo umożliwia ona ZAFI, po spełnieniu określonych wymogów, świadczenie niektórych usług inwestycyjnych i oferowanie tytułów uczestnictwa alternatywnych funduszy inwestycyjnych (AFI) na obszarze całej Unii Europejskiej. W</w:t>
            </w:r>
            <w:r w:rsidRPr="00FB5E40">
              <w:rPr>
                <w:rFonts w:ascii="Times New Roman" w:eastAsia="Calibri" w:hAnsi="Times New Roman" w:cs="Times New Roman"/>
              </w:rPr>
              <w:t xml:space="preserve"> </w:t>
            </w:r>
            <w:r w:rsidRPr="00D04BA0">
              <w:rPr>
                <w:rFonts w:ascii="Times New Roman" w:eastAsia="Calibri" w:hAnsi="Times New Roman" w:cs="Times New Roman"/>
              </w:rPr>
              <w:t>konsekwencji dyrektywa tworzy rynek wewnętrzny ZAFI oparty na zharmonizowanych i</w:t>
            </w:r>
            <w:r w:rsidRPr="00FB5E40">
              <w:rPr>
                <w:rFonts w:ascii="Times New Roman" w:eastAsia="Calibri" w:hAnsi="Times New Roman" w:cs="Times New Roman"/>
              </w:rPr>
              <w:t xml:space="preserve"> </w:t>
            </w:r>
            <w:r w:rsidRPr="00D04BA0">
              <w:rPr>
                <w:rFonts w:ascii="Times New Roman" w:eastAsia="Calibri" w:hAnsi="Times New Roman" w:cs="Times New Roman"/>
              </w:rPr>
              <w:t>rygorystycznych ramach regulacyjnych</w:t>
            </w:r>
            <w:r w:rsidRPr="00FB5E40">
              <w:rPr>
                <w:rFonts w:ascii="Times New Roman" w:eastAsia="Calibri" w:hAnsi="Times New Roman" w:cs="Times New Roman"/>
              </w:rPr>
              <w:t xml:space="preserve"> </w:t>
            </w:r>
            <w:r w:rsidRPr="00D04BA0">
              <w:rPr>
                <w:rFonts w:ascii="Times New Roman" w:eastAsia="Calibri" w:hAnsi="Times New Roman" w:cs="Times New Roman"/>
              </w:rPr>
              <w:t>i nadzorczych, umożliwiający wszystkim ZAFI, w</w:t>
            </w:r>
            <w:r w:rsidRPr="00FB5E40">
              <w:rPr>
                <w:rFonts w:ascii="Times New Roman" w:eastAsia="Calibri" w:hAnsi="Times New Roman" w:cs="Times New Roman"/>
              </w:rPr>
              <w:t xml:space="preserve"> </w:t>
            </w:r>
            <w:r w:rsidRPr="00D04BA0">
              <w:rPr>
                <w:rFonts w:ascii="Times New Roman" w:eastAsia="Calibri" w:hAnsi="Times New Roman" w:cs="Times New Roman"/>
              </w:rPr>
              <w:t>tym ZAFI posiadającym siedziby statutowe w państwie członkowskim oraz ZAFI posiadającym siedziby statutowe w państwach trzecich, na prowadzenie działalności na terytorium Unii Europejskiej.</w:t>
            </w:r>
          </w:p>
          <w:p w:rsidR="00D04BA0" w:rsidRPr="00D04BA0" w:rsidRDefault="00D04BA0" w:rsidP="00D04BA0">
            <w:pPr>
              <w:spacing w:before="120" w:after="120" w:line="240" w:lineRule="auto"/>
              <w:contextualSpacing/>
              <w:jc w:val="both"/>
              <w:rPr>
                <w:rFonts w:ascii="Times New Roman" w:eastAsia="Calibri" w:hAnsi="Times New Roman" w:cs="Times New Roman"/>
              </w:rPr>
            </w:pPr>
            <w:r w:rsidRPr="00D04BA0">
              <w:rPr>
                <w:rFonts w:ascii="Times New Roman" w:eastAsia="Calibri" w:hAnsi="Times New Roman" w:cs="Times New Roman"/>
              </w:rPr>
              <w:t>Z kolei głównym celem dyrektywy UCITS V jest zwiększenie zaufania inwestorów do funduszy UCITS, dzięki wzmocnieniu wymogów dotyczących obowiązków i odpowiedzialności depozytariuszy, polityki wynagrodzeń spółek zarządzających</w:t>
            </w:r>
            <w:r w:rsidRPr="00FB5E40">
              <w:rPr>
                <w:rFonts w:ascii="Times New Roman" w:eastAsia="Calibri" w:hAnsi="Times New Roman" w:cs="Times New Roman"/>
              </w:rPr>
              <w:t xml:space="preserve"> </w:t>
            </w:r>
            <w:r w:rsidRPr="00D04BA0">
              <w:rPr>
                <w:rFonts w:ascii="Times New Roman" w:eastAsia="Calibri" w:hAnsi="Times New Roman" w:cs="Times New Roman"/>
              </w:rPr>
              <w:t>i spółek inwestycyjnych oraz wprowadzeniu wspólnych unijnych standardów dotyczących sankcji. Wartym odnotowania jest również fakt, iż bezpośrednią przyczyną uchwalenia dyrektywy UCITS V była tzw. afera Madoffa oraz upadek banku Lehman Brothers. Na skutek dokonanych przez banki pełniące funkcje depozytariuszy funduszy UCITS inwestycji</w:t>
            </w:r>
            <w:r w:rsidRPr="00FB5E40">
              <w:rPr>
                <w:rFonts w:ascii="Times New Roman" w:eastAsia="Calibri" w:hAnsi="Times New Roman" w:cs="Times New Roman"/>
              </w:rPr>
              <w:t xml:space="preserve"> </w:t>
            </w:r>
            <w:r w:rsidRPr="00D04BA0">
              <w:rPr>
                <w:rFonts w:ascii="Times New Roman" w:eastAsia="Calibri" w:hAnsi="Times New Roman" w:cs="Times New Roman"/>
              </w:rPr>
              <w:t xml:space="preserve">w papiery wartościowe oferowane przez Bernarda Madoffa powstały obawy co do bezpieczeństwa środków zgromadzonych w funduszach UCITS. Istotnym jest również fakt, iż od czasu przyjęcia dyrektywy UCITS w 1985 r. przepisy tej dyrektywy, w części dotyczącej depozytariuszy, pozostawały niezmienione. Z tego też względu dyrektywa UCITS V precyzyjnie określa katalog podmiotów, które mogą pełnić funkcję depozytariusza, </w:t>
            </w:r>
            <w:r w:rsidRPr="00D04BA0">
              <w:rPr>
                <w:rFonts w:ascii="Times New Roman" w:eastAsia="Calibri" w:hAnsi="Times New Roman" w:cs="Times New Roman"/>
              </w:rPr>
              <w:lastRenderedPageBreak/>
              <w:t>zadania oraz obowiązki depozytariusza, w tym zadania o charakterze nadzorczym, odpowiedzialność depozytariusza w przypadku utraty instrumentów finansowych lub innych strat oraz zasady powierzania wykonywanych przez siebie obowiązków innym podmiotom. Kryzys finansowy pokazał także, że istniejący systemy wynagrodzeń oraz zachęt, powszechnie stosowany</w:t>
            </w:r>
            <w:r w:rsidRPr="00FB5E40">
              <w:rPr>
                <w:rFonts w:ascii="Times New Roman" w:eastAsia="Calibri" w:hAnsi="Times New Roman" w:cs="Times New Roman"/>
              </w:rPr>
              <w:t xml:space="preserve"> </w:t>
            </w:r>
            <w:r w:rsidRPr="00D04BA0">
              <w:rPr>
                <w:rFonts w:ascii="Times New Roman" w:eastAsia="Calibri" w:hAnsi="Times New Roman" w:cs="Times New Roman"/>
              </w:rPr>
              <w:t>w instytucjach finansowych, przyczyniał się do podejmowania decyzji o krótkim horyzoncie czasowym i obarczonych nadmiernym ryzykiem. W konsekwencji dyrektywa UCITS V przewiduje ustanowienie na poziomie zarządzającego funduszem UCITS polityki wynagrodzeń w stosunku do kategorii pracowników, których działalność zawodowa ma istotny wpływ na profil ryzyka zarządzanych funduszy UCITS. Dyrektywa UCITS V ustanawia również minimalny katalog sankcji</w:t>
            </w:r>
            <w:r w:rsidRPr="00FB5E40">
              <w:rPr>
                <w:rFonts w:ascii="Times New Roman" w:eastAsia="Calibri" w:hAnsi="Times New Roman" w:cs="Times New Roman"/>
              </w:rPr>
              <w:t xml:space="preserve"> </w:t>
            </w:r>
            <w:r w:rsidRPr="00D04BA0">
              <w:rPr>
                <w:rFonts w:ascii="Times New Roman" w:eastAsia="Calibri" w:hAnsi="Times New Roman" w:cs="Times New Roman"/>
              </w:rPr>
              <w:t>i środków administracyjnych za nieprzestrzeganie przepisów dyrektywy UCITS. Rozwiązanie to wpisuje się w tendencję prawodawcy europejskiego do ujednolicania w państwach europejskich dolnego pułapu sankcji administracyjnych oraz minimalnego wykazu kryteriów nakładania takich sankcji.</w:t>
            </w:r>
          </w:p>
          <w:p w:rsidR="00D04BA0" w:rsidRPr="00D04BA0" w:rsidRDefault="00D04BA0" w:rsidP="002210A3">
            <w:pPr>
              <w:spacing w:before="120" w:after="120" w:line="240" w:lineRule="auto"/>
              <w:contextualSpacing/>
              <w:jc w:val="both"/>
              <w:rPr>
                <w:rFonts w:ascii="Times New Roman" w:eastAsia="Calibri" w:hAnsi="Times New Roman" w:cs="Times New Roman"/>
                <w:b/>
              </w:rPr>
            </w:pPr>
            <w:r w:rsidRPr="00D04BA0">
              <w:rPr>
                <w:rFonts w:ascii="Times New Roman" w:eastAsia="Calibri" w:hAnsi="Times New Roman" w:cs="Times New Roman"/>
              </w:rPr>
              <w:t>Dyrektywa (2013/14/UE) wprowadza ogólną zasadę unikania nadmiernego polegania na zewnętrznych ratingach kredytowych do procesów i systemów zarządzania ryzykiem stosowanych przez zarządzających funduszami UCITS i AFI, a także dostosowanie jej do ich cech szczególnych. Zgodnie z dyrektywą, zewnętrzne ratingi kredytowe, nie mogą być wykorzystywane jako zasadniczy element procesu zarządzania ryzykiem inwestycyjnym. Ratingi te będą mogły być wykorzystywane wyłącznie jako jeden z wielu czynników branych pod uwagę podczas tego procesu.</w:t>
            </w:r>
          </w:p>
        </w:tc>
      </w:tr>
      <w:tr w:rsidR="00D04BA0" w:rsidRPr="00D04BA0" w:rsidTr="00C12765">
        <w:trPr>
          <w:trHeight w:val="142"/>
        </w:trPr>
        <w:tc>
          <w:tcPr>
            <w:tcW w:w="10993" w:type="dxa"/>
            <w:gridSpan w:val="25"/>
            <w:shd w:val="clear" w:color="auto" w:fill="99CCFF"/>
            <w:vAlign w:val="center"/>
          </w:tcPr>
          <w:p w:rsidR="00D04BA0" w:rsidRPr="00D04BA0" w:rsidRDefault="00D04BA0" w:rsidP="00D04BA0">
            <w:pPr>
              <w:numPr>
                <w:ilvl w:val="0"/>
                <w:numId w:val="30"/>
              </w:numPr>
              <w:spacing w:before="60" w:after="60" w:line="240" w:lineRule="auto"/>
              <w:ind w:left="318" w:hanging="284"/>
              <w:jc w:val="both"/>
              <w:rPr>
                <w:rFonts w:ascii="Times New Roman" w:eastAsia="Calibri" w:hAnsi="Times New Roman" w:cs="Times New Roman"/>
                <w:b/>
                <w:color w:val="000000"/>
              </w:rPr>
            </w:pPr>
            <w:r w:rsidRPr="00D04BA0">
              <w:rPr>
                <w:rFonts w:ascii="Times New Roman" w:eastAsia="Calibri" w:hAnsi="Times New Roman" w:cs="Times New Roman"/>
                <w:b/>
                <w:color w:val="000000"/>
                <w:spacing w:val="-2"/>
              </w:rPr>
              <w:lastRenderedPageBreak/>
              <w:t>Rekomendowane rozwiązanie, w tym planowane narzędzia interwencji, i oczekiwany efekt</w:t>
            </w:r>
          </w:p>
        </w:tc>
      </w:tr>
      <w:tr w:rsidR="00D04BA0" w:rsidRPr="00D04BA0" w:rsidTr="00C12765">
        <w:trPr>
          <w:trHeight w:val="142"/>
        </w:trPr>
        <w:tc>
          <w:tcPr>
            <w:tcW w:w="10993" w:type="dxa"/>
            <w:gridSpan w:val="25"/>
            <w:shd w:val="clear" w:color="auto" w:fill="auto"/>
          </w:tcPr>
          <w:p w:rsidR="00D04BA0" w:rsidRPr="00D04BA0" w:rsidRDefault="00D04BA0" w:rsidP="00D04BA0">
            <w:pPr>
              <w:spacing w:before="120"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Proponuje się aby implementacja </w:t>
            </w:r>
            <w:r w:rsidR="00F001D1">
              <w:rPr>
                <w:rFonts w:ascii="Times New Roman" w:eastAsia="Calibri" w:hAnsi="Times New Roman" w:cs="Times New Roman"/>
                <w:color w:val="000000"/>
                <w:spacing w:val="-2"/>
              </w:rPr>
              <w:t>d</w:t>
            </w:r>
            <w:r w:rsidRPr="00D04BA0">
              <w:rPr>
                <w:rFonts w:ascii="Times New Roman" w:eastAsia="Calibri" w:hAnsi="Times New Roman" w:cs="Times New Roman"/>
                <w:color w:val="000000"/>
                <w:spacing w:val="-2"/>
              </w:rPr>
              <w:t xml:space="preserve">yrektyw 2011/61/UE (dalej: AIFM) oraz 2014/91/UE została dokonana poprzez odpowiednie uzupełnienie oraz zmianę przepisów ustawy z dnia 27 maja 2004 r. o funduszach inwestycyjnych. </w:t>
            </w:r>
          </w:p>
          <w:p w:rsidR="00D04BA0" w:rsidRPr="00D04BA0" w:rsidRDefault="00D04BA0" w:rsidP="00D04BA0">
            <w:pPr>
              <w:spacing w:before="120"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Przewidziane projektem ustawy zmiany przepisów ustawy o funduszach inwestycyjnych, zgodnie z implementowaną dyrektywą AIFM, zakładają utworzenie ram prawnych, regulujących nadzór wewnętrzny i zewnętrzny oraz funkcjonowanie zarządzających alternatywnymi funduszami inwestycyjnymi w celu monitorowania i nadzorowania ryzyka, jakie mogą generować zarządzający alternatywnymi funduszami inwestycyjnymi dla stabilności finansowej oraz inwestorów i kontrahentów, a także innych uczestników. </w:t>
            </w:r>
          </w:p>
          <w:p w:rsidR="00D04BA0" w:rsidRPr="00D04BA0" w:rsidRDefault="00D04BA0" w:rsidP="00D04BA0">
            <w:pPr>
              <w:spacing w:before="120"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Projekt zakłada zapewnienie zgodności przepisów krajowych z postanowieniami dyrektywy 2011/61/UE przez: </w:t>
            </w:r>
          </w:p>
          <w:p w:rsidR="00D04BA0" w:rsidRPr="00D04BA0" w:rsidRDefault="001D37A6" w:rsidP="002210A3">
            <w:pPr>
              <w:tabs>
                <w:tab w:val="left" w:pos="224"/>
              </w:tabs>
              <w:spacing w:before="120" w:after="120" w:line="240" w:lineRule="auto"/>
              <w:ind w:left="224" w:hanging="224"/>
              <w:jc w:val="both"/>
              <w:rPr>
                <w:rFonts w:ascii="Times New Roman" w:eastAsia="Calibri" w:hAnsi="Times New Roman" w:cs="Times New Roman"/>
                <w:color w:val="000000"/>
                <w:spacing w:val="-2"/>
              </w:rPr>
            </w:pPr>
            <w:r w:rsidRPr="00FB5E40">
              <w:rPr>
                <w:rFonts w:ascii="Times New Roman" w:eastAsia="Calibri" w:hAnsi="Times New Roman" w:cs="Times New Roman"/>
                <w:bCs/>
                <w:color w:val="000000"/>
                <w:spacing w:val="-2"/>
              </w:rPr>
              <w:t>–</w:t>
            </w:r>
            <w:r w:rsidR="002210A3">
              <w:rPr>
                <w:rFonts w:ascii="Times New Roman" w:eastAsia="Calibri" w:hAnsi="Times New Roman" w:cs="Times New Roman"/>
                <w:bCs/>
                <w:color w:val="000000"/>
                <w:spacing w:val="-2"/>
              </w:rPr>
              <w:tab/>
            </w:r>
            <w:r w:rsidR="00D04BA0" w:rsidRPr="00D04BA0">
              <w:rPr>
                <w:rFonts w:ascii="Times New Roman" w:eastAsia="Calibri" w:hAnsi="Times New Roman" w:cs="Times New Roman"/>
                <w:color w:val="000000"/>
                <w:spacing w:val="-2"/>
              </w:rPr>
              <w:t>uznanie za alternatywny fundusz inwestycyjny (AFI) specjalistycznego funduszu inwestycyjnego otwartego oraz funduszu inwestycyjnego zamkniętego, a w konsekwencji za zarządzającego alternatywnym funduszem inwestycyjnym (ZAFI) towarzystwa funduszy inwestycyjnych, które zarządza takimi funduszami, dodatkowo uznanie za AFI spółek komandytowych i komandytowo-akcyjnych, które pozyskują kapitał od wielu inwestorów z myślą o inwestowaniu go zgodnie z określoną polityką inwestycyjną z korzyścią dla tych inwestorów, a w konsekwencji za ZAFI jednego z komplementariuszy tych spółek będącego osobą prawną, a ponadto uznanie za ZAFI spółki kapitałowej, która pozyskuje kapitał od wielu inwestorów z myślą o inwestowaniu go zgodnie z określoną polityką inwestycyjną z</w:t>
            </w:r>
            <w:r w:rsidR="00D04BA0" w:rsidRPr="00D04BA0">
              <w:rPr>
                <w:rFonts w:ascii="Times New Roman" w:eastAsia="Calibri" w:hAnsi="Times New Roman" w:cs="Times New Roman"/>
                <w:bCs/>
              </w:rPr>
              <w:t xml:space="preserve"> </w:t>
            </w:r>
            <w:r w:rsidR="00D04BA0" w:rsidRPr="00D04BA0">
              <w:rPr>
                <w:rFonts w:ascii="Times New Roman" w:eastAsia="Calibri" w:hAnsi="Times New Roman" w:cs="Times New Roman"/>
                <w:color w:val="000000"/>
                <w:spacing w:val="-2"/>
              </w:rPr>
              <w:t>korzyścią dla tych inwestorów;</w:t>
            </w:r>
          </w:p>
          <w:p w:rsidR="00D04BA0" w:rsidRPr="00D04BA0" w:rsidRDefault="001D37A6" w:rsidP="002210A3">
            <w:pPr>
              <w:tabs>
                <w:tab w:val="left" w:pos="224"/>
              </w:tabs>
              <w:spacing w:before="120" w:after="120" w:line="240" w:lineRule="auto"/>
              <w:ind w:left="224" w:hanging="22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wyraźne wskazanie formy prawnej przewidzianej do prowadzenia działalności pozyskiwania kapitał od wielu inwestorów z myślą o inwestowaniu go zgodnie z określoną polityką inwestycyjną z korzyścią dla tych inwestorów (fundusze inwestycyjne, spółki komandytowe oraz komandytowo-akcyjne, spółki kapitałowe, w tym spółki europejskie);</w:t>
            </w:r>
          </w:p>
          <w:p w:rsidR="00D04BA0" w:rsidRPr="00D04BA0" w:rsidRDefault="001D37A6" w:rsidP="002210A3">
            <w:pPr>
              <w:tabs>
                <w:tab w:val="left" w:pos="224"/>
              </w:tabs>
              <w:spacing w:before="120" w:after="120" w:line="240" w:lineRule="auto"/>
              <w:ind w:left="224" w:hanging="22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wprowadzenie wymogu prowadzenia działalności przez krajowych zarządzających alternatywnymi funduszami inwestycyjnymi na podstawie wcześniej uzyskanego zezwolenia Komisji Nadzoru Finansowego, z jednoczesną możliwością wykonywania działalności przez ZAFI, spełniające warunki przewidziane dyrektywą (niska wartość aktywów zarządzanych funduszy), wyłącznie po uzyskaniu wpisu do rejestru ZAFI wykonujących działalność bez zezwolenia (wyłączeniem tym nie będą objęte ZAFI będące towarzystwami funduszy inwestycyjnych);</w:t>
            </w:r>
          </w:p>
          <w:p w:rsidR="00D04BA0" w:rsidRPr="00D04BA0" w:rsidRDefault="001D37A6" w:rsidP="002210A3">
            <w:pPr>
              <w:tabs>
                <w:tab w:val="left" w:pos="224"/>
              </w:tabs>
              <w:spacing w:before="120" w:after="120" w:line="240" w:lineRule="auto"/>
              <w:ind w:left="224" w:hanging="22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określenie warunków i wymogów organizacyjnych prowadzenia działalności przez ZAFI działające na podstawie zezwolenia, w tym obowiązku opracowania polityki wynagrodzeń, zapobiegania występowaniu konfliktów interesów i ochrony informacji oraz zarządzania ryzykiem;</w:t>
            </w:r>
          </w:p>
          <w:p w:rsidR="00D04BA0" w:rsidRPr="00D04BA0" w:rsidRDefault="001D37A6" w:rsidP="002210A3">
            <w:pPr>
              <w:tabs>
                <w:tab w:val="left" w:pos="224"/>
              </w:tabs>
              <w:spacing w:before="120" w:after="120" w:line="240" w:lineRule="auto"/>
              <w:ind w:left="224" w:hanging="22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określenie zasad powierzania innym podmiotom czynności związanych z działalnością prowadzoną przez ZAFI oraz obowiązków dla ZAFI przejmujących kontrolę nad emitentami i spółkami nienotowanymi na rynku regulowanym, a także wprowadzenie obowiązku posiadania depozytariusza przez AFI;</w:t>
            </w:r>
          </w:p>
          <w:p w:rsidR="00D04BA0" w:rsidRPr="00D04BA0" w:rsidRDefault="001D37A6" w:rsidP="002210A3">
            <w:pPr>
              <w:tabs>
                <w:tab w:val="left" w:pos="224"/>
              </w:tabs>
              <w:spacing w:before="120" w:after="120" w:line="240" w:lineRule="auto"/>
              <w:ind w:left="224" w:hanging="22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wskazanie zasad wprowadzania przez ZAFI praw uczestnictwa AFI do obrotu, tworzenia oddziałów i wykonywania działalności przez ZAFI na terytorium państw członkowskich.</w:t>
            </w:r>
          </w:p>
          <w:p w:rsidR="00D04BA0" w:rsidRPr="00D04BA0" w:rsidRDefault="00D04BA0" w:rsidP="00D04BA0">
            <w:pPr>
              <w:spacing w:before="120"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Natomiast w związku z implementacją do krajowego porządku prawnego dyrektywy UCITS V nastąpi w odniesieniu do otwartych funduszy inwestycyjnych:</w:t>
            </w:r>
          </w:p>
          <w:p w:rsidR="00D04BA0" w:rsidRPr="00D04BA0" w:rsidRDefault="001D37A6" w:rsidP="002210A3">
            <w:pPr>
              <w:tabs>
                <w:tab w:val="left" w:pos="224"/>
              </w:tabs>
              <w:spacing w:before="120" w:after="120" w:line="240" w:lineRule="auto"/>
              <w:ind w:left="224" w:hanging="22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 xml:space="preserve">dookreślenie zadań oraz obowiązków depozytariuszy, w tym zadań polegających na przechowywaniu aktywów UCITS oraz zadań o charakterze nadzorczym oraz zwiększenie odpowiedzialności depozytariusza w przypadku utraty </w:t>
            </w:r>
            <w:r w:rsidR="00D04BA0" w:rsidRPr="00D04BA0">
              <w:rPr>
                <w:rFonts w:ascii="Times New Roman" w:eastAsia="Calibri" w:hAnsi="Times New Roman" w:cs="Times New Roman"/>
                <w:color w:val="000000"/>
                <w:spacing w:val="-2"/>
              </w:rPr>
              <w:lastRenderedPageBreak/>
              <w:t>instrumentów finansowych;</w:t>
            </w:r>
          </w:p>
          <w:p w:rsidR="00D04BA0" w:rsidRPr="00D04BA0" w:rsidRDefault="001D37A6" w:rsidP="002210A3">
            <w:pPr>
              <w:tabs>
                <w:tab w:val="left" w:pos="224"/>
              </w:tabs>
              <w:spacing w:before="120" w:after="120" w:line="240" w:lineRule="auto"/>
              <w:ind w:left="224" w:hanging="22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wprowadzenie wymogu wdrożenia przez towarzystwa funduszy inwestycyjnych polityki wynagrodzeń w stosunku do kategorii pracowników, których działalność zawodowa ma istotny wpływ na profil ryzyka zarządzanych otwartych funduszy inwestycyjnych;</w:t>
            </w:r>
          </w:p>
          <w:p w:rsidR="00D04BA0" w:rsidRPr="00D04BA0" w:rsidRDefault="001D37A6" w:rsidP="002210A3">
            <w:pPr>
              <w:tabs>
                <w:tab w:val="left" w:pos="224"/>
              </w:tabs>
              <w:spacing w:before="120" w:after="120" w:line="240" w:lineRule="auto"/>
              <w:ind w:left="224" w:hanging="224"/>
              <w:jc w:val="both"/>
              <w:rPr>
                <w:rFonts w:ascii="Times New Roman" w:eastAsia="Calibri" w:hAnsi="Times New Roman" w:cs="Times New Roman"/>
                <w:color w:val="000000"/>
                <w:spacing w:val="-2"/>
              </w:rPr>
            </w:pPr>
            <w:r w:rsidRPr="00FB5E40">
              <w:rPr>
                <w:rFonts w:ascii="Times New Roman" w:eastAsia="Calibri" w:hAnsi="Times New Roman" w:cs="Times New Roman"/>
                <w:color w:val="000000"/>
                <w:spacing w:val="-2"/>
              </w:rPr>
              <w:t>–</w:t>
            </w:r>
            <w:r w:rsidR="002210A3">
              <w:rPr>
                <w:rFonts w:ascii="Times New Roman" w:eastAsia="Calibri" w:hAnsi="Times New Roman" w:cs="Times New Roman"/>
                <w:color w:val="000000"/>
                <w:spacing w:val="-2"/>
              </w:rPr>
              <w:tab/>
            </w:r>
            <w:r w:rsidR="00D04BA0" w:rsidRPr="00D04BA0">
              <w:rPr>
                <w:rFonts w:ascii="Times New Roman" w:eastAsia="Calibri" w:hAnsi="Times New Roman" w:cs="Times New Roman"/>
                <w:color w:val="000000"/>
                <w:spacing w:val="-2"/>
              </w:rPr>
              <w:t>rewizja sankcji i środków administracyjnych.</w:t>
            </w:r>
          </w:p>
        </w:tc>
      </w:tr>
      <w:tr w:rsidR="00D04BA0" w:rsidRPr="00D04BA0" w:rsidTr="00C12765">
        <w:trPr>
          <w:trHeight w:val="307"/>
        </w:trPr>
        <w:tc>
          <w:tcPr>
            <w:tcW w:w="10993" w:type="dxa"/>
            <w:gridSpan w:val="25"/>
            <w:shd w:val="clear" w:color="auto" w:fill="99CCFF"/>
            <w:vAlign w:val="center"/>
          </w:tcPr>
          <w:p w:rsidR="00D04BA0" w:rsidRPr="00D04BA0" w:rsidRDefault="00D04BA0" w:rsidP="00D04BA0">
            <w:pPr>
              <w:numPr>
                <w:ilvl w:val="0"/>
                <w:numId w:val="30"/>
              </w:numPr>
              <w:spacing w:before="60" w:after="60" w:line="240" w:lineRule="auto"/>
              <w:ind w:left="318" w:hanging="284"/>
              <w:jc w:val="both"/>
              <w:rPr>
                <w:rFonts w:ascii="Times New Roman" w:eastAsia="Calibri" w:hAnsi="Times New Roman" w:cs="Times New Roman"/>
                <w:b/>
                <w:color w:val="000000"/>
              </w:rPr>
            </w:pPr>
            <w:r w:rsidRPr="00D04BA0">
              <w:rPr>
                <w:rFonts w:ascii="Times New Roman" w:eastAsia="Calibri" w:hAnsi="Times New Roman" w:cs="Times New Roman"/>
                <w:b/>
                <w:spacing w:val="-2"/>
              </w:rPr>
              <w:lastRenderedPageBreak/>
              <w:t>Jak problem został rozwiązany w innych krajach, w szczególności krajach członkowskich OECD/UE</w:t>
            </w:r>
            <w:r w:rsidRPr="00D04BA0">
              <w:rPr>
                <w:rFonts w:ascii="Times New Roman" w:eastAsia="Calibri" w:hAnsi="Times New Roman" w:cs="Times New Roman"/>
                <w:b/>
                <w:color w:val="000000"/>
              </w:rPr>
              <w:t>?</w:t>
            </w:r>
            <w:r w:rsidRPr="00D04BA0">
              <w:rPr>
                <w:rFonts w:ascii="Times New Roman" w:eastAsia="Calibri" w:hAnsi="Times New Roman" w:cs="Times New Roman"/>
                <w:color w:val="000000"/>
              </w:rPr>
              <w:t xml:space="preserve"> </w:t>
            </w:r>
          </w:p>
        </w:tc>
      </w:tr>
      <w:tr w:rsidR="00D04BA0" w:rsidRPr="00D04BA0" w:rsidTr="00C12765">
        <w:trPr>
          <w:trHeight w:val="142"/>
        </w:trPr>
        <w:tc>
          <w:tcPr>
            <w:tcW w:w="10993" w:type="dxa"/>
            <w:gridSpan w:val="25"/>
            <w:shd w:val="clear" w:color="auto" w:fill="auto"/>
          </w:tcPr>
          <w:p w:rsidR="00D04BA0" w:rsidRPr="00D04BA0" w:rsidRDefault="00D04BA0" w:rsidP="00677EA3">
            <w:pPr>
              <w:spacing w:before="120" w:after="120" w:line="240" w:lineRule="auto"/>
              <w:jc w:val="both"/>
              <w:rPr>
                <w:rFonts w:ascii="Times New Roman" w:eastAsia="Calibri" w:hAnsi="Times New Roman" w:cs="Times New Roman"/>
              </w:rPr>
            </w:pPr>
            <w:r w:rsidRPr="00D04BA0">
              <w:rPr>
                <w:rFonts w:ascii="Times New Roman" w:eastAsia="Calibri" w:hAnsi="Times New Roman" w:cs="Times New Roman"/>
              </w:rPr>
              <w:t xml:space="preserve">Implementacja przepisów </w:t>
            </w:r>
            <w:r w:rsidR="00F001D1">
              <w:rPr>
                <w:rFonts w:ascii="Times New Roman" w:eastAsia="Calibri" w:hAnsi="Times New Roman" w:cs="Times New Roman"/>
              </w:rPr>
              <w:t>d</w:t>
            </w:r>
            <w:r w:rsidRPr="00D04BA0">
              <w:rPr>
                <w:rFonts w:ascii="Times New Roman" w:eastAsia="Calibri" w:hAnsi="Times New Roman" w:cs="Times New Roman"/>
              </w:rPr>
              <w:t xml:space="preserve">yrektywy 2011/61/UE </w:t>
            </w:r>
          </w:p>
          <w:p w:rsidR="00D04BA0" w:rsidRPr="00D04BA0" w:rsidRDefault="00D04BA0" w:rsidP="00D04BA0">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Projektowana regulacja stanowi implementację przepisów dyrektywy 2011/61/UE.</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Większość państw członkowskich przyjęła regulacje implementujące rozwiązania przewidziane w dyrektywie. Kwestią problematyczną uwidocznioną</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w trakcie projektowania założeń okazało się objęcie przyszłą regulacją spółek komandytowych oraz komandytowo-akcyjnych, które pozyskują kapitał od wielu inwestorów z myślą o inwestowaniu go zgodnie z określoną polityką inwestycyjną z korzyścią dla tych inwestorów (na rynku krajowym ta forma prawna jest szczególnie popularna wśród funduszy venture capital/private equity). Projektodawca dokonał analizy rozwiązań prawnych przyjętych w innych państwach członkowskich, z której wynika, że w części państw członkowskich spółki komandytowe (ang. limited partnership) oraz spółki komandytowo-akcyjne (ang. limited liability partnership) posiadają osobowość prawną, np.</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w Finlandii, Szwecji, Irlandii oraz Bułgarii, natomiast w innych państwach, gdzie tak jak w Polsce spółki komandytowe</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i komandytowo-akcyjne nie mają osobowości prawnej, np. w Niemczech czy Wielkiej Brytanii, przyjmuje się, iż w przypadku przedmiotowych</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spółek mamy do czynienia z zewnętrznym zarządzaniem prowadzonym przez komplementariusza (ang. general partner) i dla celów dyrektyw uznaje się taką spółkę za zewnętrznie zarządzane AFI.</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Z zastrzeżeniem, iż w tym przypadku komplementariusz ma osobowość prawną.</w:t>
            </w:r>
          </w:p>
          <w:p w:rsidR="00D04BA0" w:rsidRPr="00D04BA0" w:rsidRDefault="00D04BA0" w:rsidP="00D04BA0">
            <w:pPr>
              <w:spacing w:before="120" w:after="120" w:line="240" w:lineRule="auto"/>
              <w:jc w:val="both"/>
              <w:rPr>
                <w:rFonts w:ascii="Times New Roman" w:eastAsia="Calibri" w:hAnsi="Times New Roman" w:cs="Times New Roman"/>
              </w:rPr>
            </w:pPr>
            <w:r w:rsidRPr="00D04BA0">
              <w:rPr>
                <w:rFonts w:ascii="Times New Roman" w:eastAsia="Calibri" w:hAnsi="Times New Roman" w:cs="Times New Roman"/>
              </w:rPr>
              <w:t xml:space="preserve">Implementacja </w:t>
            </w:r>
            <w:r w:rsidR="00F001D1">
              <w:rPr>
                <w:rFonts w:ascii="Times New Roman" w:eastAsia="Calibri" w:hAnsi="Times New Roman" w:cs="Times New Roman"/>
              </w:rPr>
              <w:t>d</w:t>
            </w:r>
            <w:r w:rsidRPr="00D04BA0">
              <w:rPr>
                <w:rFonts w:ascii="Times New Roman" w:eastAsia="Calibri" w:hAnsi="Times New Roman" w:cs="Times New Roman"/>
              </w:rPr>
              <w:t xml:space="preserve">yrektywy </w:t>
            </w:r>
            <w:r w:rsidRPr="00D04BA0">
              <w:rPr>
                <w:rFonts w:ascii="Times New Roman" w:eastAsia="Calibri" w:hAnsi="Times New Roman" w:cs="Times New Roman"/>
                <w:bCs/>
              </w:rPr>
              <w:t>2014/91/UE</w:t>
            </w:r>
          </w:p>
          <w:p w:rsidR="00D04BA0" w:rsidRPr="00D04BA0" w:rsidRDefault="00D04BA0" w:rsidP="002210A3">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Z uwagi, iż termin implementacji tej Dyrektywy </w:t>
            </w:r>
            <w:r w:rsidRPr="00D04BA0">
              <w:rPr>
                <w:rFonts w:ascii="Times New Roman" w:eastAsia="Calibri" w:hAnsi="Times New Roman" w:cs="Times New Roman"/>
                <w:bCs/>
              </w:rPr>
              <w:t>upływa w dniu 18 marca 2016</w:t>
            </w:r>
            <w:r w:rsidRPr="00FB5E40">
              <w:rPr>
                <w:rFonts w:ascii="Times New Roman" w:eastAsia="Calibri" w:hAnsi="Times New Roman" w:cs="Times New Roman"/>
                <w:bCs/>
              </w:rPr>
              <w:t xml:space="preserve"> </w:t>
            </w:r>
            <w:r w:rsidRPr="00D04BA0">
              <w:rPr>
                <w:rFonts w:ascii="Times New Roman" w:eastAsia="Calibri" w:hAnsi="Times New Roman" w:cs="Times New Roman"/>
                <w:bCs/>
              </w:rPr>
              <w:t xml:space="preserve">r. sposób realizacji przez </w:t>
            </w:r>
            <w:r w:rsidR="00F001D1" w:rsidRPr="00D04BA0">
              <w:rPr>
                <w:rFonts w:ascii="Times New Roman" w:eastAsia="Calibri" w:hAnsi="Times New Roman" w:cs="Times New Roman"/>
                <w:bCs/>
              </w:rPr>
              <w:t xml:space="preserve">państwa członkowskie </w:t>
            </w:r>
            <w:r w:rsidRPr="00D04BA0">
              <w:rPr>
                <w:rFonts w:ascii="Times New Roman" w:eastAsia="Calibri" w:hAnsi="Times New Roman" w:cs="Times New Roman"/>
                <w:bCs/>
              </w:rPr>
              <w:t xml:space="preserve">postanowień Dyrektywy nie podlegał analizom. </w:t>
            </w:r>
            <w:r w:rsidRPr="00D04BA0">
              <w:rPr>
                <w:rFonts w:ascii="Times New Roman" w:eastAsia="Calibri" w:hAnsi="Times New Roman" w:cs="Times New Roman"/>
              </w:rPr>
              <w:t xml:space="preserve">Mając jednak na uwadze, iż regulowane tą dyrektywą kwestie związane z depozytariuszem oraz polityką wynagrodzeń są, co do zasady, tożsame z przyjętymi w dyrektywie 2011/61/UE można przyjąć, iż sposób realizacji przez </w:t>
            </w:r>
            <w:r w:rsidR="00F001D1" w:rsidRPr="00D04BA0">
              <w:rPr>
                <w:rFonts w:ascii="Times New Roman" w:eastAsia="Calibri" w:hAnsi="Times New Roman" w:cs="Times New Roman"/>
              </w:rPr>
              <w:t xml:space="preserve">państwa członkowskie </w:t>
            </w:r>
            <w:r w:rsidRPr="00D04BA0">
              <w:rPr>
                <w:rFonts w:ascii="Times New Roman" w:eastAsia="Calibri" w:hAnsi="Times New Roman" w:cs="Times New Roman"/>
              </w:rPr>
              <w:t>postanowień dyrektywy 2014/91/UE będzie, tak jak to przyjęto w projekcie ustawy, zbliżony do implementacji dyrektywy</w:t>
            </w:r>
            <w:r w:rsidRPr="00FB5E40">
              <w:rPr>
                <w:rFonts w:ascii="Times New Roman" w:eastAsia="Calibri" w:hAnsi="Times New Roman" w:cs="Times New Roman"/>
              </w:rPr>
              <w:t xml:space="preserve"> </w:t>
            </w:r>
            <w:r w:rsidRPr="00D04BA0">
              <w:rPr>
                <w:rFonts w:ascii="Times New Roman" w:eastAsia="Calibri" w:hAnsi="Times New Roman" w:cs="Times New Roman"/>
              </w:rPr>
              <w:t>2011/61/UE.</w:t>
            </w:r>
          </w:p>
        </w:tc>
      </w:tr>
      <w:tr w:rsidR="00D04BA0" w:rsidRPr="00D04BA0" w:rsidTr="00C12765">
        <w:trPr>
          <w:trHeight w:val="359"/>
        </w:trPr>
        <w:tc>
          <w:tcPr>
            <w:tcW w:w="10993" w:type="dxa"/>
            <w:gridSpan w:val="25"/>
            <w:shd w:val="clear" w:color="auto" w:fill="99CCFF"/>
            <w:vAlign w:val="center"/>
          </w:tcPr>
          <w:p w:rsidR="00D04BA0" w:rsidRPr="00D04BA0" w:rsidRDefault="00D04BA0" w:rsidP="00D04BA0">
            <w:pPr>
              <w:numPr>
                <w:ilvl w:val="0"/>
                <w:numId w:val="30"/>
              </w:numPr>
              <w:spacing w:before="60" w:after="60" w:line="240" w:lineRule="auto"/>
              <w:ind w:left="318" w:hanging="284"/>
              <w:jc w:val="both"/>
              <w:rPr>
                <w:rFonts w:ascii="Times New Roman" w:eastAsia="Calibri" w:hAnsi="Times New Roman" w:cs="Times New Roman"/>
                <w:b/>
                <w:color w:val="000000"/>
              </w:rPr>
            </w:pPr>
            <w:r w:rsidRPr="00D04BA0">
              <w:rPr>
                <w:rFonts w:ascii="Times New Roman" w:eastAsia="Calibri" w:hAnsi="Times New Roman" w:cs="Times New Roman"/>
                <w:b/>
                <w:color w:val="000000"/>
              </w:rPr>
              <w:t>Podmioty, na które oddziałuje projekt</w:t>
            </w:r>
          </w:p>
        </w:tc>
      </w:tr>
      <w:tr w:rsidR="00D04BA0" w:rsidRPr="00D04BA0" w:rsidTr="00C12765">
        <w:trPr>
          <w:trHeight w:val="142"/>
        </w:trPr>
        <w:tc>
          <w:tcPr>
            <w:tcW w:w="3651" w:type="dxa"/>
            <w:gridSpan w:val="6"/>
            <w:shd w:val="clear" w:color="auto" w:fill="auto"/>
          </w:tcPr>
          <w:p w:rsidR="00D04BA0" w:rsidRPr="00D04BA0" w:rsidRDefault="00D04BA0" w:rsidP="00D04BA0">
            <w:pPr>
              <w:spacing w:before="40"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Grupa</w:t>
            </w:r>
          </w:p>
        </w:tc>
        <w:tc>
          <w:tcPr>
            <w:tcW w:w="2587" w:type="dxa"/>
            <w:gridSpan w:val="7"/>
            <w:shd w:val="clear" w:color="auto" w:fill="auto"/>
          </w:tcPr>
          <w:p w:rsidR="00D04BA0" w:rsidRPr="00D04BA0" w:rsidRDefault="00D04BA0" w:rsidP="00D04BA0">
            <w:pPr>
              <w:spacing w:before="40" w:after="0" w:line="240" w:lineRule="auto"/>
              <w:jc w:val="center"/>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Wielkość</w:t>
            </w:r>
          </w:p>
        </w:tc>
        <w:tc>
          <w:tcPr>
            <w:tcW w:w="2157" w:type="dxa"/>
            <w:gridSpan w:val="8"/>
            <w:shd w:val="clear" w:color="auto" w:fill="auto"/>
          </w:tcPr>
          <w:p w:rsidR="00D04BA0" w:rsidRPr="00D04BA0" w:rsidRDefault="00D04BA0" w:rsidP="00D04BA0">
            <w:pPr>
              <w:spacing w:before="40" w:after="0" w:line="240" w:lineRule="auto"/>
              <w:jc w:val="center"/>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Źródło danych</w:t>
            </w:r>
            <w:r w:rsidRPr="00D04BA0" w:rsidDel="00260F33">
              <w:rPr>
                <w:rFonts w:ascii="Times New Roman" w:eastAsia="Calibri" w:hAnsi="Times New Roman" w:cs="Times New Roman"/>
                <w:color w:val="000000"/>
                <w:spacing w:val="-2"/>
              </w:rPr>
              <w:t xml:space="preserve"> </w:t>
            </w:r>
          </w:p>
        </w:tc>
        <w:tc>
          <w:tcPr>
            <w:tcW w:w="2598" w:type="dxa"/>
            <w:gridSpan w:val="4"/>
            <w:shd w:val="clear" w:color="auto" w:fill="auto"/>
          </w:tcPr>
          <w:p w:rsidR="00D04BA0" w:rsidRPr="00D04BA0" w:rsidRDefault="00D04BA0" w:rsidP="00D04BA0">
            <w:pPr>
              <w:spacing w:before="40" w:after="0" w:line="240" w:lineRule="auto"/>
              <w:jc w:val="center"/>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Oddziaływanie</w:t>
            </w:r>
          </w:p>
        </w:tc>
      </w:tr>
      <w:tr w:rsidR="00D04BA0" w:rsidRPr="00D04BA0" w:rsidTr="00C12765">
        <w:trPr>
          <w:trHeight w:val="142"/>
        </w:trPr>
        <w:tc>
          <w:tcPr>
            <w:tcW w:w="3651" w:type="dxa"/>
            <w:gridSpan w:val="6"/>
            <w:shd w:val="clear" w:color="auto" w:fill="auto"/>
          </w:tcPr>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Uczestnicy funduszy inwestycyjnych</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Towarzystwa funduszy inwestycyjnych</w:t>
            </w:r>
            <w:r w:rsidRPr="00FB5E40">
              <w:rPr>
                <w:rFonts w:ascii="Times New Roman" w:eastAsia="Calibri" w:hAnsi="Times New Roman" w:cs="Times New Roman"/>
                <w:color w:val="000000"/>
                <w:spacing w:val="-2"/>
              </w:rPr>
              <w:t xml:space="preserve"> </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2210A3" w:rsidRDefault="002210A3"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Fundusze inwestycyjne </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Spółki akcyjne, spółki z o.o., spółki komandytowe oraz spółki komandytowo akcyjne</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p>
          <w:p w:rsidR="002210A3" w:rsidRDefault="002210A3"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Depozytariusze</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Urząd Komisji Nadzoru Finansowego</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Giełda Papierów Wartościowych S</w:t>
            </w:r>
            <w:r w:rsidR="0084137D">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A</w:t>
            </w:r>
            <w:r w:rsidR="0084137D">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 xml:space="preserve"> w Warszawie oraz Krajowy Depozyt Papierów Wartościowych S</w:t>
            </w:r>
            <w:r w:rsidR="0084137D">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A</w:t>
            </w:r>
            <w:r w:rsidR="0084137D">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 xml:space="preserve"> w Warszawie</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p>
          <w:p w:rsidR="00D04BA0" w:rsidRDefault="00D04BA0" w:rsidP="00D04BA0">
            <w:pPr>
              <w:spacing w:after="0" w:line="240" w:lineRule="auto"/>
              <w:jc w:val="both"/>
              <w:rPr>
                <w:rFonts w:ascii="Times New Roman" w:eastAsia="Calibri" w:hAnsi="Times New Roman" w:cs="Times New Roman"/>
                <w:color w:val="000000"/>
                <w:spacing w:val="-2"/>
              </w:rPr>
            </w:pPr>
          </w:p>
          <w:p w:rsidR="002210A3" w:rsidRPr="00D04BA0" w:rsidRDefault="002210A3" w:rsidP="00D04BA0">
            <w:pPr>
              <w:spacing w:after="0" w:line="240" w:lineRule="auto"/>
              <w:jc w:val="both"/>
              <w:rPr>
                <w:rFonts w:ascii="Times New Roman" w:eastAsia="Calibri" w:hAnsi="Times New Roman" w:cs="Times New Roman"/>
                <w:color w:val="000000"/>
                <w:spacing w:val="-2"/>
              </w:rPr>
            </w:pPr>
          </w:p>
          <w:p w:rsidR="00D04BA0" w:rsidRDefault="00D04BA0" w:rsidP="00D04BA0">
            <w:pPr>
              <w:spacing w:after="0" w:line="240" w:lineRule="auto"/>
              <w:jc w:val="both"/>
              <w:rPr>
                <w:rFonts w:ascii="Times New Roman" w:eastAsia="Calibri" w:hAnsi="Times New Roman" w:cs="Times New Roman"/>
                <w:color w:val="000000"/>
                <w:spacing w:val="-2"/>
              </w:rPr>
            </w:pPr>
          </w:p>
          <w:p w:rsidR="0017004E" w:rsidRDefault="0017004E" w:rsidP="00D04BA0">
            <w:pPr>
              <w:spacing w:after="0" w:line="240" w:lineRule="auto"/>
              <w:jc w:val="both"/>
              <w:rPr>
                <w:rFonts w:ascii="Times New Roman" w:eastAsia="Calibri" w:hAnsi="Times New Roman" w:cs="Times New Roman"/>
                <w:color w:val="000000"/>
                <w:spacing w:val="-2"/>
              </w:rPr>
            </w:pPr>
          </w:p>
          <w:p w:rsidR="00677EA3" w:rsidRDefault="00677EA3" w:rsidP="00D04BA0">
            <w:pPr>
              <w:spacing w:after="0" w:line="240" w:lineRule="auto"/>
              <w:jc w:val="both"/>
              <w:rPr>
                <w:rFonts w:ascii="Times New Roman" w:eastAsia="Calibri" w:hAnsi="Times New Roman" w:cs="Times New Roman"/>
                <w:color w:val="000000"/>
                <w:spacing w:val="-2"/>
              </w:rPr>
            </w:pPr>
          </w:p>
          <w:p w:rsidR="00D04BA0" w:rsidRPr="00D04BA0" w:rsidRDefault="00D04BA0" w:rsidP="00D04BA0">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lastRenderedPageBreak/>
              <w:t>Krajowy Fundusz Kapitałowy S</w:t>
            </w:r>
            <w:r w:rsidR="00F001D1">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A</w:t>
            </w:r>
            <w:r w:rsidR="00F001D1">
              <w:rPr>
                <w:rFonts w:ascii="Times New Roman" w:eastAsia="Calibri" w:hAnsi="Times New Roman" w:cs="Times New Roman"/>
                <w:color w:val="000000"/>
                <w:spacing w:val="-2"/>
              </w:rPr>
              <w:t>.</w:t>
            </w:r>
          </w:p>
        </w:tc>
        <w:tc>
          <w:tcPr>
            <w:tcW w:w="2587" w:type="dxa"/>
            <w:gridSpan w:val="7"/>
            <w:shd w:val="clear" w:color="auto" w:fill="auto"/>
          </w:tcPr>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lastRenderedPageBreak/>
              <w:t>1.979,3 tys. osób</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59 podmiotów</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642 fundusze inwestycyjne w tym:</w:t>
            </w: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294 fundusze inwestycyjne otwarte</w:t>
            </w: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232 specjalistyczne fundusze inwestycyjne</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otwarte</w:t>
            </w: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116 fundusze inwestycyjne zamknięte</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FB5E4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Nie jest możliwe jednoznaczne oszacowanie liczby ZAFI i AFI działających w formie </w:t>
            </w:r>
            <w:r w:rsidRPr="00D04BA0">
              <w:rPr>
                <w:rFonts w:ascii="Times New Roman" w:eastAsia="Calibri" w:hAnsi="Times New Roman" w:cs="Times New Roman"/>
                <w:color w:val="000000"/>
                <w:spacing w:val="-2"/>
              </w:rPr>
              <w:lastRenderedPageBreak/>
              <w:t xml:space="preserve">innej niż określona w ustawie o funduszach inwestycyjnych. </w:t>
            </w: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Z przeprowadzonych analiz wynika jednak, iż jedynie kilka spółek kapitałowych, czy też zarządzających spółkami komandytowymi i komandytowo-akcyjnymi prowadzących działalność wspólnego inwestowania, z uwagi na wartość aktywów pod zarządzaniem może podlegać pełnym wymogom projektowanej regulacji. Należy zauważyć, iż członkami Polskiego Stowarzyszenia Inwestorów Kapitałowych jest 45 firm zarządzających funduszami private equity/venture capital.</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10 podmiotów</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2</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tc>
        <w:tc>
          <w:tcPr>
            <w:tcW w:w="2157" w:type="dxa"/>
            <w:gridSpan w:val="8"/>
            <w:shd w:val="clear" w:color="auto" w:fill="auto"/>
          </w:tcPr>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lastRenderedPageBreak/>
              <w:t>Analizy.pl</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Rejestr towarzystw funduszy inwestycyjnych prowadzony przez UKNF</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Rejestr funduszy inwestycyjnych prowadzony przez UKNF</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Rejestr członków Polskiego Stowarzyszenia Inwestorów </w:t>
            </w:r>
            <w:r w:rsidRPr="00D04BA0">
              <w:rPr>
                <w:rFonts w:ascii="Times New Roman" w:eastAsia="Calibri" w:hAnsi="Times New Roman" w:cs="Times New Roman"/>
                <w:color w:val="000000"/>
                <w:spacing w:val="-2"/>
              </w:rPr>
              <w:lastRenderedPageBreak/>
              <w:t xml:space="preserve">Kapitałowych, dane dotyczące funduszy prowadzących działalność w formie spółek kapitałowych. </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2210A3" w:rsidRDefault="002210A3"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Rejestr depozytariuszy prowadzony przez UKNF</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UKNF</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tc>
        <w:tc>
          <w:tcPr>
            <w:tcW w:w="2598" w:type="dxa"/>
            <w:gridSpan w:val="4"/>
            <w:shd w:val="clear" w:color="auto" w:fill="auto"/>
          </w:tcPr>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lastRenderedPageBreak/>
              <w:t>Wzmocnienie bezpieczeństwa aktywów przechowywanych przez depozytariuszy</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Konieczność dostosowania do zmienionych projektem</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 xml:space="preserve">zasad prowadzenia działalności </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Konieczność dostosowania do zmienionych projektem zasad prowadzenia działalności, w tym możliwych wyższych kosztów usług świadczonych przez depozytariusza, w związku z przewidzianym ustawą rozszerzeniem zakresu jego obowiązków</w:t>
            </w: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Konieczność dostosowania do zmienionych projektem zasad prowadzenia działalności</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2210A3" w:rsidRDefault="002210A3" w:rsidP="00BC1F88">
            <w:pPr>
              <w:spacing w:after="0" w:line="240" w:lineRule="auto"/>
              <w:rPr>
                <w:rFonts w:ascii="Times New Roman" w:eastAsia="Calibri" w:hAnsi="Times New Roman" w:cs="Times New Roman"/>
                <w:color w:val="000000"/>
                <w:spacing w:val="-2"/>
              </w:rPr>
            </w:pPr>
          </w:p>
          <w:p w:rsidR="002210A3" w:rsidRDefault="002210A3"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Konieczność dostosowania do zmienionych projektem zasad prowadzenia działalności</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Poszerzenie zakresu obowiązków nadzorczych oraz informacyjnych względem organów nadzoru UE</w:t>
            </w:r>
          </w:p>
          <w:p w:rsidR="00D04BA0" w:rsidRPr="00D04BA0" w:rsidRDefault="00D04BA0" w:rsidP="00BC1F88">
            <w:pPr>
              <w:spacing w:after="0" w:line="240" w:lineRule="auto"/>
              <w:rPr>
                <w:rFonts w:ascii="Times New Roman" w:eastAsia="Calibri" w:hAnsi="Times New Roman" w:cs="Times New Roman"/>
                <w:color w:val="000000"/>
                <w:spacing w:val="-2"/>
              </w:rPr>
            </w:pPr>
          </w:p>
          <w:p w:rsid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Udział w finansowaniu zwiększonych kosztów nadzoru nad rynkiem kapitałowym. Giełda Papierów Wartościowych w Warszawie S.A. oraz Krajowy Depozyt Papierów Wartościowych S.A., są podstawowymi płatnikami stałych, corocznych opłat wnoszonych na p</w:t>
            </w:r>
            <w:r w:rsidR="00677EA3">
              <w:rPr>
                <w:rFonts w:ascii="Times New Roman" w:eastAsia="Calibri" w:hAnsi="Times New Roman" w:cs="Times New Roman"/>
                <w:color w:val="000000"/>
                <w:spacing w:val="-2"/>
              </w:rPr>
              <w:t>okrycie kosztów tego nadzoru (w</w:t>
            </w:r>
            <w:r w:rsidR="00D14EF5">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ostatnich latach oba te podmioty finansowały ponad 90% rocznych kosztów tego nadzoru).</w:t>
            </w:r>
          </w:p>
          <w:p w:rsidR="00677EA3" w:rsidRDefault="00677EA3" w:rsidP="00BC1F88">
            <w:pPr>
              <w:spacing w:after="0" w:line="240" w:lineRule="auto"/>
              <w:rPr>
                <w:rFonts w:ascii="Times New Roman" w:eastAsia="Calibri" w:hAnsi="Times New Roman" w:cs="Times New Roman"/>
                <w:color w:val="000000"/>
                <w:spacing w:val="-2"/>
              </w:rPr>
            </w:pPr>
          </w:p>
          <w:p w:rsidR="0017004E" w:rsidRPr="00D04BA0" w:rsidRDefault="0017004E" w:rsidP="00BC1F88">
            <w:pPr>
              <w:spacing w:after="0" w:line="240" w:lineRule="auto"/>
              <w:rPr>
                <w:rFonts w:ascii="Times New Roman" w:eastAsia="Calibri" w:hAnsi="Times New Roman" w:cs="Times New Roman"/>
                <w:color w:val="000000"/>
                <w:spacing w:val="-2"/>
              </w:rPr>
            </w:pPr>
          </w:p>
          <w:p w:rsidR="00D04BA0" w:rsidRPr="00D04BA0" w:rsidRDefault="00D04BA0" w:rsidP="00BC1F88">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lastRenderedPageBreak/>
              <w:t>Projektowana ustawa zakłada, iż zarządzanie krajowymi alternatywnymi funduszami inwestycyjnymi przez zarządzających z państw trzecich, możliwe będzie wyłącznie w przypadku funduszy korzystających ze wsparcia KFK S</w:t>
            </w:r>
            <w:r w:rsidR="00F001D1">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A. Tacy zarządzający będą musieli jednak posiadać zezwolenie KNF bądź być wpisaniu do rejestru zarządzających. Wpływa to na tryb prowadzonych przez KFK otwartych konkursów ofert.</w:t>
            </w:r>
          </w:p>
        </w:tc>
      </w:tr>
      <w:tr w:rsidR="00D04BA0" w:rsidRPr="00D04BA0" w:rsidTr="00C12765">
        <w:trPr>
          <w:trHeight w:val="302"/>
        </w:trPr>
        <w:tc>
          <w:tcPr>
            <w:tcW w:w="10993" w:type="dxa"/>
            <w:gridSpan w:val="25"/>
            <w:shd w:val="clear" w:color="auto" w:fill="99CCFF"/>
            <w:vAlign w:val="center"/>
          </w:tcPr>
          <w:p w:rsidR="00D04BA0" w:rsidRPr="00D04BA0" w:rsidRDefault="00D04BA0" w:rsidP="00D04BA0">
            <w:pPr>
              <w:numPr>
                <w:ilvl w:val="0"/>
                <w:numId w:val="30"/>
              </w:numPr>
              <w:spacing w:before="60" w:after="60" w:line="240" w:lineRule="auto"/>
              <w:ind w:left="318" w:hanging="284"/>
              <w:jc w:val="both"/>
              <w:rPr>
                <w:rFonts w:ascii="Times New Roman" w:eastAsia="Calibri" w:hAnsi="Times New Roman" w:cs="Times New Roman"/>
                <w:b/>
                <w:color w:val="000000"/>
              </w:rPr>
            </w:pPr>
            <w:r w:rsidRPr="00D04BA0">
              <w:rPr>
                <w:rFonts w:ascii="Times New Roman" w:eastAsia="Calibri" w:hAnsi="Times New Roman" w:cs="Times New Roman"/>
                <w:b/>
                <w:color w:val="000000"/>
              </w:rPr>
              <w:lastRenderedPageBreak/>
              <w:t>Informacje na temat zakresu, czasu trwania i podsumowanie wyników konsultacji</w:t>
            </w:r>
          </w:p>
        </w:tc>
      </w:tr>
      <w:tr w:rsidR="00D04BA0" w:rsidRPr="00D04BA0" w:rsidTr="00C12765">
        <w:trPr>
          <w:trHeight w:val="342"/>
        </w:trPr>
        <w:tc>
          <w:tcPr>
            <w:tcW w:w="10993" w:type="dxa"/>
            <w:gridSpan w:val="25"/>
            <w:shd w:val="clear" w:color="auto" w:fill="FFFFFF"/>
          </w:tcPr>
          <w:p w:rsidR="00D04BA0" w:rsidRPr="00D04BA0" w:rsidRDefault="00D04BA0" w:rsidP="002210A3">
            <w:pPr>
              <w:suppressLineNumbers/>
              <w:overflowPunct w:val="0"/>
              <w:autoSpaceDE w:val="0"/>
              <w:autoSpaceDN w:val="0"/>
              <w:adjustRightInd w:val="0"/>
              <w:spacing w:before="120" w:after="120" w:line="240" w:lineRule="auto"/>
              <w:jc w:val="both"/>
              <w:textAlignment w:val="baseline"/>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Projekt ustawy o zmianie ustawy o funduszach inwestycyjnych oraz niektórych innych ustaw został opracowany na podstawie przyjętych przez Radę Ministrów w dniu 25 marca 2014 r. założeń do ustawy o zarządzających alternatywnymi funduszami inwestycyjnymi.</w:t>
            </w:r>
          </w:p>
          <w:p w:rsidR="00D04BA0" w:rsidRPr="00D04BA0" w:rsidRDefault="00D04BA0" w:rsidP="00D04BA0">
            <w:pPr>
              <w:spacing w:before="120"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Mając na uwadze skomplikowaną materię proponowanych zmian, liczbę oraz ich zakres projekt zostanie poddany odrębnym konsultacjom publicznym. Projekt został przesłany w ramach konsultacji do: Giełdy Papierów Wartościowych w Warszawie S.A., Izby Domów Maklerskich, Związku Maklerów i</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Doradców, Izby Zarządzających Funduszami i Aktywami, Krajowego Depozytu Papierów Wartościowych S.A., Bondspot S.A., Polskiego Stowarzyszenia Inwestorów Kapitałowych, Związku Banków Polskich, Stowarzyszenia Emitentów Giełdowych, Rady Banków Depozytariuszy. Łącznie do projektu ustawy zostało zgłoszonych 635 uwag przy czym najwięcej uwag zgłosiła KNF oraz IZFiA. Zgłoszone uwagi, zarówno o charakterze redakcyjno-legislacyjnym, doprecyzowującym, jak i merytorycznym, zostały poddane szczegółowej analizie i omówione podczas konferencji uzgodnieniowej, która odbyła się w dniach 6, 9, 13 i 17 marca 2014 r., oraz w miarę możliwości uwzględnione w projekcie. Podczas konferencji uzgodniono większość ze zgłoszonych uwag (szczegółowe informacje zostały zawarte w załączniku do raportu z konsultacji). Niemniej jednak w odniesieniu do 31 uwag koni</w:t>
            </w:r>
            <w:r w:rsidR="00DF5485">
              <w:rPr>
                <w:rFonts w:ascii="Times New Roman" w:eastAsia="Calibri" w:hAnsi="Times New Roman" w:cs="Times New Roman"/>
                <w:color w:val="000000"/>
                <w:spacing w:val="-2"/>
              </w:rPr>
              <w:t>e</w:t>
            </w:r>
            <w:r w:rsidRPr="00D04BA0">
              <w:rPr>
                <w:rFonts w:ascii="Times New Roman" w:eastAsia="Calibri" w:hAnsi="Times New Roman" w:cs="Times New Roman"/>
                <w:color w:val="000000"/>
                <w:spacing w:val="-2"/>
              </w:rPr>
              <w:t>czne było podjęcie przez Ministerstwo Finansów decyzji rozstrzygających. Jednocześnie z uwagi na liczbę zmian w projekcie został on w dniu 1 czerwca 2015 r. skierowany do ponownych konsultacji publicznych.</w:t>
            </w:r>
          </w:p>
          <w:p w:rsidR="00D04BA0" w:rsidRPr="00D04BA0" w:rsidRDefault="00D04BA0">
            <w:pPr>
              <w:spacing w:before="120"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Zgodnie z art. 5 ustawy z dnia 7 lipca 2005 r. o</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działalności lobbingowej w procesie stanowienia prawa</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(Dz.</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U. Nr 169, poz.</w:t>
            </w:r>
            <w:r w:rsidR="001D0296">
              <w:rPr>
                <w:rFonts w:ascii="Times New Roman" w:eastAsia="Calibri" w:hAnsi="Times New Roman" w:cs="Times New Roman"/>
                <w:color w:val="000000"/>
                <w:spacing w:val="-2"/>
              </w:rPr>
              <w:t> </w:t>
            </w:r>
            <w:r w:rsidRPr="00D04BA0">
              <w:rPr>
                <w:rFonts w:ascii="Times New Roman" w:eastAsia="Calibri" w:hAnsi="Times New Roman" w:cs="Times New Roman"/>
                <w:color w:val="000000"/>
                <w:spacing w:val="-2"/>
              </w:rPr>
              <w:t>1414, z p</w:t>
            </w:r>
            <w:r w:rsidR="00F001D1">
              <w:rPr>
                <w:rFonts w:ascii="Times New Roman" w:eastAsia="Calibri" w:hAnsi="Times New Roman" w:cs="Times New Roman"/>
                <w:color w:val="000000"/>
                <w:spacing w:val="-2"/>
              </w:rPr>
              <w:t>ó</w:t>
            </w:r>
            <w:r w:rsidRPr="00D04BA0">
              <w:rPr>
                <w:rFonts w:ascii="Times New Roman" w:eastAsia="Calibri" w:hAnsi="Times New Roman" w:cs="Times New Roman"/>
                <w:color w:val="000000"/>
                <w:spacing w:val="-2"/>
              </w:rPr>
              <w:t xml:space="preserve">źn. zm.), projekt ustawy </w:t>
            </w:r>
            <w:r w:rsidR="001D37A6" w:rsidRPr="00FB5E40">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 xml:space="preserve"> z chwilą poddania uzgodnieniom zewnętrznym </w:t>
            </w:r>
            <w:r w:rsidR="001D37A6" w:rsidRPr="00FB5E40">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 xml:space="preserve"> został zamieszczony na stronie internetowej Biuletynu Informacji Publicznej. </w:t>
            </w:r>
          </w:p>
        </w:tc>
      </w:tr>
      <w:tr w:rsidR="00D04BA0" w:rsidRPr="00D04BA0" w:rsidTr="00C12765">
        <w:trPr>
          <w:trHeight w:val="363"/>
        </w:trPr>
        <w:tc>
          <w:tcPr>
            <w:tcW w:w="10993" w:type="dxa"/>
            <w:gridSpan w:val="25"/>
            <w:shd w:val="clear" w:color="auto" w:fill="99CCFF"/>
            <w:vAlign w:val="center"/>
          </w:tcPr>
          <w:p w:rsidR="00D04BA0" w:rsidRPr="00D04BA0" w:rsidRDefault="00D04BA0" w:rsidP="00D04BA0">
            <w:pPr>
              <w:numPr>
                <w:ilvl w:val="0"/>
                <w:numId w:val="30"/>
              </w:numPr>
              <w:spacing w:before="60" w:after="60" w:line="240" w:lineRule="auto"/>
              <w:ind w:left="318" w:hanging="284"/>
              <w:jc w:val="both"/>
              <w:rPr>
                <w:rFonts w:ascii="Times New Roman" w:eastAsia="Calibri" w:hAnsi="Times New Roman" w:cs="Times New Roman"/>
                <w:b/>
                <w:color w:val="000000"/>
              </w:rPr>
            </w:pPr>
            <w:r w:rsidRPr="00D04BA0">
              <w:rPr>
                <w:rFonts w:ascii="Times New Roman" w:eastAsia="Calibri" w:hAnsi="Times New Roman" w:cs="Times New Roman"/>
                <w:b/>
                <w:color w:val="000000"/>
              </w:rPr>
              <w:t xml:space="preserve"> Wpływ na sektor finansów publicznych</w:t>
            </w:r>
          </w:p>
        </w:tc>
      </w:tr>
      <w:tr w:rsidR="00D04BA0" w:rsidRPr="00D04BA0" w:rsidTr="00C12765">
        <w:trPr>
          <w:trHeight w:val="142"/>
        </w:trPr>
        <w:tc>
          <w:tcPr>
            <w:tcW w:w="1791" w:type="dxa"/>
            <w:vMerge w:val="restart"/>
            <w:shd w:val="clear" w:color="auto" w:fill="FFFFFF"/>
          </w:tcPr>
          <w:p w:rsidR="00D04BA0" w:rsidRPr="00D04BA0" w:rsidRDefault="00D04BA0" w:rsidP="00A04C2E">
            <w:pPr>
              <w:spacing w:before="40" w:after="40"/>
              <w:rPr>
                <w:rFonts w:ascii="Times New Roman" w:eastAsia="Calibri" w:hAnsi="Times New Roman" w:cs="Times New Roman"/>
                <w:i/>
                <w:color w:val="000000"/>
                <w:sz w:val="21"/>
                <w:szCs w:val="21"/>
              </w:rPr>
            </w:pPr>
            <w:r w:rsidRPr="00D04BA0">
              <w:rPr>
                <w:rFonts w:ascii="Times New Roman" w:eastAsia="Calibri" w:hAnsi="Times New Roman" w:cs="Times New Roman"/>
                <w:color w:val="000000"/>
                <w:sz w:val="21"/>
                <w:szCs w:val="21"/>
              </w:rPr>
              <w:t>(wartości wynikające z operatów szacunkowych na 2015</w:t>
            </w:r>
            <w:r w:rsidR="001D37A6" w:rsidRPr="00FB5E40">
              <w:rPr>
                <w:rFonts w:ascii="Times New Roman" w:eastAsia="Calibri" w:hAnsi="Times New Roman" w:cs="Times New Roman"/>
                <w:color w:val="000000"/>
                <w:sz w:val="21"/>
                <w:szCs w:val="21"/>
              </w:rPr>
              <w:t>–</w:t>
            </w:r>
            <w:r w:rsidRPr="00D04BA0">
              <w:rPr>
                <w:rFonts w:ascii="Times New Roman" w:eastAsia="Calibri" w:hAnsi="Times New Roman" w:cs="Times New Roman"/>
                <w:color w:val="000000"/>
                <w:sz w:val="21"/>
                <w:szCs w:val="21"/>
              </w:rPr>
              <w:t>2023 r.)</w:t>
            </w:r>
          </w:p>
        </w:tc>
        <w:tc>
          <w:tcPr>
            <w:tcW w:w="9202" w:type="dxa"/>
            <w:gridSpan w:val="24"/>
            <w:shd w:val="clear" w:color="auto" w:fill="FFFFFF"/>
          </w:tcPr>
          <w:p w:rsidR="00D04BA0" w:rsidRPr="00D04BA0" w:rsidRDefault="00D04BA0" w:rsidP="00D04BA0">
            <w:pPr>
              <w:spacing w:before="40" w:after="40" w:line="240" w:lineRule="auto"/>
              <w:jc w:val="center"/>
              <w:rPr>
                <w:rFonts w:ascii="Times New Roman" w:eastAsia="Calibri" w:hAnsi="Times New Roman" w:cs="Times New Roman"/>
                <w:i/>
                <w:color w:val="000000"/>
                <w:spacing w:val="-2"/>
                <w:sz w:val="21"/>
                <w:szCs w:val="21"/>
              </w:rPr>
            </w:pPr>
            <w:r w:rsidRPr="00D04BA0">
              <w:rPr>
                <w:rFonts w:ascii="Times New Roman" w:eastAsia="Calibri" w:hAnsi="Times New Roman" w:cs="Times New Roman"/>
                <w:color w:val="000000"/>
                <w:sz w:val="21"/>
                <w:szCs w:val="21"/>
              </w:rPr>
              <w:t>Skutki w okresie 10 lat od wejścia w życie zmian [mln zł]</w:t>
            </w:r>
          </w:p>
        </w:tc>
      </w:tr>
      <w:tr w:rsidR="00D04BA0" w:rsidRPr="00D04BA0" w:rsidTr="00C12765">
        <w:trPr>
          <w:trHeight w:val="142"/>
        </w:trPr>
        <w:tc>
          <w:tcPr>
            <w:tcW w:w="1791" w:type="dxa"/>
            <w:vMerge/>
            <w:shd w:val="clear" w:color="auto" w:fill="FFFFFF"/>
          </w:tcPr>
          <w:p w:rsidR="00D04BA0" w:rsidRPr="00D04BA0" w:rsidRDefault="00D04BA0" w:rsidP="00D04BA0">
            <w:pPr>
              <w:spacing w:before="40" w:after="40" w:line="240" w:lineRule="auto"/>
              <w:rPr>
                <w:rFonts w:ascii="Times New Roman" w:eastAsia="Calibri" w:hAnsi="Times New Roman" w:cs="Times New Roman"/>
                <w:i/>
                <w:color w:val="000000"/>
                <w:sz w:val="21"/>
                <w:szCs w:val="21"/>
              </w:rPr>
            </w:pP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0</w:t>
            </w: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1</w:t>
            </w: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2</w:t>
            </w: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3</w:t>
            </w: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4</w:t>
            </w: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5</w:t>
            </w: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6</w:t>
            </w: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7</w:t>
            </w: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8</w:t>
            </w:r>
          </w:p>
        </w:tc>
        <w:tc>
          <w:tcPr>
            <w:tcW w:w="715"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9</w:t>
            </w:r>
          </w:p>
        </w:tc>
        <w:tc>
          <w:tcPr>
            <w:tcW w:w="713"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10</w:t>
            </w:r>
          </w:p>
        </w:tc>
        <w:tc>
          <w:tcPr>
            <w:tcW w:w="934" w:type="dxa"/>
            <w:shd w:val="clear" w:color="auto" w:fill="FFFFFF"/>
          </w:tcPr>
          <w:p w:rsidR="00D04BA0" w:rsidRPr="00D04BA0" w:rsidRDefault="00D04BA0" w:rsidP="00D04BA0">
            <w:pPr>
              <w:spacing w:before="40" w:after="40" w:line="240" w:lineRule="auto"/>
              <w:jc w:val="center"/>
              <w:rPr>
                <w:rFonts w:ascii="Times New Roman" w:eastAsia="Calibri" w:hAnsi="Times New Roman" w:cs="Times New Roman"/>
                <w:color w:val="000000"/>
                <w:spacing w:val="-2"/>
                <w:sz w:val="21"/>
                <w:szCs w:val="21"/>
              </w:rPr>
            </w:pPr>
            <w:r w:rsidRPr="00D04BA0">
              <w:rPr>
                <w:rFonts w:ascii="Times New Roman" w:eastAsia="Calibri" w:hAnsi="Times New Roman" w:cs="Times New Roman"/>
                <w:color w:val="000000"/>
                <w:spacing w:val="-2"/>
                <w:sz w:val="21"/>
                <w:szCs w:val="21"/>
              </w:rPr>
              <w:t>Łącznie (0</w:t>
            </w:r>
            <w:r w:rsidR="001D37A6" w:rsidRPr="00FB5E40">
              <w:rPr>
                <w:rFonts w:ascii="Times New Roman" w:eastAsia="Calibri" w:hAnsi="Times New Roman" w:cs="Times New Roman"/>
                <w:color w:val="000000"/>
                <w:spacing w:val="-2"/>
                <w:sz w:val="21"/>
                <w:szCs w:val="21"/>
              </w:rPr>
              <w:t>–</w:t>
            </w:r>
            <w:r w:rsidRPr="00D04BA0">
              <w:rPr>
                <w:rFonts w:ascii="Times New Roman" w:eastAsia="Calibri" w:hAnsi="Times New Roman" w:cs="Times New Roman"/>
                <w:color w:val="000000"/>
                <w:spacing w:val="-2"/>
                <w:sz w:val="21"/>
                <w:szCs w:val="21"/>
              </w:rPr>
              <w:t>10)</w:t>
            </w:r>
          </w:p>
        </w:tc>
      </w:tr>
      <w:tr w:rsidR="00D04BA0" w:rsidRPr="00D04BA0" w:rsidTr="00C12765">
        <w:trPr>
          <w:trHeight w:val="321"/>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b/>
                <w:color w:val="000000"/>
                <w:sz w:val="21"/>
                <w:szCs w:val="21"/>
              </w:rPr>
              <w:t>Dochody ogółem</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0</w:t>
            </w: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4,51</w:t>
            </w: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4,41</w:t>
            </w: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 xml:space="preserve">4,58 </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4,77</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4,96</w:t>
            </w:r>
          </w:p>
        </w:tc>
        <w:tc>
          <w:tcPr>
            <w:tcW w:w="715" w:type="dxa"/>
            <w:gridSpan w:val="3"/>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5,15</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5,34</w:t>
            </w:r>
          </w:p>
        </w:tc>
        <w:tc>
          <w:tcPr>
            <w:tcW w:w="715" w:type="dxa"/>
            <w:gridSpan w:val="3"/>
            <w:shd w:val="clear" w:color="auto" w:fill="FFFFFF"/>
          </w:tcPr>
          <w:p w:rsidR="00D04BA0" w:rsidRPr="00D04BA0" w:rsidRDefault="00D04BA0" w:rsidP="00D04BA0">
            <w:pPr>
              <w:spacing w:after="0"/>
              <w:rPr>
                <w:rFonts w:ascii="Times New Roman" w:eastAsia="Calibri" w:hAnsi="Times New Roman" w:cs="Times New Roman"/>
              </w:rPr>
            </w:pPr>
            <w:r w:rsidRPr="00D04BA0">
              <w:rPr>
                <w:rFonts w:ascii="Times New Roman" w:eastAsia="Calibri" w:hAnsi="Times New Roman" w:cs="Times New Roman"/>
              </w:rPr>
              <w:t>5,52</w:t>
            </w:r>
          </w:p>
        </w:tc>
        <w:tc>
          <w:tcPr>
            <w:tcW w:w="715"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5,70</w:t>
            </w:r>
          </w:p>
        </w:tc>
        <w:tc>
          <w:tcPr>
            <w:tcW w:w="713"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5,87</w:t>
            </w: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50,81</w:t>
            </w:r>
          </w:p>
        </w:tc>
      </w:tr>
      <w:tr w:rsidR="00D04BA0" w:rsidRPr="00D04BA0" w:rsidTr="00C12765">
        <w:trPr>
          <w:trHeight w:val="321"/>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budżet państwa</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0</w:t>
            </w: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4,51</w:t>
            </w: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4,41</w:t>
            </w: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 xml:space="preserve">4,58 </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4,77</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4,96</w:t>
            </w:r>
          </w:p>
        </w:tc>
        <w:tc>
          <w:tcPr>
            <w:tcW w:w="715" w:type="dxa"/>
            <w:gridSpan w:val="3"/>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5,15</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5,34</w:t>
            </w:r>
          </w:p>
        </w:tc>
        <w:tc>
          <w:tcPr>
            <w:tcW w:w="715" w:type="dxa"/>
            <w:gridSpan w:val="3"/>
            <w:shd w:val="clear" w:color="auto" w:fill="FFFFFF"/>
          </w:tcPr>
          <w:p w:rsidR="00D04BA0" w:rsidRPr="00D04BA0" w:rsidRDefault="00D04BA0" w:rsidP="00D04BA0">
            <w:pPr>
              <w:spacing w:after="0"/>
              <w:rPr>
                <w:rFonts w:ascii="Times New Roman" w:eastAsia="Calibri" w:hAnsi="Times New Roman" w:cs="Times New Roman"/>
              </w:rPr>
            </w:pPr>
            <w:r w:rsidRPr="00D04BA0">
              <w:rPr>
                <w:rFonts w:ascii="Times New Roman" w:eastAsia="Calibri" w:hAnsi="Times New Roman" w:cs="Times New Roman"/>
              </w:rPr>
              <w:t>5,52</w:t>
            </w:r>
          </w:p>
        </w:tc>
        <w:tc>
          <w:tcPr>
            <w:tcW w:w="715"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5,70</w:t>
            </w:r>
          </w:p>
        </w:tc>
        <w:tc>
          <w:tcPr>
            <w:tcW w:w="713"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5,87</w:t>
            </w: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50,81</w:t>
            </w:r>
          </w:p>
        </w:tc>
      </w:tr>
      <w:tr w:rsidR="00D04BA0" w:rsidRPr="00D04BA0" w:rsidTr="00C12765">
        <w:trPr>
          <w:trHeight w:val="344"/>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JST</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3"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r>
      <w:tr w:rsidR="00D04BA0" w:rsidRPr="00D04BA0" w:rsidTr="00C12765">
        <w:trPr>
          <w:trHeight w:val="344"/>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pozostałe jednostki (oddzielnie)</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3"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r>
      <w:tr w:rsidR="00D04BA0" w:rsidRPr="00D04BA0" w:rsidTr="00C12765">
        <w:trPr>
          <w:trHeight w:val="330"/>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b/>
                <w:color w:val="000000"/>
                <w:sz w:val="21"/>
                <w:szCs w:val="21"/>
              </w:rPr>
              <w:t>Wydatki ogółem</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0</w:t>
            </w: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4,51</w:t>
            </w: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4,41</w:t>
            </w: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 xml:space="preserve">4,58 </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4,77</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4,96</w:t>
            </w:r>
          </w:p>
        </w:tc>
        <w:tc>
          <w:tcPr>
            <w:tcW w:w="715" w:type="dxa"/>
            <w:gridSpan w:val="3"/>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5,15</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5,34</w:t>
            </w:r>
          </w:p>
        </w:tc>
        <w:tc>
          <w:tcPr>
            <w:tcW w:w="715" w:type="dxa"/>
            <w:gridSpan w:val="3"/>
            <w:shd w:val="clear" w:color="auto" w:fill="FFFFFF"/>
          </w:tcPr>
          <w:p w:rsidR="00D04BA0" w:rsidRPr="00D04BA0" w:rsidRDefault="00D04BA0" w:rsidP="00D04BA0">
            <w:pPr>
              <w:spacing w:after="0"/>
              <w:rPr>
                <w:rFonts w:ascii="Times New Roman" w:eastAsia="Calibri" w:hAnsi="Times New Roman" w:cs="Times New Roman"/>
              </w:rPr>
            </w:pPr>
            <w:r w:rsidRPr="00D04BA0">
              <w:rPr>
                <w:rFonts w:ascii="Times New Roman" w:eastAsia="Calibri" w:hAnsi="Times New Roman" w:cs="Times New Roman"/>
              </w:rPr>
              <w:t>5,52</w:t>
            </w:r>
          </w:p>
        </w:tc>
        <w:tc>
          <w:tcPr>
            <w:tcW w:w="715"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5,70</w:t>
            </w:r>
          </w:p>
        </w:tc>
        <w:tc>
          <w:tcPr>
            <w:tcW w:w="713"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5,87</w:t>
            </w: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50,81</w:t>
            </w:r>
          </w:p>
        </w:tc>
      </w:tr>
      <w:tr w:rsidR="00D04BA0" w:rsidRPr="00D04BA0" w:rsidTr="00C12765">
        <w:trPr>
          <w:trHeight w:val="330"/>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budżet państwa</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0</w:t>
            </w: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4,51</w:t>
            </w: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4,41</w:t>
            </w: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 xml:space="preserve">4,58 </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4,77</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4,96</w:t>
            </w:r>
          </w:p>
        </w:tc>
        <w:tc>
          <w:tcPr>
            <w:tcW w:w="715" w:type="dxa"/>
            <w:gridSpan w:val="3"/>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5,15</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5,34</w:t>
            </w:r>
          </w:p>
        </w:tc>
        <w:tc>
          <w:tcPr>
            <w:tcW w:w="715" w:type="dxa"/>
            <w:gridSpan w:val="3"/>
            <w:shd w:val="clear" w:color="auto" w:fill="FFFFFF"/>
          </w:tcPr>
          <w:p w:rsidR="00D04BA0" w:rsidRPr="00D04BA0" w:rsidRDefault="00D04BA0" w:rsidP="00D04BA0">
            <w:pPr>
              <w:spacing w:after="0"/>
              <w:rPr>
                <w:rFonts w:ascii="Times New Roman" w:eastAsia="Calibri" w:hAnsi="Times New Roman" w:cs="Times New Roman"/>
              </w:rPr>
            </w:pPr>
            <w:r w:rsidRPr="00D04BA0">
              <w:rPr>
                <w:rFonts w:ascii="Times New Roman" w:eastAsia="Calibri" w:hAnsi="Times New Roman" w:cs="Times New Roman"/>
              </w:rPr>
              <w:t>5,52</w:t>
            </w:r>
          </w:p>
        </w:tc>
        <w:tc>
          <w:tcPr>
            <w:tcW w:w="715"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5,70</w:t>
            </w:r>
          </w:p>
        </w:tc>
        <w:tc>
          <w:tcPr>
            <w:tcW w:w="713"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5,87</w:t>
            </w: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50,81</w:t>
            </w:r>
          </w:p>
        </w:tc>
      </w:tr>
      <w:tr w:rsidR="00D04BA0" w:rsidRPr="00D04BA0" w:rsidTr="00C12765">
        <w:trPr>
          <w:trHeight w:val="351"/>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JST</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3"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r>
      <w:tr w:rsidR="00D04BA0" w:rsidRPr="00D04BA0" w:rsidTr="00C12765">
        <w:trPr>
          <w:trHeight w:val="351"/>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lastRenderedPageBreak/>
              <w:t>pozostałe jednostki (oddzielnie)</w:t>
            </w:r>
          </w:p>
        </w:tc>
        <w:tc>
          <w:tcPr>
            <w:tcW w:w="689" w:type="dxa"/>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689" w:type="dxa"/>
            <w:gridSpan w:val="2"/>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977"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910"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715" w:type="dxa"/>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713" w:type="dxa"/>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934" w:type="dxa"/>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r>
      <w:tr w:rsidR="00D04BA0" w:rsidRPr="00D04BA0" w:rsidTr="00C12765">
        <w:trPr>
          <w:trHeight w:val="360"/>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b/>
                <w:color w:val="000000"/>
                <w:sz w:val="21"/>
                <w:szCs w:val="21"/>
              </w:rPr>
              <w:t>Saldo ogółem</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0</w:t>
            </w: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0</w:t>
            </w: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 xml:space="preserve">0 </w:t>
            </w: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0</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0</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0</w:t>
            </w:r>
          </w:p>
        </w:tc>
        <w:tc>
          <w:tcPr>
            <w:tcW w:w="715" w:type="dxa"/>
            <w:gridSpan w:val="3"/>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0</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0</w:t>
            </w:r>
          </w:p>
        </w:tc>
        <w:tc>
          <w:tcPr>
            <w:tcW w:w="715" w:type="dxa"/>
            <w:gridSpan w:val="3"/>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0</w:t>
            </w:r>
          </w:p>
        </w:tc>
        <w:tc>
          <w:tcPr>
            <w:tcW w:w="715"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0</w:t>
            </w:r>
          </w:p>
        </w:tc>
        <w:tc>
          <w:tcPr>
            <w:tcW w:w="713" w:type="dxa"/>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0</w:t>
            </w: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0</w:t>
            </w:r>
          </w:p>
        </w:tc>
      </w:tr>
      <w:tr w:rsidR="00D04BA0" w:rsidRPr="00D04BA0" w:rsidTr="00C12765">
        <w:trPr>
          <w:trHeight w:val="360"/>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budżet państwa</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rPr>
            </w:pPr>
            <w:r w:rsidRPr="00D04BA0">
              <w:rPr>
                <w:rFonts w:ascii="Times New Roman" w:eastAsia="Calibri" w:hAnsi="Times New Roman" w:cs="Times New Roman"/>
              </w:rPr>
              <w:t>0</w:t>
            </w: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rPr>
              <w:t>0</w:t>
            </w: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rPr>
              <w:t>0</w:t>
            </w: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rPr>
              <w:t>0</w:t>
            </w: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rPr>
              <w:t>0</w:t>
            </w:r>
          </w:p>
        </w:tc>
        <w:tc>
          <w:tcPr>
            <w:tcW w:w="715" w:type="dxa"/>
            <w:gridSpan w:val="2"/>
            <w:shd w:val="clear" w:color="auto" w:fill="FFFFFF"/>
          </w:tcPr>
          <w:p w:rsidR="00D04BA0" w:rsidRPr="00D04BA0" w:rsidRDefault="00D04BA0" w:rsidP="00D04BA0">
            <w:pPr>
              <w:spacing w:after="0"/>
              <w:jc w:val="center"/>
              <w:rPr>
                <w:rFonts w:ascii="Times New Roman" w:eastAsia="Calibri" w:hAnsi="Times New Roman" w:cs="Times New Roman"/>
              </w:rPr>
            </w:pPr>
            <w:r w:rsidRPr="00D04BA0">
              <w:rPr>
                <w:rFonts w:ascii="Times New Roman" w:eastAsia="Calibri" w:hAnsi="Times New Roman" w:cs="Times New Roman"/>
              </w:rPr>
              <w:t>0</w:t>
            </w: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rPr>
              <w:t>0</w:t>
            </w: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rPr>
              <w:t>0</w:t>
            </w: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rPr>
              <w:t>0</w:t>
            </w:r>
          </w:p>
        </w:tc>
        <w:tc>
          <w:tcPr>
            <w:tcW w:w="715"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rPr>
              <w:t>0</w:t>
            </w:r>
          </w:p>
        </w:tc>
        <w:tc>
          <w:tcPr>
            <w:tcW w:w="713"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sz w:val="21"/>
                <w:szCs w:val="21"/>
              </w:rPr>
              <w:t>0</w:t>
            </w: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r w:rsidRPr="00D04BA0">
              <w:rPr>
                <w:rFonts w:ascii="Times New Roman" w:eastAsia="Calibri" w:hAnsi="Times New Roman" w:cs="Times New Roman"/>
              </w:rPr>
              <w:t>0</w:t>
            </w:r>
          </w:p>
        </w:tc>
      </w:tr>
      <w:tr w:rsidR="00D04BA0" w:rsidRPr="00D04BA0" w:rsidTr="00C12765">
        <w:trPr>
          <w:trHeight w:val="357"/>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JST</w:t>
            </w:r>
          </w:p>
        </w:tc>
        <w:tc>
          <w:tcPr>
            <w:tcW w:w="689"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689"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77"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910"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2"/>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5"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c>
          <w:tcPr>
            <w:tcW w:w="713" w:type="dxa"/>
            <w:shd w:val="clear" w:color="auto" w:fill="FFFFFF"/>
          </w:tcPr>
          <w:p w:rsidR="00D04BA0" w:rsidRPr="00D04BA0" w:rsidRDefault="00D04BA0" w:rsidP="00D04BA0">
            <w:pPr>
              <w:spacing w:after="0" w:line="240" w:lineRule="auto"/>
              <w:rPr>
                <w:rFonts w:ascii="Times New Roman" w:eastAsia="Calibri" w:hAnsi="Times New Roman" w:cs="Times New Roman"/>
                <w:sz w:val="21"/>
                <w:szCs w:val="21"/>
              </w:rPr>
            </w:pP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sz w:val="21"/>
                <w:szCs w:val="21"/>
              </w:rPr>
            </w:pPr>
          </w:p>
        </w:tc>
      </w:tr>
      <w:tr w:rsidR="00D04BA0" w:rsidRPr="00D04BA0" w:rsidTr="00C12765">
        <w:trPr>
          <w:trHeight w:val="357"/>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pozostałe jednostki (oddzielnie)</w:t>
            </w:r>
          </w:p>
        </w:tc>
        <w:tc>
          <w:tcPr>
            <w:tcW w:w="689"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689" w:type="dxa"/>
            <w:gridSpan w:val="2"/>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77"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10"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5" w:type="dxa"/>
            <w:gridSpan w:val="2"/>
            <w:shd w:val="clear" w:color="auto" w:fill="FFFFFF"/>
          </w:tcPr>
          <w:p w:rsidR="00D04BA0" w:rsidRPr="00D04BA0" w:rsidRDefault="00D04BA0" w:rsidP="00D04BA0">
            <w:pPr>
              <w:spacing w:after="0" w:line="240" w:lineRule="auto"/>
              <w:rPr>
                <w:rFonts w:ascii="Times New Roman" w:eastAsia="Calibri" w:hAnsi="Times New Roman" w:cs="Times New Roman"/>
                <w:color w:val="FF0000"/>
                <w:sz w:val="21"/>
                <w:szCs w:val="21"/>
              </w:rPr>
            </w:pPr>
          </w:p>
        </w:tc>
        <w:tc>
          <w:tcPr>
            <w:tcW w:w="715" w:type="dxa"/>
            <w:gridSpan w:val="2"/>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5"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5" w:type="dxa"/>
            <w:gridSpan w:val="2"/>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5"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5"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3"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34"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r>
      <w:tr w:rsidR="00D04BA0" w:rsidRPr="00D04BA0" w:rsidTr="00C12765">
        <w:trPr>
          <w:trHeight w:val="348"/>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 xml:space="preserve">Źródła finansowania </w:t>
            </w:r>
          </w:p>
        </w:tc>
        <w:tc>
          <w:tcPr>
            <w:tcW w:w="9202" w:type="dxa"/>
            <w:gridSpan w:val="24"/>
            <w:shd w:val="clear" w:color="auto" w:fill="FFFFFF"/>
            <w:vAlign w:val="center"/>
          </w:tcPr>
          <w:p w:rsidR="00D04BA0" w:rsidRPr="00D04BA0" w:rsidRDefault="00D04BA0" w:rsidP="00D04BA0">
            <w:pPr>
              <w:spacing w:after="0" w:line="240" w:lineRule="auto"/>
              <w:jc w:val="both"/>
              <w:rPr>
                <w:rFonts w:ascii="Times New Roman" w:eastAsia="Calibri" w:hAnsi="Times New Roman" w:cs="Times New Roman"/>
              </w:rPr>
            </w:pPr>
            <w:r w:rsidRPr="00D04BA0">
              <w:rPr>
                <w:rFonts w:ascii="Times New Roman" w:eastAsia="Calibri" w:hAnsi="Times New Roman" w:cs="Times New Roman"/>
                <w:color w:val="000000"/>
                <w:spacing w:val="-2"/>
              </w:rPr>
              <w:t>Koszty nadzoru nie obciążają w ostatecznym rozrachunku budżetu państwa, gdyż Urząd Komisji Nadzoru Finansowego finansowany jest za pośrednictwem budżetu państwa w całości ze składek</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i opłat wnoszonych przez podmioty nadzorowane. Innymi słowy</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zwiększenie kosztów działalności KNF</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i UKNF zostanie w całości pokryte zwiększeniem dochodów budżetu państwa z tytułu wpłat na pokrycie kosztów nadzoru wnoszonych przez podmioty nadzorowane, zgodnie z art. 19 ust. 1 ustawy</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o nadzorze nad rynkiem finansowym.</w:t>
            </w:r>
            <w:r w:rsidRPr="00D04BA0">
              <w:rPr>
                <w:rFonts w:ascii="Times New Roman" w:eastAsia="Calibri" w:hAnsi="Times New Roman" w:cs="Times New Roman"/>
              </w:rPr>
              <w:t xml:space="preserve"> </w:t>
            </w:r>
          </w:p>
        </w:tc>
      </w:tr>
      <w:tr w:rsidR="00D04BA0" w:rsidRPr="00D04BA0" w:rsidTr="00C12765">
        <w:trPr>
          <w:trHeight w:val="1926"/>
        </w:trPr>
        <w:tc>
          <w:tcPr>
            <w:tcW w:w="1791"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Dodatkowe informacje, w tym wskazanie źródeł danych i przyjętych do obliczeń założeń</w:t>
            </w:r>
          </w:p>
        </w:tc>
        <w:tc>
          <w:tcPr>
            <w:tcW w:w="9202" w:type="dxa"/>
            <w:gridSpan w:val="24"/>
            <w:shd w:val="clear" w:color="auto" w:fill="FFFFFF"/>
          </w:tcPr>
          <w:p w:rsidR="00D04BA0" w:rsidRPr="00D04BA0" w:rsidRDefault="00D04BA0" w:rsidP="00D04BA0">
            <w:pPr>
              <w:spacing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Projektowana regulacja skutkować będzie powstaniem nowych obowiązków nadzorczych Komisji Nadzoru Finansowego polegających między innymi na udzielaniu zezwoleń na wykonywanie działalności ZAFI, prowadzeniu rejestru ZAFI, a także rozpatrywaniu notyfikacji ZAFI z UE oraz zawiadomień o zmianach warunków zezwoleń udzielonych podmiotom z siedzibą na terytorium R</w:t>
            </w:r>
            <w:r w:rsidR="00F001D1">
              <w:rPr>
                <w:rFonts w:ascii="Times New Roman" w:eastAsia="Calibri" w:hAnsi="Times New Roman" w:cs="Times New Roman"/>
                <w:color w:val="000000"/>
                <w:spacing w:val="-2"/>
              </w:rPr>
              <w:t>zeczypospolitej Polskiej</w:t>
            </w:r>
            <w:r w:rsidRPr="00D04BA0">
              <w:rPr>
                <w:rFonts w:ascii="Times New Roman" w:eastAsia="Calibri" w:hAnsi="Times New Roman" w:cs="Times New Roman"/>
                <w:color w:val="000000"/>
                <w:spacing w:val="-2"/>
              </w:rPr>
              <w:t xml:space="preserve"> wykonującym działalność ZAFI. W związku z wdrożeniem nadzoru nad ZAFI powstaną również nowe obowiązki nadzorcze związane z koniecznością identyfikacji ryzyk systemowych na krajowym rynku finansowym. Ponadto wymagana będzie ścisła współpraca z ESMA, Europejską Radą Ryzyka Systemowego (ERRS) oraz organami nadzoru z państw członkowskich, w tym w zakresie korzystania przez ZAFI ze wspólnego europejskiego paszportu oraz realizacji obowiązków informacyjnych względem ESMA i ERRS. </w:t>
            </w:r>
          </w:p>
          <w:p w:rsidR="00D04BA0" w:rsidRPr="00D04BA0" w:rsidRDefault="00D04BA0" w:rsidP="00D04BA0">
            <w:pPr>
              <w:spacing w:after="120" w:line="240" w:lineRule="auto"/>
              <w:jc w:val="both"/>
              <w:rPr>
                <w:rFonts w:ascii="Times New Roman" w:eastAsia="Calibri" w:hAnsi="Times New Roman" w:cs="Times New Roman"/>
                <w:spacing w:val="-2"/>
              </w:rPr>
            </w:pPr>
            <w:r w:rsidRPr="00D04BA0">
              <w:rPr>
                <w:rFonts w:ascii="Times New Roman" w:eastAsia="Calibri" w:hAnsi="Times New Roman" w:cs="Times New Roman"/>
                <w:spacing w:val="-2"/>
              </w:rPr>
              <w:t xml:space="preserve">ZAFI podobnie jak TFI będą dokonywały wpłat (opłat) o stałym charakterze na pokrycie kosztów nadzoru, ponadto będą wnosić opłaty za udzielenie zezwoleń, zgód i wpisów do rejestru. Opłaty za udzielenie zezwoleń, zgód i wpisów do rejestru, tak jak wpłaty o stałym charakterze wnoszone przez niektóre inne podmioty nadzorowane, stanowić będą również źródło pokrycia zwiększonych kosztów działalności KNF i UKNF. </w:t>
            </w:r>
          </w:p>
          <w:p w:rsidR="00D04BA0" w:rsidRPr="00D04BA0" w:rsidRDefault="00D04BA0" w:rsidP="00D04BA0">
            <w:pPr>
              <w:spacing w:after="120" w:line="240" w:lineRule="auto"/>
              <w:jc w:val="both"/>
              <w:rPr>
                <w:rFonts w:ascii="Times New Roman" w:eastAsia="Calibri" w:hAnsi="Times New Roman" w:cs="Times New Roman"/>
                <w:spacing w:val="-2"/>
              </w:rPr>
            </w:pPr>
            <w:r w:rsidRPr="00D04BA0">
              <w:rPr>
                <w:rFonts w:ascii="Times New Roman" w:eastAsia="Calibri" w:hAnsi="Times New Roman" w:cs="Times New Roman"/>
                <w:spacing w:val="-2"/>
              </w:rPr>
              <w:t>Dodatkowo wskazania wymaga, iż ciężar nadzoru sprawowanego w związku</w:t>
            </w:r>
            <w:r w:rsidRPr="00FB5E40">
              <w:rPr>
                <w:rFonts w:ascii="Times New Roman" w:eastAsia="Calibri" w:hAnsi="Times New Roman" w:cs="Times New Roman"/>
                <w:spacing w:val="-2"/>
              </w:rPr>
              <w:t xml:space="preserve"> </w:t>
            </w:r>
            <w:r w:rsidRPr="00D04BA0">
              <w:rPr>
                <w:rFonts w:ascii="Times New Roman" w:eastAsia="Calibri" w:hAnsi="Times New Roman" w:cs="Times New Roman"/>
                <w:spacing w:val="-2"/>
              </w:rPr>
              <w:t>z implementacją dyrektywy ZAFI będzie dotyczył również nowych podmiotów, które pozostawały poza właściwością Komisji Nadzoru Finansowego (podmioty działające obecnie w oparciu o inne przepisy niż ustawa o funduszach inwestycyjnych) lub których istotna część działalności była dotychczas nieuregulowana (np. towarzystwa, zwłaszcza w zakresie zarządzania funduszami aktywów niepublicznych). Zmiany wprowadzane projektem w tym zakresie są jednocześnie konsekwencją ujednolicenia obecnie istniejących przepisów w zakresie opłat na rzecz nadzorcy ze zmianami wprowadzonymi ustawą z dnia 12 czerwca 2015 r. o zmianie ustawy o nadzorze nad rynkiem kapitałowym oraz niektórych innych ustaw (Dz. U. poz. 1260). W konsekwencji na zarządzających ASI (wewnętrznie i zewnętrznie zarządzających) prowadzących działalność na podstawie zezwolenia</w:t>
            </w:r>
            <w:r w:rsidRPr="00FB5E40">
              <w:rPr>
                <w:rFonts w:ascii="Times New Roman" w:eastAsia="Calibri" w:hAnsi="Times New Roman" w:cs="Times New Roman"/>
                <w:spacing w:val="-2"/>
              </w:rPr>
              <w:t xml:space="preserve"> </w:t>
            </w:r>
            <w:r w:rsidRPr="00D04BA0">
              <w:rPr>
                <w:rFonts w:ascii="Times New Roman" w:eastAsia="Calibri" w:hAnsi="Times New Roman" w:cs="Times New Roman"/>
                <w:spacing w:val="-2"/>
              </w:rPr>
              <w:t xml:space="preserve">projekt nakłada obowiązek wnoszenia rocznej opłaty ustalanej na podstawie średniej rocznej wartości aktywów oraz stawki nieprzekraczającej 0,3%, jednak nie mniej niż równowartość w złotych 750 Euro. Ponadto, projekt przewiduje wprowadzenie w stosunku do zarządzających ASI prowadzących działalność na podstawie wpisu do rejestru obowiązek wnoszenia opłaty rocznej w wysokości równowartości w złotych 750 Euro. </w:t>
            </w:r>
          </w:p>
          <w:p w:rsidR="00D04BA0" w:rsidRPr="00D04BA0" w:rsidRDefault="00D04BA0" w:rsidP="00D04BA0">
            <w:pPr>
              <w:spacing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spacing w:val="-2"/>
              </w:rPr>
              <w:t>W celu</w:t>
            </w:r>
            <w:r w:rsidRPr="00D04BA0">
              <w:rPr>
                <w:rFonts w:ascii="Times New Roman" w:eastAsia="Calibri" w:hAnsi="Times New Roman" w:cs="Times New Roman"/>
                <w:color w:val="000000"/>
                <w:spacing w:val="-2"/>
              </w:rPr>
              <w:t xml:space="preserve"> zapewnienia efektywnego nadzoru w zakresie objętym projektowaną regulacją przewiduje się wyposażenie Urzędu Komisji Nadzoru Finansowego w 20 dodatkowych etatów. Projektodawca zakłada, iż związany ze wzrostem obowiązków nadzorczych maksymalny limit wydatków budżetu państwa na lata 2015</w:t>
            </w:r>
            <w:r w:rsidR="001D37A6" w:rsidRPr="00FB5E40">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2024, w związku z wejściem w życie projekto</w:t>
            </w:r>
            <w:r w:rsidR="00677EA3">
              <w:rPr>
                <w:rFonts w:ascii="Times New Roman" w:eastAsia="Calibri" w:hAnsi="Times New Roman" w:cs="Times New Roman"/>
                <w:color w:val="000000"/>
                <w:spacing w:val="-2"/>
              </w:rPr>
              <w:t>wanej ustawy wyniesie ok. 50,81</w:t>
            </w:r>
            <w:r w:rsidR="00D14EF5">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mln zł. Zgodnie z szacunkami UKNF koszty zwiększenia zasobu kadrowego UKNF należy oszacować na kwotę ok. 4,26 mln rocznie. Jednocześnie w związku z wprowadzanymi obowiązkami informacyjnymi krajowych organów nadzoru w stosunku do ESMA oraz wymaganiami technicznymi ESMA co do realizacji tych obowiązków, koszt zapewnienia odpowiedniej infrastruktury informatycznej przez UKNF może wynieść jednorazowo co najmniej 200</w:t>
            </w:r>
            <w:r w:rsidR="001D37A6" w:rsidRPr="00FB5E40">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 xml:space="preserve">250 tys. zł. Kwota ta została uwzględniona w kalkulacji maksymalnych wydatków UKNF w roku wejścia w życie ustawy. </w:t>
            </w:r>
          </w:p>
          <w:p w:rsidR="00D04BA0" w:rsidRPr="00D04BA0" w:rsidRDefault="00D04BA0" w:rsidP="00D04BA0">
            <w:pPr>
              <w:spacing w:before="120"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lastRenderedPageBreak/>
              <w:t xml:space="preserve">Przy przygotowaniu kalkulacji maksymalnych wydatków w kolejnych latach funkcjonowania ustawy zastosowano wskaźnik makroekonomiczny PKB </w:t>
            </w:r>
            <w:r w:rsidR="001D37A6" w:rsidRPr="00FB5E40">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 xml:space="preserve"> dynamika realna, zgodnie z wytycznymi Ministra Finansów z dnia 2 października 2014 r. dotyczącymi stosowania jednolitych wskaźników makroekonomicznych będących podstawą oszacowania skutków finansowych projektowanych ustaw. </w:t>
            </w:r>
          </w:p>
          <w:p w:rsidR="00D04BA0" w:rsidRPr="00D04BA0" w:rsidRDefault="00D04BA0" w:rsidP="00D04BA0">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W przypadku zagrożenia przekroczenia ww. limitu wydatków na dany rok budżetowy, zastosowany zostanie mechanizm korygujący polegający na:</w:t>
            </w:r>
          </w:p>
          <w:p w:rsidR="00D04BA0" w:rsidRPr="00D04BA0" w:rsidRDefault="00D04BA0" w:rsidP="00D04BA0">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1. ograniczeniu kosztów rzeczowych Urzędu KNF związanych z realizacją zadań wynikających ze sprawowania nadzoru nad rynkiem kapitałowym;</w:t>
            </w:r>
          </w:p>
          <w:p w:rsidR="00D04BA0" w:rsidRPr="00D04BA0" w:rsidRDefault="00D04BA0" w:rsidP="00677EA3">
            <w:pPr>
              <w:spacing w:after="0" w:line="240" w:lineRule="auto"/>
              <w:jc w:val="both"/>
              <w:rPr>
                <w:rFonts w:ascii="Times New Roman" w:eastAsia="Calibri" w:hAnsi="Times New Roman" w:cs="Times New Roman"/>
                <w:color w:val="000000"/>
              </w:rPr>
            </w:pPr>
            <w:r w:rsidRPr="00D04BA0">
              <w:rPr>
                <w:rFonts w:ascii="Times New Roman" w:eastAsia="Calibri" w:hAnsi="Times New Roman" w:cs="Times New Roman"/>
                <w:color w:val="000000"/>
                <w:spacing w:val="-2"/>
              </w:rPr>
              <w:t>2. racjonalizacji częstotliwości wykonywania czynności w ramach nadzoru sprawowanego przez KNF nad rynkiem kapitałowym.</w:t>
            </w:r>
          </w:p>
        </w:tc>
      </w:tr>
      <w:tr w:rsidR="00D04BA0" w:rsidRPr="00D04BA0" w:rsidTr="00C12765">
        <w:trPr>
          <w:trHeight w:val="345"/>
        </w:trPr>
        <w:tc>
          <w:tcPr>
            <w:tcW w:w="10993" w:type="dxa"/>
            <w:gridSpan w:val="25"/>
            <w:shd w:val="clear" w:color="auto" w:fill="99CCFF"/>
          </w:tcPr>
          <w:p w:rsidR="00D04BA0" w:rsidRPr="00D04BA0" w:rsidRDefault="00D04BA0" w:rsidP="00D04BA0">
            <w:pPr>
              <w:numPr>
                <w:ilvl w:val="0"/>
                <w:numId w:val="30"/>
              </w:numPr>
              <w:spacing w:before="120" w:after="120" w:line="240" w:lineRule="auto"/>
              <w:jc w:val="both"/>
              <w:rPr>
                <w:rFonts w:ascii="Times New Roman" w:eastAsia="Calibri" w:hAnsi="Times New Roman" w:cs="Times New Roman"/>
                <w:b/>
                <w:color w:val="000000"/>
                <w:spacing w:val="-2"/>
              </w:rPr>
            </w:pPr>
            <w:r w:rsidRPr="00D04BA0">
              <w:rPr>
                <w:rFonts w:ascii="Times New Roman" w:eastAsia="Calibri" w:hAnsi="Times New Roman" w:cs="Times New Roman"/>
                <w:b/>
                <w:color w:val="000000"/>
                <w:spacing w:val="-2"/>
              </w:rPr>
              <w:lastRenderedPageBreak/>
              <w:t xml:space="preserve">Wpływ na </w:t>
            </w:r>
            <w:r w:rsidRPr="00D04BA0">
              <w:rPr>
                <w:rFonts w:ascii="Times New Roman" w:eastAsia="Calibri" w:hAnsi="Times New Roman" w:cs="Times New Roman"/>
                <w:b/>
                <w:color w:val="000000"/>
              </w:rPr>
              <w:t xml:space="preserve">konkurencyjność gospodarki i przedsiębiorczość, w tym funkcjonowanie przedsiębiorców oraz na rodzinę, obywateli i gospodarstwa domowe </w:t>
            </w:r>
          </w:p>
        </w:tc>
      </w:tr>
      <w:tr w:rsidR="00D04BA0" w:rsidRPr="00D04BA0" w:rsidTr="00C12765">
        <w:trPr>
          <w:trHeight w:val="142"/>
        </w:trPr>
        <w:tc>
          <w:tcPr>
            <w:tcW w:w="10993" w:type="dxa"/>
            <w:gridSpan w:val="25"/>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pacing w:val="-2"/>
                <w:sz w:val="21"/>
                <w:szCs w:val="21"/>
              </w:rPr>
            </w:pPr>
            <w:r w:rsidRPr="00D04BA0">
              <w:rPr>
                <w:rFonts w:ascii="Times New Roman" w:eastAsia="Calibri" w:hAnsi="Times New Roman" w:cs="Times New Roman"/>
                <w:color w:val="000000"/>
                <w:spacing w:val="-2"/>
                <w:sz w:val="21"/>
                <w:szCs w:val="21"/>
              </w:rPr>
              <w:t>Skutki</w:t>
            </w:r>
          </w:p>
        </w:tc>
      </w:tr>
      <w:tr w:rsidR="00D04BA0" w:rsidRPr="00D04BA0" w:rsidTr="00C12765">
        <w:trPr>
          <w:trHeight w:val="142"/>
        </w:trPr>
        <w:tc>
          <w:tcPr>
            <w:tcW w:w="3248" w:type="dxa"/>
            <w:gridSpan w:val="5"/>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Czas w latach od wejścia w życie zmian</w:t>
            </w:r>
          </w:p>
        </w:tc>
        <w:tc>
          <w:tcPr>
            <w:tcW w:w="1126"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0</w:t>
            </w:r>
          </w:p>
        </w:tc>
        <w:tc>
          <w:tcPr>
            <w:tcW w:w="925"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1</w:t>
            </w:r>
          </w:p>
        </w:tc>
        <w:tc>
          <w:tcPr>
            <w:tcW w:w="1836" w:type="dxa"/>
            <w:gridSpan w:val="5"/>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2</w:t>
            </w:r>
          </w:p>
        </w:tc>
        <w:tc>
          <w:tcPr>
            <w:tcW w:w="859" w:type="dxa"/>
            <w:gridSpan w:val="4"/>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3</w:t>
            </w:r>
          </w:p>
        </w:tc>
        <w:tc>
          <w:tcPr>
            <w:tcW w:w="1352" w:type="dxa"/>
            <w:gridSpan w:val="3"/>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5</w:t>
            </w:r>
          </w:p>
        </w:tc>
        <w:tc>
          <w:tcPr>
            <w:tcW w:w="713"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10</w:t>
            </w:r>
          </w:p>
        </w:tc>
        <w:tc>
          <w:tcPr>
            <w:tcW w:w="934" w:type="dxa"/>
            <w:shd w:val="clear" w:color="auto" w:fill="FFFFFF"/>
          </w:tcPr>
          <w:p w:rsidR="00D04BA0" w:rsidRPr="00D04BA0" w:rsidRDefault="00D04BA0" w:rsidP="00D04BA0">
            <w:pPr>
              <w:spacing w:after="0" w:line="240" w:lineRule="auto"/>
              <w:jc w:val="center"/>
              <w:rPr>
                <w:rFonts w:ascii="Times New Roman" w:eastAsia="Calibri" w:hAnsi="Times New Roman" w:cs="Times New Roman"/>
                <w:color w:val="000000"/>
                <w:spacing w:val="-2"/>
                <w:sz w:val="21"/>
                <w:szCs w:val="21"/>
              </w:rPr>
            </w:pPr>
            <w:r w:rsidRPr="00D04BA0">
              <w:rPr>
                <w:rFonts w:ascii="Times New Roman" w:eastAsia="Calibri" w:hAnsi="Times New Roman" w:cs="Times New Roman"/>
                <w:color w:val="000000"/>
                <w:spacing w:val="-2"/>
                <w:sz w:val="21"/>
                <w:szCs w:val="21"/>
              </w:rPr>
              <w:t>Łącznie</w:t>
            </w:r>
            <w:r w:rsidRPr="00D04BA0" w:rsidDel="0073273A">
              <w:rPr>
                <w:rFonts w:ascii="Times New Roman" w:eastAsia="Calibri" w:hAnsi="Times New Roman" w:cs="Times New Roman"/>
                <w:color w:val="000000"/>
                <w:spacing w:val="-2"/>
                <w:sz w:val="21"/>
                <w:szCs w:val="21"/>
              </w:rPr>
              <w:t xml:space="preserve"> </w:t>
            </w:r>
            <w:r w:rsidRPr="00D04BA0">
              <w:rPr>
                <w:rFonts w:ascii="Times New Roman" w:eastAsia="Calibri" w:hAnsi="Times New Roman" w:cs="Times New Roman"/>
                <w:color w:val="000000"/>
                <w:spacing w:val="-2"/>
                <w:sz w:val="21"/>
                <w:szCs w:val="21"/>
              </w:rPr>
              <w:t>(0</w:t>
            </w:r>
            <w:r w:rsidR="001D37A6" w:rsidRPr="00FB5E40">
              <w:rPr>
                <w:rFonts w:ascii="Times New Roman" w:eastAsia="Calibri" w:hAnsi="Times New Roman" w:cs="Times New Roman"/>
                <w:color w:val="000000"/>
                <w:spacing w:val="-2"/>
                <w:sz w:val="21"/>
                <w:szCs w:val="21"/>
              </w:rPr>
              <w:t>–</w:t>
            </w:r>
            <w:r w:rsidRPr="00D04BA0">
              <w:rPr>
                <w:rFonts w:ascii="Times New Roman" w:eastAsia="Calibri" w:hAnsi="Times New Roman" w:cs="Times New Roman"/>
                <w:color w:val="000000"/>
                <w:spacing w:val="-2"/>
                <w:sz w:val="21"/>
                <w:szCs w:val="21"/>
              </w:rPr>
              <w:t>10)</w:t>
            </w:r>
          </w:p>
        </w:tc>
      </w:tr>
      <w:tr w:rsidR="00D04BA0" w:rsidRPr="00D04BA0" w:rsidTr="00C12765">
        <w:trPr>
          <w:trHeight w:val="142"/>
        </w:trPr>
        <w:tc>
          <w:tcPr>
            <w:tcW w:w="1791" w:type="dxa"/>
            <w:vMerge w:val="restart"/>
            <w:shd w:val="clear" w:color="auto" w:fill="FFFFFF"/>
          </w:tcPr>
          <w:p w:rsidR="00D04BA0" w:rsidRPr="00D04BA0" w:rsidRDefault="00D04BA0" w:rsidP="00D04BA0">
            <w:pPr>
              <w:spacing w:after="0"/>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W ujęciu pieniężnym</w:t>
            </w:r>
          </w:p>
          <w:p w:rsidR="00D04BA0" w:rsidRPr="00D04BA0" w:rsidRDefault="00D04BA0" w:rsidP="00D04BA0">
            <w:pPr>
              <w:spacing w:after="0"/>
              <w:rPr>
                <w:rFonts w:ascii="Times New Roman" w:eastAsia="Calibri" w:hAnsi="Times New Roman" w:cs="Times New Roman"/>
                <w:spacing w:val="-2"/>
                <w:sz w:val="21"/>
                <w:szCs w:val="21"/>
              </w:rPr>
            </w:pPr>
            <w:r w:rsidRPr="00D04BA0">
              <w:rPr>
                <w:rFonts w:ascii="Times New Roman" w:eastAsia="Calibri" w:hAnsi="Times New Roman" w:cs="Times New Roman"/>
                <w:spacing w:val="-2"/>
                <w:sz w:val="21"/>
                <w:szCs w:val="21"/>
              </w:rPr>
              <w:t xml:space="preserve">(w mln zł, </w:t>
            </w:r>
          </w:p>
          <w:p w:rsidR="00D04BA0" w:rsidRPr="00D04BA0" w:rsidRDefault="00D04BA0" w:rsidP="00BC1F88">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spacing w:val="-2"/>
                <w:sz w:val="21"/>
                <w:szCs w:val="21"/>
              </w:rPr>
              <w:t>ceny stałe z … r.)</w:t>
            </w:r>
          </w:p>
        </w:tc>
        <w:tc>
          <w:tcPr>
            <w:tcW w:w="1457" w:type="dxa"/>
            <w:gridSpan w:val="4"/>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duże przedsiębior</w:t>
            </w:r>
            <w:r w:rsidR="00820EF1">
              <w:rPr>
                <w:rFonts w:ascii="Times New Roman" w:eastAsia="Calibri" w:hAnsi="Times New Roman" w:cs="Times New Roman"/>
                <w:color w:val="000000"/>
                <w:sz w:val="21"/>
                <w:szCs w:val="21"/>
              </w:rPr>
              <w:softHyphen/>
            </w:r>
            <w:r w:rsidRPr="00D04BA0">
              <w:rPr>
                <w:rFonts w:ascii="Times New Roman" w:eastAsia="Calibri" w:hAnsi="Times New Roman" w:cs="Times New Roman"/>
                <w:color w:val="000000"/>
                <w:sz w:val="21"/>
                <w:szCs w:val="21"/>
              </w:rPr>
              <w:t>stwa</w:t>
            </w:r>
          </w:p>
        </w:tc>
        <w:tc>
          <w:tcPr>
            <w:tcW w:w="1126"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25"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836" w:type="dxa"/>
            <w:gridSpan w:val="5"/>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859" w:type="dxa"/>
            <w:gridSpan w:val="4"/>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352"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3"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34"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pacing w:val="-2"/>
                <w:sz w:val="21"/>
                <w:szCs w:val="21"/>
              </w:rPr>
            </w:pPr>
          </w:p>
        </w:tc>
      </w:tr>
      <w:tr w:rsidR="00D04BA0" w:rsidRPr="00D04BA0" w:rsidTr="00C12765">
        <w:trPr>
          <w:trHeight w:val="142"/>
        </w:trPr>
        <w:tc>
          <w:tcPr>
            <w:tcW w:w="1791" w:type="dxa"/>
            <w:vMerge/>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457" w:type="dxa"/>
            <w:gridSpan w:val="4"/>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sektor mikro-, małych i średnich przedsiębior</w:t>
            </w:r>
            <w:r w:rsidR="00820EF1">
              <w:rPr>
                <w:rFonts w:ascii="Times New Roman" w:eastAsia="Calibri" w:hAnsi="Times New Roman" w:cs="Times New Roman"/>
                <w:color w:val="000000"/>
                <w:sz w:val="21"/>
                <w:szCs w:val="21"/>
              </w:rPr>
              <w:softHyphen/>
            </w:r>
            <w:r w:rsidRPr="00D04BA0">
              <w:rPr>
                <w:rFonts w:ascii="Times New Roman" w:eastAsia="Calibri" w:hAnsi="Times New Roman" w:cs="Times New Roman"/>
                <w:color w:val="000000"/>
                <w:sz w:val="21"/>
                <w:szCs w:val="21"/>
              </w:rPr>
              <w:t>stw</w:t>
            </w:r>
          </w:p>
        </w:tc>
        <w:tc>
          <w:tcPr>
            <w:tcW w:w="1126"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25"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836" w:type="dxa"/>
            <w:gridSpan w:val="5"/>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859" w:type="dxa"/>
            <w:gridSpan w:val="4"/>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352"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3"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34"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pacing w:val="-2"/>
                <w:sz w:val="21"/>
                <w:szCs w:val="21"/>
              </w:rPr>
            </w:pPr>
          </w:p>
        </w:tc>
      </w:tr>
      <w:tr w:rsidR="00D04BA0" w:rsidRPr="00D04BA0" w:rsidTr="00C12765">
        <w:trPr>
          <w:trHeight w:val="142"/>
        </w:trPr>
        <w:tc>
          <w:tcPr>
            <w:tcW w:w="1791" w:type="dxa"/>
            <w:vMerge/>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457" w:type="dxa"/>
            <w:gridSpan w:val="4"/>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sz w:val="21"/>
                <w:szCs w:val="21"/>
              </w:rPr>
              <w:t>rodzina, obywatele oraz gospodarstwa domowe</w:t>
            </w:r>
          </w:p>
        </w:tc>
        <w:tc>
          <w:tcPr>
            <w:tcW w:w="1126"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25"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836" w:type="dxa"/>
            <w:gridSpan w:val="5"/>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859" w:type="dxa"/>
            <w:gridSpan w:val="4"/>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352"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3"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34"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pacing w:val="-2"/>
                <w:sz w:val="21"/>
                <w:szCs w:val="21"/>
              </w:rPr>
            </w:pPr>
          </w:p>
        </w:tc>
      </w:tr>
      <w:tr w:rsidR="00D04BA0" w:rsidRPr="00D04BA0" w:rsidTr="00C12765">
        <w:trPr>
          <w:trHeight w:val="142"/>
        </w:trPr>
        <w:tc>
          <w:tcPr>
            <w:tcW w:w="1791" w:type="dxa"/>
            <w:vMerge/>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457" w:type="dxa"/>
            <w:gridSpan w:val="4"/>
            <w:shd w:val="clear" w:color="auto" w:fill="FFFFFF"/>
          </w:tcPr>
          <w:p w:rsidR="00D04BA0" w:rsidRPr="00D04BA0" w:rsidRDefault="00F9251E"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00D04BA0" w:rsidRPr="00D04BA0">
              <w:rPr>
                <w:rFonts w:ascii="Times New Roman" w:eastAsia="Calibri" w:hAnsi="Times New Roman" w:cs="Times New Roman"/>
                <w:color w:val="000000"/>
                <w:sz w:val="21"/>
                <w:szCs w:val="21"/>
              </w:rPr>
              <w:instrText xml:space="preserve"> FORMTEXT </w:instrText>
            </w:r>
            <w:r w:rsidRPr="00D04BA0">
              <w:rPr>
                <w:rFonts w:ascii="Times New Roman" w:eastAsia="Calibri" w:hAnsi="Times New Roman" w:cs="Times New Roman"/>
                <w:color w:val="000000"/>
                <w:sz w:val="21"/>
                <w:szCs w:val="21"/>
              </w:rPr>
            </w:r>
            <w:r w:rsidRPr="00D04BA0">
              <w:rPr>
                <w:rFonts w:ascii="Times New Roman" w:eastAsia="Calibri" w:hAnsi="Times New Roman" w:cs="Times New Roman"/>
                <w:color w:val="000000"/>
                <w:sz w:val="21"/>
                <w:szCs w:val="21"/>
              </w:rPr>
              <w:fldChar w:fldCharType="separate"/>
            </w:r>
            <w:r w:rsidR="00D04BA0" w:rsidRPr="00D04BA0">
              <w:rPr>
                <w:rFonts w:ascii="Times New Roman" w:eastAsia="Calibri" w:hAnsi="Times New Roman" w:cs="Times New Roman"/>
                <w:noProof/>
                <w:color w:val="000000"/>
                <w:sz w:val="21"/>
                <w:szCs w:val="21"/>
              </w:rPr>
              <w:t>(dodaj/usuń)</w:t>
            </w:r>
            <w:r w:rsidRPr="00D04BA0">
              <w:rPr>
                <w:rFonts w:ascii="Times New Roman" w:eastAsia="Calibri" w:hAnsi="Times New Roman" w:cs="Times New Roman"/>
                <w:color w:val="000000"/>
                <w:sz w:val="21"/>
                <w:szCs w:val="21"/>
              </w:rPr>
              <w:fldChar w:fldCharType="end"/>
            </w:r>
          </w:p>
        </w:tc>
        <w:tc>
          <w:tcPr>
            <w:tcW w:w="1126"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25"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836" w:type="dxa"/>
            <w:gridSpan w:val="5"/>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859" w:type="dxa"/>
            <w:gridSpan w:val="4"/>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352"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713"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934"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pacing w:val="-2"/>
                <w:sz w:val="21"/>
                <w:szCs w:val="21"/>
              </w:rPr>
            </w:pPr>
          </w:p>
        </w:tc>
      </w:tr>
      <w:tr w:rsidR="00D04BA0" w:rsidRPr="00D04BA0" w:rsidTr="00C12765">
        <w:trPr>
          <w:trHeight w:val="142"/>
        </w:trPr>
        <w:tc>
          <w:tcPr>
            <w:tcW w:w="1791" w:type="dxa"/>
            <w:vMerge w:val="restart"/>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W ujęciu niepieniężnym</w:t>
            </w:r>
          </w:p>
        </w:tc>
        <w:tc>
          <w:tcPr>
            <w:tcW w:w="1457" w:type="dxa"/>
            <w:gridSpan w:val="4"/>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duże przedsiębior</w:t>
            </w:r>
            <w:r w:rsidR="00820EF1">
              <w:rPr>
                <w:rFonts w:ascii="Times New Roman" w:eastAsia="Calibri" w:hAnsi="Times New Roman" w:cs="Times New Roman"/>
                <w:color w:val="000000"/>
                <w:sz w:val="21"/>
                <w:szCs w:val="21"/>
              </w:rPr>
              <w:softHyphen/>
            </w:r>
            <w:r w:rsidRPr="00D04BA0">
              <w:rPr>
                <w:rFonts w:ascii="Times New Roman" w:eastAsia="Calibri" w:hAnsi="Times New Roman" w:cs="Times New Roman"/>
                <w:color w:val="000000"/>
                <w:sz w:val="21"/>
                <w:szCs w:val="21"/>
              </w:rPr>
              <w:t>stwa</w:t>
            </w:r>
          </w:p>
        </w:tc>
        <w:tc>
          <w:tcPr>
            <w:tcW w:w="7745" w:type="dxa"/>
            <w:gridSpan w:val="20"/>
            <w:shd w:val="clear" w:color="auto" w:fill="FFFFFF"/>
          </w:tcPr>
          <w:p w:rsidR="00D04BA0" w:rsidRPr="00D04BA0" w:rsidRDefault="00D04BA0" w:rsidP="00D04BA0">
            <w:pPr>
              <w:spacing w:after="0" w:line="240" w:lineRule="auto"/>
              <w:rPr>
                <w:rFonts w:ascii="Times New Roman" w:eastAsia="Calibri" w:hAnsi="Times New Roman" w:cs="Times New Roman"/>
                <w:color w:val="000000"/>
                <w:spacing w:val="-2"/>
                <w:sz w:val="21"/>
                <w:szCs w:val="21"/>
              </w:rPr>
            </w:pPr>
          </w:p>
        </w:tc>
      </w:tr>
      <w:tr w:rsidR="00D04BA0" w:rsidRPr="00D04BA0" w:rsidTr="00C12765">
        <w:trPr>
          <w:trHeight w:val="142"/>
        </w:trPr>
        <w:tc>
          <w:tcPr>
            <w:tcW w:w="1791" w:type="dxa"/>
            <w:vMerge/>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457" w:type="dxa"/>
            <w:gridSpan w:val="4"/>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sektor mikro-, małych i średnich przedsiębior</w:t>
            </w:r>
            <w:r w:rsidR="00820EF1">
              <w:rPr>
                <w:rFonts w:ascii="Times New Roman" w:eastAsia="Calibri" w:hAnsi="Times New Roman" w:cs="Times New Roman"/>
                <w:color w:val="000000"/>
                <w:sz w:val="21"/>
                <w:szCs w:val="21"/>
              </w:rPr>
              <w:softHyphen/>
            </w:r>
            <w:r w:rsidRPr="00D04BA0">
              <w:rPr>
                <w:rFonts w:ascii="Times New Roman" w:eastAsia="Calibri" w:hAnsi="Times New Roman" w:cs="Times New Roman"/>
                <w:color w:val="000000"/>
                <w:sz w:val="21"/>
                <w:szCs w:val="21"/>
              </w:rPr>
              <w:t>stw</w:t>
            </w:r>
          </w:p>
        </w:tc>
        <w:tc>
          <w:tcPr>
            <w:tcW w:w="7745" w:type="dxa"/>
            <w:gridSpan w:val="20"/>
            <w:shd w:val="clear" w:color="auto" w:fill="FFFFFF"/>
          </w:tcPr>
          <w:p w:rsidR="00D04BA0" w:rsidRPr="00D04BA0" w:rsidRDefault="00D04BA0" w:rsidP="00D04BA0">
            <w:pPr>
              <w:spacing w:after="0" w:line="240" w:lineRule="auto"/>
              <w:rPr>
                <w:rFonts w:ascii="Times New Roman" w:eastAsia="Calibri" w:hAnsi="Times New Roman" w:cs="Times New Roman"/>
                <w:color w:val="000000"/>
                <w:spacing w:val="-2"/>
                <w:sz w:val="21"/>
                <w:szCs w:val="21"/>
              </w:rPr>
            </w:pPr>
          </w:p>
        </w:tc>
      </w:tr>
      <w:tr w:rsidR="00D04BA0" w:rsidRPr="00D04BA0" w:rsidTr="00C12765">
        <w:trPr>
          <w:trHeight w:val="596"/>
        </w:trPr>
        <w:tc>
          <w:tcPr>
            <w:tcW w:w="1791" w:type="dxa"/>
            <w:vMerge/>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457" w:type="dxa"/>
            <w:gridSpan w:val="4"/>
            <w:shd w:val="clear" w:color="auto" w:fill="FFFFFF"/>
          </w:tcPr>
          <w:p w:rsidR="00D04BA0" w:rsidRPr="00D04BA0" w:rsidRDefault="00D04BA0" w:rsidP="00D04BA0">
            <w:pPr>
              <w:tabs>
                <w:tab w:val="right" w:pos="1936"/>
              </w:tabs>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sz w:val="21"/>
                <w:szCs w:val="21"/>
              </w:rPr>
              <w:t>rodzina, obywatele oraz gospodarstwa domowe</w:t>
            </w:r>
            <w:r w:rsidRPr="00D04BA0">
              <w:rPr>
                <w:rFonts w:ascii="Times New Roman" w:eastAsia="Calibri" w:hAnsi="Times New Roman" w:cs="Times New Roman"/>
                <w:color w:val="000000"/>
                <w:sz w:val="21"/>
                <w:szCs w:val="21"/>
              </w:rPr>
              <w:t xml:space="preserve"> </w:t>
            </w:r>
          </w:p>
        </w:tc>
        <w:tc>
          <w:tcPr>
            <w:tcW w:w="7745" w:type="dxa"/>
            <w:gridSpan w:val="20"/>
            <w:shd w:val="clear" w:color="auto" w:fill="FFFFFF"/>
          </w:tcPr>
          <w:p w:rsidR="00D04BA0" w:rsidRPr="00D04BA0" w:rsidRDefault="00D04BA0" w:rsidP="00D04BA0">
            <w:pPr>
              <w:spacing w:after="0" w:line="240" w:lineRule="auto"/>
              <w:rPr>
                <w:rFonts w:ascii="Times New Roman" w:eastAsia="Calibri" w:hAnsi="Times New Roman" w:cs="Times New Roman"/>
                <w:color w:val="000000"/>
                <w:spacing w:val="-2"/>
                <w:sz w:val="21"/>
                <w:szCs w:val="21"/>
              </w:rPr>
            </w:pPr>
          </w:p>
        </w:tc>
      </w:tr>
      <w:tr w:rsidR="00D04BA0" w:rsidRPr="00D04BA0" w:rsidTr="00C12765">
        <w:trPr>
          <w:trHeight w:val="240"/>
        </w:trPr>
        <w:tc>
          <w:tcPr>
            <w:tcW w:w="1791" w:type="dxa"/>
            <w:vMerge/>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457" w:type="dxa"/>
            <w:gridSpan w:val="4"/>
            <w:shd w:val="clear" w:color="auto" w:fill="FFFFFF"/>
          </w:tcPr>
          <w:p w:rsidR="00D04BA0" w:rsidRPr="00D04BA0" w:rsidRDefault="00F9251E" w:rsidP="00D04BA0">
            <w:pPr>
              <w:tabs>
                <w:tab w:val="right" w:pos="1936"/>
              </w:tabs>
              <w:spacing w:after="0"/>
              <w:rPr>
                <w:rFonts w:ascii="Times New Roman" w:eastAsia="Calibri" w:hAnsi="Times New Roman" w:cs="Times New Roman"/>
                <w:sz w:val="21"/>
                <w:szCs w:val="21"/>
              </w:rPr>
            </w:pPr>
            <w:r w:rsidRPr="00D04BA0">
              <w:rPr>
                <w:rFonts w:ascii="Times New Roman" w:eastAsia="Calibri" w:hAnsi="Times New Roman" w:cs="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00D04BA0" w:rsidRPr="00D04BA0">
              <w:rPr>
                <w:rFonts w:ascii="Times New Roman" w:eastAsia="Calibri" w:hAnsi="Times New Roman" w:cs="Times New Roman"/>
                <w:color w:val="000000"/>
                <w:sz w:val="21"/>
                <w:szCs w:val="21"/>
              </w:rPr>
              <w:instrText xml:space="preserve"> FORMTEXT </w:instrText>
            </w:r>
            <w:r w:rsidRPr="00D04BA0">
              <w:rPr>
                <w:rFonts w:ascii="Times New Roman" w:eastAsia="Calibri" w:hAnsi="Times New Roman" w:cs="Times New Roman"/>
                <w:color w:val="000000"/>
                <w:sz w:val="21"/>
                <w:szCs w:val="21"/>
              </w:rPr>
            </w:r>
            <w:r w:rsidRPr="00D04BA0">
              <w:rPr>
                <w:rFonts w:ascii="Times New Roman" w:eastAsia="Calibri" w:hAnsi="Times New Roman" w:cs="Times New Roman"/>
                <w:color w:val="000000"/>
                <w:sz w:val="21"/>
                <w:szCs w:val="21"/>
              </w:rPr>
              <w:fldChar w:fldCharType="separate"/>
            </w:r>
            <w:r w:rsidR="00D04BA0" w:rsidRPr="00D04BA0">
              <w:rPr>
                <w:rFonts w:ascii="Times New Roman" w:eastAsia="Calibri" w:hAnsi="Times New Roman" w:cs="Times New Roman"/>
                <w:noProof/>
                <w:color w:val="000000"/>
                <w:sz w:val="21"/>
                <w:szCs w:val="21"/>
              </w:rPr>
              <w:t>(dodaj/usuń)</w:t>
            </w:r>
            <w:r w:rsidRPr="00D04BA0">
              <w:rPr>
                <w:rFonts w:ascii="Times New Roman" w:eastAsia="Calibri" w:hAnsi="Times New Roman" w:cs="Times New Roman"/>
                <w:color w:val="000000"/>
                <w:sz w:val="21"/>
                <w:szCs w:val="21"/>
              </w:rPr>
              <w:fldChar w:fldCharType="end"/>
            </w:r>
          </w:p>
        </w:tc>
        <w:tc>
          <w:tcPr>
            <w:tcW w:w="7745" w:type="dxa"/>
            <w:gridSpan w:val="20"/>
            <w:shd w:val="clear" w:color="auto" w:fill="FFFFFF"/>
          </w:tcPr>
          <w:p w:rsidR="00D04BA0" w:rsidRPr="00D04BA0" w:rsidRDefault="00D04BA0" w:rsidP="00D04BA0">
            <w:pPr>
              <w:tabs>
                <w:tab w:val="left" w:pos="3000"/>
              </w:tabs>
              <w:spacing w:after="0"/>
              <w:rPr>
                <w:rFonts w:ascii="Times New Roman" w:eastAsia="Calibri" w:hAnsi="Times New Roman" w:cs="Times New Roman"/>
                <w:color w:val="000000"/>
                <w:spacing w:val="-2"/>
                <w:sz w:val="21"/>
                <w:szCs w:val="21"/>
              </w:rPr>
            </w:pPr>
          </w:p>
        </w:tc>
      </w:tr>
      <w:tr w:rsidR="00D04BA0" w:rsidRPr="00D04BA0" w:rsidTr="00C12765">
        <w:trPr>
          <w:trHeight w:val="142"/>
        </w:trPr>
        <w:tc>
          <w:tcPr>
            <w:tcW w:w="1791" w:type="dxa"/>
            <w:vMerge w:val="restart"/>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Niemierzalne</w:t>
            </w:r>
          </w:p>
        </w:tc>
        <w:tc>
          <w:tcPr>
            <w:tcW w:w="1457" w:type="dxa"/>
            <w:gridSpan w:val="4"/>
            <w:shd w:val="clear" w:color="auto" w:fill="FFFFFF"/>
          </w:tcPr>
          <w:p w:rsidR="00D04BA0" w:rsidRPr="00D04BA0" w:rsidRDefault="00F9251E"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00D04BA0" w:rsidRPr="00D04BA0">
              <w:rPr>
                <w:rFonts w:ascii="Times New Roman" w:eastAsia="Calibri" w:hAnsi="Times New Roman" w:cs="Times New Roman"/>
                <w:color w:val="000000"/>
                <w:sz w:val="21"/>
                <w:szCs w:val="21"/>
              </w:rPr>
              <w:instrText xml:space="preserve"> FORMTEXT </w:instrText>
            </w:r>
            <w:r w:rsidRPr="00D04BA0">
              <w:rPr>
                <w:rFonts w:ascii="Times New Roman" w:eastAsia="Calibri" w:hAnsi="Times New Roman" w:cs="Times New Roman"/>
                <w:color w:val="000000"/>
                <w:sz w:val="21"/>
                <w:szCs w:val="21"/>
              </w:rPr>
            </w:r>
            <w:r w:rsidRPr="00D04BA0">
              <w:rPr>
                <w:rFonts w:ascii="Times New Roman" w:eastAsia="Calibri" w:hAnsi="Times New Roman" w:cs="Times New Roman"/>
                <w:color w:val="000000"/>
                <w:sz w:val="21"/>
                <w:szCs w:val="21"/>
              </w:rPr>
              <w:fldChar w:fldCharType="separate"/>
            </w:r>
            <w:r w:rsidR="00D04BA0" w:rsidRPr="00D04BA0">
              <w:rPr>
                <w:rFonts w:ascii="Times New Roman" w:eastAsia="Calibri" w:hAnsi="Times New Roman" w:cs="Times New Roman"/>
                <w:noProof/>
                <w:color w:val="000000"/>
                <w:sz w:val="21"/>
                <w:szCs w:val="21"/>
              </w:rPr>
              <w:t>(dodaj/usuń)</w:t>
            </w:r>
            <w:r w:rsidRPr="00D04BA0">
              <w:rPr>
                <w:rFonts w:ascii="Times New Roman" w:eastAsia="Calibri" w:hAnsi="Times New Roman" w:cs="Times New Roman"/>
                <w:color w:val="000000"/>
                <w:sz w:val="21"/>
                <w:szCs w:val="21"/>
              </w:rPr>
              <w:fldChar w:fldCharType="end"/>
            </w:r>
          </w:p>
        </w:tc>
        <w:tc>
          <w:tcPr>
            <w:tcW w:w="7745" w:type="dxa"/>
            <w:gridSpan w:val="20"/>
            <w:shd w:val="clear" w:color="auto" w:fill="FFFFFF"/>
          </w:tcPr>
          <w:p w:rsidR="00D04BA0" w:rsidRPr="00D04BA0" w:rsidRDefault="00D04BA0" w:rsidP="00D04BA0">
            <w:pPr>
              <w:spacing w:after="0" w:line="240" w:lineRule="auto"/>
              <w:rPr>
                <w:rFonts w:ascii="Times New Roman" w:eastAsia="Calibri" w:hAnsi="Times New Roman" w:cs="Times New Roman"/>
                <w:color w:val="000000"/>
                <w:spacing w:val="-2"/>
                <w:sz w:val="21"/>
                <w:szCs w:val="21"/>
              </w:rPr>
            </w:pPr>
          </w:p>
        </w:tc>
      </w:tr>
      <w:tr w:rsidR="00D04BA0" w:rsidRPr="00D04BA0" w:rsidTr="00C12765">
        <w:trPr>
          <w:trHeight w:val="142"/>
        </w:trPr>
        <w:tc>
          <w:tcPr>
            <w:tcW w:w="1791" w:type="dxa"/>
            <w:vMerge/>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p>
        </w:tc>
        <w:tc>
          <w:tcPr>
            <w:tcW w:w="1457" w:type="dxa"/>
            <w:gridSpan w:val="4"/>
            <w:shd w:val="clear" w:color="auto" w:fill="FFFFFF"/>
          </w:tcPr>
          <w:p w:rsidR="00D04BA0" w:rsidRPr="00D04BA0" w:rsidRDefault="00F9251E"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00D04BA0" w:rsidRPr="00D04BA0">
              <w:rPr>
                <w:rFonts w:ascii="Times New Roman" w:eastAsia="Calibri" w:hAnsi="Times New Roman" w:cs="Times New Roman"/>
                <w:color w:val="000000"/>
                <w:sz w:val="21"/>
                <w:szCs w:val="21"/>
              </w:rPr>
              <w:instrText xml:space="preserve"> FORMTEXT </w:instrText>
            </w:r>
            <w:r w:rsidRPr="00D04BA0">
              <w:rPr>
                <w:rFonts w:ascii="Times New Roman" w:eastAsia="Calibri" w:hAnsi="Times New Roman" w:cs="Times New Roman"/>
                <w:color w:val="000000"/>
                <w:sz w:val="21"/>
                <w:szCs w:val="21"/>
              </w:rPr>
            </w:r>
            <w:r w:rsidRPr="00D04BA0">
              <w:rPr>
                <w:rFonts w:ascii="Times New Roman" w:eastAsia="Calibri" w:hAnsi="Times New Roman" w:cs="Times New Roman"/>
                <w:color w:val="000000"/>
                <w:sz w:val="21"/>
                <w:szCs w:val="21"/>
              </w:rPr>
              <w:fldChar w:fldCharType="separate"/>
            </w:r>
            <w:r w:rsidR="00D04BA0" w:rsidRPr="00D04BA0">
              <w:rPr>
                <w:rFonts w:ascii="Times New Roman" w:eastAsia="Calibri" w:hAnsi="Times New Roman" w:cs="Times New Roman"/>
                <w:noProof/>
                <w:color w:val="000000"/>
                <w:sz w:val="21"/>
                <w:szCs w:val="21"/>
              </w:rPr>
              <w:t>(dodaj/usuń)</w:t>
            </w:r>
            <w:r w:rsidRPr="00D04BA0">
              <w:rPr>
                <w:rFonts w:ascii="Times New Roman" w:eastAsia="Calibri" w:hAnsi="Times New Roman" w:cs="Times New Roman"/>
                <w:color w:val="000000"/>
                <w:sz w:val="21"/>
                <w:szCs w:val="21"/>
              </w:rPr>
              <w:fldChar w:fldCharType="end"/>
            </w:r>
          </w:p>
        </w:tc>
        <w:tc>
          <w:tcPr>
            <w:tcW w:w="7745" w:type="dxa"/>
            <w:gridSpan w:val="20"/>
            <w:shd w:val="clear" w:color="auto" w:fill="FFFFFF"/>
          </w:tcPr>
          <w:p w:rsidR="00D04BA0" w:rsidRPr="00D04BA0" w:rsidRDefault="00D04BA0" w:rsidP="00D04BA0">
            <w:pPr>
              <w:spacing w:after="0" w:line="240" w:lineRule="auto"/>
              <w:rPr>
                <w:rFonts w:ascii="Times New Roman" w:eastAsia="Calibri" w:hAnsi="Times New Roman" w:cs="Times New Roman"/>
                <w:color w:val="000000"/>
                <w:spacing w:val="-2"/>
                <w:sz w:val="21"/>
                <w:szCs w:val="21"/>
              </w:rPr>
            </w:pPr>
          </w:p>
        </w:tc>
      </w:tr>
      <w:tr w:rsidR="00D04BA0" w:rsidRPr="00D04BA0" w:rsidTr="00C12765">
        <w:tc>
          <w:tcPr>
            <w:tcW w:w="1791" w:type="dxa"/>
            <w:shd w:val="clear" w:color="auto" w:fill="FFFFFF"/>
          </w:tcPr>
          <w:p w:rsidR="00D04BA0" w:rsidRPr="00D04BA0" w:rsidRDefault="00D04BA0" w:rsidP="00D04BA0">
            <w:pPr>
              <w:spacing w:after="0" w:line="240" w:lineRule="auto"/>
              <w:rPr>
                <w:rFonts w:ascii="Times New Roman" w:eastAsia="Calibri" w:hAnsi="Times New Roman" w:cs="Times New Roman"/>
                <w:color w:val="000000"/>
                <w:sz w:val="21"/>
                <w:szCs w:val="21"/>
              </w:rPr>
            </w:pPr>
            <w:r w:rsidRPr="00D04BA0">
              <w:rPr>
                <w:rFonts w:ascii="Times New Roman" w:eastAsia="Calibri" w:hAnsi="Times New Roman" w:cs="Times New Roman"/>
                <w:color w:val="000000"/>
                <w:sz w:val="21"/>
                <w:szCs w:val="21"/>
              </w:rPr>
              <w:t xml:space="preserve">Dodatkowe informacje, w tym wskazanie źródeł danych i przyjętych do obliczeń założeń </w:t>
            </w:r>
          </w:p>
        </w:tc>
        <w:tc>
          <w:tcPr>
            <w:tcW w:w="9202" w:type="dxa"/>
            <w:gridSpan w:val="24"/>
            <w:shd w:val="clear" w:color="auto" w:fill="FFFFFF"/>
            <w:vAlign w:val="center"/>
          </w:tcPr>
          <w:p w:rsidR="00D04BA0" w:rsidRPr="00D04BA0" w:rsidRDefault="00D04BA0" w:rsidP="00D04BA0">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Projektowane zmiany ustawy zakładają osiągnięcie zwiększenia skuteczności działania funduszy inwestycyjnych zarówno na krajowym, jak i europejskim rynku usług finansowych. Rozwiązania przyjęte w projekcie ustawy będą sprzyjać uporządkowaniu krajowego rynku funduszy inwestycyjnych, kreując jednolite zasady prowadzenia działalności zbierania kapitału w celu jego wspólnego inwestowania, a zarazem nie ingerują w istotny sposób w wypracowane dotychczas w tym zakresie rozwiązania krajowe, co do sposobu prowadzenia takiej działalności.</w:t>
            </w:r>
          </w:p>
          <w:p w:rsidR="00D04BA0" w:rsidRPr="00D04BA0" w:rsidRDefault="00D04BA0" w:rsidP="00D04BA0">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Z uwagi na fakt, iż projektowane przepisy regulują, co do zasady działalność zbiorowego inwestowania inwestorów instytucjonalnych, wejście w życie tych regulacji nie powinno mieć wpływu na kwestie społeczne. Odnotowania wymaga jednak, iż projektowana regulacja zakłada wprowadzenie odpowiednich wymogów względem ZAFI przejmujących kontrolę nad spółkami, co powinno skutkować zwiększeniem przejrzystości celów inwestycyjnych funduszy AFI, a w konsekwencji korzystnie wpłynąć na sektor MŚP korzystających z zasilania kapitałowego funduszy venture capital/private equity. </w:t>
            </w:r>
          </w:p>
          <w:p w:rsidR="00D04BA0" w:rsidRPr="00D04BA0" w:rsidRDefault="00D04BA0" w:rsidP="00D04BA0">
            <w:pPr>
              <w:spacing w:after="0" w:line="240" w:lineRule="auto"/>
              <w:jc w:val="both"/>
              <w:rPr>
                <w:rFonts w:ascii="Times New Roman" w:eastAsia="Calibri" w:hAnsi="Times New Roman" w:cs="Times New Roman"/>
                <w:color w:val="000000"/>
                <w:sz w:val="21"/>
                <w:szCs w:val="21"/>
              </w:rPr>
            </w:pPr>
            <w:r w:rsidRPr="00D04BA0">
              <w:rPr>
                <w:rFonts w:ascii="Times New Roman" w:eastAsia="Calibri" w:hAnsi="Times New Roman" w:cs="Times New Roman"/>
                <w:color w:val="000000"/>
                <w:spacing w:val="-2"/>
              </w:rPr>
              <w:lastRenderedPageBreak/>
              <w:t xml:space="preserve">Ponadto, wprowadzenie jednolitego paszportu dla funduszy AFI z jednej strony wpłynie na urozmaicenie produktów inwestycyjnych oferowanych na rynku krajowym, z drugiej natomiast, umożliwi krajowym AFI zbieranie kapitału w innych państwach członkowskich. </w:t>
            </w:r>
          </w:p>
        </w:tc>
      </w:tr>
      <w:tr w:rsidR="00D04BA0" w:rsidRPr="00D04BA0" w:rsidTr="00C12765">
        <w:trPr>
          <w:trHeight w:val="342"/>
        </w:trPr>
        <w:tc>
          <w:tcPr>
            <w:tcW w:w="10993" w:type="dxa"/>
            <w:gridSpan w:val="25"/>
            <w:shd w:val="clear" w:color="auto" w:fill="99CCFF"/>
            <w:vAlign w:val="center"/>
          </w:tcPr>
          <w:p w:rsidR="00D04BA0" w:rsidRPr="00D04BA0" w:rsidRDefault="00D04BA0" w:rsidP="00D04BA0">
            <w:pPr>
              <w:numPr>
                <w:ilvl w:val="0"/>
                <w:numId w:val="30"/>
              </w:numPr>
              <w:spacing w:before="60" w:after="60" w:line="240" w:lineRule="auto"/>
              <w:ind w:left="318" w:hanging="284"/>
              <w:jc w:val="both"/>
              <w:rPr>
                <w:rFonts w:ascii="Times New Roman" w:eastAsia="Calibri" w:hAnsi="Times New Roman" w:cs="Times New Roman"/>
                <w:b/>
                <w:color w:val="000000"/>
              </w:rPr>
            </w:pPr>
            <w:r w:rsidRPr="00D04BA0">
              <w:rPr>
                <w:rFonts w:ascii="Times New Roman" w:eastAsia="Calibri" w:hAnsi="Times New Roman" w:cs="Times New Roman"/>
                <w:b/>
                <w:color w:val="000000"/>
              </w:rPr>
              <w:lastRenderedPageBreak/>
              <w:t xml:space="preserve"> Zmiana obciążeń regulacyjnych (w tym obowiązków informacyjnych) wynikających z projektu</w:t>
            </w:r>
          </w:p>
        </w:tc>
      </w:tr>
      <w:tr w:rsidR="00D04BA0" w:rsidRPr="00D04BA0" w:rsidTr="00C12765">
        <w:trPr>
          <w:trHeight w:val="151"/>
        </w:trPr>
        <w:tc>
          <w:tcPr>
            <w:tcW w:w="10993" w:type="dxa"/>
            <w:gridSpan w:val="25"/>
            <w:shd w:val="clear" w:color="auto" w:fill="FFFFFF"/>
          </w:tcPr>
          <w:p w:rsidR="00D04BA0" w:rsidRPr="00D04BA0" w:rsidRDefault="00F9251E"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b/>
                <w:color w:val="000000"/>
              </w:rPr>
              <w:fldChar w:fldCharType="begin">
                <w:ffData>
                  <w:name w:val=""/>
                  <w:enabled/>
                  <w:calcOnExit w:val="0"/>
                  <w:checkBox>
                    <w:sizeAuto/>
                    <w:default w:val="0"/>
                  </w:checkBox>
                </w:ffData>
              </w:fldChar>
            </w:r>
            <w:r w:rsidR="00D04BA0" w:rsidRPr="00D04BA0">
              <w:rPr>
                <w:rFonts w:ascii="Times New Roman" w:eastAsia="Calibri" w:hAnsi="Times New Roman" w:cs="Times New Roman"/>
                <w:b/>
                <w:color w:val="000000"/>
              </w:rPr>
              <w:instrText xml:space="preserve"> FORMCHECKBOX </w:instrText>
            </w:r>
            <w:r w:rsidR="0049390E">
              <w:rPr>
                <w:rFonts w:ascii="Times New Roman" w:eastAsia="Calibri" w:hAnsi="Times New Roman" w:cs="Times New Roman"/>
                <w:b/>
                <w:color w:val="000000"/>
              </w:rPr>
            </w:r>
            <w:r w:rsidR="0049390E">
              <w:rPr>
                <w:rFonts w:ascii="Times New Roman" w:eastAsia="Calibri" w:hAnsi="Times New Roman" w:cs="Times New Roman"/>
                <w:b/>
                <w:color w:val="000000"/>
              </w:rPr>
              <w:fldChar w:fldCharType="separate"/>
            </w:r>
            <w:r w:rsidRPr="00D04BA0">
              <w:rPr>
                <w:rFonts w:ascii="Times New Roman" w:eastAsia="Calibri" w:hAnsi="Times New Roman" w:cs="Times New Roman"/>
                <w:b/>
                <w:color w:val="000000"/>
              </w:rPr>
              <w:fldChar w:fldCharType="end"/>
            </w:r>
            <w:r w:rsidR="00D04BA0" w:rsidRPr="00FB5E40">
              <w:rPr>
                <w:rFonts w:ascii="Times New Roman" w:eastAsia="Calibri" w:hAnsi="Times New Roman" w:cs="Times New Roman"/>
                <w:b/>
                <w:color w:val="000000"/>
              </w:rPr>
              <w:t xml:space="preserve"> </w:t>
            </w:r>
            <w:r w:rsidR="00D04BA0" w:rsidRPr="00D04BA0">
              <w:rPr>
                <w:rFonts w:ascii="Times New Roman" w:eastAsia="Calibri" w:hAnsi="Times New Roman" w:cs="Times New Roman"/>
                <w:color w:val="000000"/>
                <w:spacing w:val="-2"/>
              </w:rPr>
              <w:t>nie dotyczy</w:t>
            </w:r>
          </w:p>
        </w:tc>
      </w:tr>
      <w:tr w:rsidR="00D04BA0" w:rsidRPr="00D04BA0" w:rsidTr="00C12765">
        <w:trPr>
          <w:trHeight w:val="946"/>
        </w:trPr>
        <w:tc>
          <w:tcPr>
            <w:tcW w:w="4989" w:type="dxa"/>
            <w:gridSpan w:val="9"/>
            <w:shd w:val="clear" w:color="auto" w:fill="FFFFFF"/>
          </w:tcPr>
          <w:p w:rsidR="00D04BA0" w:rsidRPr="00D04BA0" w:rsidRDefault="00D04BA0" w:rsidP="00D04BA0">
            <w:pPr>
              <w:spacing w:after="0"/>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Wprowadzane są obciążenia poza bezwzględnie wymaganymi przez UE </w:t>
            </w:r>
            <w:r w:rsidRPr="00D04BA0">
              <w:rPr>
                <w:rFonts w:ascii="Times New Roman" w:eastAsia="Calibri" w:hAnsi="Times New Roman" w:cs="Times New Roman"/>
                <w:color w:val="000000"/>
              </w:rPr>
              <w:t>(szczegóły w odwróconej tabeli zgodności).</w:t>
            </w:r>
          </w:p>
        </w:tc>
        <w:tc>
          <w:tcPr>
            <w:tcW w:w="6004" w:type="dxa"/>
            <w:gridSpan w:val="16"/>
            <w:shd w:val="clear" w:color="auto" w:fill="FFFFFF"/>
          </w:tcPr>
          <w:p w:rsidR="00D04BA0" w:rsidRPr="00D04BA0" w:rsidRDefault="00F9251E"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rPr>
              <w:t xml:space="preserve"> tak</w:t>
            </w:r>
          </w:p>
          <w:p w:rsidR="00D04BA0" w:rsidRPr="00D04BA0" w:rsidRDefault="00F9251E"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fldChar w:fldCharType="begin">
                <w:ffData>
                  <w:name w:val=""/>
                  <w:enabled/>
                  <w:calcOnExit w:val="0"/>
                  <w:checkBox>
                    <w:sizeAuto/>
                    <w:default w:val="1"/>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rPr>
              <w:t xml:space="preserve"> nie</w:t>
            </w:r>
          </w:p>
          <w:p w:rsidR="00D04BA0" w:rsidRPr="00D04BA0" w:rsidRDefault="00F9251E" w:rsidP="00D04BA0">
            <w:pPr>
              <w:spacing w:after="0"/>
              <w:rPr>
                <w:rFonts w:ascii="Times New Roman" w:eastAsia="Calibri" w:hAnsi="Times New Roman" w:cs="Times New Roman"/>
                <w:color w:val="000000"/>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rPr>
              <w:t xml:space="preserve"> nie dotyczy</w:t>
            </w:r>
          </w:p>
        </w:tc>
      </w:tr>
      <w:tr w:rsidR="00D04BA0" w:rsidRPr="00D04BA0" w:rsidTr="00C12765">
        <w:trPr>
          <w:trHeight w:val="1245"/>
        </w:trPr>
        <w:tc>
          <w:tcPr>
            <w:tcW w:w="4989" w:type="dxa"/>
            <w:gridSpan w:val="9"/>
            <w:shd w:val="clear" w:color="auto" w:fill="FFFFFF"/>
          </w:tcPr>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 xml:space="preserve">zmniejszenie liczby dokumentów </w:t>
            </w:r>
          </w:p>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zmniejszenie liczby procedur</w:t>
            </w:r>
          </w:p>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skrócenie czasu na załatwienie sprawy</w:t>
            </w:r>
          </w:p>
          <w:p w:rsidR="00D04BA0" w:rsidRPr="00D04BA0" w:rsidRDefault="00F9251E" w:rsidP="00D04BA0">
            <w:pPr>
              <w:spacing w:after="0"/>
              <w:rPr>
                <w:rFonts w:ascii="Times New Roman" w:eastAsia="Calibri" w:hAnsi="Times New Roman" w:cs="Times New Roman"/>
                <w:b/>
                <w:color w:val="000000"/>
                <w:spacing w:val="-2"/>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inne:</w:t>
            </w:r>
            <w:r w:rsidR="00D04BA0" w:rsidRPr="00D04BA0">
              <w:rPr>
                <w:rFonts w:ascii="Times New Roman" w:eastAsia="Calibri" w:hAnsi="Times New Roman" w:cs="Times New Roman"/>
                <w:color w:val="000000"/>
              </w:rPr>
              <w:t xml:space="preserve"> </w:t>
            </w:r>
            <w:r w:rsidRPr="00D04BA0">
              <w:rPr>
                <w:rFonts w:ascii="Times New Roman" w:eastAsia="Calibri" w:hAnsi="Times New Roman" w:cs="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00D04BA0" w:rsidRPr="00D04BA0">
              <w:rPr>
                <w:rFonts w:ascii="Times New Roman" w:eastAsia="Calibri" w:hAnsi="Times New Roman" w:cs="Times New Roman"/>
                <w:color w:val="000000"/>
              </w:rPr>
              <w:instrText xml:space="preserve"> FORMTEXT </w:instrText>
            </w:r>
            <w:r w:rsidRPr="00D04BA0">
              <w:rPr>
                <w:rFonts w:ascii="Times New Roman" w:eastAsia="Calibri" w:hAnsi="Times New Roman" w:cs="Times New Roman"/>
                <w:color w:val="000000"/>
              </w:rPr>
            </w:r>
            <w:r w:rsidRPr="00D04BA0">
              <w:rPr>
                <w:rFonts w:ascii="Times New Roman" w:eastAsia="Calibri" w:hAnsi="Times New Roman" w:cs="Times New Roman"/>
                <w:color w:val="000000"/>
              </w:rPr>
              <w:fldChar w:fldCharType="separate"/>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Pr="00D04BA0">
              <w:rPr>
                <w:rFonts w:ascii="Times New Roman" w:eastAsia="Calibri" w:hAnsi="Times New Roman" w:cs="Times New Roman"/>
                <w:color w:val="000000"/>
              </w:rPr>
              <w:fldChar w:fldCharType="end"/>
            </w:r>
          </w:p>
        </w:tc>
        <w:tc>
          <w:tcPr>
            <w:tcW w:w="6004" w:type="dxa"/>
            <w:gridSpan w:val="16"/>
            <w:shd w:val="clear" w:color="auto" w:fill="FFFFFF"/>
          </w:tcPr>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
                  <w:enabled/>
                  <w:calcOnExit w:val="0"/>
                  <w:checkBox>
                    <w:sizeAuto/>
                    <w:default w:val="1"/>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zwiększenie liczby dokumentów</w:t>
            </w:r>
          </w:p>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
                  <w:enabled/>
                  <w:calcOnExit w:val="0"/>
                  <w:checkBox>
                    <w:sizeAuto/>
                    <w:default w:val="1"/>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zwiększenie liczby procedur</w:t>
            </w:r>
          </w:p>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wydłużenie czasu na załatwienie sprawy</w:t>
            </w:r>
          </w:p>
          <w:p w:rsidR="00D04BA0" w:rsidRPr="00D04BA0" w:rsidRDefault="00F9251E"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inne:</w:t>
            </w:r>
            <w:r w:rsidR="00D04BA0" w:rsidRPr="00D04BA0">
              <w:rPr>
                <w:rFonts w:ascii="Times New Roman" w:eastAsia="Calibri" w:hAnsi="Times New Roman" w:cs="Times New Roman"/>
                <w:color w:val="000000"/>
              </w:rPr>
              <w:t xml:space="preserve"> </w:t>
            </w:r>
            <w:r w:rsidRPr="00D04BA0">
              <w:rPr>
                <w:rFonts w:ascii="Times New Roman" w:eastAsia="Calibri" w:hAnsi="Times New Roman" w:cs="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00D04BA0" w:rsidRPr="00D04BA0">
              <w:rPr>
                <w:rFonts w:ascii="Times New Roman" w:eastAsia="Calibri" w:hAnsi="Times New Roman" w:cs="Times New Roman"/>
                <w:color w:val="000000"/>
              </w:rPr>
              <w:instrText xml:space="preserve"> FORMTEXT </w:instrText>
            </w:r>
            <w:r w:rsidRPr="00D04BA0">
              <w:rPr>
                <w:rFonts w:ascii="Times New Roman" w:eastAsia="Calibri" w:hAnsi="Times New Roman" w:cs="Times New Roman"/>
                <w:color w:val="000000"/>
              </w:rPr>
            </w:r>
            <w:r w:rsidRPr="00D04BA0">
              <w:rPr>
                <w:rFonts w:ascii="Times New Roman" w:eastAsia="Calibri" w:hAnsi="Times New Roman" w:cs="Times New Roman"/>
                <w:color w:val="000000"/>
              </w:rPr>
              <w:fldChar w:fldCharType="separate"/>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Pr="00D04BA0">
              <w:rPr>
                <w:rFonts w:ascii="Times New Roman" w:eastAsia="Calibri" w:hAnsi="Times New Roman" w:cs="Times New Roman"/>
                <w:color w:val="000000"/>
              </w:rPr>
              <w:fldChar w:fldCharType="end"/>
            </w:r>
          </w:p>
          <w:p w:rsidR="00D04BA0" w:rsidRPr="00D04BA0" w:rsidRDefault="00D04BA0" w:rsidP="00D04BA0">
            <w:pPr>
              <w:spacing w:after="0" w:line="240" w:lineRule="auto"/>
              <w:rPr>
                <w:rFonts w:ascii="Times New Roman" w:eastAsia="Calibri" w:hAnsi="Times New Roman" w:cs="Times New Roman"/>
                <w:color w:val="000000"/>
              </w:rPr>
            </w:pPr>
          </w:p>
        </w:tc>
      </w:tr>
      <w:tr w:rsidR="00D04BA0" w:rsidRPr="00D04BA0" w:rsidTr="00C12765">
        <w:trPr>
          <w:trHeight w:val="870"/>
        </w:trPr>
        <w:tc>
          <w:tcPr>
            <w:tcW w:w="4989" w:type="dxa"/>
            <w:gridSpan w:val="9"/>
            <w:shd w:val="clear" w:color="auto" w:fill="FFFFFF"/>
          </w:tcPr>
          <w:p w:rsidR="00D04BA0" w:rsidRPr="00D04BA0" w:rsidRDefault="00D04BA0"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spacing w:val="-2"/>
              </w:rPr>
              <w:t xml:space="preserve">Wprowadzane obciążenia są przystosowane do ich elektronizacji. </w:t>
            </w:r>
          </w:p>
        </w:tc>
        <w:tc>
          <w:tcPr>
            <w:tcW w:w="6004" w:type="dxa"/>
            <w:gridSpan w:val="16"/>
            <w:shd w:val="clear" w:color="auto" w:fill="FFFFFF"/>
          </w:tcPr>
          <w:p w:rsidR="00D04BA0" w:rsidRPr="00D04BA0" w:rsidRDefault="00F9251E"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rPr>
              <w:t xml:space="preserve"> tak</w:t>
            </w:r>
          </w:p>
          <w:p w:rsidR="00D04BA0" w:rsidRPr="00D04BA0" w:rsidRDefault="00F9251E"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rPr>
              <w:t xml:space="preserve"> nie</w:t>
            </w:r>
          </w:p>
          <w:p w:rsidR="00D04BA0" w:rsidRPr="00D04BA0" w:rsidRDefault="00F9251E"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rPr>
              <w:t xml:space="preserve"> nie dotyczy</w:t>
            </w:r>
          </w:p>
          <w:p w:rsidR="00D04BA0" w:rsidRPr="00D04BA0" w:rsidRDefault="00D04BA0" w:rsidP="00D04BA0">
            <w:pPr>
              <w:spacing w:after="0" w:line="240" w:lineRule="auto"/>
              <w:rPr>
                <w:rFonts w:ascii="Times New Roman" w:eastAsia="Calibri" w:hAnsi="Times New Roman" w:cs="Times New Roman"/>
                <w:color w:val="000000"/>
              </w:rPr>
            </w:pPr>
          </w:p>
        </w:tc>
      </w:tr>
      <w:tr w:rsidR="00D04BA0" w:rsidRPr="00D04BA0" w:rsidTr="00C12765">
        <w:trPr>
          <w:trHeight w:val="630"/>
        </w:trPr>
        <w:tc>
          <w:tcPr>
            <w:tcW w:w="10993" w:type="dxa"/>
            <w:gridSpan w:val="25"/>
            <w:shd w:val="clear" w:color="auto" w:fill="FFFFFF"/>
          </w:tcPr>
          <w:p w:rsidR="00D04BA0" w:rsidRPr="00D04BA0" w:rsidRDefault="00D04BA0" w:rsidP="00BC1F88">
            <w:pPr>
              <w:spacing w:after="0" w:line="240" w:lineRule="auto"/>
              <w:jc w:val="both"/>
              <w:rPr>
                <w:rFonts w:ascii="Times New Roman" w:eastAsia="Calibri" w:hAnsi="Times New Roman" w:cs="Times New Roman"/>
                <w:color w:val="000000"/>
              </w:rPr>
            </w:pPr>
            <w:r w:rsidRPr="00D04BA0">
              <w:rPr>
                <w:rFonts w:ascii="Times New Roman" w:eastAsia="Calibri" w:hAnsi="Times New Roman" w:cs="Times New Roman"/>
              </w:rPr>
              <w:t>Komentarz: dodatkowe obciążenia regulacyjne polegać będą na potrzebie weryfikacji wydanych dotychczas zezwoleń dla towarzystw funduszy inwestycyjnych. Ponadto spółki prowadzące działalność ZAFI, których wartość aktywów przekroczy określony w dyrektywie próg, zobowiązane będą do uzyskania zezwolenia, zaś te poniżej progu będą zobowiązane do zarejestrowania prowadzonej działalności w UKNF. Wiązać się to będzie ze zwiększeniem liczby dokumentów, procedur i kosztów, niemniej jednak jest to konieczne z uwagi na cele leżącej u podstaw projektowanej regulacji.</w:t>
            </w:r>
          </w:p>
        </w:tc>
      </w:tr>
      <w:tr w:rsidR="00D04BA0" w:rsidRPr="00D04BA0" w:rsidTr="00C12765">
        <w:trPr>
          <w:trHeight w:val="142"/>
        </w:trPr>
        <w:tc>
          <w:tcPr>
            <w:tcW w:w="10993" w:type="dxa"/>
            <w:gridSpan w:val="25"/>
            <w:shd w:val="clear" w:color="auto" w:fill="99CCFF"/>
          </w:tcPr>
          <w:p w:rsidR="00D04BA0" w:rsidRPr="00D04BA0" w:rsidRDefault="00D04BA0" w:rsidP="00D04BA0">
            <w:pPr>
              <w:numPr>
                <w:ilvl w:val="0"/>
                <w:numId w:val="30"/>
              </w:numPr>
              <w:spacing w:before="60" w:after="60" w:line="240" w:lineRule="auto"/>
              <w:jc w:val="both"/>
              <w:rPr>
                <w:rFonts w:ascii="Times New Roman" w:eastAsia="Calibri" w:hAnsi="Times New Roman" w:cs="Times New Roman"/>
                <w:b/>
                <w:color w:val="000000"/>
              </w:rPr>
            </w:pPr>
            <w:r w:rsidRPr="00D04BA0">
              <w:rPr>
                <w:rFonts w:ascii="Times New Roman" w:eastAsia="Calibri" w:hAnsi="Times New Roman" w:cs="Times New Roman"/>
                <w:b/>
                <w:color w:val="000000"/>
              </w:rPr>
              <w:t xml:space="preserve">Wpływ na rynek pracy </w:t>
            </w:r>
          </w:p>
        </w:tc>
      </w:tr>
      <w:tr w:rsidR="00D04BA0" w:rsidRPr="00D04BA0" w:rsidTr="00C12765">
        <w:trPr>
          <w:trHeight w:val="142"/>
        </w:trPr>
        <w:tc>
          <w:tcPr>
            <w:tcW w:w="10993" w:type="dxa"/>
            <w:gridSpan w:val="25"/>
            <w:shd w:val="clear" w:color="auto" w:fill="auto"/>
          </w:tcPr>
          <w:p w:rsidR="00D04BA0" w:rsidRPr="00D04BA0" w:rsidRDefault="00D04BA0" w:rsidP="004F78B1">
            <w:pPr>
              <w:spacing w:before="120" w:after="120" w:line="240" w:lineRule="auto"/>
              <w:jc w:val="both"/>
              <w:rPr>
                <w:rFonts w:ascii="Times New Roman" w:eastAsia="Calibri" w:hAnsi="Times New Roman" w:cs="Times New Roman"/>
                <w:color w:val="000000"/>
              </w:rPr>
            </w:pPr>
            <w:r w:rsidRPr="00D04BA0">
              <w:rPr>
                <w:rFonts w:ascii="Times New Roman" w:eastAsia="Calibri" w:hAnsi="Times New Roman" w:cs="Times New Roman"/>
                <w:color w:val="000000"/>
              </w:rPr>
              <w:t>Brak wpływu.</w:t>
            </w:r>
          </w:p>
        </w:tc>
      </w:tr>
      <w:tr w:rsidR="00D04BA0" w:rsidRPr="00D04BA0" w:rsidTr="00C12765">
        <w:trPr>
          <w:trHeight w:val="142"/>
        </w:trPr>
        <w:tc>
          <w:tcPr>
            <w:tcW w:w="10993" w:type="dxa"/>
            <w:gridSpan w:val="25"/>
            <w:shd w:val="clear" w:color="auto" w:fill="99CCFF"/>
          </w:tcPr>
          <w:p w:rsidR="00D04BA0" w:rsidRPr="00D04BA0" w:rsidRDefault="00D04BA0" w:rsidP="00D04BA0">
            <w:pPr>
              <w:numPr>
                <w:ilvl w:val="0"/>
                <w:numId w:val="30"/>
              </w:numPr>
              <w:spacing w:before="60" w:after="60" w:line="240" w:lineRule="auto"/>
              <w:jc w:val="both"/>
              <w:rPr>
                <w:rFonts w:ascii="Times New Roman" w:eastAsia="Calibri" w:hAnsi="Times New Roman" w:cs="Times New Roman"/>
                <w:b/>
                <w:color w:val="000000"/>
              </w:rPr>
            </w:pPr>
            <w:r w:rsidRPr="00D04BA0">
              <w:rPr>
                <w:rFonts w:ascii="Times New Roman" w:eastAsia="Calibri" w:hAnsi="Times New Roman" w:cs="Times New Roman"/>
                <w:b/>
                <w:color w:val="000000"/>
              </w:rPr>
              <w:t>Wpływ na pozostałe obszary</w:t>
            </w:r>
          </w:p>
        </w:tc>
      </w:tr>
      <w:tr w:rsidR="00D04BA0" w:rsidRPr="00D04BA0" w:rsidTr="00C12765">
        <w:trPr>
          <w:trHeight w:val="1031"/>
        </w:trPr>
        <w:tc>
          <w:tcPr>
            <w:tcW w:w="3115" w:type="dxa"/>
            <w:gridSpan w:val="3"/>
            <w:shd w:val="clear" w:color="auto" w:fill="FFFFFF"/>
          </w:tcPr>
          <w:p w:rsidR="00D04BA0" w:rsidRPr="00D04BA0" w:rsidRDefault="00D04BA0" w:rsidP="00D04BA0">
            <w:pPr>
              <w:spacing w:after="0" w:line="240" w:lineRule="auto"/>
              <w:rPr>
                <w:rFonts w:ascii="Times New Roman" w:eastAsia="Calibri" w:hAnsi="Times New Roman" w:cs="Times New Roman"/>
                <w:color w:val="000000"/>
              </w:rPr>
            </w:pPr>
          </w:p>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środowisko naturalne</w:t>
            </w:r>
          </w:p>
          <w:p w:rsidR="00D04BA0" w:rsidRPr="00D04BA0" w:rsidRDefault="00F9251E"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fldChar w:fldCharType="begin">
                <w:ffData>
                  <w:name w:val=""/>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rPr>
              <w:t>sytuacja i rozwój regionalny</w:t>
            </w:r>
          </w:p>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 xml:space="preserve">inne: </w:t>
            </w:r>
            <w:r w:rsidRPr="00D04BA0">
              <w:rPr>
                <w:rFonts w:ascii="Times New Roman" w:eastAsia="Calibri" w:hAnsi="Times New Roman" w:cs="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00D04BA0" w:rsidRPr="00D04BA0">
              <w:rPr>
                <w:rFonts w:ascii="Times New Roman" w:eastAsia="Calibri" w:hAnsi="Times New Roman" w:cs="Times New Roman"/>
                <w:color w:val="000000"/>
              </w:rPr>
              <w:instrText xml:space="preserve"> FORMTEXT </w:instrText>
            </w:r>
            <w:r w:rsidRPr="00D04BA0">
              <w:rPr>
                <w:rFonts w:ascii="Times New Roman" w:eastAsia="Calibri" w:hAnsi="Times New Roman" w:cs="Times New Roman"/>
                <w:color w:val="000000"/>
              </w:rPr>
            </w:r>
            <w:r w:rsidRPr="00D04BA0">
              <w:rPr>
                <w:rFonts w:ascii="Times New Roman" w:eastAsia="Calibri" w:hAnsi="Times New Roman" w:cs="Times New Roman"/>
                <w:color w:val="000000"/>
              </w:rPr>
              <w:fldChar w:fldCharType="separate"/>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00D04BA0" w:rsidRPr="00D04BA0">
              <w:rPr>
                <w:rFonts w:ascii="Times New Roman" w:eastAsia="Calibri" w:hAnsi="Times New Roman" w:cs="Times New Roman"/>
                <w:noProof/>
                <w:color w:val="000000"/>
              </w:rPr>
              <w:t> </w:t>
            </w:r>
            <w:r w:rsidRPr="00D04BA0">
              <w:rPr>
                <w:rFonts w:ascii="Times New Roman" w:eastAsia="Calibri" w:hAnsi="Times New Roman" w:cs="Times New Roman"/>
                <w:color w:val="000000"/>
              </w:rPr>
              <w:fldChar w:fldCharType="end"/>
            </w:r>
          </w:p>
        </w:tc>
        <w:tc>
          <w:tcPr>
            <w:tcW w:w="4367" w:type="dxa"/>
            <w:gridSpan w:val="15"/>
            <w:shd w:val="clear" w:color="auto" w:fill="FFFFFF"/>
          </w:tcPr>
          <w:p w:rsidR="00D04BA0" w:rsidRPr="00D04BA0" w:rsidRDefault="00D04BA0" w:rsidP="00D04BA0">
            <w:pPr>
              <w:spacing w:after="0" w:line="240" w:lineRule="auto"/>
              <w:rPr>
                <w:rFonts w:ascii="Times New Roman" w:eastAsia="Calibri" w:hAnsi="Times New Roman" w:cs="Times New Roman"/>
                <w:color w:val="000000"/>
              </w:rPr>
            </w:pPr>
          </w:p>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demografia</w:t>
            </w:r>
          </w:p>
          <w:p w:rsidR="00D04BA0" w:rsidRPr="00D04BA0" w:rsidRDefault="00F9251E" w:rsidP="00D04BA0">
            <w:pPr>
              <w:spacing w:after="0" w:line="240" w:lineRule="auto"/>
              <w:rPr>
                <w:rFonts w:ascii="Times New Roman" w:eastAsia="Calibri" w:hAnsi="Times New Roman" w:cs="Times New Roman"/>
                <w:b/>
                <w:u w:val="single"/>
              </w:rPr>
            </w:pPr>
            <w:r w:rsidRPr="00D04BA0">
              <w:rPr>
                <w:rFonts w:ascii="Times New Roman" w:eastAsia="Calibri" w:hAnsi="Times New Roman" w:cs="Times New Roman"/>
                <w:b/>
                <w:u w:val="single"/>
              </w:rPr>
              <w:fldChar w:fldCharType="begin">
                <w:ffData>
                  <w:name w:val=""/>
                  <w:enabled/>
                  <w:calcOnExit w:val="0"/>
                  <w:checkBox>
                    <w:sizeAuto/>
                    <w:default w:val="0"/>
                  </w:checkBox>
                </w:ffData>
              </w:fldChar>
            </w:r>
            <w:r w:rsidR="00D04BA0" w:rsidRPr="00D04BA0">
              <w:rPr>
                <w:rFonts w:ascii="Times New Roman" w:eastAsia="Calibri" w:hAnsi="Times New Roman" w:cs="Times New Roman"/>
                <w:b/>
                <w:u w:val="single"/>
              </w:rPr>
              <w:instrText xml:space="preserve"> FORMCHECKBOX </w:instrText>
            </w:r>
            <w:r w:rsidR="0049390E">
              <w:rPr>
                <w:rFonts w:ascii="Times New Roman" w:eastAsia="Calibri" w:hAnsi="Times New Roman" w:cs="Times New Roman"/>
                <w:b/>
                <w:u w:val="single"/>
              </w:rPr>
            </w:r>
            <w:r w:rsidR="0049390E">
              <w:rPr>
                <w:rFonts w:ascii="Times New Roman" w:eastAsia="Calibri" w:hAnsi="Times New Roman" w:cs="Times New Roman"/>
                <w:b/>
                <w:u w:val="single"/>
              </w:rPr>
              <w:fldChar w:fldCharType="separate"/>
            </w:r>
            <w:r w:rsidRPr="00D04BA0">
              <w:rPr>
                <w:rFonts w:ascii="Times New Roman" w:eastAsia="Calibri" w:hAnsi="Times New Roman" w:cs="Times New Roman"/>
                <w:b/>
                <w:u w:val="single"/>
              </w:rPr>
              <w:fldChar w:fldCharType="end"/>
            </w:r>
            <w:r w:rsidR="00D04BA0" w:rsidRPr="00FB5E40">
              <w:rPr>
                <w:rFonts w:ascii="Times New Roman" w:eastAsia="Calibri" w:hAnsi="Times New Roman" w:cs="Times New Roman"/>
                <w:b/>
                <w:sz w:val="20"/>
                <w:szCs w:val="20"/>
                <w:u w:val="single"/>
              </w:rPr>
              <w:t xml:space="preserve"> </w:t>
            </w:r>
            <w:r w:rsidR="00D04BA0" w:rsidRPr="00D04BA0">
              <w:rPr>
                <w:rFonts w:ascii="Times New Roman" w:eastAsia="Calibri" w:hAnsi="Times New Roman" w:cs="Times New Roman"/>
              </w:rPr>
              <w:t>mienie państwowe</w:t>
            </w:r>
          </w:p>
        </w:tc>
        <w:tc>
          <w:tcPr>
            <w:tcW w:w="3511" w:type="dxa"/>
            <w:gridSpan w:val="7"/>
            <w:shd w:val="clear" w:color="auto" w:fill="FFFFFF"/>
          </w:tcPr>
          <w:p w:rsidR="00D04BA0" w:rsidRPr="00D04BA0" w:rsidRDefault="00D04BA0" w:rsidP="00D04BA0">
            <w:pPr>
              <w:spacing w:after="0" w:line="240" w:lineRule="auto"/>
              <w:rPr>
                <w:rFonts w:ascii="Times New Roman" w:eastAsia="Calibri" w:hAnsi="Times New Roman" w:cs="Times New Roman"/>
                <w:color w:val="000000"/>
              </w:rPr>
            </w:pPr>
          </w:p>
          <w:p w:rsidR="00D04BA0" w:rsidRPr="00D04BA0" w:rsidRDefault="00F9251E" w:rsidP="00D04BA0">
            <w:pPr>
              <w:spacing w:after="0" w:line="240" w:lineRule="auto"/>
              <w:rPr>
                <w:rFonts w:ascii="Times New Roman" w:eastAsia="Calibri" w:hAnsi="Times New Roman" w:cs="Times New Roman"/>
                <w:color w:val="000000"/>
                <w:spacing w:val="-2"/>
              </w:rPr>
            </w:pPr>
            <w:r w:rsidRPr="00D04BA0">
              <w:rPr>
                <w:rFonts w:ascii="Times New Roman" w:eastAsia="Calibri" w:hAnsi="Times New Roman" w:cs="Times New Roman"/>
                <w:color w:val="000000"/>
              </w:rPr>
              <w:fldChar w:fldCharType="begin">
                <w:ffData>
                  <w:name w:val=""/>
                  <w:enabled/>
                  <w:calcOnExit w:val="0"/>
                  <w:checkBox>
                    <w:sizeAuto/>
                    <w:default w:val="1"/>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informatyzacja</w:t>
            </w:r>
          </w:p>
          <w:p w:rsidR="00D04BA0" w:rsidRPr="00D04BA0" w:rsidRDefault="00F9251E"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fldChar w:fldCharType="begin">
                <w:ffData>
                  <w:name w:val="Wybór1"/>
                  <w:enabled/>
                  <w:calcOnExit w:val="0"/>
                  <w:checkBox>
                    <w:sizeAuto/>
                    <w:default w:val="0"/>
                  </w:checkBox>
                </w:ffData>
              </w:fldChar>
            </w:r>
            <w:r w:rsidR="00D04BA0" w:rsidRPr="00D04BA0">
              <w:rPr>
                <w:rFonts w:ascii="Times New Roman" w:eastAsia="Calibri" w:hAnsi="Times New Roman" w:cs="Times New Roman"/>
                <w:color w:val="000000"/>
              </w:rPr>
              <w:instrText xml:space="preserve"> FORMCHECKBOX </w:instrText>
            </w:r>
            <w:r w:rsidR="0049390E">
              <w:rPr>
                <w:rFonts w:ascii="Times New Roman" w:eastAsia="Calibri" w:hAnsi="Times New Roman" w:cs="Times New Roman"/>
                <w:color w:val="000000"/>
              </w:rPr>
            </w:r>
            <w:r w:rsidR="0049390E">
              <w:rPr>
                <w:rFonts w:ascii="Times New Roman" w:eastAsia="Calibri" w:hAnsi="Times New Roman" w:cs="Times New Roman"/>
                <w:color w:val="000000"/>
              </w:rPr>
              <w:fldChar w:fldCharType="separate"/>
            </w:r>
            <w:r w:rsidRPr="00D04BA0">
              <w:rPr>
                <w:rFonts w:ascii="Times New Roman" w:eastAsia="Calibri" w:hAnsi="Times New Roman" w:cs="Times New Roman"/>
                <w:color w:val="000000"/>
              </w:rPr>
              <w:fldChar w:fldCharType="end"/>
            </w:r>
            <w:r w:rsidR="00D04BA0" w:rsidRPr="00D04BA0">
              <w:rPr>
                <w:rFonts w:ascii="Times New Roman" w:eastAsia="Calibri" w:hAnsi="Times New Roman" w:cs="Times New Roman"/>
                <w:color w:val="000000"/>
                <w:sz w:val="20"/>
                <w:szCs w:val="20"/>
              </w:rPr>
              <w:t xml:space="preserve"> </w:t>
            </w:r>
            <w:r w:rsidR="00D04BA0" w:rsidRPr="00D04BA0">
              <w:rPr>
                <w:rFonts w:ascii="Times New Roman" w:eastAsia="Calibri" w:hAnsi="Times New Roman" w:cs="Times New Roman"/>
                <w:color w:val="000000"/>
                <w:spacing w:val="-2"/>
              </w:rPr>
              <w:t>zdrowie</w:t>
            </w:r>
          </w:p>
        </w:tc>
      </w:tr>
      <w:tr w:rsidR="00D04BA0" w:rsidRPr="00D04BA0" w:rsidTr="00C12765">
        <w:trPr>
          <w:trHeight w:val="712"/>
        </w:trPr>
        <w:tc>
          <w:tcPr>
            <w:tcW w:w="1791" w:type="dxa"/>
            <w:shd w:val="clear" w:color="auto" w:fill="FFFFFF"/>
            <w:vAlign w:val="center"/>
          </w:tcPr>
          <w:p w:rsidR="00D04BA0" w:rsidRPr="00D04BA0" w:rsidRDefault="00D04BA0" w:rsidP="00D04BA0">
            <w:pPr>
              <w:spacing w:after="0" w:line="240" w:lineRule="auto"/>
              <w:rPr>
                <w:rFonts w:ascii="Times New Roman" w:eastAsia="Calibri" w:hAnsi="Times New Roman" w:cs="Times New Roman"/>
                <w:color w:val="000000"/>
              </w:rPr>
            </w:pPr>
            <w:r w:rsidRPr="00D04BA0">
              <w:rPr>
                <w:rFonts w:ascii="Times New Roman" w:eastAsia="Calibri" w:hAnsi="Times New Roman" w:cs="Times New Roman"/>
                <w:color w:val="000000"/>
              </w:rPr>
              <w:t>Omówienie wpływu</w:t>
            </w:r>
          </w:p>
        </w:tc>
        <w:tc>
          <w:tcPr>
            <w:tcW w:w="9202" w:type="dxa"/>
            <w:gridSpan w:val="24"/>
            <w:shd w:val="clear" w:color="auto" w:fill="FFFFFF"/>
            <w:vAlign w:val="center"/>
          </w:tcPr>
          <w:p w:rsidR="00D04BA0" w:rsidRPr="00D04BA0" w:rsidRDefault="00D04BA0" w:rsidP="00D04BA0">
            <w:pPr>
              <w:spacing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Wymagana będzie ścisła współpraca organów nadzoru z państw członkowskich z ESMA</w:t>
            </w:r>
            <w:r w:rsidR="0025623A">
              <w:rPr>
                <w:rFonts w:ascii="Times New Roman" w:eastAsia="Calibri" w:hAnsi="Times New Roman" w:cs="Times New Roman"/>
                <w:color w:val="000000"/>
                <w:spacing w:val="-2"/>
              </w:rPr>
              <w:t xml:space="preserve"> i</w:t>
            </w:r>
            <w:r w:rsidRPr="00D04BA0">
              <w:rPr>
                <w:rFonts w:ascii="Times New Roman" w:eastAsia="Calibri" w:hAnsi="Times New Roman" w:cs="Times New Roman"/>
                <w:color w:val="000000"/>
                <w:spacing w:val="-2"/>
              </w:rPr>
              <w:t xml:space="preserve"> Europejską Radą Ryzyka Systemowego (ERRS)</w:t>
            </w:r>
            <w:r w:rsidR="0025623A">
              <w:rPr>
                <w:rFonts w:ascii="Times New Roman" w:eastAsia="Calibri" w:hAnsi="Times New Roman" w:cs="Times New Roman"/>
                <w:color w:val="000000"/>
                <w:spacing w:val="-2"/>
              </w:rPr>
              <w:t>,</w:t>
            </w:r>
            <w:r w:rsidRPr="00D04BA0">
              <w:rPr>
                <w:rFonts w:ascii="Times New Roman" w:eastAsia="Calibri" w:hAnsi="Times New Roman" w:cs="Times New Roman"/>
                <w:color w:val="000000"/>
                <w:spacing w:val="-2"/>
              </w:rPr>
              <w:t xml:space="preserve"> w tym w zakresie korzystania przez ZAFI ze wspólnego europejskiego paszportu oraz realizacji obowiązków informacyjnych względem ESMA i ERRS. </w:t>
            </w:r>
          </w:p>
          <w:p w:rsidR="00D04BA0" w:rsidRPr="00D04BA0" w:rsidRDefault="00D04BA0" w:rsidP="00BC1F88">
            <w:pPr>
              <w:spacing w:after="12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spacing w:val="-2"/>
              </w:rPr>
              <w:t>W związku z ww. obowiązkami informacyjnymi krajowych organów nadzoru w stosunku do ESMA oraz wymaganiami technicznymi ESMA co do realizacji tych obowiązków, koniecznym będzie dostosowanie procedur oraz infrastruktury informatycznej będącej w posiadaniu UKNF.</w:t>
            </w:r>
          </w:p>
        </w:tc>
      </w:tr>
      <w:tr w:rsidR="00D04BA0" w:rsidRPr="00D04BA0" w:rsidTr="00C12765">
        <w:trPr>
          <w:trHeight w:val="142"/>
        </w:trPr>
        <w:tc>
          <w:tcPr>
            <w:tcW w:w="10993" w:type="dxa"/>
            <w:gridSpan w:val="25"/>
            <w:shd w:val="clear" w:color="auto" w:fill="99CCFF"/>
          </w:tcPr>
          <w:p w:rsidR="00D04BA0" w:rsidRPr="00D04BA0" w:rsidRDefault="00D04BA0" w:rsidP="00BC1F88">
            <w:pPr>
              <w:numPr>
                <w:ilvl w:val="0"/>
                <w:numId w:val="30"/>
              </w:numPr>
              <w:spacing w:before="60" w:after="60" w:line="240" w:lineRule="auto"/>
              <w:jc w:val="both"/>
              <w:rPr>
                <w:rFonts w:ascii="Times New Roman" w:eastAsia="Calibri" w:hAnsi="Times New Roman" w:cs="Times New Roman"/>
                <w:b/>
              </w:rPr>
            </w:pPr>
            <w:r w:rsidRPr="00D04BA0">
              <w:rPr>
                <w:rFonts w:ascii="Times New Roman" w:eastAsia="Calibri" w:hAnsi="Times New Roman" w:cs="Times New Roman"/>
                <w:b/>
                <w:spacing w:val="-2"/>
                <w:sz w:val="21"/>
                <w:szCs w:val="21"/>
              </w:rPr>
              <w:t>Planowane wykonanie przepisów aktu prawnego</w:t>
            </w:r>
          </w:p>
        </w:tc>
      </w:tr>
      <w:tr w:rsidR="00D04BA0" w:rsidRPr="00D04BA0" w:rsidTr="00C12765">
        <w:trPr>
          <w:trHeight w:val="142"/>
        </w:trPr>
        <w:tc>
          <w:tcPr>
            <w:tcW w:w="10993" w:type="dxa"/>
            <w:gridSpan w:val="25"/>
            <w:shd w:val="clear" w:color="auto" w:fill="FFFFFF"/>
          </w:tcPr>
          <w:p w:rsidR="00D04BA0" w:rsidRPr="00D04BA0" w:rsidRDefault="00D04BA0" w:rsidP="00D04BA0">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Termin implementacji dyrektywy 2011/61/UE minął w dniu 22 lipca 2013</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r. Z tego te</w:t>
            </w:r>
            <w:r w:rsidR="00820EF1">
              <w:rPr>
                <w:rFonts w:ascii="Times New Roman" w:eastAsia="Calibri" w:hAnsi="Times New Roman" w:cs="Times New Roman"/>
                <w:color w:val="000000"/>
                <w:spacing w:val="-2"/>
              </w:rPr>
              <w:t>ż</w:t>
            </w:r>
            <w:r w:rsidRPr="00D04BA0">
              <w:rPr>
                <w:rFonts w:ascii="Times New Roman" w:eastAsia="Calibri" w:hAnsi="Times New Roman" w:cs="Times New Roman"/>
                <w:color w:val="000000"/>
                <w:spacing w:val="-2"/>
              </w:rPr>
              <w:t xml:space="preserve"> względu implementacja przepisów dyrektywy powinna zostać przeprowadzona w jak najkrótszym czasie. </w:t>
            </w:r>
          </w:p>
          <w:p w:rsidR="00D04BA0" w:rsidRPr="00D04BA0" w:rsidRDefault="00D04BA0" w:rsidP="00D04BA0">
            <w:pPr>
              <w:spacing w:after="0" w:line="240" w:lineRule="auto"/>
              <w:jc w:val="both"/>
              <w:rPr>
                <w:rFonts w:ascii="Times New Roman" w:eastAsia="Calibri" w:hAnsi="Times New Roman" w:cs="Times New Roman"/>
                <w:spacing w:val="-2"/>
              </w:rPr>
            </w:pPr>
            <w:r w:rsidRPr="00D04BA0">
              <w:rPr>
                <w:rFonts w:ascii="Times New Roman" w:eastAsia="Calibri" w:hAnsi="Times New Roman" w:cs="Times New Roman"/>
                <w:color w:val="000000"/>
                <w:spacing w:val="-2"/>
              </w:rPr>
              <w:t>Jednocześnie, z uwagi, iż termin implementacji dyrektywy 2014/91/UE upływa w dniu 18 marca 2016</w:t>
            </w:r>
            <w:r w:rsidRPr="00FB5E40">
              <w:rPr>
                <w:rFonts w:ascii="Times New Roman" w:eastAsia="Calibri" w:hAnsi="Times New Roman" w:cs="Times New Roman"/>
                <w:color w:val="000000"/>
                <w:spacing w:val="-2"/>
              </w:rPr>
              <w:t xml:space="preserve"> </w:t>
            </w:r>
            <w:r w:rsidRPr="00D04BA0">
              <w:rPr>
                <w:rFonts w:ascii="Times New Roman" w:eastAsia="Calibri" w:hAnsi="Times New Roman" w:cs="Times New Roman"/>
                <w:color w:val="000000"/>
                <w:spacing w:val="-2"/>
              </w:rPr>
              <w:t xml:space="preserve">r. zasadnym wydaje się przeprowadzenie procesu implementacji jednocześnie z wdrożeniem przepisów dyrektywy 2011/61/UE. Za takim procedowaniem projektu przemawia również fakt, iż </w:t>
            </w:r>
            <w:r w:rsidRPr="00D04BA0">
              <w:rPr>
                <w:rFonts w:ascii="Times New Roman" w:eastAsia="Calibri" w:hAnsi="Times New Roman" w:cs="Times New Roman"/>
              </w:rPr>
              <w:t xml:space="preserve">regulowane dyrektywą </w:t>
            </w:r>
            <w:r w:rsidRPr="00D04BA0">
              <w:rPr>
                <w:rFonts w:ascii="Times New Roman" w:eastAsia="Calibri" w:hAnsi="Times New Roman" w:cs="Times New Roman"/>
                <w:color w:val="000000"/>
                <w:spacing w:val="-2"/>
              </w:rPr>
              <w:t xml:space="preserve">2014/91/UE </w:t>
            </w:r>
            <w:r w:rsidRPr="00D04BA0">
              <w:rPr>
                <w:rFonts w:ascii="Times New Roman" w:eastAsia="Calibri" w:hAnsi="Times New Roman" w:cs="Times New Roman"/>
              </w:rPr>
              <w:t>kwestie związane</w:t>
            </w:r>
            <w:r w:rsidRPr="00FB5E40">
              <w:rPr>
                <w:rFonts w:ascii="Times New Roman" w:eastAsia="Calibri" w:hAnsi="Times New Roman" w:cs="Times New Roman"/>
              </w:rPr>
              <w:t xml:space="preserve"> </w:t>
            </w:r>
            <w:r w:rsidRPr="00D04BA0">
              <w:rPr>
                <w:rFonts w:ascii="Times New Roman" w:eastAsia="Calibri" w:hAnsi="Times New Roman" w:cs="Times New Roman"/>
              </w:rPr>
              <w:t>z działalnością depozytariusza oraz polityką wynagrodzeń są, co do zasady, tożsame z przyjętymi w dyrektywie 2011/61/UE.</w:t>
            </w:r>
          </w:p>
        </w:tc>
      </w:tr>
      <w:tr w:rsidR="00D04BA0" w:rsidRPr="00D04BA0" w:rsidTr="00C12765">
        <w:trPr>
          <w:trHeight w:val="142"/>
        </w:trPr>
        <w:tc>
          <w:tcPr>
            <w:tcW w:w="10993" w:type="dxa"/>
            <w:gridSpan w:val="25"/>
            <w:shd w:val="clear" w:color="auto" w:fill="99CCFF"/>
          </w:tcPr>
          <w:p w:rsidR="00D04BA0" w:rsidRPr="00D04BA0" w:rsidRDefault="00D04BA0" w:rsidP="00BC1F88">
            <w:pPr>
              <w:numPr>
                <w:ilvl w:val="0"/>
                <w:numId w:val="30"/>
              </w:numPr>
              <w:spacing w:before="60" w:after="60" w:line="240" w:lineRule="auto"/>
              <w:jc w:val="both"/>
              <w:rPr>
                <w:rFonts w:ascii="Times New Roman" w:eastAsia="Calibri" w:hAnsi="Times New Roman" w:cs="Times New Roman"/>
                <w:b/>
                <w:color w:val="000000"/>
              </w:rPr>
            </w:pPr>
            <w:r w:rsidRPr="00D04BA0">
              <w:rPr>
                <w:rFonts w:ascii="Times New Roman" w:eastAsia="Calibri" w:hAnsi="Times New Roman" w:cs="Times New Roman"/>
                <w:b/>
                <w:spacing w:val="-2"/>
                <w:sz w:val="21"/>
                <w:szCs w:val="21"/>
              </w:rPr>
              <w:t>W jaki sposób i kiedy nastąpi ewaluacja efektów projektu oraz jakie mierniki zostaną zastosowane?</w:t>
            </w:r>
          </w:p>
        </w:tc>
      </w:tr>
      <w:tr w:rsidR="00D04BA0" w:rsidRPr="00D04BA0" w:rsidTr="00C12765">
        <w:trPr>
          <w:trHeight w:val="142"/>
        </w:trPr>
        <w:tc>
          <w:tcPr>
            <w:tcW w:w="10993" w:type="dxa"/>
            <w:gridSpan w:val="25"/>
            <w:shd w:val="clear" w:color="auto" w:fill="FFFFFF"/>
          </w:tcPr>
          <w:p w:rsidR="00D04BA0" w:rsidRPr="00D04BA0" w:rsidRDefault="00D04BA0" w:rsidP="00D04BA0">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Do dnia 22 lipca 2017 r. Komisja Europejska dokona przeglądu funkcjonowania przepisów dyrektywy 2011/61/UE i przedstawi Parlamentowi Europejskiemu oraz Radzie sprawozdanie o skutkach obowiązywania przewidzianych w ustawie rozwiązań. Przegląd będzie dokonany w oparciu o konsultacje społeczne oraz konsultacje z właściwymi organami</w:t>
            </w:r>
          </w:p>
          <w:p w:rsidR="00D04BA0" w:rsidRPr="00D04BA0" w:rsidRDefault="00D04BA0" w:rsidP="00D04BA0">
            <w:pPr>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Jednocześnie na potrzeby przeglądu wszystkie </w:t>
            </w:r>
            <w:r w:rsidR="00F001D1" w:rsidRPr="00D04BA0">
              <w:rPr>
                <w:rFonts w:ascii="Times New Roman" w:eastAsia="Calibri" w:hAnsi="Times New Roman" w:cs="Times New Roman"/>
                <w:color w:val="000000"/>
                <w:spacing w:val="-2"/>
              </w:rPr>
              <w:t xml:space="preserve">państwa członkowskie </w:t>
            </w:r>
            <w:r w:rsidRPr="00D04BA0">
              <w:rPr>
                <w:rFonts w:ascii="Times New Roman" w:eastAsia="Calibri" w:hAnsi="Times New Roman" w:cs="Times New Roman"/>
                <w:color w:val="000000"/>
                <w:spacing w:val="-2"/>
              </w:rPr>
              <w:t xml:space="preserve">co roku są zobowiązane dostarczać Komisji informacje w sprawie zarządzających alternatywnymi funduszami inwestycyjnymi, którzy pod ich nadzorem zarządzają AFI lub wprowadzają je do obrotu. </w:t>
            </w:r>
          </w:p>
        </w:tc>
      </w:tr>
      <w:tr w:rsidR="00D04BA0" w:rsidRPr="00D04BA0" w:rsidTr="00C12765">
        <w:trPr>
          <w:trHeight w:val="142"/>
        </w:trPr>
        <w:tc>
          <w:tcPr>
            <w:tcW w:w="10993" w:type="dxa"/>
            <w:gridSpan w:val="25"/>
            <w:shd w:val="clear" w:color="auto" w:fill="99CCFF"/>
          </w:tcPr>
          <w:p w:rsidR="00D04BA0" w:rsidRPr="00D04BA0" w:rsidRDefault="00D04BA0" w:rsidP="004F78B1">
            <w:pPr>
              <w:keepNext/>
              <w:numPr>
                <w:ilvl w:val="0"/>
                <w:numId w:val="30"/>
              </w:numPr>
              <w:spacing w:before="60" w:after="60" w:line="240" w:lineRule="auto"/>
              <w:jc w:val="both"/>
              <w:rPr>
                <w:rFonts w:ascii="Times New Roman" w:eastAsia="Calibri" w:hAnsi="Times New Roman" w:cs="Times New Roman"/>
                <w:b/>
                <w:color w:val="000000"/>
                <w:spacing w:val="-2"/>
              </w:rPr>
            </w:pPr>
            <w:r w:rsidRPr="00D04BA0">
              <w:rPr>
                <w:rFonts w:ascii="Times New Roman" w:eastAsia="Calibri" w:hAnsi="Times New Roman" w:cs="Times New Roman"/>
                <w:b/>
                <w:color w:val="000000"/>
                <w:spacing w:val="-2"/>
              </w:rPr>
              <w:lastRenderedPageBreak/>
              <w:t xml:space="preserve">Załączniki </w:t>
            </w:r>
            <w:r w:rsidRPr="00D04BA0">
              <w:rPr>
                <w:rFonts w:ascii="Times New Roman" w:eastAsia="Calibri" w:hAnsi="Times New Roman" w:cs="Times New Roman"/>
                <w:b/>
                <w:spacing w:val="-2"/>
                <w:sz w:val="21"/>
                <w:szCs w:val="21"/>
              </w:rPr>
              <w:t>(istotne dokumenty źródłowe, badania, analizy itp.</w:t>
            </w:r>
            <w:r w:rsidRPr="00D04BA0">
              <w:rPr>
                <w:rFonts w:ascii="Times New Roman" w:eastAsia="Calibri" w:hAnsi="Times New Roman" w:cs="Times New Roman"/>
                <w:b/>
                <w:color w:val="000000"/>
                <w:spacing w:val="-2"/>
              </w:rPr>
              <w:t xml:space="preserve">) </w:t>
            </w:r>
          </w:p>
        </w:tc>
      </w:tr>
      <w:tr w:rsidR="00D04BA0" w:rsidRPr="00D04BA0" w:rsidTr="00C12765">
        <w:trPr>
          <w:trHeight w:val="142"/>
        </w:trPr>
        <w:tc>
          <w:tcPr>
            <w:tcW w:w="10993" w:type="dxa"/>
            <w:gridSpan w:val="25"/>
            <w:shd w:val="clear" w:color="auto" w:fill="FFFFFF"/>
          </w:tcPr>
          <w:p w:rsidR="00D04BA0" w:rsidRPr="00D04BA0" w:rsidRDefault="00D04BA0" w:rsidP="004F78B1">
            <w:pPr>
              <w:keepNext/>
              <w:spacing w:after="0" w:line="240" w:lineRule="auto"/>
              <w:jc w:val="both"/>
              <w:rPr>
                <w:rFonts w:ascii="Times New Roman" w:eastAsia="Calibri" w:hAnsi="Times New Roman" w:cs="Times New Roman"/>
                <w:color w:val="000000"/>
                <w:spacing w:val="-2"/>
                <w:sz w:val="18"/>
                <w:szCs w:val="18"/>
              </w:rPr>
            </w:pPr>
          </w:p>
          <w:p w:rsidR="00D04BA0" w:rsidRPr="00D04BA0" w:rsidRDefault="00D04BA0" w:rsidP="004F78B1">
            <w:pPr>
              <w:keepNext/>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Adresy internetowe, pod którymi można odnaleźć ocenę skutków regulacji (wersje w języku angielskim):</w:t>
            </w:r>
          </w:p>
          <w:p w:rsidR="00D04BA0" w:rsidRPr="00D04BA0" w:rsidRDefault="00D04BA0" w:rsidP="004F78B1">
            <w:pPr>
              <w:keepNext/>
              <w:spacing w:after="0" w:line="240" w:lineRule="auto"/>
              <w:jc w:val="both"/>
              <w:rPr>
                <w:rFonts w:ascii="Times New Roman" w:eastAsia="Calibri" w:hAnsi="Times New Roman" w:cs="Times New Roman"/>
                <w:color w:val="000000"/>
                <w:spacing w:val="-2"/>
              </w:rPr>
            </w:pPr>
          </w:p>
          <w:p w:rsidR="00D04BA0" w:rsidRPr="00D04BA0" w:rsidRDefault="00D04BA0" w:rsidP="004F78B1">
            <w:pPr>
              <w:keepNext/>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a) </w:t>
            </w:r>
            <w:r w:rsidR="00820EF1">
              <w:rPr>
                <w:rFonts w:ascii="Times New Roman" w:eastAsia="Calibri" w:hAnsi="Times New Roman" w:cs="Times New Roman"/>
                <w:color w:val="000000"/>
                <w:spacing w:val="-2"/>
              </w:rPr>
              <w:t>d</w:t>
            </w:r>
            <w:r w:rsidRPr="00D04BA0">
              <w:rPr>
                <w:rFonts w:ascii="Times New Roman" w:eastAsia="Calibri" w:hAnsi="Times New Roman" w:cs="Times New Roman"/>
                <w:color w:val="000000"/>
                <w:spacing w:val="-2"/>
              </w:rPr>
              <w:t>yrektywa 2011/61/UE</w:t>
            </w:r>
          </w:p>
          <w:p w:rsidR="00D04BA0" w:rsidRPr="00D04BA0" w:rsidRDefault="0049390E" w:rsidP="004F78B1">
            <w:pPr>
              <w:keepNext/>
              <w:spacing w:after="0" w:line="240" w:lineRule="auto"/>
              <w:ind w:firstLine="232"/>
              <w:jc w:val="both"/>
              <w:rPr>
                <w:rFonts w:ascii="Times New Roman" w:eastAsia="Calibri" w:hAnsi="Times New Roman" w:cs="Times New Roman"/>
                <w:color w:val="000000"/>
                <w:spacing w:val="-2"/>
              </w:rPr>
            </w:pPr>
            <w:hyperlink r:id="rId15" w:history="1">
              <w:r w:rsidR="00D04BA0" w:rsidRPr="00D04BA0">
                <w:rPr>
                  <w:rFonts w:ascii="Times New Roman" w:eastAsia="Calibri" w:hAnsi="Times New Roman" w:cs="Times New Roman"/>
                  <w:color w:val="000000"/>
                </w:rPr>
                <w:t>http://eur-lex.europa.eu/legal-content/EN/TXT/PDF/?uri=CELEX:52009SC0576&amp;from=EN</w:t>
              </w:r>
            </w:hyperlink>
          </w:p>
          <w:p w:rsidR="00D04BA0" w:rsidRPr="00D04BA0" w:rsidRDefault="00D04BA0" w:rsidP="004F78B1">
            <w:pPr>
              <w:keepNext/>
              <w:spacing w:after="0" w:line="240" w:lineRule="auto"/>
              <w:jc w:val="both"/>
              <w:rPr>
                <w:rFonts w:ascii="Times New Roman" w:eastAsia="Calibri" w:hAnsi="Times New Roman" w:cs="Times New Roman"/>
                <w:color w:val="000000"/>
                <w:spacing w:val="-2"/>
              </w:rPr>
            </w:pPr>
          </w:p>
          <w:p w:rsidR="00D04BA0" w:rsidRPr="00D04BA0" w:rsidRDefault="00D04BA0" w:rsidP="004F78B1">
            <w:pPr>
              <w:keepNext/>
              <w:spacing w:after="0" w:line="240" w:lineRule="auto"/>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 xml:space="preserve">b) </w:t>
            </w:r>
            <w:r w:rsidR="00820EF1">
              <w:rPr>
                <w:rFonts w:ascii="Times New Roman" w:eastAsia="Calibri" w:hAnsi="Times New Roman" w:cs="Times New Roman"/>
                <w:color w:val="000000"/>
                <w:spacing w:val="-2"/>
              </w:rPr>
              <w:t>d</w:t>
            </w:r>
            <w:r w:rsidRPr="00D04BA0">
              <w:rPr>
                <w:rFonts w:ascii="Times New Roman" w:eastAsia="Calibri" w:hAnsi="Times New Roman" w:cs="Times New Roman"/>
                <w:color w:val="000000"/>
                <w:spacing w:val="-2"/>
              </w:rPr>
              <w:t>yrektywa 2014/91/UE</w:t>
            </w:r>
          </w:p>
          <w:p w:rsidR="00D04BA0" w:rsidRPr="00D04BA0" w:rsidRDefault="00D04BA0" w:rsidP="004F78B1">
            <w:pPr>
              <w:keepNext/>
              <w:spacing w:after="0" w:line="240" w:lineRule="auto"/>
              <w:ind w:firstLine="246"/>
              <w:jc w:val="both"/>
              <w:rPr>
                <w:rFonts w:ascii="Times New Roman" w:eastAsia="Calibri" w:hAnsi="Times New Roman" w:cs="Times New Roman"/>
                <w:color w:val="000000"/>
                <w:spacing w:val="-2"/>
              </w:rPr>
            </w:pPr>
            <w:r w:rsidRPr="00D04BA0">
              <w:rPr>
                <w:rFonts w:ascii="Times New Roman" w:eastAsia="Calibri" w:hAnsi="Times New Roman" w:cs="Times New Roman"/>
                <w:color w:val="000000"/>
                <w:spacing w:val="-2"/>
              </w:rPr>
              <w:t>http://eur-lex.europa.eu/legal-content/EN/TXT/PDF/?uri=CELEX:52012SC0185&amp;from=EN</w:t>
            </w:r>
          </w:p>
          <w:p w:rsidR="00D04BA0" w:rsidRPr="00D04BA0" w:rsidRDefault="00D04BA0" w:rsidP="004F78B1">
            <w:pPr>
              <w:keepNext/>
              <w:spacing w:after="0" w:line="240" w:lineRule="auto"/>
              <w:jc w:val="both"/>
              <w:rPr>
                <w:rFonts w:ascii="Times New Roman" w:eastAsia="Calibri" w:hAnsi="Times New Roman" w:cs="Times New Roman"/>
                <w:color w:val="000000"/>
                <w:spacing w:val="-2"/>
              </w:rPr>
            </w:pPr>
          </w:p>
        </w:tc>
      </w:tr>
    </w:tbl>
    <w:p w:rsidR="004F78B1" w:rsidRPr="004F78B1" w:rsidRDefault="004F78B1" w:rsidP="00FB32FA">
      <w:pPr>
        <w:spacing w:after="0" w:line="360" w:lineRule="auto"/>
        <w:ind w:firstLine="284"/>
        <w:jc w:val="both"/>
        <w:rPr>
          <w:rFonts w:ascii="Times New Roman" w:hAnsi="Times New Roman" w:cs="Times New Roman"/>
          <w:sz w:val="24"/>
          <w:szCs w:val="24"/>
        </w:rPr>
      </w:pPr>
    </w:p>
    <w:sectPr w:rsidR="004F78B1" w:rsidRPr="004F78B1" w:rsidSect="00960B35">
      <w:pgSz w:w="11906" w:h="16838"/>
      <w:pgMar w:top="567" w:right="709" w:bottom="567"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093" w:rsidRDefault="00892093" w:rsidP="00E954FF">
      <w:pPr>
        <w:spacing w:after="0" w:line="240" w:lineRule="auto"/>
      </w:pPr>
      <w:r>
        <w:separator/>
      </w:r>
    </w:p>
  </w:endnote>
  <w:endnote w:type="continuationSeparator" w:id="0">
    <w:p w:rsidR="00892093" w:rsidRDefault="00892093" w:rsidP="00E954FF">
      <w:pPr>
        <w:spacing w:after="0" w:line="240" w:lineRule="auto"/>
      </w:pPr>
      <w:r>
        <w:continuationSeparator/>
      </w:r>
    </w:p>
  </w:endnote>
  <w:endnote w:type="continuationNotice" w:id="1">
    <w:p w:rsidR="00892093" w:rsidRDefault="008920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093" w:rsidRDefault="0089209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542235"/>
      <w:docPartObj>
        <w:docPartGallery w:val="Page Numbers (Bottom of Page)"/>
        <w:docPartUnique/>
      </w:docPartObj>
    </w:sdtPr>
    <w:sdtEndPr>
      <w:rPr>
        <w:rFonts w:ascii="Times New Roman" w:hAnsi="Times New Roman" w:cs="Times New Roman"/>
        <w:sz w:val="24"/>
        <w:szCs w:val="24"/>
      </w:rPr>
    </w:sdtEndPr>
    <w:sdtContent>
      <w:p w:rsidR="00892093" w:rsidRPr="00960B35" w:rsidRDefault="00892093">
        <w:pPr>
          <w:pStyle w:val="Stopka"/>
          <w:jc w:val="center"/>
          <w:rPr>
            <w:rFonts w:ascii="Times New Roman" w:hAnsi="Times New Roman" w:cs="Times New Roman"/>
            <w:sz w:val="24"/>
            <w:szCs w:val="24"/>
          </w:rPr>
        </w:pPr>
        <w:r w:rsidRPr="00960B35">
          <w:rPr>
            <w:rFonts w:ascii="Times New Roman" w:hAnsi="Times New Roman" w:cs="Times New Roman"/>
            <w:sz w:val="24"/>
            <w:szCs w:val="24"/>
          </w:rPr>
          <w:fldChar w:fldCharType="begin"/>
        </w:r>
        <w:r w:rsidRPr="00960B35">
          <w:rPr>
            <w:rFonts w:ascii="Times New Roman" w:hAnsi="Times New Roman" w:cs="Times New Roman"/>
            <w:sz w:val="24"/>
            <w:szCs w:val="24"/>
          </w:rPr>
          <w:instrText xml:space="preserve"> PAGE   \* MERGEFORMAT </w:instrText>
        </w:r>
        <w:r w:rsidRPr="00960B35">
          <w:rPr>
            <w:rFonts w:ascii="Times New Roman" w:hAnsi="Times New Roman" w:cs="Times New Roman"/>
            <w:sz w:val="24"/>
            <w:szCs w:val="24"/>
          </w:rPr>
          <w:fldChar w:fldCharType="separate"/>
        </w:r>
        <w:r w:rsidR="0049390E">
          <w:rPr>
            <w:rFonts w:ascii="Times New Roman" w:hAnsi="Times New Roman" w:cs="Times New Roman"/>
            <w:noProof/>
            <w:sz w:val="24"/>
            <w:szCs w:val="24"/>
          </w:rPr>
          <w:t>59</w:t>
        </w:r>
        <w:r w:rsidRPr="00960B35">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093" w:rsidRDefault="0089209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093" w:rsidRDefault="00892093" w:rsidP="00E954FF">
      <w:pPr>
        <w:spacing w:after="0" w:line="240" w:lineRule="auto"/>
      </w:pPr>
      <w:r>
        <w:separator/>
      </w:r>
    </w:p>
  </w:footnote>
  <w:footnote w:type="continuationSeparator" w:id="0">
    <w:p w:rsidR="00892093" w:rsidRDefault="00892093" w:rsidP="00E954FF">
      <w:pPr>
        <w:spacing w:after="0" w:line="240" w:lineRule="auto"/>
      </w:pPr>
      <w:r>
        <w:continuationSeparator/>
      </w:r>
    </w:p>
  </w:footnote>
  <w:footnote w:type="continuationNotice" w:id="1">
    <w:p w:rsidR="00892093" w:rsidRDefault="0089209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093" w:rsidRDefault="0089209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093" w:rsidRDefault="00892093">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093" w:rsidRDefault="0089209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B0CD4"/>
    <w:multiLevelType w:val="hybridMultilevel"/>
    <w:tmpl w:val="34AE7680"/>
    <w:lvl w:ilvl="0" w:tplc="464C1FBE">
      <w:start w:val="1"/>
      <w:numFmt w:val="decimal"/>
      <w:lvlText w:val="%1)"/>
      <w:lvlJc w:val="left"/>
      <w:pPr>
        <w:ind w:left="2028" w:hanging="13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nsid w:val="0C6A6D0B"/>
    <w:multiLevelType w:val="hybridMultilevel"/>
    <w:tmpl w:val="2536CC6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nsid w:val="114D7B59"/>
    <w:multiLevelType w:val="hybridMultilevel"/>
    <w:tmpl w:val="5B7AAF30"/>
    <w:lvl w:ilvl="0" w:tplc="752801B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4355708"/>
    <w:multiLevelType w:val="hybridMultilevel"/>
    <w:tmpl w:val="0ECE492C"/>
    <w:lvl w:ilvl="0" w:tplc="B02E6E68">
      <w:start w:val="1"/>
      <w:numFmt w:val="decimal"/>
      <w:lvlText w:val="%1)"/>
      <w:lvlJc w:val="left"/>
      <w:pPr>
        <w:ind w:left="1161" w:hanging="735"/>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nsid w:val="14E3078E"/>
    <w:multiLevelType w:val="hybridMultilevel"/>
    <w:tmpl w:val="144E67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98A7047"/>
    <w:multiLevelType w:val="hybridMultilevel"/>
    <w:tmpl w:val="EC540F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C6E65D8"/>
    <w:multiLevelType w:val="hybridMultilevel"/>
    <w:tmpl w:val="46F0D2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C6E69FB"/>
    <w:multiLevelType w:val="hybridMultilevel"/>
    <w:tmpl w:val="44C48A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C813CEA"/>
    <w:multiLevelType w:val="hybridMultilevel"/>
    <w:tmpl w:val="301272C8"/>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nsid w:val="1CB503AA"/>
    <w:multiLevelType w:val="hybridMultilevel"/>
    <w:tmpl w:val="89EC8EC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nsid w:val="211979C2"/>
    <w:multiLevelType w:val="hybridMultilevel"/>
    <w:tmpl w:val="9836C0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6E31578"/>
    <w:multiLevelType w:val="hybridMultilevel"/>
    <w:tmpl w:val="7E561C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DDB59C2"/>
    <w:multiLevelType w:val="hybridMultilevel"/>
    <w:tmpl w:val="C9766764"/>
    <w:lvl w:ilvl="0" w:tplc="EC309E5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4956A0C"/>
    <w:multiLevelType w:val="hybridMultilevel"/>
    <w:tmpl w:val="4C329526"/>
    <w:lvl w:ilvl="0" w:tplc="F8709C64">
      <w:start w:val="1"/>
      <w:numFmt w:val="decimal"/>
      <w:lvlText w:val="%1)"/>
      <w:lvlJc w:val="left"/>
      <w:pPr>
        <w:ind w:left="944" w:hanging="6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nsid w:val="35221706"/>
    <w:multiLevelType w:val="hybridMultilevel"/>
    <w:tmpl w:val="88362200"/>
    <w:lvl w:ilvl="0" w:tplc="96DE4CD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7393BDA"/>
    <w:multiLevelType w:val="hybridMultilevel"/>
    <w:tmpl w:val="5A4A2A2C"/>
    <w:lvl w:ilvl="0" w:tplc="7F28B6B2">
      <w:start w:val="1"/>
      <w:numFmt w:val="decimal"/>
      <w:lvlText w:val="%1)"/>
      <w:lvlJc w:val="left"/>
      <w:pPr>
        <w:ind w:left="989" w:hanging="705"/>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nsid w:val="37A319D2"/>
    <w:multiLevelType w:val="hybridMultilevel"/>
    <w:tmpl w:val="ABFC84F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7">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C5E2329"/>
    <w:multiLevelType w:val="hybridMultilevel"/>
    <w:tmpl w:val="1FD8EC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D757C2D"/>
    <w:multiLevelType w:val="hybridMultilevel"/>
    <w:tmpl w:val="6BDA1670"/>
    <w:lvl w:ilvl="0" w:tplc="1F8CAA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0CA4C29"/>
    <w:multiLevelType w:val="hybridMultilevel"/>
    <w:tmpl w:val="F9327D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2950C2E"/>
    <w:multiLevelType w:val="hybridMultilevel"/>
    <w:tmpl w:val="E60E520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nsid w:val="479E4366"/>
    <w:multiLevelType w:val="hybridMultilevel"/>
    <w:tmpl w:val="26A2902C"/>
    <w:lvl w:ilvl="0" w:tplc="882EBBEE">
      <w:start w:val="1"/>
      <w:numFmt w:val="decimal"/>
      <w:lvlText w:val="%1)"/>
      <w:lvlJc w:val="left"/>
      <w:pPr>
        <w:ind w:left="1131" w:hanging="705"/>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nsid w:val="5AEE35D1"/>
    <w:multiLevelType w:val="hybridMultilevel"/>
    <w:tmpl w:val="8BDE4C74"/>
    <w:lvl w:ilvl="0" w:tplc="124C67C6">
      <w:start w:val="1"/>
      <w:numFmt w:val="decimal"/>
      <w:lvlText w:val="%1)"/>
      <w:lvlJc w:val="left"/>
      <w:pPr>
        <w:ind w:left="1161" w:hanging="735"/>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nsid w:val="5C574FD6"/>
    <w:multiLevelType w:val="hybridMultilevel"/>
    <w:tmpl w:val="C526E8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3341EEC"/>
    <w:multiLevelType w:val="hybridMultilevel"/>
    <w:tmpl w:val="FE20CDE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nsid w:val="6A964BE0"/>
    <w:multiLevelType w:val="hybridMultilevel"/>
    <w:tmpl w:val="2212903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nsid w:val="72C23A09"/>
    <w:multiLevelType w:val="hybridMultilevel"/>
    <w:tmpl w:val="2C10AD06"/>
    <w:lvl w:ilvl="0" w:tplc="64663518">
      <w:start w:val="1"/>
      <w:numFmt w:val="decimal"/>
      <w:lvlText w:val="%1)"/>
      <w:lvlJc w:val="left"/>
      <w:pPr>
        <w:ind w:left="1235" w:hanging="81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8">
    <w:nsid w:val="76E203EE"/>
    <w:multiLevelType w:val="hybridMultilevel"/>
    <w:tmpl w:val="A31CDB10"/>
    <w:lvl w:ilvl="0" w:tplc="6088C1A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AB5434B"/>
    <w:multiLevelType w:val="hybridMultilevel"/>
    <w:tmpl w:val="94ECB94E"/>
    <w:lvl w:ilvl="0" w:tplc="0415000B">
      <w:start w:val="1"/>
      <w:numFmt w:val="bullet"/>
      <w:lvlText w:val=""/>
      <w:lvlJc w:val="left"/>
      <w:pPr>
        <w:tabs>
          <w:tab w:val="num" w:pos="360"/>
        </w:tabs>
        <w:ind w:left="360" w:hanging="360"/>
      </w:pPr>
      <w:rPr>
        <w:rFonts w:ascii="Wingdings" w:hAnsi="Wingdings" w:hint="default"/>
      </w:rPr>
    </w:lvl>
    <w:lvl w:ilvl="1" w:tplc="6FA47B32">
      <w:start w:val="1"/>
      <w:numFmt w:val="lowerLetter"/>
      <w:lvlText w:val="%2)"/>
      <w:lvlJc w:val="left"/>
      <w:pPr>
        <w:tabs>
          <w:tab w:val="num" w:pos="1080"/>
        </w:tabs>
        <w:ind w:left="1080" w:hanging="360"/>
      </w:pPr>
      <w:rPr>
        <w:rFonts w:hint="default"/>
        <w:b/>
        <w:i w:val="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16"/>
  </w:num>
  <w:num w:numId="2">
    <w:abstractNumId w:val="27"/>
  </w:num>
  <w:num w:numId="3">
    <w:abstractNumId w:val="11"/>
  </w:num>
  <w:num w:numId="4">
    <w:abstractNumId w:val="5"/>
  </w:num>
  <w:num w:numId="5">
    <w:abstractNumId w:val="8"/>
  </w:num>
  <w:num w:numId="6">
    <w:abstractNumId w:val="0"/>
  </w:num>
  <w:num w:numId="7">
    <w:abstractNumId w:val="10"/>
  </w:num>
  <w:num w:numId="8">
    <w:abstractNumId w:val="6"/>
  </w:num>
  <w:num w:numId="9">
    <w:abstractNumId w:val="21"/>
  </w:num>
  <w:num w:numId="10">
    <w:abstractNumId w:val="22"/>
  </w:num>
  <w:num w:numId="11">
    <w:abstractNumId w:val="25"/>
  </w:num>
  <w:num w:numId="12">
    <w:abstractNumId w:val="3"/>
  </w:num>
  <w:num w:numId="13">
    <w:abstractNumId w:val="18"/>
  </w:num>
  <w:num w:numId="14">
    <w:abstractNumId w:val="2"/>
  </w:num>
  <w:num w:numId="15">
    <w:abstractNumId w:val="4"/>
  </w:num>
  <w:num w:numId="16">
    <w:abstractNumId w:val="12"/>
  </w:num>
  <w:num w:numId="17">
    <w:abstractNumId w:val="7"/>
  </w:num>
  <w:num w:numId="18">
    <w:abstractNumId w:val="19"/>
  </w:num>
  <w:num w:numId="19">
    <w:abstractNumId w:val="20"/>
  </w:num>
  <w:num w:numId="20">
    <w:abstractNumId w:val="14"/>
  </w:num>
  <w:num w:numId="21">
    <w:abstractNumId w:val="24"/>
  </w:num>
  <w:num w:numId="22">
    <w:abstractNumId w:val="28"/>
  </w:num>
  <w:num w:numId="23">
    <w:abstractNumId w:val="1"/>
  </w:num>
  <w:num w:numId="24">
    <w:abstractNumId w:val="15"/>
  </w:num>
  <w:num w:numId="25">
    <w:abstractNumId w:val="26"/>
  </w:num>
  <w:num w:numId="26">
    <w:abstractNumId w:val="23"/>
  </w:num>
  <w:num w:numId="27">
    <w:abstractNumId w:val="9"/>
  </w:num>
  <w:num w:numId="28">
    <w:abstractNumId w:val="13"/>
  </w:num>
  <w:num w:numId="29">
    <w:abstractNumId w:val="29"/>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7E0"/>
    <w:rsid w:val="00000207"/>
    <w:rsid w:val="00001B74"/>
    <w:rsid w:val="00004AFD"/>
    <w:rsid w:val="000205F6"/>
    <w:rsid w:val="000317CC"/>
    <w:rsid w:val="00032B1E"/>
    <w:rsid w:val="00042F1B"/>
    <w:rsid w:val="00050E4F"/>
    <w:rsid w:val="00056DF1"/>
    <w:rsid w:val="00060A4A"/>
    <w:rsid w:val="00062214"/>
    <w:rsid w:val="000634F0"/>
    <w:rsid w:val="00067927"/>
    <w:rsid w:val="000768C9"/>
    <w:rsid w:val="000770E7"/>
    <w:rsid w:val="0008390B"/>
    <w:rsid w:val="000963FC"/>
    <w:rsid w:val="000A2EE8"/>
    <w:rsid w:val="000A70F0"/>
    <w:rsid w:val="000B6750"/>
    <w:rsid w:val="000D1A54"/>
    <w:rsid w:val="000D2DD3"/>
    <w:rsid w:val="000E7A36"/>
    <w:rsid w:val="000F3EDB"/>
    <w:rsid w:val="000F57D9"/>
    <w:rsid w:val="00100383"/>
    <w:rsid w:val="00103A68"/>
    <w:rsid w:val="00110A56"/>
    <w:rsid w:val="00112FED"/>
    <w:rsid w:val="001132B8"/>
    <w:rsid w:val="001145B5"/>
    <w:rsid w:val="00120268"/>
    <w:rsid w:val="00144109"/>
    <w:rsid w:val="0015199D"/>
    <w:rsid w:val="001578E8"/>
    <w:rsid w:val="00164EC3"/>
    <w:rsid w:val="00166400"/>
    <w:rsid w:val="0017004E"/>
    <w:rsid w:val="0017146C"/>
    <w:rsid w:val="00175ED3"/>
    <w:rsid w:val="00182043"/>
    <w:rsid w:val="00184921"/>
    <w:rsid w:val="00190660"/>
    <w:rsid w:val="00196F92"/>
    <w:rsid w:val="001971A2"/>
    <w:rsid w:val="001A04A5"/>
    <w:rsid w:val="001A167F"/>
    <w:rsid w:val="001A2EA7"/>
    <w:rsid w:val="001A654F"/>
    <w:rsid w:val="001B20A3"/>
    <w:rsid w:val="001B29F4"/>
    <w:rsid w:val="001B40CA"/>
    <w:rsid w:val="001B7049"/>
    <w:rsid w:val="001C5F75"/>
    <w:rsid w:val="001D0296"/>
    <w:rsid w:val="001D2F3F"/>
    <w:rsid w:val="001D36E9"/>
    <w:rsid w:val="001D37A6"/>
    <w:rsid w:val="001D3A28"/>
    <w:rsid w:val="001E5B6D"/>
    <w:rsid w:val="001F492F"/>
    <w:rsid w:val="001F5400"/>
    <w:rsid w:val="00201950"/>
    <w:rsid w:val="00213C1D"/>
    <w:rsid w:val="002210A3"/>
    <w:rsid w:val="00221750"/>
    <w:rsid w:val="00221EAF"/>
    <w:rsid w:val="00222262"/>
    <w:rsid w:val="00227E56"/>
    <w:rsid w:val="002332AB"/>
    <w:rsid w:val="002457CE"/>
    <w:rsid w:val="002522DC"/>
    <w:rsid w:val="0025463A"/>
    <w:rsid w:val="00255FDC"/>
    <w:rsid w:val="0025623A"/>
    <w:rsid w:val="00282107"/>
    <w:rsid w:val="00282F2C"/>
    <w:rsid w:val="002938A3"/>
    <w:rsid w:val="00295495"/>
    <w:rsid w:val="00297A37"/>
    <w:rsid w:val="002A0208"/>
    <w:rsid w:val="002A0F04"/>
    <w:rsid w:val="002A5F4B"/>
    <w:rsid w:val="002A6092"/>
    <w:rsid w:val="002B34E3"/>
    <w:rsid w:val="002B76F4"/>
    <w:rsid w:val="002C158E"/>
    <w:rsid w:val="002C60B3"/>
    <w:rsid w:val="002E79D7"/>
    <w:rsid w:val="00311615"/>
    <w:rsid w:val="00312B6D"/>
    <w:rsid w:val="00316379"/>
    <w:rsid w:val="00321F55"/>
    <w:rsid w:val="00325DA0"/>
    <w:rsid w:val="00332D6B"/>
    <w:rsid w:val="00333D68"/>
    <w:rsid w:val="003348E8"/>
    <w:rsid w:val="00336F02"/>
    <w:rsid w:val="003424E7"/>
    <w:rsid w:val="0034424D"/>
    <w:rsid w:val="00362C44"/>
    <w:rsid w:val="00366221"/>
    <w:rsid w:val="00367C32"/>
    <w:rsid w:val="0037116D"/>
    <w:rsid w:val="00371760"/>
    <w:rsid w:val="00373C4B"/>
    <w:rsid w:val="00377272"/>
    <w:rsid w:val="00377B53"/>
    <w:rsid w:val="003805EC"/>
    <w:rsid w:val="0038138C"/>
    <w:rsid w:val="003823C4"/>
    <w:rsid w:val="00384D4C"/>
    <w:rsid w:val="00386B04"/>
    <w:rsid w:val="003913DC"/>
    <w:rsid w:val="003916A4"/>
    <w:rsid w:val="00397E62"/>
    <w:rsid w:val="003A1A26"/>
    <w:rsid w:val="003B0CFD"/>
    <w:rsid w:val="003B67C7"/>
    <w:rsid w:val="003C2C0C"/>
    <w:rsid w:val="003C536F"/>
    <w:rsid w:val="003C6CB7"/>
    <w:rsid w:val="003C74A1"/>
    <w:rsid w:val="003D7859"/>
    <w:rsid w:val="003E5785"/>
    <w:rsid w:val="003E5EEE"/>
    <w:rsid w:val="003F13B8"/>
    <w:rsid w:val="003F3964"/>
    <w:rsid w:val="003F42E8"/>
    <w:rsid w:val="004018AA"/>
    <w:rsid w:val="004027DC"/>
    <w:rsid w:val="00403EB0"/>
    <w:rsid w:val="0040516D"/>
    <w:rsid w:val="00405E45"/>
    <w:rsid w:val="004114E2"/>
    <w:rsid w:val="00412DCE"/>
    <w:rsid w:val="00427F84"/>
    <w:rsid w:val="004328C4"/>
    <w:rsid w:val="00446F28"/>
    <w:rsid w:val="0045207C"/>
    <w:rsid w:val="00460A29"/>
    <w:rsid w:val="004629F0"/>
    <w:rsid w:val="004642E6"/>
    <w:rsid w:val="00467020"/>
    <w:rsid w:val="00467410"/>
    <w:rsid w:val="0047059E"/>
    <w:rsid w:val="00482E7C"/>
    <w:rsid w:val="00483BD1"/>
    <w:rsid w:val="004867AD"/>
    <w:rsid w:val="004905F3"/>
    <w:rsid w:val="0049390E"/>
    <w:rsid w:val="00497FF7"/>
    <w:rsid w:val="004A0702"/>
    <w:rsid w:val="004A4D4A"/>
    <w:rsid w:val="004A6364"/>
    <w:rsid w:val="004B3B64"/>
    <w:rsid w:val="004C4919"/>
    <w:rsid w:val="004C54EB"/>
    <w:rsid w:val="004C79DA"/>
    <w:rsid w:val="004C7C0D"/>
    <w:rsid w:val="004D00E0"/>
    <w:rsid w:val="004D065A"/>
    <w:rsid w:val="004D6592"/>
    <w:rsid w:val="004E5171"/>
    <w:rsid w:val="004E5F18"/>
    <w:rsid w:val="004F1129"/>
    <w:rsid w:val="004F1146"/>
    <w:rsid w:val="004F78B1"/>
    <w:rsid w:val="004F7CA3"/>
    <w:rsid w:val="00501C52"/>
    <w:rsid w:val="00501FA6"/>
    <w:rsid w:val="005021EA"/>
    <w:rsid w:val="00503EC3"/>
    <w:rsid w:val="00512C19"/>
    <w:rsid w:val="00514501"/>
    <w:rsid w:val="005164A7"/>
    <w:rsid w:val="00517B8D"/>
    <w:rsid w:val="005270E8"/>
    <w:rsid w:val="0053597F"/>
    <w:rsid w:val="00540C5D"/>
    <w:rsid w:val="00541186"/>
    <w:rsid w:val="005422D5"/>
    <w:rsid w:val="00547987"/>
    <w:rsid w:val="0055353A"/>
    <w:rsid w:val="00554615"/>
    <w:rsid w:val="00562C6C"/>
    <w:rsid w:val="0059298D"/>
    <w:rsid w:val="00592C23"/>
    <w:rsid w:val="00594A60"/>
    <w:rsid w:val="005A01EB"/>
    <w:rsid w:val="005A0A44"/>
    <w:rsid w:val="005A4583"/>
    <w:rsid w:val="005A4F8B"/>
    <w:rsid w:val="005B07C2"/>
    <w:rsid w:val="005C0078"/>
    <w:rsid w:val="005C57BE"/>
    <w:rsid w:val="005D1286"/>
    <w:rsid w:val="005D228A"/>
    <w:rsid w:val="005D729F"/>
    <w:rsid w:val="005D7DDB"/>
    <w:rsid w:val="005E67F5"/>
    <w:rsid w:val="005F2157"/>
    <w:rsid w:val="005F2651"/>
    <w:rsid w:val="0060461D"/>
    <w:rsid w:val="00610C41"/>
    <w:rsid w:val="00611FE3"/>
    <w:rsid w:val="00615EF9"/>
    <w:rsid w:val="00625F78"/>
    <w:rsid w:val="00631330"/>
    <w:rsid w:val="006336E2"/>
    <w:rsid w:val="006371B4"/>
    <w:rsid w:val="0063765B"/>
    <w:rsid w:val="00642265"/>
    <w:rsid w:val="00642F0E"/>
    <w:rsid w:val="006501FC"/>
    <w:rsid w:val="00653866"/>
    <w:rsid w:val="00656B72"/>
    <w:rsid w:val="00660721"/>
    <w:rsid w:val="00663EA5"/>
    <w:rsid w:val="006666DF"/>
    <w:rsid w:val="0067019B"/>
    <w:rsid w:val="0067155B"/>
    <w:rsid w:val="00673ED1"/>
    <w:rsid w:val="00674688"/>
    <w:rsid w:val="00677023"/>
    <w:rsid w:val="00677EA3"/>
    <w:rsid w:val="00680130"/>
    <w:rsid w:val="006828A6"/>
    <w:rsid w:val="006913D4"/>
    <w:rsid w:val="00692ACF"/>
    <w:rsid w:val="0069387B"/>
    <w:rsid w:val="0069474D"/>
    <w:rsid w:val="006A71C7"/>
    <w:rsid w:val="006B03B5"/>
    <w:rsid w:val="006B4BB5"/>
    <w:rsid w:val="006B6825"/>
    <w:rsid w:val="006C1236"/>
    <w:rsid w:val="006C36B8"/>
    <w:rsid w:val="006C5C9B"/>
    <w:rsid w:val="006C5DB7"/>
    <w:rsid w:val="006E1708"/>
    <w:rsid w:val="006E2699"/>
    <w:rsid w:val="006E4466"/>
    <w:rsid w:val="006F0E4D"/>
    <w:rsid w:val="007026E7"/>
    <w:rsid w:val="00706F60"/>
    <w:rsid w:val="007103F6"/>
    <w:rsid w:val="00710428"/>
    <w:rsid w:val="00713729"/>
    <w:rsid w:val="007139F7"/>
    <w:rsid w:val="0072182D"/>
    <w:rsid w:val="00733A1A"/>
    <w:rsid w:val="00741AEA"/>
    <w:rsid w:val="007646FA"/>
    <w:rsid w:val="00780F2C"/>
    <w:rsid w:val="007828D3"/>
    <w:rsid w:val="00795827"/>
    <w:rsid w:val="007A11D9"/>
    <w:rsid w:val="007A72F9"/>
    <w:rsid w:val="007B46DB"/>
    <w:rsid w:val="007B5D0E"/>
    <w:rsid w:val="007E273A"/>
    <w:rsid w:val="007E3CE3"/>
    <w:rsid w:val="007E6E52"/>
    <w:rsid w:val="007E7414"/>
    <w:rsid w:val="007F47B1"/>
    <w:rsid w:val="0080334E"/>
    <w:rsid w:val="00806784"/>
    <w:rsid w:val="00807900"/>
    <w:rsid w:val="00810C6E"/>
    <w:rsid w:val="00813644"/>
    <w:rsid w:val="008149D8"/>
    <w:rsid w:val="00815ABE"/>
    <w:rsid w:val="00820EF1"/>
    <w:rsid w:val="00824BD0"/>
    <w:rsid w:val="00825966"/>
    <w:rsid w:val="008266F6"/>
    <w:rsid w:val="00827E7E"/>
    <w:rsid w:val="008334A5"/>
    <w:rsid w:val="0084137D"/>
    <w:rsid w:val="008470AD"/>
    <w:rsid w:val="008473EB"/>
    <w:rsid w:val="00851F23"/>
    <w:rsid w:val="0085247E"/>
    <w:rsid w:val="008623CF"/>
    <w:rsid w:val="00874DDD"/>
    <w:rsid w:val="00884664"/>
    <w:rsid w:val="008857E0"/>
    <w:rsid w:val="008877F3"/>
    <w:rsid w:val="00892093"/>
    <w:rsid w:val="00894C9C"/>
    <w:rsid w:val="008A0A39"/>
    <w:rsid w:val="008A1507"/>
    <w:rsid w:val="008A5786"/>
    <w:rsid w:val="008A5CFF"/>
    <w:rsid w:val="008A6FF7"/>
    <w:rsid w:val="008A7D5F"/>
    <w:rsid w:val="008B0D7C"/>
    <w:rsid w:val="008B5F10"/>
    <w:rsid w:val="008C1EE2"/>
    <w:rsid w:val="008C4CD0"/>
    <w:rsid w:val="008E599D"/>
    <w:rsid w:val="008E7A41"/>
    <w:rsid w:val="008F2CCA"/>
    <w:rsid w:val="008F5D53"/>
    <w:rsid w:val="008F79A8"/>
    <w:rsid w:val="00901CB5"/>
    <w:rsid w:val="009040E4"/>
    <w:rsid w:val="009105A9"/>
    <w:rsid w:val="009153C8"/>
    <w:rsid w:val="00915D11"/>
    <w:rsid w:val="00916177"/>
    <w:rsid w:val="00920A57"/>
    <w:rsid w:val="00923635"/>
    <w:rsid w:val="00932690"/>
    <w:rsid w:val="00944990"/>
    <w:rsid w:val="0095796A"/>
    <w:rsid w:val="00960B35"/>
    <w:rsid w:val="00961514"/>
    <w:rsid w:val="00965118"/>
    <w:rsid w:val="00971FD7"/>
    <w:rsid w:val="009733D3"/>
    <w:rsid w:val="00985D9E"/>
    <w:rsid w:val="00986AAC"/>
    <w:rsid w:val="009B1B8D"/>
    <w:rsid w:val="009B43DD"/>
    <w:rsid w:val="009C510D"/>
    <w:rsid w:val="009C5643"/>
    <w:rsid w:val="009C717A"/>
    <w:rsid w:val="009C7664"/>
    <w:rsid w:val="009D0D0C"/>
    <w:rsid w:val="009E705A"/>
    <w:rsid w:val="009F0EFE"/>
    <w:rsid w:val="00A04C2E"/>
    <w:rsid w:val="00A06ED4"/>
    <w:rsid w:val="00A07541"/>
    <w:rsid w:val="00A12917"/>
    <w:rsid w:val="00A14802"/>
    <w:rsid w:val="00A160A6"/>
    <w:rsid w:val="00A17579"/>
    <w:rsid w:val="00A42A65"/>
    <w:rsid w:val="00A545EE"/>
    <w:rsid w:val="00A55DD9"/>
    <w:rsid w:val="00A80C2D"/>
    <w:rsid w:val="00A8310B"/>
    <w:rsid w:val="00A87537"/>
    <w:rsid w:val="00A977C4"/>
    <w:rsid w:val="00AA1459"/>
    <w:rsid w:val="00AA30E9"/>
    <w:rsid w:val="00AA7F94"/>
    <w:rsid w:val="00AB1606"/>
    <w:rsid w:val="00AB19CD"/>
    <w:rsid w:val="00AB65F5"/>
    <w:rsid w:val="00AB6B9B"/>
    <w:rsid w:val="00AC132D"/>
    <w:rsid w:val="00AC2624"/>
    <w:rsid w:val="00AC3784"/>
    <w:rsid w:val="00AD205E"/>
    <w:rsid w:val="00AD413B"/>
    <w:rsid w:val="00AE28CF"/>
    <w:rsid w:val="00AE5FD4"/>
    <w:rsid w:val="00AE6EF0"/>
    <w:rsid w:val="00AF7C81"/>
    <w:rsid w:val="00B0012B"/>
    <w:rsid w:val="00B00A01"/>
    <w:rsid w:val="00B06FC3"/>
    <w:rsid w:val="00B0764B"/>
    <w:rsid w:val="00B13D99"/>
    <w:rsid w:val="00B16481"/>
    <w:rsid w:val="00B23757"/>
    <w:rsid w:val="00B2400B"/>
    <w:rsid w:val="00B27954"/>
    <w:rsid w:val="00B42AC5"/>
    <w:rsid w:val="00B45D65"/>
    <w:rsid w:val="00B47790"/>
    <w:rsid w:val="00B5079D"/>
    <w:rsid w:val="00B57E01"/>
    <w:rsid w:val="00B63172"/>
    <w:rsid w:val="00B71559"/>
    <w:rsid w:val="00B81930"/>
    <w:rsid w:val="00B81CAF"/>
    <w:rsid w:val="00B8265B"/>
    <w:rsid w:val="00B83C91"/>
    <w:rsid w:val="00B87543"/>
    <w:rsid w:val="00B91409"/>
    <w:rsid w:val="00B91B9D"/>
    <w:rsid w:val="00BA3812"/>
    <w:rsid w:val="00BA568C"/>
    <w:rsid w:val="00BB1524"/>
    <w:rsid w:val="00BB77E7"/>
    <w:rsid w:val="00BC1F88"/>
    <w:rsid w:val="00BC2762"/>
    <w:rsid w:val="00BC4E86"/>
    <w:rsid w:val="00BD6ED7"/>
    <w:rsid w:val="00BE08FA"/>
    <w:rsid w:val="00BE100E"/>
    <w:rsid w:val="00BE328D"/>
    <w:rsid w:val="00BE3A99"/>
    <w:rsid w:val="00BE63F6"/>
    <w:rsid w:val="00BF51A3"/>
    <w:rsid w:val="00C0163E"/>
    <w:rsid w:val="00C01BB6"/>
    <w:rsid w:val="00C025BA"/>
    <w:rsid w:val="00C06264"/>
    <w:rsid w:val="00C07587"/>
    <w:rsid w:val="00C10E61"/>
    <w:rsid w:val="00C12765"/>
    <w:rsid w:val="00C200A9"/>
    <w:rsid w:val="00C31B3F"/>
    <w:rsid w:val="00C358AC"/>
    <w:rsid w:val="00C4191F"/>
    <w:rsid w:val="00C464B4"/>
    <w:rsid w:val="00C47308"/>
    <w:rsid w:val="00C47D83"/>
    <w:rsid w:val="00C54389"/>
    <w:rsid w:val="00C60592"/>
    <w:rsid w:val="00C64D4D"/>
    <w:rsid w:val="00C67CE8"/>
    <w:rsid w:val="00C76E79"/>
    <w:rsid w:val="00C82055"/>
    <w:rsid w:val="00C919AB"/>
    <w:rsid w:val="00C92288"/>
    <w:rsid w:val="00C9596E"/>
    <w:rsid w:val="00C95C67"/>
    <w:rsid w:val="00C970FE"/>
    <w:rsid w:val="00C976A6"/>
    <w:rsid w:val="00CA1FC0"/>
    <w:rsid w:val="00CB2043"/>
    <w:rsid w:val="00CC3E21"/>
    <w:rsid w:val="00CC5805"/>
    <w:rsid w:val="00CD209A"/>
    <w:rsid w:val="00CD2C17"/>
    <w:rsid w:val="00CD5436"/>
    <w:rsid w:val="00CE2DBB"/>
    <w:rsid w:val="00CE49E9"/>
    <w:rsid w:val="00CE590C"/>
    <w:rsid w:val="00CF1283"/>
    <w:rsid w:val="00CF5A3D"/>
    <w:rsid w:val="00D00AE2"/>
    <w:rsid w:val="00D017C3"/>
    <w:rsid w:val="00D042B9"/>
    <w:rsid w:val="00D04BA0"/>
    <w:rsid w:val="00D04F4B"/>
    <w:rsid w:val="00D07993"/>
    <w:rsid w:val="00D14EF5"/>
    <w:rsid w:val="00D214CB"/>
    <w:rsid w:val="00D2362A"/>
    <w:rsid w:val="00D27A2E"/>
    <w:rsid w:val="00D323FB"/>
    <w:rsid w:val="00D33B30"/>
    <w:rsid w:val="00D34C89"/>
    <w:rsid w:val="00D377DA"/>
    <w:rsid w:val="00D401DC"/>
    <w:rsid w:val="00D51956"/>
    <w:rsid w:val="00D53A01"/>
    <w:rsid w:val="00D62A4D"/>
    <w:rsid w:val="00D63418"/>
    <w:rsid w:val="00D83BD5"/>
    <w:rsid w:val="00D85260"/>
    <w:rsid w:val="00D85F30"/>
    <w:rsid w:val="00D86D2A"/>
    <w:rsid w:val="00D912FC"/>
    <w:rsid w:val="00D976AD"/>
    <w:rsid w:val="00DB44F1"/>
    <w:rsid w:val="00DC7772"/>
    <w:rsid w:val="00DD1C70"/>
    <w:rsid w:val="00DD2917"/>
    <w:rsid w:val="00DD5C57"/>
    <w:rsid w:val="00DD7723"/>
    <w:rsid w:val="00DE1961"/>
    <w:rsid w:val="00DE6278"/>
    <w:rsid w:val="00DE7EEC"/>
    <w:rsid w:val="00DF387C"/>
    <w:rsid w:val="00DF4C01"/>
    <w:rsid w:val="00DF524A"/>
    <w:rsid w:val="00DF5485"/>
    <w:rsid w:val="00DF7835"/>
    <w:rsid w:val="00E017DE"/>
    <w:rsid w:val="00E0707D"/>
    <w:rsid w:val="00E14626"/>
    <w:rsid w:val="00E20EC4"/>
    <w:rsid w:val="00E2782F"/>
    <w:rsid w:val="00E27FA0"/>
    <w:rsid w:val="00E30E7C"/>
    <w:rsid w:val="00E325E8"/>
    <w:rsid w:val="00E40B17"/>
    <w:rsid w:val="00E41238"/>
    <w:rsid w:val="00E50610"/>
    <w:rsid w:val="00E50EC3"/>
    <w:rsid w:val="00E520FE"/>
    <w:rsid w:val="00E57069"/>
    <w:rsid w:val="00E677E7"/>
    <w:rsid w:val="00E72BF6"/>
    <w:rsid w:val="00E77A4B"/>
    <w:rsid w:val="00E84C73"/>
    <w:rsid w:val="00E84D4D"/>
    <w:rsid w:val="00E86207"/>
    <w:rsid w:val="00E93F14"/>
    <w:rsid w:val="00E94A27"/>
    <w:rsid w:val="00E954FF"/>
    <w:rsid w:val="00E96211"/>
    <w:rsid w:val="00E97711"/>
    <w:rsid w:val="00EA303B"/>
    <w:rsid w:val="00EA3E8E"/>
    <w:rsid w:val="00EB3377"/>
    <w:rsid w:val="00EE42E5"/>
    <w:rsid w:val="00EE4ABE"/>
    <w:rsid w:val="00EE625E"/>
    <w:rsid w:val="00EF4F14"/>
    <w:rsid w:val="00EF5B11"/>
    <w:rsid w:val="00EF7BC6"/>
    <w:rsid w:val="00F001D1"/>
    <w:rsid w:val="00F10375"/>
    <w:rsid w:val="00F2127A"/>
    <w:rsid w:val="00F216C0"/>
    <w:rsid w:val="00F21993"/>
    <w:rsid w:val="00F21E7F"/>
    <w:rsid w:val="00F2487E"/>
    <w:rsid w:val="00F278B0"/>
    <w:rsid w:val="00F3209E"/>
    <w:rsid w:val="00F42236"/>
    <w:rsid w:val="00F462D0"/>
    <w:rsid w:val="00F46D52"/>
    <w:rsid w:val="00F50970"/>
    <w:rsid w:val="00F565A6"/>
    <w:rsid w:val="00F605D5"/>
    <w:rsid w:val="00F62217"/>
    <w:rsid w:val="00F63A9D"/>
    <w:rsid w:val="00F659A0"/>
    <w:rsid w:val="00F720ED"/>
    <w:rsid w:val="00F72D53"/>
    <w:rsid w:val="00F752A1"/>
    <w:rsid w:val="00F77648"/>
    <w:rsid w:val="00F808D9"/>
    <w:rsid w:val="00F82950"/>
    <w:rsid w:val="00F8570A"/>
    <w:rsid w:val="00F8663B"/>
    <w:rsid w:val="00F9251E"/>
    <w:rsid w:val="00FA64AC"/>
    <w:rsid w:val="00FB28C2"/>
    <w:rsid w:val="00FB32FA"/>
    <w:rsid w:val="00FB5E40"/>
    <w:rsid w:val="00FD1503"/>
    <w:rsid w:val="00FD5AED"/>
    <w:rsid w:val="00FD6FEC"/>
    <w:rsid w:val="00FF3F99"/>
    <w:rsid w:val="00FF5C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D065A"/>
    <w:pPr>
      <w:ind w:left="720"/>
      <w:contextualSpacing/>
    </w:pPr>
  </w:style>
  <w:style w:type="paragraph" w:styleId="Nagwek">
    <w:name w:val="header"/>
    <w:basedOn w:val="Normalny"/>
    <w:link w:val="NagwekZnak"/>
    <w:uiPriority w:val="99"/>
    <w:unhideWhenUsed/>
    <w:rsid w:val="00E954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54FF"/>
  </w:style>
  <w:style w:type="paragraph" w:styleId="Stopka">
    <w:name w:val="footer"/>
    <w:basedOn w:val="Normalny"/>
    <w:link w:val="StopkaZnak"/>
    <w:uiPriority w:val="99"/>
    <w:unhideWhenUsed/>
    <w:rsid w:val="00E954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54FF"/>
  </w:style>
  <w:style w:type="paragraph" w:customStyle="1" w:styleId="ZARTzmartartykuempunktem">
    <w:name w:val="Z/ART(§) – zm. art. (§) artykułem (punktem)"/>
    <w:basedOn w:val="Normalny"/>
    <w:uiPriority w:val="32"/>
    <w:qFormat/>
    <w:rsid w:val="002938A3"/>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customStyle="1" w:styleId="Kkursywa">
    <w:name w:val="_K_ – kursywa"/>
    <w:basedOn w:val="Domylnaczcionkaakapitu"/>
    <w:uiPriority w:val="1"/>
    <w:qFormat/>
    <w:rsid w:val="002938A3"/>
    <w:rPr>
      <w:i/>
    </w:rPr>
  </w:style>
  <w:style w:type="character" w:styleId="Odwoaniedokomentarza">
    <w:name w:val="annotation reference"/>
    <w:basedOn w:val="Domylnaczcionkaakapitu"/>
    <w:uiPriority w:val="99"/>
    <w:semiHidden/>
    <w:unhideWhenUsed/>
    <w:rsid w:val="00915D11"/>
    <w:rPr>
      <w:sz w:val="16"/>
      <w:szCs w:val="16"/>
    </w:rPr>
  </w:style>
  <w:style w:type="paragraph" w:styleId="Tekstkomentarza">
    <w:name w:val="annotation text"/>
    <w:basedOn w:val="Normalny"/>
    <w:link w:val="TekstkomentarzaZnak"/>
    <w:uiPriority w:val="99"/>
    <w:semiHidden/>
    <w:unhideWhenUsed/>
    <w:rsid w:val="00915D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15D11"/>
    <w:rPr>
      <w:sz w:val="20"/>
      <w:szCs w:val="20"/>
    </w:rPr>
  </w:style>
  <w:style w:type="paragraph" w:styleId="Tematkomentarza">
    <w:name w:val="annotation subject"/>
    <w:basedOn w:val="Tekstkomentarza"/>
    <w:next w:val="Tekstkomentarza"/>
    <w:link w:val="TematkomentarzaZnak"/>
    <w:uiPriority w:val="99"/>
    <w:semiHidden/>
    <w:unhideWhenUsed/>
    <w:rsid w:val="00915D11"/>
    <w:rPr>
      <w:b/>
      <w:bCs/>
    </w:rPr>
  </w:style>
  <w:style w:type="character" w:customStyle="1" w:styleId="TematkomentarzaZnak">
    <w:name w:val="Temat komentarza Znak"/>
    <w:basedOn w:val="TekstkomentarzaZnak"/>
    <w:link w:val="Tematkomentarza"/>
    <w:uiPriority w:val="99"/>
    <w:semiHidden/>
    <w:rsid w:val="00915D11"/>
    <w:rPr>
      <w:b/>
      <w:bCs/>
      <w:sz w:val="20"/>
      <w:szCs w:val="20"/>
    </w:rPr>
  </w:style>
  <w:style w:type="paragraph" w:styleId="Tekstdymka">
    <w:name w:val="Balloon Text"/>
    <w:basedOn w:val="Normalny"/>
    <w:link w:val="TekstdymkaZnak"/>
    <w:uiPriority w:val="99"/>
    <w:semiHidden/>
    <w:unhideWhenUsed/>
    <w:rsid w:val="00915D1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15D11"/>
    <w:rPr>
      <w:rFonts w:ascii="Tahoma" w:hAnsi="Tahoma" w:cs="Tahoma"/>
      <w:sz w:val="16"/>
      <w:szCs w:val="16"/>
    </w:rPr>
  </w:style>
  <w:style w:type="paragraph" w:styleId="Tekstprzypisudolnego">
    <w:name w:val="footnote text"/>
    <w:basedOn w:val="Normalny"/>
    <w:link w:val="TekstprzypisudolnegoZnak"/>
    <w:uiPriority w:val="99"/>
    <w:semiHidden/>
    <w:unhideWhenUsed/>
    <w:rsid w:val="00673ED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73ED1"/>
    <w:rPr>
      <w:sz w:val="20"/>
      <w:szCs w:val="20"/>
    </w:rPr>
  </w:style>
  <w:style w:type="character" w:styleId="Odwoanieprzypisudolnego">
    <w:name w:val="footnote reference"/>
    <w:basedOn w:val="Domylnaczcionkaakapitu"/>
    <w:uiPriority w:val="99"/>
    <w:semiHidden/>
    <w:unhideWhenUsed/>
    <w:rsid w:val="00673ED1"/>
    <w:rPr>
      <w:vertAlign w:val="superscript"/>
    </w:rPr>
  </w:style>
  <w:style w:type="character" w:styleId="Hipercze">
    <w:name w:val="Hyperlink"/>
    <w:basedOn w:val="Domylnaczcionkaakapitu"/>
    <w:uiPriority w:val="99"/>
    <w:unhideWhenUsed/>
    <w:rsid w:val="00B47790"/>
    <w:rPr>
      <w:color w:val="0000FF" w:themeColor="hyperlink"/>
      <w:u w:val="single"/>
    </w:rPr>
  </w:style>
  <w:style w:type="paragraph" w:styleId="Tekstprzypisukocowego">
    <w:name w:val="endnote text"/>
    <w:basedOn w:val="Normalny"/>
    <w:link w:val="TekstprzypisukocowegoZnak"/>
    <w:uiPriority w:val="99"/>
    <w:semiHidden/>
    <w:unhideWhenUsed/>
    <w:rsid w:val="009C766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C7664"/>
    <w:rPr>
      <w:sz w:val="20"/>
      <w:szCs w:val="20"/>
    </w:rPr>
  </w:style>
  <w:style w:type="character" w:styleId="Odwoanieprzypisukocowego">
    <w:name w:val="endnote reference"/>
    <w:basedOn w:val="Domylnaczcionkaakapitu"/>
    <w:uiPriority w:val="99"/>
    <w:semiHidden/>
    <w:unhideWhenUsed/>
    <w:rsid w:val="009C7664"/>
    <w:rPr>
      <w:vertAlign w:val="superscript"/>
    </w:rPr>
  </w:style>
  <w:style w:type="paragraph" w:styleId="Poprawka">
    <w:name w:val="Revision"/>
    <w:hidden/>
    <w:uiPriority w:val="99"/>
    <w:semiHidden/>
    <w:rsid w:val="001A2EA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D065A"/>
    <w:pPr>
      <w:ind w:left="720"/>
      <w:contextualSpacing/>
    </w:pPr>
  </w:style>
  <w:style w:type="paragraph" w:styleId="Nagwek">
    <w:name w:val="header"/>
    <w:basedOn w:val="Normalny"/>
    <w:link w:val="NagwekZnak"/>
    <w:uiPriority w:val="99"/>
    <w:unhideWhenUsed/>
    <w:rsid w:val="00E954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54FF"/>
  </w:style>
  <w:style w:type="paragraph" w:styleId="Stopka">
    <w:name w:val="footer"/>
    <w:basedOn w:val="Normalny"/>
    <w:link w:val="StopkaZnak"/>
    <w:uiPriority w:val="99"/>
    <w:unhideWhenUsed/>
    <w:rsid w:val="00E954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54FF"/>
  </w:style>
  <w:style w:type="paragraph" w:customStyle="1" w:styleId="ZARTzmartartykuempunktem">
    <w:name w:val="Z/ART(§) – zm. art. (§) artykułem (punktem)"/>
    <w:basedOn w:val="Normalny"/>
    <w:uiPriority w:val="32"/>
    <w:qFormat/>
    <w:rsid w:val="002938A3"/>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customStyle="1" w:styleId="Kkursywa">
    <w:name w:val="_K_ – kursywa"/>
    <w:basedOn w:val="Domylnaczcionkaakapitu"/>
    <w:uiPriority w:val="1"/>
    <w:qFormat/>
    <w:rsid w:val="002938A3"/>
    <w:rPr>
      <w:i/>
    </w:rPr>
  </w:style>
  <w:style w:type="character" w:styleId="Odwoaniedokomentarza">
    <w:name w:val="annotation reference"/>
    <w:basedOn w:val="Domylnaczcionkaakapitu"/>
    <w:uiPriority w:val="99"/>
    <w:semiHidden/>
    <w:unhideWhenUsed/>
    <w:rsid w:val="00915D11"/>
    <w:rPr>
      <w:sz w:val="16"/>
      <w:szCs w:val="16"/>
    </w:rPr>
  </w:style>
  <w:style w:type="paragraph" w:styleId="Tekstkomentarza">
    <w:name w:val="annotation text"/>
    <w:basedOn w:val="Normalny"/>
    <w:link w:val="TekstkomentarzaZnak"/>
    <w:uiPriority w:val="99"/>
    <w:semiHidden/>
    <w:unhideWhenUsed/>
    <w:rsid w:val="00915D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15D11"/>
    <w:rPr>
      <w:sz w:val="20"/>
      <w:szCs w:val="20"/>
    </w:rPr>
  </w:style>
  <w:style w:type="paragraph" w:styleId="Tematkomentarza">
    <w:name w:val="annotation subject"/>
    <w:basedOn w:val="Tekstkomentarza"/>
    <w:next w:val="Tekstkomentarza"/>
    <w:link w:val="TematkomentarzaZnak"/>
    <w:uiPriority w:val="99"/>
    <w:semiHidden/>
    <w:unhideWhenUsed/>
    <w:rsid w:val="00915D11"/>
    <w:rPr>
      <w:b/>
      <w:bCs/>
    </w:rPr>
  </w:style>
  <w:style w:type="character" w:customStyle="1" w:styleId="TematkomentarzaZnak">
    <w:name w:val="Temat komentarza Znak"/>
    <w:basedOn w:val="TekstkomentarzaZnak"/>
    <w:link w:val="Tematkomentarza"/>
    <w:uiPriority w:val="99"/>
    <w:semiHidden/>
    <w:rsid w:val="00915D11"/>
    <w:rPr>
      <w:b/>
      <w:bCs/>
      <w:sz w:val="20"/>
      <w:szCs w:val="20"/>
    </w:rPr>
  </w:style>
  <w:style w:type="paragraph" w:styleId="Tekstdymka">
    <w:name w:val="Balloon Text"/>
    <w:basedOn w:val="Normalny"/>
    <w:link w:val="TekstdymkaZnak"/>
    <w:uiPriority w:val="99"/>
    <w:semiHidden/>
    <w:unhideWhenUsed/>
    <w:rsid w:val="00915D1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15D11"/>
    <w:rPr>
      <w:rFonts w:ascii="Tahoma" w:hAnsi="Tahoma" w:cs="Tahoma"/>
      <w:sz w:val="16"/>
      <w:szCs w:val="16"/>
    </w:rPr>
  </w:style>
  <w:style w:type="paragraph" w:styleId="Tekstprzypisudolnego">
    <w:name w:val="footnote text"/>
    <w:basedOn w:val="Normalny"/>
    <w:link w:val="TekstprzypisudolnegoZnak"/>
    <w:uiPriority w:val="99"/>
    <w:semiHidden/>
    <w:unhideWhenUsed/>
    <w:rsid w:val="00673ED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73ED1"/>
    <w:rPr>
      <w:sz w:val="20"/>
      <w:szCs w:val="20"/>
    </w:rPr>
  </w:style>
  <w:style w:type="character" w:styleId="Odwoanieprzypisudolnego">
    <w:name w:val="footnote reference"/>
    <w:basedOn w:val="Domylnaczcionkaakapitu"/>
    <w:uiPriority w:val="99"/>
    <w:semiHidden/>
    <w:unhideWhenUsed/>
    <w:rsid w:val="00673ED1"/>
    <w:rPr>
      <w:vertAlign w:val="superscript"/>
    </w:rPr>
  </w:style>
  <w:style w:type="character" w:styleId="Hipercze">
    <w:name w:val="Hyperlink"/>
    <w:basedOn w:val="Domylnaczcionkaakapitu"/>
    <w:uiPriority w:val="99"/>
    <w:unhideWhenUsed/>
    <w:rsid w:val="00B47790"/>
    <w:rPr>
      <w:color w:val="0000FF" w:themeColor="hyperlink"/>
      <w:u w:val="single"/>
    </w:rPr>
  </w:style>
  <w:style w:type="paragraph" w:styleId="Tekstprzypisukocowego">
    <w:name w:val="endnote text"/>
    <w:basedOn w:val="Normalny"/>
    <w:link w:val="TekstprzypisukocowegoZnak"/>
    <w:uiPriority w:val="99"/>
    <w:semiHidden/>
    <w:unhideWhenUsed/>
    <w:rsid w:val="009C766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C7664"/>
    <w:rPr>
      <w:sz w:val="20"/>
      <w:szCs w:val="20"/>
    </w:rPr>
  </w:style>
  <w:style w:type="character" w:styleId="Odwoanieprzypisukocowego">
    <w:name w:val="endnote reference"/>
    <w:basedOn w:val="Domylnaczcionkaakapitu"/>
    <w:uiPriority w:val="99"/>
    <w:semiHidden/>
    <w:unhideWhenUsed/>
    <w:rsid w:val="009C7664"/>
    <w:rPr>
      <w:vertAlign w:val="superscript"/>
    </w:rPr>
  </w:style>
  <w:style w:type="paragraph" w:styleId="Poprawka">
    <w:name w:val="Revision"/>
    <w:hidden/>
    <w:uiPriority w:val="99"/>
    <w:semiHidden/>
    <w:rsid w:val="001A2E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871665">
      <w:bodyDiv w:val="1"/>
      <w:marLeft w:val="0"/>
      <w:marRight w:val="0"/>
      <w:marTop w:val="0"/>
      <w:marBottom w:val="0"/>
      <w:divBdr>
        <w:top w:val="none" w:sz="0" w:space="0" w:color="auto"/>
        <w:left w:val="none" w:sz="0" w:space="0" w:color="auto"/>
        <w:bottom w:val="none" w:sz="0" w:space="0" w:color="auto"/>
        <w:right w:val="none" w:sz="0" w:space="0" w:color="auto"/>
      </w:divBdr>
      <w:divsChild>
        <w:div w:id="1143698405">
          <w:marLeft w:val="0"/>
          <w:marRight w:val="0"/>
          <w:marTop w:val="0"/>
          <w:marBottom w:val="0"/>
          <w:divBdr>
            <w:top w:val="none" w:sz="0" w:space="0" w:color="auto"/>
            <w:left w:val="none" w:sz="0" w:space="0" w:color="auto"/>
            <w:bottom w:val="none" w:sz="0" w:space="0" w:color="auto"/>
            <w:right w:val="none" w:sz="0" w:space="0" w:color="auto"/>
          </w:divBdr>
        </w:div>
        <w:div w:id="1334800449">
          <w:marLeft w:val="0"/>
          <w:marRight w:val="0"/>
          <w:marTop w:val="0"/>
          <w:marBottom w:val="0"/>
          <w:divBdr>
            <w:top w:val="none" w:sz="0" w:space="0" w:color="auto"/>
            <w:left w:val="none" w:sz="0" w:space="0" w:color="auto"/>
            <w:bottom w:val="none" w:sz="0" w:space="0" w:color="auto"/>
            <w:right w:val="none" w:sz="0" w:space="0" w:color="auto"/>
          </w:divBdr>
        </w:div>
      </w:divsChild>
    </w:div>
    <w:div w:id="432433940">
      <w:bodyDiv w:val="1"/>
      <w:marLeft w:val="0"/>
      <w:marRight w:val="0"/>
      <w:marTop w:val="0"/>
      <w:marBottom w:val="0"/>
      <w:divBdr>
        <w:top w:val="none" w:sz="0" w:space="0" w:color="auto"/>
        <w:left w:val="none" w:sz="0" w:space="0" w:color="auto"/>
        <w:bottom w:val="none" w:sz="0" w:space="0" w:color="auto"/>
        <w:right w:val="none" w:sz="0" w:space="0" w:color="auto"/>
      </w:divBdr>
    </w:div>
    <w:div w:id="653097883">
      <w:bodyDiv w:val="1"/>
      <w:marLeft w:val="0"/>
      <w:marRight w:val="0"/>
      <w:marTop w:val="0"/>
      <w:marBottom w:val="0"/>
      <w:divBdr>
        <w:top w:val="none" w:sz="0" w:space="0" w:color="auto"/>
        <w:left w:val="none" w:sz="0" w:space="0" w:color="auto"/>
        <w:bottom w:val="none" w:sz="0" w:space="0" w:color="auto"/>
        <w:right w:val="none" w:sz="0" w:space="0" w:color="auto"/>
      </w:divBdr>
    </w:div>
    <w:div w:id="680397348">
      <w:bodyDiv w:val="1"/>
      <w:marLeft w:val="0"/>
      <w:marRight w:val="0"/>
      <w:marTop w:val="0"/>
      <w:marBottom w:val="0"/>
      <w:divBdr>
        <w:top w:val="none" w:sz="0" w:space="0" w:color="auto"/>
        <w:left w:val="none" w:sz="0" w:space="0" w:color="auto"/>
        <w:bottom w:val="none" w:sz="0" w:space="0" w:color="auto"/>
        <w:right w:val="none" w:sz="0" w:space="0" w:color="auto"/>
      </w:divBdr>
    </w:div>
    <w:div w:id="1064528486">
      <w:bodyDiv w:val="1"/>
      <w:marLeft w:val="0"/>
      <w:marRight w:val="0"/>
      <w:marTop w:val="0"/>
      <w:marBottom w:val="0"/>
      <w:divBdr>
        <w:top w:val="none" w:sz="0" w:space="0" w:color="auto"/>
        <w:left w:val="none" w:sz="0" w:space="0" w:color="auto"/>
        <w:bottom w:val="none" w:sz="0" w:space="0" w:color="auto"/>
        <w:right w:val="none" w:sz="0" w:space="0" w:color="auto"/>
      </w:divBdr>
    </w:div>
    <w:div w:id="1074738450">
      <w:bodyDiv w:val="1"/>
      <w:marLeft w:val="0"/>
      <w:marRight w:val="0"/>
      <w:marTop w:val="0"/>
      <w:marBottom w:val="0"/>
      <w:divBdr>
        <w:top w:val="none" w:sz="0" w:space="0" w:color="auto"/>
        <w:left w:val="none" w:sz="0" w:space="0" w:color="auto"/>
        <w:bottom w:val="none" w:sz="0" w:space="0" w:color="auto"/>
        <w:right w:val="none" w:sz="0" w:space="0" w:color="auto"/>
      </w:divBdr>
    </w:div>
    <w:div w:id="1227449915">
      <w:bodyDiv w:val="1"/>
      <w:marLeft w:val="0"/>
      <w:marRight w:val="0"/>
      <w:marTop w:val="0"/>
      <w:marBottom w:val="0"/>
      <w:divBdr>
        <w:top w:val="none" w:sz="0" w:space="0" w:color="auto"/>
        <w:left w:val="none" w:sz="0" w:space="0" w:color="auto"/>
        <w:bottom w:val="none" w:sz="0" w:space="0" w:color="auto"/>
        <w:right w:val="none" w:sz="0" w:space="0" w:color="auto"/>
      </w:divBdr>
    </w:div>
    <w:div w:id="1565409070">
      <w:bodyDiv w:val="1"/>
      <w:marLeft w:val="0"/>
      <w:marRight w:val="0"/>
      <w:marTop w:val="0"/>
      <w:marBottom w:val="0"/>
      <w:divBdr>
        <w:top w:val="none" w:sz="0" w:space="0" w:color="auto"/>
        <w:left w:val="none" w:sz="0" w:space="0" w:color="auto"/>
        <w:bottom w:val="none" w:sz="0" w:space="0" w:color="auto"/>
        <w:right w:val="none" w:sz="0" w:space="0" w:color="auto"/>
      </w:divBdr>
      <w:divsChild>
        <w:div w:id="331107753">
          <w:marLeft w:val="0"/>
          <w:marRight w:val="0"/>
          <w:marTop w:val="0"/>
          <w:marBottom w:val="0"/>
          <w:divBdr>
            <w:top w:val="none" w:sz="0" w:space="0" w:color="auto"/>
            <w:left w:val="none" w:sz="0" w:space="0" w:color="auto"/>
            <w:bottom w:val="none" w:sz="0" w:space="0" w:color="auto"/>
            <w:right w:val="none" w:sz="0" w:space="0" w:color="auto"/>
          </w:divBdr>
          <w:divsChild>
            <w:div w:id="2049791789">
              <w:marLeft w:val="0"/>
              <w:marRight w:val="0"/>
              <w:marTop w:val="0"/>
              <w:marBottom w:val="0"/>
              <w:divBdr>
                <w:top w:val="none" w:sz="0" w:space="0" w:color="auto"/>
                <w:left w:val="none" w:sz="0" w:space="0" w:color="auto"/>
                <w:bottom w:val="none" w:sz="0" w:space="0" w:color="auto"/>
                <w:right w:val="none" w:sz="0" w:space="0" w:color="auto"/>
              </w:divBdr>
            </w:div>
            <w:div w:id="2057075932">
              <w:marLeft w:val="0"/>
              <w:marRight w:val="0"/>
              <w:marTop w:val="0"/>
              <w:marBottom w:val="0"/>
              <w:divBdr>
                <w:top w:val="none" w:sz="0" w:space="0" w:color="auto"/>
                <w:left w:val="none" w:sz="0" w:space="0" w:color="auto"/>
                <w:bottom w:val="none" w:sz="0" w:space="0" w:color="auto"/>
                <w:right w:val="none" w:sz="0" w:space="0" w:color="auto"/>
              </w:divBdr>
            </w:div>
            <w:div w:id="783159841">
              <w:marLeft w:val="0"/>
              <w:marRight w:val="0"/>
              <w:marTop w:val="0"/>
              <w:marBottom w:val="0"/>
              <w:divBdr>
                <w:top w:val="none" w:sz="0" w:space="0" w:color="auto"/>
                <w:left w:val="none" w:sz="0" w:space="0" w:color="auto"/>
                <w:bottom w:val="none" w:sz="0" w:space="0" w:color="auto"/>
                <w:right w:val="none" w:sz="0" w:space="0" w:color="auto"/>
              </w:divBdr>
            </w:div>
            <w:div w:id="2097899817">
              <w:marLeft w:val="0"/>
              <w:marRight w:val="0"/>
              <w:marTop w:val="0"/>
              <w:marBottom w:val="0"/>
              <w:divBdr>
                <w:top w:val="none" w:sz="0" w:space="0" w:color="auto"/>
                <w:left w:val="none" w:sz="0" w:space="0" w:color="auto"/>
                <w:bottom w:val="none" w:sz="0" w:space="0" w:color="auto"/>
                <w:right w:val="none" w:sz="0" w:space="0" w:color="auto"/>
              </w:divBdr>
            </w:div>
            <w:div w:id="1949117997">
              <w:marLeft w:val="0"/>
              <w:marRight w:val="0"/>
              <w:marTop w:val="0"/>
              <w:marBottom w:val="0"/>
              <w:divBdr>
                <w:top w:val="none" w:sz="0" w:space="0" w:color="auto"/>
                <w:left w:val="none" w:sz="0" w:space="0" w:color="auto"/>
                <w:bottom w:val="none" w:sz="0" w:space="0" w:color="auto"/>
                <w:right w:val="none" w:sz="0" w:space="0" w:color="auto"/>
              </w:divBdr>
            </w:div>
            <w:div w:id="2092117229">
              <w:marLeft w:val="0"/>
              <w:marRight w:val="0"/>
              <w:marTop w:val="0"/>
              <w:marBottom w:val="0"/>
              <w:divBdr>
                <w:top w:val="none" w:sz="0" w:space="0" w:color="auto"/>
                <w:left w:val="none" w:sz="0" w:space="0" w:color="auto"/>
                <w:bottom w:val="none" w:sz="0" w:space="0" w:color="auto"/>
                <w:right w:val="none" w:sz="0" w:space="0" w:color="auto"/>
              </w:divBdr>
            </w:div>
            <w:div w:id="56145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3783">
      <w:bodyDiv w:val="1"/>
      <w:marLeft w:val="0"/>
      <w:marRight w:val="0"/>
      <w:marTop w:val="0"/>
      <w:marBottom w:val="0"/>
      <w:divBdr>
        <w:top w:val="none" w:sz="0" w:space="0" w:color="auto"/>
        <w:left w:val="none" w:sz="0" w:space="0" w:color="auto"/>
        <w:bottom w:val="none" w:sz="0" w:space="0" w:color="auto"/>
        <w:right w:val="none" w:sz="0" w:space="0" w:color="auto"/>
      </w:divBdr>
    </w:div>
    <w:div w:id="2056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eur-lex.europa.eu/legal-content/EN/TXT/PDF/?uri=CELEX:52009SC0576&amp;from=EN"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91DE2-BB66-4247-AD16-72EFFFBAA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21189</Words>
  <Characters>127139</Characters>
  <Application>Microsoft Office Word</Application>
  <DocSecurity>0</DocSecurity>
  <Lines>1059</Lines>
  <Paragraphs>296</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148032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Mróz Anna</dc:creator>
  <cp:lastModifiedBy>Grażyna D. Grabowska</cp:lastModifiedBy>
  <cp:revision>2</cp:revision>
  <cp:lastPrinted>2015-10-23T10:04:00Z</cp:lastPrinted>
  <dcterms:created xsi:type="dcterms:W3CDTF">2015-12-04T13:38:00Z</dcterms:created>
  <dcterms:modified xsi:type="dcterms:W3CDTF">2015-12-04T13:38:00Z</dcterms:modified>
</cp:coreProperties>
</file>