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B7" w:rsidRPr="00FA45B7" w:rsidRDefault="00FA45B7" w:rsidP="00FA45B7">
      <w:pPr>
        <w:keepNext/>
        <w:widowControl/>
        <w:autoSpaceDE/>
        <w:autoSpaceDN/>
        <w:adjustRightInd/>
        <w:spacing w:before="120"/>
        <w:jc w:val="center"/>
        <w:rPr>
          <w:rFonts w:ascii="Times" w:hAnsi="Times"/>
          <w:bCs/>
          <w:caps/>
          <w:kern w:val="24"/>
          <w:szCs w:val="24"/>
        </w:rPr>
      </w:pPr>
      <w:bookmarkStart w:id="0" w:name="_GoBack"/>
      <w:bookmarkEnd w:id="0"/>
      <w:r w:rsidRPr="00FA45B7">
        <w:rPr>
          <w:rFonts w:ascii="Times" w:hAnsi="Times"/>
          <w:bCs/>
          <w:caps/>
          <w:kern w:val="24"/>
          <w:szCs w:val="24"/>
        </w:rPr>
        <w:t>UZASADNIENIE</w:t>
      </w:r>
    </w:p>
    <w:p w:rsidR="00FA45B7" w:rsidRPr="00FA45B7" w:rsidRDefault="00FA45B7" w:rsidP="00FA45B7">
      <w:pPr>
        <w:widowControl/>
        <w:suppressAutoHyphens/>
        <w:spacing w:before="240"/>
        <w:rPr>
          <w:rFonts w:ascii="Times" w:hAnsi="Times"/>
          <w:bCs/>
        </w:rPr>
      </w:pPr>
      <w:r w:rsidRPr="00FA45B7">
        <w:rPr>
          <w:rFonts w:ascii="Times" w:hAnsi="Times"/>
          <w:bCs/>
        </w:rPr>
        <w:t>Proponowane zmiany ustawy z dnia 29 lipca 2005</w:t>
      </w:r>
      <w:r>
        <w:rPr>
          <w:rFonts w:ascii="Times" w:hAnsi="Times"/>
          <w:bCs/>
        </w:rPr>
        <w:t xml:space="preserve"> </w:t>
      </w:r>
      <w:r w:rsidRPr="00FA45B7">
        <w:rPr>
          <w:rFonts w:ascii="Times" w:hAnsi="Times"/>
          <w:bCs/>
        </w:rPr>
        <w:t>r. o ofercie publicznej i warunkach wprowadzania instrumentów finansowych do zorganizowanego systemu obrotu oraz o spółkach publicznych (Dz. U. z 2013 r. poz. 1382, z późn. zm.), zwanej dalej „ustawą o</w:t>
      </w:r>
      <w:r>
        <w:rPr>
          <w:rFonts w:ascii="Times" w:hAnsi="Times"/>
          <w:bCs/>
        </w:rPr>
        <w:t> </w:t>
      </w:r>
      <w:r w:rsidRPr="00FA45B7">
        <w:rPr>
          <w:rFonts w:ascii="Times" w:hAnsi="Times"/>
          <w:bCs/>
        </w:rPr>
        <w:t>ofercie”, mają na celu przede wszystkim wdrożenie do polskiego porządku prawnego dyrektywy Parlamentu Europejskiego i Rady 2013/50/UE z dnia 22 października 2013</w:t>
      </w:r>
      <w:r>
        <w:rPr>
          <w:rFonts w:ascii="Times" w:hAnsi="Times"/>
          <w:bCs/>
        </w:rPr>
        <w:t> </w:t>
      </w:r>
      <w:r w:rsidRPr="00FA45B7">
        <w:rPr>
          <w:rFonts w:ascii="Times" w:hAnsi="Times"/>
          <w:bCs/>
        </w:rPr>
        <w:t>r. zmieniającej dyrektywę 2004/109/WE Parlamentu Europejskiego i Rady w sprawie harmonizacji wymogów dotyczących przejrzystości informacji o emitentach, których papiery wartościowe dopuszczane są do obrotu na rynku regulowanym, dyrektywę 2003/71/WE Parlamentu Europejskiego i Rady w sprawie prospektu emisyjnego publikowanego w związku z publiczną ofertą lub dopuszczeniem do obrotu papierów wartościowych oraz dyrektywę Komisji 2007/14/WE ustanawiającą szczegółowe zasady wdrożenia niektórych przepisów dyrektywy 2004/109/WE (Dz.</w:t>
      </w:r>
      <w:r>
        <w:rPr>
          <w:rFonts w:ascii="Times" w:hAnsi="Times"/>
          <w:bCs/>
        </w:rPr>
        <w:t> </w:t>
      </w:r>
      <w:r w:rsidRPr="00FA45B7">
        <w:rPr>
          <w:rFonts w:ascii="Times" w:hAnsi="Times"/>
          <w:bCs/>
        </w:rPr>
        <w:t xml:space="preserve">Urz. UE L 294 z 6.11.2013, str. 13, z późn. zm.). </w:t>
      </w:r>
    </w:p>
    <w:p w:rsidR="00FA45B7" w:rsidRPr="00FA45B7" w:rsidRDefault="00FA45B7" w:rsidP="00FA45B7">
      <w:pPr>
        <w:widowControl/>
        <w:suppressAutoHyphens/>
        <w:spacing w:before="120"/>
        <w:rPr>
          <w:rFonts w:ascii="Times" w:hAnsi="Times"/>
          <w:bCs/>
        </w:rPr>
      </w:pPr>
      <w:r w:rsidRPr="00FA45B7">
        <w:rPr>
          <w:rFonts w:ascii="Times" w:hAnsi="Times"/>
          <w:bCs/>
        </w:rPr>
        <w:t>Wymieniona dyrektywa realizuje w szczególności potrzebę zwiększenia skuteczności istniejącego systemu dotyczącego przejrzystości, zwłaszcza w zakresie ujawniania informacji na temat własności przedsiębiorstwa. Celem tej dyrektywy jest również wzmocnienie systemu kar i</w:t>
      </w:r>
      <w:r>
        <w:rPr>
          <w:rFonts w:ascii="Times" w:hAnsi="Times"/>
          <w:bCs/>
        </w:rPr>
        <w:t xml:space="preserve"> </w:t>
      </w:r>
      <w:r w:rsidRPr="00FA45B7">
        <w:rPr>
          <w:rFonts w:ascii="Times" w:hAnsi="Times"/>
          <w:bCs/>
        </w:rPr>
        <w:t xml:space="preserve">środków administracyjnych za naruszenia przepisów dyrektywy 2004/109/WE zmienionej dyrektywą 2013/50/UE, co przyczyni się do wzrostu bezpieczeństwa obrotu na rynku kapitałowym oraz ochrony inwestorów. </w:t>
      </w:r>
    </w:p>
    <w:p w:rsidR="00FA45B7" w:rsidRPr="00FA45B7" w:rsidRDefault="00FA45B7" w:rsidP="00FA45B7">
      <w:pPr>
        <w:widowControl/>
        <w:suppressAutoHyphens/>
        <w:spacing w:before="120"/>
        <w:rPr>
          <w:rFonts w:ascii="Times" w:hAnsi="Times"/>
          <w:bCs/>
        </w:rPr>
      </w:pPr>
      <w:r w:rsidRPr="00FA45B7">
        <w:rPr>
          <w:rFonts w:ascii="Times" w:hAnsi="Times"/>
          <w:bCs/>
        </w:rPr>
        <w:t>Zaproponowane w projekcie ustawy regulacje będą w szczególności odnosić się do zagadnień:</w:t>
      </w:r>
    </w:p>
    <w:p w:rsidR="00FA45B7" w:rsidRPr="00FA45B7" w:rsidRDefault="00FA45B7" w:rsidP="00FA45B7">
      <w:pPr>
        <w:widowControl/>
        <w:suppressAutoHyphens/>
        <w:ind w:left="284" w:hanging="284"/>
        <w:rPr>
          <w:rFonts w:ascii="Times" w:hAnsi="Times"/>
          <w:bCs/>
        </w:rPr>
      </w:pPr>
      <w:r w:rsidRPr="00FA45B7">
        <w:rPr>
          <w:rFonts w:ascii="Times" w:hAnsi="Times"/>
          <w:bCs/>
        </w:rPr>
        <w:t>1</w:t>
      </w:r>
      <w:r>
        <w:rPr>
          <w:rFonts w:ascii="Times" w:hAnsi="Times"/>
          <w:bCs/>
        </w:rPr>
        <w:t>)</w:t>
      </w:r>
      <w:r>
        <w:rPr>
          <w:rFonts w:ascii="Times" w:hAnsi="Times"/>
          <w:bCs/>
        </w:rPr>
        <w:tab/>
      </w:r>
      <w:r w:rsidRPr="00FA45B7">
        <w:rPr>
          <w:rFonts w:ascii="Times" w:hAnsi="Times"/>
          <w:bCs/>
        </w:rPr>
        <w:t>zmiany definicji „państwa macierzystego” oraz procedury wyboru przez emitenta tego państwa i zawiadamiania o tym wyborze,</w:t>
      </w:r>
    </w:p>
    <w:p w:rsidR="00FA45B7" w:rsidRPr="00FA45B7" w:rsidRDefault="00FA45B7" w:rsidP="00FA45B7">
      <w:pPr>
        <w:widowControl/>
        <w:suppressAutoHyphens/>
        <w:ind w:left="284" w:hanging="284"/>
        <w:rPr>
          <w:rFonts w:ascii="Times" w:hAnsi="Times"/>
          <w:bCs/>
        </w:rPr>
      </w:pPr>
      <w:r w:rsidRPr="00FA45B7">
        <w:rPr>
          <w:rFonts w:ascii="Times" w:hAnsi="Times"/>
          <w:bCs/>
        </w:rPr>
        <w:t>2</w:t>
      </w:r>
      <w:r>
        <w:rPr>
          <w:rFonts w:ascii="Times" w:hAnsi="Times"/>
          <w:bCs/>
        </w:rPr>
        <w:t>)</w:t>
      </w:r>
      <w:r>
        <w:rPr>
          <w:rFonts w:ascii="Times" w:hAnsi="Times"/>
          <w:bCs/>
        </w:rPr>
        <w:tab/>
      </w:r>
      <w:r w:rsidRPr="00FA45B7">
        <w:rPr>
          <w:rFonts w:ascii="Times" w:hAnsi="Times"/>
          <w:bCs/>
        </w:rPr>
        <w:t>zawiadamiania o znacznych pakietach praw głosu w spółce publicznej,</w:t>
      </w:r>
    </w:p>
    <w:p w:rsidR="00FA45B7" w:rsidRPr="00FA45B7" w:rsidRDefault="00FA45B7" w:rsidP="00FA45B7">
      <w:pPr>
        <w:widowControl/>
        <w:suppressAutoHyphens/>
        <w:ind w:left="284" w:hanging="284"/>
        <w:rPr>
          <w:rFonts w:ascii="Times" w:hAnsi="Times"/>
          <w:bCs/>
        </w:rPr>
      </w:pPr>
      <w:r w:rsidRPr="00FA45B7">
        <w:rPr>
          <w:rFonts w:ascii="Times" w:hAnsi="Times"/>
          <w:bCs/>
        </w:rPr>
        <w:t>3)</w:t>
      </w:r>
      <w:r>
        <w:rPr>
          <w:rFonts w:ascii="Times" w:hAnsi="Times"/>
          <w:bCs/>
        </w:rPr>
        <w:tab/>
      </w:r>
      <w:r w:rsidRPr="00FA45B7">
        <w:rPr>
          <w:rFonts w:ascii="Times" w:hAnsi="Times"/>
          <w:bCs/>
        </w:rPr>
        <w:t>nakładania kar i stosowania środków administracyjnych za naruszenia przepisów wynikających z dyrektywy 2004/109/WE.</w:t>
      </w:r>
    </w:p>
    <w:p w:rsidR="00FA45B7" w:rsidRPr="00FA45B7" w:rsidRDefault="00FA45B7" w:rsidP="00FA45B7">
      <w:pPr>
        <w:widowControl/>
        <w:suppressAutoHyphens/>
        <w:spacing w:before="120"/>
        <w:rPr>
          <w:rFonts w:ascii="Times" w:hAnsi="Times"/>
          <w:bCs/>
        </w:rPr>
      </w:pPr>
      <w:r w:rsidRPr="00FA45B7">
        <w:rPr>
          <w:rFonts w:ascii="Times" w:hAnsi="Times"/>
          <w:bCs/>
        </w:rPr>
        <w:t xml:space="preserve">Oprócz tego projektowana ustawa ma na celu wdrożenie przepisów dyrektywy Parlamentu Europejskiego i Rady 2014/51/UE z dnia 16 kwietnia 2014 r. zmieniającej dyrektywy 2003/71/WE i 2009/138/WE oraz rozporządzenia (WE) nr 1060/2009, (UE) nr 1094/2010 i (UE) nr 1095/2010 w zakresie uprawnień Europejskiego Urzędu Nadzoru (Europejskiego Urzędu Nadzoru Ubezpieczeń i Pracowniczych Programów </w:t>
      </w:r>
      <w:r w:rsidRPr="00FA45B7">
        <w:rPr>
          <w:rFonts w:ascii="Times" w:hAnsi="Times"/>
          <w:bCs/>
        </w:rPr>
        <w:lastRenderedPageBreak/>
        <w:t>Emerytalnych) oraz Europejskiego Urzędu Nadzoru (Europejskiego Urzędu Nadzoru Giełd i Papierów Wartościowych) (Dz. Urz. UE L 153 z 22.05.2014, str. 1, z</w:t>
      </w:r>
      <w:r w:rsidR="00D01DB1">
        <w:rPr>
          <w:rFonts w:ascii="Times" w:hAnsi="Times"/>
          <w:bCs/>
        </w:rPr>
        <w:t> </w:t>
      </w:r>
      <w:r w:rsidRPr="00FA45B7">
        <w:rPr>
          <w:rFonts w:ascii="Times" w:hAnsi="Times"/>
          <w:bCs/>
        </w:rPr>
        <w:t>późn.</w:t>
      </w:r>
      <w:r w:rsidR="00D01DB1">
        <w:rPr>
          <w:rFonts w:ascii="Times" w:hAnsi="Times"/>
          <w:bCs/>
        </w:rPr>
        <w:t> </w:t>
      </w:r>
      <w:r w:rsidRPr="00FA45B7">
        <w:rPr>
          <w:rFonts w:ascii="Times" w:hAnsi="Times"/>
          <w:bCs/>
        </w:rPr>
        <w:t>zm.), w zakresie zmiany dyrektywy 2003/71/WE. Tego zagadnienia dotyczy zaproponowana zmiana brzmienia ust. 1 w art. 24 ustawy o ofercie.</w:t>
      </w:r>
    </w:p>
    <w:p w:rsidR="00FA45B7" w:rsidRPr="00FA45B7" w:rsidRDefault="00FA45B7" w:rsidP="00FA45B7">
      <w:pPr>
        <w:widowControl/>
        <w:suppressAutoHyphens/>
        <w:spacing w:before="120"/>
        <w:rPr>
          <w:rFonts w:ascii="Times" w:hAnsi="Times"/>
          <w:bCs/>
        </w:rPr>
      </w:pPr>
      <w:r w:rsidRPr="00FA45B7">
        <w:rPr>
          <w:rFonts w:ascii="Times" w:hAnsi="Times"/>
          <w:bCs/>
        </w:rPr>
        <w:t xml:space="preserve">Ponadto, w związku z wątpliwościami Komisji Europejskiej dotyczącymi prawidłowości implementacji do polskiego prawa </w:t>
      </w:r>
      <w:r>
        <w:rPr>
          <w:rFonts w:ascii="Times" w:hAnsi="Times"/>
          <w:bCs/>
        </w:rPr>
        <w:t>dyrektywy 2010/73/UE z dnia 24 </w:t>
      </w:r>
      <w:r w:rsidRPr="00FA45B7">
        <w:rPr>
          <w:rFonts w:ascii="Times" w:hAnsi="Times"/>
          <w:bCs/>
        </w:rPr>
        <w:t>listopada 2010</w:t>
      </w:r>
      <w:r>
        <w:rPr>
          <w:rFonts w:ascii="Times" w:hAnsi="Times"/>
          <w:bCs/>
        </w:rPr>
        <w:t xml:space="preserve"> </w:t>
      </w:r>
      <w:r w:rsidRPr="00FA45B7">
        <w:rPr>
          <w:rFonts w:ascii="Times" w:hAnsi="Times"/>
          <w:bCs/>
        </w:rPr>
        <w:t>r. zmieniającej dyrektywę 2003/71/WE w sprawie prospektu emisyjnego publikowanego w związku z publiczną ofertą lub dopuszczeniem do obrotu papierów wartościowych oraz dyrektywę 2004/109/WE w sprawie harmonizacji wymogów dotyczących przejrzystości informacji o emitentach, których papiery wartościowe dopuszczane są do obrotu na rynku regulowanym, projektowana ustawa przewiduje zmiany mające na celu doprecyzowanie przepisów ustawy o ofercie, którymi zaimplementowana już została dyrektywa 2010/73/UE. Odnosi się to do proponowanych zmian art. 3 ust. 1 i 3, art. 15a ust. 1, art. 23, art. 49 ust. 1, art. 53 ust. 1 i art. 98 ust. 2 ustawy o ofercie oraz dodawanego art. 22a w tej ustawie.</w:t>
      </w:r>
    </w:p>
    <w:p w:rsidR="00FA45B7" w:rsidRPr="00FA45B7" w:rsidRDefault="00FA45B7" w:rsidP="00FA45B7">
      <w:pPr>
        <w:widowControl/>
        <w:suppressAutoHyphens/>
        <w:spacing w:before="120"/>
        <w:rPr>
          <w:rFonts w:ascii="Times" w:hAnsi="Times"/>
          <w:bCs/>
        </w:rPr>
      </w:pPr>
      <w:r w:rsidRPr="00FA45B7">
        <w:rPr>
          <w:rFonts w:ascii="Times" w:hAnsi="Times"/>
          <w:bCs/>
        </w:rPr>
        <w:t>Projektowana ustawa przewiduje również zmiany doprecyzowujące niektóre przepisy ustawy o ofercie, co wynika z doświadczeń i spostrzeżeń związanych z praktycznym stosowaniem przepisów tej ustawy, w związku z nadzorem sprawowanym przez Komisję Nadzoru Finansowego, zwaną dalej „KNF”.</w:t>
      </w:r>
    </w:p>
    <w:p w:rsidR="00FA45B7" w:rsidRPr="00FA45B7" w:rsidRDefault="00FA45B7" w:rsidP="00FA45B7">
      <w:pPr>
        <w:widowControl/>
        <w:suppressAutoHyphens/>
        <w:spacing w:before="120"/>
        <w:rPr>
          <w:rFonts w:ascii="Times" w:hAnsi="Times"/>
        </w:rPr>
      </w:pPr>
      <w:r w:rsidRPr="00FA45B7">
        <w:rPr>
          <w:rFonts w:ascii="Times" w:hAnsi="Times"/>
        </w:rPr>
        <w:t xml:space="preserve">Należy nadmienić, że w celu wdrożenia przepisów dyrektywy 2013/50/UE niezbędne będzie również wprowadzenie zmian do rozporządzenia Ministra Finansów </w:t>
      </w:r>
      <w:r>
        <w:rPr>
          <w:rFonts w:ascii="Times" w:hAnsi="Times"/>
        </w:rPr>
        <w:t>z dnia 19 </w:t>
      </w:r>
      <w:r w:rsidRPr="00FA45B7">
        <w:rPr>
          <w:rFonts w:ascii="Times" w:hAnsi="Times"/>
        </w:rPr>
        <w:t xml:space="preserve">lutego 2009 r. w sprawie informacji bieżących i okresowych przekazywanych przez emitentów papierów wartościowych oraz warunków uznawania za równoważne informacji wymaganych przepisami prawa państwa niebędącego państwem członkowskim (Dz. U. z 2014 r. poz. 133). Dotyczy to w szczególności zapisów dyrektywy odnoszących się do przedłużenia terminu publikacji przez emitenta półrocznego sprawozdania finansowego do 3 miesięcy po zakończeniu okresu objętego sprawozdaniem, obowiązku publikowania okresowych informacji finansowych przez emitenta zasadniczo w formie rocznych sprawozdań finansowych i półrocznych sprawozdań finansowych oraz obowiązku emitenta prowadzącego działalność w przemyśle wydobywczym lub w przemyśle pozyskiwania drewna z lasów pierwotnych corocznego ujawniania płatności dokonywanych na rzecz administracji rządowej. </w:t>
      </w:r>
    </w:p>
    <w:p w:rsidR="00FA45B7" w:rsidRPr="00FA45B7" w:rsidRDefault="00FA45B7" w:rsidP="00FA45B7">
      <w:pPr>
        <w:widowControl/>
        <w:suppressAutoHyphens/>
        <w:spacing w:before="120"/>
        <w:rPr>
          <w:rFonts w:ascii="Times" w:hAnsi="Times"/>
          <w:bCs/>
        </w:rPr>
      </w:pPr>
      <w:r w:rsidRPr="00FA45B7">
        <w:rPr>
          <w:rFonts w:ascii="Times" w:hAnsi="Times"/>
          <w:bCs/>
        </w:rPr>
        <w:lastRenderedPageBreak/>
        <w:t>W ocenie projektodawcy proponowane rozwiązania implementujące regulacje dyrektywy 2013/50/UE przyczynią się do zmniejszenia obowiązków emitentów, wzmocnienia bezpieczeństwa obrotu na rynku kapitałowym oraz ochrony inwestorów.</w:t>
      </w:r>
    </w:p>
    <w:p w:rsidR="00FA45B7" w:rsidRPr="00FA45B7" w:rsidRDefault="00FA45B7" w:rsidP="00FA45B7">
      <w:pPr>
        <w:keepNext/>
        <w:widowControl/>
        <w:autoSpaceDE/>
        <w:autoSpaceDN/>
        <w:adjustRightInd/>
        <w:spacing w:before="120"/>
        <w:jc w:val="center"/>
        <w:rPr>
          <w:rFonts w:ascii="Times" w:hAnsi="Times"/>
          <w:bCs/>
          <w:caps/>
          <w:kern w:val="24"/>
          <w:szCs w:val="24"/>
        </w:rPr>
      </w:pPr>
    </w:p>
    <w:p w:rsidR="00FA45B7" w:rsidRPr="00FA45B7" w:rsidRDefault="00FA45B7" w:rsidP="00FA45B7">
      <w:pPr>
        <w:keepNext/>
        <w:widowControl/>
        <w:autoSpaceDE/>
        <w:autoSpaceDN/>
        <w:adjustRightInd/>
        <w:spacing w:before="120"/>
        <w:jc w:val="center"/>
        <w:rPr>
          <w:rFonts w:ascii="Times" w:hAnsi="Times"/>
          <w:bCs/>
          <w:caps/>
          <w:kern w:val="24"/>
          <w:szCs w:val="24"/>
        </w:rPr>
      </w:pPr>
      <w:r w:rsidRPr="00FA45B7">
        <w:rPr>
          <w:rFonts w:ascii="Times" w:hAnsi="Times"/>
          <w:bCs/>
          <w:caps/>
          <w:kern w:val="24"/>
          <w:szCs w:val="24"/>
        </w:rPr>
        <w:t>UZASADNIENIE SzCZEGÓŁOWE</w:t>
      </w:r>
    </w:p>
    <w:p w:rsidR="00FA45B7" w:rsidRPr="00FA45B7" w:rsidRDefault="00FA45B7" w:rsidP="00FA45B7">
      <w:pPr>
        <w:widowControl/>
        <w:suppressAutoHyphens/>
        <w:spacing w:before="120"/>
        <w:rPr>
          <w:rFonts w:ascii="Times" w:hAnsi="Times"/>
          <w:b/>
          <w:bCs/>
        </w:rPr>
      </w:pPr>
      <w:r w:rsidRPr="00FA45B7">
        <w:rPr>
          <w:rFonts w:ascii="Times" w:hAnsi="Times"/>
          <w:b/>
          <w:bCs/>
        </w:rPr>
        <w:t>Art. 1 pkt 1</w:t>
      </w:r>
    </w:p>
    <w:p w:rsidR="00FA45B7" w:rsidRPr="00FA45B7" w:rsidRDefault="00FA45B7" w:rsidP="00FA45B7">
      <w:pPr>
        <w:widowControl/>
        <w:suppressAutoHyphens/>
        <w:spacing w:before="120"/>
        <w:rPr>
          <w:rFonts w:ascii="Times" w:hAnsi="Times"/>
          <w:bCs/>
        </w:rPr>
      </w:pPr>
      <w:r w:rsidRPr="00FA45B7">
        <w:rPr>
          <w:rFonts w:ascii="Times" w:hAnsi="Times"/>
          <w:bCs/>
        </w:rPr>
        <w:t>lit. a i b</w:t>
      </w:r>
    </w:p>
    <w:p w:rsidR="00FA45B7" w:rsidRPr="00FA45B7" w:rsidRDefault="00FA45B7" w:rsidP="00FA45B7">
      <w:pPr>
        <w:widowControl/>
        <w:suppressAutoHyphens/>
        <w:spacing w:before="120"/>
        <w:rPr>
          <w:rFonts w:ascii="Times" w:hAnsi="Times"/>
          <w:bCs/>
        </w:rPr>
      </w:pPr>
      <w:r w:rsidRPr="00FA45B7">
        <w:rPr>
          <w:rFonts w:ascii="Times" w:hAnsi="Times"/>
          <w:bCs/>
        </w:rPr>
        <w:t>Zaproponowane zmiany ust. 1 i 3 w art. 3 mają na celu doprecyzowanie implementacji art. 1 pkt 3 lit. a (i) dyrektywy 2010/73/UE zmieniającego art. 3 ust. 2 akapit pierwszy lit. b dyrektywy 2003/71/WE i polegają na wskazaniu, że liczba 150, o której mowa w zmienianych przepisach, odnosi się do terytorium jednego państwa członkowskiego.</w:t>
      </w:r>
    </w:p>
    <w:p w:rsidR="00FA45B7" w:rsidRPr="00FA45B7" w:rsidRDefault="00FA45B7" w:rsidP="00FA45B7">
      <w:pPr>
        <w:widowControl/>
        <w:suppressAutoHyphens/>
        <w:spacing w:before="120"/>
        <w:rPr>
          <w:rFonts w:ascii="Times" w:hAnsi="Times"/>
          <w:b/>
          <w:bCs/>
        </w:rPr>
      </w:pPr>
      <w:r w:rsidRPr="00FA45B7">
        <w:rPr>
          <w:rFonts w:ascii="Times" w:hAnsi="Times"/>
          <w:b/>
          <w:bCs/>
        </w:rPr>
        <w:t>Art. 1 pkt 2</w:t>
      </w:r>
    </w:p>
    <w:p w:rsidR="00FA45B7" w:rsidRPr="00FA45B7" w:rsidRDefault="00FA45B7" w:rsidP="00FA45B7">
      <w:pPr>
        <w:widowControl/>
        <w:suppressAutoHyphens/>
        <w:spacing w:before="120"/>
        <w:rPr>
          <w:rFonts w:ascii="Times" w:hAnsi="Times"/>
          <w:bCs/>
        </w:rPr>
      </w:pPr>
      <w:r w:rsidRPr="00FA45B7">
        <w:rPr>
          <w:rFonts w:ascii="Times" w:hAnsi="Times"/>
          <w:bCs/>
        </w:rPr>
        <w:t>Propozycja polega na dodaniu w art. 4 pkt 29 zawierającego definicję „pozycji długiej”, co jest niezbędne dla obliczania praw głosu w związku z nabywaniem lub zbywaniem instrumentów finansowych wskazanych w przepisach, które zostaną wydane na podstawie dodanego art. 69b ust. 6, które (i) po upływie terminu zapadalności bezwarunkowo uprawniają lub zobowiązują ich posiadacza do nabycia akcji, z którymi związane są prawa głosu, wyemitowanych już przez emitenta, lub (ii) odnoszą się do akcji emitenta w sposób pośredni lub bezpośredni i mają skutki ekonomiczne podobne do skutków instrumentów finansowych określonych w pkt (i), niezależnie od tego, czy instrumenty te są wykonywane przez rozliczenie pieniężne (dodany art. 69b ust. 4).</w:t>
      </w:r>
    </w:p>
    <w:p w:rsidR="00FA45B7" w:rsidRPr="00FA45B7" w:rsidRDefault="00FA45B7" w:rsidP="00FA45B7">
      <w:pPr>
        <w:widowControl/>
        <w:suppressAutoHyphens/>
        <w:spacing w:before="120"/>
        <w:rPr>
          <w:rFonts w:ascii="Times" w:hAnsi="Times"/>
          <w:b/>
          <w:bCs/>
        </w:rPr>
      </w:pPr>
      <w:r w:rsidRPr="00FA45B7">
        <w:rPr>
          <w:rFonts w:ascii="Times" w:hAnsi="Times"/>
          <w:b/>
          <w:bCs/>
        </w:rPr>
        <w:t xml:space="preserve">Art. 1 pkt 3 </w:t>
      </w:r>
    </w:p>
    <w:p w:rsidR="00FA45B7" w:rsidRPr="00FA45B7" w:rsidRDefault="00FA45B7" w:rsidP="00FA45B7">
      <w:pPr>
        <w:widowControl/>
        <w:suppressAutoHyphens/>
        <w:spacing w:before="120"/>
        <w:rPr>
          <w:rFonts w:ascii="Times" w:hAnsi="Times"/>
          <w:b/>
          <w:bCs/>
        </w:rPr>
      </w:pPr>
      <w:r w:rsidRPr="00FA45B7">
        <w:rPr>
          <w:rFonts w:ascii="Times" w:hAnsi="Times"/>
          <w:bCs/>
        </w:rPr>
        <w:t>Zaproponowana zmiana brzmienia ust. 1 w art. 5a ustawy o ofercie polega na dodaniu fragmentu „lub wydzielonych rachunkach bankowych” i ma na celu umożliwienie firmom inwestycyjnym gromadzenia środków pieniężnych w ramach prowadzonej oferty na więcej niż jednym rachunku, co pozwoli m.in. na prawidłowe zarządzanie przez firmę inwestycyjną środkami pieniężnymi w związku z nałożonym na nie obowiązkiem wynikającym z przepisów o limitach dużych ekspozycji zawartych w r</w:t>
      </w:r>
      <w:r w:rsidRPr="00FA45B7">
        <w:rPr>
          <w:rFonts w:ascii="Times" w:hAnsi="Times"/>
          <w:bCs/>
          <w:lang w:eastAsia="en-US"/>
        </w:rPr>
        <w:t>ozporządzeni</w:t>
      </w:r>
      <w:r w:rsidRPr="00FA45B7">
        <w:rPr>
          <w:rFonts w:ascii="Times" w:hAnsi="Times"/>
          <w:bCs/>
        </w:rPr>
        <w:t>u</w:t>
      </w:r>
      <w:r w:rsidRPr="00FA45B7">
        <w:rPr>
          <w:rFonts w:ascii="Times" w:hAnsi="Times"/>
          <w:bCs/>
          <w:lang w:eastAsia="en-US"/>
        </w:rPr>
        <w:t xml:space="preserve"> Parlamentu Europejskiego i</w:t>
      </w:r>
      <w:r>
        <w:rPr>
          <w:rFonts w:ascii="Times" w:hAnsi="Times"/>
          <w:bCs/>
          <w:lang w:eastAsia="en-US"/>
        </w:rPr>
        <w:t xml:space="preserve"> </w:t>
      </w:r>
      <w:r w:rsidRPr="00FA45B7">
        <w:rPr>
          <w:rFonts w:ascii="Times" w:hAnsi="Times"/>
          <w:bCs/>
        </w:rPr>
        <w:t>R</w:t>
      </w:r>
      <w:r w:rsidRPr="00FA45B7">
        <w:rPr>
          <w:rFonts w:ascii="Times" w:hAnsi="Times"/>
          <w:bCs/>
          <w:lang w:eastAsia="en-US"/>
        </w:rPr>
        <w:t>ady (UE) nr</w:t>
      </w:r>
      <w:r>
        <w:rPr>
          <w:rFonts w:ascii="Times" w:hAnsi="Times"/>
          <w:bCs/>
          <w:lang w:eastAsia="en-US"/>
        </w:rPr>
        <w:t xml:space="preserve"> </w:t>
      </w:r>
      <w:r w:rsidRPr="00FA45B7">
        <w:rPr>
          <w:rFonts w:ascii="Times" w:hAnsi="Times"/>
          <w:bCs/>
          <w:lang w:eastAsia="en-US"/>
        </w:rPr>
        <w:t>575/2013 z</w:t>
      </w:r>
      <w:r w:rsidRPr="00FA45B7">
        <w:rPr>
          <w:rFonts w:ascii="Times" w:hAnsi="Times"/>
          <w:bCs/>
        </w:rPr>
        <w:t xml:space="preserve"> </w:t>
      </w:r>
      <w:r w:rsidRPr="00FA45B7">
        <w:rPr>
          <w:rFonts w:ascii="Times" w:hAnsi="Times"/>
          <w:bCs/>
          <w:lang w:eastAsia="en-US"/>
        </w:rPr>
        <w:t>dnia 26</w:t>
      </w:r>
      <w:r w:rsidRPr="00FA45B7">
        <w:rPr>
          <w:rFonts w:ascii="Times" w:hAnsi="Times"/>
          <w:bCs/>
        </w:rPr>
        <w:t xml:space="preserve"> </w:t>
      </w:r>
      <w:r w:rsidRPr="00FA45B7">
        <w:rPr>
          <w:rFonts w:ascii="Times" w:hAnsi="Times"/>
          <w:bCs/>
          <w:lang w:eastAsia="en-US"/>
        </w:rPr>
        <w:t>czerwca 2013</w:t>
      </w:r>
      <w:r w:rsidRPr="00FA45B7">
        <w:rPr>
          <w:rFonts w:ascii="Times" w:hAnsi="Times"/>
          <w:bCs/>
        </w:rPr>
        <w:t xml:space="preserve"> </w:t>
      </w:r>
      <w:r w:rsidRPr="00FA45B7">
        <w:rPr>
          <w:rFonts w:ascii="Times" w:hAnsi="Times"/>
          <w:bCs/>
          <w:lang w:eastAsia="en-US"/>
        </w:rPr>
        <w:t>r. w</w:t>
      </w:r>
      <w:r w:rsidRPr="00FA45B7">
        <w:rPr>
          <w:rFonts w:ascii="Times" w:hAnsi="Times"/>
          <w:bCs/>
        </w:rPr>
        <w:t xml:space="preserve"> </w:t>
      </w:r>
      <w:r w:rsidRPr="00FA45B7">
        <w:rPr>
          <w:rFonts w:ascii="Times" w:hAnsi="Times"/>
          <w:bCs/>
          <w:lang w:eastAsia="en-US"/>
        </w:rPr>
        <w:t>sprawie wymogów ostrożnościowych dla instytucji kredytowych i</w:t>
      </w:r>
      <w:r>
        <w:rPr>
          <w:rFonts w:ascii="Times" w:hAnsi="Times"/>
          <w:bCs/>
          <w:lang w:eastAsia="en-US"/>
        </w:rPr>
        <w:t xml:space="preserve"> </w:t>
      </w:r>
      <w:r w:rsidRPr="00FA45B7">
        <w:rPr>
          <w:rFonts w:ascii="Times" w:hAnsi="Times"/>
          <w:bCs/>
          <w:lang w:eastAsia="en-US"/>
        </w:rPr>
        <w:t>firm inwestycyjnych, zmieniając</w:t>
      </w:r>
      <w:r w:rsidRPr="00FA45B7">
        <w:rPr>
          <w:rFonts w:ascii="Times" w:hAnsi="Times"/>
          <w:bCs/>
        </w:rPr>
        <w:t>ym</w:t>
      </w:r>
      <w:r w:rsidRPr="00FA45B7">
        <w:rPr>
          <w:rFonts w:ascii="Times" w:hAnsi="Times"/>
          <w:bCs/>
          <w:lang w:eastAsia="en-US"/>
        </w:rPr>
        <w:t xml:space="preserve"> rozporządzenie (UE) nr</w:t>
      </w:r>
      <w:r>
        <w:rPr>
          <w:rFonts w:ascii="Times" w:hAnsi="Times"/>
          <w:bCs/>
          <w:lang w:eastAsia="en-US"/>
        </w:rPr>
        <w:t xml:space="preserve"> </w:t>
      </w:r>
      <w:r w:rsidRPr="00FA45B7">
        <w:rPr>
          <w:rFonts w:ascii="Times" w:hAnsi="Times"/>
          <w:bCs/>
          <w:lang w:eastAsia="en-US"/>
        </w:rPr>
        <w:t>648/2012</w:t>
      </w:r>
      <w:r w:rsidRPr="00FA45B7">
        <w:rPr>
          <w:rFonts w:ascii="Times" w:hAnsi="Times"/>
          <w:bCs/>
        </w:rPr>
        <w:t xml:space="preserve"> (Dz. Urz. UE L 176 </w:t>
      </w:r>
      <w:r w:rsidRPr="00FA45B7">
        <w:rPr>
          <w:rFonts w:ascii="Times" w:hAnsi="Times"/>
          <w:bCs/>
        </w:rPr>
        <w:lastRenderedPageBreak/>
        <w:t>z</w:t>
      </w:r>
      <w:r w:rsidR="00D01DB1">
        <w:rPr>
          <w:rFonts w:ascii="Times" w:hAnsi="Times"/>
          <w:bCs/>
        </w:rPr>
        <w:t> </w:t>
      </w:r>
      <w:r w:rsidRPr="00FA45B7">
        <w:rPr>
          <w:rFonts w:ascii="Times" w:hAnsi="Times"/>
          <w:bCs/>
        </w:rPr>
        <w:t>27.06.2013, str. 1, z późn. zm.). Proponowana zmiana nie umniejsza w żadnym stopniu ochrony inwestorów dokonujących zapisu, ponieważ utrzymana jest zasada, iż środki wpłacane podczas zapisów mogą być przechowywane wyłącznie na rachunkach bankowych firmy inwestycyjnej i nie pozostają do dyspozycji emitenta.</w:t>
      </w:r>
    </w:p>
    <w:p w:rsidR="00FA45B7" w:rsidRPr="00FA45B7" w:rsidRDefault="00FA45B7" w:rsidP="00FA45B7">
      <w:pPr>
        <w:widowControl/>
        <w:suppressAutoHyphens/>
        <w:spacing w:before="120"/>
        <w:rPr>
          <w:rFonts w:ascii="Times" w:hAnsi="Times"/>
          <w:b/>
          <w:bCs/>
        </w:rPr>
      </w:pPr>
      <w:r w:rsidRPr="00FA45B7">
        <w:rPr>
          <w:rFonts w:ascii="Times" w:hAnsi="Times"/>
          <w:b/>
          <w:bCs/>
        </w:rPr>
        <w:t>Art. 1 pkt 4</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w:t>
      </w:r>
    </w:p>
    <w:p w:rsidR="00FA45B7" w:rsidRPr="00FA45B7" w:rsidRDefault="00FA45B7" w:rsidP="00FA45B7">
      <w:pPr>
        <w:widowControl/>
        <w:suppressAutoHyphens/>
        <w:spacing w:before="120"/>
        <w:rPr>
          <w:rFonts w:ascii="Times" w:hAnsi="Times"/>
          <w:bCs/>
        </w:rPr>
      </w:pPr>
      <w:r w:rsidRPr="00FA45B7">
        <w:rPr>
          <w:rFonts w:ascii="Times" w:hAnsi="Times"/>
          <w:bCs/>
        </w:rPr>
        <w:t>Zmiany pkt 1 i 2 w ust. 1 w art. 10 polegają na doprecyzowaniu, że oferta publiczna papierów wartościowych oraz dopuszczenie do obrotu na rynku regulowanym lub wprowadzenie do alternatywnego systemu obrotu papierów wartościowych oraz instrumentów finansowych niebędących papierami wartościowymi, których ewidencję prowadzi KNF, odnosi się do terytorium Rzeczypospolitej Polskiej.</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b</w:t>
      </w:r>
    </w:p>
    <w:p w:rsidR="00FA45B7" w:rsidRPr="00FA45B7" w:rsidRDefault="00FA45B7" w:rsidP="00FA45B7">
      <w:pPr>
        <w:widowControl/>
        <w:suppressAutoHyphens/>
        <w:spacing w:before="120"/>
        <w:rPr>
          <w:rFonts w:ascii="Times" w:hAnsi="Times"/>
        </w:rPr>
      </w:pPr>
      <w:r w:rsidRPr="00FA45B7">
        <w:rPr>
          <w:rFonts w:ascii="Times" w:hAnsi="Times"/>
        </w:rPr>
        <w:t xml:space="preserve">Podobnie zmiana ust. 3 w art. 10 ma na celu doprecyzowanie, że wpis do ewidencji dotyczący papierów wartościowych, o których mowa w tym przepisie, podlega opłacie ewidencyjnej, jeżeli te papiery wartościowe nie zostaną w określonym terminie od dnia ich przydziału dopuszczone do obrotu na rynku regulowanym lub wprowadzone do alternatywnego systemu obrotu </w:t>
      </w:r>
      <w:r>
        <w:rPr>
          <w:rFonts w:ascii="Times" w:hAnsi="Times"/>
        </w:rPr>
        <w:t>–</w:t>
      </w:r>
      <w:r w:rsidRPr="00FA45B7">
        <w:rPr>
          <w:rFonts w:ascii="Times" w:hAnsi="Times"/>
        </w:rPr>
        <w:t xml:space="preserve"> na terytorium Rzeczypospolitej Polskiej.</w:t>
      </w:r>
    </w:p>
    <w:p w:rsidR="00FA45B7" w:rsidRPr="00FA45B7" w:rsidRDefault="00FA45B7" w:rsidP="00FA45B7">
      <w:pPr>
        <w:widowControl/>
        <w:suppressAutoHyphens/>
        <w:spacing w:before="120"/>
        <w:rPr>
          <w:rFonts w:ascii="Times" w:hAnsi="Times"/>
          <w:b/>
          <w:bCs/>
        </w:rPr>
      </w:pPr>
      <w:r w:rsidRPr="00FA45B7">
        <w:rPr>
          <w:rFonts w:ascii="Times" w:hAnsi="Times"/>
          <w:b/>
          <w:bCs/>
        </w:rPr>
        <w:t>Art. 1 pkt 5</w:t>
      </w:r>
    </w:p>
    <w:p w:rsidR="00FA45B7" w:rsidRPr="00FA45B7" w:rsidRDefault="00FA45B7" w:rsidP="00FA45B7">
      <w:pPr>
        <w:widowControl/>
        <w:suppressAutoHyphens/>
        <w:spacing w:before="120"/>
        <w:rPr>
          <w:rFonts w:ascii="Times" w:hAnsi="Times"/>
          <w:bCs/>
        </w:rPr>
      </w:pPr>
      <w:r w:rsidRPr="00FA45B7">
        <w:rPr>
          <w:rFonts w:ascii="Times" w:hAnsi="Times"/>
          <w:bCs/>
        </w:rPr>
        <w:t>Zmiany art. 11 mają na celu uwzględnienie przepisów art. 1 pkt 1 lit. a (ii) dyrektywy 2013/50/UE wprowadzających zmiany w zakresie definicji „państwa macierzystego”, zawartej w art. 2 w ust. 1 w lit. i dyrektywy 2004/109/WE, oraz procedury wyboru przez emitenta tego państwa i zawiadamiania o tym wyborze.</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w:t>
      </w:r>
    </w:p>
    <w:p w:rsidR="00FA45B7" w:rsidRDefault="00FA45B7" w:rsidP="00FA45B7">
      <w:pPr>
        <w:widowControl/>
        <w:suppressAutoHyphens/>
        <w:spacing w:before="120"/>
        <w:rPr>
          <w:rFonts w:ascii="Times" w:hAnsi="Times"/>
          <w:bCs/>
        </w:rPr>
      </w:pPr>
      <w:r w:rsidRPr="00FA45B7">
        <w:rPr>
          <w:rFonts w:ascii="Times" w:hAnsi="Times"/>
          <w:bCs/>
        </w:rPr>
        <w:t>Proponowana zmiana ust. 2 w art. 11 ma na celu uwzględnienie w definicji „państwa macierzystego”</w:t>
      </w:r>
      <w:r w:rsidRPr="00FA45B7">
        <w:rPr>
          <w:rFonts w:ascii="Times" w:hAnsi="Times"/>
          <w:bCs/>
          <w:i/>
        </w:rPr>
        <w:t xml:space="preserve">, </w:t>
      </w:r>
      <w:r w:rsidRPr="00FA45B7">
        <w:rPr>
          <w:rFonts w:ascii="Times" w:hAnsi="Times"/>
          <w:bCs/>
        </w:rPr>
        <w:t>formułowanej na potrzeby rozdziału 2 ustawy o ofercie, w przypadku papierów wartościowych o charakterze nieudziałowym, możliwości wyboru państwa macierzystego również przez inny niż emitent podmiot uprawniony w danym państwie członkowskim do ubiegania się o dopuszczenie tych papierów wartościowych do obrotu na rynku regulowanym.</w:t>
      </w:r>
    </w:p>
    <w:p w:rsidR="00D01DB1" w:rsidRPr="00FA45B7" w:rsidRDefault="00D01DB1" w:rsidP="00FA45B7">
      <w:pPr>
        <w:widowControl/>
        <w:suppressAutoHyphens/>
        <w:spacing w:before="120"/>
        <w:rPr>
          <w:rFonts w:ascii="Times" w:hAnsi="Times"/>
          <w:bCs/>
        </w:rPr>
      </w:pPr>
    </w:p>
    <w:p w:rsidR="00FA45B7" w:rsidRPr="00FA45B7" w:rsidRDefault="00FA45B7" w:rsidP="00FA45B7">
      <w:pPr>
        <w:widowControl/>
        <w:suppressAutoHyphens/>
        <w:spacing w:before="120"/>
        <w:rPr>
          <w:rFonts w:ascii="Times" w:hAnsi="Times"/>
          <w:bCs/>
        </w:rPr>
      </w:pPr>
      <w:r>
        <w:rPr>
          <w:rFonts w:ascii="Times" w:hAnsi="Times"/>
          <w:bCs/>
        </w:rPr>
        <w:lastRenderedPageBreak/>
        <w:t>–</w:t>
      </w:r>
      <w:r w:rsidRPr="00FA45B7">
        <w:rPr>
          <w:rFonts w:ascii="Times" w:hAnsi="Times"/>
          <w:bCs/>
        </w:rPr>
        <w:t xml:space="preserve"> lit. b i c</w:t>
      </w:r>
    </w:p>
    <w:p w:rsidR="00FA45B7" w:rsidRPr="00FA45B7" w:rsidRDefault="00FA45B7" w:rsidP="00FA45B7">
      <w:pPr>
        <w:widowControl/>
        <w:suppressAutoHyphens/>
        <w:spacing w:before="120"/>
        <w:rPr>
          <w:rFonts w:ascii="Times" w:hAnsi="Times"/>
          <w:bCs/>
        </w:rPr>
      </w:pPr>
      <w:r w:rsidRPr="00FA45B7">
        <w:rPr>
          <w:rFonts w:ascii="Times" w:hAnsi="Times"/>
          <w:bCs/>
        </w:rPr>
        <w:t>Zmiana ust. 3 w art. 11 ma na celu doprecyzowanie zawartej w tym przepisie definicji „państwa macierzystego” poprzez jej odniesienie do państwa członkowskiego, w którym ma miejsce pierwsza oferta publiczna papierów wartościowych lub w którym złożony został pierwszy wniosek o dopuszczenie papierów wartościowych do obrotu na rynku regulowanym, oraz uwzględnienie możliwości wyboru państwa macierzystego również przez inny niż emitent podmiot uprawniony w danym państwie członkowskim do ubiegania się o dopuszczenie tych papierów wartościowych do obrotu na rynku regulowanym. Zmiana ust. 4</w:t>
      </w:r>
      <w:r w:rsidRPr="00FA45B7">
        <w:rPr>
          <w:rFonts w:ascii="Times" w:hAnsi="Times"/>
          <w:b/>
          <w:bCs/>
        </w:rPr>
        <w:t xml:space="preserve"> </w:t>
      </w:r>
      <w:r w:rsidRPr="00FA45B7">
        <w:rPr>
          <w:rFonts w:ascii="Times" w:hAnsi="Times"/>
          <w:bCs/>
        </w:rPr>
        <w:t>i dodanie ust. 4a mają na celu uwzględnienie zmian dokonanych w art. 55a, w którym została sformułowana definicja „państwa macierzystego” na potrzeby rozdziału 3 ustawy o ofercie, oraz uwzględnienie nowego brzmienia art. 2 ust. 1 lit. m (iii) dyrektywy 2003/71/WE.</w:t>
      </w:r>
    </w:p>
    <w:p w:rsidR="00FA45B7" w:rsidRPr="00FA45B7" w:rsidRDefault="00FA45B7" w:rsidP="00FA45B7">
      <w:pPr>
        <w:widowControl/>
        <w:suppressAutoHyphens/>
        <w:spacing w:before="120"/>
        <w:rPr>
          <w:rFonts w:ascii="Times" w:hAnsi="Times"/>
          <w:b/>
          <w:bCs/>
        </w:rPr>
      </w:pPr>
      <w:r w:rsidRPr="00FA45B7">
        <w:rPr>
          <w:rFonts w:ascii="Times" w:hAnsi="Times"/>
          <w:b/>
          <w:bCs/>
        </w:rPr>
        <w:t>Art. 1 pkt 6</w:t>
      </w:r>
    </w:p>
    <w:p w:rsidR="00FA45B7" w:rsidRPr="00FA45B7" w:rsidRDefault="00FA45B7" w:rsidP="00FA45B7">
      <w:pPr>
        <w:widowControl/>
        <w:suppressAutoHyphens/>
        <w:spacing w:before="120"/>
        <w:rPr>
          <w:rFonts w:ascii="Times" w:hAnsi="Times"/>
          <w:bCs/>
        </w:rPr>
      </w:pPr>
      <w:r w:rsidRPr="00FA45B7">
        <w:rPr>
          <w:rFonts w:ascii="Times" w:hAnsi="Times"/>
          <w:bCs/>
        </w:rPr>
        <w:t>Zaproponowana zmiana ust. 1 w art. 15a ma na celu doprecyzowanie implementacji art.</w:t>
      </w:r>
      <w:r w:rsidR="00D01DB1">
        <w:rPr>
          <w:rFonts w:ascii="Times" w:hAnsi="Times"/>
          <w:bCs/>
        </w:rPr>
        <w:t> </w:t>
      </w:r>
      <w:r w:rsidRPr="00FA45B7">
        <w:rPr>
          <w:rFonts w:ascii="Times" w:hAnsi="Times"/>
          <w:bCs/>
        </w:rPr>
        <w:t>1 pkt 3 lit. a (ii) dyrektywy 2010/73/UE dodającego akapit w art. 3 w ust. 2 dyrektywy 2003/71/WE i polega na odniesieniu oferty kaskadowej, o której mowa w zmienianym przepisie, do wszystkich papierów wartościowych</w:t>
      </w:r>
      <w:r w:rsidR="006B4788">
        <w:rPr>
          <w:rFonts w:ascii="Times" w:hAnsi="Times"/>
          <w:bCs/>
        </w:rPr>
        <w:t>,</w:t>
      </w:r>
      <w:r w:rsidRPr="00FA45B7">
        <w:rPr>
          <w:rFonts w:ascii="Times" w:hAnsi="Times"/>
          <w:bCs/>
        </w:rPr>
        <w:t xml:space="preserve"> a nie tylko do papierów wartościowych o charakterze nieudziałowym, jak jest obecnie.</w:t>
      </w:r>
    </w:p>
    <w:p w:rsidR="00FA45B7" w:rsidRPr="00FA45B7" w:rsidRDefault="00FA45B7" w:rsidP="00FA45B7">
      <w:pPr>
        <w:widowControl/>
        <w:suppressAutoHyphens/>
        <w:spacing w:before="120"/>
        <w:rPr>
          <w:rFonts w:ascii="Times" w:hAnsi="Times"/>
          <w:b/>
          <w:bCs/>
        </w:rPr>
      </w:pPr>
      <w:r w:rsidRPr="00FA45B7">
        <w:rPr>
          <w:rFonts w:ascii="Times" w:hAnsi="Times"/>
          <w:b/>
          <w:bCs/>
        </w:rPr>
        <w:t>Art. 1 pkt 7</w:t>
      </w:r>
    </w:p>
    <w:p w:rsidR="00FA45B7" w:rsidRPr="00FA45B7" w:rsidRDefault="00FA45B7" w:rsidP="00FA45B7">
      <w:pPr>
        <w:widowControl/>
        <w:suppressAutoHyphens/>
        <w:spacing w:before="120"/>
        <w:rPr>
          <w:rFonts w:ascii="Times" w:hAnsi="Times"/>
          <w:bCs/>
        </w:rPr>
      </w:pPr>
      <w:r w:rsidRPr="00FA45B7">
        <w:rPr>
          <w:rFonts w:ascii="Times" w:hAnsi="Times"/>
          <w:bCs/>
        </w:rPr>
        <w:t>Dodany art. 22a ma na celu doprecyzowanie implementacji art. 1 pkt 5 lit. b dyrektywy 2010/73/UE zmieniającego art. 5 ust. 3 dyrektywy 2003/71/WE i polega na wskazaniu, jakie informacje muszą być zawarte w dokumencie rejestracyjnym i dokumencie ofertowym.</w:t>
      </w:r>
    </w:p>
    <w:p w:rsidR="00FA45B7" w:rsidRPr="00FA45B7" w:rsidRDefault="00FA45B7" w:rsidP="00FA45B7">
      <w:pPr>
        <w:widowControl/>
        <w:suppressAutoHyphens/>
        <w:spacing w:before="120"/>
        <w:rPr>
          <w:rFonts w:ascii="Times" w:hAnsi="Times"/>
          <w:b/>
          <w:bCs/>
        </w:rPr>
      </w:pPr>
      <w:r w:rsidRPr="00FA45B7">
        <w:rPr>
          <w:rFonts w:ascii="Times" w:hAnsi="Times"/>
          <w:b/>
          <w:bCs/>
        </w:rPr>
        <w:t>Art. 1 pkt 8</w:t>
      </w:r>
    </w:p>
    <w:p w:rsidR="00FA45B7" w:rsidRPr="00FA45B7" w:rsidRDefault="00FA45B7" w:rsidP="00FA45B7">
      <w:pPr>
        <w:widowControl/>
        <w:suppressAutoHyphens/>
        <w:spacing w:before="120"/>
        <w:rPr>
          <w:rFonts w:ascii="Times" w:hAnsi="Times"/>
          <w:bCs/>
        </w:rPr>
      </w:pPr>
      <w:r w:rsidRPr="00FA45B7">
        <w:rPr>
          <w:rFonts w:ascii="Times" w:hAnsi="Times"/>
          <w:bCs/>
        </w:rPr>
        <w:t>Zmiana art. 23 ma na celu doprecyzowanie implementacji art. 1 pkt 5 lit. a (i) akapit drugi dyrektywy 2010/73/UE zmieniającego art. 5 ust. 2 akapit drugi dyrektywy 2003/71/WE i polega na wskazaniu, że dokument podsumowujący oraz podsumowanie będące częścią prospektu emisyjnego sporządzonego w formie jednolitego dokumentu obejmuje również ostrzeżenia, o których mowa w art. 98 ust. 2.</w:t>
      </w:r>
    </w:p>
    <w:p w:rsidR="00FA45B7" w:rsidRPr="00FA45B7" w:rsidRDefault="00FA45B7" w:rsidP="00FA45B7">
      <w:pPr>
        <w:widowControl/>
        <w:suppressAutoHyphens/>
        <w:spacing w:before="120"/>
        <w:rPr>
          <w:rFonts w:ascii="Times" w:hAnsi="Times"/>
          <w:b/>
          <w:bCs/>
          <w:lang w:val="en-US"/>
        </w:rPr>
      </w:pPr>
      <w:r w:rsidRPr="00FA45B7">
        <w:rPr>
          <w:rFonts w:ascii="Times" w:hAnsi="Times"/>
          <w:b/>
          <w:bCs/>
          <w:lang w:val="en-US"/>
        </w:rPr>
        <w:t>Art. 1 pkt 9</w:t>
      </w:r>
    </w:p>
    <w:p w:rsidR="00FA45B7" w:rsidRPr="00FA45B7" w:rsidRDefault="00FA45B7" w:rsidP="00FA45B7">
      <w:pPr>
        <w:widowControl/>
        <w:suppressAutoHyphens/>
        <w:spacing w:before="120"/>
        <w:rPr>
          <w:rFonts w:ascii="Times" w:hAnsi="Times"/>
          <w:bCs/>
          <w:lang w:val="en-US"/>
        </w:rPr>
      </w:pPr>
      <w:r>
        <w:rPr>
          <w:rFonts w:ascii="Times" w:hAnsi="Times"/>
          <w:bCs/>
          <w:lang w:val="en-US"/>
        </w:rPr>
        <w:t>–</w:t>
      </w:r>
      <w:r w:rsidRPr="00FA45B7">
        <w:rPr>
          <w:rFonts w:ascii="Times" w:hAnsi="Times"/>
          <w:bCs/>
          <w:lang w:val="en-US"/>
        </w:rPr>
        <w:t xml:space="preserve"> lit. a i c</w:t>
      </w:r>
    </w:p>
    <w:p w:rsidR="00FA45B7" w:rsidRPr="00FA45B7" w:rsidRDefault="00FA45B7" w:rsidP="00FA45B7">
      <w:pPr>
        <w:widowControl/>
        <w:suppressAutoHyphens/>
        <w:spacing w:before="120"/>
        <w:rPr>
          <w:rFonts w:ascii="Times" w:hAnsi="Times"/>
        </w:rPr>
      </w:pPr>
      <w:r w:rsidRPr="00FA45B7">
        <w:rPr>
          <w:rFonts w:ascii="Times" w:hAnsi="Times"/>
        </w:rPr>
        <w:lastRenderedPageBreak/>
        <w:t>Proponowana zmiana ust. 1 w art. 24 ma na celu wdrożenie art. 1 pkt 1 dyrektywy Parlamentu Europejskiego i Rady 2014/51/UE z dnia 16 kwietnia 2014 r. zmieniającej dyrektywy 2003/71/WE i 2009/138/WE oraz rozporządzenia (WE) nr 1060/2009, (UE) nr 1094/2010 i (UE) nr 1095/2010 w zakresie uprawnień Europejskiego Urzędu Nadzoru (Europejskiego Urzędu Nadzoru Ubezpieczeń i Pracowniczych Programów Emerytalnych) oraz Europejskiego Urzędu Nadzoru (Europejskiego Urzędu Nadzoru Giełd i Papierów Wartościowych), poprzez wprowadzenie obowiązku przekazywania przez KNF informacji o szczegółowych warunkach poszczególnych ofert, otrzymanych od emitenta lub sprzedającego, do organu nadzoru państw przyjmujących emitenta i do Europejskiego Urzędu Nadzoru Giełd i Papierów Wartościowych. Zmiana natomiast ust. 2 w art. 24 ma na celu odniesienie jego treści do informacji o szczegółowych warunkach każdej oferty, o której mowa w ust. 1 w art. 24, oraz rozszerzenie zakresu tego przepisu poprzez odwołanie się również do pkt 2 w ust. 1 w art. 54, co oznaczałoby, że informacje o szczegółowych warunkach każdej oferty oprócz ceny maksymalnej powinny wskazywać również kryteria lub warunki ustalenia ostatecznej ceny emisyjnej lub ceny sprzedaży papierów wartościowych, lub ostatecznej liczby oferowanych papierów wartościowych.</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b</w:t>
      </w:r>
    </w:p>
    <w:p w:rsidR="00FA45B7" w:rsidRPr="00FA45B7" w:rsidRDefault="00FA45B7" w:rsidP="00FA45B7">
      <w:pPr>
        <w:widowControl/>
        <w:suppressAutoHyphens/>
        <w:spacing w:before="120"/>
        <w:rPr>
          <w:rFonts w:ascii="Times" w:hAnsi="Times"/>
          <w:bCs/>
        </w:rPr>
      </w:pPr>
      <w:r w:rsidRPr="00FA45B7">
        <w:rPr>
          <w:rFonts w:ascii="Times" w:hAnsi="Times"/>
          <w:bCs/>
        </w:rPr>
        <w:t>Dodanie ust. 1a w art. 24 jest zmianą o charakterze legislacyjnym i polega na przeniesieniu do tej nowej jednostki redakcyjnej treści zdania drugiego w dotychczasowym ust. 1 w art. 24 ustawy o ofercie.</w:t>
      </w:r>
    </w:p>
    <w:p w:rsidR="00FA45B7" w:rsidRPr="00FA45B7" w:rsidRDefault="00FA45B7" w:rsidP="00FA45B7">
      <w:pPr>
        <w:widowControl/>
        <w:suppressAutoHyphens/>
        <w:spacing w:before="120"/>
        <w:rPr>
          <w:rFonts w:ascii="Times" w:hAnsi="Times"/>
          <w:b/>
          <w:bCs/>
        </w:rPr>
      </w:pPr>
      <w:r w:rsidRPr="00FA45B7">
        <w:rPr>
          <w:rFonts w:ascii="Times" w:hAnsi="Times"/>
          <w:b/>
          <w:bCs/>
        </w:rPr>
        <w:t>Art. 1 pkt 10</w:t>
      </w:r>
    </w:p>
    <w:p w:rsidR="00FA45B7" w:rsidRPr="00FA45B7" w:rsidRDefault="00FA45B7" w:rsidP="00FA45B7">
      <w:pPr>
        <w:widowControl/>
        <w:suppressAutoHyphens/>
        <w:spacing w:before="120"/>
        <w:rPr>
          <w:rFonts w:ascii="Times" w:hAnsi="Times"/>
        </w:rPr>
      </w:pPr>
      <w:r w:rsidRPr="00FA45B7">
        <w:rPr>
          <w:rFonts w:ascii="Times" w:hAnsi="Times"/>
        </w:rPr>
        <w:t xml:space="preserve">Projektowane brzmienie zdania pierwszego w ust. 2 w art. 26 wprowadza zmianę w zakresie definicji podmiotu zamierzającego ubiegać się o dopuszczenie papierów wartościowych do obrotu na rynku regulowanym, którym zgodnie z proponowanym brzmieniem będzie podmiot, którego właściwy organ podjął uchwałę w sprawie ubiegania się o dopuszczenie papierów wartościowych do obrotu na rynku regulowanym. </w:t>
      </w:r>
    </w:p>
    <w:p w:rsidR="00FA45B7" w:rsidRPr="00FA45B7" w:rsidRDefault="00FA45B7" w:rsidP="00FA45B7">
      <w:pPr>
        <w:widowControl/>
        <w:suppressAutoHyphens/>
        <w:spacing w:before="120"/>
        <w:rPr>
          <w:rFonts w:ascii="Times" w:hAnsi="Times" w:cs="Times New Roman"/>
          <w:b/>
          <w:bCs/>
        </w:rPr>
      </w:pPr>
      <w:r w:rsidRPr="00FA45B7">
        <w:rPr>
          <w:rFonts w:ascii="Times" w:hAnsi="Times" w:cs="Times New Roman"/>
          <w:b/>
          <w:bCs/>
        </w:rPr>
        <w:t>Art. 1 pkt 11</w:t>
      </w:r>
    </w:p>
    <w:p w:rsidR="00FA45B7" w:rsidRPr="00FA45B7" w:rsidRDefault="00FA45B7" w:rsidP="00FA45B7">
      <w:pPr>
        <w:widowControl/>
        <w:suppressAutoHyphens/>
        <w:spacing w:before="120"/>
        <w:rPr>
          <w:rFonts w:ascii="Times" w:hAnsi="Times"/>
          <w:bCs/>
        </w:rPr>
      </w:pPr>
      <w:r w:rsidRPr="00FA45B7">
        <w:rPr>
          <w:rFonts w:ascii="Times" w:hAnsi="Times"/>
          <w:bCs/>
        </w:rPr>
        <w:t xml:space="preserve">W art. 38 w ust. 7 dokonano zmiany brzmienia zdania pierwszego polegającej na dodaniu odwołania do art. 47 ust. 3, w związku z czym w przypadkach, o których mowa w art. 7 ust. 5, 6, 12 i 13, emitent lub sprzedający będzie miał obowiązek </w:t>
      </w:r>
      <w:r w:rsidRPr="00FA45B7">
        <w:rPr>
          <w:rFonts w:ascii="Times" w:hAnsi="Times"/>
          <w:bCs/>
        </w:rPr>
        <w:lastRenderedPageBreak/>
        <w:t>przekazywania KNF, nie później niż w dniu roboczym poprzedzającym dzień udostępnienia memorandum informacyjnego, o którym mowa w art. 38 ust. 1, do publicznej wiadomości, informacji o formie i terminie udostępnienia memorandum informacyjnego wraz z odnośnikami do stron internetowych, na których zostanie zamieszczone to memorandum. Należy zauważyć, że w obecnym stanie prawnym przewidziany w art. 47 ust. 3 ustawy o ofercie obowiązek przekazania KNF przez emitenta lub sprzedającego informacji o formie i terminie udostępnienia dokumentu wymaganego w związku z ofertą publiczną lub ubieganiem się o dopuszczenie papierów wartościowych do obrotu na rynku regulowanym, wraz z odnośnikami do stron, gdzie dokument ten zostanie zamieszczony, dotyczy jedynie prospektu emisyjnego. Jednocześnie w przypadku memorandum informacyjnego, o którym mowa w art. 38 ust. 1, wymagane jest, aby ich treść została udostępniona. Wprowadzana zmiana wyposaży zatem KNF w analogiczne narzędzie sprawowania nadzoru, jakim dysponuje ona w przypadku nadzoru na</w:t>
      </w:r>
      <w:r w:rsidR="006B4788">
        <w:rPr>
          <w:rFonts w:ascii="Times" w:hAnsi="Times"/>
          <w:bCs/>
        </w:rPr>
        <w:t>d</w:t>
      </w:r>
      <w:r w:rsidRPr="00FA45B7">
        <w:rPr>
          <w:rFonts w:ascii="Times" w:hAnsi="Times"/>
          <w:bCs/>
        </w:rPr>
        <w:t xml:space="preserve"> udostępnianiem treści prospektu emisyjnego, oraz sprawnego weryfikowania wypełniania przez emitentów i sprzedających spoczywających na nich obowiązków. Wyjaśnienie to odnosi się odpowiednio również do zmian zaproponowanych w art. 1 pkt 12 i pkt 13 lit. b projektowanej ustawy.</w:t>
      </w:r>
    </w:p>
    <w:p w:rsidR="00FA45B7" w:rsidRPr="00FA45B7" w:rsidRDefault="00FA45B7" w:rsidP="00FA45B7">
      <w:pPr>
        <w:widowControl/>
        <w:suppressAutoHyphens/>
        <w:spacing w:before="120"/>
        <w:rPr>
          <w:rFonts w:ascii="Times" w:hAnsi="Times"/>
          <w:b/>
          <w:bCs/>
        </w:rPr>
      </w:pPr>
      <w:r w:rsidRPr="00FA45B7">
        <w:rPr>
          <w:rFonts w:ascii="Times" w:hAnsi="Times"/>
          <w:b/>
          <w:bCs/>
        </w:rPr>
        <w:t>Art. 1 pkt 12</w:t>
      </w:r>
    </w:p>
    <w:p w:rsidR="00FA45B7" w:rsidRPr="00FA45B7" w:rsidRDefault="00FA45B7" w:rsidP="00FA45B7">
      <w:pPr>
        <w:widowControl/>
        <w:suppressAutoHyphens/>
        <w:spacing w:before="120"/>
        <w:rPr>
          <w:rFonts w:ascii="Times" w:hAnsi="Times"/>
          <w:bCs/>
        </w:rPr>
      </w:pPr>
      <w:r w:rsidRPr="00FA45B7">
        <w:rPr>
          <w:rFonts w:ascii="Times" w:hAnsi="Times"/>
          <w:bCs/>
        </w:rPr>
        <w:t>W art. 38a w ust. 5 dokonano zmiany brzmienia zdania pierwszego polegającej na dodaniu odwołania do art. 47 ust. 3, w związku z czym w przypadkach, o których mowa w art. 7 ust. 6 i 13, emitent lub sprzedający będzie miał obowiązek przekazywania KNF, nie później niż w dniu roboczym poprzedzającym dzień udostępnienia dokumentu informacyjnego, o którym mowa w art. 38a ust. 1, do publicznej wiadomości, informacji o formie i terminie udostępnienia dokumentu informacyjnego wraz z odnośnikami do stron internetowych, na których zostanie zamieszczony ten dokument informacyjny.</w:t>
      </w:r>
    </w:p>
    <w:p w:rsidR="00FA45B7" w:rsidRPr="00FA45B7" w:rsidRDefault="00FA45B7" w:rsidP="00FA45B7">
      <w:pPr>
        <w:widowControl/>
        <w:suppressAutoHyphens/>
        <w:spacing w:before="120"/>
        <w:rPr>
          <w:rFonts w:ascii="Times" w:hAnsi="Times"/>
          <w:b/>
          <w:bCs/>
        </w:rPr>
      </w:pPr>
      <w:r w:rsidRPr="00FA45B7">
        <w:rPr>
          <w:rFonts w:ascii="Times" w:hAnsi="Times"/>
          <w:b/>
          <w:bCs/>
        </w:rPr>
        <w:t>Art. 1 pkt 13</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w:t>
      </w:r>
    </w:p>
    <w:p w:rsidR="00FA45B7" w:rsidRPr="00FA45B7" w:rsidRDefault="00FA45B7" w:rsidP="00FA45B7">
      <w:pPr>
        <w:widowControl/>
        <w:suppressAutoHyphens/>
        <w:spacing w:before="120"/>
        <w:rPr>
          <w:rFonts w:ascii="Times" w:hAnsi="Times"/>
        </w:rPr>
      </w:pPr>
      <w:r w:rsidRPr="00FA45B7">
        <w:rPr>
          <w:rFonts w:ascii="Times" w:hAnsi="Times"/>
        </w:rPr>
        <w:t>Proponowana zmiana ust. 9 w art. 38b ma na celu doprecyzowanie, że obowiązek, o którym mowa w tym przepisie, powstaje m.in. dopiero w przypadku dopuszczenia papierów wartościowych objętych memorandum informacyjnym do obrotu na rynku regulowanym, a nie jak jest obecnie już w przypadku ubiegania się o to dopuszczenie.</w:t>
      </w:r>
    </w:p>
    <w:p w:rsidR="00FA45B7" w:rsidRPr="00FA45B7" w:rsidRDefault="00FA45B7" w:rsidP="00FA45B7">
      <w:pPr>
        <w:widowControl/>
        <w:suppressAutoHyphens/>
        <w:spacing w:before="120"/>
        <w:rPr>
          <w:rFonts w:ascii="Times" w:hAnsi="Times"/>
          <w:bCs/>
        </w:rPr>
      </w:pPr>
      <w:r>
        <w:rPr>
          <w:rFonts w:ascii="Times" w:hAnsi="Times"/>
          <w:bCs/>
        </w:rPr>
        <w:lastRenderedPageBreak/>
        <w:t>–</w:t>
      </w:r>
      <w:r w:rsidRPr="00FA45B7">
        <w:rPr>
          <w:rFonts w:ascii="Times" w:hAnsi="Times"/>
          <w:bCs/>
        </w:rPr>
        <w:t xml:space="preserve"> lit. b</w:t>
      </w:r>
    </w:p>
    <w:p w:rsidR="00FA45B7" w:rsidRPr="00FA45B7" w:rsidRDefault="00FA45B7" w:rsidP="00FA45B7">
      <w:pPr>
        <w:widowControl/>
        <w:suppressAutoHyphens/>
        <w:spacing w:before="120"/>
        <w:rPr>
          <w:rFonts w:ascii="Times" w:hAnsi="Times"/>
          <w:b/>
          <w:bCs/>
        </w:rPr>
      </w:pPr>
      <w:r w:rsidRPr="00FA45B7">
        <w:rPr>
          <w:rFonts w:ascii="Times" w:hAnsi="Times"/>
          <w:bCs/>
        </w:rPr>
        <w:t xml:space="preserve">W art. 38b w ust. 10 dokonano zmiany brzmienia zdania pierwszego polegającej na dodaniu odwołania do art. 47 ust. 3, w związku z czym w przypadkach, o których mowa w art. 7 ust. 7 i 14, emitent lub sprzedający będzie miał obowiązek przekazywania KNF, nie później niż w dniu roboczym poprzedzającym dzień udostępnienia memorandum informacyjnego, o którym mowa w art. 38b ust. 1, do publicznej wiadomości, informacji o formie i terminie udostępnienia memorandum informacyjnego wraz z odnośnikami do stron internetowych, na których zostanie zamieszczone to memorandum. Ponadto usunięto odesłanie do art. 23 ustawy o ofercie. Memorandum informacyjne jest sporządzane na podstawie rozporządzenia Ministra Finansów z dnia 8 sierpnia 2013 r. w sprawie szczegółowych warunków, jakim powinno odpowiadać memorandum informacyjne sporządzone w związku z ofertą publiczną lub ubieganiem się o dopuszczenie instrumentów finansowych do obrotu na rynku regulowanym (Dz. U. poz. 988), w związku z czym wprowadzanie dodatkowego wymogu włączania do tego dokumentu podsumowania sporządzanego na podstawie rozporządzenia Komisji (WE) nr 809/2004 z dnia 29 kwietnia 2004 r. w sprawie implementacji dyrektywy 2003/71/WE Parlamentu Europejskiego i Rady odnośnie </w:t>
      </w:r>
      <w:r w:rsidR="006B4788">
        <w:rPr>
          <w:rFonts w:ascii="Times" w:hAnsi="Times"/>
          <w:bCs/>
        </w:rPr>
        <w:t xml:space="preserve">do </w:t>
      </w:r>
      <w:r w:rsidRPr="00FA45B7">
        <w:rPr>
          <w:rFonts w:ascii="Times" w:hAnsi="Times"/>
          <w:bCs/>
        </w:rPr>
        <w:t>informacji zamieszczanych w prospekcie emisyjnym, formy prospektu emisyjnego, zamieszczania informacji poprzez odwołania, publikacji prospektu emisyjnego oraz rozpowszechniania informacji o charakterze reklamowym (Dz. Urz. UE L 149 z 30.04.2004, str. 1, z późn. zm.) nie jest zasadne.</w:t>
      </w:r>
    </w:p>
    <w:p w:rsidR="00FA45B7" w:rsidRPr="00FA45B7" w:rsidRDefault="00FA45B7" w:rsidP="00FA45B7">
      <w:pPr>
        <w:widowControl/>
        <w:suppressAutoHyphens/>
        <w:spacing w:before="120"/>
        <w:rPr>
          <w:rFonts w:ascii="Times" w:hAnsi="Times"/>
          <w:b/>
          <w:bCs/>
        </w:rPr>
      </w:pPr>
      <w:r w:rsidRPr="00FA45B7">
        <w:rPr>
          <w:rFonts w:ascii="Times" w:hAnsi="Times"/>
          <w:b/>
          <w:bCs/>
        </w:rPr>
        <w:t>Art. 1 pkt 14</w:t>
      </w:r>
    </w:p>
    <w:p w:rsidR="00FA45B7" w:rsidRPr="00FA45B7" w:rsidRDefault="00FA45B7" w:rsidP="00FA45B7">
      <w:pPr>
        <w:widowControl/>
        <w:suppressAutoHyphens/>
        <w:spacing w:before="120"/>
        <w:rPr>
          <w:rFonts w:ascii="Times" w:hAnsi="Times"/>
          <w:bCs/>
        </w:rPr>
      </w:pPr>
      <w:r w:rsidRPr="00FA45B7">
        <w:rPr>
          <w:rFonts w:ascii="Times" w:hAnsi="Times"/>
          <w:bCs/>
        </w:rPr>
        <w:t>Proponowana zmiana polega na dodaniu w ust. 2a w art. 39 regula</w:t>
      </w:r>
      <w:r w:rsidR="00D01DB1">
        <w:rPr>
          <w:rFonts w:ascii="Times" w:hAnsi="Times"/>
          <w:bCs/>
        </w:rPr>
        <w:t>cji, analogicznej jak w art. 38–</w:t>
      </w:r>
      <w:r w:rsidRPr="00FA45B7">
        <w:rPr>
          <w:rFonts w:ascii="Times" w:hAnsi="Times"/>
          <w:bCs/>
        </w:rPr>
        <w:t>38b, wprowadzającej obowiązek udostępniania memorandum informacyjnego do publicznej wiadomości w sposób określony w art. 47 ust. 1, 2 i 5.</w:t>
      </w:r>
    </w:p>
    <w:p w:rsidR="00FA45B7" w:rsidRPr="00FA45B7" w:rsidRDefault="00FA45B7" w:rsidP="00FA45B7">
      <w:pPr>
        <w:widowControl/>
        <w:suppressAutoHyphens/>
        <w:spacing w:before="120"/>
        <w:rPr>
          <w:rFonts w:ascii="Times" w:hAnsi="Times"/>
          <w:b/>
          <w:bCs/>
        </w:rPr>
      </w:pPr>
      <w:r w:rsidRPr="00FA45B7">
        <w:rPr>
          <w:rFonts w:ascii="Times" w:hAnsi="Times"/>
          <w:b/>
          <w:bCs/>
        </w:rPr>
        <w:t>Art. 1 pkt 15</w:t>
      </w:r>
    </w:p>
    <w:p w:rsidR="00FA45B7" w:rsidRPr="00FA45B7" w:rsidRDefault="00FA45B7" w:rsidP="00FA45B7">
      <w:pPr>
        <w:widowControl/>
        <w:suppressAutoHyphens/>
        <w:spacing w:before="120"/>
        <w:rPr>
          <w:rFonts w:ascii="Times" w:hAnsi="Times"/>
          <w:bCs/>
        </w:rPr>
      </w:pPr>
      <w:r w:rsidRPr="00FA45B7">
        <w:rPr>
          <w:rFonts w:ascii="Times" w:hAnsi="Times"/>
          <w:bCs/>
        </w:rPr>
        <w:t>Zmiana brzmienia zdania drugiego w ust. 2 w art. 44 ma na celu korektę oczywiście błędnego odesłania do zdania pierwszego w ust. 1 w art. 45. Przepis zawarty w tej jednostce redakcyjnej składa się z jednego zdania.</w:t>
      </w:r>
    </w:p>
    <w:p w:rsidR="00FA45B7" w:rsidRPr="00FA45B7" w:rsidRDefault="00FA45B7" w:rsidP="00FA45B7">
      <w:pPr>
        <w:widowControl/>
        <w:suppressAutoHyphens/>
        <w:spacing w:before="120"/>
        <w:rPr>
          <w:rFonts w:ascii="Times" w:hAnsi="Times"/>
          <w:b/>
          <w:bCs/>
        </w:rPr>
      </w:pPr>
      <w:r w:rsidRPr="00FA45B7">
        <w:rPr>
          <w:rFonts w:ascii="Times" w:hAnsi="Times"/>
          <w:b/>
          <w:bCs/>
        </w:rPr>
        <w:t>Art. 1 pkt 16</w:t>
      </w:r>
    </w:p>
    <w:p w:rsidR="00FA45B7" w:rsidRPr="00FA45B7" w:rsidRDefault="00FA45B7" w:rsidP="00D01DB1">
      <w:pPr>
        <w:suppressAutoHyphens/>
        <w:spacing w:before="120"/>
        <w:rPr>
          <w:rFonts w:ascii="Times" w:hAnsi="Times"/>
        </w:rPr>
      </w:pPr>
      <w:r w:rsidRPr="00FA45B7">
        <w:rPr>
          <w:rFonts w:ascii="Times" w:hAnsi="Times"/>
        </w:rPr>
        <w:t xml:space="preserve">Dodany ust. 4 w art. 45 wprowadza w przypadku oferty publicznej akcji, o której mowa </w:t>
      </w:r>
      <w:r w:rsidRPr="00FA45B7">
        <w:rPr>
          <w:rFonts w:ascii="Times" w:hAnsi="Times"/>
        </w:rPr>
        <w:lastRenderedPageBreak/>
        <w:t>w art. 7 ust. 7, tj. oferty publicznej emitenta, dla którego Rzeczpospolita Polska jest państwem macierzystym, kierowanej przez emitenta wyłącznie do akcjonariuszy lub wspólników innego podmiotu, w związku z łączeniem się emitenta z tym podmiotem lub wyłącznie do akcjonariuszy lub wspólników spółki dzielonej w związku z jej podziałem, obowiązek udostępniania prospektu emisyjnego do publicznej wiadomości w terminie, o którym mowa w art. 38b ust. 8, tj. w terminie nie krótszym niż 6 dni roboczych przed planowanym dniem powzięcia przez walne zgromadzenie spółek łączących się albo spółki dzielonej uchwały odpowiednio o połączeniu spółek albo podziale spółki. Celem tej zmiany jest usunięcie wątpliwości, jakie powstają w przypadku, gdy emitent nie chce skorzystać z wyjątku od obowiązku sporządzenia prospektu emisyjnego, przewidzianego w art. 7 ust. 7 ustawy o ofercie. Wówczas zamiast memorandum, o którym mowa w art. 38b tej ustawy</w:t>
      </w:r>
      <w:r w:rsidR="006B4788">
        <w:rPr>
          <w:rFonts w:ascii="Times" w:hAnsi="Times"/>
        </w:rPr>
        <w:t>,</w:t>
      </w:r>
      <w:r w:rsidRPr="00FA45B7">
        <w:rPr>
          <w:rFonts w:ascii="Times" w:hAnsi="Times"/>
        </w:rPr>
        <w:t xml:space="preserve"> sporządza on prospekt emisyjny. W konsekwencji w dotychczasowym stanie prawnym terminy publikacji prospektu nie są adekwatne do harmonogramu, w jakim przebiega łączenie lub podział spółek, w związku z którym prospekt ten sporządzono. Wprowadzony przepis ma umożliwić zachowanie takich samych terminów publikacji prospektu emisyjnego, jakie zostały przewidziane dla memorandum informacyjnego, o którym mowa w art. 38b ustawy o ofercie.</w:t>
      </w:r>
    </w:p>
    <w:p w:rsidR="00FA45B7" w:rsidRPr="00FA45B7" w:rsidRDefault="00FA45B7" w:rsidP="00FA45B7">
      <w:pPr>
        <w:widowControl/>
        <w:suppressAutoHyphens/>
        <w:spacing w:before="120"/>
        <w:rPr>
          <w:rFonts w:ascii="Times" w:hAnsi="Times"/>
          <w:b/>
          <w:bCs/>
        </w:rPr>
      </w:pPr>
      <w:r w:rsidRPr="00FA45B7">
        <w:rPr>
          <w:rFonts w:ascii="Times" w:hAnsi="Times"/>
          <w:b/>
          <w:bCs/>
        </w:rPr>
        <w:t>Art. 1 pkt 17</w:t>
      </w:r>
    </w:p>
    <w:p w:rsidR="00FA45B7" w:rsidRPr="00FA45B7" w:rsidRDefault="00FA45B7" w:rsidP="00FA45B7">
      <w:pPr>
        <w:widowControl/>
        <w:suppressAutoHyphens/>
        <w:spacing w:before="120"/>
        <w:rPr>
          <w:rFonts w:ascii="Times" w:hAnsi="Times"/>
          <w:b/>
          <w:bCs/>
        </w:rPr>
      </w:pPr>
      <w:r w:rsidRPr="00FA45B7">
        <w:rPr>
          <w:rFonts w:ascii="Times" w:hAnsi="Times"/>
          <w:bCs/>
        </w:rPr>
        <w:t>Zmiana ust. 1 w art. 49 ma na celu doprecyzowanie implementacji art. 1 pkt 9 lit. a dyrektywy 2010/73/UE zmieniającego art. 9 ust. 1 dyrektywy 2003/71/WE i polega na dodaniu warunku, od którego spełnienia uzależniony jest 12</w:t>
      </w:r>
      <w:r w:rsidR="006B4788">
        <w:rPr>
          <w:rFonts w:ascii="Times" w:hAnsi="Times"/>
          <w:bCs/>
        </w:rPr>
        <w:t>-</w:t>
      </w:r>
      <w:r w:rsidRPr="00FA45B7">
        <w:rPr>
          <w:rFonts w:ascii="Times" w:hAnsi="Times"/>
          <w:bCs/>
        </w:rPr>
        <w:t>miesięczny okres ważności prospektu emisyjnego.</w:t>
      </w:r>
    </w:p>
    <w:p w:rsidR="00FA45B7" w:rsidRPr="00FA45B7" w:rsidRDefault="00FA45B7" w:rsidP="00FA45B7">
      <w:pPr>
        <w:widowControl/>
        <w:suppressAutoHyphens/>
        <w:spacing w:before="120"/>
        <w:rPr>
          <w:rFonts w:ascii="Times" w:hAnsi="Times"/>
          <w:b/>
          <w:bCs/>
        </w:rPr>
      </w:pPr>
      <w:r w:rsidRPr="00FA45B7">
        <w:rPr>
          <w:rFonts w:ascii="Times" w:hAnsi="Times"/>
          <w:b/>
          <w:bCs/>
        </w:rPr>
        <w:t>Art. 1 pkt 18</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w:t>
      </w:r>
    </w:p>
    <w:p w:rsidR="00FA45B7" w:rsidRPr="00FA45B7" w:rsidRDefault="00FA45B7" w:rsidP="00FA45B7">
      <w:pPr>
        <w:widowControl/>
        <w:suppressAutoHyphens/>
        <w:spacing w:before="120"/>
        <w:rPr>
          <w:rFonts w:ascii="Times" w:hAnsi="Times"/>
        </w:rPr>
      </w:pPr>
      <w:r w:rsidRPr="00FA45B7">
        <w:rPr>
          <w:rFonts w:ascii="Times" w:hAnsi="Times"/>
        </w:rPr>
        <w:t>Modyfikacja ust. 1 w art. 53 polega na zastąpieniu ostatniego użytego w tym przepisie spójnika „lub” spójnikiem „oraz”, w związku z czym zakaz zawarty w tej regulacji nie będzie obowiązywał w przypadku łącznego spełnienia wskazanych przesłanek, tj.</w:t>
      </w:r>
      <w:r w:rsidR="00D01DB1">
        <w:rPr>
          <w:rFonts w:ascii="Times" w:hAnsi="Times"/>
        </w:rPr>
        <w:t> </w:t>
      </w:r>
      <w:r w:rsidRPr="00FA45B7">
        <w:rPr>
          <w:rFonts w:ascii="Times" w:hAnsi="Times"/>
        </w:rPr>
        <w:t xml:space="preserve">udostępniania informacji mniej niż 150 osobom oraz nieudostępniania tych informacji nieoznaczonemu adresatowi. Ponadto zmiana ta ma również na celu dostosowanie brzmienia tego przepisu do proponowanych zmian ust. 1 i 3 w art. 3 </w:t>
      </w:r>
      <w:r w:rsidRPr="00FA45B7">
        <w:rPr>
          <w:rFonts w:ascii="Times" w:hAnsi="Times"/>
        </w:rPr>
        <w:lastRenderedPageBreak/>
        <w:t>ustawy o ofercie, gdzie wskazano, że liczba 150 odnosi się do terytorium jednego państwa członkowskiego.</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b i c</w:t>
      </w:r>
    </w:p>
    <w:p w:rsidR="00FA45B7" w:rsidRPr="00FA45B7" w:rsidRDefault="00FA45B7" w:rsidP="00FA45B7">
      <w:pPr>
        <w:widowControl/>
        <w:suppressAutoHyphens/>
        <w:spacing w:before="120"/>
        <w:rPr>
          <w:rFonts w:ascii="Times" w:hAnsi="Times"/>
          <w:bCs/>
        </w:rPr>
      </w:pPr>
      <w:r w:rsidRPr="00FA45B7">
        <w:rPr>
          <w:rFonts w:ascii="Times" w:hAnsi="Times"/>
          <w:bCs/>
        </w:rPr>
        <w:t xml:space="preserve">Wprowadzone zmiany brzmienia ust. 7–9 w art. 53 mają na celu modyfikację przebiegu akcji promocyjnej. Zmiana ust. 7 w art. 53 polega na skróceniu z 14 do 10 dni roboczych terminu przypadającego pomiędzy złożeniem w KNF zawiadomienia o zamiarze rozpoczęcia akcji promocyjnej oraz treści materiałów, w oparciu o jaką akcja ma być prowadzona, a momentem, w którym akcja może zostać rozpoczęta. Ponadto w celu ujednolicenia wyrazy „materiały informacyjne” zastąpiono występującymi w pozostałych zapisach art. 53 wyrazami „materiały promocyjne”. W ust. 8 została przesunięta granica, do której KNF może zgłosić żądanie wprowadzenia zmian lub uzupełnień do złożonych dokumentów albo przekazania wyjaśnień. Uprawnienia takie będą przysługiwać temu organowi do 3 dni roboczych przed planowanym rozpoczęciem akcji promocyjnej. Jednocześnie dotychczasowy termin, w jakim żądania KNF powinny zostać spełnione, wynoszący 2 dni kalendarzowe, został zastąpiony terminem 2 dni roboczych. Dla zapewnienia skutecznego nadzoru KNF nad akcją promocyjną zmienione zostało również brzmienie ust. 9 w art. 53. Dotychczasowe brzmienie przepisów nie gwarantowało KNF możliwości ponownego skorzystania z uprawnień przewidzianych w ust. 8, w przypadku gdy wprowadzenie zmian lub uzupełnień albo przekazanie wyjaśnień nastąpiło po upływie terminu 5 dni roboczych, o którym mowa w art. 53 ust. 8 lub nawet po dniu, w którym akcja promocyjna miała się rozpocząć. Dotychczasowy art. 53 ust. 9 zapewniał jedynie wstrzymanie akcji promocyjnej do czasu spełnienia żądań KNF. Wprowadzana zmiana daje KNF dodatkowe 10 dni roboczych na analizę wyjaśnień i uzupełnień, których zażądała, a tym samym również możliwość występowania na podstawie art. 53 ust. 8 z dalszymi żądaniami, aż planowana akcja promocyjna nie będzie budziła wątpliwości organu nadzoru. Z drugiej strony, w przypadku gdy akcja promocyjna i treść materiałów promocyjnych nie budzi wątpliwości KNF, dodawany ust. 9a pozwala na skrócenie terminu, po upływie którego stanie się możliwe rozpoczęcie akcji promocyjnej. Dodany ust. 9b ma na celu wyłączenie zastosowania przepisów ust. 7–9a do emitentów będących Skarbem Państwa lub Narodowym Bankiem Polskim. Należy bowiem zauważyć, że zgodnie z art. 7 ust. 2 pkt 1 ustawy o ofercie publicznej, w celu złożenia oferty publicznej lub dopuszczenia do obrotu na rynku regulowanym papierów wartościowych o charakterze </w:t>
      </w:r>
      <w:r w:rsidRPr="00FA45B7">
        <w:rPr>
          <w:rFonts w:ascii="Times" w:hAnsi="Times"/>
          <w:bCs/>
        </w:rPr>
        <w:lastRenderedPageBreak/>
        <w:t>nieudziałowym emitowanych przez Skarb Państwa nie jest wymagany prospekt emisyjny. Dodatkowo zgodnie z art. 10 ust. 1 papiery wartościowe emitowane przez Skarb Państwa i Narodowy Bank Polski nie są ewidencjonowane przez KNF. W związku z tym proces czynności emisyjnych dokonywanych przez Skarb Państwa i Narodowy Bank Polski nie podlega nadzorowi KNF w wielu aspektach, które są regulowane w ustawie o ofercie. Dlatego też wprowadzenie wskazanego wyłączenia jest zasadne.</w:t>
      </w:r>
    </w:p>
    <w:p w:rsidR="00FA45B7" w:rsidRPr="00FA45B7" w:rsidRDefault="00FA45B7" w:rsidP="00FA45B7">
      <w:pPr>
        <w:widowControl/>
        <w:suppressAutoHyphens/>
        <w:spacing w:before="120"/>
        <w:rPr>
          <w:rFonts w:ascii="Times" w:hAnsi="Times"/>
          <w:b/>
        </w:rPr>
      </w:pPr>
      <w:r>
        <w:rPr>
          <w:rFonts w:ascii="Times" w:hAnsi="Times"/>
        </w:rPr>
        <w:t>–</w:t>
      </w:r>
      <w:r w:rsidRPr="00FA45B7">
        <w:rPr>
          <w:rFonts w:ascii="Times" w:hAnsi="Times"/>
        </w:rPr>
        <w:t xml:space="preserve"> lit. d</w:t>
      </w:r>
    </w:p>
    <w:p w:rsidR="00FA45B7" w:rsidRPr="00FA45B7" w:rsidRDefault="00FA45B7" w:rsidP="00FA45B7">
      <w:pPr>
        <w:widowControl/>
        <w:suppressAutoHyphens/>
        <w:spacing w:before="120"/>
        <w:rPr>
          <w:rFonts w:ascii="Times" w:hAnsi="Times"/>
          <w:bCs/>
        </w:rPr>
      </w:pPr>
      <w:r w:rsidRPr="00FA45B7">
        <w:rPr>
          <w:rFonts w:ascii="Times" w:hAnsi="Times"/>
          <w:bCs/>
        </w:rPr>
        <w:t>Zmiana brzmienia wprowadzenia do wyliczenia w ust. 12 w art. 53 ma na celu uwzględnienie w tym przepisie dodanego ust. 9a.</w:t>
      </w:r>
    </w:p>
    <w:p w:rsidR="00FA45B7" w:rsidRPr="00FA45B7" w:rsidRDefault="00FA45B7" w:rsidP="00FA45B7">
      <w:pPr>
        <w:widowControl/>
        <w:suppressAutoHyphens/>
        <w:spacing w:before="120"/>
        <w:rPr>
          <w:rFonts w:ascii="Times" w:hAnsi="Times"/>
          <w:b/>
          <w:bCs/>
        </w:rPr>
      </w:pPr>
      <w:r w:rsidRPr="00FA45B7">
        <w:rPr>
          <w:rFonts w:ascii="Times" w:hAnsi="Times"/>
          <w:b/>
          <w:bCs/>
        </w:rPr>
        <w:t>Art. 1 pkt 19</w:t>
      </w:r>
    </w:p>
    <w:p w:rsidR="00FA45B7" w:rsidRPr="00FA45B7" w:rsidRDefault="00FA45B7" w:rsidP="00FA45B7">
      <w:pPr>
        <w:widowControl/>
        <w:suppressAutoHyphens/>
        <w:spacing w:before="120"/>
        <w:rPr>
          <w:rFonts w:ascii="Times" w:hAnsi="Times"/>
        </w:rPr>
      </w:pPr>
      <w:r w:rsidRPr="00FA45B7">
        <w:rPr>
          <w:rFonts w:ascii="Times" w:hAnsi="Times"/>
        </w:rPr>
        <w:t>Zmiany art. 55a mają na celu uwzględnienie przepisów art. 1 pkt 1 lit. a (ii) dyrektywy 2013/50/UE wprowadzających zmiany w zakresie definicji „państwa macierzystego”, zawartej w art. 2 w ust. 1 w lit. i dyrektywy 2004/109/WE, oraz procedury wyboru przez emitenta tego państwa i zawiadamiania o tym wyborze. W ust. 1 w pkt 2 doprecyzowano definicję „państwa macierzystego”, która będzie miała zastosowanie w przypadku emitenta papierów wartościowych, mającego siedzibę w państwie niebędącym państwem członkowskim. W</w:t>
      </w:r>
      <w:r>
        <w:rPr>
          <w:rFonts w:ascii="Times" w:hAnsi="Times"/>
        </w:rPr>
        <w:t xml:space="preserve"> </w:t>
      </w:r>
      <w:r w:rsidRPr="00FA45B7">
        <w:rPr>
          <w:rFonts w:ascii="Times" w:hAnsi="Times"/>
        </w:rPr>
        <w:t>ust.</w:t>
      </w:r>
      <w:r>
        <w:rPr>
          <w:rFonts w:ascii="Times" w:hAnsi="Times"/>
        </w:rPr>
        <w:t xml:space="preserve"> </w:t>
      </w:r>
      <w:r w:rsidRPr="00FA45B7">
        <w:rPr>
          <w:rFonts w:ascii="Times" w:hAnsi="Times"/>
        </w:rPr>
        <w:t>4 zawarto definicję „państwa macierzystego”, która będzie miała zastosowanie w przypadku emitenta, którego papiery wartościowe przestają być dopuszczone do obrotu na rynku regulowanym w jego państwie macierzystym, wybranym zgodnie z ust. 1 pkt 2 lub ust. 2, i pozostają dopuszczone do obrotu na rynku regulowanym innego państwa członkowskiego. Regulacja zawarta w dotychczasowym ust. 4 została przeniesiona do proponowanego ust. 5 i rozszerzona o obowiązek emitenta do przekazania informacji o dokonanym wyborze państwa macierzystego lub o jego zmianie również właściwym organom państwa, w którym znajduje się jego siedziba, właściwym organom państwa macierzystego oraz właściwym organom wszystkich państw przyjmujących. Przepis ust. 7 zawiera definicję „państwa macierzystego”, która będzie miała zastosowanie w przypadku, gdy emitent nie przekaże informacji o swoim państwie macierzystym w terminie trzech miesięcy od dnia, w którym papiery wartościowe tego emitenta zostały po raz pierwszy dopuszczone do obrotu na rynku regulowanym. W ust. 8 doprecyzowano</w:t>
      </w:r>
      <w:r w:rsidR="006B4788">
        <w:rPr>
          <w:rFonts w:ascii="Times" w:hAnsi="Times"/>
        </w:rPr>
        <w:t>,</w:t>
      </w:r>
      <w:r w:rsidRPr="00FA45B7">
        <w:rPr>
          <w:rFonts w:ascii="Times" w:hAnsi="Times"/>
        </w:rPr>
        <w:t xml:space="preserve"> od jakiego momentu wybór państwa macierzystego jest skuteczny.</w:t>
      </w:r>
    </w:p>
    <w:p w:rsidR="00FA45B7" w:rsidRPr="00FA45B7" w:rsidRDefault="00FA45B7" w:rsidP="00FA45B7">
      <w:pPr>
        <w:widowControl/>
        <w:suppressAutoHyphens/>
        <w:spacing w:before="120"/>
        <w:rPr>
          <w:rFonts w:ascii="Times" w:hAnsi="Times"/>
          <w:b/>
        </w:rPr>
      </w:pPr>
      <w:r w:rsidRPr="00FA45B7">
        <w:rPr>
          <w:rFonts w:ascii="Times" w:hAnsi="Times"/>
          <w:b/>
        </w:rPr>
        <w:lastRenderedPageBreak/>
        <w:t>Art. 1 pkt 20</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w:t>
      </w:r>
    </w:p>
    <w:p w:rsidR="00FA45B7" w:rsidRPr="00FA45B7" w:rsidRDefault="00FA45B7" w:rsidP="00FA45B7">
      <w:pPr>
        <w:widowControl/>
        <w:suppressAutoHyphens/>
        <w:rPr>
          <w:bCs/>
        </w:rPr>
      </w:pPr>
      <w:r w:rsidRPr="00FA45B7">
        <w:rPr>
          <w:bCs/>
        </w:rPr>
        <w:t>Zmiana zdania drugiego w ust. 7 w art. 56 ma na celu doprecyzowanie, że zakres i terminy przekazania informacji, o których mowa w ust. 1 w art. 56, do publicznej wiadomości, określają przepisy państwa przyjmującego.</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b</w:t>
      </w:r>
    </w:p>
    <w:p w:rsidR="00FA45B7" w:rsidRPr="00FA45B7" w:rsidRDefault="00FA45B7" w:rsidP="00FA45B7">
      <w:pPr>
        <w:widowControl/>
        <w:suppressAutoHyphens/>
        <w:spacing w:before="120"/>
        <w:rPr>
          <w:rFonts w:ascii="Times" w:hAnsi="Times"/>
        </w:rPr>
      </w:pPr>
      <w:r w:rsidRPr="00FA45B7">
        <w:rPr>
          <w:rFonts w:ascii="Times" w:hAnsi="Times"/>
        </w:rPr>
        <w:t>Dodany ust. 8 w art. 56 ma na celu określenie zakresu i terminów przekazywania informacji przez emitenta, o którym mowa w ust. 6, tj. emitenta papierów wartościowych dopuszczonych wyłącznie do obrotu na rynku regulowanym na terytorium Rzeczypospolitej Polskiej, dla którego Rzeczpospolita Polska jest państwem przyjmującym.</w:t>
      </w:r>
    </w:p>
    <w:p w:rsidR="00FA45B7" w:rsidRPr="00FA45B7" w:rsidRDefault="00FA45B7" w:rsidP="00FA45B7">
      <w:pPr>
        <w:widowControl/>
        <w:suppressAutoHyphens/>
        <w:spacing w:before="120"/>
        <w:rPr>
          <w:rFonts w:ascii="Times" w:hAnsi="Times"/>
          <w:b/>
          <w:bCs/>
        </w:rPr>
      </w:pPr>
      <w:r w:rsidRPr="00FA45B7">
        <w:rPr>
          <w:rFonts w:ascii="Times" w:hAnsi="Times"/>
          <w:b/>
          <w:bCs/>
        </w:rPr>
        <w:t>Art. 1 pkt 21</w:t>
      </w:r>
    </w:p>
    <w:p w:rsidR="00FA45B7" w:rsidRPr="00FA45B7" w:rsidRDefault="00FA45B7" w:rsidP="00FA45B7">
      <w:pPr>
        <w:widowControl/>
        <w:suppressAutoHyphens/>
        <w:spacing w:before="120"/>
        <w:rPr>
          <w:rFonts w:ascii="Times" w:hAnsi="Times"/>
          <w:bCs/>
        </w:rPr>
      </w:pPr>
      <w:r w:rsidRPr="00FA45B7">
        <w:rPr>
          <w:rFonts w:ascii="Times" w:hAnsi="Times"/>
          <w:bCs/>
        </w:rPr>
        <w:t>Zmiana ust. 7 w art. 62 wynika z konieczności dostosowania jego treści do aktualnego stanu prawnego. Wskazane w tym przepisie rozporządzenie Komisji (WE) nr</w:t>
      </w:r>
      <w:r w:rsidR="00D01DB1">
        <w:rPr>
          <w:rFonts w:ascii="Times" w:hAnsi="Times"/>
          <w:bCs/>
        </w:rPr>
        <w:t> </w:t>
      </w:r>
      <w:r w:rsidRPr="00FA45B7">
        <w:rPr>
          <w:rFonts w:ascii="Times" w:hAnsi="Times"/>
          <w:bCs/>
        </w:rPr>
        <w:t xml:space="preserve">1569/2007 z dnia 21 grudnia 2007 r. ustanawiające zgodnie z dyrektywami 2003/71/WE i 2004/109/WE Parlamentu Europejskiego i Rady mechanizm ustalenia równoważności standardów rachunkowości stosowanych przez emitentów papierów wartościowych z krajów trzecich zostało znowelizowane rozporządzeniem delegowanym Komisji (UE) nr 310/2012 z dnia 21 grudnia 2011 r. zmieniającym rozporządzenie Komisji (WE) nr 1569/2007 ustanawiające zgodnie z dyrektywami 2003/71/WE i 2004/109/WE Parlamentu Europejskiego i Rady mechanizm ustalenia równoważności standardów rachunkowości stosowanych przez emitentów papierów wartościowych z krajów trzecich (Dz. Urz. UE L 103 z 13.04.2012, str. 11). Ponadto dokonano zmiany polegającej na uchyleniu odesłania do przepisów decyzji Komisji (2006/891/WE) z dnia 4 grudnia 2006 r. w sprawie korzystania przez emitentów papierów wartościowych z krajów trzecich z informacji przygotowanych zgodnie ze standardami uznawanymi w skali międzynarodowej (Dz. Urz. UE L 343 z 08.12.2006, str. 96) z uwagi na jej uchylenie z dniem 1 stycznia 2009 r. decyzją Komisji (2008/961/WE) z dnia 12 grudnia 2008 r. w sprawie stosowania przez emitentów papierów wartościowych z krajów trzecich krajowych standardów rachunkowości określonych krajów trzecich oraz międzynarodowych standardów sprawozdawczości finansowej do celów sporządzania skonsolidowanych sprawozdań finansowych. </w:t>
      </w:r>
    </w:p>
    <w:p w:rsidR="00FA45B7" w:rsidRPr="00FA45B7" w:rsidRDefault="00FA45B7" w:rsidP="00FA45B7">
      <w:pPr>
        <w:widowControl/>
        <w:suppressAutoHyphens/>
        <w:spacing w:before="120"/>
        <w:rPr>
          <w:rFonts w:ascii="Times" w:hAnsi="Times" w:cs="Times New Roman"/>
          <w:b/>
          <w:bCs/>
        </w:rPr>
      </w:pPr>
      <w:r w:rsidRPr="00FA45B7">
        <w:rPr>
          <w:rFonts w:ascii="Times" w:hAnsi="Times" w:cs="Times New Roman"/>
          <w:b/>
          <w:bCs/>
        </w:rPr>
        <w:lastRenderedPageBreak/>
        <w:t>Art. 1 pkt 22</w:t>
      </w:r>
    </w:p>
    <w:p w:rsidR="00FA45B7" w:rsidRPr="00FA45B7" w:rsidRDefault="00FA45B7" w:rsidP="00FA45B7">
      <w:pPr>
        <w:widowControl/>
        <w:suppressAutoHyphens/>
        <w:spacing w:before="120"/>
        <w:rPr>
          <w:rFonts w:ascii="Times" w:hAnsi="Times"/>
          <w:bCs/>
        </w:rPr>
      </w:pPr>
      <w:r w:rsidRPr="00FA45B7">
        <w:rPr>
          <w:rFonts w:ascii="Times" w:hAnsi="Times"/>
          <w:bCs/>
        </w:rPr>
        <w:t>Zmiana ust. 1 w art. 63 polega na przedłużeniu z 5 do 10 lat okresu publicznej dostępności informacji okresowych, od dnia przekazania ich do publicznej wiadomości, którą ma zapewnić emitent, dla którego Rzeczpospolita Polska jest państwem macierzystym, co ma na celu implementację odpowiednio art. 1 pkt 3 lit. a i pkt 4 dyrektywy 2013/50/UE zmieniających odpowiednio art. 4 ust. 1 i art. 5 ust. 1 dyrektywy 2004/109/WE. Natomiast zmiana ust. 2 ma na celu uwzględnienie dodanego ust. 8 w art. 56, powodującego konieczność wprowadzenia regulacji szczególnej, w zakresie dostępności informacji okresowych, odnoszącej się do emitenta, dla którego Rzeczpospolita Polska jest państwem przyjmującym i którego papiery wartościowe dopuszczone są wyłącznie do obrotu na rynku regulowanym na terytorium RP.</w:t>
      </w:r>
    </w:p>
    <w:p w:rsidR="00FA45B7" w:rsidRPr="00FA45B7" w:rsidRDefault="00FA45B7" w:rsidP="00FA45B7">
      <w:pPr>
        <w:widowControl/>
        <w:suppressAutoHyphens/>
        <w:spacing w:before="120"/>
        <w:rPr>
          <w:rFonts w:ascii="Times" w:hAnsi="Times"/>
          <w:b/>
          <w:bCs/>
        </w:rPr>
      </w:pPr>
      <w:r w:rsidRPr="00FA45B7">
        <w:rPr>
          <w:rFonts w:ascii="Times" w:hAnsi="Times"/>
          <w:b/>
          <w:bCs/>
        </w:rPr>
        <w:t>Art. 1 pkt 23</w:t>
      </w:r>
    </w:p>
    <w:p w:rsidR="00FA45B7" w:rsidRPr="00FA45B7" w:rsidRDefault="00FA45B7" w:rsidP="00FA45B7">
      <w:pPr>
        <w:widowControl/>
        <w:suppressAutoHyphens/>
        <w:spacing w:before="120"/>
        <w:rPr>
          <w:rFonts w:ascii="Times" w:hAnsi="Times"/>
          <w:bCs/>
        </w:rPr>
      </w:pPr>
      <w:r w:rsidRPr="00FA45B7">
        <w:rPr>
          <w:rFonts w:ascii="Times" w:hAnsi="Times"/>
          <w:bCs/>
        </w:rPr>
        <w:t>Zaproponowana zmiana art. 64 rozszerza zakres podmiotowy wyłączenia od obowiązku przekazywania do publicznej wiadomości informacji okresowych o Europejski Instrument Stabilności Finansowej (EFSF) ustanowiony na mocy umowy ramowej EFSF oraz każdy inny mechanizm ustanowiony w celu zachowania stabilności finansowej europejskiej unii walutowej i wynika z art. 1 pkt 6 lit. a dyrektywy 2013/50/UE zmieniającej art. 8 ust. 1 dyrektywy 2004/109/WE.</w:t>
      </w:r>
    </w:p>
    <w:p w:rsidR="00FA45B7" w:rsidRPr="00FA45B7" w:rsidRDefault="00FA45B7" w:rsidP="00FA45B7">
      <w:pPr>
        <w:widowControl/>
        <w:suppressAutoHyphens/>
        <w:spacing w:before="120"/>
        <w:rPr>
          <w:rFonts w:ascii="Times" w:hAnsi="Times" w:cs="Times New Roman"/>
          <w:b/>
          <w:bCs/>
          <w:lang w:val="en-US"/>
        </w:rPr>
      </w:pPr>
      <w:r w:rsidRPr="00FA45B7">
        <w:rPr>
          <w:rFonts w:ascii="Times" w:hAnsi="Times" w:cs="Times New Roman"/>
          <w:b/>
          <w:bCs/>
          <w:lang w:val="en-US"/>
        </w:rPr>
        <w:t>Art. 1 pkt 24</w:t>
      </w:r>
    </w:p>
    <w:p w:rsidR="00FA45B7" w:rsidRPr="006B4788" w:rsidRDefault="00FA45B7" w:rsidP="00FA45B7">
      <w:pPr>
        <w:widowControl/>
        <w:suppressAutoHyphens/>
        <w:spacing w:before="120"/>
        <w:rPr>
          <w:rFonts w:ascii="Times" w:hAnsi="Times"/>
          <w:bCs/>
          <w:lang w:val="en-US"/>
        </w:rPr>
      </w:pPr>
      <w:r w:rsidRPr="006B4788">
        <w:rPr>
          <w:rFonts w:ascii="Times" w:hAnsi="Times"/>
          <w:bCs/>
          <w:lang w:val="en-US"/>
        </w:rPr>
        <w:t>– lit. a i b</w:t>
      </w:r>
    </w:p>
    <w:p w:rsidR="00FA45B7" w:rsidRPr="00FA45B7" w:rsidRDefault="00FA45B7" w:rsidP="00FA45B7">
      <w:pPr>
        <w:widowControl/>
        <w:suppressAutoHyphens/>
        <w:spacing w:before="120"/>
        <w:rPr>
          <w:rFonts w:ascii="Times" w:hAnsi="Times"/>
          <w:b/>
          <w:bCs/>
        </w:rPr>
      </w:pPr>
      <w:r w:rsidRPr="00FA45B7">
        <w:rPr>
          <w:rFonts w:ascii="Times" w:hAnsi="Times"/>
          <w:bCs/>
        </w:rPr>
        <w:t>Zmiana ust. 1 i dodanie ust. 1a w art. 66 są związane z proponowanymi zmianami art.</w:t>
      </w:r>
      <w:r w:rsidR="00D01DB1">
        <w:rPr>
          <w:rFonts w:ascii="Times" w:hAnsi="Times"/>
          <w:bCs/>
        </w:rPr>
        <w:t> </w:t>
      </w:r>
      <w:r w:rsidRPr="00FA45B7">
        <w:rPr>
          <w:rFonts w:ascii="Times" w:hAnsi="Times"/>
          <w:bCs/>
        </w:rPr>
        <w:t>96 (zmieniany ust. 1 i dodane ust. 1e–1h), które wynikają z konieczności wdrożenia art. 1 pkt 20, 21 i 23 dyrektywy 2013/50/UE zmieniającej przepisy dyrektywy 2004/109/WE w zakresie środków i kar administracyjnych mających zastosowanie w przypadku naruszeń przepisów prawa krajowego przyjętych w celu transpozycji tej dyrektywy. Ponadto w ust. 1 poprawione zostało błędne odesłanie do art. 20 ust. 2 ustawy o obrocie instrumentami finansowymi poprzez zastąpienie go odesłaniem do art. 20 ust. 4a tej ustawy (proponowany pkt 3 w ust. 1).</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c</w:t>
      </w:r>
    </w:p>
    <w:p w:rsidR="00FA45B7" w:rsidRDefault="00FA45B7" w:rsidP="00FA45B7">
      <w:pPr>
        <w:widowControl/>
        <w:suppressAutoHyphens/>
        <w:spacing w:before="120"/>
        <w:rPr>
          <w:rFonts w:ascii="Times" w:hAnsi="Times"/>
          <w:bCs/>
        </w:rPr>
      </w:pPr>
      <w:r w:rsidRPr="00FA45B7">
        <w:rPr>
          <w:rFonts w:ascii="Times" w:hAnsi="Times"/>
          <w:bCs/>
        </w:rPr>
        <w:t>Zmiana ust. 2 w art. 66 jest konsekwencją dodania ust. 1a.</w:t>
      </w:r>
    </w:p>
    <w:p w:rsidR="00D01DB1" w:rsidRPr="00FA45B7" w:rsidRDefault="00D01DB1" w:rsidP="00FA45B7">
      <w:pPr>
        <w:widowControl/>
        <w:suppressAutoHyphens/>
        <w:spacing w:before="120"/>
        <w:rPr>
          <w:rFonts w:ascii="Times" w:hAnsi="Times"/>
          <w:bCs/>
        </w:rPr>
      </w:pPr>
    </w:p>
    <w:p w:rsidR="00FA45B7" w:rsidRPr="00FA45B7" w:rsidRDefault="00FA45B7" w:rsidP="00FA45B7">
      <w:pPr>
        <w:widowControl/>
        <w:suppressAutoHyphens/>
        <w:spacing w:before="120"/>
        <w:rPr>
          <w:rFonts w:ascii="Times" w:hAnsi="Times"/>
          <w:b/>
          <w:bCs/>
        </w:rPr>
      </w:pPr>
      <w:r w:rsidRPr="00FA45B7">
        <w:rPr>
          <w:rFonts w:ascii="Times" w:hAnsi="Times"/>
          <w:b/>
          <w:bCs/>
        </w:rPr>
        <w:lastRenderedPageBreak/>
        <w:t>Art. 1 pkt 25</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w:t>
      </w:r>
    </w:p>
    <w:p w:rsidR="00FA45B7" w:rsidRPr="00FA45B7" w:rsidRDefault="00FA45B7" w:rsidP="00FA45B7">
      <w:pPr>
        <w:widowControl/>
        <w:suppressAutoHyphens/>
        <w:spacing w:before="120"/>
        <w:rPr>
          <w:rFonts w:ascii="Times" w:hAnsi="Times"/>
          <w:i/>
        </w:rPr>
      </w:pPr>
      <w:r w:rsidRPr="00FA45B7">
        <w:rPr>
          <w:rFonts w:ascii="Times" w:hAnsi="Times"/>
          <w:i/>
        </w:rPr>
        <w:t>tiret pierwsze</w:t>
      </w:r>
    </w:p>
    <w:p w:rsidR="00FA45B7" w:rsidRPr="00FA45B7" w:rsidRDefault="00FA45B7" w:rsidP="00FA45B7">
      <w:pPr>
        <w:widowControl/>
        <w:suppressAutoHyphens/>
        <w:spacing w:before="120"/>
        <w:rPr>
          <w:rFonts w:ascii="Times" w:hAnsi="Times"/>
        </w:rPr>
      </w:pPr>
      <w:r w:rsidRPr="00FA45B7">
        <w:rPr>
          <w:rFonts w:ascii="Times" w:hAnsi="Times"/>
        </w:rPr>
        <w:t>Zmiana we wprowadzeniu do wyliczenia w ust. 1 w art. 68 ma na celu rozszerzenie katalogu adresatów obowiązków, o którym mowa w tym przepisie, poprzez wskazanie syndyka, likwidatora lub zarządcy ustanowionego w postępowaniu upadłościowym, jako również obowiązanych do udzielenia pisemnych lub ustnych informacji i wyjaśnień, a także sporządzenia i przekazania, na koszt emitenta, kopii dokumentów i innych nośników informacji, na żądanie KNF lub jej upoważnionego przedstawiciela.</w:t>
      </w:r>
    </w:p>
    <w:p w:rsidR="00FA45B7" w:rsidRPr="00FA45B7" w:rsidRDefault="00FA45B7" w:rsidP="00FA45B7">
      <w:pPr>
        <w:widowControl/>
        <w:suppressAutoHyphens/>
        <w:spacing w:before="120"/>
        <w:rPr>
          <w:rFonts w:ascii="Times" w:hAnsi="Times"/>
          <w:i/>
        </w:rPr>
      </w:pPr>
      <w:r w:rsidRPr="00FA45B7">
        <w:rPr>
          <w:rFonts w:ascii="Times" w:hAnsi="Times"/>
          <w:i/>
        </w:rPr>
        <w:t>tiret drugie</w:t>
      </w:r>
    </w:p>
    <w:p w:rsidR="00FA45B7" w:rsidRPr="00FA45B7" w:rsidRDefault="00FA45B7" w:rsidP="00FA45B7">
      <w:pPr>
        <w:widowControl/>
        <w:suppressAutoHyphens/>
        <w:spacing w:before="120"/>
        <w:rPr>
          <w:rFonts w:ascii="Times" w:hAnsi="Times"/>
          <w:bCs/>
        </w:rPr>
      </w:pPr>
      <w:r w:rsidRPr="00FA45B7">
        <w:rPr>
          <w:rFonts w:ascii="Times" w:hAnsi="Times"/>
          <w:bCs/>
        </w:rPr>
        <w:t>Zmiana pkt 1 w ust. 1 w art. 68 ma na celu doprecyzowanie, że spełnienie żądania KNF, o którym mowa we wprowadzeniu do wyliczenia w ust. 1, ma służyć wykonywaniu ustawowych zadań tego organu w zakresie nadzoru nad sposobem wykonywania obowiązków informacyjnych przez emitentów, a nie przez „te podmioty”, które to sformułowanie odnosi się do podmiotów wskazanych we wprowadzeniu do wyliczenia w ust. 1, w jego dotychczasowym brzmieniu.</w:t>
      </w:r>
      <w:r w:rsidRPr="00FA45B7">
        <w:rPr>
          <w:rFonts w:ascii="Times" w:hAnsi="Times"/>
          <w:bCs/>
          <w:i/>
        </w:rPr>
        <w:t xml:space="preserve"> </w:t>
      </w:r>
    </w:p>
    <w:p w:rsidR="00FA45B7" w:rsidRPr="00FA45B7" w:rsidRDefault="00FA45B7" w:rsidP="00FA45B7">
      <w:pPr>
        <w:widowControl/>
        <w:suppressAutoHyphens/>
        <w:spacing w:before="120"/>
        <w:rPr>
          <w:rFonts w:ascii="Times" w:hAnsi="Times"/>
          <w:i/>
        </w:rPr>
      </w:pPr>
      <w:r w:rsidRPr="00FA45B7">
        <w:rPr>
          <w:rFonts w:ascii="Times" w:hAnsi="Times"/>
          <w:i/>
        </w:rPr>
        <w:t>tiret trzecie</w:t>
      </w:r>
    </w:p>
    <w:p w:rsidR="00FA45B7" w:rsidRPr="00FA45B7" w:rsidRDefault="00FA45B7" w:rsidP="00FA45B7">
      <w:pPr>
        <w:widowControl/>
        <w:suppressAutoHyphens/>
        <w:spacing w:before="120"/>
        <w:rPr>
          <w:rFonts w:ascii="Times" w:hAnsi="Times"/>
          <w:bCs/>
        </w:rPr>
      </w:pPr>
      <w:r w:rsidRPr="00FA45B7">
        <w:rPr>
          <w:rFonts w:ascii="Times" w:hAnsi="Times"/>
          <w:bCs/>
        </w:rPr>
        <w:t>Dodane pkt 5 i 6 w ust. 1 w art. 68 mają na celu rozszerzenie zakresu ustawowych zadań KNF, których wykonywaniu mają służyć przekazywane na żądanie tego organu informacje i dokumenty, o których mowa we wprowadzeniu do wyliczenia w ust. 1. Pozwoli to KNF na lepsze wykonywanie jej zadań, w szczególności w odniesieniu do</w:t>
      </w:r>
      <w:r w:rsidRPr="00FA45B7">
        <w:rPr>
          <w:rFonts w:ascii="Times" w:hAnsi="Times"/>
          <w:bCs/>
          <w:i/>
        </w:rPr>
        <w:t xml:space="preserve"> </w:t>
      </w:r>
      <w:r w:rsidRPr="00FA45B7">
        <w:rPr>
          <w:rFonts w:ascii="Times" w:hAnsi="Times"/>
          <w:bCs/>
        </w:rPr>
        <w:t>przejrzystości w zakresie znaczących pakietów akcji.</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b</w:t>
      </w:r>
    </w:p>
    <w:p w:rsidR="00FA45B7" w:rsidRPr="00FA45B7" w:rsidRDefault="00FA45B7" w:rsidP="00FA45B7">
      <w:pPr>
        <w:widowControl/>
        <w:suppressAutoHyphens/>
        <w:spacing w:before="120"/>
        <w:rPr>
          <w:rFonts w:ascii="Times" w:hAnsi="Times"/>
          <w:b/>
          <w:bCs/>
        </w:rPr>
      </w:pPr>
      <w:r w:rsidRPr="00FA45B7">
        <w:rPr>
          <w:rFonts w:ascii="Times" w:hAnsi="Times"/>
          <w:bCs/>
        </w:rPr>
        <w:t xml:space="preserve">Dodany ust. 5 w art. 66 ma na celu implementację art. 1 pkt 21 dyrektywy 2013/50/UE zmieniającej dyrektywę 2004/109/WE, w zakresie dodanego art. 28b ust. 1 lit. b. Proponowany przepis umożliwi podejmowanie działań przez KNF w związku ze stwierdzonymi w ramach wykonywanych zadań nadzorczych nieprawidłowościami w zakresie informacji przekazywanych do publicznej wiadomości, niezależnie od postępowania sankcyjnego, o którym mowa w art. 96 ustawy o ofercie. Możliwość stosowania niewładczych środków oddziaływania, w formie zaleceń kierowanych do emitentów naruszających obowiązki informacyjne, pozwoli zwracać tym emitentom </w:t>
      </w:r>
      <w:r w:rsidRPr="00FA45B7">
        <w:rPr>
          <w:rFonts w:ascii="Times" w:hAnsi="Times"/>
          <w:bCs/>
        </w:rPr>
        <w:lastRenderedPageBreak/>
        <w:t>uwagę na konieczność opublikowania przez nich wymaganych informacji. Zalecenia nie będą przybierały formy decyzji, a zatem przed ich wydaniem KNF nie będzie zobowiązana do przeprowadzenia postępowania administracyjnego. Możliwość podjęcia przez KNF takiego środka wywrze pozytywny wpływ na poprawę ochrony i zaufania inwestorów, co stanowi jeden z głównych celów dyrektywy 2004/109/WE.</w:t>
      </w:r>
    </w:p>
    <w:p w:rsidR="00FA45B7" w:rsidRPr="00FA45B7" w:rsidRDefault="00FA45B7" w:rsidP="00FA45B7">
      <w:pPr>
        <w:widowControl/>
        <w:suppressAutoHyphens/>
        <w:spacing w:before="120"/>
        <w:rPr>
          <w:rFonts w:ascii="Times" w:hAnsi="Times"/>
          <w:b/>
          <w:bCs/>
        </w:rPr>
      </w:pPr>
      <w:r w:rsidRPr="00FA45B7">
        <w:rPr>
          <w:rFonts w:ascii="Times" w:hAnsi="Times"/>
          <w:b/>
          <w:bCs/>
        </w:rPr>
        <w:t>Art. 1 pkt 26</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w:t>
      </w:r>
      <w:r>
        <w:rPr>
          <w:rFonts w:ascii="Times" w:hAnsi="Times"/>
          <w:bCs/>
        </w:rPr>
        <w:t>–</w:t>
      </w:r>
      <w:r w:rsidRPr="00FA45B7">
        <w:rPr>
          <w:rFonts w:ascii="Times" w:hAnsi="Times"/>
          <w:bCs/>
        </w:rPr>
        <w:t>c</w:t>
      </w:r>
    </w:p>
    <w:p w:rsidR="00FA45B7" w:rsidRPr="00FA45B7" w:rsidRDefault="00FA45B7" w:rsidP="00FA45B7">
      <w:pPr>
        <w:widowControl/>
        <w:suppressAutoHyphens/>
        <w:spacing w:before="120"/>
        <w:rPr>
          <w:rFonts w:ascii="Times" w:hAnsi="Times"/>
        </w:rPr>
      </w:pPr>
      <w:r w:rsidRPr="00FA45B7">
        <w:rPr>
          <w:rFonts w:ascii="Times" w:hAnsi="Times"/>
        </w:rPr>
        <w:t>Literalna wykładnia dotychczasowego brzmienia art. 69 ust. 1 może prowadzić do wniosku, ze przepis ten różnicuje obowiązki związane ze zbywaniem i nabywaniem pakietów akcji spółek publicznych, powodujących przekraczanie wskazanych w tym przepisie progów. W konsekwencji, w przypadku transakcji zawartej na rynku regulowanym, obowiązek określony w tym przepisie powstałby jedynie w związku z transakcją nabywania akcji spółki, natomiast w przypadku innych transakcji, obowiązek powstaje zarówno w przypadku zbywania, jak i nabywania akcji spółki publicznej. Takie zróżnicowanie nie jest niczym uzasadnione, tym bardziej, że art. 69 ust. 1 pkt 2 wyraźnie wskazuje, że obowiązek powinien w przypadku każdej transakcji powstać nie tylko w związku z nabywaniem akcji, ale również w związku z ich zbywaniem (zmniejszenie udziału w ogólnej liczbie głosów). Proponowana zmiana ma na celu doprecyzowanie przepisu poprzez jednoznaczne wskazanie, że obowiązki określone w art. 69 ust. 1 ustawy o ofercie powstają w przypadku gdy transakcja zawierana jest na rynku regulowanym, zarówno w przypadku nabywana akcji spółki publicznej, jak i ich zbywania. Ponadto, proponowana zmiana ma na celu ujednolicenie zakresu obowiązków spoczywających na akcjonariuszu nabywającym lub zbywającym akcje w transakcji zwartej w obrocie zorganizowanym, bez względu na to czy przedmiotem tej transakcji są akcje notowane na rynku regulowanym, czy w alternatywnym systemie obrotu. Konsekwencją tej zmiany jest modyfikacja również ust. 1a i 3 w art. 69. Ponadto, w ust. 3 wyraz „rozliczenie” zastąpiono, jako bardziej właściwym, wyrazem „rozrachunek”.</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d</w:t>
      </w:r>
    </w:p>
    <w:p w:rsidR="00FA45B7" w:rsidRPr="00FA45B7" w:rsidRDefault="00FA45B7" w:rsidP="00FA45B7">
      <w:pPr>
        <w:widowControl/>
        <w:suppressAutoHyphens/>
        <w:spacing w:before="120"/>
        <w:rPr>
          <w:rFonts w:ascii="Times" w:hAnsi="Times"/>
          <w:i/>
        </w:rPr>
      </w:pPr>
      <w:r w:rsidRPr="00FA45B7">
        <w:rPr>
          <w:rFonts w:ascii="Times" w:hAnsi="Times"/>
          <w:i/>
        </w:rPr>
        <w:t>tiret pierwsze</w:t>
      </w:r>
    </w:p>
    <w:p w:rsidR="00FA45B7" w:rsidRPr="00FA45B7" w:rsidRDefault="00FA45B7" w:rsidP="00FA45B7">
      <w:pPr>
        <w:widowControl/>
        <w:suppressAutoHyphens/>
        <w:spacing w:before="120"/>
        <w:rPr>
          <w:rFonts w:ascii="Times" w:hAnsi="Times"/>
        </w:rPr>
      </w:pPr>
      <w:r w:rsidRPr="00FA45B7">
        <w:rPr>
          <w:rFonts w:ascii="Times" w:hAnsi="Times"/>
        </w:rPr>
        <w:t xml:space="preserve">Zmiana polega na zmniejszeniu zakresu zawiadomienia o zmianach w udziale w ogólnej liczbie głosów w spółce publicznej, o którym mowa w ust. 1 w art. 69, poprzez </w:t>
      </w:r>
      <w:r w:rsidRPr="00FA45B7">
        <w:rPr>
          <w:rFonts w:ascii="Times" w:hAnsi="Times"/>
        </w:rPr>
        <w:lastRenderedPageBreak/>
        <w:t>uchylenie pkt 4 w ust. 4 w art. 69, który odnosił się do informacji dotyczących zamiarów dalszego zwiększania udziału w ogólnej liczbie głosów w okresie 12</w:t>
      </w:r>
      <w:r w:rsidR="00D01DB1">
        <w:rPr>
          <w:rFonts w:ascii="Times" w:hAnsi="Times"/>
        </w:rPr>
        <w:t> </w:t>
      </w:r>
      <w:r w:rsidRPr="00FA45B7">
        <w:rPr>
          <w:rFonts w:ascii="Times" w:hAnsi="Times"/>
        </w:rPr>
        <w:t>miesięcy od złożenia zawiadomienia oraz celu zwiększania tego udziału, i miał zastosowanie w przypadku gdy zawiadomienie było składane w związku z osiągnięciem lub przekroczeniem 10% ogólnej liczby głosów. Informacja dotycząca zamiarów dalszego zwiększania udziału w ogólnej liczbie głosów w okresie 12 miesięcy od złożenia zawiadomienia oraz celu zwiększania tego udziału nie stanowi dla inwestorów kluczowego kryterium w procesie podejmowania decyzji inwestycyjnych. Co więcej, deklaracja zamiarów nabywcy nie wiąże go, w każdym czasie może on zamiary zmienić lub od nich odstąpić, a zobowiązanie nabywcy do informowania o każdej zmianie zamiaru stanowi nadmierne obciążenie obowiązkami. W związku z tym za wystarczający dla zapewnienia odpowiedniej transparentności rynku należy uznać obowiązek informowania o zmianach udziału, które już miały miejsce.</w:t>
      </w:r>
    </w:p>
    <w:p w:rsidR="00FA45B7" w:rsidRPr="00FA45B7" w:rsidRDefault="00FA45B7" w:rsidP="00FA45B7">
      <w:pPr>
        <w:widowControl/>
        <w:suppressAutoHyphens/>
        <w:spacing w:before="120"/>
        <w:rPr>
          <w:rFonts w:ascii="Times" w:hAnsi="Times"/>
          <w:i/>
        </w:rPr>
      </w:pPr>
      <w:r w:rsidRPr="00FA45B7">
        <w:rPr>
          <w:rFonts w:ascii="Times" w:hAnsi="Times"/>
          <w:i/>
        </w:rPr>
        <w:t>tiret drugie</w:t>
      </w:r>
    </w:p>
    <w:p w:rsidR="00FA45B7" w:rsidRPr="00FA45B7" w:rsidRDefault="00FA45B7" w:rsidP="00FA45B7">
      <w:pPr>
        <w:widowControl/>
        <w:suppressAutoHyphens/>
        <w:spacing w:before="120"/>
        <w:rPr>
          <w:rFonts w:ascii="Times" w:hAnsi="Times"/>
        </w:rPr>
      </w:pPr>
      <w:r>
        <w:rPr>
          <w:rFonts w:ascii="Times" w:hAnsi="Times"/>
        </w:rPr>
        <w:t>Dodane pkt 7–</w:t>
      </w:r>
      <w:r w:rsidRPr="00FA45B7">
        <w:rPr>
          <w:rFonts w:ascii="Times" w:hAnsi="Times"/>
        </w:rPr>
        <w:t>9 w ust. 4 w art. 69 mają na celu zwiększenie zakresu zawiadomienia o zmianach w udziale w ogólnej liczbie głosów w spółce publicznej, o którym mowa w ust. 1 w art. 69, i są powiązane z regulacjami zawartymi w dodanym art. 69b. Przepisy te mają na celu implementację art. 1 pkt 9 i 10 dyrektywy 2013/50/UE odpowiednio zmieniających art. 13 dyrektywy 2004/109/WE i dodających art. 13a w tej dyrektywie.</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e</w:t>
      </w:r>
    </w:p>
    <w:p w:rsidR="00FA45B7" w:rsidRPr="00FA45B7" w:rsidRDefault="00FA45B7" w:rsidP="00FA45B7">
      <w:pPr>
        <w:widowControl/>
        <w:suppressAutoHyphens/>
        <w:spacing w:before="120"/>
        <w:rPr>
          <w:rFonts w:ascii="Times" w:hAnsi="Times"/>
        </w:rPr>
      </w:pPr>
      <w:r w:rsidRPr="00FA45B7">
        <w:rPr>
          <w:rFonts w:ascii="Times" w:hAnsi="Times"/>
        </w:rPr>
        <w:t>Uchylenie ust. 5 w art. 69 jest konsekwencją zmiany, o której mowa w lit. d w tiret pierwszym.</w:t>
      </w:r>
    </w:p>
    <w:p w:rsidR="00FA45B7" w:rsidRPr="00FA45B7" w:rsidRDefault="00FA45B7" w:rsidP="00FA45B7">
      <w:pPr>
        <w:widowControl/>
        <w:suppressAutoHyphens/>
        <w:spacing w:before="120"/>
        <w:rPr>
          <w:b/>
          <w:lang w:val="en-US"/>
        </w:rPr>
      </w:pPr>
      <w:r w:rsidRPr="00FA45B7">
        <w:rPr>
          <w:rFonts w:ascii="Times" w:hAnsi="Times"/>
          <w:b/>
          <w:bCs/>
          <w:lang w:val="en-US"/>
        </w:rPr>
        <w:t>Art. 1 pkt 27</w:t>
      </w:r>
    </w:p>
    <w:p w:rsidR="00FA45B7" w:rsidRPr="00170FE0" w:rsidRDefault="00FA45B7" w:rsidP="00FA45B7">
      <w:pPr>
        <w:widowControl/>
        <w:suppressAutoHyphens/>
        <w:spacing w:before="120"/>
        <w:rPr>
          <w:rFonts w:ascii="Times" w:hAnsi="Times"/>
          <w:lang w:val="en-US"/>
        </w:rPr>
      </w:pPr>
      <w:r w:rsidRPr="00170FE0">
        <w:rPr>
          <w:rFonts w:ascii="Times" w:hAnsi="Times"/>
          <w:lang w:val="en-US"/>
        </w:rPr>
        <w:t>– lit. a i b</w:t>
      </w:r>
    </w:p>
    <w:p w:rsidR="00FA45B7" w:rsidRPr="00FA45B7" w:rsidRDefault="00FA45B7" w:rsidP="00FA45B7">
      <w:pPr>
        <w:widowControl/>
        <w:suppressAutoHyphens/>
        <w:spacing w:before="120"/>
        <w:rPr>
          <w:rFonts w:ascii="Times" w:hAnsi="Times"/>
        </w:rPr>
      </w:pPr>
      <w:r w:rsidRPr="00FA45B7">
        <w:rPr>
          <w:rFonts w:ascii="Times" w:hAnsi="Times"/>
        </w:rPr>
        <w:t>Zmiany art. 69a polegające na uchyleniu pkt 2 w ust. 1 oraz uchyleniu ust. 2 związane są z regulacjami zawartymi w dod</w:t>
      </w:r>
      <w:r>
        <w:rPr>
          <w:rFonts w:ascii="Times" w:hAnsi="Times"/>
        </w:rPr>
        <w:t>anych pkt 7–</w:t>
      </w:r>
      <w:r w:rsidRPr="00FA45B7">
        <w:rPr>
          <w:rFonts w:ascii="Times" w:hAnsi="Times"/>
        </w:rPr>
        <w:t>9 w ust. 4 w art. 69 oraz w art. 69b.</w:t>
      </w:r>
    </w:p>
    <w:p w:rsidR="00FA45B7" w:rsidRPr="00FA45B7" w:rsidRDefault="00FA45B7" w:rsidP="00FA45B7">
      <w:pPr>
        <w:widowControl/>
        <w:suppressAutoHyphens/>
        <w:spacing w:before="120"/>
        <w:rPr>
          <w:rFonts w:ascii="Times" w:hAnsi="Times"/>
          <w:b/>
          <w:bCs/>
        </w:rPr>
      </w:pPr>
      <w:r w:rsidRPr="00FA45B7">
        <w:rPr>
          <w:rFonts w:ascii="Times" w:hAnsi="Times"/>
          <w:b/>
          <w:bCs/>
        </w:rPr>
        <w:t>Art. 1 pkt 28</w:t>
      </w:r>
    </w:p>
    <w:p w:rsidR="00FA45B7" w:rsidRPr="00FA45B7" w:rsidRDefault="00FA45B7" w:rsidP="00FA45B7">
      <w:pPr>
        <w:widowControl/>
        <w:suppressAutoHyphens/>
        <w:spacing w:before="120"/>
        <w:rPr>
          <w:rFonts w:ascii="Times" w:hAnsi="Times"/>
          <w:b/>
          <w:bCs/>
        </w:rPr>
      </w:pPr>
      <w:r w:rsidRPr="00FA45B7">
        <w:rPr>
          <w:rFonts w:ascii="Times" w:hAnsi="Times"/>
          <w:bCs/>
        </w:rPr>
        <w:t>Regulacje zawarte w dodanym art. 69b mają na celu implementację art. 1 pkt 9 i 10 dyrektywy 2013/50/UE odpowiednio zmieniającego art. 13 dyrektywy 2004/109/WE i dodającego art. 13a w tej dyrektywie. Przepisy te mają na celu zagwarantowanie</w:t>
      </w:r>
      <w:r w:rsidR="00170FE0">
        <w:rPr>
          <w:rFonts w:ascii="Times" w:hAnsi="Times"/>
          <w:bCs/>
        </w:rPr>
        <w:t>, a</w:t>
      </w:r>
      <w:r w:rsidRPr="00FA45B7">
        <w:rPr>
          <w:rFonts w:ascii="Times" w:hAnsi="Times"/>
          <w:bCs/>
        </w:rPr>
        <w:t xml:space="preserve">by emitenci i inwestorzy posiadali pełną wiedzę na temat struktury własności spółek </w:t>
      </w:r>
      <w:r w:rsidRPr="00FA45B7">
        <w:rPr>
          <w:rFonts w:ascii="Times" w:hAnsi="Times"/>
          <w:bCs/>
        </w:rPr>
        <w:lastRenderedPageBreak/>
        <w:t>publicznych. Szczegółowe uzasadnienie zmian dyrektywy 2004/109/WE w przedmiotowym zakresie</w:t>
      </w:r>
      <w:r>
        <w:rPr>
          <w:rFonts w:ascii="Times" w:hAnsi="Times"/>
          <w:bCs/>
        </w:rPr>
        <w:t xml:space="preserve"> zostało zawarte w motywach 9–</w:t>
      </w:r>
      <w:r w:rsidRPr="00FA45B7">
        <w:rPr>
          <w:rFonts w:ascii="Times" w:hAnsi="Times"/>
          <w:bCs/>
        </w:rPr>
        <w:t xml:space="preserve">11 preambuły dyrektywy 2013/50/UE. W ust. 3 proponowanego art. 69b wskazano jak powinna być określana wartość współczynnika delta, który ma być stosowany przy obliczaniu liczby głosów posiadanych w spółce publicznej, związanych z instrumentami finansowymi, o których mowa w projektowanym art. 69b ust. 1 pkt 2. </w:t>
      </w:r>
    </w:p>
    <w:p w:rsidR="00FA45B7" w:rsidRPr="00FA45B7" w:rsidRDefault="00FA45B7" w:rsidP="00FA45B7">
      <w:pPr>
        <w:widowControl/>
        <w:suppressAutoHyphens/>
        <w:spacing w:before="120"/>
        <w:rPr>
          <w:rFonts w:ascii="Times" w:hAnsi="Times"/>
          <w:b/>
          <w:bCs/>
        </w:rPr>
      </w:pPr>
      <w:r w:rsidRPr="00FA45B7">
        <w:rPr>
          <w:rFonts w:ascii="Times" w:hAnsi="Times"/>
          <w:bCs/>
        </w:rPr>
        <w:t xml:space="preserve">Dodany art. 69c ma na celu rozwiązanie problemów związanych z wykonywaniem przez akcjonariuszy spółek, dla których Rzeczpospolita Polska jest </w:t>
      </w:r>
      <w:r w:rsidRPr="00FA45B7">
        <w:rPr>
          <w:rFonts w:ascii="Times" w:hAnsi="Times"/>
        </w:rPr>
        <w:t>państwem przyjmującym, spoczywających na nich obowiązków informacyjnych. Zagadnienie to mieści się w zakresie uregulowanym przez dyrektywę 2004/109/WE. Mając na uwadze, że obowiązujące obecnie przepisy nie dają jednoznacznej odpowiedzi, w jaki sposób wskazane obowiązki powinny być realizowane, zaproponowana zmiana usunie te wątpliwości, a tym samym przyczyni się do większej przejrzystości zasad funkcjonowania rynku kapitałowego w Polsce.</w:t>
      </w:r>
    </w:p>
    <w:p w:rsidR="00FA45B7" w:rsidRPr="00FA45B7" w:rsidRDefault="00FA45B7" w:rsidP="00FA45B7">
      <w:pPr>
        <w:widowControl/>
        <w:suppressAutoHyphens/>
        <w:spacing w:before="120"/>
        <w:rPr>
          <w:rFonts w:ascii="Times" w:hAnsi="Times"/>
          <w:b/>
          <w:bCs/>
        </w:rPr>
      </w:pPr>
      <w:r w:rsidRPr="00FA45B7">
        <w:rPr>
          <w:rFonts w:ascii="Times" w:hAnsi="Times"/>
          <w:b/>
          <w:bCs/>
        </w:rPr>
        <w:t>Art. 1 pkt 29</w:t>
      </w:r>
    </w:p>
    <w:p w:rsidR="00FA45B7" w:rsidRPr="00FA45B7" w:rsidRDefault="00FA45B7" w:rsidP="00FA45B7">
      <w:pPr>
        <w:widowControl/>
        <w:suppressAutoHyphens/>
        <w:spacing w:before="120"/>
        <w:rPr>
          <w:rFonts w:ascii="Times" w:hAnsi="Times"/>
          <w:bCs/>
        </w:rPr>
      </w:pPr>
      <w:r w:rsidRPr="00FA45B7">
        <w:rPr>
          <w:rFonts w:ascii="Times" w:hAnsi="Times"/>
          <w:bCs/>
        </w:rPr>
        <w:t>Zmiana brzmienia pkt 1 i 3 w art. 70 polega na uzupełnieniu treści tych przepisów o odniesienie do podmiotu organizującego alternatywny system obrotu. Zmiana ta jest związana ze zmianami zaproponowanymi w projektowanych ust. 1, 1a i 3 w art. 69 ustawy o ofercie, które mają na celu ujednolicenie zakresu obowiązków spoczywających na akcjonariuszu nabywającym lub zbywającym akcje w transakcji z</w:t>
      </w:r>
      <w:r w:rsidR="00170FE0">
        <w:rPr>
          <w:rFonts w:ascii="Times" w:hAnsi="Times"/>
          <w:bCs/>
        </w:rPr>
        <w:t>a</w:t>
      </w:r>
      <w:r w:rsidRPr="00FA45B7">
        <w:rPr>
          <w:rFonts w:ascii="Times" w:hAnsi="Times"/>
          <w:bCs/>
        </w:rPr>
        <w:t>wartej w obrocie zorganizowanym, bez względu na to</w:t>
      </w:r>
      <w:r w:rsidR="00170FE0">
        <w:rPr>
          <w:rFonts w:ascii="Times" w:hAnsi="Times"/>
          <w:bCs/>
        </w:rPr>
        <w:t>,</w:t>
      </w:r>
      <w:r w:rsidRPr="00FA45B7">
        <w:rPr>
          <w:rFonts w:ascii="Times" w:hAnsi="Times"/>
          <w:bCs/>
        </w:rPr>
        <w:t xml:space="preserve"> czy przedmiotem tej transakcji są akcje notowane na rynku regulowanym, czy w alternatywnym systemie obrotu.</w:t>
      </w:r>
    </w:p>
    <w:p w:rsidR="00FA45B7" w:rsidRPr="00FA45B7" w:rsidRDefault="00FA45B7" w:rsidP="00FA45B7">
      <w:pPr>
        <w:widowControl/>
        <w:suppressAutoHyphens/>
        <w:spacing w:before="120"/>
        <w:rPr>
          <w:rFonts w:ascii="Times" w:hAnsi="Times"/>
          <w:b/>
          <w:bCs/>
        </w:rPr>
      </w:pPr>
      <w:r w:rsidRPr="00FA45B7">
        <w:rPr>
          <w:rFonts w:ascii="Times" w:hAnsi="Times"/>
          <w:b/>
          <w:bCs/>
        </w:rPr>
        <w:t>Art. 1 pkt 30</w:t>
      </w:r>
    </w:p>
    <w:p w:rsidR="00FA45B7" w:rsidRPr="00FA45B7" w:rsidRDefault="00FA45B7" w:rsidP="00FA45B7">
      <w:pPr>
        <w:widowControl/>
        <w:suppressAutoHyphens/>
        <w:spacing w:before="120"/>
        <w:rPr>
          <w:rFonts w:ascii="Times" w:hAnsi="Times"/>
          <w:i/>
        </w:rPr>
      </w:pPr>
      <w:r w:rsidRPr="00FA45B7">
        <w:rPr>
          <w:rFonts w:ascii="Times" w:hAnsi="Times"/>
        </w:rPr>
        <w:t xml:space="preserve">lit. a </w:t>
      </w:r>
      <w:r w:rsidRPr="00FA45B7">
        <w:rPr>
          <w:rFonts w:ascii="Times" w:hAnsi="Times"/>
          <w:i/>
        </w:rPr>
        <w:t>tiret pierwsze</w:t>
      </w:r>
    </w:p>
    <w:p w:rsidR="00FA45B7" w:rsidRPr="00FA45B7" w:rsidRDefault="00FA45B7" w:rsidP="00FA45B7">
      <w:pPr>
        <w:widowControl/>
        <w:suppressAutoHyphens/>
        <w:spacing w:before="120"/>
        <w:rPr>
          <w:rFonts w:ascii="Times" w:hAnsi="Times"/>
        </w:rPr>
      </w:pPr>
      <w:r w:rsidRPr="00FA45B7">
        <w:rPr>
          <w:rFonts w:ascii="Times" w:hAnsi="Times"/>
        </w:rPr>
        <w:t xml:space="preserve">Zmiana pkt 5 w ust. 1 w art. 87 polega na doprecyzowaniu, że porozumienie, o którym mowa w tym przepisie, odnosi się również do przypadku zbywania akcji spółki publicznej. Obowiązki określone w rozdziale 4 ustawy o ofercie powstają bowiem nie tylko w przypadku nabywania akcji spółki publicznej przez co najmniej jedną ze stron porozumienia, o którym mowa w tym przepisie, ale również w sytuacji zbywania akcji spółki publicznej, a zatem zmniejszania swojego zaangażowania przez co najmniej jedną ze stron porozumienia. Zaproponowana zmiana ma na celu zapewnienie pełnej transparentności zmian w składzie akcjonariatu spółek publicznych i jest spójna z </w:t>
      </w:r>
      <w:r w:rsidRPr="00FA45B7">
        <w:rPr>
          <w:rFonts w:ascii="Times" w:hAnsi="Times"/>
        </w:rPr>
        <w:lastRenderedPageBreak/>
        <w:t>wykładnią systemową i funkcjonalną przepisów rozdziału 4 ustawy o ofercie. Dlatego, dla uniknięcia ewentualnych wątpliwości interpretacyjnych, przepis powinien zostać doprecyzowany i wprost wskazywać, że obowiązki, o których mowa w rozdziale 4 ustawy o ofercie, ciążą również na podmiotach, które łączy porozumienie dotyczące zbywania przez te podmioty akcji spółki publicznej. Obecne brzmienie przepisu może budzić ewentualne wątpliwości interpretacyjne</w:t>
      </w:r>
      <w:r w:rsidR="00170FE0">
        <w:rPr>
          <w:rFonts w:ascii="Times" w:hAnsi="Times"/>
        </w:rPr>
        <w:t>,</w:t>
      </w:r>
      <w:r w:rsidRPr="00FA45B7">
        <w:rPr>
          <w:rFonts w:ascii="Times" w:hAnsi="Times"/>
        </w:rPr>
        <w:t xml:space="preserve"> czy podmioty objęte porozumieniem dotyczącym nabywania akcji spółki publicznej zobowiązane są do wypełniania obowiązków informacyjnych określonych w art. 69 w związku ze zbywaniem akcji spółki publicznej przez co najmniej jedną ze stron porozumienia i w konsekwencji zmniejszeniem łącznego udziału w ogólnej liczbie głosów przez członków porozumienia. Zaproponowana zmiana ma zapewnić właściwą, tj. w pełni transparentną realizację obowiązków informacyjnych związanych zarówno ze zwiększaniem</w:t>
      </w:r>
      <w:r w:rsidR="00170FE0">
        <w:rPr>
          <w:rFonts w:ascii="Times" w:hAnsi="Times"/>
        </w:rPr>
        <w:t>,</w:t>
      </w:r>
      <w:r w:rsidRPr="00FA45B7">
        <w:rPr>
          <w:rFonts w:ascii="Times" w:hAnsi="Times"/>
        </w:rPr>
        <w:t xml:space="preserve"> jak i zmniejszaniem stanu posiadania akcji spółki publicznej przez członków porozumienia, o których mowa w art. 87 ust. 1 pkt 5, w związku z art. 69 ustawy o ofercie.</w:t>
      </w:r>
    </w:p>
    <w:p w:rsidR="00FA45B7" w:rsidRPr="00FA45B7" w:rsidRDefault="00FA45B7" w:rsidP="00FA45B7">
      <w:pPr>
        <w:widowControl/>
        <w:suppressAutoHyphens/>
        <w:spacing w:before="120"/>
        <w:rPr>
          <w:rFonts w:ascii="Times" w:hAnsi="Times"/>
          <w:i/>
        </w:rPr>
      </w:pPr>
      <w:r w:rsidRPr="00FA45B7">
        <w:rPr>
          <w:rFonts w:ascii="Times" w:hAnsi="Times"/>
        </w:rPr>
        <w:t>lit. a</w:t>
      </w:r>
      <w:r w:rsidRPr="00FA45B7">
        <w:rPr>
          <w:rFonts w:ascii="Times" w:hAnsi="Times"/>
          <w:i/>
        </w:rPr>
        <w:t xml:space="preserve"> tiret drugie </w:t>
      </w:r>
      <w:r w:rsidRPr="00FA45B7">
        <w:rPr>
          <w:rFonts w:ascii="Times" w:hAnsi="Times"/>
        </w:rPr>
        <w:t xml:space="preserve">oraz lit. b i c </w:t>
      </w:r>
    </w:p>
    <w:p w:rsidR="00FA45B7" w:rsidRPr="00FA45B7" w:rsidRDefault="00FA45B7" w:rsidP="00FA45B7">
      <w:pPr>
        <w:widowControl/>
        <w:suppressAutoHyphens/>
        <w:spacing w:before="120"/>
        <w:rPr>
          <w:bCs/>
        </w:rPr>
      </w:pPr>
      <w:r w:rsidRPr="00FA45B7">
        <w:rPr>
          <w:rFonts w:ascii="Times" w:hAnsi="Times"/>
        </w:rPr>
        <w:t>Dodanie w art. 87 w ust. 1 pkt 7 oraz pkt 4 w ust. 5, a także uchylenie pkt 3 w ust. 4, związane jest z rezygnacją z koncepcji powstawania obowiązków określonych w rozdziale 4 ustawy o ofercie w związku z domniemaniem działania w porozumieniu pomiędzy mocodawcą a jego pełnomocnikiem do rachunku. Jednocześnie zmiana zakłada ograniczenie obowiązków mocodawcy, związanych ze znacznymi pakietami akcji spółek publicznych, w przypadku umocowania osoby trzeciej do rachunku papierów wartościowych. W takiej sytuacji obowiązki te spoczywać będą jedynie na pełnomocniku do rachunku, a powstawać będą w związku z akcjami zapisanymi na rachunkach należących do pełnomocnika oraz rachunkach papierów wartościowych mocodawcy, w zakresie których pełnomocnik został umocowany.</w:t>
      </w:r>
    </w:p>
    <w:p w:rsidR="00FA45B7" w:rsidRPr="00FA45B7" w:rsidRDefault="00FA45B7" w:rsidP="00FA45B7">
      <w:pPr>
        <w:widowControl/>
        <w:suppressAutoHyphens/>
        <w:spacing w:before="120"/>
        <w:rPr>
          <w:rFonts w:ascii="Times" w:hAnsi="Times"/>
          <w:b/>
          <w:bCs/>
          <w:lang w:val="en-US"/>
        </w:rPr>
      </w:pPr>
      <w:r w:rsidRPr="00FA45B7">
        <w:rPr>
          <w:rFonts w:ascii="Times" w:hAnsi="Times"/>
          <w:b/>
          <w:bCs/>
          <w:lang w:val="en-US"/>
        </w:rPr>
        <w:t>Art. 1 pkt 31</w:t>
      </w:r>
    </w:p>
    <w:p w:rsidR="00FA45B7" w:rsidRPr="00FA45B7" w:rsidRDefault="00FA45B7" w:rsidP="00FA45B7">
      <w:pPr>
        <w:widowControl/>
        <w:suppressAutoHyphens/>
        <w:spacing w:before="120"/>
        <w:rPr>
          <w:rFonts w:ascii="Times" w:hAnsi="Times"/>
          <w:lang w:val="en-US"/>
        </w:rPr>
      </w:pPr>
      <w:r>
        <w:rPr>
          <w:rFonts w:ascii="Times" w:hAnsi="Times"/>
          <w:lang w:val="en-US"/>
        </w:rPr>
        <w:t>–</w:t>
      </w:r>
      <w:r w:rsidRPr="00FA45B7">
        <w:rPr>
          <w:rFonts w:ascii="Times" w:hAnsi="Times"/>
          <w:lang w:val="en-US"/>
        </w:rPr>
        <w:t xml:space="preserve"> lit. a, b, d i e</w:t>
      </w:r>
    </w:p>
    <w:p w:rsidR="00FA45B7" w:rsidRDefault="00FA45B7" w:rsidP="00FA45B7">
      <w:pPr>
        <w:widowControl/>
        <w:suppressAutoHyphens/>
        <w:spacing w:before="120"/>
        <w:rPr>
          <w:rFonts w:ascii="Times" w:hAnsi="Times"/>
        </w:rPr>
      </w:pPr>
      <w:r w:rsidRPr="00FA45B7">
        <w:rPr>
          <w:rFonts w:ascii="Times" w:hAnsi="Times"/>
        </w:rPr>
        <w:t>Zmiany w art. 90, dotyczące brzmienia wprowadzenia do wyliczenia w ust. 1a, brzmienia ust. 1b i ust. 2 oraz brzmienia zdania pierwszego w ust. 3, mają na celu uwzględnienie w tych przepisach zmiany art. 69a oraz dodawanego art. 69b.</w:t>
      </w:r>
    </w:p>
    <w:p w:rsidR="00D01DB1" w:rsidRPr="00FA45B7" w:rsidRDefault="00D01DB1" w:rsidP="00FA45B7">
      <w:pPr>
        <w:widowControl/>
        <w:suppressAutoHyphens/>
        <w:spacing w:before="120"/>
        <w:rPr>
          <w:rFonts w:ascii="Times" w:hAnsi="Times"/>
        </w:rPr>
      </w:pPr>
    </w:p>
    <w:p w:rsidR="00FA45B7" w:rsidRPr="00FA45B7" w:rsidRDefault="00FA45B7" w:rsidP="00FA45B7">
      <w:pPr>
        <w:widowControl/>
        <w:suppressAutoHyphens/>
        <w:spacing w:before="120"/>
        <w:rPr>
          <w:rFonts w:ascii="Times" w:hAnsi="Times"/>
        </w:rPr>
      </w:pPr>
      <w:r>
        <w:rPr>
          <w:rFonts w:ascii="Times" w:hAnsi="Times"/>
        </w:rPr>
        <w:lastRenderedPageBreak/>
        <w:t>–</w:t>
      </w:r>
      <w:r w:rsidRPr="00FA45B7">
        <w:rPr>
          <w:rFonts w:ascii="Times" w:hAnsi="Times"/>
        </w:rPr>
        <w:t xml:space="preserve"> lit. c</w:t>
      </w:r>
    </w:p>
    <w:p w:rsidR="00FA45B7" w:rsidRPr="00FA45B7" w:rsidRDefault="00FA45B7" w:rsidP="00FA45B7">
      <w:pPr>
        <w:widowControl/>
        <w:suppressAutoHyphens/>
        <w:spacing w:before="120"/>
        <w:rPr>
          <w:rFonts w:ascii="Times" w:hAnsi="Times"/>
        </w:rPr>
      </w:pPr>
      <w:r w:rsidRPr="00FA45B7">
        <w:rPr>
          <w:rFonts w:ascii="Times" w:hAnsi="Times"/>
        </w:rPr>
        <w:t>Dodany ust. 1f w art. 90 ma na celu wyłączenie stosowania przepisów art. 69 – 69b, dotyczących ujawniania stanu posiadania w ogólnej liczbie głosów w spółce publicznej, w przypadku nabywania lub zbywania akcji własnych przez spółkę publiczną lub podmiot działający na jej rachunek lub w jej imieniu. Wyłączenie to będzie możliwe pod warunkiem, że nabywanie to odbywać się będzie w trybie, terminie i na warunkach określonych w przepisach rozporządzenia Komisji (WE) nr 2273/2003 z dnia 22</w:t>
      </w:r>
      <w:r w:rsidR="00D01DB1">
        <w:rPr>
          <w:rFonts w:ascii="Times" w:hAnsi="Times"/>
        </w:rPr>
        <w:t> </w:t>
      </w:r>
      <w:r w:rsidRPr="00FA45B7">
        <w:rPr>
          <w:rFonts w:ascii="Times" w:hAnsi="Times"/>
        </w:rPr>
        <w:t>grudnia 2003 r. wykonującego dyrektywę 2003/6/WE Parlamentu Europejskiego i Rady w odniesieniu do zwolnień dla programów odkupu i stabilizacji instrumentów finansowych (Dz. Urz. UE L 336 z 23.12.2003, z późn. zm.), w ramach stabilizacji instrumentów finansowych, oraz że prawa głosu przysługujące z tych akcji nie będą wykonywane ani w żaden inny sposób wykorzystywane w celu wpływania na zarządzanie emitentem. Projektowany przepis stanowi implementację art. 1 pkt 7 lit. b dyrektywy 2013/50/UE, dodającą ust. 6a w art. 9 dyrektywy 2004/109/WE.</w:t>
      </w:r>
    </w:p>
    <w:p w:rsidR="00FA45B7" w:rsidRPr="00FA45B7" w:rsidRDefault="00FA45B7" w:rsidP="00FA45B7">
      <w:pPr>
        <w:widowControl/>
        <w:suppressAutoHyphens/>
        <w:spacing w:before="120"/>
        <w:rPr>
          <w:rFonts w:ascii="Times" w:hAnsi="Times"/>
        </w:rPr>
      </w:pPr>
      <w:r w:rsidRPr="00FA45B7">
        <w:rPr>
          <w:rFonts w:ascii="Times" w:hAnsi="Times"/>
        </w:rPr>
        <w:t>Analogicznie, dodany ust. 1g w art. 90 ma na celu wyłączenie stosowania przepisów art.</w:t>
      </w:r>
      <w:r w:rsidR="00D01DB1">
        <w:rPr>
          <w:rFonts w:ascii="Times" w:hAnsi="Times"/>
        </w:rPr>
        <w:t> 69–</w:t>
      </w:r>
      <w:r w:rsidRPr="00FA45B7">
        <w:rPr>
          <w:rFonts w:ascii="Times" w:hAnsi="Times"/>
        </w:rPr>
        <w:t>69b, w przypadku nabywania lub zbywania instrumentów finansowych przez bank krajowy, instytucję kredytową lub firmę inwestycyjną, do portfela handlowego w rozumieniu rozporządzenia Parlamentu Europejskiego i Rady (UE) nr 575/2013 z dnia 26 czerwca 2013 r. w sprawie wymogów ostrożnościowych dla instytucji kredytowych i firm inwestycyjnych, zmieniającego rozporządzenie (UE) nr 648/2012 (Dz. Urz. UE L</w:t>
      </w:r>
      <w:r w:rsidR="00D01DB1">
        <w:rPr>
          <w:rFonts w:ascii="Times" w:hAnsi="Times"/>
        </w:rPr>
        <w:t> </w:t>
      </w:r>
      <w:r w:rsidRPr="00FA45B7">
        <w:rPr>
          <w:rFonts w:ascii="Times" w:hAnsi="Times"/>
        </w:rPr>
        <w:t>176 z 27.06.2013, str. 1, z późn. zm.). Projektowany przepis stanowi implementację art. 1 pkt 7 lit. a dyrektywy 2013/50/UE, zmieniającej brzmienie ust. 6 w art. 9 dyrektywy 2004/109/WE.</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f</w:t>
      </w:r>
    </w:p>
    <w:p w:rsidR="00FA45B7" w:rsidRPr="00FA45B7" w:rsidRDefault="00FA45B7" w:rsidP="00FA45B7">
      <w:pPr>
        <w:widowControl/>
        <w:suppressAutoHyphens/>
        <w:spacing w:before="120"/>
        <w:rPr>
          <w:rFonts w:ascii="Times" w:hAnsi="Times"/>
        </w:rPr>
      </w:pPr>
      <w:r w:rsidRPr="00FA45B7">
        <w:rPr>
          <w:rFonts w:ascii="Times" w:hAnsi="Times"/>
        </w:rPr>
        <w:t xml:space="preserve">Przepis zaproponowany w dodanym ust. 4 w art. 90 ma na celu wzmocnienie bezpieczeństwa zarządzania aktywami Skarbu Państwa poprzez jego wyłączenie z obowiązków ujawniania stanu posiadania akcji spółek publicznych oraz ogłaszania wezwania, o których mowa odpowiednio w art. 69, art. 73 i art. 74 ustawy o ofercie, powstających również w przypadku pośredniego nabycia akcji spółek publicznych. </w:t>
      </w:r>
    </w:p>
    <w:p w:rsidR="00FA45B7" w:rsidRPr="00FA45B7" w:rsidRDefault="00FA45B7" w:rsidP="00FA45B7">
      <w:pPr>
        <w:widowControl/>
        <w:suppressAutoHyphens/>
        <w:spacing w:before="120"/>
        <w:rPr>
          <w:rFonts w:ascii="Times" w:hAnsi="Times"/>
        </w:rPr>
      </w:pPr>
      <w:r w:rsidRPr="00FA45B7">
        <w:rPr>
          <w:rFonts w:ascii="Times" w:hAnsi="Times"/>
        </w:rPr>
        <w:t xml:space="preserve">Natomiast dodany ust. 5 w art. 90 rozszerza w rozdziale 4 ustawy o ofercie zakres zastosowania obowiązków, o których mowa w art. 69 – 69b, związanych z posiadaniem papierów wartościowych, poprzez odniesienie tych obowiązków również do </w:t>
      </w:r>
      <w:r w:rsidRPr="00FA45B7">
        <w:rPr>
          <w:rFonts w:ascii="Times" w:hAnsi="Times"/>
        </w:rPr>
        <w:lastRenderedPageBreak/>
        <w:t>instrumentów finansowych. Zmiana ta jest powiązana z innymi propozycjami zmian dotyczącymi ujawniania stanu posiadania w spółkach publicznych, mającymi na celu zagwarantowanie</w:t>
      </w:r>
      <w:r w:rsidR="00170FE0">
        <w:rPr>
          <w:rFonts w:ascii="Times" w:hAnsi="Times"/>
        </w:rPr>
        <w:t>, a</w:t>
      </w:r>
      <w:r w:rsidRPr="00FA45B7">
        <w:rPr>
          <w:rFonts w:ascii="Times" w:hAnsi="Times"/>
        </w:rPr>
        <w:t>by emitenci i inwestorzy posiadali pełną wiedzę na temat struktury własności spółek publicznych.</w:t>
      </w:r>
    </w:p>
    <w:p w:rsidR="00FA45B7" w:rsidRPr="00FA45B7" w:rsidRDefault="00FA45B7" w:rsidP="00FA45B7">
      <w:pPr>
        <w:widowControl/>
        <w:suppressAutoHyphens/>
        <w:spacing w:before="120"/>
        <w:rPr>
          <w:rFonts w:ascii="Times" w:hAnsi="Times"/>
          <w:b/>
          <w:bCs/>
        </w:rPr>
      </w:pPr>
      <w:r w:rsidRPr="00FA45B7">
        <w:rPr>
          <w:rFonts w:ascii="Times" w:hAnsi="Times"/>
          <w:b/>
          <w:bCs/>
        </w:rPr>
        <w:t>Art. 1 pkt 32</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a</w:t>
      </w:r>
    </w:p>
    <w:p w:rsidR="00FA45B7" w:rsidRPr="00FA45B7" w:rsidRDefault="00FA45B7" w:rsidP="00FA45B7">
      <w:pPr>
        <w:widowControl/>
        <w:suppressAutoHyphens/>
        <w:spacing w:before="120"/>
        <w:rPr>
          <w:rFonts w:ascii="Times" w:hAnsi="Times"/>
          <w:b/>
          <w:bCs/>
        </w:rPr>
      </w:pPr>
      <w:r w:rsidRPr="00FA45B7">
        <w:rPr>
          <w:rFonts w:ascii="Times" w:hAnsi="Times"/>
          <w:bCs/>
        </w:rPr>
        <w:t>Dodanie ust. 9a w art. 91 ma na celu wprowadzenie możliwości rozwiązania umowy o rejestrację akcji w depozycie papierów wartościowych na podstawie jednostronnego oświadczenia woli złożonego emitentowi przez Krajowy Depozyt Papierów Wartościowych po upływie 6 miesięcy od dnia uprawomocnienia się postanowienia o ogłoszeniu upadłości emitenta obejmującej likwidację jego majątku lub postanowienia o oddaleniu wniosku o ogłoszenie jego upadłości ze względu na to, że majątek spółki nie wystarcza na zaspokojenie kosztów postępowania. Postulowana zmiana rozwiązałaby problem niewypłacalnych spółek postawionych w stan likwidacji, które, pomimo zajścia prawnych przesłanek, nie zwracają się do Krajowego Depozytu z wnioskiem o rozwiązanie umowy o uczestnictwo i wyrejestrowanie akcji z depozytu papierów wartościowych. Brak takiego działania ze strony tych spółek powoduje narastanie zadłużenia po ich stronie, bowiem w większości przypadków emitenci postawieni w stan upadłości zmierzającej do likwidacji ich majątku zaprzestają wnoszenia opłat rocznych za uczestnictwo w Krajowym Depozycie.</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b</w:t>
      </w:r>
    </w:p>
    <w:p w:rsidR="00FA45B7" w:rsidRPr="00FA45B7" w:rsidRDefault="00FA45B7" w:rsidP="00FA45B7">
      <w:pPr>
        <w:widowControl/>
        <w:suppressAutoHyphens/>
        <w:spacing w:before="120"/>
        <w:rPr>
          <w:rFonts w:ascii="Times" w:hAnsi="Times"/>
          <w:b/>
          <w:bCs/>
        </w:rPr>
      </w:pPr>
      <w:r w:rsidRPr="00FA45B7">
        <w:rPr>
          <w:rFonts w:ascii="Times" w:hAnsi="Times"/>
          <w:bCs/>
        </w:rPr>
        <w:t>Zmiana ust. 12 ma na celu uwzględnienie dodanego ust. 9a w art. 91 poprzez odniesienie go również do spółki, której Krajowy Depozyt przekazał wykonywanie czynności z zakresu zadań, o których mowa w zmienianym przepisie.</w:t>
      </w:r>
    </w:p>
    <w:p w:rsidR="00FA45B7" w:rsidRPr="00FA45B7" w:rsidRDefault="00FA45B7" w:rsidP="00FA45B7">
      <w:pPr>
        <w:widowControl/>
        <w:suppressAutoHyphens/>
        <w:spacing w:before="120"/>
        <w:rPr>
          <w:b/>
          <w:bCs/>
        </w:rPr>
      </w:pPr>
      <w:r w:rsidRPr="00FA45B7">
        <w:rPr>
          <w:rFonts w:ascii="Times" w:hAnsi="Times"/>
          <w:b/>
          <w:bCs/>
        </w:rPr>
        <w:t>Art. 1 pkt 33</w:t>
      </w:r>
    </w:p>
    <w:p w:rsidR="00FA45B7" w:rsidRPr="00FA45B7" w:rsidRDefault="00FA45B7" w:rsidP="00FA45B7">
      <w:pPr>
        <w:widowControl/>
        <w:suppressAutoHyphens/>
        <w:spacing w:before="120"/>
        <w:rPr>
          <w:rFonts w:ascii="Times" w:hAnsi="Times"/>
          <w:b/>
          <w:bCs/>
        </w:rPr>
      </w:pPr>
      <w:r w:rsidRPr="00FA45B7">
        <w:rPr>
          <w:rFonts w:ascii="Times" w:hAnsi="Times"/>
          <w:bCs/>
        </w:rPr>
        <w:t>Dodanie pkt 4 w art. 92 ustawy o ofercie ma na celu usunięcie luki prawnej polegającej na braku regulacji określających zasady wycofywania z obrotu giełdowego akcji spółek zagranicznych, zdematerializowanych zgodnie z polskimi przepisami prawa i notowanych wyłącznie na rynku polskim. Jednocześnie proponowany przepis zapewni akcjonariuszom, zwłaszcza akcjonariuszom mniejszościowy</w:t>
      </w:r>
      <w:r w:rsidR="00170FE0">
        <w:rPr>
          <w:rFonts w:ascii="Times" w:hAnsi="Times"/>
          <w:bCs/>
        </w:rPr>
        <w:t>m</w:t>
      </w:r>
      <w:r w:rsidRPr="00FA45B7">
        <w:rPr>
          <w:rFonts w:ascii="Times" w:hAnsi="Times"/>
          <w:bCs/>
        </w:rPr>
        <w:t>, możliwość ochrony swoich praw we wskazanym przypadku.</w:t>
      </w:r>
    </w:p>
    <w:p w:rsidR="00FA45B7" w:rsidRPr="00FA45B7" w:rsidRDefault="00FA45B7" w:rsidP="00FA45B7">
      <w:pPr>
        <w:widowControl/>
        <w:suppressAutoHyphens/>
        <w:spacing w:before="120"/>
        <w:rPr>
          <w:rFonts w:ascii="Times" w:hAnsi="Times"/>
          <w:b/>
          <w:bCs/>
        </w:rPr>
      </w:pPr>
      <w:r w:rsidRPr="00FA45B7">
        <w:rPr>
          <w:rFonts w:ascii="Times" w:hAnsi="Times"/>
          <w:b/>
          <w:bCs/>
        </w:rPr>
        <w:lastRenderedPageBreak/>
        <w:t>Art. 1 pkt 34</w:t>
      </w:r>
    </w:p>
    <w:p w:rsidR="00FA45B7" w:rsidRPr="00FA45B7" w:rsidRDefault="00FA45B7" w:rsidP="00FA45B7">
      <w:pPr>
        <w:widowControl/>
        <w:suppressAutoHyphens/>
        <w:spacing w:before="120"/>
        <w:rPr>
          <w:rFonts w:ascii="Times" w:hAnsi="Times"/>
        </w:rPr>
      </w:pPr>
      <w:r w:rsidRPr="00FA45B7">
        <w:rPr>
          <w:rFonts w:ascii="Times" w:hAnsi="Times"/>
        </w:rPr>
        <w:t>Zmiana ust. 3 w art. 94 polega na doprecyzowaniu, że termin 12</w:t>
      </w:r>
      <w:r w:rsidR="00170FE0">
        <w:rPr>
          <w:rFonts w:ascii="Times" w:hAnsi="Times"/>
        </w:rPr>
        <w:t>-</w:t>
      </w:r>
      <w:r w:rsidRPr="00FA45B7">
        <w:rPr>
          <w:rFonts w:ascii="Times" w:hAnsi="Times"/>
        </w:rPr>
        <w:t>miesięczny na dopuszczenie papierów wartościowych będących przedmiotem oferty publicznej do obrotu na rynku regulowanym lub wprowadzenie tych papierów wartościowych do alternatywnego systemu obrotu jest liczony od dnia przydziału tych papierów, a nie jak dotychczas od dnia zakończenia subskrypcji lub sprzedaży. Zmiana ta ma na celu dostosowanie przedmiotowej regulacji do brzmienia ust. 3 w art. 10, który zawiera odwołanie do art. 94. Ponadto w związku z proponowanymi zmianami art. 10 doprecyzowano, że dopuszczenie papierów wartościowych będących przedmiotem oferty publicznej do obrotu na rynku regulowanym lub wprowadzenie tych papierów wartościowych do alternatywnego systemu obrotu odnosi się do terytorium Rzeczypospolitej Polskiej.</w:t>
      </w:r>
    </w:p>
    <w:p w:rsidR="00FA45B7" w:rsidRPr="00FA45B7" w:rsidRDefault="00FA45B7" w:rsidP="00FA45B7">
      <w:pPr>
        <w:widowControl/>
        <w:suppressAutoHyphens/>
        <w:spacing w:before="120"/>
        <w:rPr>
          <w:rFonts w:ascii="Times" w:hAnsi="Times"/>
          <w:b/>
          <w:bCs/>
        </w:rPr>
      </w:pPr>
      <w:r w:rsidRPr="00FA45B7">
        <w:rPr>
          <w:rFonts w:ascii="Times" w:hAnsi="Times"/>
          <w:b/>
          <w:bCs/>
        </w:rPr>
        <w:t>Art. 1 pkt 35</w:t>
      </w:r>
      <w:r>
        <w:rPr>
          <w:rFonts w:ascii="Times" w:hAnsi="Times"/>
          <w:b/>
          <w:bCs/>
        </w:rPr>
        <w:t>–</w:t>
      </w:r>
      <w:r w:rsidRPr="00FA45B7">
        <w:rPr>
          <w:rFonts w:ascii="Times" w:hAnsi="Times"/>
          <w:b/>
          <w:bCs/>
        </w:rPr>
        <w:t>37</w:t>
      </w:r>
    </w:p>
    <w:p w:rsidR="00FA45B7" w:rsidRDefault="00FA45B7" w:rsidP="00FA45B7">
      <w:pPr>
        <w:widowControl/>
        <w:suppressAutoHyphens/>
        <w:spacing w:before="120"/>
        <w:rPr>
          <w:rFonts w:ascii="Times" w:hAnsi="Times"/>
          <w:bCs/>
        </w:rPr>
      </w:pPr>
      <w:r w:rsidRPr="00FA45B7">
        <w:rPr>
          <w:rFonts w:ascii="Times" w:hAnsi="Times"/>
          <w:bCs/>
        </w:rPr>
        <w:t>Zmiany przepisów zawartych w art. 96, art. 96a i art. 97, dotyczących sankcji administracyjnych za naruszenie przepisów ustawy o ofercie, mają na celu wdrożenie art. 1 pkt 20, 21 i 23 dyrektywy 2013/50/UE odpowiednio zmieniających art. 28 i art. 29 dyrektywy 2004/</w:t>
      </w:r>
      <w:r>
        <w:rPr>
          <w:rFonts w:ascii="Times" w:hAnsi="Times"/>
          <w:bCs/>
        </w:rPr>
        <w:t>109/WE oraz dodającego art. 28a–</w:t>
      </w:r>
      <w:r w:rsidRPr="00FA45B7">
        <w:rPr>
          <w:rFonts w:ascii="Times" w:hAnsi="Times"/>
          <w:bCs/>
        </w:rPr>
        <w:t xml:space="preserve">28c w tej dyrektywie. Szczegółowe uzasadnienie zmian dyrektywy 2004/109/WE w przedmiotowym zakresie zostało zawarte w motywach 16 i 17 preambuły dyrektywy 2013/50/UE. Dyrektywa 2013/50/UE wprowadziła zmiany wymuszające wprowadzenie szczególnych regulacji, dotyczących sankcjonowania naruszeń przez emitentów obowiązków ustanowionych na podstawie dyrektywy 2004/109/WE. Zmiany te obejmują m.in. maksymalną wysokość sankcji pieniężnej, sposób ustalania tej wysokości, szczególne przesłanki, jakimi należy kierować się przy wymierzaniu tych sankcji, a także obowiązek podawania do publicznej wiadomości informacji o decyzjach, którymi zastosowano sankcje w związku z naruszeniem obowiązków wynikających z dyrektywy 2004/109/WE. Wspomniane zmiany dyrektywy 2004/109/WE wymuszają daleko idące zmiany przepisów sankcyjnych (art. 96 i </w:t>
      </w:r>
      <w:r w:rsidR="00170FE0">
        <w:rPr>
          <w:rFonts w:ascii="Times" w:hAnsi="Times"/>
          <w:bCs/>
        </w:rPr>
        <w:t xml:space="preserve">art. </w:t>
      </w:r>
      <w:r w:rsidRPr="00FA45B7">
        <w:rPr>
          <w:rFonts w:ascii="Times" w:hAnsi="Times"/>
          <w:bCs/>
        </w:rPr>
        <w:t xml:space="preserve">97 ustawy o ofercie), które dotychczas zawierały jednakowe zasady sankcjonowania przypadków naruszeń zarówno obowiązków informacyjnych, jak i obowiązków związanych z ofertą publiczną. </w:t>
      </w:r>
    </w:p>
    <w:p w:rsidR="00D01DB1" w:rsidRDefault="00D01DB1" w:rsidP="00FA45B7">
      <w:pPr>
        <w:widowControl/>
        <w:suppressAutoHyphens/>
        <w:spacing w:before="120"/>
        <w:rPr>
          <w:rFonts w:ascii="Times" w:hAnsi="Times"/>
          <w:bCs/>
        </w:rPr>
      </w:pPr>
    </w:p>
    <w:p w:rsidR="00D01DB1" w:rsidRPr="00FA45B7" w:rsidRDefault="00D01DB1" w:rsidP="00FA45B7">
      <w:pPr>
        <w:widowControl/>
        <w:suppressAutoHyphens/>
        <w:spacing w:before="120"/>
        <w:rPr>
          <w:rFonts w:ascii="Times" w:hAnsi="Times"/>
          <w:bCs/>
        </w:rPr>
      </w:pPr>
    </w:p>
    <w:p w:rsidR="00FA45B7" w:rsidRPr="00FA45B7" w:rsidRDefault="00FA45B7" w:rsidP="00FA45B7">
      <w:pPr>
        <w:widowControl/>
        <w:suppressAutoHyphens/>
        <w:spacing w:before="120"/>
        <w:rPr>
          <w:rFonts w:ascii="Times" w:hAnsi="Times"/>
        </w:rPr>
      </w:pPr>
      <w:r w:rsidRPr="00FA45B7">
        <w:rPr>
          <w:rFonts w:ascii="Times" w:hAnsi="Times"/>
        </w:rPr>
        <w:lastRenderedPageBreak/>
        <w:t>W szczególności:</w:t>
      </w:r>
    </w:p>
    <w:p w:rsidR="00FA45B7" w:rsidRPr="00FA45B7" w:rsidRDefault="00FA45B7" w:rsidP="00FA45B7">
      <w:pPr>
        <w:widowControl/>
        <w:suppressAutoHyphens/>
        <w:spacing w:before="120"/>
        <w:rPr>
          <w:rFonts w:ascii="Times" w:hAnsi="Times"/>
        </w:rPr>
      </w:pPr>
      <w:r w:rsidRPr="00FA45B7">
        <w:rPr>
          <w:rFonts w:ascii="Times" w:hAnsi="Times"/>
        </w:rPr>
        <w:t>pkt 35</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 e, h, i, k, l, m, n</w:t>
      </w:r>
    </w:p>
    <w:p w:rsidR="00FA45B7" w:rsidRPr="00FA45B7" w:rsidRDefault="00FA45B7" w:rsidP="00FA45B7">
      <w:pPr>
        <w:widowControl/>
        <w:suppressAutoHyphens/>
        <w:spacing w:before="120"/>
        <w:rPr>
          <w:rFonts w:ascii="Times" w:hAnsi="Times"/>
          <w:bCs/>
        </w:rPr>
      </w:pPr>
      <w:r w:rsidRPr="00FA45B7">
        <w:rPr>
          <w:rFonts w:ascii="Times" w:hAnsi="Times"/>
          <w:bCs/>
        </w:rPr>
        <w:t>Zmiany zawarte w lit. a, e, h, i, k, l, m i n nadające w szczególności nowe brzmienie odpowiednio ust. 1 pkt 1, ust. 1 pkt 2 lit. a–c, ust. 2–4 i 7 w art. 96 mają przede wszystkim charakter dostosowawczy i wynikają przede wszystkim z konieczności uwzględnienia w ich treści innych zmian w tej jednostce redakcyjnej (zmiana brzmienia ust. 1, dodanie nowych ust. 1e</w:t>
      </w:r>
      <w:r>
        <w:rPr>
          <w:rFonts w:ascii="Times" w:hAnsi="Times"/>
          <w:bCs/>
        </w:rPr>
        <w:t>–</w:t>
      </w:r>
      <w:r w:rsidRPr="00FA45B7">
        <w:rPr>
          <w:rFonts w:ascii="Times" w:hAnsi="Times"/>
          <w:bCs/>
        </w:rPr>
        <w:t>1h i ust. 6a). Ponadto zmiany te obejmują zmianę części wspólnej w ust. 1, która ma na celu usunięcie z tego przepisu przesłanki „sytuacji finansowej podmiotu”, którą KNF powinna wziąć pod uwagę przy nakładaniu kary pieniężnej za naruszenie, o którym mowa w tym przepisie. Przesłanki, jakimi powinien kierować się organ nadzoru przy stosowaniu sankcji administracyjnych za naruszenia, o których mowa w ust. 1</w:t>
      </w:r>
      <w:r>
        <w:rPr>
          <w:rFonts w:ascii="Times" w:hAnsi="Times"/>
          <w:bCs/>
        </w:rPr>
        <w:t>–</w:t>
      </w:r>
      <w:r w:rsidRPr="00FA45B7">
        <w:rPr>
          <w:rFonts w:ascii="Times" w:hAnsi="Times"/>
          <w:bCs/>
        </w:rPr>
        <w:t xml:space="preserve">1e, zostały określone w wyodrębnionym przepisie (projektowany art. 96 ust. 1h). Jednocześnie poprzez zmianę brzmienia ust. 7 w art. 96 ustawy o ofercie zapewniona ma być nieuchronność sankcji administracyjnej w stosunku do wymienionych w ust. 6 i 6a osób odpowiedzialnych za naruszenia obowiązków. Dotychczasowy termin 6 miesięcy stwarzał istotne ryzyko spóźnienia się przez organ nadzoru z wydaniem decyzji, która ustali odpowiedzialność tych osób za zaistniałe naruszenia. W związku z tym termin wydłużono do 12 miesięcy. Uchylenie ust. 11 związane jest z projektowaną zmianą art. 150 ust. 1 pkt 14 lit. e ustawy z dnia 29 lipca 2005 r. o obrocie instrumentami finansowymi, w którym zostało zamieszczone odesłanie do art. 96 ust. 10 i 10a ustawy o ofercie, oraz do </w:t>
      </w:r>
      <w:r w:rsidR="00170FE0">
        <w:rPr>
          <w:rFonts w:ascii="Times" w:hAnsi="Times"/>
          <w:bCs/>
        </w:rPr>
        <w:t xml:space="preserve">art. </w:t>
      </w:r>
      <w:r w:rsidRPr="00FA45B7">
        <w:rPr>
          <w:rFonts w:ascii="Times" w:hAnsi="Times"/>
          <w:bCs/>
        </w:rPr>
        <w:t>97 ust. 1e (odpowiednie stosowanie ust. 10a</w:t>
      </w:r>
      <w:r>
        <w:rPr>
          <w:rFonts w:ascii="Times" w:hAnsi="Times"/>
          <w:bCs/>
        </w:rPr>
        <w:t>–</w:t>
      </w:r>
      <w:r w:rsidRPr="00FA45B7">
        <w:rPr>
          <w:rFonts w:ascii="Times" w:hAnsi="Times"/>
          <w:bCs/>
        </w:rPr>
        <w:t>10d do przypadku z art. 97). Zmiana ta powoduje konieczność dokonania odpowiednich zmian w ust. 10 (wskazanie zastosowania tego przepisu do decyzji, o których mowa w ust. 13 i 14 w art. 96), w ust. 12 (usunięcie odesłania do ust.</w:t>
      </w:r>
      <w:r w:rsidR="00D01DB1">
        <w:rPr>
          <w:rFonts w:ascii="Times" w:hAnsi="Times"/>
          <w:bCs/>
        </w:rPr>
        <w:t> </w:t>
      </w:r>
      <w:r w:rsidRPr="00FA45B7">
        <w:rPr>
          <w:rFonts w:ascii="Times" w:hAnsi="Times"/>
          <w:bCs/>
        </w:rPr>
        <w:t>11), w ust. 13 i 15 (usunięcie odesłań do ust. 10 i 11). Ponadto zmiany ust. 13 i 15, w zakresie stosowania sankcji administracyjnych, mają na celu dostosowanie tych przepisów do zmiany ust. 6 w art. 96.</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b </w:t>
      </w:r>
    </w:p>
    <w:p w:rsidR="00FA45B7" w:rsidRPr="00FA45B7" w:rsidRDefault="00FA45B7" w:rsidP="00FA45B7">
      <w:pPr>
        <w:widowControl/>
        <w:suppressAutoHyphens/>
        <w:spacing w:before="120"/>
        <w:rPr>
          <w:rFonts w:ascii="Times" w:hAnsi="Times"/>
          <w:bCs/>
        </w:rPr>
      </w:pPr>
      <w:r w:rsidRPr="00FA45B7">
        <w:rPr>
          <w:rFonts w:ascii="Times" w:hAnsi="Times"/>
          <w:bCs/>
        </w:rPr>
        <w:t>Zmiana ust. 1a w art. 96 wynika z uwzględnienia przewidzianej zmiany ust. 1 w art.</w:t>
      </w:r>
      <w:r w:rsidR="00D01DB1">
        <w:rPr>
          <w:rFonts w:ascii="Times" w:hAnsi="Times"/>
          <w:bCs/>
        </w:rPr>
        <w:t> </w:t>
      </w:r>
      <w:r w:rsidRPr="00FA45B7">
        <w:rPr>
          <w:rFonts w:ascii="Times" w:hAnsi="Times"/>
          <w:bCs/>
        </w:rPr>
        <w:t xml:space="preserve">15a, polegającej na odniesieniu oferty kaskadowej, o której mowa w zmienianym przepisie, do wszystkich papierów wartościowych a nie tylko do papierów </w:t>
      </w:r>
      <w:r w:rsidRPr="00FA45B7">
        <w:rPr>
          <w:rFonts w:ascii="Times" w:hAnsi="Times"/>
          <w:bCs/>
        </w:rPr>
        <w:lastRenderedPageBreak/>
        <w:t>wartościowych o charakterze nieudziałowym, jak jest obecnie. Ponadto, zmiana ust. 1a w art. 96 polega na usunięciu z tego przepisu przesłanki „sytuacji finansowej podmiotu”, którą KNF powinna wziąć pod uwagę przy nakładaniu kary pieniężnej za naruszenie, o którym mowa w tym przepisie. Przesłanki, jakimi powinien kierować się organ nadzoru przy stosowaniu sankcji administracyjnych zostały określone w wyodrębnionym przepisie (projektowany art. 96 ust. 1h).</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c</w:t>
      </w:r>
    </w:p>
    <w:p w:rsidR="00FA45B7" w:rsidRPr="00FA45B7" w:rsidRDefault="00FA45B7" w:rsidP="00FA45B7">
      <w:pPr>
        <w:widowControl/>
        <w:suppressAutoHyphens/>
        <w:spacing w:before="120"/>
        <w:rPr>
          <w:rFonts w:ascii="Times" w:hAnsi="Times"/>
          <w:bCs/>
        </w:rPr>
      </w:pPr>
      <w:r w:rsidRPr="00FA45B7">
        <w:rPr>
          <w:rFonts w:ascii="Times" w:hAnsi="Times"/>
          <w:bCs/>
        </w:rPr>
        <w:t>Proponowana zmiana ma na celu uwzględnienie w ust. 1c dodanego ust. 9a w art. 53.</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d </w:t>
      </w:r>
    </w:p>
    <w:p w:rsidR="00FA45B7" w:rsidRPr="00FA45B7" w:rsidRDefault="00FA45B7" w:rsidP="00FA45B7">
      <w:pPr>
        <w:widowControl/>
        <w:suppressAutoHyphens/>
        <w:spacing w:before="120"/>
        <w:rPr>
          <w:rFonts w:ascii="Times" w:hAnsi="Times"/>
        </w:rPr>
      </w:pPr>
      <w:r w:rsidRPr="00FA45B7">
        <w:rPr>
          <w:rFonts w:ascii="Times" w:hAnsi="Times"/>
        </w:rPr>
        <w:t>Wskazane w dotychczasowym brzmieniu art. 96 ust. 1 przepisy, w związku z naruszeniem których KNF uprawniona jest do nałożenia sankcji administracyjnej, zostały podzielone pomiędzy ust. 1 oraz dodawany ust. 1e, w którym zamieszczone zostały wyłącznie obowiązki objęte dyrektywą 2004/109/WE. Dodatkowo art. 96 ust. 1f – 1h mają na celu implementację wprowadzonego przez dyrektywę 2013/50/UE mechanizmu ustalania maksymalnej wysokości sankcji administracyjnej, jaka może zostać zastosowana wobec podmiotu dopuszczającego się naruszenia obowiązków związanych ze znacznymi pakietami akcji spółek publicznych, wprowadzonych na podstawie dyrektywy 2004/109/WE, a także przesłanki, jakimi powinien kierować się organ nadzoru przy stosowaniu tych sankcji. Należy zwrócić uwagę, że wskazana w art. 96 ust. 1h pkt 2 przesłanka „przyczyny naruszenia” ma szeroki zakres, który obejmuje również wskazany w art. 28c ust. 1 lit. b dyrektywy 2004/109/WE stopień odpowiedzialności podmiotu odpowiedzialnego za naruszenie. Przesłanki określone w art. 96 ust. 1h będą miały zastosowanie również w odniesieniu do naruszeń wynikających z art. 96 ust. 1</w:t>
      </w:r>
      <w:r>
        <w:rPr>
          <w:rFonts w:ascii="Times" w:hAnsi="Times"/>
        </w:rPr>
        <w:t>–</w:t>
      </w:r>
      <w:r w:rsidRPr="00FA45B7">
        <w:rPr>
          <w:rFonts w:ascii="Times" w:hAnsi="Times"/>
        </w:rPr>
        <w:t xml:space="preserve">1d. Proponowane </w:t>
      </w:r>
      <w:r>
        <w:rPr>
          <w:rFonts w:ascii="Times" w:hAnsi="Times"/>
        </w:rPr>
        <w:t>w ust. 1e–</w:t>
      </w:r>
      <w:r w:rsidRPr="00FA45B7">
        <w:rPr>
          <w:rFonts w:ascii="Times" w:hAnsi="Times"/>
        </w:rPr>
        <w:t xml:space="preserve">1g w art. 96 regulacje mają na celu implementację art. 28b ust. 1 lit. c (i) dyrektywy 2004/109/WE, dodanego przez art. 1 pkt 21 dyrektywy 2013/50/UE. Dodany ust. 1h ma na celu implementację art. 28c ust. 1 dyrektywy 2004/109/WE, dodanego przez art. 1 pkt 21 dyrektywy 2013/50/UE. </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f i g</w:t>
      </w:r>
    </w:p>
    <w:p w:rsidR="00FA45B7" w:rsidRPr="00FA45B7" w:rsidRDefault="00FA45B7" w:rsidP="00FA45B7">
      <w:pPr>
        <w:widowControl/>
        <w:suppressAutoHyphens/>
        <w:spacing w:before="120"/>
        <w:rPr>
          <w:rFonts w:ascii="Times" w:hAnsi="Times"/>
          <w:bCs/>
        </w:rPr>
      </w:pPr>
      <w:r w:rsidRPr="00FA45B7">
        <w:rPr>
          <w:rFonts w:ascii="Times" w:hAnsi="Times"/>
          <w:bCs/>
        </w:rPr>
        <w:t xml:space="preserve">Zmieniony ust. 6 i dodany </w:t>
      </w:r>
      <w:r w:rsidR="00170FE0">
        <w:rPr>
          <w:rFonts w:ascii="Times" w:hAnsi="Times"/>
          <w:bCs/>
        </w:rPr>
        <w:t xml:space="preserve">ust. </w:t>
      </w:r>
      <w:r w:rsidRPr="00FA45B7">
        <w:rPr>
          <w:rFonts w:ascii="Times" w:hAnsi="Times"/>
          <w:bCs/>
        </w:rPr>
        <w:t>6a w art. 96, odnoszą się do kwestii odpowiedzialności członków organów zarządzających lub nadzorujących emitenta za naruszenie wskazanych w tym przepisie obowiązków i stanowią implementację art. 28 ust. 2 i art.</w:t>
      </w:r>
      <w:r w:rsidR="00D01DB1">
        <w:rPr>
          <w:rFonts w:ascii="Times" w:hAnsi="Times"/>
          <w:bCs/>
        </w:rPr>
        <w:t> </w:t>
      </w:r>
      <w:r w:rsidRPr="00FA45B7">
        <w:rPr>
          <w:rFonts w:ascii="Times" w:hAnsi="Times"/>
          <w:bCs/>
        </w:rPr>
        <w:t xml:space="preserve">28b ust. 1 lit. c (ii) dyrektywy 2004/109/WE zmienionych i dodanych odpowiednio </w:t>
      </w:r>
      <w:r w:rsidRPr="00FA45B7">
        <w:rPr>
          <w:rFonts w:ascii="Times" w:hAnsi="Times"/>
          <w:bCs/>
        </w:rPr>
        <w:lastRenderedPageBreak/>
        <w:t xml:space="preserve">przez art. 1 pkt 20 i 21 dyrektywy 2013/50/UE. Zmiana ust. 6 w art. 96 (wprowadzony pkt 2) polega na wprowadzeniu sankcji administracyjnej nakładanej w maksymalnej wysokości do 8 mln zł dla członków zarządu spółki publicznej lub towarzystwa funduszy inwestycyjnych, będącego organem funduszu inwestycyjnego zamkniętego, za rażące naruszenie obowiązków, o których mowa w dodawanym ust. 1e w art. 96 ustawy o ofercie. Jednocześnie na niezmienionym poziomie pozostawiono wymiar sankcji za rażące naruszanie przez członków zarządu spółki publicznej lub towarzystwa funduszy inwestycyjnych, będącego organem funduszu inwestycyjnego zamkniętego, obowiązków, o których mowa w ust. 1 w art. 96 (proponowany pkt 1), które nie są związane z implementowaną zmianą dyrektywy 2004/109/WE, w związku z czym nie ma konieczności podwyższania sankcji w stosunku do wymienionych osób do wysokości wymaganej przez tę dyrektywę. Analogiczne rozwiązania </w:t>
      </w:r>
      <w:r w:rsidR="00170FE0">
        <w:rPr>
          <w:rFonts w:ascii="Times" w:hAnsi="Times"/>
          <w:bCs/>
        </w:rPr>
        <w:t xml:space="preserve">do </w:t>
      </w:r>
      <w:r w:rsidRPr="00FA45B7">
        <w:rPr>
          <w:rFonts w:ascii="Times" w:hAnsi="Times"/>
          <w:bCs/>
        </w:rPr>
        <w:t>proponowany</w:t>
      </w:r>
      <w:r w:rsidR="003F5670">
        <w:rPr>
          <w:rFonts w:ascii="Times" w:hAnsi="Times"/>
          <w:bCs/>
        </w:rPr>
        <w:t xml:space="preserve">ch w </w:t>
      </w:r>
      <w:r w:rsidRPr="00FA45B7">
        <w:rPr>
          <w:rFonts w:ascii="Times" w:hAnsi="Times"/>
          <w:bCs/>
        </w:rPr>
        <w:t>ust. 6 przyjęto w dodanym ust. 6a w art. 96, który będzie dawał możliwość zastosowania sankcji administracyjnej również w stosunku do członków rady nadzorczej lub innego organu nadzorującego spółki publicznej lub towarzystwa funduszy inwestycyjnych, będącego organem funduszu inwestycyjnego zamkniętego. Zaproponowane regulacje powinny przyczynić się do zwrócenia należytej uwagi na znaczenie właściwego wykonywania przez spółki publiczne prawem przewidzianych obowiązków dla prawidłowego funkcjonowania rynku kapitałowego oraz zapewnić należyte i terminowe ich wypełnianie.</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j</w:t>
      </w:r>
    </w:p>
    <w:p w:rsidR="00FA45B7" w:rsidRPr="00FA45B7" w:rsidRDefault="00FA45B7" w:rsidP="00D01DB1">
      <w:pPr>
        <w:widowControl/>
        <w:suppressAutoHyphens/>
        <w:spacing w:before="120"/>
        <w:rPr>
          <w:rFonts w:ascii="Times" w:hAnsi="Times"/>
          <w:bCs/>
        </w:rPr>
      </w:pPr>
      <w:r>
        <w:rPr>
          <w:rFonts w:ascii="Times" w:hAnsi="Times"/>
          <w:bCs/>
        </w:rPr>
        <w:t>Dodane ust. 10a–</w:t>
      </w:r>
      <w:r w:rsidRPr="00FA45B7">
        <w:rPr>
          <w:rFonts w:ascii="Times" w:hAnsi="Times"/>
          <w:bCs/>
        </w:rPr>
        <w:t>10d w art. 96 dotyczą przekazywania przez KNF do publicznej wiadomości informacji o nałożonych przez ten organ sankcjach administracyjnych i stanowią implementację art. 29 dyrektywy 2004/109/WE zmienionego art. 1 pkt 23 dyrektywy 2013/50/UE. Regulacja ta nakłada na państwa członkowskie obowiązek ustanowienia przepisów, na podstawie których organ nadzoru będzie zobowiązany publikować informację o decyzji nakładającej sankcję za naruszenie obowiązków regulowanych przez dyrektywę 2004/109/WE. Obowiązujący art. 25 ustawy z dnia 29</w:t>
      </w:r>
      <w:r w:rsidR="00D01DB1">
        <w:rPr>
          <w:rFonts w:ascii="Times" w:hAnsi="Times"/>
          <w:bCs/>
        </w:rPr>
        <w:t> </w:t>
      </w:r>
      <w:r w:rsidRPr="00FA45B7">
        <w:rPr>
          <w:rFonts w:ascii="Times" w:hAnsi="Times"/>
          <w:bCs/>
        </w:rPr>
        <w:t xml:space="preserve">lipca 2005 r. o nadzorze nad rynkiem kapitałowym przewiduje podobną instytucję, jednak ma on szerszy zakres zastosowania, a zasady przekazywania informacji do publicznej wiadomości zostały w nim ukształtowane odmiennie niż wymaga tego zmienione brzmienie art. 29 dyrektywy 2004/109/WE. Dlatego też zdecydowano o wprowadzeniu w ustawie o ofercie przepisów szczególnych (dodawane ust. 10a – 10d w </w:t>
      </w:r>
      <w:r w:rsidRPr="00FA45B7">
        <w:rPr>
          <w:rFonts w:ascii="Times" w:hAnsi="Times"/>
          <w:bCs/>
        </w:rPr>
        <w:lastRenderedPageBreak/>
        <w:t>art. 96 oraz ust. 1e w art. 97) w stosunku do art. 25 ustawy z dnia 29 lipca 2005 r. o nadzorze nad rynkiem kapitałowym, które regulować będą jedynie podawanie do publicznej wiadomości informacji o decyzjach nakładających sankcję za naruszenie obowiązków uregulowanych w dyrektywie 2004/109/WE, w sposób adekwatny do wymagań art. 29 tej dyrektywy. Jednocześnie dodany ust. 10d określa okres</w:t>
      </w:r>
      <w:r w:rsidR="003F5670">
        <w:rPr>
          <w:rFonts w:ascii="Times" w:hAnsi="Times"/>
          <w:bCs/>
        </w:rPr>
        <w:t>,</w:t>
      </w:r>
      <w:r w:rsidRPr="00FA45B7">
        <w:rPr>
          <w:rFonts w:ascii="Times" w:hAnsi="Times"/>
          <w:bCs/>
        </w:rPr>
        <w:t xml:space="preserve"> przez jaki informacje o nałożonych sankcjach administracyjnych, przekazane przez KNF do publicznej wiadomości, są udostępniane na stronie internetowej tego organu. Mając na uwadze art. 26 ust. 1 pkt 4 ustawy z dnia 29 sierpnia 1997 r. o ochronie danych osobowych (Dz. U. z 2014 r. poz. 1182, z późn. zm.), stanowiący, że administrator danych ma obowiązek ich przechowywania w postaci umożliwiającej identyfikację osób, których dotyczą, nie dłużej niż to jest niezbędne do osiągnięcia celu przetwarzania, w szczególności wskazano w dodanym ust. 10d, że imię i nazwisko osoby odpowiedzialnej za naruszenie mogą być dostępne na stronie</w:t>
      </w:r>
      <w:r w:rsidRPr="00FA45B7">
        <w:rPr>
          <w:rFonts w:ascii="Times" w:hAnsi="Times"/>
          <w:b/>
          <w:bCs/>
        </w:rPr>
        <w:t xml:space="preserve"> </w:t>
      </w:r>
      <w:r w:rsidRPr="00FA45B7">
        <w:rPr>
          <w:rFonts w:ascii="Times" w:hAnsi="Times"/>
          <w:bCs/>
        </w:rPr>
        <w:t>internetowej KNF tylko przez rok.</w:t>
      </w:r>
    </w:p>
    <w:p w:rsidR="00FA45B7" w:rsidRPr="00FA45B7" w:rsidRDefault="00FA45B7" w:rsidP="00FA45B7">
      <w:pPr>
        <w:widowControl/>
        <w:suppressAutoHyphens/>
        <w:spacing w:before="120"/>
        <w:rPr>
          <w:rFonts w:ascii="Times" w:hAnsi="Times"/>
          <w:bCs/>
        </w:rPr>
      </w:pPr>
      <w:r w:rsidRPr="00FA45B7">
        <w:rPr>
          <w:rFonts w:ascii="Times" w:hAnsi="Times"/>
          <w:bCs/>
        </w:rPr>
        <w:t>pkt 36</w:t>
      </w:r>
    </w:p>
    <w:p w:rsidR="00FA45B7" w:rsidRPr="00FA45B7" w:rsidRDefault="00FA45B7" w:rsidP="00FA45B7">
      <w:pPr>
        <w:widowControl/>
        <w:suppressAutoHyphens/>
        <w:spacing w:before="120"/>
        <w:rPr>
          <w:rFonts w:ascii="Times" w:hAnsi="Times"/>
          <w:bCs/>
        </w:rPr>
      </w:pPr>
      <w:r w:rsidRPr="00FA45B7">
        <w:rPr>
          <w:rFonts w:ascii="Times" w:hAnsi="Times"/>
          <w:bCs/>
        </w:rPr>
        <w:t>Zmiana art. 96a ma charakter dostosowawczy i wynika z konieczności uwzględnienia w jego treści dodanych w art. 96 ust. 1e i 1f.</w:t>
      </w:r>
    </w:p>
    <w:p w:rsidR="00FA45B7" w:rsidRPr="00FA45B7" w:rsidRDefault="00FA45B7" w:rsidP="00FA45B7">
      <w:pPr>
        <w:widowControl/>
        <w:suppressAutoHyphens/>
        <w:spacing w:before="120"/>
        <w:rPr>
          <w:rFonts w:ascii="Times" w:hAnsi="Times"/>
          <w:bCs/>
        </w:rPr>
      </w:pPr>
      <w:r w:rsidRPr="00FA45B7">
        <w:rPr>
          <w:rFonts w:ascii="Times" w:hAnsi="Times"/>
          <w:bCs/>
        </w:rPr>
        <w:t>pkt 37</w:t>
      </w:r>
    </w:p>
    <w:p w:rsidR="00FA45B7" w:rsidRPr="00FA45B7" w:rsidRDefault="00FA45B7" w:rsidP="00FA45B7">
      <w:pPr>
        <w:widowControl/>
        <w:suppressAutoHyphens/>
        <w:spacing w:before="120"/>
        <w:rPr>
          <w:rFonts w:ascii="Times" w:hAnsi="Times"/>
        </w:rPr>
      </w:pPr>
      <w:r w:rsidRPr="00FA45B7">
        <w:rPr>
          <w:rFonts w:ascii="Times" w:hAnsi="Times"/>
        </w:rPr>
        <w:t>Zasady odpowiedzialności karno-administracyjnej, określone przez dyrektywę 2004/109/WE i zmodyfikowane dyrektywą 2013/50/UE, a także rozszerzenie katalogu instrumentów finansowych, w związku z nabywaniem lub zbywaniem których powstają obowiązki notyfikacji zmiany udziału w ogólnej liczbie głosów w spółce publicznej, wymagały dokonania zmiany systematyki art. 97 ustawy o ofercie i wyodrębnienia sankcji za naruszenie art. 69 tej ustawy.</w:t>
      </w:r>
    </w:p>
    <w:p w:rsidR="00FA45B7" w:rsidRPr="00FA45B7" w:rsidRDefault="00FA45B7" w:rsidP="00FA45B7">
      <w:pPr>
        <w:widowControl/>
        <w:suppressAutoHyphens/>
        <w:spacing w:before="120"/>
        <w:rPr>
          <w:rFonts w:ascii="Times" w:hAnsi="Times"/>
        </w:rPr>
      </w:pPr>
      <w:r>
        <w:rPr>
          <w:rFonts w:ascii="Times" w:hAnsi="Times"/>
        </w:rPr>
        <w:t>–</w:t>
      </w:r>
      <w:r w:rsidRPr="00FA45B7">
        <w:rPr>
          <w:rFonts w:ascii="Times" w:hAnsi="Times"/>
        </w:rPr>
        <w:t xml:space="preserve"> lit. b</w:t>
      </w:r>
    </w:p>
    <w:p w:rsidR="00FA45B7" w:rsidRPr="00FA45B7" w:rsidRDefault="00FA45B7" w:rsidP="00FA45B7">
      <w:pPr>
        <w:widowControl/>
        <w:suppressAutoHyphens/>
        <w:spacing w:before="120"/>
        <w:rPr>
          <w:rFonts w:ascii="Times" w:hAnsi="Times"/>
          <w:bCs/>
        </w:rPr>
      </w:pPr>
      <w:r w:rsidRPr="00FA45B7">
        <w:rPr>
          <w:rFonts w:ascii="Times" w:hAnsi="Times"/>
          <w:bCs/>
        </w:rPr>
        <w:t xml:space="preserve">Dodane </w:t>
      </w:r>
      <w:r>
        <w:rPr>
          <w:rFonts w:ascii="Times" w:hAnsi="Times"/>
          <w:bCs/>
        </w:rPr>
        <w:t>ust. 1a–</w:t>
      </w:r>
      <w:r w:rsidRPr="00FA45B7">
        <w:rPr>
          <w:rFonts w:ascii="Times" w:hAnsi="Times"/>
          <w:bCs/>
        </w:rPr>
        <w:t>1d w art. 97 określają sankcje administracyjne nakładane przez KNF na każdego</w:t>
      </w:r>
      <w:r w:rsidRPr="00FA45B7">
        <w:rPr>
          <w:rFonts w:ascii="Times" w:hAnsi="Times"/>
          <w:b/>
          <w:bCs/>
        </w:rPr>
        <w:t>,</w:t>
      </w:r>
      <w:r w:rsidRPr="00FA45B7">
        <w:rPr>
          <w:rFonts w:ascii="Times" w:hAnsi="Times"/>
          <w:bCs/>
        </w:rPr>
        <w:t xml:space="preserve"> kto dopuszcza się naruszeń wskazanych w tym przepisie</w:t>
      </w:r>
      <w:r w:rsidRPr="00FA45B7">
        <w:rPr>
          <w:rFonts w:ascii="Times" w:hAnsi="Times"/>
          <w:b/>
          <w:bCs/>
        </w:rPr>
        <w:t>,</w:t>
      </w:r>
      <w:r w:rsidRPr="00FA45B7">
        <w:rPr>
          <w:rFonts w:ascii="Times" w:hAnsi="Times"/>
          <w:bCs/>
        </w:rPr>
        <w:t xml:space="preserve"> i mają na celu implementację art. 28b ust. 1 lit. c (i) i (ii) dyrektywy 2004/109/WE dodanego przez</w:t>
      </w:r>
      <w:r w:rsidRPr="00FA45B7">
        <w:rPr>
          <w:rFonts w:ascii="Times" w:hAnsi="Times"/>
          <w:b/>
          <w:bCs/>
        </w:rPr>
        <w:t xml:space="preserve"> </w:t>
      </w:r>
      <w:r w:rsidRPr="00FA45B7">
        <w:rPr>
          <w:rFonts w:ascii="Times" w:hAnsi="Times"/>
          <w:bCs/>
        </w:rPr>
        <w:t>art.</w:t>
      </w:r>
      <w:r w:rsidR="00D01DB1">
        <w:rPr>
          <w:rFonts w:ascii="Times" w:hAnsi="Times"/>
          <w:bCs/>
        </w:rPr>
        <w:t> </w:t>
      </w:r>
      <w:r w:rsidRPr="00FA45B7">
        <w:rPr>
          <w:rFonts w:ascii="Times" w:hAnsi="Times"/>
          <w:bCs/>
        </w:rPr>
        <w:t>1 pkt 21 dyrektywy 2013/50/UE. W szczególności dodawany ust. 1d w art. 97 dostosowuje zasady odpowiedzialności towarzystwa funduszy inwestycyjnych, będącego organem funduszu inwestycyjnego, który naruszył o</w:t>
      </w:r>
      <w:r>
        <w:rPr>
          <w:rFonts w:ascii="Times" w:hAnsi="Times"/>
          <w:bCs/>
        </w:rPr>
        <w:t>bowiązki przewidziane w art. 69–</w:t>
      </w:r>
      <w:r w:rsidRPr="00FA45B7">
        <w:rPr>
          <w:rFonts w:ascii="Times" w:hAnsi="Times"/>
          <w:bCs/>
        </w:rPr>
        <w:t xml:space="preserve">69b ustawy o ofercie, do zasad odpowiedzialności przyjętych w wyniku </w:t>
      </w:r>
      <w:r w:rsidRPr="00FA45B7">
        <w:rPr>
          <w:rFonts w:ascii="Times" w:hAnsi="Times"/>
          <w:bCs/>
        </w:rPr>
        <w:lastRenderedPageBreak/>
        <w:t xml:space="preserve">implementacji dyrektywy 2004/109/WE. W dotychczasowym stanie prawnym odpowiedzialność ta była uregulowana w art. 228 ust. 2 ustawy z dnia 27 maja 2004 r. o funduszach inwestycyjnych (Dz. U. z 2014 r. poz. 157, z późń. zm.), a górna granica sankcji przewidzianej w ustawie o funduszach inwestycyjnych określona była w wysokości </w:t>
      </w:r>
      <w:r w:rsidRPr="003F5670">
        <w:t>500</w:t>
      </w:r>
      <w:r w:rsidR="003F5670">
        <w:t> </w:t>
      </w:r>
      <w:r w:rsidRPr="003F5670">
        <w:t>000</w:t>
      </w:r>
      <w:r w:rsidRPr="00FA45B7">
        <w:rPr>
          <w:rFonts w:ascii="Times" w:hAnsi="Times"/>
          <w:bCs/>
        </w:rPr>
        <w:t xml:space="preserve"> zł, podczas, gdy górna granica sankcji za naruszenie art. 69 była w art. 97 ust. 1 ustawy określona w wysokości 1</w:t>
      </w:r>
      <w:r w:rsidR="003F5670">
        <w:rPr>
          <w:rFonts w:ascii="Times" w:hAnsi="Times"/>
          <w:bCs/>
        </w:rPr>
        <w:t> </w:t>
      </w:r>
      <w:r w:rsidRPr="00FA45B7">
        <w:rPr>
          <w:rFonts w:ascii="Times" w:hAnsi="Times"/>
          <w:bCs/>
        </w:rPr>
        <w:t>000</w:t>
      </w:r>
      <w:r w:rsidR="003F5670">
        <w:rPr>
          <w:rFonts w:ascii="Times" w:hAnsi="Times"/>
          <w:bCs/>
        </w:rPr>
        <w:t> </w:t>
      </w:r>
      <w:r w:rsidRPr="00FA45B7">
        <w:rPr>
          <w:rFonts w:ascii="Times" w:hAnsi="Times"/>
          <w:bCs/>
        </w:rPr>
        <w:t xml:space="preserve">000 zł. Dodawany art. 97 ust. 1d znosi tę nieuzasadnioną dysproporcję i ustanawia górną granicę możliwej do zastosowania sankcji w jednakowej wysokości, określonej na podstawie art. 97 ust. 1a lub 1b. Konsekwencją tej zmiany jest również przewidziana w art. 2 projektowanej ustawy zmiana art. 228 ust. 2 ustawy o funduszach inwestycyjnych, polegająca na wyłączeniu z zakresu zastosowania tego przepisu przypadków naruszenia przez fundusz inwestycyjny art. 69 – 69b ustawy o ofercie. </w:t>
      </w:r>
    </w:p>
    <w:p w:rsidR="00FA45B7" w:rsidRPr="00FA45B7" w:rsidRDefault="00FA45B7" w:rsidP="00FA45B7">
      <w:pPr>
        <w:widowControl/>
        <w:suppressAutoHyphens/>
        <w:spacing w:before="120"/>
        <w:rPr>
          <w:rFonts w:ascii="Times" w:hAnsi="Times"/>
          <w:bCs/>
        </w:rPr>
      </w:pPr>
      <w:r w:rsidRPr="00FA45B7">
        <w:rPr>
          <w:rFonts w:ascii="Times" w:hAnsi="Times"/>
          <w:bCs/>
        </w:rPr>
        <w:t>Dodany ust. 1e projektowanej ustawy stanowi implementację art. 29 dyrektywy 2004/109/WE zmienionego art. 1 pkt 23 dyrektywy 2013/50/UE, poprzez</w:t>
      </w:r>
      <w:r>
        <w:rPr>
          <w:rFonts w:ascii="Times" w:hAnsi="Times"/>
          <w:bCs/>
        </w:rPr>
        <w:t xml:space="preserve"> odwołanie do ust. 10a–</w:t>
      </w:r>
      <w:r w:rsidRPr="00FA45B7">
        <w:rPr>
          <w:rFonts w:ascii="Times" w:hAnsi="Times"/>
          <w:bCs/>
        </w:rPr>
        <w:t>10d w art. 96</w:t>
      </w:r>
      <w:r w:rsidRPr="00FA45B7">
        <w:rPr>
          <w:rFonts w:ascii="Times" w:hAnsi="Times"/>
          <w:b/>
          <w:bCs/>
        </w:rPr>
        <w:t xml:space="preserve">, </w:t>
      </w:r>
      <w:r w:rsidRPr="00FA45B7">
        <w:rPr>
          <w:rFonts w:ascii="Times" w:hAnsi="Times"/>
          <w:bCs/>
        </w:rPr>
        <w:t xml:space="preserve">które regulują zasady podawania do publicznej wiadomości informacji o decyzjach nakładających sankcję administracyjną za naruszenie obowiązków uregulowanych w przepisach implementujących dyrektywę 2004/109/WE. Dodany ust. 1f wskazuje okoliczności, które KNF powinna uwzględnić przy wymierzaniu kary za naruszenia, o których mowa w ust. 1 lub dodanym ust. 1a. Przepis ten ma na celu implementację art. 28c ust. 1 dyrektywy 2004/109/WE dodanego art. 1 pkt 21 dyrektywy 2013/50/UE. </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d </w:t>
      </w:r>
    </w:p>
    <w:p w:rsidR="00FA45B7" w:rsidRPr="00FA45B7" w:rsidRDefault="00FA45B7" w:rsidP="00FA45B7">
      <w:pPr>
        <w:widowControl/>
        <w:suppressAutoHyphens/>
        <w:spacing w:before="120"/>
        <w:rPr>
          <w:rFonts w:ascii="Times" w:hAnsi="Times"/>
          <w:bCs/>
        </w:rPr>
      </w:pPr>
      <w:r>
        <w:rPr>
          <w:rFonts w:ascii="Times" w:hAnsi="Times"/>
          <w:bCs/>
        </w:rPr>
        <w:t>Dodane ust. 6–</w:t>
      </w:r>
      <w:r w:rsidRPr="00FA45B7">
        <w:rPr>
          <w:rFonts w:ascii="Times" w:hAnsi="Times"/>
          <w:bCs/>
        </w:rPr>
        <w:t>8 odnoszą się do kwestii odpowiedzialności członka zarządu lub członka</w:t>
      </w:r>
      <w:r w:rsidRPr="00FA45B7">
        <w:rPr>
          <w:rFonts w:ascii="Times" w:hAnsi="Times"/>
          <w:b/>
          <w:bCs/>
        </w:rPr>
        <w:t xml:space="preserve"> </w:t>
      </w:r>
      <w:r w:rsidRPr="00FA45B7">
        <w:rPr>
          <w:rFonts w:ascii="Times" w:hAnsi="Times"/>
          <w:bCs/>
        </w:rPr>
        <w:t>organu zarządzającego podmiotu za naruszenie wskazanych w tym przepisie obowiązków i mają na celu implementację art. 28 ust. 2 i art. 28b ust. 1 lit. c (ii) dyrektywy 2004/109/WE zmienionych i dodanych odpowiednio przez art. 1 pkt 20 i 21 dyrektywy 2013/50/UE.</w:t>
      </w:r>
      <w:r>
        <w:rPr>
          <w:rFonts w:ascii="Times" w:hAnsi="Times"/>
          <w:bCs/>
        </w:rPr>
        <w:t xml:space="preserve"> </w:t>
      </w:r>
      <w:r w:rsidRPr="00FA45B7">
        <w:rPr>
          <w:rFonts w:ascii="Times" w:hAnsi="Times"/>
          <w:bCs/>
        </w:rPr>
        <w:t xml:space="preserve">Proponowane przepisy zasadniczo zawierają analogiczne rozwiązania do projektowanej regulacji zawartej w ust. 6 w art. 96. Niemniej jednak obowiązki, których sankcjonowanie przewidziane zostało w art. 96, adresowane są wyłącznie do emitentów, natomiast obowiązki, których sankcjonowanie przewidziane zostało w art. 97, dotyczą szerokiego grona uczestników rynku kapitałowego, przyjmujących różne formy prawne. Dlatego katalog osób zarządzających tymi </w:t>
      </w:r>
      <w:r w:rsidRPr="00FA45B7">
        <w:rPr>
          <w:rFonts w:ascii="Times" w:hAnsi="Times"/>
          <w:bCs/>
        </w:rPr>
        <w:lastRenderedPageBreak/>
        <w:t>podmiotami, które są odpowiedzialne za naruszenia obowiązków wskazanych w art. 97 ust. 1 i 1a ustawy o ofercie, musi obejmować nie tylko członków organu zarządzającego danego podmiotu, ale również wspólników uprawnionych do reprezentowania danego podmiotu. Podobnie art. 97 ust. 7 obejmuje każdy przypadek naruszenia obowiązków przez fundusz inwestycyjny, niezależnie od tego, czy jest to fundusz będący emitentem papierów wartościowych. W ust. 8 zawierającym regulację, odnoszącą się do terminu, w jakim od wydania decyzji, może zostać nałożona kara, zastosowano analogiczne rozwiązanie jak przyjęte w art. 96 ust. 7.</w:t>
      </w:r>
    </w:p>
    <w:p w:rsidR="00FA45B7" w:rsidRPr="00FA45B7" w:rsidRDefault="00FA45B7" w:rsidP="00FA45B7">
      <w:pPr>
        <w:widowControl/>
        <w:suppressAutoHyphens/>
        <w:spacing w:before="120"/>
        <w:rPr>
          <w:rFonts w:ascii="Times" w:hAnsi="Times"/>
          <w:bCs/>
        </w:rPr>
      </w:pPr>
      <w:r>
        <w:rPr>
          <w:rFonts w:ascii="Times" w:hAnsi="Times"/>
          <w:bCs/>
        </w:rPr>
        <w:t>–</w:t>
      </w:r>
      <w:r w:rsidRPr="00FA45B7">
        <w:rPr>
          <w:rFonts w:ascii="Times" w:hAnsi="Times"/>
          <w:bCs/>
        </w:rPr>
        <w:t xml:space="preserve"> lit. a i c</w:t>
      </w:r>
    </w:p>
    <w:p w:rsidR="00FA45B7" w:rsidRPr="00FA45B7" w:rsidRDefault="00FA45B7" w:rsidP="00FA45B7">
      <w:pPr>
        <w:widowControl/>
        <w:suppressAutoHyphens/>
        <w:spacing w:before="120"/>
        <w:rPr>
          <w:rFonts w:ascii="Times" w:hAnsi="Times"/>
          <w:bCs/>
        </w:rPr>
      </w:pPr>
      <w:r w:rsidRPr="00FA45B7">
        <w:rPr>
          <w:rFonts w:ascii="Times" w:hAnsi="Times"/>
          <w:bCs/>
        </w:rPr>
        <w:t>Zmiany zawarte w lit. a i c nadające nowe brzmienie odpowiednio ust. 1 (uchylony pkt</w:t>
      </w:r>
      <w:r w:rsidR="00D01DB1">
        <w:rPr>
          <w:rFonts w:ascii="Times" w:hAnsi="Times"/>
          <w:bCs/>
        </w:rPr>
        <w:t> </w:t>
      </w:r>
      <w:r w:rsidRPr="00FA45B7">
        <w:rPr>
          <w:rFonts w:ascii="Times" w:hAnsi="Times"/>
          <w:bCs/>
        </w:rPr>
        <w:t>2) i ust. 2–4 w art. 97 mają charakter dostosowawczy i wynikają z konieczności uwzględnienia w ich treści dodanych regulacji w art. 97.</w:t>
      </w:r>
    </w:p>
    <w:p w:rsidR="00FA45B7" w:rsidRPr="00FA45B7" w:rsidRDefault="00FA45B7" w:rsidP="00FA45B7">
      <w:pPr>
        <w:widowControl/>
        <w:suppressAutoHyphens/>
        <w:spacing w:before="120"/>
        <w:rPr>
          <w:rFonts w:ascii="Times" w:hAnsi="Times"/>
          <w:b/>
          <w:bCs/>
        </w:rPr>
      </w:pPr>
      <w:r w:rsidRPr="00FA45B7">
        <w:rPr>
          <w:rFonts w:ascii="Times" w:hAnsi="Times"/>
          <w:b/>
          <w:bCs/>
        </w:rPr>
        <w:t>Art. 1 pkt 38</w:t>
      </w:r>
    </w:p>
    <w:p w:rsidR="00FA45B7" w:rsidRPr="00FA45B7" w:rsidRDefault="00FA45B7" w:rsidP="00FA45B7">
      <w:pPr>
        <w:widowControl/>
        <w:suppressAutoHyphens/>
        <w:spacing w:before="120"/>
        <w:rPr>
          <w:rFonts w:ascii="Times" w:hAnsi="Times"/>
          <w:bCs/>
        </w:rPr>
      </w:pPr>
      <w:r w:rsidRPr="00FA45B7">
        <w:rPr>
          <w:rFonts w:ascii="Times" w:hAnsi="Times"/>
          <w:bCs/>
        </w:rPr>
        <w:t>Dodany art. 97a wskazuje zasady obliczania równowartości w walucie polskiej kwoty wyrażonej w walucie innej niż polska w przypadku wskazanym w tym przepisie i ma na celu implementację art. 28b ust. 1 akapit drugi dyrektywy 2004/109/WE dodanego art. 1 pkt 21 dyrektywy 2013/50/UE.</w:t>
      </w:r>
    </w:p>
    <w:p w:rsidR="00FA45B7" w:rsidRPr="00FA45B7" w:rsidRDefault="00FA45B7" w:rsidP="00FA45B7">
      <w:pPr>
        <w:widowControl/>
        <w:suppressAutoHyphens/>
        <w:spacing w:before="120"/>
        <w:rPr>
          <w:rFonts w:ascii="Times" w:hAnsi="Times"/>
          <w:b/>
          <w:bCs/>
        </w:rPr>
      </w:pPr>
      <w:r w:rsidRPr="00FA45B7">
        <w:rPr>
          <w:rFonts w:ascii="Times" w:hAnsi="Times"/>
          <w:b/>
          <w:bCs/>
        </w:rPr>
        <w:t>Art. 1 pkt 39</w:t>
      </w:r>
    </w:p>
    <w:p w:rsidR="00FA45B7" w:rsidRPr="00FA45B7" w:rsidRDefault="00FA45B7" w:rsidP="00FA45B7">
      <w:pPr>
        <w:widowControl/>
        <w:suppressAutoHyphens/>
        <w:spacing w:before="120"/>
        <w:rPr>
          <w:rFonts w:ascii="Times" w:hAnsi="Times"/>
          <w:b/>
          <w:bCs/>
        </w:rPr>
      </w:pPr>
      <w:r w:rsidRPr="00FA45B7">
        <w:rPr>
          <w:rFonts w:ascii="Times" w:hAnsi="Times"/>
          <w:bCs/>
        </w:rPr>
        <w:t>Dodanie zdania drugiego w ust. 2 w art. 98 ma na celu doprecyzowanie implementacji art. 1 pkt 6 dyrektywy 2010/73/UE zmieniającego art. 6 ust. 2 akapit drugi dyrektywy 2003/71/WE i polega na wskazaniu, że dokument podsumowujący oraz podsumowanie będące częścią prospektu emisyjnego sporządzonego w formie jednolitego dokumentu powinny zawierać wyraźne ostrzeżenia odnoszące się do odpowiedzialności cywilnej w związku z informacjami zawartymi w kluczowych informacjach dla inwestorów.</w:t>
      </w:r>
    </w:p>
    <w:p w:rsidR="00FA45B7" w:rsidRPr="00FA45B7" w:rsidRDefault="00FA45B7" w:rsidP="00FA45B7">
      <w:pPr>
        <w:widowControl/>
        <w:suppressAutoHyphens/>
        <w:spacing w:before="120"/>
        <w:rPr>
          <w:rFonts w:ascii="Times" w:hAnsi="Times"/>
          <w:b/>
          <w:bCs/>
        </w:rPr>
      </w:pPr>
      <w:r w:rsidRPr="00FA45B7">
        <w:rPr>
          <w:rFonts w:ascii="Times" w:hAnsi="Times"/>
          <w:b/>
          <w:bCs/>
        </w:rPr>
        <w:t>Art. 1 pkt 40</w:t>
      </w:r>
    </w:p>
    <w:p w:rsidR="00FA45B7" w:rsidRPr="00FA45B7" w:rsidRDefault="00FA45B7" w:rsidP="00FA45B7">
      <w:pPr>
        <w:widowControl/>
        <w:suppressAutoHyphens/>
        <w:spacing w:before="120"/>
        <w:rPr>
          <w:rFonts w:ascii="Times" w:hAnsi="Times"/>
        </w:rPr>
      </w:pPr>
      <w:r w:rsidRPr="00FA45B7">
        <w:rPr>
          <w:rFonts w:ascii="Times" w:hAnsi="Times"/>
        </w:rPr>
        <w:t xml:space="preserve">Proponowana zmiana ust. 2 w art. 99 ma na celu doprecyzowanie przesłanek odpowiedzialności za prowadzenie akcji promocyjnej dotyczącej nabycia lub objęcia papierów wartościowych oraz rozszerzenie tej odpowiedzialności poprzez jej odniesienie nie tylko do oferty publicznej papierów wartościowych, ale również do ubiegania się o dopuszczenie tych papierów wartościowych do obrotu na rynku regulowanym. Spowoduje to usunięcie luki polegającej na niewskazaniu wśród </w:t>
      </w:r>
      <w:r w:rsidRPr="00FA45B7">
        <w:rPr>
          <w:rFonts w:ascii="Times" w:hAnsi="Times"/>
        </w:rPr>
        <w:lastRenderedPageBreak/>
        <w:t xml:space="preserve">okoliczności wyłączających karalność zachęcania lub promowania nabycia lub objęcia papierów wartościowych </w:t>
      </w:r>
      <w:r w:rsidR="003F5670">
        <w:rPr>
          <w:rFonts w:ascii="Times" w:hAnsi="Times"/>
        </w:rPr>
        <w:t xml:space="preserve">w </w:t>
      </w:r>
      <w:r w:rsidRPr="00FA45B7">
        <w:rPr>
          <w:rFonts w:ascii="Times" w:hAnsi="Times"/>
        </w:rPr>
        <w:t>przypadku, w którym działania te podejmowane są w związku z ubieganiem się o dopuszczenie papierów wartościowych do obrotu na rynku regulowanym, które powinno być traktowane na równi z oferowaniem papierów wartościowych.</w:t>
      </w:r>
    </w:p>
    <w:p w:rsidR="00FA45B7" w:rsidRPr="00FA45B7" w:rsidRDefault="00FA45B7" w:rsidP="00FA45B7">
      <w:pPr>
        <w:widowControl/>
        <w:suppressAutoHyphens/>
        <w:spacing w:before="120"/>
        <w:rPr>
          <w:rFonts w:ascii="Times" w:hAnsi="Times"/>
          <w:b/>
          <w:bCs/>
        </w:rPr>
      </w:pPr>
      <w:bookmarkStart w:id="1" w:name="OLE_LINK1"/>
      <w:r w:rsidRPr="00FA45B7">
        <w:rPr>
          <w:rFonts w:ascii="Times" w:hAnsi="Times"/>
          <w:b/>
          <w:bCs/>
        </w:rPr>
        <w:t>Art. 2</w:t>
      </w:r>
    </w:p>
    <w:p w:rsidR="00FA45B7" w:rsidRPr="00FA45B7" w:rsidRDefault="00FA45B7" w:rsidP="00FA45B7">
      <w:pPr>
        <w:widowControl/>
        <w:suppressAutoHyphens/>
        <w:spacing w:before="120"/>
        <w:rPr>
          <w:rFonts w:ascii="Times" w:hAnsi="Times"/>
        </w:rPr>
      </w:pPr>
      <w:r w:rsidRPr="00FA45B7">
        <w:rPr>
          <w:rFonts w:ascii="Times" w:hAnsi="Times"/>
        </w:rPr>
        <w:t>pkt 1</w:t>
      </w:r>
    </w:p>
    <w:p w:rsidR="00FA45B7" w:rsidRPr="00FA45B7" w:rsidRDefault="00FA45B7" w:rsidP="00FA45B7">
      <w:pPr>
        <w:widowControl/>
        <w:suppressAutoHyphens/>
        <w:spacing w:before="120"/>
        <w:rPr>
          <w:rFonts w:ascii="Times" w:hAnsi="Times"/>
        </w:rPr>
      </w:pPr>
      <w:r w:rsidRPr="00FA45B7">
        <w:rPr>
          <w:rFonts w:ascii="Times" w:hAnsi="Times"/>
        </w:rPr>
        <w:t>Zmiana ust. 2 w art. 228 ustawy z dnia 27 maja 2004 r. o funduszach inwestycyjnych polega n</w:t>
      </w:r>
      <w:r>
        <w:rPr>
          <w:rFonts w:ascii="Times" w:hAnsi="Times"/>
        </w:rPr>
        <w:t>a wyłączeniu naruszeń art. 69–</w:t>
      </w:r>
      <w:r w:rsidRPr="00FA45B7">
        <w:rPr>
          <w:rFonts w:ascii="Times" w:hAnsi="Times"/>
        </w:rPr>
        <w:t>69b ustawy o ofercie z katalogu naruszeń, które są wskazane w ustawie o funduszach inwestycyjnych, jako zagrożonych sankcjami, które może nałożyć KNF na podstawie ustawy o funduszach inwestycyjnych na towarzystwo funduszy inwestycyjnych.</w:t>
      </w:r>
    </w:p>
    <w:p w:rsidR="00FA45B7" w:rsidRPr="00FA45B7" w:rsidRDefault="00FA45B7" w:rsidP="00FA45B7">
      <w:pPr>
        <w:widowControl/>
        <w:suppressAutoHyphens/>
        <w:spacing w:before="120"/>
        <w:rPr>
          <w:rFonts w:ascii="Times" w:hAnsi="Times"/>
          <w:b/>
        </w:rPr>
      </w:pPr>
      <w:bookmarkStart w:id="2" w:name="OLE_LINK6"/>
      <w:bookmarkEnd w:id="1"/>
      <w:r w:rsidRPr="00FA45B7">
        <w:rPr>
          <w:rFonts w:ascii="Times" w:hAnsi="Times"/>
        </w:rPr>
        <w:t>pkt 2</w:t>
      </w:r>
    </w:p>
    <w:p w:rsidR="00FA45B7" w:rsidRPr="00FA45B7" w:rsidRDefault="00FA45B7" w:rsidP="00FA45B7">
      <w:pPr>
        <w:widowControl/>
        <w:suppressAutoHyphens/>
        <w:spacing w:before="120"/>
        <w:rPr>
          <w:rFonts w:ascii="Times" w:hAnsi="Times"/>
          <w:bCs/>
        </w:rPr>
      </w:pPr>
      <w:r w:rsidRPr="00FA45B7">
        <w:rPr>
          <w:rFonts w:ascii="Times" w:hAnsi="Times"/>
          <w:bCs/>
        </w:rPr>
        <w:t xml:space="preserve">Dodanie ust. 4a w art. 282 ustawy z dnia 27 maja 2004 r. o funduszach inwestycyjnych ma na celu uzupełnienie tej ustawy o przepisy zwalniające z obowiązku zachowania tajemnicy zawodowej w przypadku przekazywania przez KNF informacji stanowiących taką tajemnicę do Europejskiego Urzędu Nadzoru Giełd i Papierów Wartościowych, </w:t>
      </w:r>
      <w:r w:rsidRPr="00FA45B7">
        <w:rPr>
          <w:rFonts w:ascii="Times" w:hAnsi="Times"/>
          <w:bCs/>
          <w:lang w:eastAsia="en-US"/>
        </w:rPr>
        <w:t>komitet</w:t>
      </w:r>
      <w:r w:rsidRPr="00FA45B7">
        <w:rPr>
          <w:rFonts w:ascii="Times" w:hAnsi="Times"/>
          <w:bCs/>
        </w:rPr>
        <w:t>ów</w:t>
      </w:r>
      <w:r w:rsidRPr="00FA45B7">
        <w:rPr>
          <w:rFonts w:ascii="Times" w:hAnsi="Times"/>
          <w:bCs/>
          <w:lang w:eastAsia="en-US"/>
        </w:rPr>
        <w:t xml:space="preserve"> ustanowiony</w:t>
      </w:r>
      <w:r w:rsidRPr="00FA45B7">
        <w:rPr>
          <w:rFonts w:ascii="Times" w:hAnsi="Times"/>
          <w:bCs/>
        </w:rPr>
        <w:t>ch</w:t>
      </w:r>
      <w:r w:rsidRPr="00FA45B7">
        <w:rPr>
          <w:rFonts w:ascii="Times" w:hAnsi="Times"/>
          <w:bCs/>
          <w:lang w:eastAsia="en-US"/>
        </w:rPr>
        <w:t xml:space="preserve"> przez ten organ oraz powołany</w:t>
      </w:r>
      <w:r w:rsidRPr="00FA45B7">
        <w:rPr>
          <w:rFonts w:ascii="Times" w:hAnsi="Times"/>
          <w:bCs/>
        </w:rPr>
        <w:t>ch</w:t>
      </w:r>
      <w:r w:rsidRPr="00FA45B7">
        <w:rPr>
          <w:rFonts w:ascii="Times" w:hAnsi="Times"/>
          <w:bCs/>
          <w:lang w:eastAsia="en-US"/>
        </w:rPr>
        <w:t xml:space="preserve"> przez nie grup</w:t>
      </w:r>
      <w:r w:rsidRPr="00FA45B7">
        <w:rPr>
          <w:rFonts w:ascii="Times" w:hAnsi="Times"/>
          <w:bCs/>
        </w:rPr>
        <w:t>. Proponowana regulacja jest dopełnieniem zaproponowanej w art. 4 pkt 1 projektowanej nowelizacji zmiany ustawy o nadzorze nad rynkiem kapitałowym (dodanie art. 22a). Wprowadzenie tej regulacji pozwoli na uniknięcie wątpliwości, czy przekazywanie informacji chronionych jako tajemnica zawodowa w rozumieniu art. 280 ustawy o funduszach inwestycyjnych nie naruszyło zasad postępowania przez Komisję z takimi informacjami.</w:t>
      </w:r>
    </w:p>
    <w:p w:rsidR="00FA45B7" w:rsidRPr="00FA45B7" w:rsidRDefault="00FA45B7" w:rsidP="00FA45B7">
      <w:pPr>
        <w:widowControl/>
        <w:suppressAutoHyphens/>
        <w:spacing w:before="120"/>
        <w:rPr>
          <w:rFonts w:ascii="Times" w:hAnsi="Times"/>
          <w:b/>
          <w:bCs/>
        </w:rPr>
      </w:pPr>
      <w:r w:rsidRPr="00FA45B7">
        <w:rPr>
          <w:rFonts w:ascii="Times" w:hAnsi="Times"/>
          <w:b/>
          <w:bCs/>
        </w:rPr>
        <w:t>Art. 3</w:t>
      </w:r>
    </w:p>
    <w:p w:rsidR="00FA45B7" w:rsidRPr="00FA45B7" w:rsidRDefault="00FA45B7" w:rsidP="00FA45B7">
      <w:pPr>
        <w:widowControl/>
        <w:suppressAutoHyphens/>
        <w:spacing w:before="120"/>
        <w:rPr>
          <w:rFonts w:ascii="Times" w:hAnsi="Times"/>
          <w:bCs/>
        </w:rPr>
      </w:pPr>
      <w:r w:rsidRPr="00FA45B7">
        <w:rPr>
          <w:rFonts w:ascii="Times" w:hAnsi="Times"/>
          <w:bCs/>
        </w:rPr>
        <w:t>pkt 1</w:t>
      </w:r>
    </w:p>
    <w:p w:rsidR="00FA45B7" w:rsidRDefault="00FA45B7" w:rsidP="00FA45B7">
      <w:pPr>
        <w:widowControl/>
        <w:suppressAutoHyphens/>
        <w:spacing w:before="120"/>
        <w:rPr>
          <w:rFonts w:ascii="Times" w:hAnsi="Times"/>
        </w:rPr>
      </w:pPr>
      <w:r w:rsidRPr="00FA45B7">
        <w:rPr>
          <w:rFonts w:ascii="Times" w:hAnsi="Times"/>
        </w:rPr>
        <w:t>Dodany ust. 2a w art. 4 w ustawie z dnia 29 lipca 2005 r. o obrocie instrumentami finansowymi ma na celu umożliwienie dokonywania w rejestrze nabywców skarbowych papierów oszczędnościowych prowadzonym przez agenta emisji zapisów ujawniających kolejnych nabywców tych papierów, a nie tylko nabywców w obrocie pierwotnym.</w:t>
      </w:r>
    </w:p>
    <w:p w:rsidR="00D01DB1" w:rsidRPr="00FA45B7" w:rsidRDefault="00D01DB1" w:rsidP="00FA45B7">
      <w:pPr>
        <w:widowControl/>
        <w:suppressAutoHyphens/>
        <w:spacing w:before="120"/>
        <w:rPr>
          <w:rFonts w:ascii="Times" w:hAnsi="Times"/>
        </w:rPr>
      </w:pPr>
    </w:p>
    <w:p w:rsidR="00FA45B7" w:rsidRPr="00FA45B7" w:rsidRDefault="00FA45B7" w:rsidP="00FA45B7">
      <w:pPr>
        <w:widowControl/>
        <w:suppressAutoHyphens/>
        <w:spacing w:before="120"/>
        <w:rPr>
          <w:rFonts w:ascii="Times" w:hAnsi="Times"/>
          <w:bCs/>
        </w:rPr>
      </w:pPr>
      <w:r w:rsidRPr="00FA45B7">
        <w:rPr>
          <w:rFonts w:ascii="Times" w:hAnsi="Times"/>
          <w:bCs/>
        </w:rPr>
        <w:lastRenderedPageBreak/>
        <w:t>pkt 2</w:t>
      </w:r>
    </w:p>
    <w:p w:rsidR="00FA45B7" w:rsidRPr="00FA45B7" w:rsidRDefault="00FA45B7" w:rsidP="00FA45B7">
      <w:pPr>
        <w:widowControl/>
        <w:suppressAutoHyphens/>
        <w:spacing w:before="120"/>
        <w:rPr>
          <w:rFonts w:ascii="Times" w:hAnsi="Times"/>
          <w:bCs/>
        </w:rPr>
      </w:pPr>
      <w:r w:rsidRPr="00FA45B7">
        <w:rPr>
          <w:rFonts w:ascii="Times" w:hAnsi="Times"/>
          <w:bCs/>
        </w:rPr>
        <w:t>lit. a</w:t>
      </w:r>
    </w:p>
    <w:p w:rsidR="00FA45B7" w:rsidRPr="00FA45B7" w:rsidRDefault="00FA45B7" w:rsidP="00FA45B7">
      <w:pPr>
        <w:widowControl/>
        <w:suppressAutoHyphens/>
        <w:spacing w:before="120"/>
        <w:rPr>
          <w:rFonts w:ascii="Times" w:hAnsi="Times"/>
          <w:bCs/>
        </w:rPr>
      </w:pPr>
      <w:r w:rsidRPr="00FA45B7">
        <w:rPr>
          <w:rFonts w:ascii="Times" w:hAnsi="Times"/>
          <w:bCs/>
        </w:rPr>
        <w:t>Zmiana brzmienia lit. e w pkt 14 w ust. 1 w art. 150 ustawy z dnia 29 lipca 2005 r. o obrocie instrumentami finansowymi wynika z projektowanego uchylenia ust. 11 w art.</w:t>
      </w:r>
      <w:r w:rsidR="00D01DB1">
        <w:rPr>
          <w:rFonts w:ascii="Times" w:hAnsi="Times"/>
          <w:bCs/>
        </w:rPr>
        <w:t> </w:t>
      </w:r>
      <w:r w:rsidRPr="00FA45B7">
        <w:rPr>
          <w:rFonts w:ascii="Times" w:hAnsi="Times"/>
          <w:bCs/>
        </w:rPr>
        <w:t xml:space="preserve">96. </w:t>
      </w:r>
    </w:p>
    <w:p w:rsidR="00FA45B7" w:rsidRPr="00FA45B7" w:rsidRDefault="00FA45B7" w:rsidP="00FA45B7">
      <w:pPr>
        <w:widowControl/>
        <w:suppressAutoHyphens/>
        <w:spacing w:before="120"/>
        <w:rPr>
          <w:rFonts w:ascii="Times" w:hAnsi="Times"/>
          <w:bCs/>
        </w:rPr>
      </w:pPr>
      <w:r w:rsidRPr="00FA45B7">
        <w:rPr>
          <w:rFonts w:ascii="Times" w:hAnsi="Times"/>
          <w:bCs/>
        </w:rPr>
        <w:t>lit. b</w:t>
      </w:r>
    </w:p>
    <w:p w:rsidR="00FA45B7" w:rsidRPr="00FA45B7" w:rsidRDefault="00FA45B7" w:rsidP="00FA45B7">
      <w:pPr>
        <w:widowControl/>
        <w:suppressAutoHyphens/>
        <w:spacing w:before="120"/>
        <w:rPr>
          <w:rFonts w:ascii="Times" w:hAnsi="Times"/>
          <w:bCs/>
        </w:rPr>
      </w:pPr>
      <w:r w:rsidRPr="00FA45B7">
        <w:rPr>
          <w:rFonts w:ascii="Times" w:hAnsi="Times"/>
          <w:bCs/>
        </w:rPr>
        <w:t>Zmiana ust. 1 w art. 150 ustawy z dnia 29 lipca 2005 r. o obrocie instrumentami finansowymi polegająca na dodaniu pkt 19 i 20 jest dopełnieniem zaproponowanej w art. 4 pkt 1 projektowanej nowelizacji zmiany ustawy o nadzorze nad rynkiem kapitałowym (dodanie art. 22a) i ma na celu rozszerzenie katalogu wyłączeń z obowiązku zachowania tajemnicy zawodowej w przypadku wykonania uprawnienia przewidzianego w projektowanym art. 22a ustawy o nadzorze nad rynkiem kapitałowym.</w:t>
      </w:r>
    </w:p>
    <w:p w:rsidR="00FA45B7" w:rsidRPr="00FA45B7" w:rsidRDefault="00FA45B7" w:rsidP="00FA45B7">
      <w:pPr>
        <w:widowControl/>
        <w:suppressAutoHyphens/>
        <w:spacing w:before="120"/>
        <w:rPr>
          <w:rFonts w:ascii="Times" w:hAnsi="Times"/>
          <w:b/>
        </w:rPr>
      </w:pPr>
      <w:r w:rsidRPr="00FA45B7">
        <w:rPr>
          <w:rFonts w:ascii="Times" w:hAnsi="Times"/>
          <w:b/>
          <w:bCs/>
        </w:rPr>
        <w:t>Art. 4</w:t>
      </w:r>
    </w:p>
    <w:p w:rsidR="00FA45B7" w:rsidRPr="00FA45B7" w:rsidRDefault="00FA45B7" w:rsidP="00FA45B7">
      <w:pPr>
        <w:widowControl/>
        <w:suppressAutoHyphens/>
        <w:spacing w:before="120"/>
        <w:rPr>
          <w:rFonts w:ascii="Times" w:hAnsi="Times"/>
          <w:bCs/>
        </w:rPr>
      </w:pPr>
      <w:r w:rsidRPr="00FA45B7">
        <w:rPr>
          <w:rFonts w:ascii="Times" w:hAnsi="Times"/>
          <w:bCs/>
        </w:rPr>
        <w:t>pkt 1</w:t>
      </w:r>
    </w:p>
    <w:p w:rsidR="00FA45B7" w:rsidRPr="00FA45B7" w:rsidRDefault="00FA45B7" w:rsidP="00FA45B7">
      <w:pPr>
        <w:widowControl/>
        <w:autoSpaceDE/>
        <w:autoSpaceDN/>
        <w:adjustRightInd/>
        <w:rPr>
          <w:rFonts w:ascii="Times" w:hAnsi="Times"/>
          <w:bCs/>
        </w:rPr>
      </w:pPr>
      <w:r w:rsidRPr="00FA45B7">
        <w:rPr>
          <w:rFonts w:ascii="Times" w:hAnsi="Times"/>
          <w:bCs/>
        </w:rPr>
        <w:t>Zaproponowana zmiana ma na celu doprecyzowanie implementacji ust. 3 w art. 25 dyrektywy 2004/109/WE, zmienionego dyrektywą Parlamentu Europejskiego i Rady 2010/78/UE z dnia 24</w:t>
      </w:r>
      <w:r>
        <w:rPr>
          <w:rFonts w:ascii="Times" w:hAnsi="Times"/>
          <w:bCs/>
        </w:rPr>
        <w:t xml:space="preserve"> </w:t>
      </w:r>
      <w:r w:rsidRPr="00FA45B7">
        <w:rPr>
          <w:rFonts w:ascii="Times" w:hAnsi="Times"/>
          <w:bCs/>
        </w:rPr>
        <w:t>listopada 2010</w:t>
      </w:r>
      <w:r>
        <w:rPr>
          <w:rFonts w:ascii="Times" w:hAnsi="Times"/>
          <w:bCs/>
        </w:rPr>
        <w:t xml:space="preserve"> </w:t>
      </w:r>
      <w:r w:rsidRPr="00FA45B7">
        <w:rPr>
          <w:rFonts w:ascii="Times" w:hAnsi="Times"/>
          <w:bCs/>
        </w:rPr>
        <w:t>r. w sprawie zmiany dyrektyw 98/26/WE, 2002/87/WE, 2003/6/WE, 2003/41/WE, 2003/71/WE, 2004/39/WE, 2004/109/WE, 2005/60/WE, 2006/48/WE, 2006/49/WE i</w:t>
      </w:r>
      <w:r>
        <w:rPr>
          <w:rFonts w:ascii="Times" w:hAnsi="Times"/>
          <w:bCs/>
        </w:rPr>
        <w:t xml:space="preserve"> </w:t>
      </w:r>
      <w:r w:rsidRPr="00FA45B7">
        <w:rPr>
          <w:rFonts w:ascii="Times" w:hAnsi="Times"/>
          <w:bCs/>
        </w:rPr>
        <w:t>2009/65/WE w</w:t>
      </w:r>
      <w:r>
        <w:rPr>
          <w:rFonts w:ascii="Times" w:hAnsi="Times"/>
          <w:bCs/>
        </w:rPr>
        <w:t xml:space="preserve"> </w:t>
      </w:r>
      <w:r w:rsidRPr="00FA45B7">
        <w:rPr>
          <w:rFonts w:ascii="Times" w:hAnsi="Times"/>
          <w:bCs/>
        </w:rPr>
        <w:t>odniesieniu do uprawnień Europejskiego Urzędu Nadzoru (Europejskiego Urzędu Nadzoru Bankowego), Europejskiego Urzędu Nadzoru (Europejskiego Urzędu Nadzoru Ubezpieczeń i Pracowniczych Programów Emerytalnych) oraz Europejskiego Urzędu Nadzoru (Europejskiego Urzędu Nadzoru Giełd i</w:t>
      </w:r>
      <w:r>
        <w:rPr>
          <w:rFonts w:ascii="Times" w:hAnsi="Times"/>
          <w:bCs/>
        </w:rPr>
        <w:t xml:space="preserve"> </w:t>
      </w:r>
      <w:r w:rsidRPr="00FA45B7">
        <w:rPr>
          <w:rFonts w:ascii="Times" w:hAnsi="Times"/>
          <w:bCs/>
        </w:rPr>
        <w:t>Papierów Wartościowych) (Dz. Urz. UE L 331 z 15.12.2010 r., str. 120) i wyeliminowanie przeszkód prawnych utrudniających wykonywanie obowiązków wynikających z dyrektywy 2004/109/WE w zakresie wymiany informacji pomiędzy KNF a Europejskim Urzędem Nadzoru Giełd i Papierów Wartościowych (ESMA). Zmiana ta umożliwi jednocześnie prawidłową realizację wydanych w tym zakresie Wytycznych nadzorczych ESMA – nr 1, 10, 11, 12, 13, 15 i</w:t>
      </w:r>
      <w:r w:rsidR="00D01DB1">
        <w:rPr>
          <w:rFonts w:ascii="Times" w:hAnsi="Times"/>
          <w:bCs/>
        </w:rPr>
        <w:t> </w:t>
      </w:r>
      <w:r w:rsidRPr="00FA45B7">
        <w:rPr>
          <w:rFonts w:ascii="Times" w:hAnsi="Times"/>
          <w:bCs/>
        </w:rPr>
        <w:t xml:space="preserve">16. Zmiana ta polega na dodaniu art. 22a w ustawie z dnia 29 lipca 2005 r. o nadzorze nad rynkiem kapitałowym stanowiącego podstawę do przekazywania przez KNF do ESMA, także z własnej inicjatywy, informacji chronionych jako tajemnica zawodowa. </w:t>
      </w:r>
    </w:p>
    <w:p w:rsidR="00FA45B7" w:rsidRPr="00FA45B7" w:rsidRDefault="00FA45B7" w:rsidP="00FA45B7">
      <w:pPr>
        <w:widowControl/>
        <w:suppressAutoHyphens/>
        <w:spacing w:before="120"/>
        <w:rPr>
          <w:rFonts w:ascii="Times" w:hAnsi="Times"/>
          <w:bCs/>
        </w:rPr>
      </w:pPr>
      <w:r w:rsidRPr="00FA45B7">
        <w:rPr>
          <w:rFonts w:ascii="Times" w:hAnsi="Times"/>
          <w:bCs/>
        </w:rPr>
        <w:lastRenderedPageBreak/>
        <w:t>pkt 2</w:t>
      </w:r>
    </w:p>
    <w:p w:rsidR="00FA45B7" w:rsidRPr="00FA45B7" w:rsidRDefault="00FA45B7" w:rsidP="00FA45B7">
      <w:pPr>
        <w:widowControl/>
        <w:autoSpaceDE/>
        <w:autoSpaceDN/>
        <w:adjustRightInd/>
        <w:rPr>
          <w:rFonts w:ascii="Times" w:hAnsi="Times"/>
          <w:bCs/>
        </w:rPr>
      </w:pPr>
      <w:r w:rsidRPr="00FA45B7">
        <w:rPr>
          <w:rFonts w:ascii="Times" w:hAnsi="Times"/>
          <w:bCs/>
        </w:rPr>
        <w:t>Zmiana pkt 1 w ust. 1 w art. 25 ustawy z dnia 29 lipca 2005 r. o nadzorze nad rynkiem kapitałowym ma na celu rozszerzenie katalogu przypadków, w których KNF może zdecydować o przekazaniu do publicznej wiadomości informacji o naruszeniach przepisów prawnych, o naruszenia przepisów aktów wykonawczych, wydanych na podstawie ustaw wskazanych w zmienianym przepisie. Zaproponowana zmiana będzie służyć rozszerzeniu oddziaływania stosowanych przez KNF środków w ramach prewencji ogólnej, a także zwiększeniu transparentności zjawisk zachodzących na rynku kapitałowym.</w:t>
      </w:r>
    </w:p>
    <w:p w:rsidR="00FA45B7" w:rsidRPr="00FA45B7" w:rsidRDefault="00FA45B7" w:rsidP="00FA45B7">
      <w:pPr>
        <w:widowControl/>
        <w:suppressAutoHyphens/>
        <w:spacing w:before="120"/>
        <w:rPr>
          <w:rFonts w:ascii="Times" w:hAnsi="Times"/>
          <w:b/>
          <w:bCs/>
        </w:rPr>
      </w:pPr>
      <w:r w:rsidRPr="00FA45B7">
        <w:rPr>
          <w:rFonts w:ascii="Times" w:hAnsi="Times"/>
          <w:b/>
          <w:bCs/>
        </w:rPr>
        <w:t xml:space="preserve">Art. 5 </w:t>
      </w:r>
    </w:p>
    <w:p w:rsidR="00FA45B7" w:rsidRPr="00FA45B7" w:rsidRDefault="00FA45B7" w:rsidP="00FA45B7">
      <w:pPr>
        <w:widowControl/>
        <w:suppressAutoHyphens/>
        <w:spacing w:before="120"/>
        <w:rPr>
          <w:rFonts w:ascii="Times" w:hAnsi="Times"/>
          <w:bCs/>
        </w:rPr>
      </w:pPr>
      <w:r w:rsidRPr="00FA45B7">
        <w:rPr>
          <w:rFonts w:ascii="Times" w:hAnsi="Times"/>
          <w:bCs/>
        </w:rPr>
        <w:t>Przedmiotowa regulacja stanowi przepis przejściowy wskazujący początek biegu terminu na przekazanie informacji o państwie macierzystym w przypadku emitenta, którego papiery wartościowe są dopuszczone do obrotu na rynku regulowanym, i którego wybór państwa macierzystego nie został ujawniony przed dniem 27 listopada 2015 r.</w:t>
      </w:r>
    </w:p>
    <w:p w:rsidR="00FA45B7" w:rsidRPr="00FA45B7" w:rsidRDefault="00FA45B7" w:rsidP="00FA45B7">
      <w:pPr>
        <w:widowControl/>
        <w:suppressAutoHyphens/>
        <w:spacing w:before="120"/>
        <w:rPr>
          <w:rFonts w:ascii="Times" w:hAnsi="Times"/>
          <w:b/>
          <w:bCs/>
        </w:rPr>
      </w:pPr>
      <w:r w:rsidRPr="00FA45B7">
        <w:rPr>
          <w:rFonts w:ascii="Times" w:hAnsi="Times"/>
          <w:b/>
          <w:bCs/>
        </w:rPr>
        <w:t xml:space="preserve">Art. 6 </w:t>
      </w:r>
    </w:p>
    <w:p w:rsidR="00FA45B7" w:rsidRPr="00FA45B7" w:rsidRDefault="00FA45B7" w:rsidP="00FA45B7">
      <w:pPr>
        <w:widowControl/>
        <w:suppressAutoHyphens/>
        <w:spacing w:before="120"/>
        <w:rPr>
          <w:rFonts w:ascii="Times" w:hAnsi="Times"/>
          <w:bCs/>
        </w:rPr>
      </w:pPr>
      <w:r w:rsidRPr="00FA45B7">
        <w:rPr>
          <w:rFonts w:ascii="Times" w:hAnsi="Times"/>
          <w:bCs/>
        </w:rPr>
        <w:t>Projekt zawiera również regulacje przejściowe wskazujące, jakie przepisy będą miały zastosowanie do postępowań wszczętych i niezakończonych przed dniem wejścia w życie projektowanej ustawy (ust. 1). Ponadto projekt wskazuje według jakich przepisów będą wymierzane sankcje administracyjne za zachowania zaistniałe przed dniem wejścia w życie projektowanej ustawy stanowiące naruszenie przepisów ustawy o ofercie, w brzmieniu dotychczasowym (ust. 2).</w:t>
      </w:r>
    </w:p>
    <w:bookmarkEnd w:id="2"/>
    <w:p w:rsidR="00FA45B7" w:rsidRPr="00FA45B7" w:rsidRDefault="00FA45B7" w:rsidP="00FA45B7">
      <w:pPr>
        <w:widowControl/>
        <w:suppressAutoHyphens/>
        <w:spacing w:before="120"/>
        <w:rPr>
          <w:rFonts w:ascii="Times" w:hAnsi="Times" w:cs="Times New Roman"/>
          <w:b/>
          <w:bCs/>
        </w:rPr>
      </w:pPr>
      <w:r w:rsidRPr="00FA45B7">
        <w:rPr>
          <w:rFonts w:ascii="Times" w:hAnsi="Times" w:cs="Times New Roman"/>
          <w:b/>
          <w:bCs/>
        </w:rPr>
        <w:t>Art. 7</w:t>
      </w:r>
    </w:p>
    <w:p w:rsidR="00FA45B7" w:rsidRPr="00FA45B7" w:rsidRDefault="00FA45B7" w:rsidP="00FA45B7">
      <w:pPr>
        <w:widowControl/>
        <w:suppressAutoHyphens/>
        <w:spacing w:before="120"/>
        <w:rPr>
          <w:rFonts w:ascii="Times" w:hAnsi="Times"/>
          <w:b/>
          <w:bCs/>
        </w:rPr>
      </w:pPr>
      <w:r w:rsidRPr="00FA45B7">
        <w:rPr>
          <w:rFonts w:ascii="Times" w:hAnsi="Times"/>
          <w:bCs/>
        </w:rPr>
        <w:t>Zakłada się, że projektowana ustawa wejdzie w życie po upływie 14 dni od dnia ogłoszenia. Mając na uwadze, że projektowana ustawa ma na celu terminowe wdrożenie dyrektywy 2013/50/UE, uzasadnione jest, zgodnie z § 1 ust. 2 uchwały nr 20 Rady Ministrów z dnia 18 lutego 2014 r. w sprawie zaleceń ujednolicenia terminów wejścia w życie niektórych aktów normatywnych</w:t>
      </w:r>
      <w:r w:rsidRPr="00FA45B7">
        <w:rPr>
          <w:rFonts w:ascii="Times" w:hAnsi="Times"/>
          <w:b/>
          <w:bCs/>
        </w:rPr>
        <w:t xml:space="preserve"> </w:t>
      </w:r>
      <w:r w:rsidRPr="00FA45B7">
        <w:rPr>
          <w:rFonts w:ascii="Times" w:hAnsi="Times"/>
          <w:bCs/>
        </w:rPr>
        <w:t xml:space="preserve">(M.P. poz. 205), odstąpienie od zasady określonej w § 1 ust. 1 tej uchwały, w świetle której jeżeli akt normatywny zawiera przepisy określające warunki wykonywania działalności gospodarczej, termin wejścia w </w:t>
      </w:r>
      <w:r w:rsidRPr="00FA45B7">
        <w:rPr>
          <w:rFonts w:ascii="Times" w:hAnsi="Times"/>
          <w:bCs/>
        </w:rPr>
        <w:lastRenderedPageBreak/>
        <w:t>życie tego aktu normatywnego powinien być wyznaczony na dzień 1 stycznia albo 1 czerwca.</w:t>
      </w:r>
    </w:p>
    <w:p w:rsidR="00FA45B7" w:rsidRPr="00FA45B7" w:rsidRDefault="00FA45B7" w:rsidP="00FA45B7">
      <w:pPr>
        <w:widowControl/>
        <w:suppressAutoHyphens/>
        <w:spacing w:before="120"/>
        <w:rPr>
          <w:rFonts w:ascii="Times" w:hAnsi="Times"/>
          <w:bCs/>
        </w:rPr>
      </w:pPr>
      <w:r w:rsidRPr="00FA45B7">
        <w:rPr>
          <w:rFonts w:ascii="Times" w:hAnsi="Times"/>
          <w:bCs/>
        </w:rPr>
        <w:t>W związku z art. 50 ustawy z dnia 27 sierpnia 2009 r. o finansach publicznych (Dz. U. z</w:t>
      </w:r>
      <w:r w:rsidR="00D01DB1">
        <w:rPr>
          <w:rFonts w:ascii="Times" w:hAnsi="Times"/>
          <w:bCs/>
        </w:rPr>
        <w:t> </w:t>
      </w:r>
      <w:r w:rsidRPr="00FA45B7">
        <w:rPr>
          <w:rFonts w:ascii="Times" w:hAnsi="Times"/>
          <w:bCs/>
        </w:rPr>
        <w:t>2013</w:t>
      </w:r>
      <w:r>
        <w:rPr>
          <w:rFonts w:ascii="Times" w:hAnsi="Times"/>
          <w:bCs/>
        </w:rPr>
        <w:t xml:space="preserve"> </w:t>
      </w:r>
      <w:r w:rsidRPr="00FA45B7">
        <w:rPr>
          <w:rFonts w:ascii="Times" w:hAnsi="Times"/>
          <w:bCs/>
        </w:rPr>
        <w:t>r. poz. 885, z późn. zm.) przewiduje się, że w wyniku zaproponowanych w projekcie rozwiązań nie dojdzie do zmiany poziomu wydatków jednostek sektora finansów publicznych w stosunku do wielkości wynikających z obowiązujących przepisów, w związku z czym nie ma konieczności zamieszczania w projekcie maksymalnego limitu tych wydatków. Regulacje odnoszące się do nakładania kar i stosowania środków administracyjnych za naruszenia przepisów wynikających z dyrektywy 2004/109/WE zmienionej przez dyrektywę 2013/50/UE mają na celu wzmocnienie systemu kar, w tym m.in. poprzez zwiększenie uprawnień państw członkowskich w zakresie nakładania kar i zwiększenie poziomu tych kar. W związku z tym przewiduje się, że dochody budżetu państwa z tytułu nakładanych przez Komisję Nadzoru Finansowego kar pieniężnych mogą wzrosnąć. W chwili obecnej niemożliwe jest jednak oszacowanie skali wzrostu tych dochodów.</w:t>
      </w:r>
    </w:p>
    <w:p w:rsidR="00FA45B7" w:rsidRPr="00FA45B7" w:rsidRDefault="00FA45B7" w:rsidP="00FA45B7">
      <w:pPr>
        <w:widowControl/>
        <w:suppressAutoHyphens/>
        <w:spacing w:before="120"/>
        <w:rPr>
          <w:rFonts w:ascii="Times" w:hAnsi="Times"/>
          <w:bCs/>
        </w:rPr>
      </w:pPr>
      <w:r w:rsidRPr="00FA45B7">
        <w:rPr>
          <w:rFonts w:ascii="Times" w:hAnsi="Times"/>
          <w:bCs/>
        </w:rPr>
        <w:t>Stosownie do § 52 ust. 1 uchwały nr 190 Rady Ministrów z dnia 29 października 2013</w:t>
      </w:r>
      <w:r w:rsidR="00D01DB1">
        <w:rPr>
          <w:rFonts w:ascii="Times" w:hAnsi="Times"/>
          <w:bCs/>
        </w:rPr>
        <w:t> </w:t>
      </w:r>
      <w:r w:rsidRPr="00FA45B7">
        <w:rPr>
          <w:rFonts w:ascii="Times" w:hAnsi="Times"/>
          <w:bCs/>
        </w:rPr>
        <w:t xml:space="preserve">r. </w:t>
      </w:r>
      <w:r>
        <w:rPr>
          <w:rFonts w:ascii="Times" w:hAnsi="Times"/>
          <w:bCs/>
        </w:rPr>
        <w:t>–</w:t>
      </w:r>
      <w:r w:rsidRPr="00FA45B7">
        <w:rPr>
          <w:rFonts w:ascii="Times" w:hAnsi="Times"/>
          <w:bCs/>
        </w:rPr>
        <w:t xml:space="preserve"> Regulamin pracy Rady Ministrów (M.P. poz. 979) projekt został udostępniony w Biuletynie Informacji Publicznej na stronie internetowej Rządowego Centrum Legislacji, w serwisie Rządowy Proces Legislacyjny.</w:t>
      </w:r>
    </w:p>
    <w:p w:rsidR="00FA45B7" w:rsidRPr="00FA45B7" w:rsidRDefault="00FA45B7" w:rsidP="00FA45B7">
      <w:pPr>
        <w:widowControl/>
        <w:suppressAutoHyphens/>
        <w:spacing w:before="120"/>
        <w:rPr>
          <w:rFonts w:ascii="Times" w:hAnsi="Times"/>
          <w:bCs/>
        </w:rPr>
      </w:pPr>
      <w:r w:rsidRPr="00FA45B7">
        <w:rPr>
          <w:rFonts w:ascii="Times" w:hAnsi="Times"/>
          <w:bCs/>
        </w:rPr>
        <w:t>Projekt jest zgodny z prawem Unii Europejskiej.</w:t>
      </w:r>
    </w:p>
    <w:p w:rsidR="00FA45B7" w:rsidRPr="00FA45B7" w:rsidRDefault="00FA45B7" w:rsidP="00FA45B7">
      <w:pPr>
        <w:widowControl/>
        <w:suppressAutoHyphens/>
        <w:spacing w:before="120"/>
        <w:rPr>
          <w:rFonts w:ascii="Times" w:hAnsi="Times"/>
          <w:bCs/>
        </w:rPr>
      </w:pPr>
      <w:r w:rsidRPr="00FA45B7">
        <w:rPr>
          <w:rFonts w:ascii="Times" w:hAnsi="Times"/>
          <w:bCs/>
        </w:rPr>
        <w:t>Projekt ustawy nie zawiera norm technicznych w rozumieniu przepisów rozporządzenia Rady Ministrów z dnia 23 grudnia 2002 r. w sprawie sposobu funkcjonowania krajowego systemu notyfikacji norm i aktów prawnych (Dz. U. Nr 239, poz. 2039, z</w:t>
      </w:r>
      <w:r w:rsidR="00D01DB1">
        <w:rPr>
          <w:rFonts w:ascii="Times" w:hAnsi="Times"/>
          <w:bCs/>
        </w:rPr>
        <w:t> </w:t>
      </w:r>
      <w:r w:rsidRPr="00FA45B7">
        <w:rPr>
          <w:rFonts w:ascii="Times" w:hAnsi="Times"/>
          <w:bCs/>
        </w:rPr>
        <w:t>późn. zm.), w związku z czym nie podlega notyfikacji.</w:t>
      </w:r>
    </w:p>
    <w:p w:rsidR="00FA45B7" w:rsidRPr="00FA45B7" w:rsidRDefault="00FA45B7" w:rsidP="00FA45B7">
      <w:pPr>
        <w:widowControl/>
        <w:suppressAutoHyphens/>
        <w:spacing w:before="120"/>
        <w:rPr>
          <w:rFonts w:ascii="Times" w:hAnsi="Times"/>
          <w:bCs/>
        </w:rPr>
      </w:pPr>
      <w:r w:rsidRPr="00FA45B7">
        <w:rPr>
          <w:rFonts w:ascii="Times" w:hAnsi="Times"/>
          <w:bCs/>
        </w:rPr>
        <w:t xml:space="preserve">W opinii projektodawców regulacja nie mieści się w zakresie przedmiotowym zagadnień podlegających konsultacjom z Europejskim Bankiem Centralnym, zgodnie z art. 2 ust. 1 decyzji Rady nr 98/415/WE z dnia 29 czerwca 1998 r. w sprawie konsultacji Europejskiego Banku Centralnego udzielanych władzom krajowym w sprawie projektów przepisów prawnych (Dz. Urz. UE L 189 z </w:t>
      </w:r>
      <w:r w:rsidR="003F5670">
        <w:rPr>
          <w:rFonts w:ascii="Times" w:hAnsi="Times"/>
          <w:bCs/>
        </w:rPr>
        <w:t>0</w:t>
      </w:r>
      <w:r w:rsidRPr="00FA45B7">
        <w:rPr>
          <w:rFonts w:ascii="Times" w:hAnsi="Times"/>
          <w:bCs/>
        </w:rPr>
        <w:t>3.</w:t>
      </w:r>
      <w:r w:rsidR="003F5670">
        <w:rPr>
          <w:rFonts w:ascii="Times" w:hAnsi="Times"/>
          <w:bCs/>
        </w:rPr>
        <w:t>0</w:t>
      </w:r>
      <w:r w:rsidRPr="00FA45B7">
        <w:rPr>
          <w:rFonts w:ascii="Times" w:hAnsi="Times"/>
          <w:bCs/>
        </w:rPr>
        <w:t>7.1998, str. 42).</w:t>
      </w:r>
    </w:p>
    <w:p w:rsidR="00FA45B7" w:rsidRPr="00FA45B7" w:rsidRDefault="00FA45B7" w:rsidP="00FA45B7">
      <w:pPr>
        <w:widowControl/>
        <w:autoSpaceDE/>
        <w:autoSpaceDN/>
        <w:adjustRightInd/>
        <w:spacing w:line="240" w:lineRule="auto"/>
        <w:rPr>
          <w:sz w:val="20"/>
        </w:rPr>
      </w:pPr>
    </w:p>
    <w:p w:rsidR="00FA45B7" w:rsidRDefault="00FA45B7">
      <w:pPr>
        <w:sectPr w:rsidR="00FA45B7" w:rsidSect="00FA45B7">
          <w:footerReference w:type="default" r:id="rId8"/>
          <w:footnotePr>
            <w:numRestart w:val="eachSect"/>
          </w:footnotePr>
          <w:pgSz w:w="11906" w:h="16838"/>
          <w:pgMar w:top="1588" w:right="1418" w:bottom="1418" w:left="1985" w:header="709" w:footer="709" w:gutter="0"/>
          <w:cols w:space="708"/>
          <w:titlePg/>
          <w:docGrid w:linePitch="254"/>
        </w:sectPr>
      </w:pPr>
    </w:p>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FA45B7" w:rsidRPr="00FA45B7" w:rsidTr="00FA45B7">
        <w:trPr>
          <w:gridAfter w:val="1"/>
          <w:wAfter w:w="10" w:type="dxa"/>
          <w:trHeight w:val="1611"/>
        </w:trPr>
        <w:tc>
          <w:tcPr>
            <w:tcW w:w="6631" w:type="dxa"/>
            <w:gridSpan w:val="17"/>
          </w:tcPr>
          <w:p w:rsidR="00FA45B7" w:rsidRPr="00FA45B7" w:rsidRDefault="00FA45B7" w:rsidP="00FA45B7">
            <w:pPr>
              <w:widowControl/>
              <w:autoSpaceDE/>
              <w:autoSpaceDN/>
              <w:adjustRightInd/>
              <w:spacing w:before="120" w:line="240" w:lineRule="auto"/>
              <w:ind w:hanging="45"/>
              <w:jc w:val="left"/>
              <w:rPr>
                <w:rFonts w:eastAsia="Calibri" w:cs="Times New Roman"/>
                <w:color w:val="000000"/>
                <w:szCs w:val="22"/>
                <w:lang w:eastAsia="en-US"/>
              </w:rPr>
            </w:pPr>
            <w:bookmarkStart w:id="3" w:name="t1"/>
            <w:r w:rsidRPr="00FA45B7">
              <w:rPr>
                <w:rFonts w:eastAsia="Calibri" w:cs="Times New Roman"/>
                <w:b/>
                <w:color w:val="000000"/>
                <w:sz w:val="22"/>
                <w:szCs w:val="22"/>
                <w:lang w:eastAsia="en-US"/>
              </w:rPr>
              <w:lastRenderedPageBreak/>
              <w:t>Nazwa projektu</w:t>
            </w:r>
          </w:p>
          <w:p w:rsidR="00FA45B7" w:rsidRPr="00FA45B7" w:rsidRDefault="00FA45B7" w:rsidP="00FA45B7">
            <w:pPr>
              <w:widowControl/>
              <w:autoSpaceDE/>
              <w:autoSpaceDN/>
              <w:adjustRightInd/>
              <w:spacing w:line="240" w:lineRule="auto"/>
              <w:ind w:hanging="45"/>
              <w:jc w:val="left"/>
              <w:rPr>
                <w:rFonts w:eastAsia="Calibri" w:cs="Times New Roman"/>
                <w:noProof/>
                <w:color w:val="000000"/>
                <w:szCs w:val="22"/>
                <w:lang w:eastAsia="en-US"/>
              </w:rPr>
            </w:pPr>
            <w:bookmarkStart w:id="4" w:name="OLE_LINK2"/>
            <w:r w:rsidRPr="00FA45B7">
              <w:rPr>
                <w:rFonts w:eastAsia="Calibri" w:cs="Times New Roman"/>
                <w:noProof/>
                <w:color w:val="000000"/>
                <w:sz w:val="22"/>
                <w:szCs w:val="22"/>
                <w:lang w:eastAsia="en-US"/>
              </w:rPr>
              <w:t>Projekt ustawy o zmianie ustawy o ofercie publicznej i warunkach wprowadzania instrumentów finansowych do zorganizowanego systemu obrotu oraz o spółkach publicznych</w:t>
            </w:r>
            <w:bookmarkEnd w:id="4"/>
            <w:r w:rsidRPr="00FA45B7">
              <w:rPr>
                <w:rFonts w:eastAsia="Calibri" w:cs="Times New Roman"/>
                <w:b/>
                <w:color w:val="000000"/>
                <w:sz w:val="22"/>
                <w:szCs w:val="22"/>
                <w:lang w:eastAsia="en-US"/>
              </w:rPr>
              <w:t xml:space="preserve"> </w:t>
            </w:r>
            <w:r w:rsidRPr="00FA45B7">
              <w:rPr>
                <w:rFonts w:eastAsia="Calibri" w:cs="Times New Roman"/>
                <w:noProof/>
                <w:color w:val="000000"/>
                <w:sz w:val="22"/>
                <w:szCs w:val="22"/>
                <w:lang w:eastAsia="en-US"/>
              </w:rPr>
              <w:t>oraz niektórych innych ustaw</w:t>
            </w:r>
          </w:p>
          <w:p w:rsidR="00FA45B7" w:rsidRPr="00FA45B7" w:rsidRDefault="00FA45B7" w:rsidP="00FA45B7">
            <w:pPr>
              <w:widowControl/>
              <w:autoSpaceDE/>
              <w:autoSpaceDN/>
              <w:adjustRightInd/>
              <w:spacing w:before="120" w:line="240" w:lineRule="auto"/>
              <w:ind w:hanging="45"/>
              <w:jc w:val="left"/>
              <w:rPr>
                <w:rFonts w:eastAsia="Calibri" w:cs="Times New Roman"/>
                <w:b/>
                <w:color w:val="000000"/>
                <w:szCs w:val="22"/>
                <w:lang w:eastAsia="en-US"/>
              </w:rPr>
            </w:pPr>
            <w:r w:rsidRPr="00FA45B7">
              <w:rPr>
                <w:rFonts w:eastAsia="Calibri" w:cs="Times New Roman"/>
                <w:b/>
                <w:color w:val="000000"/>
                <w:sz w:val="22"/>
                <w:szCs w:val="22"/>
                <w:lang w:eastAsia="en-US"/>
              </w:rPr>
              <w:t>Ministerstwo wiodące i ministerstwa współpracujące</w:t>
            </w:r>
          </w:p>
          <w:bookmarkEnd w:id="3"/>
          <w:p w:rsidR="00FA45B7" w:rsidRPr="00FA45B7" w:rsidRDefault="00FA45B7" w:rsidP="00FA45B7">
            <w:pPr>
              <w:widowControl/>
              <w:autoSpaceDE/>
              <w:autoSpaceDN/>
              <w:adjustRightInd/>
              <w:spacing w:line="240" w:lineRule="auto"/>
              <w:ind w:hanging="34"/>
              <w:jc w:val="left"/>
              <w:rPr>
                <w:rFonts w:eastAsia="Calibri" w:cs="Times New Roman"/>
                <w:color w:val="000000"/>
                <w:szCs w:val="22"/>
                <w:lang w:eastAsia="en-US"/>
              </w:rPr>
            </w:pPr>
            <w:r w:rsidRPr="00FA45B7">
              <w:rPr>
                <w:rFonts w:eastAsia="Calibri" w:cs="Times New Roman"/>
                <w:color w:val="000000"/>
                <w:sz w:val="22"/>
                <w:szCs w:val="22"/>
                <w:lang w:eastAsia="en-US"/>
              </w:rPr>
              <w:t>Ministerstwo Finansów</w:t>
            </w:r>
          </w:p>
          <w:p w:rsidR="00FA45B7" w:rsidRPr="00FA45B7" w:rsidRDefault="00FA45B7" w:rsidP="00FA45B7">
            <w:pPr>
              <w:widowControl/>
              <w:autoSpaceDE/>
              <w:autoSpaceDN/>
              <w:adjustRightInd/>
              <w:spacing w:before="120" w:line="240" w:lineRule="auto"/>
              <w:ind w:hanging="45"/>
              <w:jc w:val="left"/>
              <w:rPr>
                <w:rFonts w:eastAsia="Calibri" w:cs="Times New Roman"/>
                <w:b/>
                <w:sz w:val="21"/>
                <w:szCs w:val="21"/>
                <w:lang w:eastAsia="en-US"/>
              </w:rPr>
            </w:pPr>
            <w:r w:rsidRPr="00FA45B7">
              <w:rPr>
                <w:rFonts w:eastAsia="Calibri" w:cs="Times New Roman"/>
                <w:b/>
                <w:color w:val="000000"/>
                <w:sz w:val="22"/>
                <w:szCs w:val="22"/>
                <w:lang w:eastAsia="en-US"/>
              </w:rPr>
              <w:t>Osoba odpowiedzialna za projekt w randze Ministra, Sekretarza Stanu lub Podsekretarza Stanu</w:t>
            </w:r>
            <w:r w:rsidRPr="00FA45B7">
              <w:rPr>
                <w:rFonts w:eastAsia="Calibri" w:cs="Times New Roman"/>
                <w:b/>
                <w:sz w:val="21"/>
                <w:szCs w:val="21"/>
                <w:lang w:eastAsia="en-US"/>
              </w:rPr>
              <w:t xml:space="preserve"> </w:t>
            </w:r>
          </w:p>
          <w:p w:rsidR="00FA45B7" w:rsidRPr="00FA45B7" w:rsidRDefault="00FA45B7" w:rsidP="00FA45B7">
            <w:pPr>
              <w:widowControl/>
              <w:autoSpaceDE/>
              <w:autoSpaceDN/>
              <w:adjustRightInd/>
              <w:spacing w:line="240" w:lineRule="auto"/>
              <w:jc w:val="left"/>
              <w:rPr>
                <w:rFonts w:eastAsia="Calibri" w:cs="Times New Roman"/>
                <w:sz w:val="21"/>
                <w:szCs w:val="21"/>
                <w:lang w:eastAsia="en-US"/>
              </w:rPr>
            </w:pPr>
            <w:r w:rsidRPr="00FA45B7">
              <w:rPr>
                <w:rFonts w:eastAsia="Calibri" w:cs="Times New Roman"/>
                <w:noProof/>
                <w:color w:val="000000"/>
                <w:sz w:val="22"/>
                <w:szCs w:val="22"/>
                <w:lang w:eastAsia="en-US"/>
              </w:rPr>
              <w:t>Izabela Leszczyna, Sekretarz Stanu w Ministerstwie Finansów</w:t>
            </w:r>
          </w:p>
          <w:p w:rsidR="00FA45B7" w:rsidRPr="00FA45B7" w:rsidRDefault="00FA45B7" w:rsidP="00FA45B7">
            <w:pPr>
              <w:widowControl/>
              <w:autoSpaceDE/>
              <w:autoSpaceDN/>
              <w:adjustRightInd/>
              <w:spacing w:before="120" w:line="240" w:lineRule="auto"/>
              <w:ind w:hanging="45"/>
              <w:jc w:val="left"/>
              <w:rPr>
                <w:rFonts w:eastAsia="Calibri" w:cs="Times New Roman"/>
                <w:b/>
                <w:color w:val="000000"/>
                <w:szCs w:val="22"/>
                <w:lang w:eastAsia="en-US"/>
              </w:rPr>
            </w:pPr>
            <w:r w:rsidRPr="00FA45B7">
              <w:rPr>
                <w:rFonts w:eastAsia="Calibri" w:cs="Times New Roman"/>
                <w:b/>
                <w:color w:val="000000"/>
                <w:sz w:val="22"/>
                <w:szCs w:val="22"/>
                <w:lang w:eastAsia="en-US"/>
              </w:rPr>
              <w:t>Kontakt do opiekuna merytorycznego projektu</w:t>
            </w:r>
          </w:p>
          <w:p w:rsidR="00FA45B7" w:rsidRPr="00FA45B7" w:rsidRDefault="00FA45B7" w:rsidP="00FA45B7">
            <w:pPr>
              <w:widowControl/>
              <w:autoSpaceDE/>
              <w:autoSpaceDN/>
              <w:adjustRightInd/>
              <w:spacing w:line="240" w:lineRule="auto"/>
              <w:ind w:hanging="34"/>
              <w:jc w:val="left"/>
              <w:rPr>
                <w:rFonts w:eastAsia="Calibri" w:cs="Times New Roman"/>
                <w:noProof/>
                <w:color w:val="000000"/>
                <w:szCs w:val="22"/>
                <w:lang w:eastAsia="en-US"/>
              </w:rPr>
            </w:pPr>
            <w:r w:rsidRPr="00FA45B7">
              <w:rPr>
                <w:rFonts w:eastAsia="Calibri" w:cs="Times New Roman"/>
                <w:noProof/>
                <w:color w:val="000000"/>
                <w:sz w:val="22"/>
                <w:szCs w:val="22"/>
                <w:lang w:eastAsia="en-US"/>
              </w:rPr>
              <w:t>Krzysztof Borysewicz, pracownik Departamentu Rozwoju Rynku Finansowego, tel. 22 694 30 36;</w:t>
            </w:r>
          </w:p>
          <w:p w:rsidR="00FA45B7" w:rsidRPr="00FA45B7" w:rsidRDefault="00FA45B7" w:rsidP="00FA45B7">
            <w:pPr>
              <w:widowControl/>
              <w:autoSpaceDE/>
              <w:autoSpaceDN/>
              <w:adjustRightInd/>
              <w:spacing w:line="240" w:lineRule="auto"/>
              <w:ind w:hanging="34"/>
              <w:jc w:val="left"/>
              <w:rPr>
                <w:rFonts w:eastAsia="Calibri" w:cs="Times New Roman"/>
                <w:noProof/>
                <w:color w:val="000000"/>
                <w:szCs w:val="22"/>
                <w:lang w:val="en-US" w:eastAsia="en-US"/>
              </w:rPr>
            </w:pPr>
            <w:r w:rsidRPr="00FA45B7">
              <w:rPr>
                <w:rFonts w:eastAsia="Calibri" w:cs="Times New Roman"/>
                <w:noProof/>
                <w:color w:val="000000"/>
                <w:sz w:val="22"/>
                <w:szCs w:val="22"/>
                <w:lang w:val="en-US" w:eastAsia="en-US"/>
              </w:rPr>
              <w:t xml:space="preserve">e-mail: </w:t>
            </w:r>
            <w:r w:rsidRPr="00D01DB1">
              <w:rPr>
                <w:rFonts w:eastAsia="Calibri" w:cs="Times New Roman"/>
                <w:noProof/>
                <w:sz w:val="22"/>
                <w:szCs w:val="22"/>
                <w:lang w:val="en-US" w:eastAsia="en-US"/>
              </w:rPr>
              <w:t>krzysztof.borysewicz@mf.gov.pl</w:t>
            </w:r>
          </w:p>
          <w:p w:rsidR="00FA45B7" w:rsidRPr="00FA45B7" w:rsidRDefault="00FA45B7" w:rsidP="00FA45B7">
            <w:pPr>
              <w:widowControl/>
              <w:autoSpaceDE/>
              <w:autoSpaceDN/>
              <w:adjustRightInd/>
              <w:spacing w:line="240" w:lineRule="auto"/>
              <w:ind w:hanging="34"/>
              <w:jc w:val="left"/>
              <w:rPr>
                <w:rFonts w:eastAsia="Calibri" w:cs="Times New Roman"/>
                <w:color w:val="000000"/>
                <w:szCs w:val="22"/>
                <w:lang w:val="en-US" w:eastAsia="en-US"/>
              </w:rPr>
            </w:pPr>
          </w:p>
        </w:tc>
        <w:tc>
          <w:tcPr>
            <w:tcW w:w="4306" w:type="dxa"/>
            <w:gridSpan w:val="12"/>
            <w:shd w:val="clear" w:color="auto" w:fill="FFFFFF"/>
          </w:tcPr>
          <w:p w:rsidR="00FA45B7" w:rsidRPr="00FA45B7" w:rsidRDefault="00FA45B7" w:rsidP="00FA45B7">
            <w:pPr>
              <w:widowControl/>
              <w:autoSpaceDE/>
              <w:autoSpaceDN/>
              <w:adjustRightInd/>
              <w:spacing w:line="240" w:lineRule="auto"/>
              <w:jc w:val="left"/>
              <w:rPr>
                <w:rFonts w:eastAsia="Calibri" w:cs="Times New Roman"/>
                <w:b/>
                <w:sz w:val="21"/>
                <w:szCs w:val="21"/>
                <w:lang w:eastAsia="en-US"/>
              </w:rPr>
            </w:pPr>
            <w:r w:rsidRPr="00FA45B7">
              <w:rPr>
                <w:rFonts w:eastAsia="Calibri" w:cs="Times New Roman"/>
                <w:b/>
                <w:sz w:val="21"/>
                <w:szCs w:val="21"/>
                <w:lang w:eastAsia="en-US"/>
              </w:rPr>
              <w:t>Data sporządzenia</w:t>
            </w:r>
          </w:p>
          <w:p w:rsidR="00FA45B7" w:rsidRPr="00FA45B7" w:rsidRDefault="00FA45B7" w:rsidP="00FA45B7">
            <w:pPr>
              <w:widowControl/>
              <w:autoSpaceDE/>
              <w:autoSpaceDN/>
              <w:adjustRightInd/>
              <w:spacing w:line="240" w:lineRule="auto"/>
              <w:jc w:val="left"/>
              <w:rPr>
                <w:rFonts w:eastAsia="Calibri" w:cs="Times New Roman"/>
                <w:sz w:val="21"/>
                <w:szCs w:val="21"/>
                <w:lang w:eastAsia="en-US"/>
              </w:rPr>
            </w:pPr>
            <w:r w:rsidRPr="00FA45B7">
              <w:rPr>
                <w:rFonts w:eastAsia="Calibri" w:cs="Times New Roman"/>
                <w:sz w:val="21"/>
                <w:szCs w:val="21"/>
                <w:lang w:eastAsia="en-US"/>
              </w:rPr>
              <w:t>9.09.2015 r.</w:t>
            </w:r>
          </w:p>
          <w:p w:rsidR="00FA45B7" w:rsidRPr="00FA45B7" w:rsidRDefault="00FA45B7" w:rsidP="00FA45B7">
            <w:pPr>
              <w:widowControl/>
              <w:autoSpaceDE/>
              <w:autoSpaceDN/>
              <w:adjustRightInd/>
              <w:spacing w:line="240" w:lineRule="auto"/>
              <w:jc w:val="left"/>
              <w:rPr>
                <w:rFonts w:eastAsia="Calibri" w:cs="Times New Roman"/>
                <w:b/>
                <w:szCs w:val="22"/>
                <w:lang w:eastAsia="en-US"/>
              </w:rPr>
            </w:pPr>
          </w:p>
          <w:p w:rsidR="00FA45B7" w:rsidRPr="00FA45B7" w:rsidRDefault="00FA45B7" w:rsidP="00FA45B7">
            <w:pPr>
              <w:widowControl/>
              <w:autoSpaceDE/>
              <w:autoSpaceDN/>
              <w:adjustRightInd/>
              <w:spacing w:line="240" w:lineRule="auto"/>
              <w:jc w:val="left"/>
              <w:rPr>
                <w:rFonts w:eastAsia="Calibri" w:cs="Times New Roman"/>
                <w:b/>
                <w:szCs w:val="22"/>
                <w:lang w:eastAsia="en-US"/>
              </w:rPr>
            </w:pPr>
            <w:r w:rsidRPr="00FA45B7">
              <w:rPr>
                <w:rFonts w:eastAsia="Calibri" w:cs="Times New Roman"/>
                <w:b/>
                <w:sz w:val="22"/>
                <w:szCs w:val="22"/>
                <w:lang w:eastAsia="en-US"/>
              </w:rPr>
              <w:t xml:space="preserve">Źródło: </w:t>
            </w:r>
            <w:bookmarkStart w:id="5" w:name="Lista1"/>
          </w:p>
          <w:bookmarkEnd w:id="5"/>
          <w:p w:rsidR="00FA45B7" w:rsidRPr="00FA45B7" w:rsidRDefault="00FA45B7" w:rsidP="00FA45B7">
            <w:pPr>
              <w:widowControl/>
              <w:autoSpaceDE/>
              <w:autoSpaceDN/>
              <w:adjustRightInd/>
              <w:spacing w:line="240" w:lineRule="auto"/>
              <w:jc w:val="left"/>
              <w:rPr>
                <w:rFonts w:eastAsia="Calibri" w:cs="Times New Roman"/>
                <w:szCs w:val="22"/>
                <w:lang w:eastAsia="en-US"/>
              </w:rPr>
            </w:pPr>
            <w:r w:rsidRPr="00FA45B7">
              <w:rPr>
                <w:rFonts w:eastAsia="Calibri" w:cs="Times New Roman"/>
                <w:sz w:val="22"/>
                <w:szCs w:val="22"/>
                <w:lang w:eastAsia="en-US"/>
              </w:rPr>
              <w:t>Dyrektywa Parlamentu Europejskiego i Rady 2013/50/UE z dnia 22 października 2013</w:t>
            </w:r>
            <w:r>
              <w:rPr>
                <w:rFonts w:eastAsia="Calibri" w:cs="Times New Roman"/>
                <w:sz w:val="22"/>
                <w:szCs w:val="22"/>
                <w:lang w:eastAsia="en-US"/>
              </w:rPr>
              <w:t xml:space="preserve"> </w:t>
            </w:r>
            <w:r w:rsidRPr="00FA45B7">
              <w:rPr>
                <w:rFonts w:eastAsia="Calibri" w:cs="Times New Roman"/>
                <w:sz w:val="22"/>
                <w:szCs w:val="22"/>
                <w:lang w:eastAsia="en-US"/>
              </w:rPr>
              <w:t xml:space="preserve">r. zmieniająca dyrektywę 2004/109/WE Parlamentu Europejskiego i Rady w sprawie harmonizacji wymogów dotyczących przejrzystości informacji o emitentach, których papiery wartościowe dopuszczane są do obrotu na rynku regulowanym, dyrektywę 2003/71/WE Parlamentu Europejskiego i Rady w sprawie prospektu emisyjnego publikowanego w związku z publiczną ofertą lub dopuszczeniem do obrotu papierów wartościowych oraz dyrektywę Komisji 2007/14/WE ustanawiającą szczegółowe zasady wdrożenia niektórych przepisów dyrektywy 2004/109/WE </w:t>
            </w:r>
          </w:p>
          <w:p w:rsidR="00FA45B7" w:rsidRPr="00FA45B7" w:rsidRDefault="00FA45B7" w:rsidP="00FA45B7">
            <w:pPr>
              <w:widowControl/>
              <w:autoSpaceDE/>
              <w:autoSpaceDN/>
              <w:adjustRightInd/>
              <w:spacing w:line="240" w:lineRule="auto"/>
              <w:jc w:val="left"/>
              <w:rPr>
                <w:rFonts w:eastAsia="Calibri" w:cs="Times New Roman"/>
                <w:szCs w:val="22"/>
                <w:lang w:eastAsia="en-US"/>
              </w:rPr>
            </w:pPr>
            <w:r w:rsidRPr="00FA45B7">
              <w:rPr>
                <w:rFonts w:eastAsia="Calibri" w:cs="Times New Roman"/>
                <w:sz w:val="22"/>
                <w:szCs w:val="22"/>
                <w:lang w:eastAsia="en-US"/>
              </w:rPr>
              <w:t xml:space="preserve">oraz </w:t>
            </w:r>
          </w:p>
          <w:p w:rsidR="00FA45B7" w:rsidRPr="00FA45B7" w:rsidRDefault="00FA45B7" w:rsidP="00FA45B7">
            <w:pPr>
              <w:widowControl/>
              <w:autoSpaceDE/>
              <w:autoSpaceDN/>
              <w:adjustRightInd/>
              <w:spacing w:line="240" w:lineRule="auto"/>
              <w:jc w:val="left"/>
              <w:rPr>
                <w:rFonts w:eastAsia="Calibri" w:cs="Times New Roman"/>
                <w:szCs w:val="22"/>
                <w:lang w:eastAsia="en-US"/>
              </w:rPr>
            </w:pPr>
            <w:r w:rsidRPr="00FA45B7">
              <w:rPr>
                <w:rFonts w:eastAsia="Calibri" w:cs="Times New Roman"/>
                <w:sz w:val="22"/>
                <w:szCs w:val="22"/>
                <w:lang w:eastAsia="en-US"/>
              </w:rPr>
              <w:t>Dyrektywa Parlamentu Europejskiego i Rady 2014/51/UE z dnia 16 kwietnia 2014 r. zmieniająca dyrektywy 2003/71/WE i 2009/138/WE oraz rozporządzenia (WE) nr</w:t>
            </w:r>
            <w:r w:rsidR="00D01DB1">
              <w:rPr>
                <w:rFonts w:eastAsia="Calibri" w:cs="Times New Roman"/>
                <w:sz w:val="22"/>
                <w:szCs w:val="22"/>
                <w:lang w:eastAsia="en-US"/>
              </w:rPr>
              <w:t> </w:t>
            </w:r>
            <w:r w:rsidRPr="00FA45B7">
              <w:rPr>
                <w:rFonts w:eastAsia="Calibri" w:cs="Times New Roman"/>
                <w:sz w:val="22"/>
                <w:szCs w:val="22"/>
                <w:lang w:eastAsia="en-US"/>
              </w:rPr>
              <w:t xml:space="preserve">1060/2009, (UE) nr 1094/2010 i (UE) </w:t>
            </w:r>
            <w:r w:rsidR="003F5670">
              <w:rPr>
                <w:rFonts w:eastAsia="Calibri" w:cs="Times New Roman"/>
                <w:sz w:val="22"/>
                <w:szCs w:val="22"/>
                <w:lang w:eastAsia="en-US"/>
              </w:rPr>
              <w:br/>
            </w:r>
            <w:r w:rsidRPr="00FA45B7">
              <w:rPr>
                <w:rFonts w:eastAsia="Calibri" w:cs="Times New Roman"/>
                <w:sz w:val="22"/>
                <w:szCs w:val="22"/>
                <w:lang w:eastAsia="en-US"/>
              </w:rPr>
              <w:t>nr 1095/2010 w zakresie uprawnień Europejskiego Urzędu Nadzoru (Europejskiego Urzędu Nadzoru Ubezpieczeń i Pracowniczych Programów Emerytalnych) oraz Europejskiego Urzędu Nadzoru (Europejskiego Urzędu Nadzoru Giełd i Papierów Wartościowych), w zakresie zmiany dyrektywy 2003/71/WE</w:t>
            </w:r>
          </w:p>
          <w:p w:rsidR="00FA45B7" w:rsidRPr="00FA45B7" w:rsidRDefault="00FA45B7" w:rsidP="00FA45B7">
            <w:pPr>
              <w:widowControl/>
              <w:autoSpaceDE/>
              <w:autoSpaceDN/>
              <w:adjustRightInd/>
              <w:spacing w:before="120" w:line="240" w:lineRule="auto"/>
              <w:jc w:val="left"/>
              <w:rPr>
                <w:rFonts w:eastAsia="Calibri" w:cs="Times New Roman"/>
                <w:b/>
                <w:color w:val="000000"/>
                <w:szCs w:val="22"/>
                <w:lang w:eastAsia="en-US"/>
              </w:rPr>
            </w:pPr>
            <w:r w:rsidRPr="00FA45B7">
              <w:rPr>
                <w:rFonts w:eastAsia="Calibri" w:cs="Times New Roman"/>
                <w:b/>
                <w:color w:val="000000"/>
                <w:sz w:val="22"/>
                <w:szCs w:val="22"/>
                <w:lang w:eastAsia="en-US"/>
              </w:rPr>
              <w:t>Nr w wykazie prac</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t>UC114</w:t>
            </w:r>
          </w:p>
        </w:tc>
      </w:tr>
      <w:tr w:rsidR="00FA45B7" w:rsidRPr="00FA45B7" w:rsidTr="00FA45B7">
        <w:trPr>
          <w:gridAfter w:val="1"/>
          <w:wAfter w:w="10" w:type="dxa"/>
          <w:trHeight w:val="142"/>
        </w:trPr>
        <w:tc>
          <w:tcPr>
            <w:tcW w:w="10937" w:type="dxa"/>
            <w:gridSpan w:val="29"/>
            <w:shd w:val="clear" w:color="auto" w:fill="99CCFF"/>
          </w:tcPr>
          <w:p w:rsidR="00FA45B7" w:rsidRPr="00FA45B7" w:rsidRDefault="00FA45B7" w:rsidP="00FA45B7">
            <w:pPr>
              <w:widowControl/>
              <w:autoSpaceDE/>
              <w:autoSpaceDN/>
              <w:adjustRightInd/>
              <w:spacing w:line="240" w:lineRule="auto"/>
              <w:ind w:left="57"/>
              <w:jc w:val="center"/>
              <w:rPr>
                <w:rFonts w:eastAsia="Calibri" w:cs="Times New Roman"/>
                <w:b/>
                <w:color w:val="FFFFFF"/>
                <w:sz w:val="32"/>
                <w:szCs w:val="32"/>
                <w:lang w:eastAsia="en-US"/>
              </w:rPr>
            </w:pPr>
            <w:r w:rsidRPr="00FA45B7">
              <w:rPr>
                <w:rFonts w:eastAsia="Calibri" w:cs="Times New Roman"/>
                <w:b/>
                <w:color w:val="FFFFFF"/>
                <w:sz w:val="32"/>
                <w:szCs w:val="32"/>
                <w:lang w:eastAsia="en-US"/>
              </w:rPr>
              <w:t>OCENA SKUTKÓW REGULACJI</w:t>
            </w:r>
          </w:p>
        </w:tc>
      </w:tr>
      <w:tr w:rsidR="00FA45B7" w:rsidRPr="00FA45B7" w:rsidTr="00FA45B7">
        <w:trPr>
          <w:gridAfter w:val="1"/>
          <w:wAfter w:w="10" w:type="dxa"/>
          <w:trHeight w:val="333"/>
        </w:trPr>
        <w:tc>
          <w:tcPr>
            <w:tcW w:w="10937" w:type="dxa"/>
            <w:gridSpan w:val="29"/>
            <w:shd w:val="clear" w:color="auto" w:fill="99CCFF"/>
            <w:vAlign w:val="center"/>
          </w:tcPr>
          <w:p w:rsidR="00FA45B7" w:rsidRPr="00FA45B7" w:rsidRDefault="00FA45B7" w:rsidP="00FA45B7">
            <w:pPr>
              <w:widowControl/>
              <w:numPr>
                <w:ilvl w:val="0"/>
                <w:numId w:val="4"/>
              </w:numPr>
              <w:autoSpaceDE/>
              <w:autoSpaceDN/>
              <w:adjustRightInd/>
              <w:spacing w:before="60" w:after="60" w:line="240" w:lineRule="auto"/>
              <w:ind w:left="318" w:hanging="284"/>
              <w:jc w:val="left"/>
              <w:rPr>
                <w:rFonts w:eastAsia="Calibri" w:cs="Times New Roman"/>
                <w:b/>
                <w:color w:val="000000"/>
                <w:szCs w:val="22"/>
                <w:lang w:eastAsia="en-US"/>
              </w:rPr>
            </w:pPr>
            <w:r w:rsidRPr="00FA45B7">
              <w:rPr>
                <w:rFonts w:eastAsia="Calibri" w:cs="Times New Roman"/>
                <w:b/>
                <w:sz w:val="22"/>
                <w:szCs w:val="22"/>
                <w:lang w:eastAsia="en-US"/>
              </w:rPr>
              <w:t>Jaki problem jest rozwiązywany?</w:t>
            </w:r>
            <w:bookmarkStart w:id="6" w:name="Wybór1"/>
            <w:bookmarkEnd w:id="6"/>
          </w:p>
        </w:tc>
      </w:tr>
      <w:tr w:rsidR="00FA45B7" w:rsidRPr="00FA45B7" w:rsidTr="00FA45B7">
        <w:trPr>
          <w:gridAfter w:val="1"/>
          <w:wAfter w:w="10" w:type="dxa"/>
          <w:trHeight w:val="142"/>
        </w:trPr>
        <w:tc>
          <w:tcPr>
            <w:tcW w:w="10937" w:type="dxa"/>
            <w:gridSpan w:val="29"/>
            <w:shd w:val="clear" w:color="auto" w:fill="FFFFFF"/>
          </w:tcPr>
          <w:p w:rsidR="00FA45B7" w:rsidRPr="00D01DB1" w:rsidRDefault="00FA45B7" w:rsidP="00D66C4C">
            <w:pPr>
              <w:widowControl/>
              <w:autoSpaceDE/>
              <w:autoSpaceDN/>
              <w:adjustRightInd/>
              <w:spacing w:before="120" w:line="240" w:lineRule="auto"/>
              <w:rPr>
                <w:rFonts w:eastAsia="Calibri" w:cs="Times New Roman"/>
                <w:szCs w:val="22"/>
                <w:lang w:eastAsia="en-US"/>
              </w:rPr>
            </w:pPr>
            <w:r w:rsidRPr="00FA45B7">
              <w:rPr>
                <w:rFonts w:eastAsia="Calibri" w:cs="Times New Roman"/>
                <w:sz w:val="22"/>
                <w:szCs w:val="22"/>
                <w:lang w:eastAsia="en-US"/>
              </w:rPr>
              <w:t>Wdrożenie do krajowego porządku prawnego dyrektywy Parlamentu Europejskiego i Rady 2013/50/UE z dnia 22</w:t>
            </w:r>
            <w:r w:rsidR="00D66C4C">
              <w:rPr>
                <w:rFonts w:eastAsia="Calibri" w:cs="Times New Roman"/>
                <w:sz w:val="22"/>
                <w:szCs w:val="22"/>
                <w:lang w:eastAsia="en-US"/>
              </w:rPr>
              <w:t> </w:t>
            </w:r>
            <w:r w:rsidRPr="00FA45B7">
              <w:rPr>
                <w:rFonts w:eastAsia="Calibri" w:cs="Times New Roman"/>
                <w:sz w:val="22"/>
                <w:szCs w:val="22"/>
                <w:lang w:eastAsia="en-US"/>
              </w:rPr>
              <w:t>października 2013</w:t>
            </w:r>
            <w:r>
              <w:rPr>
                <w:rFonts w:eastAsia="Calibri" w:cs="Times New Roman"/>
                <w:sz w:val="22"/>
                <w:szCs w:val="22"/>
                <w:lang w:eastAsia="en-US"/>
              </w:rPr>
              <w:t xml:space="preserve"> </w:t>
            </w:r>
            <w:r w:rsidRPr="00FA45B7">
              <w:rPr>
                <w:rFonts w:eastAsia="Calibri" w:cs="Times New Roman"/>
                <w:sz w:val="22"/>
                <w:szCs w:val="22"/>
                <w:lang w:eastAsia="en-US"/>
              </w:rPr>
              <w:t xml:space="preserve">r. zmieniającej dyrektywę 2004/109/WE Parlamentu Europejskiego i Rady w sprawie harmonizacji wymogów dotyczących przejrzystości informacji o emitentach, których papiery wartościowe dopuszczane są do obrotu na rynku regulowanym, dyrektywę 2003/71/WE Parlamentu Europejskiego i Rady w sprawie prospektu emisyjnego publikowanego w związku z publiczną ofertą lub dopuszczeniem do obrotu papierów wartościowych oraz dyrektywę Komisji 2007/14/WE ustanawiającą szczegółowe zasady wdrożenia niektórych przepisów dyrektywy 2004/109/WE, a także dyrektywy Parlamentu Europejskiego i Rady 2014/51/UE z dnia 16 kwietnia 2014 r. zmieniającej dyrektywy 2003/71/WE i 2009/138/WE oraz rozporządzenia (WE) nr 1060/2009, (UE) nr 1094/2010 i (UE) nr 1095/2010 w zakresie uprawnień Europejskiego Urzędu Nadzoru (Europejskiego Urzędu Nadzoru Ubezpieczeń i Pracowniczych Programów Emerytalnych) oraz Europejskiego Urzędu Nadzoru (Europejskiego Urzędu Nadzoru Giełd i Papierów Wartościowych), w zakresie zmiany dyrektywy 2003/71/WE. Wymienione dyrektywy realizują w szczególności potrzebę zwiększenia skuteczności istniejącego systemu dotyczącego przejrzystości, zwłaszcza w zakresie ujawniania informacji na temat własności przedsiębiorstwa. W szczególności celem dyrektywy 2013/50/UE jest również wzmocnienie systemu kar i środków administracyjnych za naruszenia przepisów dyrektywy 2004/109/WE zmienionej dyrektywą 2013/50/UE, co przyczyni się do wzrostu bezpieczeństwa obrotu na rynku kapitałowym oraz ochrony inwestorów. </w:t>
            </w:r>
          </w:p>
        </w:tc>
      </w:tr>
      <w:tr w:rsidR="00FA45B7" w:rsidRPr="00FA45B7" w:rsidTr="00FA45B7">
        <w:trPr>
          <w:gridAfter w:val="1"/>
          <w:wAfter w:w="10" w:type="dxa"/>
          <w:trHeight w:val="142"/>
        </w:trPr>
        <w:tc>
          <w:tcPr>
            <w:tcW w:w="10937" w:type="dxa"/>
            <w:gridSpan w:val="29"/>
            <w:shd w:val="clear" w:color="auto" w:fill="99CCFF"/>
            <w:vAlign w:val="center"/>
          </w:tcPr>
          <w:p w:rsidR="00FA45B7" w:rsidRPr="00FA45B7" w:rsidRDefault="00FA45B7" w:rsidP="00FA45B7">
            <w:pPr>
              <w:widowControl/>
              <w:numPr>
                <w:ilvl w:val="0"/>
                <w:numId w:val="4"/>
              </w:numPr>
              <w:autoSpaceDE/>
              <w:autoSpaceDN/>
              <w:adjustRightInd/>
              <w:spacing w:before="60" w:after="60" w:line="240" w:lineRule="auto"/>
              <w:ind w:left="318" w:hanging="284"/>
              <w:jc w:val="left"/>
              <w:rPr>
                <w:rFonts w:eastAsia="Calibri" w:cs="Times New Roman"/>
                <w:b/>
                <w:color w:val="000000"/>
                <w:szCs w:val="22"/>
                <w:lang w:eastAsia="en-US"/>
              </w:rPr>
            </w:pPr>
            <w:r w:rsidRPr="00FA45B7">
              <w:rPr>
                <w:rFonts w:eastAsia="Calibri" w:cs="Times New Roman"/>
                <w:b/>
                <w:color w:val="000000"/>
                <w:spacing w:val="-2"/>
                <w:sz w:val="22"/>
                <w:szCs w:val="22"/>
                <w:lang w:eastAsia="en-US"/>
              </w:rPr>
              <w:t>Rekomendowane rozwiązanie, w tym planowane narzędzia interwencji, i oczekiwany efekt</w:t>
            </w:r>
          </w:p>
        </w:tc>
      </w:tr>
      <w:tr w:rsidR="00FA45B7" w:rsidRPr="00FA45B7" w:rsidTr="00FA45B7">
        <w:trPr>
          <w:gridAfter w:val="1"/>
          <w:wAfter w:w="10" w:type="dxa"/>
          <w:trHeight w:val="142"/>
        </w:trPr>
        <w:tc>
          <w:tcPr>
            <w:tcW w:w="10937" w:type="dxa"/>
            <w:gridSpan w:val="29"/>
            <w:shd w:val="clear" w:color="auto" w:fill="auto"/>
          </w:tcPr>
          <w:p w:rsidR="00FA45B7" w:rsidRPr="00FA45B7" w:rsidRDefault="00FA45B7" w:rsidP="00FA45B7">
            <w:pPr>
              <w:widowControl/>
              <w:autoSpaceDE/>
              <w:autoSpaceDN/>
              <w:adjustRightInd/>
              <w:spacing w:before="120" w:line="240" w:lineRule="auto"/>
              <w:rPr>
                <w:rFonts w:eastAsia="Calibri" w:cs="Times New Roman"/>
                <w:color w:val="000000"/>
                <w:spacing w:val="-2"/>
                <w:szCs w:val="22"/>
                <w:lang w:eastAsia="en-US"/>
              </w:rPr>
            </w:pPr>
            <w:r w:rsidRPr="00FA45B7">
              <w:rPr>
                <w:rFonts w:eastAsia="Calibri" w:cs="Times New Roman"/>
                <w:color w:val="000000"/>
                <w:sz w:val="22"/>
                <w:szCs w:val="22"/>
                <w:lang w:eastAsia="en-US"/>
              </w:rPr>
              <w:t>Przewidywane</w:t>
            </w:r>
            <w:r w:rsidRPr="00FA45B7">
              <w:rPr>
                <w:rFonts w:eastAsia="Calibri" w:cs="Times New Roman"/>
                <w:color w:val="000000"/>
                <w:spacing w:val="-2"/>
                <w:sz w:val="22"/>
                <w:szCs w:val="22"/>
                <w:lang w:eastAsia="en-US"/>
              </w:rPr>
              <w:t xml:space="preserve"> regulacje będą w szczególności odnosić się do:</w:t>
            </w:r>
          </w:p>
          <w:p w:rsidR="00FA45B7" w:rsidRPr="00FA45B7" w:rsidRDefault="00FA45B7" w:rsidP="00FA45B7">
            <w:pPr>
              <w:widowControl/>
              <w:autoSpaceDE/>
              <w:autoSpaceDN/>
              <w:adjustRightInd/>
              <w:spacing w:line="240" w:lineRule="auto"/>
              <w:ind w:left="318" w:hanging="318"/>
              <w:jc w:val="left"/>
              <w:rPr>
                <w:rFonts w:eastAsia="Calibri" w:cs="Times New Roman"/>
                <w:szCs w:val="22"/>
                <w:lang w:eastAsia="en-US"/>
              </w:rPr>
            </w:pPr>
            <w:r w:rsidRPr="00FA45B7">
              <w:rPr>
                <w:rFonts w:eastAsia="Calibri" w:cs="Times New Roman"/>
                <w:sz w:val="22"/>
                <w:szCs w:val="22"/>
                <w:lang w:eastAsia="en-US"/>
              </w:rPr>
              <w:t>1) zmiany definicji „państwa macierzystego” oraz procedury wyboru przez emitenta tego państwa i zawiadamiania o tym wyborze,</w:t>
            </w:r>
          </w:p>
          <w:p w:rsidR="00FA45B7" w:rsidRPr="00FA45B7" w:rsidRDefault="00FA45B7" w:rsidP="00FA45B7">
            <w:pPr>
              <w:widowControl/>
              <w:autoSpaceDE/>
              <w:autoSpaceDN/>
              <w:adjustRightInd/>
              <w:spacing w:line="240" w:lineRule="auto"/>
              <w:ind w:left="318" w:hanging="318"/>
              <w:jc w:val="left"/>
              <w:rPr>
                <w:rFonts w:eastAsia="Calibri" w:cs="Times New Roman"/>
                <w:szCs w:val="22"/>
                <w:lang w:eastAsia="en-US"/>
              </w:rPr>
            </w:pPr>
            <w:r w:rsidRPr="00FA45B7">
              <w:rPr>
                <w:rFonts w:eastAsia="Calibri" w:cs="Times New Roman"/>
                <w:sz w:val="22"/>
                <w:szCs w:val="22"/>
                <w:lang w:eastAsia="en-US"/>
              </w:rPr>
              <w:lastRenderedPageBreak/>
              <w:t>2) zawiadamiania o znacznych pakietach praw głosu,</w:t>
            </w:r>
          </w:p>
          <w:p w:rsidR="00FA45B7" w:rsidRPr="00FA45B7" w:rsidRDefault="00FA45B7" w:rsidP="003F5670">
            <w:pPr>
              <w:widowControl/>
              <w:autoSpaceDE/>
              <w:autoSpaceDN/>
              <w:adjustRightInd/>
              <w:spacing w:line="240" w:lineRule="auto"/>
              <w:ind w:left="318" w:hanging="318"/>
              <w:rPr>
                <w:rFonts w:eastAsia="Calibri" w:cs="Times New Roman"/>
                <w:szCs w:val="22"/>
                <w:lang w:eastAsia="en-US"/>
              </w:rPr>
            </w:pPr>
            <w:r w:rsidRPr="00FA45B7">
              <w:rPr>
                <w:rFonts w:eastAsia="Calibri" w:cs="Times New Roman"/>
                <w:sz w:val="22"/>
                <w:szCs w:val="22"/>
                <w:lang w:eastAsia="en-US"/>
              </w:rPr>
              <w:t>3) nakładania kar i stosowania środków administracyjnych za naruszenia przepisów wynikających z dyrektywy 2004/109/WE.</w:t>
            </w:r>
          </w:p>
          <w:p w:rsidR="00FA45B7" w:rsidRPr="00FA45B7" w:rsidRDefault="00FA45B7" w:rsidP="00FA45B7">
            <w:pPr>
              <w:widowControl/>
              <w:autoSpaceDE/>
              <w:autoSpaceDN/>
              <w:adjustRightInd/>
              <w:spacing w:line="240" w:lineRule="auto"/>
              <w:rPr>
                <w:rFonts w:eastAsia="Calibri" w:cs="Times New Roman"/>
                <w:color w:val="000000"/>
                <w:spacing w:val="-2"/>
                <w:szCs w:val="22"/>
                <w:lang w:eastAsia="en-US"/>
              </w:rPr>
            </w:pPr>
            <w:r w:rsidRPr="00FA45B7">
              <w:rPr>
                <w:rFonts w:eastAsia="Calibri" w:cs="Times New Roman"/>
                <w:color w:val="000000"/>
                <w:spacing w:val="-2"/>
                <w:sz w:val="22"/>
                <w:szCs w:val="22"/>
                <w:lang w:eastAsia="en-US"/>
              </w:rPr>
              <w:t>Proponowane rozwiązania przyczynią się w szczególności do wzmocnienia bezpieczeństwa obrotu na rynku kapitałowym oraz ochrony inwestorów.</w:t>
            </w:r>
          </w:p>
        </w:tc>
      </w:tr>
      <w:tr w:rsidR="00FA45B7" w:rsidRPr="00FA45B7" w:rsidTr="00FA45B7">
        <w:trPr>
          <w:gridAfter w:val="1"/>
          <w:wAfter w:w="10" w:type="dxa"/>
          <w:trHeight w:val="307"/>
        </w:trPr>
        <w:tc>
          <w:tcPr>
            <w:tcW w:w="10937" w:type="dxa"/>
            <w:gridSpan w:val="29"/>
            <w:shd w:val="clear" w:color="auto" w:fill="99CCFF"/>
            <w:vAlign w:val="center"/>
          </w:tcPr>
          <w:p w:rsidR="00FA45B7" w:rsidRPr="00FA45B7" w:rsidRDefault="00FA45B7" w:rsidP="00FA45B7">
            <w:pPr>
              <w:widowControl/>
              <w:numPr>
                <w:ilvl w:val="0"/>
                <w:numId w:val="4"/>
              </w:numPr>
              <w:autoSpaceDE/>
              <w:autoSpaceDN/>
              <w:adjustRightInd/>
              <w:spacing w:before="60" w:after="60" w:line="240" w:lineRule="auto"/>
              <w:ind w:left="318" w:hanging="284"/>
              <w:jc w:val="left"/>
              <w:rPr>
                <w:rFonts w:eastAsia="Calibri" w:cs="Times New Roman"/>
                <w:b/>
                <w:color w:val="000000"/>
                <w:szCs w:val="22"/>
                <w:lang w:eastAsia="en-US"/>
              </w:rPr>
            </w:pPr>
            <w:r w:rsidRPr="00FA45B7">
              <w:rPr>
                <w:rFonts w:eastAsia="Calibri" w:cs="Times New Roman"/>
                <w:b/>
                <w:spacing w:val="-2"/>
                <w:sz w:val="22"/>
                <w:szCs w:val="22"/>
                <w:lang w:eastAsia="en-US"/>
              </w:rPr>
              <w:lastRenderedPageBreak/>
              <w:t>Jak problem został rozwiązany w innych krajach, w szczególności krajach członkowskich OECD/UE</w:t>
            </w:r>
            <w:r w:rsidRPr="00FA45B7">
              <w:rPr>
                <w:rFonts w:eastAsia="Calibri" w:cs="Times New Roman"/>
                <w:b/>
                <w:color w:val="000000"/>
                <w:sz w:val="22"/>
                <w:szCs w:val="22"/>
                <w:lang w:eastAsia="en-US"/>
              </w:rPr>
              <w:t>?</w:t>
            </w:r>
            <w:r w:rsidRPr="00FA45B7">
              <w:rPr>
                <w:rFonts w:eastAsia="Calibri" w:cs="Times New Roman"/>
                <w:i/>
                <w:color w:val="000000"/>
                <w:sz w:val="22"/>
                <w:szCs w:val="22"/>
                <w:lang w:eastAsia="en-US"/>
              </w:rPr>
              <w:t xml:space="preserve"> </w:t>
            </w:r>
          </w:p>
        </w:tc>
      </w:tr>
      <w:tr w:rsidR="00FA45B7" w:rsidRPr="00FA45B7" w:rsidTr="00FA45B7">
        <w:trPr>
          <w:gridAfter w:val="1"/>
          <w:wAfter w:w="10" w:type="dxa"/>
          <w:trHeight w:val="142"/>
        </w:trPr>
        <w:tc>
          <w:tcPr>
            <w:tcW w:w="10937" w:type="dxa"/>
            <w:gridSpan w:val="29"/>
            <w:shd w:val="clear" w:color="auto" w:fill="auto"/>
          </w:tcPr>
          <w:p w:rsidR="00FA45B7" w:rsidRPr="00FA45B7" w:rsidRDefault="00FA45B7" w:rsidP="00D66C4C">
            <w:pPr>
              <w:widowControl/>
              <w:autoSpaceDE/>
              <w:autoSpaceDN/>
              <w:adjustRightInd/>
              <w:spacing w:before="120" w:line="240" w:lineRule="auto"/>
              <w:rPr>
                <w:rFonts w:eastAsia="Calibri" w:cs="Times New Roman"/>
                <w:color w:val="000000"/>
                <w:spacing w:val="-2"/>
                <w:szCs w:val="22"/>
                <w:lang w:eastAsia="en-US"/>
              </w:rPr>
            </w:pPr>
            <w:r w:rsidRPr="00FA45B7">
              <w:rPr>
                <w:rFonts w:eastAsia="Calibri" w:cs="Times New Roman"/>
                <w:color w:val="000000"/>
                <w:spacing w:val="-2"/>
                <w:sz w:val="22"/>
                <w:szCs w:val="22"/>
                <w:lang w:eastAsia="en-US"/>
              </w:rPr>
              <w:t>Projektowana regulacja stanowi dostosowanie przepisów krajowych do rozwiązań przewidzianych w dyrektywach 2013/50/UE</w:t>
            </w:r>
            <w:r w:rsidRPr="00FA45B7">
              <w:rPr>
                <w:rFonts w:eastAsia="Calibri" w:cs="Times New Roman"/>
                <w:sz w:val="22"/>
                <w:szCs w:val="22"/>
                <w:lang w:eastAsia="en-US"/>
              </w:rPr>
              <w:t xml:space="preserve"> i 2014/51/UE</w:t>
            </w:r>
            <w:r w:rsidRPr="00FA45B7">
              <w:rPr>
                <w:rFonts w:eastAsia="Calibri" w:cs="Times New Roman"/>
                <w:color w:val="000000"/>
                <w:spacing w:val="-2"/>
                <w:sz w:val="22"/>
                <w:szCs w:val="22"/>
                <w:lang w:eastAsia="en-US"/>
              </w:rPr>
              <w:t>. Państwa członkowskie są obecnie w trakcie przyjmowania odpowiednich regulacji mających na celu dostosowanie przepisów krajowych do rozwiązań przewidzianych w wymienionej dyrektywie.</w:t>
            </w:r>
          </w:p>
        </w:tc>
      </w:tr>
      <w:tr w:rsidR="00FA45B7" w:rsidRPr="00FA45B7" w:rsidTr="00FA45B7">
        <w:trPr>
          <w:gridAfter w:val="1"/>
          <w:wAfter w:w="10" w:type="dxa"/>
          <w:trHeight w:val="359"/>
        </w:trPr>
        <w:tc>
          <w:tcPr>
            <w:tcW w:w="10937" w:type="dxa"/>
            <w:gridSpan w:val="29"/>
            <w:shd w:val="clear" w:color="auto" w:fill="99CCFF"/>
            <w:vAlign w:val="center"/>
          </w:tcPr>
          <w:p w:rsidR="00FA45B7" w:rsidRPr="00FA45B7" w:rsidRDefault="00FA45B7" w:rsidP="00FA45B7">
            <w:pPr>
              <w:widowControl/>
              <w:numPr>
                <w:ilvl w:val="0"/>
                <w:numId w:val="4"/>
              </w:numPr>
              <w:autoSpaceDE/>
              <w:autoSpaceDN/>
              <w:adjustRightInd/>
              <w:spacing w:before="60" w:after="60" w:line="240" w:lineRule="auto"/>
              <w:ind w:left="318" w:hanging="284"/>
              <w:jc w:val="left"/>
              <w:rPr>
                <w:rFonts w:eastAsia="Calibri" w:cs="Times New Roman"/>
                <w:b/>
                <w:color w:val="000000"/>
                <w:szCs w:val="22"/>
                <w:lang w:eastAsia="en-US"/>
              </w:rPr>
            </w:pPr>
            <w:r w:rsidRPr="00FA45B7">
              <w:rPr>
                <w:rFonts w:eastAsia="Calibri" w:cs="Times New Roman"/>
                <w:b/>
                <w:color w:val="000000"/>
                <w:sz w:val="22"/>
                <w:szCs w:val="22"/>
                <w:lang w:eastAsia="en-US"/>
              </w:rPr>
              <w:t>Podmioty, na które oddziałuje projekt</w:t>
            </w:r>
          </w:p>
        </w:tc>
      </w:tr>
      <w:tr w:rsidR="00FA45B7" w:rsidRPr="00FA45B7" w:rsidTr="00FA45B7">
        <w:trPr>
          <w:gridAfter w:val="1"/>
          <w:wAfter w:w="10" w:type="dxa"/>
          <w:trHeight w:val="142"/>
        </w:trPr>
        <w:tc>
          <w:tcPr>
            <w:tcW w:w="2668" w:type="dxa"/>
            <w:gridSpan w:val="3"/>
            <w:shd w:val="clear" w:color="auto" w:fill="auto"/>
          </w:tcPr>
          <w:p w:rsidR="00FA45B7" w:rsidRPr="00FA45B7" w:rsidRDefault="00FA45B7" w:rsidP="00FA45B7">
            <w:pPr>
              <w:widowControl/>
              <w:autoSpaceDE/>
              <w:autoSpaceDN/>
              <w:adjustRightInd/>
              <w:spacing w:before="40" w:line="240" w:lineRule="auto"/>
              <w:jc w:val="center"/>
              <w:rPr>
                <w:rFonts w:eastAsia="Calibri" w:cs="Times New Roman"/>
                <w:color w:val="000000"/>
                <w:spacing w:val="-2"/>
                <w:szCs w:val="22"/>
                <w:lang w:eastAsia="en-US"/>
              </w:rPr>
            </w:pPr>
            <w:r w:rsidRPr="00FA45B7">
              <w:rPr>
                <w:rFonts w:eastAsia="Calibri" w:cs="Times New Roman"/>
                <w:color w:val="000000"/>
                <w:spacing w:val="-2"/>
                <w:sz w:val="22"/>
                <w:szCs w:val="22"/>
                <w:lang w:eastAsia="en-US"/>
              </w:rPr>
              <w:t>Grupa</w:t>
            </w:r>
          </w:p>
        </w:tc>
        <w:tc>
          <w:tcPr>
            <w:tcW w:w="2292" w:type="dxa"/>
            <w:gridSpan w:val="8"/>
            <w:shd w:val="clear" w:color="auto" w:fill="auto"/>
          </w:tcPr>
          <w:p w:rsidR="00FA45B7" w:rsidRPr="00FA45B7" w:rsidRDefault="00FA45B7" w:rsidP="00FA45B7">
            <w:pPr>
              <w:widowControl/>
              <w:autoSpaceDE/>
              <w:autoSpaceDN/>
              <w:adjustRightInd/>
              <w:spacing w:before="40" w:line="240" w:lineRule="auto"/>
              <w:jc w:val="center"/>
              <w:rPr>
                <w:rFonts w:eastAsia="Calibri" w:cs="Times New Roman"/>
                <w:color w:val="000000"/>
                <w:spacing w:val="-2"/>
                <w:szCs w:val="22"/>
                <w:lang w:eastAsia="en-US"/>
              </w:rPr>
            </w:pPr>
            <w:r w:rsidRPr="00FA45B7">
              <w:rPr>
                <w:rFonts w:eastAsia="Calibri" w:cs="Times New Roman"/>
                <w:color w:val="000000"/>
                <w:spacing w:val="-2"/>
                <w:sz w:val="22"/>
                <w:szCs w:val="22"/>
                <w:lang w:eastAsia="en-US"/>
              </w:rPr>
              <w:t>Wielkość</w:t>
            </w:r>
          </w:p>
        </w:tc>
        <w:tc>
          <w:tcPr>
            <w:tcW w:w="2996" w:type="dxa"/>
            <w:gridSpan w:val="12"/>
            <w:shd w:val="clear" w:color="auto" w:fill="auto"/>
          </w:tcPr>
          <w:p w:rsidR="00FA45B7" w:rsidRPr="00FA45B7" w:rsidRDefault="00FA45B7" w:rsidP="00FA45B7">
            <w:pPr>
              <w:widowControl/>
              <w:autoSpaceDE/>
              <w:autoSpaceDN/>
              <w:adjustRightInd/>
              <w:spacing w:before="40" w:line="240" w:lineRule="auto"/>
              <w:jc w:val="center"/>
              <w:rPr>
                <w:rFonts w:eastAsia="Calibri" w:cs="Times New Roman"/>
                <w:color w:val="000000"/>
                <w:spacing w:val="-2"/>
                <w:szCs w:val="22"/>
                <w:lang w:eastAsia="en-US"/>
              </w:rPr>
            </w:pPr>
            <w:r w:rsidRPr="00FA45B7">
              <w:rPr>
                <w:rFonts w:eastAsia="Calibri" w:cs="Times New Roman"/>
                <w:color w:val="000000"/>
                <w:spacing w:val="-2"/>
                <w:sz w:val="22"/>
                <w:szCs w:val="22"/>
                <w:lang w:eastAsia="en-US"/>
              </w:rPr>
              <w:t>Źródło danych</w:t>
            </w:r>
            <w:r w:rsidRPr="00FA45B7" w:rsidDel="00260F33">
              <w:rPr>
                <w:rFonts w:eastAsia="Calibri" w:cs="Times New Roman"/>
                <w:color w:val="000000"/>
                <w:spacing w:val="-2"/>
                <w:sz w:val="22"/>
                <w:szCs w:val="22"/>
                <w:lang w:eastAsia="en-US"/>
              </w:rPr>
              <w:t xml:space="preserve"> </w:t>
            </w:r>
          </w:p>
        </w:tc>
        <w:tc>
          <w:tcPr>
            <w:tcW w:w="2981" w:type="dxa"/>
            <w:gridSpan w:val="6"/>
            <w:shd w:val="clear" w:color="auto" w:fill="auto"/>
          </w:tcPr>
          <w:p w:rsidR="00FA45B7" w:rsidRPr="00FA45B7" w:rsidRDefault="00FA45B7" w:rsidP="00FA45B7">
            <w:pPr>
              <w:widowControl/>
              <w:autoSpaceDE/>
              <w:autoSpaceDN/>
              <w:adjustRightInd/>
              <w:spacing w:before="40" w:line="240" w:lineRule="auto"/>
              <w:jc w:val="center"/>
              <w:rPr>
                <w:rFonts w:eastAsia="Calibri" w:cs="Times New Roman"/>
                <w:color w:val="000000"/>
                <w:spacing w:val="-2"/>
                <w:szCs w:val="22"/>
                <w:lang w:eastAsia="en-US"/>
              </w:rPr>
            </w:pPr>
            <w:r w:rsidRPr="00FA45B7">
              <w:rPr>
                <w:rFonts w:eastAsia="Calibri" w:cs="Times New Roman"/>
                <w:color w:val="000000"/>
                <w:spacing w:val="-2"/>
                <w:sz w:val="22"/>
                <w:szCs w:val="22"/>
                <w:lang w:eastAsia="en-US"/>
              </w:rPr>
              <w:t>Oddziaływanie</w:t>
            </w:r>
          </w:p>
        </w:tc>
      </w:tr>
      <w:tr w:rsidR="00FA45B7" w:rsidRPr="00FA45B7" w:rsidTr="00FA45B7">
        <w:trPr>
          <w:gridAfter w:val="1"/>
          <w:wAfter w:w="10" w:type="dxa"/>
          <w:trHeight w:val="142"/>
        </w:trPr>
        <w:tc>
          <w:tcPr>
            <w:tcW w:w="2668" w:type="dxa"/>
            <w:gridSpan w:val="3"/>
            <w:shd w:val="clear" w:color="auto" w:fill="auto"/>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t>Emitenci</w:t>
            </w:r>
          </w:p>
        </w:tc>
        <w:tc>
          <w:tcPr>
            <w:tcW w:w="2292" w:type="dxa"/>
            <w:gridSpan w:val="8"/>
            <w:shd w:val="clear" w:color="auto" w:fill="auto"/>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noProof/>
                <w:color w:val="000000"/>
                <w:sz w:val="22"/>
                <w:szCs w:val="22"/>
                <w:lang w:eastAsia="en-US"/>
              </w:rPr>
              <w:t xml:space="preserve">Nie jest możliwe jednoznaczne oszacowanie liczby emitentów. Niemniej jednak należy wskazać w szczególności na spółki publiczne, których akcje notowane są na rynku regulowanym (477 </w:t>
            </w:r>
            <w:r>
              <w:rPr>
                <w:rFonts w:eastAsia="Calibri" w:cs="Times New Roman"/>
                <w:noProof/>
                <w:color w:val="000000"/>
                <w:sz w:val="22"/>
                <w:szCs w:val="22"/>
                <w:lang w:eastAsia="en-US"/>
              </w:rPr>
              <w:t>–</w:t>
            </w:r>
            <w:r w:rsidRPr="00FA45B7">
              <w:rPr>
                <w:rFonts w:eastAsia="Calibri" w:cs="Times New Roman"/>
                <w:noProof/>
                <w:color w:val="000000"/>
                <w:sz w:val="22"/>
                <w:szCs w:val="22"/>
                <w:lang w:eastAsia="en-US"/>
              </w:rPr>
              <w:t xml:space="preserve"> stan na 8 września 2015 r.) lub w alternatywnym systemie obrotu (431 </w:t>
            </w:r>
            <w:r>
              <w:rPr>
                <w:rFonts w:eastAsia="Calibri" w:cs="Times New Roman"/>
                <w:noProof/>
                <w:color w:val="000000"/>
                <w:sz w:val="22"/>
                <w:szCs w:val="22"/>
                <w:lang w:eastAsia="en-US"/>
              </w:rPr>
              <w:t>–</w:t>
            </w:r>
            <w:r w:rsidRPr="00FA45B7">
              <w:rPr>
                <w:rFonts w:eastAsia="Calibri" w:cs="Times New Roman"/>
                <w:noProof/>
                <w:color w:val="000000"/>
                <w:sz w:val="22"/>
                <w:szCs w:val="22"/>
                <w:lang w:eastAsia="en-US"/>
              </w:rPr>
              <w:t xml:space="preserve"> stan na 8 września 2015</w:t>
            </w:r>
            <w:r>
              <w:rPr>
                <w:rFonts w:eastAsia="Calibri" w:cs="Times New Roman"/>
                <w:noProof/>
                <w:color w:val="000000"/>
                <w:sz w:val="22"/>
                <w:szCs w:val="22"/>
                <w:lang w:eastAsia="en-US"/>
              </w:rPr>
              <w:t xml:space="preserve"> </w:t>
            </w:r>
            <w:r w:rsidRPr="00FA45B7">
              <w:rPr>
                <w:rFonts w:eastAsia="Calibri" w:cs="Times New Roman"/>
                <w:noProof/>
                <w:color w:val="000000"/>
                <w:sz w:val="22"/>
                <w:szCs w:val="22"/>
                <w:lang w:eastAsia="en-US"/>
              </w:rPr>
              <w:t>r.).</w:t>
            </w:r>
          </w:p>
        </w:tc>
        <w:tc>
          <w:tcPr>
            <w:tcW w:w="2996" w:type="dxa"/>
            <w:gridSpan w:val="12"/>
            <w:shd w:val="clear" w:color="auto" w:fill="auto"/>
          </w:tcPr>
          <w:p w:rsidR="00FA45B7" w:rsidRPr="00FA45B7" w:rsidRDefault="00FA45B7" w:rsidP="00FA45B7">
            <w:pPr>
              <w:widowControl/>
              <w:autoSpaceDE/>
              <w:autoSpaceDN/>
              <w:adjustRightInd/>
              <w:spacing w:line="240" w:lineRule="auto"/>
              <w:ind w:hanging="34"/>
              <w:jc w:val="left"/>
              <w:rPr>
                <w:rFonts w:eastAsia="Calibri" w:cs="Times New Roman"/>
                <w:noProof/>
                <w:color w:val="000000"/>
                <w:szCs w:val="22"/>
                <w:lang w:eastAsia="en-US"/>
              </w:rPr>
            </w:pPr>
            <w:r w:rsidRPr="00FA45B7">
              <w:rPr>
                <w:rFonts w:eastAsia="Calibri" w:cs="Times New Roman"/>
                <w:noProof/>
                <w:color w:val="000000"/>
                <w:sz w:val="22"/>
                <w:szCs w:val="22"/>
                <w:lang w:eastAsia="en-US"/>
              </w:rPr>
              <w:t>Strona internetowa GPW S.A.</w:t>
            </w:r>
          </w:p>
          <w:p w:rsidR="00FA45B7" w:rsidRPr="00FA45B7" w:rsidRDefault="00FA45B7" w:rsidP="00FA45B7">
            <w:pPr>
              <w:widowControl/>
              <w:autoSpaceDE/>
              <w:autoSpaceDN/>
              <w:adjustRightInd/>
              <w:spacing w:line="240" w:lineRule="auto"/>
              <w:jc w:val="left"/>
              <w:rPr>
                <w:rFonts w:eastAsia="Calibri" w:cs="Times New Roman"/>
                <w:noProof/>
                <w:color w:val="000000"/>
                <w:szCs w:val="22"/>
                <w:lang w:eastAsia="en-US"/>
              </w:rPr>
            </w:pPr>
          </w:p>
          <w:p w:rsidR="00FA45B7" w:rsidRPr="00FA45B7" w:rsidRDefault="00FA45B7" w:rsidP="00FA45B7">
            <w:pPr>
              <w:widowControl/>
              <w:autoSpaceDE/>
              <w:autoSpaceDN/>
              <w:adjustRightInd/>
              <w:spacing w:line="240" w:lineRule="auto"/>
              <w:jc w:val="left"/>
              <w:rPr>
                <w:rFonts w:eastAsia="Calibri" w:cs="Times New Roman"/>
                <w:noProof/>
                <w:color w:val="000000"/>
                <w:szCs w:val="22"/>
                <w:lang w:eastAsia="en-US"/>
              </w:rPr>
            </w:pPr>
          </w:p>
          <w:p w:rsidR="00FA45B7" w:rsidRPr="00FA45B7" w:rsidRDefault="00FA45B7" w:rsidP="00FA45B7">
            <w:pPr>
              <w:widowControl/>
              <w:autoSpaceDE/>
              <w:autoSpaceDN/>
              <w:adjustRightInd/>
              <w:spacing w:line="240" w:lineRule="auto"/>
              <w:jc w:val="left"/>
              <w:rPr>
                <w:rFonts w:eastAsia="Calibri" w:cs="Times New Roman"/>
                <w:noProof/>
                <w:color w:val="000000"/>
                <w:szCs w:val="22"/>
                <w:lang w:eastAsia="en-US"/>
              </w:rPr>
            </w:pPr>
          </w:p>
          <w:p w:rsidR="00FA45B7" w:rsidRPr="00FA45B7" w:rsidRDefault="00FA45B7" w:rsidP="00FA45B7">
            <w:pPr>
              <w:widowControl/>
              <w:autoSpaceDE/>
              <w:autoSpaceDN/>
              <w:adjustRightInd/>
              <w:spacing w:line="240" w:lineRule="auto"/>
              <w:jc w:val="left"/>
              <w:rPr>
                <w:rFonts w:eastAsia="Calibri" w:cs="Times New Roman"/>
                <w:noProof/>
                <w:color w:val="000000"/>
                <w:szCs w:val="22"/>
                <w:lang w:eastAsia="en-US"/>
              </w:rPr>
            </w:pPr>
          </w:p>
          <w:p w:rsidR="00FA45B7" w:rsidRPr="00FA45B7" w:rsidRDefault="00FA45B7" w:rsidP="00FA45B7">
            <w:pPr>
              <w:widowControl/>
              <w:autoSpaceDE/>
              <w:autoSpaceDN/>
              <w:adjustRightInd/>
              <w:spacing w:line="240" w:lineRule="auto"/>
              <w:ind w:hanging="34"/>
              <w:jc w:val="left"/>
              <w:rPr>
                <w:rFonts w:eastAsia="Calibri" w:cs="Times New Roman"/>
                <w:noProof/>
                <w:color w:val="000000"/>
                <w:szCs w:val="22"/>
                <w:lang w:eastAsia="en-US"/>
              </w:rPr>
            </w:pPr>
            <w:r w:rsidRPr="00FA45B7">
              <w:rPr>
                <w:rFonts w:eastAsia="Calibri" w:cs="Times New Roman"/>
                <w:noProof/>
                <w:color w:val="000000"/>
                <w:sz w:val="22"/>
                <w:szCs w:val="22"/>
                <w:lang w:eastAsia="en-US"/>
              </w:rPr>
              <w:t>Strona internetowa NewConnect</w:t>
            </w:r>
          </w:p>
          <w:p w:rsidR="00FA45B7" w:rsidRPr="00FA45B7" w:rsidRDefault="00FA45B7" w:rsidP="00FA45B7">
            <w:pPr>
              <w:widowControl/>
              <w:autoSpaceDE/>
              <w:autoSpaceDN/>
              <w:adjustRightInd/>
              <w:spacing w:line="240" w:lineRule="auto"/>
              <w:jc w:val="left"/>
              <w:rPr>
                <w:rFonts w:eastAsia="Calibri" w:cs="Times New Roman"/>
                <w:noProof/>
                <w:color w:val="000000"/>
                <w:szCs w:val="22"/>
                <w:lang w:eastAsia="en-US"/>
              </w:rPr>
            </w:pP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pacing w:val="-2"/>
                <w:sz w:val="22"/>
                <w:szCs w:val="22"/>
                <w:lang w:eastAsia="en-US"/>
              </w:rPr>
              <w:t xml:space="preserve">Dane Urzędu Komisji Nadzoru Finansowego </w:t>
            </w:r>
            <w:r>
              <w:rPr>
                <w:rFonts w:eastAsia="Calibri" w:cs="Times New Roman"/>
                <w:color w:val="000000"/>
                <w:spacing w:val="-2"/>
                <w:sz w:val="22"/>
                <w:szCs w:val="22"/>
                <w:lang w:eastAsia="en-US"/>
              </w:rPr>
              <w:t>–</w:t>
            </w:r>
            <w:r w:rsidRPr="00FA45B7">
              <w:rPr>
                <w:rFonts w:eastAsia="Calibri" w:cs="Times New Roman"/>
                <w:color w:val="000000"/>
                <w:spacing w:val="-2"/>
                <w:sz w:val="22"/>
                <w:szCs w:val="22"/>
                <w:lang w:eastAsia="en-US"/>
              </w:rPr>
              <w:t xml:space="preserve"> s</w:t>
            </w:r>
            <w:r w:rsidRPr="00FA45B7">
              <w:rPr>
                <w:rFonts w:eastAsia="Calibri" w:cs="Times New Roman"/>
                <w:noProof/>
                <w:color w:val="000000"/>
                <w:sz w:val="22"/>
                <w:szCs w:val="22"/>
                <w:lang w:eastAsia="en-US"/>
              </w:rPr>
              <w:t>trona internetowa Komisji Nadzoru Finansowego</w:t>
            </w:r>
          </w:p>
        </w:tc>
        <w:tc>
          <w:tcPr>
            <w:tcW w:w="2981" w:type="dxa"/>
            <w:gridSpan w:val="6"/>
            <w:shd w:val="clear" w:color="auto" w:fill="auto"/>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noProof/>
                <w:color w:val="000000"/>
                <w:sz w:val="22"/>
                <w:szCs w:val="22"/>
                <w:lang w:eastAsia="en-US"/>
              </w:rPr>
              <w:t>Konieczność dostosowania się do nowych regulacji wynikających z projektu.</w:t>
            </w:r>
          </w:p>
        </w:tc>
      </w:tr>
      <w:tr w:rsidR="00FA45B7" w:rsidRPr="00FA45B7" w:rsidTr="00FA45B7">
        <w:trPr>
          <w:gridAfter w:val="1"/>
          <w:wAfter w:w="10" w:type="dxa"/>
          <w:trHeight w:val="142"/>
        </w:trPr>
        <w:tc>
          <w:tcPr>
            <w:tcW w:w="2668" w:type="dxa"/>
            <w:gridSpan w:val="3"/>
            <w:shd w:val="clear" w:color="auto" w:fill="auto"/>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t>Inwestorzy</w:t>
            </w:r>
          </w:p>
        </w:tc>
        <w:tc>
          <w:tcPr>
            <w:tcW w:w="2292" w:type="dxa"/>
            <w:gridSpan w:val="8"/>
            <w:shd w:val="clear" w:color="auto" w:fill="auto"/>
          </w:tcPr>
          <w:p w:rsidR="00FA45B7" w:rsidRPr="00FA45B7" w:rsidRDefault="00FA45B7" w:rsidP="003F5670">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noProof/>
                <w:color w:val="000000"/>
                <w:sz w:val="22"/>
                <w:szCs w:val="22"/>
                <w:lang w:eastAsia="en-US"/>
              </w:rPr>
              <w:t xml:space="preserve">Nie jest możliwe jednoznaczne wskazanie liczby inwestorów. Niemniej jednak w świetle danych Giełdy Papierów Wartosciowych S.A. liczba rachunków inwestycyjnych wg stanu na 2013 r. wynosiła </w:t>
            </w:r>
            <w:r w:rsidRPr="00FA45B7">
              <w:rPr>
                <w:rFonts w:eastAsia="Times New Roman" w:cs="Times New Roman"/>
                <w:szCs w:val="24"/>
              </w:rPr>
              <w:t>1</w:t>
            </w:r>
            <w:r w:rsidR="003F5670">
              <w:rPr>
                <w:rFonts w:eastAsia="Times New Roman" w:cs="Times New Roman"/>
                <w:szCs w:val="24"/>
              </w:rPr>
              <w:t> </w:t>
            </w:r>
            <w:r w:rsidRPr="00FA45B7">
              <w:rPr>
                <w:rFonts w:eastAsia="Times New Roman" w:cs="Times New Roman"/>
                <w:szCs w:val="24"/>
              </w:rPr>
              <w:t>495</w:t>
            </w:r>
            <w:r w:rsidR="003F5670">
              <w:rPr>
                <w:rFonts w:eastAsia="Times New Roman" w:cs="Times New Roman"/>
                <w:szCs w:val="24"/>
              </w:rPr>
              <w:t> </w:t>
            </w:r>
            <w:r w:rsidRPr="00FA45B7">
              <w:rPr>
                <w:rFonts w:eastAsia="Times New Roman" w:cs="Times New Roman"/>
                <w:szCs w:val="24"/>
              </w:rPr>
              <w:t>000.</w:t>
            </w:r>
          </w:p>
        </w:tc>
        <w:tc>
          <w:tcPr>
            <w:tcW w:w="2996" w:type="dxa"/>
            <w:gridSpan w:val="12"/>
            <w:shd w:val="clear" w:color="auto" w:fill="auto"/>
          </w:tcPr>
          <w:p w:rsidR="00FA45B7" w:rsidRPr="00FA45B7" w:rsidRDefault="00FA45B7" w:rsidP="00FA45B7">
            <w:pPr>
              <w:widowControl/>
              <w:autoSpaceDE/>
              <w:autoSpaceDN/>
              <w:adjustRightInd/>
              <w:spacing w:line="240" w:lineRule="auto"/>
              <w:ind w:hanging="34"/>
              <w:jc w:val="left"/>
              <w:rPr>
                <w:rFonts w:eastAsia="Calibri" w:cs="Times New Roman"/>
                <w:noProof/>
                <w:color w:val="000000"/>
                <w:szCs w:val="22"/>
                <w:lang w:eastAsia="en-US"/>
              </w:rPr>
            </w:pPr>
          </w:p>
          <w:p w:rsidR="00FA45B7" w:rsidRPr="00FA45B7" w:rsidRDefault="00FA45B7" w:rsidP="00FA45B7">
            <w:pPr>
              <w:widowControl/>
              <w:autoSpaceDE/>
              <w:autoSpaceDN/>
              <w:adjustRightInd/>
              <w:spacing w:line="240" w:lineRule="auto"/>
              <w:ind w:hanging="34"/>
              <w:jc w:val="left"/>
              <w:rPr>
                <w:rFonts w:eastAsia="Calibri" w:cs="Times New Roman"/>
                <w:noProof/>
                <w:color w:val="000000"/>
                <w:szCs w:val="22"/>
                <w:lang w:eastAsia="en-US"/>
              </w:rPr>
            </w:pPr>
            <w:r w:rsidRPr="00FA45B7">
              <w:rPr>
                <w:rFonts w:eastAsia="Calibri" w:cs="Times New Roman"/>
                <w:noProof/>
                <w:color w:val="000000"/>
                <w:sz w:val="22"/>
                <w:szCs w:val="22"/>
                <w:lang w:eastAsia="en-US"/>
              </w:rPr>
              <w:t>Strona internetowa GPW S.A.</w:t>
            </w: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p>
        </w:tc>
        <w:tc>
          <w:tcPr>
            <w:tcW w:w="2981" w:type="dxa"/>
            <w:gridSpan w:val="6"/>
            <w:shd w:val="clear" w:color="auto" w:fill="auto"/>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noProof/>
                <w:color w:val="000000"/>
                <w:sz w:val="22"/>
                <w:szCs w:val="22"/>
                <w:lang w:eastAsia="en-US"/>
              </w:rPr>
              <w:t>Konieczność dostosowania się do nowych regulacji wynikających z projektu.</w:t>
            </w:r>
          </w:p>
        </w:tc>
      </w:tr>
      <w:tr w:rsidR="00FA45B7" w:rsidRPr="00FA45B7" w:rsidTr="00FA45B7">
        <w:trPr>
          <w:gridAfter w:val="1"/>
          <w:wAfter w:w="10" w:type="dxa"/>
          <w:trHeight w:val="142"/>
        </w:trPr>
        <w:tc>
          <w:tcPr>
            <w:tcW w:w="2668" w:type="dxa"/>
            <w:gridSpan w:val="3"/>
            <w:shd w:val="clear" w:color="auto" w:fill="auto"/>
          </w:tcPr>
          <w:p w:rsidR="00FA45B7" w:rsidRPr="00FA45B7" w:rsidRDefault="00FA45B7" w:rsidP="00FA45B7">
            <w:pPr>
              <w:widowControl/>
              <w:tabs>
                <w:tab w:val="left" w:pos="1560"/>
              </w:tabs>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pacing w:val="-2"/>
                <w:sz w:val="22"/>
                <w:szCs w:val="22"/>
                <w:lang w:eastAsia="en-US"/>
              </w:rPr>
              <w:t>Urząd Komisji Nadzoru Finansowego</w:t>
            </w:r>
          </w:p>
        </w:tc>
        <w:tc>
          <w:tcPr>
            <w:tcW w:w="2292" w:type="dxa"/>
            <w:gridSpan w:val="8"/>
            <w:shd w:val="clear" w:color="auto" w:fill="auto"/>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p>
        </w:tc>
        <w:tc>
          <w:tcPr>
            <w:tcW w:w="2996" w:type="dxa"/>
            <w:gridSpan w:val="12"/>
            <w:shd w:val="clear" w:color="auto" w:fill="auto"/>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p>
        </w:tc>
        <w:tc>
          <w:tcPr>
            <w:tcW w:w="2981" w:type="dxa"/>
            <w:gridSpan w:val="6"/>
            <w:shd w:val="clear" w:color="auto" w:fill="auto"/>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noProof/>
                <w:color w:val="000000"/>
                <w:sz w:val="22"/>
                <w:szCs w:val="22"/>
                <w:lang w:eastAsia="en-US"/>
              </w:rPr>
              <w:t>Konieczność dostosowania się do nowych regulacji wynikających z projektu. Proponowane przepisy wzmocnią możliwości Komisji Nadzoru Finansowego w zakresie sprawowanego nadzoru oraz ochrony bezpieczeństwa obrotu.</w:t>
            </w:r>
          </w:p>
        </w:tc>
      </w:tr>
      <w:tr w:rsidR="00FA45B7" w:rsidRPr="00FA45B7" w:rsidTr="00FA45B7">
        <w:trPr>
          <w:gridAfter w:val="1"/>
          <w:wAfter w:w="10" w:type="dxa"/>
          <w:trHeight w:val="302"/>
        </w:trPr>
        <w:tc>
          <w:tcPr>
            <w:tcW w:w="10937" w:type="dxa"/>
            <w:gridSpan w:val="29"/>
            <w:shd w:val="clear" w:color="auto" w:fill="99CCFF"/>
            <w:vAlign w:val="center"/>
          </w:tcPr>
          <w:p w:rsidR="00FA45B7" w:rsidRPr="00FA45B7" w:rsidRDefault="00FA45B7" w:rsidP="00FA45B7">
            <w:pPr>
              <w:widowControl/>
              <w:numPr>
                <w:ilvl w:val="0"/>
                <w:numId w:val="4"/>
              </w:numPr>
              <w:autoSpaceDE/>
              <w:autoSpaceDN/>
              <w:adjustRightInd/>
              <w:spacing w:before="60" w:after="60" w:line="240" w:lineRule="auto"/>
              <w:ind w:left="318" w:hanging="284"/>
              <w:jc w:val="left"/>
              <w:rPr>
                <w:rFonts w:eastAsia="Calibri" w:cs="Times New Roman"/>
                <w:b/>
                <w:color w:val="000000"/>
                <w:szCs w:val="22"/>
                <w:lang w:eastAsia="en-US"/>
              </w:rPr>
            </w:pPr>
            <w:r w:rsidRPr="00FA45B7">
              <w:rPr>
                <w:rFonts w:eastAsia="Calibri" w:cs="Times New Roman"/>
                <w:b/>
                <w:color w:val="000000"/>
                <w:sz w:val="22"/>
                <w:szCs w:val="22"/>
                <w:lang w:eastAsia="en-US"/>
              </w:rPr>
              <w:t>Informacje na temat zakresu, czasu trwania i podsumowanie wyników konsultacji</w:t>
            </w:r>
          </w:p>
        </w:tc>
      </w:tr>
      <w:tr w:rsidR="00FA45B7" w:rsidRPr="00FA45B7" w:rsidTr="00FA45B7">
        <w:trPr>
          <w:gridAfter w:val="1"/>
          <w:wAfter w:w="10" w:type="dxa"/>
          <w:trHeight w:val="342"/>
        </w:trPr>
        <w:tc>
          <w:tcPr>
            <w:tcW w:w="10937" w:type="dxa"/>
            <w:gridSpan w:val="29"/>
            <w:shd w:val="clear" w:color="auto" w:fill="FFFFFF"/>
          </w:tcPr>
          <w:p w:rsidR="00FA45B7" w:rsidRPr="00FA45B7" w:rsidRDefault="00FA45B7" w:rsidP="003F5670">
            <w:pPr>
              <w:widowControl/>
              <w:autoSpaceDE/>
              <w:autoSpaceDN/>
              <w:adjustRightInd/>
              <w:spacing w:before="120" w:line="240" w:lineRule="auto"/>
              <w:rPr>
                <w:rFonts w:eastAsia="Calibri" w:cs="Times New Roman"/>
                <w:noProof/>
                <w:color w:val="000000"/>
                <w:szCs w:val="22"/>
                <w:lang w:eastAsia="en-US"/>
              </w:rPr>
            </w:pPr>
            <w:r w:rsidRPr="00FA45B7">
              <w:rPr>
                <w:rFonts w:eastAsia="Calibri" w:cs="Times New Roman"/>
                <w:noProof/>
                <w:color w:val="000000"/>
                <w:sz w:val="22"/>
                <w:szCs w:val="22"/>
                <w:lang w:eastAsia="en-US"/>
              </w:rPr>
              <w:t xml:space="preserve">W dniu 20 stycznia 2015 r. projekt ustawy, w ramach konsultacji publicznych oraz opiniowania, został przekazany do Komisji Nadzoru Finansowego, Narodowego Banku Polskiego, </w:t>
            </w:r>
            <w:r w:rsidRPr="00FA45B7">
              <w:rPr>
                <w:rFonts w:eastAsia="Calibri" w:cs="Times New Roman"/>
                <w:sz w:val="22"/>
                <w:szCs w:val="22"/>
                <w:lang w:eastAsia="en-US"/>
              </w:rPr>
              <w:t xml:space="preserve">Prokuratorii Generalnej Skarbu Państwa, Generalnego Inspektora Ochrony Danych Osobowych, </w:t>
            </w:r>
            <w:r w:rsidRPr="00FA45B7">
              <w:rPr>
                <w:rFonts w:eastAsia="Calibri" w:cs="Times New Roman"/>
                <w:noProof/>
                <w:color w:val="000000"/>
                <w:sz w:val="22"/>
                <w:szCs w:val="22"/>
                <w:lang w:eastAsia="en-US"/>
              </w:rPr>
              <w:t>Bankowego Funduszu Gwarancyjnego, Giełdy Papierów Wartościowych w Warszawie S.A., Izby Domów Maklerskich, Izby Zarządzających Funduszami i Aktywami, Krajowego Depozytu Papierów Wartościowych S.A., BondSpot S.A., Polskiego Stowarzyszenia Inwestorów Kapitałowych, Związku Banków Polskich, Rady Banków Depozytariuszy, Stowarzyszenia Emitentów Giełdowych, Związku Maklerów i Doradców, Stowarzyszenia Inwestorów Indywidualnych, Krajowej Spółdzielczej Kasy Oszczędnościowo</w:t>
            </w:r>
            <w:r w:rsidR="003F5670">
              <w:rPr>
                <w:rFonts w:eastAsia="Calibri" w:cs="Times New Roman"/>
                <w:noProof/>
                <w:color w:val="000000"/>
                <w:sz w:val="22"/>
                <w:szCs w:val="22"/>
                <w:lang w:eastAsia="en-US"/>
              </w:rPr>
              <w:t>-</w:t>
            </w:r>
            <w:r w:rsidRPr="00FA45B7">
              <w:rPr>
                <w:rFonts w:eastAsia="Calibri" w:cs="Times New Roman"/>
                <w:noProof/>
                <w:color w:val="000000"/>
                <w:sz w:val="22"/>
                <w:szCs w:val="22"/>
                <w:lang w:eastAsia="en-US"/>
              </w:rPr>
              <w:t xml:space="preserve">Kredytowej, Fundacji </w:t>
            </w:r>
            <w:r w:rsidRPr="00FA45B7">
              <w:rPr>
                <w:rFonts w:eastAsia="Calibri" w:cs="Times New Roman"/>
                <w:noProof/>
                <w:color w:val="000000"/>
                <w:sz w:val="22"/>
                <w:szCs w:val="22"/>
                <w:lang w:eastAsia="en-US"/>
              </w:rPr>
              <w:lastRenderedPageBreak/>
              <w:t xml:space="preserve">Polski Instytut Dyrektorów oraz Krajowej Izby Biegłych Rewidentów. W dniu 27 lutego 2015 r. odbyła się konferencja uzgodnieniowa z udziałem instytucji, które zgłosiły uwagi do projektu ustawy. W wyniku konferencji uzgodniono większość zgłoszonych propozycji. Niemniej jednak w trakcie konferencji część swoich uwag podtrzymali przedstawiciele: Urzędu Komisji Nadzoru Finansowego, Stowarzyszenia Inwestorów Indywidualnych, Izby Zarządzających Funduszami i Aktywami, Stowarzyszenia Emitentów Giełdowych i Giełdy Papierów Wartościowych w Warszawie S.A., w wyniku czego nie zostały usunięte rozbieżności stanowisk, w zakresie których konieczne było podjęcie decyzji rozstrzygającej przez Ministra Finansów. Ponadto, w odniesieniu do niektórych zgłoszonych uwag, pomimo braku stwierdzenia rozbieżności w ich zakresie, projektodawca uzależnił ewentualne uwzględnienie tych uwag i dokonanie modyfikacji projektowanych przepisów od zgody i decyzji Ministra Finansów. Rozstrzygnięcia w tym zakresie zostały omówione w raporcie z konsultacji. W dniu 24 kwietnia 2015 r., zgodnie z postanowieniami § 48 uchwały </w:t>
            </w:r>
            <w:r w:rsidR="003F5670">
              <w:rPr>
                <w:rFonts w:eastAsia="Calibri" w:cs="Times New Roman"/>
                <w:noProof/>
                <w:color w:val="000000"/>
                <w:sz w:val="22"/>
                <w:szCs w:val="22"/>
                <w:lang w:eastAsia="en-US"/>
              </w:rPr>
              <w:t>n</w:t>
            </w:r>
            <w:r w:rsidRPr="00FA45B7">
              <w:rPr>
                <w:rFonts w:eastAsia="Calibri" w:cs="Times New Roman"/>
                <w:noProof/>
                <w:color w:val="000000"/>
                <w:sz w:val="22"/>
                <w:szCs w:val="22"/>
                <w:lang w:eastAsia="en-US"/>
              </w:rPr>
              <w:t>r 190 Rady Ministrów z dnia 29 października 2013</w:t>
            </w:r>
            <w:r>
              <w:rPr>
                <w:rFonts w:eastAsia="Calibri" w:cs="Times New Roman"/>
                <w:noProof/>
                <w:color w:val="000000"/>
                <w:sz w:val="22"/>
                <w:szCs w:val="22"/>
                <w:lang w:eastAsia="en-US"/>
              </w:rPr>
              <w:t xml:space="preserve"> </w:t>
            </w:r>
            <w:r w:rsidRPr="00FA45B7">
              <w:rPr>
                <w:rFonts w:eastAsia="Calibri" w:cs="Times New Roman"/>
                <w:noProof/>
                <w:color w:val="000000"/>
                <w:sz w:val="22"/>
                <w:szCs w:val="22"/>
                <w:lang w:eastAsia="en-US"/>
              </w:rPr>
              <w:t>r. – Regulamin pracy Rady Ministrów (M.P. z 2013</w:t>
            </w:r>
            <w:r>
              <w:rPr>
                <w:rFonts w:eastAsia="Calibri" w:cs="Times New Roman"/>
                <w:noProof/>
                <w:color w:val="000000"/>
                <w:sz w:val="22"/>
                <w:szCs w:val="22"/>
                <w:lang w:eastAsia="en-US"/>
              </w:rPr>
              <w:t xml:space="preserve"> </w:t>
            </w:r>
            <w:r w:rsidRPr="00FA45B7">
              <w:rPr>
                <w:rFonts w:eastAsia="Calibri" w:cs="Times New Roman"/>
                <w:noProof/>
                <w:color w:val="000000"/>
                <w:sz w:val="22"/>
                <w:szCs w:val="22"/>
                <w:lang w:eastAsia="en-US"/>
              </w:rPr>
              <w:t>r. poz.</w:t>
            </w:r>
            <w:r w:rsidR="00D66C4C">
              <w:rPr>
                <w:rFonts w:eastAsia="Calibri" w:cs="Times New Roman"/>
                <w:noProof/>
                <w:color w:val="000000"/>
                <w:sz w:val="22"/>
                <w:szCs w:val="22"/>
                <w:lang w:eastAsia="en-US"/>
              </w:rPr>
              <w:t> </w:t>
            </w:r>
            <w:r w:rsidRPr="00FA45B7">
              <w:rPr>
                <w:rFonts w:eastAsia="Calibri" w:cs="Times New Roman"/>
                <w:noProof/>
                <w:color w:val="000000"/>
                <w:sz w:val="22"/>
                <w:szCs w:val="22"/>
                <w:lang w:eastAsia="en-US"/>
              </w:rPr>
              <w:t>979), projekt został przekazany do ponownych uzgodnień i konsultacji publicznych oraz zaopiniowania. Ich wynik został omówiony w raporcie odnoszącym się do ponownych konsultacji publicznych oraz opiniowania.</w:t>
            </w:r>
          </w:p>
        </w:tc>
      </w:tr>
      <w:tr w:rsidR="00FA45B7" w:rsidRPr="00FA45B7" w:rsidTr="00FA45B7">
        <w:trPr>
          <w:gridAfter w:val="1"/>
          <w:wAfter w:w="10" w:type="dxa"/>
          <w:trHeight w:val="363"/>
        </w:trPr>
        <w:tc>
          <w:tcPr>
            <w:tcW w:w="10937" w:type="dxa"/>
            <w:gridSpan w:val="29"/>
            <w:shd w:val="clear" w:color="auto" w:fill="99CCFF"/>
            <w:vAlign w:val="center"/>
          </w:tcPr>
          <w:p w:rsidR="00FA45B7" w:rsidRPr="00FA45B7" w:rsidRDefault="00FA45B7" w:rsidP="00FA45B7">
            <w:pPr>
              <w:widowControl/>
              <w:numPr>
                <w:ilvl w:val="0"/>
                <w:numId w:val="4"/>
              </w:numPr>
              <w:autoSpaceDE/>
              <w:autoSpaceDN/>
              <w:adjustRightInd/>
              <w:spacing w:before="60" w:after="60" w:line="240" w:lineRule="auto"/>
              <w:ind w:left="318" w:hanging="284"/>
              <w:jc w:val="left"/>
              <w:rPr>
                <w:rFonts w:eastAsia="Calibri" w:cs="Times New Roman"/>
                <w:b/>
                <w:color w:val="000000"/>
                <w:szCs w:val="22"/>
                <w:lang w:eastAsia="en-US"/>
              </w:rPr>
            </w:pPr>
            <w:r w:rsidRPr="00FA45B7">
              <w:rPr>
                <w:rFonts w:eastAsia="Calibri" w:cs="Times New Roman"/>
                <w:b/>
                <w:color w:val="000000"/>
                <w:sz w:val="22"/>
                <w:szCs w:val="22"/>
                <w:lang w:eastAsia="en-US"/>
              </w:rPr>
              <w:lastRenderedPageBreak/>
              <w:t xml:space="preserve"> Wpływ na sektor finansów publicznych</w:t>
            </w:r>
          </w:p>
        </w:tc>
      </w:tr>
      <w:tr w:rsidR="00FA45B7" w:rsidRPr="00FA45B7" w:rsidTr="00FA45B7">
        <w:trPr>
          <w:gridAfter w:val="1"/>
          <w:wAfter w:w="10" w:type="dxa"/>
          <w:trHeight w:val="142"/>
        </w:trPr>
        <w:tc>
          <w:tcPr>
            <w:tcW w:w="3133" w:type="dxa"/>
            <w:gridSpan w:val="4"/>
            <w:vMerge w:val="restart"/>
            <w:shd w:val="clear" w:color="auto" w:fill="FFFFFF"/>
          </w:tcPr>
          <w:p w:rsidR="00FA45B7" w:rsidRPr="00FA45B7" w:rsidRDefault="00FA45B7" w:rsidP="00FA45B7">
            <w:pPr>
              <w:widowControl/>
              <w:autoSpaceDE/>
              <w:autoSpaceDN/>
              <w:adjustRightInd/>
              <w:spacing w:before="40" w:after="40" w:line="276" w:lineRule="auto"/>
              <w:jc w:val="left"/>
              <w:rPr>
                <w:rFonts w:eastAsia="Calibri" w:cs="Times New Roman"/>
                <w:i/>
                <w:color w:val="000000"/>
                <w:sz w:val="21"/>
                <w:szCs w:val="21"/>
                <w:lang w:eastAsia="en-US"/>
              </w:rPr>
            </w:pPr>
            <w:r w:rsidRPr="00FA45B7">
              <w:rPr>
                <w:rFonts w:eastAsia="Calibri" w:cs="Times New Roman"/>
                <w:color w:val="000000"/>
                <w:sz w:val="21"/>
                <w:szCs w:val="21"/>
                <w:lang w:eastAsia="en-US"/>
              </w:rPr>
              <w:t>(ceny stałe z …… r.)</w:t>
            </w:r>
          </w:p>
        </w:tc>
        <w:tc>
          <w:tcPr>
            <w:tcW w:w="7804" w:type="dxa"/>
            <w:gridSpan w:val="25"/>
            <w:shd w:val="clear" w:color="auto" w:fill="FFFFFF"/>
          </w:tcPr>
          <w:p w:rsidR="00FA45B7" w:rsidRPr="00FA45B7" w:rsidRDefault="00FA45B7" w:rsidP="00FA45B7">
            <w:pPr>
              <w:widowControl/>
              <w:autoSpaceDE/>
              <w:autoSpaceDN/>
              <w:adjustRightInd/>
              <w:spacing w:before="40" w:after="40" w:line="240" w:lineRule="auto"/>
              <w:jc w:val="center"/>
              <w:rPr>
                <w:rFonts w:eastAsia="Calibri" w:cs="Times New Roman"/>
                <w:i/>
                <w:color w:val="000000"/>
                <w:spacing w:val="-2"/>
                <w:sz w:val="21"/>
                <w:szCs w:val="21"/>
                <w:lang w:eastAsia="en-US"/>
              </w:rPr>
            </w:pPr>
            <w:r w:rsidRPr="00FA45B7">
              <w:rPr>
                <w:rFonts w:eastAsia="Calibri" w:cs="Times New Roman"/>
                <w:color w:val="000000"/>
                <w:sz w:val="21"/>
                <w:szCs w:val="21"/>
                <w:lang w:eastAsia="en-US"/>
              </w:rPr>
              <w:t>Skutki w okresie 10 lat od wejścia w życie zmian [mln zł]</w:t>
            </w:r>
          </w:p>
        </w:tc>
      </w:tr>
      <w:tr w:rsidR="00FA45B7" w:rsidRPr="00FA45B7" w:rsidTr="00FA45B7">
        <w:trPr>
          <w:gridAfter w:val="1"/>
          <w:wAfter w:w="10" w:type="dxa"/>
          <w:trHeight w:val="142"/>
        </w:trPr>
        <w:tc>
          <w:tcPr>
            <w:tcW w:w="3133" w:type="dxa"/>
            <w:gridSpan w:val="4"/>
            <w:vMerge/>
            <w:shd w:val="clear" w:color="auto" w:fill="FFFFFF"/>
          </w:tcPr>
          <w:p w:rsidR="00FA45B7" w:rsidRPr="00FA45B7" w:rsidRDefault="00FA45B7" w:rsidP="00FA45B7">
            <w:pPr>
              <w:widowControl/>
              <w:autoSpaceDE/>
              <w:autoSpaceDN/>
              <w:adjustRightInd/>
              <w:spacing w:before="40" w:after="40" w:line="240" w:lineRule="auto"/>
              <w:jc w:val="left"/>
              <w:rPr>
                <w:rFonts w:eastAsia="Calibri" w:cs="Times New Roman"/>
                <w:i/>
                <w:color w:val="000000"/>
                <w:sz w:val="21"/>
                <w:szCs w:val="21"/>
                <w:lang w:eastAsia="en-US"/>
              </w:rPr>
            </w:pPr>
          </w:p>
        </w:tc>
        <w:tc>
          <w:tcPr>
            <w:tcW w:w="569" w:type="dxa"/>
            <w:gridSpan w:val="2"/>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0</w:t>
            </w:r>
          </w:p>
        </w:tc>
        <w:tc>
          <w:tcPr>
            <w:tcW w:w="570" w:type="dxa"/>
            <w:gridSpan w:val="2"/>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1</w:t>
            </w:r>
          </w:p>
        </w:tc>
        <w:tc>
          <w:tcPr>
            <w:tcW w:w="570" w:type="dxa"/>
            <w:gridSpan w:val="2"/>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2</w:t>
            </w:r>
          </w:p>
        </w:tc>
        <w:tc>
          <w:tcPr>
            <w:tcW w:w="569" w:type="dxa"/>
            <w:gridSpan w:val="3"/>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3</w:t>
            </w:r>
          </w:p>
        </w:tc>
        <w:tc>
          <w:tcPr>
            <w:tcW w:w="570" w:type="dxa"/>
            <w:gridSpan w:val="2"/>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4</w:t>
            </w:r>
          </w:p>
        </w:tc>
        <w:tc>
          <w:tcPr>
            <w:tcW w:w="570" w:type="dxa"/>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5</w:t>
            </w:r>
          </w:p>
        </w:tc>
        <w:tc>
          <w:tcPr>
            <w:tcW w:w="570" w:type="dxa"/>
            <w:gridSpan w:val="3"/>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6</w:t>
            </w:r>
          </w:p>
        </w:tc>
        <w:tc>
          <w:tcPr>
            <w:tcW w:w="569" w:type="dxa"/>
            <w:gridSpan w:val="3"/>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7</w:t>
            </w:r>
          </w:p>
        </w:tc>
        <w:tc>
          <w:tcPr>
            <w:tcW w:w="570" w:type="dxa"/>
            <w:gridSpan w:val="2"/>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8</w:t>
            </w:r>
          </w:p>
        </w:tc>
        <w:tc>
          <w:tcPr>
            <w:tcW w:w="570" w:type="dxa"/>
            <w:gridSpan w:val="2"/>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9</w:t>
            </w:r>
          </w:p>
        </w:tc>
        <w:tc>
          <w:tcPr>
            <w:tcW w:w="570" w:type="dxa"/>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10</w:t>
            </w:r>
          </w:p>
        </w:tc>
        <w:tc>
          <w:tcPr>
            <w:tcW w:w="1537" w:type="dxa"/>
            <w:gridSpan w:val="2"/>
            <w:shd w:val="clear" w:color="auto" w:fill="FFFFFF"/>
          </w:tcPr>
          <w:p w:rsidR="00FA45B7" w:rsidRPr="00FA45B7" w:rsidRDefault="00FA45B7" w:rsidP="00FA45B7">
            <w:pPr>
              <w:widowControl/>
              <w:autoSpaceDE/>
              <w:autoSpaceDN/>
              <w:adjustRightInd/>
              <w:spacing w:before="40" w:after="40" w:line="240" w:lineRule="auto"/>
              <w:jc w:val="center"/>
              <w:rPr>
                <w:rFonts w:eastAsia="Calibri" w:cs="Times New Roman"/>
                <w:i/>
                <w:color w:val="000000"/>
                <w:spacing w:val="-2"/>
                <w:sz w:val="21"/>
                <w:szCs w:val="21"/>
                <w:lang w:eastAsia="en-US"/>
              </w:rPr>
            </w:pPr>
            <w:r w:rsidRPr="00FA45B7">
              <w:rPr>
                <w:rFonts w:eastAsia="Calibri" w:cs="Times New Roman"/>
                <w:i/>
                <w:color w:val="000000"/>
                <w:spacing w:val="-2"/>
                <w:sz w:val="21"/>
                <w:szCs w:val="21"/>
                <w:lang w:eastAsia="en-US"/>
              </w:rPr>
              <w:t>Łącznie (0</w:t>
            </w:r>
            <w:r>
              <w:rPr>
                <w:rFonts w:eastAsia="Calibri" w:cs="Times New Roman"/>
                <w:i/>
                <w:color w:val="000000"/>
                <w:spacing w:val="-2"/>
                <w:sz w:val="21"/>
                <w:szCs w:val="21"/>
                <w:lang w:eastAsia="en-US"/>
              </w:rPr>
              <w:t>–</w:t>
            </w:r>
            <w:r w:rsidRPr="00FA45B7">
              <w:rPr>
                <w:rFonts w:eastAsia="Calibri" w:cs="Times New Roman"/>
                <w:i/>
                <w:color w:val="000000"/>
                <w:spacing w:val="-2"/>
                <w:sz w:val="21"/>
                <w:szCs w:val="21"/>
                <w:lang w:eastAsia="en-US"/>
              </w:rPr>
              <w:t>10)</w:t>
            </w:r>
          </w:p>
        </w:tc>
      </w:tr>
      <w:tr w:rsidR="00FA45B7" w:rsidRPr="00FA45B7" w:rsidTr="00FA45B7">
        <w:trPr>
          <w:trHeight w:val="321"/>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b/>
                <w:color w:val="000000"/>
                <w:sz w:val="21"/>
                <w:szCs w:val="21"/>
                <w:lang w:eastAsia="en-US"/>
              </w:rPr>
              <w:t>Dochody ogółem</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FA45B7">
        <w:trPr>
          <w:trHeight w:val="321"/>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budżet państwa</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FA45B7">
        <w:trPr>
          <w:trHeight w:val="344"/>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JST</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44"/>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pozostałe jednostki (oddzielnie)</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30"/>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b/>
                <w:color w:val="000000"/>
                <w:sz w:val="21"/>
                <w:szCs w:val="21"/>
                <w:lang w:eastAsia="en-US"/>
              </w:rPr>
              <w:t>Wydatki ogółem</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30"/>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budżet państwa</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51"/>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JST</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51"/>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pozostałe jednostki (oddzielnie)</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60"/>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b/>
                <w:color w:val="000000"/>
                <w:sz w:val="21"/>
                <w:szCs w:val="21"/>
                <w:lang w:eastAsia="en-US"/>
              </w:rPr>
              <w:t>Saldo ogółem</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60"/>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budżet państwa</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57"/>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JST</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trHeight w:val="357"/>
        </w:trPr>
        <w:tc>
          <w:tcPr>
            <w:tcW w:w="3133" w:type="dxa"/>
            <w:gridSpan w:val="4"/>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pozostałe jednostki (oddzielnie)</w:t>
            </w:r>
          </w:p>
        </w:tc>
        <w:tc>
          <w:tcPr>
            <w:tcW w:w="569"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69"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570"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54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r>
      <w:tr w:rsidR="00FA45B7" w:rsidRPr="00FA45B7" w:rsidTr="00FA45B7">
        <w:trPr>
          <w:gridAfter w:val="1"/>
          <w:wAfter w:w="10" w:type="dxa"/>
          <w:trHeight w:val="348"/>
        </w:trPr>
        <w:tc>
          <w:tcPr>
            <w:tcW w:w="2243" w:type="dxa"/>
            <w:gridSpan w:val="2"/>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 xml:space="preserve">Źródła finansowania </w:t>
            </w:r>
          </w:p>
        </w:tc>
        <w:tc>
          <w:tcPr>
            <w:tcW w:w="8694" w:type="dxa"/>
            <w:gridSpan w:val="27"/>
            <w:shd w:val="clear" w:color="auto" w:fill="FFFFFF"/>
            <w:vAlign w:val="center"/>
          </w:tcPr>
          <w:p w:rsidR="00FA45B7" w:rsidRPr="00FA45B7" w:rsidRDefault="00FA45B7" w:rsidP="00FA45B7">
            <w:pPr>
              <w:widowControl/>
              <w:autoSpaceDE/>
              <w:autoSpaceDN/>
              <w:adjustRightInd/>
              <w:spacing w:before="120" w:line="240" w:lineRule="auto"/>
              <w:rPr>
                <w:rFonts w:eastAsia="Calibri" w:cs="Times New Roman"/>
                <w:noProof/>
                <w:color w:val="000000"/>
                <w:szCs w:val="22"/>
                <w:lang w:eastAsia="en-US"/>
              </w:rPr>
            </w:pPr>
            <w:r w:rsidRPr="00FA45B7">
              <w:rPr>
                <w:rFonts w:eastAsia="Calibri" w:cs="Times New Roman"/>
                <w:noProof/>
                <w:color w:val="000000"/>
                <w:sz w:val="22"/>
                <w:szCs w:val="22"/>
                <w:lang w:eastAsia="en-US"/>
              </w:rPr>
              <w:t>W związku z art. 50 ustawy z dnia 27 sierpnia 2009 r. o finansach publicznych przewiduje się, że w wyniku zaproponowanych w projekcie rozwiązań nie dojdzie do zmiany poziomu wydatków jednostek sektora finansów publicznych, w tym jednostek samorządu terytorialnego, w stosunku do wielkości wynikających z obowiązujących przepisów.</w:t>
            </w:r>
          </w:p>
        </w:tc>
      </w:tr>
      <w:tr w:rsidR="00FA45B7" w:rsidRPr="00FA45B7" w:rsidTr="00FA45B7">
        <w:trPr>
          <w:gridAfter w:val="1"/>
          <w:wAfter w:w="10" w:type="dxa"/>
          <w:trHeight w:val="1926"/>
        </w:trPr>
        <w:tc>
          <w:tcPr>
            <w:tcW w:w="2243"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Dodatkowe informacje, w tym wskazanie źródeł danych i przyjętych do obliczeń założeń</w:t>
            </w:r>
          </w:p>
        </w:tc>
        <w:tc>
          <w:tcPr>
            <w:tcW w:w="8694" w:type="dxa"/>
            <w:gridSpan w:val="27"/>
            <w:shd w:val="clear" w:color="auto" w:fill="FFFFFF"/>
          </w:tcPr>
          <w:p w:rsidR="00FA45B7" w:rsidRPr="00D66C4C" w:rsidRDefault="00FA45B7" w:rsidP="00D66C4C">
            <w:pPr>
              <w:widowControl/>
              <w:autoSpaceDE/>
              <w:autoSpaceDN/>
              <w:adjustRightInd/>
              <w:spacing w:before="120" w:line="240" w:lineRule="auto"/>
              <w:rPr>
                <w:rFonts w:eastAsia="Calibri" w:cs="Times New Roman"/>
                <w:noProof/>
                <w:color w:val="000000"/>
                <w:szCs w:val="22"/>
                <w:lang w:eastAsia="en-US"/>
              </w:rPr>
            </w:pPr>
            <w:r w:rsidRPr="00FA45B7">
              <w:rPr>
                <w:rFonts w:eastAsia="Calibri" w:cs="Times New Roman"/>
                <w:noProof/>
                <w:color w:val="000000"/>
                <w:sz w:val="22"/>
                <w:szCs w:val="22"/>
                <w:lang w:eastAsia="en-US"/>
              </w:rPr>
              <w:t xml:space="preserve">Regulacje odnoszące się do nakładania kar i stosowania środków administracyjnych za naruszenia przepisów wynikających z dyrektywy 2004/109/WE zmienionej przez dyrektywę 2013/50/UE mają na celu wzmocnienie systemu kar i sankcji, w tym m.in. poprzez zwiększenie uprawnień państw członkowskich w zakresie nakładania kar i </w:t>
            </w:r>
            <w:r w:rsidR="00D25E45">
              <w:rPr>
                <w:rFonts w:eastAsia="Calibri" w:cs="Times New Roman"/>
                <w:noProof/>
                <w:color w:val="000000"/>
                <w:sz w:val="22"/>
                <w:szCs w:val="22"/>
                <w:lang w:eastAsia="en-US"/>
              </w:rPr>
              <w:t>zwiększenie poziomu tych kar. W </w:t>
            </w:r>
            <w:r w:rsidRPr="00FA45B7">
              <w:rPr>
                <w:rFonts w:eastAsia="Calibri" w:cs="Times New Roman"/>
                <w:noProof/>
                <w:color w:val="000000"/>
                <w:sz w:val="22"/>
                <w:szCs w:val="22"/>
                <w:lang w:eastAsia="en-US"/>
              </w:rPr>
              <w:t>związku z tym przewiduje się, że dochody budżetu państwa z tytułu nakładanych przez Komisję Nadzoru Finansowego kar pieniężnych mogą wzrosnąć. W chwili obecnej niemożliwe jest jednak oszacowanie skali wzrostu tych dochodów.</w:t>
            </w:r>
          </w:p>
        </w:tc>
      </w:tr>
      <w:tr w:rsidR="00FA45B7" w:rsidRPr="00FA45B7" w:rsidTr="00FA45B7">
        <w:trPr>
          <w:gridAfter w:val="1"/>
          <w:wAfter w:w="10" w:type="dxa"/>
          <w:trHeight w:val="345"/>
        </w:trPr>
        <w:tc>
          <w:tcPr>
            <w:tcW w:w="10937" w:type="dxa"/>
            <w:gridSpan w:val="29"/>
            <w:shd w:val="clear" w:color="auto" w:fill="99CCFF"/>
          </w:tcPr>
          <w:p w:rsidR="00FA45B7" w:rsidRPr="00FA45B7" w:rsidRDefault="00FA45B7" w:rsidP="00FA45B7">
            <w:pPr>
              <w:widowControl/>
              <w:numPr>
                <w:ilvl w:val="0"/>
                <w:numId w:val="4"/>
              </w:numPr>
              <w:autoSpaceDE/>
              <w:autoSpaceDN/>
              <w:adjustRightInd/>
              <w:spacing w:before="120" w:after="120" w:line="240" w:lineRule="auto"/>
              <w:jc w:val="left"/>
              <w:rPr>
                <w:rFonts w:eastAsia="Calibri" w:cs="Times New Roman"/>
                <w:b/>
                <w:color w:val="000000"/>
                <w:spacing w:val="-2"/>
                <w:szCs w:val="22"/>
                <w:lang w:eastAsia="en-US"/>
              </w:rPr>
            </w:pPr>
            <w:r w:rsidRPr="00FA45B7">
              <w:rPr>
                <w:rFonts w:eastAsia="Calibri" w:cs="Times New Roman"/>
                <w:b/>
                <w:color w:val="000000"/>
                <w:spacing w:val="-2"/>
                <w:sz w:val="22"/>
                <w:szCs w:val="22"/>
                <w:lang w:eastAsia="en-US"/>
              </w:rPr>
              <w:t xml:space="preserve">Wpływ na </w:t>
            </w:r>
            <w:r w:rsidRPr="00FA45B7">
              <w:rPr>
                <w:rFonts w:eastAsia="Calibri" w:cs="Times New Roman"/>
                <w:b/>
                <w:color w:val="000000"/>
                <w:sz w:val="22"/>
                <w:szCs w:val="22"/>
                <w:lang w:eastAsia="en-US"/>
              </w:rPr>
              <w:t xml:space="preserve">konkurencyjność gospodarki i przedsiębiorczość, w tym funkcjonowanie przedsiębiorców oraz na rodzinę, obywateli i gospodarstwa domowe </w:t>
            </w:r>
          </w:p>
        </w:tc>
      </w:tr>
      <w:tr w:rsidR="00FA45B7" w:rsidRPr="00FA45B7" w:rsidTr="00FA45B7">
        <w:trPr>
          <w:gridAfter w:val="1"/>
          <w:wAfter w:w="10" w:type="dxa"/>
          <w:trHeight w:val="142"/>
        </w:trPr>
        <w:tc>
          <w:tcPr>
            <w:tcW w:w="10937" w:type="dxa"/>
            <w:gridSpan w:val="29"/>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pacing w:val="-2"/>
                <w:sz w:val="21"/>
                <w:szCs w:val="21"/>
                <w:lang w:eastAsia="en-US"/>
              </w:rPr>
            </w:pPr>
            <w:r w:rsidRPr="00FA45B7">
              <w:rPr>
                <w:rFonts w:eastAsia="Calibri" w:cs="Times New Roman"/>
                <w:color w:val="000000"/>
                <w:spacing w:val="-2"/>
                <w:sz w:val="21"/>
                <w:szCs w:val="21"/>
                <w:lang w:eastAsia="en-US"/>
              </w:rPr>
              <w:t>Skutki</w:t>
            </w:r>
          </w:p>
        </w:tc>
      </w:tr>
      <w:tr w:rsidR="00FA45B7" w:rsidRPr="00FA45B7" w:rsidTr="00FA45B7">
        <w:trPr>
          <w:gridAfter w:val="1"/>
          <w:wAfter w:w="10" w:type="dxa"/>
          <w:trHeight w:val="142"/>
        </w:trPr>
        <w:tc>
          <w:tcPr>
            <w:tcW w:w="3889" w:type="dxa"/>
            <w:gridSpan w:val="7"/>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Czas w latach od wejścia w życie zmian</w:t>
            </w:r>
          </w:p>
        </w:tc>
        <w:tc>
          <w:tcPr>
            <w:tcW w:w="937" w:type="dxa"/>
            <w:gridSpan w:val="2"/>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0</w:t>
            </w:r>
          </w:p>
        </w:tc>
        <w:tc>
          <w:tcPr>
            <w:tcW w:w="938" w:type="dxa"/>
            <w:gridSpan w:val="5"/>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1</w:t>
            </w:r>
          </w:p>
        </w:tc>
        <w:tc>
          <w:tcPr>
            <w:tcW w:w="938" w:type="dxa"/>
            <w:gridSpan w:val="4"/>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2</w:t>
            </w:r>
          </w:p>
        </w:tc>
        <w:tc>
          <w:tcPr>
            <w:tcW w:w="937" w:type="dxa"/>
            <w:gridSpan w:val="3"/>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3</w:t>
            </w:r>
          </w:p>
        </w:tc>
        <w:tc>
          <w:tcPr>
            <w:tcW w:w="938" w:type="dxa"/>
            <w:gridSpan w:val="4"/>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5</w:t>
            </w:r>
          </w:p>
        </w:tc>
        <w:tc>
          <w:tcPr>
            <w:tcW w:w="938" w:type="dxa"/>
            <w:gridSpan w:val="3"/>
            <w:shd w:val="clear" w:color="auto" w:fill="FFFFFF"/>
          </w:tcPr>
          <w:p w:rsidR="00FA45B7" w:rsidRPr="00FA45B7" w:rsidRDefault="00FA45B7" w:rsidP="00FA45B7">
            <w:pPr>
              <w:widowControl/>
              <w:autoSpaceDE/>
              <w:autoSpaceDN/>
              <w:adjustRightInd/>
              <w:spacing w:line="240" w:lineRule="auto"/>
              <w:jc w:val="center"/>
              <w:rPr>
                <w:rFonts w:eastAsia="Calibri" w:cs="Times New Roman"/>
                <w:color w:val="000000"/>
                <w:sz w:val="21"/>
                <w:szCs w:val="21"/>
                <w:lang w:eastAsia="en-US"/>
              </w:rPr>
            </w:pPr>
            <w:r w:rsidRPr="00FA45B7">
              <w:rPr>
                <w:rFonts w:eastAsia="Calibri" w:cs="Times New Roman"/>
                <w:color w:val="000000"/>
                <w:sz w:val="21"/>
                <w:szCs w:val="21"/>
                <w:lang w:eastAsia="en-US"/>
              </w:rPr>
              <w:t>10</w:t>
            </w:r>
          </w:p>
        </w:tc>
        <w:tc>
          <w:tcPr>
            <w:tcW w:w="1422" w:type="dxa"/>
            <w:shd w:val="clear" w:color="auto" w:fill="FFFFFF"/>
          </w:tcPr>
          <w:p w:rsidR="00FA45B7" w:rsidRPr="00FA45B7" w:rsidRDefault="00FA45B7" w:rsidP="00D66C4C">
            <w:pPr>
              <w:widowControl/>
              <w:autoSpaceDE/>
              <w:autoSpaceDN/>
              <w:adjustRightInd/>
              <w:spacing w:line="240" w:lineRule="auto"/>
              <w:ind w:left="-100"/>
              <w:jc w:val="center"/>
              <w:rPr>
                <w:rFonts w:eastAsia="Calibri" w:cs="Times New Roman"/>
                <w:i/>
                <w:color w:val="000000"/>
                <w:spacing w:val="-2"/>
                <w:sz w:val="21"/>
                <w:szCs w:val="21"/>
                <w:lang w:eastAsia="en-US"/>
              </w:rPr>
            </w:pPr>
            <w:r w:rsidRPr="00FA45B7">
              <w:rPr>
                <w:rFonts w:eastAsia="Calibri" w:cs="Times New Roman"/>
                <w:i/>
                <w:color w:val="000000"/>
                <w:spacing w:val="-2"/>
                <w:sz w:val="21"/>
                <w:szCs w:val="21"/>
                <w:lang w:eastAsia="en-US"/>
              </w:rPr>
              <w:t>Łącznie</w:t>
            </w:r>
            <w:r w:rsidRPr="00FA45B7" w:rsidDel="0073273A">
              <w:rPr>
                <w:rFonts w:eastAsia="Calibri" w:cs="Times New Roman"/>
                <w:i/>
                <w:color w:val="000000"/>
                <w:spacing w:val="-2"/>
                <w:sz w:val="21"/>
                <w:szCs w:val="21"/>
                <w:lang w:eastAsia="en-US"/>
              </w:rPr>
              <w:t xml:space="preserve"> </w:t>
            </w:r>
            <w:r w:rsidRPr="00FA45B7">
              <w:rPr>
                <w:rFonts w:eastAsia="Calibri" w:cs="Times New Roman"/>
                <w:i/>
                <w:color w:val="000000"/>
                <w:spacing w:val="-2"/>
                <w:sz w:val="21"/>
                <w:szCs w:val="21"/>
                <w:lang w:eastAsia="en-US"/>
              </w:rPr>
              <w:t>(0</w:t>
            </w:r>
            <w:r>
              <w:rPr>
                <w:rFonts w:eastAsia="Calibri" w:cs="Times New Roman"/>
                <w:i/>
                <w:color w:val="000000"/>
                <w:spacing w:val="-2"/>
                <w:sz w:val="21"/>
                <w:szCs w:val="21"/>
                <w:lang w:eastAsia="en-US"/>
              </w:rPr>
              <w:t>–</w:t>
            </w:r>
            <w:r w:rsidRPr="00FA45B7">
              <w:rPr>
                <w:rFonts w:eastAsia="Calibri" w:cs="Times New Roman"/>
                <w:i/>
                <w:color w:val="000000"/>
                <w:spacing w:val="-2"/>
                <w:sz w:val="21"/>
                <w:szCs w:val="21"/>
                <w:lang w:eastAsia="en-US"/>
              </w:rPr>
              <w:t>10)</w:t>
            </w:r>
          </w:p>
        </w:tc>
      </w:tr>
      <w:tr w:rsidR="00FA45B7" w:rsidRPr="00FA45B7" w:rsidTr="00FA45B7">
        <w:trPr>
          <w:gridAfter w:val="1"/>
          <w:wAfter w:w="10" w:type="dxa"/>
          <w:trHeight w:val="142"/>
        </w:trPr>
        <w:tc>
          <w:tcPr>
            <w:tcW w:w="1596" w:type="dxa"/>
            <w:vMerge w:val="restart"/>
            <w:shd w:val="clear" w:color="auto" w:fill="FFFFFF"/>
          </w:tcPr>
          <w:p w:rsidR="00FA45B7" w:rsidRPr="00FA45B7" w:rsidRDefault="00FA45B7" w:rsidP="00FA45B7">
            <w:pPr>
              <w:widowControl/>
              <w:autoSpaceDE/>
              <w:autoSpaceDN/>
              <w:adjustRightInd/>
              <w:spacing w:line="276"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W ujęciu pieniężnym</w:t>
            </w:r>
          </w:p>
          <w:p w:rsidR="00FA45B7" w:rsidRPr="00FA45B7" w:rsidRDefault="00FA45B7" w:rsidP="00FA45B7">
            <w:pPr>
              <w:widowControl/>
              <w:autoSpaceDE/>
              <w:autoSpaceDN/>
              <w:adjustRightInd/>
              <w:spacing w:line="276" w:lineRule="auto"/>
              <w:jc w:val="left"/>
              <w:rPr>
                <w:rFonts w:eastAsia="Calibri" w:cs="Times New Roman"/>
                <w:spacing w:val="-2"/>
                <w:sz w:val="21"/>
                <w:szCs w:val="21"/>
                <w:lang w:eastAsia="en-US"/>
              </w:rPr>
            </w:pPr>
            <w:r w:rsidRPr="00FA45B7">
              <w:rPr>
                <w:rFonts w:eastAsia="Calibri" w:cs="Times New Roman"/>
                <w:spacing w:val="-2"/>
                <w:sz w:val="21"/>
                <w:szCs w:val="21"/>
                <w:lang w:eastAsia="en-US"/>
              </w:rPr>
              <w:t xml:space="preserve">(w mln zł, </w:t>
            </w:r>
          </w:p>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spacing w:val="-2"/>
                <w:sz w:val="21"/>
                <w:szCs w:val="21"/>
                <w:lang w:eastAsia="en-US"/>
              </w:rPr>
              <w:t xml:space="preserve">ceny stałe </w:t>
            </w:r>
            <w:r w:rsidR="00D66C4C">
              <w:rPr>
                <w:rFonts w:eastAsia="Calibri" w:cs="Times New Roman"/>
                <w:spacing w:val="-2"/>
                <w:sz w:val="21"/>
                <w:szCs w:val="21"/>
                <w:lang w:eastAsia="en-US"/>
              </w:rPr>
              <w:br/>
              <w:t xml:space="preserve">z … </w:t>
            </w:r>
            <w:r w:rsidRPr="00FA45B7">
              <w:rPr>
                <w:rFonts w:eastAsia="Calibri" w:cs="Times New Roman"/>
                <w:spacing w:val="-2"/>
                <w:sz w:val="21"/>
                <w:szCs w:val="21"/>
                <w:lang w:eastAsia="en-US"/>
              </w:rPr>
              <w:t>r.)</w:t>
            </w:r>
          </w:p>
        </w:tc>
        <w:tc>
          <w:tcPr>
            <w:tcW w:w="2293" w:type="dxa"/>
            <w:gridSpan w:val="6"/>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duże przedsiębiorstwa</w:t>
            </w:r>
          </w:p>
        </w:tc>
        <w:tc>
          <w:tcPr>
            <w:tcW w:w="937"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5"/>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4"/>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4"/>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422"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FA45B7">
        <w:trPr>
          <w:gridAfter w:val="1"/>
          <w:wAfter w:w="10" w:type="dxa"/>
          <w:trHeight w:val="142"/>
        </w:trPr>
        <w:tc>
          <w:tcPr>
            <w:tcW w:w="1596" w:type="dxa"/>
            <w:vMerge/>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2293" w:type="dxa"/>
            <w:gridSpan w:val="6"/>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sektor mikro-, małych i średnich przedsiębiorstw</w:t>
            </w:r>
          </w:p>
        </w:tc>
        <w:tc>
          <w:tcPr>
            <w:tcW w:w="937"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5"/>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4"/>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4"/>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422"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FA45B7">
        <w:trPr>
          <w:gridAfter w:val="1"/>
          <w:wAfter w:w="10" w:type="dxa"/>
          <w:trHeight w:val="142"/>
        </w:trPr>
        <w:tc>
          <w:tcPr>
            <w:tcW w:w="1596" w:type="dxa"/>
            <w:vMerge/>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2293" w:type="dxa"/>
            <w:gridSpan w:val="6"/>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sz w:val="21"/>
                <w:szCs w:val="21"/>
                <w:lang w:eastAsia="en-US"/>
              </w:rPr>
              <w:t>rodzina, obywatele oraz gospodarstwa domowe</w:t>
            </w:r>
          </w:p>
        </w:tc>
        <w:tc>
          <w:tcPr>
            <w:tcW w:w="937"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5"/>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4"/>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4"/>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422"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D25E45">
        <w:trPr>
          <w:gridAfter w:val="1"/>
          <w:wAfter w:w="10" w:type="dxa"/>
          <w:trHeight w:val="429"/>
        </w:trPr>
        <w:tc>
          <w:tcPr>
            <w:tcW w:w="1596" w:type="dxa"/>
            <w:vMerge/>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2293" w:type="dxa"/>
            <w:gridSpan w:val="6"/>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FA45B7">
              <w:rPr>
                <w:rFonts w:eastAsia="Calibri" w:cs="Times New Roman"/>
                <w:color w:val="000000"/>
                <w:sz w:val="21"/>
                <w:szCs w:val="21"/>
                <w:lang w:eastAsia="en-US"/>
              </w:rPr>
              <w:instrText xml:space="preserve"> FORMTEXT </w:instrText>
            </w:r>
            <w:r w:rsidRPr="00FA45B7">
              <w:rPr>
                <w:rFonts w:eastAsia="Calibri" w:cs="Times New Roman"/>
                <w:color w:val="000000"/>
                <w:sz w:val="21"/>
                <w:szCs w:val="21"/>
                <w:lang w:eastAsia="en-US"/>
              </w:rPr>
            </w:r>
            <w:r w:rsidRPr="00FA45B7">
              <w:rPr>
                <w:rFonts w:eastAsia="Calibri" w:cs="Times New Roman"/>
                <w:color w:val="000000"/>
                <w:sz w:val="21"/>
                <w:szCs w:val="21"/>
                <w:lang w:eastAsia="en-US"/>
              </w:rPr>
              <w:fldChar w:fldCharType="separate"/>
            </w:r>
            <w:r w:rsidRPr="00FA45B7">
              <w:rPr>
                <w:rFonts w:eastAsia="Calibri" w:cs="Times New Roman"/>
                <w:noProof/>
                <w:color w:val="000000"/>
                <w:sz w:val="21"/>
                <w:szCs w:val="21"/>
                <w:lang w:eastAsia="en-US"/>
              </w:rPr>
              <w:t>(dodaj/usuń)</w:t>
            </w:r>
            <w:r w:rsidRPr="00FA45B7">
              <w:rPr>
                <w:rFonts w:eastAsia="Calibri" w:cs="Times New Roman"/>
                <w:color w:val="000000"/>
                <w:sz w:val="21"/>
                <w:szCs w:val="21"/>
                <w:lang w:eastAsia="en-US"/>
              </w:rPr>
              <w:fldChar w:fldCharType="end"/>
            </w:r>
          </w:p>
        </w:tc>
        <w:tc>
          <w:tcPr>
            <w:tcW w:w="937"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5"/>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4"/>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7"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4"/>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938" w:type="dxa"/>
            <w:gridSpan w:val="3"/>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1422" w:type="dxa"/>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FA45B7">
        <w:trPr>
          <w:gridAfter w:val="1"/>
          <w:wAfter w:w="10" w:type="dxa"/>
          <w:trHeight w:val="142"/>
        </w:trPr>
        <w:tc>
          <w:tcPr>
            <w:tcW w:w="1596" w:type="dxa"/>
            <w:vMerge w:val="restart"/>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 xml:space="preserve">W ujęciu </w:t>
            </w:r>
            <w:r w:rsidRPr="00FA45B7">
              <w:rPr>
                <w:rFonts w:eastAsia="Calibri" w:cs="Times New Roman"/>
                <w:color w:val="000000"/>
                <w:sz w:val="21"/>
                <w:szCs w:val="21"/>
                <w:lang w:eastAsia="en-US"/>
              </w:rPr>
              <w:lastRenderedPageBreak/>
              <w:t>niepieniężnym</w:t>
            </w:r>
          </w:p>
        </w:tc>
        <w:tc>
          <w:tcPr>
            <w:tcW w:w="2293" w:type="dxa"/>
            <w:gridSpan w:val="6"/>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lastRenderedPageBreak/>
              <w:t>duże przedsiębiorstwa</w:t>
            </w:r>
          </w:p>
        </w:tc>
        <w:tc>
          <w:tcPr>
            <w:tcW w:w="7048" w:type="dxa"/>
            <w:gridSpan w:val="2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FA45B7">
        <w:trPr>
          <w:gridAfter w:val="1"/>
          <w:wAfter w:w="10" w:type="dxa"/>
          <w:trHeight w:val="142"/>
        </w:trPr>
        <w:tc>
          <w:tcPr>
            <w:tcW w:w="1596" w:type="dxa"/>
            <w:vMerge/>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2293" w:type="dxa"/>
            <w:gridSpan w:val="6"/>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sektor mikro-, małych i średnich przedsiębiorstw</w:t>
            </w:r>
          </w:p>
        </w:tc>
        <w:tc>
          <w:tcPr>
            <w:tcW w:w="7048" w:type="dxa"/>
            <w:gridSpan w:val="2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FA45B7">
        <w:trPr>
          <w:gridAfter w:val="1"/>
          <w:wAfter w:w="10" w:type="dxa"/>
          <w:trHeight w:val="596"/>
        </w:trPr>
        <w:tc>
          <w:tcPr>
            <w:tcW w:w="1596" w:type="dxa"/>
            <w:vMerge/>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2293" w:type="dxa"/>
            <w:gridSpan w:val="6"/>
            <w:shd w:val="clear" w:color="auto" w:fill="FFFFFF"/>
          </w:tcPr>
          <w:p w:rsidR="00FA45B7" w:rsidRPr="00FA45B7" w:rsidRDefault="00FA45B7" w:rsidP="00FA45B7">
            <w:pPr>
              <w:widowControl/>
              <w:tabs>
                <w:tab w:val="right" w:pos="1936"/>
              </w:tabs>
              <w:autoSpaceDE/>
              <w:autoSpaceDN/>
              <w:adjustRightInd/>
              <w:spacing w:line="240" w:lineRule="auto"/>
              <w:jc w:val="left"/>
              <w:rPr>
                <w:rFonts w:eastAsia="Calibri" w:cs="Times New Roman"/>
                <w:color w:val="000000"/>
                <w:sz w:val="21"/>
                <w:szCs w:val="21"/>
                <w:lang w:eastAsia="en-US"/>
              </w:rPr>
            </w:pPr>
            <w:r w:rsidRPr="00FA45B7">
              <w:rPr>
                <w:rFonts w:eastAsia="Calibri" w:cs="Times New Roman"/>
                <w:sz w:val="21"/>
                <w:szCs w:val="21"/>
                <w:lang w:eastAsia="en-US"/>
              </w:rPr>
              <w:t>rodzina, obywatele oraz gospodarstwa domowe</w:t>
            </w:r>
            <w:r w:rsidRPr="00FA45B7">
              <w:rPr>
                <w:rFonts w:eastAsia="Calibri" w:cs="Times New Roman"/>
                <w:color w:val="000000"/>
                <w:sz w:val="21"/>
                <w:szCs w:val="21"/>
                <w:lang w:eastAsia="en-US"/>
              </w:rPr>
              <w:t xml:space="preserve"> </w:t>
            </w:r>
          </w:p>
        </w:tc>
        <w:tc>
          <w:tcPr>
            <w:tcW w:w="7048" w:type="dxa"/>
            <w:gridSpan w:val="22"/>
            <w:shd w:val="clear" w:color="auto" w:fill="FFFFFF"/>
          </w:tcPr>
          <w:p w:rsidR="00FA45B7" w:rsidRPr="00FA45B7" w:rsidRDefault="00FA45B7" w:rsidP="00FA45B7">
            <w:pPr>
              <w:widowControl/>
              <w:autoSpaceDE/>
              <w:autoSpaceDN/>
              <w:adjustRightInd/>
              <w:spacing w:before="120" w:line="240" w:lineRule="auto"/>
              <w:rPr>
                <w:rFonts w:eastAsia="Calibri" w:cs="Times New Roman"/>
                <w:color w:val="000000"/>
                <w:spacing w:val="-2"/>
                <w:sz w:val="21"/>
                <w:szCs w:val="21"/>
                <w:lang w:eastAsia="en-US"/>
              </w:rPr>
            </w:pPr>
          </w:p>
        </w:tc>
      </w:tr>
      <w:tr w:rsidR="00FA45B7" w:rsidRPr="00FA45B7" w:rsidTr="00FA45B7">
        <w:trPr>
          <w:gridAfter w:val="1"/>
          <w:wAfter w:w="10" w:type="dxa"/>
          <w:trHeight w:val="596"/>
        </w:trPr>
        <w:tc>
          <w:tcPr>
            <w:tcW w:w="1596" w:type="dxa"/>
            <w:vMerge/>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2293" w:type="dxa"/>
            <w:gridSpan w:val="6"/>
            <w:shd w:val="clear" w:color="auto" w:fill="FFFFFF"/>
          </w:tcPr>
          <w:p w:rsidR="00FA45B7" w:rsidRPr="00FA45B7" w:rsidRDefault="00FA45B7" w:rsidP="00FA45B7">
            <w:pPr>
              <w:widowControl/>
              <w:tabs>
                <w:tab w:val="right" w:pos="1936"/>
              </w:tabs>
              <w:autoSpaceDE/>
              <w:autoSpaceDN/>
              <w:adjustRightInd/>
              <w:spacing w:line="240" w:lineRule="auto"/>
              <w:jc w:val="left"/>
              <w:rPr>
                <w:rFonts w:eastAsia="Calibri" w:cs="Times New Roman"/>
                <w:sz w:val="21"/>
                <w:szCs w:val="21"/>
                <w:lang w:eastAsia="en-US"/>
              </w:rPr>
            </w:pPr>
            <w:r w:rsidRPr="00FA45B7">
              <w:rPr>
                <w:rFonts w:eastAsia="Calibri" w:cs="Times New Roman"/>
                <w:sz w:val="21"/>
                <w:szCs w:val="21"/>
                <w:lang w:eastAsia="en-US"/>
              </w:rPr>
              <w:t>gospodarka</w:t>
            </w:r>
          </w:p>
        </w:tc>
        <w:tc>
          <w:tcPr>
            <w:tcW w:w="7048" w:type="dxa"/>
            <w:gridSpan w:val="22"/>
            <w:shd w:val="clear" w:color="auto" w:fill="FFFFFF"/>
          </w:tcPr>
          <w:p w:rsidR="00FA45B7" w:rsidRPr="00FA45B7" w:rsidRDefault="00FA45B7" w:rsidP="00FA45B7">
            <w:pPr>
              <w:widowControl/>
              <w:autoSpaceDE/>
              <w:autoSpaceDN/>
              <w:adjustRightInd/>
              <w:spacing w:before="120" w:line="240" w:lineRule="auto"/>
              <w:rPr>
                <w:rFonts w:eastAsia="Calibri" w:cs="Times New Roman"/>
                <w:szCs w:val="22"/>
                <w:lang w:eastAsia="en-US"/>
              </w:rPr>
            </w:pPr>
          </w:p>
        </w:tc>
      </w:tr>
      <w:tr w:rsidR="00FA45B7" w:rsidRPr="00FA45B7" w:rsidTr="00FA45B7">
        <w:trPr>
          <w:gridAfter w:val="1"/>
          <w:wAfter w:w="10" w:type="dxa"/>
          <w:trHeight w:val="240"/>
        </w:trPr>
        <w:tc>
          <w:tcPr>
            <w:tcW w:w="1596" w:type="dxa"/>
            <w:vMerge/>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2293" w:type="dxa"/>
            <w:gridSpan w:val="6"/>
            <w:shd w:val="clear" w:color="auto" w:fill="FFFFFF"/>
          </w:tcPr>
          <w:p w:rsidR="00FA45B7" w:rsidRPr="00FA45B7" w:rsidRDefault="00FA45B7" w:rsidP="00FA45B7">
            <w:pPr>
              <w:widowControl/>
              <w:tabs>
                <w:tab w:val="right" w:pos="1936"/>
              </w:tabs>
              <w:autoSpaceDE/>
              <w:autoSpaceDN/>
              <w:adjustRightInd/>
              <w:spacing w:line="276" w:lineRule="auto"/>
              <w:jc w:val="left"/>
              <w:rPr>
                <w:rFonts w:eastAsia="Calibri" w:cs="Times New Roman"/>
                <w:sz w:val="21"/>
                <w:szCs w:val="21"/>
                <w:lang w:eastAsia="en-US"/>
              </w:rPr>
            </w:pPr>
            <w:r w:rsidRPr="00FA45B7">
              <w:rPr>
                <w:rFonts w:eastAsia="Calibri" w:cs="Times New Roman"/>
                <w:color w:val="000000"/>
                <w:sz w:val="21"/>
                <w:szCs w:val="21"/>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FA45B7">
              <w:rPr>
                <w:rFonts w:eastAsia="Calibri" w:cs="Times New Roman"/>
                <w:color w:val="000000"/>
                <w:sz w:val="21"/>
                <w:szCs w:val="21"/>
                <w:lang w:eastAsia="en-US"/>
              </w:rPr>
              <w:instrText xml:space="preserve"> FORMTEXT </w:instrText>
            </w:r>
            <w:r w:rsidRPr="00FA45B7">
              <w:rPr>
                <w:rFonts w:eastAsia="Calibri" w:cs="Times New Roman"/>
                <w:color w:val="000000"/>
                <w:sz w:val="21"/>
                <w:szCs w:val="21"/>
                <w:lang w:eastAsia="en-US"/>
              </w:rPr>
            </w:r>
            <w:r w:rsidRPr="00FA45B7">
              <w:rPr>
                <w:rFonts w:eastAsia="Calibri" w:cs="Times New Roman"/>
                <w:color w:val="000000"/>
                <w:sz w:val="21"/>
                <w:szCs w:val="21"/>
                <w:lang w:eastAsia="en-US"/>
              </w:rPr>
              <w:fldChar w:fldCharType="separate"/>
            </w:r>
            <w:r w:rsidRPr="00FA45B7">
              <w:rPr>
                <w:rFonts w:eastAsia="Calibri" w:cs="Times New Roman"/>
                <w:noProof/>
                <w:color w:val="000000"/>
                <w:sz w:val="21"/>
                <w:szCs w:val="21"/>
                <w:lang w:eastAsia="en-US"/>
              </w:rPr>
              <w:t>(dodaj/usuń)</w:t>
            </w:r>
            <w:r w:rsidRPr="00FA45B7">
              <w:rPr>
                <w:rFonts w:eastAsia="Calibri" w:cs="Times New Roman"/>
                <w:color w:val="000000"/>
                <w:sz w:val="21"/>
                <w:szCs w:val="21"/>
                <w:lang w:eastAsia="en-US"/>
              </w:rPr>
              <w:fldChar w:fldCharType="end"/>
            </w:r>
          </w:p>
        </w:tc>
        <w:tc>
          <w:tcPr>
            <w:tcW w:w="7048" w:type="dxa"/>
            <w:gridSpan w:val="22"/>
            <w:shd w:val="clear" w:color="auto" w:fill="FFFFFF"/>
          </w:tcPr>
          <w:p w:rsidR="00FA45B7" w:rsidRPr="00FA45B7" w:rsidRDefault="00FA45B7" w:rsidP="00FA45B7">
            <w:pPr>
              <w:widowControl/>
              <w:tabs>
                <w:tab w:val="left" w:pos="3000"/>
              </w:tabs>
              <w:autoSpaceDE/>
              <w:autoSpaceDN/>
              <w:adjustRightInd/>
              <w:spacing w:line="276" w:lineRule="auto"/>
              <w:jc w:val="left"/>
              <w:rPr>
                <w:rFonts w:eastAsia="Calibri" w:cs="Times New Roman"/>
                <w:color w:val="000000"/>
                <w:spacing w:val="-2"/>
                <w:sz w:val="21"/>
                <w:szCs w:val="21"/>
                <w:lang w:eastAsia="en-US"/>
              </w:rPr>
            </w:pPr>
          </w:p>
        </w:tc>
      </w:tr>
      <w:tr w:rsidR="00FA45B7" w:rsidRPr="00FA45B7" w:rsidTr="00FA45B7">
        <w:trPr>
          <w:gridAfter w:val="1"/>
          <w:wAfter w:w="10" w:type="dxa"/>
          <w:trHeight w:val="142"/>
        </w:trPr>
        <w:tc>
          <w:tcPr>
            <w:tcW w:w="1596" w:type="dxa"/>
            <w:vMerge w:val="restart"/>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Niemierzalne</w:t>
            </w:r>
          </w:p>
        </w:tc>
        <w:tc>
          <w:tcPr>
            <w:tcW w:w="2293" w:type="dxa"/>
            <w:gridSpan w:val="6"/>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sz w:val="21"/>
                <w:szCs w:val="21"/>
                <w:lang w:eastAsia="en-US"/>
              </w:rPr>
              <w:t>rodzina, obywatele oraz gospodarstwa domowe</w:t>
            </w:r>
          </w:p>
        </w:tc>
        <w:tc>
          <w:tcPr>
            <w:tcW w:w="7048" w:type="dxa"/>
            <w:gridSpan w:val="22"/>
            <w:shd w:val="clear" w:color="auto" w:fill="FFFFFF"/>
          </w:tcPr>
          <w:p w:rsidR="00FA45B7" w:rsidRPr="00FA45B7" w:rsidRDefault="00FA45B7" w:rsidP="00FA45B7">
            <w:pPr>
              <w:widowControl/>
              <w:autoSpaceDE/>
              <w:autoSpaceDN/>
              <w:adjustRightInd/>
              <w:spacing w:before="120" w:line="240" w:lineRule="auto"/>
              <w:rPr>
                <w:rFonts w:eastAsia="Calibri" w:cs="Times New Roman"/>
                <w:noProof/>
                <w:color w:val="000000"/>
                <w:szCs w:val="22"/>
                <w:lang w:eastAsia="en-US"/>
              </w:rPr>
            </w:pPr>
            <w:r w:rsidRPr="00FA45B7">
              <w:rPr>
                <w:rFonts w:eastAsia="Calibri" w:cs="Times New Roman"/>
                <w:noProof/>
                <w:color w:val="000000"/>
                <w:sz w:val="22"/>
                <w:szCs w:val="22"/>
                <w:lang w:eastAsia="en-US"/>
              </w:rPr>
              <w:t>Wzmocnienie bezpieczeństwa obrotu na rynku kapitałowym oraz ochrony inwestorów indywidualnych w spółkach publicznych.</w:t>
            </w:r>
          </w:p>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FA45B7">
        <w:trPr>
          <w:gridAfter w:val="1"/>
          <w:wAfter w:w="10" w:type="dxa"/>
          <w:trHeight w:val="142"/>
        </w:trPr>
        <w:tc>
          <w:tcPr>
            <w:tcW w:w="1596" w:type="dxa"/>
            <w:vMerge/>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p>
        </w:tc>
        <w:tc>
          <w:tcPr>
            <w:tcW w:w="2293" w:type="dxa"/>
            <w:gridSpan w:val="6"/>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sz w:val="21"/>
                <w:szCs w:val="21"/>
                <w:lang w:eastAsia="en-US"/>
              </w:rPr>
              <w:t>gospodarka</w:t>
            </w:r>
          </w:p>
        </w:tc>
        <w:tc>
          <w:tcPr>
            <w:tcW w:w="7048" w:type="dxa"/>
            <w:gridSpan w:val="22"/>
            <w:shd w:val="clear" w:color="auto" w:fill="FFFFFF"/>
          </w:tcPr>
          <w:p w:rsidR="00FA45B7" w:rsidRPr="00FA45B7" w:rsidRDefault="00FA45B7" w:rsidP="00FA45B7">
            <w:pPr>
              <w:widowControl/>
              <w:autoSpaceDE/>
              <w:autoSpaceDN/>
              <w:adjustRightInd/>
              <w:spacing w:before="120" w:line="240" w:lineRule="auto"/>
              <w:rPr>
                <w:rFonts w:eastAsia="Calibri" w:cs="Times New Roman"/>
                <w:szCs w:val="22"/>
                <w:lang w:eastAsia="en-US"/>
              </w:rPr>
            </w:pPr>
            <w:r w:rsidRPr="00FA45B7">
              <w:rPr>
                <w:rFonts w:eastAsia="Calibri" w:cs="Times New Roman"/>
                <w:sz w:val="22"/>
                <w:szCs w:val="22"/>
                <w:lang w:eastAsia="en-US"/>
              </w:rPr>
              <w:t>Wzmocnienie ochrony uczestników polskiego rynku kapitałowego i bezpieczeństwa obrotu.</w:t>
            </w:r>
          </w:p>
          <w:p w:rsidR="00FA45B7" w:rsidRPr="00FA45B7" w:rsidRDefault="00FA45B7" w:rsidP="00FA45B7">
            <w:pPr>
              <w:widowControl/>
              <w:autoSpaceDE/>
              <w:autoSpaceDN/>
              <w:adjustRightInd/>
              <w:spacing w:line="240" w:lineRule="auto"/>
              <w:jc w:val="left"/>
              <w:rPr>
                <w:rFonts w:eastAsia="Calibri" w:cs="Times New Roman"/>
                <w:color w:val="000000"/>
                <w:spacing w:val="-2"/>
                <w:sz w:val="21"/>
                <w:szCs w:val="21"/>
                <w:lang w:eastAsia="en-US"/>
              </w:rPr>
            </w:pPr>
          </w:p>
        </w:tc>
      </w:tr>
      <w:tr w:rsidR="00FA45B7" w:rsidRPr="00FA45B7" w:rsidTr="00D66C4C">
        <w:trPr>
          <w:gridAfter w:val="1"/>
          <w:wAfter w:w="10" w:type="dxa"/>
          <w:trHeight w:val="1244"/>
        </w:trPr>
        <w:tc>
          <w:tcPr>
            <w:tcW w:w="2243" w:type="dxa"/>
            <w:gridSpan w:val="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 w:val="21"/>
                <w:szCs w:val="21"/>
                <w:lang w:eastAsia="en-US"/>
              </w:rPr>
            </w:pPr>
            <w:r w:rsidRPr="00FA45B7">
              <w:rPr>
                <w:rFonts w:eastAsia="Calibri" w:cs="Times New Roman"/>
                <w:color w:val="000000"/>
                <w:sz w:val="21"/>
                <w:szCs w:val="21"/>
                <w:lang w:eastAsia="en-US"/>
              </w:rPr>
              <w:t xml:space="preserve">Dodatkowe informacje, w tym wskazanie źródeł danych i przyjętych do obliczeń założeń </w:t>
            </w:r>
          </w:p>
        </w:tc>
        <w:tc>
          <w:tcPr>
            <w:tcW w:w="8694" w:type="dxa"/>
            <w:gridSpan w:val="27"/>
            <w:shd w:val="clear" w:color="auto" w:fill="FFFFFF"/>
            <w:vAlign w:val="center"/>
          </w:tcPr>
          <w:p w:rsidR="00FA45B7" w:rsidRPr="00FA45B7" w:rsidRDefault="00FA45B7" w:rsidP="00FA45B7">
            <w:pPr>
              <w:widowControl/>
              <w:autoSpaceDE/>
              <w:autoSpaceDN/>
              <w:adjustRightInd/>
              <w:spacing w:line="240" w:lineRule="auto"/>
              <w:rPr>
                <w:rFonts w:eastAsia="Calibri" w:cs="Times New Roman"/>
                <w:color w:val="000000"/>
                <w:sz w:val="21"/>
                <w:szCs w:val="21"/>
                <w:lang w:eastAsia="en-US"/>
              </w:rPr>
            </w:pPr>
          </w:p>
        </w:tc>
      </w:tr>
      <w:tr w:rsidR="00FA45B7" w:rsidRPr="00FA45B7" w:rsidTr="00FA45B7">
        <w:trPr>
          <w:gridAfter w:val="1"/>
          <w:wAfter w:w="10" w:type="dxa"/>
          <w:trHeight w:val="342"/>
        </w:trPr>
        <w:tc>
          <w:tcPr>
            <w:tcW w:w="10937" w:type="dxa"/>
            <w:gridSpan w:val="29"/>
            <w:shd w:val="clear" w:color="auto" w:fill="99CCFF"/>
            <w:vAlign w:val="center"/>
          </w:tcPr>
          <w:p w:rsidR="00FA45B7" w:rsidRPr="00FA45B7" w:rsidRDefault="00FA45B7" w:rsidP="00FA45B7">
            <w:pPr>
              <w:widowControl/>
              <w:numPr>
                <w:ilvl w:val="0"/>
                <w:numId w:val="4"/>
              </w:numPr>
              <w:autoSpaceDE/>
              <w:autoSpaceDN/>
              <w:adjustRightInd/>
              <w:spacing w:before="60" w:after="60" w:line="240" w:lineRule="auto"/>
              <w:ind w:left="318" w:hanging="284"/>
              <w:jc w:val="left"/>
              <w:rPr>
                <w:rFonts w:eastAsia="Calibri" w:cs="Times New Roman"/>
                <w:b/>
                <w:color w:val="000000"/>
                <w:szCs w:val="22"/>
                <w:lang w:eastAsia="en-US"/>
              </w:rPr>
            </w:pPr>
            <w:r w:rsidRPr="00FA45B7">
              <w:rPr>
                <w:rFonts w:eastAsia="Calibri" w:cs="Times New Roman"/>
                <w:b/>
                <w:color w:val="000000"/>
                <w:sz w:val="22"/>
                <w:szCs w:val="22"/>
                <w:lang w:eastAsia="en-US"/>
              </w:rPr>
              <w:t xml:space="preserve"> Zmiana obciążeń regulacyjnych (w tym obowiązków informacyjnych) wynikających z projektu</w:t>
            </w:r>
          </w:p>
        </w:tc>
      </w:tr>
      <w:tr w:rsidR="00FA45B7" w:rsidRPr="00FA45B7" w:rsidTr="00FA45B7">
        <w:trPr>
          <w:gridAfter w:val="1"/>
          <w:wAfter w:w="10" w:type="dxa"/>
          <w:trHeight w:val="151"/>
        </w:trPr>
        <w:tc>
          <w:tcPr>
            <w:tcW w:w="10937" w:type="dxa"/>
            <w:gridSpan w:val="29"/>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2"/>
                <w:szCs w:val="22"/>
                <w:lang w:eastAsia="en-US"/>
              </w:rPr>
              <w:t xml:space="preserve"> </w:t>
            </w:r>
            <w:r w:rsidRPr="00FA45B7">
              <w:rPr>
                <w:rFonts w:eastAsia="Calibri" w:cs="Times New Roman"/>
                <w:color w:val="000000"/>
                <w:spacing w:val="-2"/>
                <w:sz w:val="22"/>
                <w:szCs w:val="22"/>
                <w:lang w:eastAsia="en-US"/>
              </w:rPr>
              <w:t>nie dotyczy</w:t>
            </w:r>
          </w:p>
        </w:tc>
      </w:tr>
      <w:tr w:rsidR="00FA45B7" w:rsidRPr="00FA45B7" w:rsidTr="00FA45B7">
        <w:trPr>
          <w:gridAfter w:val="1"/>
          <w:wAfter w:w="10" w:type="dxa"/>
          <w:trHeight w:val="946"/>
        </w:trPr>
        <w:tc>
          <w:tcPr>
            <w:tcW w:w="5111" w:type="dxa"/>
            <w:gridSpan w:val="12"/>
            <w:shd w:val="clear" w:color="auto" w:fill="FFFFFF"/>
          </w:tcPr>
          <w:p w:rsidR="00FA45B7" w:rsidRPr="00FA45B7" w:rsidRDefault="00FA45B7" w:rsidP="00FA45B7">
            <w:pPr>
              <w:widowControl/>
              <w:autoSpaceDE/>
              <w:autoSpaceDN/>
              <w:adjustRightInd/>
              <w:spacing w:line="276" w:lineRule="auto"/>
              <w:jc w:val="left"/>
              <w:rPr>
                <w:rFonts w:eastAsia="Calibri" w:cs="Times New Roman"/>
                <w:color w:val="000000"/>
                <w:spacing w:val="-2"/>
                <w:szCs w:val="22"/>
                <w:lang w:eastAsia="en-US"/>
              </w:rPr>
            </w:pPr>
            <w:r w:rsidRPr="00FA45B7">
              <w:rPr>
                <w:rFonts w:eastAsia="Calibri" w:cs="Times New Roman"/>
                <w:color w:val="000000"/>
                <w:spacing w:val="-2"/>
                <w:sz w:val="22"/>
                <w:szCs w:val="22"/>
                <w:lang w:eastAsia="en-US"/>
              </w:rPr>
              <w:t xml:space="preserve">Wprowadzane są obciążenia poza bezwzględnie wymaganymi przez UE </w:t>
            </w:r>
            <w:r w:rsidRPr="00FA45B7">
              <w:rPr>
                <w:rFonts w:eastAsia="Calibri" w:cs="Times New Roman"/>
                <w:color w:val="000000"/>
                <w:sz w:val="22"/>
                <w:szCs w:val="22"/>
                <w:lang w:eastAsia="en-US"/>
              </w:rPr>
              <w:t>(szczegóły w odwróconej tabeli zgodności).</w:t>
            </w:r>
          </w:p>
        </w:tc>
        <w:tc>
          <w:tcPr>
            <w:tcW w:w="5826" w:type="dxa"/>
            <w:gridSpan w:val="17"/>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2"/>
                <w:szCs w:val="22"/>
                <w:lang w:eastAsia="en-US"/>
              </w:rPr>
              <w:t xml:space="preserve"> tak</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
                  <w:enabled/>
                  <w:calcOnExit w:val="0"/>
                  <w:checkBox>
                    <w:sizeAuto/>
                    <w:default w:val="1"/>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2"/>
                <w:szCs w:val="22"/>
                <w:lang w:eastAsia="en-US"/>
              </w:rPr>
              <w:t xml:space="preserve"> nie</w:t>
            </w:r>
          </w:p>
          <w:p w:rsidR="00FA45B7" w:rsidRPr="00FA45B7" w:rsidRDefault="00FA45B7" w:rsidP="00FA45B7">
            <w:pPr>
              <w:widowControl/>
              <w:autoSpaceDE/>
              <w:autoSpaceDN/>
              <w:adjustRightInd/>
              <w:spacing w:line="276"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2"/>
                <w:szCs w:val="22"/>
                <w:lang w:eastAsia="en-US"/>
              </w:rPr>
              <w:t xml:space="preserve"> nie dotyczy</w:t>
            </w:r>
          </w:p>
        </w:tc>
      </w:tr>
      <w:tr w:rsidR="00FA45B7" w:rsidRPr="00FA45B7" w:rsidTr="00FA45B7">
        <w:trPr>
          <w:gridAfter w:val="1"/>
          <w:wAfter w:w="10" w:type="dxa"/>
          <w:trHeight w:val="1245"/>
        </w:trPr>
        <w:tc>
          <w:tcPr>
            <w:tcW w:w="5111" w:type="dxa"/>
            <w:gridSpan w:val="1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 xml:space="preserve">zmniejszenie liczby dokumentów </w:t>
            </w: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zmniejszenie liczby procedur</w:t>
            </w: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skrócenie czasu na załatwienie sprawy</w:t>
            </w:r>
          </w:p>
          <w:p w:rsidR="00FA45B7" w:rsidRPr="00FA45B7" w:rsidRDefault="00FA45B7" w:rsidP="00FA45B7">
            <w:pPr>
              <w:widowControl/>
              <w:autoSpaceDE/>
              <w:autoSpaceDN/>
              <w:adjustRightInd/>
              <w:spacing w:line="276" w:lineRule="auto"/>
              <w:jc w:val="left"/>
              <w:rPr>
                <w:rFonts w:eastAsia="Calibri" w:cs="Times New Roman"/>
                <w:b/>
                <w:color w:val="000000"/>
                <w:spacing w:val="-2"/>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inne:</w:t>
            </w:r>
            <w:r w:rsidRPr="00FA45B7">
              <w:rPr>
                <w:rFonts w:eastAsia="Calibri" w:cs="Times New Roman"/>
                <w:color w:val="000000"/>
                <w:sz w:val="22"/>
                <w:szCs w:val="22"/>
                <w:lang w:eastAsia="en-US"/>
              </w:rPr>
              <w:t xml:space="preserve"> </w:t>
            </w:r>
            <w:r w:rsidRPr="00FA45B7">
              <w:rPr>
                <w:rFonts w:eastAsia="Calibri" w:cs="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FA45B7">
              <w:rPr>
                <w:rFonts w:eastAsia="Calibri" w:cs="Times New Roman"/>
                <w:color w:val="000000"/>
                <w:sz w:val="22"/>
                <w:szCs w:val="22"/>
                <w:lang w:eastAsia="en-US"/>
              </w:rPr>
              <w:instrText xml:space="preserve"> FORMTEXT </w:instrText>
            </w:r>
            <w:r w:rsidRPr="00FA45B7">
              <w:rPr>
                <w:rFonts w:eastAsia="Calibri" w:cs="Times New Roman"/>
                <w:color w:val="000000"/>
                <w:sz w:val="22"/>
                <w:szCs w:val="22"/>
                <w:lang w:eastAsia="en-US"/>
              </w:rPr>
            </w:r>
            <w:r w:rsidRPr="00FA45B7">
              <w:rPr>
                <w:rFonts w:eastAsia="Calibri" w:cs="Times New Roman"/>
                <w:color w:val="000000"/>
                <w:sz w:val="22"/>
                <w:szCs w:val="22"/>
                <w:lang w:eastAsia="en-US"/>
              </w:rPr>
              <w:fldChar w:fldCharType="separate"/>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cs="Times New Roman"/>
                <w:color w:val="000000"/>
                <w:sz w:val="22"/>
                <w:szCs w:val="22"/>
                <w:lang w:eastAsia="en-US"/>
              </w:rPr>
              <w:fldChar w:fldCharType="end"/>
            </w:r>
          </w:p>
        </w:tc>
        <w:tc>
          <w:tcPr>
            <w:tcW w:w="5826" w:type="dxa"/>
            <w:gridSpan w:val="17"/>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
                  <w:enabled/>
                  <w:calcOnExit w:val="0"/>
                  <w:checkBox>
                    <w:sizeAuto/>
                    <w:default w:val="1"/>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zwiększenie liczby dokumentów</w:t>
            </w: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
                  <w:enabled/>
                  <w:calcOnExit w:val="0"/>
                  <w:checkBox>
                    <w:sizeAuto/>
                    <w:default w:val="1"/>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zwiększenie liczby procedur</w:t>
            </w: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wydłużenie czasu na załatwienie sprawy</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inne:</w:t>
            </w:r>
            <w:r w:rsidRPr="00FA45B7">
              <w:rPr>
                <w:rFonts w:eastAsia="Calibri" w:cs="Times New Roman"/>
                <w:color w:val="000000"/>
                <w:sz w:val="22"/>
                <w:szCs w:val="22"/>
                <w:lang w:eastAsia="en-US"/>
              </w:rPr>
              <w:t xml:space="preserve"> </w:t>
            </w:r>
            <w:r w:rsidRPr="00FA45B7">
              <w:rPr>
                <w:rFonts w:eastAsia="Calibri" w:cs="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FA45B7">
              <w:rPr>
                <w:rFonts w:eastAsia="Calibri" w:cs="Times New Roman"/>
                <w:color w:val="000000"/>
                <w:sz w:val="22"/>
                <w:szCs w:val="22"/>
                <w:lang w:eastAsia="en-US"/>
              </w:rPr>
              <w:instrText xml:space="preserve"> FORMTEXT </w:instrText>
            </w:r>
            <w:r w:rsidRPr="00FA45B7">
              <w:rPr>
                <w:rFonts w:eastAsia="Calibri" w:cs="Times New Roman"/>
                <w:color w:val="000000"/>
                <w:sz w:val="22"/>
                <w:szCs w:val="22"/>
                <w:lang w:eastAsia="en-US"/>
              </w:rPr>
            </w:r>
            <w:r w:rsidRPr="00FA45B7">
              <w:rPr>
                <w:rFonts w:eastAsia="Calibri" w:cs="Times New Roman"/>
                <w:color w:val="000000"/>
                <w:sz w:val="22"/>
                <w:szCs w:val="22"/>
                <w:lang w:eastAsia="en-US"/>
              </w:rPr>
              <w:fldChar w:fldCharType="separate"/>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cs="Times New Roman"/>
                <w:color w:val="000000"/>
                <w:sz w:val="22"/>
                <w:szCs w:val="22"/>
                <w:lang w:eastAsia="en-US"/>
              </w:rPr>
              <w:fldChar w:fldCharType="end"/>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p>
        </w:tc>
      </w:tr>
      <w:tr w:rsidR="00FA45B7" w:rsidRPr="00FA45B7" w:rsidTr="00D25E45">
        <w:trPr>
          <w:gridAfter w:val="1"/>
          <w:wAfter w:w="10" w:type="dxa"/>
          <w:trHeight w:val="879"/>
        </w:trPr>
        <w:tc>
          <w:tcPr>
            <w:tcW w:w="5111" w:type="dxa"/>
            <w:gridSpan w:val="12"/>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pacing w:val="-2"/>
                <w:sz w:val="22"/>
                <w:szCs w:val="22"/>
                <w:lang w:eastAsia="en-US"/>
              </w:rPr>
              <w:t xml:space="preserve">Wprowadzane obciążenia są przystosowane do ich elektronizacji. </w:t>
            </w:r>
          </w:p>
        </w:tc>
        <w:tc>
          <w:tcPr>
            <w:tcW w:w="5826" w:type="dxa"/>
            <w:gridSpan w:val="17"/>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2"/>
                <w:szCs w:val="22"/>
                <w:lang w:eastAsia="en-US"/>
              </w:rPr>
              <w:t xml:space="preserve"> tak</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2"/>
                <w:szCs w:val="22"/>
                <w:lang w:eastAsia="en-US"/>
              </w:rPr>
              <w:t xml:space="preserve"> nie</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2"/>
                <w:szCs w:val="22"/>
                <w:lang w:eastAsia="en-US"/>
              </w:rPr>
              <w:t xml:space="preserve"> nie dotyczy</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p>
        </w:tc>
      </w:tr>
      <w:tr w:rsidR="00FA45B7" w:rsidRPr="00FA45B7" w:rsidTr="00FA45B7">
        <w:trPr>
          <w:gridAfter w:val="1"/>
          <w:wAfter w:w="10" w:type="dxa"/>
          <w:trHeight w:val="630"/>
        </w:trPr>
        <w:tc>
          <w:tcPr>
            <w:tcW w:w="10937" w:type="dxa"/>
            <w:gridSpan w:val="29"/>
            <w:shd w:val="clear" w:color="auto" w:fill="FFFFFF"/>
          </w:tcPr>
          <w:p w:rsidR="00FA45B7" w:rsidRPr="00FA45B7" w:rsidRDefault="00FA45B7" w:rsidP="00FA45B7">
            <w:pPr>
              <w:widowControl/>
              <w:autoSpaceDE/>
              <w:autoSpaceDN/>
              <w:adjustRightInd/>
              <w:spacing w:line="240" w:lineRule="auto"/>
              <w:rPr>
                <w:rFonts w:eastAsia="Calibri" w:cs="Times New Roman"/>
                <w:color w:val="000000"/>
                <w:szCs w:val="22"/>
                <w:lang w:eastAsia="en-US"/>
              </w:rPr>
            </w:pPr>
            <w:r w:rsidRPr="00FA45B7">
              <w:rPr>
                <w:rFonts w:eastAsia="Calibri" w:cs="Times New Roman"/>
                <w:color w:val="000000"/>
                <w:sz w:val="22"/>
                <w:szCs w:val="22"/>
                <w:lang w:eastAsia="en-US"/>
              </w:rPr>
              <w:t>Komentarz:</w:t>
            </w:r>
          </w:p>
          <w:p w:rsidR="00FA45B7" w:rsidRPr="00FA45B7" w:rsidRDefault="00FA45B7" w:rsidP="00FA45B7">
            <w:pPr>
              <w:widowControl/>
              <w:autoSpaceDE/>
              <w:autoSpaceDN/>
              <w:adjustRightInd/>
              <w:spacing w:line="240" w:lineRule="auto"/>
              <w:rPr>
                <w:rFonts w:eastAsia="Calibri" w:cs="Times New Roman"/>
                <w:szCs w:val="22"/>
                <w:lang w:eastAsia="en-US"/>
              </w:rPr>
            </w:pPr>
            <w:r w:rsidRPr="00FA45B7">
              <w:rPr>
                <w:rFonts w:eastAsia="Calibri" w:cs="Times New Roman"/>
                <w:sz w:val="22"/>
                <w:szCs w:val="22"/>
                <w:lang w:eastAsia="en-US"/>
              </w:rPr>
              <w:t>Zmiany obciążeń regulacyjnych wynikać będą przede wszystkim z modyfikacji przepisów odnoszących się do procedury wyboru „państwa macierzystego” przez emitenta i zawiadamiania o tym wyborze oraz zmian w zakresie przepisów dotyczących zawiadamiania o znacznych pakietach praw głosu.</w:t>
            </w:r>
          </w:p>
        </w:tc>
      </w:tr>
      <w:tr w:rsidR="00FA45B7" w:rsidRPr="00FA45B7" w:rsidTr="00FA45B7">
        <w:trPr>
          <w:gridAfter w:val="1"/>
          <w:wAfter w:w="10" w:type="dxa"/>
          <w:trHeight w:val="142"/>
        </w:trPr>
        <w:tc>
          <w:tcPr>
            <w:tcW w:w="10937" w:type="dxa"/>
            <w:gridSpan w:val="29"/>
            <w:shd w:val="clear" w:color="auto" w:fill="99CCFF"/>
          </w:tcPr>
          <w:p w:rsidR="00FA45B7" w:rsidRPr="00FA45B7" w:rsidRDefault="00FA45B7" w:rsidP="00FA45B7">
            <w:pPr>
              <w:widowControl/>
              <w:numPr>
                <w:ilvl w:val="0"/>
                <w:numId w:val="4"/>
              </w:numPr>
              <w:autoSpaceDE/>
              <w:autoSpaceDN/>
              <w:adjustRightInd/>
              <w:spacing w:before="60" w:after="60" w:line="240" w:lineRule="auto"/>
              <w:jc w:val="left"/>
              <w:rPr>
                <w:rFonts w:eastAsia="Calibri" w:cs="Times New Roman"/>
                <w:b/>
                <w:color w:val="000000"/>
                <w:szCs w:val="22"/>
                <w:lang w:eastAsia="en-US"/>
              </w:rPr>
            </w:pPr>
            <w:r w:rsidRPr="00FA45B7">
              <w:rPr>
                <w:rFonts w:eastAsia="Calibri" w:cs="Times New Roman"/>
                <w:b/>
                <w:color w:val="000000"/>
                <w:sz w:val="22"/>
                <w:szCs w:val="22"/>
                <w:lang w:eastAsia="en-US"/>
              </w:rPr>
              <w:t xml:space="preserve">Wpływ na rynek pracy </w:t>
            </w:r>
          </w:p>
        </w:tc>
      </w:tr>
      <w:tr w:rsidR="00FA45B7" w:rsidRPr="00FA45B7" w:rsidTr="00FA45B7">
        <w:trPr>
          <w:gridAfter w:val="1"/>
          <w:wAfter w:w="10" w:type="dxa"/>
          <w:trHeight w:val="142"/>
        </w:trPr>
        <w:tc>
          <w:tcPr>
            <w:tcW w:w="10937" w:type="dxa"/>
            <w:gridSpan w:val="29"/>
            <w:shd w:val="clear" w:color="auto" w:fill="auto"/>
          </w:tcPr>
          <w:p w:rsidR="00FA45B7" w:rsidRPr="00FA45B7" w:rsidRDefault="00FA45B7" w:rsidP="00D66C4C">
            <w:pPr>
              <w:widowControl/>
              <w:autoSpaceDE/>
              <w:autoSpaceDN/>
              <w:adjustRightInd/>
              <w:spacing w:before="120" w:line="240" w:lineRule="auto"/>
              <w:rPr>
                <w:rFonts w:eastAsia="Calibri" w:cs="Times New Roman"/>
                <w:color w:val="000000"/>
                <w:szCs w:val="22"/>
                <w:lang w:eastAsia="en-US"/>
              </w:rPr>
            </w:pPr>
            <w:r w:rsidRPr="00FA45B7">
              <w:rPr>
                <w:rFonts w:eastAsia="Calibri" w:cs="Times New Roman"/>
                <w:color w:val="000000"/>
                <w:sz w:val="22"/>
                <w:szCs w:val="22"/>
                <w:lang w:eastAsia="en-US"/>
              </w:rPr>
              <w:t>Projektowana ustawa nie wpłynie na rynek pracy.</w:t>
            </w:r>
          </w:p>
        </w:tc>
      </w:tr>
      <w:tr w:rsidR="00FA45B7" w:rsidRPr="00FA45B7" w:rsidTr="00FA45B7">
        <w:trPr>
          <w:gridAfter w:val="1"/>
          <w:wAfter w:w="10" w:type="dxa"/>
          <w:trHeight w:val="142"/>
        </w:trPr>
        <w:tc>
          <w:tcPr>
            <w:tcW w:w="10937" w:type="dxa"/>
            <w:gridSpan w:val="29"/>
            <w:shd w:val="clear" w:color="auto" w:fill="99CCFF"/>
          </w:tcPr>
          <w:p w:rsidR="00FA45B7" w:rsidRPr="00FA45B7" w:rsidRDefault="00FA45B7" w:rsidP="00FA45B7">
            <w:pPr>
              <w:widowControl/>
              <w:numPr>
                <w:ilvl w:val="0"/>
                <w:numId w:val="4"/>
              </w:numPr>
              <w:autoSpaceDE/>
              <w:autoSpaceDN/>
              <w:adjustRightInd/>
              <w:spacing w:before="60" w:after="60" w:line="240" w:lineRule="auto"/>
              <w:jc w:val="left"/>
              <w:rPr>
                <w:rFonts w:eastAsia="Calibri" w:cs="Times New Roman"/>
                <w:b/>
                <w:color w:val="000000"/>
                <w:szCs w:val="22"/>
                <w:lang w:eastAsia="en-US"/>
              </w:rPr>
            </w:pPr>
            <w:r w:rsidRPr="00FA45B7">
              <w:rPr>
                <w:rFonts w:eastAsia="Calibri" w:cs="Times New Roman"/>
                <w:b/>
                <w:color w:val="000000"/>
                <w:sz w:val="22"/>
                <w:szCs w:val="22"/>
                <w:lang w:eastAsia="en-US"/>
              </w:rPr>
              <w:t>Wpływ na pozostałe obszary</w:t>
            </w:r>
          </w:p>
        </w:tc>
      </w:tr>
      <w:tr w:rsidR="00FA45B7" w:rsidRPr="00FA45B7" w:rsidTr="00FA45B7">
        <w:trPr>
          <w:gridAfter w:val="1"/>
          <w:wAfter w:w="10" w:type="dxa"/>
          <w:trHeight w:val="1031"/>
        </w:trPr>
        <w:tc>
          <w:tcPr>
            <w:tcW w:w="3547" w:type="dxa"/>
            <w:gridSpan w:val="5"/>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środowisko naturalne</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z w:val="22"/>
                <w:szCs w:val="22"/>
                <w:lang w:eastAsia="en-US"/>
              </w:rPr>
              <w:t>sytuacja i rozwój regionalny</w:t>
            </w: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 xml:space="preserve">inne: </w:t>
            </w:r>
            <w:r w:rsidRPr="00FA45B7">
              <w:rPr>
                <w:rFonts w:eastAsia="Calibri" w:cs="Times New Roman"/>
                <w:color w:val="000000"/>
                <w:sz w:val="22"/>
                <w:szCs w:val="22"/>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FA45B7">
              <w:rPr>
                <w:rFonts w:eastAsia="Calibri" w:cs="Times New Roman"/>
                <w:color w:val="000000"/>
                <w:sz w:val="22"/>
                <w:szCs w:val="22"/>
                <w:lang w:eastAsia="en-US"/>
              </w:rPr>
              <w:instrText xml:space="preserve"> FORMTEXT </w:instrText>
            </w:r>
            <w:r w:rsidRPr="00FA45B7">
              <w:rPr>
                <w:rFonts w:eastAsia="Calibri" w:cs="Times New Roman"/>
                <w:color w:val="000000"/>
                <w:sz w:val="22"/>
                <w:szCs w:val="22"/>
                <w:lang w:eastAsia="en-US"/>
              </w:rPr>
            </w:r>
            <w:r w:rsidRPr="00FA45B7">
              <w:rPr>
                <w:rFonts w:eastAsia="Calibri" w:cs="Times New Roman"/>
                <w:color w:val="000000"/>
                <w:sz w:val="22"/>
                <w:szCs w:val="22"/>
                <w:lang w:eastAsia="en-US"/>
              </w:rPr>
              <w:fldChar w:fldCharType="separate"/>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hAnsi="Calibri" w:cs="Times New Roman"/>
                <w:noProof/>
                <w:color w:val="000000"/>
                <w:sz w:val="22"/>
                <w:szCs w:val="22"/>
                <w:lang w:eastAsia="en-US"/>
              </w:rPr>
              <w:t> </w:t>
            </w:r>
            <w:r w:rsidRPr="00FA45B7">
              <w:rPr>
                <w:rFonts w:eastAsia="Calibri" w:cs="Times New Roman"/>
                <w:color w:val="000000"/>
                <w:sz w:val="22"/>
                <w:szCs w:val="22"/>
                <w:lang w:eastAsia="en-US"/>
              </w:rPr>
              <w:fldChar w:fldCharType="end"/>
            </w:r>
          </w:p>
        </w:tc>
        <w:tc>
          <w:tcPr>
            <w:tcW w:w="3687" w:type="dxa"/>
            <w:gridSpan w:val="15"/>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demografia</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z w:val="22"/>
                <w:szCs w:val="22"/>
                <w:lang w:eastAsia="en-US"/>
              </w:rPr>
              <w:t>mienie państwowe</w:t>
            </w:r>
          </w:p>
        </w:tc>
        <w:tc>
          <w:tcPr>
            <w:tcW w:w="3703" w:type="dxa"/>
            <w:gridSpan w:val="9"/>
            <w:shd w:val="clear" w:color="auto" w:fill="FFFFFF"/>
          </w:tcPr>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p>
          <w:p w:rsidR="00FA45B7" w:rsidRPr="00FA45B7" w:rsidRDefault="00FA45B7" w:rsidP="00FA45B7">
            <w:pPr>
              <w:widowControl/>
              <w:autoSpaceDE/>
              <w:autoSpaceDN/>
              <w:adjustRightInd/>
              <w:spacing w:line="240" w:lineRule="auto"/>
              <w:jc w:val="left"/>
              <w:rPr>
                <w:rFonts w:eastAsia="Calibri" w:cs="Times New Roman"/>
                <w:color w:val="000000"/>
                <w:spacing w:val="-2"/>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informatyzacja</w:t>
            </w:r>
          </w:p>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fldChar w:fldCharType="begin">
                <w:ffData>
                  <w:name w:val="Wybór1"/>
                  <w:enabled/>
                  <w:calcOnExit w:val="0"/>
                  <w:checkBox>
                    <w:sizeAuto/>
                    <w:default w:val="0"/>
                  </w:checkBox>
                </w:ffData>
              </w:fldChar>
            </w:r>
            <w:r w:rsidRPr="00FA45B7">
              <w:rPr>
                <w:rFonts w:eastAsia="Calibri" w:cs="Times New Roman"/>
                <w:color w:val="000000"/>
                <w:sz w:val="22"/>
                <w:szCs w:val="22"/>
                <w:lang w:eastAsia="en-US"/>
              </w:rPr>
              <w:instrText xml:space="preserve"> FORMCHECKBOX </w:instrText>
            </w:r>
            <w:r w:rsidR="0098454C">
              <w:rPr>
                <w:rFonts w:eastAsia="Calibri" w:cs="Times New Roman"/>
                <w:color w:val="000000"/>
                <w:sz w:val="22"/>
                <w:szCs w:val="22"/>
                <w:lang w:eastAsia="en-US"/>
              </w:rPr>
            </w:r>
            <w:r w:rsidR="0098454C">
              <w:rPr>
                <w:rFonts w:eastAsia="Calibri" w:cs="Times New Roman"/>
                <w:color w:val="000000"/>
                <w:sz w:val="22"/>
                <w:szCs w:val="22"/>
                <w:lang w:eastAsia="en-US"/>
              </w:rPr>
              <w:fldChar w:fldCharType="separate"/>
            </w:r>
            <w:r w:rsidRPr="00FA45B7">
              <w:rPr>
                <w:rFonts w:eastAsia="Calibri" w:cs="Times New Roman"/>
                <w:color w:val="000000"/>
                <w:sz w:val="22"/>
                <w:szCs w:val="22"/>
                <w:lang w:eastAsia="en-US"/>
              </w:rPr>
              <w:fldChar w:fldCharType="end"/>
            </w:r>
            <w:r w:rsidRPr="00FA45B7">
              <w:rPr>
                <w:rFonts w:eastAsia="Calibri" w:cs="Times New Roman"/>
                <w:color w:val="000000"/>
                <w:sz w:val="20"/>
                <w:lang w:eastAsia="en-US"/>
              </w:rPr>
              <w:t xml:space="preserve"> </w:t>
            </w:r>
            <w:r w:rsidRPr="00FA45B7">
              <w:rPr>
                <w:rFonts w:eastAsia="Calibri" w:cs="Times New Roman"/>
                <w:color w:val="000000"/>
                <w:spacing w:val="-2"/>
                <w:sz w:val="22"/>
                <w:szCs w:val="22"/>
                <w:lang w:eastAsia="en-US"/>
              </w:rPr>
              <w:t>zdrowie</w:t>
            </w:r>
          </w:p>
        </w:tc>
      </w:tr>
      <w:tr w:rsidR="00FA45B7" w:rsidRPr="00FA45B7" w:rsidTr="00FA45B7">
        <w:trPr>
          <w:gridAfter w:val="1"/>
          <w:wAfter w:w="10" w:type="dxa"/>
          <w:trHeight w:val="712"/>
        </w:trPr>
        <w:tc>
          <w:tcPr>
            <w:tcW w:w="2243" w:type="dxa"/>
            <w:gridSpan w:val="2"/>
            <w:shd w:val="clear" w:color="auto" w:fill="FFFFFF"/>
            <w:vAlign w:val="center"/>
          </w:tcPr>
          <w:p w:rsidR="00FA45B7" w:rsidRPr="00FA45B7" w:rsidRDefault="00FA45B7" w:rsidP="00FA45B7">
            <w:pPr>
              <w:widowControl/>
              <w:autoSpaceDE/>
              <w:autoSpaceDN/>
              <w:adjustRightInd/>
              <w:spacing w:line="240" w:lineRule="auto"/>
              <w:jc w:val="left"/>
              <w:rPr>
                <w:rFonts w:eastAsia="Calibri" w:cs="Times New Roman"/>
                <w:color w:val="000000"/>
                <w:szCs w:val="22"/>
                <w:lang w:eastAsia="en-US"/>
              </w:rPr>
            </w:pPr>
            <w:r w:rsidRPr="00FA45B7">
              <w:rPr>
                <w:rFonts w:eastAsia="Calibri" w:cs="Times New Roman"/>
                <w:color w:val="000000"/>
                <w:sz w:val="22"/>
                <w:szCs w:val="22"/>
                <w:lang w:eastAsia="en-US"/>
              </w:rPr>
              <w:t>Omówienie wpływu</w:t>
            </w:r>
          </w:p>
        </w:tc>
        <w:tc>
          <w:tcPr>
            <w:tcW w:w="8694" w:type="dxa"/>
            <w:gridSpan w:val="27"/>
            <w:shd w:val="clear" w:color="auto" w:fill="FFFFFF"/>
            <w:vAlign w:val="center"/>
          </w:tcPr>
          <w:p w:rsidR="00FA45B7" w:rsidRPr="00FA45B7" w:rsidRDefault="00FA45B7" w:rsidP="00D66C4C">
            <w:pPr>
              <w:widowControl/>
              <w:autoSpaceDE/>
              <w:autoSpaceDN/>
              <w:adjustRightInd/>
              <w:spacing w:before="120" w:line="240" w:lineRule="auto"/>
              <w:rPr>
                <w:rFonts w:eastAsia="Calibri" w:cs="Times New Roman"/>
                <w:color w:val="000000"/>
                <w:spacing w:val="-2"/>
                <w:szCs w:val="22"/>
                <w:lang w:eastAsia="en-US"/>
              </w:rPr>
            </w:pPr>
            <w:r w:rsidRPr="00FA45B7">
              <w:rPr>
                <w:rFonts w:eastAsia="Calibri" w:cs="Times New Roman"/>
                <w:color w:val="000000"/>
                <w:sz w:val="22"/>
                <w:szCs w:val="22"/>
                <w:lang w:eastAsia="en-US"/>
              </w:rPr>
              <w:t>Projektowana ustawa nie wpłynie na wymienione obszary.</w:t>
            </w:r>
          </w:p>
        </w:tc>
      </w:tr>
      <w:tr w:rsidR="00FA45B7" w:rsidRPr="00FA45B7" w:rsidTr="00FA45B7">
        <w:trPr>
          <w:gridAfter w:val="1"/>
          <w:wAfter w:w="10" w:type="dxa"/>
          <w:trHeight w:val="142"/>
        </w:trPr>
        <w:tc>
          <w:tcPr>
            <w:tcW w:w="10937" w:type="dxa"/>
            <w:gridSpan w:val="29"/>
            <w:shd w:val="clear" w:color="auto" w:fill="99CCFF"/>
          </w:tcPr>
          <w:p w:rsidR="00FA45B7" w:rsidRPr="00FA45B7" w:rsidRDefault="00D66C4C" w:rsidP="00FA45B7">
            <w:pPr>
              <w:widowControl/>
              <w:numPr>
                <w:ilvl w:val="0"/>
                <w:numId w:val="4"/>
              </w:numPr>
              <w:autoSpaceDE/>
              <w:autoSpaceDN/>
              <w:adjustRightInd/>
              <w:spacing w:before="60" w:after="60" w:line="240" w:lineRule="auto"/>
              <w:ind w:left="318" w:hanging="284"/>
              <w:jc w:val="left"/>
              <w:rPr>
                <w:rFonts w:eastAsia="Calibri" w:cs="Times New Roman"/>
                <w:b/>
                <w:szCs w:val="22"/>
                <w:lang w:eastAsia="en-US"/>
              </w:rPr>
            </w:pPr>
            <w:r>
              <w:rPr>
                <w:rFonts w:eastAsia="Calibri" w:cs="Times New Roman"/>
                <w:b/>
                <w:spacing w:val="-2"/>
                <w:sz w:val="21"/>
                <w:szCs w:val="21"/>
                <w:lang w:eastAsia="en-US"/>
              </w:rPr>
              <w:t xml:space="preserve"> </w:t>
            </w:r>
            <w:r w:rsidR="00FA45B7" w:rsidRPr="00FA45B7">
              <w:rPr>
                <w:rFonts w:eastAsia="Calibri" w:cs="Times New Roman"/>
                <w:b/>
                <w:spacing w:val="-2"/>
                <w:sz w:val="21"/>
                <w:szCs w:val="21"/>
                <w:lang w:eastAsia="en-US"/>
              </w:rPr>
              <w:t>Planowane wykonanie przepisów aktu prawnego</w:t>
            </w:r>
          </w:p>
        </w:tc>
      </w:tr>
      <w:tr w:rsidR="00FA45B7" w:rsidRPr="00FA45B7" w:rsidTr="00FA45B7">
        <w:trPr>
          <w:gridAfter w:val="1"/>
          <w:wAfter w:w="10" w:type="dxa"/>
          <w:trHeight w:val="142"/>
        </w:trPr>
        <w:tc>
          <w:tcPr>
            <w:tcW w:w="10937" w:type="dxa"/>
            <w:gridSpan w:val="29"/>
            <w:shd w:val="clear" w:color="auto" w:fill="FFFFFF"/>
          </w:tcPr>
          <w:p w:rsidR="00FA45B7" w:rsidRPr="00D66C4C" w:rsidRDefault="00FA45B7" w:rsidP="00D66C4C">
            <w:pPr>
              <w:widowControl/>
              <w:autoSpaceDE/>
              <w:autoSpaceDN/>
              <w:adjustRightInd/>
              <w:spacing w:before="120" w:line="240" w:lineRule="auto"/>
              <w:rPr>
                <w:rFonts w:eastAsia="Calibri" w:cs="Times New Roman"/>
                <w:color w:val="000000"/>
                <w:szCs w:val="22"/>
                <w:lang w:eastAsia="en-US"/>
              </w:rPr>
            </w:pPr>
            <w:r w:rsidRPr="00FA45B7">
              <w:rPr>
                <w:rFonts w:eastAsia="Calibri" w:cs="Times New Roman"/>
                <w:color w:val="000000"/>
                <w:sz w:val="22"/>
                <w:szCs w:val="22"/>
                <w:lang w:eastAsia="en-US"/>
              </w:rPr>
              <w:t xml:space="preserve">Planuje się, że projektowana ustawa wejdzie w życie w terminie 14 dni od dnia ogłoszenia. Rozwiązanie problemu zidentyfikowanego w pkt 1 uzasadnia, zgodnie z § 1 ust. 2 uchwały nr 20 Rady Ministrów z dnia 18 lutego 2014 r. w sprawie zaleceń ujednolicenia terminów wejścia w życie niektórych aktów normatywnych, odstąpienie od zasady określonej w § 1 ust. 1 tej uchwały, w świetle której, jeżeli ustawa zawiera przepisy określające warunki wykonywania działalności gospodarczej, termin wejścia w życie tej ustawy powinien być wyznaczony na dzień 1 stycznia albo 1 </w:t>
            </w:r>
            <w:r w:rsidRPr="00FA45B7">
              <w:rPr>
                <w:rFonts w:eastAsia="Calibri" w:cs="Times New Roman"/>
                <w:color w:val="000000"/>
                <w:sz w:val="22"/>
                <w:szCs w:val="22"/>
                <w:lang w:eastAsia="en-US"/>
              </w:rPr>
              <w:lastRenderedPageBreak/>
              <w:t>czerwca.</w:t>
            </w:r>
          </w:p>
        </w:tc>
      </w:tr>
      <w:tr w:rsidR="00FA45B7" w:rsidRPr="00FA45B7" w:rsidTr="00FA45B7">
        <w:trPr>
          <w:gridAfter w:val="1"/>
          <w:wAfter w:w="10" w:type="dxa"/>
          <w:trHeight w:val="142"/>
        </w:trPr>
        <w:tc>
          <w:tcPr>
            <w:tcW w:w="10937" w:type="dxa"/>
            <w:gridSpan w:val="29"/>
            <w:shd w:val="clear" w:color="auto" w:fill="99CCFF"/>
          </w:tcPr>
          <w:p w:rsidR="00FA45B7" w:rsidRPr="00FA45B7" w:rsidRDefault="00FA45B7" w:rsidP="00FA45B7">
            <w:pPr>
              <w:widowControl/>
              <w:numPr>
                <w:ilvl w:val="0"/>
                <w:numId w:val="4"/>
              </w:numPr>
              <w:autoSpaceDE/>
              <w:autoSpaceDN/>
              <w:adjustRightInd/>
              <w:spacing w:before="60" w:after="60" w:line="240" w:lineRule="auto"/>
              <w:ind w:left="318" w:hanging="284"/>
              <w:jc w:val="left"/>
              <w:rPr>
                <w:rFonts w:eastAsia="Calibri" w:cs="Times New Roman"/>
                <w:b/>
                <w:color w:val="000000"/>
                <w:szCs w:val="22"/>
                <w:lang w:eastAsia="en-US"/>
              </w:rPr>
            </w:pPr>
            <w:r w:rsidRPr="00FA45B7">
              <w:rPr>
                <w:rFonts w:eastAsia="Calibri" w:cs="Times New Roman"/>
                <w:b/>
                <w:color w:val="000000"/>
                <w:sz w:val="22"/>
                <w:szCs w:val="22"/>
                <w:lang w:eastAsia="en-US"/>
              </w:rPr>
              <w:lastRenderedPageBreak/>
              <w:t xml:space="preserve"> </w:t>
            </w:r>
            <w:r w:rsidRPr="00FA45B7">
              <w:rPr>
                <w:rFonts w:eastAsia="Calibri" w:cs="Times New Roman"/>
                <w:b/>
                <w:spacing w:val="-2"/>
                <w:sz w:val="21"/>
                <w:szCs w:val="21"/>
                <w:lang w:eastAsia="en-US"/>
              </w:rPr>
              <w:t>W jaki sposób i kiedy nastąpi ewaluacja efektów projektu oraz jakie mierniki zostaną zastosowane?</w:t>
            </w:r>
          </w:p>
        </w:tc>
      </w:tr>
      <w:tr w:rsidR="00FA45B7" w:rsidRPr="00FA45B7" w:rsidTr="00FA45B7">
        <w:trPr>
          <w:gridAfter w:val="1"/>
          <w:wAfter w:w="10" w:type="dxa"/>
          <w:trHeight w:val="142"/>
        </w:trPr>
        <w:tc>
          <w:tcPr>
            <w:tcW w:w="10937" w:type="dxa"/>
            <w:gridSpan w:val="29"/>
            <w:shd w:val="clear" w:color="auto" w:fill="FFFFFF"/>
          </w:tcPr>
          <w:p w:rsidR="00FA45B7" w:rsidRPr="00FA45B7" w:rsidRDefault="00FA45B7" w:rsidP="00D66C4C">
            <w:pPr>
              <w:widowControl/>
              <w:autoSpaceDE/>
              <w:autoSpaceDN/>
              <w:adjustRightInd/>
              <w:spacing w:before="120" w:line="240" w:lineRule="auto"/>
              <w:rPr>
                <w:rFonts w:eastAsia="Calibri" w:cs="Times New Roman"/>
                <w:color w:val="000000"/>
                <w:spacing w:val="-2"/>
                <w:szCs w:val="22"/>
                <w:lang w:eastAsia="en-US"/>
              </w:rPr>
            </w:pPr>
            <w:r w:rsidRPr="00FA45B7">
              <w:rPr>
                <w:rFonts w:eastAsia="Calibri" w:cs="Times New Roman"/>
                <w:color w:val="000000"/>
                <w:spacing w:val="-2"/>
                <w:sz w:val="22"/>
                <w:szCs w:val="22"/>
                <w:lang w:eastAsia="en-US"/>
              </w:rPr>
              <w:t>Ewaluacja efektów projektu ustawy nastąpi na podstawie wniosków wynikających z działań nadzorczych Komisji Nadzoru Finansowego.</w:t>
            </w:r>
          </w:p>
        </w:tc>
      </w:tr>
      <w:tr w:rsidR="00FA45B7" w:rsidRPr="00FA45B7" w:rsidTr="00FA45B7">
        <w:trPr>
          <w:gridAfter w:val="1"/>
          <w:wAfter w:w="10" w:type="dxa"/>
          <w:trHeight w:val="142"/>
        </w:trPr>
        <w:tc>
          <w:tcPr>
            <w:tcW w:w="10937" w:type="dxa"/>
            <w:gridSpan w:val="29"/>
            <w:shd w:val="clear" w:color="auto" w:fill="99CCFF"/>
          </w:tcPr>
          <w:p w:rsidR="00FA45B7" w:rsidRPr="00FA45B7" w:rsidRDefault="00D66C4C" w:rsidP="00FA45B7">
            <w:pPr>
              <w:widowControl/>
              <w:numPr>
                <w:ilvl w:val="0"/>
                <w:numId w:val="4"/>
              </w:numPr>
              <w:autoSpaceDE/>
              <w:autoSpaceDN/>
              <w:adjustRightInd/>
              <w:spacing w:before="60" w:after="60" w:line="240" w:lineRule="auto"/>
              <w:ind w:left="318" w:hanging="284"/>
              <w:jc w:val="left"/>
              <w:rPr>
                <w:rFonts w:eastAsia="Calibri" w:cs="Times New Roman"/>
                <w:b/>
                <w:color w:val="000000"/>
                <w:spacing w:val="-2"/>
                <w:szCs w:val="22"/>
                <w:lang w:eastAsia="en-US"/>
              </w:rPr>
            </w:pPr>
            <w:r>
              <w:rPr>
                <w:rFonts w:eastAsia="Calibri" w:cs="Times New Roman"/>
                <w:b/>
                <w:color w:val="000000"/>
                <w:spacing w:val="-2"/>
                <w:sz w:val="22"/>
                <w:szCs w:val="22"/>
                <w:lang w:eastAsia="en-US"/>
              </w:rPr>
              <w:t xml:space="preserve"> </w:t>
            </w:r>
            <w:r w:rsidR="00FA45B7" w:rsidRPr="00FA45B7">
              <w:rPr>
                <w:rFonts w:eastAsia="Calibri" w:cs="Times New Roman"/>
                <w:b/>
                <w:color w:val="000000"/>
                <w:spacing w:val="-2"/>
                <w:sz w:val="22"/>
                <w:szCs w:val="22"/>
                <w:lang w:eastAsia="en-US"/>
              </w:rPr>
              <w:t xml:space="preserve">Załączniki </w:t>
            </w:r>
            <w:r w:rsidR="00FA45B7" w:rsidRPr="00FA45B7">
              <w:rPr>
                <w:rFonts w:eastAsia="Calibri" w:cs="Times New Roman"/>
                <w:b/>
                <w:spacing w:val="-2"/>
                <w:sz w:val="21"/>
                <w:szCs w:val="21"/>
                <w:lang w:eastAsia="en-US"/>
              </w:rPr>
              <w:t>(istotne dokumenty źródłowe, badania, analizy itp.</w:t>
            </w:r>
            <w:r w:rsidR="00FA45B7" w:rsidRPr="00FA45B7">
              <w:rPr>
                <w:rFonts w:eastAsia="Calibri" w:cs="Times New Roman"/>
                <w:b/>
                <w:color w:val="000000"/>
                <w:spacing w:val="-2"/>
                <w:sz w:val="22"/>
                <w:szCs w:val="22"/>
                <w:lang w:eastAsia="en-US"/>
              </w:rPr>
              <w:t xml:space="preserve">) </w:t>
            </w:r>
          </w:p>
        </w:tc>
      </w:tr>
      <w:tr w:rsidR="00FA45B7" w:rsidRPr="00FA45B7" w:rsidTr="00FA45B7">
        <w:trPr>
          <w:gridAfter w:val="1"/>
          <w:wAfter w:w="10" w:type="dxa"/>
          <w:trHeight w:val="142"/>
        </w:trPr>
        <w:tc>
          <w:tcPr>
            <w:tcW w:w="10937" w:type="dxa"/>
            <w:gridSpan w:val="29"/>
            <w:shd w:val="clear" w:color="auto" w:fill="FFFFFF"/>
          </w:tcPr>
          <w:p w:rsidR="00FA45B7" w:rsidRPr="00FA45B7" w:rsidRDefault="00FA45B7" w:rsidP="00FA45B7">
            <w:pPr>
              <w:widowControl/>
              <w:autoSpaceDE/>
              <w:autoSpaceDN/>
              <w:adjustRightInd/>
              <w:spacing w:line="240" w:lineRule="auto"/>
              <w:rPr>
                <w:rFonts w:eastAsia="Calibri" w:cs="Times New Roman"/>
                <w:i/>
                <w:color w:val="000000"/>
                <w:spacing w:val="-2"/>
                <w:sz w:val="18"/>
                <w:szCs w:val="18"/>
                <w:lang w:eastAsia="en-US"/>
              </w:rPr>
            </w:pPr>
          </w:p>
          <w:p w:rsidR="00FA45B7" w:rsidRPr="00FA45B7" w:rsidRDefault="00FA45B7" w:rsidP="00FA45B7">
            <w:pPr>
              <w:widowControl/>
              <w:autoSpaceDE/>
              <w:autoSpaceDN/>
              <w:adjustRightInd/>
              <w:spacing w:line="240" w:lineRule="auto"/>
              <w:rPr>
                <w:rFonts w:eastAsia="Calibri" w:cs="Times New Roman"/>
                <w:color w:val="000000"/>
                <w:spacing w:val="-2"/>
                <w:szCs w:val="22"/>
                <w:lang w:eastAsia="en-US"/>
              </w:rPr>
            </w:pPr>
          </w:p>
          <w:p w:rsidR="00FA45B7" w:rsidRPr="00FA45B7" w:rsidRDefault="00FA45B7" w:rsidP="00FA45B7">
            <w:pPr>
              <w:widowControl/>
              <w:autoSpaceDE/>
              <w:autoSpaceDN/>
              <w:adjustRightInd/>
              <w:spacing w:line="240" w:lineRule="auto"/>
              <w:rPr>
                <w:rFonts w:eastAsia="Calibri" w:cs="Times New Roman"/>
                <w:color w:val="000000"/>
                <w:spacing w:val="-2"/>
                <w:szCs w:val="22"/>
                <w:lang w:eastAsia="en-US"/>
              </w:rPr>
            </w:pPr>
          </w:p>
          <w:p w:rsidR="00FA45B7" w:rsidRPr="00FA45B7" w:rsidRDefault="00FA45B7" w:rsidP="00FA45B7">
            <w:pPr>
              <w:widowControl/>
              <w:autoSpaceDE/>
              <w:autoSpaceDN/>
              <w:adjustRightInd/>
              <w:spacing w:line="240" w:lineRule="auto"/>
              <w:rPr>
                <w:rFonts w:eastAsia="Calibri" w:cs="Times New Roman"/>
                <w:color w:val="000000"/>
                <w:spacing w:val="-2"/>
                <w:szCs w:val="22"/>
                <w:lang w:eastAsia="en-US"/>
              </w:rPr>
            </w:pPr>
          </w:p>
        </w:tc>
      </w:tr>
    </w:tbl>
    <w:p w:rsidR="00D21549" w:rsidRPr="00D66C4C" w:rsidRDefault="00D21549" w:rsidP="003F5670">
      <w:pPr>
        <w:rPr>
          <w:sz w:val="20"/>
        </w:rPr>
      </w:pPr>
    </w:p>
    <w:sectPr w:rsidR="00D21549" w:rsidRPr="00D66C4C" w:rsidSect="00FA45B7">
      <w:footnotePr>
        <w:numRestart w:val="eachSect"/>
      </w:footnotePr>
      <w:pgSz w:w="11906" w:h="16838"/>
      <w:pgMar w:top="567" w:right="709" w:bottom="567" w:left="720"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448" w:rsidRDefault="003E2448" w:rsidP="00D01DB1">
      <w:pPr>
        <w:spacing w:line="240" w:lineRule="auto"/>
      </w:pPr>
      <w:r>
        <w:separator/>
      </w:r>
    </w:p>
  </w:endnote>
  <w:endnote w:type="continuationSeparator" w:id="0">
    <w:p w:rsidR="003E2448" w:rsidRDefault="003E2448" w:rsidP="00D01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9344"/>
      <w:docPartObj>
        <w:docPartGallery w:val="Page Numbers (Bottom of Page)"/>
        <w:docPartUnique/>
      </w:docPartObj>
    </w:sdtPr>
    <w:sdtEndPr/>
    <w:sdtContent>
      <w:p w:rsidR="00430659" w:rsidRDefault="00430659" w:rsidP="00D01DB1">
        <w:pPr>
          <w:pStyle w:val="Stopka"/>
          <w:jc w:val="center"/>
        </w:pPr>
        <w:r>
          <w:fldChar w:fldCharType="begin"/>
        </w:r>
        <w:r>
          <w:instrText xml:space="preserve"> PAGE   \* MERGEFORMAT </w:instrText>
        </w:r>
        <w:r>
          <w:fldChar w:fldCharType="separate"/>
        </w:r>
        <w:r w:rsidR="0098454C">
          <w:rPr>
            <w:noProof/>
          </w:rPr>
          <w:t>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448" w:rsidRDefault="003E2448" w:rsidP="00D01DB1">
      <w:pPr>
        <w:spacing w:line="240" w:lineRule="auto"/>
      </w:pPr>
      <w:r>
        <w:separator/>
      </w:r>
    </w:p>
  </w:footnote>
  <w:footnote w:type="continuationSeparator" w:id="0">
    <w:p w:rsidR="003E2448" w:rsidRDefault="003E2448" w:rsidP="00D01D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3"/>
        <w:szCs w:val="13"/>
        <w:u w:val="none"/>
      </w:rPr>
    </w:lvl>
    <w:lvl w:ilvl="1">
      <w:start w:val="3"/>
      <w:numFmt w:val="decimal"/>
      <w:lvlText w:val="(%2)"/>
      <w:lvlJc w:val="left"/>
      <w:rPr>
        <w:rFonts w:ascii="Palatino Linotype" w:hAnsi="Palatino Linotype" w:cs="Palatino Linotype"/>
        <w:b w:val="0"/>
        <w:bCs w:val="0"/>
        <w:i w:val="0"/>
        <w:iCs w:val="0"/>
        <w:smallCaps w:val="0"/>
        <w:strike w:val="0"/>
        <w:color w:val="000000"/>
        <w:spacing w:val="0"/>
        <w:w w:val="100"/>
        <w:position w:val="0"/>
        <w:sz w:val="13"/>
        <w:szCs w:val="13"/>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3"/>
        <w:szCs w:val="13"/>
        <w:u w:val="none"/>
      </w:rPr>
    </w:lvl>
    <w:lvl w:ilvl="3">
      <w:start w:val="8"/>
      <w:numFmt w:val="decimal"/>
      <w:lvlText w:val="(%4)"/>
      <w:lvlJc w:val="left"/>
      <w:rPr>
        <w:rFonts w:ascii="Palatino Linotype" w:hAnsi="Palatino Linotype" w:cs="Palatino Linotype"/>
        <w:b w:val="0"/>
        <w:bCs w:val="0"/>
        <w:i w:val="0"/>
        <w:iCs w:val="0"/>
        <w:smallCaps w:val="0"/>
        <w:strike w:val="0"/>
        <w:color w:val="000000"/>
        <w:spacing w:val="0"/>
        <w:w w:val="100"/>
        <w:position w:val="0"/>
        <w:sz w:val="13"/>
        <w:szCs w:val="13"/>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3"/>
        <w:szCs w:val="13"/>
        <w:u w:val="none"/>
      </w:rPr>
    </w:lvl>
    <w:lvl w:ilvl="5">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7"/>
      <w:numFmt w:val="decimal"/>
      <w:lvlText w:val="(%7)"/>
      <w:lvlJc w:val="left"/>
      <w:rPr>
        <w:rFonts w:ascii="Palatino Linotype" w:hAnsi="Palatino Linotype" w:cs="Palatino Linotype"/>
        <w:b w:val="0"/>
        <w:bCs w:val="0"/>
        <w:i w:val="0"/>
        <w:iCs w:val="0"/>
        <w:smallCaps w:val="0"/>
        <w:strike w:val="0"/>
        <w:color w:val="000000"/>
        <w:spacing w:val="0"/>
        <w:w w:val="100"/>
        <w:position w:val="0"/>
        <w:sz w:val="13"/>
        <w:szCs w:val="13"/>
        <w:u w:val="none"/>
      </w:rPr>
    </w:lvl>
    <w:lvl w:ilvl="7">
      <w:start w:val="25"/>
      <w:numFmt w:val="decimal"/>
      <w:lvlText w:val="(%8)"/>
      <w:lvlJc w:val="left"/>
      <w:rPr>
        <w:rFonts w:ascii="Palatino Linotype" w:hAnsi="Palatino Linotype" w:cs="Palatino Linotype"/>
        <w:b w:val="0"/>
        <w:bCs w:val="0"/>
        <w:i w:val="0"/>
        <w:iCs w:val="0"/>
        <w:smallCaps w:val="0"/>
        <w:strike w:val="0"/>
        <w:color w:val="000000"/>
        <w:spacing w:val="0"/>
        <w:w w:val="100"/>
        <w:position w:val="0"/>
        <w:sz w:val="13"/>
        <w:szCs w:val="13"/>
        <w:u w:val="none"/>
      </w:rPr>
    </w:lvl>
    <w:lvl w:ilvl="8">
      <w:start w:val="2"/>
      <w:numFmt w:val="decimal"/>
      <w:lvlText w:val="(%9)"/>
      <w:lvlJc w:val="left"/>
      <w:rPr>
        <w:rFonts w:ascii="Palatino Linotype" w:hAnsi="Palatino Linotype" w:cs="Palatino Linotype"/>
        <w:b w:val="0"/>
        <w:bCs w:val="0"/>
        <w:i w:val="0"/>
        <w:iCs w:val="0"/>
        <w:smallCaps w:val="0"/>
        <w:strike w:val="0"/>
        <w:color w:val="000000"/>
        <w:spacing w:val="0"/>
        <w:w w:val="100"/>
        <w:position w:val="0"/>
        <w:sz w:val="13"/>
        <w:szCs w:val="13"/>
        <w:u w:val="none"/>
      </w:rPr>
    </w:lvl>
  </w:abstractNum>
  <w:abstractNum w:abstractNumId="1">
    <w:nsid w:val="35023F3D"/>
    <w:multiLevelType w:val="hybridMultilevel"/>
    <w:tmpl w:val="AF388806"/>
    <w:lvl w:ilvl="0" w:tplc="D6DAFAA2">
      <w:start w:val="1"/>
      <w:numFmt w:val="decimal"/>
      <w:lvlText w:val="%1."/>
      <w:lvlJc w:val="left"/>
      <w:pPr>
        <w:ind w:left="720" w:hanging="360"/>
      </w:pPr>
      <w:rPr>
        <w:rFonts w:ascii="Times New Roman" w:hAnsi="Times New Roman" w:cs="Times New Roman"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94131B"/>
    <w:multiLevelType w:val="multilevel"/>
    <w:tmpl w:val="04150023"/>
    <w:lvl w:ilvl="0">
      <w:start w:val="1"/>
      <w:numFmt w:val="upperRoman"/>
      <w:pStyle w:val="Nagwek1"/>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B7"/>
    <w:rsid w:val="00000A4C"/>
    <w:rsid w:val="000011C5"/>
    <w:rsid w:val="00006D7D"/>
    <w:rsid w:val="0000794E"/>
    <w:rsid w:val="000153DF"/>
    <w:rsid w:val="00017249"/>
    <w:rsid w:val="00022415"/>
    <w:rsid w:val="000245A5"/>
    <w:rsid w:val="00026822"/>
    <w:rsid w:val="0003019D"/>
    <w:rsid w:val="0003043B"/>
    <w:rsid w:val="00033EAC"/>
    <w:rsid w:val="00035BDE"/>
    <w:rsid w:val="000435E9"/>
    <w:rsid w:val="0004445D"/>
    <w:rsid w:val="00047119"/>
    <w:rsid w:val="00047122"/>
    <w:rsid w:val="000472BA"/>
    <w:rsid w:val="00047AF6"/>
    <w:rsid w:val="00050DC4"/>
    <w:rsid w:val="00050FC8"/>
    <w:rsid w:val="000528B8"/>
    <w:rsid w:val="00054BC6"/>
    <w:rsid w:val="0005559F"/>
    <w:rsid w:val="00055EE9"/>
    <w:rsid w:val="000579AD"/>
    <w:rsid w:val="00061C5D"/>
    <w:rsid w:val="00061F2B"/>
    <w:rsid w:val="000623E6"/>
    <w:rsid w:val="00064274"/>
    <w:rsid w:val="00064475"/>
    <w:rsid w:val="000651DC"/>
    <w:rsid w:val="000653D8"/>
    <w:rsid w:val="00065AE0"/>
    <w:rsid w:val="0006619C"/>
    <w:rsid w:val="000671AE"/>
    <w:rsid w:val="000678D6"/>
    <w:rsid w:val="00071325"/>
    <w:rsid w:val="00071641"/>
    <w:rsid w:val="000720BB"/>
    <w:rsid w:val="00073E2D"/>
    <w:rsid w:val="00073EB2"/>
    <w:rsid w:val="00074C17"/>
    <w:rsid w:val="00075545"/>
    <w:rsid w:val="00076A14"/>
    <w:rsid w:val="000773AC"/>
    <w:rsid w:val="00080061"/>
    <w:rsid w:val="00081125"/>
    <w:rsid w:val="00082960"/>
    <w:rsid w:val="00085445"/>
    <w:rsid w:val="00085747"/>
    <w:rsid w:val="00085E59"/>
    <w:rsid w:val="00086060"/>
    <w:rsid w:val="00086184"/>
    <w:rsid w:val="00086E05"/>
    <w:rsid w:val="00090CE4"/>
    <w:rsid w:val="00093706"/>
    <w:rsid w:val="00096A54"/>
    <w:rsid w:val="000A1D79"/>
    <w:rsid w:val="000A24FE"/>
    <w:rsid w:val="000A2C83"/>
    <w:rsid w:val="000A3ABA"/>
    <w:rsid w:val="000A3BAE"/>
    <w:rsid w:val="000A44CD"/>
    <w:rsid w:val="000A4BD6"/>
    <w:rsid w:val="000A4CF4"/>
    <w:rsid w:val="000A4DA5"/>
    <w:rsid w:val="000A5243"/>
    <w:rsid w:val="000A7616"/>
    <w:rsid w:val="000B1718"/>
    <w:rsid w:val="000B1F8E"/>
    <w:rsid w:val="000B3A40"/>
    <w:rsid w:val="000B563E"/>
    <w:rsid w:val="000C070C"/>
    <w:rsid w:val="000C0917"/>
    <w:rsid w:val="000C3AC0"/>
    <w:rsid w:val="000C3B24"/>
    <w:rsid w:val="000C3ED1"/>
    <w:rsid w:val="000C5D5E"/>
    <w:rsid w:val="000D2E25"/>
    <w:rsid w:val="000D4541"/>
    <w:rsid w:val="000D69A6"/>
    <w:rsid w:val="000D6A75"/>
    <w:rsid w:val="000D6B83"/>
    <w:rsid w:val="000D7F06"/>
    <w:rsid w:val="000E23C1"/>
    <w:rsid w:val="000E2C95"/>
    <w:rsid w:val="000E3073"/>
    <w:rsid w:val="000E32D8"/>
    <w:rsid w:val="000E3C1A"/>
    <w:rsid w:val="000E5E14"/>
    <w:rsid w:val="000E7374"/>
    <w:rsid w:val="000F0D1A"/>
    <w:rsid w:val="000F2EF4"/>
    <w:rsid w:val="000F48E2"/>
    <w:rsid w:val="00100EE3"/>
    <w:rsid w:val="001011F0"/>
    <w:rsid w:val="001019DD"/>
    <w:rsid w:val="00105A9A"/>
    <w:rsid w:val="00105BFD"/>
    <w:rsid w:val="00106C61"/>
    <w:rsid w:val="001108F5"/>
    <w:rsid w:val="00112996"/>
    <w:rsid w:val="00117500"/>
    <w:rsid w:val="0012063D"/>
    <w:rsid w:val="00120BFD"/>
    <w:rsid w:val="001221BC"/>
    <w:rsid w:val="00122CAC"/>
    <w:rsid w:val="00122CC6"/>
    <w:rsid w:val="00122ECC"/>
    <w:rsid w:val="00123CE9"/>
    <w:rsid w:val="0012422E"/>
    <w:rsid w:val="00127F2A"/>
    <w:rsid w:val="00131BD5"/>
    <w:rsid w:val="00132433"/>
    <w:rsid w:val="0013267B"/>
    <w:rsid w:val="00132BE7"/>
    <w:rsid w:val="00135B6B"/>
    <w:rsid w:val="00137482"/>
    <w:rsid w:val="00137D75"/>
    <w:rsid w:val="001409D6"/>
    <w:rsid w:val="0014159D"/>
    <w:rsid w:val="00141DEC"/>
    <w:rsid w:val="0014200C"/>
    <w:rsid w:val="00151156"/>
    <w:rsid w:val="001538BE"/>
    <w:rsid w:val="00153CA4"/>
    <w:rsid w:val="00154E8C"/>
    <w:rsid w:val="0015659C"/>
    <w:rsid w:val="00160105"/>
    <w:rsid w:val="001604DF"/>
    <w:rsid w:val="00161227"/>
    <w:rsid w:val="00164690"/>
    <w:rsid w:val="00165CBC"/>
    <w:rsid w:val="00166339"/>
    <w:rsid w:val="00167605"/>
    <w:rsid w:val="00170FE0"/>
    <w:rsid w:val="00174BD6"/>
    <w:rsid w:val="00180931"/>
    <w:rsid w:val="00181CE3"/>
    <w:rsid w:val="00181EC7"/>
    <w:rsid w:val="00182343"/>
    <w:rsid w:val="001827BB"/>
    <w:rsid w:val="00184BAC"/>
    <w:rsid w:val="001868A7"/>
    <w:rsid w:val="00190A43"/>
    <w:rsid w:val="001910E4"/>
    <w:rsid w:val="00192CF0"/>
    <w:rsid w:val="00195195"/>
    <w:rsid w:val="00197250"/>
    <w:rsid w:val="00197864"/>
    <w:rsid w:val="001A10B6"/>
    <w:rsid w:val="001A196D"/>
    <w:rsid w:val="001A4363"/>
    <w:rsid w:val="001A4FB2"/>
    <w:rsid w:val="001A54D2"/>
    <w:rsid w:val="001A61A2"/>
    <w:rsid w:val="001B1E20"/>
    <w:rsid w:val="001B36A7"/>
    <w:rsid w:val="001B3717"/>
    <w:rsid w:val="001B3D31"/>
    <w:rsid w:val="001B4273"/>
    <w:rsid w:val="001B4546"/>
    <w:rsid w:val="001B521D"/>
    <w:rsid w:val="001B7327"/>
    <w:rsid w:val="001B75BE"/>
    <w:rsid w:val="001C0C23"/>
    <w:rsid w:val="001C4E97"/>
    <w:rsid w:val="001C537F"/>
    <w:rsid w:val="001C56A5"/>
    <w:rsid w:val="001C676A"/>
    <w:rsid w:val="001C691A"/>
    <w:rsid w:val="001D0CB5"/>
    <w:rsid w:val="001D276A"/>
    <w:rsid w:val="001D3E15"/>
    <w:rsid w:val="001D45C8"/>
    <w:rsid w:val="001E2470"/>
    <w:rsid w:val="001E2761"/>
    <w:rsid w:val="001E3613"/>
    <w:rsid w:val="001F170A"/>
    <w:rsid w:val="001F35F6"/>
    <w:rsid w:val="001F40AE"/>
    <w:rsid w:val="001F40BD"/>
    <w:rsid w:val="001F437B"/>
    <w:rsid w:val="001F54F1"/>
    <w:rsid w:val="001F5597"/>
    <w:rsid w:val="00200BB4"/>
    <w:rsid w:val="002017C9"/>
    <w:rsid w:val="00203052"/>
    <w:rsid w:val="002051AB"/>
    <w:rsid w:val="0020559E"/>
    <w:rsid w:val="00206BCF"/>
    <w:rsid w:val="0020722A"/>
    <w:rsid w:val="002078A6"/>
    <w:rsid w:val="00207C7A"/>
    <w:rsid w:val="00210148"/>
    <w:rsid w:val="002103E8"/>
    <w:rsid w:val="002112EA"/>
    <w:rsid w:val="00212E0D"/>
    <w:rsid w:val="00213611"/>
    <w:rsid w:val="00217BE7"/>
    <w:rsid w:val="00217E1E"/>
    <w:rsid w:val="00222346"/>
    <w:rsid w:val="002257DC"/>
    <w:rsid w:val="00226AFB"/>
    <w:rsid w:val="00230919"/>
    <w:rsid w:val="00231EB8"/>
    <w:rsid w:val="0023320F"/>
    <w:rsid w:val="00234B84"/>
    <w:rsid w:val="00235742"/>
    <w:rsid w:val="00235836"/>
    <w:rsid w:val="00236B4E"/>
    <w:rsid w:val="00246B3A"/>
    <w:rsid w:val="00246E91"/>
    <w:rsid w:val="00250A39"/>
    <w:rsid w:val="002510F6"/>
    <w:rsid w:val="00251AAE"/>
    <w:rsid w:val="00253782"/>
    <w:rsid w:val="00255436"/>
    <w:rsid w:val="0025620A"/>
    <w:rsid w:val="002574AB"/>
    <w:rsid w:val="00257DB7"/>
    <w:rsid w:val="00260F03"/>
    <w:rsid w:val="0026135B"/>
    <w:rsid w:val="00262348"/>
    <w:rsid w:val="00263753"/>
    <w:rsid w:val="0026557B"/>
    <w:rsid w:val="00267CB4"/>
    <w:rsid w:val="00270460"/>
    <w:rsid w:val="00274774"/>
    <w:rsid w:val="00274D1A"/>
    <w:rsid w:val="00276905"/>
    <w:rsid w:val="00281F57"/>
    <w:rsid w:val="00284A14"/>
    <w:rsid w:val="00285DDF"/>
    <w:rsid w:val="00287202"/>
    <w:rsid w:val="002906FC"/>
    <w:rsid w:val="00290F16"/>
    <w:rsid w:val="00292260"/>
    <w:rsid w:val="00292704"/>
    <w:rsid w:val="002929E1"/>
    <w:rsid w:val="00292BF0"/>
    <w:rsid w:val="0029332A"/>
    <w:rsid w:val="00296601"/>
    <w:rsid w:val="002972E5"/>
    <w:rsid w:val="002A04D8"/>
    <w:rsid w:val="002A0E3F"/>
    <w:rsid w:val="002A3173"/>
    <w:rsid w:val="002A3A9D"/>
    <w:rsid w:val="002A4F2F"/>
    <w:rsid w:val="002A51E8"/>
    <w:rsid w:val="002A5D53"/>
    <w:rsid w:val="002A62E4"/>
    <w:rsid w:val="002A7BCC"/>
    <w:rsid w:val="002B0F15"/>
    <w:rsid w:val="002B2B50"/>
    <w:rsid w:val="002B32A8"/>
    <w:rsid w:val="002B454F"/>
    <w:rsid w:val="002B4560"/>
    <w:rsid w:val="002B5C17"/>
    <w:rsid w:val="002C36A5"/>
    <w:rsid w:val="002C5359"/>
    <w:rsid w:val="002C66DB"/>
    <w:rsid w:val="002C7B93"/>
    <w:rsid w:val="002D0558"/>
    <w:rsid w:val="002D32B1"/>
    <w:rsid w:val="002D4299"/>
    <w:rsid w:val="002D6D4C"/>
    <w:rsid w:val="002D7009"/>
    <w:rsid w:val="002E013C"/>
    <w:rsid w:val="002E063F"/>
    <w:rsid w:val="002E3F59"/>
    <w:rsid w:val="002E445C"/>
    <w:rsid w:val="002E4873"/>
    <w:rsid w:val="002F0D34"/>
    <w:rsid w:val="002F1749"/>
    <w:rsid w:val="002F4F41"/>
    <w:rsid w:val="002F57C4"/>
    <w:rsid w:val="002F7090"/>
    <w:rsid w:val="00300373"/>
    <w:rsid w:val="00302A5F"/>
    <w:rsid w:val="00302F5D"/>
    <w:rsid w:val="00303387"/>
    <w:rsid w:val="00303C3D"/>
    <w:rsid w:val="00303CBC"/>
    <w:rsid w:val="0030460E"/>
    <w:rsid w:val="00307F06"/>
    <w:rsid w:val="003143D9"/>
    <w:rsid w:val="00314E41"/>
    <w:rsid w:val="0031522A"/>
    <w:rsid w:val="00316444"/>
    <w:rsid w:val="00317186"/>
    <w:rsid w:val="0032050A"/>
    <w:rsid w:val="00320BF6"/>
    <w:rsid w:val="00325200"/>
    <w:rsid w:val="00325A4D"/>
    <w:rsid w:val="0032677D"/>
    <w:rsid w:val="00331E3F"/>
    <w:rsid w:val="003329CC"/>
    <w:rsid w:val="00332F6E"/>
    <w:rsid w:val="003338B9"/>
    <w:rsid w:val="00337650"/>
    <w:rsid w:val="003422A1"/>
    <w:rsid w:val="003446CA"/>
    <w:rsid w:val="00344E6E"/>
    <w:rsid w:val="003453FA"/>
    <w:rsid w:val="003479A8"/>
    <w:rsid w:val="00347EC6"/>
    <w:rsid w:val="00350F0A"/>
    <w:rsid w:val="003513A5"/>
    <w:rsid w:val="00352E4E"/>
    <w:rsid w:val="00354AAE"/>
    <w:rsid w:val="00356484"/>
    <w:rsid w:val="00356A24"/>
    <w:rsid w:val="00357192"/>
    <w:rsid w:val="00361653"/>
    <w:rsid w:val="00362256"/>
    <w:rsid w:val="00362F15"/>
    <w:rsid w:val="0036337C"/>
    <w:rsid w:val="00364720"/>
    <w:rsid w:val="0036573A"/>
    <w:rsid w:val="00365A41"/>
    <w:rsid w:val="003661C5"/>
    <w:rsid w:val="0036787B"/>
    <w:rsid w:val="003679CC"/>
    <w:rsid w:val="00367A15"/>
    <w:rsid w:val="003709F9"/>
    <w:rsid w:val="00372D5D"/>
    <w:rsid w:val="00373F30"/>
    <w:rsid w:val="00381A7C"/>
    <w:rsid w:val="003826CA"/>
    <w:rsid w:val="00383B5B"/>
    <w:rsid w:val="003850EE"/>
    <w:rsid w:val="0038529C"/>
    <w:rsid w:val="00386C8F"/>
    <w:rsid w:val="0039063D"/>
    <w:rsid w:val="003918BD"/>
    <w:rsid w:val="0039192F"/>
    <w:rsid w:val="0039340A"/>
    <w:rsid w:val="00394BFE"/>
    <w:rsid w:val="003964B4"/>
    <w:rsid w:val="003A0159"/>
    <w:rsid w:val="003A11D3"/>
    <w:rsid w:val="003A3503"/>
    <w:rsid w:val="003A3D18"/>
    <w:rsid w:val="003A4F15"/>
    <w:rsid w:val="003A5CEA"/>
    <w:rsid w:val="003A5E01"/>
    <w:rsid w:val="003A69AF"/>
    <w:rsid w:val="003B23CD"/>
    <w:rsid w:val="003B2E0B"/>
    <w:rsid w:val="003B3205"/>
    <w:rsid w:val="003B3550"/>
    <w:rsid w:val="003B45BF"/>
    <w:rsid w:val="003B48E2"/>
    <w:rsid w:val="003B6B6A"/>
    <w:rsid w:val="003B6EF4"/>
    <w:rsid w:val="003B78AA"/>
    <w:rsid w:val="003C31E0"/>
    <w:rsid w:val="003C43D6"/>
    <w:rsid w:val="003C4AA3"/>
    <w:rsid w:val="003C5118"/>
    <w:rsid w:val="003C5FE1"/>
    <w:rsid w:val="003C6223"/>
    <w:rsid w:val="003C6F14"/>
    <w:rsid w:val="003C7F9C"/>
    <w:rsid w:val="003D1532"/>
    <w:rsid w:val="003D1756"/>
    <w:rsid w:val="003D50E9"/>
    <w:rsid w:val="003E03B1"/>
    <w:rsid w:val="003E0DEE"/>
    <w:rsid w:val="003E2448"/>
    <w:rsid w:val="003E5DAD"/>
    <w:rsid w:val="003E7A6C"/>
    <w:rsid w:val="003F461D"/>
    <w:rsid w:val="003F5670"/>
    <w:rsid w:val="003F5A99"/>
    <w:rsid w:val="003F60ED"/>
    <w:rsid w:val="003F6154"/>
    <w:rsid w:val="003F68FE"/>
    <w:rsid w:val="003F6A76"/>
    <w:rsid w:val="00400012"/>
    <w:rsid w:val="00400E06"/>
    <w:rsid w:val="00400F01"/>
    <w:rsid w:val="00401A15"/>
    <w:rsid w:val="004067A2"/>
    <w:rsid w:val="00406DFE"/>
    <w:rsid w:val="0040734E"/>
    <w:rsid w:val="00407A56"/>
    <w:rsid w:val="00410B0D"/>
    <w:rsid w:val="00411A4E"/>
    <w:rsid w:val="00411BDD"/>
    <w:rsid w:val="00413950"/>
    <w:rsid w:val="00413FB2"/>
    <w:rsid w:val="004146A2"/>
    <w:rsid w:val="004147EF"/>
    <w:rsid w:val="00414974"/>
    <w:rsid w:val="004157EE"/>
    <w:rsid w:val="004160F9"/>
    <w:rsid w:val="0041799D"/>
    <w:rsid w:val="004200F8"/>
    <w:rsid w:val="00421B1A"/>
    <w:rsid w:val="0042230F"/>
    <w:rsid w:val="0042354B"/>
    <w:rsid w:val="00430659"/>
    <w:rsid w:val="00431828"/>
    <w:rsid w:val="004326AC"/>
    <w:rsid w:val="004343D3"/>
    <w:rsid w:val="00434594"/>
    <w:rsid w:val="00434AAE"/>
    <w:rsid w:val="004364C6"/>
    <w:rsid w:val="004377CD"/>
    <w:rsid w:val="00437D88"/>
    <w:rsid w:val="00442CEF"/>
    <w:rsid w:val="0044383F"/>
    <w:rsid w:val="0044464E"/>
    <w:rsid w:val="00444BAC"/>
    <w:rsid w:val="00445F49"/>
    <w:rsid w:val="00446DFE"/>
    <w:rsid w:val="00453BD0"/>
    <w:rsid w:val="00453D4C"/>
    <w:rsid w:val="00455063"/>
    <w:rsid w:val="004559AF"/>
    <w:rsid w:val="00460FB5"/>
    <w:rsid w:val="004617F2"/>
    <w:rsid w:val="00461C6C"/>
    <w:rsid w:val="004624D9"/>
    <w:rsid w:val="0046262A"/>
    <w:rsid w:val="0046666C"/>
    <w:rsid w:val="004675DC"/>
    <w:rsid w:val="0047125B"/>
    <w:rsid w:val="004736A9"/>
    <w:rsid w:val="00474773"/>
    <w:rsid w:val="00476A67"/>
    <w:rsid w:val="0047778D"/>
    <w:rsid w:val="00481530"/>
    <w:rsid w:val="00484547"/>
    <w:rsid w:val="004861F6"/>
    <w:rsid w:val="004866F8"/>
    <w:rsid w:val="00487EEB"/>
    <w:rsid w:val="00491D94"/>
    <w:rsid w:val="00492AC7"/>
    <w:rsid w:val="004935A7"/>
    <w:rsid w:val="004935C5"/>
    <w:rsid w:val="004965A2"/>
    <w:rsid w:val="00496748"/>
    <w:rsid w:val="00497216"/>
    <w:rsid w:val="004A0881"/>
    <w:rsid w:val="004A1821"/>
    <w:rsid w:val="004A319A"/>
    <w:rsid w:val="004A321D"/>
    <w:rsid w:val="004A4188"/>
    <w:rsid w:val="004A7CEC"/>
    <w:rsid w:val="004B1DBE"/>
    <w:rsid w:val="004B2211"/>
    <w:rsid w:val="004B35A9"/>
    <w:rsid w:val="004B40E4"/>
    <w:rsid w:val="004B41F6"/>
    <w:rsid w:val="004B7A76"/>
    <w:rsid w:val="004B7F57"/>
    <w:rsid w:val="004C0A82"/>
    <w:rsid w:val="004C1C36"/>
    <w:rsid w:val="004C1E07"/>
    <w:rsid w:val="004C34FC"/>
    <w:rsid w:val="004C4DCF"/>
    <w:rsid w:val="004C6045"/>
    <w:rsid w:val="004C7526"/>
    <w:rsid w:val="004D09DD"/>
    <w:rsid w:val="004D0D15"/>
    <w:rsid w:val="004D292F"/>
    <w:rsid w:val="004D7AEB"/>
    <w:rsid w:val="004E01E3"/>
    <w:rsid w:val="004E0513"/>
    <w:rsid w:val="004E0BF4"/>
    <w:rsid w:val="004E1B01"/>
    <w:rsid w:val="004E1F03"/>
    <w:rsid w:val="004E4EF9"/>
    <w:rsid w:val="004E7DB1"/>
    <w:rsid w:val="004F032A"/>
    <w:rsid w:val="004F09D4"/>
    <w:rsid w:val="004F1A6B"/>
    <w:rsid w:val="004F2C19"/>
    <w:rsid w:val="004F4164"/>
    <w:rsid w:val="004F51E1"/>
    <w:rsid w:val="0050214E"/>
    <w:rsid w:val="0050293C"/>
    <w:rsid w:val="00503870"/>
    <w:rsid w:val="005038B8"/>
    <w:rsid w:val="005111B8"/>
    <w:rsid w:val="00511EF7"/>
    <w:rsid w:val="005130B7"/>
    <w:rsid w:val="0051416F"/>
    <w:rsid w:val="00514CA7"/>
    <w:rsid w:val="00515889"/>
    <w:rsid w:val="0052125C"/>
    <w:rsid w:val="005226EA"/>
    <w:rsid w:val="005228CF"/>
    <w:rsid w:val="00522A79"/>
    <w:rsid w:val="00524BF4"/>
    <w:rsid w:val="00524D40"/>
    <w:rsid w:val="00526D60"/>
    <w:rsid w:val="0053000A"/>
    <w:rsid w:val="00530B76"/>
    <w:rsid w:val="00530CF1"/>
    <w:rsid w:val="0053351D"/>
    <w:rsid w:val="005338BF"/>
    <w:rsid w:val="00533ACC"/>
    <w:rsid w:val="00533BB0"/>
    <w:rsid w:val="00534F95"/>
    <w:rsid w:val="00535109"/>
    <w:rsid w:val="00536F6F"/>
    <w:rsid w:val="00537823"/>
    <w:rsid w:val="005409B5"/>
    <w:rsid w:val="00543B15"/>
    <w:rsid w:val="0054449D"/>
    <w:rsid w:val="005507EB"/>
    <w:rsid w:val="005510BA"/>
    <w:rsid w:val="00554EFA"/>
    <w:rsid w:val="00555178"/>
    <w:rsid w:val="00555263"/>
    <w:rsid w:val="0055730B"/>
    <w:rsid w:val="00560403"/>
    <w:rsid w:val="00560ABD"/>
    <w:rsid w:val="0056128D"/>
    <w:rsid w:val="0056537B"/>
    <w:rsid w:val="005657E8"/>
    <w:rsid w:val="005719EE"/>
    <w:rsid w:val="00571E19"/>
    <w:rsid w:val="00573F1C"/>
    <w:rsid w:val="00577249"/>
    <w:rsid w:val="00581D93"/>
    <w:rsid w:val="00582022"/>
    <w:rsid w:val="00582594"/>
    <w:rsid w:val="005829D1"/>
    <w:rsid w:val="00584980"/>
    <w:rsid w:val="00586F3D"/>
    <w:rsid w:val="005874DD"/>
    <w:rsid w:val="00587D61"/>
    <w:rsid w:val="00587F49"/>
    <w:rsid w:val="00592223"/>
    <w:rsid w:val="00592FCC"/>
    <w:rsid w:val="0059748E"/>
    <w:rsid w:val="00597965"/>
    <w:rsid w:val="005A01A6"/>
    <w:rsid w:val="005A07DD"/>
    <w:rsid w:val="005A4003"/>
    <w:rsid w:val="005A5C5A"/>
    <w:rsid w:val="005A6E80"/>
    <w:rsid w:val="005A7458"/>
    <w:rsid w:val="005A7DE7"/>
    <w:rsid w:val="005B0F38"/>
    <w:rsid w:val="005B273B"/>
    <w:rsid w:val="005B31DA"/>
    <w:rsid w:val="005B3705"/>
    <w:rsid w:val="005B5489"/>
    <w:rsid w:val="005B55F5"/>
    <w:rsid w:val="005B6FC6"/>
    <w:rsid w:val="005C1ADD"/>
    <w:rsid w:val="005C4383"/>
    <w:rsid w:val="005C57A5"/>
    <w:rsid w:val="005C61B2"/>
    <w:rsid w:val="005C6619"/>
    <w:rsid w:val="005D5007"/>
    <w:rsid w:val="005D635C"/>
    <w:rsid w:val="005E1DB4"/>
    <w:rsid w:val="005E3F2D"/>
    <w:rsid w:val="005E4787"/>
    <w:rsid w:val="005E6662"/>
    <w:rsid w:val="005E68C6"/>
    <w:rsid w:val="005E7DC8"/>
    <w:rsid w:val="005F17FD"/>
    <w:rsid w:val="005F2F6A"/>
    <w:rsid w:val="005F6792"/>
    <w:rsid w:val="00600CE7"/>
    <w:rsid w:val="0060126A"/>
    <w:rsid w:val="006015F6"/>
    <w:rsid w:val="00602DEB"/>
    <w:rsid w:val="00603094"/>
    <w:rsid w:val="00603484"/>
    <w:rsid w:val="00603817"/>
    <w:rsid w:val="006039DD"/>
    <w:rsid w:val="00606483"/>
    <w:rsid w:val="0061077D"/>
    <w:rsid w:val="006136A2"/>
    <w:rsid w:val="006136B2"/>
    <w:rsid w:val="0061759A"/>
    <w:rsid w:val="00617B95"/>
    <w:rsid w:val="00621229"/>
    <w:rsid w:val="0062129E"/>
    <w:rsid w:val="00621BB2"/>
    <w:rsid w:val="00622CCC"/>
    <w:rsid w:val="00623EA1"/>
    <w:rsid w:val="006244DD"/>
    <w:rsid w:val="00625884"/>
    <w:rsid w:val="006306FF"/>
    <w:rsid w:val="00632AA5"/>
    <w:rsid w:val="00634666"/>
    <w:rsid w:val="00634969"/>
    <w:rsid w:val="006359A0"/>
    <w:rsid w:val="006365E0"/>
    <w:rsid w:val="00637A1B"/>
    <w:rsid w:val="00642358"/>
    <w:rsid w:val="00642464"/>
    <w:rsid w:val="00643A7C"/>
    <w:rsid w:val="006460A6"/>
    <w:rsid w:val="00647C54"/>
    <w:rsid w:val="00650B44"/>
    <w:rsid w:val="00652338"/>
    <w:rsid w:val="00653838"/>
    <w:rsid w:val="006562AF"/>
    <w:rsid w:val="00656320"/>
    <w:rsid w:val="00656DDB"/>
    <w:rsid w:val="00657695"/>
    <w:rsid w:val="0066020C"/>
    <w:rsid w:val="00660873"/>
    <w:rsid w:val="00660D39"/>
    <w:rsid w:val="00661204"/>
    <w:rsid w:val="006619B6"/>
    <w:rsid w:val="00663635"/>
    <w:rsid w:val="00663F26"/>
    <w:rsid w:val="0066492A"/>
    <w:rsid w:val="00665C3E"/>
    <w:rsid w:val="00665DD2"/>
    <w:rsid w:val="00675353"/>
    <w:rsid w:val="00675494"/>
    <w:rsid w:val="00677632"/>
    <w:rsid w:val="006777E7"/>
    <w:rsid w:val="00677EDD"/>
    <w:rsid w:val="00680E81"/>
    <w:rsid w:val="00683095"/>
    <w:rsid w:val="00684980"/>
    <w:rsid w:val="00687DBA"/>
    <w:rsid w:val="00687F96"/>
    <w:rsid w:val="00690EFE"/>
    <w:rsid w:val="00691ADB"/>
    <w:rsid w:val="0069327C"/>
    <w:rsid w:val="00693766"/>
    <w:rsid w:val="00697248"/>
    <w:rsid w:val="006A0639"/>
    <w:rsid w:val="006A1B8D"/>
    <w:rsid w:val="006A3613"/>
    <w:rsid w:val="006A4B32"/>
    <w:rsid w:val="006A77EE"/>
    <w:rsid w:val="006B2705"/>
    <w:rsid w:val="006B4788"/>
    <w:rsid w:val="006B5364"/>
    <w:rsid w:val="006B6D3C"/>
    <w:rsid w:val="006C11AE"/>
    <w:rsid w:val="006C302B"/>
    <w:rsid w:val="006C32B0"/>
    <w:rsid w:val="006C37E6"/>
    <w:rsid w:val="006C45C0"/>
    <w:rsid w:val="006D11CD"/>
    <w:rsid w:val="006D1857"/>
    <w:rsid w:val="006D32BB"/>
    <w:rsid w:val="006D51E1"/>
    <w:rsid w:val="006D51E6"/>
    <w:rsid w:val="006D5C5B"/>
    <w:rsid w:val="006D6D29"/>
    <w:rsid w:val="006D784C"/>
    <w:rsid w:val="006D7C4F"/>
    <w:rsid w:val="006E1266"/>
    <w:rsid w:val="006E1D7B"/>
    <w:rsid w:val="006E2CA8"/>
    <w:rsid w:val="006E2D36"/>
    <w:rsid w:val="006E4086"/>
    <w:rsid w:val="006E703C"/>
    <w:rsid w:val="006E7D37"/>
    <w:rsid w:val="006F156D"/>
    <w:rsid w:val="006F1C40"/>
    <w:rsid w:val="006F2C39"/>
    <w:rsid w:val="006F2F7C"/>
    <w:rsid w:val="006F4416"/>
    <w:rsid w:val="006F448B"/>
    <w:rsid w:val="006F6E45"/>
    <w:rsid w:val="00700212"/>
    <w:rsid w:val="00701535"/>
    <w:rsid w:val="00702508"/>
    <w:rsid w:val="007032A7"/>
    <w:rsid w:val="00704293"/>
    <w:rsid w:val="00707D40"/>
    <w:rsid w:val="007114BC"/>
    <w:rsid w:val="007138A0"/>
    <w:rsid w:val="00713A25"/>
    <w:rsid w:val="007157FC"/>
    <w:rsid w:val="00716055"/>
    <w:rsid w:val="00716F7E"/>
    <w:rsid w:val="00720898"/>
    <w:rsid w:val="0072459D"/>
    <w:rsid w:val="00726656"/>
    <w:rsid w:val="00727412"/>
    <w:rsid w:val="00731F01"/>
    <w:rsid w:val="0073489A"/>
    <w:rsid w:val="007358A7"/>
    <w:rsid w:val="00736D43"/>
    <w:rsid w:val="00737172"/>
    <w:rsid w:val="0073769B"/>
    <w:rsid w:val="007376C9"/>
    <w:rsid w:val="007377F3"/>
    <w:rsid w:val="00742F2D"/>
    <w:rsid w:val="00745806"/>
    <w:rsid w:val="007475D9"/>
    <w:rsid w:val="007503D4"/>
    <w:rsid w:val="00750AAF"/>
    <w:rsid w:val="00751158"/>
    <w:rsid w:val="00752002"/>
    <w:rsid w:val="0075290F"/>
    <w:rsid w:val="00752F42"/>
    <w:rsid w:val="00755D4D"/>
    <w:rsid w:val="00762685"/>
    <w:rsid w:val="00764060"/>
    <w:rsid w:val="00764A74"/>
    <w:rsid w:val="00764C30"/>
    <w:rsid w:val="00765182"/>
    <w:rsid w:val="00770CBC"/>
    <w:rsid w:val="00771D3F"/>
    <w:rsid w:val="00771D40"/>
    <w:rsid w:val="0077248E"/>
    <w:rsid w:val="0077586B"/>
    <w:rsid w:val="00776BA9"/>
    <w:rsid w:val="00783A47"/>
    <w:rsid w:val="00785BA8"/>
    <w:rsid w:val="00786DB8"/>
    <w:rsid w:val="00786FC7"/>
    <w:rsid w:val="00792FD2"/>
    <w:rsid w:val="007945C4"/>
    <w:rsid w:val="007976B4"/>
    <w:rsid w:val="007A28D5"/>
    <w:rsid w:val="007A3EDC"/>
    <w:rsid w:val="007A4126"/>
    <w:rsid w:val="007A5552"/>
    <w:rsid w:val="007A7F93"/>
    <w:rsid w:val="007B0550"/>
    <w:rsid w:val="007B30FF"/>
    <w:rsid w:val="007B54D1"/>
    <w:rsid w:val="007C0B30"/>
    <w:rsid w:val="007C237B"/>
    <w:rsid w:val="007C30A2"/>
    <w:rsid w:val="007C3A32"/>
    <w:rsid w:val="007C47FF"/>
    <w:rsid w:val="007C4AA6"/>
    <w:rsid w:val="007C6768"/>
    <w:rsid w:val="007C676E"/>
    <w:rsid w:val="007D0F24"/>
    <w:rsid w:val="007D2731"/>
    <w:rsid w:val="007D3763"/>
    <w:rsid w:val="007D4146"/>
    <w:rsid w:val="007D435C"/>
    <w:rsid w:val="007D43F7"/>
    <w:rsid w:val="007D4E3D"/>
    <w:rsid w:val="007D62E5"/>
    <w:rsid w:val="007D64CA"/>
    <w:rsid w:val="007D71C1"/>
    <w:rsid w:val="007D7BBA"/>
    <w:rsid w:val="007E11BD"/>
    <w:rsid w:val="007E1C75"/>
    <w:rsid w:val="007E6A87"/>
    <w:rsid w:val="007E7352"/>
    <w:rsid w:val="007F231E"/>
    <w:rsid w:val="007F3A2A"/>
    <w:rsid w:val="007F4BAC"/>
    <w:rsid w:val="007F7A59"/>
    <w:rsid w:val="00802262"/>
    <w:rsid w:val="0080235D"/>
    <w:rsid w:val="00802A74"/>
    <w:rsid w:val="00804854"/>
    <w:rsid w:val="008069B0"/>
    <w:rsid w:val="00810FD9"/>
    <w:rsid w:val="008115D8"/>
    <w:rsid w:val="008120F4"/>
    <w:rsid w:val="008140A4"/>
    <w:rsid w:val="00814BA3"/>
    <w:rsid w:val="008156A3"/>
    <w:rsid w:val="0081581F"/>
    <w:rsid w:val="0082259E"/>
    <w:rsid w:val="008236F0"/>
    <w:rsid w:val="00824754"/>
    <w:rsid w:val="00826E3F"/>
    <w:rsid w:val="008270A0"/>
    <w:rsid w:val="0083060C"/>
    <w:rsid w:val="00830A88"/>
    <w:rsid w:val="00832A19"/>
    <w:rsid w:val="008336FE"/>
    <w:rsid w:val="00834359"/>
    <w:rsid w:val="00834A80"/>
    <w:rsid w:val="00835A5C"/>
    <w:rsid w:val="008375EC"/>
    <w:rsid w:val="0084283C"/>
    <w:rsid w:val="00842ABC"/>
    <w:rsid w:val="00844FAC"/>
    <w:rsid w:val="008468C4"/>
    <w:rsid w:val="00851EED"/>
    <w:rsid w:val="00852AE7"/>
    <w:rsid w:val="00852EBE"/>
    <w:rsid w:val="00854FBE"/>
    <w:rsid w:val="0085660E"/>
    <w:rsid w:val="008618C1"/>
    <w:rsid w:val="00862285"/>
    <w:rsid w:val="00862F1F"/>
    <w:rsid w:val="00862FD6"/>
    <w:rsid w:val="00866DC2"/>
    <w:rsid w:val="00866F79"/>
    <w:rsid w:val="00867693"/>
    <w:rsid w:val="00867E44"/>
    <w:rsid w:val="0087093F"/>
    <w:rsid w:val="008751F2"/>
    <w:rsid w:val="008765FA"/>
    <w:rsid w:val="00876999"/>
    <w:rsid w:val="00876EDC"/>
    <w:rsid w:val="00880B25"/>
    <w:rsid w:val="00885339"/>
    <w:rsid w:val="00885C2E"/>
    <w:rsid w:val="00887D0E"/>
    <w:rsid w:val="008900FC"/>
    <w:rsid w:val="008908E9"/>
    <w:rsid w:val="0089161B"/>
    <w:rsid w:val="00892706"/>
    <w:rsid w:val="00896266"/>
    <w:rsid w:val="008966E5"/>
    <w:rsid w:val="008A0E3F"/>
    <w:rsid w:val="008A3EF9"/>
    <w:rsid w:val="008A4116"/>
    <w:rsid w:val="008A4E21"/>
    <w:rsid w:val="008A4E89"/>
    <w:rsid w:val="008A4F56"/>
    <w:rsid w:val="008A7744"/>
    <w:rsid w:val="008A7BC1"/>
    <w:rsid w:val="008A7CFE"/>
    <w:rsid w:val="008A7DF1"/>
    <w:rsid w:val="008B17DC"/>
    <w:rsid w:val="008B3DF1"/>
    <w:rsid w:val="008B43CF"/>
    <w:rsid w:val="008C049A"/>
    <w:rsid w:val="008C04A7"/>
    <w:rsid w:val="008C06C1"/>
    <w:rsid w:val="008C2D12"/>
    <w:rsid w:val="008C32E3"/>
    <w:rsid w:val="008C41B7"/>
    <w:rsid w:val="008C5730"/>
    <w:rsid w:val="008C5964"/>
    <w:rsid w:val="008C7675"/>
    <w:rsid w:val="008D0691"/>
    <w:rsid w:val="008D2577"/>
    <w:rsid w:val="008D2A86"/>
    <w:rsid w:val="008D3390"/>
    <w:rsid w:val="008D6D8E"/>
    <w:rsid w:val="008D722D"/>
    <w:rsid w:val="008D7CCF"/>
    <w:rsid w:val="008D7D35"/>
    <w:rsid w:val="008E0034"/>
    <w:rsid w:val="008E1C4B"/>
    <w:rsid w:val="008E39ED"/>
    <w:rsid w:val="008E4EA6"/>
    <w:rsid w:val="008E6A8B"/>
    <w:rsid w:val="008E77CD"/>
    <w:rsid w:val="008E7F22"/>
    <w:rsid w:val="008F0077"/>
    <w:rsid w:val="008F0EE7"/>
    <w:rsid w:val="008F1252"/>
    <w:rsid w:val="008F2072"/>
    <w:rsid w:val="008F2900"/>
    <w:rsid w:val="008F382B"/>
    <w:rsid w:val="008F7C09"/>
    <w:rsid w:val="009006D6"/>
    <w:rsid w:val="00900F63"/>
    <w:rsid w:val="00901843"/>
    <w:rsid w:val="0090213D"/>
    <w:rsid w:val="00903B2F"/>
    <w:rsid w:val="00903FA2"/>
    <w:rsid w:val="00904100"/>
    <w:rsid w:val="00904CE0"/>
    <w:rsid w:val="00905944"/>
    <w:rsid w:val="009063A0"/>
    <w:rsid w:val="009075A9"/>
    <w:rsid w:val="00911AC6"/>
    <w:rsid w:val="00913AE7"/>
    <w:rsid w:val="009141FC"/>
    <w:rsid w:val="0091463C"/>
    <w:rsid w:val="0091590B"/>
    <w:rsid w:val="00916555"/>
    <w:rsid w:val="009173CC"/>
    <w:rsid w:val="009173FA"/>
    <w:rsid w:val="0092025A"/>
    <w:rsid w:val="00923F05"/>
    <w:rsid w:val="00923F69"/>
    <w:rsid w:val="00924192"/>
    <w:rsid w:val="00925BC3"/>
    <w:rsid w:val="00925E93"/>
    <w:rsid w:val="00927463"/>
    <w:rsid w:val="009279FA"/>
    <w:rsid w:val="00927F6C"/>
    <w:rsid w:val="00931C11"/>
    <w:rsid w:val="00932187"/>
    <w:rsid w:val="00933239"/>
    <w:rsid w:val="009332F3"/>
    <w:rsid w:val="009353BD"/>
    <w:rsid w:val="0093654C"/>
    <w:rsid w:val="00937D83"/>
    <w:rsid w:val="0094635B"/>
    <w:rsid w:val="00946A5D"/>
    <w:rsid w:val="00947998"/>
    <w:rsid w:val="00951002"/>
    <w:rsid w:val="00952139"/>
    <w:rsid w:val="009530D5"/>
    <w:rsid w:val="00953C78"/>
    <w:rsid w:val="00954578"/>
    <w:rsid w:val="009563FC"/>
    <w:rsid w:val="0095664F"/>
    <w:rsid w:val="00957704"/>
    <w:rsid w:val="00957AE8"/>
    <w:rsid w:val="00960B70"/>
    <w:rsid w:val="00961272"/>
    <w:rsid w:val="00961A58"/>
    <w:rsid w:val="009653F4"/>
    <w:rsid w:val="00966183"/>
    <w:rsid w:val="009677DE"/>
    <w:rsid w:val="00967D4E"/>
    <w:rsid w:val="009702B4"/>
    <w:rsid w:val="00971962"/>
    <w:rsid w:val="009739EE"/>
    <w:rsid w:val="00974A7B"/>
    <w:rsid w:val="00976AF9"/>
    <w:rsid w:val="00976B09"/>
    <w:rsid w:val="00976E1D"/>
    <w:rsid w:val="00982376"/>
    <w:rsid w:val="0098454C"/>
    <w:rsid w:val="00986085"/>
    <w:rsid w:val="00986B09"/>
    <w:rsid w:val="009874AD"/>
    <w:rsid w:val="00987CA8"/>
    <w:rsid w:val="00990375"/>
    <w:rsid w:val="00992520"/>
    <w:rsid w:val="00993ED0"/>
    <w:rsid w:val="00997B4C"/>
    <w:rsid w:val="009A21D4"/>
    <w:rsid w:val="009A250D"/>
    <w:rsid w:val="009A5D06"/>
    <w:rsid w:val="009A6E6F"/>
    <w:rsid w:val="009A6E77"/>
    <w:rsid w:val="009A7504"/>
    <w:rsid w:val="009A757F"/>
    <w:rsid w:val="009B3027"/>
    <w:rsid w:val="009B3B11"/>
    <w:rsid w:val="009B3F62"/>
    <w:rsid w:val="009B4C8B"/>
    <w:rsid w:val="009B5074"/>
    <w:rsid w:val="009B5CA2"/>
    <w:rsid w:val="009B6475"/>
    <w:rsid w:val="009B78B2"/>
    <w:rsid w:val="009C0B62"/>
    <w:rsid w:val="009C0E24"/>
    <w:rsid w:val="009C3412"/>
    <w:rsid w:val="009C3600"/>
    <w:rsid w:val="009C5B1F"/>
    <w:rsid w:val="009C7447"/>
    <w:rsid w:val="009D1871"/>
    <w:rsid w:val="009D2B1B"/>
    <w:rsid w:val="009D2D59"/>
    <w:rsid w:val="009D4EEC"/>
    <w:rsid w:val="009D599A"/>
    <w:rsid w:val="009D69D6"/>
    <w:rsid w:val="009D75EF"/>
    <w:rsid w:val="009E041E"/>
    <w:rsid w:val="009E43F0"/>
    <w:rsid w:val="009F07FA"/>
    <w:rsid w:val="009F11D6"/>
    <w:rsid w:val="009F3EB6"/>
    <w:rsid w:val="009F40C1"/>
    <w:rsid w:val="009F4948"/>
    <w:rsid w:val="009F5C86"/>
    <w:rsid w:val="00A018BE"/>
    <w:rsid w:val="00A054BA"/>
    <w:rsid w:val="00A0561F"/>
    <w:rsid w:val="00A109AF"/>
    <w:rsid w:val="00A10E0C"/>
    <w:rsid w:val="00A135BB"/>
    <w:rsid w:val="00A13B4B"/>
    <w:rsid w:val="00A16187"/>
    <w:rsid w:val="00A20703"/>
    <w:rsid w:val="00A20A13"/>
    <w:rsid w:val="00A20DEE"/>
    <w:rsid w:val="00A2382D"/>
    <w:rsid w:val="00A256DE"/>
    <w:rsid w:val="00A27851"/>
    <w:rsid w:val="00A27C8E"/>
    <w:rsid w:val="00A312BF"/>
    <w:rsid w:val="00A31D19"/>
    <w:rsid w:val="00A3413A"/>
    <w:rsid w:val="00A34B26"/>
    <w:rsid w:val="00A51033"/>
    <w:rsid w:val="00A52BF0"/>
    <w:rsid w:val="00A5362B"/>
    <w:rsid w:val="00A542B1"/>
    <w:rsid w:val="00A54340"/>
    <w:rsid w:val="00A552F9"/>
    <w:rsid w:val="00A5579F"/>
    <w:rsid w:val="00A57427"/>
    <w:rsid w:val="00A61152"/>
    <w:rsid w:val="00A61A20"/>
    <w:rsid w:val="00A62EF4"/>
    <w:rsid w:val="00A63059"/>
    <w:rsid w:val="00A6399A"/>
    <w:rsid w:val="00A6585C"/>
    <w:rsid w:val="00A65D5C"/>
    <w:rsid w:val="00A67894"/>
    <w:rsid w:val="00A70E83"/>
    <w:rsid w:val="00A738FF"/>
    <w:rsid w:val="00A74497"/>
    <w:rsid w:val="00A77B11"/>
    <w:rsid w:val="00A77F73"/>
    <w:rsid w:val="00A810A3"/>
    <w:rsid w:val="00A813AA"/>
    <w:rsid w:val="00A822CB"/>
    <w:rsid w:val="00A82B13"/>
    <w:rsid w:val="00A839B0"/>
    <w:rsid w:val="00A84001"/>
    <w:rsid w:val="00A85BFC"/>
    <w:rsid w:val="00A85CA9"/>
    <w:rsid w:val="00A87065"/>
    <w:rsid w:val="00A87D9E"/>
    <w:rsid w:val="00A90008"/>
    <w:rsid w:val="00A905D7"/>
    <w:rsid w:val="00A92F54"/>
    <w:rsid w:val="00A93021"/>
    <w:rsid w:val="00A932B1"/>
    <w:rsid w:val="00A93371"/>
    <w:rsid w:val="00A94EA8"/>
    <w:rsid w:val="00A95779"/>
    <w:rsid w:val="00A961FB"/>
    <w:rsid w:val="00A96513"/>
    <w:rsid w:val="00A97D98"/>
    <w:rsid w:val="00A97FD7"/>
    <w:rsid w:val="00AA0CA9"/>
    <w:rsid w:val="00AA135F"/>
    <w:rsid w:val="00AA5495"/>
    <w:rsid w:val="00AA68A8"/>
    <w:rsid w:val="00AA6AE8"/>
    <w:rsid w:val="00AB09A8"/>
    <w:rsid w:val="00AB27D0"/>
    <w:rsid w:val="00AB2A39"/>
    <w:rsid w:val="00AB2DA4"/>
    <w:rsid w:val="00AB3A47"/>
    <w:rsid w:val="00AB5C59"/>
    <w:rsid w:val="00AB643A"/>
    <w:rsid w:val="00AC25C5"/>
    <w:rsid w:val="00AC3FEA"/>
    <w:rsid w:val="00AC40DE"/>
    <w:rsid w:val="00AC79C2"/>
    <w:rsid w:val="00AD05C7"/>
    <w:rsid w:val="00AD13C1"/>
    <w:rsid w:val="00AD1A69"/>
    <w:rsid w:val="00AD1FDD"/>
    <w:rsid w:val="00AD362D"/>
    <w:rsid w:val="00AD37AA"/>
    <w:rsid w:val="00AD4319"/>
    <w:rsid w:val="00AD5458"/>
    <w:rsid w:val="00AD6F92"/>
    <w:rsid w:val="00AD7A5B"/>
    <w:rsid w:val="00AE0302"/>
    <w:rsid w:val="00AE09D1"/>
    <w:rsid w:val="00AE0CAF"/>
    <w:rsid w:val="00AE11DF"/>
    <w:rsid w:val="00AE11FD"/>
    <w:rsid w:val="00AE292A"/>
    <w:rsid w:val="00AE3106"/>
    <w:rsid w:val="00AF063C"/>
    <w:rsid w:val="00AF3347"/>
    <w:rsid w:val="00AF4BF9"/>
    <w:rsid w:val="00AF4C39"/>
    <w:rsid w:val="00AF52E8"/>
    <w:rsid w:val="00AF6159"/>
    <w:rsid w:val="00AF61C5"/>
    <w:rsid w:val="00AF61FA"/>
    <w:rsid w:val="00AF69AE"/>
    <w:rsid w:val="00B00834"/>
    <w:rsid w:val="00B04A6D"/>
    <w:rsid w:val="00B06100"/>
    <w:rsid w:val="00B06399"/>
    <w:rsid w:val="00B07DCF"/>
    <w:rsid w:val="00B128D1"/>
    <w:rsid w:val="00B12910"/>
    <w:rsid w:val="00B136C3"/>
    <w:rsid w:val="00B146E2"/>
    <w:rsid w:val="00B15DF3"/>
    <w:rsid w:val="00B1649E"/>
    <w:rsid w:val="00B16C7D"/>
    <w:rsid w:val="00B16CCE"/>
    <w:rsid w:val="00B17551"/>
    <w:rsid w:val="00B2011C"/>
    <w:rsid w:val="00B20792"/>
    <w:rsid w:val="00B22E8B"/>
    <w:rsid w:val="00B23BD1"/>
    <w:rsid w:val="00B24901"/>
    <w:rsid w:val="00B26BD9"/>
    <w:rsid w:val="00B301C9"/>
    <w:rsid w:val="00B322B9"/>
    <w:rsid w:val="00B32855"/>
    <w:rsid w:val="00B33C5F"/>
    <w:rsid w:val="00B34C5E"/>
    <w:rsid w:val="00B374C0"/>
    <w:rsid w:val="00B41005"/>
    <w:rsid w:val="00B41121"/>
    <w:rsid w:val="00B42CAC"/>
    <w:rsid w:val="00B4768A"/>
    <w:rsid w:val="00B47964"/>
    <w:rsid w:val="00B5092A"/>
    <w:rsid w:val="00B516F6"/>
    <w:rsid w:val="00B523DA"/>
    <w:rsid w:val="00B5241B"/>
    <w:rsid w:val="00B52EE5"/>
    <w:rsid w:val="00B574EB"/>
    <w:rsid w:val="00B6155B"/>
    <w:rsid w:val="00B61AEE"/>
    <w:rsid w:val="00B628BC"/>
    <w:rsid w:val="00B64280"/>
    <w:rsid w:val="00B666D3"/>
    <w:rsid w:val="00B6681C"/>
    <w:rsid w:val="00B71A15"/>
    <w:rsid w:val="00B725AF"/>
    <w:rsid w:val="00B72EC7"/>
    <w:rsid w:val="00B750ED"/>
    <w:rsid w:val="00B77E0D"/>
    <w:rsid w:val="00B8080C"/>
    <w:rsid w:val="00B82D78"/>
    <w:rsid w:val="00B83D16"/>
    <w:rsid w:val="00B84AF0"/>
    <w:rsid w:val="00B85E59"/>
    <w:rsid w:val="00B85FBC"/>
    <w:rsid w:val="00B86B02"/>
    <w:rsid w:val="00B86C70"/>
    <w:rsid w:val="00B86DAC"/>
    <w:rsid w:val="00B926CC"/>
    <w:rsid w:val="00B92940"/>
    <w:rsid w:val="00B92BAC"/>
    <w:rsid w:val="00B95423"/>
    <w:rsid w:val="00B966E7"/>
    <w:rsid w:val="00B96C42"/>
    <w:rsid w:val="00B96D9E"/>
    <w:rsid w:val="00B96EE4"/>
    <w:rsid w:val="00BA1C9A"/>
    <w:rsid w:val="00BA3629"/>
    <w:rsid w:val="00BA40B0"/>
    <w:rsid w:val="00BA5159"/>
    <w:rsid w:val="00BA55C0"/>
    <w:rsid w:val="00BA7024"/>
    <w:rsid w:val="00BA77C8"/>
    <w:rsid w:val="00BB0159"/>
    <w:rsid w:val="00BB190A"/>
    <w:rsid w:val="00BB2A32"/>
    <w:rsid w:val="00BB2D09"/>
    <w:rsid w:val="00BB3450"/>
    <w:rsid w:val="00BC1820"/>
    <w:rsid w:val="00BC1A84"/>
    <w:rsid w:val="00BC3249"/>
    <w:rsid w:val="00BC3C05"/>
    <w:rsid w:val="00BC4345"/>
    <w:rsid w:val="00BC64EA"/>
    <w:rsid w:val="00BD1581"/>
    <w:rsid w:val="00BD2BDE"/>
    <w:rsid w:val="00BD4599"/>
    <w:rsid w:val="00BD471F"/>
    <w:rsid w:val="00BD491F"/>
    <w:rsid w:val="00BD4D53"/>
    <w:rsid w:val="00BD558F"/>
    <w:rsid w:val="00BD79BF"/>
    <w:rsid w:val="00BE288F"/>
    <w:rsid w:val="00BE3F32"/>
    <w:rsid w:val="00BE5FF4"/>
    <w:rsid w:val="00BE7FCD"/>
    <w:rsid w:val="00BF2323"/>
    <w:rsid w:val="00BF395A"/>
    <w:rsid w:val="00BF432B"/>
    <w:rsid w:val="00BF5ED9"/>
    <w:rsid w:val="00BF63A6"/>
    <w:rsid w:val="00C0085F"/>
    <w:rsid w:val="00C00864"/>
    <w:rsid w:val="00C010D5"/>
    <w:rsid w:val="00C02D05"/>
    <w:rsid w:val="00C03E9F"/>
    <w:rsid w:val="00C0407C"/>
    <w:rsid w:val="00C04BEA"/>
    <w:rsid w:val="00C05B78"/>
    <w:rsid w:val="00C05EFD"/>
    <w:rsid w:val="00C06877"/>
    <w:rsid w:val="00C070A9"/>
    <w:rsid w:val="00C1056D"/>
    <w:rsid w:val="00C11E63"/>
    <w:rsid w:val="00C13830"/>
    <w:rsid w:val="00C14A70"/>
    <w:rsid w:val="00C17490"/>
    <w:rsid w:val="00C251D8"/>
    <w:rsid w:val="00C2784D"/>
    <w:rsid w:val="00C2792D"/>
    <w:rsid w:val="00C3368D"/>
    <w:rsid w:val="00C33D4E"/>
    <w:rsid w:val="00C34BC4"/>
    <w:rsid w:val="00C3798C"/>
    <w:rsid w:val="00C433EF"/>
    <w:rsid w:val="00C43898"/>
    <w:rsid w:val="00C43900"/>
    <w:rsid w:val="00C43AB6"/>
    <w:rsid w:val="00C449E7"/>
    <w:rsid w:val="00C52B33"/>
    <w:rsid w:val="00C5329D"/>
    <w:rsid w:val="00C5517B"/>
    <w:rsid w:val="00C55F2A"/>
    <w:rsid w:val="00C60C16"/>
    <w:rsid w:val="00C62E37"/>
    <w:rsid w:val="00C6381C"/>
    <w:rsid w:val="00C65199"/>
    <w:rsid w:val="00C65BA7"/>
    <w:rsid w:val="00C66602"/>
    <w:rsid w:val="00C6689A"/>
    <w:rsid w:val="00C678A0"/>
    <w:rsid w:val="00C67FD4"/>
    <w:rsid w:val="00C70496"/>
    <w:rsid w:val="00C7632D"/>
    <w:rsid w:val="00C76827"/>
    <w:rsid w:val="00C77873"/>
    <w:rsid w:val="00C827DA"/>
    <w:rsid w:val="00C83DA1"/>
    <w:rsid w:val="00C86FAE"/>
    <w:rsid w:val="00C87C57"/>
    <w:rsid w:val="00C911E0"/>
    <w:rsid w:val="00C92995"/>
    <w:rsid w:val="00C948E0"/>
    <w:rsid w:val="00C951DA"/>
    <w:rsid w:val="00C9729C"/>
    <w:rsid w:val="00CA5C9C"/>
    <w:rsid w:val="00CA5FA1"/>
    <w:rsid w:val="00CA606F"/>
    <w:rsid w:val="00CB063B"/>
    <w:rsid w:val="00CB076B"/>
    <w:rsid w:val="00CB0A23"/>
    <w:rsid w:val="00CB0FAF"/>
    <w:rsid w:val="00CB2292"/>
    <w:rsid w:val="00CB2744"/>
    <w:rsid w:val="00CB7F5D"/>
    <w:rsid w:val="00CC26AA"/>
    <w:rsid w:val="00CC350C"/>
    <w:rsid w:val="00CC467A"/>
    <w:rsid w:val="00CC4BA5"/>
    <w:rsid w:val="00CC713A"/>
    <w:rsid w:val="00CC74DD"/>
    <w:rsid w:val="00CD023D"/>
    <w:rsid w:val="00CD0538"/>
    <w:rsid w:val="00CD2A98"/>
    <w:rsid w:val="00CD5502"/>
    <w:rsid w:val="00CD5849"/>
    <w:rsid w:val="00CD7F5A"/>
    <w:rsid w:val="00CE0C8C"/>
    <w:rsid w:val="00CE4931"/>
    <w:rsid w:val="00CE4E7D"/>
    <w:rsid w:val="00CE54B6"/>
    <w:rsid w:val="00CF0C53"/>
    <w:rsid w:val="00CF23C3"/>
    <w:rsid w:val="00CF3C86"/>
    <w:rsid w:val="00D01731"/>
    <w:rsid w:val="00D01B86"/>
    <w:rsid w:val="00D01DB1"/>
    <w:rsid w:val="00D06485"/>
    <w:rsid w:val="00D064D6"/>
    <w:rsid w:val="00D065C7"/>
    <w:rsid w:val="00D07B5E"/>
    <w:rsid w:val="00D11B0C"/>
    <w:rsid w:val="00D13B12"/>
    <w:rsid w:val="00D159EA"/>
    <w:rsid w:val="00D16BE6"/>
    <w:rsid w:val="00D209DC"/>
    <w:rsid w:val="00D21549"/>
    <w:rsid w:val="00D221C1"/>
    <w:rsid w:val="00D25AB3"/>
    <w:rsid w:val="00D25E45"/>
    <w:rsid w:val="00D266E6"/>
    <w:rsid w:val="00D2679A"/>
    <w:rsid w:val="00D270EF"/>
    <w:rsid w:val="00D31B08"/>
    <w:rsid w:val="00D32048"/>
    <w:rsid w:val="00D34B3F"/>
    <w:rsid w:val="00D37001"/>
    <w:rsid w:val="00D37A81"/>
    <w:rsid w:val="00D40BEC"/>
    <w:rsid w:val="00D44422"/>
    <w:rsid w:val="00D4540F"/>
    <w:rsid w:val="00D46165"/>
    <w:rsid w:val="00D477C7"/>
    <w:rsid w:val="00D50A9C"/>
    <w:rsid w:val="00D523AC"/>
    <w:rsid w:val="00D52943"/>
    <w:rsid w:val="00D55F9E"/>
    <w:rsid w:val="00D56158"/>
    <w:rsid w:val="00D566F7"/>
    <w:rsid w:val="00D63783"/>
    <w:rsid w:val="00D65343"/>
    <w:rsid w:val="00D66C4C"/>
    <w:rsid w:val="00D671C0"/>
    <w:rsid w:val="00D67BF5"/>
    <w:rsid w:val="00D70A75"/>
    <w:rsid w:val="00D72CC4"/>
    <w:rsid w:val="00D76647"/>
    <w:rsid w:val="00D77555"/>
    <w:rsid w:val="00D814EB"/>
    <w:rsid w:val="00D817F2"/>
    <w:rsid w:val="00D81DC9"/>
    <w:rsid w:val="00D82756"/>
    <w:rsid w:val="00D833DE"/>
    <w:rsid w:val="00D83690"/>
    <w:rsid w:val="00D8459C"/>
    <w:rsid w:val="00D84CA8"/>
    <w:rsid w:val="00D860F7"/>
    <w:rsid w:val="00D9010E"/>
    <w:rsid w:val="00D92B23"/>
    <w:rsid w:val="00D94F5B"/>
    <w:rsid w:val="00D96FDA"/>
    <w:rsid w:val="00DA3789"/>
    <w:rsid w:val="00DA39C8"/>
    <w:rsid w:val="00DA3D92"/>
    <w:rsid w:val="00DA50EC"/>
    <w:rsid w:val="00DA6099"/>
    <w:rsid w:val="00DA70A9"/>
    <w:rsid w:val="00DB0391"/>
    <w:rsid w:val="00DB0A80"/>
    <w:rsid w:val="00DB2738"/>
    <w:rsid w:val="00DB455A"/>
    <w:rsid w:val="00DB4F1B"/>
    <w:rsid w:val="00DB5735"/>
    <w:rsid w:val="00DB60F0"/>
    <w:rsid w:val="00DB66AA"/>
    <w:rsid w:val="00DB6D72"/>
    <w:rsid w:val="00DB79BE"/>
    <w:rsid w:val="00DC0CDB"/>
    <w:rsid w:val="00DC0FEA"/>
    <w:rsid w:val="00DC131D"/>
    <w:rsid w:val="00DC2CCF"/>
    <w:rsid w:val="00DC493F"/>
    <w:rsid w:val="00DC4C23"/>
    <w:rsid w:val="00DC79DB"/>
    <w:rsid w:val="00DC7C1B"/>
    <w:rsid w:val="00DD0694"/>
    <w:rsid w:val="00DD0F64"/>
    <w:rsid w:val="00DD1BFD"/>
    <w:rsid w:val="00DD4B4E"/>
    <w:rsid w:val="00DD4C36"/>
    <w:rsid w:val="00DD730C"/>
    <w:rsid w:val="00DE1256"/>
    <w:rsid w:val="00DE150D"/>
    <w:rsid w:val="00DE1D6E"/>
    <w:rsid w:val="00DE1D82"/>
    <w:rsid w:val="00DE25D2"/>
    <w:rsid w:val="00DE3978"/>
    <w:rsid w:val="00DE3D32"/>
    <w:rsid w:val="00DE737C"/>
    <w:rsid w:val="00DE74C3"/>
    <w:rsid w:val="00DF2893"/>
    <w:rsid w:val="00DF29EB"/>
    <w:rsid w:val="00DF41C8"/>
    <w:rsid w:val="00DF536B"/>
    <w:rsid w:val="00DF5DD1"/>
    <w:rsid w:val="00DF6377"/>
    <w:rsid w:val="00DF6D11"/>
    <w:rsid w:val="00DF6DB4"/>
    <w:rsid w:val="00DF7E9A"/>
    <w:rsid w:val="00E0063A"/>
    <w:rsid w:val="00E00838"/>
    <w:rsid w:val="00E01E35"/>
    <w:rsid w:val="00E044C4"/>
    <w:rsid w:val="00E045D1"/>
    <w:rsid w:val="00E057ED"/>
    <w:rsid w:val="00E07780"/>
    <w:rsid w:val="00E10D8F"/>
    <w:rsid w:val="00E10DAA"/>
    <w:rsid w:val="00E13AD9"/>
    <w:rsid w:val="00E1441D"/>
    <w:rsid w:val="00E14B3A"/>
    <w:rsid w:val="00E150A1"/>
    <w:rsid w:val="00E1663E"/>
    <w:rsid w:val="00E16AC1"/>
    <w:rsid w:val="00E20110"/>
    <w:rsid w:val="00E206FB"/>
    <w:rsid w:val="00E25ED0"/>
    <w:rsid w:val="00E27F11"/>
    <w:rsid w:val="00E330B2"/>
    <w:rsid w:val="00E336D4"/>
    <w:rsid w:val="00E34685"/>
    <w:rsid w:val="00E34AD5"/>
    <w:rsid w:val="00E34EAB"/>
    <w:rsid w:val="00E36E19"/>
    <w:rsid w:val="00E375CF"/>
    <w:rsid w:val="00E40598"/>
    <w:rsid w:val="00E407C8"/>
    <w:rsid w:val="00E41C48"/>
    <w:rsid w:val="00E41D63"/>
    <w:rsid w:val="00E439A8"/>
    <w:rsid w:val="00E449C4"/>
    <w:rsid w:val="00E465C7"/>
    <w:rsid w:val="00E46C58"/>
    <w:rsid w:val="00E5196F"/>
    <w:rsid w:val="00E5461A"/>
    <w:rsid w:val="00E548C2"/>
    <w:rsid w:val="00E54DC0"/>
    <w:rsid w:val="00E550AF"/>
    <w:rsid w:val="00E559DC"/>
    <w:rsid w:val="00E56336"/>
    <w:rsid w:val="00E5647B"/>
    <w:rsid w:val="00E56E20"/>
    <w:rsid w:val="00E56ECD"/>
    <w:rsid w:val="00E5789E"/>
    <w:rsid w:val="00E61303"/>
    <w:rsid w:val="00E6181C"/>
    <w:rsid w:val="00E622BB"/>
    <w:rsid w:val="00E62844"/>
    <w:rsid w:val="00E63828"/>
    <w:rsid w:val="00E63DD5"/>
    <w:rsid w:val="00E661C0"/>
    <w:rsid w:val="00E67062"/>
    <w:rsid w:val="00E67F2B"/>
    <w:rsid w:val="00E70399"/>
    <w:rsid w:val="00E716A1"/>
    <w:rsid w:val="00E72609"/>
    <w:rsid w:val="00E727BD"/>
    <w:rsid w:val="00E73716"/>
    <w:rsid w:val="00E73CBC"/>
    <w:rsid w:val="00E753D2"/>
    <w:rsid w:val="00E7599C"/>
    <w:rsid w:val="00E75BEF"/>
    <w:rsid w:val="00E7686C"/>
    <w:rsid w:val="00E81457"/>
    <w:rsid w:val="00E8150F"/>
    <w:rsid w:val="00E83789"/>
    <w:rsid w:val="00E83D45"/>
    <w:rsid w:val="00E85E4B"/>
    <w:rsid w:val="00E86F94"/>
    <w:rsid w:val="00E87522"/>
    <w:rsid w:val="00E875A2"/>
    <w:rsid w:val="00E87690"/>
    <w:rsid w:val="00E876AF"/>
    <w:rsid w:val="00E92E9F"/>
    <w:rsid w:val="00E960A1"/>
    <w:rsid w:val="00E96EC6"/>
    <w:rsid w:val="00EA1CFB"/>
    <w:rsid w:val="00EA28AF"/>
    <w:rsid w:val="00EA3B8E"/>
    <w:rsid w:val="00EA3BDB"/>
    <w:rsid w:val="00EA3D39"/>
    <w:rsid w:val="00EA6038"/>
    <w:rsid w:val="00EA7A17"/>
    <w:rsid w:val="00EB11F8"/>
    <w:rsid w:val="00EB1DA6"/>
    <w:rsid w:val="00EB2CCD"/>
    <w:rsid w:val="00EB313A"/>
    <w:rsid w:val="00EB5C82"/>
    <w:rsid w:val="00EB5D82"/>
    <w:rsid w:val="00EB7B88"/>
    <w:rsid w:val="00EB7D32"/>
    <w:rsid w:val="00EC015D"/>
    <w:rsid w:val="00EC2366"/>
    <w:rsid w:val="00EC482E"/>
    <w:rsid w:val="00EC5E78"/>
    <w:rsid w:val="00EC7BD1"/>
    <w:rsid w:val="00ED0B83"/>
    <w:rsid w:val="00ED3091"/>
    <w:rsid w:val="00ED316F"/>
    <w:rsid w:val="00ED3537"/>
    <w:rsid w:val="00ED43A9"/>
    <w:rsid w:val="00ED658F"/>
    <w:rsid w:val="00ED6971"/>
    <w:rsid w:val="00ED7090"/>
    <w:rsid w:val="00ED7A2F"/>
    <w:rsid w:val="00EE0EB7"/>
    <w:rsid w:val="00EE1F1A"/>
    <w:rsid w:val="00EE26EB"/>
    <w:rsid w:val="00EE4446"/>
    <w:rsid w:val="00EE6863"/>
    <w:rsid w:val="00EE748C"/>
    <w:rsid w:val="00EF0C87"/>
    <w:rsid w:val="00EF3C12"/>
    <w:rsid w:val="00EF4B59"/>
    <w:rsid w:val="00EF6B89"/>
    <w:rsid w:val="00EF7C6D"/>
    <w:rsid w:val="00F015BF"/>
    <w:rsid w:val="00F02028"/>
    <w:rsid w:val="00F02680"/>
    <w:rsid w:val="00F02C3D"/>
    <w:rsid w:val="00F043C1"/>
    <w:rsid w:val="00F04F6D"/>
    <w:rsid w:val="00F06E4A"/>
    <w:rsid w:val="00F1083A"/>
    <w:rsid w:val="00F113B0"/>
    <w:rsid w:val="00F11501"/>
    <w:rsid w:val="00F1253F"/>
    <w:rsid w:val="00F12E83"/>
    <w:rsid w:val="00F13D97"/>
    <w:rsid w:val="00F20884"/>
    <w:rsid w:val="00F217A0"/>
    <w:rsid w:val="00F24FAC"/>
    <w:rsid w:val="00F25612"/>
    <w:rsid w:val="00F26E8A"/>
    <w:rsid w:val="00F26FD8"/>
    <w:rsid w:val="00F27D75"/>
    <w:rsid w:val="00F30EB7"/>
    <w:rsid w:val="00F35339"/>
    <w:rsid w:val="00F375CE"/>
    <w:rsid w:val="00F4200F"/>
    <w:rsid w:val="00F424A7"/>
    <w:rsid w:val="00F42B8F"/>
    <w:rsid w:val="00F4361C"/>
    <w:rsid w:val="00F43A74"/>
    <w:rsid w:val="00F43A90"/>
    <w:rsid w:val="00F43B26"/>
    <w:rsid w:val="00F466C6"/>
    <w:rsid w:val="00F46F17"/>
    <w:rsid w:val="00F47681"/>
    <w:rsid w:val="00F508AD"/>
    <w:rsid w:val="00F52417"/>
    <w:rsid w:val="00F52BFE"/>
    <w:rsid w:val="00F55249"/>
    <w:rsid w:val="00F565AB"/>
    <w:rsid w:val="00F56FFB"/>
    <w:rsid w:val="00F60218"/>
    <w:rsid w:val="00F60250"/>
    <w:rsid w:val="00F611E9"/>
    <w:rsid w:val="00F630D6"/>
    <w:rsid w:val="00F631A4"/>
    <w:rsid w:val="00F63789"/>
    <w:rsid w:val="00F63794"/>
    <w:rsid w:val="00F640D5"/>
    <w:rsid w:val="00F64C05"/>
    <w:rsid w:val="00F653A8"/>
    <w:rsid w:val="00F6544E"/>
    <w:rsid w:val="00F73058"/>
    <w:rsid w:val="00F7415B"/>
    <w:rsid w:val="00F7615E"/>
    <w:rsid w:val="00F7762E"/>
    <w:rsid w:val="00F776F4"/>
    <w:rsid w:val="00F82674"/>
    <w:rsid w:val="00F83AC5"/>
    <w:rsid w:val="00F83D75"/>
    <w:rsid w:val="00F84053"/>
    <w:rsid w:val="00F85AF7"/>
    <w:rsid w:val="00F8612B"/>
    <w:rsid w:val="00F86F6E"/>
    <w:rsid w:val="00F90093"/>
    <w:rsid w:val="00F90A05"/>
    <w:rsid w:val="00F91EF8"/>
    <w:rsid w:val="00F92AEE"/>
    <w:rsid w:val="00F92F7C"/>
    <w:rsid w:val="00F93E28"/>
    <w:rsid w:val="00F94365"/>
    <w:rsid w:val="00F95360"/>
    <w:rsid w:val="00F9543B"/>
    <w:rsid w:val="00F972C2"/>
    <w:rsid w:val="00F9795D"/>
    <w:rsid w:val="00FA01ED"/>
    <w:rsid w:val="00FA175A"/>
    <w:rsid w:val="00FA2FEC"/>
    <w:rsid w:val="00FA3E36"/>
    <w:rsid w:val="00FA45B7"/>
    <w:rsid w:val="00FA47BE"/>
    <w:rsid w:val="00FA5958"/>
    <w:rsid w:val="00FA64FC"/>
    <w:rsid w:val="00FB0F22"/>
    <w:rsid w:val="00FB16F4"/>
    <w:rsid w:val="00FB3D79"/>
    <w:rsid w:val="00FB44A6"/>
    <w:rsid w:val="00FB5A4F"/>
    <w:rsid w:val="00FB63DD"/>
    <w:rsid w:val="00FC200C"/>
    <w:rsid w:val="00FC22BE"/>
    <w:rsid w:val="00FC2672"/>
    <w:rsid w:val="00FC6DA4"/>
    <w:rsid w:val="00FD1C68"/>
    <w:rsid w:val="00FD20F3"/>
    <w:rsid w:val="00FD32F5"/>
    <w:rsid w:val="00FD3708"/>
    <w:rsid w:val="00FD485D"/>
    <w:rsid w:val="00FD581A"/>
    <w:rsid w:val="00FD75E9"/>
    <w:rsid w:val="00FE126D"/>
    <w:rsid w:val="00FE12CD"/>
    <w:rsid w:val="00FE13D6"/>
    <w:rsid w:val="00FE1D24"/>
    <w:rsid w:val="00FE3FA0"/>
    <w:rsid w:val="00FE4F34"/>
    <w:rsid w:val="00FE5900"/>
    <w:rsid w:val="00FE64E6"/>
    <w:rsid w:val="00FE67B6"/>
    <w:rsid w:val="00FE7129"/>
    <w:rsid w:val="00FF22D6"/>
    <w:rsid w:val="00FF2845"/>
    <w:rsid w:val="00FF4226"/>
    <w:rsid w:val="00FF4E64"/>
    <w:rsid w:val="00FF5FCD"/>
    <w:rsid w:val="00FF7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Elegan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3F69"/>
    <w:pPr>
      <w:widowControl w:val="0"/>
      <w:autoSpaceDE w:val="0"/>
      <w:autoSpaceDN w:val="0"/>
      <w:adjustRightInd w:val="0"/>
      <w:spacing w:after="0" w:line="360" w:lineRule="auto"/>
      <w:jc w:val="both"/>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9"/>
    <w:rsid w:val="00923F69"/>
    <w:pPr>
      <w:keepNext/>
      <w:keepLines/>
      <w:numPr>
        <w:numId w:val="1"/>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923F6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923F69"/>
    <w:pPr>
      <w:spacing w:before="0"/>
    </w:pPr>
    <w:rPr>
      <w:bCs/>
    </w:rPr>
  </w:style>
  <w:style w:type="paragraph" w:customStyle="1" w:styleId="PKTpunkt">
    <w:name w:val="PKT – punkt"/>
    <w:basedOn w:val="USTustnpkodeksu"/>
    <w:uiPriority w:val="13"/>
    <w:qFormat/>
    <w:rsid w:val="00923F69"/>
    <w:pPr>
      <w:ind w:left="510" w:hanging="510"/>
    </w:pPr>
  </w:style>
  <w:style w:type="paragraph" w:customStyle="1" w:styleId="LITlitera">
    <w:name w:val="LIT – litera"/>
    <w:basedOn w:val="PKTpunkt"/>
    <w:uiPriority w:val="14"/>
    <w:qFormat/>
    <w:rsid w:val="00923F69"/>
    <w:pPr>
      <w:ind w:left="986" w:hanging="476"/>
    </w:pPr>
  </w:style>
  <w:style w:type="paragraph" w:customStyle="1" w:styleId="TIRtiret">
    <w:name w:val="TIR – tiret"/>
    <w:basedOn w:val="LITlitera"/>
    <w:uiPriority w:val="15"/>
    <w:qFormat/>
    <w:rsid w:val="00923F69"/>
    <w:pPr>
      <w:ind w:left="1384" w:hanging="397"/>
    </w:pPr>
  </w:style>
  <w:style w:type="paragraph" w:customStyle="1" w:styleId="2TIRpodwjnytiret">
    <w:name w:val="2TIR – podwójny tiret"/>
    <w:basedOn w:val="TIRtiret"/>
    <w:uiPriority w:val="73"/>
    <w:qFormat/>
    <w:rsid w:val="00923F69"/>
    <w:pPr>
      <w:ind w:left="2177"/>
    </w:pPr>
  </w:style>
  <w:style w:type="paragraph" w:styleId="Bezodstpw">
    <w:name w:val="No Spacing"/>
    <w:uiPriority w:val="99"/>
    <w:rsid w:val="00923F69"/>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CYTcytatnpprzysigi">
    <w:name w:val="CYT – cytat np. przysięgi"/>
    <w:basedOn w:val="USTustnpkodeksu"/>
    <w:next w:val="USTustnpkodeksu"/>
    <w:uiPriority w:val="18"/>
    <w:qFormat/>
    <w:rsid w:val="00923F69"/>
    <w:pPr>
      <w:ind w:left="510" w:right="510" w:firstLine="0"/>
      <w:mirrorIndents/>
    </w:pPr>
  </w:style>
  <w:style w:type="paragraph" w:customStyle="1" w:styleId="CZWSPTIRczwsplnatiret">
    <w:name w:val="CZ_WSP_TIR – część wspólna tiret"/>
    <w:basedOn w:val="TIRtiret"/>
    <w:next w:val="USTustnpkodeksu"/>
    <w:uiPriority w:val="17"/>
    <w:qFormat/>
    <w:rsid w:val="00923F69"/>
    <w:pPr>
      <w:ind w:left="987" w:firstLine="0"/>
    </w:pPr>
  </w:style>
  <w:style w:type="paragraph" w:customStyle="1" w:styleId="CZWSP2TIRczwsplnapodwjnychtiret">
    <w:name w:val="CZ_WSP_2TIR – część wspólna podwójnych tiret"/>
    <w:basedOn w:val="CZWSPTIRczwsplnatiret"/>
    <w:next w:val="TIRtiret"/>
    <w:uiPriority w:val="73"/>
    <w:qFormat/>
    <w:rsid w:val="00923F69"/>
    <w:pPr>
      <w:ind w:left="1780"/>
    </w:pPr>
  </w:style>
  <w:style w:type="paragraph" w:customStyle="1" w:styleId="CZWSPLITczwsplnaliter">
    <w:name w:val="CZ_WSP_LIT – część wspólna liter"/>
    <w:basedOn w:val="LITlitera"/>
    <w:next w:val="USTustnpkodeksu"/>
    <w:uiPriority w:val="17"/>
    <w:qFormat/>
    <w:rsid w:val="00923F69"/>
    <w:pPr>
      <w:ind w:left="510" w:firstLine="0"/>
    </w:pPr>
    <w:rPr>
      <w:szCs w:val="24"/>
    </w:rPr>
  </w:style>
  <w:style w:type="paragraph" w:customStyle="1" w:styleId="P1wTABELIpoziom1numeracjiwtabeli">
    <w:name w:val="P1_w_TABELI – poziom 1 numeracji w tabeli"/>
    <w:basedOn w:val="PKTpunkt"/>
    <w:uiPriority w:val="24"/>
    <w:qFormat/>
    <w:rsid w:val="00923F69"/>
    <w:pPr>
      <w:ind w:left="397" w:hanging="397"/>
      <w:jc w:val="left"/>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23F69"/>
    <w:pPr>
      <w:ind w:left="0" w:firstLine="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23F6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23F6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23F69"/>
    <w:pPr>
      <w:ind w:left="1191"/>
    </w:pPr>
  </w:style>
  <w:style w:type="paragraph" w:customStyle="1" w:styleId="CZWSPPKTczwsplnapunktw">
    <w:name w:val="CZ_WSP_PKT – część wspólna punktów"/>
    <w:basedOn w:val="PKTpunkt"/>
    <w:next w:val="USTustnpkodeksu"/>
    <w:uiPriority w:val="16"/>
    <w:qFormat/>
    <w:rsid w:val="00923F69"/>
    <w:pPr>
      <w:ind w:left="0" w:firstLine="0"/>
    </w:pPr>
  </w:style>
  <w:style w:type="paragraph" w:customStyle="1" w:styleId="ODNONIKtreodnonika">
    <w:name w:val="ODNOŚNIK – treść odnośnika"/>
    <w:uiPriority w:val="19"/>
    <w:qFormat/>
    <w:rsid w:val="00923F69"/>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PKTODNONIKApunktodnonika">
    <w:name w:val="PKT_ODNOŚNIKA – punkt odnośnika"/>
    <w:basedOn w:val="ODNONIKtreodnonika"/>
    <w:uiPriority w:val="19"/>
    <w:qFormat/>
    <w:rsid w:val="00923F69"/>
    <w:pPr>
      <w:ind w:left="568"/>
    </w:pPr>
  </w:style>
  <w:style w:type="paragraph" w:customStyle="1" w:styleId="CZWSPPKTODNONIKAczwsppunkwodnonika">
    <w:name w:val="CZ_WSP_PKT_ODNOŚNIKA – część wsp. punków odnośnika"/>
    <w:basedOn w:val="PKTODNONIKApunktodnonika"/>
    <w:uiPriority w:val="21"/>
    <w:qFormat/>
    <w:rsid w:val="00923F69"/>
    <w:pPr>
      <w:ind w:left="284" w:firstLine="0"/>
    </w:pPr>
  </w:style>
  <w:style w:type="paragraph" w:customStyle="1" w:styleId="CZKSIGAoznaczenieiprzedmiotczcilubksigi">
    <w:name w:val="CZĘŚĆ(KSIĘGA) – oznaczenie i przedmiot części lub księgi"/>
    <w:next w:val="ARTartustawynprozporzdzenia"/>
    <w:uiPriority w:val="8"/>
    <w:qFormat/>
    <w:rsid w:val="00923F69"/>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DATAAKTUdatauchwalenialubwydaniaaktu">
    <w:name w:val="DATA_AKTU – data uchwalenia lub wydania aktu"/>
    <w:next w:val="Normalny"/>
    <w:uiPriority w:val="6"/>
    <w:qFormat/>
    <w:rsid w:val="00923F69"/>
    <w:pPr>
      <w:keepNext/>
      <w:suppressAutoHyphens/>
      <w:spacing w:before="120" w:after="120" w:line="360" w:lineRule="auto"/>
      <w:jc w:val="center"/>
    </w:pPr>
    <w:rPr>
      <w:rFonts w:ascii="Times" w:eastAsiaTheme="minorEastAsia" w:hAnsi="Times" w:cs="Arial"/>
      <w:bCs/>
      <w:sz w:val="24"/>
      <w:szCs w:val="24"/>
      <w:lang w:eastAsia="pl-PL"/>
    </w:rPr>
  </w:style>
  <w:style w:type="paragraph" w:styleId="Nagwek">
    <w:name w:val="header"/>
    <w:basedOn w:val="Normalny"/>
    <w:link w:val="NagwekZnak"/>
    <w:uiPriority w:val="99"/>
    <w:semiHidden/>
    <w:rsid w:val="00923F6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923F69"/>
    <w:rPr>
      <w:rFonts w:ascii="Times" w:eastAsia="Times New Roman" w:hAnsi="Times" w:cs="Times New Roman"/>
      <w:kern w:val="1"/>
      <w:sz w:val="24"/>
      <w:szCs w:val="24"/>
      <w:lang w:eastAsia="ar-SA"/>
    </w:rPr>
  </w:style>
  <w:style w:type="character" w:customStyle="1" w:styleId="Nagwek1Znak">
    <w:name w:val="Nagłówek 1 Znak"/>
    <w:basedOn w:val="Domylnaczcionkaakapitu"/>
    <w:link w:val="Nagwek1"/>
    <w:uiPriority w:val="99"/>
    <w:rsid w:val="00923F69"/>
    <w:rPr>
      <w:rFonts w:asciiTheme="majorHAnsi" w:eastAsiaTheme="majorEastAsia" w:hAnsiTheme="majorHAnsi" w:cstheme="majorBidi"/>
      <w:b/>
      <w:bCs/>
      <w:color w:val="365F91" w:themeColor="accent1" w:themeShade="BF"/>
      <w:kern w:val="1"/>
      <w:sz w:val="28"/>
      <w:szCs w:val="28"/>
      <w:lang w:eastAsia="ar-SA"/>
    </w:rPr>
  </w:style>
  <w:style w:type="paragraph" w:customStyle="1" w:styleId="OZNRODZAKTUtznustawalubrozporzdzenieiorganwydajcy">
    <w:name w:val="OZN_RODZ_AKTU – tzn. ustawa lub rozporządzenie i organ wydający"/>
    <w:next w:val="DATAAKTUdatauchwalenialubwydaniaaktu"/>
    <w:uiPriority w:val="5"/>
    <w:qFormat/>
    <w:rsid w:val="00923F6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23F69"/>
    <w:pPr>
      <w:jc w:val="right"/>
    </w:p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23F69"/>
    <w:pPr>
      <w:jc w:val="left"/>
    </w:pPr>
  </w:style>
  <w:style w:type="paragraph" w:customStyle="1" w:styleId="NIEARTTEKSTtekstnieartykuowanynppreambua">
    <w:name w:val="NIEART_TEKST – tekst nieartykułowany (np. preambuła)"/>
    <w:basedOn w:val="ARTartustawynprozporzdzenia"/>
    <w:next w:val="ARTartustawynprozporzdzenia"/>
    <w:uiPriority w:val="4"/>
    <w:qFormat/>
    <w:rsid w:val="00923F69"/>
    <w:rPr>
      <w:bCs/>
    </w:rPr>
  </w:style>
  <w:style w:type="paragraph" w:customStyle="1" w:styleId="nowela">
    <w:name w:val="nowela"/>
    <w:basedOn w:val="ARTartustawynprozporzdzenia"/>
    <w:uiPriority w:val="99"/>
    <w:semiHidden/>
    <w:qFormat/>
    <w:rsid w:val="00923F69"/>
    <w:pPr>
      <w:spacing w:before="60"/>
      <w:ind w:left="510"/>
    </w:pPr>
  </w:style>
  <w:style w:type="character" w:styleId="Odwoaniedokomentarza">
    <w:name w:val="annotation reference"/>
    <w:basedOn w:val="Domylnaczcionkaakapitu"/>
    <w:uiPriority w:val="99"/>
    <w:semiHidden/>
    <w:rsid w:val="00923F69"/>
    <w:rPr>
      <w:sz w:val="16"/>
      <w:szCs w:val="16"/>
    </w:rPr>
  </w:style>
  <w:style w:type="character" w:styleId="Odwoanieprzypisudolnego">
    <w:name w:val="footnote reference"/>
    <w:uiPriority w:val="99"/>
    <w:semiHidden/>
    <w:rsid w:val="00923F69"/>
    <w:rPr>
      <w:rFonts w:cs="Times New Roman"/>
      <w:vertAlign w:val="superscript"/>
    </w:rPr>
  </w:style>
  <w:style w:type="paragraph" w:customStyle="1" w:styleId="OZNPROJEKTUwskazaniedatylubwersjiprojektu">
    <w:name w:val="OZN_PROJEKTU – wskazanie daty lub wersji projektu"/>
    <w:next w:val="OZNRODZAKTUtznustawalubrozporzdzenieiorganwydajcy"/>
    <w:uiPriority w:val="5"/>
    <w:qFormat/>
    <w:rsid w:val="00923F69"/>
    <w:pPr>
      <w:spacing w:after="0" w:line="360" w:lineRule="auto"/>
      <w:jc w:val="right"/>
    </w:pPr>
    <w:rPr>
      <w:rFonts w:ascii="Times New Roman" w:eastAsiaTheme="minorEastAsia" w:hAnsi="Times New Roman" w:cs="Arial"/>
      <w:sz w:val="24"/>
      <w:szCs w:val="20"/>
      <w:u w:val="single"/>
      <w:lang w:eastAsia="pl-PL"/>
    </w:rPr>
  </w:style>
  <w:style w:type="paragraph" w:customStyle="1" w:styleId="P2wTABELIpoziom2numeracjiwtabeli">
    <w:name w:val="P2_w_TABELI – poziom 2 numeracji w tabeli"/>
    <w:basedOn w:val="P1wTABELIpoziom1numeracjiwtabeli"/>
    <w:uiPriority w:val="24"/>
    <w:qFormat/>
    <w:rsid w:val="00923F69"/>
    <w:pPr>
      <w:ind w:left="794"/>
    </w:pPr>
  </w:style>
  <w:style w:type="paragraph" w:customStyle="1" w:styleId="P3wTABELIpoziom3numeracjiwtabeli">
    <w:name w:val="P3_w_TABELI – poziom 3 numeracji w tabeli"/>
    <w:basedOn w:val="P2wTABELIpoziom2numeracjiwtabeli"/>
    <w:uiPriority w:val="24"/>
    <w:qFormat/>
    <w:rsid w:val="00923F69"/>
    <w:pPr>
      <w:ind w:left="1191"/>
    </w:pPr>
  </w:style>
  <w:style w:type="paragraph" w:customStyle="1" w:styleId="P4wTABELIpoziom4numeracjiwtabeli">
    <w:name w:val="P4_w_TABELI – poziom 4 numeracji w tabeli"/>
    <w:basedOn w:val="P3wTABELIpoziom3numeracjiwtabeli"/>
    <w:uiPriority w:val="24"/>
    <w:qFormat/>
    <w:rsid w:val="00923F69"/>
    <w:pPr>
      <w:ind w:left="1588"/>
    </w:pPr>
  </w:style>
  <w:style w:type="paragraph" w:customStyle="1" w:styleId="ROZDZODDZOZNoznaczenierozdziauluboddziau">
    <w:name w:val="ROZDZ(ODDZ)_OZN – oznaczenie rozdziału lub oddziału"/>
    <w:next w:val="ARTartustawynprozporzdzenia"/>
    <w:uiPriority w:val="10"/>
    <w:qFormat/>
    <w:rsid w:val="00923F69"/>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923F69"/>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SKARNsankcjakarnawszczeglnociwKodeksiekarnym">
    <w:name w:val="S_KARN – sankcja karna w szczególności w Kodeksie karnym"/>
    <w:basedOn w:val="USTustnpkodeksu"/>
    <w:next w:val="ARTartustawynprozporzdzenia"/>
    <w:uiPriority w:val="18"/>
    <w:qFormat/>
    <w:rsid w:val="00923F69"/>
    <w:pPr>
      <w:ind w:left="510" w:firstLine="0"/>
    </w:pPr>
  </w:style>
  <w:style w:type="paragraph" w:styleId="Stopka">
    <w:name w:val="footer"/>
    <w:basedOn w:val="Normalny"/>
    <w:link w:val="StopkaZnak"/>
    <w:uiPriority w:val="99"/>
    <w:rsid w:val="00923F6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923F69"/>
    <w:rPr>
      <w:rFonts w:ascii="Times" w:eastAsia="Times New Roman" w:hAnsi="Times" w:cs="Times New Roman"/>
      <w:kern w:val="1"/>
      <w:sz w:val="24"/>
      <w:szCs w:val="24"/>
      <w:lang w:eastAsia="ar-SA"/>
    </w:rPr>
  </w:style>
  <w:style w:type="paragraph" w:styleId="Tekstdymka">
    <w:name w:val="Balloon Text"/>
    <w:basedOn w:val="Normalny"/>
    <w:link w:val="TekstdymkaZnak"/>
    <w:rsid w:val="00923F6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rsid w:val="00923F69"/>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923F6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923F69"/>
    <w:rPr>
      <w:rFonts w:ascii="Times" w:eastAsia="Times New Roman" w:hAnsi="Times" w:cs="Times New Roman"/>
      <w:sz w:val="24"/>
      <w:szCs w:val="24"/>
      <w:lang w:eastAsia="pl-PL"/>
    </w:rPr>
  </w:style>
  <w:style w:type="paragraph" w:customStyle="1" w:styleId="TEKSTwporozumieniu">
    <w:name w:val="TEKST_&quot;w_porozumieniu:&quot;"/>
    <w:next w:val="NAZORGWPOROZUMIENIUnazwaorganuwporozumieniuzktrymaktjestwydawany"/>
    <w:uiPriority w:val="29"/>
    <w:qFormat/>
    <w:rsid w:val="00923F69"/>
    <w:pPr>
      <w:spacing w:after="0" w:line="360" w:lineRule="auto"/>
    </w:pPr>
    <w:rPr>
      <w:rFonts w:ascii="Times New Roman" w:eastAsiaTheme="minorEastAsia" w:hAnsi="Times New Roman" w:cs="Arial"/>
      <w:b/>
      <w:sz w:val="24"/>
      <w:szCs w:val="20"/>
      <w:lang w:eastAsia="pl-PL"/>
    </w:rPr>
  </w:style>
  <w:style w:type="paragraph" w:customStyle="1" w:styleId="TEKSTWTABELItekstzwcitympierwwierszem">
    <w:name w:val="TEKST_W_TABELI – tekst z wciętym pierw. wierszem"/>
    <w:basedOn w:val="USTustnpkodeksu"/>
    <w:uiPriority w:val="27"/>
    <w:qFormat/>
    <w:rsid w:val="00923F69"/>
    <w:rPr>
      <w:kern w:val="24"/>
    </w:rPr>
  </w:style>
  <w:style w:type="paragraph" w:styleId="Tematkomentarza">
    <w:name w:val="annotation subject"/>
    <w:basedOn w:val="Tekstkomentarza"/>
    <w:next w:val="Tekstkomentarza"/>
    <w:link w:val="TematkomentarzaZnak"/>
    <w:uiPriority w:val="99"/>
    <w:semiHidden/>
    <w:rsid w:val="00923F69"/>
    <w:rPr>
      <w:b/>
      <w:bCs/>
    </w:rPr>
  </w:style>
  <w:style w:type="character" w:customStyle="1" w:styleId="TematkomentarzaZnak">
    <w:name w:val="Temat komentarza Znak"/>
    <w:basedOn w:val="TekstkomentarzaZnak"/>
    <w:link w:val="Tematkomentarza"/>
    <w:uiPriority w:val="99"/>
    <w:semiHidden/>
    <w:rsid w:val="00923F69"/>
    <w:rPr>
      <w:rFonts w:ascii="Times" w:eastAsia="Times New Roman" w:hAnsi="Times" w:cs="Times New Roman"/>
      <w:b/>
      <w:bCs/>
      <w:sz w:val="24"/>
      <w:szCs w:val="24"/>
      <w:lang w:eastAsia="pl-PL"/>
    </w:rPr>
  </w:style>
  <w:style w:type="paragraph" w:customStyle="1" w:styleId="TYTDZOZNoznaczenietytuulubdziau">
    <w:name w:val="TYT(DZ)_OZN – oznaczenie tytułu lub działu"/>
    <w:next w:val="Normalny"/>
    <w:uiPriority w:val="9"/>
    <w:qFormat/>
    <w:rsid w:val="00923F69"/>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TYTDZPRZEDMprzedmiotregulacjitytuulubdziau">
    <w:name w:val="TYT(DZ)_PRZEDM – przedmiot regulacji tytułu lub działu"/>
    <w:next w:val="ARTartustawynprozporzdzenia"/>
    <w:uiPriority w:val="9"/>
    <w:qFormat/>
    <w:rsid w:val="00923F69"/>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TYTTABELItytutabeli">
    <w:name w:val="TYT_TABELI – tytuł tabeli"/>
    <w:basedOn w:val="TYTDZOZNoznaczenietytuulubdziau"/>
    <w:uiPriority w:val="22"/>
    <w:qFormat/>
    <w:rsid w:val="00923F69"/>
    <w:rPr>
      <w:b/>
    </w:rPr>
  </w:style>
  <w:style w:type="paragraph" w:customStyle="1" w:styleId="TYTUAKTUprzedmiotregulacjiustawylubrozporzdzenia">
    <w:name w:val="TYTUŁ_AKTU – przedmiot regulacji ustawy lub rozporządzenia"/>
    <w:next w:val="ARTartustawynprozporzdzenia"/>
    <w:uiPriority w:val="6"/>
    <w:qFormat/>
    <w:rsid w:val="00923F69"/>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WMATFIZCHEMwzorymatfizlubchemiichlegendy">
    <w:name w:val="W_MAT(FIZ|CHEM) – wzory mat. (fiz. lub chem.) i ich legendy"/>
    <w:uiPriority w:val="22"/>
    <w:qFormat/>
    <w:rsid w:val="00923F69"/>
    <w:pPr>
      <w:spacing w:after="0" w:line="360" w:lineRule="auto"/>
      <w:ind w:left="986" w:hanging="476"/>
      <w:jc w:val="both"/>
    </w:pPr>
    <w:rPr>
      <w:rFonts w:ascii="Times New Roman" w:eastAsiaTheme="minorEastAsia" w:hAnsi="Times New Roman" w:cs="Arial"/>
      <w:sz w:val="24"/>
      <w:szCs w:val="20"/>
      <w:lang w:eastAsia="pl-PL"/>
    </w:rPr>
  </w:style>
  <w:style w:type="paragraph" w:customStyle="1" w:styleId="Z2TIRzmpodwtirartykuempunktem">
    <w:name w:val="Z/2TIR – zm. podw. tir. artykułem (punktem)"/>
    <w:basedOn w:val="TIRtiret"/>
    <w:uiPriority w:val="73"/>
    <w:qFormat/>
    <w:rsid w:val="00923F69"/>
    <w:pPr>
      <w:ind w:left="907"/>
    </w:pPr>
  </w:style>
  <w:style w:type="paragraph" w:customStyle="1" w:styleId="Z2TIRwPKTzmpodwtirwpktartykuempunktem">
    <w:name w:val="Z/2TIR_w_PKT – zm. podw. tir. w pkt artykułem (punktem)"/>
    <w:basedOn w:val="TIRtiret"/>
    <w:next w:val="Normalny"/>
    <w:uiPriority w:val="74"/>
    <w:qFormat/>
    <w:rsid w:val="00923F69"/>
    <w:pPr>
      <w:ind w:left="2291"/>
    </w:pPr>
  </w:style>
  <w:style w:type="paragraph" w:customStyle="1" w:styleId="Z2TIRwLITzmpodwtirwlitartykuempunktem">
    <w:name w:val="Z/2TIR_w_LIT – zm. podw. tir. w lit. artykułem (punktem)"/>
    <w:basedOn w:val="Z2TIRwPKTzmpodwtirwpktartykuempunktem"/>
    <w:uiPriority w:val="74"/>
    <w:qFormat/>
    <w:rsid w:val="00923F69"/>
    <w:pPr>
      <w:ind w:left="1780"/>
    </w:pPr>
  </w:style>
  <w:style w:type="paragraph" w:customStyle="1" w:styleId="Z2TIRwTIRzmpodwtirwtirartykuempunktem">
    <w:name w:val="Z/2TIR_w_TIR – zm. podw. tir. w tir. artykułem (punktem)"/>
    <w:basedOn w:val="Z2TIRwLITzmpodwtirwlitartykuempunktem"/>
    <w:uiPriority w:val="73"/>
    <w:qFormat/>
    <w:rsid w:val="00923F69"/>
    <w:pPr>
      <w:ind w:left="1304"/>
    </w:pPr>
  </w:style>
  <w:style w:type="paragraph" w:customStyle="1" w:styleId="ZARTzmartartykuempunktem">
    <w:name w:val="Z/ART(§) – zm. art. (§) artykułem (punktem)"/>
    <w:basedOn w:val="ARTartustawynprozporzdzenia"/>
    <w:uiPriority w:val="30"/>
    <w:qFormat/>
    <w:rsid w:val="00923F69"/>
    <w:pPr>
      <w:spacing w:before="0"/>
      <w:ind w:left="510"/>
    </w:pPr>
  </w:style>
  <w:style w:type="paragraph" w:customStyle="1" w:styleId="ZCYTwARTUSTzmcytatuwrazzartlubust">
    <w:name w:val="Z/CYT_w_ART(§|UST) – zm. cytatu wraz z art. (§ lub ust.)"/>
    <w:basedOn w:val="CYTcytatnpprzysigi"/>
    <w:uiPriority w:val="39"/>
    <w:qFormat/>
    <w:rsid w:val="00923F69"/>
    <w:pPr>
      <w:ind w:left="1021"/>
    </w:pPr>
  </w:style>
  <w:style w:type="paragraph" w:customStyle="1" w:styleId="ZCZWSPPKTzmczciwsppktartykuempunktem">
    <w:name w:val="Z/CZ_WSP_PKT – zm. części wsp. pkt artykułem (punktem)"/>
    <w:basedOn w:val="CZWSPPKTczwsplnapunktw"/>
    <w:next w:val="ZARTzmartartykuempunktem"/>
    <w:uiPriority w:val="34"/>
    <w:qFormat/>
    <w:rsid w:val="00923F69"/>
    <w:pPr>
      <w:ind w:left="51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23F69"/>
  </w:style>
  <w:style w:type="paragraph" w:customStyle="1" w:styleId="ZCZWSP2TIRwLITzmczciwsppodwtirwlitartykuempunktem">
    <w:name w:val="Z/CZ_WSP_2TIR_w_LIT – zm. części wsp. podw. tir. w lit. artykułem (punktem)"/>
    <w:basedOn w:val="Z2TIRwLITzmpodwtirwlitartykuempunktem"/>
    <w:next w:val="Normalny"/>
    <w:uiPriority w:val="75"/>
    <w:qFormat/>
    <w:rsid w:val="00923F69"/>
    <w:pPr>
      <w:ind w:left="1383" w:firstLine="0"/>
    </w:pPr>
  </w:style>
  <w:style w:type="paragraph" w:customStyle="1" w:styleId="ZCZWSP2TIRwPKTzmczciwsppodwtirwpktartykuempunktem">
    <w:name w:val="Z/CZ_WSP_2TIR_w_PKT – zm. części wsp. podw. tir. w pkt artykułem (punktem)"/>
    <w:basedOn w:val="Z2TIRwPKTzmpodwtirwpktartykuempunktem"/>
    <w:next w:val="Normalny"/>
    <w:uiPriority w:val="75"/>
    <w:qFormat/>
    <w:rsid w:val="00923F69"/>
    <w:pPr>
      <w:ind w:left="1894" w:firstLine="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23F69"/>
    <w:pPr>
      <w:ind w:left="907" w:firstLine="0"/>
    </w:pPr>
  </w:style>
  <w:style w:type="paragraph" w:customStyle="1" w:styleId="ZCZWSPLITzmczciwsplitartykuempunktem">
    <w:name w:val="Z/CZ_WSP_LIT – zm. części wsp. lit. artykułem (punktem)"/>
    <w:basedOn w:val="ZCZWSPPKTzmczciwsppktartykuempunktem"/>
    <w:next w:val="PKTpunkt"/>
    <w:uiPriority w:val="35"/>
    <w:qFormat/>
    <w:rsid w:val="00923F69"/>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23F69"/>
    <w:pPr>
      <w:ind w:left="1021"/>
    </w:pPr>
  </w:style>
  <w:style w:type="paragraph" w:customStyle="1" w:styleId="ZODNONIKAzmtekstuodnonikaartykuempunktem">
    <w:name w:val="Z/ODNOŚNIKA – zm. tekstu odnośnika artykułem (punktem)"/>
    <w:basedOn w:val="ODNONIKtreodnonika"/>
    <w:uiPriority w:val="39"/>
    <w:qFormat/>
    <w:rsid w:val="00923F69"/>
    <w:pPr>
      <w:spacing w:line="360" w:lineRule="auto"/>
      <w:ind w:left="907" w:hanging="397"/>
    </w:pPr>
    <w:rPr>
      <w:sz w:val="24"/>
    </w:rPr>
  </w:style>
  <w:style w:type="paragraph" w:customStyle="1" w:styleId="ZPKTODNONIKAzmpktodnonikaartykuempunktem">
    <w:name w:val="Z/PKT_ODNOŚNIKA – zm. pkt odnośnika artykułem (punktem)"/>
    <w:basedOn w:val="ZODNONIKAzmtekstuodnonikaartykuempunktem"/>
    <w:uiPriority w:val="39"/>
    <w:qFormat/>
    <w:rsid w:val="00923F69"/>
  </w:style>
  <w:style w:type="paragraph" w:customStyle="1" w:styleId="ZCZWSPODNONIKA-zmczciwsppktodnonikaartykuempunktem">
    <w:name w:val="Z/CZ_WSP_ODNOŚNIKA - zm. części wsp. pkt odnośnika artykułem (punktem)"/>
    <w:basedOn w:val="ZPKTODNONIKAzmpktodnonikaartykuempunktem"/>
    <w:next w:val="PKTpunkt"/>
    <w:uiPriority w:val="42"/>
    <w:qFormat/>
    <w:rsid w:val="00923F69"/>
    <w:pPr>
      <w:ind w:left="510" w:firstLine="0"/>
    </w:pPr>
  </w:style>
  <w:style w:type="paragraph" w:customStyle="1" w:styleId="ZCZWSPTIRzmczciwsptirartykuempunktem">
    <w:name w:val="Z/CZ_WSP_TIR – zm. części wsp. tir. artykułem (punktem)"/>
    <w:basedOn w:val="ZCZWSPPKTzmczciwsppktartykuempunktem"/>
    <w:next w:val="PKTpunkt"/>
    <w:uiPriority w:val="35"/>
    <w:qFormat/>
    <w:rsid w:val="00923F69"/>
  </w:style>
  <w:style w:type="paragraph" w:customStyle="1" w:styleId="ZCZWSPTIRwLITzmczciwsptirwlitartykuempunktem">
    <w:name w:val="Z/CZ_WSP_TIR_w_LIT – zm. części wsp. tir. w lit. artykułem (punktem)"/>
    <w:basedOn w:val="CZWSPTIRczwsplnatiret"/>
    <w:next w:val="Normalny"/>
    <w:uiPriority w:val="36"/>
    <w:qFormat/>
    <w:rsid w:val="00923F69"/>
  </w:style>
  <w:style w:type="paragraph" w:customStyle="1" w:styleId="ZCZWSPTIRwPKTzmczciwsptirwpktartykuempunktem">
    <w:name w:val="Z/CZ_WSP_TIR_w_PKT – zm. części wsp. tir. w pkt artykułem (punktem)"/>
    <w:basedOn w:val="CZWSPTIRczwsplnatiret"/>
    <w:next w:val="Normalny"/>
    <w:uiPriority w:val="36"/>
    <w:qFormat/>
    <w:rsid w:val="00923F69"/>
    <w:pPr>
      <w:ind w:left="1497"/>
    </w:pPr>
  </w:style>
  <w:style w:type="paragraph" w:customStyle="1" w:styleId="ZCZCIKSIGIzmozniprzedmczciksigiartykuempunktem">
    <w:name w:val="Z/CZĘŚCI(KSIĘGI) – zm. ozn. i przedm. części (księgi) artykułem (punktem)"/>
    <w:basedOn w:val="CZKSIGAoznaczenieiprzedmiotczcilubksigi"/>
    <w:uiPriority w:val="28"/>
    <w:qFormat/>
    <w:rsid w:val="00923F69"/>
    <w:pPr>
      <w:ind w:left="510"/>
    </w:pPr>
    <w:rPr>
      <w:b w:val="0"/>
    </w:rPr>
  </w:style>
  <w:style w:type="paragraph" w:customStyle="1" w:styleId="ZFRAGzmfragmentunpzdaniaartykuempunktem">
    <w:name w:val="Z/FRAG – zm. fragmentu (np. zdania) artykułem (punktem)"/>
    <w:basedOn w:val="ZARTzmartartykuempunktem"/>
    <w:next w:val="PKTpunkt"/>
    <w:uiPriority w:val="36"/>
    <w:qFormat/>
    <w:rsid w:val="00923F69"/>
    <w:pPr>
      <w:ind w:firstLine="0"/>
    </w:pPr>
    <w:rPr>
      <w:rFonts w:ascii="Times New Roman" w:hAnsi="Times New Roman"/>
    </w:rPr>
  </w:style>
  <w:style w:type="paragraph" w:customStyle="1" w:styleId="ZLITzmlitartykuempunktem">
    <w:name w:val="Z/LIT – zm. lit. artykułem (punktem)"/>
    <w:basedOn w:val="LITlitera"/>
    <w:uiPriority w:val="32"/>
    <w:qFormat/>
    <w:rsid w:val="00923F69"/>
  </w:style>
  <w:style w:type="paragraph" w:customStyle="1" w:styleId="ZLITwPKTzmlitwpktartykuempunktem">
    <w:name w:val="Z/LIT_w_PKT – zm. lit. w pkt artykułem (punktem)"/>
    <w:basedOn w:val="LITlitera"/>
    <w:uiPriority w:val="32"/>
    <w:qFormat/>
    <w:rsid w:val="00923F69"/>
    <w:pPr>
      <w:ind w:left="1497"/>
    </w:pPr>
  </w:style>
  <w:style w:type="paragraph" w:customStyle="1" w:styleId="ZNIEARTTEKSTzmtekstunieartykuowanego">
    <w:name w:val="Z/NIEART_TEKST – zm. tekstu nieartykułowanego"/>
    <w:basedOn w:val="NIEARTTEKSTtekstnieartykuowanynppreambua"/>
    <w:uiPriority w:val="37"/>
    <w:qFormat/>
    <w:rsid w:val="00923F69"/>
    <w:pPr>
      <w:ind w:left="510"/>
    </w:pPr>
  </w:style>
  <w:style w:type="paragraph" w:customStyle="1" w:styleId="ZPKTzmpktartykuempunktem">
    <w:name w:val="Z/PKT – zm. pkt artykułem (punktem)"/>
    <w:basedOn w:val="PKTpunkt"/>
    <w:uiPriority w:val="31"/>
    <w:qFormat/>
    <w:rsid w:val="00923F69"/>
    <w:pPr>
      <w:ind w:left="1020"/>
    </w:p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23F69"/>
    <w:pPr>
      <w:ind w:left="1304"/>
    </w:pPr>
  </w:style>
  <w:style w:type="paragraph" w:customStyle="1" w:styleId="ZROZDZODDZOZNzmoznrozdzoddzartykuempunktem">
    <w:name w:val="Z/ROZDZ(ODDZ)_OZN – zm. ozn. rozdz. (oddz.) artykułem (punktem)"/>
    <w:next w:val="Normalny"/>
    <w:uiPriority w:val="29"/>
    <w:qFormat/>
    <w:rsid w:val="00923F69"/>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23F69"/>
    <w:pPr>
      <w:ind w:left="510"/>
    </w:pPr>
    <w:rPr>
      <w:b w:val="0"/>
    </w:r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23F69"/>
    <w:pPr>
      <w:ind w:left="1021"/>
    </w:pPr>
  </w:style>
  <w:style w:type="paragraph" w:customStyle="1" w:styleId="ZTIRzmtirartykuempunktem">
    <w:name w:val="Z/TIR – zm. tir. artykułem (punktem)"/>
    <w:basedOn w:val="TIRtiret"/>
    <w:next w:val="PKTpunkt"/>
    <w:uiPriority w:val="33"/>
    <w:qFormat/>
    <w:rsid w:val="00923F69"/>
    <w:pPr>
      <w:ind w:left="907"/>
    </w:pPr>
  </w:style>
  <w:style w:type="paragraph" w:customStyle="1" w:styleId="ZTIRwLITzmtirwlitartykuempunktem">
    <w:name w:val="Z/TIR_w_LIT – zm. tir. w lit. artykułem (punktem)"/>
    <w:basedOn w:val="TIRtiret"/>
    <w:uiPriority w:val="33"/>
    <w:qFormat/>
    <w:rsid w:val="00923F69"/>
  </w:style>
  <w:style w:type="paragraph" w:customStyle="1" w:styleId="ZTIRwPKTzmtirwpktartykuempunktem">
    <w:name w:val="Z/TIR_w_PKT – zm. tir. w pkt artykułem (punktem)"/>
    <w:basedOn w:val="TIRtiret"/>
    <w:uiPriority w:val="33"/>
    <w:qFormat/>
    <w:rsid w:val="00923F69"/>
    <w:pPr>
      <w:ind w:left="1894"/>
    </w:pPr>
  </w:style>
  <w:style w:type="paragraph" w:customStyle="1" w:styleId="ZTYTDZOZNzmozntytuudziauartykuempunktem">
    <w:name w:val="Z/TYT(DZ)_OZN – zm. ozn. tytułu (działu) artykułem (punktem)"/>
    <w:basedOn w:val="TYTDZOZNoznaczenietytuulubdziau"/>
    <w:next w:val="Normalny"/>
    <w:uiPriority w:val="28"/>
    <w:qFormat/>
    <w:rsid w:val="00923F6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23F69"/>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USTzmustartykuempunktem">
    <w:name w:val="Z/UST(§) – zm. ust. (§) artykułem (punktem)"/>
    <w:basedOn w:val="ZARTzmartartykuempunktem"/>
    <w:uiPriority w:val="30"/>
    <w:qFormat/>
    <w:rsid w:val="00923F69"/>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923F69"/>
    <w:pPr>
      <w:ind w:left="1497"/>
    </w:pPr>
  </w:style>
  <w:style w:type="paragraph" w:customStyle="1" w:styleId="Z2TIR2TIRzmpodwtirpodwjnymtiret">
    <w:name w:val="Z_2TIR/2TIR – zm. podw. tir. podwójnym tiret"/>
    <w:basedOn w:val="TIRtiret"/>
    <w:uiPriority w:val="85"/>
    <w:qFormat/>
    <w:rsid w:val="00923F69"/>
    <w:pPr>
      <w:ind w:left="2177"/>
    </w:pPr>
  </w:style>
  <w:style w:type="paragraph" w:customStyle="1" w:styleId="Z2TIR2TIRwLITzmpodwtirwlitpodwjnymtiret">
    <w:name w:val="Z_2TIR/2TIR_w_LIT – zm. podw. tir. w lit. podwójnym tiret"/>
    <w:basedOn w:val="TIRtiret"/>
    <w:uiPriority w:val="86"/>
    <w:qFormat/>
    <w:rsid w:val="00923F69"/>
    <w:pPr>
      <w:ind w:left="3051"/>
    </w:pPr>
  </w:style>
  <w:style w:type="paragraph" w:customStyle="1" w:styleId="Z2TIR2TIRwTIRzmpodwtirwtirpodwjnymtiret">
    <w:name w:val="Z_2TIR/2TIR_w_TIR – zm. podw. tir. w tir. podwójnym tiret"/>
    <w:basedOn w:val="TIRtiret"/>
    <w:uiPriority w:val="85"/>
    <w:qFormat/>
    <w:rsid w:val="00923F69"/>
    <w:pPr>
      <w:ind w:left="2574"/>
    </w:pPr>
  </w:style>
  <w:style w:type="paragraph" w:customStyle="1" w:styleId="Z2TIRCZWSPLITzmczciwsplitpodwjnymtiret">
    <w:name w:val="Z_2TIR/CZ_WSP_LIT – zm. części wsp. lit. podwójnym tiret"/>
    <w:basedOn w:val="CZWSPTIRczwsplnatiret"/>
    <w:next w:val="2TIRpodwjnytiret"/>
    <w:uiPriority w:val="87"/>
    <w:qFormat/>
    <w:rsid w:val="00923F69"/>
    <w:pPr>
      <w:ind w:left="1780"/>
    </w:pPr>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23F69"/>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23F69"/>
    <w:pPr>
      <w:ind w:left="265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23F69"/>
    <w:pPr>
      <w:ind w:left="2177"/>
    </w:pPr>
  </w:style>
  <w:style w:type="paragraph" w:customStyle="1" w:styleId="Z2TIRCZWSPTIRzmczciwsptirpodwjnymtiret">
    <w:name w:val="Z_2TIR/CZ_WSP_TIR – zm. części wsp. tir. podwójnym tiret"/>
    <w:basedOn w:val="Z2TIRCZWSPLITzmczciwsplitpodwjnymtiret"/>
    <w:next w:val="2TIRpodwjnytiret"/>
    <w:uiPriority w:val="87"/>
    <w:qFormat/>
    <w:rsid w:val="00923F69"/>
  </w:style>
  <w:style w:type="paragraph" w:customStyle="1" w:styleId="Z2TIRCZWSPTIRwLITzmczciwsptirwlitpodwjnymtiret">
    <w:name w:val="Z_2TIR/CZ_WSP_TIR_w_LIT – zm. części wsp. tir. w lit. podwójnym tiret"/>
    <w:basedOn w:val="CZWSPTIRczwsplnatiret"/>
    <w:next w:val="2TIRpodwjnytiret"/>
    <w:uiPriority w:val="87"/>
    <w:qFormat/>
    <w:rsid w:val="00923F69"/>
    <w:pPr>
      <w:ind w:left="2257"/>
    </w:pPr>
  </w:style>
  <w:style w:type="paragraph" w:customStyle="1" w:styleId="Z2TIRLITzmlitpodwjnymtiret">
    <w:name w:val="Z_2TIR/LIT – zm. lit. podwójnym tiret"/>
    <w:basedOn w:val="LITlitera"/>
    <w:uiPriority w:val="84"/>
    <w:qFormat/>
    <w:rsid w:val="00923F69"/>
    <w:pPr>
      <w:ind w:left="2256"/>
    </w:pPr>
  </w:style>
  <w:style w:type="paragraph" w:customStyle="1" w:styleId="Z2TIRTIRzmtirpodwjnymtiret">
    <w:name w:val="Z_2TIR/TIR – zm. tir. podwójnym tiret"/>
    <w:basedOn w:val="TIRtiret"/>
    <w:uiPriority w:val="84"/>
    <w:qFormat/>
    <w:rsid w:val="00923F69"/>
    <w:pPr>
      <w:ind w:left="2177"/>
    </w:pPr>
  </w:style>
  <w:style w:type="paragraph" w:customStyle="1" w:styleId="Z2TIRTIRwLITzmtirwlitpodwjnymtiret">
    <w:name w:val="Z_2TIR/TIR_w_LIT – zm. tir. w lit. podwójnym tiret"/>
    <w:basedOn w:val="TIRtiret"/>
    <w:uiPriority w:val="84"/>
    <w:qFormat/>
    <w:rsid w:val="00923F69"/>
    <w:pPr>
      <w:ind w:left="2654"/>
    </w:pPr>
  </w:style>
  <w:style w:type="paragraph" w:customStyle="1" w:styleId="ZLIT2TIRzmpodwtirliter">
    <w:name w:val="Z_LIT/2TIR – zm. podw. tir. literą"/>
    <w:basedOn w:val="TIRtiret"/>
    <w:uiPriority w:val="75"/>
    <w:qFormat/>
    <w:rsid w:val="00923F69"/>
  </w:style>
  <w:style w:type="paragraph" w:customStyle="1" w:styleId="ZLIT2TIRwTIRzmpodwtirwtirliter">
    <w:name w:val="Z_LIT/2TIR_w_TIR – zm. podw. tir. w tir. literą"/>
    <w:basedOn w:val="ZLIT2TIRzmpodwtirliter"/>
    <w:uiPriority w:val="75"/>
    <w:qFormat/>
    <w:rsid w:val="00923F69"/>
    <w:pPr>
      <w:ind w:left="1780"/>
    </w:pPr>
  </w:style>
  <w:style w:type="paragraph" w:customStyle="1" w:styleId="ZLIT2TIRwLITzmpodwtirwlitliter">
    <w:name w:val="Z_LIT/2TIR_w_LIT – zm. podw. tir. w lit. literą"/>
    <w:basedOn w:val="ZLIT2TIRwTIRzmpodwtirwtirliter"/>
    <w:uiPriority w:val="76"/>
    <w:qFormat/>
    <w:rsid w:val="00923F69"/>
    <w:pPr>
      <w:ind w:left="2257"/>
    </w:pPr>
  </w:style>
  <w:style w:type="paragraph" w:customStyle="1" w:styleId="ZLIT2TIRwPKTzmpodwtirwpktliter">
    <w:name w:val="Z_LIT/2TIR_w_PKT – zm. podw. tir. w pkt literą"/>
    <w:basedOn w:val="ZLIT2TIRwLITzmpodwtirwlitliter"/>
    <w:uiPriority w:val="76"/>
    <w:qFormat/>
    <w:rsid w:val="00923F69"/>
    <w:pPr>
      <w:ind w:left="2767"/>
    </w:pPr>
  </w:style>
  <w:style w:type="paragraph" w:customStyle="1" w:styleId="ZLITCYTwUSTzmcytatunpprzysigiwustlubliter">
    <w:name w:val="Z_LIT/CYT_w_UST(§) – zm. cytatu np. przysięgi w ust. lub § literą"/>
    <w:basedOn w:val="ZCYTwARTUSTzmcytatuwrazzartlubust"/>
    <w:uiPriority w:val="52"/>
    <w:qFormat/>
    <w:rsid w:val="00923F69"/>
    <w:pPr>
      <w:ind w:left="1497"/>
    </w:pPr>
  </w:style>
  <w:style w:type="paragraph" w:customStyle="1" w:styleId="ZLITCZWSPPKTzmczciwsppktliter">
    <w:name w:val="Z_LIT/CZ_WSP_PKT – zm. części wsp. pkt literą"/>
    <w:basedOn w:val="CZWSPLITczwsplnaliter"/>
    <w:next w:val="LITlitera"/>
    <w:uiPriority w:val="50"/>
    <w:qFormat/>
    <w:rsid w:val="00923F69"/>
    <w:pPr>
      <w:ind w:left="987"/>
    </w:pPr>
  </w:style>
  <w:style w:type="paragraph" w:customStyle="1" w:styleId="ZLITCZWSP2TIRzmczciwsppodwtirliter">
    <w:name w:val="Z_LIT/CZ_WSP_2TIR – zm. części wsp. podw. tir. literą"/>
    <w:basedOn w:val="ZLITCZWSPPKTzmczciwsppktliter"/>
    <w:next w:val="LITlitera"/>
    <w:uiPriority w:val="76"/>
    <w:qFormat/>
    <w:rsid w:val="00923F69"/>
  </w:style>
  <w:style w:type="paragraph" w:customStyle="1" w:styleId="ZLITCZWSP2TIRwLITzmczciwsppodwtirwlitliter">
    <w:name w:val="Z_LIT/CZ_WSP_2TIR_w_LIT – zm. części wsp. podw. tir. w lit. literą"/>
    <w:basedOn w:val="ZLIT2TIRwLITzmpodwtirwlitliter"/>
    <w:next w:val="LITlitera"/>
    <w:uiPriority w:val="77"/>
    <w:qFormat/>
    <w:rsid w:val="00923F6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23F69"/>
    <w:pPr>
      <w:ind w:left="2370" w:firstLine="0"/>
    </w:pPr>
  </w:style>
  <w:style w:type="paragraph" w:customStyle="1" w:styleId="ZLITCZWSP2TIRwTIRzmczciwsppodwtirwtirliter">
    <w:name w:val="Z_LIT/CZ_WSP_2TIR_w_TIR – zm. części wsp. podw. tir. w tir. literą"/>
    <w:basedOn w:val="ZLIT2TIRwTIRzmpodwtirwtirliter"/>
    <w:next w:val="LITlitera"/>
    <w:uiPriority w:val="76"/>
    <w:qFormat/>
    <w:rsid w:val="00923F69"/>
    <w:pPr>
      <w:ind w:left="1383" w:firstLine="0"/>
    </w:pPr>
  </w:style>
  <w:style w:type="paragraph" w:customStyle="1" w:styleId="ZLITCZWSPLITzmczciwsplitliter">
    <w:name w:val="Z_LIT/CZ_WSP_LIT – zm. części wsp. lit. literą"/>
    <w:basedOn w:val="ZLITCZWSPPKTzmczciwsppktliter"/>
    <w:next w:val="LITlitera"/>
    <w:uiPriority w:val="51"/>
    <w:qFormat/>
    <w:rsid w:val="00923F69"/>
  </w:style>
  <w:style w:type="paragraph" w:customStyle="1" w:styleId="ZLITCZWSPLITwPKTzmczciwsplitwpktliter">
    <w:name w:val="Z_LIT/CZ_WSP_LIT_w_PKT – zm. części wsp. lit. w pkt literą"/>
    <w:basedOn w:val="CZWSPLITczwsplnaliter"/>
    <w:next w:val="LITlitera"/>
    <w:uiPriority w:val="51"/>
    <w:qFormat/>
    <w:rsid w:val="00923F69"/>
    <w:pPr>
      <w:ind w:left="1497"/>
    </w:pPr>
  </w:style>
  <w:style w:type="paragraph" w:customStyle="1" w:styleId="ZLITCZWSPTIRzmczciwsptirliter">
    <w:name w:val="Z_LIT/CZ_WSP_TIR – zm. części wsp. tir. literą"/>
    <w:basedOn w:val="ZLITCZWSPPKTzmczciwsppktliter"/>
    <w:next w:val="LITlitera"/>
    <w:uiPriority w:val="51"/>
    <w:qFormat/>
    <w:rsid w:val="00923F69"/>
  </w:style>
  <w:style w:type="paragraph" w:customStyle="1" w:styleId="ZLITCZWSPTIRwLITzmczciwsptirwlitliter">
    <w:name w:val="Z_LIT/CZ_WSP_TIR_w_LIT – zm. części wsp. tir. w lit. literą"/>
    <w:basedOn w:val="CZWSPTIRczwsplnatiret"/>
    <w:next w:val="LITlitera"/>
    <w:uiPriority w:val="51"/>
    <w:qFormat/>
    <w:rsid w:val="00923F69"/>
    <w:pPr>
      <w:ind w:left="1463"/>
    </w:pPr>
  </w:style>
  <w:style w:type="paragraph" w:customStyle="1" w:styleId="ZLITCZWSPTIRwPKTzmczciwsptirwpktliter">
    <w:name w:val="Z_LIT/CZ_WSP_TIR_w_PKT – zm. części wsp. tir. w pkt literą"/>
    <w:basedOn w:val="CZWSPTIRczwsplnatiret"/>
    <w:next w:val="LITlitera"/>
    <w:uiPriority w:val="51"/>
    <w:qFormat/>
    <w:rsid w:val="00923F69"/>
    <w:pPr>
      <w:ind w:left="1973"/>
    </w:pPr>
  </w:style>
  <w:style w:type="paragraph" w:customStyle="1" w:styleId="ZLITUSTzmustliter">
    <w:name w:val="Z_LIT/UST(§) – zm. ust. (§) literą"/>
    <w:basedOn w:val="USTustnpkodeksu"/>
    <w:uiPriority w:val="46"/>
    <w:qFormat/>
    <w:rsid w:val="00923F69"/>
    <w:pPr>
      <w:ind w:left="987"/>
    </w:pPr>
  </w:style>
  <w:style w:type="paragraph" w:customStyle="1" w:styleId="ZLITFRAGzmlitfragmentunpzdanialiter">
    <w:name w:val="Z_LIT/FRAG – zm. lit. fragmentu (np. zdania) literą"/>
    <w:basedOn w:val="ZLITUSTzmustliter"/>
    <w:next w:val="LITlitera"/>
    <w:uiPriority w:val="52"/>
    <w:qFormat/>
    <w:rsid w:val="00923F69"/>
    <w:pPr>
      <w:ind w:firstLine="0"/>
    </w:pPr>
    <w:rPr>
      <w:rFonts w:ascii="Times New Roman" w:hAnsi="Times New Roman"/>
    </w:rPr>
  </w:style>
  <w:style w:type="paragraph" w:customStyle="1" w:styleId="ZLITLITzmlitliter">
    <w:name w:val="Z_LIT/LIT – zm. lit. literą"/>
    <w:basedOn w:val="LITlitera"/>
    <w:uiPriority w:val="48"/>
    <w:qFormat/>
    <w:rsid w:val="00923F69"/>
    <w:pPr>
      <w:ind w:left="1463"/>
    </w:pPr>
  </w:style>
  <w:style w:type="paragraph" w:customStyle="1" w:styleId="ZLITLITwPKTzmlitwpktliter">
    <w:name w:val="Z_LIT/LIT_w_PKT – zm. lit. w pkt literą"/>
    <w:basedOn w:val="LITlitera"/>
    <w:uiPriority w:val="48"/>
    <w:qFormat/>
    <w:rsid w:val="00923F69"/>
    <w:pPr>
      <w:ind w:left="1973"/>
    </w:pPr>
  </w:style>
  <w:style w:type="paragraph" w:customStyle="1" w:styleId="ZLITPKTzmpktliter">
    <w:name w:val="Z_LIT/PKT – zm. pkt literą"/>
    <w:basedOn w:val="PKTpunkt"/>
    <w:uiPriority w:val="47"/>
    <w:qFormat/>
    <w:rsid w:val="00923F69"/>
    <w:pPr>
      <w:ind w:left="1497"/>
    </w:pPr>
  </w:style>
  <w:style w:type="paragraph" w:customStyle="1" w:styleId="ZLITSKARNzmsankcjikarnejliter">
    <w:name w:val="Z_LIT/S_KARN – zm. sankcji karnej literą"/>
    <w:basedOn w:val="ZSKARNzmsankcjikarnejwszczeglnociwKodeksiekarnym"/>
    <w:uiPriority w:val="53"/>
    <w:qFormat/>
    <w:rsid w:val="00923F69"/>
    <w:pPr>
      <w:ind w:left="1497"/>
    </w:pPr>
  </w:style>
  <w:style w:type="paragraph" w:customStyle="1" w:styleId="ZLITTIRzmtirliter">
    <w:name w:val="Z_LIT/TIR – zm. tir. literą"/>
    <w:basedOn w:val="TIRtiret"/>
    <w:uiPriority w:val="49"/>
    <w:qFormat/>
    <w:rsid w:val="00923F69"/>
  </w:style>
  <w:style w:type="paragraph" w:customStyle="1" w:styleId="ZLITTIRwLITzmtirwlitliter">
    <w:name w:val="Z_LIT/TIR_w_LIT – zm. tir. w lit. literą"/>
    <w:basedOn w:val="TIRtiret"/>
    <w:uiPriority w:val="49"/>
    <w:qFormat/>
    <w:rsid w:val="00923F69"/>
    <w:pPr>
      <w:ind w:left="1860"/>
    </w:pPr>
  </w:style>
  <w:style w:type="paragraph" w:customStyle="1" w:styleId="ZLITTIRwPKTzmtirwpktliter">
    <w:name w:val="Z_LIT/TIR_w_PKT – zm. tir. w pkt literą"/>
    <w:basedOn w:val="TIRtiret"/>
    <w:uiPriority w:val="49"/>
    <w:qFormat/>
    <w:rsid w:val="00923F69"/>
    <w:pPr>
      <w:ind w:left="2370"/>
    </w:pPr>
  </w:style>
  <w:style w:type="paragraph" w:customStyle="1" w:styleId="ZTIR2TIRzmpodwtirtiret">
    <w:name w:val="Z_TIR/2TIR – zm. podw. tir. tiret"/>
    <w:basedOn w:val="TIRtiret"/>
    <w:uiPriority w:val="78"/>
    <w:qFormat/>
    <w:rsid w:val="00923F69"/>
    <w:pPr>
      <w:ind w:left="1780"/>
    </w:pPr>
  </w:style>
  <w:style w:type="paragraph" w:customStyle="1" w:styleId="ZTIR2TIRwLITzmpodwtirwlittiret">
    <w:name w:val="Z_TIR/2TIR_w_LIT – zm. podw. tir. w lit. tiret"/>
    <w:basedOn w:val="TIRtiret"/>
    <w:uiPriority w:val="79"/>
    <w:qFormat/>
    <w:rsid w:val="00923F69"/>
    <w:pPr>
      <w:ind w:left="2654"/>
    </w:pPr>
  </w:style>
  <w:style w:type="paragraph" w:customStyle="1" w:styleId="ZTIR2TIRwPKTzmpodwtirwpkttiret">
    <w:name w:val="Z_TIR/2TIR_w_PKT – zm. podw. tir. w pkt tiret"/>
    <w:basedOn w:val="ZTIR2TIRwLITzmpodwtirwlittiret"/>
    <w:uiPriority w:val="79"/>
    <w:qFormat/>
    <w:rsid w:val="00923F69"/>
    <w:pPr>
      <w:ind w:left="3164"/>
    </w:pPr>
  </w:style>
  <w:style w:type="paragraph" w:customStyle="1" w:styleId="ZTIR2TIRwTIRzmpodwtirwtirtiret">
    <w:name w:val="Z_TIR/2TIR_w_TIR – zm. podw. tir. w tir. tiret"/>
    <w:basedOn w:val="TIRtiret"/>
    <w:uiPriority w:val="78"/>
    <w:qFormat/>
    <w:rsid w:val="00923F69"/>
    <w:pPr>
      <w:ind w:left="2177"/>
    </w:pPr>
  </w:style>
  <w:style w:type="paragraph" w:customStyle="1" w:styleId="ZTIRCZWSP2TIRzmczciwsppodwtirtiret">
    <w:name w:val="Z_TIR/CZ_WSP_2TIR – zm. części wsp. podw. tir. tiret"/>
    <w:basedOn w:val="ZLITCZWSP2TIRzmczciwsppodwtirliter"/>
    <w:next w:val="TIRtiret"/>
    <w:uiPriority w:val="79"/>
    <w:qFormat/>
    <w:rsid w:val="00923F69"/>
  </w:style>
  <w:style w:type="paragraph" w:customStyle="1" w:styleId="ZTIRCZWSP2TIRwLITzmczciwsppodwtirwlittiret">
    <w:name w:val="Z_TIR/CZ_WSP_2TIR_w_LIT – zm. części wsp. podw. tir. w lit. tiret"/>
    <w:basedOn w:val="CZWSPTIRczwsplnatiret"/>
    <w:next w:val="TIRtiret"/>
    <w:uiPriority w:val="80"/>
    <w:qFormat/>
    <w:rsid w:val="00923F69"/>
    <w:pPr>
      <w:ind w:left="2257"/>
    </w:pPr>
  </w:style>
  <w:style w:type="paragraph" w:customStyle="1" w:styleId="ZTIRCZWSP2TIRwPKTzmczciwsppodwtirwpkttiret">
    <w:name w:val="Z_TIR/CZ_WSP_2TIR_w_PKT – zm. części wsp. podw. tir. w pkt tiret"/>
    <w:basedOn w:val="ZTIR2TIRwPKTzmpodwtirwpkttiret"/>
    <w:next w:val="TIRtiret"/>
    <w:uiPriority w:val="80"/>
    <w:qFormat/>
    <w:rsid w:val="00923F69"/>
    <w:pPr>
      <w:ind w:left="2767" w:firstLine="0"/>
    </w:pPr>
  </w:style>
  <w:style w:type="paragraph" w:customStyle="1" w:styleId="ZTIRCZWSP2TIRwTIRzmczciwsppodwtirwtirtiret">
    <w:name w:val="Z_TIR/CZ_WSP_2TIR_w_TIR – zm. części wsp. podw. tir. w tir. tiret"/>
    <w:basedOn w:val="CZWSPTIRczwsplnatiret"/>
    <w:uiPriority w:val="79"/>
    <w:qFormat/>
    <w:rsid w:val="00923F69"/>
    <w:pPr>
      <w:ind w:left="1780"/>
    </w:pPr>
  </w:style>
  <w:style w:type="paragraph" w:customStyle="1" w:styleId="ZTIRCZWSPPKTzmczciwsppkttiret">
    <w:name w:val="Z_TIR/CZ_WSP_PKT – zm. części wsp. pkt tiret"/>
    <w:basedOn w:val="CZWSPLITczwsplnaliter"/>
    <w:next w:val="TIRtiret"/>
    <w:uiPriority w:val="58"/>
    <w:qFormat/>
    <w:rsid w:val="00923F69"/>
    <w:pPr>
      <w:ind w:left="1383"/>
    </w:pPr>
  </w:style>
  <w:style w:type="paragraph" w:customStyle="1" w:styleId="ZTIRCZWSPLITzmczciwsplittiret">
    <w:name w:val="Z_TIR/CZ_WSP_LIT – zm. części wsp. lit. tiret"/>
    <w:basedOn w:val="ZTIRCZWSPPKTzmczciwsppkttiret"/>
    <w:next w:val="TIRtiret"/>
    <w:uiPriority w:val="59"/>
    <w:qFormat/>
    <w:rsid w:val="00923F69"/>
  </w:style>
  <w:style w:type="paragraph" w:customStyle="1" w:styleId="ZTIRCZWSPLITwPKTzmczciwsplitwpkttiret">
    <w:name w:val="Z_TIR/CZ_WSP_LIT_w_PKT – zm. części wsp. lit. w pkt tiret"/>
    <w:basedOn w:val="CZWSPLITczwsplnaliter"/>
    <w:uiPriority w:val="59"/>
    <w:qFormat/>
    <w:rsid w:val="00923F69"/>
    <w:pPr>
      <w:ind w:left="1860"/>
    </w:pPr>
  </w:style>
  <w:style w:type="paragraph" w:customStyle="1" w:styleId="ZTIRCZWSPTIRzmczciwsptirtiret">
    <w:name w:val="Z_TIR/CZ_WSP_TIR – zm. części wsp. tir. tiret"/>
    <w:basedOn w:val="ZTIRCZWSPPKTzmczciwsppkttiret"/>
    <w:next w:val="TIRtiret"/>
    <w:uiPriority w:val="60"/>
    <w:qFormat/>
    <w:rsid w:val="00923F69"/>
  </w:style>
  <w:style w:type="paragraph" w:customStyle="1" w:styleId="ZTIRCZWSPTIRwLITzmczciwsptirwlittiret">
    <w:name w:val="Z_TIR/CZ_WSP_TIR_w_LIT – zm. części wsp. tir. w lit. tiret"/>
    <w:basedOn w:val="CZWSPTIRczwsplnatiret"/>
    <w:next w:val="TIRtiret"/>
    <w:uiPriority w:val="60"/>
    <w:qFormat/>
    <w:rsid w:val="00923F69"/>
    <w:pPr>
      <w:ind w:left="1860"/>
    </w:pPr>
  </w:style>
  <w:style w:type="paragraph" w:customStyle="1" w:styleId="ZTIRTIRwLITzmtirwlittiret">
    <w:name w:val="Z_TIR/TIR_w_LIT – zm. tir. w lit. tiret"/>
    <w:basedOn w:val="TIRtiret"/>
    <w:uiPriority w:val="57"/>
    <w:qFormat/>
    <w:rsid w:val="00923F69"/>
    <w:pPr>
      <w:ind w:left="2257"/>
    </w:pPr>
  </w:style>
  <w:style w:type="paragraph" w:customStyle="1" w:styleId="ZTIRTIRwPKTzmtirwpkttiret">
    <w:name w:val="Z_TIR/TIR_w_PKT – zm. tir. w pkt tiret"/>
    <w:basedOn w:val="ZTIRTIRwLITzmtirwlittiret"/>
    <w:uiPriority w:val="57"/>
    <w:qFormat/>
    <w:rsid w:val="00923F69"/>
    <w:pPr>
      <w:ind w:left="2733"/>
    </w:pPr>
  </w:style>
  <w:style w:type="paragraph" w:customStyle="1" w:styleId="ZTIRCZWSPTIRwPKTzmczciwsptirtiret">
    <w:name w:val="Z_TIR/CZ_WSP_TIR_w_PKT – zm. części wsp. tir. tiret"/>
    <w:basedOn w:val="ZTIRTIRwPKTzmtirwpkttiret"/>
    <w:next w:val="TIRtiret"/>
    <w:uiPriority w:val="60"/>
    <w:qFormat/>
    <w:rsid w:val="00923F69"/>
    <w:pPr>
      <w:ind w:left="2336" w:firstLine="0"/>
    </w:pPr>
  </w:style>
  <w:style w:type="paragraph" w:customStyle="1" w:styleId="ZTIRFRAGMzmnpwprdowyliczeniatiret">
    <w:name w:val="Z_TIR/FRAGM – zm. np. wpr. do wyliczenia tiret"/>
    <w:basedOn w:val="ZTIRCZWSPPKTzmczciwsppkttiret"/>
    <w:next w:val="TIRtiret"/>
    <w:uiPriority w:val="60"/>
    <w:qFormat/>
    <w:rsid w:val="00923F69"/>
    <w:rPr>
      <w:rFonts w:ascii="Times New Roman" w:hAnsi="Times New Roman"/>
    </w:rPr>
  </w:style>
  <w:style w:type="paragraph" w:customStyle="1" w:styleId="ZTIRLITzmlittiret">
    <w:name w:val="Z_TIR/LIT – zm. lit. tiret"/>
    <w:basedOn w:val="LITlitera"/>
    <w:uiPriority w:val="57"/>
    <w:qFormat/>
    <w:rsid w:val="00923F69"/>
    <w:pPr>
      <w:ind w:left="1859"/>
    </w:pPr>
  </w:style>
  <w:style w:type="paragraph" w:customStyle="1" w:styleId="ZTIRLITwPKTzmlitwpkttiret">
    <w:name w:val="Z_TIR/LIT_w_PKT – zm. lit. w pkt tiret"/>
    <w:basedOn w:val="LITlitera"/>
    <w:uiPriority w:val="57"/>
    <w:qFormat/>
    <w:rsid w:val="00923F69"/>
    <w:pPr>
      <w:ind w:left="2336"/>
    </w:pPr>
  </w:style>
  <w:style w:type="paragraph" w:customStyle="1" w:styleId="ZTIRPKTzmpkttiret">
    <w:name w:val="Z_TIR/PKT – zm. pkt tiret"/>
    <w:basedOn w:val="PKTpunkt"/>
    <w:uiPriority w:val="56"/>
    <w:qFormat/>
    <w:rsid w:val="00923F69"/>
    <w:pPr>
      <w:ind w:left="1893"/>
    </w:pPr>
  </w:style>
  <w:style w:type="paragraph" w:customStyle="1" w:styleId="ZTIRTIRzmtirtiret">
    <w:name w:val="Z_TIR/TIR – zm. tir. tiret"/>
    <w:basedOn w:val="TIRtiret"/>
    <w:uiPriority w:val="57"/>
    <w:qFormat/>
    <w:rsid w:val="00923F69"/>
    <w:pPr>
      <w:ind w:left="1780"/>
    </w:pPr>
  </w:style>
  <w:style w:type="paragraph" w:customStyle="1" w:styleId="ZZPKTzmianazmpkt">
    <w:name w:val="ZZ/PKT – zmiana zm. pkt"/>
    <w:basedOn w:val="ZPKTzmpktartykuempunktem"/>
    <w:uiPriority w:val="66"/>
    <w:qFormat/>
    <w:rsid w:val="00923F69"/>
    <w:pPr>
      <w:ind w:left="2404"/>
    </w:pPr>
  </w:style>
  <w:style w:type="paragraph" w:customStyle="1" w:styleId="ZZLITzmianazmlit">
    <w:name w:val="ZZ/LIT – zmiana zm. lit."/>
    <w:basedOn w:val="ZZPKTzmianazmpkt"/>
    <w:uiPriority w:val="67"/>
    <w:qFormat/>
    <w:rsid w:val="00923F69"/>
    <w:pPr>
      <w:ind w:left="2370" w:hanging="476"/>
    </w:pPr>
  </w:style>
  <w:style w:type="paragraph" w:customStyle="1" w:styleId="ZZTIRzmianazmtir">
    <w:name w:val="ZZ/TIR – zmiana zm. tir."/>
    <w:basedOn w:val="ZZLITzmianazmlit"/>
    <w:uiPriority w:val="67"/>
    <w:qFormat/>
    <w:rsid w:val="00923F69"/>
    <w:pPr>
      <w:ind w:left="2291" w:hanging="397"/>
    </w:pPr>
  </w:style>
  <w:style w:type="paragraph" w:customStyle="1" w:styleId="ZZCZWSP2TIRzmianazmczciwsppodwtir">
    <w:name w:val="ZZ/CZ_WSP_2TIR – zmiana zm. części wsp. podw. tir."/>
    <w:basedOn w:val="ZZTIRzmianazmtir"/>
    <w:next w:val="Normalny"/>
    <w:uiPriority w:val="94"/>
    <w:qFormat/>
    <w:rsid w:val="00923F69"/>
    <w:pPr>
      <w:ind w:left="1894" w:firstLine="0"/>
    </w:pPr>
  </w:style>
  <w:style w:type="paragraph" w:customStyle="1" w:styleId="ZZ2TIRzmianazmpodwtir">
    <w:name w:val="ZZ/2TIR – zmiana zm. podw. tir."/>
    <w:basedOn w:val="ZZCZWSP2TIRzmianazmczciwsppodwtir"/>
    <w:uiPriority w:val="93"/>
    <w:qFormat/>
    <w:rsid w:val="00923F69"/>
    <w:pPr>
      <w:ind w:left="2291" w:hanging="397"/>
    </w:pPr>
  </w:style>
  <w:style w:type="paragraph" w:customStyle="1" w:styleId="ZZ2TIRwTIRzmianazmpodwtirwtir">
    <w:name w:val="ZZ/2TIR_w_TIR – zmiana zm. podw. tir. w tir."/>
    <w:basedOn w:val="ZZCZWSP2TIRzmianazmczciwsppodwtir"/>
    <w:uiPriority w:val="93"/>
    <w:qFormat/>
    <w:rsid w:val="00923F69"/>
    <w:pPr>
      <w:ind w:left="2688" w:hanging="397"/>
    </w:pPr>
  </w:style>
  <w:style w:type="paragraph" w:customStyle="1" w:styleId="ZZ2TIRwLITzmianazmpodwtirwlit">
    <w:name w:val="ZZ/2TIR_w_LIT – zmiana zm. podw. tir. w lit."/>
    <w:basedOn w:val="ZZ2TIRwTIRzmianazmpodwtirwtir"/>
    <w:uiPriority w:val="94"/>
    <w:qFormat/>
    <w:rsid w:val="00923F69"/>
    <w:pPr>
      <w:ind w:left="3164"/>
    </w:pPr>
  </w:style>
  <w:style w:type="paragraph" w:customStyle="1" w:styleId="ZZ2TIRwPKTzmianazmpodwtirwpkt">
    <w:name w:val="ZZ/2TIR_w_PKT – zmiana zm. podw. tir. w pkt"/>
    <w:basedOn w:val="ZZ2TIRwLITzmianazmpodwtirwlit"/>
    <w:uiPriority w:val="94"/>
    <w:qFormat/>
    <w:rsid w:val="00923F69"/>
    <w:pPr>
      <w:ind w:left="3674"/>
    </w:pPr>
  </w:style>
  <w:style w:type="paragraph" w:customStyle="1" w:styleId="ZZARTzmianazmart">
    <w:name w:val="ZZ/ART(§) – zmiana zm. art. (§)"/>
    <w:basedOn w:val="ZARTzmartartykuempunktem"/>
    <w:uiPriority w:val="65"/>
    <w:qFormat/>
    <w:rsid w:val="00923F69"/>
    <w:pPr>
      <w:ind w:left="1894"/>
    </w:pPr>
  </w:style>
  <w:style w:type="paragraph" w:customStyle="1" w:styleId="ZZCZWSP2TIRwLITzmianazmczciwsppodwtirwlit">
    <w:name w:val="ZZ/CZ_WSP_2TIR_w_LIT – zmiana zm. części wsp. podw. tir. w lit."/>
    <w:basedOn w:val="ZZ2TIRwLITzmianazmpodwtirwlit"/>
    <w:uiPriority w:val="95"/>
    <w:qFormat/>
    <w:rsid w:val="00923F69"/>
    <w:pPr>
      <w:ind w:left="2767"/>
    </w:pPr>
  </w:style>
  <w:style w:type="paragraph" w:customStyle="1" w:styleId="ZZCZWSP2TIRwPKTzmianazmczciwsppodwtirwpkt">
    <w:name w:val="ZZ/CZ_WSP_2TIR_w_PKT – zmiana zm. części wsp. podw. tir. w pkt"/>
    <w:basedOn w:val="ZZ2TIRwLITzmianazmpodwtirwlit"/>
    <w:uiPriority w:val="95"/>
    <w:qFormat/>
    <w:rsid w:val="00923F69"/>
    <w:pPr>
      <w:ind w:left="3277" w:firstLine="0"/>
    </w:pPr>
  </w:style>
  <w:style w:type="paragraph" w:customStyle="1" w:styleId="ZZCZWSP2TIRwTIRzmianazmczciwsppodwtirwtir">
    <w:name w:val="ZZ/CZ_WSP_2TIR_w_TIR – zmiana zm. części wsp. podw. tir. w tir."/>
    <w:basedOn w:val="ZZ2TIRwLITzmianazmpodwtirwlit"/>
    <w:uiPriority w:val="94"/>
    <w:qFormat/>
    <w:rsid w:val="00923F69"/>
    <w:pPr>
      <w:ind w:left="2291" w:firstLine="0"/>
    </w:pPr>
  </w:style>
  <w:style w:type="paragraph" w:customStyle="1" w:styleId="ZZCZWSPPKTzmianazmczciwsppkt">
    <w:name w:val="ZZ/CZ_WSP_PKT – zmiana. zm. części wsp. pkt"/>
    <w:basedOn w:val="ZZARTzmianazmart"/>
    <w:next w:val="ZPKTzmpktartykuempunktem"/>
    <w:uiPriority w:val="68"/>
    <w:qFormat/>
    <w:rsid w:val="00923F69"/>
    <w:pPr>
      <w:ind w:firstLine="0"/>
    </w:pPr>
  </w:style>
  <w:style w:type="paragraph" w:customStyle="1" w:styleId="ZZCZWSPLITzmianazmczciwsplit">
    <w:name w:val="ZZ/CZ_WSP_LIT – zmiana. zm. części wsp. lit."/>
    <w:basedOn w:val="ZZCZWSPPKTzmianazmczciwsppkt"/>
    <w:uiPriority w:val="69"/>
    <w:qFormat/>
    <w:rsid w:val="00923F69"/>
  </w:style>
  <w:style w:type="paragraph" w:customStyle="1" w:styleId="ZZLITwPKTzmianazmlitwpkt">
    <w:name w:val="ZZ/LIT_w_PKT – zmiana zm. lit. w pkt"/>
    <w:basedOn w:val="ZLITwPKTzmlitwpktartykuempunktem"/>
    <w:uiPriority w:val="67"/>
    <w:qFormat/>
    <w:rsid w:val="00923F69"/>
    <w:pPr>
      <w:ind w:left="2880"/>
    </w:pPr>
  </w:style>
  <w:style w:type="paragraph" w:customStyle="1" w:styleId="ZZCZWSPLITwPKTzmianazmczciwsplitwpkt">
    <w:name w:val="ZZ/CZ_WSP_LIT_w_PKT – zmiana zm. części wsp. lit. w pkt"/>
    <w:basedOn w:val="ZZLITwPKTzmianazmlitwpkt"/>
    <w:uiPriority w:val="69"/>
    <w:qFormat/>
    <w:rsid w:val="00923F69"/>
    <w:pPr>
      <w:ind w:left="2404" w:firstLine="0"/>
    </w:pPr>
  </w:style>
  <w:style w:type="paragraph" w:customStyle="1" w:styleId="ZZCZWSPTIRzmianazmczciwsptir">
    <w:name w:val="ZZ/CZ_WSP_TIR – zmiana. zm. części wsp. tir."/>
    <w:basedOn w:val="ZZCZWSPPKTzmianazmczciwsppkt"/>
    <w:uiPriority w:val="69"/>
    <w:qFormat/>
    <w:rsid w:val="00923F69"/>
  </w:style>
  <w:style w:type="paragraph" w:customStyle="1" w:styleId="ZZTIRwLITzmianazmtirwlit">
    <w:name w:val="ZZ/TIR_w_LIT – zmiana zm. tir. w lit."/>
    <w:basedOn w:val="ZZTIRzmianazmtir"/>
    <w:uiPriority w:val="67"/>
    <w:qFormat/>
    <w:rsid w:val="00923F69"/>
    <w:pPr>
      <w:ind w:left="2767"/>
    </w:pPr>
  </w:style>
  <w:style w:type="paragraph" w:customStyle="1" w:styleId="ZZCZWSPTIRwLITzmianazmczciwsptirwlit">
    <w:name w:val="ZZ/CZ_WSP_TIR_w_LIT – zmiana zm. części wsp. tir. w lit."/>
    <w:basedOn w:val="ZZTIRwLITzmianazmtirwlit"/>
    <w:uiPriority w:val="70"/>
    <w:qFormat/>
    <w:rsid w:val="00923F69"/>
    <w:pPr>
      <w:ind w:left="2370" w:firstLine="0"/>
    </w:pPr>
  </w:style>
  <w:style w:type="paragraph" w:customStyle="1" w:styleId="ZZTIRwPKTzmianazmtirwpkt">
    <w:name w:val="ZZ/TIR_w_PKT – zmiana zm. tir. w pkt"/>
    <w:basedOn w:val="ZTIRwPKTzmtirwpktartykuempunktem"/>
    <w:uiPriority w:val="67"/>
    <w:qFormat/>
    <w:rsid w:val="00923F69"/>
    <w:pPr>
      <w:ind w:left="3277"/>
    </w:pPr>
  </w:style>
  <w:style w:type="paragraph" w:customStyle="1" w:styleId="ZZCZWSPTIRwPKTzmianazmczciwsptirwpkt">
    <w:name w:val="ZZ/CZ_WSP_TIR_w_PKT – zmiana zm. części wsp. tir. w pkt"/>
    <w:basedOn w:val="ZZTIRwPKTzmianazmtirwpkt"/>
    <w:uiPriority w:val="70"/>
    <w:qFormat/>
    <w:rsid w:val="00923F69"/>
    <w:pPr>
      <w:ind w:left="2880" w:firstLine="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23F69"/>
    <w:pPr>
      <w:spacing w:before="0"/>
      <w:ind w:left="1894"/>
    </w:pPr>
  </w:style>
  <w:style w:type="paragraph" w:customStyle="1" w:styleId="ZZROZDZODDZOZNzmianazmoznrozdzoddzartykuempunktem">
    <w:name w:val="ZZ/ROZDZ(ODDZ)_OZN – zmiana zm. ozn. rozdz. (oddz.) artykułem (punktem)"/>
    <w:basedOn w:val="ZROZDZODDZOZNzmoznrozdzoddzartykuempunktem"/>
    <w:next w:val="Normalny"/>
    <w:uiPriority w:val="64"/>
    <w:qFormat/>
    <w:rsid w:val="00923F6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23F69"/>
    <w:pPr>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23F6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23F69"/>
    <w:pPr>
      <w:ind w:left="1894"/>
    </w:pPr>
  </w:style>
  <w:style w:type="paragraph" w:customStyle="1" w:styleId="ZZUSTzmianazmust">
    <w:name w:val="ZZ/UST(§) – zmiana zm. ust. (§)"/>
    <w:basedOn w:val="ZZARTzmianazmart"/>
    <w:uiPriority w:val="65"/>
    <w:qFormat/>
    <w:rsid w:val="00923F69"/>
  </w:style>
  <w:style w:type="numbering" w:customStyle="1" w:styleId="Bezlisty1">
    <w:name w:val="Bez listy1"/>
    <w:next w:val="Bezlisty"/>
    <w:uiPriority w:val="99"/>
    <w:semiHidden/>
    <w:unhideWhenUsed/>
    <w:rsid w:val="00FA45B7"/>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A45B7"/>
    <w:rPr>
      <w:bCs/>
    </w:rPr>
  </w:style>
  <w:style w:type="paragraph" w:customStyle="1" w:styleId="ZWMATFIZCHEMzmwzorumatfizlubchemartykuempunktem">
    <w:name w:val="Z/W_MAT(FIZ|CHEM) – zm. wzoru mat. (fiz. lub chem.) artykułem (punktem)"/>
    <w:basedOn w:val="WMATFIZCHEMwzrmatfizlubchem"/>
    <w:uiPriority w:val="38"/>
    <w:qFormat/>
    <w:rsid w:val="00FA45B7"/>
    <w:pPr>
      <w:ind w:left="510"/>
    </w:pPr>
  </w:style>
  <w:style w:type="paragraph" w:styleId="Tekstprzypisudolnego">
    <w:name w:val="footnote text"/>
    <w:basedOn w:val="Normalny"/>
    <w:link w:val="TekstprzypisudolnegoZnak"/>
    <w:uiPriority w:val="99"/>
    <w:semiHidden/>
    <w:qFormat/>
    <w:rsid w:val="00FA45B7"/>
    <w:pPr>
      <w:widowControl/>
      <w:autoSpaceDE/>
      <w:autoSpaceDN/>
      <w:adjustRightInd/>
      <w:spacing w:after="200" w:line="276" w:lineRule="auto"/>
      <w:jc w:val="left"/>
    </w:pPr>
    <w:rPr>
      <w:rFonts w:ascii="Times" w:eastAsia="Times New Roman" w:hAnsi="Times" w:cs="Times New Roman"/>
      <w:sz w:val="22"/>
      <w:szCs w:val="24"/>
      <w:lang w:eastAsia="en-US"/>
    </w:rPr>
  </w:style>
  <w:style w:type="character" w:customStyle="1" w:styleId="TekstprzypisudolnegoZnak">
    <w:name w:val="Tekst przypisu dolnego Znak"/>
    <w:basedOn w:val="Domylnaczcionkaakapitu"/>
    <w:link w:val="Tekstprzypisudolnego"/>
    <w:uiPriority w:val="99"/>
    <w:semiHidden/>
    <w:rsid w:val="00FA45B7"/>
    <w:rPr>
      <w:rFonts w:ascii="Times" w:eastAsia="Times New Roman" w:hAnsi="Times" w:cs="Times New Roman"/>
      <w:szCs w:val="24"/>
    </w:rPr>
  </w:style>
  <w:style w:type="paragraph" w:customStyle="1" w:styleId="ZZWMATFIZCHEMzmwzorumatfizlubchem">
    <w:name w:val="ZZ/W_MAT(FIZ|CHEM) – zm. wzoru mat. (fiz. lub chem.)"/>
    <w:basedOn w:val="ZWMATFIZCHEMzmwzorumatfizlubchemartykuempunktem"/>
    <w:uiPriority w:val="71"/>
    <w:qFormat/>
    <w:rsid w:val="00FA45B7"/>
    <w:pPr>
      <w:ind w:left="2404"/>
    </w:pPr>
  </w:style>
  <w:style w:type="paragraph" w:customStyle="1" w:styleId="ZCYTzmcytatunpprzysigiartykuempunktem">
    <w:name w:val="Z/CYT – zm. cytatu np. przysięgi artykułem (punktem)"/>
    <w:basedOn w:val="CYTcytatnpprzysigi"/>
    <w:next w:val="ZUSTzmustartykuempunktem"/>
    <w:uiPriority w:val="37"/>
    <w:qFormat/>
    <w:rsid w:val="00FA45B7"/>
    <w:pPr>
      <w:ind w:left="1021"/>
    </w:pPr>
  </w:style>
  <w:style w:type="paragraph" w:customStyle="1" w:styleId="TEKSTwporozumieniu0">
    <w:name w:val="TEKST&quot;w porozumieniu:&quot;"/>
    <w:next w:val="NAZORGWPOROZUMIENIUnazwaorganuwporozumieniuzktrymaktjestwydawany"/>
    <w:uiPriority w:val="27"/>
    <w:qFormat/>
    <w:rsid w:val="00FA45B7"/>
    <w:pPr>
      <w:spacing w:after="0" w:line="360" w:lineRule="auto"/>
    </w:pPr>
    <w:rPr>
      <w:rFonts w:ascii="Times New Roman" w:eastAsiaTheme="minorEastAsia" w:hAnsi="Times New Roman" w:cs="Arial"/>
      <w:b/>
      <w:sz w:val="24"/>
      <w:szCs w:val="20"/>
      <w:lang w:eastAsia="pl-PL"/>
    </w:r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A45B7"/>
    <w:pPr>
      <w:ind w:left="510" w:firstLine="0"/>
    </w:pPr>
  </w:style>
  <w:style w:type="paragraph" w:customStyle="1" w:styleId="NOTATKILEGISLATORA">
    <w:name w:val="NOTATKI_LEGISLATORA"/>
    <w:basedOn w:val="Normalny"/>
    <w:uiPriority w:val="5"/>
    <w:qFormat/>
    <w:rsid w:val="00FA45B7"/>
    <w:pPr>
      <w:widowControl/>
      <w:autoSpaceDE/>
      <w:autoSpaceDN/>
      <w:adjustRightInd/>
      <w:spacing w:after="200" w:line="276" w:lineRule="auto"/>
      <w:jc w:val="left"/>
    </w:pPr>
    <w:rPr>
      <w:rFonts w:ascii="Calibri" w:eastAsia="Times New Roman" w:hAnsi="Calibri" w:cs="Times New Roman"/>
      <w:b/>
      <w:i/>
      <w:sz w:val="22"/>
      <w:szCs w:val="22"/>
      <w:lang w:eastAsia="en-US"/>
    </w:rPr>
  </w:style>
  <w:style w:type="paragraph" w:customStyle="1" w:styleId="OZNZACZNIKAwskazanienrzacznika">
    <w:name w:val="OZN_ZAŁĄCZNIKA – wskazanie nr załącznika"/>
    <w:basedOn w:val="OZNPROJEKTUwskazaniedatylubwersjiprojektu"/>
    <w:uiPriority w:val="28"/>
    <w:qFormat/>
    <w:rsid w:val="00FA45B7"/>
    <w:pPr>
      <w:keepNext/>
    </w:pPr>
    <w:rPr>
      <w:b/>
      <w:u w:val="none"/>
    </w:rPr>
  </w:style>
  <w:style w:type="paragraph" w:customStyle="1" w:styleId="OZNPARAFYADNOTACJE">
    <w:name w:val="OZN_PARAFY(ADNOTACJE)"/>
    <w:basedOn w:val="ODNONIKtreodnonika"/>
    <w:uiPriority w:val="26"/>
    <w:qFormat/>
    <w:rsid w:val="00FA45B7"/>
  </w:style>
  <w:style w:type="paragraph" w:customStyle="1" w:styleId="TEKSTZacznikido">
    <w:name w:val="TEKST&quot;Załącznik(i) do ...&quot;"/>
    <w:uiPriority w:val="28"/>
    <w:qFormat/>
    <w:rsid w:val="00FA45B7"/>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FA45B7"/>
    <w:pPr>
      <w:ind w:left="851"/>
    </w:pPr>
  </w:style>
  <w:style w:type="paragraph" w:customStyle="1" w:styleId="CZWSPLITODNONIKAczwspliterodnonika">
    <w:name w:val="CZ_WSP_LIT_ODNOŚNIKA – część wsp. liter odnośnika"/>
    <w:basedOn w:val="LITODNONIKAliteraodnonika"/>
    <w:uiPriority w:val="22"/>
    <w:qFormat/>
    <w:rsid w:val="00FA45B7"/>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FA45B7"/>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A45B7"/>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A45B7"/>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FA45B7"/>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FA45B7"/>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A45B7"/>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FA45B7"/>
  </w:style>
  <w:style w:type="paragraph" w:customStyle="1" w:styleId="ZLITwPKTODNONIKAzmlitwpktodnonikaartykuempunktem">
    <w:name w:val="Z/LIT_w_PKT_ODNOŚNIKA – zm. lit. w pkt odnośnika artykułem (punktem)"/>
    <w:basedOn w:val="ZLITODNONIKAzmlitodnonikaartykuempunktem"/>
    <w:uiPriority w:val="40"/>
    <w:qFormat/>
    <w:rsid w:val="00FA45B7"/>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A45B7"/>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A45B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A45B7"/>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A45B7"/>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A45B7"/>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FA45B7"/>
    <w:pPr>
      <w:suppressAutoHyphens w:val="0"/>
      <w:autoSpaceDE/>
      <w:autoSpaceDN/>
      <w:adjustRightInd/>
    </w:pPr>
  </w:style>
  <w:style w:type="paragraph" w:customStyle="1" w:styleId="ZZFRAGzmianazmfragmentunpzdania">
    <w:name w:val="ZZ/FRAG – zmiana zm. fragmentu (np. zdania)"/>
    <w:basedOn w:val="ZZCZWSPPKTzmianazmczciwsppkt"/>
    <w:uiPriority w:val="70"/>
    <w:qFormat/>
    <w:rsid w:val="00FA45B7"/>
  </w:style>
  <w:style w:type="paragraph" w:customStyle="1" w:styleId="Z2TIRPKTzmpktpodwjnymtiret">
    <w:name w:val="Z_2TIR/PKT – zm. pkt podwójnym tiret"/>
    <w:basedOn w:val="Z2TIRLITzmlitpodwjnymtiret"/>
    <w:uiPriority w:val="83"/>
    <w:qFormat/>
    <w:rsid w:val="00FA45B7"/>
    <w:pPr>
      <w:suppressAutoHyphens w:val="0"/>
      <w:autoSpaceDE/>
      <w:autoSpaceDN/>
      <w:adjustRightInd/>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A45B7"/>
    <w:pPr>
      <w:suppressAutoHyphens w:val="0"/>
      <w:autoSpaceDE/>
      <w:autoSpaceDN/>
      <w:adjustRightInd/>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A45B7"/>
    <w:pPr>
      <w:suppressAutoHyphens w:val="0"/>
      <w:autoSpaceDE/>
      <w:autoSpaceDN/>
      <w:adjustRightInd/>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A45B7"/>
    <w:pPr>
      <w:suppressAutoHyphens w:val="0"/>
      <w:autoSpaceDE/>
      <w:autoSpaceDN/>
      <w:adjustRightInd/>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A45B7"/>
    <w:pPr>
      <w:ind w:left="1780" w:firstLine="510"/>
    </w:pPr>
  </w:style>
  <w:style w:type="paragraph" w:customStyle="1" w:styleId="Z2TIRUSTzmustpodwjnymtiret">
    <w:name w:val="Z_2TIR/UST(§) – zm. ust. (§) podwójnym tiret"/>
    <w:basedOn w:val="Z2TIRPKTzmpktpodwjnymtiret"/>
    <w:uiPriority w:val="82"/>
    <w:qFormat/>
    <w:rsid w:val="00FA45B7"/>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A45B7"/>
    <w:pPr>
      <w:ind w:left="3164" w:firstLine="0"/>
    </w:pPr>
  </w:style>
  <w:style w:type="paragraph" w:customStyle="1" w:styleId="Z2TIRCZWSPPKTzmczciwsppktpodwjnymtiret">
    <w:name w:val="Z_2TIR/CZ_WSP_PKT – zm. części wsp. pkt podwójnym tiret"/>
    <w:basedOn w:val="Z2TIRPKTzmpktpodwjnymtiret"/>
    <w:uiPriority w:val="86"/>
    <w:qFormat/>
    <w:rsid w:val="00FA45B7"/>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A45B7"/>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A45B7"/>
    <w:pPr>
      <w:ind w:left="2767" w:firstLine="0"/>
    </w:pPr>
  </w:style>
  <w:style w:type="paragraph" w:customStyle="1" w:styleId="ZLITARTzmartliter">
    <w:name w:val="Z_LIT/ART(§) – zm. art. (§) literą"/>
    <w:basedOn w:val="ZLITUSTzmustliter"/>
    <w:uiPriority w:val="46"/>
    <w:qFormat/>
    <w:rsid w:val="00FA45B7"/>
  </w:style>
  <w:style w:type="paragraph" w:customStyle="1" w:styleId="ZTIRARTzmarttiret">
    <w:name w:val="Z_TIR/ART(§) – zm. art. (§) tiret"/>
    <w:basedOn w:val="ZTIRPKTzmpkttiret"/>
    <w:uiPriority w:val="55"/>
    <w:qFormat/>
    <w:rsid w:val="00FA45B7"/>
    <w:pPr>
      <w:suppressAutoHyphens w:val="0"/>
      <w:autoSpaceDE/>
      <w:autoSpaceDN/>
      <w:adjustRightInd/>
      <w:ind w:left="1383" w:firstLine="510"/>
    </w:pPr>
    <w:rPr>
      <w:rFonts w:ascii="Times New Roman" w:hAnsi="Times New Roman"/>
    </w:rPr>
  </w:style>
  <w:style w:type="paragraph" w:customStyle="1" w:styleId="ZTIRUSTzmusttiret">
    <w:name w:val="Z_TIR/UST(§) – zm. ust. (§) tiret"/>
    <w:basedOn w:val="ZTIRARTzmarttiret"/>
    <w:uiPriority w:val="55"/>
    <w:qFormat/>
    <w:rsid w:val="00FA45B7"/>
  </w:style>
  <w:style w:type="paragraph" w:customStyle="1" w:styleId="ZLITKSIGIzmozniprzedmksigiliter">
    <w:name w:val="Z_LIT/KSIĘGI – zm. ozn. i przedm. księgi literą"/>
    <w:basedOn w:val="ZCZCIKSIGIzmozniprzedmczciksigiartykuempunktem"/>
    <w:uiPriority w:val="44"/>
    <w:qFormat/>
    <w:rsid w:val="00FA45B7"/>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A45B7"/>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A45B7"/>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A45B7"/>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A45B7"/>
    <w:pPr>
      <w:spacing w:after="120"/>
      <w:ind w:left="987"/>
    </w:pPr>
  </w:style>
  <w:style w:type="paragraph" w:customStyle="1" w:styleId="ZTIRDZOZNzmozndziautiret">
    <w:name w:val="Z_TIR/DZ_OZN – zm. ozn. działu tiret"/>
    <w:basedOn w:val="ZLITTYTDZOZNzmozntytuudziauliter"/>
    <w:next w:val="ZTIRDZPRZEDMzmprzedmdziautiret"/>
    <w:uiPriority w:val="54"/>
    <w:qFormat/>
    <w:rsid w:val="00FA45B7"/>
    <w:pPr>
      <w:ind w:left="1383"/>
    </w:pPr>
  </w:style>
  <w:style w:type="paragraph" w:customStyle="1" w:styleId="ZTIRDZPRZEDMzmprzedmdziautiret">
    <w:name w:val="Z_TIR/DZ_PRZEDM – zm. przedm. działu tiret"/>
    <w:basedOn w:val="ZLITTYTDZPRZEDMzmprzedmtytuudziauliter"/>
    <w:uiPriority w:val="54"/>
    <w:qFormat/>
    <w:rsid w:val="00FA45B7"/>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A45B7"/>
    <w:pPr>
      <w:ind w:left="1383"/>
    </w:pPr>
  </w:style>
  <w:style w:type="paragraph" w:customStyle="1" w:styleId="ZTIRROZDZODDZPRZEDMzmprzedmrozdzoddztiret">
    <w:name w:val="Z_TIR/ROZDZ(ODDZ)_PRZEDM – zm. przedm. rozdz. (oddz.) tiret"/>
    <w:basedOn w:val="ZLITROZDZODDZPRZEDMzmprzedmrozdzoddzliter"/>
    <w:uiPriority w:val="54"/>
    <w:qFormat/>
    <w:rsid w:val="00FA45B7"/>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A45B7"/>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A45B7"/>
    <w:pPr>
      <w:ind w:left="1780"/>
    </w:pPr>
  </w:style>
  <w:style w:type="character" w:customStyle="1" w:styleId="IGindeksgrny">
    <w:name w:val="_IG_ – indeks górny"/>
    <w:basedOn w:val="Domylnaczcionkaakapitu"/>
    <w:uiPriority w:val="2"/>
    <w:qFormat/>
    <w:rsid w:val="00FA45B7"/>
    <w:rPr>
      <w:b w:val="0"/>
      <w:i w:val="0"/>
      <w:vanish w:val="0"/>
      <w:spacing w:val="0"/>
      <w:vertAlign w:val="superscript"/>
    </w:rPr>
  </w:style>
  <w:style w:type="character" w:customStyle="1" w:styleId="IDindeksdolny">
    <w:name w:val="_ID_ – indeks dolny"/>
    <w:basedOn w:val="Domylnaczcionkaakapitu"/>
    <w:uiPriority w:val="3"/>
    <w:qFormat/>
    <w:rsid w:val="00FA45B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A45B7"/>
    <w:rPr>
      <w:b/>
      <w:vanish w:val="0"/>
      <w:spacing w:val="0"/>
      <w:vertAlign w:val="subscript"/>
    </w:rPr>
  </w:style>
  <w:style w:type="character" w:customStyle="1" w:styleId="IDKindeksdolnyikursywa">
    <w:name w:val="_ID_K_ – indeks dolny i kursywa"/>
    <w:basedOn w:val="Domylnaczcionkaakapitu"/>
    <w:uiPriority w:val="3"/>
    <w:qFormat/>
    <w:rsid w:val="00FA45B7"/>
    <w:rPr>
      <w:i/>
      <w:vanish w:val="0"/>
      <w:spacing w:val="0"/>
      <w:vertAlign w:val="subscript"/>
    </w:rPr>
  </w:style>
  <w:style w:type="character" w:customStyle="1" w:styleId="IGPindeksgrnyipogrubienie">
    <w:name w:val="_IG_P_ – indeks górny i pogrubienie"/>
    <w:basedOn w:val="Domylnaczcionkaakapitu"/>
    <w:uiPriority w:val="2"/>
    <w:qFormat/>
    <w:rsid w:val="00FA45B7"/>
    <w:rPr>
      <w:b/>
      <w:vanish w:val="0"/>
      <w:spacing w:val="0"/>
      <w:vertAlign w:val="superscript"/>
    </w:rPr>
  </w:style>
  <w:style w:type="character" w:customStyle="1" w:styleId="IGKindeksgrnyikursywa">
    <w:name w:val="_IG_K_ – indeks górny i kursywa"/>
    <w:basedOn w:val="Domylnaczcionkaakapitu"/>
    <w:uiPriority w:val="2"/>
    <w:qFormat/>
    <w:rsid w:val="00FA45B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A45B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A45B7"/>
    <w:rPr>
      <w:b/>
      <w:i/>
      <w:vanish w:val="0"/>
      <w:spacing w:val="0"/>
      <w:vertAlign w:val="subscript"/>
    </w:rPr>
  </w:style>
  <w:style w:type="character" w:customStyle="1" w:styleId="Ppogrubienie">
    <w:name w:val="_P_ – pogrubienie"/>
    <w:basedOn w:val="Domylnaczcionkaakapitu"/>
    <w:uiPriority w:val="1"/>
    <w:qFormat/>
    <w:rsid w:val="00FA45B7"/>
    <w:rPr>
      <w:b/>
    </w:rPr>
  </w:style>
  <w:style w:type="character" w:customStyle="1" w:styleId="Kkursywa">
    <w:name w:val="_K_ – kursywa"/>
    <w:basedOn w:val="Domylnaczcionkaakapitu"/>
    <w:uiPriority w:val="1"/>
    <w:qFormat/>
    <w:rsid w:val="00FA45B7"/>
    <w:rPr>
      <w:i/>
    </w:rPr>
  </w:style>
  <w:style w:type="character" w:customStyle="1" w:styleId="PKpogrubieniekursywa">
    <w:name w:val="_P_K_ – pogrubienie kursywa"/>
    <w:basedOn w:val="Domylnaczcionkaakapitu"/>
    <w:uiPriority w:val="1"/>
    <w:qFormat/>
    <w:rsid w:val="00FA45B7"/>
    <w:rPr>
      <w:b/>
      <w:i/>
    </w:rPr>
  </w:style>
  <w:style w:type="character" w:customStyle="1" w:styleId="TEKSTOZNACZONYWDOKUMENCIERDOWYMJAKOUKRYTY">
    <w:name w:val="_TEKST_OZNACZONY_W_DOKUMENCIE_ŹRÓDŁOWYM_JAKO_UKRYTY_"/>
    <w:basedOn w:val="Domylnaczcionkaakapitu"/>
    <w:uiPriority w:val="4"/>
    <w:unhideWhenUsed/>
    <w:qFormat/>
    <w:rsid w:val="00FA45B7"/>
    <w:rPr>
      <w:vanish w:val="0"/>
      <w:color w:val="FF0000"/>
      <w:u w:val="single" w:color="FF0000"/>
    </w:rPr>
  </w:style>
  <w:style w:type="character" w:customStyle="1" w:styleId="BEZWERSALIKW">
    <w:name w:val="_BEZ_WERSALIKÓW_"/>
    <w:basedOn w:val="Domylnaczcionkaakapitu"/>
    <w:uiPriority w:val="4"/>
    <w:qFormat/>
    <w:rsid w:val="00FA45B7"/>
    <w:rPr>
      <w:caps/>
    </w:rPr>
  </w:style>
  <w:style w:type="character" w:customStyle="1" w:styleId="IIGPindeksgrnyindeksugrnegoipogrubienie">
    <w:name w:val="_IIG_P_ – indeks górny indeksu górnego i pogrubienie"/>
    <w:basedOn w:val="Domylnaczcionkaakapitu"/>
    <w:uiPriority w:val="3"/>
    <w:qFormat/>
    <w:rsid w:val="00FA45B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A45B7"/>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FA45B7"/>
    <w:pPr>
      <w:widowControl/>
      <w:autoSpaceDE/>
      <w:autoSpaceDN/>
      <w:adjustRightInd/>
      <w:spacing w:after="200" w:line="240" w:lineRule="auto"/>
      <w:ind w:left="283" w:hanging="170"/>
      <w:jc w:val="left"/>
    </w:pPr>
    <w:rPr>
      <w:rFonts w:ascii="Calibri" w:eastAsia="Times New Roman" w:hAnsi="Calibri" w:cs="Times New Roman"/>
      <w:sz w:val="20"/>
      <w:szCs w:val="22"/>
      <w:lang w:eastAsia="en-US"/>
    </w:rPr>
  </w:style>
  <w:style w:type="paragraph" w:customStyle="1" w:styleId="TEKSTwTABELItekstzwcitympierwwierszem0">
    <w:name w:val="TEKST_w_TABELI – tekst z wciętym pierw. wierszem"/>
    <w:basedOn w:val="Normalny"/>
    <w:uiPriority w:val="23"/>
    <w:qFormat/>
    <w:rsid w:val="00FA45B7"/>
    <w:pPr>
      <w:widowControl/>
      <w:suppressAutoHyphens/>
      <w:autoSpaceDE/>
      <w:autoSpaceDN/>
      <w:adjustRightInd/>
      <w:spacing w:after="200" w:line="276" w:lineRule="auto"/>
      <w:ind w:firstLine="510"/>
      <w:jc w:val="left"/>
    </w:pPr>
    <w:rPr>
      <w:rFonts w:ascii="Times" w:eastAsia="Times New Roman" w:hAnsi="Times" w:cs="Times New Roman"/>
      <w:bCs/>
      <w:kern w:val="24"/>
      <w:sz w:val="22"/>
      <w:szCs w:val="22"/>
      <w:lang w:eastAsia="en-US"/>
    </w:rPr>
  </w:style>
  <w:style w:type="paragraph" w:customStyle="1" w:styleId="TEKSTwTABELIWYRODKOWANYtekstwyrodkowanywpoziomie">
    <w:name w:val="TEKST_w_TABELI_WYŚRODKOWANY – tekst wyśrodkowany w poziomie"/>
    <w:basedOn w:val="Normalny"/>
    <w:uiPriority w:val="23"/>
    <w:qFormat/>
    <w:rsid w:val="00FA45B7"/>
    <w:pPr>
      <w:widowControl/>
      <w:suppressAutoHyphens/>
      <w:autoSpaceDE/>
      <w:autoSpaceDN/>
      <w:adjustRightInd/>
      <w:spacing w:after="200" w:line="276" w:lineRule="auto"/>
      <w:jc w:val="center"/>
    </w:pPr>
    <w:rPr>
      <w:rFonts w:ascii="Times" w:eastAsia="Times New Roman" w:hAnsi="Times" w:cs="Times New Roman"/>
      <w:bCs/>
      <w:kern w:val="24"/>
      <w:sz w:val="22"/>
      <w:szCs w:val="22"/>
      <w:lang w:eastAsia="en-US"/>
    </w:rPr>
  </w:style>
  <w:style w:type="paragraph" w:customStyle="1" w:styleId="ZTIRSKARNzmsankcjikarnejtiret">
    <w:name w:val="Z_TIR/S_KARN – zm. sankcji karnej tiret"/>
    <w:basedOn w:val="ZLITSKARNzmsankcjikarnejliter"/>
    <w:next w:val="ZTIRARTzmarttiret"/>
    <w:uiPriority w:val="61"/>
    <w:qFormat/>
    <w:rsid w:val="00FA45B7"/>
    <w:pPr>
      <w:ind w:left="1894"/>
    </w:pPr>
  </w:style>
  <w:style w:type="paragraph" w:customStyle="1" w:styleId="ZZSKARNzmianazmsankcjikarnej">
    <w:name w:val="ZZ/S_KARN – zmiana zm. sankcji karnej"/>
    <w:basedOn w:val="ZZFRAGzmianazmfragmentunpzdania"/>
    <w:uiPriority w:val="71"/>
    <w:qFormat/>
    <w:rsid w:val="00FA45B7"/>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A45B7"/>
    <w:pPr>
      <w:ind w:left="2291" w:firstLine="0"/>
    </w:pPr>
  </w:style>
  <w:style w:type="paragraph" w:customStyle="1" w:styleId="WMATFIZCHEMwzrmatfizlubchem">
    <w:name w:val="W_MAT(FIZ|CHEM) – wzór mat. (fiz. lub chem.)"/>
    <w:uiPriority w:val="18"/>
    <w:qFormat/>
    <w:rsid w:val="00FA45B7"/>
    <w:pPr>
      <w:spacing w:after="0" w:line="360" w:lineRule="auto"/>
      <w:jc w:val="center"/>
    </w:pPr>
    <w:rPr>
      <w:rFonts w:ascii="Times New Roman" w:eastAsiaTheme="minorEastAsia"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FA45B7"/>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A45B7"/>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FA45B7"/>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A45B7"/>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FA45B7"/>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FA45B7"/>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A45B7"/>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A45B7"/>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A45B7"/>
    <w:pPr>
      <w:ind w:left="3085"/>
    </w:pPr>
  </w:style>
  <w:style w:type="paragraph" w:customStyle="1" w:styleId="ZLITCYTzmcytatunpprzysigiliter">
    <w:name w:val="Z_LIT/CYT – zm. cytatu np. przysięgi literą"/>
    <w:basedOn w:val="ZCYTzmcytatunpprzysigiartykuempunktem"/>
    <w:uiPriority w:val="53"/>
    <w:qFormat/>
    <w:rsid w:val="00FA45B7"/>
    <w:pPr>
      <w:ind w:left="1497"/>
    </w:pPr>
  </w:style>
  <w:style w:type="paragraph" w:customStyle="1" w:styleId="ZTIRCYTzmcytatunpprzysigitiret">
    <w:name w:val="Z_TIR/CYT – zm. cytatu np. przysięgi tiret"/>
    <w:basedOn w:val="ZLITCYTzmcytatunpprzysigiliter"/>
    <w:next w:val="ZTIRUSTzmusttiret"/>
    <w:uiPriority w:val="61"/>
    <w:qFormat/>
    <w:rsid w:val="00FA45B7"/>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FA45B7"/>
    <w:pPr>
      <w:ind w:left="2291"/>
    </w:pPr>
  </w:style>
  <w:style w:type="paragraph" w:customStyle="1" w:styleId="ZZCYTzmianazmcytatunpprzysigi">
    <w:name w:val="ZZ/CYT – zmiana zm. cytatu np. przysięgi"/>
    <w:basedOn w:val="ZZFRAGzmianazmfragmentunpzdania"/>
    <w:next w:val="ZZUSTzmianazmust"/>
    <w:uiPriority w:val="71"/>
    <w:qFormat/>
    <w:rsid w:val="00FA45B7"/>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FA45B7"/>
    <w:pPr>
      <w:suppressAutoHyphens w:val="0"/>
      <w:autoSpaceDE/>
      <w:autoSpaceDN/>
      <w:adjustRightInd/>
      <w:ind w:left="1780"/>
    </w:pPr>
  </w:style>
  <w:style w:type="table" w:styleId="Tabela-Siatka">
    <w:name w:val="Table Grid"/>
    <w:basedOn w:val="Standardowy"/>
    <w:rsid w:val="00FA45B7"/>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FA45B7"/>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FA45B7"/>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FA45B7"/>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FA45B7"/>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A45B7"/>
    <w:rPr>
      <w:color w:val="808080"/>
    </w:rPr>
  </w:style>
  <w:style w:type="character" w:styleId="Pogrubienie">
    <w:name w:val="Strong"/>
    <w:basedOn w:val="Domylnaczcionkaakapitu"/>
    <w:qFormat/>
    <w:rsid w:val="00FA45B7"/>
    <w:rPr>
      <w:rFonts w:cs="Times New Roman"/>
      <w:b/>
    </w:rPr>
  </w:style>
  <w:style w:type="paragraph" w:styleId="Tekstpodstawowywcity2">
    <w:name w:val="Body Text Indent 2"/>
    <w:basedOn w:val="Normalny"/>
    <w:link w:val="Tekstpodstawowywcity2Znak"/>
    <w:rsid w:val="00FA45B7"/>
    <w:pPr>
      <w:widowControl/>
      <w:autoSpaceDE/>
      <w:autoSpaceDN/>
      <w:adjustRightInd/>
      <w:spacing w:after="120" w:line="480" w:lineRule="auto"/>
      <w:ind w:left="283"/>
      <w:jc w:val="left"/>
    </w:pPr>
    <w:rPr>
      <w:rFonts w:ascii="Calibri" w:eastAsia="Calibri" w:hAnsi="Calibri" w:cs="Times New Roman"/>
      <w:sz w:val="22"/>
      <w:szCs w:val="22"/>
      <w:lang w:eastAsia="en-US"/>
    </w:rPr>
  </w:style>
  <w:style w:type="character" w:customStyle="1" w:styleId="Tekstpodstawowywcity2Znak">
    <w:name w:val="Tekst podstawowy wcięty 2 Znak"/>
    <w:basedOn w:val="Domylnaczcionkaakapitu"/>
    <w:link w:val="Tekstpodstawowywcity2"/>
    <w:rsid w:val="00FA45B7"/>
    <w:rPr>
      <w:rFonts w:ascii="Calibri" w:eastAsia="Calibri" w:hAnsi="Calibri" w:cs="Times New Roman"/>
    </w:rPr>
  </w:style>
  <w:style w:type="paragraph" w:styleId="Tekstpodstawowywcity">
    <w:name w:val="Body Text Indent"/>
    <w:basedOn w:val="Normalny"/>
    <w:link w:val="TekstpodstawowywcityZnak"/>
    <w:rsid w:val="00FA45B7"/>
    <w:pPr>
      <w:widowControl/>
      <w:autoSpaceDE/>
      <w:autoSpaceDN/>
      <w:adjustRightInd/>
      <w:spacing w:after="120" w:line="240" w:lineRule="auto"/>
      <w:ind w:left="283"/>
      <w:jc w:val="left"/>
    </w:pPr>
    <w:rPr>
      <w:rFonts w:eastAsia="Times New Roman" w:cs="Times New Roman"/>
      <w:szCs w:val="24"/>
    </w:rPr>
  </w:style>
  <w:style w:type="character" w:customStyle="1" w:styleId="TekstpodstawowywcityZnak">
    <w:name w:val="Tekst podstawowy wcięty Znak"/>
    <w:basedOn w:val="Domylnaczcionkaakapitu"/>
    <w:link w:val="Tekstpodstawowywcity"/>
    <w:rsid w:val="00FA45B7"/>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A45B7"/>
    <w:pPr>
      <w:widowControl/>
      <w:autoSpaceDE/>
      <w:autoSpaceDN/>
      <w:adjustRightInd/>
      <w:spacing w:before="100" w:beforeAutospacing="1" w:after="100" w:afterAutospacing="1" w:line="240" w:lineRule="auto"/>
      <w:jc w:val="left"/>
    </w:pPr>
    <w:rPr>
      <w:rFonts w:eastAsia="Times New Roman" w:cs="Times New Roman"/>
      <w:szCs w:val="24"/>
    </w:rPr>
  </w:style>
  <w:style w:type="paragraph" w:styleId="Poprawka">
    <w:name w:val="Revision"/>
    <w:hidden/>
    <w:uiPriority w:val="99"/>
    <w:semiHidden/>
    <w:rsid w:val="00FA45B7"/>
    <w:pPr>
      <w:spacing w:after="0" w:line="240" w:lineRule="auto"/>
    </w:pPr>
    <w:rPr>
      <w:rFonts w:ascii="Calibri" w:eastAsia="Times New Roman" w:hAnsi="Calibri" w:cs="Times New Roman"/>
    </w:rPr>
  </w:style>
  <w:style w:type="character" w:styleId="Hipercze">
    <w:name w:val="Hyperlink"/>
    <w:basedOn w:val="Domylnaczcionkaakapitu"/>
    <w:uiPriority w:val="99"/>
    <w:semiHidden/>
    <w:rsid w:val="00FA45B7"/>
    <w:rPr>
      <w:color w:val="0000FF" w:themeColor="hyperlink"/>
      <w:u w:val="single"/>
    </w:rPr>
  </w:style>
  <w:style w:type="paragraph" w:styleId="Akapitzlist">
    <w:name w:val="List Paragraph"/>
    <w:basedOn w:val="Normalny"/>
    <w:uiPriority w:val="34"/>
    <w:qFormat/>
    <w:rsid w:val="00FA45B7"/>
    <w:pPr>
      <w:widowControl/>
      <w:autoSpaceDE/>
      <w:autoSpaceDN/>
      <w:adjustRightInd/>
      <w:spacing w:line="240" w:lineRule="auto"/>
      <w:ind w:left="720"/>
      <w:contextualSpacing/>
      <w:jc w:val="left"/>
    </w:pPr>
    <w:rPr>
      <w:rFonts w:eastAsia="Times New Roman" w:cs="Times New Roman"/>
      <w:sz w:val="20"/>
    </w:rPr>
  </w:style>
  <w:style w:type="paragraph" w:styleId="Tekstprzypisukocowego">
    <w:name w:val="endnote text"/>
    <w:basedOn w:val="Normalny"/>
    <w:link w:val="TekstprzypisukocowegoZnak"/>
    <w:uiPriority w:val="99"/>
    <w:semiHidden/>
    <w:rsid w:val="00FA45B7"/>
    <w:pPr>
      <w:widowControl/>
      <w:autoSpaceDE/>
      <w:autoSpaceDN/>
      <w:adjustRightInd/>
      <w:spacing w:line="240" w:lineRule="auto"/>
      <w:jc w:val="left"/>
    </w:pPr>
    <w:rPr>
      <w:rFonts w:ascii="Calibri" w:eastAsia="Times New Roman" w:hAnsi="Calibri" w:cs="Times New Roman"/>
      <w:sz w:val="20"/>
      <w:lang w:eastAsia="en-US"/>
    </w:rPr>
  </w:style>
  <w:style w:type="character" w:customStyle="1" w:styleId="TekstprzypisukocowegoZnak">
    <w:name w:val="Tekst przypisu końcowego Znak"/>
    <w:basedOn w:val="Domylnaczcionkaakapitu"/>
    <w:link w:val="Tekstprzypisukocowego"/>
    <w:uiPriority w:val="99"/>
    <w:semiHidden/>
    <w:rsid w:val="00FA45B7"/>
    <w:rPr>
      <w:rFonts w:ascii="Calibri" w:eastAsia="Times New Roman" w:hAnsi="Calibri" w:cs="Times New Roman"/>
      <w:sz w:val="20"/>
      <w:szCs w:val="20"/>
    </w:rPr>
  </w:style>
  <w:style w:type="character" w:styleId="Odwoanieprzypisukocowego">
    <w:name w:val="endnote reference"/>
    <w:basedOn w:val="Domylnaczcionkaakapitu"/>
    <w:uiPriority w:val="99"/>
    <w:semiHidden/>
    <w:rsid w:val="00FA45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Elegan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3F69"/>
    <w:pPr>
      <w:widowControl w:val="0"/>
      <w:autoSpaceDE w:val="0"/>
      <w:autoSpaceDN w:val="0"/>
      <w:adjustRightInd w:val="0"/>
      <w:spacing w:after="0" w:line="360" w:lineRule="auto"/>
      <w:jc w:val="both"/>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9"/>
    <w:rsid w:val="00923F69"/>
    <w:pPr>
      <w:keepNext/>
      <w:keepLines/>
      <w:numPr>
        <w:numId w:val="1"/>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923F6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923F69"/>
    <w:pPr>
      <w:spacing w:before="0"/>
    </w:pPr>
    <w:rPr>
      <w:bCs/>
    </w:rPr>
  </w:style>
  <w:style w:type="paragraph" w:customStyle="1" w:styleId="PKTpunkt">
    <w:name w:val="PKT – punkt"/>
    <w:basedOn w:val="USTustnpkodeksu"/>
    <w:uiPriority w:val="13"/>
    <w:qFormat/>
    <w:rsid w:val="00923F69"/>
    <w:pPr>
      <w:ind w:left="510" w:hanging="510"/>
    </w:pPr>
  </w:style>
  <w:style w:type="paragraph" w:customStyle="1" w:styleId="LITlitera">
    <w:name w:val="LIT – litera"/>
    <w:basedOn w:val="PKTpunkt"/>
    <w:uiPriority w:val="14"/>
    <w:qFormat/>
    <w:rsid w:val="00923F69"/>
    <w:pPr>
      <w:ind w:left="986" w:hanging="476"/>
    </w:pPr>
  </w:style>
  <w:style w:type="paragraph" w:customStyle="1" w:styleId="TIRtiret">
    <w:name w:val="TIR – tiret"/>
    <w:basedOn w:val="LITlitera"/>
    <w:uiPriority w:val="15"/>
    <w:qFormat/>
    <w:rsid w:val="00923F69"/>
    <w:pPr>
      <w:ind w:left="1384" w:hanging="397"/>
    </w:pPr>
  </w:style>
  <w:style w:type="paragraph" w:customStyle="1" w:styleId="2TIRpodwjnytiret">
    <w:name w:val="2TIR – podwójny tiret"/>
    <w:basedOn w:val="TIRtiret"/>
    <w:uiPriority w:val="73"/>
    <w:qFormat/>
    <w:rsid w:val="00923F69"/>
    <w:pPr>
      <w:ind w:left="2177"/>
    </w:pPr>
  </w:style>
  <w:style w:type="paragraph" w:styleId="Bezodstpw">
    <w:name w:val="No Spacing"/>
    <w:uiPriority w:val="99"/>
    <w:rsid w:val="00923F69"/>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CYTcytatnpprzysigi">
    <w:name w:val="CYT – cytat np. przysięgi"/>
    <w:basedOn w:val="USTustnpkodeksu"/>
    <w:next w:val="USTustnpkodeksu"/>
    <w:uiPriority w:val="18"/>
    <w:qFormat/>
    <w:rsid w:val="00923F69"/>
    <w:pPr>
      <w:ind w:left="510" w:right="510" w:firstLine="0"/>
      <w:mirrorIndents/>
    </w:pPr>
  </w:style>
  <w:style w:type="paragraph" w:customStyle="1" w:styleId="CZWSPTIRczwsplnatiret">
    <w:name w:val="CZ_WSP_TIR – część wspólna tiret"/>
    <w:basedOn w:val="TIRtiret"/>
    <w:next w:val="USTustnpkodeksu"/>
    <w:uiPriority w:val="17"/>
    <w:qFormat/>
    <w:rsid w:val="00923F69"/>
    <w:pPr>
      <w:ind w:left="987" w:firstLine="0"/>
    </w:pPr>
  </w:style>
  <w:style w:type="paragraph" w:customStyle="1" w:styleId="CZWSP2TIRczwsplnapodwjnychtiret">
    <w:name w:val="CZ_WSP_2TIR – część wspólna podwójnych tiret"/>
    <w:basedOn w:val="CZWSPTIRczwsplnatiret"/>
    <w:next w:val="TIRtiret"/>
    <w:uiPriority w:val="73"/>
    <w:qFormat/>
    <w:rsid w:val="00923F69"/>
    <w:pPr>
      <w:ind w:left="1780"/>
    </w:pPr>
  </w:style>
  <w:style w:type="paragraph" w:customStyle="1" w:styleId="CZWSPLITczwsplnaliter">
    <w:name w:val="CZ_WSP_LIT – część wspólna liter"/>
    <w:basedOn w:val="LITlitera"/>
    <w:next w:val="USTustnpkodeksu"/>
    <w:uiPriority w:val="17"/>
    <w:qFormat/>
    <w:rsid w:val="00923F69"/>
    <w:pPr>
      <w:ind w:left="510" w:firstLine="0"/>
    </w:pPr>
    <w:rPr>
      <w:szCs w:val="24"/>
    </w:rPr>
  </w:style>
  <w:style w:type="paragraph" w:customStyle="1" w:styleId="P1wTABELIpoziom1numeracjiwtabeli">
    <w:name w:val="P1_w_TABELI – poziom 1 numeracji w tabeli"/>
    <w:basedOn w:val="PKTpunkt"/>
    <w:uiPriority w:val="24"/>
    <w:qFormat/>
    <w:rsid w:val="00923F69"/>
    <w:pPr>
      <w:ind w:left="397" w:hanging="397"/>
      <w:jc w:val="left"/>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23F69"/>
    <w:pPr>
      <w:ind w:left="0" w:firstLine="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23F6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23F6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23F69"/>
    <w:pPr>
      <w:ind w:left="1191"/>
    </w:pPr>
  </w:style>
  <w:style w:type="paragraph" w:customStyle="1" w:styleId="CZWSPPKTczwsplnapunktw">
    <w:name w:val="CZ_WSP_PKT – część wspólna punktów"/>
    <w:basedOn w:val="PKTpunkt"/>
    <w:next w:val="USTustnpkodeksu"/>
    <w:uiPriority w:val="16"/>
    <w:qFormat/>
    <w:rsid w:val="00923F69"/>
    <w:pPr>
      <w:ind w:left="0" w:firstLine="0"/>
    </w:pPr>
  </w:style>
  <w:style w:type="paragraph" w:customStyle="1" w:styleId="ODNONIKtreodnonika">
    <w:name w:val="ODNOŚNIK – treść odnośnika"/>
    <w:uiPriority w:val="19"/>
    <w:qFormat/>
    <w:rsid w:val="00923F69"/>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PKTODNONIKApunktodnonika">
    <w:name w:val="PKT_ODNOŚNIKA – punkt odnośnika"/>
    <w:basedOn w:val="ODNONIKtreodnonika"/>
    <w:uiPriority w:val="19"/>
    <w:qFormat/>
    <w:rsid w:val="00923F69"/>
    <w:pPr>
      <w:ind w:left="568"/>
    </w:pPr>
  </w:style>
  <w:style w:type="paragraph" w:customStyle="1" w:styleId="CZWSPPKTODNONIKAczwsppunkwodnonika">
    <w:name w:val="CZ_WSP_PKT_ODNOŚNIKA – część wsp. punków odnośnika"/>
    <w:basedOn w:val="PKTODNONIKApunktodnonika"/>
    <w:uiPriority w:val="21"/>
    <w:qFormat/>
    <w:rsid w:val="00923F69"/>
    <w:pPr>
      <w:ind w:left="284" w:firstLine="0"/>
    </w:pPr>
  </w:style>
  <w:style w:type="paragraph" w:customStyle="1" w:styleId="CZKSIGAoznaczenieiprzedmiotczcilubksigi">
    <w:name w:val="CZĘŚĆ(KSIĘGA) – oznaczenie i przedmiot części lub księgi"/>
    <w:next w:val="ARTartustawynprozporzdzenia"/>
    <w:uiPriority w:val="8"/>
    <w:qFormat/>
    <w:rsid w:val="00923F69"/>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DATAAKTUdatauchwalenialubwydaniaaktu">
    <w:name w:val="DATA_AKTU – data uchwalenia lub wydania aktu"/>
    <w:next w:val="Normalny"/>
    <w:uiPriority w:val="6"/>
    <w:qFormat/>
    <w:rsid w:val="00923F69"/>
    <w:pPr>
      <w:keepNext/>
      <w:suppressAutoHyphens/>
      <w:spacing w:before="120" w:after="120" w:line="360" w:lineRule="auto"/>
      <w:jc w:val="center"/>
    </w:pPr>
    <w:rPr>
      <w:rFonts w:ascii="Times" w:eastAsiaTheme="minorEastAsia" w:hAnsi="Times" w:cs="Arial"/>
      <w:bCs/>
      <w:sz w:val="24"/>
      <w:szCs w:val="24"/>
      <w:lang w:eastAsia="pl-PL"/>
    </w:rPr>
  </w:style>
  <w:style w:type="paragraph" w:styleId="Nagwek">
    <w:name w:val="header"/>
    <w:basedOn w:val="Normalny"/>
    <w:link w:val="NagwekZnak"/>
    <w:uiPriority w:val="99"/>
    <w:semiHidden/>
    <w:rsid w:val="00923F6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923F69"/>
    <w:rPr>
      <w:rFonts w:ascii="Times" w:eastAsia="Times New Roman" w:hAnsi="Times" w:cs="Times New Roman"/>
      <w:kern w:val="1"/>
      <w:sz w:val="24"/>
      <w:szCs w:val="24"/>
      <w:lang w:eastAsia="ar-SA"/>
    </w:rPr>
  </w:style>
  <w:style w:type="character" w:customStyle="1" w:styleId="Nagwek1Znak">
    <w:name w:val="Nagłówek 1 Znak"/>
    <w:basedOn w:val="Domylnaczcionkaakapitu"/>
    <w:link w:val="Nagwek1"/>
    <w:uiPriority w:val="99"/>
    <w:rsid w:val="00923F69"/>
    <w:rPr>
      <w:rFonts w:asciiTheme="majorHAnsi" w:eastAsiaTheme="majorEastAsia" w:hAnsiTheme="majorHAnsi" w:cstheme="majorBidi"/>
      <w:b/>
      <w:bCs/>
      <w:color w:val="365F91" w:themeColor="accent1" w:themeShade="BF"/>
      <w:kern w:val="1"/>
      <w:sz w:val="28"/>
      <w:szCs w:val="28"/>
      <w:lang w:eastAsia="ar-SA"/>
    </w:rPr>
  </w:style>
  <w:style w:type="paragraph" w:customStyle="1" w:styleId="OZNRODZAKTUtznustawalubrozporzdzenieiorganwydajcy">
    <w:name w:val="OZN_RODZ_AKTU – tzn. ustawa lub rozporządzenie i organ wydający"/>
    <w:next w:val="DATAAKTUdatauchwalenialubwydaniaaktu"/>
    <w:uiPriority w:val="5"/>
    <w:qFormat/>
    <w:rsid w:val="00923F6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23F69"/>
    <w:pPr>
      <w:jc w:val="right"/>
    </w:p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23F69"/>
    <w:pPr>
      <w:jc w:val="left"/>
    </w:pPr>
  </w:style>
  <w:style w:type="paragraph" w:customStyle="1" w:styleId="NIEARTTEKSTtekstnieartykuowanynppreambua">
    <w:name w:val="NIEART_TEKST – tekst nieartykułowany (np. preambuła)"/>
    <w:basedOn w:val="ARTartustawynprozporzdzenia"/>
    <w:next w:val="ARTartustawynprozporzdzenia"/>
    <w:uiPriority w:val="4"/>
    <w:qFormat/>
    <w:rsid w:val="00923F69"/>
    <w:rPr>
      <w:bCs/>
    </w:rPr>
  </w:style>
  <w:style w:type="paragraph" w:customStyle="1" w:styleId="nowela">
    <w:name w:val="nowela"/>
    <w:basedOn w:val="ARTartustawynprozporzdzenia"/>
    <w:uiPriority w:val="99"/>
    <w:semiHidden/>
    <w:qFormat/>
    <w:rsid w:val="00923F69"/>
    <w:pPr>
      <w:spacing w:before="60"/>
      <w:ind w:left="510"/>
    </w:pPr>
  </w:style>
  <w:style w:type="character" w:styleId="Odwoaniedokomentarza">
    <w:name w:val="annotation reference"/>
    <w:basedOn w:val="Domylnaczcionkaakapitu"/>
    <w:uiPriority w:val="99"/>
    <w:semiHidden/>
    <w:rsid w:val="00923F69"/>
    <w:rPr>
      <w:sz w:val="16"/>
      <w:szCs w:val="16"/>
    </w:rPr>
  </w:style>
  <w:style w:type="character" w:styleId="Odwoanieprzypisudolnego">
    <w:name w:val="footnote reference"/>
    <w:uiPriority w:val="99"/>
    <w:semiHidden/>
    <w:rsid w:val="00923F69"/>
    <w:rPr>
      <w:rFonts w:cs="Times New Roman"/>
      <w:vertAlign w:val="superscript"/>
    </w:rPr>
  </w:style>
  <w:style w:type="paragraph" w:customStyle="1" w:styleId="OZNPROJEKTUwskazaniedatylubwersjiprojektu">
    <w:name w:val="OZN_PROJEKTU – wskazanie daty lub wersji projektu"/>
    <w:next w:val="OZNRODZAKTUtznustawalubrozporzdzenieiorganwydajcy"/>
    <w:uiPriority w:val="5"/>
    <w:qFormat/>
    <w:rsid w:val="00923F69"/>
    <w:pPr>
      <w:spacing w:after="0" w:line="360" w:lineRule="auto"/>
      <w:jc w:val="right"/>
    </w:pPr>
    <w:rPr>
      <w:rFonts w:ascii="Times New Roman" w:eastAsiaTheme="minorEastAsia" w:hAnsi="Times New Roman" w:cs="Arial"/>
      <w:sz w:val="24"/>
      <w:szCs w:val="20"/>
      <w:u w:val="single"/>
      <w:lang w:eastAsia="pl-PL"/>
    </w:rPr>
  </w:style>
  <w:style w:type="paragraph" w:customStyle="1" w:styleId="P2wTABELIpoziom2numeracjiwtabeli">
    <w:name w:val="P2_w_TABELI – poziom 2 numeracji w tabeli"/>
    <w:basedOn w:val="P1wTABELIpoziom1numeracjiwtabeli"/>
    <w:uiPriority w:val="24"/>
    <w:qFormat/>
    <w:rsid w:val="00923F69"/>
    <w:pPr>
      <w:ind w:left="794"/>
    </w:pPr>
  </w:style>
  <w:style w:type="paragraph" w:customStyle="1" w:styleId="P3wTABELIpoziom3numeracjiwtabeli">
    <w:name w:val="P3_w_TABELI – poziom 3 numeracji w tabeli"/>
    <w:basedOn w:val="P2wTABELIpoziom2numeracjiwtabeli"/>
    <w:uiPriority w:val="24"/>
    <w:qFormat/>
    <w:rsid w:val="00923F69"/>
    <w:pPr>
      <w:ind w:left="1191"/>
    </w:pPr>
  </w:style>
  <w:style w:type="paragraph" w:customStyle="1" w:styleId="P4wTABELIpoziom4numeracjiwtabeli">
    <w:name w:val="P4_w_TABELI – poziom 4 numeracji w tabeli"/>
    <w:basedOn w:val="P3wTABELIpoziom3numeracjiwtabeli"/>
    <w:uiPriority w:val="24"/>
    <w:qFormat/>
    <w:rsid w:val="00923F69"/>
    <w:pPr>
      <w:ind w:left="1588"/>
    </w:pPr>
  </w:style>
  <w:style w:type="paragraph" w:customStyle="1" w:styleId="ROZDZODDZOZNoznaczenierozdziauluboddziau">
    <w:name w:val="ROZDZ(ODDZ)_OZN – oznaczenie rozdziału lub oddziału"/>
    <w:next w:val="ARTartustawynprozporzdzenia"/>
    <w:uiPriority w:val="10"/>
    <w:qFormat/>
    <w:rsid w:val="00923F69"/>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923F69"/>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SKARNsankcjakarnawszczeglnociwKodeksiekarnym">
    <w:name w:val="S_KARN – sankcja karna w szczególności w Kodeksie karnym"/>
    <w:basedOn w:val="USTustnpkodeksu"/>
    <w:next w:val="ARTartustawynprozporzdzenia"/>
    <w:uiPriority w:val="18"/>
    <w:qFormat/>
    <w:rsid w:val="00923F69"/>
    <w:pPr>
      <w:ind w:left="510" w:firstLine="0"/>
    </w:pPr>
  </w:style>
  <w:style w:type="paragraph" w:styleId="Stopka">
    <w:name w:val="footer"/>
    <w:basedOn w:val="Normalny"/>
    <w:link w:val="StopkaZnak"/>
    <w:uiPriority w:val="99"/>
    <w:rsid w:val="00923F6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923F69"/>
    <w:rPr>
      <w:rFonts w:ascii="Times" w:eastAsia="Times New Roman" w:hAnsi="Times" w:cs="Times New Roman"/>
      <w:kern w:val="1"/>
      <w:sz w:val="24"/>
      <w:szCs w:val="24"/>
      <w:lang w:eastAsia="ar-SA"/>
    </w:rPr>
  </w:style>
  <w:style w:type="paragraph" w:styleId="Tekstdymka">
    <w:name w:val="Balloon Text"/>
    <w:basedOn w:val="Normalny"/>
    <w:link w:val="TekstdymkaZnak"/>
    <w:rsid w:val="00923F6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rsid w:val="00923F69"/>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923F6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923F69"/>
    <w:rPr>
      <w:rFonts w:ascii="Times" w:eastAsia="Times New Roman" w:hAnsi="Times" w:cs="Times New Roman"/>
      <w:sz w:val="24"/>
      <w:szCs w:val="24"/>
      <w:lang w:eastAsia="pl-PL"/>
    </w:rPr>
  </w:style>
  <w:style w:type="paragraph" w:customStyle="1" w:styleId="TEKSTwporozumieniu">
    <w:name w:val="TEKST_&quot;w_porozumieniu:&quot;"/>
    <w:next w:val="NAZORGWPOROZUMIENIUnazwaorganuwporozumieniuzktrymaktjestwydawany"/>
    <w:uiPriority w:val="29"/>
    <w:qFormat/>
    <w:rsid w:val="00923F69"/>
    <w:pPr>
      <w:spacing w:after="0" w:line="360" w:lineRule="auto"/>
    </w:pPr>
    <w:rPr>
      <w:rFonts w:ascii="Times New Roman" w:eastAsiaTheme="minorEastAsia" w:hAnsi="Times New Roman" w:cs="Arial"/>
      <w:b/>
      <w:sz w:val="24"/>
      <w:szCs w:val="20"/>
      <w:lang w:eastAsia="pl-PL"/>
    </w:rPr>
  </w:style>
  <w:style w:type="paragraph" w:customStyle="1" w:styleId="TEKSTWTABELItekstzwcitympierwwierszem">
    <w:name w:val="TEKST_W_TABELI – tekst z wciętym pierw. wierszem"/>
    <w:basedOn w:val="USTustnpkodeksu"/>
    <w:uiPriority w:val="27"/>
    <w:qFormat/>
    <w:rsid w:val="00923F69"/>
    <w:rPr>
      <w:kern w:val="24"/>
    </w:rPr>
  </w:style>
  <w:style w:type="paragraph" w:styleId="Tematkomentarza">
    <w:name w:val="annotation subject"/>
    <w:basedOn w:val="Tekstkomentarza"/>
    <w:next w:val="Tekstkomentarza"/>
    <w:link w:val="TematkomentarzaZnak"/>
    <w:uiPriority w:val="99"/>
    <w:semiHidden/>
    <w:rsid w:val="00923F69"/>
    <w:rPr>
      <w:b/>
      <w:bCs/>
    </w:rPr>
  </w:style>
  <w:style w:type="character" w:customStyle="1" w:styleId="TematkomentarzaZnak">
    <w:name w:val="Temat komentarza Znak"/>
    <w:basedOn w:val="TekstkomentarzaZnak"/>
    <w:link w:val="Tematkomentarza"/>
    <w:uiPriority w:val="99"/>
    <w:semiHidden/>
    <w:rsid w:val="00923F69"/>
    <w:rPr>
      <w:rFonts w:ascii="Times" w:eastAsia="Times New Roman" w:hAnsi="Times" w:cs="Times New Roman"/>
      <w:b/>
      <w:bCs/>
      <w:sz w:val="24"/>
      <w:szCs w:val="24"/>
      <w:lang w:eastAsia="pl-PL"/>
    </w:rPr>
  </w:style>
  <w:style w:type="paragraph" w:customStyle="1" w:styleId="TYTDZOZNoznaczenietytuulubdziau">
    <w:name w:val="TYT(DZ)_OZN – oznaczenie tytułu lub działu"/>
    <w:next w:val="Normalny"/>
    <w:uiPriority w:val="9"/>
    <w:qFormat/>
    <w:rsid w:val="00923F69"/>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TYTDZPRZEDMprzedmiotregulacjitytuulubdziau">
    <w:name w:val="TYT(DZ)_PRZEDM – przedmiot regulacji tytułu lub działu"/>
    <w:next w:val="ARTartustawynprozporzdzenia"/>
    <w:uiPriority w:val="9"/>
    <w:qFormat/>
    <w:rsid w:val="00923F69"/>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TYTTABELItytutabeli">
    <w:name w:val="TYT_TABELI – tytuł tabeli"/>
    <w:basedOn w:val="TYTDZOZNoznaczenietytuulubdziau"/>
    <w:uiPriority w:val="22"/>
    <w:qFormat/>
    <w:rsid w:val="00923F69"/>
    <w:rPr>
      <w:b/>
    </w:rPr>
  </w:style>
  <w:style w:type="paragraph" w:customStyle="1" w:styleId="TYTUAKTUprzedmiotregulacjiustawylubrozporzdzenia">
    <w:name w:val="TYTUŁ_AKTU – przedmiot regulacji ustawy lub rozporządzenia"/>
    <w:next w:val="ARTartustawynprozporzdzenia"/>
    <w:uiPriority w:val="6"/>
    <w:qFormat/>
    <w:rsid w:val="00923F69"/>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WMATFIZCHEMwzorymatfizlubchemiichlegendy">
    <w:name w:val="W_MAT(FIZ|CHEM) – wzory mat. (fiz. lub chem.) i ich legendy"/>
    <w:uiPriority w:val="22"/>
    <w:qFormat/>
    <w:rsid w:val="00923F69"/>
    <w:pPr>
      <w:spacing w:after="0" w:line="360" w:lineRule="auto"/>
      <w:ind w:left="986" w:hanging="476"/>
      <w:jc w:val="both"/>
    </w:pPr>
    <w:rPr>
      <w:rFonts w:ascii="Times New Roman" w:eastAsiaTheme="minorEastAsia" w:hAnsi="Times New Roman" w:cs="Arial"/>
      <w:sz w:val="24"/>
      <w:szCs w:val="20"/>
      <w:lang w:eastAsia="pl-PL"/>
    </w:rPr>
  </w:style>
  <w:style w:type="paragraph" w:customStyle="1" w:styleId="Z2TIRzmpodwtirartykuempunktem">
    <w:name w:val="Z/2TIR – zm. podw. tir. artykułem (punktem)"/>
    <w:basedOn w:val="TIRtiret"/>
    <w:uiPriority w:val="73"/>
    <w:qFormat/>
    <w:rsid w:val="00923F69"/>
    <w:pPr>
      <w:ind w:left="907"/>
    </w:pPr>
  </w:style>
  <w:style w:type="paragraph" w:customStyle="1" w:styleId="Z2TIRwPKTzmpodwtirwpktartykuempunktem">
    <w:name w:val="Z/2TIR_w_PKT – zm. podw. tir. w pkt artykułem (punktem)"/>
    <w:basedOn w:val="TIRtiret"/>
    <w:next w:val="Normalny"/>
    <w:uiPriority w:val="74"/>
    <w:qFormat/>
    <w:rsid w:val="00923F69"/>
    <w:pPr>
      <w:ind w:left="2291"/>
    </w:pPr>
  </w:style>
  <w:style w:type="paragraph" w:customStyle="1" w:styleId="Z2TIRwLITzmpodwtirwlitartykuempunktem">
    <w:name w:val="Z/2TIR_w_LIT – zm. podw. tir. w lit. artykułem (punktem)"/>
    <w:basedOn w:val="Z2TIRwPKTzmpodwtirwpktartykuempunktem"/>
    <w:uiPriority w:val="74"/>
    <w:qFormat/>
    <w:rsid w:val="00923F69"/>
    <w:pPr>
      <w:ind w:left="1780"/>
    </w:pPr>
  </w:style>
  <w:style w:type="paragraph" w:customStyle="1" w:styleId="Z2TIRwTIRzmpodwtirwtirartykuempunktem">
    <w:name w:val="Z/2TIR_w_TIR – zm. podw. tir. w tir. artykułem (punktem)"/>
    <w:basedOn w:val="Z2TIRwLITzmpodwtirwlitartykuempunktem"/>
    <w:uiPriority w:val="73"/>
    <w:qFormat/>
    <w:rsid w:val="00923F69"/>
    <w:pPr>
      <w:ind w:left="1304"/>
    </w:pPr>
  </w:style>
  <w:style w:type="paragraph" w:customStyle="1" w:styleId="ZARTzmartartykuempunktem">
    <w:name w:val="Z/ART(§) – zm. art. (§) artykułem (punktem)"/>
    <w:basedOn w:val="ARTartustawynprozporzdzenia"/>
    <w:uiPriority w:val="30"/>
    <w:qFormat/>
    <w:rsid w:val="00923F69"/>
    <w:pPr>
      <w:spacing w:before="0"/>
      <w:ind w:left="510"/>
    </w:pPr>
  </w:style>
  <w:style w:type="paragraph" w:customStyle="1" w:styleId="ZCYTwARTUSTzmcytatuwrazzartlubust">
    <w:name w:val="Z/CYT_w_ART(§|UST) – zm. cytatu wraz z art. (§ lub ust.)"/>
    <w:basedOn w:val="CYTcytatnpprzysigi"/>
    <w:uiPriority w:val="39"/>
    <w:qFormat/>
    <w:rsid w:val="00923F69"/>
    <w:pPr>
      <w:ind w:left="1021"/>
    </w:pPr>
  </w:style>
  <w:style w:type="paragraph" w:customStyle="1" w:styleId="ZCZWSPPKTzmczciwsppktartykuempunktem">
    <w:name w:val="Z/CZ_WSP_PKT – zm. części wsp. pkt artykułem (punktem)"/>
    <w:basedOn w:val="CZWSPPKTczwsplnapunktw"/>
    <w:next w:val="ZARTzmartartykuempunktem"/>
    <w:uiPriority w:val="34"/>
    <w:qFormat/>
    <w:rsid w:val="00923F69"/>
    <w:pPr>
      <w:ind w:left="51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23F69"/>
  </w:style>
  <w:style w:type="paragraph" w:customStyle="1" w:styleId="ZCZWSP2TIRwLITzmczciwsppodwtirwlitartykuempunktem">
    <w:name w:val="Z/CZ_WSP_2TIR_w_LIT – zm. części wsp. podw. tir. w lit. artykułem (punktem)"/>
    <w:basedOn w:val="Z2TIRwLITzmpodwtirwlitartykuempunktem"/>
    <w:next w:val="Normalny"/>
    <w:uiPriority w:val="75"/>
    <w:qFormat/>
    <w:rsid w:val="00923F69"/>
    <w:pPr>
      <w:ind w:left="1383" w:firstLine="0"/>
    </w:pPr>
  </w:style>
  <w:style w:type="paragraph" w:customStyle="1" w:styleId="ZCZWSP2TIRwPKTzmczciwsppodwtirwpktartykuempunktem">
    <w:name w:val="Z/CZ_WSP_2TIR_w_PKT – zm. części wsp. podw. tir. w pkt artykułem (punktem)"/>
    <w:basedOn w:val="Z2TIRwPKTzmpodwtirwpktartykuempunktem"/>
    <w:next w:val="Normalny"/>
    <w:uiPriority w:val="75"/>
    <w:qFormat/>
    <w:rsid w:val="00923F69"/>
    <w:pPr>
      <w:ind w:left="1894" w:firstLine="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23F69"/>
    <w:pPr>
      <w:ind w:left="907" w:firstLine="0"/>
    </w:pPr>
  </w:style>
  <w:style w:type="paragraph" w:customStyle="1" w:styleId="ZCZWSPLITzmczciwsplitartykuempunktem">
    <w:name w:val="Z/CZ_WSP_LIT – zm. części wsp. lit. artykułem (punktem)"/>
    <w:basedOn w:val="ZCZWSPPKTzmczciwsppktartykuempunktem"/>
    <w:next w:val="PKTpunkt"/>
    <w:uiPriority w:val="35"/>
    <w:qFormat/>
    <w:rsid w:val="00923F69"/>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23F69"/>
    <w:pPr>
      <w:ind w:left="1021"/>
    </w:pPr>
  </w:style>
  <w:style w:type="paragraph" w:customStyle="1" w:styleId="ZODNONIKAzmtekstuodnonikaartykuempunktem">
    <w:name w:val="Z/ODNOŚNIKA – zm. tekstu odnośnika artykułem (punktem)"/>
    <w:basedOn w:val="ODNONIKtreodnonika"/>
    <w:uiPriority w:val="39"/>
    <w:qFormat/>
    <w:rsid w:val="00923F69"/>
    <w:pPr>
      <w:spacing w:line="360" w:lineRule="auto"/>
      <w:ind w:left="907" w:hanging="397"/>
    </w:pPr>
    <w:rPr>
      <w:sz w:val="24"/>
    </w:rPr>
  </w:style>
  <w:style w:type="paragraph" w:customStyle="1" w:styleId="ZPKTODNONIKAzmpktodnonikaartykuempunktem">
    <w:name w:val="Z/PKT_ODNOŚNIKA – zm. pkt odnośnika artykułem (punktem)"/>
    <w:basedOn w:val="ZODNONIKAzmtekstuodnonikaartykuempunktem"/>
    <w:uiPriority w:val="39"/>
    <w:qFormat/>
    <w:rsid w:val="00923F69"/>
  </w:style>
  <w:style w:type="paragraph" w:customStyle="1" w:styleId="ZCZWSPODNONIKA-zmczciwsppktodnonikaartykuempunktem">
    <w:name w:val="Z/CZ_WSP_ODNOŚNIKA - zm. części wsp. pkt odnośnika artykułem (punktem)"/>
    <w:basedOn w:val="ZPKTODNONIKAzmpktodnonikaartykuempunktem"/>
    <w:next w:val="PKTpunkt"/>
    <w:uiPriority w:val="42"/>
    <w:qFormat/>
    <w:rsid w:val="00923F69"/>
    <w:pPr>
      <w:ind w:left="510" w:firstLine="0"/>
    </w:pPr>
  </w:style>
  <w:style w:type="paragraph" w:customStyle="1" w:styleId="ZCZWSPTIRzmczciwsptirartykuempunktem">
    <w:name w:val="Z/CZ_WSP_TIR – zm. części wsp. tir. artykułem (punktem)"/>
    <w:basedOn w:val="ZCZWSPPKTzmczciwsppktartykuempunktem"/>
    <w:next w:val="PKTpunkt"/>
    <w:uiPriority w:val="35"/>
    <w:qFormat/>
    <w:rsid w:val="00923F69"/>
  </w:style>
  <w:style w:type="paragraph" w:customStyle="1" w:styleId="ZCZWSPTIRwLITzmczciwsptirwlitartykuempunktem">
    <w:name w:val="Z/CZ_WSP_TIR_w_LIT – zm. części wsp. tir. w lit. artykułem (punktem)"/>
    <w:basedOn w:val="CZWSPTIRczwsplnatiret"/>
    <w:next w:val="Normalny"/>
    <w:uiPriority w:val="36"/>
    <w:qFormat/>
    <w:rsid w:val="00923F69"/>
  </w:style>
  <w:style w:type="paragraph" w:customStyle="1" w:styleId="ZCZWSPTIRwPKTzmczciwsptirwpktartykuempunktem">
    <w:name w:val="Z/CZ_WSP_TIR_w_PKT – zm. części wsp. tir. w pkt artykułem (punktem)"/>
    <w:basedOn w:val="CZWSPTIRczwsplnatiret"/>
    <w:next w:val="Normalny"/>
    <w:uiPriority w:val="36"/>
    <w:qFormat/>
    <w:rsid w:val="00923F69"/>
    <w:pPr>
      <w:ind w:left="1497"/>
    </w:pPr>
  </w:style>
  <w:style w:type="paragraph" w:customStyle="1" w:styleId="ZCZCIKSIGIzmozniprzedmczciksigiartykuempunktem">
    <w:name w:val="Z/CZĘŚCI(KSIĘGI) – zm. ozn. i przedm. części (księgi) artykułem (punktem)"/>
    <w:basedOn w:val="CZKSIGAoznaczenieiprzedmiotczcilubksigi"/>
    <w:uiPriority w:val="28"/>
    <w:qFormat/>
    <w:rsid w:val="00923F69"/>
    <w:pPr>
      <w:ind w:left="510"/>
    </w:pPr>
    <w:rPr>
      <w:b w:val="0"/>
    </w:rPr>
  </w:style>
  <w:style w:type="paragraph" w:customStyle="1" w:styleId="ZFRAGzmfragmentunpzdaniaartykuempunktem">
    <w:name w:val="Z/FRAG – zm. fragmentu (np. zdania) artykułem (punktem)"/>
    <w:basedOn w:val="ZARTzmartartykuempunktem"/>
    <w:next w:val="PKTpunkt"/>
    <w:uiPriority w:val="36"/>
    <w:qFormat/>
    <w:rsid w:val="00923F69"/>
    <w:pPr>
      <w:ind w:firstLine="0"/>
    </w:pPr>
    <w:rPr>
      <w:rFonts w:ascii="Times New Roman" w:hAnsi="Times New Roman"/>
    </w:rPr>
  </w:style>
  <w:style w:type="paragraph" w:customStyle="1" w:styleId="ZLITzmlitartykuempunktem">
    <w:name w:val="Z/LIT – zm. lit. artykułem (punktem)"/>
    <w:basedOn w:val="LITlitera"/>
    <w:uiPriority w:val="32"/>
    <w:qFormat/>
    <w:rsid w:val="00923F69"/>
  </w:style>
  <w:style w:type="paragraph" w:customStyle="1" w:styleId="ZLITwPKTzmlitwpktartykuempunktem">
    <w:name w:val="Z/LIT_w_PKT – zm. lit. w pkt artykułem (punktem)"/>
    <w:basedOn w:val="LITlitera"/>
    <w:uiPriority w:val="32"/>
    <w:qFormat/>
    <w:rsid w:val="00923F69"/>
    <w:pPr>
      <w:ind w:left="1497"/>
    </w:pPr>
  </w:style>
  <w:style w:type="paragraph" w:customStyle="1" w:styleId="ZNIEARTTEKSTzmtekstunieartykuowanego">
    <w:name w:val="Z/NIEART_TEKST – zm. tekstu nieartykułowanego"/>
    <w:basedOn w:val="NIEARTTEKSTtekstnieartykuowanynppreambua"/>
    <w:uiPriority w:val="37"/>
    <w:qFormat/>
    <w:rsid w:val="00923F69"/>
    <w:pPr>
      <w:ind w:left="510"/>
    </w:pPr>
  </w:style>
  <w:style w:type="paragraph" w:customStyle="1" w:styleId="ZPKTzmpktartykuempunktem">
    <w:name w:val="Z/PKT – zm. pkt artykułem (punktem)"/>
    <w:basedOn w:val="PKTpunkt"/>
    <w:uiPriority w:val="31"/>
    <w:qFormat/>
    <w:rsid w:val="00923F69"/>
    <w:pPr>
      <w:ind w:left="1020"/>
    </w:p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23F69"/>
    <w:pPr>
      <w:ind w:left="1304"/>
    </w:pPr>
  </w:style>
  <w:style w:type="paragraph" w:customStyle="1" w:styleId="ZROZDZODDZOZNzmoznrozdzoddzartykuempunktem">
    <w:name w:val="Z/ROZDZ(ODDZ)_OZN – zm. ozn. rozdz. (oddz.) artykułem (punktem)"/>
    <w:next w:val="Normalny"/>
    <w:uiPriority w:val="29"/>
    <w:qFormat/>
    <w:rsid w:val="00923F69"/>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23F69"/>
    <w:pPr>
      <w:ind w:left="510"/>
    </w:pPr>
    <w:rPr>
      <w:b w:val="0"/>
    </w:r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23F69"/>
    <w:pPr>
      <w:ind w:left="1021"/>
    </w:pPr>
  </w:style>
  <w:style w:type="paragraph" w:customStyle="1" w:styleId="ZTIRzmtirartykuempunktem">
    <w:name w:val="Z/TIR – zm. tir. artykułem (punktem)"/>
    <w:basedOn w:val="TIRtiret"/>
    <w:next w:val="PKTpunkt"/>
    <w:uiPriority w:val="33"/>
    <w:qFormat/>
    <w:rsid w:val="00923F69"/>
    <w:pPr>
      <w:ind w:left="907"/>
    </w:pPr>
  </w:style>
  <w:style w:type="paragraph" w:customStyle="1" w:styleId="ZTIRwLITzmtirwlitartykuempunktem">
    <w:name w:val="Z/TIR_w_LIT – zm. tir. w lit. artykułem (punktem)"/>
    <w:basedOn w:val="TIRtiret"/>
    <w:uiPriority w:val="33"/>
    <w:qFormat/>
    <w:rsid w:val="00923F69"/>
  </w:style>
  <w:style w:type="paragraph" w:customStyle="1" w:styleId="ZTIRwPKTzmtirwpktartykuempunktem">
    <w:name w:val="Z/TIR_w_PKT – zm. tir. w pkt artykułem (punktem)"/>
    <w:basedOn w:val="TIRtiret"/>
    <w:uiPriority w:val="33"/>
    <w:qFormat/>
    <w:rsid w:val="00923F69"/>
    <w:pPr>
      <w:ind w:left="1894"/>
    </w:pPr>
  </w:style>
  <w:style w:type="paragraph" w:customStyle="1" w:styleId="ZTYTDZOZNzmozntytuudziauartykuempunktem">
    <w:name w:val="Z/TYT(DZ)_OZN – zm. ozn. tytułu (działu) artykułem (punktem)"/>
    <w:basedOn w:val="TYTDZOZNoznaczenietytuulubdziau"/>
    <w:next w:val="Normalny"/>
    <w:uiPriority w:val="28"/>
    <w:qFormat/>
    <w:rsid w:val="00923F6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23F69"/>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USTzmustartykuempunktem">
    <w:name w:val="Z/UST(§) – zm. ust. (§) artykułem (punktem)"/>
    <w:basedOn w:val="ZARTzmartartykuempunktem"/>
    <w:uiPriority w:val="30"/>
    <w:qFormat/>
    <w:rsid w:val="00923F69"/>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923F69"/>
    <w:pPr>
      <w:ind w:left="1497"/>
    </w:pPr>
  </w:style>
  <w:style w:type="paragraph" w:customStyle="1" w:styleId="Z2TIR2TIRzmpodwtirpodwjnymtiret">
    <w:name w:val="Z_2TIR/2TIR – zm. podw. tir. podwójnym tiret"/>
    <w:basedOn w:val="TIRtiret"/>
    <w:uiPriority w:val="85"/>
    <w:qFormat/>
    <w:rsid w:val="00923F69"/>
    <w:pPr>
      <w:ind w:left="2177"/>
    </w:pPr>
  </w:style>
  <w:style w:type="paragraph" w:customStyle="1" w:styleId="Z2TIR2TIRwLITzmpodwtirwlitpodwjnymtiret">
    <w:name w:val="Z_2TIR/2TIR_w_LIT – zm. podw. tir. w lit. podwójnym tiret"/>
    <w:basedOn w:val="TIRtiret"/>
    <w:uiPriority w:val="86"/>
    <w:qFormat/>
    <w:rsid w:val="00923F69"/>
    <w:pPr>
      <w:ind w:left="3051"/>
    </w:pPr>
  </w:style>
  <w:style w:type="paragraph" w:customStyle="1" w:styleId="Z2TIR2TIRwTIRzmpodwtirwtirpodwjnymtiret">
    <w:name w:val="Z_2TIR/2TIR_w_TIR – zm. podw. tir. w tir. podwójnym tiret"/>
    <w:basedOn w:val="TIRtiret"/>
    <w:uiPriority w:val="85"/>
    <w:qFormat/>
    <w:rsid w:val="00923F69"/>
    <w:pPr>
      <w:ind w:left="2574"/>
    </w:pPr>
  </w:style>
  <w:style w:type="paragraph" w:customStyle="1" w:styleId="Z2TIRCZWSPLITzmczciwsplitpodwjnymtiret">
    <w:name w:val="Z_2TIR/CZ_WSP_LIT – zm. części wsp. lit. podwójnym tiret"/>
    <w:basedOn w:val="CZWSPTIRczwsplnatiret"/>
    <w:next w:val="2TIRpodwjnytiret"/>
    <w:uiPriority w:val="87"/>
    <w:qFormat/>
    <w:rsid w:val="00923F69"/>
    <w:pPr>
      <w:ind w:left="1780"/>
    </w:pPr>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23F69"/>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23F69"/>
    <w:pPr>
      <w:ind w:left="265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23F69"/>
    <w:pPr>
      <w:ind w:left="2177"/>
    </w:pPr>
  </w:style>
  <w:style w:type="paragraph" w:customStyle="1" w:styleId="Z2TIRCZWSPTIRzmczciwsptirpodwjnymtiret">
    <w:name w:val="Z_2TIR/CZ_WSP_TIR – zm. części wsp. tir. podwójnym tiret"/>
    <w:basedOn w:val="Z2TIRCZWSPLITzmczciwsplitpodwjnymtiret"/>
    <w:next w:val="2TIRpodwjnytiret"/>
    <w:uiPriority w:val="87"/>
    <w:qFormat/>
    <w:rsid w:val="00923F69"/>
  </w:style>
  <w:style w:type="paragraph" w:customStyle="1" w:styleId="Z2TIRCZWSPTIRwLITzmczciwsptirwlitpodwjnymtiret">
    <w:name w:val="Z_2TIR/CZ_WSP_TIR_w_LIT – zm. części wsp. tir. w lit. podwójnym tiret"/>
    <w:basedOn w:val="CZWSPTIRczwsplnatiret"/>
    <w:next w:val="2TIRpodwjnytiret"/>
    <w:uiPriority w:val="87"/>
    <w:qFormat/>
    <w:rsid w:val="00923F69"/>
    <w:pPr>
      <w:ind w:left="2257"/>
    </w:pPr>
  </w:style>
  <w:style w:type="paragraph" w:customStyle="1" w:styleId="Z2TIRLITzmlitpodwjnymtiret">
    <w:name w:val="Z_2TIR/LIT – zm. lit. podwójnym tiret"/>
    <w:basedOn w:val="LITlitera"/>
    <w:uiPriority w:val="84"/>
    <w:qFormat/>
    <w:rsid w:val="00923F69"/>
    <w:pPr>
      <w:ind w:left="2256"/>
    </w:pPr>
  </w:style>
  <w:style w:type="paragraph" w:customStyle="1" w:styleId="Z2TIRTIRzmtirpodwjnymtiret">
    <w:name w:val="Z_2TIR/TIR – zm. tir. podwójnym tiret"/>
    <w:basedOn w:val="TIRtiret"/>
    <w:uiPriority w:val="84"/>
    <w:qFormat/>
    <w:rsid w:val="00923F69"/>
    <w:pPr>
      <w:ind w:left="2177"/>
    </w:pPr>
  </w:style>
  <w:style w:type="paragraph" w:customStyle="1" w:styleId="Z2TIRTIRwLITzmtirwlitpodwjnymtiret">
    <w:name w:val="Z_2TIR/TIR_w_LIT – zm. tir. w lit. podwójnym tiret"/>
    <w:basedOn w:val="TIRtiret"/>
    <w:uiPriority w:val="84"/>
    <w:qFormat/>
    <w:rsid w:val="00923F69"/>
    <w:pPr>
      <w:ind w:left="2654"/>
    </w:pPr>
  </w:style>
  <w:style w:type="paragraph" w:customStyle="1" w:styleId="ZLIT2TIRzmpodwtirliter">
    <w:name w:val="Z_LIT/2TIR – zm. podw. tir. literą"/>
    <w:basedOn w:val="TIRtiret"/>
    <w:uiPriority w:val="75"/>
    <w:qFormat/>
    <w:rsid w:val="00923F69"/>
  </w:style>
  <w:style w:type="paragraph" w:customStyle="1" w:styleId="ZLIT2TIRwTIRzmpodwtirwtirliter">
    <w:name w:val="Z_LIT/2TIR_w_TIR – zm. podw. tir. w tir. literą"/>
    <w:basedOn w:val="ZLIT2TIRzmpodwtirliter"/>
    <w:uiPriority w:val="75"/>
    <w:qFormat/>
    <w:rsid w:val="00923F69"/>
    <w:pPr>
      <w:ind w:left="1780"/>
    </w:pPr>
  </w:style>
  <w:style w:type="paragraph" w:customStyle="1" w:styleId="ZLIT2TIRwLITzmpodwtirwlitliter">
    <w:name w:val="Z_LIT/2TIR_w_LIT – zm. podw. tir. w lit. literą"/>
    <w:basedOn w:val="ZLIT2TIRwTIRzmpodwtirwtirliter"/>
    <w:uiPriority w:val="76"/>
    <w:qFormat/>
    <w:rsid w:val="00923F69"/>
    <w:pPr>
      <w:ind w:left="2257"/>
    </w:pPr>
  </w:style>
  <w:style w:type="paragraph" w:customStyle="1" w:styleId="ZLIT2TIRwPKTzmpodwtirwpktliter">
    <w:name w:val="Z_LIT/2TIR_w_PKT – zm. podw. tir. w pkt literą"/>
    <w:basedOn w:val="ZLIT2TIRwLITzmpodwtirwlitliter"/>
    <w:uiPriority w:val="76"/>
    <w:qFormat/>
    <w:rsid w:val="00923F69"/>
    <w:pPr>
      <w:ind w:left="2767"/>
    </w:pPr>
  </w:style>
  <w:style w:type="paragraph" w:customStyle="1" w:styleId="ZLITCYTwUSTzmcytatunpprzysigiwustlubliter">
    <w:name w:val="Z_LIT/CYT_w_UST(§) – zm. cytatu np. przysięgi w ust. lub § literą"/>
    <w:basedOn w:val="ZCYTwARTUSTzmcytatuwrazzartlubust"/>
    <w:uiPriority w:val="52"/>
    <w:qFormat/>
    <w:rsid w:val="00923F69"/>
    <w:pPr>
      <w:ind w:left="1497"/>
    </w:pPr>
  </w:style>
  <w:style w:type="paragraph" w:customStyle="1" w:styleId="ZLITCZWSPPKTzmczciwsppktliter">
    <w:name w:val="Z_LIT/CZ_WSP_PKT – zm. części wsp. pkt literą"/>
    <w:basedOn w:val="CZWSPLITczwsplnaliter"/>
    <w:next w:val="LITlitera"/>
    <w:uiPriority w:val="50"/>
    <w:qFormat/>
    <w:rsid w:val="00923F69"/>
    <w:pPr>
      <w:ind w:left="987"/>
    </w:pPr>
  </w:style>
  <w:style w:type="paragraph" w:customStyle="1" w:styleId="ZLITCZWSP2TIRzmczciwsppodwtirliter">
    <w:name w:val="Z_LIT/CZ_WSP_2TIR – zm. części wsp. podw. tir. literą"/>
    <w:basedOn w:val="ZLITCZWSPPKTzmczciwsppktliter"/>
    <w:next w:val="LITlitera"/>
    <w:uiPriority w:val="76"/>
    <w:qFormat/>
    <w:rsid w:val="00923F69"/>
  </w:style>
  <w:style w:type="paragraph" w:customStyle="1" w:styleId="ZLITCZWSP2TIRwLITzmczciwsppodwtirwlitliter">
    <w:name w:val="Z_LIT/CZ_WSP_2TIR_w_LIT – zm. części wsp. podw. tir. w lit. literą"/>
    <w:basedOn w:val="ZLIT2TIRwLITzmpodwtirwlitliter"/>
    <w:next w:val="LITlitera"/>
    <w:uiPriority w:val="77"/>
    <w:qFormat/>
    <w:rsid w:val="00923F6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23F69"/>
    <w:pPr>
      <w:ind w:left="2370" w:firstLine="0"/>
    </w:pPr>
  </w:style>
  <w:style w:type="paragraph" w:customStyle="1" w:styleId="ZLITCZWSP2TIRwTIRzmczciwsppodwtirwtirliter">
    <w:name w:val="Z_LIT/CZ_WSP_2TIR_w_TIR – zm. części wsp. podw. tir. w tir. literą"/>
    <w:basedOn w:val="ZLIT2TIRwTIRzmpodwtirwtirliter"/>
    <w:next w:val="LITlitera"/>
    <w:uiPriority w:val="76"/>
    <w:qFormat/>
    <w:rsid w:val="00923F69"/>
    <w:pPr>
      <w:ind w:left="1383" w:firstLine="0"/>
    </w:pPr>
  </w:style>
  <w:style w:type="paragraph" w:customStyle="1" w:styleId="ZLITCZWSPLITzmczciwsplitliter">
    <w:name w:val="Z_LIT/CZ_WSP_LIT – zm. części wsp. lit. literą"/>
    <w:basedOn w:val="ZLITCZWSPPKTzmczciwsppktliter"/>
    <w:next w:val="LITlitera"/>
    <w:uiPriority w:val="51"/>
    <w:qFormat/>
    <w:rsid w:val="00923F69"/>
  </w:style>
  <w:style w:type="paragraph" w:customStyle="1" w:styleId="ZLITCZWSPLITwPKTzmczciwsplitwpktliter">
    <w:name w:val="Z_LIT/CZ_WSP_LIT_w_PKT – zm. części wsp. lit. w pkt literą"/>
    <w:basedOn w:val="CZWSPLITczwsplnaliter"/>
    <w:next w:val="LITlitera"/>
    <w:uiPriority w:val="51"/>
    <w:qFormat/>
    <w:rsid w:val="00923F69"/>
    <w:pPr>
      <w:ind w:left="1497"/>
    </w:pPr>
  </w:style>
  <w:style w:type="paragraph" w:customStyle="1" w:styleId="ZLITCZWSPTIRzmczciwsptirliter">
    <w:name w:val="Z_LIT/CZ_WSP_TIR – zm. części wsp. tir. literą"/>
    <w:basedOn w:val="ZLITCZWSPPKTzmczciwsppktliter"/>
    <w:next w:val="LITlitera"/>
    <w:uiPriority w:val="51"/>
    <w:qFormat/>
    <w:rsid w:val="00923F69"/>
  </w:style>
  <w:style w:type="paragraph" w:customStyle="1" w:styleId="ZLITCZWSPTIRwLITzmczciwsptirwlitliter">
    <w:name w:val="Z_LIT/CZ_WSP_TIR_w_LIT – zm. części wsp. tir. w lit. literą"/>
    <w:basedOn w:val="CZWSPTIRczwsplnatiret"/>
    <w:next w:val="LITlitera"/>
    <w:uiPriority w:val="51"/>
    <w:qFormat/>
    <w:rsid w:val="00923F69"/>
    <w:pPr>
      <w:ind w:left="1463"/>
    </w:pPr>
  </w:style>
  <w:style w:type="paragraph" w:customStyle="1" w:styleId="ZLITCZWSPTIRwPKTzmczciwsptirwpktliter">
    <w:name w:val="Z_LIT/CZ_WSP_TIR_w_PKT – zm. części wsp. tir. w pkt literą"/>
    <w:basedOn w:val="CZWSPTIRczwsplnatiret"/>
    <w:next w:val="LITlitera"/>
    <w:uiPriority w:val="51"/>
    <w:qFormat/>
    <w:rsid w:val="00923F69"/>
    <w:pPr>
      <w:ind w:left="1973"/>
    </w:pPr>
  </w:style>
  <w:style w:type="paragraph" w:customStyle="1" w:styleId="ZLITUSTzmustliter">
    <w:name w:val="Z_LIT/UST(§) – zm. ust. (§) literą"/>
    <w:basedOn w:val="USTustnpkodeksu"/>
    <w:uiPriority w:val="46"/>
    <w:qFormat/>
    <w:rsid w:val="00923F69"/>
    <w:pPr>
      <w:ind w:left="987"/>
    </w:pPr>
  </w:style>
  <w:style w:type="paragraph" w:customStyle="1" w:styleId="ZLITFRAGzmlitfragmentunpzdanialiter">
    <w:name w:val="Z_LIT/FRAG – zm. lit. fragmentu (np. zdania) literą"/>
    <w:basedOn w:val="ZLITUSTzmustliter"/>
    <w:next w:val="LITlitera"/>
    <w:uiPriority w:val="52"/>
    <w:qFormat/>
    <w:rsid w:val="00923F69"/>
    <w:pPr>
      <w:ind w:firstLine="0"/>
    </w:pPr>
    <w:rPr>
      <w:rFonts w:ascii="Times New Roman" w:hAnsi="Times New Roman"/>
    </w:rPr>
  </w:style>
  <w:style w:type="paragraph" w:customStyle="1" w:styleId="ZLITLITzmlitliter">
    <w:name w:val="Z_LIT/LIT – zm. lit. literą"/>
    <w:basedOn w:val="LITlitera"/>
    <w:uiPriority w:val="48"/>
    <w:qFormat/>
    <w:rsid w:val="00923F69"/>
    <w:pPr>
      <w:ind w:left="1463"/>
    </w:pPr>
  </w:style>
  <w:style w:type="paragraph" w:customStyle="1" w:styleId="ZLITLITwPKTzmlitwpktliter">
    <w:name w:val="Z_LIT/LIT_w_PKT – zm. lit. w pkt literą"/>
    <w:basedOn w:val="LITlitera"/>
    <w:uiPriority w:val="48"/>
    <w:qFormat/>
    <w:rsid w:val="00923F69"/>
    <w:pPr>
      <w:ind w:left="1973"/>
    </w:pPr>
  </w:style>
  <w:style w:type="paragraph" w:customStyle="1" w:styleId="ZLITPKTzmpktliter">
    <w:name w:val="Z_LIT/PKT – zm. pkt literą"/>
    <w:basedOn w:val="PKTpunkt"/>
    <w:uiPriority w:val="47"/>
    <w:qFormat/>
    <w:rsid w:val="00923F69"/>
    <w:pPr>
      <w:ind w:left="1497"/>
    </w:pPr>
  </w:style>
  <w:style w:type="paragraph" w:customStyle="1" w:styleId="ZLITSKARNzmsankcjikarnejliter">
    <w:name w:val="Z_LIT/S_KARN – zm. sankcji karnej literą"/>
    <w:basedOn w:val="ZSKARNzmsankcjikarnejwszczeglnociwKodeksiekarnym"/>
    <w:uiPriority w:val="53"/>
    <w:qFormat/>
    <w:rsid w:val="00923F69"/>
    <w:pPr>
      <w:ind w:left="1497"/>
    </w:pPr>
  </w:style>
  <w:style w:type="paragraph" w:customStyle="1" w:styleId="ZLITTIRzmtirliter">
    <w:name w:val="Z_LIT/TIR – zm. tir. literą"/>
    <w:basedOn w:val="TIRtiret"/>
    <w:uiPriority w:val="49"/>
    <w:qFormat/>
    <w:rsid w:val="00923F69"/>
  </w:style>
  <w:style w:type="paragraph" w:customStyle="1" w:styleId="ZLITTIRwLITzmtirwlitliter">
    <w:name w:val="Z_LIT/TIR_w_LIT – zm. tir. w lit. literą"/>
    <w:basedOn w:val="TIRtiret"/>
    <w:uiPriority w:val="49"/>
    <w:qFormat/>
    <w:rsid w:val="00923F69"/>
    <w:pPr>
      <w:ind w:left="1860"/>
    </w:pPr>
  </w:style>
  <w:style w:type="paragraph" w:customStyle="1" w:styleId="ZLITTIRwPKTzmtirwpktliter">
    <w:name w:val="Z_LIT/TIR_w_PKT – zm. tir. w pkt literą"/>
    <w:basedOn w:val="TIRtiret"/>
    <w:uiPriority w:val="49"/>
    <w:qFormat/>
    <w:rsid w:val="00923F69"/>
    <w:pPr>
      <w:ind w:left="2370"/>
    </w:pPr>
  </w:style>
  <w:style w:type="paragraph" w:customStyle="1" w:styleId="ZTIR2TIRzmpodwtirtiret">
    <w:name w:val="Z_TIR/2TIR – zm. podw. tir. tiret"/>
    <w:basedOn w:val="TIRtiret"/>
    <w:uiPriority w:val="78"/>
    <w:qFormat/>
    <w:rsid w:val="00923F69"/>
    <w:pPr>
      <w:ind w:left="1780"/>
    </w:pPr>
  </w:style>
  <w:style w:type="paragraph" w:customStyle="1" w:styleId="ZTIR2TIRwLITzmpodwtirwlittiret">
    <w:name w:val="Z_TIR/2TIR_w_LIT – zm. podw. tir. w lit. tiret"/>
    <w:basedOn w:val="TIRtiret"/>
    <w:uiPriority w:val="79"/>
    <w:qFormat/>
    <w:rsid w:val="00923F69"/>
    <w:pPr>
      <w:ind w:left="2654"/>
    </w:pPr>
  </w:style>
  <w:style w:type="paragraph" w:customStyle="1" w:styleId="ZTIR2TIRwPKTzmpodwtirwpkttiret">
    <w:name w:val="Z_TIR/2TIR_w_PKT – zm. podw. tir. w pkt tiret"/>
    <w:basedOn w:val="ZTIR2TIRwLITzmpodwtirwlittiret"/>
    <w:uiPriority w:val="79"/>
    <w:qFormat/>
    <w:rsid w:val="00923F69"/>
    <w:pPr>
      <w:ind w:left="3164"/>
    </w:pPr>
  </w:style>
  <w:style w:type="paragraph" w:customStyle="1" w:styleId="ZTIR2TIRwTIRzmpodwtirwtirtiret">
    <w:name w:val="Z_TIR/2TIR_w_TIR – zm. podw. tir. w tir. tiret"/>
    <w:basedOn w:val="TIRtiret"/>
    <w:uiPriority w:val="78"/>
    <w:qFormat/>
    <w:rsid w:val="00923F69"/>
    <w:pPr>
      <w:ind w:left="2177"/>
    </w:pPr>
  </w:style>
  <w:style w:type="paragraph" w:customStyle="1" w:styleId="ZTIRCZWSP2TIRzmczciwsppodwtirtiret">
    <w:name w:val="Z_TIR/CZ_WSP_2TIR – zm. części wsp. podw. tir. tiret"/>
    <w:basedOn w:val="ZLITCZWSP2TIRzmczciwsppodwtirliter"/>
    <w:next w:val="TIRtiret"/>
    <w:uiPriority w:val="79"/>
    <w:qFormat/>
    <w:rsid w:val="00923F69"/>
  </w:style>
  <w:style w:type="paragraph" w:customStyle="1" w:styleId="ZTIRCZWSP2TIRwLITzmczciwsppodwtirwlittiret">
    <w:name w:val="Z_TIR/CZ_WSP_2TIR_w_LIT – zm. części wsp. podw. tir. w lit. tiret"/>
    <w:basedOn w:val="CZWSPTIRczwsplnatiret"/>
    <w:next w:val="TIRtiret"/>
    <w:uiPriority w:val="80"/>
    <w:qFormat/>
    <w:rsid w:val="00923F69"/>
    <w:pPr>
      <w:ind w:left="2257"/>
    </w:pPr>
  </w:style>
  <w:style w:type="paragraph" w:customStyle="1" w:styleId="ZTIRCZWSP2TIRwPKTzmczciwsppodwtirwpkttiret">
    <w:name w:val="Z_TIR/CZ_WSP_2TIR_w_PKT – zm. części wsp. podw. tir. w pkt tiret"/>
    <w:basedOn w:val="ZTIR2TIRwPKTzmpodwtirwpkttiret"/>
    <w:next w:val="TIRtiret"/>
    <w:uiPriority w:val="80"/>
    <w:qFormat/>
    <w:rsid w:val="00923F69"/>
    <w:pPr>
      <w:ind w:left="2767" w:firstLine="0"/>
    </w:pPr>
  </w:style>
  <w:style w:type="paragraph" w:customStyle="1" w:styleId="ZTIRCZWSP2TIRwTIRzmczciwsppodwtirwtirtiret">
    <w:name w:val="Z_TIR/CZ_WSP_2TIR_w_TIR – zm. części wsp. podw. tir. w tir. tiret"/>
    <w:basedOn w:val="CZWSPTIRczwsplnatiret"/>
    <w:uiPriority w:val="79"/>
    <w:qFormat/>
    <w:rsid w:val="00923F69"/>
    <w:pPr>
      <w:ind w:left="1780"/>
    </w:pPr>
  </w:style>
  <w:style w:type="paragraph" w:customStyle="1" w:styleId="ZTIRCZWSPPKTzmczciwsppkttiret">
    <w:name w:val="Z_TIR/CZ_WSP_PKT – zm. części wsp. pkt tiret"/>
    <w:basedOn w:val="CZWSPLITczwsplnaliter"/>
    <w:next w:val="TIRtiret"/>
    <w:uiPriority w:val="58"/>
    <w:qFormat/>
    <w:rsid w:val="00923F69"/>
    <w:pPr>
      <w:ind w:left="1383"/>
    </w:pPr>
  </w:style>
  <w:style w:type="paragraph" w:customStyle="1" w:styleId="ZTIRCZWSPLITzmczciwsplittiret">
    <w:name w:val="Z_TIR/CZ_WSP_LIT – zm. części wsp. lit. tiret"/>
    <w:basedOn w:val="ZTIRCZWSPPKTzmczciwsppkttiret"/>
    <w:next w:val="TIRtiret"/>
    <w:uiPriority w:val="59"/>
    <w:qFormat/>
    <w:rsid w:val="00923F69"/>
  </w:style>
  <w:style w:type="paragraph" w:customStyle="1" w:styleId="ZTIRCZWSPLITwPKTzmczciwsplitwpkttiret">
    <w:name w:val="Z_TIR/CZ_WSP_LIT_w_PKT – zm. części wsp. lit. w pkt tiret"/>
    <w:basedOn w:val="CZWSPLITczwsplnaliter"/>
    <w:uiPriority w:val="59"/>
    <w:qFormat/>
    <w:rsid w:val="00923F69"/>
    <w:pPr>
      <w:ind w:left="1860"/>
    </w:pPr>
  </w:style>
  <w:style w:type="paragraph" w:customStyle="1" w:styleId="ZTIRCZWSPTIRzmczciwsptirtiret">
    <w:name w:val="Z_TIR/CZ_WSP_TIR – zm. części wsp. tir. tiret"/>
    <w:basedOn w:val="ZTIRCZWSPPKTzmczciwsppkttiret"/>
    <w:next w:val="TIRtiret"/>
    <w:uiPriority w:val="60"/>
    <w:qFormat/>
    <w:rsid w:val="00923F69"/>
  </w:style>
  <w:style w:type="paragraph" w:customStyle="1" w:styleId="ZTIRCZWSPTIRwLITzmczciwsptirwlittiret">
    <w:name w:val="Z_TIR/CZ_WSP_TIR_w_LIT – zm. części wsp. tir. w lit. tiret"/>
    <w:basedOn w:val="CZWSPTIRczwsplnatiret"/>
    <w:next w:val="TIRtiret"/>
    <w:uiPriority w:val="60"/>
    <w:qFormat/>
    <w:rsid w:val="00923F69"/>
    <w:pPr>
      <w:ind w:left="1860"/>
    </w:pPr>
  </w:style>
  <w:style w:type="paragraph" w:customStyle="1" w:styleId="ZTIRTIRwLITzmtirwlittiret">
    <w:name w:val="Z_TIR/TIR_w_LIT – zm. tir. w lit. tiret"/>
    <w:basedOn w:val="TIRtiret"/>
    <w:uiPriority w:val="57"/>
    <w:qFormat/>
    <w:rsid w:val="00923F69"/>
    <w:pPr>
      <w:ind w:left="2257"/>
    </w:pPr>
  </w:style>
  <w:style w:type="paragraph" w:customStyle="1" w:styleId="ZTIRTIRwPKTzmtirwpkttiret">
    <w:name w:val="Z_TIR/TIR_w_PKT – zm. tir. w pkt tiret"/>
    <w:basedOn w:val="ZTIRTIRwLITzmtirwlittiret"/>
    <w:uiPriority w:val="57"/>
    <w:qFormat/>
    <w:rsid w:val="00923F69"/>
    <w:pPr>
      <w:ind w:left="2733"/>
    </w:pPr>
  </w:style>
  <w:style w:type="paragraph" w:customStyle="1" w:styleId="ZTIRCZWSPTIRwPKTzmczciwsptirtiret">
    <w:name w:val="Z_TIR/CZ_WSP_TIR_w_PKT – zm. części wsp. tir. tiret"/>
    <w:basedOn w:val="ZTIRTIRwPKTzmtirwpkttiret"/>
    <w:next w:val="TIRtiret"/>
    <w:uiPriority w:val="60"/>
    <w:qFormat/>
    <w:rsid w:val="00923F69"/>
    <w:pPr>
      <w:ind w:left="2336" w:firstLine="0"/>
    </w:pPr>
  </w:style>
  <w:style w:type="paragraph" w:customStyle="1" w:styleId="ZTIRFRAGMzmnpwprdowyliczeniatiret">
    <w:name w:val="Z_TIR/FRAGM – zm. np. wpr. do wyliczenia tiret"/>
    <w:basedOn w:val="ZTIRCZWSPPKTzmczciwsppkttiret"/>
    <w:next w:val="TIRtiret"/>
    <w:uiPriority w:val="60"/>
    <w:qFormat/>
    <w:rsid w:val="00923F69"/>
    <w:rPr>
      <w:rFonts w:ascii="Times New Roman" w:hAnsi="Times New Roman"/>
    </w:rPr>
  </w:style>
  <w:style w:type="paragraph" w:customStyle="1" w:styleId="ZTIRLITzmlittiret">
    <w:name w:val="Z_TIR/LIT – zm. lit. tiret"/>
    <w:basedOn w:val="LITlitera"/>
    <w:uiPriority w:val="57"/>
    <w:qFormat/>
    <w:rsid w:val="00923F69"/>
    <w:pPr>
      <w:ind w:left="1859"/>
    </w:pPr>
  </w:style>
  <w:style w:type="paragraph" w:customStyle="1" w:styleId="ZTIRLITwPKTzmlitwpkttiret">
    <w:name w:val="Z_TIR/LIT_w_PKT – zm. lit. w pkt tiret"/>
    <w:basedOn w:val="LITlitera"/>
    <w:uiPriority w:val="57"/>
    <w:qFormat/>
    <w:rsid w:val="00923F69"/>
    <w:pPr>
      <w:ind w:left="2336"/>
    </w:pPr>
  </w:style>
  <w:style w:type="paragraph" w:customStyle="1" w:styleId="ZTIRPKTzmpkttiret">
    <w:name w:val="Z_TIR/PKT – zm. pkt tiret"/>
    <w:basedOn w:val="PKTpunkt"/>
    <w:uiPriority w:val="56"/>
    <w:qFormat/>
    <w:rsid w:val="00923F69"/>
    <w:pPr>
      <w:ind w:left="1893"/>
    </w:pPr>
  </w:style>
  <w:style w:type="paragraph" w:customStyle="1" w:styleId="ZTIRTIRzmtirtiret">
    <w:name w:val="Z_TIR/TIR – zm. tir. tiret"/>
    <w:basedOn w:val="TIRtiret"/>
    <w:uiPriority w:val="57"/>
    <w:qFormat/>
    <w:rsid w:val="00923F69"/>
    <w:pPr>
      <w:ind w:left="1780"/>
    </w:pPr>
  </w:style>
  <w:style w:type="paragraph" w:customStyle="1" w:styleId="ZZPKTzmianazmpkt">
    <w:name w:val="ZZ/PKT – zmiana zm. pkt"/>
    <w:basedOn w:val="ZPKTzmpktartykuempunktem"/>
    <w:uiPriority w:val="66"/>
    <w:qFormat/>
    <w:rsid w:val="00923F69"/>
    <w:pPr>
      <w:ind w:left="2404"/>
    </w:pPr>
  </w:style>
  <w:style w:type="paragraph" w:customStyle="1" w:styleId="ZZLITzmianazmlit">
    <w:name w:val="ZZ/LIT – zmiana zm. lit."/>
    <w:basedOn w:val="ZZPKTzmianazmpkt"/>
    <w:uiPriority w:val="67"/>
    <w:qFormat/>
    <w:rsid w:val="00923F69"/>
    <w:pPr>
      <w:ind w:left="2370" w:hanging="476"/>
    </w:pPr>
  </w:style>
  <w:style w:type="paragraph" w:customStyle="1" w:styleId="ZZTIRzmianazmtir">
    <w:name w:val="ZZ/TIR – zmiana zm. tir."/>
    <w:basedOn w:val="ZZLITzmianazmlit"/>
    <w:uiPriority w:val="67"/>
    <w:qFormat/>
    <w:rsid w:val="00923F69"/>
    <w:pPr>
      <w:ind w:left="2291" w:hanging="397"/>
    </w:pPr>
  </w:style>
  <w:style w:type="paragraph" w:customStyle="1" w:styleId="ZZCZWSP2TIRzmianazmczciwsppodwtir">
    <w:name w:val="ZZ/CZ_WSP_2TIR – zmiana zm. części wsp. podw. tir."/>
    <w:basedOn w:val="ZZTIRzmianazmtir"/>
    <w:next w:val="Normalny"/>
    <w:uiPriority w:val="94"/>
    <w:qFormat/>
    <w:rsid w:val="00923F69"/>
    <w:pPr>
      <w:ind w:left="1894" w:firstLine="0"/>
    </w:pPr>
  </w:style>
  <w:style w:type="paragraph" w:customStyle="1" w:styleId="ZZ2TIRzmianazmpodwtir">
    <w:name w:val="ZZ/2TIR – zmiana zm. podw. tir."/>
    <w:basedOn w:val="ZZCZWSP2TIRzmianazmczciwsppodwtir"/>
    <w:uiPriority w:val="93"/>
    <w:qFormat/>
    <w:rsid w:val="00923F69"/>
    <w:pPr>
      <w:ind w:left="2291" w:hanging="397"/>
    </w:pPr>
  </w:style>
  <w:style w:type="paragraph" w:customStyle="1" w:styleId="ZZ2TIRwTIRzmianazmpodwtirwtir">
    <w:name w:val="ZZ/2TIR_w_TIR – zmiana zm. podw. tir. w tir."/>
    <w:basedOn w:val="ZZCZWSP2TIRzmianazmczciwsppodwtir"/>
    <w:uiPriority w:val="93"/>
    <w:qFormat/>
    <w:rsid w:val="00923F69"/>
    <w:pPr>
      <w:ind w:left="2688" w:hanging="397"/>
    </w:pPr>
  </w:style>
  <w:style w:type="paragraph" w:customStyle="1" w:styleId="ZZ2TIRwLITzmianazmpodwtirwlit">
    <w:name w:val="ZZ/2TIR_w_LIT – zmiana zm. podw. tir. w lit."/>
    <w:basedOn w:val="ZZ2TIRwTIRzmianazmpodwtirwtir"/>
    <w:uiPriority w:val="94"/>
    <w:qFormat/>
    <w:rsid w:val="00923F69"/>
    <w:pPr>
      <w:ind w:left="3164"/>
    </w:pPr>
  </w:style>
  <w:style w:type="paragraph" w:customStyle="1" w:styleId="ZZ2TIRwPKTzmianazmpodwtirwpkt">
    <w:name w:val="ZZ/2TIR_w_PKT – zmiana zm. podw. tir. w pkt"/>
    <w:basedOn w:val="ZZ2TIRwLITzmianazmpodwtirwlit"/>
    <w:uiPriority w:val="94"/>
    <w:qFormat/>
    <w:rsid w:val="00923F69"/>
    <w:pPr>
      <w:ind w:left="3674"/>
    </w:pPr>
  </w:style>
  <w:style w:type="paragraph" w:customStyle="1" w:styleId="ZZARTzmianazmart">
    <w:name w:val="ZZ/ART(§) – zmiana zm. art. (§)"/>
    <w:basedOn w:val="ZARTzmartartykuempunktem"/>
    <w:uiPriority w:val="65"/>
    <w:qFormat/>
    <w:rsid w:val="00923F69"/>
    <w:pPr>
      <w:ind w:left="1894"/>
    </w:pPr>
  </w:style>
  <w:style w:type="paragraph" w:customStyle="1" w:styleId="ZZCZWSP2TIRwLITzmianazmczciwsppodwtirwlit">
    <w:name w:val="ZZ/CZ_WSP_2TIR_w_LIT – zmiana zm. części wsp. podw. tir. w lit."/>
    <w:basedOn w:val="ZZ2TIRwLITzmianazmpodwtirwlit"/>
    <w:uiPriority w:val="95"/>
    <w:qFormat/>
    <w:rsid w:val="00923F69"/>
    <w:pPr>
      <w:ind w:left="2767"/>
    </w:pPr>
  </w:style>
  <w:style w:type="paragraph" w:customStyle="1" w:styleId="ZZCZWSP2TIRwPKTzmianazmczciwsppodwtirwpkt">
    <w:name w:val="ZZ/CZ_WSP_2TIR_w_PKT – zmiana zm. części wsp. podw. tir. w pkt"/>
    <w:basedOn w:val="ZZ2TIRwLITzmianazmpodwtirwlit"/>
    <w:uiPriority w:val="95"/>
    <w:qFormat/>
    <w:rsid w:val="00923F69"/>
    <w:pPr>
      <w:ind w:left="3277" w:firstLine="0"/>
    </w:pPr>
  </w:style>
  <w:style w:type="paragraph" w:customStyle="1" w:styleId="ZZCZWSP2TIRwTIRzmianazmczciwsppodwtirwtir">
    <w:name w:val="ZZ/CZ_WSP_2TIR_w_TIR – zmiana zm. części wsp. podw. tir. w tir."/>
    <w:basedOn w:val="ZZ2TIRwLITzmianazmpodwtirwlit"/>
    <w:uiPriority w:val="94"/>
    <w:qFormat/>
    <w:rsid w:val="00923F69"/>
    <w:pPr>
      <w:ind w:left="2291" w:firstLine="0"/>
    </w:pPr>
  </w:style>
  <w:style w:type="paragraph" w:customStyle="1" w:styleId="ZZCZWSPPKTzmianazmczciwsppkt">
    <w:name w:val="ZZ/CZ_WSP_PKT – zmiana. zm. części wsp. pkt"/>
    <w:basedOn w:val="ZZARTzmianazmart"/>
    <w:next w:val="ZPKTzmpktartykuempunktem"/>
    <w:uiPriority w:val="68"/>
    <w:qFormat/>
    <w:rsid w:val="00923F69"/>
    <w:pPr>
      <w:ind w:firstLine="0"/>
    </w:pPr>
  </w:style>
  <w:style w:type="paragraph" w:customStyle="1" w:styleId="ZZCZWSPLITzmianazmczciwsplit">
    <w:name w:val="ZZ/CZ_WSP_LIT – zmiana. zm. części wsp. lit."/>
    <w:basedOn w:val="ZZCZWSPPKTzmianazmczciwsppkt"/>
    <w:uiPriority w:val="69"/>
    <w:qFormat/>
    <w:rsid w:val="00923F69"/>
  </w:style>
  <w:style w:type="paragraph" w:customStyle="1" w:styleId="ZZLITwPKTzmianazmlitwpkt">
    <w:name w:val="ZZ/LIT_w_PKT – zmiana zm. lit. w pkt"/>
    <w:basedOn w:val="ZLITwPKTzmlitwpktartykuempunktem"/>
    <w:uiPriority w:val="67"/>
    <w:qFormat/>
    <w:rsid w:val="00923F69"/>
    <w:pPr>
      <w:ind w:left="2880"/>
    </w:pPr>
  </w:style>
  <w:style w:type="paragraph" w:customStyle="1" w:styleId="ZZCZWSPLITwPKTzmianazmczciwsplitwpkt">
    <w:name w:val="ZZ/CZ_WSP_LIT_w_PKT – zmiana zm. części wsp. lit. w pkt"/>
    <w:basedOn w:val="ZZLITwPKTzmianazmlitwpkt"/>
    <w:uiPriority w:val="69"/>
    <w:qFormat/>
    <w:rsid w:val="00923F69"/>
    <w:pPr>
      <w:ind w:left="2404" w:firstLine="0"/>
    </w:pPr>
  </w:style>
  <w:style w:type="paragraph" w:customStyle="1" w:styleId="ZZCZWSPTIRzmianazmczciwsptir">
    <w:name w:val="ZZ/CZ_WSP_TIR – zmiana. zm. części wsp. tir."/>
    <w:basedOn w:val="ZZCZWSPPKTzmianazmczciwsppkt"/>
    <w:uiPriority w:val="69"/>
    <w:qFormat/>
    <w:rsid w:val="00923F69"/>
  </w:style>
  <w:style w:type="paragraph" w:customStyle="1" w:styleId="ZZTIRwLITzmianazmtirwlit">
    <w:name w:val="ZZ/TIR_w_LIT – zmiana zm. tir. w lit."/>
    <w:basedOn w:val="ZZTIRzmianazmtir"/>
    <w:uiPriority w:val="67"/>
    <w:qFormat/>
    <w:rsid w:val="00923F69"/>
    <w:pPr>
      <w:ind w:left="2767"/>
    </w:pPr>
  </w:style>
  <w:style w:type="paragraph" w:customStyle="1" w:styleId="ZZCZWSPTIRwLITzmianazmczciwsptirwlit">
    <w:name w:val="ZZ/CZ_WSP_TIR_w_LIT – zmiana zm. części wsp. tir. w lit."/>
    <w:basedOn w:val="ZZTIRwLITzmianazmtirwlit"/>
    <w:uiPriority w:val="70"/>
    <w:qFormat/>
    <w:rsid w:val="00923F69"/>
    <w:pPr>
      <w:ind w:left="2370" w:firstLine="0"/>
    </w:pPr>
  </w:style>
  <w:style w:type="paragraph" w:customStyle="1" w:styleId="ZZTIRwPKTzmianazmtirwpkt">
    <w:name w:val="ZZ/TIR_w_PKT – zmiana zm. tir. w pkt"/>
    <w:basedOn w:val="ZTIRwPKTzmtirwpktartykuempunktem"/>
    <w:uiPriority w:val="67"/>
    <w:qFormat/>
    <w:rsid w:val="00923F69"/>
    <w:pPr>
      <w:ind w:left="3277"/>
    </w:pPr>
  </w:style>
  <w:style w:type="paragraph" w:customStyle="1" w:styleId="ZZCZWSPTIRwPKTzmianazmczciwsptirwpkt">
    <w:name w:val="ZZ/CZ_WSP_TIR_w_PKT – zmiana zm. części wsp. tir. w pkt"/>
    <w:basedOn w:val="ZZTIRwPKTzmianazmtirwpkt"/>
    <w:uiPriority w:val="70"/>
    <w:qFormat/>
    <w:rsid w:val="00923F69"/>
    <w:pPr>
      <w:ind w:left="2880" w:firstLine="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23F69"/>
    <w:pPr>
      <w:spacing w:before="0"/>
      <w:ind w:left="1894"/>
    </w:pPr>
  </w:style>
  <w:style w:type="paragraph" w:customStyle="1" w:styleId="ZZROZDZODDZOZNzmianazmoznrozdzoddzartykuempunktem">
    <w:name w:val="ZZ/ROZDZ(ODDZ)_OZN – zmiana zm. ozn. rozdz. (oddz.) artykułem (punktem)"/>
    <w:basedOn w:val="ZROZDZODDZOZNzmoznrozdzoddzartykuempunktem"/>
    <w:next w:val="Normalny"/>
    <w:uiPriority w:val="64"/>
    <w:qFormat/>
    <w:rsid w:val="00923F6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23F69"/>
    <w:pPr>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23F6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23F69"/>
    <w:pPr>
      <w:ind w:left="1894"/>
    </w:pPr>
  </w:style>
  <w:style w:type="paragraph" w:customStyle="1" w:styleId="ZZUSTzmianazmust">
    <w:name w:val="ZZ/UST(§) – zmiana zm. ust. (§)"/>
    <w:basedOn w:val="ZZARTzmianazmart"/>
    <w:uiPriority w:val="65"/>
    <w:qFormat/>
    <w:rsid w:val="00923F69"/>
  </w:style>
  <w:style w:type="numbering" w:customStyle="1" w:styleId="Bezlisty1">
    <w:name w:val="Bez listy1"/>
    <w:next w:val="Bezlisty"/>
    <w:uiPriority w:val="99"/>
    <w:semiHidden/>
    <w:unhideWhenUsed/>
    <w:rsid w:val="00FA45B7"/>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A45B7"/>
    <w:rPr>
      <w:bCs/>
    </w:rPr>
  </w:style>
  <w:style w:type="paragraph" w:customStyle="1" w:styleId="ZWMATFIZCHEMzmwzorumatfizlubchemartykuempunktem">
    <w:name w:val="Z/W_MAT(FIZ|CHEM) – zm. wzoru mat. (fiz. lub chem.) artykułem (punktem)"/>
    <w:basedOn w:val="WMATFIZCHEMwzrmatfizlubchem"/>
    <w:uiPriority w:val="38"/>
    <w:qFormat/>
    <w:rsid w:val="00FA45B7"/>
    <w:pPr>
      <w:ind w:left="510"/>
    </w:pPr>
  </w:style>
  <w:style w:type="paragraph" w:styleId="Tekstprzypisudolnego">
    <w:name w:val="footnote text"/>
    <w:basedOn w:val="Normalny"/>
    <w:link w:val="TekstprzypisudolnegoZnak"/>
    <w:uiPriority w:val="99"/>
    <w:semiHidden/>
    <w:qFormat/>
    <w:rsid w:val="00FA45B7"/>
    <w:pPr>
      <w:widowControl/>
      <w:autoSpaceDE/>
      <w:autoSpaceDN/>
      <w:adjustRightInd/>
      <w:spacing w:after="200" w:line="276" w:lineRule="auto"/>
      <w:jc w:val="left"/>
    </w:pPr>
    <w:rPr>
      <w:rFonts w:ascii="Times" w:eastAsia="Times New Roman" w:hAnsi="Times" w:cs="Times New Roman"/>
      <w:sz w:val="22"/>
      <w:szCs w:val="24"/>
      <w:lang w:eastAsia="en-US"/>
    </w:rPr>
  </w:style>
  <w:style w:type="character" w:customStyle="1" w:styleId="TekstprzypisudolnegoZnak">
    <w:name w:val="Tekst przypisu dolnego Znak"/>
    <w:basedOn w:val="Domylnaczcionkaakapitu"/>
    <w:link w:val="Tekstprzypisudolnego"/>
    <w:uiPriority w:val="99"/>
    <w:semiHidden/>
    <w:rsid w:val="00FA45B7"/>
    <w:rPr>
      <w:rFonts w:ascii="Times" w:eastAsia="Times New Roman" w:hAnsi="Times" w:cs="Times New Roman"/>
      <w:szCs w:val="24"/>
    </w:rPr>
  </w:style>
  <w:style w:type="paragraph" w:customStyle="1" w:styleId="ZZWMATFIZCHEMzmwzorumatfizlubchem">
    <w:name w:val="ZZ/W_MAT(FIZ|CHEM) – zm. wzoru mat. (fiz. lub chem.)"/>
    <w:basedOn w:val="ZWMATFIZCHEMzmwzorumatfizlubchemartykuempunktem"/>
    <w:uiPriority w:val="71"/>
    <w:qFormat/>
    <w:rsid w:val="00FA45B7"/>
    <w:pPr>
      <w:ind w:left="2404"/>
    </w:pPr>
  </w:style>
  <w:style w:type="paragraph" w:customStyle="1" w:styleId="ZCYTzmcytatunpprzysigiartykuempunktem">
    <w:name w:val="Z/CYT – zm. cytatu np. przysięgi artykułem (punktem)"/>
    <w:basedOn w:val="CYTcytatnpprzysigi"/>
    <w:next w:val="ZUSTzmustartykuempunktem"/>
    <w:uiPriority w:val="37"/>
    <w:qFormat/>
    <w:rsid w:val="00FA45B7"/>
    <w:pPr>
      <w:ind w:left="1021"/>
    </w:pPr>
  </w:style>
  <w:style w:type="paragraph" w:customStyle="1" w:styleId="TEKSTwporozumieniu0">
    <w:name w:val="TEKST&quot;w porozumieniu:&quot;"/>
    <w:next w:val="NAZORGWPOROZUMIENIUnazwaorganuwporozumieniuzktrymaktjestwydawany"/>
    <w:uiPriority w:val="27"/>
    <w:qFormat/>
    <w:rsid w:val="00FA45B7"/>
    <w:pPr>
      <w:spacing w:after="0" w:line="360" w:lineRule="auto"/>
    </w:pPr>
    <w:rPr>
      <w:rFonts w:ascii="Times New Roman" w:eastAsiaTheme="minorEastAsia" w:hAnsi="Times New Roman" w:cs="Arial"/>
      <w:b/>
      <w:sz w:val="24"/>
      <w:szCs w:val="20"/>
      <w:lang w:eastAsia="pl-PL"/>
    </w:r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A45B7"/>
    <w:pPr>
      <w:ind w:left="510" w:firstLine="0"/>
    </w:pPr>
  </w:style>
  <w:style w:type="paragraph" w:customStyle="1" w:styleId="NOTATKILEGISLATORA">
    <w:name w:val="NOTATKI_LEGISLATORA"/>
    <w:basedOn w:val="Normalny"/>
    <w:uiPriority w:val="5"/>
    <w:qFormat/>
    <w:rsid w:val="00FA45B7"/>
    <w:pPr>
      <w:widowControl/>
      <w:autoSpaceDE/>
      <w:autoSpaceDN/>
      <w:adjustRightInd/>
      <w:spacing w:after="200" w:line="276" w:lineRule="auto"/>
      <w:jc w:val="left"/>
    </w:pPr>
    <w:rPr>
      <w:rFonts w:ascii="Calibri" w:eastAsia="Times New Roman" w:hAnsi="Calibri" w:cs="Times New Roman"/>
      <w:b/>
      <w:i/>
      <w:sz w:val="22"/>
      <w:szCs w:val="22"/>
      <w:lang w:eastAsia="en-US"/>
    </w:rPr>
  </w:style>
  <w:style w:type="paragraph" w:customStyle="1" w:styleId="OZNZACZNIKAwskazanienrzacznika">
    <w:name w:val="OZN_ZAŁĄCZNIKA – wskazanie nr załącznika"/>
    <w:basedOn w:val="OZNPROJEKTUwskazaniedatylubwersjiprojektu"/>
    <w:uiPriority w:val="28"/>
    <w:qFormat/>
    <w:rsid w:val="00FA45B7"/>
    <w:pPr>
      <w:keepNext/>
    </w:pPr>
    <w:rPr>
      <w:b/>
      <w:u w:val="none"/>
    </w:rPr>
  </w:style>
  <w:style w:type="paragraph" w:customStyle="1" w:styleId="OZNPARAFYADNOTACJE">
    <w:name w:val="OZN_PARAFY(ADNOTACJE)"/>
    <w:basedOn w:val="ODNONIKtreodnonika"/>
    <w:uiPriority w:val="26"/>
    <w:qFormat/>
    <w:rsid w:val="00FA45B7"/>
  </w:style>
  <w:style w:type="paragraph" w:customStyle="1" w:styleId="TEKSTZacznikido">
    <w:name w:val="TEKST&quot;Załącznik(i) do ...&quot;"/>
    <w:uiPriority w:val="28"/>
    <w:qFormat/>
    <w:rsid w:val="00FA45B7"/>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FA45B7"/>
    <w:pPr>
      <w:ind w:left="851"/>
    </w:pPr>
  </w:style>
  <w:style w:type="paragraph" w:customStyle="1" w:styleId="CZWSPLITODNONIKAczwspliterodnonika">
    <w:name w:val="CZ_WSP_LIT_ODNOŚNIKA – część wsp. liter odnośnika"/>
    <w:basedOn w:val="LITODNONIKAliteraodnonika"/>
    <w:uiPriority w:val="22"/>
    <w:qFormat/>
    <w:rsid w:val="00FA45B7"/>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FA45B7"/>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A45B7"/>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A45B7"/>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FA45B7"/>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FA45B7"/>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A45B7"/>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FA45B7"/>
  </w:style>
  <w:style w:type="paragraph" w:customStyle="1" w:styleId="ZLITwPKTODNONIKAzmlitwpktodnonikaartykuempunktem">
    <w:name w:val="Z/LIT_w_PKT_ODNOŚNIKA – zm. lit. w pkt odnośnika artykułem (punktem)"/>
    <w:basedOn w:val="ZLITODNONIKAzmlitodnonikaartykuempunktem"/>
    <w:uiPriority w:val="40"/>
    <w:qFormat/>
    <w:rsid w:val="00FA45B7"/>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A45B7"/>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A45B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A45B7"/>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A45B7"/>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A45B7"/>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FA45B7"/>
    <w:pPr>
      <w:suppressAutoHyphens w:val="0"/>
      <w:autoSpaceDE/>
      <w:autoSpaceDN/>
      <w:adjustRightInd/>
    </w:pPr>
  </w:style>
  <w:style w:type="paragraph" w:customStyle="1" w:styleId="ZZFRAGzmianazmfragmentunpzdania">
    <w:name w:val="ZZ/FRAG – zmiana zm. fragmentu (np. zdania)"/>
    <w:basedOn w:val="ZZCZWSPPKTzmianazmczciwsppkt"/>
    <w:uiPriority w:val="70"/>
    <w:qFormat/>
    <w:rsid w:val="00FA45B7"/>
  </w:style>
  <w:style w:type="paragraph" w:customStyle="1" w:styleId="Z2TIRPKTzmpktpodwjnymtiret">
    <w:name w:val="Z_2TIR/PKT – zm. pkt podwójnym tiret"/>
    <w:basedOn w:val="Z2TIRLITzmlitpodwjnymtiret"/>
    <w:uiPriority w:val="83"/>
    <w:qFormat/>
    <w:rsid w:val="00FA45B7"/>
    <w:pPr>
      <w:suppressAutoHyphens w:val="0"/>
      <w:autoSpaceDE/>
      <w:autoSpaceDN/>
      <w:adjustRightInd/>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A45B7"/>
    <w:pPr>
      <w:suppressAutoHyphens w:val="0"/>
      <w:autoSpaceDE/>
      <w:autoSpaceDN/>
      <w:adjustRightInd/>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A45B7"/>
    <w:pPr>
      <w:suppressAutoHyphens w:val="0"/>
      <w:autoSpaceDE/>
      <w:autoSpaceDN/>
      <w:adjustRightInd/>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A45B7"/>
    <w:pPr>
      <w:suppressAutoHyphens w:val="0"/>
      <w:autoSpaceDE/>
      <w:autoSpaceDN/>
      <w:adjustRightInd/>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A45B7"/>
    <w:pPr>
      <w:ind w:left="1780" w:firstLine="510"/>
    </w:pPr>
  </w:style>
  <w:style w:type="paragraph" w:customStyle="1" w:styleId="Z2TIRUSTzmustpodwjnymtiret">
    <w:name w:val="Z_2TIR/UST(§) – zm. ust. (§) podwójnym tiret"/>
    <w:basedOn w:val="Z2TIRPKTzmpktpodwjnymtiret"/>
    <w:uiPriority w:val="82"/>
    <w:qFormat/>
    <w:rsid w:val="00FA45B7"/>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A45B7"/>
    <w:pPr>
      <w:ind w:left="3164" w:firstLine="0"/>
    </w:pPr>
  </w:style>
  <w:style w:type="paragraph" w:customStyle="1" w:styleId="Z2TIRCZWSPPKTzmczciwsppktpodwjnymtiret">
    <w:name w:val="Z_2TIR/CZ_WSP_PKT – zm. części wsp. pkt podwójnym tiret"/>
    <w:basedOn w:val="Z2TIRPKTzmpktpodwjnymtiret"/>
    <w:uiPriority w:val="86"/>
    <w:qFormat/>
    <w:rsid w:val="00FA45B7"/>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A45B7"/>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A45B7"/>
    <w:pPr>
      <w:ind w:left="2767" w:firstLine="0"/>
    </w:pPr>
  </w:style>
  <w:style w:type="paragraph" w:customStyle="1" w:styleId="ZLITARTzmartliter">
    <w:name w:val="Z_LIT/ART(§) – zm. art. (§) literą"/>
    <w:basedOn w:val="ZLITUSTzmustliter"/>
    <w:uiPriority w:val="46"/>
    <w:qFormat/>
    <w:rsid w:val="00FA45B7"/>
  </w:style>
  <w:style w:type="paragraph" w:customStyle="1" w:styleId="ZTIRARTzmarttiret">
    <w:name w:val="Z_TIR/ART(§) – zm. art. (§) tiret"/>
    <w:basedOn w:val="ZTIRPKTzmpkttiret"/>
    <w:uiPriority w:val="55"/>
    <w:qFormat/>
    <w:rsid w:val="00FA45B7"/>
    <w:pPr>
      <w:suppressAutoHyphens w:val="0"/>
      <w:autoSpaceDE/>
      <w:autoSpaceDN/>
      <w:adjustRightInd/>
      <w:ind w:left="1383" w:firstLine="510"/>
    </w:pPr>
    <w:rPr>
      <w:rFonts w:ascii="Times New Roman" w:hAnsi="Times New Roman"/>
    </w:rPr>
  </w:style>
  <w:style w:type="paragraph" w:customStyle="1" w:styleId="ZTIRUSTzmusttiret">
    <w:name w:val="Z_TIR/UST(§) – zm. ust. (§) tiret"/>
    <w:basedOn w:val="ZTIRARTzmarttiret"/>
    <w:uiPriority w:val="55"/>
    <w:qFormat/>
    <w:rsid w:val="00FA45B7"/>
  </w:style>
  <w:style w:type="paragraph" w:customStyle="1" w:styleId="ZLITKSIGIzmozniprzedmksigiliter">
    <w:name w:val="Z_LIT/KSIĘGI – zm. ozn. i przedm. księgi literą"/>
    <w:basedOn w:val="ZCZCIKSIGIzmozniprzedmczciksigiartykuempunktem"/>
    <w:uiPriority w:val="44"/>
    <w:qFormat/>
    <w:rsid w:val="00FA45B7"/>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A45B7"/>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A45B7"/>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A45B7"/>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A45B7"/>
    <w:pPr>
      <w:spacing w:after="120"/>
      <w:ind w:left="987"/>
    </w:pPr>
  </w:style>
  <w:style w:type="paragraph" w:customStyle="1" w:styleId="ZTIRDZOZNzmozndziautiret">
    <w:name w:val="Z_TIR/DZ_OZN – zm. ozn. działu tiret"/>
    <w:basedOn w:val="ZLITTYTDZOZNzmozntytuudziauliter"/>
    <w:next w:val="ZTIRDZPRZEDMzmprzedmdziautiret"/>
    <w:uiPriority w:val="54"/>
    <w:qFormat/>
    <w:rsid w:val="00FA45B7"/>
    <w:pPr>
      <w:ind w:left="1383"/>
    </w:pPr>
  </w:style>
  <w:style w:type="paragraph" w:customStyle="1" w:styleId="ZTIRDZPRZEDMzmprzedmdziautiret">
    <w:name w:val="Z_TIR/DZ_PRZEDM – zm. przedm. działu tiret"/>
    <w:basedOn w:val="ZLITTYTDZPRZEDMzmprzedmtytuudziauliter"/>
    <w:uiPriority w:val="54"/>
    <w:qFormat/>
    <w:rsid w:val="00FA45B7"/>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A45B7"/>
    <w:pPr>
      <w:ind w:left="1383"/>
    </w:pPr>
  </w:style>
  <w:style w:type="paragraph" w:customStyle="1" w:styleId="ZTIRROZDZODDZPRZEDMzmprzedmrozdzoddztiret">
    <w:name w:val="Z_TIR/ROZDZ(ODDZ)_PRZEDM – zm. przedm. rozdz. (oddz.) tiret"/>
    <w:basedOn w:val="ZLITROZDZODDZPRZEDMzmprzedmrozdzoddzliter"/>
    <w:uiPriority w:val="54"/>
    <w:qFormat/>
    <w:rsid w:val="00FA45B7"/>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A45B7"/>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A45B7"/>
    <w:pPr>
      <w:ind w:left="1780"/>
    </w:pPr>
  </w:style>
  <w:style w:type="character" w:customStyle="1" w:styleId="IGindeksgrny">
    <w:name w:val="_IG_ – indeks górny"/>
    <w:basedOn w:val="Domylnaczcionkaakapitu"/>
    <w:uiPriority w:val="2"/>
    <w:qFormat/>
    <w:rsid w:val="00FA45B7"/>
    <w:rPr>
      <w:b w:val="0"/>
      <w:i w:val="0"/>
      <w:vanish w:val="0"/>
      <w:spacing w:val="0"/>
      <w:vertAlign w:val="superscript"/>
    </w:rPr>
  </w:style>
  <w:style w:type="character" w:customStyle="1" w:styleId="IDindeksdolny">
    <w:name w:val="_ID_ – indeks dolny"/>
    <w:basedOn w:val="Domylnaczcionkaakapitu"/>
    <w:uiPriority w:val="3"/>
    <w:qFormat/>
    <w:rsid w:val="00FA45B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A45B7"/>
    <w:rPr>
      <w:b/>
      <w:vanish w:val="0"/>
      <w:spacing w:val="0"/>
      <w:vertAlign w:val="subscript"/>
    </w:rPr>
  </w:style>
  <w:style w:type="character" w:customStyle="1" w:styleId="IDKindeksdolnyikursywa">
    <w:name w:val="_ID_K_ – indeks dolny i kursywa"/>
    <w:basedOn w:val="Domylnaczcionkaakapitu"/>
    <w:uiPriority w:val="3"/>
    <w:qFormat/>
    <w:rsid w:val="00FA45B7"/>
    <w:rPr>
      <w:i/>
      <w:vanish w:val="0"/>
      <w:spacing w:val="0"/>
      <w:vertAlign w:val="subscript"/>
    </w:rPr>
  </w:style>
  <w:style w:type="character" w:customStyle="1" w:styleId="IGPindeksgrnyipogrubienie">
    <w:name w:val="_IG_P_ – indeks górny i pogrubienie"/>
    <w:basedOn w:val="Domylnaczcionkaakapitu"/>
    <w:uiPriority w:val="2"/>
    <w:qFormat/>
    <w:rsid w:val="00FA45B7"/>
    <w:rPr>
      <w:b/>
      <w:vanish w:val="0"/>
      <w:spacing w:val="0"/>
      <w:vertAlign w:val="superscript"/>
    </w:rPr>
  </w:style>
  <w:style w:type="character" w:customStyle="1" w:styleId="IGKindeksgrnyikursywa">
    <w:name w:val="_IG_K_ – indeks górny i kursywa"/>
    <w:basedOn w:val="Domylnaczcionkaakapitu"/>
    <w:uiPriority w:val="2"/>
    <w:qFormat/>
    <w:rsid w:val="00FA45B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A45B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A45B7"/>
    <w:rPr>
      <w:b/>
      <w:i/>
      <w:vanish w:val="0"/>
      <w:spacing w:val="0"/>
      <w:vertAlign w:val="subscript"/>
    </w:rPr>
  </w:style>
  <w:style w:type="character" w:customStyle="1" w:styleId="Ppogrubienie">
    <w:name w:val="_P_ – pogrubienie"/>
    <w:basedOn w:val="Domylnaczcionkaakapitu"/>
    <w:uiPriority w:val="1"/>
    <w:qFormat/>
    <w:rsid w:val="00FA45B7"/>
    <w:rPr>
      <w:b/>
    </w:rPr>
  </w:style>
  <w:style w:type="character" w:customStyle="1" w:styleId="Kkursywa">
    <w:name w:val="_K_ – kursywa"/>
    <w:basedOn w:val="Domylnaczcionkaakapitu"/>
    <w:uiPriority w:val="1"/>
    <w:qFormat/>
    <w:rsid w:val="00FA45B7"/>
    <w:rPr>
      <w:i/>
    </w:rPr>
  </w:style>
  <w:style w:type="character" w:customStyle="1" w:styleId="PKpogrubieniekursywa">
    <w:name w:val="_P_K_ – pogrubienie kursywa"/>
    <w:basedOn w:val="Domylnaczcionkaakapitu"/>
    <w:uiPriority w:val="1"/>
    <w:qFormat/>
    <w:rsid w:val="00FA45B7"/>
    <w:rPr>
      <w:b/>
      <w:i/>
    </w:rPr>
  </w:style>
  <w:style w:type="character" w:customStyle="1" w:styleId="TEKSTOZNACZONYWDOKUMENCIERDOWYMJAKOUKRYTY">
    <w:name w:val="_TEKST_OZNACZONY_W_DOKUMENCIE_ŹRÓDŁOWYM_JAKO_UKRYTY_"/>
    <w:basedOn w:val="Domylnaczcionkaakapitu"/>
    <w:uiPriority w:val="4"/>
    <w:unhideWhenUsed/>
    <w:qFormat/>
    <w:rsid w:val="00FA45B7"/>
    <w:rPr>
      <w:vanish w:val="0"/>
      <w:color w:val="FF0000"/>
      <w:u w:val="single" w:color="FF0000"/>
    </w:rPr>
  </w:style>
  <w:style w:type="character" w:customStyle="1" w:styleId="BEZWERSALIKW">
    <w:name w:val="_BEZ_WERSALIKÓW_"/>
    <w:basedOn w:val="Domylnaczcionkaakapitu"/>
    <w:uiPriority w:val="4"/>
    <w:qFormat/>
    <w:rsid w:val="00FA45B7"/>
    <w:rPr>
      <w:caps/>
    </w:rPr>
  </w:style>
  <w:style w:type="character" w:customStyle="1" w:styleId="IIGPindeksgrnyindeksugrnegoipogrubienie">
    <w:name w:val="_IIG_P_ – indeks górny indeksu górnego i pogrubienie"/>
    <w:basedOn w:val="Domylnaczcionkaakapitu"/>
    <w:uiPriority w:val="3"/>
    <w:qFormat/>
    <w:rsid w:val="00FA45B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A45B7"/>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FA45B7"/>
    <w:pPr>
      <w:widowControl/>
      <w:autoSpaceDE/>
      <w:autoSpaceDN/>
      <w:adjustRightInd/>
      <w:spacing w:after="200" w:line="240" w:lineRule="auto"/>
      <w:ind w:left="283" w:hanging="170"/>
      <w:jc w:val="left"/>
    </w:pPr>
    <w:rPr>
      <w:rFonts w:ascii="Calibri" w:eastAsia="Times New Roman" w:hAnsi="Calibri" w:cs="Times New Roman"/>
      <w:sz w:val="20"/>
      <w:szCs w:val="22"/>
      <w:lang w:eastAsia="en-US"/>
    </w:rPr>
  </w:style>
  <w:style w:type="paragraph" w:customStyle="1" w:styleId="TEKSTwTABELItekstzwcitympierwwierszem0">
    <w:name w:val="TEKST_w_TABELI – tekst z wciętym pierw. wierszem"/>
    <w:basedOn w:val="Normalny"/>
    <w:uiPriority w:val="23"/>
    <w:qFormat/>
    <w:rsid w:val="00FA45B7"/>
    <w:pPr>
      <w:widowControl/>
      <w:suppressAutoHyphens/>
      <w:autoSpaceDE/>
      <w:autoSpaceDN/>
      <w:adjustRightInd/>
      <w:spacing w:after="200" w:line="276" w:lineRule="auto"/>
      <w:ind w:firstLine="510"/>
      <w:jc w:val="left"/>
    </w:pPr>
    <w:rPr>
      <w:rFonts w:ascii="Times" w:eastAsia="Times New Roman" w:hAnsi="Times" w:cs="Times New Roman"/>
      <w:bCs/>
      <w:kern w:val="24"/>
      <w:sz w:val="22"/>
      <w:szCs w:val="22"/>
      <w:lang w:eastAsia="en-US"/>
    </w:rPr>
  </w:style>
  <w:style w:type="paragraph" w:customStyle="1" w:styleId="TEKSTwTABELIWYRODKOWANYtekstwyrodkowanywpoziomie">
    <w:name w:val="TEKST_w_TABELI_WYŚRODKOWANY – tekst wyśrodkowany w poziomie"/>
    <w:basedOn w:val="Normalny"/>
    <w:uiPriority w:val="23"/>
    <w:qFormat/>
    <w:rsid w:val="00FA45B7"/>
    <w:pPr>
      <w:widowControl/>
      <w:suppressAutoHyphens/>
      <w:autoSpaceDE/>
      <w:autoSpaceDN/>
      <w:adjustRightInd/>
      <w:spacing w:after="200" w:line="276" w:lineRule="auto"/>
      <w:jc w:val="center"/>
    </w:pPr>
    <w:rPr>
      <w:rFonts w:ascii="Times" w:eastAsia="Times New Roman" w:hAnsi="Times" w:cs="Times New Roman"/>
      <w:bCs/>
      <w:kern w:val="24"/>
      <w:sz w:val="22"/>
      <w:szCs w:val="22"/>
      <w:lang w:eastAsia="en-US"/>
    </w:rPr>
  </w:style>
  <w:style w:type="paragraph" w:customStyle="1" w:styleId="ZTIRSKARNzmsankcjikarnejtiret">
    <w:name w:val="Z_TIR/S_KARN – zm. sankcji karnej tiret"/>
    <w:basedOn w:val="ZLITSKARNzmsankcjikarnejliter"/>
    <w:next w:val="ZTIRARTzmarttiret"/>
    <w:uiPriority w:val="61"/>
    <w:qFormat/>
    <w:rsid w:val="00FA45B7"/>
    <w:pPr>
      <w:ind w:left="1894"/>
    </w:pPr>
  </w:style>
  <w:style w:type="paragraph" w:customStyle="1" w:styleId="ZZSKARNzmianazmsankcjikarnej">
    <w:name w:val="ZZ/S_KARN – zmiana zm. sankcji karnej"/>
    <w:basedOn w:val="ZZFRAGzmianazmfragmentunpzdania"/>
    <w:uiPriority w:val="71"/>
    <w:qFormat/>
    <w:rsid w:val="00FA45B7"/>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A45B7"/>
    <w:pPr>
      <w:ind w:left="2291" w:firstLine="0"/>
    </w:pPr>
  </w:style>
  <w:style w:type="paragraph" w:customStyle="1" w:styleId="WMATFIZCHEMwzrmatfizlubchem">
    <w:name w:val="W_MAT(FIZ|CHEM) – wzór mat. (fiz. lub chem.)"/>
    <w:uiPriority w:val="18"/>
    <w:qFormat/>
    <w:rsid w:val="00FA45B7"/>
    <w:pPr>
      <w:spacing w:after="0" w:line="360" w:lineRule="auto"/>
      <w:jc w:val="center"/>
    </w:pPr>
    <w:rPr>
      <w:rFonts w:ascii="Times New Roman" w:eastAsiaTheme="minorEastAsia"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FA45B7"/>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A45B7"/>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FA45B7"/>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A45B7"/>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FA45B7"/>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FA45B7"/>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A45B7"/>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A45B7"/>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A45B7"/>
    <w:pPr>
      <w:ind w:left="3085"/>
    </w:pPr>
  </w:style>
  <w:style w:type="paragraph" w:customStyle="1" w:styleId="ZLITCYTzmcytatunpprzysigiliter">
    <w:name w:val="Z_LIT/CYT – zm. cytatu np. przysięgi literą"/>
    <w:basedOn w:val="ZCYTzmcytatunpprzysigiartykuempunktem"/>
    <w:uiPriority w:val="53"/>
    <w:qFormat/>
    <w:rsid w:val="00FA45B7"/>
    <w:pPr>
      <w:ind w:left="1497"/>
    </w:pPr>
  </w:style>
  <w:style w:type="paragraph" w:customStyle="1" w:styleId="ZTIRCYTzmcytatunpprzysigitiret">
    <w:name w:val="Z_TIR/CYT – zm. cytatu np. przysięgi tiret"/>
    <w:basedOn w:val="ZLITCYTzmcytatunpprzysigiliter"/>
    <w:next w:val="ZTIRUSTzmusttiret"/>
    <w:uiPriority w:val="61"/>
    <w:qFormat/>
    <w:rsid w:val="00FA45B7"/>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FA45B7"/>
    <w:pPr>
      <w:ind w:left="2291"/>
    </w:pPr>
  </w:style>
  <w:style w:type="paragraph" w:customStyle="1" w:styleId="ZZCYTzmianazmcytatunpprzysigi">
    <w:name w:val="ZZ/CYT – zmiana zm. cytatu np. przysięgi"/>
    <w:basedOn w:val="ZZFRAGzmianazmfragmentunpzdania"/>
    <w:next w:val="ZZUSTzmianazmust"/>
    <w:uiPriority w:val="71"/>
    <w:qFormat/>
    <w:rsid w:val="00FA45B7"/>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FA45B7"/>
    <w:pPr>
      <w:suppressAutoHyphens w:val="0"/>
      <w:autoSpaceDE/>
      <w:autoSpaceDN/>
      <w:adjustRightInd/>
      <w:ind w:left="1780"/>
    </w:pPr>
  </w:style>
  <w:style w:type="table" w:styleId="Tabela-Siatka">
    <w:name w:val="Table Grid"/>
    <w:basedOn w:val="Standardowy"/>
    <w:rsid w:val="00FA45B7"/>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FA45B7"/>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FA45B7"/>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FA45B7"/>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FA45B7"/>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A45B7"/>
    <w:rPr>
      <w:color w:val="808080"/>
    </w:rPr>
  </w:style>
  <w:style w:type="character" w:styleId="Pogrubienie">
    <w:name w:val="Strong"/>
    <w:basedOn w:val="Domylnaczcionkaakapitu"/>
    <w:qFormat/>
    <w:rsid w:val="00FA45B7"/>
    <w:rPr>
      <w:rFonts w:cs="Times New Roman"/>
      <w:b/>
    </w:rPr>
  </w:style>
  <w:style w:type="paragraph" w:styleId="Tekstpodstawowywcity2">
    <w:name w:val="Body Text Indent 2"/>
    <w:basedOn w:val="Normalny"/>
    <w:link w:val="Tekstpodstawowywcity2Znak"/>
    <w:rsid w:val="00FA45B7"/>
    <w:pPr>
      <w:widowControl/>
      <w:autoSpaceDE/>
      <w:autoSpaceDN/>
      <w:adjustRightInd/>
      <w:spacing w:after="120" w:line="480" w:lineRule="auto"/>
      <w:ind w:left="283"/>
      <w:jc w:val="left"/>
    </w:pPr>
    <w:rPr>
      <w:rFonts w:ascii="Calibri" w:eastAsia="Calibri" w:hAnsi="Calibri" w:cs="Times New Roman"/>
      <w:sz w:val="22"/>
      <w:szCs w:val="22"/>
      <w:lang w:eastAsia="en-US"/>
    </w:rPr>
  </w:style>
  <w:style w:type="character" w:customStyle="1" w:styleId="Tekstpodstawowywcity2Znak">
    <w:name w:val="Tekst podstawowy wcięty 2 Znak"/>
    <w:basedOn w:val="Domylnaczcionkaakapitu"/>
    <w:link w:val="Tekstpodstawowywcity2"/>
    <w:rsid w:val="00FA45B7"/>
    <w:rPr>
      <w:rFonts w:ascii="Calibri" w:eastAsia="Calibri" w:hAnsi="Calibri" w:cs="Times New Roman"/>
    </w:rPr>
  </w:style>
  <w:style w:type="paragraph" w:styleId="Tekstpodstawowywcity">
    <w:name w:val="Body Text Indent"/>
    <w:basedOn w:val="Normalny"/>
    <w:link w:val="TekstpodstawowywcityZnak"/>
    <w:rsid w:val="00FA45B7"/>
    <w:pPr>
      <w:widowControl/>
      <w:autoSpaceDE/>
      <w:autoSpaceDN/>
      <w:adjustRightInd/>
      <w:spacing w:after="120" w:line="240" w:lineRule="auto"/>
      <w:ind w:left="283"/>
      <w:jc w:val="left"/>
    </w:pPr>
    <w:rPr>
      <w:rFonts w:eastAsia="Times New Roman" w:cs="Times New Roman"/>
      <w:szCs w:val="24"/>
    </w:rPr>
  </w:style>
  <w:style w:type="character" w:customStyle="1" w:styleId="TekstpodstawowywcityZnak">
    <w:name w:val="Tekst podstawowy wcięty Znak"/>
    <w:basedOn w:val="Domylnaczcionkaakapitu"/>
    <w:link w:val="Tekstpodstawowywcity"/>
    <w:rsid w:val="00FA45B7"/>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A45B7"/>
    <w:pPr>
      <w:widowControl/>
      <w:autoSpaceDE/>
      <w:autoSpaceDN/>
      <w:adjustRightInd/>
      <w:spacing w:before="100" w:beforeAutospacing="1" w:after="100" w:afterAutospacing="1" w:line="240" w:lineRule="auto"/>
      <w:jc w:val="left"/>
    </w:pPr>
    <w:rPr>
      <w:rFonts w:eastAsia="Times New Roman" w:cs="Times New Roman"/>
      <w:szCs w:val="24"/>
    </w:rPr>
  </w:style>
  <w:style w:type="paragraph" w:styleId="Poprawka">
    <w:name w:val="Revision"/>
    <w:hidden/>
    <w:uiPriority w:val="99"/>
    <w:semiHidden/>
    <w:rsid w:val="00FA45B7"/>
    <w:pPr>
      <w:spacing w:after="0" w:line="240" w:lineRule="auto"/>
    </w:pPr>
    <w:rPr>
      <w:rFonts w:ascii="Calibri" w:eastAsia="Times New Roman" w:hAnsi="Calibri" w:cs="Times New Roman"/>
    </w:rPr>
  </w:style>
  <w:style w:type="character" w:styleId="Hipercze">
    <w:name w:val="Hyperlink"/>
    <w:basedOn w:val="Domylnaczcionkaakapitu"/>
    <w:uiPriority w:val="99"/>
    <w:semiHidden/>
    <w:rsid w:val="00FA45B7"/>
    <w:rPr>
      <w:color w:val="0000FF" w:themeColor="hyperlink"/>
      <w:u w:val="single"/>
    </w:rPr>
  </w:style>
  <w:style w:type="paragraph" w:styleId="Akapitzlist">
    <w:name w:val="List Paragraph"/>
    <w:basedOn w:val="Normalny"/>
    <w:uiPriority w:val="34"/>
    <w:qFormat/>
    <w:rsid w:val="00FA45B7"/>
    <w:pPr>
      <w:widowControl/>
      <w:autoSpaceDE/>
      <w:autoSpaceDN/>
      <w:adjustRightInd/>
      <w:spacing w:line="240" w:lineRule="auto"/>
      <w:ind w:left="720"/>
      <w:contextualSpacing/>
      <w:jc w:val="left"/>
    </w:pPr>
    <w:rPr>
      <w:rFonts w:eastAsia="Times New Roman" w:cs="Times New Roman"/>
      <w:sz w:val="20"/>
    </w:rPr>
  </w:style>
  <w:style w:type="paragraph" w:styleId="Tekstprzypisukocowego">
    <w:name w:val="endnote text"/>
    <w:basedOn w:val="Normalny"/>
    <w:link w:val="TekstprzypisukocowegoZnak"/>
    <w:uiPriority w:val="99"/>
    <w:semiHidden/>
    <w:rsid w:val="00FA45B7"/>
    <w:pPr>
      <w:widowControl/>
      <w:autoSpaceDE/>
      <w:autoSpaceDN/>
      <w:adjustRightInd/>
      <w:spacing w:line="240" w:lineRule="auto"/>
      <w:jc w:val="left"/>
    </w:pPr>
    <w:rPr>
      <w:rFonts w:ascii="Calibri" w:eastAsia="Times New Roman" w:hAnsi="Calibri" w:cs="Times New Roman"/>
      <w:sz w:val="20"/>
      <w:lang w:eastAsia="en-US"/>
    </w:rPr>
  </w:style>
  <w:style w:type="character" w:customStyle="1" w:styleId="TekstprzypisukocowegoZnak">
    <w:name w:val="Tekst przypisu końcowego Znak"/>
    <w:basedOn w:val="Domylnaczcionkaakapitu"/>
    <w:link w:val="Tekstprzypisukocowego"/>
    <w:uiPriority w:val="99"/>
    <w:semiHidden/>
    <w:rsid w:val="00FA45B7"/>
    <w:rPr>
      <w:rFonts w:ascii="Calibri" w:eastAsia="Times New Roman" w:hAnsi="Calibri" w:cs="Times New Roman"/>
      <w:sz w:val="20"/>
      <w:szCs w:val="20"/>
    </w:rPr>
  </w:style>
  <w:style w:type="character" w:styleId="Odwoanieprzypisukocowego">
    <w:name w:val="endnote reference"/>
    <w:basedOn w:val="Domylnaczcionkaakapitu"/>
    <w:uiPriority w:val="99"/>
    <w:semiHidden/>
    <w:rsid w:val="00FA4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11451</Words>
  <Characters>68706</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różachmielewska</dc:creator>
  <cp:lastModifiedBy>Grażyna D. Grabowska</cp:lastModifiedBy>
  <cp:revision>2</cp:revision>
  <cp:lastPrinted>2015-09-25T10:46:00Z</cp:lastPrinted>
  <dcterms:created xsi:type="dcterms:W3CDTF">2015-12-04T13:27:00Z</dcterms:created>
  <dcterms:modified xsi:type="dcterms:W3CDTF">2015-12-04T13:27:00Z</dcterms:modified>
</cp:coreProperties>
</file>