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56" w:rsidRPr="002A0DE1" w:rsidRDefault="00F81856" w:rsidP="00F818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CE1B98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F81856" w:rsidRDefault="00F81856" w:rsidP="00F818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81856" w:rsidRPr="00C22987" w:rsidRDefault="00F81856" w:rsidP="00F818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2A6F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</w:t>
      </w:r>
      <w:r w:rsidR="002A6F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2A6F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  <w:r w:rsidR="002A6F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</w:p>
    <w:p w:rsidR="00F81856" w:rsidRPr="002A6FBE" w:rsidRDefault="00F81856" w:rsidP="00F8185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6FBE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…………. 2016 r.</w:t>
      </w:r>
    </w:p>
    <w:p w:rsidR="00F81856" w:rsidRPr="00C22987" w:rsidRDefault="00F81856" w:rsidP="00F818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zmianie ustawy 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systemie oświaty</w:t>
      </w:r>
    </w:p>
    <w:p w:rsidR="00F81856" w:rsidRDefault="00F81856" w:rsidP="00F81856"/>
    <w:p w:rsidR="00F81856" w:rsidRDefault="00F81856" w:rsidP="00F81856">
      <w:pPr>
        <w:shd w:val="clear" w:color="auto" w:fill="FFFFFF"/>
        <w:spacing w:after="0" w:line="234" w:lineRule="atLeast"/>
      </w:pPr>
    </w:p>
    <w:p w:rsidR="00F81856" w:rsidRDefault="00F81856" w:rsidP="00F81856">
      <w:pPr>
        <w:shd w:val="clear" w:color="auto" w:fill="FFFFFF"/>
        <w:spacing w:after="0" w:line="234" w:lineRule="atLeast"/>
      </w:pPr>
    </w:p>
    <w:p w:rsidR="00F81856" w:rsidRDefault="00F81856" w:rsidP="00F818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9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1.</w:t>
      </w:r>
      <w:r w:rsidRPr="00C229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22987">
        <w:rPr>
          <w:rFonts w:ascii="Times New Roman" w:hAnsi="Times New Roman" w:cs="Times New Roman"/>
          <w:sz w:val="24"/>
          <w:szCs w:val="24"/>
        </w:rPr>
        <w:t xml:space="preserve">W ustawie z dnia </w:t>
      </w:r>
      <w:r>
        <w:rPr>
          <w:rFonts w:ascii="Times New Roman" w:hAnsi="Times New Roman" w:cs="Times New Roman"/>
          <w:sz w:val="24"/>
          <w:szCs w:val="24"/>
        </w:rPr>
        <w:t>7 września 1991</w:t>
      </w:r>
      <w:r w:rsidRPr="00C22987">
        <w:rPr>
          <w:rFonts w:ascii="Times New Roman" w:hAnsi="Times New Roman" w:cs="Times New Roman"/>
          <w:sz w:val="24"/>
          <w:szCs w:val="24"/>
        </w:rPr>
        <w:t xml:space="preserve"> r. o </w:t>
      </w:r>
      <w:r>
        <w:rPr>
          <w:rFonts w:ascii="Times New Roman" w:hAnsi="Times New Roman" w:cs="Times New Roman"/>
          <w:sz w:val="24"/>
          <w:szCs w:val="24"/>
        </w:rPr>
        <w:t xml:space="preserve">systemie oświaty </w:t>
      </w:r>
      <w:hyperlink r:id="rId8" w:history="1">
        <w:r w:rsidRPr="00AD064C">
          <w:rPr>
            <w:rFonts w:ascii="Times New Roman" w:hAnsi="Times New Roman" w:cs="Times New Roman"/>
            <w:sz w:val="24"/>
            <w:szCs w:val="24"/>
          </w:rPr>
          <w:t>(Dz.U. z 2015 r. poz. 2156</w:t>
        </w:r>
        <w:r>
          <w:rPr>
            <w:rFonts w:ascii="Times New Roman" w:hAnsi="Times New Roman" w:cs="Times New Roman"/>
            <w:sz w:val="24"/>
            <w:szCs w:val="24"/>
          </w:rPr>
          <w:t xml:space="preserve">, z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późn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. </w:t>
        </w:r>
        <w:r w:rsidR="004350EE">
          <w:rPr>
            <w:rFonts w:ascii="Times New Roman" w:hAnsi="Times New Roman" w:cs="Times New Roman"/>
            <w:sz w:val="24"/>
            <w:szCs w:val="24"/>
          </w:rPr>
          <w:t>z</w:t>
        </w:r>
        <w:r>
          <w:rPr>
            <w:rFonts w:ascii="Times New Roman" w:hAnsi="Times New Roman" w:cs="Times New Roman"/>
            <w:sz w:val="24"/>
            <w:szCs w:val="24"/>
          </w:rPr>
          <w:t>m</w:t>
        </w:r>
        <w:r w:rsidR="004350EE">
          <w:rPr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Odwoanieprzypisudolnego"/>
            <w:rFonts w:ascii="Times New Roman" w:hAnsi="Times New Roman" w:cs="Times New Roman"/>
            <w:sz w:val="24"/>
            <w:szCs w:val="24"/>
          </w:rPr>
          <w:footnoteReference w:id="1"/>
        </w:r>
        <w:r>
          <w:rPr>
            <w:rFonts w:ascii="Times New Roman" w:hAnsi="Times New Roman" w:cs="Times New Roman"/>
            <w:sz w:val="24"/>
            <w:szCs w:val="24"/>
            <w:vertAlign w:val="superscript"/>
          </w:rPr>
          <w:t>)</w:t>
        </w:r>
        <w:r w:rsidRPr="00AD064C">
          <w:rPr>
            <w:rFonts w:ascii="Times New Roman" w:hAnsi="Times New Roman" w:cs="Times New Roman"/>
            <w:sz w:val="24"/>
            <w:szCs w:val="24"/>
          </w:rPr>
          <w:t>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98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prowadza się następujące zmiany:</w:t>
      </w:r>
    </w:p>
    <w:p w:rsidR="00F81856" w:rsidRDefault="00F81856" w:rsidP="00F818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3 po pkt 25 dodaje się pkt 26 w brzmieniu:</w:t>
      </w:r>
    </w:p>
    <w:p w:rsidR="00F81856" w:rsidRPr="006B298C" w:rsidRDefault="00F81856" w:rsidP="00F81856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ECA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26) </w:t>
      </w:r>
      <w:r w:rsidRPr="00683ECA">
        <w:rPr>
          <w:rFonts w:ascii="Times New Roman" w:hAnsi="Times New Roman" w:cs="Times New Roman"/>
          <w:sz w:val="24"/>
          <w:szCs w:val="24"/>
        </w:rPr>
        <w:t xml:space="preserve">czasopiśmie – należy przez to rozumieć czasopismo w rozumieniu przepisów Ustawy z dnia 26 stycznia 1984 r. Prawo prasowe </w:t>
      </w:r>
      <w:hyperlink r:id="rId9" w:history="1">
        <w:r w:rsidRPr="00683ECA">
          <w:rPr>
            <w:rFonts w:ascii="Times New Roman" w:hAnsi="Times New Roman" w:cs="Times New Roman"/>
            <w:sz w:val="24"/>
            <w:szCs w:val="24"/>
          </w:rPr>
          <w:t>(Dz.U. Nr 5, poz. 24)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Pr="00683ECA">
        <w:rPr>
          <w:rFonts w:ascii="Times New Roman" w:hAnsi="Times New Roman" w:cs="Times New Roman"/>
          <w:sz w:val="24"/>
          <w:szCs w:val="24"/>
        </w:rPr>
        <w:t>”</w:t>
      </w:r>
    </w:p>
    <w:p w:rsidR="00F81856" w:rsidRDefault="00F81856" w:rsidP="00F818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art. 56 dodaje się art. 56a w brzmieniu:</w:t>
      </w:r>
    </w:p>
    <w:p w:rsidR="00F81856" w:rsidRDefault="00F81856" w:rsidP="00F81856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56a. 1. </w:t>
      </w:r>
      <w:r w:rsidR="002A5A49">
        <w:rPr>
          <w:rFonts w:ascii="Times New Roman" w:hAnsi="Times New Roman" w:cs="Times New Roman"/>
          <w:sz w:val="24"/>
          <w:szCs w:val="24"/>
        </w:rPr>
        <w:t>Zakaz działania w szkole oraz</w:t>
      </w:r>
      <w:r>
        <w:rPr>
          <w:rFonts w:ascii="Times New Roman" w:hAnsi="Times New Roman" w:cs="Times New Roman"/>
          <w:sz w:val="24"/>
          <w:szCs w:val="24"/>
        </w:rPr>
        <w:t xml:space="preserve"> placówce partii i organizacji politycznych, o którym mowa w art. 56 ust. 1, obejmuje również zakaz rozpowszechniania w tych miejscach czasopism, w tym czasopism edukacyjnych, które ze względu na treść w nich zawartą mogłyby służyć propagowaniu idei o charakterze politycznym.</w:t>
      </w:r>
    </w:p>
    <w:p w:rsidR="00F81856" w:rsidRDefault="00F81856" w:rsidP="00F81856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Nadzór pedagogiczny w zakresie przestrzegania zakazu określonego w ust. 1 sprawuje w sposób odpowiedni właściwy kurator oświaty.”</w:t>
      </w:r>
    </w:p>
    <w:p w:rsidR="00F81856" w:rsidRPr="003522D5" w:rsidRDefault="00F81856" w:rsidP="00F8185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81856" w:rsidRPr="00C22987" w:rsidRDefault="00F81856" w:rsidP="00F81856">
      <w:pPr>
        <w:pStyle w:val="w2zmart"/>
        <w:spacing w:line="360" w:lineRule="auto"/>
        <w:ind w:left="0" w:firstLine="0"/>
        <w:rPr>
          <w:szCs w:val="24"/>
        </w:rPr>
      </w:pPr>
      <w:r>
        <w:rPr>
          <w:b/>
          <w:szCs w:val="24"/>
        </w:rPr>
        <w:t>Art. 2</w:t>
      </w:r>
      <w:r w:rsidRPr="00ED6917">
        <w:rPr>
          <w:b/>
          <w:szCs w:val="24"/>
        </w:rPr>
        <w:t>.</w:t>
      </w:r>
      <w:r w:rsidRPr="00C22987">
        <w:rPr>
          <w:szCs w:val="24"/>
        </w:rPr>
        <w:t xml:space="preserve"> </w:t>
      </w:r>
      <w:r w:rsidRPr="00792C8B">
        <w:rPr>
          <w:rFonts w:cs="Times New Roman"/>
          <w:szCs w:val="24"/>
        </w:rPr>
        <w:t>Ustawa wchodzi w życie po upływie 30 dni od dnia ogłoszenia</w:t>
      </w:r>
      <w:r>
        <w:rPr>
          <w:rFonts w:cs="Times New Roman"/>
          <w:szCs w:val="24"/>
        </w:rPr>
        <w:t>.</w:t>
      </w:r>
    </w:p>
    <w:p w:rsidR="00AD064C" w:rsidRDefault="00AD064C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>
        <w:rPr>
          <w:rFonts w:ascii="Palatino Linotype" w:hAnsi="Palatino Linotype" w:cs="Times New Roman"/>
          <w:b/>
          <w:bCs/>
          <w:sz w:val="28"/>
          <w:szCs w:val="28"/>
        </w:rPr>
        <w:t>UZASADNIENIE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b/>
          <w:bCs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>1. Potrzeba i cel wydania ustawy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MT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 xml:space="preserve">Projektowana ustawa ma na celu nowelizację ustawy z dnia 7 września 1991 r. o systemie oświaty (Dz. U. z 2015 r. poz. 2156 z </w:t>
      </w:r>
      <w:proofErr w:type="spellStart"/>
      <w:r>
        <w:rPr>
          <w:rFonts w:ascii="Palatino Linotype" w:hAnsi="Palatino Linotype" w:cs="TimesNewRomanPSMT"/>
          <w:sz w:val="24"/>
          <w:szCs w:val="24"/>
        </w:rPr>
        <w:t>późn</w:t>
      </w:r>
      <w:proofErr w:type="spellEnd"/>
      <w:r>
        <w:rPr>
          <w:rFonts w:ascii="Palatino Linotype" w:hAnsi="Palatino Linotype" w:cs="TimesNewRomanPSMT"/>
          <w:sz w:val="24"/>
          <w:szCs w:val="24"/>
        </w:rPr>
        <w:t>. zm.)</w:t>
      </w:r>
      <w:r>
        <w:rPr>
          <w:rFonts w:ascii="Palatino Linotype" w:hAnsi="Palatino Linotype" w:cs="Times New Roman"/>
          <w:sz w:val="24"/>
          <w:szCs w:val="24"/>
        </w:rPr>
        <w:t>. Proponowane zmiany zakładają rozszerzenie zakazu zawartego w art. 56 ustawy, dotyczącego działania w szkołach oraz placówkach partii i organizacji politycznych, również na pośrednie formy ich potencjalnej działalności, które nie wymagają „fizycznej” obecności na terenie szkół i placówek, a za pomocą których możliwe jest rozpowszechnianie idei o charakterze politycznym. Celem proponowanej regulacji jest przede wszystkim wzmocnienie neutralności światopoglądowej szkół i placówek, w odniesieniu do dotychczas nieregulowanego w ustawie środka przekazu informacji, z którymi mogą mieć styczność uczniowie - czasopism.</w:t>
      </w:r>
      <w:r>
        <w:rPr>
          <w:rFonts w:ascii="Palatino Linotype" w:hAnsi="Palatino Linotype" w:cs="TimesNewRomanPSMT"/>
          <w:sz w:val="24"/>
          <w:szCs w:val="24"/>
        </w:rPr>
        <w:t xml:space="preserve"> Propozycje zawarte w projekcie stwarzają możliwość sprawowania nadzoru nad treściami czasopism, które w szkołach i placówkach są udostępniane uczniom. Nadzór pedagogiczny w tym zakresie miałby być sprawowany przez właściwego kuratora oświaty. Wynika to z faktu, że to na nim spoczywa główny ciężar bieżącej realizacji funkcji i zadań nadzoru pedagogicznego a także dlatego, że może on wykonywać czynności nadzoru w trybie działań doraźnych. Dodatkowym argumentem jest to, że kuratorzy oświaty wyposażeni są we władcze środki oddziaływania, takie jak wydanie w drodze decyzji polecenia usunięcia uchybień w pracy szkoły lub placówki, polegających na prowadzeniu działalności z naruszeniem ustawy.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ArialUnicodeMS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>Impulsem do wystąpienia z niniejszą inicjatywą ustawodawczą są próby podejmowane przez wydawnictwa, polegające na rozpowszechnianiu na terenie szkół i placówek czasopism, które mimo waloru edukacyjnego zawierają również treści o charakterze politycznym, przedstawione w sposób stronniczy, a nawet propagujące określone idee polityczne.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ArialUnicodeMS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lastRenderedPageBreak/>
        <w:t xml:space="preserve">Należy zaznaczyć, iż problematyka objęta zakresem ustawy jest istotna z uwagi na dobro konstytucyjnie chronione wskazane w art. 53 ust. 3 Konstytucji Rzeczypospolitej Polskiej z dnia 2 kwietnia 1997 r. – wolność sumienia i wyznania. Zgodnie z tym artykułem, „Rodzice mają prawo do zapewnienia dzieciom wychowania i nauczania moralnego i religijnego zgodnie ze swoimi przekonaniami”. W artykule tym znajduje się również odniesienie do art. 48 ust. 1 Konstytucji, mówiącego, że „Rodzice mają prawo do wychowania dzieci zgodnie z własnymi przekonaniami. Wychowanie to powinno uwzględniać stopień dojrzałości dziecka, a także wolność jego sumienia i wyznania oraz jego przekonania”. Wskazanie tych dóbr w Konstytucji stanowczo warunkuje postulat neutralności światopoglądowej szkół i placówek. W związku z tym konieczne jest zapewnienie mechanizmów prawnych, które umożliwią przeciwdziałanie w sytuacji gdy te konstytucyjne dobra będą naruszane. 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MT"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 xml:space="preserve">2. </w:t>
      </w:r>
      <w:r>
        <w:rPr>
          <w:rFonts w:ascii="Palatino Linotype" w:hAnsi="Palatino Linotype" w:cs="TimesNewRomanPS-BoldMT"/>
          <w:b/>
          <w:bCs/>
          <w:sz w:val="24"/>
          <w:szCs w:val="24"/>
        </w:rPr>
        <w:t>Rzeczywisty stan w dziedzinie, która ma być unormowana oraz różnica pomiędzy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>dotychczasowym a projektowanym stanem prawnym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 xml:space="preserve">Obecnie, mimo iż neutralność światopoglądowa szkół i placówek jest powszechnie popieraną wartością, nie znajduje to odzwierciedlenia w ustawie o systemie oświaty. Oprócz uregulowania z art. 56 ust. 1 wskazującego w sposób ogólny bezwzględny zakaz działania partii i organizacji politycznych w szkole (placówce), brak innych przepisów w tej kwestii. Tak sformułowana regulacja zakazująca propagowania w szkołach (placówkach) treści politycznych stwarza pole do omijania tego zakazu. Zwłaszcza sformułowanie „działać w szkole (placówce)”, a przede wszystkim zestawienie tych podmiotów z innymi organizacjami społecznymi którym ustawa zezwala na „fizyczne” funkcjonowanie na terenie szkół może prowadzić do stwierdzenia, że chodzi jedynie o aktywność o charakterze bezpośrednim. W doktrynie wskazuje się jednak, że nie powinno się tego rozumieć tak wąsko  i że może to być „każda forma społecznej aktywności, informowania, propagowania idei </w:t>
      </w:r>
      <w:r>
        <w:rPr>
          <w:rFonts w:ascii="Palatino Linotype" w:hAnsi="Palatino Linotype" w:cs="TimesNewRomanPSMT"/>
          <w:sz w:val="24"/>
          <w:szCs w:val="24"/>
        </w:rPr>
        <w:lastRenderedPageBreak/>
        <w:t>itp., którą dana organizacja podejmuje w stosunku do uczniów, korzystając ze wsparcia (choćby biernego) szkoły lub placówki"</w:t>
      </w:r>
      <w:r>
        <w:rPr>
          <w:rStyle w:val="Odwoanieprzypisudolnego"/>
          <w:rFonts w:ascii="Palatino Linotype" w:hAnsi="Palatino Linotype" w:cs="TimesNewRomanPSMT"/>
          <w:sz w:val="24"/>
          <w:szCs w:val="24"/>
        </w:rPr>
        <w:footnoteReference w:id="2"/>
      </w:r>
      <w:r>
        <w:rPr>
          <w:rFonts w:ascii="Palatino Linotype" w:hAnsi="Palatino Linotype" w:cs="TimesNewRomanPSMT"/>
          <w:sz w:val="24"/>
          <w:szCs w:val="24"/>
        </w:rPr>
        <w:t xml:space="preserve">. Ukazuje to istniejącą w aktualnym stanie </w:t>
      </w:r>
      <w:r>
        <w:rPr>
          <w:rFonts w:ascii="Palatino Linotype" w:hAnsi="Palatino Linotype" w:cs="Times New Roman"/>
          <w:sz w:val="24"/>
          <w:szCs w:val="24"/>
        </w:rPr>
        <w:t>prawnym lukę, dzięki której</w:t>
      </w:r>
      <w:r>
        <w:rPr>
          <w:rFonts w:ascii="Palatino Linotype" w:hAnsi="Palatino Linotype" w:cs="TimesNewRomanPSMT"/>
          <w:sz w:val="24"/>
          <w:szCs w:val="24"/>
        </w:rPr>
        <w:t xml:space="preserve"> działalność partii i organizacji politycznych polegająca na rozpowszechnianiu treści o zabarwieniu politycznym w szkołach lub placówkach jest możliwa, a co gorsza – nie jest kontrolowana przez jakikolwiek organ powołany do nadzoru pedagogicznego. W projektowanym stanie prawnym wszystkie treści w szkołach (placówkach) byłyby nadzorowane przez organ do tego powołany, co wzmacniałoby ochronę uczniów w zakresie ich konstytucyjnie chronionych dóbr. W związku z powyższym</w:t>
      </w:r>
      <w:r>
        <w:rPr>
          <w:rFonts w:ascii="Palatino Linotype" w:hAnsi="Palatino Linotype" w:cs="Times New Roman"/>
          <w:sz w:val="24"/>
          <w:szCs w:val="24"/>
        </w:rPr>
        <w:t xml:space="preserve"> </w:t>
      </w:r>
      <w:r>
        <w:rPr>
          <w:rFonts w:ascii="Palatino Linotype" w:hAnsi="Palatino Linotype" w:cs="TimesNewRomanPSMT"/>
          <w:sz w:val="24"/>
          <w:szCs w:val="24"/>
        </w:rPr>
        <w:t xml:space="preserve">projektowana ingerencja w obowiązujący system prawny </w:t>
      </w:r>
      <w:r>
        <w:rPr>
          <w:rFonts w:ascii="Palatino Linotype" w:hAnsi="Palatino Linotype" w:cs="Times New Roman"/>
          <w:sz w:val="24"/>
          <w:szCs w:val="24"/>
        </w:rPr>
        <w:t>jest uzasadniona.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 xml:space="preserve">3. </w:t>
      </w:r>
      <w:r>
        <w:rPr>
          <w:rFonts w:ascii="Palatino Linotype" w:hAnsi="Palatino Linotype" w:cs="TimesNewRomanPS-BoldMT"/>
          <w:b/>
          <w:bCs/>
          <w:sz w:val="24"/>
          <w:szCs w:val="24"/>
        </w:rPr>
        <w:t>Przewidywane skutki społeczne, gospodarcze, finansowe i prawne i źródła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>finasowania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Projektowana us</w:t>
      </w:r>
      <w:r>
        <w:rPr>
          <w:rFonts w:ascii="Palatino Linotype" w:hAnsi="Palatino Linotype" w:cs="TimesNewRomanPSMT"/>
          <w:sz w:val="24"/>
          <w:szCs w:val="24"/>
        </w:rPr>
        <w:t xml:space="preserve">tawa będzie miała pozytywne skutki społeczne z uwagi na to, iż będzie chronić neutralność światopoglądową szkół i placówek. 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MT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>W</w:t>
      </w:r>
      <w:r>
        <w:rPr>
          <w:rFonts w:ascii="Palatino Linotype" w:hAnsi="Palatino Linotype" w:cs="TimesNewRomanPSMT"/>
          <w:sz w:val="24"/>
          <w:szCs w:val="24"/>
        </w:rPr>
        <w:t xml:space="preserve">ejście w życie projektu ustawy nie będzie rodziło </w:t>
      </w:r>
      <w:r>
        <w:rPr>
          <w:rFonts w:ascii="Palatino Linotype" w:hAnsi="Palatino Linotype" w:cs="Times New Roman"/>
          <w:sz w:val="24"/>
          <w:szCs w:val="24"/>
        </w:rPr>
        <w:t xml:space="preserve">skutków finansowych, </w:t>
      </w:r>
      <w:r>
        <w:rPr>
          <w:rFonts w:ascii="Palatino Linotype" w:hAnsi="Palatino Linotype" w:cs="TimesNewRomanPSMT"/>
          <w:sz w:val="24"/>
          <w:szCs w:val="24"/>
        </w:rPr>
        <w:t>nie będzie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 xml:space="preserve">miało wpływu na konkurencyjność gospodarki i przedsiębiorczość, </w:t>
      </w:r>
      <w:r>
        <w:rPr>
          <w:rFonts w:ascii="Palatino Linotype" w:hAnsi="Palatino Linotype" w:cs="Times New Roman"/>
          <w:sz w:val="24"/>
          <w:szCs w:val="24"/>
        </w:rPr>
        <w:t xml:space="preserve">w tym na funkcjonowanie </w:t>
      </w:r>
      <w:r>
        <w:rPr>
          <w:rFonts w:ascii="Palatino Linotype" w:hAnsi="Palatino Linotype" w:cs="TimesNewRomanPSMT"/>
          <w:sz w:val="24"/>
          <w:szCs w:val="24"/>
        </w:rPr>
        <w:t>przedsiębiorstw.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 New Roman"/>
          <w:b/>
          <w:bCs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 New Roman"/>
          <w:b/>
          <w:bCs/>
          <w:sz w:val="24"/>
          <w:szCs w:val="24"/>
        </w:rPr>
        <w:t xml:space="preserve">4. </w:t>
      </w:r>
      <w:r>
        <w:rPr>
          <w:rFonts w:ascii="Palatino Linotype" w:hAnsi="Palatino Linotype" w:cs="TimesNewRomanPS-BoldMT"/>
          <w:b/>
          <w:bCs/>
          <w:sz w:val="24"/>
          <w:szCs w:val="24"/>
        </w:rPr>
        <w:t>Źródła finansowania, jeżeli projekt niesie obciążenia dla budżetu państwa lub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NewRomanPS-BoldMT"/>
          <w:b/>
          <w:bCs/>
          <w:sz w:val="24"/>
          <w:szCs w:val="24"/>
        </w:rPr>
        <w:t>jednostek samorządu terytorialnego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MT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>Projektowana ustawa nie rodzi skutków finansowych dla budżetu państwa oraz budżetów jednostek samorządu terytorialnego.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NewRomanPS-BoldMT"/>
          <w:b/>
          <w:bCs/>
          <w:sz w:val="24"/>
          <w:szCs w:val="24"/>
        </w:rPr>
        <w:t>5. Założenia projektów podstawowych aktów wykonawczych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MT"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t>Projekt ustawy nie przewiduje wydania aktów wykonawczych.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NewRomanPS-BoldMT"/>
          <w:b/>
          <w:bCs/>
          <w:sz w:val="24"/>
          <w:szCs w:val="24"/>
        </w:rPr>
        <w:t>6. Ocena zgodności projektu z prawem Unii Europejskiej</w:t>
      </w:r>
    </w:p>
    <w:p w:rsidR="00466AA0" w:rsidRDefault="00466AA0" w:rsidP="00466AA0">
      <w:pPr>
        <w:autoSpaceDE w:val="0"/>
        <w:autoSpaceDN w:val="0"/>
        <w:adjustRightInd w:val="0"/>
        <w:spacing w:after="0" w:line="360" w:lineRule="auto"/>
        <w:jc w:val="both"/>
        <w:rPr>
          <w:rFonts w:ascii="Palatino Linotype" w:hAnsi="Palatino Linotype" w:cs="TimesNewRomanPS-BoldMT"/>
          <w:b/>
          <w:bCs/>
          <w:sz w:val="24"/>
          <w:szCs w:val="24"/>
        </w:rPr>
      </w:pPr>
      <w:r>
        <w:rPr>
          <w:rFonts w:ascii="Palatino Linotype" w:hAnsi="Palatino Linotype" w:cs="TimesNewRomanPSMT"/>
          <w:sz w:val="24"/>
          <w:szCs w:val="24"/>
        </w:rPr>
        <w:lastRenderedPageBreak/>
        <w:t>Przedkładany projekt ustawy jest zgodny z prawem Unii Europejskiej.</w:t>
      </w:r>
    </w:p>
    <w:p w:rsidR="00466AA0" w:rsidRDefault="00466AA0" w:rsidP="00466AA0">
      <w:pPr>
        <w:spacing w:line="360" w:lineRule="auto"/>
        <w:jc w:val="both"/>
        <w:rPr>
          <w:rFonts w:ascii="Palatino Linotype" w:hAnsi="Palatino Linotype"/>
        </w:rPr>
      </w:pPr>
    </w:p>
    <w:p w:rsidR="00466AA0" w:rsidRPr="00AC4696" w:rsidRDefault="00466AA0" w:rsidP="00AC4696">
      <w:pPr>
        <w:rPr>
          <w:rFonts w:ascii="Times New Roman" w:hAnsi="Times New Roman" w:cs="Times New Roman"/>
          <w:sz w:val="24"/>
          <w:szCs w:val="24"/>
        </w:rPr>
      </w:pPr>
    </w:p>
    <w:sectPr w:rsidR="00466AA0" w:rsidRPr="00AC4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0DC" w:rsidRDefault="002C50DC" w:rsidP="00AD064C">
      <w:pPr>
        <w:spacing w:after="0" w:line="240" w:lineRule="auto"/>
      </w:pPr>
      <w:r>
        <w:separator/>
      </w:r>
    </w:p>
  </w:endnote>
  <w:endnote w:type="continuationSeparator" w:id="0">
    <w:p w:rsidR="002C50DC" w:rsidRDefault="002C50DC" w:rsidP="00AD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UnicodeM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0DC" w:rsidRDefault="002C50DC" w:rsidP="00AD064C">
      <w:pPr>
        <w:spacing w:after="0" w:line="240" w:lineRule="auto"/>
      </w:pPr>
      <w:r>
        <w:separator/>
      </w:r>
    </w:p>
  </w:footnote>
  <w:footnote w:type="continuationSeparator" w:id="0">
    <w:p w:rsidR="002C50DC" w:rsidRDefault="002C50DC" w:rsidP="00AD064C">
      <w:pPr>
        <w:spacing w:after="0" w:line="240" w:lineRule="auto"/>
      </w:pPr>
      <w:r>
        <w:continuationSeparator/>
      </w:r>
    </w:p>
  </w:footnote>
  <w:footnote w:id="1">
    <w:p w:rsidR="00F81856" w:rsidRDefault="00F81856" w:rsidP="00F8185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/>
        </w:rPr>
        <w:t>Zmiany tekstu jednolitego wymienionej ustawy zosta</w:t>
      </w:r>
      <w:r>
        <w:rPr>
          <w:rFonts w:hAnsi="Times New Roman"/>
        </w:rPr>
        <w:t>ł</w:t>
      </w:r>
      <w:r>
        <w:rPr>
          <w:rFonts w:ascii="Times New Roman"/>
          <w:lang w:val="da-DK"/>
        </w:rPr>
        <w:t>y og</w:t>
      </w:r>
      <w:proofErr w:type="spellStart"/>
      <w:r>
        <w:rPr>
          <w:rFonts w:hAnsi="Times New Roman"/>
        </w:rPr>
        <w:t>ł</w:t>
      </w:r>
      <w:r w:rsidR="00C34F7D">
        <w:rPr>
          <w:rFonts w:ascii="Times New Roman"/>
        </w:rPr>
        <w:t>oszone</w:t>
      </w:r>
      <w:proofErr w:type="spellEnd"/>
      <w:r w:rsidR="00C34F7D">
        <w:rPr>
          <w:rFonts w:ascii="Times New Roman"/>
        </w:rPr>
        <w:t xml:space="preserve"> w Dz. U. z 2016</w:t>
      </w:r>
      <w:r>
        <w:rPr>
          <w:rFonts w:ascii="Times New Roman"/>
        </w:rPr>
        <w:t xml:space="preserve"> r. poz. </w:t>
      </w:r>
      <w:r w:rsidR="00C34F7D">
        <w:rPr>
          <w:rFonts w:ascii="Times New Roman"/>
        </w:rPr>
        <w:t>35</w:t>
      </w:r>
      <w:r>
        <w:rPr>
          <w:rFonts w:ascii="Times New Roman"/>
        </w:rPr>
        <w:t xml:space="preserve">, </w:t>
      </w:r>
      <w:r w:rsidR="00C34F7D">
        <w:rPr>
          <w:rFonts w:ascii="Times New Roman"/>
        </w:rPr>
        <w:t>64 oraz 195</w:t>
      </w:r>
      <w:r>
        <w:rPr>
          <w:rFonts w:ascii="Times New Roman"/>
        </w:rPr>
        <w:t>.</w:t>
      </w:r>
    </w:p>
  </w:footnote>
  <w:footnote w:id="2">
    <w:p w:rsidR="00466AA0" w:rsidRDefault="00466AA0" w:rsidP="00466AA0">
      <w:pPr>
        <w:pStyle w:val="Tekstprzypisudolnego"/>
        <w:rPr>
          <w:rFonts w:ascii="Palatino Linotype" w:hAnsi="Palatino Linotype"/>
          <w:sz w:val="16"/>
          <w:szCs w:val="16"/>
        </w:rPr>
      </w:pPr>
      <w:r>
        <w:rPr>
          <w:rStyle w:val="Odwoanieprzypisudolnego"/>
          <w:rFonts w:ascii="Palatino Linotype" w:hAnsi="Palatino Linotype"/>
          <w:sz w:val="16"/>
          <w:szCs w:val="16"/>
        </w:rPr>
        <w:footnoteRef/>
      </w:r>
      <w:r>
        <w:rPr>
          <w:rFonts w:ascii="Palatino Linotype" w:hAnsi="Palatino Linotype"/>
          <w:sz w:val="16"/>
          <w:szCs w:val="16"/>
        </w:rPr>
        <w:t xml:space="preserve"> Mateusz </w:t>
      </w:r>
      <w:proofErr w:type="spellStart"/>
      <w:r>
        <w:rPr>
          <w:rFonts w:ascii="Palatino Linotype" w:hAnsi="Palatino Linotype"/>
          <w:sz w:val="16"/>
          <w:szCs w:val="16"/>
        </w:rPr>
        <w:t>Plich</w:t>
      </w:r>
      <w:proofErr w:type="spellEnd"/>
      <w:r>
        <w:rPr>
          <w:rFonts w:ascii="Palatino Linotype" w:hAnsi="Palatino Linotype"/>
          <w:sz w:val="16"/>
          <w:szCs w:val="16"/>
        </w:rPr>
        <w:t>, Komentarz do art. 56 ustawy o systemie oświaty, LEX 2015.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16126"/>
    <w:multiLevelType w:val="hybridMultilevel"/>
    <w:tmpl w:val="DDF21B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93"/>
    <w:rsid w:val="000C030A"/>
    <w:rsid w:val="00130E5E"/>
    <w:rsid w:val="00183347"/>
    <w:rsid w:val="0022125E"/>
    <w:rsid w:val="0027150D"/>
    <w:rsid w:val="00277F18"/>
    <w:rsid w:val="002A5A49"/>
    <w:rsid w:val="002A6FBE"/>
    <w:rsid w:val="002B54D5"/>
    <w:rsid w:val="002B5EFE"/>
    <w:rsid w:val="002C50DC"/>
    <w:rsid w:val="003522D5"/>
    <w:rsid w:val="00377FB1"/>
    <w:rsid w:val="003A236E"/>
    <w:rsid w:val="00416EE2"/>
    <w:rsid w:val="004350EE"/>
    <w:rsid w:val="00446BDE"/>
    <w:rsid w:val="00466AA0"/>
    <w:rsid w:val="004E4D3D"/>
    <w:rsid w:val="00505D42"/>
    <w:rsid w:val="00540F93"/>
    <w:rsid w:val="00606BA8"/>
    <w:rsid w:val="006432EE"/>
    <w:rsid w:val="00683ECA"/>
    <w:rsid w:val="006B298C"/>
    <w:rsid w:val="006E3024"/>
    <w:rsid w:val="00735FF1"/>
    <w:rsid w:val="00780985"/>
    <w:rsid w:val="008037AC"/>
    <w:rsid w:val="0081541B"/>
    <w:rsid w:val="00832A52"/>
    <w:rsid w:val="008B5A3E"/>
    <w:rsid w:val="00946F8E"/>
    <w:rsid w:val="0094760B"/>
    <w:rsid w:val="00A973C1"/>
    <w:rsid w:val="00AB4604"/>
    <w:rsid w:val="00AC4696"/>
    <w:rsid w:val="00AD064C"/>
    <w:rsid w:val="00B73D7E"/>
    <w:rsid w:val="00BD3F79"/>
    <w:rsid w:val="00C2095A"/>
    <w:rsid w:val="00C20D6D"/>
    <w:rsid w:val="00C34F7D"/>
    <w:rsid w:val="00C45570"/>
    <w:rsid w:val="00D2333B"/>
    <w:rsid w:val="00D84BFB"/>
    <w:rsid w:val="00DE7B7D"/>
    <w:rsid w:val="00E005BD"/>
    <w:rsid w:val="00EC67A1"/>
    <w:rsid w:val="00EF6F4C"/>
    <w:rsid w:val="00F50575"/>
    <w:rsid w:val="00F51FF9"/>
    <w:rsid w:val="00F75BCA"/>
    <w:rsid w:val="00F8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1856"/>
  </w:style>
  <w:style w:type="paragraph" w:styleId="Nagwek1">
    <w:name w:val="heading 1"/>
    <w:basedOn w:val="Normalny"/>
    <w:link w:val="Nagwek1Znak"/>
    <w:uiPriority w:val="9"/>
    <w:qFormat/>
    <w:rsid w:val="00540F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F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F9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mainpub">
    <w:name w:val="mainpub"/>
    <w:basedOn w:val="Normalny"/>
    <w:rsid w:val="00540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540F93"/>
  </w:style>
  <w:style w:type="character" w:styleId="Hipercze">
    <w:name w:val="Hyperlink"/>
    <w:basedOn w:val="Domylnaczcionkaakapitu"/>
    <w:uiPriority w:val="99"/>
    <w:semiHidden/>
    <w:unhideWhenUsed/>
    <w:rsid w:val="00540F9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F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6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6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064C"/>
    <w:rPr>
      <w:vertAlign w:val="superscript"/>
    </w:rPr>
  </w:style>
  <w:style w:type="paragraph" w:styleId="Akapitzlist">
    <w:name w:val="List Paragraph"/>
    <w:basedOn w:val="Normalny"/>
    <w:uiPriority w:val="34"/>
    <w:qFormat/>
    <w:rsid w:val="00AD064C"/>
    <w:pPr>
      <w:ind w:left="720"/>
      <w:contextualSpacing/>
    </w:pPr>
  </w:style>
  <w:style w:type="paragraph" w:customStyle="1" w:styleId="w2zmart">
    <w:name w:val="w2_zm_art"/>
    <w:qFormat/>
    <w:rsid w:val="00EF6F4C"/>
    <w:pPr>
      <w:spacing w:before="60" w:after="60" w:line="240" w:lineRule="auto"/>
      <w:ind w:left="851" w:hanging="295"/>
      <w:jc w:val="both"/>
      <w:outlineLvl w:val="3"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F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E4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rticletitle">
    <w:name w:val="articletitle"/>
    <w:basedOn w:val="Domylnaczcionkaakapitu"/>
    <w:rsid w:val="00832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1856"/>
  </w:style>
  <w:style w:type="paragraph" w:styleId="Nagwek1">
    <w:name w:val="heading 1"/>
    <w:basedOn w:val="Normalny"/>
    <w:link w:val="Nagwek1Znak"/>
    <w:uiPriority w:val="9"/>
    <w:qFormat/>
    <w:rsid w:val="00540F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F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F9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mainpub">
    <w:name w:val="mainpub"/>
    <w:basedOn w:val="Normalny"/>
    <w:rsid w:val="00540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540F93"/>
  </w:style>
  <w:style w:type="character" w:styleId="Hipercze">
    <w:name w:val="Hyperlink"/>
    <w:basedOn w:val="Domylnaczcionkaakapitu"/>
    <w:uiPriority w:val="99"/>
    <w:semiHidden/>
    <w:unhideWhenUsed/>
    <w:rsid w:val="00540F93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F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6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6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064C"/>
    <w:rPr>
      <w:vertAlign w:val="superscript"/>
    </w:rPr>
  </w:style>
  <w:style w:type="paragraph" w:styleId="Akapitzlist">
    <w:name w:val="List Paragraph"/>
    <w:basedOn w:val="Normalny"/>
    <w:uiPriority w:val="34"/>
    <w:qFormat/>
    <w:rsid w:val="00AD064C"/>
    <w:pPr>
      <w:ind w:left="720"/>
      <w:contextualSpacing/>
    </w:pPr>
  </w:style>
  <w:style w:type="paragraph" w:customStyle="1" w:styleId="w2zmart">
    <w:name w:val="w2_zm_art"/>
    <w:qFormat/>
    <w:rsid w:val="00EF6F4C"/>
    <w:pPr>
      <w:spacing w:before="60" w:after="60" w:line="240" w:lineRule="auto"/>
      <w:ind w:left="851" w:hanging="295"/>
      <w:jc w:val="both"/>
      <w:outlineLvl w:val="3"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F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E4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rticletitle">
    <w:name w:val="articletitle"/>
    <w:basedOn w:val="Domylnaczcionkaakapitu"/>
    <w:rsid w:val="0083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5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689">
              <w:marLeft w:val="-24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i2tqobzg43t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sgqytao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Ewa A. Genert</cp:lastModifiedBy>
  <cp:revision>2</cp:revision>
  <cp:lastPrinted>2016-06-20T09:31:00Z</cp:lastPrinted>
  <dcterms:created xsi:type="dcterms:W3CDTF">2016-07-07T08:57:00Z</dcterms:created>
  <dcterms:modified xsi:type="dcterms:W3CDTF">2016-07-07T08:57:00Z</dcterms:modified>
</cp:coreProperties>
</file>