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599" w:rsidRPr="00AA3E07" w:rsidRDefault="003B0599" w:rsidP="00736C5E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AA3E07">
        <w:rPr>
          <w:rFonts w:ascii="Arial" w:hAnsi="Arial" w:cs="Arial"/>
          <w:b/>
          <w:bCs/>
          <w:sz w:val="24"/>
          <w:szCs w:val="24"/>
        </w:rPr>
        <w:t>UZASADNIENIE</w:t>
      </w:r>
    </w:p>
    <w:p w:rsidR="003B0599" w:rsidRPr="00AA3E07" w:rsidRDefault="003B0599" w:rsidP="00736C5E">
      <w:pPr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</w:p>
    <w:p w:rsidR="003B0599" w:rsidRPr="00AA3E07" w:rsidRDefault="001701DA" w:rsidP="00736C5E">
      <w:pPr>
        <w:pStyle w:val="Akapitzlist1"/>
        <w:spacing w:after="120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AA3E07">
        <w:rPr>
          <w:rFonts w:ascii="Arial" w:hAnsi="Arial" w:cs="Arial"/>
          <w:b/>
          <w:bCs/>
          <w:sz w:val="24"/>
          <w:szCs w:val="24"/>
        </w:rPr>
        <w:t xml:space="preserve">1. </w:t>
      </w:r>
      <w:r w:rsidR="00C14C8E" w:rsidRPr="00AA3E07">
        <w:rPr>
          <w:rFonts w:ascii="Arial" w:hAnsi="Arial" w:cs="Arial"/>
          <w:b/>
          <w:bCs/>
          <w:sz w:val="24"/>
          <w:szCs w:val="24"/>
        </w:rPr>
        <w:t>Potrzeba i c</w:t>
      </w:r>
      <w:r w:rsidR="003B0599" w:rsidRPr="00AA3E07">
        <w:rPr>
          <w:rFonts w:ascii="Arial" w:hAnsi="Arial" w:cs="Arial"/>
          <w:b/>
          <w:bCs/>
          <w:sz w:val="24"/>
          <w:szCs w:val="24"/>
        </w:rPr>
        <w:t>el projektu</w:t>
      </w:r>
    </w:p>
    <w:p w:rsidR="00CB08E7" w:rsidRPr="00AA3E07" w:rsidRDefault="00CB08E7" w:rsidP="00736C5E">
      <w:pPr>
        <w:spacing w:before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Celem ustawy jest pozyskanie dodatkowego źródła finansowania wydatków budżetowych, w szczególności wydatków społecznych, o których jest mowa w programie Rządu. </w:t>
      </w:r>
    </w:p>
    <w:p w:rsidR="00CB08E7" w:rsidRDefault="00CB08E7" w:rsidP="00A1415C">
      <w:pPr>
        <w:spacing w:before="120"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Ponadto ustawa ma na celu zwiększenie udziału sektora finansowego w finansowaniu wydatków budżetowych. Podniesienie w ostatnich latach stawki podatku od towarów i usług o 1 punkt procentowy zwiększyło obciążenia podatkowe społeczeństwa o kwotę zbliżoną do szacowanych dochodów budżetu państwa z tytułu przedmiotowego podatku. Jest wiec uzasadnione by sektor finansowy w większym niż dotychczas stopniu uczestniczył w ponoszeniu obciążeń podatkowych, tak jak ma to miejsce w innych państwach europejskich.</w:t>
      </w:r>
    </w:p>
    <w:p w:rsidR="00ED4651" w:rsidRPr="00AA3E07" w:rsidRDefault="00ED4651" w:rsidP="00A1415C">
      <w:pPr>
        <w:spacing w:before="120" w:after="0"/>
        <w:jc w:val="both"/>
        <w:rPr>
          <w:rFonts w:ascii="Arial" w:hAnsi="Arial" w:cs="Arial"/>
        </w:rPr>
      </w:pPr>
    </w:p>
    <w:p w:rsidR="003B0599" w:rsidRPr="00AA3E07" w:rsidRDefault="001701DA" w:rsidP="00A1415C">
      <w:pPr>
        <w:spacing w:after="0"/>
        <w:jc w:val="both"/>
        <w:rPr>
          <w:rFonts w:ascii="Arial" w:hAnsi="Arial" w:cs="Arial"/>
          <w:b/>
          <w:bCs/>
        </w:rPr>
      </w:pPr>
      <w:r w:rsidRPr="00AA3E07">
        <w:rPr>
          <w:rFonts w:ascii="Arial" w:hAnsi="Arial" w:cs="Arial"/>
          <w:b/>
          <w:bCs/>
          <w:sz w:val="24"/>
          <w:szCs w:val="24"/>
        </w:rPr>
        <w:t xml:space="preserve">2. </w:t>
      </w:r>
      <w:r w:rsidR="003B0599" w:rsidRPr="00AA3E07">
        <w:rPr>
          <w:rFonts w:ascii="Arial" w:hAnsi="Arial" w:cs="Arial"/>
          <w:b/>
          <w:bCs/>
          <w:sz w:val="24"/>
          <w:szCs w:val="24"/>
        </w:rPr>
        <w:t>Rzeczywisty stan w dziedzinie stanowiącej przedmiot regulacji</w:t>
      </w:r>
    </w:p>
    <w:p w:rsidR="00CB08E7" w:rsidRPr="00AA3E07" w:rsidRDefault="00CB08E7" w:rsidP="00ED4651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Polska jest obecnie jednym z niewielu krajów Europy, który nie wprowadził podatku bankowego.  </w:t>
      </w:r>
    </w:p>
    <w:p w:rsidR="00CB08E7" w:rsidRPr="00AA3E07" w:rsidRDefault="00CB08E7" w:rsidP="00ED4651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Praktyka legislacyjna w zakresie opodatkowania sektora bankowego po 2008 roku jest znaczna i obejmuje regulacje wprowadzane w kilkunastu krajach Unii Europejskiej. Do najpopularniejszych przedmiotów opodatkowania należą : </w:t>
      </w:r>
    </w:p>
    <w:p w:rsidR="00CB08E7" w:rsidRPr="00AA3E07" w:rsidRDefault="00CB08E7" w:rsidP="00ED4651">
      <w:pPr>
        <w:numPr>
          <w:ilvl w:val="0"/>
          <w:numId w:val="15"/>
        </w:numPr>
        <w:suppressAutoHyphens w:val="0"/>
        <w:spacing w:before="120" w:after="120"/>
        <w:ind w:left="908" w:hanging="454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 </w:t>
      </w:r>
      <w:r w:rsidRPr="00AA3E07">
        <w:rPr>
          <w:rFonts w:ascii="Arial" w:hAnsi="Arial" w:cs="Arial"/>
        </w:rPr>
        <w:tab/>
        <w:t xml:space="preserve">wartość sumy bilansowej ( z różnymi zastrzeżeniami), </w:t>
      </w:r>
    </w:p>
    <w:p w:rsidR="00CB08E7" w:rsidRPr="00AA3E07" w:rsidRDefault="00CB08E7" w:rsidP="00736C5E">
      <w:pPr>
        <w:numPr>
          <w:ilvl w:val="0"/>
          <w:numId w:val="15"/>
        </w:numPr>
        <w:suppressAutoHyphens w:val="0"/>
        <w:spacing w:before="120" w:after="0"/>
        <w:ind w:left="908" w:hanging="454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 </w:t>
      </w:r>
      <w:r w:rsidRPr="00AA3E07">
        <w:rPr>
          <w:rFonts w:ascii="Arial" w:hAnsi="Arial" w:cs="Arial"/>
        </w:rPr>
        <w:tab/>
        <w:t xml:space="preserve">wartość aktywów netto, </w:t>
      </w:r>
    </w:p>
    <w:p w:rsidR="00CB08E7" w:rsidRPr="00AA3E07" w:rsidRDefault="00CB08E7" w:rsidP="00736C5E">
      <w:pPr>
        <w:numPr>
          <w:ilvl w:val="0"/>
          <w:numId w:val="15"/>
        </w:numPr>
        <w:suppressAutoHyphens w:val="0"/>
        <w:spacing w:before="120" w:after="0"/>
        <w:ind w:left="908" w:hanging="454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   </w:t>
      </w:r>
      <w:r w:rsidR="000D6C68" w:rsidRPr="00AA3E07">
        <w:rPr>
          <w:rFonts w:ascii="Arial" w:hAnsi="Arial" w:cs="Arial"/>
        </w:rPr>
        <w:t xml:space="preserve">     </w:t>
      </w:r>
      <w:r w:rsidRPr="00AA3E07">
        <w:rPr>
          <w:rFonts w:ascii="Arial" w:hAnsi="Arial" w:cs="Arial"/>
        </w:rPr>
        <w:t xml:space="preserve">wartość zobowiązań oraz </w:t>
      </w:r>
    </w:p>
    <w:p w:rsidR="00CB08E7" w:rsidRPr="00AA3E07" w:rsidRDefault="00CB08E7" w:rsidP="00736C5E">
      <w:pPr>
        <w:numPr>
          <w:ilvl w:val="0"/>
          <w:numId w:val="15"/>
        </w:numPr>
        <w:suppressAutoHyphens w:val="0"/>
        <w:spacing w:before="120" w:after="0"/>
        <w:ind w:left="908" w:hanging="454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 </w:t>
      </w:r>
      <w:r w:rsidRPr="00AA3E07">
        <w:rPr>
          <w:rFonts w:ascii="Arial" w:hAnsi="Arial" w:cs="Arial"/>
        </w:rPr>
        <w:tab/>
        <w:t xml:space="preserve">wartość całkowitego wymogu kapitałowego. </w:t>
      </w:r>
    </w:p>
    <w:p w:rsidR="00CB08E7" w:rsidRPr="00AA3E07" w:rsidRDefault="00CB08E7" w:rsidP="00736C5E">
      <w:pPr>
        <w:spacing w:before="120"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W Wielkiej Brytanii</w:t>
      </w:r>
      <w:r w:rsidRPr="00AA3E07">
        <w:rPr>
          <w:rFonts w:ascii="Arial" w:hAnsi="Arial" w:cs="Arial"/>
        </w:rPr>
        <w:t xml:space="preserve"> celem wprowadzonej z dniem 1 stycznia 2011 r. opłaty bankowej jest zapewnienie, że sektor bankowy będzie posiadał adekwatne obciążenia odzwierciedlające generowane przez niego ryzyka dla systemu finansowego i całej gospodarki. Ponadto opłata ma zachęcić banki do ograniczenia bądź odejścia od ryzykownych modeli finansowania, które mogą zagrażać stabilności systemu finansowego i gospodarki. Opłata wnoszona jest do budżetu państwa i dotyczy banków, których zagregowana wartość zobowiązań przekracza 20 mld GBP, przyjmując założenia, zgodnie z którymi zobowiązania brytyjskich grup bankowych (m.in. spółdzielni mieszkaniowych) ocenia się na poziomie skonsolidowanym, uwzględnia się zobowiązania banków brytyjskich funkcjonujących w ramach grup </w:t>
      </w:r>
      <w:proofErr w:type="spellStart"/>
      <w:r w:rsidRPr="00AA3E07">
        <w:rPr>
          <w:rFonts w:ascii="Arial" w:hAnsi="Arial" w:cs="Arial"/>
        </w:rPr>
        <w:t>niebankowych</w:t>
      </w:r>
      <w:proofErr w:type="spellEnd"/>
      <w:r w:rsidRPr="00AA3E07">
        <w:rPr>
          <w:rFonts w:ascii="Arial" w:hAnsi="Arial" w:cs="Arial"/>
        </w:rPr>
        <w:t xml:space="preserve">, a także zobowiązania ujęte w zagregowanych bilansach podmiotów zależnych i oddziałów zagranicznych banków i grup bankowych prowadzących działalność na obszarze Wielkiej Brytanii. Podatek dotyczy bowiem banków macierzystych, ich oddziałów i podmiotów zależnych oraz podmiotów zależnych i oddziałów banków zagranicznych działających na terenie Wielkiej Brytanii. Podstawę naliczania świadczenia stanowi wartość sumy bilansowej, z wyjątkiem szczegółowego katalogu </w:t>
      </w:r>
      <w:proofErr w:type="spellStart"/>
      <w:r w:rsidRPr="00AA3E07">
        <w:rPr>
          <w:rFonts w:ascii="Arial" w:hAnsi="Arial" w:cs="Arial"/>
        </w:rPr>
        <w:t>wyłączeń</w:t>
      </w:r>
      <w:proofErr w:type="spellEnd"/>
      <w:r w:rsidRPr="00AA3E07">
        <w:rPr>
          <w:rFonts w:ascii="Arial" w:hAnsi="Arial" w:cs="Arial"/>
        </w:rPr>
        <w:t>. Przy kalkulacji składki w sumie bilansowej nie uwzględnia się m.in. kapitałów pierwszej kategorii (</w:t>
      </w:r>
      <w:proofErr w:type="spellStart"/>
      <w:r w:rsidRPr="00AA3E07">
        <w:rPr>
          <w:rFonts w:ascii="Arial" w:hAnsi="Arial" w:cs="Arial"/>
        </w:rPr>
        <w:t>Tier</w:t>
      </w:r>
      <w:proofErr w:type="spellEnd"/>
      <w:r w:rsidRPr="00AA3E07">
        <w:rPr>
          <w:rFonts w:ascii="Arial" w:hAnsi="Arial" w:cs="Arial"/>
        </w:rPr>
        <w:t xml:space="preserve"> 1), ubezpieczonych depozytów, jak również części innych zobowiązań i aktywów płynnych. Stawka podatku jest elastyczna. W 2011 r. w związku z niepewnymi warunkami na rynku, rząd Wielkiej Brytanii ustalił początkowo stawkę podatku na </w:t>
      </w:r>
      <w:r w:rsidRPr="00AA3E07">
        <w:rPr>
          <w:rFonts w:ascii="Arial" w:hAnsi="Arial" w:cs="Arial"/>
        </w:rPr>
        <w:lastRenderedPageBreak/>
        <w:t>poziomie 0,05%, lecz w marcu 2011 r. podjęto decyzję o dokonaniu wyrównania za dwa miesiące, wobec czego opłatę zwiększono do wysokości 0,1%. Od 1 maja 2011 r. do 31 grudnia 2011 r. stawka podatku wynosiła 0,075% dla zobowiązań krótkoterminowych i 0,0375% dla niektórych kategorii zobowiązań długoterminowych. W styczniu 2012 r. stawkę podatku ustalono na poziomie odpowiednio 0,088% i 0,044% dla odnośnych kategorii zobowiązań. W Wielkiej Brytanii wprowadzona opłata nie stanowi kosztu uzyskania przychodu.</w:t>
      </w:r>
    </w:p>
    <w:p w:rsidR="00CB08E7" w:rsidRPr="00AA3E07" w:rsidRDefault="00CB08E7" w:rsidP="00736C5E">
      <w:pPr>
        <w:spacing w:before="120"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Na Węgrzech</w:t>
      </w:r>
      <w:r w:rsidRPr="00AA3E07">
        <w:rPr>
          <w:rFonts w:ascii="Arial" w:hAnsi="Arial" w:cs="Arial"/>
        </w:rPr>
        <w:t xml:space="preserve"> opłata pobierana od instytucji finansowych ma charakter podatkowy i obowiązuje od dnia 27 września 2010 r. Intencją wprowadzenia obciążenia na rzecz budżetu państwa była m.in. potrzeba wygenerowania dodatkowych wpływów z tytułu podatków w celu zabezpieczenia systemu finansowego przed wyzwaniami i zagrożeniami wynikającymi z negatywnych zjawisk kryzysowych oraz zrekompensowania państwu pomocy, jakiej udzieliło podmiotom mającym trudności, a także konieczność sprostania wymogom związanym z wielkością deficytu budżetowego, które obowiązują w Unii Europejskiej. Zakres podmiotowy podatku bankowego na Węgrzech jest szeroki, ponieważ instytucjami zobligowanymi do uiszczania należności są instytucje kredytowe, firmy ubezpieczeniowe, a także inne instytucje świadczące usługi finansowe. Podstawa i stawka opodatkowania są zróżnicowane i uzależnione od specyfiki usług świadczonych przez instytucje objęte podatkiem. Dla instytucji kredytowych stawka podatku wynosi 0,15% wartości aktywów netto dla kwoty stanowiącej bazę podatkową do 50 mld HUF i 0,53% dla pozostałej części bazy podatkowej, tj. powyżej 50 mld HUF. W 2011 r. stawka podatku wynosiła 0,45% całości aktywów netto i była najwyższa w całej Unii Europejskiej.</w:t>
      </w:r>
    </w:p>
    <w:p w:rsidR="00CB08E7" w:rsidRPr="00AA3E07" w:rsidRDefault="00CB08E7" w:rsidP="00736C5E">
      <w:pPr>
        <w:spacing w:before="120"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W Portugalii</w:t>
      </w:r>
      <w:r w:rsidRPr="00AA3E07">
        <w:rPr>
          <w:rFonts w:ascii="Arial" w:hAnsi="Arial" w:cs="Arial"/>
        </w:rPr>
        <w:t xml:space="preserve"> opłata obciążająca instytucje kredytowe obowiązuje od dnia 1 stycznia 2011 r. Jest określana mianem ,,nadzwyczajnej składki od sektora bankowego” i ma charakter budżetowy. Składka płacona jest przez banki krajowe, oddziały banków macierzystych prowadzące działalność poza granicami Portugalii (opłata ma charakter skonsolidowany i jest uiszczana jako łączne świadczenie ze strony centrali i oddziałów) oraz oddziały banków zagranicznych prowadzących działalność w Portugalii. Podstawę opodatkowania stanowi całkowita wartość zobowiązań instytucji, z wyłączeniem kapitałów pierwszej i drugiej kategorii (</w:t>
      </w:r>
      <w:proofErr w:type="spellStart"/>
      <w:r w:rsidRPr="00AA3E07">
        <w:rPr>
          <w:rFonts w:ascii="Arial" w:hAnsi="Arial" w:cs="Arial"/>
        </w:rPr>
        <w:t>Tier</w:t>
      </w:r>
      <w:proofErr w:type="spellEnd"/>
      <w:r w:rsidRPr="00AA3E07">
        <w:rPr>
          <w:rFonts w:ascii="Arial" w:hAnsi="Arial" w:cs="Arial"/>
        </w:rPr>
        <w:t xml:space="preserve"> 1 i </w:t>
      </w:r>
      <w:proofErr w:type="spellStart"/>
      <w:r w:rsidRPr="00AA3E07">
        <w:rPr>
          <w:rFonts w:ascii="Arial" w:hAnsi="Arial" w:cs="Arial"/>
        </w:rPr>
        <w:t>Tier</w:t>
      </w:r>
      <w:proofErr w:type="spellEnd"/>
      <w:r w:rsidRPr="00AA3E07">
        <w:rPr>
          <w:rFonts w:ascii="Arial" w:hAnsi="Arial" w:cs="Arial"/>
        </w:rPr>
        <w:t xml:space="preserve"> 2) oraz depozytów gwarantowanych przez Portugalski Fundusz Gwarantowania Depozytów. Stawka podatku wynosi 0,05%. Instytucje kredytowe płacą także podatek od nominalnej wartości instrumentów pochodnych nieujętych w bilansie, z wyłączeniem określonych instrumentów zabezpieczających. Stawka podatku dla instrumentów pochodnych wynosi 0,00015%. Wnoszone składki nie podlegają odliczeniu od podatku.</w:t>
      </w:r>
    </w:p>
    <w:p w:rsidR="00CB08E7" w:rsidRPr="00AA3E07" w:rsidRDefault="00CB08E7" w:rsidP="00736C5E">
      <w:pPr>
        <w:spacing w:before="120"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We Francji</w:t>
      </w:r>
      <w:r w:rsidRPr="00AA3E07">
        <w:rPr>
          <w:rFonts w:ascii="Arial" w:hAnsi="Arial" w:cs="Arial"/>
        </w:rPr>
        <w:t xml:space="preserve"> podatek bankowy obowiązuje od dnia 1 stycznia 2011 r. i ma charakter budżetowy. Opodatkowaniu podlegają banki macierzyste, ich oddziały i podmioty zależne, a także oddziały banków zagranicznych działających na terytorium Francji, jeżeli są regulowane przepisami francuskimi, z wyjątkiem sytuacji, gdy oddział posiada centralę na terenie Europejskiego Obszaru Gospodarczego (kraje członkowskie Unii Europejskiej plus Norwegia, Islandia i Lichtenstein). Podatek jest pobierany w wysokości 0,25% wymogu kapitałowego, zaś dla instytucji, które są nim objęte stanowi koszt uzyskania przychodu. </w:t>
      </w:r>
    </w:p>
    <w:p w:rsidR="00CB08E7" w:rsidRDefault="00CB08E7" w:rsidP="00A1415C">
      <w:pPr>
        <w:spacing w:before="120"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W Szwecji</w:t>
      </w:r>
      <w:r w:rsidRPr="00AA3E07">
        <w:rPr>
          <w:rFonts w:ascii="Arial" w:hAnsi="Arial" w:cs="Arial"/>
        </w:rPr>
        <w:t xml:space="preserve"> od października 2008 r. istnieje specjalny fundusz stabilizacyjny, którego zasadniczym celem jest finansowanie działań niezbędnych do zapobiegania ryzykom mogącym prowadzić do poważnych zaburzeń w szwedzkim systemie finansowym, a także utrzymanie wiarygodności tego systemu w obliczu globalnych zjawisk kryzysowych. Fundusz finansowany </w:t>
      </w:r>
      <w:r w:rsidRPr="00AA3E07">
        <w:rPr>
          <w:rFonts w:ascii="Arial" w:hAnsi="Arial" w:cs="Arial"/>
        </w:rPr>
        <w:lastRenderedPageBreak/>
        <w:t xml:space="preserve">jest w szczególności ze środków gromadzonych z tzw. opłaty stabilizacyjnej naliczanej rocznie i uiszczanej przez banki i inne instytucje kredytowe, tj. banki macierzyste prowadzące działalność w Szwecji, podmioty zależne banków zagranicznych mające siedzibę w Szwecji, a także oddziały banków macierzystych prowadzące działalność poza granicami Szwecji. Wielkość stawki wynosi 0,036% wartości zobowiązań i rezerw na koniec roku. Ewentualne interwencje przy wykorzystaniu środków z funduszu stabilizacyjnego polegają na zwiększeniu bazy kapitałowej zagrożonej instytucji kredytowej, które może wynieść maksymalnie równowartość 2% wskaźnika adekwatności kapitałowej tej instytucji. Przy ustalaniu wielkości stawki opłaty stabilizacyjnej Szwedzkie Narodowe Biuro Zarządzania Długiem uwzględnia sytuację gospodarczą w kraju oraz wynikające z niej możliwości finansowe podmiotów zobowiązanych do wnoszenia opłaty. W latach 2009 i 2010 w związku z pogorszeniem się koniunktury instytucje kredytowe były zobligowane do uiszczenia opłaty w wysokości jedynie połowy obowiązującej stawki. </w:t>
      </w:r>
    </w:p>
    <w:p w:rsidR="00ED4651" w:rsidRPr="00ED4651" w:rsidRDefault="00ED4651" w:rsidP="00A1415C">
      <w:pPr>
        <w:spacing w:before="120" w:after="0"/>
        <w:jc w:val="both"/>
        <w:rPr>
          <w:rFonts w:ascii="Arial" w:hAnsi="Arial" w:cs="Arial"/>
        </w:rPr>
      </w:pPr>
    </w:p>
    <w:p w:rsidR="003B0599" w:rsidRPr="00AA3E07" w:rsidRDefault="001701DA" w:rsidP="00A1415C">
      <w:pPr>
        <w:pStyle w:val="Akapitzlist1"/>
        <w:spacing w:after="0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AA3E07">
        <w:rPr>
          <w:rFonts w:ascii="Arial" w:hAnsi="Arial" w:cs="Arial"/>
          <w:b/>
          <w:bCs/>
          <w:sz w:val="24"/>
          <w:szCs w:val="24"/>
        </w:rPr>
        <w:t xml:space="preserve">3. </w:t>
      </w:r>
      <w:r w:rsidR="003B0599" w:rsidRPr="00AA3E07">
        <w:rPr>
          <w:rFonts w:ascii="Arial" w:hAnsi="Arial" w:cs="Arial"/>
          <w:b/>
          <w:bCs/>
          <w:sz w:val="24"/>
          <w:szCs w:val="24"/>
        </w:rPr>
        <w:t>Różnica między dotychczasowym a projektowanym stanem prawnym</w:t>
      </w:r>
    </w:p>
    <w:p w:rsidR="00C63E41" w:rsidRPr="00AA3E07" w:rsidRDefault="00C63E41" w:rsidP="00736C5E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Obecny stan prawny nie przewiduje podatku od aktywów instytucji finansowych.</w:t>
      </w:r>
    </w:p>
    <w:p w:rsidR="006A1C37" w:rsidRPr="00AB2649" w:rsidRDefault="002848D2" w:rsidP="00AB2649">
      <w:pPr>
        <w:pStyle w:val="Default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AA3E07">
        <w:rPr>
          <w:rFonts w:ascii="Arial" w:hAnsi="Arial" w:cs="Arial"/>
          <w:sz w:val="22"/>
          <w:szCs w:val="22"/>
        </w:rPr>
        <w:t xml:space="preserve">Zgodnie z ustawą, </w:t>
      </w:r>
      <w:r w:rsidR="006A1C37" w:rsidRPr="00AA3E07">
        <w:rPr>
          <w:rFonts w:ascii="Arial" w:hAnsi="Arial" w:cs="Arial"/>
          <w:sz w:val="22"/>
          <w:szCs w:val="22"/>
        </w:rPr>
        <w:t>opodatkowaniem zostanie objęta jest suma wartości aktywów podatnika wynikająca z zestawienia obrotów i sald sporządzonego przez podatnika</w:t>
      </w:r>
      <w:r w:rsidR="006A1C37" w:rsidRPr="00AA3E07">
        <w:rPr>
          <w:rFonts w:ascii="Arial" w:hAnsi="Arial" w:cs="Arial"/>
          <w:sz w:val="22"/>
        </w:rPr>
        <w:t xml:space="preserve"> na </w:t>
      </w:r>
      <w:r w:rsidR="006A1C37" w:rsidRPr="00AA3E07">
        <w:rPr>
          <w:rFonts w:ascii="Arial" w:hAnsi="Arial" w:cs="Arial"/>
          <w:sz w:val="22"/>
          <w:szCs w:val="22"/>
        </w:rPr>
        <w:t>podstawie zapisów na kontach księgi głównej na koniec</w:t>
      </w:r>
      <w:r w:rsidR="006A1C37" w:rsidRPr="00AA3E07">
        <w:rPr>
          <w:rFonts w:ascii="Arial" w:hAnsi="Arial" w:cs="Arial"/>
          <w:sz w:val="22"/>
        </w:rPr>
        <w:t xml:space="preserve"> każdego miesiąca </w:t>
      </w:r>
      <w:r w:rsidR="006A1C37" w:rsidRPr="00AA3E07">
        <w:rPr>
          <w:rFonts w:ascii="Arial" w:hAnsi="Arial" w:cs="Arial"/>
          <w:sz w:val="22"/>
          <w:szCs w:val="22"/>
        </w:rPr>
        <w:t>zgodnie z ustawą z dnia 29 września 1994 r. o rachunkowości (Dz.U. z 2013 r. poz. 330 ze zm.) lub standardami stosowanymi przez podatników na podstawie art. 2 ust. 3 ustawy o rachunkowości ponad kwotę 4 000 000 000 zł.</w:t>
      </w:r>
    </w:p>
    <w:p w:rsidR="006A1C37" w:rsidRPr="00AA3E07" w:rsidRDefault="006A1C37" w:rsidP="00AB2649">
      <w:pPr>
        <w:pStyle w:val="Default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AA3E07">
        <w:rPr>
          <w:rFonts w:ascii="Arial" w:hAnsi="Arial" w:cs="Arial"/>
          <w:sz w:val="22"/>
        </w:rPr>
        <w:t xml:space="preserve">W przypadku banków krajowych, </w:t>
      </w:r>
      <w:r w:rsidR="00995D93" w:rsidRPr="00AA3E07">
        <w:rPr>
          <w:rFonts w:ascii="Arial" w:hAnsi="Arial" w:cs="Arial"/>
          <w:sz w:val="22"/>
          <w:szCs w:val="22"/>
        </w:rPr>
        <w:t>oddziałów</w:t>
      </w:r>
      <w:r w:rsidRPr="00AA3E07">
        <w:rPr>
          <w:rFonts w:ascii="Arial" w:hAnsi="Arial" w:cs="Arial"/>
          <w:sz w:val="22"/>
          <w:szCs w:val="22"/>
        </w:rPr>
        <w:t xml:space="preserve"> banków zagranicznych</w:t>
      </w:r>
      <w:r w:rsidR="00995D93" w:rsidRPr="00AA3E07">
        <w:rPr>
          <w:rFonts w:ascii="Arial" w:hAnsi="Arial" w:cs="Arial"/>
          <w:sz w:val="22"/>
          <w:szCs w:val="22"/>
        </w:rPr>
        <w:t>,</w:t>
      </w:r>
      <w:r w:rsidRPr="00AA3E07">
        <w:rPr>
          <w:rFonts w:ascii="Arial" w:hAnsi="Arial" w:cs="Arial"/>
          <w:sz w:val="22"/>
          <w:szCs w:val="22"/>
        </w:rPr>
        <w:t xml:space="preserve"> </w:t>
      </w:r>
      <w:r w:rsidR="00995D93" w:rsidRPr="00AA3E07">
        <w:rPr>
          <w:rFonts w:ascii="Arial" w:hAnsi="Arial" w:cs="Arial"/>
          <w:sz w:val="22"/>
          <w:szCs w:val="22"/>
        </w:rPr>
        <w:t>oddziałów</w:t>
      </w:r>
      <w:r w:rsidRPr="00AA3E07">
        <w:rPr>
          <w:rFonts w:ascii="Arial" w:hAnsi="Arial" w:cs="Arial"/>
          <w:sz w:val="22"/>
          <w:szCs w:val="22"/>
        </w:rPr>
        <w:t xml:space="preserve"> instytucji kredytowych oraz </w:t>
      </w:r>
      <w:r w:rsidR="00995D93" w:rsidRPr="00AA3E07">
        <w:rPr>
          <w:rFonts w:ascii="Arial" w:hAnsi="Arial" w:cs="Arial"/>
          <w:sz w:val="22"/>
          <w:szCs w:val="22"/>
        </w:rPr>
        <w:t>spółdzielczych kas</w:t>
      </w:r>
      <w:r w:rsidRPr="00AA3E07">
        <w:rPr>
          <w:rFonts w:ascii="Arial" w:hAnsi="Arial" w:cs="Arial"/>
          <w:sz w:val="22"/>
          <w:szCs w:val="22"/>
        </w:rPr>
        <w:t xml:space="preserve"> oszczędnościowo-</w:t>
      </w:r>
      <w:r w:rsidR="00995D93" w:rsidRPr="00AA3E07">
        <w:rPr>
          <w:rFonts w:ascii="Arial" w:hAnsi="Arial" w:cs="Arial"/>
          <w:sz w:val="22"/>
          <w:szCs w:val="22"/>
        </w:rPr>
        <w:t>kredytowych</w:t>
      </w:r>
      <w:r w:rsidRPr="00AA3E07">
        <w:rPr>
          <w:rFonts w:ascii="Arial" w:hAnsi="Arial" w:cs="Arial"/>
          <w:sz w:val="22"/>
          <w:szCs w:val="22"/>
        </w:rPr>
        <w:t xml:space="preserve"> </w:t>
      </w:r>
      <w:r w:rsidR="00995D93" w:rsidRPr="00AA3E07">
        <w:rPr>
          <w:rFonts w:ascii="Arial" w:hAnsi="Arial" w:cs="Arial"/>
          <w:sz w:val="22"/>
          <w:szCs w:val="22"/>
        </w:rPr>
        <w:t>u</w:t>
      </w:r>
      <w:r w:rsidRPr="00AA3E07">
        <w:rPr>
          <w:rFonts w:ascii="Arial" w:hAnsi="Arial" w:cs="Arial"/>
          <w:sz w:val="22"/>
          <w:szCs w:val="22"/>
        </w:rPr>
        <w:t>stawa przewiduje obniżenie podstawy o warto</w:t>
      </w:r>
      <w:r w:rsidR="00E538FF" w:rsidRPr="00AA3E07">
        <w:rPr>
          <w:rFonts w:ascii="Arial" w:hAnsi="Arial" w:cs="Arial"/>
          <w:sz w:val="22"/>
          <w:szCs w:val="22"/>
        </w:rPr>
        <w:t>ść funduszy własnych oraz kwot,</w:t>
      </w:r>
      <w:r w:rsidRPr="00AA3E07">
        <w:rPr>
          <w:rFonts w:ascii="Arial" w:hAnsi="Arial" w:cs="Arial"/>
          <w:sz w:val="22"/>
          <w:szCs w:val="22"/>
        </w:rPr>
        <w:t xml:space="preserve"> o które podatnik działając w wykonaniu decyzji, o której mowa w art. 138 ust. 1 pkt 2 lub 2a albo art. 138d ust. 1 ustawy z dnia 29 sierpnia 1997 r. – Prawo bankowe (Dz. U. z 2015r. poz. 128 ze. zm.), </w:t>
      </w:r>
      <w:r w:rsidR="00E538FF" w:rsidRPr="00AA3E07">
        <w:rPr>
          <w:rFonts w:ascii="Arial" w:hAnsi="Arial" w:cs="Arial"/>
          <w:sz w:val="22"/>
          <w:szCs w:val="22"/>
        </w:rPr>
        <w:t xml:space="preserve">je </w:t>
      </w:r>
      <w:r w:rsidRPr="00AA3E07">
        <w:rPr>
          <w:rFonts w:ascii="Arial" w:hAnsi="Arial" w:cs="Arial"/>
          <w:sz w:val="22"/>
          <w:szCs w:val="22"/>
        </w:rPr>
        <w:t>podwyższył w okresie miesiąca, za który us</w:t>
      </w:r>
      <w:r w:rsidR="00E538FF" w:rsidRPr="00AA3E07">
        <w:rPr>
          <w:rFonts w:ascii="Arial" w:hAnsi="Arial" w:cs="Arial"/>
          <w:sz w:val="22"/>
          <w:szCs w:val="22"/>
        </w:rPr>
        <w:t>tala się podstawę opodatkowania</w:t>
      </w:r>
      <w:r w:rsidRPr="00AA3E07">
        <w:rPr>
          <w:rFonts w:ascii="Arial" w:hAnsi="Arial" w:cs="Arial"/>
          <w:sz w:val="22"/>
          <w:szCs w:val="22"/>
        </w:rPr>
        <w:t>.</w:t>
      </w:r>
    </w:p>
    <w:p w:rsidR="00995D93" w:rsidRPr="00AA3E07" w:rsidRDefault="006A1C37" w:rsidP="00AB2649">
      <w:pPr>
        <w:pStyle w:val="Default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AA3E07">
        <w:rPr>
          <w:rFonts w:ascii="Arial" w:hAnsi="Arial" w:cs="Arial"/>
          <w:sz w:val="22"/>
          <w:szCs w:val="22"/>
        </w:rPr>
        <w:t xml:space="preserve">Podatek </w:t>
      </w:r>
      <w:r w:rsidR="00995D93" w:rsidRPr="00AA3E07">
        <w:rPr>
          <w:rFonts w:ascii="Arial" w:hAnsi="Arial" w:cs="Arial"/>
          <w:sz w:val="22"/>
          <w:szCs w:val="22"/>
        </w:rPr>
        <w:t>będzie</w:t>
      </w:r>
      <w:r w:rsidRPr="00AA3E07">
        <w:rPr>
          <w:rFonts w:ascii="Arial" w:hAnsi="Arial" w:cs="Arial"/>
          <w:sz w:val="22"/>
          <w:szCs w:val="22"/>
        </w:rPr>
        <w:t xml:space="preserve"> rozliczany miesięcznie, a stawka podatku za każdy miesiąc będzie wynosić</w:t>
      </w:r>
      <w:r w:rsidR="00995D93" w:rsidRPr="00AA3E07">
        <w:rPr>
          <w:rFonts w:ascii="Arial" w:hAnsi="Arial" w:cs="Arial"/>
          <w:sz w:val="22"/>
          <w:szCs w:val="22"/>
        </w:rPr>
        <w:t>:</w:t>
      </w:r>
    </w:p>
    <w:p w:rsidR="002848D2" w:rsidRPr="00AA3E07" w:rsidRDefault="006A1C37" w:rsidP="00AB2649">
      <w:pPr>
        <w:pStyle w:val="Default0"/>
        <w:numPr>
          <w:ilvl w:val="0"/>
          <w:numId w:val="16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AA3E07">
        <w:rPr>
          <w:rFonts w:ascii="Arial" w:hAnsi="Arial" w:cs="Arial"/>
          <w:sz w:val="22"/>
          <w:szCs w:val="22"/>
        </w:rPr>
        <w:t>0,0325%</w:t>
      </w:r>
      <w:r w:rsidR="00995D93" w:rsidRPr="00AA3E07">
        <w:rPr>
          <w:rFonts w:ascii="Arial" w:hAnsi="Arial" w:cs="Arial"/>
          <w:sz w:val="22"/>
          <w:szCs w:val="22"/>
        </w:rPr>
        <w:t xml:space="preserve"> podstawy opodatkowania dla</w:t>
      </w:r>
      <w:r w:rsidR="002848D2" w:rsidRPr="00AA3E07">
        <w:rPr>
          <w:rFonts w:ascii="Arial" w:hAnsi="Arial" w:cs="Arial"/>
          <w:sz w:val="22"/>
          <w:szCs w:val="22"/>
        </w:rPr>
        <w:t xml:space="preserve"> </w:t>
      </w:r>
      <w:r w:rsidR="00995D93" w:rsidRPr="00AA3E07">
        <w:rPr>
          <w:rFonts w:ascii="Arial" w:hAnsi="Arial" w:cs="Arial"/>
          <w:sz w:val="22"/>
        </w:rPr>
        <w:t xml:space="preserve">banków krajowych, </w:t>
      </w:r>
      <w:r w:rsidR="00995D93" w:rsidRPr="00AA3E07">
        <w:rPr>
          <w:rFonts w:ascii="Arial" w:hAnsi="Arial" w:cs="Arial"/>
          <w:sz w:val="22"/>
          <w:szCs w:val="22"/>
        </w:rPr>
        <w:t>oddziałów banków zagranicznych, oddziałów instytucji kredytowych oraz spółdzielczych kas oszczędnościowo-kredytowych</w:t>
      </w:r>
      <w:r w:rsidR="00CD3D11" w:rsidRPr="00AA3E07">
        <w:rPr>
          <w:rFonts w:ascii="Arial" w:hAnsi="Arial" w:cs="Arial"/>
          <w:sz w:val="22"/>
          <w:szCs w:val="22"/>
        </w:rPr>
        <w:t>,</w:t>
      </w:r>
      <w:r w:rsidR="00995D93" w:rsidRPr="00AA3E07">
        <w:rPr>
          <w:rFonts w:ascii="Arial" w:hAnsi="Arial" w:cs="Arial"/>
          <w:sz w:val="22"/>
          <w:szCs w:val="22"/>
        </w:rPr>
        <w:t xml:space="preserve"> </w:t>
      </w:r>
    </w:p>
    <w:p w:rsidR="00995D93" w:rsidRPr="00AA3E07" w:rsidRDefault="00995D93" w:rsidP="00736C5E">
      <w:pPr>
        <w:pStyle w:val="Default0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A3E07">
        <w:rPr>
          <w:rFonts w:ascii="Arial" w:hAnsi="Arial" w:cs="Arial"/>
          <w:sz w:val="22"/>
          <w:szCs w:val="22"/>
        </w:rPr>
        <w:t xml:space="preserve">0,05% podstawy opodatkowania dla </w:t>
      </w:r>
      <w:r w:rsidR="00B358AF" w:rsidRPr="00AA3E07">
        <w:rPr>
          <w:rFonts w:ascii="Arial" w:hAnsi="Arial" w:cs="Arial"/>
          <w:sz w:val="22"/>
          <w:szCs w:val="22"/>
        </w:rPr>
        <w:t>krajowych zakładów ubezpieczeń, krajowych zakładów reasekuracji, oddziałów zagranicznych zakładów ubezpieczeń i zagranicznych zakładów reasekuracji oraz głównych oddziałów zagranicznych zakładów ubezpieczeń i zagranicznych zakładów reasekuracji.</w:t>
      </w:r>
    </w:p>
    <w:p w:rsidR="00333267" w:rsidRPr="00AA3E07" w:rsidRDefault="00333267" w:rsidP="00736C5E">
      <w:pPr>
        <w:spacing w:before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Ustawa została skonstruowana w oparciu o elementy konstrukcyjne podatku to jest określa po kolei przedmiot, podmiot, obowiązek podatkowy, podstawę opodatkowania, stawkę podatkową, sposób poboru podatku oraz zwolnienia i ulgi podatkowe.</w:t>
      </w:r>
    </w:p>
    <w:p w:rsidR="00333267" w:rsidRPr="00AA3E07" w:rsidRDefault="00333267" w:rsidP="00736C5E">
      <w:pPr>
        <w:spacing w:before="12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 xml:space="preserve">Przedmiotem opodatkowania </w:t>
      </w:r>
      <w:r w:rsidR="00E80553" w:rsidRPr="00AA3E07">
        <w:rPr>
          <w:rFonts w:ascii="Arial" w:hAnsi="Arial" w:cs="Arial"/>
        </w:rPr>
        <w:t xml:space="preserve">jest </w:t>
      </w:r>
      <w:r w:rsidRPr="00AA3E07">
        <w:rPr>
          <w:rFonts w:ascii="Arial" w:hAnsi="Arial" w:cs="Arial"/>
        </w:rPr>
        <w:t xml:space="preserve">suma </w:t>
      </w:r>
      <w:r w:rsidR="00E80553" w:rsidRPr="00AA3E07">
        <w:rPr>
          <w:rFonts w:ascii="Arial" w:hAnsi="Arial" w:cs="Arial"/>
        </w:rPr>
        <w:t xml:space="preserve">wartości aktywów podatnika wynikająca z zestawienia obrotów i sald </w:t>
      </w:r>
      <w:r w:rsidRPr="00AA3E07">
        <w:rPr>
          <w:rFonts w:ascii="Arial" w:hAnsi="Arial" w:cs="Arial"/>
        </w:rPr>
        <w:t xml:space="preserve">– a zatem jest to podatek majątkowy. Przy czym podstawę opodatkowania obniża </w:t>
      </w:r>
      <w:r w:rsidRPr="00AA3E07">
        <w:rPr>
          <w:rFonts w:ascii="Arial" w:hAnsi="Arial" w:cs="Arial"/>
        </w:rPr>
        <w:lastRenderedPageBreak/>
        <w:t xml:space="preserve">się o wartość funduszy własnych utrzymywanych przez podatników prowadzących działalność kredytowo-pożyczkową ze względu konieczność ochrony ich interesów jako depozytariuszy. </w:t>
      </w:r>
    </w:p>
    <w:p w:rsidR="00333267" w:rsidRPr="00AA3E07" w:rsidRDefault="00333267" w:rsidP="00736C5E">
      <w:pPr>
        <w:spacing w:before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Ze względu na sytuację podatnika, wobec którego KNF zmuszona była skorzystać ze swoich kompetencji ustawowych, ni</w:t>
      </w:r>
      <w:r w:rsidR="00CD3D11" w:rsidRPr="00AA3E07">
        <w:rPr>
          <w:rFonts w:ascii="Arial" w:hAnsi="Arial" w:cs="Arial"/>
        </w:rPr>
        <w:t xml:space="preserve">e pobiera się podatku w okresie, w jakim utrzymują się skutki prawne wywołane </w:t>
      </w:r>
      <w:r w:rsidRPr="00AA3E07">
        <w:rPr>
          <w:rFonts w:ascii="Arial" w:hAnsi="Arial" w:cs="Arial"/>
        </w:rPr>
        <w:t xml:space="preserve">przez </w:t>
      </w:r>
      <w:r w:rsidR="00CD3D11" w:rsidRPr="00AA3E07">
        <w:rPr>
          <w:rFonts w:ascii="Arial" w:hAnsi="Arial" w:cs="Arial"/>
        </w:rPr>
        <w:t>decyzje wydane przez KNF mające</w:t>
      </w:r>
      <w:r w:rsidRPr="00AA3E07">
        <w:rPr>
          <w:rFonts w:ascii="Arial" w:hAnsi="Arial" w:cs="Arial"/>
        </w:rPr>
        <w:t xml:space="preserve"> za przedmiot likwidację banku, zawieszenie działalności banku i wnioskowan</w:t>
      </w:r>
      <w:r w:rsidR="00DD327B" w:rsidRPr="00AA3E07">
        <w:rPr>
          <w:rFonts w:ascii="Arial" w:hAnsi="Arial" w:cs="Arial"/>
        </w:rPr>
        <w:t>ie o jego upadłość,</w:t>
      </w:r>
      <w:r w:rsidRPr="00AA3E07">
        <w:rPr>
          <w:rFonts w:ascii="Arial" w:hAnsi="Arial" w:cs="Arial"/>
        </w:rPr>
        <w:t xml:space="preserve"> ustanowienie zarządu komisarycznego w banku, likwidację </w:t>
      </w:r>
      <w:r w:rsidR="00DD327B" w:rsidRPr="00AA3E07">
        <w:rPr>
          <w:rFonts w:ascii="Arial" w:hAnsi="Arial" w:cs="Arial"/>
        </w:rPr>
        <w:t xml:space="preserve">przymusową </w:t>
      </w:r>
      <w:r w:rsidRPr="00AA3E07">
        <w:rPr>
          <w:rFonts w:ascii="Arial" w:hAnsi="Arial" w:cs="Arial"/>
        </w:rPr>
        <w:t xml:space="preserve">zakładu ubezpieczeń i zakładu reasekuracji, ustanowienie zarządu komisarycznego zakładu ubezpieczeń i zakładu reasekuracji, wystąpienie z wnioskiem o ogłoszenie upadłości zakładu ubezpieczeń i zakładu reasekuracji oraz  </w:t>
      </w:r>
      <w:r w:rsidR="00DD327B" w:rsidRPr="00AA3E07">
        <w:rPr>
          <w:rFonts w:ascii="Arial" w:hAnsi="Arial" w:cs="Arial"/>
        </w:rPr>
        <w:t xml:space="preserve">ustanowienie i odwołanie kuratora albo </w:t>
      </w:r>
      <w:r w:rsidRPr="00AA3E07">
        <w:rPr>
          <w:rFonts w:ascii="Arial" w:hAnsi="Arial" w:cs="Arial"/>
        </w:rPr>
        <w:t xml:space="preserve">ustanowienie zarządcy komisarycznego w </w:t>
      </w:r>
      <w:r w:rsidR="00DD327B" w:rsidRPr="00AA3E07">
        <w:rPr>
          <w:rFonts w:ascii="Arial" w:hAnsi="Arial" w:cs="Arial"/>
        </w:rPr>
        <w:t>Spółdzielczej Kasie Oszczędnościowo-Kredytowej</w:t>
      </w:r>
      <w:r w:rsidRPr="00AA3E07">
        <w:rPr>
          <w:rFonts w:ascii="Arial" w:hAnsi="Arial" w:cs="Arial"/>
        </w:rPr>
        <w:t xml:space="preserve">. </w:t>
      </w:r>
    </w:p>
    <w:p w:rsidR="00333267" w:rsidRPr="00AA3E07" w:rsidRDefault="00333267" w:rsidP="00736C5E">
      <w:pPr>
        <w:spacing w:before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Zakreślenie przedmiotu opodatkowania i podstawy opodatkowania w powyższy sposób w najlepszy sposób realizuje fiskalny cel podatku tj. zapewnienie stabilnych wpływów do budżetu państwa.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Podmiot opodatkowania</w:t>
      </w:r>
      <w:r w:rsidRPr="00AA3E07">
        <w:rPr>
          <w:rFonts w:ascii="Arial" w:hAnsi="Arial" w:cs="Arial"/>
        </w:rPr>
        <w:t xml:space="preserve"> Podmiotem opodatkowania są osoby prawne (banki, zakłady ubezpieczeń i reasekuracji oraz spółdzielcze kasy oszczędnościowo-kredytowe) oraz jednostki organizacyjne nie posiadające osobowości prawnej (oddziały instytucji zagranicznych). Poza opodatkowaniem pozostaną zagraniczne zakłady ubezpieczeniowe z państw członkowskich Unii Europejskiej wykonujące działalność w Polsce na zasadzie swobody działalności ubezpieczeniowej oraz banki wykonujące transgraniczną działalność bankową. Opodatkowanie tych podmiotów byłoby niezwykle trudne, a ponadto ich obecna skala działalności w Polsce prowadzona poza oddziałami nie jest znaczna.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Pobór podatku</w:t>
      </w:r>
      <w:r w:rsidRPr="00AA3E07">
        <w:rPr>
          <w:rFonts w:ascii="Arial" w:hAnsi="Arial" w:cs="Arial"/>
        </w:rPr>
        <w:t xml:space="preserve"> oparty jest na zasadzie </w:t>
      </w:r>
      <w:proofErr w:type="spellStart"/>
      <w:r w:rsidRPr="00AA3E07">
        <w:rPr>
          <w:rFonts w:ascii="Arial" w:hAnsi="Arial" w:cs="Arial"/>
        </w:rPr>
        <w:t>samonaliczania</w:t>
      </w:r>
      <w:proofErr w:type="spellEnd"/>
      <w:r w:rsidRPr="00AA3E07">
        <w:rPr>
          <w:rFonts w:ascii="Arial" w:hAnsi="Arial" w:cs="Arial"/>
        </w:rPr>
        <w:t xml:space="preserve"> podatku przez podatników. 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Podatek naliczany będzie </w:t>
      </w:r>
      <w:r w:rsidRPr="00AA3E07">
        <w:rPr>
          <w:rFonts w:ascii="Arial" w:hAnsi="Arial" w:cs="Arial"/>
          <w:u w:val="single"/>
        </w:rPr>
        <w:t>w okresach miesięcznych</w:t>
      </w:r>
      <w:r w:rsidRPr="00AA3E07">
        <w:rPr>
          <w:rFonts w:ascii="Arial" w:hAnsi="Arial" w:cs="Arial"/>
        </w:rPr>
        <w:t>. Za takim rozwiązaniem przemawia sporządzanie w takich okresach zestawień obrotów i sald dających możliwości ustalenia podstawy opodatkowania</w:t>
      </w:r>
      <w:r w:rsidR="00C2785A" w:rsidRPr="00AA3E07">
        <w:rPr>
          <w:rFonts w:ascii="Arial" w:hAnsi="Arial" w:cs="Arial"/>
        </w:rPr>
        <w:t>,</w:t>
      </w:r>
      <w:r w:rsidRPr="00AA3E07">
        <w:rPr>
          <w:rFonts w:ascii="Arial" w:hAnsi="Arial" w:cs="Arial"/>
        </w:rPr>
        <w:t xml:space="preserve"> ale także istniejące już w systemie prawnym obowiązki sprawozdawcze tych  instytucji realizowane w cyklach miesięcznych, 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Termin wpłaty podatku określono na 25 dzień miesiąca następującego po miesiącu, którego podatek dotyczy.</w:t>
      </w:r>
    </w:p>
    <w:p w:rsidR="00252FB0" w:rsidRPr="00AA3E07" w:rsidRDefault="00252FB0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Jako właściwy organ podatkowy</w:t>
      </w:r>
      <w:r w:rsidR="00A8737D">
        <w:rPr>
          <w:rFonts w:ascii="Arial" w:hAnsi="Arial" w:cs="Arial"/>
        </w:rPr>
        <w:t xml:space="preserve"> w ustawie</w:t>
      </w:r>
      <w:r w:rsidRPr="00AA3E07">
        <w:rPr>
          <w:rFonts w:ascii="Arial" w:hAnsi="Arial" w:cs="Arial"/>
        </w:rPr>
        <w:t xml:space="preserve"> został ustalony naczelnik urzędu skarbowego, właściwy miejscowo ze względu na siedzibę podatnika, </w:t>
      </w:r>
      <w:r w:rsidR="00A8737D">
        <w:rPr>
          <w:rFonts w:ascii="Arial" w:hAnsi="Arial" w:cs="Arial"/>
        </w:rPr>
        <w:t>z tym że</w:t>
      </w:r>
      <w:r w:rsidRPr="00AA3E07">
        <w:rPr>
          <w:rFonts w:ascii="Arial" w:hAnsi="Arial" w:cs="Arial"/>
        </w:rPr>
        <w:t xml:space="preserve"> w przypadku oddziałów instytucji finansowych, naczelnik urzędu skarbowego, właściwy miejscowo ze względu na siedzibę oddziału.</w:t>
      </w:r>
    </w:p>
    <w:p w:rsidR="00252FB0" w:rsidRPr="00AA3E07" w:rsidRDefault="00252FB0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Jeśli nie jest możliwe ustalenie właściwego organu podatkowego w powyższy sposób, ustawa ustala jako właściwego Naczelnika Drugiego Urzędu Skarbowego Warszawa-Śródmieście.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  <w:u w:val="single"/>
        </w:rPr>
        <w:t>Zwolnienia i ulgi</w:t>
      </w:r>
      <w:r w:rsidRPr="00AA3E07">
        <w:rPr>
          <w:rFonts w:ascii="Arial" w:hAnsi="Arial" w:cs="Arial"/>
        </w:rPr>
        <w:t xml:space="preserve"> – </w:t>
      </w:r>
      <w:r w:rsidR="00C2785A" w:rsidRPr="00AA3E07">
        <w:rPr>
          <w:rFonts w:ascii="Arial" w:hAnsi="Arial" w:cs="Arial"/>
        </w:rPr>
        <w:t xml:space="preserve">w ustawie </w:t>
      </w:r>
      <w:r w:rsidRPr="00AA3E07">
        <w:rPr>
          <w:rFonts w:ascii="Arial" w:hAnsi="Arial" w:cs="Arial"/>
        </w:rPr>
        <w:t>przewidziano zwolnienie z podatku sumy bilansowej, o wartości nieprzewyższającej 4.000.000.000,00 zł. Zwolnienie wprowadza się w celu ochrony powstających banków i zakładów ubezpieczeń, które pozytywnie wpływają na konkurencję na rynku, a których objęcie podatkiem mogłoby doprowadzić do trudności finansowych. Podobne rozwiązania funkcjonują w innych krajach, np. w Austrii zwolniona jest kwota 1 mld Euro.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lastRenderedPageBreak/>
        <w:t xml:space="preserve">Zdecydowano się zwolnić od podatku Bank Gospodarstwa Krajowego i ewentualnie inne banki państwowe, które mogą powstać w przyszłości. Takie instytucje realizują cele polityki gospodarczej Państwa i są powołane w celu innym niż stricte </w:t>
      </w:r>
      <w:r w:rsidRPr="00AA3E07">
        <w:rPr>
          <w:rFonts w:ascii="Arial" w:hAnsi="Arial" w:cs="Arial"/>
          <w:i/>
        </w:rPr>
        <w:t>komercyjny</w:t>
      </w:r>
      <w:r w:rsidRPr="00AA3E07">
        <w:rPr>
          <w:rFonts w:ascii="Arial" w:hAnsi="Arial" w:cs="Arial"/>
        </w:rPr>
        <w:t>. Ich opodatkowanie, zważywszy, że w aktywa są wyposażone przez Państwo nie ma sensu i generowałoby jedynie „pusty obrót” pieniądza, zamiast realizować cele fiskalne założone w ustawie.</w:t>
      </w:r>
    </w:p>
    <w:p w:rsidR="00333267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Ustawa zawiera także </w:t>
      </w:r>
      <w:r w:rsidRPr="00AA3E07">
        <w:rPr>
          <w:rFonts w:ascii="Arial" w:hAnsi="Arial" w:cs="Arial"/>
          <w:u w:val="single"/>
        </w:rPr>
        <w:t>przepisy przejściowe</w:t>
      </w:r>
      <w:r w:rsidRPr="00AA3E07">
        <w:rPr>
          <w:rFonts w:ascii="Arial" w:hAnsi="Arial" w:cs="Arial"/>
        </w:rPr>
        <w:t xml:space="preserve"> umożliwiające pobór podatku w pierwszym okresie rozliczeniowym to jest w lutym 2016r.</w:t>
      </w:r>
    </w:p>
    <w:p w:rsidR="00031ACA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Ponadto ze względów fiskalnych proponuje się wprowadzenie zmiany w ustawie z dnia 15 lutego 1992r. o podatku dochodowym od osób prawnych (Dz. U. z 2014r. poz. 851 z </w:t>
      </w:r>
      <w:proofErr w:type="spellStart"/>
      <w:r w:rsidRPr="00AA3E07">
        <w:rPr>
          <w:rFonts w:ascii="Arial" w:hAnsi="Arial" w:cs="Arial"/>
        </w:rPr>
        <w:t>późn</w:t>
      </w:r>
      <w:proofErr w:type="spellEnd"/>
      <w:r w:rsidRPr="00AA3E07">
        <w:rPr>
          <w:rFonts w:ascii="Arial" w:hAnsi="Arial" w:cs="Arial"/>
        </w:rPr>
        <w:t xml:space="preserve">. </w:t>
      </w:r>
      <w:proofErr w:type="spellStart"/>
      <w:r w:rsidRPr="00AA3E07">
        <w:rPr>
          <w:rFonts w:ascii="Arial" w:hAnsi="Arial" w:cs="Arial"/>
        </w:rPr>
        <w:t>zm</w:t>
      </w:r>
      <w:proofErr w:type="spellEnd"/>
      <w:r w:rsidRPr="00AA3E07">
        <w:rPr>
          <w:rFonts w:ascii="Arial" w:hAnsi="Arial" w:cs="Arial"/>
        </w:rPr>
        <w:t xml:space="preserve">), której celem jest uniemożliwienie odliczania projektowanego podatku od podstawy opodatkowania w podatku dochodowym od osób prawnych.  </w:t>
      </w:r>
    </w:p>
    <w:p w:rsidR="003B0599" w:rsidRPr="00AA3E07" w:rsidRDefault="003B0599" w:rsidP="00736C5E">
      <w:pPr>
        <w:pStyle w:val="Akapitzlist1"/>
        <w:spacing w:after="120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AA3E07">
        <w:rPr>
          <w:rFonts w:ascii="Arial" w:hAnsi="Arial" w:cs="Arial"/>
          <w:b/>
          <w:bCs/>
          <w:sz w:val="24"/>
          <w:szCs w:val="24"/>
        </w:rPr>
        <w:t>Przewidywane skutki</w:t>
      </w:r>
      <w:r w:rsidR="00A542B5" w:rsidRPr="00AA3E07">
        <w:rPr>
          <w:rFonts w:ascii="Arial" w:hAnsi="Arial" w:cs="Arial"/>
          <w:b/>
          <w:bCs/>
          <w:sz w:val="24"/>
          <w:szCs w:val="24"/>
        </w:rPr>
        <w:t xml:space="preserve"> finansowe</w:t>
      </w:r>
      <w:r w:rsidR="002C2000" w:rsidRPr="00AA3E07">
        <w:rPr>
          <w:rFonts w:ascii="Arial" w:hAnsi="Arial" w:cs="Arial"/>
          <w:b/>
          <w:bCs/>
          <w:sz w:val="24"/>
          <w:szCs w:val="24"/>
        </w:rPr>
        <w:t>,</w:t>
      </w:r>
      <w:r w:rsidRPr="00AA3E07">
        <w:rPr>
          <w:rFonts w:ascii="Arial" w:hAnsi="Arial" w:cs="Arial"/>
          <w:b/>
          <w:bCs/>
          <w:sz w:val="24"/>
          <w:szCs w:val="24"/>
        </w:rPr>
        <w:t xml:space="preserve"> </w:t>
      </w:r>
      <w:r w:rsidR="003D6799" w:rsidRPr="00AA3E07">
        <w:rPr>
          <w:rFonts w:ascii="Arial" w:hAnsi="Arial" w:cs="Arial"/>
          <w:b/>
          <w:bCs/>
          <w:sz w:val="24"/>
          <w:szCs w:val="24"/>
        </w:rPr>
        <w:t>gospodarcze</w:t>
      </w:r>
      <w:r w:rsidR="003D6799">
        <w:rPr>
          <w:rFonts w:ascii="Arial" w:hAnsi="Arial" w:cs="Arial"/>
          <w:b/>
          <w:bCs/>
          <w:sz w:val="24"/>
          <w:szCs w:val="24"/>
        </w:rPr>
        <w:t>,</w:t>
      </w:r>
      <w:r w:rsidR="003D6799" w:rsidRPr="00AA3E07">
        <w:rPr>
          <w:rFonts w:ascii="Arial" w:hAnsi="Arial" w:cs="Arial"/>
          <w:b/>
          <w:bCs/>
          <w:sz w:val="24"/>
          <w:szCs w:val="24"/>
        </w:rPr>
        <w:t xml:space="preserve"> </w:t>
      </w:r>
      <w:r w:rsidRPr="00AA3E07">
        <w:rPr>
          <w:rFonts w:ascii="Arial" w:hAnsi="Arial" w:cs="Arial"/>
          <w:b/>
          <w:bCs/>
          <w:sz w:val="24"/>
          <w:szCs w:val="24"/>
        </w:rPr>
        <w:t>społeczne</w:t>
      </w:r>
      <w:r w:rsidR="002C2000" w:rsidRPr="00AA3E07">
        <w:rPr>
          <w:rFonts w:ascii="Arial" w:hAnsi="Arial" w:cs="Arial"/>
          <w:b/>
          <w:bCs/>
          <w:sz w:val="24"/>
          <w:szCs w:val="24"/>
        </w:rPr>
        <w:t xml:space="preserve"> i prawne</w:t>
      </w:r>
      <w:r w:rsidRPr="00AA3E07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AF59CC" w:rsidRPr="00AB2649" w:rsidRDefault="00AD2DED" w:rsidP="00736C5E">
      <w:pPr>
        <w:pStyle w:val="Akapitzlist1"/>
        <w:numPr>
          <w:ilvl w:val="0"/>
          <w:numId w:val="5"/>
        </w:numPr>
        <w:spacing w:after="120"/>
        <w:ind w:left="0" w:firstLine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b/>
          <w:bCs/>
        </w:rPr>
        <w:t xml:space="preserve">skutki </w:t>
      </w:r>
      <w:r w:rsidR="00031ACA" w:rsidRPr="00AA3E07">
        <w:rPr>
          <w:rFonts w:ascii="Arial" w:hAnsi="Arial" w:cs="Arial"/>
          <w:b/>
          <w:bCs/>
        </w:rPr>
        <w:t>finansowe</w:t>
      </w:r>
      <w:r w:rsidR="003D6799">
        <w:rPr>
          <w:rFonts w:ascii="Arial" w:hAnsi="Arial" w:cs="Arial"/>
          <w:b/>
          <w:bCs/>
        </w:rPr>
        <w:t>, gospodarcze</w:t>
      </w:r>
      <w:r w:rsidRPr="00AA3E07">
        <w:rPr>
          <w:rFonts w:ascii="Arial" w:hAnsi="Arial" w:cs="Arial"/>
          <w:b/>
          <w:bCs/>
        </w:rPr>
        <w:t xml:space="preserve"> i społeczne</w:t>
      </w:r>
    </w:p>
    <w:p w:rsidR="00031ACA" w:rsidRPr="00AB2649" w:rsidRDefault="00736C5E" w:rsidP="00AB2649">
      <w:pPr>
        <w:pStyle w:val="HTML-wstpniesformatowany"/>
        <w:spacing w:before="120" w:after="120" w:line="276" w:lineRule="auto"/>
        <w:jc w:val="both"/>
        <w:rPr>
          <w:rFonts w:ascii="Arial" w:eastAsia="SimSun" w:hAnsi="Arial" w:cs="Arial"/>
          <w:b/>
          <w:sz w:val="22"/>
          <w:szCs w:val="22"/>
          <w:u w:val="single"/>
          <w:lang w:eastAsia="ar-SA"/>
        </w:rPr>
      </w:pPr>
      <w:r>
        <w:rPr>
          <w:rFonts w:ascii="Arial" w:eastAsia="SimSun" w:hAnsi="Arial" w:cs="Arial"/>
          <w:b/>
          <w:sz w:val="22"/>
          <w:szCs w:val="22"/>
          <w:u w:val="single"/>
          <w:lang w:eastAsia="ar-SA"/>
        </w:rPr>
        <w:t>S</w:t>
      </w:r>
      <w:r w:rsidR="00105ECF" w:rsidRPr="00AA3E07">
        <w:rPr>
          <w:rFonts w:ascii="Arial" w:eastAsia="SimSun" w:hAnsi="Arial" w:cs="Arial"/>
          <w:b/>
          <w:sz w:val="22"/>
          <w:szCs w:val="22"/>
          <w:u w:val="single"/>
          <w:lang w:eastAsia="ar-SA"/>
        </w:rPr>
        <w:t xml:space="preserve">zacowane </w:t>
      </w:r>
      <w:r w:rsidR="00031ACA" w:rsidRPr="00AA3E07">
        <w:rPr>
          <w:rFonts w:ascii="Arial" w:eastAsia="SimSun" w:hAnsi="Arial" w:cs="Arial"/>
          <w:b/>
          <w:sz w:val="22"/>
          <w:szCs w:val="22"/>
          <w:u w:val="single"/>
          <w:lang w:eastAsia="ar-SA"/>
        </w:rPr>
        <w:t>wpływy z podatku</w:t>
      </w:r>
    </w:p>
    <w:p w:rsidR="00333267" w:rsidRPr="00AA3E07" w:rsidRDefault="009B5432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Na podstawie dostępnych danych Komisji Nadzoru Finansowego, szacowane wpływy z podatku</w:t>
      </w:r>
      <w:r w:rsidR="00333267" w:rsidRPr="00AA3E07">
        <w:rPr>
          <w:rFonts w:ascii="Arial" w:hAnsi="Arial" w:cs="Arial"/>
        </w:rPr>
        <w:t xml:space="preserve"> wyniosą w 2016 </w:t>
      </w:r>
      <w:r w:rsidRPr="00AA3E07">
        <w:rPr>
          <w:rFonts w:ascii="Arial" w:hAnsi="Arial" w:cs="Arial"/>
        </w:rPr>
        <w:t>r.</w:t>
      </w:r>
      <w:r w:rsidR="00333267" w:rsidRPr="00AA3E07">
        <w:rPr>
          <w:rFonts w:ascii="Arial" w:hAnsi="Arial" w:cs="Arial"/>
        </w:rPr>
        <w:t>, kwotę 6,5-7 mld zł.</w:t>
      </w:r>
    </w:p>
    <w:p w:rsidR="00333267" w:rsidRPr="00AA3E07" w:rsidRDefault="00736C5E" w:rsidP="00AB2649">
      <w:pPr>
        <w:spacing w:before="120"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</w:t>
      </w:r>
      <w:r w:rsidR="00333267" w:rsidRPr="00AA3E07">
        <w:rPr>
          <w:rFonts w:ascii="Arial" w:hAnsi="Arial" w:cs="Arial"/>
          <w:b/>
          <w:u w:val="single"/>
        </w:rPr>
        <w:t>pływ na dochody z podatku dochodowego od osób prawnych</w:t>
      </w:r>
    </w:p>
    <w:p w:rsidR="00153626" w:rsidRPr="00AA3E07" w:rsidRDefault="00333267" w:rsidP="00AB2649">
      <w:pPr>
        <w:spacing w:before="120" w:after="12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 xml:space="preserve">Wprowadzenie podatku nie powinno mieć wpływu na zmniejszenie dochodów uzyskiwanych z podatku dochodowego od osób prawnych, z uwagi na fakt, że podatek nie będzie stanowił kosztu uzyskania przychodu i nie obniży podstawy opodatkowania podatkiem dochodowym. </w:t>
      </w:r>
    </w:p>
    <w:p w:rsidR="00AD2DED" w:rsidRPr="00AA3E07" w:rsidRDefault="00736C5E" w:rsidP="00AB2649">
      <w:pPr>
        <w:spacing w:before="120" w:after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</w:t>
      </w:r>
      <w:r w:rsidR="00AD2DED" w:rsidRPr="00AA3E07">
        <w:rPr>
          <w:rFonts w:ascii="Arial" w:hAnsi="Arial" w:cs="Arial"/>
          <w:b/>
          <w:u w:val="single"/>
        </w:rPr>
        <w:t>pływ na konkurencyjność polskiego rynku dla instytucji zagranicznych</w:t>
      </w:r>
    </w:p>
    <w:p w:rsidR="009B0C3C" w:rsidRDefault="009B0C3C" w:rsidP="00AB2649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Wprowadzenie podatku nie powinno zmniejszyć konkurencyjności polskiego rynku dla instytucji zagranicznych z uwagi na fakt, że podatek zostanie wprowadzony na równych zasadach dla podmiotów krajowych jak i zagranicznych. </w:t>
      </w:r>
    </w:p>
    <w:p w:rsidR="00AB2649" w:rsidRPr="00AB2649" w:rsidRDefault="009B0C3C" w:rsidP="00AB2649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 istniejące za granicą zainteresowanie zakupem aktywów w Polsce przez instytucje międzynarodowe wskazuje, że rynek polski jest atrakcyjny dla zagranicznych instytucji finansowych i wprowadzenie podatku od instytucji finansowych nie powinno wpłynąć w znaczący sposób na dalsze zainteresowanie polskim rynkiem. Dodatkowym istotnym czynnikiem jest także zacieśnianie dyscypliny fiskalnej w państwach europejskich spowodowane kryzysem finansowym oraz plany lub już zrealizowane wprowadzenie podatku bankowego w największych krajach europejskich (Wielka Brytania, Francja, Niemcy).</w:t>
      </w:r>
    </w:p>
    <w:p w:rsidR="0002188D" w:rsidRPr="00AA3E07" w:rsidRDefault="00736C5E" w:rsidP="00736C5E">
      <w:pPr>
        <w:spacing w:before="12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u w:val="single"/>
        </w:rPr>
        <w:t>W</w:t>
      </w:r>
      <w:r w:rsidR="00252FB0" w:rsidRPr="00AA3E07">
        <w:rPr>
          <w:rFonts w:ascii="Arial" w:hAnsi="Arial" w:cs="Arial"/>
          <w:b/>
          <w:u w:val="single"/>
        </w:rPr>
        <w:t xml:space="preserve">pływ na </w:t>
      </w:r>
      <w:r w:rsidR="00031ACA" w:rsidRPr="00AA3E07">
        <w:rPr>
          <w:rFonts w:ascii="Arial" w:hAnsi="Arial" w:cs="Arial"/>
          <w:b/>
          <w:u w:val="single"/>
        </w:rPr>
        <w:t>z</w:t>
      </w:r>
      <w:r w:rsidR="00E11A1B" w:rsidRPr="00AA3E07">
        <w:rPr>
          <w:rFonts w:ascii="Arial" w:hAnsi="Arial" w:cs="Arial"/>
          <w:b/>
          <w:u w:val="single"/>
        </w:rPr>
        <w:t xml:space="preserve">dolność </w:t>
      </w:r>
      <w:r w:rsidR="00DF4242" w:rsidRPr="00AA3E07">
        <w:rPr>
          <w:rFonts w:ascii="Arial" w:hAnsi="Arial" w:cs="Arial"/>
          <w:b/>
          <w:u w:val="single"/>
        </w:rPr>
        <w:t xml:space="preserve">do </w:t>
      </w:r>
      <w:r w:rsidR="00A47099" w:rsidRPr="00AA3E07">
        <w:rPr>
          <w:rFonts w:ascii="Arial" w:hAnsi="Arial" w:cs="Arial"/>
          <w:b/>
          <w:u w:val="single"/>
        </w:rPr>
        <w:t>udzielania kredytów przez banki</w:t>
      </w:r>
      <w:r w:rsidR="00842FD3" w:rsidRPr="00AA3E07">
        <w:rPr>
          <w:rFonts w:ascii="Arial" w:hAnsi="Arial" w:cs="Arial"/>
          <w:b/>
          <w:u w:val="single"/>
        </w:rPr>
        <w:t xml:space="preserve"> </w:t>
      </w:r>
    </w:p>
    <w:p w:rsidR="00736C5E" w:rsidRP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 xml:space="preserve">Zdolność banku komercyjnego do udzielania kredytu gospodarce regulowana jest dwoma podstawowymi parametrami: poziomem rezerwy obowiązkowej i utrzymaniem adekwatności kapitałowej. Bierzemy pod uwagę tylko te zmienne, gdyż pozostałe (np. wskaźnik gotówkowy, rezerwy nadobowiązkowe) mają charakter rynkowy a nie </w:t>
      </w:r>
      <w:proofErr w:type="spellStart"/>
      <w:r w:rsidRPr="001A4976">
        <w:rPr>
          <w:rFonts w:ascii="Arial" w:hAnsi="Arial" w:cs="Arial"/>
          <w:i/>
        </w:rPr>
        <w:t>sui</w:t>
      </w:r>
      <w:proofErr w:type="spellEnd"/>
      <w:r w:rsidRPr="001A4976">
        <w:rPr>
          <w:rFonts w:ascii="Arial" w:hAnsi="Arial" w:cs="Arial"/>
          <w:i/>
        </w:rPr>
        <w:t xml:space="preserve"> </w:t>
      </w:r>
      <w:proofErr w:type="spellStart"/>
      <w:r w:rsidRPr="001A4976">
        <w:rPr>
          <w:rFonts w:ascii="Arial" w:hAnsi="Arial" w:cs="Arial"/>
          <w:i/>
        </w:rPr>
        <w:t>generis</w:t>
      </w:r>
      <w:proofErr w:type="spellEnd"/>
      <w:r w:rsidRPr="00736C5E">
        <w:rPr>
          <w:rFonts w:ascii="Arial" w:hAnsi="Arial" w:cs="Arial"/>
        </w:rPr>
        <w:t xml:space="preserve"> administracyjny.</w:t>
      </w:r>
    </w:p>
    <w:p w:rsidR="00736C5E" w:rsidRP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>Podatek, bez względu na jego ostateczny kształt, nie ingeruje w parametr pierwszy, pozostający w wyłącznej gestii banku centralnego.</w:t>
      </w:r>
    </w:p>
    <w:p w:rsidR="00736C5E" w:rsidRP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lastRenderedPageBreak/>
        <w:t xml:space="preserve">Przy obecnym poziomie rezerwy obowiązkowej wynoszącym 3,5% możliwa kreacja pieniądza kredytowego przez system bankowy to iloczyn odwrotności poziomu rezerwy i wartości depozytów. W naszej sytuacji jest (1/0,035), czyli 28,5. Zmiana poziomu rezerwy o 1 pp. w górę zmniejsza współczynnik kreacji do 22,2, a 1 pp. w dół zwiększa go do 40. Przesłanki przemawiające za zmianą poziomu rezerwy obowiązkowej wynikają z oceny przez NBP wpływu krótkookresowej sytuacji płynnościowej sektora bankowego na realizację celu inflacyjnego. Co istotne poziom rezerwy nie zmienia się od roku 2010. </w:t>
      </w:r>
    </w:p>
    <w:p w:rsidR="00736C5E" w:rsidRP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>Z ko</w:t>
      </w:r>
      <w:r w:rsidR="001A4976">
        <w:rPr>
          <w:rFonts w:ascii="Arial" w:hAnsi="Arial" w:cs="Arial"/>
        </w:rPr>
        <w:t xml:space="preserve">lei znaczenie podatku ujawni się przy ocenie </w:t>
      </w:r>
      <w:r w:rsidRPr="00736C5E">
        <w:rPr>
          <w:rFonts w:ascii="Arial" w:hAnsi="Arial" w:cs="Arial"/>
        </w:rPr>
        <w:t>adekwatności kapitałowej.</w:t>
      </w:r>
    </w:p>
    <w:p w:rsidR="00736C5E" w:rsidRP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>Adekwatność kapitałowa (współczynnik wypłacalności) to minimalna, procentowa relacja funduszy własnych netto do aktywów ważonych ryzykiem. Jego wartość minimalna to 8% (art. 128 prawa bankowego) a na koniec I kwartału 2015 wynosiła ona 13,6% dla całego sektora. Prawo bankowe w art. 128 nazywa fundusze własne netto „kapitałem wewnętrznym” i nakłada na banki obowiązek i prawo określania jego wysokości samodzielnie w relacji do profilu ryzyka generowanego przez dany bank. KNF na bieżąco kontroluje prawidłowość wyznaczania tego kapitału przez banki. Kapitał wewnętrzny/fundusze własne to fundusze mające zagwarantować bankowi kontynuowanie działalności w razie materializacji całego</w:t>
      </w:r>
      <w:r w:rsidR="001A4976">
        <w:rPr>
          <w:rFonts w:ascii="Arial" w:hAnsi="Arial" w:cs="Arial"/>
        </w:rPr>
        <w:t xml:space="preserve"> ryzyka oszacowanego dla danej </w:t>
      </w:r>
      <w:r w:rsidRPr="00736C5E">
        <w:rPr>
          <w:rFonts w:ascii="Arial" w:hAnsi="Arial" w:cs="Arial"/>
        </w:rPr>
        <w:t>struktury aktywów. W uproszczeniu kapitał wewnętrzny to część kapitału akcyjnego i zapasowego utworzonego z zatrzymanych zysków. Wzrost zapotrzebowania na ten kapitał może z powodu zamiaru ekspansji kredytowej lub wzrostu poziomu ryzyka generowanego przez aktualną strukturę aktywów.</w:t>
      </w:r>
    </w:p>
    <w:p w:rsidR="00736C5E" w:rsidRP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>W wartościach nominalnych poziom funduszy własnych sektora to 125 mld zł (banki komercyjne) i 10,5 zł (spółdzielcze).</w:t>
      </w:r>
    </w:p>
    <w:p w:rsid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 xml:space="preserve">Z kolei </w:t>
      </w:r>
      <w:r w:rsidR="001A4976">
        <w:rPr>
          <w:rFonts w:ascii="Arial" w:hAnsi="Arial" w:cs="Arial"/>
        </w:rPr>
        <w:t xml:space="preserve">wskaźnik </w:t>
      </w:r>
      <w:r w:rsidRPr="00736C5E">
        <w:rPr>
          <w:rFonts w:ascii="Arial" w:hAnsi="Arial" w:cs="Arial"/>
        </w:rPr>
        <w:t>ROE dla sektora w ostatnich latach utrzymuje się na poziomie dwucyfrowym, i w roku 2014 i 2015 jest to około 12% (z tendencją malejącą), co z pewnością pozwala uzupełnić ewentualny ubytek kapitału zapasowego bez uszczerbku dla wymogów kapitałowych.</w:t>
      </w:r>
    </w:p>
    <w:p w:rsidR="00736C5E" w:rsidRDefault="00736C5E" w:rsidP="00736C5E">
      <w:pPr>
        <w:spacing w:after="120"/>
        <w:jc w:val="both"/>
        <w:rPr>
          <w:rFonts w:ascii="Arial" w:hAnsi="Arial" w:cs="Arial"/>
        </w:rPr>
      </w:pPr>
      <w:r w:rsidRPr="00736C5E">
        <w:rPr>
          <w:rFonts w:ascii="Arial" w:hAnsi="Arial" w:cs="Arial"/>
        </w:rPr>
        <w:t>W dniu 30.09.2015 suma aktywów sektora wynosiła 1 887 mld zł, a więc podatek wg stawki 0,</w:t>
      </w:r>
      <w:r w:rsidR="001A4976">
        <w:rPr>
          <w:rFonts w:ascii="Arial" w:hAnsi="Arial" w:cs="Arial"/>
        </w:rPr>
        <w:t>0 325</w:t>
      </w:r>
      <w:r w:rsidRPr="00736C5E">
        <w:rPr>
          <w:rFonts w:ascii="Arial" w:hAnsi="Arial" w:cs="Arial"/>
        </w:rPr>
        <w:t xml:space="preserve">% </w:t>
      </w:r>
      <w:r w:rsidR="001A4976">
        <w:rPr>
          <w:rFonts w:ascii="Arial" w:hAnsi="Arial" w:cs="Arial"/>
        </w:rPr>
        <w:t>miesięcznie to około 7,3</w:t>
      </w:r>
      <w:r w:rsidRPr="00736C5E">
        <w:rPr>
          <w:rFonts w:ascii="Arial" w:hAnsi="Arial" w:cs="Arial"/>
        </w:rPr>
        <w:t xml:space="preserve"> mld zł</w:t>
      </w:r>
      <w:r w:rsidR="001A4976">
        <w:rPr>
          <w:rFonts w:ascii="Arial" w:hAnsi="Arial" w:cs="Arial"/>
        </w:rPr>
        <w:t xml:space="preserve"> w skali roku.</w:t>
      </w:r>
      <w:r w:rsidRPr="00736C5E">
        <w:rPr>
          <w:rFonts w:ascii="Arial" w:hAnsi="Arial" w:cs="Arial"/>
        </w:rPr>
        <w:t xml:space="preserve"> Wynik finansowy</w:t>
      </w:r>
      <w:r w:rsidR="001A4976">
        <w:rPr>
          <w:rFonts w:ascii="Arial" w:hAnsi="Arial" w:cs="Arial"/>
        </w:rPr>
        <w:t xml:space="preserve"> netto</w:t>
      </w:r>
      <w:r w:rsidRPr="00736C5E">
        <w:rPr>
          <w:rFonts w:ascii="Arial" w:hAnsi="Arial" w:cs="Arial"/>
        </w:rPr>
        <w:t xml:space="preserve"> sektora wyniósł 16,2 mld zł, czyli wzrósł o 7,1% w s</w:t>
      </w:r>
      <w:r w:rsidR="001A4976">
        <w:rPr>
          <w:rFonts w:ascii="Arial" w:hAnsi="Arial" w:cs="Arial"/>
        </w:rPr>
        <w:t>tosunku do roku 2013. Przy niemal  zerowej inflacji i stosunkowo niewielkim wzroście</w:t>
      </w:r>
      <w:r w:rsidRPr="00736C5E">
        <w:rPr>
          <w:rFonts w:ascii="Arial" w:hAnsi="Arial" w:cs="Arial"/>
        </w:rPr>
        <w:t xml:space="preserve"> gospodarczym jest </w:t>
      </w:r>
      <w:r w:rsidR="001A4976">
        <w:rPr>
          <w:rFonts w:ascii="Arial" w:hAnsi="Arial" w:cs="Arial"/>
        </w:rPr>
        <w:t>to</w:t>
      </w:r>
      <w:r w:rsidRPr="00736C5E">
        <w:rPr>
          <w:rFonts w:ascii="Arial" w:hAnsi="Arial" w:cs="Arial"/>
        </w:rPr>
        <w:t xml:space="preserve"> znakomity</w:t>
      </w:r>
      <w:r w:rsidR="001A4976">
        <w:rPr>
          <w:rFonts w:ascii="Arial" w:hAnsi="Arial" w:cs="Arial"/>
        </w:rPr>
        <w:t xml:space="preserve"> efekt</w:t>
      </w:r>
      <w:r w:rsidRPr="00736C5E">
        <w:rPr>
          <w:rFonts w:ascii="Arial" w:hAnsi="Arial" w:cs="Arial"/>
        </w:rPr>
        <w:t xml:space="preserve">. </w:t>
      </w:r>
    </w:p>
    <w:p w:rsidR="001A4976" w:rsidRDefault="001A4976" w:rsidP="00AB2649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danymi Komisji Nadzoru Finansowego suma bilansowa sektora ubezpieczeniowego na dzień 30.06.2015 wynosiła 180 mld, a wynik finansowy netto po sześciu miesiącach to prawie 3,5 mld zł. Z danych tych wynika wyższa rentowność sektora ubezpieczeń w stosunku do bankowego, co uzasadnia stosowanie wyższej stawki podatku w wysokości 0,05% miesięcznie.</w:t>
      </w:r>
    </w:p>
    <w:p w:rsidR="001A4976" w:rsidRPr="00AB2649" w:rsidRDefault="001A4976" w:rsidP="00AB2649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9689A" w:rsidRPr="00AA3E07" w:rsidRDefault="00736C5E" w:rsidP="00736C5E">
      <w:pPr>
        <w:pStyle w:val="Akapitzlist1"/>
        <w:spacing w:before="120" w:after="120"/>
        <w:ind w:left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  <w:u w:val="single"/>
        </w:rPr>
        <w:t>M</w:t>
      </w:r>
      <w:r w:rsidR="0009689A" w:rsidRPr="00AA3E07">
        <w:rPr>
          <w:rFonts w:ascii="Arial" w:hAnsi="Arial" w:cs="Arial"/>
          <w:b/>
          <w:bCs/>
          <w:u w:val="single"/>
        </w:rPr>
        <w:t>ożliwość przerzucenia podatku na klientów banków</w:t>
      </w:r>
      <w:r w:rsidR="009B0C3C">
        <w:rPr>
          <w:rFonts w:ascii="Arial" w:hAnsi="Arial" w:cs="Arial"/>
          <w:b/>
          <w:bCs/>
          <w:u w:val="single"/>
        </w:rPr>
        <w:t xml:space="preserve"> i towarzystw ubezpieczeniowych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 xml:space="preserve">Podatek od sum bilansowych instytucji finansowych jest </w:t>
      </w:r>
      <w:r w:rsidRPr="009B0C3C">
        <w:rPr>
          <w:rFonts w:ascii="Arial" w:hAnsi="Arial" w:cs="Arial"/>
          <w:i/>
        </w:rPr>
        <w:t>de facto</w:t>
      </w:r>
      <w:r w:rsidRPr="009B0C3C">
        <w:rPr>
          <w:rFonts w:ascii="Arial" w:hAnsi="Arial" w:cs="Arial"/>
        </w:rPr>
        <w:t xml:space="preserve"> podatkiem majątkowym, stąd przerzucenie podatku na klientów nie powinno mieć miejsca. 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 xml:space="preserve">Kwestia </w:t>
      </w:r>
      <w:proofErr w:type="spellStart"/>
      <w:r w:rsidRPr="009B0C3C">
        <w:rPr>
          <w:rFonts w:ascii="Arial" w:hAnsi="Arial" w:cs="Arial"/>
        </w:rPr>
        <w:t>przerzucalności</w:t>
      </w:r>
      <w:proofErr w:type="spellEnd"/>
      <w:r w:rsidRPr="009B0C3C">
        <w:rPr>
          <w:rFonts w:ascii="Arial" w:hAnsi="Arial" w:cs="Arial"/>
        </w:rPr>
        <w:t xml:space="preserve"> podatku opisana jest szczegółowo w literaturze podatkowej (Np. S. Owsiak „Finanse Publiczne” Wydawnictwo Naukowe PWN Warszawa 2000r. s. 186-188, </w:t>
      </w:r>
      <w:r w:rsidRPr="009B0C3C">
        <w:rPr>
          <w:rFonts w:ascii="Arial" w:hAnsi="Arial" w:cs="Arial"/>
        </w:rPr>
        <w:br/>
      </w:r>
      <w:r w:rsidRPr="009B0C3C">
        <w:rPr>
          <w:rFonts w:ascii="Arial" w:hAnsi="Arial" w:cs="Arial"/>
        </w:rPr>
        <w:lastRenderedPageBreak/>
        <w:t xml:space="preserve">A. </w:t>
      </w:r>
      <w:proofErr w:type="spellStart"/>
      <w:r w:rsidRPr="009B0C3C">
        <w:rPr>
          <w:rFonts w:ascii="Arial" w:hAnsi="Arial" w:cs="Arial"/>
        </w:rPr>
        <w:t>Gomułowicz</w:t>
      </w:r>
      <w:proofErr w:type="spellEnd"/>
      <w:r w:rsidRPr="009B0C3C">
        <w:rPr>
          <w:rFonts w:ascii="Arial" w:hAnsi="Arial" w:cs="Arial"/>
        </w:rPr>
        <w:t xml:space="preserve">, J. Małecki „Podatki i prawo podatkowe” </w:t>
      </w:r>
      <w:proofErr w:type="spellStart"/>
      <w:r w:rsidRPr="009B0C3C">
        <w:rPr>
          <w:rFonts w:ascii="Arial" w:hAnsi="Arial" w:cs="Arial"/>
        </w:rPr>
        <w:t>Lexis</w:t>
      </w:r>
      <w:proofErr w:type="spellEnd"/>
      <w:r w:rsidRPr="009B0C3C">
        <w:rPr>
          <w:rFonts w:ascii="Arial" w:hAnsi="Arial" w:cs="Arial"/>
        </w:rPr>
        <w:t xml:space="preserve"> </w:t>
      </w:r>
      <w:proofErr w:type="spellStart"/>
      <w:r w:rsidRPr="009B0C3C">
        <w:rPr>
          <w:rFonts w:ascii="Arial" w:hAnsi="Arial" w:cs="Arial"/>
        </w:rPr>
        <w:t>Nexis</w:t>
      </w:r>
      <w:proofErr w:type="spellEnd"/>
      <w:r w:rsidRPr="009B0C3C">
        <w:rPr>
          <w:rFonts w:ascii="Arial" w:hAnsi="Arial" w:cs="Arial"/>
        </w:rPr>
        <w:t xml:space="preserve"> Warszawa 2004 s. 40-43, s. 51 i s. 88, R. Mastalski „Prawo podatkowe” CH Beck Warszawa 2004r. s. 45)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>Przyjmuje się, że przerzucane są podatki pośrednie (obrotowe i VAT), natomiast w przypadku podatków bezpośrednich, (a do takich należą podatki dochodowe i majątkowe) przerzucanie podatków jest utrudnione, z uwagi na fakt, iż kwota podatku nie jest ujęta w cenie towaru lub usługi.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>Przerzucanie podatków może następować „w przód” tj. nabywców towarów lub usług poprzez podwyższanie cen sprzedaży, lub „wstecz” na dostawców poprzez obniżanie cen zakupu towarów lub usług.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 xml:space="preserve">W przypadku podatków bezpośrednich o tym czy dojdzie do przerzucenia podatku oraz czy zostanie on przerzucony „w przód” czy „wstecz” decydują uwarunkowania rynkowe. 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>W przypadku banków i zakładów ubezpieczeń raczej trudno liczyć się z możliwością przerzucania podatku „wstecz”, choć nie można wykluczyć zaistnienia większej presji, w związku z wprowadzeniem podatku na obniżenie wynagrodzeń lub ceny usług nabywanych przez banki i zakłady ubezpieczeń (np. ceny najmu pomieszczeń, w których mieszczą się oddziały instytucji finansowych).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>W przypadku depozytów i polis ubezpieczeniowych na rynku obserwujemy istotną konkurencję. Banki konkurują obecnie o pieniądze depozytariuszy i wobec tego trudno oczekiwać, że w związku z wprowadzeniem podatku bankowego będą obniżać oprocentowanie lokat. Odmiennie sytuacja kształtuje się w przypadku kredytobiorców. W tym przypadku należy oczekiwać zwiększenia marży na rynku kredytów korporacyjnych. Wydaje się, że z uwagi na konkurencję na rynku kredytów indywidualnych, takim klientom banków będzie grozić podwyżka oprocentowania. Ponadto, co należy podkreślić podwyżka co do zasady nie będzie dotyczyć umów zawartych przed dniem wejścia w życie ustawy.</w:t>
      </w:r>
    </w:p>
    <w:p w:rsidR="009B0C3C" w:rsidRPr="009B0C3C" w:rsidRDefault="009B0C3C" w:rsidP="00736C5E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>Wobec powyższego uprawnione jest twierdzenie, że proponowany podatek w przypadku banków w pierwszej kolejności zmniejszy rentowność banków.</w:t>
      </w:r>
    </w:p>
    <w:p w:rsidR="00AB2649" w:rsidRPr="009B0C3C" w:rsidRDefault="009B0C3C" w:rsidP="00206280">
      <w:pPr>
        <w:spacing w:after="120"/>
        <w:jc w:val="both"/>
        <w:rPr>
          <w:rFonts w:ascii="Arial" w:hAnsi="Arial" w:cs="Arial"/>
        </w:rPr>
      </w:pPr>
      <w:r w:rsidRPr="009B0C3C">
        <w:rPr>
          <w:rFonts w:ascii="Arial" w:hAnsi="Arial" w:cs="Arial"/>
        </w:rPr>
        <w:t>Zamiar przeniesienia podatku na klientów banków będzie ograniczony istniejącą konkurencją na rynku, aktywnymi działaniami UOKiK, oraz istniejącymi i pr</w:t>
      </w:r>
      <w:r w:rsidR="004932A1">
        <w:rPr>
          <w:rFonts w:ascii="Arial" w:hAnsi="Arial" w:cs="Arial"/>
        </w:rPr>
        <w:t>oponowanymi w projekcie (art. 16</w:t>
      </w:r>
      <w:r w:rsidRPr="009B0C3C">
        <w:rPr>
          <w:rFonts w:ascii="Arial" w:hAnsi="Arial" w:cs="Arial"/>
        </w:rPr>
        <w:t>) rozwiązaniami prawnymi.</w:t>
      </w:r>
    </w:p>
    <w:p w:rsidR="00C34FC3" w:rsidRPr="00AA3E07" w:rsidRDefault="00C34FC3" w:rsidP="00736C5E">
      <w:pPr>
        <w:pStyle w:val="Akapitzlist1"/>
        <w:numPr>
          <w:ilvl w:val="0"/>
          <w:numId w:val="5"/>
        </w:numPr>
        <w:spacing w:after="120"/>
        <w:ind w:left="0" w:firstLine="0"/>
        <w:jc w:val="both"/>
        <w:rPr>
          <w:rFonts w:ascii="Arial" w:hAnsi="Arial" w:cs="Arial"/>
        </w:rPr>
      </w:pPr>
      <w:r w:rsidRPr="00AA3E07">
        <w:rPr>
          <w:rFonts w:ascii="Arial" w:hAnsi="Arial" w:cs="Arial"/>
          <w:b/>
          <w:bCs/>
        </w:rPr>
        <w:t>skutki prawne</w:t>
      </w:r>
    </w:p>
    <w:p w:rsidR="00B11AE8" w:rsidRPr="00AA3E07" w:rsidRDefault="00105ECF" w:rsidP="00A1415C">
      <w:pPr>
        <w:pStyle w:val="Akapitzlist1"/>
        <w:spacing w:after="0"/>
        <w:ind w:left="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Skutkiem prawnym będzie istnienie nowego podatku od sumy aktywów niektórych instytucji finansowych.</w:t>
      </w:r>
    </w:p>
    <w:p w:rsidR="00A1415C" w:rsidRPr="00AA3E07" w:rsidRDefault="00A1415C" w:rsidP="00A1415C">
      <w:pPr>
        <w:pStyle w:val="Akapitzlist1"/>
        <w:spacing w:after="0"/>
        <w:ind w:left="0"/>
        <w:jc w:val="both"/>
        <w:rPr>
          <w:rFonts w:ascii="Arial" w:hAnsi="Arial" w:cs="Arial"/>
        </w:rPr>
      </w:pPr>
    </w:p>
    <w:p w:rsidR="00C2206B" w:rsidRPr="00AA3E07" w:rsidRDefault="000D5553" w:rsidP="00A1415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A3E07">
        <w:rPr>
          <w:rFonts w:ascii="Arial" w:hAnsi="Arial" w:cs="Arial"/>
          <w:b/>
          <w:bCs/>
          <w:sz w:val="24"/>
          <w:szCs w:val="24"/>
        </w:rPr>
        <w:t xml:space="preserve">4. </w:t>
      </w:r>
      <w:r w:rsidR="00C14C8E" w:rsidRPr="00AA3E07">
        <w:rPr>
          <w:rFonts w:ascii="Arial" w:hAnsi="Arial" w:cs="Arial"/>
          <w:b/>
          <w:bCs/>
          <w:sz w:val="24"/>
          <w:szCs w:val="24"/>
        </w:rPr>
        <w:t>Źródła finansowania</w:t>
      </w:r>
    </w:p>
    <w:p w:rsidR="00D139E1" w:rsidRPr="00AA3E07" w:rsidRDefault="00E41B40" w:rsidP="00A1415C">
      <w:pPr>
        <w:spacing w:after="0"/>
        <w:jc w:val="both"/>
        <w:rPr>
          <w:rFonts w:ascii="Arial" w:hAnsi="Arial" w:cs="Arial"/>
        </w:rPr>
      </w:pPr>
      <w:r w:rsidRPr="00F334E9">
        <w:rPr>
          <w:rFonts w:ascii="Arial" w:hAnsi="Arial" w:cs="Arial"/>
        </w:rPr>
        <w:t xml:space="preserve">Po stronie wydatkowej w pierwszym roku obowiązywania projektowanej ustawy </w:t>
      </w:r>
      <w:r w:rsidRPr="00AA3E07">
        <w:rPr>
          <w:rFonts w:ascii="Arial" w:hAnsi="Arial" w:cs="Arial"/>
        </w:rPr>
        <w:t xml:space="preserve">należy się liczyć z niewielkim wzrostem kosztów związanych z procesem poboru podatku i kontrolą wywiązywania się przez podatników z nałożonych obowiązków. Koszty te nie powinny być jednak istotne, porównując z potencjalnymi wpływami z tego podatku. </w:t>
      </w:r>
    </w:p>
    <w:p w:rsidR="00C2206B" w:rsidRPr="00AA3E07" w:rsidRDefault="000D5553" w:rsidP="00736C5E">
      <w:pPr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AA3E07">
        <w:rPr>
          <w:rFonts w:ascii="Arial" w:hAnsi="Arial" w:cs="Arial"/>
          <w:b/>
          <w:bCs/>
          <w:sz w:val="24"/>
          <w:szCs w:val="24"/>
        </w:rPr>
        <w:t xml:space="preserve">5. </w:t>
      </w:r>
      <w:r w:rsidR="00732FEB" w:rsidRPr="00AA3E07">
        <w:rPr>
          <w:rFonts w:ascii="Arial" w:hAnsi="Arial" w:cs="Arial"/>
          <w:b/>
          <w:bCs/>
          <w:sz w:val="24"/>
          <w:szCs w:val="24"/>
        </w:rPr>
        <w:t>Projekty</w:t>
      </w:r>
      <w:r w:rsidR="00C14C8E" w:rsidRPr="00AA3E07">
        <w:rPr>
          <w:rFonts w:ascii="Arial" w:hAnsi="Arial" w:cs="Arial"/>
          <w:b/>
          <w:bCs/>
          <w:sz w:val="24"/>
          <w:szCs w:val="24"/>
        </w:rPr>
        <w:t xml:space="preserve"> </w:t>
      </w:r>
      <w:r w:rsidR="00732FEB" w:rsidRPr="00AA3E07">
        <w:rPr>
          <w:rFonts w:ascii="Arial" w:hAnsi="Arial" w:cs="Arial"/>
          <w:b/>
          <w:bCs/>
          <w:sz w:val="24"/>
          <w:szCs w:val="24"/>
        </w:rPr>
        <w:t>podstawowych aktów</w:t>
      </w:r>
      <w:r w:rsidR="00C14C8E" w:rsidRPr="00AA3E07">
        <w:rPr>
          <w:rFonts w:ascii="Arial" w:hAnsi="Arial" w:cs="Arial"/>
          <w:b/>
          <w:bCs/>
          <w:sz w:val="24"/>
          <w:szCs w:val="24"/>
        </w:rPr>
        <w:t xml:space="preserve"> wykonawczych</w:t>
      </w:r>
    </w:p>
    <w:p w:rsidR="009D5FAA" w:rsidRDefault="002C2D44" w:rsidP="00A1415C">
      <w:pPr>
        <w:pStyle w:val="h1maintyt"/>
        <w:spacing w:line="276" w:lineRule="auto"/>
        <w:jc w:val="both"/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</w:pP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Ustawa zawiera delegację do wydania jednego rozporządzenia </w:t>
      </w:r>
      <w:r w:rsidR="00AE500D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>(</w:t>
      </w: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art. </w:t>
      </w:r>
      <w:r w:rsidR="00A85348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>8</w:t>
      </w: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 ust. 3</w:t>
      </w:r>
      <w:r w:rsidR="00AE500D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>)</w:t>
      </w: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. </w:t>
      </w:r>
    </w:p>
    <w:p w:rsidR="00732FEB" w:rsidRDefault="002F4614" w:rsidP="00A1415C">
      <w:pPr>
        <w:pStyle w:val="h1maintyt"/>
        <w:spacing w:line="276" w:lineRule="auto"/>
        <w:jc w:val="both"/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</w:pP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lastRenderedPageBreak/>
        <w:t>P</w:t>
      </w:r>
      <w:r w:rsidRPr="00AA3E07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rojekt rozporządzenia Ministra Finansów </w:t>
      </w:r>
      <w:r w:rsidRPr="009D5FAA">
        <w:rPr>
          <w:rFonts w:ascii="Arial" w:eastAsia="SimSun" w:hAnsi="Arial" w:cs="Arial"/>
          <w:b w:val="0"/>
          <w:bCs w:val="0"/>
          <w:i/>
          <w:color w:val="auto"/>
          <w:sz w:val="22"/>
          <w:szCs w:val="22"/>
          <w:lang w:eastAsia="ar-SA"/>
        </w:rPr>
        <w:t>w sprawie określenia wzoru deklaracji dla podatku od niektórych instytucji finansowych</w:t>
      </w: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 </w:t>
      </w:r>
      <w:r w:rsidRPr="00AA3E07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>wraz załącznikiem do niego w postaci deklaracji dla podatku od niektórych instytucji finansowych</w:t>
      </w:r>
      <w:r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 xml:space="preserve"> </w:t>
      </w:r>
      <w:r w:rsidR="002C2D44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>załączono do niniejszego projektu ustawy</w:t>
      </w:r>
      <w:r w:rsidR="00732FEB" w:rsidRPr="00AA3E07"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  <w:t>.</w:t>
      </w:r>
    </w:p>
    <w:p w:rsidR="00A1415C" w:rsidRPr="00A1415C" w:rsidRDefault="00A1415C" w:rsidP="00A1415C">
      <w:pPr>
        <w:pStyle w:val="h1maintyt"/>
        <w:spacing w:line="276" w:lineRule="auto"/>
        <w:jc w:val="both"/>
        <w:rPr>
          <w:rFonts w:ascii="Arial" w:eastAsia="SimSun" w:hAnsi="Arial" w:cs="Arial"/>
          <w:b w:val="0"/>
          <w:bCs w:val="0"/>
          <w:color w:val="auto"/>
          <w:sz w:val="22"/>
          <w:szCs w:val="22"/>
          <w:lang w:eastAsia="ar-SA"/>
        </w:rPr>
      </w:pPr>
    </w:p>
    <w:p w:rsidR="00D139E1" w:rsidRPr="00AA3E07" w:rsidRDefault="007B30DF" w:rsidP="00A1415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AA3E07">
        <w:rPr>
          <w:rFonts w:ascii="Arial" w:hAnsi="Arial" w:cs="Arial"/>
          <w:b/>
          <w:sz w:val="24"/>
          <w:szCs w:val="24"/>
        </w:rPr>
        <w:t>6. Zgodność z prawem UE</w:t>
      </w:r>
    </w:p>
    <w:p w:rsidR="00944243" w:rsidRDefault="007B30DF" w:rsidP="00A1415C">
      <w:pPr>
        <w:spacing w:after="0"/>
        <w:jc w:val="both"/>
        <w:rPr>
          <w:rFonts w:ascii="Arial" w:hAnsi="Arial" w:cs="Arial"/>
        </w:rPr>
      </w:pPr>
      <w:r w:rsidRPr="00AA3E07">
        <w:rPr>
          <w:rFonts w:ascii="Arial" w:hAnsi="Arial" w:cs="Arial"/>
        </w:rPr>
        <w:t>Przedmiot projektowanej ustawy nie jest objęty prawem Unii Europejskiej.</w:t>
      </w:r>
    </w:p>
    <w:p w:rsidR="00A1415C" w:rsidRPr="00A1415C" w:rsidRDefault="00A1415C" w:rsidP="00A1415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E14B05" w:rsidRPr="00AA3E07" w:rsidRDefault="007B30DF" w:rsidP="00A1415C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AA3E07">
        <w:rPr>
          <w:rFonts w:ascii="Arial" w:hAnsi="Arial" w:cs="Arial"/>
          <w:b/>
          <w:bCs/>
          <w:sz w:val="24"/>
          <w:szCs w:val="24"/>
        </w:rPr>
        <w:t>7</w:t>
      </w:r>
      <w:r w:rsidR="000D5553" w:rsidRPr="00AA3E07">
        <w:rPr>
          <w:rFonts w:ascii="Arial" w:hAnsi="Arial" w:cs="Arial"/>
          <w:b/>
          <w:bCs/>
          <w:sz w:val="24"/>
          <w:szCs w:val="24"/>
        </w:rPr>
        <w:t xml:space="preserve">. </w:t>
      </w:r>
      <w:r w:rsidR="00A542B5" w:rsidRPr="00AA3E07">
        <w:rPr>
          <w:rFonts w:ascii="Arial" w:hAnsi="Arial" w:cs="Arial"/>
          <w:b/>
          <w:bCs/>
          <w:sz w:val="24"/>
          <w:szCs w:val="24"/>
        </w:rPr>
        <w:t>Wyniki przeprowadzonych konsultacj</w:t>
      </w:r>
      <w:r w:rsidR="000E7B7D" w:rsidRPr="00AA3E07">
        <w:rPr>
          <w:rFonts w:ascii="Arial" w:hAnsi="Arial" w:cs="Arial"/>
          <w:b/>
          <w:bCs/>
          <w:sz w:val="24"/>
          <w:szCs w:val="24"/>
        </w:rPr>
        <w:t>i</w:t>
      </w:r>
    </w:p>
    <w:p w:rsidR="00732FEB" w:rsidRPr="00AA3E07" w:rsidRDefault="00732FEB" w:rsidP="00736C5E">
      <w:pPr>
        <w:pStyle w:val="Teksttreci0"/>
        <w:shd w:val="clear" w:color="auto" w:fill="auto"/>
        <w:spacing w:before="0" w:after="120" w:line="276" w:lineRule="auto"/>
        <w:ind w:right="23" w:firstLine="0"/>
        <w:jc w:val="both"/>
        <w:rPr>
          <w:rFonts w:ascii="Arial" w:eastAsia="SimSun" w:hAnsi="Arial" w:cs="Arial"/>
          <w:sz w:val="22"/>
          <w:szCs w:val="22"/>
          <w:lang w:eastAsia="ar-SA"/>
        </w:rPr>
      </w:pPr>
      <w:r w:rsidRPr="00AA3E07">
        <w:rPr>
          <w:rFonts w:ascii="Arial" w:eastAsia="SimSun" w:hAnsi="Arial" w:cs="Arial"/>
          <w:sz w:val="22"/>
          <w:szCs w:val="22"/>
          <w:lang w:eastAsia="ar-SA"/>
        </w:rPr>
        <w:t>Należy zakładać, że zgodnie z art. 34 ust. 3 Regulaminu Sejmu Rzeczypospolitej Polskiej, Marszałek Sejmu przed skierowaniem do pierwszego czytania skieruje niniejszy projekt ustawy do konsultacji w trybie i na zasadach określonych w odrębnych ustawach.</w:t>
      </w:r>
    </w:p>
    <w:p w:rsidR="007B30DF" w:rsidRDefault="007B30D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36C5E" w:rsidRDefault="00736C5E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06280" w:rsidRDefault="0020628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06280" w:rsidRDefault="0020628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36C5E" w:rsidRDefault="00736C5E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36C5E" w:rsidRDefault="00736C5E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7B22D0" w:rsidRDefault="007B22D0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AB2649" w:rsidRDefault="00AB2649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E32F1F" w:rsidRDefault="00E32F1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E32F1F" w:rsidRDefault="00E32F1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Załącznik</w:t>
      </w:r>
    </w:p>
    <w:p w:rsidR="005F01BF" w:rsidRDefault="005F01BF" w:rsidP="00736C5E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F01BF" w:rsidRPr="00AF57E6" w:rsidRDefault="005F01BF" w:rsidP="00736C5E">
      <w:pPr>
        <w:pStyle w:val="h1maintyt"/>
        <w:spacing w:line="276" w:lineRule="auto"/>
        <w:rPr>
          <w:rFonts w:ascii="Arial" w:eastAsia="SimSun" w:hAnsi="Arial" w:cs="Arial"/>
          <w:bCs w:val="0"/>
          <w:color w:val="auto"/>
          <w:sz w:val="22"/>
          <w:szCs w:val="22"/>
          <w:lang w:eastAsia="ar-SA"/>
        </w:rPr>
      </w:pPr>
      <w:r w:rsidRPr="00AF57E6">
        <w:rPr>
          <w:rFonts w:ascii="Arial" w:eastAsia="SimSun" w:hAnsi="Arial" w:cs="Arial"/>
          <w:bCs w:val="0"/>
          <w:color w:val="auto"/>
          <w:sz w:val="22"/>
          <w:szCs w:val="22"/>
          <w:lang w:eastAsia="ar-SA"/>
        </w:rPr>
        <w:t xml:space="preserve">Rozporządzenie Ministra Finansów w sprawie określenia wzoru deklaracji dla </w:t>
      </w:r>
      <w:r w:rsidRPr="00AF57E6">
        <w:rPr>
          <w:rFonts w:eastAsia="SimSun"/>
          <w:bCs w:val="0"/>
          <w:color w:val="auto"/>
          <w:sz w:val="22"/>
          <w:szCs w:val="22"/>
          <w:lang w:eastAsia="ar-SA"/>
        </w:rPr>
        <w:t>podatku od niektórych instytucji finansowych</w:t>
      </w:r>
    </w:p>
    <w:p w:rsidR="005F01BF" w:rsidRPr="00AF57E6" w:rsidRDefault="005F01BF" w:rsidP="00736C5E">
      <w:pPr>
        <w:rPr>
          <w:rFonts w:ascii="Arial" w:hAnsi="Arial" w:cs="Arial"/>
          <w:b/>
        </w:rPr>
      </w:pPr>
    </w:p>
    <w:p w:rsidR="005F01BF" w:rsidRPr="00AF57E6" w:rsidRDefault="005F01BF" w:rsidP="00736C5E">
      <w:pPr>
        <w:pStyle w:val="pmainpub"/>
        <w:spacing w:line="276" w:lineRule="auto"/>
        <w:rPr>
          <w:rFonts w:ascii="Arial" w:eastAsia="SimSun" w:hAnsi="Arial" w:cs="Arial"/>
          <w:bCs w:val="0"/>
          <w:color w:val="auto"/>
          <w:sz w:val="22"/>
          <w:szCs w:val="22"/>
          <w:lang w:eastAsia="ar-SA"/>
        </w:rPr>
      </w:pPr>
      <w:r w:rsidRPr="00AF57E6">
        <w:rPr>
          <w:rFonts w:ascii="Arial" w:eastAsia="SimSun" w:hAnsi="Arial" w:cs="Arial"/>
          <w:bCs w:val="0"/>
          <w:color w:val="auto"/>
          <w:sz w:val="22"/>
          <w:szCs w:val="22"/>
          <w:lang w:eastAsia="ar-SA"/>
        </w:rPr>
        <w:t>z dnia ______________</w:t>
      </w:r>
    </w:p>
    <w:p w:rsidR="005F01BF" w:rsidRDefault="005F01BF" w:rsidP="00736C5E">
      <w:pPr>
        <w:rPr>
          <w:rFonts w:ascii="Times New Roman" w:hAnsi="Times New Roman"/>
          <w:sz w:val="24"/>
          <w:szCs w:val="24"/>
        </w:rPr>
      </w:pPr>
    </w:p>
    <w:p w:rsidR="005F01BF" w:rsidRDefault="005F01BF" w:rsidP="00736C5E">
      <w:pPr>
        <w:rPr>
          <w:rFonts w:ascii="Times New Roman" w:hAnsi="Times New Roman"/>
          <w:sz w:val="24"/>
          <w:szCs w:val="24"/>
        </w:rPr>
      </w:pPr>
    </w:p>
    <w:p w:rsidR="005F01BF" w:rsidRPr="00AF57E6" w:rsidRDefault="005F01BF" w:rsidP="00736C5E">
      <w:pPr>
        <w:rPr>
          <w:rFonts w:ascii="Arial" w:hAnsi="Arial" w:cs="Arial"/>
        </w:rPr>
      </w:pPr>
      <w:r w:rsidRPr="00AF57E6">
        <w:rPr>
          <w:rFonts w:ascii="Arial" w:hAnsi="Arial" w:cs="Arial"/>
        </w:rPr>
        <w:t>Na podstawie art.9 ust. 3 ustawy z dnia _____________ o podatku od niektórych instytucji finansowych zarządza się, co następuje:</w:t>
      </w:r>
    </w:p>
    <w:p w:rsidR="005F01BF" w:rsidRPr="00AF57E6" w:rsidRDefault="005F01BF" w:rsidP="00736C5E">
      <w:pPr>
        <w:rPr>
          <w:rFonts w:ascii="Arial" w:hAnsi="Arial" w:cs="Arial"/>
        </w:rPr>
      </w:pPr>
    </w:p>
    <w:p w:rsidR="005F01BF" w:rsidRPr="00AF57E6" w:rsidRDefault="005F01BF" w:rsidP="00736C5E">
      <w:pPr>
        <w:rPr>
          <w:rFonts w:ascii="Arial" w:hAnsi="Arial" w:cs="Arial"/>
        </w:rPr>
      </w:pPr>
      <w:r w:rsidRPr="00AF57E6">
        <w:rPr>
          <w:rFonts w:ascii="Arial" w:hAnsi="Arial" w:cs="Arial"/>
        </w:rPr>
        <w:t>§ 1 Określa się wzór deklaracji podatkowej, o którym mowa w art. 9 ust. 3 ustawy z dnia _______ o podatku od niektórych instytucji finansowych, stanowiący załącznik do rozporządzenia.</w:t>
      </w:r>
    </w:p>
    <w:p w:rsidR="005F01BF" w:rsidRPr="00AF57E6" w:rsidRDefault="005F01BF" w:rsidP="00736C5E">
      <w:pPr>
        <w:rPr>
          <w:rFonts w:ascii="Arial" w:hAnsi="Arial" w:cs="Arial"/>
        </w:rPr>
      </w:pPr>
    </w:p>
    <w:p w:rsidR="005F01BF" w:rsidRPr="00AF57E6" w:rsidRDefault="005F01BF" w:rsidP="00736C5E">
      <w:pPr>
        <w:rPr>
          <w:rFonts w:ascii="Arial" w:hAnsi="Arial" w:cs="Arial"/>
        </w:rPr>
      </w:pPr>
      <w:r w:rsidRPr="00AF57E6">
        <w:rPr>
          <w:rFonts w:ascii="Arial" w:hAnsi="Arial" w:cs="Arial"/>
        </w:rPr>
        <w:t>§ 2 Wzór, o którym mowa w § 1, stosuje się do rozliczeń dokonywanych począwszy od lutego 2016 r.</w:t>
      </w:r>
    </w:p>
    <w:p w:rsidR="005F01BF" w:rsidRPr="00AF57E6" w:rsidRDefault="005F01BF" w:rsidP="00736C5E">
      <w:pPr>
        <w:rPr>
          <w:rFonts w:ascii="Arial" w:hAnsi="Arial" w:cs="Arial"/>
        </w:rPr>
      </w:pPr>
    </w:p>
    <w:p w:rsidR="005F01BF" w:rsidRPr="00AF57E6" w:rsidRDefault="005F01BF" w:rsidP="00736C5E">
      <w:pPr>
        <w:rPr>
          <w:rFonts w:ascii="Arial" w:hAnsi="Arial" w:cs="Arial"/>
        </w:rPr>
      </w:pPr>
      <w:r w:rsidRPr="00AF57E6">
        <w:rPr>
          <w:rFonts w:ascii="Arial" w:hAnsi="Arial" w:cs="Arial"/>
        </w:rPr>
        <w:t xml:space="preserve">§ 3 Rozporządzenie wchodzi w życie z dniem </w:t>
      </w:r>
      <w:r w:rsidR="00E32F1F">
        <w:rPr>
          <w:rFonts w:ascii="Arial" w:hAnsi="Arial" w:cs="Arial"/>
        </w:rPr>
        <w:t>2</w:t>
      </w:r>
      <w:r w:rsidRPr="00AF57E6">
        <w:rPr>
          <w:rFonts w:ascii="Arial" w:hAnsi="Arial" w:cs="Arial"/>
        </w:rPr>
        <w:t xml:space="preserve"> lutego 201</w:t>
      </w:r>
      <w:r w:rsidR="00AF57E6">
        <w:rPr>
          <w:rFonts w:ascii="Arial" w:hAnsi="Arial" w:cs="Arial"/>
        </w:rPr>
        <w:t>6</w:t>
      </w:r>
      <w:r w:rsidRPr="00AF57E6">
        <w:rPr>
          <w:rFonts w:ascii="Arial" w:hAnsi="Arial" w:cs="Arial"/>
        </w:rPr>
        <w:t xml:space="preserve"> r.</w:t>
      </w:r>
    </w:p>
    <w:p w:rsidR="005F01BF" w:rsidRDefault="005F01BF" w:rsidP="00736C5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F01BF" w:rsidRDefault="005F01BF" w:rsidP="00736C5E">
      <w:pPr>
        <w:jc w:val="both"/>
      </w:pPr>
      <w:r>
        <w:lastRenderedPageBreak/>
        <w:t xml:space="preserve">Załącznik PIF Deklaracja dla podatku od niektórych instytucji finansowych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NIP podatnika </w:t>
            </w: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>Urząd skarbowy, do którego adresowana jest deklaracja</w:t>
            </w:r>
          </w:p>
          <w:p w:rsidR="005F01BF" w:rsidRDefault="005F01BF" w:rsidP="00736C5E">
            <w:pPr>
              <w:jc w:val="both"/>
            </w:pP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Miesiąc, którego dotyczy deklaracja </w:t>
            </w: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Określenie działalności podatnika wg art. 4 pkt 1-8 ustawy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Firma podatnika </w:t>
            </w: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Adres podatnika </w:t>
            </w: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Suma aktywów podatnika po obniżeniu o kwotę, o której mowa w art. 6 ust. 1 ustawy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Suma obniżeń na podstawie art. 6 ust .2 ustawy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Suma obniżeń na podstawie art. 6 ust. 3 ustawy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Suma obniżeń na podstawie art. 6 ust. 4 ustawy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Obniżenia podstawy razem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Obliczenie podatku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  <w:tr w:rsidR="005F01BF" w:rsidTr="00D70180"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Data wypełnienia deklaracji </w:t>
            </w:r>
          </w:p>
          <w:p w:rsidR="005F01BF" w:rsidRDefault="005F01BF" w:rsidP="00736C5E">
            <w:pPr>
              <w:jc w:val="both"/>
            </w:pP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  <w:r>
              <w:t xml:space="preserve">Podpis osoby odpowiedzialnej </w:t>
            </w:r>
          </w:p>
        </w:tc>
        <w:tc>
          <w:tcPr>
            <w:tcW w:w="3132" w:type="dxa"/>
          </w:tcPr>
          <w:p w:rsidR="005F01BF" w:rsidRDefault="005F01BF" w:rsidP="00736C5E">
            <w:pPr>
              <w:jc w:val="both"/>
            </w:pPr>
          </w:p>
        </w:tc>
      </w:tr>
    </w:tbl>
    <w:p w:rsidR="005F01BF" w:rsidRDefault="005F01BF" w:rsidP="00E32F1F">
      <w:pPr>
        <w:jc w:val="both"/>
      </w:pPr>
    </w:p>
    <w:sectPr w:rsidR="005F01BF" w:rsidSect="00E14B05">
      <w:pgSz w:w="12240" w:h="15840" w:code="1"/>
      <w:pgMar w:top="1418" w:right="1418" w:bottom="1418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7FE" w:rsidRDefault="001727FE">
      <w:pPr>
        <w:spacing w:after="0" w:line="240" w:lineRule="auto"/>
      </w:pPr>
      <w:r>
        <w:separator/>
      </w:r>
    </w:p>
  </w:endnote>
  <w:endnote w:type="continuationSeparator" w:id="0">
    <w:p w:rsidR="001727FE" w:rsidRDefault="0017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ont304">
    <w:altName w:val="Times New Roman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7FE" w:rsidRDefault="001727FE">
      <w:pPr>
        <w:spacing w:after="0" w:line="240" w:lineRule="auto"/>
      </w:pPr>
      <w:r>
        <w:separator/>
      </w:r>
    </w:p>
  </w:footnote>
  <w:footnote w:type="continuationSeparator" w:id="0">
    <w:p w:rsidR="001727FE" w:rsidRDefault="00172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C90202F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>
    <w:nsid w:val="08DF10F6"/>
    <w:multiLevelType w:val="hybridMultilevel"/>
    <w:tmpl w:val="D9449A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591877"/>
    <w:multiLevelType w:val="hybridMultilevel"/>
    <w:tmpl w:val="71C29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FC09D5"/>
    <w:multiLevelType w:val="hybridMultilevel"/>
    <w:tmpl w:val="6B865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226102"/>
    <w:multiLevelType w:val="hybridMultilevel"/>
    <w:tmpl w:val="D23A7E8E"/>
    <w:lvl w:ilvl="0" w:tplc="A2F88F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5732AD"/>
    <w:multiLevelType w:val="hybridMultilevel"/>
    <w:tmpl w:val="76A4D37A"/>
    <w:lvl w:ilvl="0" w:tplc="586A5B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45C3D"/>
    <w:multiLevelType w:val="hybridMultilevel"/>
    <w:tmpl w:val="81DAEA40"/>
    <w:lvl w:ilvl="0" w:tplc="95602D04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9F4EDB"/>
    <w:multiLevelType w:val="hybridMultilevel"/>
    <w:tmpl w:val="76A4D37A"/>
    <w:lvl w:ilvl="0" w:tplc="586A5B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105B94"/>
    <w:multiLevelType w:val="multilevel"/>
    <w:tmpl w:val="FD0A0A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5608476E"/>
    <w:multiLevelType w:val="hybridMultilevel"/>
    <w:tmpl w:val="0994C720"/>
    <w:lvl w:ilvl="0" w:tplc="FBD48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6F5D0C"/>
    <w:multiLevelType w:val="hybridMultilevel"/>
    <w:tmpl w:val="C5A02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1E4831"/>
    <w:multiLevelType w:val="multilevel"/>
    <w:tmpl w:val="7CA424D8"/>
    <w:lvl w:ilvl="0">
      <w:start w:val="1"/>
      <w:numFmt w:val="lowerLetter"/>
      <w:lvlText w:val="%1)"/>
      <w:lvlJc w:val="left"/>
      <w:pPr>
        <w:ind w:left="814" w:hanging="360"/>
      </w:pPr>
      <w:rPr>
        <w:rFonts w:ascii="Arial" w:hAnsi="Arial" w:cs="Times New Roman"/>
        <w:i w:val="0"/>
        <w:iCs w:val="0"/>
      </w:rPr>
    </w:lvl>
    <w:lvl w:ilvl="1">
      <w:start w:val="1"/>
      <w:numFmt w:val="lowerLetter"/>
      <w:lvlText w:val="%2."/>
      <w:lvlJc w:val="left"/>
      <w:pPr>
        <w:ind w:left="153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5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7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9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1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3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5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7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3"/>
  </w:num>
  <w:num w:numId="7">
    <w:abstractNumId w:val="10"/>
  </w:num>
  <w:num w:numId="8">
    <w:abstractNumId w:val="9"/>
  </w:num>
  <w:num w:numId="9">
    <w:abstractNumId w:val="5"/>
  </w:num>
  <w:num w:numId="10">
    <w:abstractNumId w:val="11"/>
  </w:num>
  <w:num w:numId="11">
    <w:abstractNumId w:val="12"/>
  </w:num>
  <w:num w:numId="12">
    <w:abstractNumId w:val="8"/>
  </w:num>
  <w:num w:numId="13">
    <w:abstractNumId w:val="14"/>
  </w:num>
  <w:num w:numId="14">
    <w:abstractNumId w:val="7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B05"/>
    <w:rsid w:val="000011C0"/>
    <w:rsid w:val="00001C5D"/>
    <w:rsid w:val="0001103D"/>
    <w:rsid w:val="0002188D"/>
    <w:rsid w:val="00022876"/>
    <w:rsid w:val="00031ACA"/>
    <w:rsid w:val="0003437C"/>
    <w:rsid w:val="00042AB5"/>
    <w:rsid w:val="000436A2"/>
    <w:rsid w:val="00043734"/>
    <w:rsid w:val="000522CF"/>
    <w:rsid w:val="00065495"/>
    <w:rsid w:val="0007530F"/>
    <w:rsid w:val="000754F9"/>
    <w:rsid w:val="00077680"/>
    <w:rsid w:val="00081F2F"/>
    <w:rsid w:val="00090944"/>
    <w:rsid w:val="0009689A"/>
    <w:rsid w:val="000A043D"/>
    <w:rsid w:val="000A5299"/>
    <w:rsid w:val="000A5AD6"/>
    <w:rsid w:val="000A60C7"/>
    <w:rsid w:val="000B203D"/>
    <w:rsid w:val="000B77AA"/>
    <w:rsid w:val="000C7DD7"/>
    <w:rsid w:val="000C7FB5"/>
    <w:rsid w:val="000D5553"/>
    <w:rsid w:val="000D6C68"/>
    <w:rsid w:val="000D7E03"/>
    <w:rsid w:val="000E7B7D"/>
    <w:rsid w:val="00105ECF"/>
    <w:rsid w:val="0010619C"/>
    <w:rsid w:val="001076E8"/>
    <w:rsid w:val="0011673D"/>
    <w:rsid w:val="00122CC0"/>
    <w:rsid w:val="00123BC3"/>
    <w:rsid w:val="00126A62"/>
    <w:rsid w:val="0012739C"/>
    <w:rsid w:val="00134FB3"/>
    <w:rsid w:val="00141849"/>
    <w:rsid w:val="00142B96"/>
    <w:rsid w:val="0015069E"/>
    <w:rsid w:val="00153626"/>
    <w:rsid w:val="001575A1"/>
    <w:rsid w:val="0016058F"/>
    <w:rsid w:val="00161835"/>
    <w:rsid w:val="00165461"/>
    <w:rsid w:val="00167AD4"/>
    <w:rsid w:val="001701DA"/>
    <w:rsid w:val="00170886"/>
    <w:rsid w:val="001727FE"/>
    <w:rsid w:val="00190A1D"/>
    <w:rsid w:val="00194D19"/>
    <w:rsid w:val="00196CC6"/>
    <w:rsid w:val="001A0176"/>
    <w:rsid w:val="001A247A"/>
    <w:rsid w:val="001A4976"/>
    <w:rsid w:val="001A4C00"/>
    <w:rsid w:val="001A4E3C"/>
    <w:rsid w:val="001B7C53"/>
    <w:rsid w:val="001C510C"/>
    <w:rsid w:val="001C58B1"/>
    <w:rsid w:val="001D06C8"/>
    <w:rsid w:val="001D7E01"/>
    <w:rsid w:val="001E3CB4"/>
    <w:rsid w:val="001E5316"/>
    <w:rsid w:val="001F78A0"/>
    <w:rsid w:val="0020085D"/>
    <w:rsid w:val="00206280"/>
    <w:rsid w:val="002163D2"/>
    <w:rsid w:val="00217672"/>
    <w:rsid w:val="00217694"/>
    <w:rsid w:val="00234409"/>
    <w:rsid w:val="00235634"/>
    <w:rsid w:val="00243DA4"/>
    <w:rsid w:val="00252FB0"/>
    <w:rsid w:val="00253EDB"/>
    <w:rsid w:val="00281E11"/>
    <w:rsid w:val="00282F4B"/>
    <w:rsid w:val="002846F5"/>
    <w:rsid w:val="002848D2"/>
    <w:rsid w:val="00293B80"/>
    <w:rsid w:val="00296772"/>
    <w:rsid w:val="002A43EA"/>
    <w:rsid w:val="002A4C57"/>
    <w:rsid w:val="002B44EF"/>
    <w:rsid w:val="002B5176"/>
    <w:rsid w:val="002B6AB3"/>
    <w:rsid w:val="002C1F8A"/>
    <w:rsid w:val="002C2000"/>
    <w:rsid w:val="002C27AA"/>
    <w:rsid w:val="002C2D44"/>
    <w:rsid w:val="002C3956"/>
    <w:rsid w:val="002D22CE"/>
    <w:rsid w:val="002D329C"/>
    <w:rsid w:val="002F2233"/>
    <w:rsid w:val="002F4614"/>
    <w:rsid w:val="002F6F76"/>
    <w:rsid w:val="0031223B"/>
    <w:rsid w:val="00313916"/>
    <w:rsid w:val="00333267"/>
    <w:rsid w:val="003402F1"/>
    <w:rsid w:val="00340ACE"/>
    <w:rsid w:val="00352837"/>
    <w:rsid w:val="00375633"/>
    <w:rsid w:val="003831CB"/>
    <w:rsid w:val="00387E20"/>
    <w:rsid w:val="00393BFE"/>
    <w:rsid w:val="003B0599"/>
    <w:rsid w:val="003B6A0C"/>
    <w:rsid w:val="003B73E8"/>
    <w:rsid w:val="003C1CC3"/>
    <w:rsid w:val="003D6799"/>
    <w:rsid w:val="003E463E"/>
    <w:rsid w:val="003E59B6"/>
    <w:rsid w:val="003F29BA"/>
    <w:rsid w:val="003F7952"/>
    <w:rsid w:val="004004AA"/>
    <w:rsid w:val="00414D7B"/>
    <w:rsid w:val="00417A39"/>
    <w:rsid w:val="0042128A"/>
    <w:rsid w:val="00442BFA"/>
    <w:rsid w:val="004431CF"/>
    <w:rsid w:val="0045022D"/>
    <w:rsid w:val="00452100"/>
    <w:rsid w:val="0045299F"/>
    <w:rsid w:val="0045352B"/>
    <w:rsid w:val="00456626"/>
    <w:rsid w:val="004601B8"/>
    <w:rsid w:val="004651A1"/>
    <w:rsid w:val="004712F6"/>
    <w:rsid w:val="00482B85"/>
    <w:rsid w:val="00490BCA"/>
    <w:rsid w:val="004932A1"/>
    <w:rsid w:val="004972D0"/>
    <w:rsid w:val="004B5309"/>
    <w:rsid w:val="004B55A8"/>
    <w:rsid w:val="004D36C1"/>
    <w:rsid w:val="004D7824"/>
    <w:rsid w:val="004D7D99"/>
    <w:rsid w:val="004F61D1"/>
    <w:rsid w:val="0050167E"/>
    <w:rsid w:val="005029B4"/>
    <w:rsid w:val="005126F1"/>
    <w:rsid w:val="00517080"/>
    <w:rsid w:val="00520E8D"/>
    <w:rsid w:val="00530DE8"/>
    <w:rsid w:val="005326CD"/>
    <w:rsid w:val="0053329B"/>
    <w:rsid w:val="0054264C"/>
    <w:rsid w:val="005441F7"/>
    <w:rsid w:val="005548DA"/>
    <w:rsid w:val="005562A4"/>
    <w:rsid w:val="00562C1C"/>
    <w:rsid w:val="00564B8B"/>
    <w:rsid w:val="005673FB"/>
    <w:rsid w:val="005703BE"/>
    <w:rsid w:val="0057183D"/>
    <w:rsid w:val="005722B4"/>
    <w:rsid w:val="00582A5A"/>
    <w:rsid w:val="00583A62"/>
    <w:rsid w:val="00584A92"/>
    <w:rsid w:val="005961C0"/>
    <w:rsid w:val="005A3ABE"/>
    <w:rsid w:val="005A6BAA"/>
    <w:rsid w:val="005B454A"/>
    <w:rsid w:val="005B697B"/>
    <w:rsid w:val="005C4430"/>
    <w:rsid w:val="005D3FB1"/>
    <w:rsid w:val="005E4B5A"/>
    <w:rsid w:val="005F01BF"/>
    <w:rsid w:val="005F1080"/>
    <w:rsid w:val="005F484A"/>
    <w:rsid w:val="006009D6"/>
    <w:rsid w:val="00600E0F"/>
    <w:rsid w:val="00611452"/>
    <w:rsid w:val="006132D1"/>
    <w:rsid w:val="006249C6"/>
    <w:rsid w:val="00626F1E"/>
    <w:rsid w:val="00637BF4"/>
    <w:rsid w:val="00643D75"/>
    <w:rsid w:val="00654DC7"/>
    <w:rsid w:val="00664421"/>
    <w:rsid w:val="00664D77"/>
    <w:rsid w:val="00670765"/>
    <w:rsid w:val="00671307"/>
    <w:rsid w:val="00673E5B"/>
    <w:rsid w:val="00681196"/>
    <w:rsid w:val="00693D85"/>
    <w:rsid w:val="006A1C37"/>
    <w:rsid w:val="006B05CE"/>
    <w:rsid w:val="006B3690"/>
    <w:rsid w:val="006B6CA2"/>
    <w:rsid w:val="006C3A1C"/>
    <w:rsid w:val="006E08D7"/>
    <w:rsid w:val="006F714F"/>
    <w:rsid w:val="00704DEA"/>
    <w:rsid w:val="007106E6"/>
    <w:rsid w:val="00710D15"/>
    <w:rsid w:val="007162D1"/>
    <w:rsid w:val="00723469"/>
    <w:rsid w:val="0072390E"/>
    <w:rsid w:val="00732FEB"/>
    <w:rsid w:val="00736C5E"/>
    <w:rsid w:val="007375F3"/>
    <w:rsid w:val="00737846"/>
    <w:rsid w:val="00745771"/>
    <w:rsid w:val="00761252"/>
    <w:rsid w:val="00761310"/>
    <w:rsid w:val="007621D3"/>
    <w:rsid w:val="00763EA2"/>
    <w:rsid w:val="007645CB"/>
    <w:rsid w:val="00774C85"/>
    <w:rsid w:val="00796FDB"/>
    <w:rsid w:val="007A624C"/>
    <w:rsid w:val="007B190D"/>
    <w:rsid w:val="007B22D0"/>
    <w:rsid w:val="007B30DF"/>
    <w:rsid w:val="007B41A3"/>
    <w:rsid w:val="007C11BD"/>
    <w:rsid w:val="007C4920"/>
    <w:rsid w:val="007C5832"/>
    <w:rsid w:val="007D4EF1"/>
    <w:rsid w:val="007D7459"/>
    <w:rsid w:val="007D7B22"/>
    <w:rsid w:val="007E277F"/>
    <w:rsid w:val="007F56F5"/>
    <w:rsid w:val="00801A8E"/>
    <w:rsid w:val="00804ED7"/>
    <w:rsid w:val="00807AC3"/>
    <w:rsid w:val="00807EC8"/>
    <w:rsid w:val="0082022C"/>
    <w:rsid w:val="00820B1D"/>
    <w:rsid w:val="008238C7"/>
    <w:rsid w:val="00823E7D"/>
    <w:rsid w:val="00823EA7"/>
    <w:rsid w:val="00830356"/>
    <w:rsid w:val="008308C5"/>
    <w:rsid w:val="00834D4F"/>
    <w:rsid w:val="0083526B"/>
    <w:rsid w:val="00840117"/>
    <w:rsid w:val="008411BC"/>
    <w:rsid w:val="00841786"/>
    <w:rsid w:val="00842FD3"/>
    <w:rsid w:val="00856B49"/>
    <w:rsid w:val="00877A66"/>
    <w:rsid w:val="008805C7"/>
    <w:rsid w:val="00885ACA"/>
    <w:rsid w:val="008877D0"/>
    <w:rsid w:val="0089363F"/>
    <w:rsid w:val="008A23BB"/>
    <w:rsid w:val="008A2D1A"/>
    <w:rsid w:val="008B01BC"/>
    <w:rsid w:val="008B3CBE"/>
    <w:rsid w:val="008C13BB"/>
    <w:rsid w:val="008C25AC"/>
    <w:rsid w:val="008C2904"/>
    <w:rsid w:val="008C5817"/>
    <w:rsid w:val="008D010F"/>
    <w:rsid w:val="008D3A8D"/>
    <w:rsid w:val="008D5833"/>
    <w:rsid w:val="008D750C"/>
    <w:rsid w:val="008F0E6F"/>
    <w:rsid w:val="008F2DAF"/>
    <w:rsid w:val="008F6B18"/>
    <w:rsid w:val="008F73F3"/>
    <w:rsid w:val="00902BDB"/>
    <w:rsid w:val="00907A59"/>
    <w:rsid w:val="00915E59"/>
    <w:rsid w:val="00923A7E"/>
    <w:rsid w:val="009244F5"/>
    <w:rsid w:val="00944243"/>
    <w:rsid w:val="00945BC1"/>
    <w:rsid w:val="00952BCB"/>
    <w:rsid w:val="0095776A"/>
    <w:rsid w:val="00960487"/>
    <w:rsid w:val="00966088"/>
    <w:rsid w:val="00971EE4"/>
    <w:rsid w:val="00980219"/>
    <w:rsid w:val="009870E3"/>
    <w:rsid w:val="00995D93"/>
    <w:rsid w:val="0099604B"/>
    <w:rsid w:val="009B0C3C"/>
    <w:rsid w:val="009B5432"/>
    <w:rsid w:val="009C0B0E"/>
    <w:rsid w:val="009C1DBA"/>
    <w:rsid w:val="009D13CA"/>
    <w:rsid w:val="009D59FD"/>
    <w:rsid w:val="009D5FAA"/>
    <w:rsid w:val="009E2088"/>
    <w:rsid w:val="009E2CCA"/>
    <w:rsid w:val="009F27AF"/>
    <w:rsid w:val="009F6050"/>
    <w:rsid w:val="00A05D76"/>
    <w:rsid w:val="00A1163F"/>
    <w:rsid w:val="00A1415C"/>
    <w:rsid w:val="00A14B92"/>
    <w:rsid w:val="00A171B6"/>
    <w:rsid w:val="00A205BE"/>
    <w:rsid w:val="00A22E05"/>
    <w:rsid w:val="00A37CD2"/>
    <w:rsid w:val="00A4392B"/>
    <w:rsid w:val="00A44F3F"/>
    <w:rsid w:val="00A456B2"/>
    <w:rsid w:val="00A47099"/>
    <w:rsid w:val="00A52162"/>
    <w:rsid w:val="00A542B5"/>
    <w:rsid w:val="00A60B73"/>
    <w:rsid w:val="00A62B70"/>
    <w:rsid w:val="00A67BC3"/>
    <w:rsid w:val="00A7261D"/>
    <w:rsid w:val="00A743D5"/>
    <w:rsid w:val="00A840BD"/>
    <w:rsid w:val="00A85348"/>
    <w:rsid w:val="00A855FB"/>
    <w:rsid w:val="00A85F0A"/>
    <w:rsid w:val="00A865D3"/>
    <w:rsid w:val="00A8737D"/>
    <w:rsid w:val="00A87396"/>
    <w:rsid w:val="00A900AA"/>
    <w:rsid w:val="00A90FD5"/>
    <w:rsid w:val="00A911E9"/>
    <w:rsid w:val="00A93F18"/>
    <w:rsid w:val="00A9563A"/>
    <w:rsid w:val="00A96B10"/>
    <w:rsid w:val="00AA3E07"/>
    <w:rsid w:val="00AB2649"/>
    <w:rsid w:val="00AC636D"/>
    <w:rsid w:val="00AD05BC"/>
    <w:rsid w:val="00AD2DED"/>
    <w:rsid w:val="00AD6D64"/>
    <w:rsid w:val="00AE500D"/>
    <w:rsid w:val="00AF2F0F"/>
    <w:rsid w:val="00AF42FA"/>
    <w:rsid w:val="00AF57E6"/>
    <w:rsid w:val="00AF59CC"/>
    <w:rsid w:val="00B11AE8"/>
    <w:rsid w:val="00B13544"/>
    <w:rsid w:val="00B13568"/>
    <w:rsid w:val="00B16367"/>
    <w:rsid w:val="00B174C8"/>
    <w:rsid w:val="00B2118F"/>
    <w:rsid w:val="00B21679"/>
    <w:rsid w:val="00B248AA"/>
    <w:rsid w:val="00B358AF"/>
    <w:rsid w:val="00B3794D"/>
    <w:rsid w:val="00B37C9D"/>
    <w:rsid w:val="00B40B61"/>
    <w:rsid w:val="00B44C18"/>
    <w:rsid w:val="00B506D2"/>
    <w:rsid w:val="00B53EE5"/>
    <w:rsid w:val="00B5596D"/>
    <w:rsid w:val="00B572E3"/>
    <w:rsid w:val="00B62D37"/>
    <w:rsid w:val="00B7563E"/>
    <w:rsid w:val="00B814DA"/>
    <w:rsid w:val="00B91976"/>
    <w:rsid w:val="00B91AED"/>
    <w:rsid w:val="00B972A5"/>
    <w:rsid w:val="00B97A15"/>
    <w:rsid w:val="00BA3D6D"/>
    <w:rsid w:val="00BA5953"/>
    <w:rsid w:val="00BB0602"/>
    <w:rsid w:val="00BB10BF"/>
    <w:rsid w:val="00BB1C73"/>
    <w:rsid w:val="00BB4A69"/>
    <w:rsid w:val="00BB6C1D"/>
    <w:rsid w:val="00BC1F72"/>
    <w:rsid w:val="00BC24A5"/>
    <w:rsid w:val="00BC379C"/>
    <w:rsid w:val="00BC5610"/>
    <w:rsid w:val="00BC74EA"/>
    <w:rsid w:val="00BD09B0"/>
    <w:rsid w:val="00BD233D"/>
    <w:rsid w:val="00BD4AF5"/>
    <w:rsid w:val="00BE273E"/>
    <w:rsid w:val="00BE72F5"/>
    <w:rsid w:val="00BE76B2"/>
    <w:rsid w:val="00BF2AC0"/>
    <w:rsid w:val="00BF680E"/>
    <w:rsid w:val="00BF6ADA"/>
    <w:rsid w:val="00C02659"/>
    <w:rsid w:val="00C05D91"/>
    <w:rsid w:val="00C100FC"/>
    <w:rsid w:val="00C14C8E"/>
    <w:rsid w:val="00C1528B"/>
    <w:rsid w:val="00C2165E"/>
    <w:rsid w:val="00C2206B"/>
    <w:rsid w:val="00C26DB4"/>
    <w:rsid w:val="00C2785A"/>
    <w:rsid w:val="00C310D1"/>
    <w:rsid w:val="00C3473D"/>
    <w:rsid w:val="00C34FC3"/>
    <w:rsid w:val="00C37304"/>
    <w:rsid w:val="00C472D7"/>
    <w:rsid w:val="00C5007E"/>
    <w:rsid w:val="00C51A9B"/>
    <w:rsid w:val="00C5520E"/>
    <w:rsid w:val="00C63E41"/>
    <w:rsid w:val="00C657D3"/>
    <w:rsid w:val="00C7235F"/>
    <w:rsid w:val="00C73BD8"/>
    <w:rsid w:val="00C741AD"/>
    <w:rsid w:val="00C830A8"/>
    <w:rsid w:val="00C83C63"/>
    <w:rsid w:val="00C97451"/>
    <w:rsid w:val="00CB08E7"/>
    <w:rsid w:val="00CB178E"/>
    <w:rsid w:val="00CB40D6"/>
    <w:rsid w:val="00CC02D6"/>
    <w:rsid w:val="00CC10D0"/>
    <w:rsid w:val="00CC16AC"/>
    <w:rsid w:val="00CC4A64"/>
    <w:rsid w:val="00CD3D11"/>
    <w:rsid w:val="00CD4ABC"/>
    <w:rsid w:val="00CD4C5B"/>
    <w:rsid w:val="00CE0BEE"/>
    <w:rsid w:val="00CE0E48"/>
    <w:rsid w:val="00CE138D"/>
    <w:rsid w:val="00CF2041"/>
    <w:rsid w:val="00CF20F0"/>
    <w:rsid w:val="00CF3108"/>
    <w:rsid w:val="00D01927"/>
    <w:rsid w:val="00D139E1"/>
    <w:rsid w:val="00D17EA5"/>
    <w:rsid w:val="00D26E1D"/>
    <w:rsid w:val="00D36A01"/>
    <w:rsid w:val="00D436B1"/>
    <w:rsid w:val="00D62D1B"/>
    <w:rsid w:val="00D62E5F"/>
    <w:rsid w:val="00D63668"/>
    <w:rsid w:val="00D65EA4"/>
    <w:rsid w:val="00D67680"/>
    <w:rsid w:val="00D81D6D"/>
    <w:rsid w:val="00D82D0E"/>
    <w:rsid w:val="00D833DA"/>
    <w:rsid w:val="00D859FE"/>
    <w:rsid w:val="00D85DA4"/>
    <w:rsid w:val="00DA2256"/>
    <w:rsid w:val="00DA555F"/>
    <w:rsid w:val="00DB4E7B"/>
    <w:rsid w:val="00DB5A8E"/>
    <w:rsid w:val="00DB7D9E"/>
    <w:rsid w:val="00DC0468"/>
    <w:rsid w:val="00DC04C5"/>
    <w:rsid w:val="00DC240A"/>
    <w:rsid w:val="00DD327B"/>
    <w:rsid w:val="00DE0D57"/>
    <w:rsid w:val="00DE7E4D"/>
    <w:rsid w:val="00DF4242"/>
    <w:rsid w:val="00DF43C4"/>
    <w:rsid w:val="00DF4921"/>
    <w:rsid w:val="00DF6234"/>
    <w:rsid w:val="00E0373E"/>
    <w:rsid w:val="00E04C7A"/>
    <w:rsid w:val="00E100FE"/>
    <w:rsid w:val="00E11A1B"/>
    <w:rsid w:val="00E14B05"/>
    <w:rsid w:val="00E17CA4"/>
    <w:rsid w:val="00E2048C"/>
    <w:rsid w:val="00E23D87"/>
    <w:rsid w:val="00E24A7D"/>
    <w:rsid w:val="00E32F1F"/>
    <w:rsid w:val="00E338F8"/>
    <w:rsid w:val="00E40739"/>
    <w:rsid w:val="00E41B40"/>
    <w:rsid w:val="00E519CD"/>
    <w:rsid w:val="00E538FF"/>
    <w:rsid w:val="00E559B8"/>
    <w:rsid w:val="00E57847"/>
    <w:rsid w:val="00E60A2D"/>
    <w:rsid w:val="00E62F48"/>
    <w:rsid w:val="00E65485"/>
    <w:rsid w:val="00E678CB"/>
    <w:rsid w:val="00E705ED"/>
    <w:rsid w:val="00E75D4A"/>
    <w:rsid w:val="00E77D9F"/>
    <w:rsid w:val="00E80553"/>
    <w:rsid w:val="00E80D5C"/>
    <w:rsid w:val="00E93524"/>
    <w:rsid w:val="00E950F7"/>
    <w:rsid w:val="00EA07AD"/>
    <w:rsid w:val="00EB7F0A"/>
    <w:rsid w:val="00EC3A6E"/>
    <w:rsid w:val="00ED084D"/>
    <w:rsid w:val="00ED2FA7"/>
    <w:rsid w:val="00ED4651"/>
    <w:rsid w:val="00EE2667"/>
    <w:rsid w:val="00F0012A"/>
    <w:rsid w:val="00F01B32"/>
    <w:rsid w:val="00F04382"/>
    <w:rsid w:val="00F04533"/>
    <w:rsid w:val="00F062D7"/>
    <w:rsid w:val="00F108AB"/>
    <w:rsid w:val="00F116B5"/>
    <w:rsid w:val="00F14AEB"/>
    <w:rsid w:val="00F170F8"/>
    <w:rsid w:val="00F21CBB"/>
    <w:rsid w:val="00F25AF9"/>
    <w:rsid w:val="00F30426"/>
    <w:rsid w:val="00F334E9"/>
    <w:rsid w:val="00F43223"/>
    <w:rsid w:val="00F46D8D"/>
    <w:rsid w:val="00F544CD"/>
    <w:rsid w:val="00F55B98"/>
    <w:rsid w:val="00F57B5E"/>
    <w:rsid w:val="00F606E4"/>
    <w:rsid w:val="00F60F49"/>
    <w:rsid w:val="00F624E9"/>
    <w:rsid w:val="00F70C9D"/>
    <w:rsid w:val="00F744DC"/>
    <w:rsid w:val="00F8219F"/>
    <w:rsid w:val="00F84F31"/>
    <w:rsid w:val="00F8582F"/>
    <w:rsid w:val="00FB4467"/>
    <w:rsid w:val="00FB4BCE"/>
    <w:rsid w:val="00FB5E4B"/>
    <w:rsid w:val="00FC0242"/>
    <w:rsid w:val="00FC57E9"/>
    <w:rsid w:val="00FD2949"/>
    <w:rsid w:val="00FD538F"/>
    <w:rsid w:val="00FD62D1"/>
    <w:rsid w:val="00FF51A4"/>
    <w:rsid w:val="00FF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673D"/>
    <w:pPr>
      <w:suppressAutoHyphens/>
      <w:spacing w:after="200" w:line="276" w:lineRule="auto"/>
    </w:pPr>
    <w:rPr>
      <w:rFonts w:ascii="Calibri" w:eastAsia="SimSun" w:hAnsi="Calibri" w:cs="font304"/>
      <w:sz w:val="22"/>
      <w:szCs w:val="22"/>
      <w:lang w:eastAsia="ar-SA"/>
    </w:rPr>
  </w:style>
  <w:style w:type="paragraph" w:styleId="Nagwek2">
    <w:name w:val="heading 2"/>
    <w:basedOn w:val="Nagwek1"/>
    <w:next w:val="Tekstpodstawowy"/>
    <w:qFormat/>
    <w:rsid w:val="0011673D"/>
    <w:pPr>
      <w:numPr>
        <w:ilvl w:val="1"/>
        <w:numId w:val="1"/>
      </w:numPr>
      <w:outlineLvl w:val="1"/>
    </w:pPr>
    <w:rPr>
      <w:rFonts w:ascii="Times New Roman" w:eastAsia="Lucida Sans Unicode" w:hAnsi="Times New Roman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11673D"/>
  </w:style>
  <w:style w:type="character" w:customStyle="1" w:styleId="WW8Num1z1">
    <w:name w:val="WW8Num1z1"/>
    <w:rsid w:val="0011673D"/>
  </w:style>
  <w:style w:type="character" w:customStyle="1" w:styleId="WW8Num1z2">
    <w:name w:val="WW8Num1z2"/>
    <w:rsid w:val="0011673D"/>
  </w:style>
  <w:style w:type="character" w:customStyle="1" w:styleId="WW8Num1z3">
    <w:name w:val="WW8Num1z3"/>
    <w:rsid w:val="0011673D"/>
  </w:style>
  <w:style w:type="character" w:customStyle="1" w:styleId="WW8Num1z4">
    <w:name w:val="WW8Num1z4"/>
    <w:rsid w:val="0011673D"/>
  </w:style>
  <w:style w:type="character" w:customStyle="1" w:styleId="WW8Num1z5">
    <w:name w:val="WW8Num1z5"/>
    <w:rsid w:val="0011673D"/>
  </w:style>
  <w:style w:type="character" w:customStyle="1" w:styleId="WW8Num1z6">
    <w:name w:val="WW8Num1z6"/>
    <w:rsid w:val="0011673D"/>
  </w:style>
  <w:style w:type="character" w:customStyle="1" w:styleId="WW8Num1z7">
    <w:name w:val="WW8Num1z7"/>
    <w:rsid w:val="0011673D"/>
  </w:style>
  <w:style w:type="character" w:customStyle="1" w:styleId="WW8Num1z8">
    <w:name w:val="WW8Num1z8"/>
    <w:rsid w:val="0011673D"/>
  </w:style>
  <w:style w:type="character" w:customStyle="1" w:styleId="WW8Num2z0">
    <w:name w:val="WW8Num2z0"/>
    <w:rsid w:val="0011673D"/>
  </w:style>
  <w:style w:type="character" w:customStyle="1" w:styleId="WW8Num2z1">
    <w:name w:val="WW8Num2z1"/>
    <w:rsid w:val="0011673D"/>
  </w:style>
  <w:style w:type="character" w:customStyle="1" w:styleId="WW8Num2z2">
    <w:name w:val="WW8Num2z2"/>
    <w:rsid w:val="0011673D"/>
  </w:style>
  <w:style w:type="character" w:customStyle="1" w:styleId="WW8Num2z3">
    <w:name w:val="WW8Num2z3"/>
    <w:rsid w:val="0011673D"/>
  </w:style>
  <w:style w:type="character" w:customStyle="1" w:styleId="WW8Num2z4">
    <w:name w:val="WW8Num2z4"/>
    <w:rsid w:val="0011673D"/>
  </w:style>
  <w:style w:type="character" w:customStyle="1" w:styleId="WW8Num2z5">
    <w:name w:val="WW8Num2z5"/>
    <w:rsid w:val="0011673D"/>
  </w:style>
  <w:style w:type="character" w:customStyle="1" w:styleId="WW8Num2z6">
    <w:name w:val="WW8Num2z6"/>
    <w:rsid w:val="0011673D"/>
  </w:style>
  <w:style w:type="character" w:customStyle="1" w:styleId="WW8Num2z7">
    <w:name w:val="WW8Num2z7"/>
    <w:rsid w:val="0011673D"/>
  </w:style>
  <w:style w:type="character" w:customStyle="1" w:styleId="WW8Num2z8">
    <w:name w:val="WW8Num2z8"/>
    <w:rsid w:val="0011673D"/>
  </w:style>
  <w:style w:type="character" w:customStyle="1" w:styleId="WW8Num3z0">
    <w:name w:val="WW8Num3z0"/>
    <w:rsid w:val="0011673D"/>
    <w:rPr>
      <w:rFonts w:cs="Times New Roman"/>
    </w:rPr>
  </w:style>
  <w:style w:type="character" w:customStyle="1" w:styleId="WW8Num3z1">
    <w:name w:val="WW8Num3z1"/>
    <w:rsid w:val="0011673D"/>
    <w:rPr>
      <w:rFonts w:cs="Times New Roman"/>
    </w:rPr>
  </w:style>
  <w:style w:type="character" w:customStyle="1" w:styleId="WW8Num3z2">
    <w:name w:val="WW8Num3z2"/>
    <w:rsid w:val="0011673D"/>
  </w:style>
  <w:style w:type="character" w:customStyle="1" w:styleId="WW8Num3z3">
    <w:name w:val="WW8Num3z3"/>
    <w:rsid w:val="0011673D"/>
  </w:style>
  <w:style w:type="character" w:customStyle="1" w:styleId="WW8Num3z4">
    <w:name w:val="WW8Num3z4"/>
    <w:rsid w:val="0011673D"/>
  </w:style>
  <w:style w:type="character" w:customStyle="1" w:styleId="WW8Num3z5">
    <w:name w:val="WW8Num3z5"/>
    <w:rsid w:val="0011673D"/>
  </w:style>
  <w:style w:type="character" w:customStyle="1" w:styleId="WW8Num3z6">
    <w:name w:val="WW8Num3z6"/>
    <w:rsid w:val="0011673D"/>
  </w:style>
  <w:style w:type="character" w:customStyle="1" w:styleId="WW8Num3z7">
    <w:name w:val="WW8Num3z7"/>
    <w:rsid w:val="0011673D"/>
  </w:style>
  <w:style w:type="character" w:customStyle="1" w:styleId="WW8Num3z8">
    <w:name w:val="WW8Num3z8"/>
    <w:rsid w:val="0011673D"/>
  </w:style>
  <w:style w:type="character" w:customStyle="1" w:styleId="WW8Num4z0">
    <w:name w:val="WW8Num4z0"/>
    <w:rsid w:val="0011673D"/>
    <w:rPr>
      <w:rFonts w:ascii="Symbol" w:hAnsi="Symbol" w:cs="OpenSymbol"/>
    </w:rPr>
  </w:style>
  <w:style w:type="character" w:customStyle="1" w:styleId="WW8Num4z1">
    <w:name w:val="WW8Num4z1"/>
    <w:rsid w:val="0011673D"/>
  </w:style>
  <w:style w:type="character" w:customStyle="1" w:styleId="WW8Num4z2">
    <w:name w:val="WW8Num4z2"/>
    <w:rsid w:val="0011673D"/>
  </w:style>
  <w:style w:type="character" w:customStyle="1" w:styleId="WW8Num4z3">
    <w:name w:val="WW8Num4z3"/>
    <w:rsid w:val="0011673D"/>
  </w:style>
  <w:style w:type="character" w:customStyle="1" w:styleId="WW8Num4z4">
    <w:name w:val="WW8Num4z4"/>
    <w:rsid w:val="0011673D"/>
  </w:style>
  <w:style w:type="character" w:customStyle="1" w:styleId="WW8Num4z5">
    <w:name w:val="WW8Num4z5"/>
    <w:rsid w:val="0011673D"/>
  </w:style>
  <w:style w:type="character" w:customStyle="1" w:styleId="WW8Num4z6">
    <w:name w:val="WW8Num4z6"/>
    <w:rsid w:val="0011673D"/>
  </w:style>
  <w:style w:type="character" w:customStyle="1" w:styleId="WW8Num4z7">
    <w:name w:val="WW8Num4z7"/>
    <w:rsid w:val="0011673D"/>
  </w:style>
  <w:style w:type="character" w:customStyle="1" w:styleId="WW8Num4z8">
    <w:name w:val="WW8Num4z8"/>
    <w:rsid w:val="0011673D"/>
  </w:style>
  <w:style w:type="character" w:customStyle="1" w:styleId="WW8Num5z0">
    <w:name w:val="WW8Num5z0"/>
    <w:rsid w:val="0011673D"/>
  </w:style>
  <w:style w:type="character" w:customStyle="1" w:styleId="WW8Num6z0">
    <w:name w:val="WW8Num6z0"/>
    <w:rsid w:val="0011673D"/>
  </w:style>
  <w:style w:type="character" w:customStyle="1" w:styleId="WW8Num6z1">
    <w:name w:val="WW8Num6z1"/>
    <w:rsid w:val="0011673D"/>
  </w:style>
  <w:style w:type="character" w:customStyle="1" w:styleId="WW8Num6z2">
    <w:name w:val="WW8Num6z2"/>
    <w:rsid w:val="0011673D"/>
  </w:style>
  <w:style w:type="character" w:customStyle="1" w:styleId="WW8Num6z3">
    <w:name w:val="WW8Num6z3"/>
    <w:rsid w:val="0011673D"/>
  </w:style>
  <w:style w:type="character" w:customStyle="1" w:styleId="WW8Num6z4">
    <w:name w:val="WW8Num6z4"/>
    <w:rsid w:val="0011673D"/>
  </w:style>
  <w:style w:type="character" w:customStyle="1" w:styleId="WW8Num6z5">
    <w:name w:val="WW8Num6z5"/>
    <w:rsid w:val="0011673D"/>
  </w:style>
  <w:style w:type="character" w:customStyle="1" w:styleId="WW8Num6z6">
    <w:name w:val="WW8Num6z6"/>
    <w:rsid w:val="0011673D"/>
  </w:style>
  <w:style w:type="character" w:customStyle="1" w:styleId="WW8Num6z7">
    <w:name w:val="WW8Num6z7"/>
    <w:rsid w:val="0011673D"/>
  </w:style>
  <w:style w:type="character" w:customStyle="1" w:styleId="WW8Num6z8">
    <w:name w:val="WW8Num6z8"/>
    <w:rsid w:val="0011673D"/>
  </w:style>
  <w:style w:type="character" w:customStyle="1" w:styleId="WW8Num5z1">
    <w:name w:val="WW8Num5z1"/>
    <w:rsid w:val="0011673D"/>
  </w:style>
  <w:style w:type="character" w:customStyle="1" w:styleId="WW8Num5z2">
    <w:name w:val="WW8Num5z2"/>
    <w:rsid w:val="0011673D"/>
  </w:style>
  <w:style w:type="character" w:customStyle="1" w:styleId="WW8Num5z3">
    <w:name w:val="WW8Num5z3"/>
    <w:rsid w:val="0011673D"/>
  </w:style>
  <w:style w:type="character" w:customStyle="1" w:styleId="WW8Num5z4">
    <w:name w:val="WW8Num5z4"/>
    <w:rsid w:val="0011673D"/>
  </w:style>
  <w:style w:type="character" w:customStyle="1" w:styleId="WW8Num5z5">
    <w:name w:val="WW8Num5z5"/>
    <w:rsid w:val="0011673D"/>
  </w:style>
  <w:style w:type="character" w:customStyle="1" w:styleId="WW8Num5z6">
    <w:name w:val="WW8Num5z6"/>
    <w:rsid w:val="0011673D"/>
  </w:style>
  <w:style w:type="character" w:customStyle="1" w:styleId="WW8Num5z7">
    <w:name w:val="WW8Num5z7"/>
    <w:rsid w:val="0011673D"/>
  </w:style>
  <w:style w:type="character" w:customStyle="1" w:styleId="WW8Num5z8">
    <w:name w:val="WW8Num5z8"/>
    <w:rsid w:val="0011673D"/>
  </w:style>
  <w:style w:type="character" w:customStyle="1" w:styleId="Domylnaczcionkaakapitu1">
    <w:name w:val="Domyślna czcionka akapitu1"/>
    <w:rsid w:val="0011673D"/>
  </w:style>
  <w:style w:type="character" w:customStyle="1" w:styleId="TekstprzypisudolnegoZnak">
    <w:name w:val="Tekst przypisu dolnego Znak"/>
    <w:rsid w:val="0011673D"/>
    <w:rPr>
      <w:sz w:val="20"/>
      <w:szCs w:val="20"/>
    </w:rPr>
  </w:style>
  <w:style w:type="character" w:customStyle="1" w:styleId="Odwoanieprzypisudolnego1">
    <w:name w:val="Odwołanie przypisu dolnego1"/>
    <w:rsid w:val="0011673D"/>
    <w:rPr>
      <w:vertAlign w:val="superscript"/>
    </w:rPr>
  </w:style>
  <w:style w:type="character" w:customStyle="1" w:styleId="ListLabel1">
    <w:name w:val="ListLabel 1"/>
    <w:rsid w:val="0011673D"/>
    <w:rPr>
      <w:rFonts w:cs="Courier New"/>
    </w:rPr>
  </w:style>
  <w:style w:type="character" w:customStyle="1" w:styleId="Znakiprzypiswdolnych">
    <w:name w:val="Znaki przypisów dolnych"/>
    <w:rsid w:val="0011673D"/>
  </w:style>
  <w:style w:type="character" w:styleId="Odwoanieprzypisudolnego">
    <w:name w:val="footnote reference"/>
    <w:rsid w:val="0011673D"/>
    <w:rPr>
      <w:vertAlign w:val="superscript"/>
    </w:rPr>
  </w:style>
  <w:style w:type="character" w:customStyle="1" w:styleId="Znakiprzypiswkocowych">
    <w:name w:val="Znaki przypisów końcowych"/>
    <w:rsid w:val="0011673D"/>
    <w:rPr>
      <w:vertAlign w:val="superscript"/>
    </w:rPr>
  </w:style>
  <w:style w:type="character" w:customStyle="1" w:styleId="WW-Znakiprzypiswkocowych">
    <w:name w:val="WW-Znaki przypisów końcowych"/>
    <w:rsid w:val="0011673D"/>
  </w:style>
  <w:style w:type="character" w:styleId="Hipercze">
    <w:name w:val="Hyperlink"/>
    <w:rsid w:val="0011673D"/>
    <w:rPr>
      <w:color w:val="000080"/>
      <w:u w:val="single"/>
    </w:rPr>
  </w:style>
  <w:style w:type="character" w:customStyle="1" w:styleId="Symbolewypunktowania">
    <w:name w:val="Symbole wypunktowania"/>
    <w:rsid w:val="0011673D"/>
    <w:rPr>
      <w:rFonts w:ascii="OpenSymbol" w:eastAsia="OpenSymbol" w:hAnsi="OpenSymbol" w:cs="OpenSymbol"/>
    </w:rPr>
  </w:style>
  <w:style w:type="character" w:styleId="Odwoanieprzypisukocowego">
    <w:name w:val="endnote reference"/>
    <w:rsid w:val="0011673D"/>
    <w:rPr>
      <w:vertAlign w:val="superscript"/>
    </w:rPr>
  </w:style>
  <w:style w:type="paragraph" w:customStyle="1" w:styleId="Nagwek1">
    <w:name w:val="Nagłówek1"/>
    <w:basedOn w:val="Normalny"/>
    <w:next w:val="Tekstpodstawowy"/>
    <w:rsid w:val="001167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11673D"/>
    <w:pPr>
      <w:spacing w:after="120"/>
    </w:pPr>
  </w:style>
  <w:style w:type="paragraph" w:styleId="Lista">
    <w:name w:val="List"/>
    <w:basedOn w:val="Tekstpodstawowy"/>
    <w:rsid w:val="0011673D"/>
    <w:rPr>
      <w:rFonts w:cs="Mangal"/>
    </w:rPr>
  </w:style>
  <w:style w:type="paragraph" w:customStyle="1" w:styleId="Podpis1">
    <w:name w:val="Podpis1"/>
    <w:basedOn w:val="Normalny"/>
    <w:rsid w:val="0011673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11673D"/>
    <w:pPr>
      <w:suppressLineNumbers/>
    </w:pPr>
    <w:rPr>
      <w:rFonts w:cs="Mangal"/>
    </w:rPr>
  </w:style>
  <w:style w:type="paragraph" w:customStyle="1" w:styleId="Akapitzlist1">
    <w:name w:val="Akapit z listą1"/>
    <w:basedOn w:val="Normalny"/>
    <w:rsid w:val="0011673D"/>
    <w:pPr>
      <w:ind w:left="720"/>
    </w:pPr>
  </w:style>
  <w:style w:type="paragraph" w:customStyle="1" w:styleId="Tekstprzypisudolnego1">
    <w:name w:val="Tekst przypisu dolnego1"/>
    <w:basedOn w:val="Normalny"/>
    <w:rsid w:val="0011673D"/>
    <w:pPr>
      <w:spacing w:after="0" w:line="100" w:lineRule="atLeast"/>
    </w:pPr>
    <w:rPr>
      <w:sz w:val="20"/>
      <w:szCs w:val="20"/>
    </w:rPr>
  </w:style>
  <w:style w:type="paragraph" w:styleId="Tekstprzypisudolnego">
    <w:name w:val="footnote text"/>
    <w:basedOn w:val="Normalny"/>
    <w:rsid w:val="0011673D"/>
    <w:pPr>
      <w:suppressLineNumbers/>
      <w:ind w:left="283" w:hanging="283"/>
    </w:pPr>
    <w:rPr>
      <w:sz w:val="20"/>
      <w:szCs w:val="20"/>
    </w:rPr>
  </w:style>
  <w:style w:type="paragraph" w:customStyle="1" w:styleId="Domylnie">
    <w:name w:val="Domy?lnie"/>
    <w:rsid w:val="0011673D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kern w:val="1"/>
      <w:sz w:val="36"/>
      <w:szCs w:val="36"/>
      <w:lang w:eastAsia="ar-SA"/>
    </w:rPr>
  </w:style>
  <w:style w:type="paragraph" w:customStyle="1" w:styleId="Obiektzestrzak">
    <w:name w:val="Obiekt ze strza?k?"/>
    <w:basedOn w:val="Domylnie"/>
    <w:rsid w:val="0011673D"/>
  </w:style>
  <w:style w:type="paragraph" w:customStyle="1" w:styleId="Obiektzcieniem">
    <w:name w:val="Obiekt z cieniem"/>
    <w:basedOn w:val="Domylnie"/>
    <w:rsid w:val="0011673D"/>
  </w:style>
  <w:style w:type="paragraph" w:customStyle="1" w:styleId="Obiektbezwypenienia">
    <w:name w:val="Obiekt bez wype?nienia"/>
    <w:basedOn w:val="Domylnie"/>
    <w:rsid w:val="0011673D"/>
  </w:style>
  <w:style w:type="paragraph" w:customStyle="1" w:styleId="Obiektbezwypenieniailinii">
    <w:name w:val="Obiekt bez wype?nienia i linii"/>
    <w:basedOn w:val="Domylnie"/>
    <w:rsid w:val="0011673D"/>
  </w:style>
  <w:style w:type="paragraph" w:customStyle="1" w:styleId="Tekst">
    <w:name w:val="Tekst"/>
    <w:basedOn w:val="Podpis1"/>
    <w:rsid w:val="0011673D"/>
  </w:style>
  <w:style w:type="paragraph" w:customStyle="1" w:styleId="Tretekstu">
    <w:name w:val="Tre?? tekstu"/>
    <w:basedOn w:val="Domylnie"/>
    <w:rsid w:val="0011673D"/>
  </w:style>
  <w:style w:type="paragraph" w:customStyle="1" w:styleId="Tekstwyjustowany">
    <w:name w:val="Tekst wyjustowany"/>
    <w:basedOn w:val="Domylnie"/>
    <w:rsid w:val="0011673D"/>
  </w:style>
  <w:style w:type="paragraph" w:customStyle="1" w:styleId="Wciciepierwszegowiersza">
    <w:name w:val="Wci?cie pierwszego wiersza"/>
    <w:basedOn w:val="Domylnie"/>
    <w:rsid w:val="0011673D"/>
    <w:pPr>
      <w:ind w:firstLine="340"/>
    </w:pPr>
  </w:style>
  <w:style w:type="paragraph" w:customStyle="1" w:styleId="Tytu">
    <w:name w:val="Tytu?"/>
    <w:basedOn w:val="Domylnie"/>
    <w:rsid w:val="0011673D"/>
  </w:style>
  <w:style w:type="paragraph" w:customStyle="1" w:styleId="Tytu1">
    <w:name w:val="Tytu?1"/>
    <w:basedOn w:val="Domylnie"/>
    <w:rsid w:val="0011673D"/>
    <w:pPr>
      <w:jc w:val="center"/>
    </w:pPr>
  </w:style>
  <w:style w:type="paragraph" w:customStyle="1" w:styleId="Tytu2">
    <w:name w:val="Tytu?2"/>
    <w:basedOn w:val="Domylnie"/>
    <w:rsid w:val="0011673D"/>
    <w:pPr>
      <w:spacing w:before="57" w:after="57"/>
      <w:ind w:right="113"/>
      <w:jc w:val="center"/>
    </w:pPr>
  </w:style>
  <w:style w:type="paragraph" w:customStyle="1" w:styleId="Nagwek">
    <w:name w:val="Nag?ówek"/>
    <w:basedOn w:val="Domylnie"/>
    <w:rsid w:val="0011673D"/>
    <w:pPr>
      <w:spacing w:before="238" w:after="119"/>
    </w:pPr>
  </w:style>
  <w:style w:type="paragraph" w:customStyle="1" w:styleId="Nagwek10">
    <w:name w:val="Nag?ówek1"/>
    <w:basedOn w:val="Domylnie"/>
    <w:rsid w:val="0011673D"/>
    <w:pPr>
      <w:spacing w:before="238" w:after="119"/>
    </w:pPr>
  </w:style>
  <w:style w:type="paragraph" w:customStyle="1" w:styleId="Nagwek20">
    <w:name w:val="Nag?ówek2"/>
    <w:basedOn w:val="Domylnie"/>
    <w:rsid w:val="0011673D"/>
    <w:pPr>
      <w:spacing w:before="238" w:after="119"/>
    </w:pPr>
  </w:style>
  <w:style w:type="paragraph" w:customStyle="1" w:styleId="Liniawymiarowa">
    <w:name w:val="Linia wymiarowa"/>
    <w:basedOn w:val="Domylnie"/>
    <w:rsid w:val="0011673D"/>
  </w:style>
  <w:style w:type="paragraph" w:customStyle="1" w:styleId="DomylnieLTGliederung1">
    <w:name w:val="Domy?lnie~LT~Gliederung 1"/>
    <w:rsid w:val="0011673D"/>
    <w:pPr>
      <w:widowControl w:val="0"/>
      <w:suppressAutoHyphens/>
      <w:autoSpaceDE w:val="0"/>
      <w:spacing w:after="283" w:line="276" w:lineRule="auto"/>
    </w:pPr>
    <w:rPr>
      <w:rFonts w:ascii="Mangal" w:eastAsia="Mangal" w:hAnsi="Mangal" w:cs="Mangal"/>
      <w:color w:val="000000"/>
      <w:kern w:val="1"/>
      <w:sz w:val="64"/>
      <w:szCs w:val="64"/>
      <w:lang w:eastAsia="ar-SA"/>
    </w:rPr>
  </w:style>
  <w:style w:type="paragraph" w:customStyle="1" w:styleId="DomylnieLTGliederung2">
    <w:name w:val="Domy?lnie~LT~Gliederung 2"/>
    <w:basedOn w:val="DomylnieLTGliederung1"/>
    <w:rsid w:val="0011673D"/>
    <w:pPr>
      <w:spacing w:after="227"/>
    </w:pPr>
    <w:rPr>
      <w:sz w:val="48"/>
      <w:szCs w:val="48"/>
    </w:rPr>
  </w:style>
  <w:style w:type="paragraph" w:customStyle="1" w:styleId="DomylnieLTGliederung3">
    <w:name w:val="Domy?lnie~LT~Gliederung 3"/>
    <w:basedOn w:val="DomylnieLTGliederung2"/>
    <w:rsid w:val="0011673D"/>
    <w:pPr>
      <w:spacing w:after="170"/>
    </w:pPr>
    <w:rPr>
      <w:sz w:val="40"/>
      <w:szCs w:val="40"/>
    </w:rPr>
  </w:style>
  <w:style w:type="paragraph" w:customStyle="1" w:styleId="DomylnieLTGliederung4">
    <w:name w:val="Domy?lnie~LT~Gliederung 4"/>
    <w:basedOn w:val="DomylnieLTGliederung3"/>
    <w:rsid w:val="0011673D"/>
    <w:pPr>
      <w:spacing w:after="113"/>
    </w:pPr>
  </w:style>
  <w:style w:type="paragraph" w:customStyle="1" w:styleId="DomylnieLTGliederung5">
    <w:name w:val="Domy?lnie~LT~Gliederung 5"/>
    <w:basedOn w:val="DomylnieLTGliederung4"/>
    <w:rsid w:val="0011673D"/>
    <w:pPr>
      <w:spacing w:after="57"/>
    </w:pPr>
  </w:style>
  <w:style w:type="paragraph" w:customStyle="1" w:styleId="DomylnieLTGliederung6">
    <w:name w:val="Domy?lnie~LT~Gliederung 6"/>
    <w:basedOn w:val="DomylnieLTGliederung5"/>
    <w:rsid w:val="0011673D"/>
  </w:style>
  <w:style w:type="paragraph" w:customStyle="1" w:styleId="DomylnieLTGliederung7">
    <w:name w:val="Domy?lnie~LT~Gliederung 7"/>
    <w:basedOn w:val="DomylnieLTGliederung6"/>
    <w:rsid w:val="0011673D"/>
  </w:style>
  <w:style w:type="paragraph" w:customStyle="1" w:styleId="DomylnieLTGliederung8">
    <w:name w:val="Domy?lnie~LT~Gliederung 8"/>
    <w:basedOn w:val="DomylnieLTGliederung7"/>
    <w:rsid w:val="0011673D"/>
  </w:style>
  <w:style w:type="paragraph" w:customStyle="1" w:styleId="DomylnieLTGliederung9">
    <w:name w:val="Domy?lnie~LT~Gliederung 9"/>
    <w:basedOn w:val="DomylnieLTGliederung8"/>
    <w:rsid w:val="0011673D"/>
  </w:style>
  <w:style w:type="paragraph" w:customStyle="1" w:styleId="DomylnieLTTitel">
    <w:name w:val="Domy?lnie~LT~Titel"/>
    <w:rsid w:val="0011673D"/>
    <w:pPr>
      <w:widowControl w:val="0"/>
      <w:suppressAutoHyphens/>
      <w:autoSpaceDE w:val="0"/>
      <w:spacing w:after="200" w:line="276" w:lineRule="auto"/>
    </w:pPr>
    <w:rPr>
      <w:rFonts w:ascii="Mangal" w:eastAsia="Mangal" w:hAnsi="Mangal" w:cs="Mangal"/>
      <w:color w:val="000000"/>
      <w:kern w:val="1"/>
      <w:sz w:val="88"/>
      <w:szCs w:val="88"/>
      <w:lang w:eastAsia="ar-SA"/>
    </w:rPr>
  </w:style>
  <w:style w:type="paragraph" w:customStyle="1" w:styleId="DomylnieLTUntertitel">
    <w:name w:val="Domy?lnie~LT~Untertitel"/>
    <w:rsid w:val="0011673D"/>
    <w:pPr>
      <w:widowControl w:val="0"/>
      <w:suppressAutoHyphens/>
      <w:autoSpaceDE w:val="0"/>
      <w:spacing w:after="200" w:line="276" w:lineRule="auto"/>
      <w:jc w:val="center"/>
    </w:pPr>
    <w:rPr>
      <w:rFonts w:ascii="Mangal" w:eastAsia="Mangal" w:hAnsi="Mangal" w:cs="Mangal"/>
      <w:kern w:val="1"/>
      <w:sz w:val="64"/>
      <w:szCs w:val="64"/>
      <w:lang w:eastAsia="ar-SA"/>
    </w:rPr>
  </w:style>
  <w:style w:type="paragraph" w:customStyle="1" w:styleId="DomylnieLTNotizen">
    <w:name w:val="Domy?lnie~LT~Notizen"/>
    <w:rsid w:val="0011673D"/>
    <w:pPr>
      <w:widowControl w:val="0"/>
      <w:suppressAutoHyphens/>
      <w:autoSpaceDE w:val="0"/>
      <w:spacing w:after="200" w:line="276" w:lineRule="auto"/>
      <w:ind w:left="340" w:hanging="340"/>
    </w:pPr>
    <w:rPr>
      <w:rFonts w:ascii="Mangal" w:eastAsia="Mangal" w:hAnsi="Mangal" w:cs="Mangal"/>
      <w:kern w:val="1"/>
      <w:sz w:val="40"/>
      <w:szCs w:val="40"/>
      <w:lang w:eastAsia="ar-SA"/>
    </w:rPr>
  </w:style>
  <w:style w:type="paragraph" w:customStyle="1" w:styleId="DomylnieLTHintergrundobjekte">
    <w:name w:val="Domy?lnie~LT~Hintergrundobjekte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DomylnieLTHintergrund">
    <w:name w:val="Domy?lnie~LT~Hintergrund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default">
    <w:name w:val="default"/>
    <w:rsid w:val="0011673D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kern w:val="1"/>
      <w:sz w:val="36"/>
      <w:szCs w:val="36"/>
      <w:lang w:eastAsia="ar-SA"/>
    </w:rPr>
  </w:style>
  <w:style w:type="paragraph" w:customStyle="1" w:styleId="blue1">
    <w:name w:val="blue1"/>
    <w:basedOn w:val="default"/>
    <w:rsid w:val="0011673D"/>
  </w:style>
  <w:style w:type="paragraph" w:customStyle="1" w:styleId="blue2">
    <w:name w:val="blue2"/>
    <w:basedOn w:val="default"/>
    <w:rsid w:val="0011673D"/>
  </w:style>
  <w:style w:type="paragraph" w:customStyle="1" w:styleId="blue3">
    <w:name w:val="blue3"/>
    <w:basedOn w:val="default"/>
    <w:rsid w:val="0011673D"/>
  </w:style>
  <w:style w:type="paragraph" w:customStyle="1" w:styleId="bw1">
    <w:name w:val="bw1"/>
    <w:basedOn w:val="default"/>
    <w:rsid w:val="0011673D"/>
  </w:style>
  <w:style w:type="paragraph" w:customStyle="1" w:styleId="bw2">
    <w:name w:val="bw2"/>
    <w:basedOn w:val="default"/>
    <w:rsid w:val="0011673D"/>
  </w:style>
  <w:style w:type="paragraph" w:customStyle="1" w:styleId="bw3">
    <w:name w:val="bw3"/>
    <w:basedOn w:val="default"/>
    <w:rsid w:val="0011673D"/>
  </w:style>
  <w:style w:type="paragraph" w:customStyle="1" w:styleId="orange1">
    <w:name w:val="orange1"/>
    <w:basedOn w:val="default"/>
    <w:rsid w:val="0011673D"/>
  </w:style>
  <w:style w:type="paragraph" w:customStyle="1" w:styleId="orange2">
    <w:name w:val="orange2"/>
    <w:basedOn w:val="default"/>
    <w:rsid w:val="0011673D"/>
  </w:style>
  <w:style w:type="paragraph" w:customStyle="1" w:styleId="orange3">
    <w:name w:val="orange3"/>
    <w:basedOn w:val="default"/>
    <w:rsid w:val="0011673D"/>
  </w:style>
  <w:style w:type="paragraph" w:customStyle="1" w:styleId="turquise1">
    <w:name w:val="turquise1"/>
    <w:basedOn w:val="default"/>
    <w:rsid w:val="0011673D"/>
  </w:style>
  <w:style w:type="paragraph" w:customStyle="1" w:styleId="turquise2">
    <w:name w:val="turquise2"/>
    <w:basedOn w:val="default"/>
    <w:rsid w:val="0011673D"/>
  </w:style>
  <w:style w:type="paragraph" w:customStyle="1" w:styleId="turquise3">
    <w:name w:val="turquise3"/>
    <w:basedOn w:val="default"/>
    <w:rsid w:val="0011673D"/>
  </w:style>
  <w:style w:type="paragraph" w:customStyle="1" w:styleId="gray1">
    <w:name w:val="gray1"/>
    <w:basedOn w:val="default"/>
    <w:rsid w:val="0011673D"/>
  </w:style>
  <w:style w:type="paragraph" w:customStyle="1" w:styleId="gray2">
    <w:name w:val="gray2"/>
    <w:basedOn w:val="default"/>
    <w:rsid w:val="0011673D"/>
  </w:style>
  <w:style w:type="paragraph" w:customStyle="1" w:styleId="gray3">
    <w:name w:val="gray3"/>
    <w:basedOn w:val="default"/>
    <w:rsid w:val="0011673D"/>
  </w:style>
  <w:style w:type="paragraph" w:customStyle="1" w:styleId="sun1">
    <w:name w:val="sun1"/>
    <w:basedOn w:val="default"/>
    <w:rsid w:val="0011673D"/>
  </w:style>
  <w:style w:type="paragraph" w:customStyle="1" w:styleId="sun2">
    <w:name w:val="sun2"/>
    <w:basedOn w:val="default"/>
    <w:rsid w:val="0011673D"/>
  </w:style>
  <w:style w:type="paragraph" w:customStyle="1" w:styleId="sun3">
    <w:name w:val="sun3"/>
    <w:basedOn w:val="default"/>
    <w:rsid w:val="0011673D"/>
  </w:style>
  <w:style w:type="paragraph" w:customStyle="1" w:styleId="earth1">
    <w:name w:val="earth1"/>
    <w:basedOn w:val="default"/>
    <w:rsid w:val="0011673D"/>
  </w:style>
  <w:style w:type="paragraph" w:customStyle="1" w:styleId="earth2">
    <w:name w:val="earth2"/>
    <w:basedOn w:val="default"/>
    <w:rsid w:val="0011673D"/>
  </w:style>
  <w:style w:type="paragraph" w:customStyle="1" w:styleId="earth3">
    <w:name w:val="earth3"/>
    <w:basedOn w:val="default"/>
    <w:rsid w:val="0011673D"/>
  </w:style>
  <w:style w:type="paragraph" w:customStyle="1" w:styleId="green1">
    <w:name w:val="green1"/>
    <w:basedOn w:val="default"/>
    <w:rsid w:val="0011673D"/>
  </w:style>
  <w:style w:type="paragraph" w:customStyle="1" w:styleId="green2">
    <w:name w:val="green2"/>
    <w:basedOn w:val="default"/>
    <w:rsid w:val="0011673D"/>
  </w:style>
  <w:style w:type="paragraph" w:customStyle="1" w:styleId="green3">
    <w:name w:val="green3"/>
    <w:basedOn w:val="default"/>
    <w:rsid w:val="0011673D"/>
  </w:style>
  <w:style w:type="paragraph" w:customStyle="1" w:styleId="seetang1">
    <w:name w:val="seetang1"/>
    <w:basedOn w:val="default"/>
    <w:rsid w:val="0011673D"/>
  </w:style>
  <w:style w:type="paragraph" w:customStyle="1" w:styleId="seetang2">
    <w:name w:val="seetang2"/>
    <w:basedOn w:val="default"/>
    <w:rsid w:val="0011673D"/>
  </w:style>
  <w:style w:type="paragraph" w:customStyle="1" w:styleId="seetang3">
    <w:name w:val="seetang3"/>
    <w:basedOn w:val="default"/>
    <w:rsid w:val="0011673D"/>
  </w:style>
  <w:style w:type="paragraph" w:customStyle="1" w:styleId="lightblue1">
    <w:name w:val="lightblue1"/>
    <w:basedOn w:val="default"/>
    <w:rsid w:val="0011673D"/>
  </w:style>
  <w:style w:type="paragraph" w:customStyle="1" w:styleId="lightblue2">
    <w:name w:val="lightblue2"/>
    <w:basedOn w:val="default"/>
    <w:rsid w:val="0011673D"/>
  </w:style>
  <w:style w:type="paragraph" w:customStyle="1" w:styleId="lightblue3">
    <w:name w:val="lightblue3"/>
    <w:basedOn w:val="default"/>
    <w:rsid w:val="0011673D"/>
  </w:style>
  <w:style w:type="paragraph" w:customStyle="1" w:styleId="yellow1">
    <w:name w:val="yellow1"/>
    <w:basedOn w:val="default"/>
    <w:rsid w:val="0011673D"/>
  </w:style>
  <w:style w:type="paragraph" w:customStyle="1" w:styleId="yellow2">
    <w:name w:val="yellow2"/>
    <w:basedOn w:val="default"/>
    <w:rsid w:val="0011673D"/>
  </w:style>
  <w:style w:type="paragraph" w:customStyle="1" w:styleId="yellow3">
    <w:name w:val="yellow3"/>
    <w:basedOn w:val="default"/>
    <w:rsid w:val="0011673D"/>
  </w:style>
  <w:style w:type="paragraph" w:customStyle="1" w:styleId="WW-Tytu">
    <w:name w:val="WW-Tytu?"/>
    <w:rsid w:val="0011673D"/>
    <w:pPr>
      <w:widowControl w:val="0"/>
      <w:suppressAutoHyphens/>
      <w:autoSpaceDE w:val="0"/>
      <w:spacing w:after="200" w:line="276" w:lineRule="auto"/>
    </w:pPr>
    <w:rPr>
      <w:rFonts w:ascii="Mangal" w:eastAsia="Mangal" w:hAnsi="Mangal" w:cs="Mangal"/>
      <w:color w:val="000000"/>
      <w:kern w:val="1"/>
      <w:sz w:val="88"/>
      <w:szCs w:val="88"/>
      <w:lang w:eastAsia="ar-SA"/>
    </w:rPr>
  </w:style>
  <w:style w:type="paragraph" w:customStyle="1" w:styleId="Podtytu">
    <w:name w:val="Podtytu?"/>
    <w:rsid w:val="0011673D"/>
    <w:pPr>
      <w:widowControl w:val="0"/>
      <w:suppressAutoHyphens/>
      <w:autoSpaceDE w:val="0"/>
      <w:spacing w:after="200" w:line="276" w:lineRule="auto"/>
      <w:jc w:val="center"/>
    </w:pPr>
    <w:rPr>
      <w:rFonts w:ascii="Mangal" w:eastAsia="Mangal" w:hAnsi="Mangal" w:cs="Mangal"/>
      <w:kern w:val="1"/>
      <w:sz w:val="64"/>
      <w:szCs w:val="64"/>
      <w:lang w:eastAsia="ar-SA"/>
    </w:rPr>
  </w:style>
  <w:style w:type="paragraph" w:customStyle="1" w:styleId="Obiektyta">
    <w:name w:val="Obiekty t?a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To">
    <w:name w:val="T?o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Notatki">
    <w:name w:val="Notatki"/>
    <w:rsid w:val="0011673D"/>
    <w:pPr>
      <w:widowControl w:val="0"/>
      <w:suppressAutoHyphens/>
      <w:autoSpaceDE w:val="0"/>
      <w:spacing w:after="200" w:line="276" w:lineRule="auto"/>
      <w:ind w:left="340" w:hanging="340"/>
    </w:pPr>
    <w:rPr>
      <w:rFonts w:ascii="Mangal" w:eastAsia="Mangal" w:hAnsi="Mangal" w:cs="Mangal"/>
      <w:kern w:val="1"/>
      <w:sz w:val="40"/>
      <w:szCs w:val="40"/>
      <w:lang w:eastAsia="ar-SA"/>
    </w:rPr>
  </w:style>
  <w:style w:type="paragraph" w:customStyle="1" w:styleId="Konspekt1">
    <w:name w:val="Konspekt 1"/>
    <w:rsid w:val="0011673D"/>
    <w:pPr>
      <w:widowControl w:val="0"/>
      <w:suppressAutoHyphens/>
      <w:autoSpaceDE w:val="0"/>
      <w:spacing w:after="283" w:line="276" w:lineRule="auto"/>
    </w:pPr>
    <w:rPr>
      <w:rFonts w:ascii="Mangal" w:eastAsia="Mangal" w:hAnsi="Mangal" w:cs="Mangal"/>
      <w:color w:val="000000"/>
      <w:kern w:val="1"/>
      <w:sz w:val="64"/>
      <w:szCs w:val="64"/>
      <w:lang w:eastAsia="ar-SA"/>
    </w:rPr>
  </w:style>
  <w:style w:type="paragraph" w:customStyle="1" w:styleId="Konspekt2">
    <w:name w:val="Konspekt 2"/>
    <w:basedOn w:val="Konspekt1"/>
    <w:rsid w:val="0011673D"/>
    <w:pPr>
      <w:spacing w:after="227"/>
    </w:pPr>
    <w:rPr>
      <w:sz w:val="48"/>
      <w:szCs w:val="48"/>
    </w:rPr>
  </w:style>
  <w:style w:type="paragraph" w:customStyle="1" w:styleId="Konspekt3">
    <w:name w:val="Konspekt 3"/>
    <w:basedOn w:val="Konspekt2"/>
    <w:rsid w:val="0011673D"/>
    <w:pPr>
      <w:spacing w:after="170"/>
    </w:pPr>
    <w:rPr>
      <w:sz w:val="40"/>
      <w:szCs w:val="40"/>
    </w:rPr>
  </w:style>
  <w:style w:type="paragraph" w:customStyle="1" w:styleId="Konspekt4">
    <w:name w:val="Konspekt 4"/>
    <w:basedOn w:val="Konspekt3"/>
    <w:rsid w:val="0011673D"/>
    <w:pPr>
      <w:spacing w:after="113"/>
    </w:pPr>
  </w:style>
  <w:style w:type="paragraph" w:customStyle="1" w:styleId="Konspekt5">
    <w:name w:val="Konspekt 5"/>
    <w:basedOn w:val="Konspekt4"/>
    <w:rsid w:val="0011673D"/>
    <w:pPr>
      <w:spacing w:after="57"/>
    </w:pPr>
  </w:style>
  <w:style w:type="paragraph" w:customStyle="1" w:styleId="Konspekt6">
    <w:name w:val="Konspekt 6"/>
    <w:basedOn w:val="Konspekt5"/>
    <w:rsid w:val="0011673D"/>
  </w:style>
  <w:style w:type="paragraph" w:customStyle="1" w:styleId="Konspekt7">
    <w:name w:val="Konspekt 7"/>
    <w:basedOn w:val="Konspekt6"/>
    <w:rsid w:val="0011673D"/>
  </w:style>
  <w:style w:type="paragraph" w:customStyle="1" w:styleId="Konspekt8">
    <w:name w:val="Konspekt 8"/>
    <w:basedOn w:val="Konspekt7"/>
    <w:rsid w:val="0011673D"/>
  </w:style>
  <w:style w:type="paragraph" w:customStyle="1" w:styleId="Konspekt9">
    <w:name w:val="Konspekt 9"/>
    <w:basedOn w:val="Konspekt8"/>
    <w:rsid w:val="0011673D"/>
  </w:style>
  <w:style w:type="paragraph" w:customStyle="1" w:styleId="Zawartotabeli">
    <w:name w:val="Zawartość tabeli"/>
    <w:basedOn w:val="Normalny"/>
    <w:rsid w:val="0011673D"/>
    <w:pPr>
      <w:suppressLineNumbers/>
    </w:pPr>
  </w:style>
  <w:style w:type="paragraph" w:customStyle="1" w:styleId="Nagwektabeli">
    <w:name w:val="Nagłówek tabeli"/>
    <w:basedOn w:val="Zawartotabeli"/>
    <w:rsid w:val="0011673D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14B05"/>
    <w:rPr>
      <w:rFonts w:ascii="Tahoma" w:eastAsia="SimSun" w:hAnsi="Tahoma" w:cs="Tahoma"/>
      <w:sz w:val="16"/>
      <w:szCs w:val="16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67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673D"/>
    <w:rPr>
      <w:rFonts w:ascii="Calibri" w:eastAsia="SimSun" w:hAnsi="Calibri" w:cs="font30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673D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5B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5BC1"/>
    <w:rPr>
      <w:rFonts w:ascii="Calibri" w:eastAsia="SimSun" w:hAnsi="Calibri" w:cs="font304"/>
      <w:lang w:eastAsia="ar-SA"/>
    </w:rPr>
  </w:style>
  <w:style w:type="paragraph" w:styleId="Akapitzlist">
    <w:name w:val="List Paragraph"/>
    <w:basedOn w:val="Normalny"/>
    <w:uiPriority w:val="34"/>
    <w:qFormat/>
    <w:rsid w:val="00F108AB"/>
    <w:pPr>
      <w:ind w:left="720"/>
      <w:contextualSpacing/>
    </w:pPr>
  </w:style>
  <w:style w:type="table" w:styleId="Tabela-Siatka">
    <w:name w:val="Table Grid"/>
    <w:basedOn w:val="Standardowy"/>
    <w:uiPriority w:val="59"/>
    <w:rsid w:val="00442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915E59"/>
  </w:style>
  <w:style w:type="character" w:customStyle="1" w:styleId="txt-new">
    <w:name w:val="txt-new"/>
    <w:basedOn w:val="Domylnaczcionkaakapitu"/>
    <w:rsid w:val="00915E5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01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701DA"/>
    <w:rPr>
      <w:rFonts w:ascii="Courier New" w:hAnsi="Courier New" w:cs="Courier New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70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70E3"/>
    <w:rPr>
      <w:rFonts w:ascii="Calibri" w:eastAsia="SimSun" w:hAnsi="Calibri" w:cs="font304"/>
      <w:b/>
      <w:bCs/>
      <w:lang w:eastAsia="ar-SA"/>
    </w:rPr>
  </w:style>
  <w:style w:type="paragraph" w:customStyle="1" w:styleId="Default0">
    <w:name w:val="Default"/>
    <w:qFormat/>
    <w:rsid w:val="006A1C37"/>
    <w:rPr>
      <w:rFonts w:eastAsia="Calibri"/>
      <w:color w:val="000000"/>
      <w:sz w:val="24"/>
      <w:szCs w:val="24"/>
    </w:rPr>
  </w:style>
  <w:style w:type="character" w:customStyle="1" w:styleId="Teksttreci">
    <w:name w:val="Tekst treści_"/>
    <w:link w:val="Teksttreci0"/>
    <w:rsid w:val="00732FEB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32FEB"/>
    <w:pPr>
      <w:widowControl w:val="0"/>
      <w:shd w:val="clear" w:color="auto" w:fill="FFFFFF"/>
      <w:suppressAutoHyphens w:val="0"/>
      <w:spacing w:before="240" w:after="600" w:line="0" w:lineRule="atLeast"/>
      <w:ind w:hanging="4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ews">
    <w:name w:val="news"/>
    <w:basedOn w:val="Domylnaczcionkaakapitu"/>
    <w:qFormat/>
    <w:rsid w:val="00732FEB"/>
  </w:style>
  <w:style w:type="paragraph" w:customStyle="1" w:styleId="h1maintyt">
    <w:name w:val="h1.maintyt"/>
    <w:uiPriority w:val="99"/>
    <w:rsid w:val="00732FEB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pmainpub">
    <w:name w:val="p.mainpub"/>
    <w:uiPriority w:val="99"/>
    <w:rsid w:val="005F01BF"/>
    <w:pPr>
      <w:widowControl w:val="0"/>
      <w:autoSpaceDE w:val="0"/>
      <w:autoSpaceDN w:val="0"/>
      <w:adjustRightInd w:val="0"/>
      <w:spacing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673D"/>
    <w:pPr>
      <w:suppressAutoHyphens/>
      <w:spacing w:after="200" w:line="276" w:lineRule="auto"/>
    </w:pPr>
    <w:rPr>
      <w:rFonts w:ascii="Calibri" w:eastAsia="SimSun" w:hAnsi="Calibri" w:cs="font304"/>
      <w:sz w:val="22"/>
      <w:szCs w:val="22"/>
      <w:lang w:eastAsia="ar-SA"/>
    </w:rPr>
  </w:style>
  <w:style w:type="paragraph" w:styleId="Nagwek2">
    <w:name w:val="heading 2"/>
    <w:basedOn w:val="Nagwek1"/>
    <w:next w:val="Tekstpodstawowy"/>
    <w:qFormat/>
    <w:rsid w:val="0011673D"/>
    <w:pPr>
      <w:numPr>
        <w:ilvl w:val="1"/>
        <w:numId w:val="1"/>
      </w:numPr>
      <w:outlineLvl w:val="1"/>
    </w:pPr>
    <w:rPr>
      <w:rFonts w:ascii="Times New Roman" w:eastAsia="Lucida Sans Unicode" w:hAnsi="Times New Roman" w:cs="Tahoma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11673D"/>
  </w:style>
  <w:style w:type="character" w:customStyle="1" w:styleId="WW8Num1z1">
    <w:name w:val="WW8Num1z1"/>
    <w:rsid w:val="0011673D"/>
  </w:style>
  <w:style w:type="character" w:customStyle="1" w:styleId="WW8Num1z2">
    <w:name w:val="WW8Num1z2"/>
    <w:rsid w:val="0011673D"/>
  </w:style>
  <w:style w:type="character" w:customStyle="1" w:styleId="WW8Num1z3">
    <w:name w:val="WW8Num1z3"/>
    <w:rsid w:val="0011673D"/>
  </w:style>
  <w:style w:type="character" w:customStyle="1" w:styleId="WW8Num1z4">
    <w:name w:val="WW8Num1z4"/>
    <w:rsid w:val="0011673D"/>
  </w:style>
  <w:style w:type="character" w:customStyle="1" w:styleId="WW8Num1z5">
    <w:name w:val="WW8Num1z5"/>
    <w:rsid w:val="0011673D"/>
  </w:style>
  <w:style w:type="character" w:customStyle="1" w:styleId="WW8Num1z6">
    <w:name w:val="WW8Num1z6"/>
    <w:rsid w:val="0011673D"/>
  </w:style>
  <w:style w:type="character" w:customStyle="1" w:styleId="WW8Num1z7">
    <w:name w:val="WW8Num1z7"/>
    <w:rsid w:val="0011673D"/>
  </w:style>
  <w:style w:type="character" w:customStyle="1" w:styleId="WW8Num1z8">
    <w:name w:val="WW8Num1z8"/>
    <w:rsid w:val="0011673D"/>
  </w:style>
  <w:style w:type="character" w:customStyle="1" w:styleId="WW8Num2z0">
    <w:name w:val="WW8Num2z0"/>
    <w:rsid w:val="0011673D"/>
  </w:style>
  <w:style w:type="character" w:customStyle="1" w:styleId="WW8Num2z1">
    <w:name w:val="WW8Num2z1"/>
    <w:rsid w:val="0011673D"/>
  </w:style>
  <w:style w:type="character" w:customStyle="1" w:styleId="WW8Num2z2">
    <w:name w:val="WW8Num2z2"/>
    <w:rsid w:val="0011673D"/>
  </w:style>
  <w:style w:type="character" w:customStyle="1" w:styleId="WW8Num2z3">
    <w:name w:val="WW8Num2z3"/>
    <w:rsid w:val="0011673D"/>
  </w:style>
  <w:style w:type="character" w:customStyle="1" w:styleId="WW8Num2z4">
    <w:name w:val="WW8Num2z4"/>
    <w:rsid w:val="0011673D"/>
  </w:style>
  <w:style w:type="character" w:customStyle="1" w:styleId="WW8Num2z5">
    <w:name w:val="WW8Num2z5"/>
    <w:rsid w:val="0011673D"/>
  </w:style>
  <w:style w:type="character" w:customStyle="1" w:styleId="WW8Num2z6">
    <w:name w:val="WW8Num2z6"/>
    <w:rsid w:val="0011673D"/>
  </w:style>
  <w:style w:type="character" w:customStyle="1" w:styleId="WW8Num2z7">
    <w:name w:val="WW8Num2z7"/>
    <w:rsid w:val="0011673D"/>
  </w:style>
  <w:style w:type="character" w:customStyle="1" w:styleId="WW8Num2z8">
    <w:name w:val="WW8Num2z8"/>
    <w:rsid w:val="0011673D"/>
  </w:style>
  <w:style w:type="character" w:customStyle="1" w:styleId="WW8Num3z0">
    <w:name w:val="WW8Num3z0"/>
    <w:rsid w:val="0011673D"/>
    <w:rPr>
      <w:rFonts w:cs="Times New Roman"/>
    </w:rPr>
  </w:style>
  <w:style w:type="character" w:customStyle="1" w:styleId="WW8Num3z1">
    <w:name w:val="WW8Num3z1"/>
    <w:rsid w:val="0011673D"/>
    <w:rPr>
      <w:rFonts w:cs="Times New Roman"/>
    </w:rPr>
  </w:style>
  <w:style w:type="character" w:customStyle="1" w:styleId="WW8Num3z2">
    <w:name w:val="WW8Num3z2"/>
    <w:rsid w:val="0011673D"/>
  </w:style>
  <w:style w:type="character" w:customStyle="1" w:styleId="WW8Num3z3">
    <w:name w:val="WW8Num3z3"/>
    <w:rsid w:val="0011673D"/>
  </w:style>
  <w:style w:type="character" w:customStyle="1" w:styleId="WW8Num3z4">
    <w:name w:val="WW8Num3z4"/>
    <w:rsid w:val="0011673D"/>
  </w:style>
  <w:style w:type="character" w:customStyle="1" w:styleId="WW8Num3z5">
    <w:name w:val="WW8Num3z5"/>
    <w:rsid w:val="0011673D"/>
  </w:style>
  <w:style w:type="character" w:customStyle="1" w:styleId="WW8Num3z6">
    <w:name w:val="WW8Num3z6"/>
    <w:rsid w:val="0011673D"/>
  </w:style>
  <w:style w:type="character" w:customStyle="1" w:styleId="WW8Num3z7">
    <w:name w:val="WW8Num3z7"/>
    <w:rsid w:val="0011673D"/>
  </w:style>
  <w:style w:type="character" w:customStyle="1" w:styleId="WW8Num3z8">
    <w:name w:val="WW8Num3z8"/>
    <w:rsid w:val="0011673D"/>
  </w:style>
  <w:style w:type="character" w:customStyle="1" w:styleId="WW8Num4z0">
    <w:name w:val="WW8Num4z0"/>
    <w:rsid w:val="0011673D"/>
    <w:rPr>
      <w:rFonts w:ascii="Symbol" w:hAnsi="Symbol" w:cs="OpenSymbol"/>
    </w:rPr>
  </w:style>
  <w:style w:type="character" w:customStyle="1" w:styleId="WW8Num4z1">
    <w:name w:val="WW8Num4z1"/>
    <w:rsid w:val="0011673D"/>
  </w:style>
  <w:style w:type="character" w:customStyle="1" w:styleId="WW8Num4z2">
    <w:name w:val="WW8Num4z2"/>
    <w:rsid w:val="0011673D"/>
  </w:style>
  <w:style w:type="character" w:customStyle="1" w:styleId="WW8Num4z3">
    <w:name w:val="WW8Num4z3"/>
    <w:rsid w:val="0011673D"/>
  </w:style>
  <w:style w:type="character" w:customStyle="1" w:styleId="WW8Num4z4">
    <w:name w:val="WW8Num4z4"/>
    <w:rsid w:val="0011673D"/>
  </w:style>
  <w:style w:type="character" w:customStyle="1" w:styleId="WW8Num4z5">
    <w:name w:val="WW8Num4z5"/>
    <w:rsid w:val="0011673D"/>
  </w:style>
  <w:style w:type="character" w:customStyle="1" w:styleId="WW8Num4z6">
    <w:name w:val="WW8Num4z6"/>
    <w:rsid w:val="0011673D"/>
  </w:style>
  <w:style w:type="character" w:customStyle="1" w:styleId="WW8Num4z7">
    <w:name w:val="WW8Num4z7"/>
    <w:rsid w:val="0011673D"/>
  </w:style>
  <w:style w:type="character" w:customStyle="1" w:styleId="WW8Num4z8">
    <w:name w:val="WW8Num4z8"/>
    <w:rsid w:val="0011673D"/>
  </w:style>
  <w:style w:type="character" w:customStyle="1" w:styleId="WW8Num5z0">
    <w:name w:val="WW8Num5z0"/>
    <w:rsid w:val="0011673D"/>
  </w:style>
  <w:style w:type="character" w:customStyle="1" w:styleId="WW8Num6z0">
    <w:name w:val="WW8Num6z0"/>
    <w:rsid w:val="0011673D"/>
  </w:style>
  <w:style w:type="character" w:customStyle="1" w:styleId="WW8Num6z1">
    <w:name w:val="WW8Num6z1"/>
    <w:rsid w:val="0011673D"/>
  </w:style>
  <w:style w:type="character" w:customStyle="1" w:styleId="WW8Num6z2">
    <w:name w:val="WW8Num6z2"/>
    <w:rsid w:val="0011673D"/>
  </w:style>
  <w:style w:type="character" w:customStyle="1" w:styleId="WW8Num6z3">
    <w:name w:val="WW8Num6z3"/>
    <w:rsid w:val="0011673D"/>
  </w:style>
  <w:style w:type="character" w:customStyle="1" w:styleId="WW8Num6z4">
    <w:name w:val="WW8Num6z4"/>
    <w:rsid w:val="0011673D"/>
  </w:style>
  <w:style w:type="character" w:customStyle="1" w:styleId="WW8Num6z5">
    <w:name w:val="WW8Num6z5"/>
    <w:rsid w:val="0011673D"/>
  </w:style>
  <w:style w:type="character" w:customStyle="1" w:styleId="WW8Num6z6">
    <w:name w:val="WW8Num6z6"/>
    <w:rsid w:val="0011673D"/>
  </w:style>
  <w:style w:type="character" w:customStyle="1" w:styleId="WW8Num6z7">
    <w:name w:val="WW8Num6z7"/>
    <w:rsid w:val="0011673D"/>
  </w:style>
  <w:style w:type="character" w:customStyle="1" w:styleId="WW8Num6z8">
    <w:name w:val="WW8Num6z8"/>
    <w:rsid w:val="0011673D"/>
  </w:style>
  <w:style w:type="character" w:customStyle="1" w:styleId="WW8Num5z1">
    <w:name w:val="WW8Num5z1"/>
    <w:rsid w:val="0011673D"/>
  </w:style>
  <w:style w:type="character" w:customStyle="1" w:styleId="WW8Num5z2">
    <w:name w:val="WW8Num5z2"/>
    <w:rsid w:val="0011673D"/>
  </w:style>
  <w:style w:type="character" w:customStyle="1" w:styleId="WW8Num5z3">
    <w:name w:val="WW8Num5z3"/>
    <w:rsid w:val="0011673D"/>
  </w:style>
  <w:style w:type="character" w:customStyle="1" w:styleId="WW8Num5z4">
    <w:name w:val="WW8Num5z4"/>
    <w:rsid w:val="0011673D"/>
  </w:style>
  <w:style w:type="character" w:customStyle="1" w:styleId="WW8Num5z5">
    <w:name w:val="WW8Num5z5"/>
    <w:rsid w:val="0011673D"/>
  </w:style>
  <w:style w:type="character" w:customStyle="1" w:styleId="WW8Num5z6">
    <w:name w:val="WW8Num5z6"/>
    <w:rsid w:val="0011673D"/>
  </w:style>
  <w:style w:type="character" w:customStyle="1" w:styleId="WW8Num5z7">
    <w:name w:val="WW8Num5z7"/>
    <w:rsid w:val="0011673D"/>
  </w:style>
  <w:style w:type="character" w:customStyle="1" w:styleId="WW8Num5z8">
    <w:name w:val="WW8Num5z8"/>
    <w:rsid w:val="0011673D"/>
  </w:style>
  <w:style w:type="character" w:customStyle="1" w:styleId="Domylnaczcionkaakapitu1">
    <w:name w:val="Domyślna czcionka akapitu1"/>
    <w:rsid w:val="0011673D"/>
  </w:style>
  <w:style w:type="character" w:customStyle="1" w:styleId="TekstprzypisudolnegoZnak">
    <w:name w:val="Tekst przypisu dolnego Znak"/>
    <w:rsid w:val="0011673D"/>
    <w:rPr>
      <w:sz w:val="20"/>
      <w:szCs w:val="20"/>
    </w:rPr>
  </w:style>
  <w:style w:type="character" w:customStyle="1" w:styleId="Odwoanieprzypisudolnego1">
    <w:name w:val="Odwołanie przypisu dolnego1"/>
    <w:rsid w:val="0011673D"/>
    <w:rPr>
      <w:vertAlign w:val="superscript"/>
    </w:rPr>
  </w:style>
  <w:style w:type="character" w:customStyle="1" w:styleId="ListLabel1">
    <w:name w:val="ListLabel 1"/>
    <w:rsid w:val="0011673D"/>
    <w:rPr>
      <w:rFonts w:cs="Courier New"/>
    </w:rPr>
  </w:style>
  <w:style w:type="character" w:customStyle="1" w:styleId="Znakiprzypiswdolnych">
    <w:name w:val="Znaki przypisów dolnych"/>
    <w:rsid w:val="0011673D"/>
  </w:style>
  <w:style w:type="character" w:styleId="Odwoanieprzypisudolnego">
    <w:name w:val="footnote reference"/>
    <w:rsid w:val="0011673D"/>
    <w:rPr>
      <w:vertAlign w:val="superscript"/>
    </w:rPr>
  </w:style>
  <w:style w:type="character" w:customStyle="1" w:styleId="Znakiprzypiswkocowych">
    <w:name w:val="Znaki przypisów końcowych"/>
    <w:rsid w:val="0011673D"/>
    <w:rPr>
      <w:vertAlign w:val="superscript"/>
    </w:rPr>
  </w:style>
  <w:style w:type="character" w:customStyle="1" w:styleId="WW-Znakiprzypiswkocowych">
    <w:name w:val="WW-Znaki przypisów końcowych"/>
    <w:rsid w:val="0011673D"/>
  </w:style>
  <w:style w:type="character" w:styleId="Hipercze">
    <w:name w:val="Hyperlink"/>
    <w:rsid w:val="0011673D"/>
    <w:rPr>
      <w:color w:val="000080"/>
      <w:u w:val="single"/>
    </w:rPr>
  </w:style>
  <w:style w:type="character" w:customStyle="1" w:styleId="Symbolewypunktowania">
    <w:name w:val="Symbole wypunktowania"/>
    <w:rsid w:val="0011673D"/>
    <w:rPr>
      <w:rFonts w:ascii="OpenSymbol" w:eastAsia="OpenSymbol" w:hAnsi="OpenSymbol" w:cs="OpenSymbol"/>
    </w:rPr>
  </w:style>
  <w:style w:type="character" w:styleId="Odwoanieprzypisukocowego">
    <w:name w:val="endnote reference"/>
    <w:rsid w:val="0011673D"/>
    <w:rPr>
      <w:vertAlign w:val="superscript"/>
    </w:rPr>
  </w:style>
  <w:style w:type="paragraph" w:customStyle="1" w:styleId="Nagwek1">
    <w:name w:val="Nagłówek1"/>
    <w:basedOn w:val="Normalny"/>
    <w:next w:val="Tekstpodstawowy"/>
    <w:rsid w:val="0011673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11673D"/>
    <w:pPr>
      <w:spacing w:after="120"/>
    </w:pPr>
  </w:style>
  <w:style w:type="paragraph" w:styleId="Lista">
    <w:name w:val="List"/>
    <w:basedOn w:val="Tekstpodstawowy"/>
    <w:rsid w:val="0011673D"/>
    <w:rPr>
      <w:rFonts w:cs="Mangal"/>
    </w:rPr>
  </w:style>
  <w:style w:type="paragraph" w:customStyle="1" w:styleId="Podpis1">
    <w:name w:val="Podpis1"/>
    <w:basedOn w:val="Normalny"/>
    <w:rsid w:val="0011673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11673D"/>
    <w:pPr>
      <w:suppressLineNumbers/>
    </w:pPr>
    <w:rPr>
      <w:rFonts w:cs="Mangal"/>
    </w:rPr>
  </w:style>
  <w:style w:type="paragraph" w:customStyle="1" w:styleId="Akapitzlist1">
    <w:name w:val="Akapit z listą1"/>
    <w:basedOn w:val="Normalny"/>
    <w:rsid w:val="0011673D"/>
    <w:pPr>
      <w:ind w:left="720"/>
    </w:pPr>
  </w:style>
  <w:style w:type="paragraph" w:customStyle="1" w:styleId="Tekstprzypisudolnego1">
    <w:name w:val="Tekst przypisu dolnego1"/>
    <w:basedOn w:val="Normalny"/>
    <w:rsid w:val="0011673D"/>
    <w:pPr>
      <w:spacing w:after="0" w:line="100" w:lineRule="atLeast"/>
    </w:pPr>
    <w:rPr>
      <w:sz w:val="20"/>
      <w:szCs w:val="20"/>
    </w:rPr>
  </w:style>
  <w:style w:type="paragraph" w:styleId="Tekstprzypisudolnego">
    <w:name w:val="footnote text"/>
    <w:basedOn w:val="Normalny"/>
    <w:rsid w:val="0011673D"/>
    <w:pPr>
      <w:suppressLineNumbers/>
      <w:ind w:left="283" w:hanging="283"/>
    </w:pPr>
    <w:rPr>
      <w:sz w:val="20"/>
      <w:szCs w:val="20"/>
    </w:rPr>
  </w:style>
  <w:style w:type="paragraph" w:customStyle="1" w:styleId="Domylnie">
    <w:name w:val="Domy?lnie"/>
    <w:rsid w:val="0011673D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kern w:val="1"/>
      <w:sz w:val="36"/>
      <w:szCs w:val="36"/>
      <w:lang w:eastAsia="ar-SA"/>
    </w:rPr>
  </w:style>
  <w:style w:type="paragraph" w:customStyle="1" w:styleId="Obiektzestrzak">
    <w:name w:val="Obiekt ze strza?k?"/>
    <w:basedOn w:val="Domylnie"/>
    <w:rsid w:val="0011673D"/>
  </w:style>
  <w:style w:type="paragraph" w:customStyle="1" w:styleId="Obiektzcieniem">
    <w:name w:val="Obiekt z cieniem"/>
    <w:basedOn w:val="Domylnie"/>
    <w:rsid w:val="0011673D"/>
  </w:style>
  <w:style w:type="paragraph" w:customStyle="1" w:styleId="Obiektbezwypenienia">
    <w:name w:val="Obiekt bez wype?nienia"/>
    <w:basedOn w:val="Domylnie"/>
    <w:rsid w:val="0011673D"/>
  </w:style>
  <w:style w:type="paragraph" w:customStyle="1" w:styleId="Obiektbezwypenieniailinii">
    <w:name w:val="Obiekt bez wype?nienia i linii"/>
    <w:basedOn w:val="Domylnie"/>
    <w:rsid w:val="0011673D"/>
  </w:style>
  <w:style w:type="paragraph" w:customStyle="1" w:styleId="Tekst">
    <w:name w:val="Tekst"/>
    <w:basedOn w:val="Podpis1"/>
    <w:rsid w:val="0011673D"/>
  </w:style>
  <w:style w:type="paragraph" w:customStyle="1" w:styleId="Tretekstu">
    <w:name w:val="Tre?? tekstu"/>
    <w:basedOn w:val="Domylnie"/>
    <w:rsid w:val="0011673D"/>
  </w:style>
  <w:style w:type="paragraph" w:customStyle="1" w:styleId="Tekstwyjustowany">
    <w:name w:val="Tekst wyjustowany"/>
    <w:basedOn w:val="Domylnie"/>
    <w:rsid w:val="0011673D"/>
  </w:style>
  <w:style w:type="paragraph" w:customStyle="1" w:styleId="Wciciepierwszegowiersza">
    <w:name w:val="Wci?cie pierwszego wiersza"/>
    <w:basedOn w:val="Domylnie"/>
    <w:rsid w:val="0011673D"/>
    <w:pPr>
      <w:ind w:firstLine="340"/>
    </w:pPr>
  </w:style>
  <w:style w:type="paragraph" w:customStyle="1" w:styleId="Tytu">
    <w:name w:val="Tytu?"/>
    <w:basedOn w:val="Domylnie"/>
    <w:rsid w:val="0011673D"/>
  </w:style>
  <w:style w:type="paragraph" w:customStyle="1" w:styleId="Tytu1">
    <w:name w:val="Tytu?1"/>
    <w:basedOn w:val="Domylnie"/>
    <w:rsid w:val="0011673D"/>
    <w:pPr>
      <w:jc w:val="center"/>
    </w:pPr>
  </w:style>
  <w:style w:type="paragraph" w:customStyle="1" w:styleId="Tytu2">
    <w:name w:val="Tytu?2"/>
    <w:basedOn w:val="Domylnie"/>
    <w:rsid w:val="0011673D"/>
    <w:pPr>
      <w:spacing w:before="57" w:after="57"/>
      <w:ind w:right="113"/>
      <w:jc w:val="center"/>
    </w:pPr>
  </w:style>
  <w:style w:type="paragraph" w:customStyle="1" w:styleId="Nagwek">
    <w:name w:val="Nag?ówek"/>
    <w:basedOn w:val="Domylnie"/>
    <w:rsid w:val="0011673D"/>
    <w:pPr>
      <w:spacing w:before="238" w:after="119"/>
    </w:pPr>
  </w:style>
  <w:style w:type="paragraph" w:customStyle="1" w:styleId="Nagwek10">
    <w:name w:val="Nag?ówek1"/>
    <w:basedOn w:val="Domylnie"/>
    <w:rsid w:val="0011673D"/>
    <w:pPr>
      <w:spacing w:before="238" w:after="119"/>
    </w:pPr>
  </w:style>
  <w:style w:type="paragraph" w:customStyle="1" w:styleId="Nagwek20">
    <w:name w:val="Nag?ówek2"/>
    <w:basedOn w:val="Domylnie"/>
    <w:rsid w:val="0011673D"/>
    <w:pPr>
      <w:spacing w:before="238" w:after="119"/>
    </w:pPr>
  </w:style>
  <w:style w:type="paragraph" w:customStyle="1" w:styleId="Liniawymiarowa">
    <w:name w:val="Linia wymiarowa"/>
    <w:basedOn w:val="Domylnie"/>
    <w:rsid w:val="0011673D"/>
  </w:style>
  <w:style w:type="paragraph" w:customStyle="1" w:styleId="DomylnieLTGliederung1">
    <w:name w:val="Domy?lnie~LT~Gliederung 1"/>
    <w:rsid w:val="0011673D"/>
    <w:pPr>
      <w:widowControl w:val="0"/>
      <w:suppressAutoHyphens/>
      <w:autoSpaceDE w:val="0"/>
      <w:spacing w:after="283" w:line="276" w:lineRule="auto"/>
    </w:pPr>
    <w:rPr>
      <w:rFonts w:ascii="Mangal" w:eastAsia="Mangal" w:hAnsi="Mangal" w:cs="Mangal"/>
      <w:color w:val="000000"/>
      <w:kern w:val="1"/>
      <w:sz w:val="64"/>
      <w:szCs w:val="64"/>
      <w:lang w:eastAsia="ar-SA"/>
    </w:rPr>
  </w:style>
  <w:style w:type="paragraph" w:customStyle="1" w:styleId="DomylnieLTGliederung2">
    <w:name w:val="Domy?lnie~LT~Gliederung 2"/>
    <w:basedOn w:val="DomylnieLTGliederung1"/>
    <w:rsid w:val="0011673D"/>
    <w:pPr>
      <w:spacing w:after="227"/>
    </w:pPr>
    <w:rPr>
      <w:sz w:val="48"/>
      <w:szCs w:val="48"/>
    </w:rPr>
  </w:style>
  <w:style w:type="paragraph" w:customStyle="1" w:styleId="DomylnieLTGliederung3">
    <w:name w:val="Domy?lnie~LT~Gliederung 3"/>
    <w:basedOn w:val="DomylnieLTGliederung2"/>
    <w:rsid w:val="0011673D"/>
    <w:pPr>
      <w:spacing w:after="170"/>
    </w:pPr>
    <w:rPr>
      <w:sz w:val="40"/>
      <w:szCs w:val="40"/>
    </w:rPr>
  </w:style>
  <w:style w:type="paragraph" w:customStyle="1" w:styleId="DomylnieLTGliederung4">
    <w:name w:val="Domy?lnie~LT~Gliederung 4"/>
    <w:basedOn w:val="DomylnieLTGliederung3"/>
    <w:rsid w:val="0011673D"/>
    <w:pPr>
      <w:spacing w:after="113"/>
    </w:pPr>
  </w:style>
  <w:style w:type="paragraph" w:customStyle="1" w:styleId="DomylnieLTGliederung5">
    <w:name w:val="Domy?lnie~LT~Gliederung 5"/>
    <w:basedOn w:val="DomylnieLTGliederung4"/>
    <w:rsid w:val="0011673D"/>
    <w:pPr>
      <w:spacing w:after="57"/>
    </w:pPr>
  </w:style>
  <w:style w:type="paragraph" w:customStyle="1" w:styleId="DomylnieLTGliederung6">
    <w:name w:val="Domy?lnie~LT~Gliederung 6"/>
    <w:basedOn w:val="DomylnieLTGliederung5"/>
    <w:rsid w:val="0011673D"/>
  </w:style>
  <w:style w:type="paragraph" w:customStyle="1" w:styleId="DomylnieLTGliederung7">
    <w:name w:val="Domy?lnie~LT~Gliederung 7"/>
    <w:basedOn w:val="DomylnieLTGliederung6"/>
    <w:rsid w:val="0011673D"/>
  </w:style>
  <w:style w:type="paragraph" w:customStyle="1" w:styleId="DomylnieLTGliederung8">
    <w:name w:val="Domy?lnie~LT~Gliederung 8"/>
    <w:basedOn w:val="DomylnieLTGliederung7"/>
    <w:rsid w:val="0011673D"/>
  </w:style>
  <w:style w:type="paragraph" w:customStyle="1" w:styleId="DomylnieLTGliederung9">
    <w:name w:val="Domy?lnie~LT~Gliederung 9"/>
    <w:basedOn w:val="DomylnieLTGliederung8"/>
    <w:rsid w:val="0011673D"/>
  </w:style>
  <w:style w:type="paragraph" w:customStyle="1" w:styleId="DomylnieLTTitel">
    <w:name w:val="Domy?lnie~LT~Titel"/>
    <w:rsid w:val="0011673D"/>
    <w:pPr>
      <w:widowControl w:val="0"/>
      <w:suppressAutoHyphens/>
      <w:autoSpaceDE w:val="0"/>
      <w:spacing w:after="200" w:line="276" w:lineRule="auto"/>
    </w:pPr>
    <w:rPr>
      <w:rFonts w:ascii="Mangal" w:eastAsia="Mangal" w:hAnsi="Mangal" w:cs="Mangal"/>
      <w:color w:val="000000"/>
      <w:kern w:val="1"/>
      <w:sz w:val="88"/>
      <w:szCs w:val="88"/>
      <w:lang w:eastAsia="ar-SA"/>
    </w:rPr>
  </w:style>
  <w:style w:type="paragraph" w:customStyle="1" w:styleId="DomylnieLTUntertitel">
    <w:name w:val="Domy?lnie~LT~Untertitel"/>
    <w:rsid w:val="0011673D"/>
    <w:pPr>
      <w:widowControl w:val="0"/>
      <w:suppressAutoHyphens/>
      <w:autoSpaceDE w:val="0"/>
      <w:spacing w:after="200" w:line="276" w:lineRule="auto"/>
      <w:jc w:val="center"/>
    </w:pPr>
    <w:rPr>
      <w:rFonts w:ascii="Mangal" w:eastAsia="Mangal" w:hAnsi="Mangal" w:cs="Mangal"/>
      <w:kern w:val="1"/>
      <w:sz w:val="64"/>
      <w:szCs w:val="64"/>
      <w:lang w:eastAsia="ar-SA"/>
    </w:rPr>
  </w:style>
  <w:style w:type="paragraph" w:customStyle="1" w:styleId="DomylnieLTNotizen">
    <w:name w:val="Domy?lnie~LT~Notizen"/>
    <w:rsid w:val="0011673D"/>
    <w:pPr>
      <w:widowControl w:val="0"/>
      <w:suppressAutoHyphens/>
      <w:autoSpaceDE w:val="0"/>
      <w:spacing w:after="200" w:line="276" w:lineRule="auto"/>
      <w:ind w:left="340" w:hanging="340"/>
    </w:pPr>
    <w:rPr>
      <w:rFonts w:ascii="Mangal" w:eastAsia="Mangal" w:hAnsi="Mangal" w:cs="Mangal"/>
      <w:kern w:val="1"/>
      <w:sz w:val="40"/>
      <w:szCs w:val="40"/>
      <w:lang w:eastAsia="ar-SA"/>
    </w:rPr>
  </w:style>
  <w:style w:type="paragraph" w:customStyle="1" w:styleId="DomylnieLTHintergrundobjekte">
    <w:name w:val="Domy?lnie~LT~Hintergrundobjekte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DomylnieLTHintergrund">
    <w:name w:val="Domy?lnie~LT~Hintergrund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default">
    <w:name w:val="default"/>
    <w:rsid w:val="0011673D"/>
    <w:pPr>
      <w:widowControl w:val="0"/>
      <w:suppressAutoHyphens/>
      <w:autoSpaceDE w:val="0"/>
      <w:spacing w:line="200" w:lineRule="atLeast"/>
    </w:pPr>
    <w:rPr>
      <w:rFonts w:ascii="Mangal" w:eastAsia="Mangal" w:hAnsi="Mangal" w:cs="Mangal"/>
      <w:kern w:val="1"/>
      <w:sz w:val="36"/>
      <w:szCs w:val="36"/>
      <w:lang w:eastAsia="ar-SA"/>
    </w:rPr>
  </w:style>
  <w:style w:type="paragraph" w:customStyle="1" w:styleId="blue1">
    <w:name w:val="blue1"/>
    <w:basedOn w:val="default"/>
    <w:rsid w:val="0011673D"/>
  </w:style>
  <w:style w:type="paragraph" w:customStyle="1" w:styleId="blue2">
    <w:name w:val="blue2"/>
    <w:basedOn w:val="default"/>
    <w:rsid w:val="0011673D"/>
  </w:style>
  <w:style w:type="paragraph" w:customStyle="1" w:styleId="blue3">
    <w:name w:val="blue3"/>
    <w:basedOn w:val="default"/>
    <w:rsid w:val="0011673D"/>
  </w:style>
  <w:style w:type="paragraph" w:customStyle="1" w:styleId="bw1">
    <w:name w:val="bw1"/>
    <w:basedOn w:val="default"/>
    <w:rsid w:val="0011673D"/>
  </w:style>
  <w:style w:type="paragraph" w:customStyle="1" w:styleId="bw2">
    <w:name w:val="bw2"/>
    <w:basedOn w:val="default"/>
    <w:rsid w:val="0011673D"/>
  </w:style>
  <w:style w:type="paragraph" w:customStyle="1" w:styleId="bw3">
    <w:name w:val="bw3"/>
    <w:basedOn w:val="default"/>
    <w:rsid w:val="0011673D"/>
  </w:style>
  <w:style w:type="paragraph" w:customStyle="1" w:styleId="orange1">
    <w:name w:val="orange1"/>
    <w:basedOn w:val="default"/>
    <w:rsid w:val="0011673D"/>
  </w:style>
  <w:style w:type="paragraph" w:customStyle="1" w:styleId="orange2">
    <w:name w:val="orange2"/>
    <w:basedOn w:val="default"/>
    <w:rsid w:val="0011673D"/>
  </w:style>
  <w:style w:type="paragraph" w:customStyle="1" w:styleId="orange3">
    <w:name w:val="orange3"/>
    <w:basedOn w:val="default"/>
    <w:rsid w:val="0011673D"/>
  </w:style>
  <w:style w:type="paragraph" w:customStyle="1" w:styleId="turquise1">
    <w:name w:val="turquise1"/>
    <w:basedOn w:val="default"/>
    <w:rsid w:val="0011673D"/>
  </w:style>
  <w:style w:type="paragraph" w:customStyle="1" w:styleId="turquise2">
    <w:name w:val="turquise2"/>
    <w:basedOn w:val="default"/>
    <w:rsid w:val="0011673D"/>
  </w:style>
  <w:style w:type="paragraph" w:customStyle="1" w:styleId="turquise3">
    <w:name w:val="turquise3"/>
    <w:basedOn w:val="default"/>
    <w:rsid w:val="0011673D"/>
  </w:style>
  <w:style w:type="paragraph" w:customStyle="1" w:styleId="gray1">
    <w:name w:val="gray1"/>
    <w:basedOn w:val="default"/>
    <w:rsid w:val="0011673D"/>
  </w:style>
  <w:style w:type="paragraph" w:customStyle="1" w:styleId="gray2">
    <w:name w:val="gray2"/>
    <w:basedOn w:val="default"/>
    <w:rsid w:val="0011673D"/>
  </w:style>
  <w:style w:type="paragraph" w:customStyle="1" w:styleId="gray3">
    <w:name w:val="gray3"/>
    <w:basedOn w:val="default"/>
    <w:rsid w:val="0011673D"/>
  </w:style>
  <w:style w:type="paragraph" w:customStyle="1" w:styleId="sun1">
    <w:name w:val="sun1"/>
    <w:basedOn w:val="default"/>
    <w:rsid w:val="0011673D"/>
  </w:style>
  <w:style w:type="paragraph" w:customStyle="1" w:styleId="sun2">
    <w:name w:val="sun2"/>
    <w:basedOn w:val="default"/>
    <w:rsid w:val="0011673D"/>
  </w:style>
  <w:style w:type="paragraph" w:customStyle="1" w:styleId="sun3">
    <w:name w:val="sun3"/>
    <w:basedOn w:val="default"/>
    <w:rsid w:val="0011673D"/>
  </w:style>
  <w:style w:type="paragraph" w:customStyle="1" w:styleId="earth1">
    <w:name w:val="earth1"/>
    <w:basedOn w:val="default"/>
    <w:rsid w:val="0011673D"/>
  </w:style>
  <w:style w:type="paragraph" w:customStyle="1" w:styleId="earth2">
    <w:name w:val="earth2"/>
    <w:basedOn w:val="default"/>
    <w:rsid w:val="0011673D"/>
  </w:style>
  <w:style w:type="paragraph" w:customStyle="1" w:styleId="earth3">
    <w:name w:val="earth3"/>
    <w:basedOn w:val="default"/>
    <w:rsid w:val="0011673D"/>
  </w:style>
  <w:style w:type="paragraph" w:customStyle="1" w:styleId="green1">
    <w:name w:val="green1"/>
    <w:basedOn w:val="default"/>
    <w:rsid w:val="0011673D"/>
  </w:style>
  <w:style w:type="paragraph" w:customStyle="1" w:styleId="green2">
    <w:name w:val="green2"/>
    <w:basedOn w:val="default"/>
    <w:rsid w:val="0011673D"/>
  </w:style>
  <w:style w:type="paragraph" w:customStyle="1" w:styleId="green3">
    <w:name w:val="green3"/>
    <w:basedOn w:val="default"/>
    <w:rsid w:val="0011673D"/>
  </w:style>
  <w:style w:type="paragraph" w:customStyle="1" w:styleId="seetang1">
    <w:name w:val="seetang1"/>
    <w:basedOn w:val="default"/>
    <w:rsid w:val="0011673D"/>
  </w:style>
  <w:style w:type="paragraph" w:customStyle="1" w:styleId="seetang2">
    <w:name w:val="seetang2"/>
    <w:basedOn w:val="default"/>
    <w:rsid w:val="0011673D"/>
  </w:style>
  <w:style w:type="paragraph" w:customStyle="1" w:styleId="seetang3">
    <w:name w:val="seetang3"/>
    <w:basedOn w:val="default"/>
    <w:rsid w:val="0011673D"/>
  </w:style>
  <w:style w:type="paragraph" w:customStyle="1" w:styleId="lightblue1">
    <w:name w:val="lightblue1"/>
    <w:basedOn w:val="default"/>
    <w:rsid w:val="0011673D"/>
  </w:style>
  <w:style w:type="paragraph" w:customStyle="1" w:styleId="lightblue2">
    <w:name w:val="lightblue2"/>
    <w:basedOn w:val="default"/>
    <w:rsid w:val="0011673D"/>
  </w:style>
  <w:style w:type="paragraph" w:customStyle="1" w:styleId="lightblue3">
    <w:name w:val="lightblue3"/>
    <w:basedOn w:val="default"/>
    <w:rsid w:val="0011673D"/>
  </w:style>
  <w:style w:type="paragraph" w:customStyle="1" w:styleId="yellow1">
    <w:name w:val="yellow1"/>
    <w:basedOn w:val="default"/>
    <w:rsid w:val="0011673D"/>
  </w:style>
  <w:style w:type="paragraph" w:customStyle="1" w:styleId="yellow2">
    <w:name w:val="yellow2"/>
    <w:basedOn w:val="default"/>
    <w:rsid w:val="0011673D"/>
  </w:style>
  <w:style w:type="paragraph" w:customStyle="1" w:styleId="yellow3">
    <w:name w:val="yellow3"/>
    <w:basedOn w:val="default"/>
    <w:rsid w:val="0011673D"/>
  </w:style>
  <w:style w:type="paragraph" w:customStyle="1" w:styleId="WW-Tytu">
    <w:name w:val="WW-Tytu?"/>
    <w:rsid w:val="0011673D"/>
    <w:pPr>
      <w:widowControl w:val="0"/>
      <w:suppressAutoHyphens/>
      <w:autoSpaceDE w:val="0"/>
      <w:spacing w:after="200" w:line="276" w:lineRule="auto"/>
    </w:pPr>
    <w:rPr>
      <w:rFonts w:ascii="Mangal" w:eastAsia="Mangal" w:hAnsi="Mangal" w:cs="Mangal"/>
      <w:color w:val="000000"/>
      <w:kern w:val="1"/>
      <w:sz w:val="88"/>
      <w:szCs w:val="88"/>
      <w:lang w:eastAsia="ar-SA"/>
    </w:rPr>
  </w:style>
  <w:style w:type="paragraph" w:customStyle="1" w:styleId="Podtytu">
    <w:name w:val="Podtytu?"/>
    <w:rsid w:val="0011673D"/>
    <w:pPr>
      <w:widowControl w:val="0"/>
      <w:suppressAutoHyphens/>
      <w:autoSpaceDE w:val="0"/>
      <w:spacing w:after="200" w:line="276" w:lineRule="auto"/>
      <w:jc w:val="center"/>
    </w:pPr>
    <w:rPr>
      <w:rFonts w:ascii="Mangal" w:eastAsia="Mangal" w:hAnsi="Mangal" w:cs="Mangal"/>
      <w:kern w:val="1"/>
      <w:sz w:val="64"/>
      <w:szCs w:val="64"/>
      <w:lang w:eastAsia="ar-SA"/>
    </w:rPr>
  </w:style>
  <w:style w:type="paragraph" w:customStyle="1" w:styleId="Obiektyta">
    <w:name w:val="Obiekty t?a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To">
    <w:name w:val="T?o"/>
    <w:rsid w:val="0011673D"/>
    <w:pPr>
      <w:widowControl w:val="0"/>
      <w:suppressAutoHyphens/>
      <w:autoSpaceDE w:val="0"/>
      <w:spacing w:after="200" w:line="276" w:lineRule="auto"/>
    </w:pPr>
    <w:rPr>
      <w:rFonts w:ascii="Calibri" w:eastAsia="SimSun" w:hAnsi="Calibri" w:cs="font304"/>
      <w:kern w:val="1"/>
      <w:sz w:val="22"/>
      <w:szCs w:val="22"/>
      <w:lang w:eastAsia="ar-SA"/>
    </w:rPr>
  </w:style>
  <w:style w:type="paragraph" w:customStyle="1" w:styleId="Notatki">
    <w:name w:val="Notatki"/>
    <w:rsid w:val="0011673D"/>
    <w:pPr>
      <w:widowControl w:val="0"/>
      <w:suppressAutoHyphens/>
      <w:autoSpaceDE w:val="0"/>
      <w:spacing w:after="200" w:line="276" w:lineRule="auto"/>
      <w:ind w:left="340" w:hanging="340"/>
    </w:pPr>
    <w:rPr>
      <w:rFonts w:ascii="Mangal" w:eastAsia="Mangal" w:hAnsi="Mangal" w:cs="Mangal"/>
      <w:kern w:val="1"/>
      <w:sz w:val="40"/>
      <w:szCs w:val="40"/>
      <w:lang w:eastAsia="ar-SA"/>
    </w:rPr>
  </w:style>
  <w:style w:type="paragraph" w:customStyle="1" w:styleId="Konspekt1">
    <w:name w:val="Konspekt 1"/>
    <w:rsid w:val="0011673D"/>
    <w:pPr>
      <w:widowControl w:val="0"/>
      <w:suppressAutoHyphens/>
      <w:autoSpaceDE w:val="0"/>
      <w:spacing w:after="283" w:line="276" w:lineRule="auto"/>
    </w:pPr>
    <w:rPr>
      <w:rFonts w:ascii="Mangal" w:eastAsia="Mangal" w:hAnsi="Mangal" w:cs="Mangal"/>
      <w:color w:val="000000"/>
      <w:kern w:val="1"/>
      <w:sz w:val="64"/>
      <w:szCs w:val="64"/>
      <w:lang w:eastAsia="ar-SA"/>
    </w:rPr>
  </w:style>
  <w:style w:type="paragraph" w:customStyle="1" w:styleId="Konspekt2">
    <w:name w:val="Konspekt 2"/>
    <w:basedOn w:val="Konspekt1"/>
    <w:rsid w:val="0011673D"/>
    <w:pPr>
      <w:spacing w:after="227"/>
    </w:pPr>
    <w:rPr>
      <w:sz w:val="48"/>
      <w:szCs w:val="48"/>
    </w:rPr>
  </w:style>
  <w:style w:type="paragraph" w:customStyle="1" w:styleId="Konspekt3">
    <w:name w:val="Konspekt 3"/>
    <w:basedOn w:val="Konspekt2"/>
    <w:rsid w:val="0011673D"/>
    <w:pPr>
      <w:spacing w:after="170"/>
    </w:pPr>
    <w:rPr>
      <w:sz w:val="40"/>
      <w:szCs w:val="40"/>
    </w:rPr>
  </w:style>
  <w:style w:type="paragraph" w:customStyle="1" w:styleId="Konspekt4">
    <w:name w:val="Konspekt 4"/>
    <w:basedOn w:val="Konspekt3"/>
    <w:rsid w:val="0011673D"/>
    <w:pPr>
      <w:spacing w:after="113"/>
    </w:pPr>
  </w:style>
  <w:style w:type="paragraph" w:customStyle="1" w:styleId="Konspekt5">
    <w:name w:val="Konspekt 5"/>
    <w:basedOn w:val="Konspekt4"/>
    <w:rsid w:val="0011673D"/>
    <w:pPr>
      <w:spacing w:after="57"/>
    </w:pPr>
  </w:style>
  <w:style w:type="paragraph" w:customStyle="1" w:styleId="Konspekt6">
    <w:name w:val="Konspekt 6"/>
    <w:basedOn w:val="Konspekt5"/>
    <w:rsid w:val="0011673D"/>
  </w:style>
  <w:style w:type="paragraph" w:customStyle="1" w:styleId="Konspekt7">
    <w:name w:val="Konspekt 7"/>
    <w:basedOn w:val="Konspekt6"/>
    <w:rsid w:val="0011673D"/>
  </w:style>
  <w:style w:type="paragraph" w:customStyle="1" w:styleId="Konspekt8">
    <w:name w:val="Konspekt 8"/>
    <w:basedOn w:val="Konspekt7"/>
    <w:rsid w:val="0011673D"/>
  </w:style>
  <w:style w:type="paragraph" w:customStyle="1" w:styleId="Konspekt9">
    <w:name w:val="Konspekt 9"/>
    <w:basedOn w:val="Konspekt8"/>
    <w:rsid w:val="0011673D"/>
  </w:style>
  <w:style w:type="paragraph" w:customStyle="1" w:styleId="Zawartotabeli">
    <w:name w:val="Zawartość tabeli"/>
    <w:basedOn w:val="Normalny"/>
    <w:rsid w:val="0011673D"/>
    <w:pPr>
      <w:suppressLineNumbers/>
    </w:pPr>
  </w:style>
  <w:style w:type="paragraph" w:customStyle="1" w:styleId="Nagwektabeli">
    <w:name w:val="Nagłówek tabeli"/>
    <w:basedOn w:val="Zawartotabeli"/>
    <w:rsid w:val="0011673D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14B05"/>
    <w:rPr>
      <w:rFonts w:ascii="Tahoma" w:eastAsia="SimSun" w:hAnsi="Tahoma" w:cs="Tahoma"/>
      <w:sz w:val="16"/>
      <w:szCs w:val="16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67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673D"/>
    <w:rPr>
      <w:rFonts w:ascii="Calibri" w:eastAsia="SimSun" w:hAnsi="Calibri" w:cs="font30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673D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5B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5BC1"/>
    <w:rPr>
      <w:rFonts w:ascii="Calibri" w:eastAsia="SimSun" w:hAnsi="Calibri" w:cs="font304"/>
      <w:lang w:eastAsia="ar-SA"/>
    </w:rPr>
  </w:style>
  <w:style w:type="paragraph" w:styleId="Akapitzlist">
    <w:name w:val="List Paragraph"/>
    <w:basedOn w:val="Normalny"/>
    <w:uiPriority w:val="34"/>
    <w:qFormat/>
    <w:rsid w:val="00F108AB"/>
    <w:pPr>
      <w:ind w:left="720"/>
      <w:contextualSpacing/>
    </w:pPr>
  </w:style>
  <w:style w:type="table" w:styleId="Tabela-Siatka">
    <w:name w:val="Table Grid"/>
    <w:basedOn w:val="Standardowy"/>
    <w:uiPriority w:val="59"/>
    <w:rsid w:val="00442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915E59"/>
  </w:style>
  <w:style w:type="character" w:customStyle="1" w:styleId="txt-new">
    <w:name w:val="txt-new"/>
    <w:basedOn w:val="Domylnaczcionkaakapitu"/>
    <w:rsid w:val="00915E5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701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1701DA"/>
    <w:rPr>
      <w:rFonts w:ascii="Courier New" w:hAnsi="Courier New" w:cs="Courier New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70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70E3"/>
    <w:rPr>
      <w:rFonts w:ascii="Calibri" w:eastAsia="SimSun" w:hAnsi="Calibri" w:cs="font304"/>
      <w:b/>
      <w:bCs/>
      <w:lang w:eastAsia="ar-SA"/>
    </w:rPr>
  </w:style>
  <w:style w:type="paragraph" w:customStyle="1" w:styleId="Default0">
    <w:name w:val="Default"/>
    <w:qFormat/>
    <w:rsid w:val="006A1C37"/>
    <w:rPr>
      <w:rFonts w:eastAsia="Calibri"/>
      <w:color w:val="000000"/>
      <w:sz w:val="24"/>
      <w:szCs w:val="24"/>
    </w:rPr>
  </w:style>
  <w:style w:type="character" w:customStyle="1" w:styleId="Teksttreci">
    <w:name w:val="Tekst treści_"/>
    <w:link w:val="Teksttreci0"/>
    <w:rsid w:val="00732FEB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32FEB"/>
    <w:pPr>
      <w:widowControl w:val="0"/>
      <w:shd w:val="clear" w:color="auto" w:fill="FFFFFF"/>
      <w:suppressAutoHyphens w:val="0"/>
      <w:spacing w:before="240" w:after="600" w:line="0" w:lineRule="atLeast"/>
      <w:ind w:hanging="42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ews">
    <w:name w:val="news"/>
    <w:basedOn w:val="Domylnaczcionkaakapitu"/>
    <w:qFormat/>
    <w:rsid w:val="00732FEB"/>
  </w:style>
  <w:style w:type="paragraph" w:customStyle="1" w:styleId="h1maintyt">
    <w:name w:val="h1.maintyt"/>
    <w:uiPriority w:val="99"/>
    <w:rsid w:val="00732FEB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pmainpub">
    <w:name w:val="p.mainpub"/>
    <w:uiPriority w:val="99"/>
    <w:rsid w:val="005F01BF"/>
    <w:pPr>
      <w:widowControl w:val="0"/>
      <w:autoSpaceDE w:val="0"/>
      <w:autoSpaceDN w:val="0"/>
      <w:adjustRightInd w:val="0"/>
      <w:spacing w:after="120"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FC34C-884B-496C-AE0F-03FD87729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3358</Words>
  <Characters>20154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23466</CharactersWithSpaces>
  <SharedDoc>false</SharedDoc>
  <HLinks>
    <vt:vector size="24" baseType="variant">
      <vt:variant>
        <vt:i4>3014747</vt:i4>
      </vt:variant>
      <vt:variant>
        <vt:i4>6</vt:i4>
      </vt:variant>
      <vt:variant>
        <vt:i4>0</vt:i4>
      </vt:variant>
      <vt:variant>
        <vt:i4>5</vt:i4>
      </vt:variant>
      <vt:variant>
        <vt:lpwstr>http://pl.wikipedia.org/wiki/Gospodarstwo_domowe</vt:lpwstr>
      </vt:variant>
      <vt:variant>
        <vt:lpwstr/>
      </vt:variant>
      <vt:variant>
        <vt:i4>1441908</vt:i4>
      </vt:variant>
      <vt:variant>
        <vt:i4>3</vt:i4>
      </vt:variant>
      <vt:variant>
        <vt:i4>0</vt:i4>
      </vt:variant>
      <vt:variant>
        <vt:i4>5</vt:i4>
      </vt:variant>
      <vt:variant>
        <vt:lpwstr>http://pl.wikipedia.org/wiki/Minimum_socjalne</vt:lpwstr>
      </vt:variant>
      <vt:variant>
        <vt:lpwstr/>
      </vt:variant>
      <vt:variant>
        <vt:i4>131086</vt:i4>
      </vt:variant>
      <vt:variant>
        <vt:i4>0</vt:i4>
      </vt:variant>
      <vt:variant>
        <vt:i4>0</vt:i4>
      </vt:variant>
      <vt:variant>
        <vt:i4>5</vt:i4>
      </vt:variant>
      <vt:variant>
        <vt:lpwstr>http://pl.wikipedia.org/wiki/1995</vt:lpwstr>
      </vt:variant>
      <vt:variant>
        <vt:lpwstr/>
      </vt:variant>
      <vt:variant>
        <vt:i4>5374025</vt:i4>
      </vt:variant>
      <vt:variant>
        <vt:i4>0</vt:i4>
      </vt:variant>
      <vt:variant>
        <vt:i4>0</vt:i4>
      </vt:variant>
      <vt:variant>
        <vt:i4>5</vt:i4>
      </vt:variant>
      <vt:variant>
        <vt:lpwstr>http://www.finanse.mf.gov.pl/documents/766655/2970107/Informacja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Ewa A. Genert</cp:lastModifiedBy>
  <cp:revision>2</cp:revision>
  <cp:lastPrinted>1900-12-31T23:00:00Z</cp:lastPrinted>
  <dcterms:created xsi:type="dcterms:W3CDTF">2015-12-09T07:57:00Z</dcterms:created>
  <dcterms:modified xsi:type="dcterms:W3CDTF">2015-12-09T07:57:00Z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