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8DB" w:rsidRPr="00783833" w:rsidRDefault="000A08DB" w:rsidP="000A08DB">
      <w:pPr>
        <w:keepNext/>
        <w:suppressAutoHyphens/>
        <w:spacing w:after="120" w:line="240" w:lineRule="auto"/>
        <w:ind w:left="709"/>
        <w:jc w:val="right"/>
        <w:rPr>
          <w:rFonts w:ascii="Book Antiqua" w:eastAsia="Calibri" w:hAnsi="Book Antiqua" w:cs="Times New Roman"/>
          <w:caps/>
          <w:spacing w:val="54"/>
          <w:kern w:val="24"/>
          <w:sz w:val="25"/>
          <w:szCs w:val="25"/>
          <w:lang w:eastAsia="pl-PL"/>
        </w:rPr>
      </w:pPr>
      <w:bookmarkStart w:id="0" w:name="_GoBack"/>
      <w:bookmarkEnd w:id="0"/>
      <w:r w:rsidRPr="00783833">
        <w:rPr>
          <w:rFonts w:ascii="Book Antiqua" w:eastAsia="Calibri" w:hAnsi="Book Antiqua" w:cs="Times New Roman"/>
          <w:caps/>
          <w:spacing w:val="54"/>
          <w:kern w:val="24"/>
          <w:sz w:val="25"/>
          <w:szCs w:val="25"/>
          <w:lang w:eastAsia="pl-PL"/>
        </w:rPr>
        <w:t>Projekt</w:t>
      </w:r>
    </w:p>
    <w:p w:rsidR="000A08DB" w:rsidRPr="00783833" w:rsidRDefault="000A08DB" w:rsidP="000A08DB">
      <w:pPr>
        <w:keepNext/>
        <w:suppressAutoHyphens/>
        <w:spacing w:after="120" w:line="240" w:lineRule="auto"/>
        <w:jc w:val="both"/>
        <w:rPr>
          <w:rFonts w:ascii="Book Antiqua" w:eastAsia="Calibri" w:hAnsi="Book Antiqua" w:cs="Times New Roman"/>
          <w:caps/>
          <w:spacing w:val="54"/>
          <w:kern w:val="24"/>
          <w:sz w:val="25"/>
          <w:szCs w:val="25"/>
          <w:lang w:eastAsia="pl-PL"/>
        </w:rPr>
      </w:pPr>
    </w:p>
    <w:p w:rsidR="000A08DB" w:rsidRPr="00783833" w:rsidRDefault="000A08DB" w:rsidP="000A08DB">
      <w:pPr>
        <w:keepNext/>
        <w:suppressAutoHyphens/>
        <w:spacing w:after="120" w:line="360" w:lineRule="auto"/>
        <w:jc w:val="center"/>
        <w:rPr>
          <w:rFonts w:ascii="Book Antiqua" w:eastAsia="Calibri" w:hAnsi="Book Antiqua" w:cs="Times New Roman"/>
          <w:b/>
          <w:caps/>
          <w:spacing w:val="54"/>
          <w:kern w:val="24"/>
          <w:sz w:val="25"/>
          <w:szCs w:val="25"/>
          <w:lang w:eastAsia="pl-PL"/>
        </w:rPr>
      </w:pPr>
    </w:p>
    <w:p w:rsidR="000A08DB" w:rsidRPr="00783833" w:rsidRDefault="000A08DB" w:rsidP="000A08DB">
      <w:pPr>
        <w:keepNext/>
        <w:suppressAutoHyphens/>
        <w:spacing w:after="120" w:line="360" w:lineRule="auto"/>
        <w:jc w:val="center"/>
        <w:rPr>
          <w:rFonts w:ascii="Book Antiqua" w:eastAsia="Calibri" w:hAnsi="Book Antiqua" w:cs="Times New Roman"/>
          <w:b/>
          <w:caps/>
          <w:spacing w:val="54"/>
          <w:kern w:val="24"/>
          <w:sz w:val="25"/>
          <w:szCs w:val="25"/>
          <w:lang w:eastAsia="pl-PL"/>
        </w:rPr>
      </w:pPr>
      <w:r w:rsidRPr="00783833">
        <w:rPr>
          <w:rFonts w:ascii="Book Antiqua" w:eastAsia="Calibri" w:hAnsi="Book Antiqua" w:cs="Times New Roman"/>
          <w:b/>
          <w:caps/>
          <w:spacing w:val="54"/>
          <w:kern w:val="24"/>
          <w:sz w:val="25"/>
          <w:szCs w:val="25"/>
          <w:lang w:eastAsia="pl-PL"/>
        </w:rPr>
        <w:t>ustawa</w:t>
      </w:r>
    </w:p>
    <w:p w:rsidR="000A08DB" w:rsidRPr="00783833" w:rsidRDefault="000A08DB" w:rsidP="000A08DB">
      <w:pPr>
        <w:keepNext/>
        <w:suppressAutoHyphens/>
        <w:spacing w:before="120" w:after="120" w:line="360" w:lineRule="auto"/>
        <w:jc w:val="center"/>
        <w:rPr>
          <w:rFonts w:ascii="Book Antiqua" w:eastAsia="Times New Roman" w:hAnsi="Book Antiqua" w:cs="Arial"/>
          <w:bCs/>
          <w:sz w:val="25"/>
          <w:szCs w:val="25"/>
          <w:lang w:eastAsia="pl-PL"/>
        </w:rPr>
      </w:pPr>
      <w:r w:rsidRPr="00783833">
        <w:rPr>
          <w:rFonts w:ascii="Book Antiqua" w:eastAsia="Times New Roman" w:hAnsi="Book Antiqua" w:cs="Arial"/>
          <w:bCs/>
          <w:sz w:val="25"/>
          <w:szCs w:val="25"/>
          <w:lang w:eastAsia="pl-PL"/>
        </w:rPr>
        <w:t>z dnia                       2016 r.</w:t>
      </w:r>
    </w:p>
    <w:p w:rsidR="000A08DB" w:rsidRDefault="000A08DB" w:rsidP="000A08DB">
      <w:pPr>
        <w:keepNext/>
        <w:suppressAutoHyphens/>
        <w:spacing w:before="120" w:after="360" w:line="360" w:lineRule="auto"/>
        <w:jc w:val="center"/>
        <w:rPr>
          <w:rFonts w:ascii="Book Antiqua" w:eastAsia="Times New Roman" w:hAnsi="Book Antiqua" w:cs="Arial"/>
          <w:b/>
          <w:bCs/>
          <w:sz w:val="25"/>
          <w:szCs w:val="25"/>
          <w:lang w:eastAsia="pl-PL"/>
        </w:rPr>
      </w:pPr>
      <w:r w:rsidRPr="00783833">
        <w:rPr>
          <w:rFonts w:ascii="Book Antiqua" w:eastAsia="Times New Roman" w:hAnsi="Book Antiqua" w:cs="Arial"/>
          <w:b/>
          <w:bCs/>
          <w:sz w:val="25"/>
          <w:szCs w:val="25"/>
          <w:lang w:eastAsia="pl-PL"/>
        </w:rPr>
        <w:t xml:space="preserve">o zmianie ustawy </w:t>
      </w:r>
      <w:r w:rsidR="00B97B82">
        <w:rPr>
          <w:rFonts w:ascii="Book Antiqua" w:eastAsia="Times New Roman" w:hAnsi="Book Antiqua" w:cs="Arial"/>
          <w:b/>
          <w:bCs/>
          <w:sz w:val="25"/>
          <w:szCs w:val="25"/>
          <w:lang w:eastAsia="pl-PL"/>
        </w:rPr>
        <w:t xml:space="preserve">- </w:t>
      </w:r>
      <w:r w:rsidRPr="00783833">
        <w:rPr>
          <w:rFonts w:ascii="Book Antiqua" w:eastAsia="Times New Roman" w:hAnsi="Book Antiqua" w:cs="Arial"/>
          <w:b/>
          <w:bCs/>
          <w:sz w:val="25"/>
          <w:szCs w:val="25"/>
          <w:lang w:eastAsia="pl-PL"/>
        </w:rPr>
        <w:t>Prawo ochrony środowiska</w:t>
      </w:r>
    </w:p>
    <w:p w:rsidR="000A08DB" w:rsidRPr="00783833" w:rsidRDefault="000A08DB" w:rsidP="000A08DB">
      <w:pPr>
        <w:keepNext/>
        <w:suppressAutoHyphens/>
        <w:spacing w:before="120" w:after="360" w:line="360" w:lineRule="auto"/>
        <w:jc w:val="center"/>
        <w:rPr>
          <w:rFonts w:ascii="Book Antiqua" w:eastAsia="Times New Roman" w:hAnsi="Book Antiqua" w:cs="Arial"/>
          <w:b/>
          <w:bCs/>
          <w:sz w:val="25"/>
          <w:szCs w:val="25"/>
          <w:lang w:eastAsia="pl-PL"/>
        </w:rPr>
      </w:pPr>
    </w:p>
    <w:p w:rsidR="000A08DB" w:rsidRPr="00783833" w:rsidRDefault="000A08DB" w:rsidP="000A08DB">
      <w:pPr>
        <w:pStyle w:val="ARTartustawynprozporzdzenia"/>
        <w:ind w:firstLine="0"/>
        <w:rPr>
          <w:rFonts w:ascii="Book Antiqua" w:hAnsi="Book Antiqua"/>
          <w:sz w:val="25"/>
          <w:szCs w:val="25"/>
        </w:rPr>
      </w:pPr>
      <w:r w:rsidRPr="00783833">
        <w:rPr>
          <w:rFonts w:ascii="Book Antiqua" w:eastAsia="Times New Roman" w:hAnsi="Book Antiqua"/>
          <w:b/>
          <w:sz w:val="25"/>
          <w:szCs w:val="25"/>
        </w:rPr>
        <w:t>Art. 1.</w:t>
      </w:r>
      <w:r w:rsidRPr="00783833">
        <w:rPr>
          <w:rFonts w:ascii="Book Antiqua" w:eastAsia="Times New Roman" w:hAnsi="Book Antiqua"/>
          <w:sz w:val="25"/>
          <w:szCs w:val="25"/>
        </w:rPr>
        <w:t xml:space="preserve"> W ustawie z dnia 27 kwietnia 2001 r. </w:t>
      </w:r>
      <w:r w:rsidR="00B97B82">
        <w:rPr>
          <w:rFonts w:ascii="Book Antiqua" w:eastAsia="Times New Roman" w:hAnsi="Book Antiqua"/>
          <w:sz w:val="25"/>
          <w:szCs w:val="25"/>
        </w:rPr>
        <w:t xml:space="preserve">- </w:t>
      </w:r>
      <w:r w:rsidRPr="00783833">
        <w:rPr>
          <w:rFonts w:ascii="Book Antiqua" w:eastAsia="Times New Roman" w:hAnsi="Book Antiqua"/>
          <w:sz w:val="25"/>
          <w:szCs w:val="25"/>
        </w:rPr>
        <w:t>Prawo ochrony środowiska (</w:t>
      </w:r>
      <w:r>
        <w:rPr>
          <w:rFonts w:ascii="Book Antiqua" w:hAnsi="Book Antiqua"/>
          <w:sz w:val="25"/>
          <w:szCs w:val="25"/>
        </w:rPr>
        <w:t xml:space="preserve">Dz. U. </w:t>
      </w:r>
      <w:r w:rsidRPr="00783833">
        <w:rPr>
          <w:rFonts w:ascii="Book Antiqua" w:hAnsi="Book Antiqua"/>
          <w:sz w:val="25"/>
          <w:szCs w:val="25"/>
        </w:rPr>
        <w:t xml:space="preserve">z 2013 r. poz. 1232, z </w:t>
      </w:r>
      <w:proofErr w:type="spellStart"/>
      <w:r w:rsidRPr="00783833">
        <w:rPr>
          <w:rFonts w:ascii="Book Antiqua" w:hAnsi="Book Antiqua"/>
          <w:sz w:val="25"/>
          <w:szCs w:val="25"/>
        </w:rPr>
        <w:t>późn</w:t>
      </w:r>
      <w:proofErr w:type="spellEnd"/>
      <w:r w:rsidRPr="00783833">
        <w:rPr>
          <w:rFonts w:ascii="Book Antiqua" w:hAnsi="Book Antiqua"/>
          <w:sz w:val="25"/>
          <w:szCs w:val="25"/>
        </w:rPr>
        <w:t>. zm.</w:t>
      </w:r>
      <w:r w:rsidRPr="00783833">
        <w:rPr>
          <w:rStyle w:val="Odwoanieprzypisudolnego"/>
          <w:rFonts w:ascii="Book Antiqua" w:hAnsi="Book Antiqua"/>
          <w:sz w:val="25"/>
          <w:szCs w:val="25"/>
        </w:rPr>
        <w:footnoteReference w:id="1"/>
      </w:r>
      <w:r w:rsidRPr="00783833">
        <w:rPr>
          <w:rFonts w:ascii="Book Antiqua" w:hAnsi="Book Antiqua"/>
          <w:sz w:val="25"/>
          <w:szCs w:val="25"/>
        </w:rPr>
        <w:t xml:space="preserve">) w art. 129 ust. 4 otrzymuje </w:t>
      </w:r>
      <w:r>
        <w:rPr>
          <w:rFonts w:ascii="Book Antiqua" w:hAnsi="Book Antiqua"/>
          <w:sz w:val="25"/>
          <w:szCs w:val="25"/>
        </w:rPr>
        <w:t>brzmienie</w:t>
      </w:r>
      <w:r w:rsidRPr="00783833">
        <w:rPr>
          <w:rFonts w:ascii="Book Antiqua" w:hAnsi="Book Antiqua"/>
          <w:sz w:val="25"/>
          <w:szCs w:val="25"/>
        </w:rPr>
        <w:t>:</w:t>
      </w:r>
    </w:p>
    <w:p w:rsidR="000A08DB" w:rsidRPr="00783833" w:rsidRDefault="000A08DB" w:rsidP="000A08DB">
      <w:pPr>
        <w:pStyle w:val="ARTartustawynprozporzdzenia"/>
        <w:rPr>
          <w:rFonts w:ascii="Book Antiqua" w:hAnsi="Book Antiqua"/>
          <w:sz w:val="25"/>
          <w:szCs w:val="25"/>
        </w:rPr>
      </w:pPr>
    </w:p>
    <w:p w:rsidR="000A08DB" w:rsidRDefault="000A08DB" w:rsidP="000A08DB">
      <w:pPr>
        <w:pStyle w:val="ARTartustawynprozporzdzenia"/>
        <w:ind w:left="1276" w:firstLine="0"/>
        <w:rPr>
          <w:rFonts w:ascii="Book Antiqua" w:hAnsi="Book Antiqua"/>
          <w:sz w:val="25"/>
          <w:szCs w:val="25"/>
        </w:rPr>
      </w:pPr>
      <w:r w:rsidRPr="00783833">
        <w:rPr>
          <w:rFonts w:ascii="Book Antiqua" w:hAnsi="Book Antiqua"/>
          <w:sz w:val="25"/>
          <w:szCs w:val="25"/>
        </w:rPr>
        <w:t xml:space="preserve">„4. Z roszczeniem, o którym mowa w ust. 1-3, można wystąpić </w:t>
      </w:r>
      <w:r>
        <w:rPr>
          <w:rFonts w:ascii="Book Antiqua" w:hAnsi="Book Antiqua"/>
          <w:sz w:val="25"/>
          <w:szCs w:val="25"/>
        </w:rPr>
        <w:t>w okresie 5</w:t>
      </w:r>
      <w:r w:rsidRPr="00783833">
        <w:rPr>
          <w:rFonts w:ascii="Book Antiqua" w:hAnsi="Book Antiqua"/>
          <w:sz w:val="25"/>
          <w:szCs w:val="25"/>
        </w:rPr>
        <w:t xml:space="preserve"> lat od dnia wejścia w życie rozporządzenia lub aktu prawa miejscowego powodującego ograniczenie sposo</w:t>
      </w:r>
      <w:r>
        <w:rPr>
          <w:rFonts w:ascii="Book Antiqua" w:hAnsi="Book Antiqua"/>
          <w:sz w:val="25"/>
          <w:szCs w:val="25"/>
        </w:rPr>
        <w:t xml:space="preserve">bu korzystania z nieruchomości. </w:t>
      </w:r>
    </w:p>
    <w:p w:rsidR="000A08DB" w:rsidRDefault="000A08DB" w:rsidP="000A08DB">
      <w:pPr>
        <w:pStyle w:val="ARTartustawynprozporzdzenia"/>
        <w:ind w:left="1276" w:firstLine="0"/>
        <w:rPr>
          <w:rFonts w:ascii="Book Antiqua" w:hAnsi="Book Antiqua"/>
          <w:sz w:val="25"/>
          <w:szCs w:val="25"/>
        </w:rPr>
      </w:pPr>
    </w:p>
    <w:p w:rsidR="000A08DB" w:rsidRPr="00E517EE" w:rsidRDefault="000A08DB" w:rsidP="000A08DB">
      <w:pPr>
        <w:pStyle w:val="ARTartustawynprozporzdzenia"/>
        <w:ind w:firstLine="0"/>
        <w:rPr>
          <w:rFonts w:ascii="Book Antiqua" w:hAnsi="Book Antiqua"/>
          <w:sz w:val="25"/>
          <w:szCs w:val="25"/>
        </w:rPr>
      </w:pPr>
      <w:r w:rsidRPr="00E517EE">
        <w:rPr>
          <w:rFonts w:ascii="Book Antiqua" w:hAnsi="Book Antiqua"/>
          <w:b/>
          <w:sz w:val="25"/>
          <w:szCs w:val="25"/>
        </w:rPr>
        <w:t>Art. 2.</w:t>
      </w:r>
      <w:r w:rsidRPr="00E517EE">
        <w:rPr>
          <w:rFonts w:ascii="Book Antiqua" w:hAnsi="Book Antiqua"/>
          <w:sz w:val="25"/>
          <w:szCs w:val="25"/>
        </w:rPr>
        <w:t xml:space="preserve"> Do roszczeń, o których mowa w art. 129 </w:t>
      </w:r>
      <w:r w:rsidR="00B97B82">
        <w:rPr>
          <w:rFonts w:ascii="Book Antiqua" w:hAnsi="Book Antiqua"/>
          <w:sz w:val="25"/>
          <w:szCs w:val="25"/>
        </w:rPr>
        <w:t xml:space="preserve">ust 1-3 </w:t>
      </w:r>
      <w:r w:rsidRPr="00E517EE">
        <w:rPr>
          <w:rFonts w:ascii="Book Antiqua" w:hAnsi="Book Antiqua"/>
          <w:sz w:val="25"/>
          <w:szCs w:val="25"/>
        </w:rPr>
        <w:t xml:space="preserve">ustawy </w:t>
      </w:r>
      <w:r w:rsidR="00B97B82">
        <w:rPr>
          <w:rFonts w:ascii="Book Antiqua" w:hAnsi="Book Antiqua"/>
          <w:sz w:val="25"/>
          <w:szCs w:val="25"/>
        </w:rPr>
        <w:t xml:space="preserve">- </w:t>
      </w:r>
      <w:r w:rsidRPr="00E517EE">
        <w:rPr>
          <w:rFonts w:ascii="Book Antiqua" w:hAnsi="Book Antiqua"/>
          <w:sz w:val="25"/>
          <w:szCs w:val="25"/>
        </w:rPr>
        <w:t>Prawo ochrony środowiska</w:t>
      </w:r>
      <w:r>
        <w:rPr>
          <w:rFonts w:ascii="Book Antiqua" w:hAnsi="Book Antiqua"/>
          <w:sz w:val="25"/>
          <w:szCs w:val="25"/>
        </w:rPr>
        <w:t xml:space="preserve"> (Dz. U. </w:t>
      </w:r>
      <w:r w:rsidRPr="00783833">
        <w:rPr>
          <w:rFonts w:ascii="Book Antiqua" w:hAnsi="Book Antiqua"/>
          <w:sz w:val="25"/>
          <w:szCs w:val="25"/>
        </w:rPr>
        <w:t xml:space="preserve">z 2013 r. poz. 1232, z </w:t>
      </w:r>
      <w:proofErr w:type="spellStart"/>
      <w:r w:rsidRPr="00783833">
        <w:rPr>
          <w:rFonts w:ascii="Book Antiqua" w:hAnsi="Book Antiqua"/>
          <w:sz w:val="25"/>
          <w:szCs w:val="25"/>
        </w:rPr>
        <w:t>późn</w:t>
      </w:r>
      <w:proofErr w:type="spellEnd"/>
      <w:r w:rsidRPr="00783833">
        <w:rPr>
          <w:rFonts w:ascii="Book Antiqua" w:hAnsi="Book Antiqua"/>
          <w:sz w:val="25"/>
          <w:szCs w:val="25"/>
        </w:rPr>
        <w:t>. zm.)</w:t>
      </w:r>
      <w:r w:rsidRPr="00E517EE">
        <w:rPr>
          <w:rFonts w:ascii="Book Antiqua" w:hAnsi="Book Antiqua"/>
          <w:sz w:val="25"/>
          <w:szCs w:val="25"/>
        </w:rPr>
        <w:t xml:space="preserve"> powstałych przed dniem wejścia w życie </w:t>
      </w:r>
      <w:r w:rsidRPr="005872F1">
        <w:rPr>
          <w:rFonts w:ascii="Book Antiqua" w:hAnsi="Book Antiqua"/>
          <w:sz w:val="25"/>
          <w:szCs w:val="25"/>
        </w:rPr>
        <w:t>niniejszej</w:t>
      </w:r>
      <w:r w:rsidRPr="00E517EE">
        <w:rPr>
          <w:rFonts w:ascii="Book Antiqua" w:hAnsi="Book Antiqua"/>
          <w:sz w:val="25"/>
          <w:szCs w:val="25"/>
        </w:rPr>
        <w:t xml:space="preserve"> ustawy i w tym dniu jeszcze nie przedawnionych, stosuje się </w:t>
      </w:r>
      <w:r w:rsidR="00B97B82">
        <w:t>przepis art. 129 ust. 4 ustawy zmienianej w art. 1 w brzmieniu nadanym niniejszą ustawą</w:t>
      </w:r>
      <w:r w:rsidRPr="00E517EE">
        <w:rPr>
          <w:rFonts w:ascii="Book Antiqua" w:hAnsi="Book Antiqua"/>
          <w:sz w:val="25"/>
          <w:szCs w:val="25"/>
        </w:rPr>
        <w:t>.</w:t>
      </w:r>
    </w:p>
    <w:p w:rsidR="000A08DB" w:rsidRPr="00783833" w:rsidRDefault="000A08DB" w:rsidP="000A08DB">
      <w:pPr>
        <w:pStyle w:val="ARTartustawynprozporzdzenia"/>
        <w:ind w:firstLine="0"/>
        <w:rPr>
          <w:rFonts w:ascii="Book Antiqua" w:hAnsi="Book Antiqua"/>
          <w:sz w:val="25"/>
          <w:szCs w:val="25"/>
        </w:rPr>
      </w:pPr>
    </w:p>
    <w:p w:rsidR="000A08DB" w:rsidRPr="00783833" w:rsidRDefault="000A08DB" w:rsidP="000A08DB">
      <w:pPr>
        <w:pStyle w:val="ARTartustawynprozporzdzenia"/>
        <w:ind w:firstLine="0"/>
        <w:rPr>
          <w:rFonts w:ascii="Book Antiqua" w:hAnsi="Book Antiqua"/>
          <w:b/>
          <w:sz w:val="25"/>
          <w:szCs w:val="25"/>
        </w:rPr>
      </w:pPr>
      <w:r>
        <w:rPr>
          <w:rFonts w:ascii="Book Antiqua" w:hAnsi="Book Antiqua"/>
          <w:b/>
          <w:sz w:val="25"/>
          <w:szCs w:val="25"/>
        </w:rPr>
        <w:t>Art. 3</w:t>
      </w:r>
      <w:r w:rsidRPr="00783833">
        <w:rPr>
          <w:rFonts w:ascii="Book Antiqua" w:hAnsi="Book Antiqua"/>
          <w:b/>
          <w:sz w:val="25"/>
          <w:szCs w:val="25"/>
        </w:rPr>
        <w:t xml:space="preserve">. </w:t>
      </w:r>
      <w:r w:rsidRPr="00783833">
        <w:rPr>
          <w:rFonts w:ascii="Book Antiqua" w:hAnsi="Book Antiqua"/>
          <w:sz w:val="25"/>
          <w:szCs w:val="25"/>
        </w:rPr>
        <w:t>Ustawa wchodzi w życie</w:t>
      </w:r>
      <w:r>
        <w:rPr>
          <w:rFonts w:ascii="Book Antiqua" w:hAnsi="Book Antiqua"/>
          <w:sz w:val="25"/>
          <w:szCs w:val="25"/>
        </w:rPr>
        <w:t xml:space="preserve"> po upływie</w:t>
      </w:r>
      <w:r w:rsidRPr="00783833">
        <w:rPr>
          <w:rFonts w:ascii="Book Antiqua" w:hAnsi="Book Antiqua"/>
          <w:b/>
          <w:sz w:val="25"/>
          <w:szCs w:val="25"/>
        </w:rPr>
        <w:t xml:space="preserve"> </w:t>
      </w:r>
      <w:r w:rsidRPr="00783833">
        <w:rPr>
          <w:rFonts w:ascii="Book Antiqua" w:hAnsi="Book Antiqua"/>
          <w:sz w:val="25"/>
          <w:szCs w:val="25"/>
        </w:rPr>
        <w:t>14 dni od ogłoszenia.</w:t>
      </w:r>
    </w:p>
    <w:p w:rsidR="000A08DB" w:rsidRDefault="000A08DB" w:rsidP="000A08DB">
      <w:pPr>
        <w:rPr>
          <w:rFonts w:ascii="Book Antiqua" w:eastAsia="Times New Roman" w:hAnsi="Book Antiqua" w:cs="Arial"/>
          <w:sz w:val="25"/>
          <w:szCs w:val="25"/>
          <w:lang w:eastAsia="pl-PL"/>
        </w:rPr>
      </w:pPr>
    </w:p>
    <w:p w:rsidR="000A08DB" w:rsidRPr="00783833" w:rsidRDefault="000A08DB" w:rsidP="000A08DB">
      <w:pPr>
        <w:rPr>
          <w:rFonts w:ascii="Book Antiqua" w:eastAsia="Times New Roman" w:hAnsi="Book Antiqua" w:cs="Arial"/>
          <w:sz w:val="25"/>
          <w:szCs w:val="25"/>
          <w:lang w:eastAsia="pl-PL"/>
        </w:rPr>
      </w:pPr>
    </w:p>
    <w:p w:rsidR="000A08DB" w:rsidRPr="00783833" w:rsidRDefault="000A08DB" w:rsidP="000A08DB">
      <w:pPr>
        <w:autoSpaceDN w:val="0"/>
        <w:spacing w:after="120" w:line="276" w:lineRule="auto"/>
        <w:jc w:val="center"/>
        <w:rPr>
          <w:rFonts w:ascii="Book Antiqua" w:eastAsia="Calibri" w:hAnsi="Book Antiqua" w:cs="Times New Roman"/>
          <w:b/>
          <w:sz w:val="25"/>
          <w:szCs w:val="25"/>
        </w:rPr>
      </w:pPr>
      <w:r w:rsidRPr="00783833">
        <w:rPr>
          <w:rFonts w:ascii="Book Antiqua" w:eastAsia="Calibri" w:hAnsi="Book Antiqua" w:cs="Times New Roman"/>
          <w:b/>
          <w:sz w:val="25"/>
          <w:szCs w:val="25"/>
        </w:rPr>
        <w:t>UZASADNIENIE</w:t>
      </w:r>
    </w:p>
    <w:p w:rsidR="000A08DB" w:rsidRPr="00783833" w:rsidRDefault="000A08DB" w:rsidP="000A08DB">
      <w:pPr>
        <w:autoSpaceDN w:val="0"/>
        <w:spacing w:after="120" w:line="276" w:lineRule="auto"/>
        <w:jc w:val="both"/>
        <w:rPr>
          <w:rFonts w:ascii="Book Antiqua" w:eastAsia="Calibri" w:hAnsi="Book Antiqua" w:cs="Times New Roman"/>
          <w:sz w:val="25"/>
          <w:szCs w:val="25"/>
        </w:rPr>
      </w:pPr>
    </w:p>
    <w:p w:rsidR="000A08DB" w:rsidRDefault="000A08DB" w:rsidP="000A08DB">
      <w:pPr>
        <w:numPr>
          <w:ilvl w:val="0"/>
          <w:numId w:val="1"/>
        </w:numPr>
        <w:suppressAutoHyphens/>
        <w:autoSpaceDN w:val="0"/>
        <w:spacing w:after="120" w:line="256" w:lineRule="auto"/>
        <w:jc w:val="both"/>
        <w:textAlignment w:val="baseline"/>
        <w:rPr>
          <w:rFonts w:ascii="Book Antiqua" w:eastAsia="Calibri" w:hAnsi="Book Antiqua" w:cs="Times New Roman"/>
          <w:b/>
          <w:sz w:val="25"/>
          <w:szCs w:val="25"/>
        </w:rPr>
      </w:pPr>
      <w:r w:rsidRPr="00783833">
        <w:rPr>
          <w:rFonts w:ascii="Book Antiqua" w:eastAsia="Calibri" w:hAnsi="Book Antiqua" w:cs="Times New Roman"/>
          <w:b/>
          <w:sz w:val="25"/>
          <w:szCs w:val="25"/>
        </w:rPr>
        <w:t>Potrzeba i cel wydania ustawy</w:t>
      </w:r>
    </w:p>
    <w:p w:rsidR="000A08DB" w:rsidRPr="00783833" w:rsidRDefault="000A08DB" w:rsidP="000A08DB">
      <w:pPr>
        <w:suppressAutoHyphens/>
        <w:autoSpaceDN w:val="0"/>
        <w:spacing w:after="120" w:line="256" w:lineRule="auto"/>
        <w:ind w:left="720"/>
        <w:jc w:val="both"/>
        <w:textAlignment w:val="baseline"/>
        <w:rPr>
          <w:rFonts w:ascii="Book Antiqua" w:eastAsia="Calibri" w:hAnsi="Book Antiqua" w:cs="Times New Roman"/>
          <w:b/>
          <w:sz w:val="25"/>
          <w:szCs w:val="25"/>
        </w:rPr>
      </w:pPr>
    </w:p>
    <w:p w:rsidR="000A08DB" w:rsidRPr="00783833" w:rsidRDefault="000A08DB" w:rsidP="000A08DB">
      <w:pPr>
        <w:suppressAutoHyphens/>
        <w:autoSpaceDN w:val="0"/>
        <w:spacing w:after="120" w:line="360" w:lineRule="auto"/>
        <w:ind w:firstLine="360"/>
        <w:jc w:val="both"/>
        <w:textAlignment w:val="baseline"/>
        <w:rPr>
          <w:rFonts w:ascii="Book Antiqua" w:eastAsia="Calibri" w:hAnsi="Book Antiqua" w:cs="Times New Roman"/>
          <w:sz w:val="25"/>
          <w:szCs w:val="25"/>
        </w:rPr>
      </w:pPr>
      <w:r w:rsidRPr="00783833">
        <w:rPr>
          <w:rFonts w:ascii="Book Antiqua" w:eastAsia="Calibri" w:hAnsi="Book Antiqua" w:cs="Times New Roman"/>
          <w:sz w:val="25"/>
          <w:szCs w:val="25"/>
        </w:rPr>
        <w:t>Projektowana ustawa ma na celu nowelizację ustawy z dnia z</w:t>
      </w:r>
      <w:r w:rsidR="00B97B82">
        <w:rPr>
          <w:rFonts w:ascii="Book Antiqua" w:eastAsia="Calibri" w:hAnsi="Book Antiqua" w:cs="Times New Roman"/>
          <w:sz w:val="25"/>
          <w:szCs w:val="25"/>
        </w:rPr>
        <w:t xml:space="preserve"> dnia 27 kwietnia 2001 r. - Prawo </w:t>
      </w:r>
      <w:r w:rsidRPr="00783833">
        <w:rPr>
          <w:rFonts w:ascii="Book Antiqua" w:eastAsia="Calibri" w:hAnsi="Book Antiqua" w:cs="Times New Roman"/>
          <w:sz w:val="25"/>
          <w:szCs w:val="25"/>
        </w:rPr>
        <w:t xml:space="preserve">ochrony środowiska. </w:t>
      </w:r>
    </w:p>
    <w:p w:rsidR="000A08DB" w:rsidRPr="00C611B2" w:rsidRDefault="000A08DB" w:rsidP="000A08DB">
      <w:pPr>
        <w:autoSpaceDN w:val="0"/>
        <w:spacing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  <w:r w:rsidRPr="00783833">
        <w:rPr>
          <w:rFonts w:ascii="Book Antiqua" w:eastAsia="Calibri" w:hAnsi="Book Antiqua" w:cs="Times New Roman"/>
          <w:sz w:val="25"/>
          <w:szCs w:val="25"/>
        </w:rPr>
        <w:t xml:space="preserve">Impulsem do wystąpienia z niniejszą inicjatywą ustawodawczą była </w:t>
      </w:r>
      <w:r w:rsidRPr="00783833">
        <w:rPr>
          <w:rFonts w:ascii="Book Antiqua" w:hAnsi="Book Antiqua" w:cs="Times New Roman"/>
          <w:sz w:val="25"/>
          <w:szCs w:val="25"/>
        </w:rPr>
        <w:t xml:space="preserve">rozpatrywana przez Komisję do Spraw Petycji petycja z dnia 29 grudnia 2015 roku wniesiona przez wójta gminy Buczek. Wnioskował on o  zmianę art. 129 ust. 4 ustawy z dnia 27 kwietnia 2001 r. Prawo ochrony środowiska polegającą na wydłużeniu terminu do wystąpienia z roszczeniem o odszkodowanie z tytułu ograniczenia korzystania z nieruchomości </w:t>
      </w:r>
      <w:r w:rsidRPr="00C611B2">
        <w:rPr>
          <w:rFonts w:ascii="Book Antiqua" w:hAnsi="Book Antiqua" w:cs="Times New Roman"/>
          <w:sz w:val="25"/>
          <w:szCs w:val="25"/>
        </w:rPr>
        <w:t>oraz o umożliwienie dochodzenia takich roszczeń przez osoby, które uchybiły terminowi wskazanemu w obecnym brzmieniu przepisu.</w:t>
      </w:r>
    </w:p>
    <w:p w:rsidR="000A08DB" w:rsidRPr="00783833" w:rsidRDefault="000A08DB" w:rsidP="000A08DB">
      <w:pPr>
        <w:autoSpaceDN w:val="0"/>
        <w:spacing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  <w:r w:rsidRPr="00783833">
        <w:rPr>
          <w:rFonts w:ascii="Book Antiqua" w:hAnsi="Book Antiqua" w:cs="Times New Roman"/>
          <w:sz w:val="25"/>
          <w:szCs w:val="25"/>
        </w:rPr>
        <w:t xml:space="preserve">Petycja była uzasadniona krótkim – 2 letnim - okresem przedawnienia roszczenia. Autor petycji wskazywał przypadki, w których termin ten powodował, że z roszczeniem występowała  jedynie część właścicieli nieruchomości. Podkreślił, że niezachowanie terminu do wystąpienia z roszczeniem spowodowane było </w:t>
      </w:r>
      <w:r>
        <w:rPr>
          <w:rFonts w:ascii="Book Antiqua" w:hAnsi="Book Antiqua" w:cs="Times New Roman"/>
          <w:sz w:val="25"/>
          <w:szCs w:val="25"/>
        </w:rPr>
        <w:t>często nieuregulowanym</w:t>
      </w:r>
      <w:r w:rsidRPr="00783833">
        <w:rPr>
          <w:rFonts w:ascii="Book Antiqua" w:hAnsi="Book Antiqua" w:cs="Times New Roman"/>
          <w:sz w:val="25"/>
          <w:szCs w:val="25"/>
        </w:rPr>
        <w:t xml:space="preserve"> stanem prawnym nieruchomości (nie było osoby, która byłaby uprawniona do wystąpienia z roszczeniem). To głównie ta okoliczność </w:t>
      </w:r>
      <w:r>
        <w:rPr>
          <w:rFonts w:ascii="Book Antiqua" w:hAnsi="Book Antiqua" w:cs="Times New Roman"/>
          <w:sz w:val="25"/>
          <w:szCs w:val="25"/>
        </w:rPr>
        <w:t>była przesłanką do wystosowania do Sejmu RP przywołanej wyżej petycji. Termin taki powinien bowiem</w:t>
      </w:r>
      <w:r w:rsidRPr="00783833">
        <w:rPr>
          <w:rFonts w:ascii="Book Antiqua" w:hAnsi="Book Antiqua" w:cs="Times New Roman"/>
          <w:sz w:val="25"/>
          <w:szCs w:val="25"/>
        </w:rPr>
        <w:t xml:space="preserve"> uwzględniać możliwość uzyskania legitymacji do ubiegania się o odszkodowanie lub wykupienie nieruchomości.</w:t>
      </w:r>
    </w:p>
    <w:p w:rsidR="000A08DB" w:rsidRDefault="000A08DB" w:rsidP="000A08DB">
      <w:pPr>
        <w:autoSpaceDN w:val="0"/>
        <w:spacing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  <w:r w:rsidRPr="00783833">
        <w:rPr>
          <w:rFonts w:ascii="Book Antiqua" w:hAnsi="Book Antiqua" w:cs="Times New Roman"/>
          <w:sz w:val="25"/>
          <w:szCs w:val="25"/>
        </w:rPr>
        <w:t xml:space="preserve">Komisja do Spraw Petycji </w:t>
      </w:r>
      <w:r>
        <w:rPr>
          <w:rFonts w:ascii="Book Antiqua" w:hAnsi="Book Antiqua" w:cs="Times New Roman"/>
          <w:sz w:val="25"/>
          <w:szCs w:val="25"/>
        </w:rPr>
        <w:t xml:space="preserve">na posiedzeniu w dniu 28 kwietnia 2016 r. </w:t>
      </w:r>
      <w:r w:rsidRPr="00783833">
        <w:rPr>
          <w:rFonts w:ascii="Book Antiqua" w:hAnsi="Book Antiqua" w:cs="Times New Roman"/>
          <w:sz w:val="25"/>
          <w:szCs w:val="25"/>
        </w:rPr>
        <w:t xml:space="preserve">uznała zasadność petycji i zdecydowała o przygotowaniu projektu ustawy nowelizującej zakwestionowane przez autora petycji przepisy.  </w:t>
      </w:r>
    </w:p>
    <w:p w:rsidR="000A08DB" w:rsidRDefault="000A08DB" w:rsidP="000A08DB">
      <w:pPr>
        <w:autoSpaceDN w:val="0"/>
        <w:spacing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  <w:r w:rsidRPr="00783833">
        <w:rPr>
          <w:rFonts w:ascii="Book Antiqua" w:hAnsi="Book Antiqua" w:cs="Times New Roman"/>
          <w:sz w:val="25"/>
          <w:szCs w:val="25"/>
        </w:rPr>
        <w:t xml:space="preserve">W dyskusji posłowie podkreślali, że przewidziany w art. 129 ust. 4 ustawy </w:t>
      </w:r>
      <w:r w:rsidR="00B97B82">
        <w:rPr>
          <w:rFonts w:ascii="Book Antiqua" w:hAnsi="Book Antiqua" w:cs="Times New Roman"/>
          <w:sz w:val="25"/>
          <w:szCs w:val="25"/>
        </w:rPr>
        <w:t>-</w:t>
      </w:r>
      <w:r w:rsidRPr="00783833">
        <w:rPr>
          <w:rFonts w:ascii="Book Antiqua" w:hAnsi="Book Antiqua" w:cs="Times New Roman"/>
          <w:sz w:val="25"/>
          <w:szCs w:val="25"/>
        </w:rPr>
        <w:t xml:space="preserve">Prawo ochrony środowiska, dwuletni okres przedawnienia stanowi istotne </w:t>
      </w:r>
      <w:r w:rsidRPr="00783833">
        <w:rPr>
          <w:rFonts w:ascii="Book Antiqua" w:hAnsi="Book Antiqua" w:cs="Times New Roman"/>
          <w:sz w:val="25"/>
          <w:szCs w:val="25"/>
        </w:rPr>
        <w:lastRenderedPageBreak/>
        <w:t xml:space="preserve">utrudnienie dla obywateli. Przywołano także opinię Biura Analiz Sejmowych, w której wskazano krytykę obowiązującego rozwiązania w piśmiennictwie. </w:t>
      </w:r>
    </w:p>
    <w:p w:rsidR="000A08DB" w:rsidRDefault="000A08DB" w:rsidP="000A08DB">
      <w:pPr>
        <w:autoSpaceDN w:val="0"/>
        <w:spacing w:before="240"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  <w:r w:rsidRPr="00FA1422">
        <w:rPr>
          <w:rFonts w:ascii="Book Antiqua" w:hAnsi="Book Antiqua" w:cs="Times New Roman"/>
          <w:sz w:val="25"/>
          <w:szCs w:val="25"/>
        </w:rPr>
        <w:t>Termin</w:t>
      </w:r>
      <w:r>
        <w:rPr>
          <w:rFonts w:ascii="Book Antiqua" w:hAnsi="Book Antiqua" w:cs="Times New Roman"/>
          <w:sz w:val="25"/>
          <w:szCs w:val="25"/>
        </w:rPr>
        <w:t>y</w:t>
      </w:r>
      <w:r w:rsidRPr="00FA1422">
        <w:rPr>
          <w:rFonts w:ascii="Book Antiqua" w:hAnsi="Book Antiqua" w:cs="Times New Roman"/>
          <w:sz w:val="25"/>
          <w:szCs w:val="25"/>
        </w:rPr>
        <w:t xml:space="preserve"> na przedstawienie roszczeń odszkodowawczych związanych z powstaniem szkód wywołanych legalnymi działaniami administracji publicznej </w:t>
      </w:r>
      <w:r>
        <w:rPr>
          <w:rFonts w:ascii="Book Antiqua" w:hAnsi="Book Antiqua" w:cs="Times New Roman"/>
          <w:sz w:val="25"/>
          <w:szCs w:val="25"/>
        </w:rPr>
        <w:t>są terminami</w:t>
      </w:r>
      <w:r w:rsidRPr="00FA1422">
        <w:rPr>
          <w:rFonts w:ascii="Book Antiqua" w:hAnsi="Book Antiqua" w:cs="Times New Roman"/>
          <w:sz w:val="25"/>
          <w:szCs w:val="25"/>
        </w:rPr>
        <w:t xml:space="preserve"> zawitym</w:t>
      </w:r>
      <w:r>
        <w:rPr>
          <w:rFonts w:ascii="Book Antiqua" w:hAnsi="Book Antiqua" w:cs="Times New Roman"/>
          <w:sz w:val="25"/>
          <w:szCs w:val="25"/>
        </w:rPr>
        <w:t>i</w:t>
      </w:r>
      <w:r w:rsidRPr="00FA1422">
        <w:rPr>
          <w:rFonts w:ascii="Book Antiqua" w:hAnsi="Book Antiqua" w:cs="Times New Roman"/>
          <w:sz w:val="25"/>
          <w:szCs w:val="25"/>
        </w:rPr>
        <w:t xml:space="preserve"> (nie podlega</w:t>
      </w:r>
      <w:r>
        <w:rPr>
          <w:rFonts w:ascii="Book Antiqua" w:hAnsi="Book Antiqua" w:cs="Times New Roman"/>
          <w:sz w:val="25"/>
          <w:szCs w:val="25"/>
        </w:rPr>
        <w:t>ją</w:t>
      </w:r>
      <w:r w:rsidRPr="00FA1422">
        <w:rPr>
          <w:rFonts w:ascii="Book Antiqua" w:hAnsi="Book Antiqua" w:cs="Times New Roman"/>
          <w:sz w:val="25"/>
          <w:szCs w:val="25"/>
        </w:rPr>
        <w:t xml:space="preserve"> </w:t>
      </w:r>
      <w:r>
        <w:rPr>
          <w:rFonts w:ascii="Book Antiqua" w:hAnsi="Book Antiqua" w:cs="Times New Roman"/>
          <w:sz w:val="25"/>
          <w:szCs w:val="25"/>
        </w:rPr>
        <w:t>przywróceniu)</w:t>
      </w:r>
      <w:r w:rsidRPr="00FA1422">
        <w:rPr>
          <w:rFonts w:ascii="Book Antiqua" w:hAnsi="Book Antiqua" w:cs="Times New Roman"/>
          <w:sz w:val="25"/>
          <w:szCs w:val="25"/>
        </w:rPr>
        <w:t>. Cechą terminó</w:t>
      </w:r>
      <w:r>
        <w:rPr>
          <w:rFonts w:ascii="Book Antiqua" w:hAnsi="Book Antiqua" w:cs="Times New Roman"/>
          <w:sz w:val="25"/>
          <w:szCs w:val="25"/>
        </w:rPr>
        <w:t xml:space="preserve">w zawitych jest ich stosunkowo krótki czas w porównaniu do ogólnych zasad, zawartych w Kodeksie cywilnym (zgodnie z art. 118 Kodeksu </w:t>
      </w:r>
      <w:r w:rsidRPr="00FA1422">
        <w:rPr>
          <w:rFonts w:ascii="Book Antiqua" w:hAnsi="Book Antiqua" w:cs="Times New Roman"/>
          <w:sz w:val="25"/>
          <w:szCs w:val="25"/>
        </w:rPr>
        <w:t>c</w:t>
      </w:r>
      <w:r>
        <w:rPr>
          <w:rFonts w:ascii="Book Antiqua" w:hAnsi="Book Antiqua" w:cs="Times New Roman"/>
          <w:sz w:val="25"/>
          <w:szCs w:val="25"/>
        </w:rPr>
        <w:t xml:space="preserve">ywilnego </w:t>
      </w:r>
      <w:r w:rsidRPr="00FA1422">
        <w:rPr>
          <w:rFonts w:ascii="Book Antiqua" w:hAnsi="Book Antiqua" w:cs="Times New Roman"/>
          <w:sz w:val="25"/>
          <w:szCs w:val="25"/>
        </w:rPr>
        <w:t>jeżeli przepis szczególny nie stanowi inaczej, term</w:t>
      </w:r>
      <w:r>
        <w:rPr>
          <w:rFonts w:ascii="Book Antiqua" w:hAnsi="Book Antiqua" w:cs="Times New Roman"/>
          <w:sz w:val="25"/>
          <w:szCs w:val="25"/>
        </w:rPr>
        <w:t>in przedawnienia wynosi lat 10).</w:t>
      </w:r>
      <w:r w:rsidRPr="00FA1422">
        <w:rPr>
          <w:rFonts w:ascii="Book Antiqua" w:hAnsi="Book Antiqua" w:cs="Times New Roman"/>
          <w:sz w:val="25"/>
          <w:szCs w:val="25"/>
        </w:rPr>
        <w:t xml:space="preserve"> </w:t>
      </w:r>
    </w:p>
    <w:p w:rsidR="000A08DB" w:rsidRPr="00FA1422" w:rsidRDefault="000A08DB" w:rsidP="000A08DB">
      <w:pPr>
        <w:autoSpaceDN w:val="0"/>
        <w:spacing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  <w:r>
        <w:rPr>
          <w:rFonts w:ascii="Book Antiqua" w:hAnsi="Book Antiqua" w:cs="Times New Roman"/>
          <w:sz w:val="25"/>
          <w:szCs w:val="25"/>
        </w:rPr>
        <w:t xml:space="preserve">Komisja uznała, że obowiązujący dwuletni okres jest zbyt krótki i powinien zostać wydłużony. Jednak biorąc pod uwagę specyfikę roszczenia wskazanego w art. 129 ust 4 ustawy </w:t>
      </w:r>
      <w:r w:rsidR="00B97B82">
        <w:rPr>
          <w:rFonts w:ascii="Book Antiqua" w:hAnsi="Book Antiqua" w:cs="Times New Roman"/>
          <w:sz w:val="25"/>
          <w:szCs w:val="25"/>
        </w:rPr>
        <w:t xml:space="preserve">- </w:t>
      </w:r>
      <w:r>
        <w:rPr>
          <w:rFonts w:ascii="Book Antiqua" w:hAnsi="Book Antiqua" w:cs="Times New Roman"/>
          <w:sz w:val="25"/>
          <w:szCs w:val="25"/>
        </w:rPr>
        <w:t xml:space="preserve">Prawo ochrony środowiska (termin zawity) – zdaniem Komisji - właściwy będzie okres pięciu lat. </w:t>
      </w:r>
    </w:p>
    <w:p w:rsidR="000A08DB" w:rsidRPr="00783833" w:rsidRDefault="000A08DB" w:rsidP="000A08DB">
      <w:pPr>
        <w:autoSpaceDN w:val="0"/>
        <w:spacing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  <w:r>
        <w:rPr>
          <w:rFonts w:ascii="Book Antiqua" w:hAnsi="Book Antiqua" w:cs="Times New Roman"/>
          <w:sz w:val="25"/>
          <w:szCs w:val="25"/>
        </w:rPr>
        <w:t>Warto też zwrócić uwagę na inny aspekt sprawy. P</w:t>
      </w:r>
      <w:r w:rsidRPr="00783833">
        <w:rPr>
          <w:rFonts w:ascii="Book Antiqua" w:hAnsi="Book Antiqua" w:cs="Times New Roman"/>
          <w:sz w:val="25"/>
          <w:szCs w:val="25"/>
        </w:rPr>
        <w:t xml:space="preserve">oczątek biegu </w:t>
      </w:r>
      <w:r>
        <w:rPr>
          <w:rFonts w:ascii="Book Antiqua" w:hAnsi="Book Antiqua" w:cs="Times New Roman"/>
          <w:sz w:val="25"/>
          <w:szCs w:val="25"/>
        </w:rPr>
        <w:t xml:space="preserve">obowiązującego dwuletniego okresu, w którym należy wystąpić z roszczeniem </w:t>
      </w:r>
      <w:r w:rsidRPr="00783833">
        <w:rPr>
          <w:rFonts w:ascii="Book Antiqua" w:hAnsi="Book Antiqua" w:cs="Times New Roman"/>
          <w:sz w:val="25"/>
          <w:szCs w:val="25"/>
        </w:rPr>
        <w:t>nie jest dostosowany do praktycznych aspektów ograniczenia możliwo</w:t>
      </w:r>
      <w:r>
        <w:rPr>
          <w:rFonts w:ascii="Book Antiqua" w:hAnsi="Book Antiqua" w:cs="Times New Roman"/>
          <w:sz w:val="25"/>
          <w:szCs w:val="25"/>
        </w:rPr>
        <w:t xml:space="preserve">ści korzystania z nieruchomości, </w:t>
      </w:r>
      <w:r w:rsidRPr="00783833">
        <w:rPr>
          <w:rFonts w:ascii="Book Antiqua" w:hAnsi="Book Antiqua" w:cs="Times New Roman"/>
          <w:sz w:val="25"/>
          <w:szCs w:val="25"/>
        </w:rPr>
        <w:t xml:space="preserve">ponieważ biegnie on od chwili wejścia w życie aktu prawnego ustanawiającego ograniczenia, a nie faktycznego ujawnienia się niedogodności w </w:t>
      </w:r>
      <w:r>
        <w:rPr>
          <w:rFonts w:ascii="Book Antiqua" w:hAnsi="Book Antiqua" w:cs="Times New Roman"/>
          <w:sz w:val="25"/>
          <w:szCs w:val="25"/>
        </w:rPr>
        <w:t xml:space="preserve">korzystaniu z nieruchomości. Okres pomiędzy ustanowieniem ograniczeń, a ich faktycznym występowaniem może trwać dłużej niż dwa lata. </w:t>
      </w:r>
      <w:r w:rsidRPr="00783833">
        <w:rPr>
          <w:rFonts w:ascii="Book Antiqua" w:hAnsi="Book Antiqua" w:cs="Times New Roman"/>
          <w:sz w:val="25"/>
          <w:szCs w:val="25"/>
        </w:rPr>
        <w:t xml:space="preserve"> Oznacza to, że obywatel ma stosunkowo niewiele czasu na uzyskanie informacji o nowym stanie faktycznym, w rzeczywistości odzwierciedlonym często  jedynie w aktach prawa miejscowego. Oczywiste jest, że przeciętny obywatel nie śledzi na co dzień dzienników urzędowych i tablic informacyjnych w budynkach samorządowych. </w:t>
      </w:r>
      <w:r w:rsidRPr="00E64505">
        <w:rPr>
          <w:rFonts w:ascii="Book Antiqua" w:hAnsi="Book Antiqua" w:cs="Times New Roman"/>
          <w:sz w:val="25"/>
          <w:szCs w:val="25"/>
        </w:rPr>
        <w:t>Nie bez znaczenia w ocenie tego terminu, jest również fakt, iż wydanie, a tym bardziej dzień wejścia w życie, rozporządzenia lub aktu prawa miejscowego powodującego ograniczenie sposobu korzystania z nieruchomości, może być w ogóle „niezauważone” p</w:t>
      </w:r>
      <w:r>
        <w:rPr>
          <w:rFonts w:ascii="Book Antiqua" w:hAnsi="Book Antiqua" w:cs="Times New Roman"/>
          <w:sz w:val="25"/>
          <w:szCs w:val="25"/>
        </w:rPr>
        <w:t xml:space="preserve">rzez właściciela nieruchomości. Tego </w:t>
      </w:r>
      <w:r w:rsidRPr="00E64505">
        <w:rPr>
          <w:rFonts w:ascii="Book Antiqua" w:hAnsi="Book Antiqua" w:cs="Times New Roman"/>
          <w:sz w:val="25"/>
          <w:szCs w:val="25"/>
        </w:rPr>
        <w:t xml:space="preserve">typu akty prawa miejscowego </w:t>
      </w:r>
      <w:r>
        <w:rPr>
          <w:rFonts w:ascii="Book Antiqua" w:hAnsi="Book Antiqua" w:cs="Times New Roman"/>
          <w:sz w:val="25"/>
          <w:szCs w:val="25"/>
        </w:rPr>
        <w:t>wydawane np. przez s</w:t>
      </w:r>
      <w:r w:rsidRPr="00E64505">
        <w:rPr>
          <w:rFonts w:ascii="Book Antiqua" w:hAnsi="Book Antiqua" w:cs="Times New Roman"/>
          <w:sz w:val="25"/>
          <w:szCs w:val="25"/>
        </w:rPr>
        <w:t>ejmik</w:t>
      </w:r>
      <w:r>
        <w:rPr>
          <w:rFonts w:ascii="Book Antiqua" w:hAnsi="Book Antiqua" w:cs="Times New Roman"/>
          <w:sz w:val="25"/>
          <w:szCs w:val="25"/>
        </w:rPr>
        <w:t xml:space="preserve"> województwa</w:t>
      </w:r>
      <w:r w:rsidRPr="00E64505">
        <w:rPr>
          <w:rFonts w:ascii="Book Antiqua" w:hAnsi="Book Antiqua" w:cs="Times New Roman"/>
          <w:sz w:val="25"/>
          <w:szCs w:val="25"/>
        </w:rPr>
        <w:t>, (czyli organy „odległe” dla m</w:t>
      </w:r>
      <w:r>
        <w:rPr>
          <w:rFonts w:ascii="Book Antiqua" w:hAnsi="Book Antiqua" w:cs="Times New Roman"/>
          <w:sz w:val="25"/>
          <w:szCs w:val="25"/>
        </w:rPr>
        <w:t>ieszkańca np. małej gminy) nie wiążą się z koniecznością</w:t>
      </w:r>
      <w:r w:rsidRPr="00E64505">
        <w:rPr>
          <w:rFonts w:ascii="Book Antiqua" w:hAnsi="Book Antiqua" w:cs="Times New Roman"/>
          <w:sz w:val="25"/>
          <w:szCs w:val="25"/>
        </w:rPr>
        <w:t xml:space="preserve"> </w:t>
      </w:r>
      <w:r w:rsidRPr="00E64505">
        <w:rPr>
          <w:rFonts w:ascii="Book Antiqua" w:hAnsi="Book Antiqua" w:cs="Times New Roman"/>
          <w:sz w:val="25"/>
          <w:szCs w:val="25"/>
        </w:rPr>
        <w:lastRenderedPageBreak/>
        <w:t>powiadamiania właściciela nieruchomości</w:t>
      </w:r>
      <w:r>
        <w:rPr>
          <w:rFonts w:ascii="Book Antiqua" w:hAnsi="Book Antiqua" w:cs="Times New Roman"/>
          <w:sz w:val="25"/>
          <w:szCs w:val="25"/>
        </w:rPr>
        <w:t>, ani też nie zobowiązują samorządu niższego szczebla do takich działań</w:t>
      </w:r>
      <w:r w:rsidRPr="00E64505">
        <w:rPr>
          <w:rFonts w:ascii="Book Antiqua" w:hAnsi="Book Antiqua" w:cs="Times New Roman"/>
          <w:sz w:val="25"/>
          <w:szCs w:val="25"/>
        </w:rPr>
        <w:t>.</w:t>
      </w:r>
    </w:p>
    <w:p w:rsidR="000A08DB" w:rsidRPr="00783833" w:rsidRDefault="000A08DB" w:rsidP="000A08DB">
      <w:pPr>
        <w:autoSpaceDN w:val="0"/>
        <w:spacing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</w:p>
    <w:p w:rsidR="000A08DB" w:rsidRPr="00783833" w:rsidRDefault="000A08DB" w:rsidP="000A08DB">
      <w:pPr>
        <w:pStyle w:val="Akapitzlist"/>
        <w:widowControl/>
        <w:numPr>
          <w:ilvl w:val="0"/>
          <w:numId w:val="1"/>
        </w:numPr>
        <w:suppressAutoHyphens/>
        <w:autoSpaceDN w:val="0"/>
        <w:spacing w:after="120" w:line="360" w:lineRule="auto"/>
        <w:jc w:val="both"/>
        <w:textAlignment w:val="baseline"/>
        <w:rPr>
          <w:rFonts w:ascii="Book Antiqua" w:hAnsi="Book Antiqua" w:cs="Times New Roman"/>
          <w:b/>
          <w:sz w:val="25"/>
          <w:szCs w:val="25"/>
        </w:rPr>
      </w:pPr>
      <w:r w:rsidRPr="00783833">
        <w:rPr>
          <w:rFonts w:ascii="Book Antiqua" w:hAnsi="Book Antiqua" w:cs="Times New Roman"/>
          <w:b/>
          <w:sz w:val="25"/>
          <w:szCs w:val="25"/>
        </w:rPr>
        <w:t xml:space="preserve">Rzeczywisty stan w dziedzinie, która ma być unormowana oraz różnica pomiędzy dotychczasowym a projektowanym stanem prawnym </w:t>
      </w:r>
    </w:p>
    <w:p w:rsidR="000A08DB" w:rsidRDefault="000A08DB" w:rsidP="000A08DB">
      <w:pPr>
        <w:autoSpaceDN w:val="0"/>
        <w:spacing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  <w:r w:rsidRPr="006A5338">
        <w:rPr>
          <w:rFonts w:ascii="Book Antiqua" w:hAnsi="Book Antiqua" w:cs="Times New Roman"/>
          <w:sz w:val="25"/>
          <w:szCs w:val="25"/>
        </w:rPr>
        <w:t>Art. 129 ust. 1 i 2 Prawa ochrony środowiska przewiduje, że jeśli w związku z ograniczeniem korzystania z nieruchomości albo z jej części w dotychczasowy sposób lub w sposób zgodny z dotychczasowym przeznaczeniem korzystanie z niej stało się niemożliwe lub istotnie ograniczone, właściciel nieruchomości może żądać wykupienia nieruchomości lub jej części oraz odszkodowania za poniesioną szkodę; szkoda obejmuje również zmniejszenie wartości nieruchomości.</w:t>
      </w:r>
      <w:r>
        <w:rPr>
          <w:rFonts w:ascii="Book Antiqua" w:hAnsi="Book Antiqua" w:cs="Times New Roman"/>
          <w:sz w:val="25"/>
          <w:szCs w:val="25"/>
        </w:rPr>
        <w:t xml:space="preserve"> </w:t>
      </w:r>
      <w:r w:rsidRPr="00BD2A8F">
        <w:rPr>
          <w:rFonts w:ascii="Book Antiqua" w:hAnsi="Book Antiqua" w:cs="Times New Roman"/>
          <w:sz w:val="25"/>
          <w:szCs w:val="25"/>
        </w:rPr>
        <w:t>Według art. 129 ust. 4 przywołanej ustawy okres przedawnienia roszczenia o odszkodowanie wynosi 2 lat od dnia wejścia w życie rozporządzenia lub aktu prawa miejscowego powodującego ograniczenie sposobu korzystania z nieruchomości.</w:t>
      </w:r>
    </w:p>
    <w:p w:rsidR="000A08DB" w:rsidRDefault="000A08DB" w:rsidP="000A08DB">
      <w:pPr>
        <w:autoSpaceDN w:val="0"/>
        <w:spacing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  <w:r w:rsidRPr="00BD2A8F">
        <w:rPr>
          <w:rFonts w:ascii="Book Antiqua" w:hAnsi="Book Antiqua" w:cs="Times New Roman"/>
          <w:sz w:val="25"/>
          <w:szCs w:val="25"/>
        </w:rPr>
        <w:t>Obecny dwuletni okres przedawnien</w:t>
      </w:r>
      <w:r>
        <w:rPr>
          <w:rFonts w:ascii="Book Antiqua" w:hAnsi="Book Antiqua" w:cs="Times New Roman"/>
          <w:sz w:val="25"/>
          <w:szCs w:val="25"/>
        </w:rPr>
        <w:t xml:space="preserve">ia jest zdaniem wnioskodawców zdecydowanie zbyt krótki i dlatego Komisja do Spraw Petycji, w przedłożonym projekcie nowelizacji, proponuje wydłużenie </w:t>
      </w:r>
      <w:r w:rsidRPr="00BD2A8F">
        <w:rPr>
          <w:rFonts w:ascii="Book Antiqua" w:hAnsi="Book Antiqua" w:cs="Times New Roman"/>
          <w:sz w:val="25"/>
          <w:szCs w:val="25"/>
        </w:rPr>
        <w:t xml:space="preserve"> </w:t>
      </w:r>
      <w:r>
        <w:rPr>
          <w:rFonts w:ascii="Book Antiqua" w:hAnsi="Book Antiqua" w:cs="Times New Roman"/>
          <w:sz w:val="25"/>
          <w:szCs w:val="25"/>
        </w:rPr>
        <w:t xml:space="preserve">tego okresu do 5 lat. </w:t>
      </w:r>
    </w:p>
    <w:p w:rsidR="000A08DB" w:rsidRPr="006C763B" w:rsidRDefault="000A08DB" w:rsidP="000A08DB">
      <w:pPr>
        <w:pStyle w:val="ARTartustawynprozporzdzenia"/>
        <w:ind w:firstLine="360"/>
        <w:rPr>
          <w:rFonts w:ascii="Book Antiqua" w:hAnsi="Book Antiqua"/>
          <w:sz w:val="25"/>
          <w:szCs w:val="25"/>
        </w:rPr>
      </w:pPr>
      <w:r w:rsidRPr="006C763B">
        <w:rPr>
          <w:rFonts w:ascii="Book Antiqua" w:hAnsi="Book Antiqua"/>
          <w:sz w:val="25"/>
          <w:szCs w:val="25"/>
        </w:rPr>
        <w:t>Zamiarem wnioskodawców jest, aby do roszczeń, o których mowa w art. 129 ustawy Prawo ochrony środowiska powstałych przed dniem wejścia w życie niniejszej ustawy i w tym dniu jeszcze nie przedawnionych, stosowano przepisy tego artyku</w:t>
      </w:r>
      <w:r>
        <w:rPr>
          <w:rFonts w:ascii="Book Antiqua" w:hAnsi="Book Antiqua"/>
          <w:sz w:val="25"/>
          <w:szCs w:val="25"/>
        </w:rPr>
        <w:t>łu w brzmieniu zaproponowanym w niniejszym projektem ustawy</w:t>
      </w:r>
      <w:r w:rsidRPr="006C763B">
        <w:rPr>
          <w:rFonts w:ascii="Book Antiqua" w:hAnsi="Book Antiqua"/>
          <w:sz w:val="25"/>
          <w:szCs w:val="25"/>
        </w:rPr>
        <w:t>.</w:t>
      </w:r>
    </w:p>
    <w:p w:rsidR="000A08DB" w:rsidRPr="00F44E59" w:rsidRDefault="000A08DB" w:rsidP="000A08DB">
      <w:pPr>
        <w:autoSpaceDN w:val="0"/>
        <w:spacing w:line="360" w:lineRule="auto"/>
        <w:ind w:firstLine="360"/>
        <w:jc w:val="both"/>
        <w:rPr>
          <w:rFonts w:ascii="Book Antiqua" w:hAnsi="Book Antiqua" w:cs="Times New Roman"/>
          <w:sz w:val="25"/>
          <w:szCs w:val="25"/>
        </w:rPr>
      </w:pPr>
    </w:p>
    <w:p w:rsidR="000A08DB" w:rsidRPr="00783833" w:rsidRDefault="000A08DB" w:rsidP="000A08DB">
      <w:pPr>
        <w:numPr>
          <w:ilvl w:val="0"/>
          <w:numId w:val="1"/>
        </w:numPr>
        <w:suppressAutoHyphens/>
        <w:autoSpaceDN w:val="0"/>
        <w:spacing w:after="120" w:line="256" w:lineRule="auto"/>
        <w:jc w:val="both"/>
        <w:textAlignment w:val="baseline"/>
        <w:rPr>
          <w:rFonts w:ascii="Book Antiqua" w:eastAsia="Calibri" w:hAnsi="Book Antiqua" w:cs="Times New Roman"/>
          <w:b/>
          <w:sz w:val="25"/>
          <w:szCs w:val="25"/>
        </w:rPr>
      </w:pPr>
      <w:r w:rsidRPr="00783833">
        <w:rPr>
          <w:rFonts w:ascii="Book Antiqua" w:eastAsia="Calibri" w:hAnsi="Book Antiqua" w:cs="Times New Roman"/>
          <w:b/>
          <w:sz w:val="25"/>
          <w:szCs w:val="25"/>
        </w:rPr>
        <w:t>Przewidywane skutki społeczne, gospodarcze, finansowe i prawne i źródła finasowania</w:t>
      </w:r>
    </w:p>
    <w:p w:rsidR="000A08DB" w:rsidRPr="00783833" w:rsidRDefault="000A08DB" w:rsidP="000A08DB">
      <w:pPr>
        <w:suppressAutoHyphens/>
        <w:autoSpaceDN w:val="0"/>
        <w:spacing w:after="120" w:line="360" w:lineRule="auto"/>
        <w:ind w:firstLine="360"/>
        <w:jc w:val="both"/>
        <w:textAlignment w:val="baseline"/>
        <w:rPr>
          <w:rFonts w:ascii="Book Antiqua" w:eastAsia="Calibri" w:hAnsi="Book Antiqua" w:cs="Times New Roman"/>
          <w:b/>
          <w:sz w:val="25"/>
          <w:szCs w:val="25"/>
        </w:rPr>
      </w:pPr>
      <w:r w:rsidRPr="00783833">
        <w:rPr>
          <w:rFonts w:ascii="Book Antiqua" w:eastAsia="Calibri" w:hAnsi="Book Antiqua" w:cs="Times New Roman"/>
          <w:sz w:val="25"/>
          <w:szCs w:val="25"/>
        </w:rPr>
        <w:t>Projektowana ustawa będzie miała pozytywne skutki społeczne z uwagi na to, iż zawarte w niej zmiany będą odbierane jako bardziej sprawiedliwe od obowiązujących.</w:t>
      </w:r>
    </w:p>
    <w:p w:rsidR="000A08DB" w:rsidRPr="00783833" w:rsidRDefault="000A08DB" w:rsidP="000A08DB">
      <w:pPr>
        <w:suppressAutoHyphens/>
        <w:autoSpaceDN w:val="0"/>
        <w:spacing w:after="120" w:line="360" w:lineRule="auto"/>
        <w:ind w:firstLine="426"/>
        <w:jc w:val="both"/>
        <w:textAlignment w:val="baseline"/>
        <w:rPr>
          <w:rFonts w:ascii="Book Antiqua" w:eastAsia="Calibri" w:hAnsi="Book Antiqua" w:cs="Times New Roman"/>
          <w:b/>
          <w:sz w:val="25"/>
          <w:szCs w:val="25"/>
        </w:rPr>
      </w:pPr>
      <w:r>
        <w:rPr>
          <w:rFonts w:ascii="Book Antiqua" w:eastAsia="Calibri" w:hAnsi="Book Antiqua" w:cs="Times New Roman"/>
          <w:sz w:val="25"/>
          <w:szCs w:val="25"/>
        </w:rPr>
        <w:lastRenderedPageBreak/>
        <w:t xml:space="preserve">Wejście w życie projektu ustawy </w:t>
      </w:r>
      <w:r w:rsidRPr="00783833">
        <w:rPr>
          <w:rFonts w:ascii="Book Antiqua" w:eastAsia="Calibri" w:hAnsi="Book Antiqua" w:cs="Times New Roman"/>
          <w:sz w:val="25"/>
          <w:szCs w:val="25"/>
        </w:rPr>
        <w:t>nie będz</w:t>
      </w:r>
      <w:r>
        <w:rPr>
          <w:rFonts w:ascii="Book Antiqua" w:eastAsia="Calibri" w:hAnsi="Book Antiqua" w:cs="Times New Roman"/>
          <w:sz w:val="25"/>
          <w:szCs w:val="25"/>
        </w:rPr>
        <w:t>ie rodziło dodatkowych skutków finansowych. Nowelizacja nie będzie miała</w:t>
      </w:r>
      <w:r w:rsidRPr="00783833">
        <w:rPr>
          <w:rFonts w:ascii="Book Antiqua" w:eastAsia="Calibri" w:hAnsi="Book Antiqua" w:cs="Times New Roman"/>
          <w:sz w:val="25"/>
          <w:szCs w:val="25"/>
        </w:rPr>
        <w:t xml:space="preserve"> wpływu na konkurencyjność gospodarki i przedsiębiorczość, w tym na funkcjonowanie przedsiębiorstw.</w:t>
      </w:r>
    </w:p>
    <w:p w:rsidR="000A08DB" w:rsidRPr="00783833" w:rsidRDefault="000A08DB" w:rsidP="000A08DB">
      <w:pPr>
        <w:autoSpaceDN w:val="0"/>
        <w:spacing w:after="120" w:line="360" w:lineRule="auto"/>
        <w:ind w:firstLine="360"/>
        <w:jc w:val="both"/>
        <w:rPr>
          <w:rFonts w:ascii="Book Antiqua" w:eastAsia="Calibri" w:hAnsi="Book Antiqua" w:cs="Times New Roman"/>
          <w:sz w:val="25"/>
          <w:szCs w:val="25"/>
        </w:rPr>
      </w:pPr>
      <w:r w:rsidRPr="00783833">
        <w:rPr>
          <w:rFonts w:ascii="Book Antiqua" w:eastAsia="Calibri" w:hAnsi="Book Antiqua" w:cs="Times New Roman"/>
          <w:sz w:val="25"/>
          <w:szCs w:val="25"/>
        </w:rPr>
        <w:t>Wejście w życie projektowanej ustawy nie będzie miało wpływu na sytuację i rozwój regionalny.</w:t>
      </w:r>
    </w:p>
    <w:p w:rsidR="000A08DB" w:rsidRPr="00783833" w:rsidRDefault="000A08DB" w:rsidP="000A08DB">
      <w:pPr>
        <w:autoSpaceDN w:val="0"/>
        <w:spacing w:after="120" w:line="360" w:lineRule="auto"/>
        <w:ind w:firstLine="360"/>
        <w:jc w:val="both"/>
        <w:rPr>
          <w:rFonts w:ascii="Book Antiqua" w:eastAsia="Calibri" w:hAnsi="Book Antiqua" w:cs="Times New Roman"/>
          <w:sz w:val="25"/>
          <w:szCs w:val="25"/>
        </w:rPr>
      </w:pPr>
      <w:r w:rsidRPr="00783833">
        <w:rPr>
          <w:rFonts w:ascii="Book Antiqua" w:eastAsia="Calibri" w:hAnsi="Book Antiqua" w:cs="Times New Roman"/>
          <w:sz w:val="25"/>
          <w:szCs w:val="25"/>
        </w:rPr>
        <w:t>Wejście w życie projektowanej ustawy nie będzie miało wpływu na rynek pracy.</w:t>
      </w:r>
    </w:p>
    <w:p w:rsidR="000A08DB" w:rsidRPr="00783833" w:rsidRDefault="000A08DB" w:rsidP="000A08DB">
      <w:pPr>
        <w:autoSpaceDN w:val="0"/>
        <w:spacing w:after="120" w:line="276" w:lineRule="auto"/>
        <w:jc w:val="both"/>
        <w:rPr>
          <w:rFonts w:ascii="Book Antiqua" w:eastAsia="Calibri" w:hAnsi="Book Antiqua" w:cs="Times New Roman"/>
          <w:sz w:val="25"/>
          <w:szCs w:val="25"/>
        </w:rPr>
      </w:pPr>
    </w:p>
    <w:p w:rsidR="000A08DB" w:rsidRPr="00783833" w:rsidRDefault="000A08DB" w:rsidP="000A08DB">
      <w:pPr>
        <w:pStyle w:val="Akapitzlist"/>
        <w:widowControl/>
        <w:numPr>
          <w:ilvl w:val="0"/>
          <w:numId w:val="1"/>
        </w:numPr>
        <w:suppressAutoHyphens/>
        <w:autoSpaceDN w:val="0"/>
        <w:spacing w:after="200" w:line="360" w:lineRule="auto"/>
        <w:jc w:val="both"/>
        <w:textAlignment w:val="baseline"/>
        <w:rPr>
          <w:rFonts w:ascii="Book Antiqua" w:eastAsia="Calibri" w:hAnsi="Book Antiqua" w:cs="Times New Roman"/>
          <w:b/>
          <w:color w:val="auto"/>
          <w:sz w:val="25"/>
          <w:szCs w:val="25"/>
          <w:lang w:eastAsia="en-US" w:bidi="ar-SA"/>
        </w:rPr>
      </w:pPr>
      <w:r w:rsidRPr="00783833">
        <w:rPr>
          <w:rFonts w:ascii="Book Antiqua" w:eastAsia="Calibri" w:hAnsi="Book Antiqua" w:cs="Times New Roman"/>
          <w:b/>
          <w:color w:val="auto"/>
          <w:sz w:val="25"/>
          <w:szCs w:val="25"/>
          <w:lang w:eastAsia="en-US" w:bidi="ar-SA"/>
        </w:rPr>
        <w:t>Źródła finansowania, jeżeli projekt niesie obciążenia dla budżetu państwa lub jednostek samorządu terytorialnego</w:t>
      </w:r>
    </w:p>
    <w:p w:rsidR="000A08DB" w:rsidRDefault="000A08DB" w:rsidP="000A08DB">
      <w:pPr>
        <w:autoSpaceDN w:val="0"/>
        <w:spacing w:after="200" w:line="360" w:lineRule="auto"/>
        <w:ind w:firstLine="360"/>
        <w:jc w:val="both"/>
        <w:rPr>
          <w:rFonts w:ascii="Book Antiqua" w:eastAsia="Calibri" w:hAnsi="Book Antiqua" w:cs="Times New Roman"/>
          <w:sz w:val="25"/>
          <w:szCs w:val="25"/>
        </w:rPr>
      </w:pPr>
      <w:r w:rsidRPr="00783833">
        <w:rPr>
          <w:rFonts w:ascii="Book Antiqua" w:eastAsia="Calibri" w:hAnsi="Book Antiqua" w:cs="Times New Roman"/>
          <w:sz w:val="25"/>
          <w:szCs w:val="25"/>
        </w:rPr>
        <w:t xml:space="preserve">Projektowana ustawa nie rodzi </w:t>
      </w:r>
      <w:r>
        <w:rPr>
          <w:rFonts w:ascii="Book Antiqua" w:eastAsia="Calibri" w:hAnsi="Book Antiqua" w:cs="Times New Roman"/>
          <w:sz w:val="25"/>
          <w:szCs w:val="25"/>
        </w:rPr>
        <w:t xml:space="preserve">dodatkowych </w:t>
      </w:r>
      <w:r w:rsidRPr="00783833">
        <w:rPr>
          <w:rFonts w:ascii="Book Antiqua" w:eastAsia="Calibri" w:hAnsi="Book Antiqua" w:cs="Times New Roman"/>
          <w:sz w:val="25"/>
          <w:szCs w:val="25"/>
        </w:rPr>
        <w:t>skutków finansowych dla budżetu państwa oraz budżetów jednostek samorządu terytorialnego</w:t>
      </w:r>
      <w:r>
        <w:rPr>
          <w:rFonts w:ascii="Book Antiqua" w:eastAsia="Calibri" w:hAnsi="Book Antiqua" w:cs="Times New Roman"/>
          <w:sz w:val="25"/>
          <w:szCs w:val="25"/>
        </w:rPr>
        <w:t xml:space="preserve"> ponad te, które potencjalnie mogą występować obecnie</w:t>
      </w:r>
      <w:r w:rsidRPr="00783833">
        <w:rPr>
          <w:rFonts w:ascii="Book Antiqua" w:eastAsia="Calibri" w:hAnsi="Book Antiqua" w:cs="Times New Roman"/>
          <w:sz w:val="25"/>
          <w:szCs w:val="25"/>
        </w:rPr>
        <w:t>.</w:t>
      </w:r>
    </w:p>
    <w:p w:rsidR="000A08DB" w:rsidRPr="00783833" w:rsidRDefault="000A08DB" w:rsidP="000A08DB">
      <w:pPr>
        <w:autoSpaceDN w:val="0"/>
        <w:spacing w:after="200" w:line="360" w:lineRule="auto"/>
        <w:ind w:firstLine="360"/>
        <w:jc w:val="both"/>
        <w:rPr>
          <w:rFonts w:ascii="Book Antiqua" w:eastAsia="Calibri" w:hAnsi="Book Antiqua" w:cs="Times New Roman"/>
          <w:sz w:val="25"/>
          <w:szCs w:val="25"/>
        </w:rPr>
      </w:pPr>
    </w:p>
    <w:p w:rsidR="000A08DB" w:rsidRPr="00783833" w:rsidRDefault="000A08DB" w:rsidP="000A08DB">
      <w:pPr>
        <w:numPr>
          <w:ilvl w:val="0"/>
          <w:numId w:val="2"/>
        </w:numPr>
        <w:suppressAutoHyphens/>
        <w:autoSpaceDN w:val="0"/>
        <w:spacing w:after="200" w:line="256" w:lineRule="auto"/>
        <w:jc w:val="both"/>
        <w:textAlignment w:val="baseline"/>
        <w:rPr>
          <w:rFonts w:ascii="Book Antiqua" w:eastAsia="Calibri" w:hAnsi="Book Antiqua" w:cs="Times New Roman"/>
          <w:b/>
          <w:sz w:val="25"/>
          <w:szCs w:val="25"/>
        </w:rPr>
      </w:pPr>
      <w:r w:rsidRPr="00783833">
        <w:rPr>
          <w:rFonts w:ascii="Book Antiqua" w:eastAsia="Calibri" w:hAnsi="Book Antiqua" w:cs="Times New Roman"/>
          <w:b/>
          <w:sz w:val="25"/>
          <w:szCs w:val="25"/>
        </w:rPr>
        <w:t>Założenia projektów podstawowych aktów wykonawczych</w:t>
      </w:r>
    </w:p>
    <w:p w:rsidR="000A08DB" w:rsidRDefault="000A08DB" w:rsidP="000A08DB">
      <w:pPr>
        <w:autoSpaceDN w:val="0"/>
        <w:spacing w:after="200" w:line="276" w:lineRule="auto"/>
        <w:ind w:firstLine="426"/>
        <w:jc w:val="both"/>
        <w:rPr>
          <w:rFonts w:ascii="Book Antiqua" w:eastAsia="Calibri" w:hAnsi="Book Antiqua" w:cs="Times New Roman"/>
          <w:sz w:val="25"/>
          <w:szCs w:val="25"/>
        </w:rPr>
      </w:pPr>
      <w:r w:rsidRPr="00783833">
        <w:rPr>
          <w:rFonts w:ascii="Book Antiqua" w:eastAsia="Calibri" w:hAnsi="Book Antiqua" w:cs="Times New Roman"/>
          <w:sz w:val="25"/>
          <w:szCs w:val="25"/>
        </w:rPr>
        <w:t>Projekt ustawy nie przewiduje wydania aktów wykonawczych.</w:t>
      </w:r>
    </w:p>
    <w:p w:rsidR="000A08DB" w:rsidRPr="00783833" w:rsidRDefault="000A08DB" w:rsidP="000A08DB">
      <w:pPr>
        <w:autoSpaceDN w:val="0"/>
        <w:spacing w:after="200" w:line="276" w:lineRule="auto"/>
        <w:ind w:firstLine="426"/>
        <w:jc w:val="both"/>
        <w:rPr>
          <w:rFonts w:ascii="Book Antiqua" w:eastAsia="Calibri" w:hAnsi="Book Antiqua" w:cs="Times New Roman"/>
          <w:sz w:val="25"/>
          <w:szCs w:val="25"/>
        </w:rPr>
      </w:pPr>
    </w:p>
    <w:p w:rsidR="000A08DB" w:rsidRPr="00783833" w:rsidRDefault="000A08DB" w:rsidP="000A08DB">
      <w:pPr>
        <w:autoSpaceDN w:val="0"/>
        <w:spacing w:after="200" w:line="360" w:lineRule="auto"/>
        <w:ind w:firstLine="426"/>
        <w:jc w:val="both"/>
        <w:rPr>
          <w:rFonts w:ascii="Book Antiqua" w:eastAsia="Calibri" w:hAnsi="Book Antiqua" w:cs="Times New Roman"/>
          <w:b/>
          <w:sz w:val="25"/>
          <w:szCs w:val="25"/>
        </w:rPr>
      </w:pPr>
      <w:r w:rsidRPr="00783833">
        <w:rPr>
          <w:rFonts w:ascii="Book Antiqua" w:eastAsia="Calibri" w:hAnsi="Book Antiqua" w:cs="Times New Roman"/>
          <w:b/>
          <w:sz w:val="25"/>
          <w:szCs w:val="25"/>
        </w:rPr>
        <w:t>6. Ocena zgodności projektu z prawem Unii Europejskiej</w:t>
      </w:r>
    </w:p>
    <w:p w:rsidR="000A08DB" w:rsidRPr="00783833" w:rsidRDefault="000A08DB" w:rsidP="000A08DB">
      <w:pPr>
        <w:pStyle w:val="Teksttreci20"/>
        <w:shd w:val="clear" w:color="auto" w:fill="auto"/>
        <w:spacing w:before="0" w:after="388" w:line="200" w:lineRule="exact"/>
        <w:ind w:firstLine="426"/>
        <w:rPr>
          <w:rFonts w:ascii="Book Antiqua" w:hAnsi="Book Antiqua"/>
          <w:sz w:val="25"/>
          <w:szCs w:val="25"/>
        </w:rPr>
      </w:pPr>
      <w:r w:rsidRPr="00783833">
        <w:rPr>
          <w:rFonts w:ascii="Book Antiqua" w:hAnsi="Book Antiqua" w:cs="Times New Roman"/>
          <w:b w:val="0"/>
          <w:sz w:val="25"/>
          <w:szCs w:val="25"/>
        </w:rPr>
        <w:t>Projekt ustawy nie jest objęty prawem Unii Europejskiej.</w:t>
      </w:r>
    </w:p>
    <w:p w:rsidR="000A08DB" w:rsidRDefault="000A08DB" w:rsidP="000A08DB">
      <w:pPr>
        <w:autoSpaceDN w:val="0"/>
        <w:spacing w:line="360" w:lineRule="auto"/>
        <w:jc w:val="both"/>
        <w:rPr>
          <w:rFonts w:ascii="Book Antiqua" w:eastAsia="Calibri" w:hAnsi="Book Antiqua" w:cs="Times New Roman"/>
          <w:sz w:val="25"/>
          <w:szCs w:val="25"/>
        </w:rPr>
      </w:pPr>
    </w:p>
    <w:p w:rsidR="000A08DB" w:rsidRDefault="000A08DB" w:rsidP="000A08DB">
      <w:pPr>
        <w:autoSpaceDN w:val="0"/>
        <w:spacing w:line="360" w:lineRule="auto"/>
        <w:jc w:val="both"/>
        <w:rPr>
          <w:rFonts w:ascii="Book Antiqua" w:eastAsia="Calibri" w:hAnsi="Book Antiqua" w:cs="Times New Roman"/>
          <w:sz w:val="25"/>
          <w:szCs w:val="25"/>
        </w:rPr>
      </w:pPr>
      <w:r w:rsidRPr="00783833">
        <w:rPr>
          <w:rFonts w:ascii="Book Antiqua" w:eastAsia="Calibri" w:hAnsi="Book Antiqua" w:cs="Times New Roman"/>
          <w:sz w:val="25"/>
          <w:szCs w:val="25"/>
        </w:rPr>
        <w:t xml:space="preserve">Projekt ustawy nie podlega procedurze notyfikacji w rozumieniu przepisów rozporządzenia Rady Ministrów z dnia 23 grudnia 2002 r. w sprawie sposobu funkcjonowania krajowego systemu notyfikacji norm i aktów prawnych (Dz. U. Nr 239, poz. 2039, z </w:t>
      </w:r>
      <w:proofErr w:type="spellStart"/>
      <w:r w:rsidRPr="00783833">
        <w:rPr>
          <w:rFonts w:ascii="Book Antiqua" w:eastAsia="Calibri" w:hAnsi="Book Antiqua" w:cs="Times New Roman"/>
          <w:sz w:val="25"/>
          <w:szCs w:val="25"/>
        </w:rPr>
        <w:t>późn</w:t>
      </w:r>
      <w:proofErr w:type="spellEnd"/>
      <w:r w:rsidRPr="00783833">
        <w:rPr>
          <w:rFonts w:ascii="Book Antiqua" w:eastAsia="Calibri" w:hAnsi="Book Antiqua" w:cs="Times New Roman"/>
          <w:sz w:val="25"/>
          <w:szCs w:val="25"/>
        </w:rPr>
        <w:t>. zm.), ponieważ nie zawiera przepisów technicznych.</w:t>
      </w:r>
    </w:p>
    <w:p w:rsidR="000A08DB" w:rsidRPr="00783833" w:rsidRDefault="000A08DB" w:rsidP="000A08DB">
      <w:pPr>
        <w:autoSpaceDN w:val="0"/>
        <w:spacing w:line="360" w:lineRule="auto"/>
        <w:jc w:val="both"/>
        <w:rPr>
          <w:rFonts w:ascii="Book Antiqua" w:eastAsia="Calibri" w:hAnsi="Book Antiqua" w:cs="Times New Roman"/>
          <w:sz w:val="25"/>
          <w:szCs w:val="25"/>
        </w:rPr>
      </w:pPr>
    </w:p>
    <w:p w:rsidR="000A08DB" w:rsidRPr="00783833" w:rsidRDefault="000A08DB" w:rsidP="000A08DB">
      <w:pPr>
        <w:pStyle w:val="Akapitzlist"/>
        <w:widowControl/>
        <w:numPr>
          <w:ilvl w:val="0"/>
          <w:numId w:val="3"/>
        </w:numPr>
        <w:autoSpaceDN w:val="0"/>
        <w:spacing w:after="160" w:line="360" w:lineRule="auto"/>
        <w:jc w:val="both"/>
        <w:rPr>
          <w:rFonts w:ascii="Book Antiqua" w:hAnsi="Book Antiqua" w:cs="Times New Roman"/>
          <w:sz w:val="25"/>
          <w:szCs w:val="25"/>
        </w:rPr>
      </w:pPr>
      <w:r w:rsidRPr="00783833">
        <w:rPr>
          <w:rFonts w:ascii="Book Antiqua" w:hAnsi="Book Antiqua" w:cs="Times New Roman"/>
          <w:sz w:val="25"/>
          <w:szCs w:val="25"/>
        </w:rPr>
        <w:lastRenderedPageBreak/>
        <w:t xml:space="preserve">Nie przeprowadzono konsultacji, o których mowa w art. 34 ust.3 regulaminu Sejmu. </w:t>
      </w:r>
    </w:p>
    <w:p w:rsidR="000A08DB" w:rsidRDefault="000A08DB" w:rsidP="000A08DB"/>
    <w:p w:rsidR="00DC0241" w:rsidRDefault="00DC0241"/>
    <w:sectPr w:rsidR="00DC0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BA2" w:rsidRDefault="00F40BA2" w:rsidP="000A08DB">
      <w:pPr>
        <w:spacing w:after="0" w:line="240" w:lineRule="auto"/>
      </w:pPr>
      <w:r>
        <w:separator/>
      </w:r>
    </w:p>
  </w:endnote>
  <w:endnote w:type="continuationSeparator" w:id="0">
    <w:p w:rsidR="00F40BA2" w:rsidRDefault="00F40BA2" w:rsidP="000A0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BA2" w:rsidRDefault="00F40BA2" w:rsidP="000A08DB">
      <w:pPr>
        <w:spacing w:after="0" w:line="240" w:lineRule="auto"/>
      </w:pPr>
      <w:r>
        <w:separator/>
      </w:r>
    </w:p>
  </w:footnote>
  <w:footnote w:type="continuationSeparator" w:id="0">
    <w:p w:rsidR="00F40BA2" w:rsidRDefault="00F40BA2" w:rsidP="000A08DB">
      <w:pPr>
        <w:spacing w:after="0" w:line="240" w:lineRule="auto"/>
      </w:pPr>
      <w:r>
        <w:continuationSeparator/>
      </w:r>
    </w:p>
  </w:footnote>
  <w:footnote w:id="1">
    <w:p w:rsidR="000A08DB" w:rsidRDefault="000A08DB" w:rsidP="000A08D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Verdana" w:hAnsi="Verdana"/>
          <w:color w:val="000000"/>
          <w:sz w:val="17"/>
          <w:szCs w:val="17"/>
        </w:rPr>
        <w:t>Obwieszczenie Marszałka Sejmu Rzeczypospolitej Polskiej z dnia 19 kwietnia 2016 r. w sprawie ogłoszenia jednolitego tekstu ustawy – Prawo ochrony środowiska (</w:t>
      </w:r>
      <w:r w:rsidRPr="00E8541A">
        <w:rPr>
          <w:rFonts w:ascii="Verdana" w:hAnsi="Verdana"/>
          <w:color w:val="000000"/>
          <w:sz w:val="17"/>
          <w:szCs w:val="17"/>
        </w:rPr>
        <w:t>Dz.U. 2016 poz. 672</w:t>
      </w:r>
      <w:r>
        <w:rPr>
          <w:rFonts w:ascii="Verdana" w:hAnsi="Verdana"/>
          <w:color w:val="000000"/>
          <w:sz w:val="17"/>
          <w:szCs w:val="17"/>
        </w:rPr>
        <w:t>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8517F"/>
    <w:multiLevelType w:val="hybridMultilevel"/>
    <w:tmpl w:val="A7388FF4"/>
    <w:lvl w:ilvl="0" w:tplc="1D5CBCA6">
      <w:start w:val="7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91F48B4"/>
    <w:multiLevelType w:val="multilevel"/>
    <w:tmpl w:val="D7904C3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8DB"/>
    <w:rsid w:val="0001605C"/>
    <w:rsid w:val="00042485"/>
    <w:rsid w:val="000505D2"/>
    <w:rsid w:val="000A08DB"/>
    <w:rsid w:val="002F1FC6"/>
    <w:rsid w:val="00313A85"/>
    <w:rsid w:val="0045462A"/>
    <w:rsid w:val="004E4D33"/>
    <w:rsid w:val="004E706F"/>
    <w:rsid w:val="00553BAC"/>
    <w:rsid w:val="005656CA"/>
    <w:rsid w:val="005872F1"/>
    <w:rsid w:val="006C22D1"/>
    <w:rsid w:val="007A458A"/>
    <w:rsid w:val="00842032"/>
    <w:rsid w:val="00956AB0"/>
    <w:rsid w:val="00A31602"/>
    <w:rsid w:val="00B97B82"/>
    <w:rsid w:val="00D43AB8"/>
    <w:rsid w:val="00D4567D"/>
    <w:rsid w:val="00DC0241"/>
    <w:rsid w:val="00ED0392"/>
    <w:rsid w:val="00F4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08D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0A08DB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A08DB"/>
    <w:pPr>
      <w:widowControl w:val="0"/>
      <w:shd w:val="clear" w:color="auto" w:fill="FFFFFF"/>
      <w:spacing w:before="300" w:after="300" w:line="0" w:lineRule="atLeast"/>
      <w:jc w:val="both"/>
    </w:pPr>
    <w:rPr>
      <w:rFonts w:ascii="Calibri" w:eastAsia="Calibri" w:hAnsi="Calibri" w:cs="Calibri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A08DB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customStyle="1" w:styleId="ARTartustawynprozporzdzenia">
    <w:name w:val="ART(§) – art. ustawy (§ np. rozporządzenia)"/>
    <w:uiPriority w:val="11"/>
    <w:qFormat/>
    <w:rsid w:val="000A08D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A08DB"/>
    <w:rPr>
      <w:rFonts w:ascii="Times New Roman" w:hAnsi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A0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A08DB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60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6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0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6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0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08D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0A08DB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A08DB"/>
    <w:pPr>
      <w:widowControl w:val="0"/>
      <w:shd w:val="clear" w:color="auto" w:fill="FFFFFF"/>
      <w:spacing w:before="300" w:after="300" w:line="0" w:lineRule="atLeast"/>
      <w:jc w:val="both"/>
    </w:pPr>
    <w:rPr>
      <w:rFonts w:ascii="Calibri" w:eastAsia="Calibri" w:hAnsi="Calibri" w:cs="Calibri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A08DB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customStyle="1" w:styleId="ARTartustawynprozporzdzenia">
    <w:name w:val="ART(§) – art. ustawy (§ np. rozporządzenia)"/>
    <w:uiPriority w:val="11"/>
    <w:qFormat/>
    <w:rsid w:val="000A08D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A08DB"/>
    <w:rPr>
      <w:rFonts w:ascii="Times New Roman" w:hAnsi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A0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A08DB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60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6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0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6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0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1090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Rutkowska-Skwara</dc:creator>
  <cp:lastModifiedBy>Ewa A. Genert</cp:lastModifiedBy>
  <cp:revision>2</cp:revision>
  <dcterms:created xsi:type="dcterms:W3CDTF">2016-07-22T12:30:00Z</dcterms:created>
  <dcterms:modified xsi:type="dcterms:W3CDTF">2016-07-22T12:30:00Z</dcterms:modified>
</cp:coreProperties>
</file>