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7B" w:rsidRDefault="00D7347B" w:rsidP="00D7347B">
      <w:pPr>
        <w:spacing w:line="360" w:lineRule="auto"/>
        <w:jc w:val="right"/>
        <w:rPr>
          <w:sz w:val="24"/>
          <w:szCs w:val="24"/>
        </w:rPr>
      </w:pPr>
    </w:p>
    <w:p w:rsidR="00D7347B" w:rsidRDefault="00D7347B" w:rsidP="00D7347B">
      <w:pPr>
        <w:spacing w:line="360" w:lineRule="auto"/>
        <w:jc w:val="right"/>
        <w:rPr>
          <w:sz w:val="24"/>
          <w:szCs w:val="24"/>
        </w:rPr>
      </w:pPr>
    </w:p>
    <w:p w:rsidR="00D7347B" w:rsidRDefault="00D7347B" w:rsidP="00D7347B">
      <w:pPr>
        <w:spacing w:line="360" w:lineRule="auto"/>
        <w:jc w:val="right"/>
        <w:rPr>
          <w:sz w:val="24"/>
          <w:szCs w:val="24"/>
        </w:rPr>
      </w:pPr>
    </w:p>
    <w:p w:rsidR="00D7347B" w:rsidRDefault="00D7347B" w:rsidP="00D7347B">
      <w:pPr>
        <w:spacing w:line="360" w:lineRule="auto"/>
        <w:jc w:val="right"/>
        <w:rPr>
          <w:sz w:val="24"/>
          <w:szCs w:val="24"/>
        </w:rPr>
      </w:pPr>
    </w:p>
    <w:p w:rsidR="00D7347B" w:rsidRDefault="00D7347B" w:rsidP="00D7347B">
      <w:pPr>
        <w:spacing w:line="360" w:lineRule="auto"/>
        <w:jc w:val="right"/>
        <w:rPr>
          <w:sz w:val="24"/>
          <w:szCs w:val="24"/>
        </w:rPr>
      </w:pPr>
    </w:p>
    <w:p w:rsidR="00BA7E11" w:rsidRPr="00BA7E11" w:rsidRDefault="00BA7E11" w:rsidP="00BA7E11">
      <w:pPr>
        <w:spacing w:line="360" w:lineRule="auto"/>
        <w:jc w:val="right"/>
        <w:rPr>
          <w:b/>
          <w:sz w:val="24"/>
          <w:szCs w:val="24"/>
        </w:rPr>
      </w:pPr>
      <w:bookmarkStart w:id="0" w:name="_GoBack"/>
      <w:bookmarkEnd w:id="0"/>
      <w:r w:rsidRPr="00BA7E11">
        <w:rPr>
          <w:b/>
          <w:sz w:val="24"/>
          <w:szCs w:val="24"/>
        </w:rPr>
        <w:t>Projekt</w:t>
      </w:r>
    </w:p>
    <w:p w:rsidR="00BA7E11" w:rsidRPr="00BA7E11" w:rsidRDefault="00BA7E11" w:rsidP="00BA7E11">
      <w:pPr>
        <w:spacing w:line="360" w:lineRule="auto"/>
        <w:jc w:val="right"/>
        <w:rPr>
          <w:sz w:val="24"/>
          <w:szCs w:val="24"/>
        </w:rPr>
      </w:pPr>
    </w:p>
    <w:p w:rsidR="00BA7E11" w:rsidRPr="00BA7E11" w:rsidRDefault="00BA7E11" w:rsidP="00BA7E11">
      <w:pPr>
        <w:spacing w:line="360" w:lineRule="auto"/>
        <w:jc w:val="center"/>
        <w:rPr>
          <w:b/>
          <w:sz w:val="24"/>
          <w:szCs w:val="24"/>
        </w:rPr>
      </w:pPr>
      <w:r w:rsidRPr="00BA7E11">
        <w:rPr>
          <w:b/>
          <w:sz w:val="24"/>
          <w:szCs w:val="24"/>
        </w:rPr>
        <w:t>Ustawa</w:t>
      </w:r>
    </w:p>
    <w:p w:rsidR="00BA7E11" w:rsidRPr="00BA7E11" w:rsidRDefault="00BA7E11" w:rsidP="00BA7E11">
      <w:pPr>
        <w:spacing w:line="360" w:lineRule="auto"/>
        <w:jc w:val="center"/>
        <w:rPr>
          <w:b/>
          <w:sz w:val="24"/>
          <w:szCs w:val="24"/>
        </w:rPr>
      </w:pPr>
      <w:r w:rsidRPr="00BA7E11">
        <w:rPr>
          <w:b/>
          <w:sz w:val="24"/>
          <w:szCs w:val="24"/>
        </w:rPr>
        <w:t>z dnia ……………….. 2016 r.</w:t>
      </w:r>
    </w:p>
    <w:p w:rsidR="00BA7E11" w:rsidRPr="00BA7E11" w:rsidRDefault="00BA7E11" w:rsidP="00BA7E11">
      <w:pPr>
        <w:spacing w:line="360" w:lineRule="auto"/>
        <w:jc w:val="center"/>
        <w:rPr>
          <w:b/>
          <w:bCs/>
          <w:sz w:val="24"/>
          <w:szCs w:val="24"/>
        </w:rPr>
      </w:pPr>
      <w:r w:rsidRPr="00BA7E11">
        <w:rPr>
          <w:b/>
          <w:sz w:val="24"/>
          <w:szCs w:val="24"/>
        </w:rPr>
        <w:t xml:space="preserve">o zmianie ustawy </w:t>
      </w:r>
      <w:r w:rsidRPr="00324540">
        <w:rPr>
          <w:b/>
          <w:bCs/>
          <w:sz w:val="24"/>
          <w:szCs w:val="24"/>
        </w:rPr>
        <w:t xml:space="preserve">o </w:t>
      </w:r>
      <w:r w:rsidRPr="00BA7E11">
        <w:rPr>
          <w:b/>
          <w:bCs/>
          <w:sz w:val="24"/>
          <w:szCs w:val="24"/>
        </w:rPr>
        <w:t>ubezpieczeniu</w:t>
      </w:r>
      <w:r w:rsidRPr="00324540">
        <w:rPr>
          <w:b/>
          <w:bCs/>
          <w:sz w:val="24"/>
          <w:szCs w:val="24"/>
        </w:rPr>
        <w:t xml:space="preserve"> </w:t>
      </w:r>
      <w:r w:rsidRPr="00BA7E11">
        <w:rPr>
          <w:b/>
          <w:bCs/>
          <w:sz w:val="24"/>
          <w:szCs w:val="24"/>
        </w:rPr>
        <w:t>społecznym</w:t>
      </w:r>
      <w:r w:rsidRPr="00324540">
        <w:rPr>
          <w:b/>
          <w:bCs/>
          <w:sz w:val="24"/>
          <w:szCs w:val="24"/>
        </w:rPr>
        <w:t xml:space="preserve"> </w:t>
      </w:r>
      <w:r w:rsidRPr="00BA7E11">
        <w:rPr>
          <w:b/>
          <w:bCs/>
          <w:sz w:val="24"/>
          <w:szCs w:val="24"/>
        </w:rPr>
        <w:t>rolników</w:t>
      </w:r>
    </w:p>
    <w:p w:rsidR="00BA7E11" w:rsidRDefault="00BA7E11" w:rsidP="00BA7E11">
      <w:pPr>
        <w:spacing w:line="360" w:lineRule="auto"/>
        <w:jc w:val="center"/>
        <w:rPr>
          <w:bCs/>
          <w:sz w:val="24"/>
          <w:szCs w:val="24"/>
        </w:rPr>
      </w:pPr>
    </w:p>
    <w:p w:rsidR="00BA7E11" w:rsidRDefault="00BA7E11" w:rsidP="00BA7E11">
      <w:pPr>
        <w:spacing w:line="360" w:lineRule="auto"/>
        <w:jc w:val="center"/>
        <w:rPr>
          <w:bCs/>
          <w:sz w:val="24"/>
          <w:szCs w:val="24"/>
        </w:rPr>
      </w:pPr>
    </w:p>
    <w:p w:rsidR="00BA7E11" w:rsidRPr="00BA7E11" w:rsidRDefault="00BA7E11" w:rsidP="00BA7E11">
      <w:pPr>
        <w:spacing w:line="360" w:lineRule="auto"/>
        <w:jc w:val="center"/>
        <w:rPr>
          <w:bCs/>
          <w:sz w:val="24"/>
          <w:szCs w:val="24"/>
        </w:rPr>
      </w:pPr>
    </w:p>
    <w:p w:rsidR="00BA7E11" w:rsidRPr="00BA7E11" w:rsidRDefault="00BA7E11" w:rsidP="00BA7E11">
      <w:pPr>
        <w:spacing w:line="360" w:lineRule="auto"/>
        <w:jc w:val="center"/>
        <w:rPr>
          <w:b/>
          <w:bCs/>
          <w:sz w:val="24"/>
          <w:szCs w:val="24"/>
        </w:rPr>
      </w:pPr>
      <w:r w:rsidRPr="00BA7E11">
        <w:rPr>
          <w:b/>
          <w:bCs/>
          <w:sz w:val="24"/>
          <w:szCs w:val="24"/>
        </w:rPr>
        <w:t>Art. 1</w:t>
      </w:r>
    </w:p>
    <w:p w:rsidR="00BA7E11" w:rsidRPr="00BA7E11" w:rsidRDefault="00BA7E11" w:rsidP="00BA7E11">
      <w:pPr>
        <w:spacing w:line="360" w:lineRule="auto"/>
        <w:rPr>
          <w:bCs/>
          <w:sz w:val="24"/>
          <w:szCs w:val="24"/>
        </w:rPr>
      </w:pPr>
      <w:r w:rsidRPr="00BA7E11">
        <w:rPr>
          <w:bCs/>
          <w:sz w:val="24"/>
          <w:szCs w:val="24"/>
        </w:rPr>
        <w:t xml:space="preserve">W ustawie z dnia </w:t>
      </w:r>
      <w:r w:rsidRPr="00324540">
        <w:rPr>
          <w:sz w:val="24"/>
          <w:szCs w:val="24"/>
        </w:rPr>
        <w:t>20 grudnia 1990 r.</w:t>
      </w:r>
      <w:r w:rsidRPr="00BA7E11">
        <w:rPr>
          <w:sz w:val="24"/>
          <w:szCs w:val="24"/>
        </w:rPr>
        <w:t xml:space="preserve"> (Dz.U.2016.277 j.t) </w:t>
      </w:r>
      <w:r w:rsidRPr="00324540">
        <w:rPr>
          <w:bCs/>
          <w:sz w:val="24"/>
          <w:szCs w:val="24"/>
        </w:rPr>
        <w:t xml:space="preserve">o </w:t>
      </w:r>
      <w:r w:rsidRPr="00BA7E11">
        <w:rPr>
          <w:bCs/>
          <w:sz w:val="24"/>
          <w:szCs w:val="24"/>
        </w:rPr>
        <w:t>ubezpieczeniu</w:t>
      </w:r>
      <w:r w:rsidRPr="00324540">
        <w:rPr>
          <w:bCs/>
          <w:sz w:val="24"/>
          <w:szCs w:val="24"/>
        </w:rPr>
        <w:t xml:space="preserve"> </w:t>
      </w:r>
      <w:r w:rsidRPr="00BA7E11">
        <w:rPr>
          <w:bCs/>
          <w:sz w:val="24"/>
          <w:szCs w:val="24"/>
        </w:rPr>
        <w:t>społecznym</w:t>
      </w:r>
      <w:r w:rsidRPr="00324540">
        <w:rPr>
          <w:bCs/>
          <w:sz w:val="24"/>
          <w:szCs w:val="24"/>
        </w:rPr>
        <w:t xml:space="preserve"> </w:t>
      </w:r>
      <w:r w:rsidRPr="00BA7E11">
        <w:rPr>
          <w:bCs/>
          <w:sz w:val="24"/>
          <w:szCs w:val="24"/>
        </w:rPr>
        <w:t>rolników wprowadza się następujące zmiany:</w:t>
      </w:r>
    </w:p>
    <w:p w:rsidR="00BA7E11" w:rsidRPr="00BA7E11" w:rsidRDefault="00BA7E11" w:rsidP="00BA7E11">
      <w:pPr>
        <w:pStyle w:val="Akapitzlist"/>
        <w:numPr>
          <w:ilvl w:val="0"/>
          <w:numId w:val="2"/>
        </w:numPr>
        <w:spacing w:line="360" w:lineRule="auto"/>
        <w:rPr>
          <w:sz w:val="24"/>
          <w:szCs w:val="24"/>
        </w:rPr>
      </w:pPr>
      <w:r w:rsidRPr="00BA7E11">
        <w:rPr>
          <w:sz w:val="24"/>
          <w:szCs w:val="24"/>
        </w:rPr>
        <w:t>Art. 19 ust. 2a otrzymuje brzmienie:</w:t>
      </w:r>
    </w:p>
    <w:p w:rsidR="00BA7E11" w:rsidRDefault="00BA7E11" w:rsidP="00BA7E11">
      <w:pPr>
        <w:pStyle w:val="Akapitzlist"/>
        <w:spacing w:line="360" w:lineRule="auto"/>
        <w:rPr>
          <w:sz w:val="24"/>
          <w:szCs w:val="24"/>
        </w:rPr>
      </w:pPr>
      <w:r w:rsidRPr="00BA7E11">
        <w:rPr>
          <w:sz w:val="24"/>
          <w:szCs w:val="24"/>
        </w:rPr>
        <w:t xml:space="preserve">„2a. Przepis ust. 2 stosuje się do </w:t>
      </w:r>
      <w:r w:rsidRPr="00BA7E11">
        <w:rPr>
          <w:rStyle w:val="luchili"/>
          <w:sz w:val="24"/>
          <w:szCs w:val="24"/>
        </w:rPr>
        <w:t>rolnika</w:t>
      </w:r>
      <w:r w:rsidRPr="00BA7E11">
        <w:rPr>
          <w:sz w:val="24"/>
          <w:szCs w:val="24"/>
        </w:rPr>
        <w:t>, który do dnia 31 grudnia 2022 r. spełnił warunki, o których mowa w ust. 2.”</w:t>
      </w:r>
    </w:p>
    <w:p w:rsidR="00BA7E11" w:rsidRDefault="00BA7E11" w:rsidP="00BA7E11">
      <w:pPr>
        <w:spacing w:line="360" w:lineRule="auto"/>
        <w:rPr>
          <w:sz w:val="24"/>
          <w:szCs w:val="24"/>
        </w:rPr>
      </w:pPr>
    </w:p>
    <w:p w:rsidR="00BA7E11" w:rsidRDefault="00BA7E11" w:rsidP="00BA7E11">
      <w:pPr>
        <w:spacing w:line="360" w:lineRule="auto"/>
        <w:jc w:val="center"/>
        <w:rPr>
          <w:b/>
          <w:sz w:val="24"/>
          <w:szCs w:val="24"/>
        </w:rPr>
      </w:pPr>
      <w:r w:rsidRPr="00BA7E11">
        <w:rPr>
          <w:b/>
          <w:sz w:val="24"/>
          <w:szCs w:val="24"/>
        </w:rPr>
        <w:t>Art. 2</w:t>
      </w:r>
    </w:p>
    <w:p w:rsidR="00BA7E11" w:rsidRPr="00BA7E11" w:rsidRDefault="00BA7E11" w:rsidP="00BA7E11">
      <w:pPr>
        <w:spacing w:line="360" w:lineRule="auto"/>
        <w:rPr>
          <w:sz w:val="24"/>
          <w:szCs w:val="24"/>
        </w:rPr>
      </w:pPr>
      <w:r w:rsidRPr="00BA7E11">
        <w:rPr>
          <w:sz w:val="24"/>
          <w:szCs w:val="24"/>
        </w:rPr>
        <w:t>Ustawa wchodzi w życie 1 stycznia 2017 r.</w:t>
      </w:r>
    </w:p>
    <w:p w:rsidR="00BA7E11" w:rsidRPr="00BA7E11" w:rsidRDefault="00BA7E11" w:rsidP="00BA7E11">
      <w:pPr>
        <w:pStyle w:val="Akapitzlist"/>
        <w:spacing w:line="360" w:lineRule="auto"/>
        <w:rPr>
          <w:sz w:val="24"/>
          <w:szCs w:val="24"/>
        </w:rPr>
      </w:pPr>
    </w:p>
    <w:p w:rsidR="00BA7E11" w:rsidRDefault="00BA7E11"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2370D2" w:rsidRDefault="002370D2" w:rsidP="00BA7E11">
      <w:pPr>
        <w:spacing w:line="360" w:lineRule="auto"/>
        <w:rPr>
          <w:sz w:val="24"/>
          <w:szCs w:val="24"/>
        </w:rPr>
      </w:pPr>
    </w:p>
    <w:p w:rsidR="00C85922" w:rsidRDefault="00C85922" w:rsidP="00BA7E11">
      <w:pPr>
        <w:spacing w:line="360" w:lineRule="auto"/>
        <w:rPr>
          <w:sz w:val="24"/>
          <w:szCs w:val="24"/>
        </w:rPr>
      </w:pPr>
    </w:p>
    <w:p w:rsidR="002370D2" w:rsidRDefault="002370D2" w:rsidP="00BA7E11">
      <w:pPr>
        <w:spacing w:line="360" w:lineRule="auto"/>
        <w:rPr>
          <w:sz w:val="24"/>
          <w:szCs w:val="24"/>
        </w:rPr>
      </w:pPr>
    </w:p>
    <w:p w:rsidR="002370D2" w:rsidRPr="002370D2" w:rsidRDefault="002370D2" w:rsidP="002370D2">
      <w:pPr>
        <w:spacing w:line="360" w:lineRule="auto"/>
        <w:jc w:val="center"/>
        <w:rPr>
          <w:b/>
          <w:sz w:val="26"/>
          <w:szCs w:val="26"/>
        </w:rPr>
      </w:pPr>
      <w:r w:rsidRPr="002370D2">
        <w:rPr>
          <w:b/>
          <w:sz w:val="26"/>
          <w:szCs w:val="26"/>
        </w:rPr>
        <w:t>Uzasadnienie</w:t>
      </w:r>
    </w:p>
    <w:p w:rsidR="002370D2" w:rsidRPr="002370D2" w:rsidRDefault="002370D2" w:rsidP="002370D2">
      <w:pPr>
        <w:spacing w:line="360" w:lineRule="auto"/>
        <w:jc w:val="both"/>
        <w:rPr>
          <w:sz w:val="26"/>
          <w:szCs w:val="26"/>
        </w:rPr>
      </w:pPr>
    </w:p>
    <w:p w:rsidR="002370D2" w:rsidRPr="002370D2" w:rsidRDefault="002370D2" w:rsidP="00A17F85">
      <w:pPr>
        <w:spacing w:line="360" w:lineRule="auto"/>
        <w:ind w:firstLine="708"/>
        <w:jc w:val="both"/>
        <w:rPr>
          <w:sz w:val="26"/>
          <w:szCs w:val="26"/>
        </w:rPr>
      </w:pPr>
      <w:r w:rsidRPr="002370D2">
        <w:rPr>
          <w:sz w:val="26"/>
          <w:szCs w:val="26"/>
        </w:rPr>
        <w:t>Uchwalenie Ustawy z dnia 11 maja 2012 r. o zmianie ustawy o emeryturach</w:t>
      </w:r>
      <w:r>
        <w:rPr>
          <w:sz w:val="26"/>
          <w:szCs w:val="26"/>
        </w:rPr>
        <w:br/>
      </w:r>
      <w:r w:rsidRPr="002370D2">
        <w:rPr>
          <w:sz w:val="26"/>
          <w:szCs w:val="26"/>
        </w:rPr>
        <w:t>i rentach z Funduszu Ubezpieczeń Społecznych oraz niektórych innych ustaw (Dz.U. 2012 poz. 637) wprowadz</w:t>
      </w:r>
      <w:r w:rsidR="00A17F85">
        <w:rPr>
          <w:sz w:val="26"/>
          <w:szCs w:val="26"/>
        </w:rPr>
        <w:t>i</w:t>
      </w:r>
      <w:r w:rsidRPr="002370D2">
        <w:rPr>
          <w:sz w:val="26"/>
          <w:szCs w:val="26"/>
        </w:rPr>
        <w:t>ło stopniowe podwyższenie wieku emerytalnego, począwszy od 1 stycznia 2013 r.</w:t>
      </w:r>
      <w:r w:rsidR="00A17F85">
        <w:rPr>
          <w:sz w:val="26"/>
          <w:szCs w:val="26"/>
        </w:rPr>
        <w:t>,</w:t>
      </w:r>
      <w:r w:rsidRPr="002370D2">
        <w:rPr>
          <w:sz w:val="26"/>
          <w:szCs w:val="26"/>
        </w:rPr>
        <w:t xml:space="preserve"> wiek emerytalny jest podwyższany stopniowo o 3 miesiące każdego roku. </w:t>
      </w:r>
      <w:r w:rsidR="00A17F85">
        <w:rPr>
          <w:sz w:val="26"/>
          <w:szCs w:val="26"/>
        </w:rPr>
        <w:t>P</w:t>
      </w:r>
      <w:r w:rsidRPr="002370D2">
        <w:rPr>
          <w:sz w:val="26"/>
          <w:szCs w:val="26"/>
        </w:rPr>
        <w:t>odwyższanie wieku emerytalnego dotyczy kobiet urodzonych od</w:t>
      </w:r>
      <w:r>
        <w:rPr>
          <w:sz w:val="26"/>
          <w:szCs w:val="26"/>
        </w:rPr>
        <w:br/>
      </w:r>
      <w:r w:rsidRPr="002370D2">
        <w:rPr>
          <w:sz w:val="26"/>
          <w:szCs w:val="26"/>
        </w:rPr>
        <w:t>1 stycznia 1953 r. i mężczyzn urodzonych od 1 stycznia 1948 r. 67 lat to wiek emerytalny dla kobiet urodzonych po dniu 30 września 1973 r. i mężczyzn urodzonych po dniu 30 września 1953 r.</w:t>
      </w:r>
    </w:p>
    <w:p w:rsidR="002370D2" w:rsidRPr="002370D2" w:rsidRDefault="002370D2" w:rsidP="002370D2">
      <w:pPr>
        <w:spacing w:line="360" w:lineRule="auto"/>
        <w:jc w:val="both"/>
        <w:rPr>
          <w:sz w:val="26"/>
          <w:szCs w:val="26"/>
        </w:rPr>
      </w:pPr>
    </w:p>
    <w:p w:rsidR="002370D2" w:rsidRPr="002370D2" w:rsidRDefault="002370D2" w:rsidP="002370D2">
      <w:pPr>
        <w:spacing w:line="360" w:lineRule="auto"/>
        <w:ind w:firstLine="708"/>
        <w:jc w:val="both"/>
        <w:rPr>
          <w:sz w:val="26"/>
          <w:szCs w:val="26"/>
        </w:rPr>
      </w:pPr>
      <w:r w:rsidRPr="002370D2">
        <w:rPr>
          <w:sz w:val="26"/>
          <w:szCs w:val="26"/>
        </w:rPr>
        <w:t xml:space="preserve">Zgodnie z ustawą możliwe jest przejście na emeryturę kilka lat wcześniej za sprawą tzw. emerytur częściowych. Umożliwiają one przejście na emeryturę po ukończeniu 62 lat przez kobiety oraz 65 lat przez mężczyzn. Konieczne jednak jest uzyskanie stażu ubezpieczeniowego  -  co najmniej 35 lat dla kobiet i co najmniej 40 </w:t>
      </w:r>
      <w:r>
        <w:rPr>
          <w:sz w:val="26"/>
          <w:szCs w:val="26"/>
        </w:rPr>
        <w:br/>
      </w:r>
      <w:r w:rsidRPr="002370D2">
        <w:rPr>
          <w:sz w:val="26"/>
          <w:szCs w:val="26"/>
        </w:rPr>
        <w:t xml:space="preserve">w przypadku mężczyzn. Emerytura częściowa wynosi 50 proc. pełnej kwoty emerytury z </w:t>
      </w:r>
      <w:r w:rsidR="00A17F85" w:rsidRPr="002370D2">
        <w:rPr>
          <w:sz w:val="26"/>
          <w:szCs w:val="26"/>
        </w:rPr>
        <w:t>Funduszu Ubezpieczeń Społecznych</w:t>
      </w:r>
      <w:r w:rsidRPr="002370D2">
        <w:rPr>
          <w:sz w:val="26"/>
          <w:szCs w:val="26"/>
        </w:rPr>
        <w:t>.</w:t>
      </w:r>
    </w:p>
    <w:p w:rsidR="002370D2" w:rsidRPr="002370D2" w:rsidRDefault="002370D2" w:rsidP="002370D2">
      <w:pPr>
        <w:spacing w:line="360" w:lineRule="auto"/>
        <w:jc w:val="both"/>
        <w:rPr>
          <w:sz w:val="26"/>
          <w:szCs w:val="26"/>
        </w:rPr>
      </w:pPr>
    </w:p>
    <w:p w:rsidR="002370D2" w:rsidRPr="002370D2" w:rsidRDefault="002370D2" w:rsidP="002370D2">
      <w:pPr>
        <w:spacing w:line="360" w:lineRule="auto"/>
        <w:ind w:firstLine="708"/>
        <w:jc w:val="both"/>
        <w:rPr>
          <w:sz w:val="26"/>
          <w:szCs w:val="26"/>
        </w:rPr>
      </w:pPr>
      <w:r w:rsidRPr="002370D2">
        <w:rPr>
          <w:sz w:val="26"/>
          <w:szCs w:val="26"/>
        </w:rPr>
        <w:t xml:space="preserve">Zmiany, które weszły w życie w 2013 r. objęły również rolników. Zgodnie </w:t>
      </w:r>
      <w:r>
        <w:rPr>
          <w:sz w:val="26"/>
          <w:szCs w:val="26"/>
        </w:rPr>
        <w:br/>
      </w:r>
      <w:r w:rsidRPr="002370D2">
        <w:rPr>
          <w:sz w:val="26"/>
          <w:szCs w:val="26"/>
        </w:rPr>
        <w:t xml:space="preserve">z systemem powszechnym następuje podwyższanie i sukcesywne zrównywanie wieku emerytalnego dla kobiet i mężczyzn docelowo do 67 lat. Uchwalona ustawa wprowadziła również zmianę dotycząca wcześniejszego przejścia na emeryturę, w wieku 55 lat dla kobiet oraz 60 lat dla  mężczyzn, gdy dana osoba podlegała ubezpieczeniu emerytalno-rentowemu przez okres co najmniej 30 lat oraz zaprzestała prowadzenia działalności rolniczej. Z powyższego rozwiązania mogą skorzystać rolnicy, którzy wskazany wyżej wiek oraz staż ubezpieczeniowy osiągną do dnia 31 </w:t>
      </w:r>
      <w:r w:rsidRPr="002370D2">
        <w:rPr>
          <w:sz w:val="26"/>
          <w:szCs w:val="26"/>
        </w:rPr>
        <w:lastRenderedPageBreak/>
        <w:t xml:space="preserve">grudnia 2017 roku. Projektodawcy zmierzają do przedłużenia ww. okresu o 5 lat, do roku 2022. </w:t>
      </w:r>
    </w:p>
    <w:p w:rsidR="002370D2" w:rsidRPr="002370D2" w:rsidRDefault="002370D2" w:rsidP="002370D2">
      <w:pPr>
        <w:spacing w:line="360" w:lineRule="auto"/>
        <w:jc w:val="both"/>
        <w:rPr>
          <w:sz w:val="26"/>
          <w:szCs w:val="26"/>
        </w:rPr>
      </w:pPr>
    </w:p>
    <w:p w:rsidR="002370D2" w:rsidRPr="002370D2" w:rsidRDefault="002370D2" w:rsidP="00A17F85">
      <w:pPr>
        <w:spacing w:line="360" w:lineRule="auto"/>
        <w:ind w:firstLine="708"/>
        <w:jc w:val="both"/>
        <w:rPr>
          <w:sz w:val="26"/>
          <w:szCs w:val="26"/>
        </w:rPr>
      </w:pPr>
      <w:r w:rsidRPr="002370D2">
        <w:rPr>
          <w:sz w:val="26"/>
          <w:szCs w:val="26"/>
        </w:rPr>
        <w:t xml:space="preserve">Powyższe rozwiązanie przejściowe zostało </w:t>
      </w:r>
      <w:r w:rsidR="00A17F85">
        <w:rPr>
          <w:sz w:val="26"/>
          <w:szCs w:val="26"/>
        </w:rPr>
        <w:t xml:space="preserve">także wprowadzone </w:t>
      </w:r>
      <w:r w:rsidRPr="002370D2">
        <w:rPr>
          <w:sz w:val="26"/>
          <w:szCs w:val="26"/>
        </w:rPr>
        <w:t xml:space="preserve">w stosunku do sędziów i prokuratorów. Mogą oni przechodzić w stan spoczynku na obecnych zasadach do 31 grudnia 2017 r. </w:t>
      </w:r>
      <w:r w:rsidR="00A17F85">
        <w:rPr>
          <w:sz w:val="26"/>
          <w:szCs w:val="26"/>
        </w:rPr>
        <w:t>Uprawnienie to d</w:t>
      </w:r>
      <w:r w:rsidRPr="002370D2">
        <w:rPr>
          <w:sz w:val="26"/>
          <w:szCs w:val="26"/>
        </w:rPr>
        <w:t xml:space="preserve">otyczy 55-letnich kobiet, pod warunkiem że przepracowały na stanowisku sędziego lub prokuratora nie mniej niż 25 lat </w:t>
      </w:r>
      <w:r w:rsidR="00A17F85">
        <w:rPr>
          <w:sz w:val="26"/>
          <w:szCs w:val="26"/>
        </w:rPr>
        <w:t>oraz</w:t>
      </w:r>
      <w:r w:rsidRPr="002370D2">
        <w:rPr>
          <w:sz w:val="26"/>
          <w:szCs w:val="26"/>
        </w:rPr>
        <w:t xml:space="preserve"> </w:t>
      </w:r>
      <w:r w:rsidR="00A17F85">
        <w:rPr>
          <w:sz w:val="26"/>
          <w:szCs w:val="26"/>
        </w:rPr>
        <w:br/>
      </w:r>
      <w:r w:rsidRPr="002370D2">
        <w:rPr>
          <w:sz w:val="26"/>
          <w:szCs w:val="26"/>
        </w:rPr>
        <w:t xml:space="preserve">60-letnich mężczyzn, którzy przepracowali na stanowisku sędziego lub prokuratora nie mniej niż 30 lat. </w:t>
      </w:r>
    </w:p>
    <w:p w:rsidR="002370D2" w:rsidRPr="002370D2" w:rsidRDefault="002370D2" w:rsidP="002370D2">
      <w:pPr>
        <w:spacing w:line="360" w:lineRule="auto"/>
        <w:jc w:val="both"/>
        <w:rPr>
          <w:sz w:val="26"/>
          <w:szCs w:val="26"/>
        </w:rPr>
      </w:pPr>
    </w:p>
    <w:p w:rsidR="002370D2" w:rsidRPr="002370D2" w:rsidRDefault="002370D2" w:rsidP="002370D2">
      <w:pPr>
        <w:spacing w:line="360" w:lineRule="auto"/>
        <w:ind w:firstLine="708"/>
        <w:jc w:val="both"/>
        <w:rPr>
          <w:sz w:val="26"/>
          <w:szCs w:val="26"/>
        </w:rPr>
      </w:pPr>
      <w:r w:rsidRPr="002370D2">
        <w:rPr>
          <w:sz w:val="26"/>
          <w:szCs w:val="26"/>
        </w:rPr>
        <w:t xml:space="preserve">Zgodnie z art. 21 ust. 2 ustawy z dnia 11 maja 2012 r. o zmianie ustawy </w:t>
      </w:r>
      <w:r>
        <w:rPr>
          <w:sz w:val="26"/>
          <w:szCs w:val="26"/>
        </w:rPr>
        <w:br/>
      </w:r>
      <w:r w:rsidRPr="002370D2">
        <w:rPr>
          <w:sz w:val="26"/>
          <w:szCs w:val="26"/>
        </w:rPr>
        <w:t xml:space="preserve">o emeryturach i rentach z Funduszu Ubezpieczeń Społecznych oraz niektórych innych ustaw „Pierwszego przeglądu funkcjonowania systemu emerytalnego po wejściu w życie ustawy i przedłożenia Sejmowi informacji o skutkach jej obowiązywania Rada Ministrów dokona nie później niż do dnia 31 grudnia 2016 r.”. Według wnioskodawców jest to dobry moment na głęboką analizę przepisów dotyczący przejścia na emeryturę. Przejście na preferencyjnych warunkach rolników w obecnym stanie prawnym obowiązuje do końca 2017 roku. W opinii wnioskodawców przedłużenie preferencyjnych warunków przejścia na emeryturę dla rolników o 5 lat jest zasadne ze względu na trudny charakter pracy, który wymaga nie tylko dużej sprawności i wytrzymałości, ale także określonego trybu życia. </w:t>
      </w:r>
    </w:p>
    <w:p w:rsidR="002370D2" w:rsidRPr="002370D2" w:rsidRDefault="002370D2" w:rsidP="002370D2">
      <w:pPr>
        <w:spacing w:line="360" w:lineRule="auto"/>
        <w:jc w:val="both"/>
        <w:rPr>
          <w:sz w:val="26"/>
          <w:szCs w:val="26"/>
        </w:rPr>
      </w:pPr>
    </w:p>
    <w:p w:rsidR="002370D2" w:rsidRPr="002370D2" w:rsidRDefault="002370D2" w:rsidP="002370D2">
      <w:pPr>
        <w:spacing w:line="360" w:lineRule="auto"/>
        <w:ind w:firstLine="708"/>
        <w:jc w:val="both"/>
        <w:rPr>
          <w:sz w:val="26"/>
          <w:szCs w:val="26"/>
        </w:rPr>
      </w:pPr>
      <w:r w:rsidRPr="002370D2">
        <w:rPr>
          <w:sz w:val="26"/>
          <w:szCs w:val="26"/>
        </w:rPr>
        <w:t xml:space="preserve">Przewidywane skutki dla budżetu państwa począwszy od 2018 r. wyniosą ok. </w:t>
      </w:r>
      <w:r>
        <w:rPr>
          <w:sz w:val="26"/>
          <w:szCs w:val="26"/>
        </w:rPr>
        <w:br/>
      </w:r>
      <w:r w:rsidRPr="002370D2">
        <w:rPr>
          <w:sz w:val="26"/>
          <w:szCs w:val="26"/>
        </w:rPr>
        <w:t xml:space="preserve">659 mln zł, przy założeniu, że w kolejnych 5 latach po dniu 31 grudnia 2017 r. liczba takich świadczeń i ich wysokość nie będzie się zmieniała (tj. bez uwzględnienia m.in. zmian demograficznych oraz skutków waloryzacji świadczeń). </w:t>
      </w:r>
    </w:p>
    <w:p w:rsidR="002370D2" w:rsidRPr="002370D2" w:rsidRDefault="002370D2" w:rsidP="002370D2">
      <w:pPr>
        <w:spacing w:line="360" w:lineRule="auto"/>
        <w:ind w:firstLine="708"/>
        <w:jc w:val="both"/>
        <w:rPr>
          <w:sz w:val="26"/>
          <w:szCs w:val="26"/>
        </w:rPr>
      </w:pPr>
      <w:r w:rsidRPr="002370D2">
        <w:rPr>
          <w:sz w:val="26"/>
          <w:szCs w:val="26"/>
        </w:rPr>
        <w:t>Projekt nie powoduje kosztów dla budżetów jednostek samorządu terytorialnego.</w:t>
      </w:r>
    </w:p>
    <w:p w:rsidR="002370D2" w:rsidRPr="002370D2" w:rsidRDefault="002370D2" w:rsidP="002370D2">
      <w:pPr>
        <w:spacing w:line="360" w:lineRule="auto"/>
        <w:ind w:firstLine="708"/>
        <w:jc w:val="both"/>
        <w:rPr>
          <w:sz w:val="26"/>
          <w:szCs w:val="26"/>
        </w:rPr>
      </w:pPr>
      <w:r w:rsidRPr="002370D2">
        <w:rPr>
          <w:sz w:val="26"/>
          <w:szCs w:val="26"/>
        </w:rPr>
        <w:t>Projekt jest zgodny z prawem Unii Europejskiej.</w:t>
      </w:r>
    </w:p>
    <w:p w:rsidR="002370D2" w:rsidRPr="002370D2" w:rsidRDefault="002370D2" w:rsidP="002370D2">
      <w:pPr>
        <w:spacing w:line="360" w:lineRule="auto"/>
        <w:jc w:val="both"/>
        <w:rPr>
          <w:sz w:val="26"/>
          <w:szCs w:val="26"/>
        </w:rPr>
      </w:pPr>
    </w:p>
    <w:p w:rsidR="002370D2" w:rsidRPr="002370D2" w:rsidRDefault="002370D2" w:rsidP="002370D2">
      <w:pPr>
        <w:spacing w:line="360" w:lineRule="auto"/>
        <w:jc w:val="both"/>
        <w:rPr>
          <w:sz w:val="26"/>
          <w:szCs w:val="26"/>
        </w:rPr>
      </w:pPr>
    </w:p>
    <w:p w:rsidR="002370D2" w:rsidRPr="002370D2" w:rsidRDefault="002370D2" w:rsidP="002370D2">
      <w:pPr>
        <w:spacing w:line="360" w:lineRule="auto"/>
        <w:jc w:val="both"/>
        <w:rPr>
          <w:sz w:val="26"/>
          <w:szCs w:val="26"/>
        </w:rPr>
      </w:pPr>
    </w:p>
    <w:p w:rsidR="002370D2" w:rsidRPr="002370D2" w:rsidRDefault="002370D2" w:rsidP="002370D2">
      <w:pPr>
        <w:spacing w:line="360" w:lineRule="auto"/>
        <w:jc w:val="both"/>
        <w:rPr>
          <w:sz w:val="26"/>
          <w:szCs w:val="26"/>
        </w:rPr>
      </w:pPr>
    </w:p>
    <w:p w:rsidR="002370D2" w:rsidRPr="00BA7E11" w:rsidRDefault="002370D2" w:rsidP="00BA7E11">
      <w:pPr>
        <w:spacing w:line="360" w:lineRule="auto"/>
        <w:rPr>
          <w:sz w:val="24"/>
          <w:szCs w:val="24"/>
        </w:rPr>
      </w:pPr>
    </w:p>
    <w:sectPr w:rsidR="002370D2" w:rsidRPr="00BA7E11" w:rsidSect="00CD7527">
      <w:pgSz w:w="11906" w:h="16838"/>
      <w:pgMar w:top="1417" w:right="1286"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1021"/>
    <w:multiLevelType w:val="hybridMultilevel"/>
    <w:tmpl w:val="D24C3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6983015B"/>
    <w:multiLevelType w:val="hybridMultilevel"/>
    <w:tmpl w:val="33E8A44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47B"/>
    <w:rsid w:val="00106C93"/>
    <w:rsid w:val="00152DAF"/>
    <w:rsid w:val="001B2777"/>
    <w:rsid w:val="002269F4"/>
    <w:rsid w:val="002370D2"/>
    <w:rsid w:val="005439BA"/>
    <w:rsid w:val="00593734"/>
    <w:rsid w:val="005B0F78"/>
    <w:rsid w:val="00705C52"/>
    <w:rsid w:val="00990415"/>
    <w:rsid w:val="009F24D7"/>
    <w:rsid w:val="00A17F85"/>
    <w:rsid w:val="00A41412"/>
    <w:rsid w:val="00A4744A"/>
    <w:rsid w:val="00AD6A71"/>
    <w:rsid w:val="00B922F8"/>
    <w:rsid w:val="00BA7E11"/>
    <w:rsid w:val="00C85922"/>
    <w:rsid w:val="00CA69C7"/>
    <w:rsid w:val="00CD7527"/>
    <w:rsid w:val="00CF70FA"/>
    <w:rsid w:val="00D31A75"/>
    <w:rsid w:val="00D7347B"/>
    <w:rsid w:val="00E03920"/>
    <w:rsid w:val="00F17552"/>
    <w:rsid w:val="00FB00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character" w:customStyle="1" w:styleId="luchili">
    <w:name w:val="luc_hili"/>
    <w:basedOn w:val="Domylnaczcionkaakapitu"/>
    <w:rsid w:val="00BA7E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D7347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5B0F78"/>
    <w:rPr>
      <w:rFonts w:ascii="Tahoma" w:hAnsi="Tahoma" w:cs="Tahoma"/>
      <w:sz w:val="16"/>
      <w:szCs w:val="16"/>
    </w:rPr>
  </w:style>
  <w:style w:type="character" w:customStyle="1" w:styleId="TekstdymkaZnak">
    <w:name w:val="Tekst dymka Znak"/>
    <w:link w:val="Tekstdymka"/>
    <w:rsid w:val="005B0F78"/>
    <w:rPr>
      <w:rFonts w:ascii="Tahoma" w:hAnsi="Tahoma" w:cs="Tahoma"/>
      <w:sz w:val="16"/>
      <w:szCs w:val="16"/>
    </w:rPr>
  </w:style>
  <w:style w:type="paragraph" w:styleId="Akapitzlist">
    <w:name w:val="List Paragraph"/>
    <w:basedOn w:val="Normalny"/>
    <w:uiPriority w:val="34"/>
    <w:qFormat/>
    <w:rsid w:val="00AD6A71"/>
    <w:pPr>
      <w:ind w:left="720"/>
      <w:contextualSpacing/>
    </w:pPr>
  </w:style>
  <w:style w:type="character" w:customStyle="1" w:styleId="luchili">
    <w:name w:val="luc_hili"/>
    <w:basedOn w:val="Domylnaczcionkaakapitu"/>
    <w:rsid w:val="00BA7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3319</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Warszawa, dnia 10 stycznia  2012 r</vt:lpstr>
    </vt:vector>
  </TitlesOfParts>
  <Company>KS</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dnia 10 stycznia  2012 r</dc:title>
  <dc:creator>kl0058</dc:creator>
  <cp:lastModifiedBy>Ewa A. Genert</cp:lastModifiedBy>
  <cp:revision>2</cp:revision>
  <cp:lastPrinted>2016-07-14T07:41:00Z</cp:lastPrinted>
  <dcterms:created xsi:type="dcterms:W3CDTF">2016-07-22T10:15:00Z</dcterms:created>
  <dcterms:modified xsi:type="dcterms:W3CDTF">2016-07-22T10:15:00Z</dcterms:modified>
</cp:coreProperties>
</file>