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3F81B" w14:textId="77777777" w:rsidR="006B3E70" w:rsidRPr="003C0F51" w:rsidRDefault="00E21EAD" w:rsidP="002549F6">
      <w:pPr>
        <w:pStyle w:val="TYTTABELItytutabeli"/>
        <w:spacing w:before="0"/>
        <w:rPr>
          <w:rFonts w:ascii="Times New Roman" w:hAnsi="Times New Roman" w:cs="Times New Roman"/>
          <w:b w:val="0"/>
        </w:rPr>
      </w:pPr>
      <w:bookmarkStart w:id="0" w:name="_GoBack"/>
      <w:bookmarkEnd w:id="0"/>
      <w:r w:rsidRPr="003C0F51">
        <w:rPr>
          <w:rFonts w:ascii="Times New Roman" w:hAnsi="Times New Roman" w:cs="Times New Roman"/>
          <w:b w:val="0"/>
        </w:rPr>
        <w:t>uzasadnienie</w:t>
      </w:r>
    </w:p>
    <w:p w14:paraId="12C2894E" w14:textId="493F17FC" w:rsidR="00E21EAD" w:rsidRPr="00677204" w:rsidRDefault="00E21EAD" w:rsidP="003C0F51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>Podstawowym celem projektowanej ustawy jest implementacja</w:t>
      </w:r>
      <w:r w:rsidR="00D203D6" w:rsidRPr="00677204">
        <w:rPr>
          <w:rFonts w:ascii="Times New Roman" w:hAnsi="Times New Roman" w:cs="Times New Roman"/>
          <w:szCs w:val="24"/>
        </w:rPr>
        <w:t xml:space="preserve"> do polskiego porządku prawnego</w:t>
      </w:r>
      <w:r w:rsidRPr="00677204">
        <w:rPr>
          <w:rFonts w:ascii="Times New Roman" w:hAnsi="Times New Roman" w:cs="Times New Roman"/>
          <w:szCs w:val="24"/>
        </w:rPr>
        <w:t xml:space="preserve"> </w:t>
      </w:r>
      <w:r w:rsidR="0098294E">
        <w:rPr>
          <w:rFonts w:ascii="Times New Roman" w:hAnsi="Times New Roman" w:cs="Times New Roman"/>
          <w:szCs w:val="24"/>
        </w:rPr>
        <w:t>d</w:t>
      </w:r>
      <w:r w:rsidR="00D203D6" w:rsidRPr="00677204">
        <w:rPr>
          <w:rFonts w:ascii="Times New Roman" w:hAnsi="Times New Roman" w:cs="Times New Roman"/>
          <w:szCs w:val="24"/>
        </w:rPr>
        <w:t>yrektywy Parlamentu Europejskiego i Rady 2014/92/UE z dnia 23 lipca 2014 r. w</w:t>
      </w:r>
      <w:r w:rsidR="006D4B38">
        <w:rPr>
          <w:rFonts w:ascii="Times New Roman" w:hAnsi="Times New Roman" w:cs="Times New Roman"/>
          <w:szCs w:val="24"/>
        </w:rPr>
        <w:t xml:space="preserve"> </w:t>
      </w:r>
      <w:r w:rsidR="00D203D6" w:rsidRPr="00677204">
        <w:rPr>
          <w:rFonts w:ascii="Times New Roman" w:hAnsi="Times New Roman" w:cs="Times New Roman"/>
          <w:szCs w:val="24"/>
        </w:rPr>
        <w:t>sprawie porównywalności opłat związanych z rachunkami płatniczymi, przenoszenia rachunku płatniczego oraz dostępu do podstawowego rachunku płatniczego</w:t>
      </w:r>
      <w:r w:rsidR="00C05F49" w:rsidRPr="00677204">
        <w:rPr>
          <w:rFonts w:ascii="Times New Roman" w:hAnsi="Times New Roman" w:cs="Times New Roman"/>
          <w:szCs w:val="24"/>
        </w:rPr>
        <w:t xml:space="preserve"> (Dz. Urz. UE L 257 z 28.08.2014, str. 214)</w:t>
      </w:r>
      <w:r w:rsidR="002B1483" w:rsidRPr="00677204">
        <w:rPr>
          <w:rFonts w:ascii="Times New Roman" w:hAnsi="Times New Roman" w:cs="Times New Roman"/>
          <w:szCs w:val="24"/>
        </w:rPr>
        <w:t>, zwanej dalej „dyrektywą 2014/92</w:t>
      </w:r>
      <w:r w:rsidR="0095164B" w:rsidRPr="00677204">
        <w:rPr>
          <w:rFonts w:ascii="Times New Roman" w:hAnsi="Times New Roman" w:cs="Times New Roman"/>
          <w:szCs w:val="24"/>
        </w:rPr>
        <w:t>” albo „dyrektywą”</w:t>
      </w:r>
      <w:r w:rsidR="002B1483" w:rsidRPr="00677204">
        <w:rPr>
          <w:rFonts w:ascii="Times New Roman" w:hAnsi="Times New Roman" w:cs="Times New Roman"/>
          <w:szCs w:val="24"/>
        </w:rPr>
        <w:t>.</w:t>
      </w:r>
    </w:p>
    <w:p w14:paraId="4C1A34CD" w14:textId="6368E5BB" w:rsidR="00BC211F" w:rsidRPr="00677204" w:rsidRDefault="00EF536E" w:rsidP="002549F6">
      <w:pPr>
        <w:pStyle w:val="ARTartustawynprozporzdzenia"/>
        <w:spacing w:before="0"/>
        <w:ind w:firstLine="0"/>
        <w:rPr>
          <w:rFonts w:ascii="Times New Roman" w:hAnsi="Times New Roman" w:cs="Times New Roman"/>
          <w:color w:val="000000"/>
          <w:szCs w:val="24"/>
        </w:rPr>
      </w:pPr>
      <w:r w:rsidRPr="00677204">
        <w:rPr>
          <w:rFonts w:ascii="Times New Roman" w:hAnsi="Times New Roman" w:cs="Times New Roman"/>
          <w:color w:val="000000"/>
          <w:szCs w:val="24"/>
        </w:rPr>
        <w:t>Zgodnie z Diagnozą stanu rozwoju obrotu bezgotówkowego w Polsce opublikowaną przez Narodowy Bank Polski w grudniu 2013 r</w:t>
      </w:r>
      <w:r w:rsidR="002B1483" w:rsidRPr="00677204">
        <w:rPr>
          <w:rFonts w:ascii="Times New Roman" w:hAnsi="Times New Roman" w:cs="Times New Roman"/>
          <w:color w:val="000000"/>
          <w:szCs w:val="24"/>
        </w:rPr>
        <w:t>.</w:t>
      </w:r>
      <w:r w:rsidR="00BC211F" w:rsidRPr="00677204">
        <w:rPr>
          <w:rFonts w:ascii="Times New Roman" w:hAnsi="Times New Roman" w:cs="Times New Roman"/>
          <w:color w:val="000000"/>
          <w:szCs w:val="24"/>
        </w:rPr>
        <w:t>,</w:t>
      </w:r>
      <w:r w:rsidR="00BC211F" w:rsidRPr="00677204">
        <w:rPr>
          <w:rStyle w:val="Odwoanieprzypisudolnego"/>
          <w:rFonts w:ascii="Times New Roman" w:hAnsi="Times New Roman" w:cs="Times New Roman"/>
          <w:color w:val="000000"/>
          <w:szCs w:val="24"/>
        </w:rPr>
        <w:footnoteReference w:id="1"/>
      </w:r>
      <w:r w:rsidR="00677204">
        <w:rPr>
          <w:rFonts w:ascii="Times New Roman" w:hAnsi="Times New Roman" w:cs="Times New Roman"/>
          <w:color w:val="000000"/>
          <w:szCs w:val="24"/>
          <w:vertAlign w:val="superscript"/>
        </w:rPr>
        <w:t>)</w:t>
      </w:r>
      <w:r w:rsidR="00C05F49" w:rsidRPr="00677204">
        <w:rPr>
          <w:rFonts w:ascii="Times New Roman" w:hAnsi="Times New Roman" w:cs="Times New Roman"/>
          <w:color w:val="000000"/>
          <w:szCs w:val="24"/>
        </w:rPr>
        <w:t xml:space="preserve"> </w:t>
      </w:r>
      <w:r w:rsidRPr="00677204">
        <w:rPr>
          <w:rFonts w:ascii="Times New Roman" w:hAnsi="Times New Roman" w:cs="Times New Roman"/>
          <w:color w:val="000000"/>
          <w:szCs w:val="24"/>
        </w:rPr>
        <w:t>„wciąż znaczna część polskiego społeczeństwa nie posiada rachunku bankowego, a tym samym nie ma możliwości opłacania swoich zobowiązań w formie bezgotówkowej lub, posiadając rachunek bankowy, wyk</w:t>
      </w:r>
      <w:r w:rsidR="002549F6" w:rsidRPr="00677204">
        <w:rPr>
          <w:rFonts w:ascii="Times New Roman" w:hAnsi="Times New Roman" w:cs="Times New Roman"/>
          <w:color w:val="000000"/>
          <w:szCs w:val="24"/>
        </w:rPr>
        <w:t>orzystuje go w</w:t>
      </w:r>
      <w:r w:rsidR="006D4B38">
        <w:rPr>
          <w:rFonts w:ascii="Times New Roman" w:hAnsi="Times New Roman" w:cs="Times New Roman"/>
          <w:color w:val="000000"/>
          <w:szCs w:val="24"/>
        </w:rPr>
        <w:t xml:space="preserve"> </w:t>
      </w:r>
      <w:r w:rsidRPr="00677204">
        <w:rPr>
          <w:rFonts w:ascii="Times New Roman" w:hAnsi="Times New Roman" w:cs="Times New Roman"/>
          <w:color w:val="000000"/>
          <w:szCs w:val="24"/>
        </w:rPr>
        <w:t xml:space="preserve">niewielkim zakresie. W badaniu dotyczącym wykluczenia finansowego </w:t>
      </w:r>
      <w:r w:rsidR="003F6E04" w:rsidRPr="00677204">
        <w:rPr>
          <w:rFonts w:ascii="Times New Roman" w:hAnsi="Times New Roman" w:cs="Times New Roman"/>
          <w:color w:val="000000"/>
          <w:szCs w:val="24"/>
        </w:rPr>
        <w:t xml:space="preserve">opublikowanym </w:t>
      </w:r>
      <w:r w:rsidRPr="00677204">
        <w:rPr>
          <w:rFonts w:ascii="Times New Roman" w:hAnsi="Times New Roman" w:cs="Times New Roman"/>
          <w:color w:val="000000"/>
          <w:szCs w:val="24"/>
        </w:rPr>
        <w:t>przez Bank Światow</w:t>
      </w:r>
      <w:r w:rsidR="006D4B38">
        <w:rPr>
          <w:rFonts w:ascii="Times New Roman" w:hAnsi="Times New Roman" w:cs="Times New Roman"/>
          <w:color w:val="000000"/>
          <w:szCs w:val="24"/>
        </w:rPr>
        <w:t>y w 2012 roku 30% Polaków od 15 </w:t>
      </w:r>
      <w:r w:rsidRPr="00677204">
        <w:rPr>
          <w:rFonts w:ascii="Times New Roman" w:hAnsi="Times New Roman" w:cs="Times New Roman"/>
          <w:color w:val="000000"/>
          <w:szCs w:val="24"/>
        </w:rPr>
        <w:t>roku życia nie posiadało konta osobistego. Większy poziom wykluczenia finansowego był tylko w Bułgarii (47%) i Rumunii (55%). W 13 krajach Unii Europejskiej rachunku bankowego nie posiadało do 5% osób</w:t>
      </w:r>
      <w:r w:rsidR="00574CD7" w:rsidRPr="00677204">
        <w:rPr>
          <w:rFonts w:ascii="Times New Roman" w:hAnsi="Times New Roman" w:cs="Times New Roman"/>
          <w:color w:val="000000"/>
          <w:szCs w:val="24"/>
        </w:rPr>
        <w:t>”.</w:t>
      </w:r>
    </w:p>
    <w:p w14:paraId="2468708B" w14:textId="3FAF9B5F" w:rsidR="00EF536E" w:rsidRPr="00677204" w:rsidRDefault="002B1483" w:rsidP="002549F6">
      <w:pPr>
        <w:pStyle w:val="ARTartustawynprozporzdzeni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color w:val="000000"/>
          <w:szCs w:val="24"/>
        </w:rPr>
        <w:t>P</w:t>
      </w:r>
      <w:r w:rsidR="00375B0A" w:rsidRPr="00677204">
        <w:rPr>
          <w:rFonts w:ascii="Times New Roman" w:hAnsi="Times New Roman" w:cs="Times New Roman"/>
          <w:color w:val="000000"/>
          <w:szCs w:val="24"/>
        </w:rPr>
        <w:t xml:space="preserve">oziom </w:t>
      </w:r>
      <w:r w:rsidRPr="00677204">
        <w:rPr>
          <w:rFonts w:ascii="Times New Roman" w:hAnsi="Times New Roman" w:cs="Times New Roman"/>
          <w:color w:val="000000"/>
          <w:szCs w:val="24"/>
        </w:rPr>
        <w:t xml:space="preserve">tzw. </w:t>
      </w:r>
      <w:r w:rsidR="00375B0A" w:rsidRPr="00677204">
        <w:rPr>
          <w:rFonts w:ascii="Times New Roman" w:hAnsi="Times New Roman" w:cs="Times New Roman"/>
          <w:color w:val="000000"/>
          <w:szCs w:val="24"/>
        </w:rPr>
        <w:t>ubankowienia w Polsce</w:t>
      </w:r>
      <w:r w:rsidR="00C05F49" w:rsidRPr="00677204">
        <w:rPr>
          <w:rFonts w:ascii="Times New Roman" w:hAnsi="Times New Roman" w:cs="Times New Roman"/>
          <w:color w:val="000000"/>
          <w:szCs w:val="24"/>
        </w:rPr>
        <w:t xml:space="preserve"> (tj. odsetek osób posiadających rachunek)</w:t>
      </w:r>
      <w:r w:rsidR="00375B0A" w:rsidRPr="00677204">
        <w:rPr>
          <w:rFonts w:ascii="Times New Roman" w:hAnsi="Times New Roman" w:cs="Times New Roman"/>
          <w:color w:val="000000"/>
          <w:szCs w:val="24"/>
        </w:rPr>
        <w:t xml:space="preserve"> systematycznie wzrasta</w:t>
      </w:r>
      <w:r w:rsidRPr="00677204">
        <w:rPr>
          <w:rFonts w:ascii="Times New Roman" w:hAnsi="Times New Roman" w:cs="Times New Roman"/>
          <w:color w:val="000000"/>
          <w:szCs w:val="24"/>
        </w:rPr>
        <w:t xml:space="preserve">, jednak </w:t>
      </w:r>
      <w:r w:rsidR="00D10E7C" w:rsidRPr="00677204">
        <w:rPr>
          <w:rFonts w:ascii="Times New Roman" w:hAnsi="Times New Roman" w:cs="Times New Roman"/>
          <w:color w:val="000000"/>
          <w:szCs w:val="24"/>
        </w:rPr>
        <w:t xml:space="preserve">jest on nadal dużo niższy niż w czołowych </w:t>
      </w:r>
      <w:r w:rsidR="0098294E">
        <w:rPr>
          <w:rFonts w:ascii="Times New Roman" w:hAnsi="Times New Roman" w:cs="Times New Roman"/>
          <w:color w:val="000000"/>
          <w:szCs w:val="24"/>
        </w:rPr>
        <w:t>p</w:t>
      </w:r>
      <w:r w:rsidR="00D10E7C" w:rsidRPr="00677204">
        <w:rPr>
          <w:rFonts w:ascii="Times New Roman" w:hAnsi="Times New Roman" w:cs="Times New Roman"/>
          <w:color w:val="000000"/>
          <w:szCs w:val="24"/>
        </w:rPr>
        <w:t>aństwach członkowskich Unii Europejskiej. Zgodnie bowiem z</w:t>
      </w:r>
      <w:r w:rsidR="005860EC" w:rsidRPr="00677204">
        <w:rPr>
          <w:rFonts w:ascii="Times New Roman" w:hAnsi="Times New Roman" w:cs="Times New Roman"/>
          <w:color w:val="000000"/>
          <w:szCs w:val="24"/>
        </w:rPr>
        <w:t xml:space="preserve"> najnowszymi badaniami</w:t>
      </w:r>
      <w:r w:rsidR="00D10E7C" w:rsidRPr="00677204">
        <w:rPr>
          <w:rFonts w:ascii="Times New Roman" w:hAnsi="Times New Roman" w:cs="Times New Roman"/>
          <w:color w:val="000000"/>
          <w:szCs w:val="24"/>
        </w:rPr>
        <w:t xml:space="preserve"> prezentowanymi w raporcie Banku Światowego</w:t>
      </w:r>
      <w:r w:rsidR="00901D4B" w:rsidRPr="00677204">
        <w:rPr>
          <w:rFonts w:ascii="Times New Roman" w:hAnsi="Times New Roman" w:cs="Times New Roman"/>
          <w:szCs w:val="24"/>
        </w:rPr>
        <w:t xml:space="preserve"> </w:t>
      </w:r>
      <w:r w:rsidR="00901D4B" w:rsidRPr="00677204">
        <w:rPr>
          <w:rFonts w:ascii="Times New Roman" w:hAnsi="Times New Roman" w:cs="Times New Roman"/>
          <w:color w:val="000000"/>
          <w:szCs w:val="24"/>
        </w:rPr>
        <w:t>z 2014 r. dotycząc</w:t>
      </w:r>
      <w:r w:rsidR="0098294E">
        <w:rPr>
          <w:rFonts w:ascii="Times New Roman" w:hAnsi="Times New Roman" w:cs="Times New Roman"/>
          <w:color w:val="000000"/>
          <w:szCs w:val="24"/>
        </w:rPr>
        <w:t>ym</w:t>
      </w:r>
      <w:r w:rsidR="00901D4B" w:rsidRPr="00677204">
        <w:rPr>
          <w:rFonts w:ascii="Times New Roman" w:hAnsi="Times New Roman" w:cs="Times New Roman"/>
          <w:color w:val="000000"/>
          <w:szCs w:val="24"/>
        </w:rPr>
        <w:t xml:space="preserve"> finansowego wykluczenia na świecie</w:t>
      </w:r>
      <w:r w:rsidR="00BC211F" w:rsidRPr="00677204">
        <w:rPr>
          <w:rFonts w:ascii="Times New Roman" w:hAnsi="Times New Roman" w:cs="Times New Roman"/>
          <w:color w:val="000000"/>
          <w:szCs w:val="24"/>
        </w:rPr>
        <w:t>,</w:t>
      </w:r>
      <w:r w:rsidR="00BC211F" w:rsidRPr="00677204">
        <w:rPr>
          <w:rStyle w:val="Odwoanieprzypisudolnego"/>
          <w:rFonts w:ascii="Times New Roman" w:hAnsi="Times New Roman" w:cs="Times New Roman"/>
          <w:color w:val="000000"/>
          <w:szCs w:val="24"/>
        </w:rPr>
        <w:footnoteReference w:id="2"/>
      </w:r>
      <w:r w:rsidR="00677204">
        <w:rPr>
          <w:rFonts w:ascii="Times New Roman" w:hAnsi="Times New Roman" w:cs="Times New Roman"/>
          <w:color w:val="000000"/>
          <w:szCs w:val="24"/>
          <w:vertAlign w:val="superscript"/>
        </w:rPr>
        <w:t>)</w:t>
      </w:r>
      <w:r w:rsidRPr="00677204">
        <w:rPr>
          <w:rFonts w:ascii="Times New Roman" w:hAnsi="Times New Roman" w:cs="Times New Roman"/>
          <w:color w:val="000000"/>
          <w:szCs w:val="24"/>
        </w:rPr>
        <w:t xml:space="preserve"> </w:t>
      </w:r>
      <w:r w:rsidR="005860EC" w:rsidRPr="00677204">
        <w:rPr>
          <w:rFonts w:ascii="Times New Roman" w:hAnsi="Times New Roman" w:cs="Times New Roman"/>
          <w:color w:val="000000"/>
          <w:szCs w:val="24"/>
        </w:rPr>
        <w:t>rachunek</w:t>
      </w:r>
      <w:r w:rsidR="00901D4B" w:rsidRPr="00677204">
        <w:rPr>
          <w:rFonts w:ascii="Times New Roman" w:hAnsi="Times New Roman" w:cs="Times New Roman"/>
          <w:color w:val="000000"/>
          <w:szCs w:val="24"/>
        </w:rPr>
        <w:t xml:space="preserve"> </w:t>
      </w:r>
      <w:r w:rsidR="00FF2997" w:rsidRPr="00677204">
        <w:rPr>
          <w:rFonts w:ascii="Times New Roman" w:hAnsi="Times New Roman" w:cs="Times New Roman"/>
          <w:color w:val="000000"/>
          <w:szCs w:val="24"/>
        </w:rPr>
        <w:t xml:space="preserve">bankowy lub rachunek w spółdzielczej kasie oszczędnościowo-kredytowej </w:t>
      </w:r>
      <w:r w:rsidR="00901D4B" w:rsidRPr="00677204">
        <w:rPr>
          <w:rFonts w:ascii="Times New Roman" w:hAnsi="Times New Roman" w:cs="Times New Roman"/>
          <w:color w:val="000000"/>
          <w:szCs w:val="24"/>
        </w:rPr>
        <w:t>posiada jedynie 78% dorosłych Polakó</w:t>
      </w:r>
      <w:r w:rsidR="00C155DC" w:rsidRPr="00677204">
        <w:rPr>
          <w:rFonts w:ascii="Times New Roman" w:hAnsi="Times New Roman" w:cs="Times New Roman"/>
          <w:color w:val="000000"/>
          <w:szCs w:val="24"/>
        </w:rPr>
        <w:t>w</w:t>
      </w:r>
      <w:r w:rsidR="00901D4B" w:rsidRPr="00677204">
        <w:rPr>
          <w:rFonts w:ascii="Times New Roman" w:hAnsi="Times New Roman" w:cs="Times New Roman"/>
          <w:color w:val="000000"/>
          <w:szCs w:val="24"/>
        </w:rPr>
        <w:t>.</w:t>
      </w:r>
    </w:p>
    <w:p w14:paraId="55B256B1" w14:textId="4151C43A" w:rsidR="00EF536E" w:rsidRPr="00677204" w:rsidRDefault="00E21EAD" w:rsidP="002549F6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 xml:space="preserve">Projektowane </w:t>
      </w:r>
      <w:r w:rsidR="004F0949" w:rsidRPr="00677204">
        <w:rPr>
          <w:rFonts w:ascii="Times New Roman" w:hAnsi="Times New Roman" w:cs="Times New Roman"/>
          <w:szCs w:val="24"/>
        </w:rPr>
        <w:t xml:space="preserve">rozwiązania </w:t>
      </w:r>
      <w:r w:rsidRPr="00677204">
        <w:rPr>
          <w:rFonts w:ascii="Times New Roman" w:hAnsi="Times New Roman" w:cs="Times New Roman"/>
          <w:szCs w:val="24"/>
        </w:rPr>
        <w:t xml:space="preserve">mają na celu </w:t>
      </w:r>
      <w:r w:rsidR="00D10E7C" w:rsidRPr="00677204">
        <w:rPr>
          <w:rFonts w:ascii="Times New Roman" w:hAnsi="Times New Roman" w:cs="Times New Roman"/>
          <w:szCs w:val="24"/>
        </w:rPr>
        <w:t xml:space="preserve">zwiększenie wyboru ofert usług płatniczych </w:t>
      </w:r>
      <w:r w:rsidR="004F0949" w:rsidRPr="00677204">
        <w:rPr>
          <w:rFonts w:ascii="Times New Roman" w:hAnsi="Times New Roman" w:cs="Times New Roman"/>
          <w:szCs w:val="24"/>
        </w:rPr>
        <w:t xml:space="preserve">dostępnych </w:t>
      </w:r>
      <w:r w:rsidR="005860EC" w:rsidRPr="00677204">
        <w:rPr>
          <w:rFonts w:ascii="Times New Roman" w:hAnsi="Times New Roman" w:cs="Times New Roman"/>
          <w:szCs w:val="24"/>
        </w:rPr>
        <w:t>dla konsu</w:t>
      </w:r>
      <w:r w:rsidR="00D10E7C" w:rsidRPr="00677204">
        <w:rPr>
          <w:rFonts w:ascii="Times New Roman" w:hAnsi="Times New Roman" w:cs="Times New Roman"/>
          <w:szCs w:val="24"/>
        </w:rPr>
        <w:t>mentów oraz poprawę jakości i</w:t>
      </w:r>
      <w:r w:rsidR="002549F6" w:rsidRPr="00677204">
        <w:rPr>
          <w:rFonts w:ascii="Times New Roman" w:hAnsi="Times New Roman" w:cs="Times New Roman"/>
          <w:szCs w:val="24"/>
        </w:rPr>
        <w:t xml:space="preserve"> </w:t>
      </w:r>
      <w:r w:rsidR="00D10E7C" w:rsidRPr="00677204">
        <w:rPr>
          <w:rFonts w:ascii="Times New Roman" w:hAnsi="Times New Roman" w:cs="Times New Roman"/>
          <w:szCs w:val="24"/>
        </w:rPr>
        <w:t xml:space="preserve">przejrzystości usług świadczonych przez dostawców usług płatniczych, a także </w:t>
      </w:r>
      <w:r w:rsidRPr="00677204">
        <w:rPr>
          <w:rFonts w:ascii="Times New Roman" w:hAnsi="Times New Roman" w:cs="Times New Roman"/>
          <w:szCs w:val="24"/>
        </w:rPr>
        <w:t xml:space="preserve">zwiększenie mobilności konsumentów </w:t>
      </w:r>
      <w:r w:rsidR="00D10E7C" w:rsidRPr="00677204">
        <w:rPr>
          <w:rFonts w:ascii="Times New Roman" w:hAnsi="Times New Roman" w:cs="Times New Roman"/>
          <w:szCs w:val="24"/>
        </w:rPr>
        <w:t>oraz</w:t>
      </w:r>
      <w:r w:rsidR="00D203D6" w:rsidRPr="00677204">
        <w:rPr>
          <w:rFonts w:ascii="Times New Roman" w:hAnsi="Times New Roman" w:cs="Times New Roman"/>
          <w:szCs w:val="24"/>
        </w:rPr>
        <w:t xml:space="preserve"> wprowadzenie ułatwień w zakresie</w:t>
      </w:r>
      <w:r w:rsidRPr="00677204">
        <w:rPr>
          <w:rFonts w:ascii="Times New Roman" w:hAnsi="Times New Roman" w:cs="Times New Roman"/>
          <w:szCs w:val="24"/>
        </w:rPr>
        <w:t xml:space="preserve"> porównywania opłat i</w:t>
      </w:r>
      <w:r w:rsidR="002549F6" w:rsidRPr="00677204">
        <w:rPr>
          <w:rFonts w:ascii="Times New Roman" w:hAnsi="Times New Roman" w:cs="Times New Roman"/>
          <w:szCs w:val="24"/>
        </w:rPr>
        <w:t xml:space="preserve"> </w:t>
      </w:r>
      <w:r w:rsidRPr="00677204">
        <w:rPr>
          <w:rFonts w:ascii="Times New Roman" w:hAnsi="Times New Roman" w:cs="Times New Roman"/>
          <w:szCs w:val="24"/>
        </w:rPr>
        <w:t xml:space="preserve">usług w </w:t>
      </w:r>
      <w:r w:rsidR="00C66493" w:rsidRPr="00677204">
        <w:rPr>
          <w:rFonts w:ascii="Times New Roman" w:hAnsi="Times New Roman" w:cs="Times New Roman"/>
          <w:szCs w:val="24"/>
        </w:rPr>
        <w:t xml:space="preserve">zakresie rachunków płatniczych. </w:t>
      </w:r>
      <w:r w:rsidRPr="00677204">
        <w:rPr>
          <w:rFonts w:ascii="Times New Roman" w:hAnsi="Times New Roman" w:cs="Times New Roman"/>
          <w:szCs w:val="24"/>
        </w:rPr>
        <w:t xml:space="preserve">Ponadto </w:t>
      </w:r>
      <w:r w:rsidR="004F0949" w:rsidRPr="00677204">
        <w:rPr>
          <w:rFonts w:ascii="Times New Roman" w:hAnsi="Times New Roman" w:cs="Times New Roman"/>
          <w:szCs w:val="24"/>
        </w:rPr>
        <w:t xml:space="preserve">przewiduje się </w:t>
      </w:r>
      <w:r w:rsidRPr="00677204">
        <w:rPr>
          <w:rFonts w:ascii="Times New Roman" w:hAnsi="Times New Roman" w:cs="Times New Roman"/>
          <w:szCs w:val="24"/>
        </w:rPr>
        <w:t>wprowadz</w:t>
      </w:r>
      <w:r w:rsidR="004F0949" w:rsidRPr="00677204">
        <w:rPr>
          <w:rFonts w:ascii="Times New Roman" w:hAnsi="Times New Roman" w:cs="Times New Roman"/>
          <w:szCs w:val="24"/>
        </w:rPr>
        <w:t xml:space="preserve">enie </w:t>
      </w:r>
      <w:r w:rsidRPr="00677204">
        <w:rPr>
          <w:rFonts w:ascii="Times New Roman" w:hAnsi="Times New Roman" w:cs="Times New Roman"/>
          <w:szCs w:val="24"/>
        </w:rPr>
        <w:t>procedur</w:t>
      </w:r>
      <w:r w:rsidR="005860EC" w:rsidRPr="00677204">
        <w:rPr>
          <w:rFonts w:ascii="Times New Roman" w:hAnsi="Times New Roman" w:cs="Times New Roman"/>
          <w:szCs w:val="24"/>
        </w:rPr>
        <w:t xml:space="preserve"> ułatwiając</w:t>
      </w:r>
      <w:r w:rsidR="004F0949" w:rsidRPr="00677204">
        <w:rPr>
          <w:rFonts w:ascii="Times New Roman" w:hAnsi="Times New Roman" w:cs="Times New Roman"/>
          <w:szCs w:val="24"/>
        </w:rPr>
        <w:t xml:space="preserve">ych </w:t>
      </w:r>
      <w:r w:rsidR="005860EC" w:rsidRPr="00677204">
        <w:rPr>
          <w:rFonts w:ascii="Times New Roman" w:hAnsi="Times New Roman" w:cs="Times New Roman"/>
          <w:szCs w:val="24"/>
        </w:rPr>
        <w:t>przenoszenie</w:t>
      </w:r>
      <w:r w:rsidRPr="00677204">
        <w:rPr>
          <w:rFonts w:ascii="Times New Roman" w:hAnsi="Times New Roman" w:cs="Times New Roman"/>
          <w:szCs w:val="24"/>
        </w:rPr>
        <w:t xml:space="preserve"> rachunków płatniczych w przypadku gdy konsument znajdzie lepszą ofertę. Świadomość łatwej zmiany dostawcy usługi płatniczej </w:t>
      </w:r>
      <w:r w:rsidR="005860EC" w:rsidRPr="00677204">
        <w:rPr>
          <w:rFonts w:ascii="Times New Roman" w:hAnsi="Times New Roman" w:cs="Times New Roman"/>
          <w:szCs w:val="24"/>
        </w:rPr>
        <w:t>powinna wpłynąć</w:t>
      </w:r>
      <w:r w:rsidRPr="00677204">
        <w:rPr>
          <w:rFonts w:ascii="Times New Roman" w:hAnsi="Times New Roman" w:cs="Times New Roman"/>
          <w:szCs w:val="24"/>
        </w:rPr>
        <w:t xml:space="preserve"> na większą konkurencj</w:t>
      </w:r>
      <w:r w:rsidR="0098294E">
        <w:rPr>
          <w:rFonts w:ascii="Times New Roman" w:hAnsi="Times New Roman" w:cs="Times New Roman"/>
          <w:szCs w:val="24"/>
        </w:rPr>
        <w:t>ę</w:t>
      </w:r>
      <w:r w:rsidRPr="00677204">
        <w:rPr>
          <w:rFonts w:ascii="Times New Roman" w:hAnsi="Times New Roman" w:cs="Times New Roman"/>
          <w:szCs w:val="24"/>
        </w:rPr>
        <w:t xml:space="preserve"> wś</w:t>
      </w:r>
      <w:r w:rsidR="005860EC" w:rsidRPr="00677204">
        <w:rPr>
          <w:rFonts w:ascii="Times New Roman" w:hAnsi="Times New Roman" w:cs="Times New Roman"/>
          <w:szCs w:val="24"/>
        </w:rPr>
        <w:t xml:space="preserve">ród dostawców usług płatniczych, </w:t>
      </w:r>
      <w:r w:rsidRPr="00677204">
        <w:rPr>
          <w:rFonts w:ascii="Times New Roman" w:hAnsi="Times New Roman" w:cs="Times New Roman"/>
          <w:szCs w:val="24"/>
        </w:rPr>
        <w:t xml:space="preserve">co powinno przełożyć się na </w:t>
      </w:r>
      <w:r w:rsidRPr="00677204">
        <w:rPr>
          <w:rFonts w:ascii="Times New Roman" w:hAnsi="Times New Roman" w:cs="Times New Roman"/>
          <w:szCs w:val="24"/>
        </w:rPr>
        <w:lastRenderedPageBreak/>
        <w:t>wzrost jakości</w:t>
      </w:r>
      <w:r w:rsidR="005860EC" w:rsidRPr="00677204">
        <w:rPr>
          <w:rFonts w:ascii="Times New Roman" w:hAnsi="Times New Roman" w:cs="Times New Roman"/>
          <w:szCs w:val="24"/>
        </w:rPr>
        <w:t xml:space="preserve"> świadczonych usług</w:t>
      </w:r>
      <w:r w:rsidR="004F0949" w:rsidRPr="00677204">
        <w:rPr>
          <w:rFonts w:ascii="Times New Roman" w:hAnsi="Times New Roman" w:cs="Times New Roman"/>
          <w:szCs w:val="24"/>
        </w:rPr>
        <w:t xml:space="preserve">, </w:t>
      </w:r>
      <w:r w:rsidR="005860EC" w:rsidRPr="00677204">
        <w:rPr>
          <w:rFonts w:ascii="Times New Roman" w:hAnsi="Times New Roman" w:cs="Times New Roman"/>
          <w:szCs w:val="24"/>
        </w:rPr>
        <w:t xml:space="preserve">jak i zwiększenie konkurencji cenowej. </w:t>
      </w:r>
      <w:r w:rsidRPr="00677204">
        <w:rPr>
          <w:rFonts w:ascii="Times New Roman" w:hAnsi="Times New Roman" w:cs="Times New Roman"/>
          <w:szCs w:val="24"/>
        </w:rPr>
        <w:t>Projektowan</w:t>
      </w:r>
      <w:r w:rsidR="004F0949" w:rsidRPr="00677204">
        <w:rPr>
          <w:rFonts w:ascii="Times New Roman" w:hAnsi="Times New Roman" w:cs="Times New Roman"/>
          <w:szCs w:val="24"/>
        </w:rPr>
        <w:t xml:space="preserve">e </w:t>
      </w:r>
      <w:r w:rsidR="00BC211F" w:rsidRPr="00677204">
        <w:rPr>
          <w:rFonts w:ascii="Times New Roman" w:hAnsi="Times New Roman" w:cs="Times New Roman"/>
          <w:szCs w:val="24"/>
        </w:rPr>
        <w:t xml:space="preserve">rozwiązania </w:t>
      </w:r>
      <w:r w:rsidRPr="00677204">
        <w:rPr>
          <w:rFonts w:ascii="Times New Roman" w:hAnsi="Times New Roman" w:cs="Times New Roman"/>
          <w:szCs w:val="24"/>
        </w:rPr>
        <w:t>ma</w:t>
      </w:r>
      <w:r w:rsidR="004F0949" w:rsidRPr="00677204">
        <w:rPr>
          <w:rFonts w:ascii="Times New Roman" w:hAnsi="Times New Roman" w:cs="Times New Roman"/>
          <w:szCs w:val="24"/>
        </w:rPr>
        <w:t>ją</w:t>
      </w:r>
      <w:r w:rsidRPr="00677204">
        <w:rPr>
          <w:rFonts w:ascii="Times New Roman" w:hAnsi="Times New Roman" w:cs="Times New Roman"/>
          <w:szCs w:val="24"/>
        </w:rPr>
        <w:t xml:space="preserve"> również na celu uregulowanie kwestii serwisów internetowych zajmu</w:t>
      </w:r>
      <w:r w:rsidR="00B214E2" w:rsidRPr="00677204">
        <w:rPr>
          <w:rFonts w:ascii="Times New Roman" w:hAnsi="Times New Roman" w:cs="Times New Roman"/>
          <w:szCs w:val="24"/>
        </w:rPr>
        <w:t xml:space="preserve">jących się porównywaniem ofert </w:t>
      </w:r>
      <w:r w:rsidRPr="00677204">
        <w:rPr>
          <w:rFonts w:ascii="Times New Roman" w:hAnsi="Times New Roman" w:cs="Times New Roman"/>
          <w:szCs w:val="24"/>
        </w:rPr>
        <w:t xml:space="preserve">poszczególnych dostawców usług płatniczych w zakresie prowadzenia rachunku płatniczego. </w:t>
      </w:r>
      <w:r w:rsidR="004F0949" w:rsidRPr="00677204">
        <w:rPr>
          <w:rFonts w:ascii="Times New Roman" w:hAnsi="Times New Roman" w:cs="Times New Roman"/>
          <w:szCs w:val="24"/>
        </w:rPr>
        <w:t xml:space="preserve">Przewiduje się także </w:t>
      </w:r>
      <w:r w:rsidRPr="00677204">
        <w:rPr>
          <w:rFonts w:ascii="Times New Roman" w:hAnsi="Times New Roman" w:cs="Times New Roman"/>
          <w:szCs w:val="24"/>
        </w:rPr>
        <w:t>wprowadz</w:t>
      </w:r>
      <w:r w:rsidR="00B214E2" w:rsidRPr="00677204">
        <w:rPr>
          <w:rFonts w:ascii="Times New Roman" w:hAnsi="Times New Roman" w:cs="Times New Roman"/>
          <w:szCs w:val="24"/>
        </w:rPr>
        <w:t xml:space="preserve">enie </w:t>
      </w:r>
      <w:r w:rsidRPr="00677204">
        <w:rPr>
          <w:rFonts w:ascii="Times New Roman" w:hAnsi="Times New Roman" w:cs="Times New Roman"/>
          <w:szCs w:val="24"/>
        </w:rPr>
        <w:t>dla konsumentów</w:t>
      </w:r>
      <w:r w:rsidR="004F0949" w:rsidRPr="00677204">
        <w:rPr>
          <w:rFonts w:ascii="Times New Roman" w:hAnsi="Times New Roman" w:cs="Times New Roman"/>
          <w:szCs w:val="24"/>
        </w:rPr>
        <w:t xml:space="preserve"> </w:t>
      </w:r>
      <w:r w:rsidR="005860EC" w:rsidRPr="00677204">
        <w:rPr>
          <w:rFonts w:ascii="Times New Roman" w:hAnsi="Times New Roman" w:cs="Times New Roman"/>
          <w:szCs w:val="24"/>
        </w:rPr>
        <w:t xml:space="preserve">nieposiadających rachunku </w:t>
      </w:r>
      <w:r w:rsidR="00BC211F" w:rsidRPr="00677204">
        <w:rPr>
          <w:rFonts w:ascii="Times New Roman" w:hAnsi="Times New Roman" w:cs="Times New Roman"/>
          <w:szCs w:val="24"/>
        </w:rPr>
        <w:t>możliwości dostępu</w:t>
      </w:r>
      <w:r w:rsidR="00B214E2" w:rsidRPr="00677204">
        <w:rPr>
          <w:rFonts w:ascii="Times New Roman" w:hAnsi="Times New Roman" w:cs="Times New Roman"/>
          <w:szCs w:val="24"/>
        </w:rPr>
        <w:t xml:space="preserve"> </w:t>
      </w:r>
      <w:r w:rsidRPr="00677204">
        <w:rPr>
          <w:rFonts w:ascii="Times New Roman" w:hAnsi="Times New Roman" w:cs="Times New Roman"/>
          <w:szCs w:val="24"/>
        </w:rPr>
        <w:t>do podstawowego rachunku płatniczego i do podstawowych usług płatniczych</w:t>
      </w:r>
      <w:r w:rsidR="003F6E04" w:rsidRPr="00677204">
        <w:rPr>
          <w:rFonts w:ascii="Times New Roman" w:hAnsi="Times New Roman" w:cs="Times New Roman"/>
          <w:szCs w:val="24"/>
        </w:rPr>
        <w:t>.</w:t>
      </w:r>
      <w:r w:rsidRPr="00677204">
        <w:rPr>
          <w:rFonts w:ascii="Times New Roman" w:hAnsi="Times New Roman" w:cs="Times New Roman"/>
          <w:szCs w:val="24"/>
        </w:rPr>
        <w:t xml:space="preserve"> </w:t>
      </w:r>
      <w:r w:rsidR="005860EC" w:rsidRPr="00677204">
        <w:rPr>
          <w:rFonts w:ascii="Times New Roman" w:hAnsi="Times New Roman" w:cs="Times New Roman"/>
          <w:szCs w:val="24"/>
        </w:rPr>
        <w:t xml:space="preserve">Dostęp ten powinien pozwolić </w:t>
      </w:r>
      <w:r w:rsidR="003F6E04" w:rsidRPr="00677204">
        <w:rPr>
          <w:rFonts w:ascii="Times New Roman" w:hAnsi="Times New Roman" w:cs="Times New Roman"/>
          <w:szCs w:val="24"/>
        </w:rPr>
        <w:t xml:space="preserve">konsumentom na </w:t>
      </w:r>
      <w:r w:rsidRPr="00677204">
        <w:rPr>
          <w:rFonts w:ascii="Times New Roman" w:hAnsi="Times New Roman" w:cs="Times New Roman"/>
          <w:szCs w:val="24"/>
        </w:rPr>
        <w:t>wykonani</w:t>
      </w:r>
      <w:r w:rsidR="003F6E04" w:rsidRPr="00677204">
        <w:rPr>
          <w:rFonts w:ascii="Times New Roman" w:hAnsi="Times New Roman" w:cs="Times New Roman"/>
          <w:szCs w:val="24"/>
        </w:rPr>
        <w:t>e</w:t>
      </w:r>
      <w:r w:rsidRPr="00677204">
        <w:rPr>
          <w:rFonts w:ascii="Times New Roman" w:hAnsi="Times New Roman" w:cs="Times New Roman"/>
          <w:szCs w:val="24"/>
        </w:rPr>
        <w:t xml:space="preserve"> podstawowych transakcji płatniczych</w:t>
      </w:r>
      <w:r w:rsidR="00FF2997" w:rsidRPr="00677204">
        <w:rPr>
          <w:rFonts w:ascii="Times New Roman" w:hAnsi="Times New Roman" w:cs="Times New Roman"/>
          <w:szCs w:val="24"/>
        </w:rPr>
        <w:t xml:space="preserve">, </w:t>
      </w:r>
      <w:r w:rsidRPr="00677204">
        <w:rPr>
          <w:rFonts w:ascii="Times New Roman" w:hAnsi="Times New Roman" w:cs="Times New Roman"/>
          <w:szCs w:val="24"/>
        </w:rPr>
        <w:t xml:space="preserve">takich jak otrzymywanie dochodów lub świadczeń, </w:t>
      </w:r>
      <w:r w:rsidR="005860EC" w:rsidRPr="00677204">
        <w:rPr>
          <w:rFonts w:ascii="Times New Roman" w:hAnsi="Times New Roman" w:cs="Times New Roman"/>
          <w:szCs w:val="24"/>
        </w:rPr>
        <w:t xml:space="preserve">opłacanie rachunków </w:t>
      </w:r>
      <w:r w:rsidRPr="00677204">
        <w:rPr>
          <w:rFonts w:ascii="Times New Roman" w:hAnsi="Times New Roman" w:cs="Times New Roman"/>
          <w:szCs w:val="24"/>
        </w:rPr>
        <w:t>oraz nabywanie towarów i usług, w tym za pośrednictwem polecenia zapłaty, polecenia przelewu oraz za pomocą karty płatniczej</w:t>
      </w:r>
      <w:r w:rsidR="00467A3E" w:rsidRPr="00677204">
        <w:rPr>
          <w:rFonts w:ascii="Times New Roman" w:hAnsi="Times New Roman" w:cs="Times New Roman"/>
          <w:szCs w:val="24"/>
        </w:rPr>
        <w:t>, z wyłączeniem kart kredytowych</w:t>
      </w:r>
      <w:r w:rsidRPr="00677204">
        <w:rPr>
          <w:rFonts w:ascii="Times New Roman" w:hAnsi="Times New Roman" w:cs="Times New Roman"/>
          <w:szCs w:val="24"/>
        </w:rPr>
        <w:t>.</w:t>
      </w:r>
      <w:r w:rsidR="00467A3E" w:rsidRPr="00677204">
        <w:rPr>
          <w:rFonts w:ascii="Times New Roman" w:hAnsi="Times New Roman" w:cs="Times New Roman"/>
          <w:szCs w:val="24"/>
        </w:rPr>
        <w:t xml:space="preserve"> </w:t>
      </w:r>
      <w:r w:rsidR="003D48CC" w:rsidRPr="00677204">
        <w:rPr>
          <w:rFonts w:ascii="Times New Roman" w:hAnsi="Times New Roman" w:cs="Times New Roman"/>
          <w:szCs w:val="24"/>
        </w:rPr>
        <w:t>Podstawowy r</w:t>
      </w:r>
      <w:r w:rsidR="00467A3E" w:rsidRPr="00677204">
        <w:rPr>
          <w:rFonts w:ascii="Times New Roman" w:hAnsi="Times New Roman" w:cs="Times New Roman"/>
          <w:szCs w:val="24"/>
        </w:rPr>
        <w:t>achunek p</w:t>
      </w:r>
      <w:r w:rsidR="003D48CC" w:rsidRPr="00677204">
        <w:rPr>
          <w:rFonts w:ascii="Times New Roman" w:hAnsi="Times New Roman" w:cs="Times New Roman"/>
          <w:szCs w:val="24"/>
        </w:rPr>
        <w:t xml:space="preserve">łatniczy </w:t>
      </w:r>
      <w:r w:rsidR="00467A3E" w:rsidRPr="00677204">
        <w:rPr>
          <w:rFonts w:ascii="Times New Roman" w:hAnsi="Times New Roman" w:cs="Times New Roman"/>
          <w:szCs w:val="24"/>
        </w:rPr>
        <w:t xml:space="preserve">i usługi z nim powiązane mają być jak najprostsze. </w:t>
      </w:r>
      <w:r w:rsidRPr="00677204">
        <w:rPr>
          <w:rFonts w:ascii="Times New Roman" w:hAnsi="Times New Roman" w:cs="Times New Roman"/>
          <w:szCs w:val="24"/>
        </w:rPr>
        <w:t xml:space="preserve">Dzięki temu konsumenci, </w:t>
      </w:r>
      <w:r w:rsidR="00230115" w:rsidRPr="00677204">
        <w:rPr>
          <w:rFonts w:ascii="Times New Roman" w:hAnsi="Times New Roman" w:cs="Times New Roman"/>
          <w:szCs w:val="24"/>
        </w:rPr>
        <w:t>którzy nie posiadają dostępu do rachunków płatniczych,</w:t>
      </w:r>
      <w:r w:rsidRPr="00677204">
        <w:rPr>
          <w:rFonts w:ascii="Times New Roman" w:hAnsi="Times New Roman" w:cs="Times New Roman"/>
          <w:szCs w:val="24"/>
        </w:rPr>
        <w:t xml:space="preserve"> będą mogli </w:t>
      </w:r>
      <w:r w:rsidR="00230115" w:rsidRPr="00677204">
        <w:rPr>
          <w:rFonts w:ascii="Times New Roman" w:hAnsi="Times New Roman" w:cs="Times New Roman"/>
          <w:szCs w:val="24"/>
        </w:rPr>
        <w:t>zawrzeć umowę rachunku podstawowego umożliwiającego dokonywanie najbardziej popularnych usług płatniczych, w</w:t>
      </w:r>
      <w:r w:rsidR="006D4B38">
        <w:rPr>
          <w:rFonts w:ascii="Times New Roman" w:hAnsi="Times New Roman" w:cs="Times New Roman"/>
          <w:szCs w:val="24"/>
        </w:rPr>
        <w:t xml:space="preserve"> </w:t>
      </w:r>
      <w:r w:rsidR="00230115" w:rsidRPr="00677204">
        <w:rPr>
          <w:rFonts w:ascii="Times New Roman" w:hAnsi="Times New Roman" w:cs="Times New Roman"/>
          <w:szCs w:val="24"/>
        </w:rPr>
        <w:t xml:space="preserve">tym </w:t>
      </w:r>
      <w:r w:rsidRPr="00677204">
        <w:rPr>
          <w:rFonts w:ascii="Times New Roman" w:hAnsi="Times New Roman" w:cs="Times New Roman"/>
          <w:szCs w:val="24"/>
        </w:rPr>
        <w:t>dokonywa</w:t>
      </w:r>
      <w:r w:rsidR="00FF2997" w:rsidRPr="00677204">
        <w:rPr>
          <w:rFonts w:ascii="Times New Roman" w:hAnsi="Times New Roman" w:cs="Times New Roman"/>
          <w:szCs w:val="24"/>
        </w:rPr>
        <w:t xml:space="preserve">nie </w:t>
      </w:r>
      <w:r w:rsidR="00230115" w:rsidRPr="00677204">
        <w:rPr>
          <w:rFonts w:ascii="Times New Roman" w:hAnsi="Times New Roman" w:cs="Times New Roman"/>
          <w:szCs w:val="24"/>
        </w:rPr>
        <w:t>płatności internetowych</w:t>
      </w:r>
      <w:r w:rsidRPr="00677204">
        <w:rPr>
          <w:rFonts w:ascii="Times New Roman" w:hAnsi="Times New Roman" w:cs="Times New Roman"/>
          <w:szCs w:val="24"/>
        </w:rPr>
        <w:t>.</w:t>
      </w:r>
      <w:r w:rsidR="002E1524" w:rsidRPr="00677204">
        <w:rPr>
          <w:rFonts w:ascii="Times New Roman" w:hAnsi="Times New Roman" w:cs="Times New Roman"/>
          <w:szCs w:val="24"/>
        </w:rPr>
        <w:t xml:space="preserve"> </w:t>
      </w:r>
      <w:r w:rsidR="005860EC" w:rsidRPr="00677204">
        <w:rPr>
          <w:rFonts w:ascii="Times New Roman" w:hAnsi="Times New Roman" w:cs="Times New Roman"/>
          <w:szCs w:val="24"/>
        </w:rPr>
        <w:t>Przyjęta koncepcja podejścia do rachunku podstawowego zakłada</w:t>
      </w:r>
      <w:r w:rsidR="00FF2997" w:rsidRPr="00677204">
        <w:rPr>
          <w:rFonts w:ascii="Times New Roman" w:hAnsi="Times New Roman" w:cs="Times New Roman"/>
          <w:szCs w:val="24"/>
        </w:rPr>
        <w:t xml:space="preserve">, że </w:t>
      </w:r>
      <w:r w:rsidR="005860EC" w:rsidRPr="00677204">
        <w:rPr>
          <w:rFonts w:ascii="Times New Roman" w:hAnsi="Times New Roman" w:cs="Times New Roman"/>
          <w:szCs w:val="24"/>
        </w:rPr>
        <w:t>z</w:t>
      </w:r>
      <w:r w:rsidR="006D4B38">
        <w:rPr>
          <w:rFonts w:ascii="Times New Roman" w:hAnsi="Times New Roman" w:cs="Times New Roman"/>
          <w:szCs w:val="24"/>
        </w:rPr>
        <w:t> </w:t>
      </w:r>
      <w:r w:rsidR="002E1524" w:rsidRPr="00677204">
        <w:rPr>
          <w:rFonts w:ascii="Times New Roman" w:hAnsi="Times New Roman" w:cs="Times New Roman"/>
          <w:szCs w:val="24"/>
        </w:rPr>
        <w:t>rachunkiem podstawowym nie będą mogły być powiązane żadne produkty kredytowe.</w:t>
      </w:r>
    </w:p>
    <w:p w14:paraId="35B4A81B" w14:textId="322758E8" w:rsidR="008B0188" w:rsidRPr="00677204" w:rsidRDefault="00EF536E" w:rsidP="002549F6">
      <w:pPr>
        <w:pStyle w:val="ARTartustawynprozporzdzeni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 xml:space="preserve">Dzięki przejrzystym informacjom </w:t>
      </w:r>
      <w:r w:rsidR="00BC211F" w:rsidRPr="00677204">
        <w:rPr>
          <w:rFonts w:ascii="Times New Roman" w:hAnsi="Times New Roman" w:cs="Times New Roman"/>
          <w:szCs w:val="24"/>
        </w:rPr>
        <w:t xml:space="preserve">o </w:t>
      </w:r>
      <w:r w:rsidRPr="00677204">
        <w:rPr>
          <w:rFonts w:ascii="Times New Roman" w:hAnsi="Times New Roman" w:cs="Times New Roman"/>
          <w:szCs w:val="24"/>
        </w:rPr>
        <w:t>opłat</w:t>
      </w:r>
      <w:r w:rsidR="00BC211F" w:rsidRPr="00677204">
        <w:rPr>
          <w:rFonts w:ascii="Times New Roman" w:hAnsi="Times New Roman" w:cs="Times New Roman"/>
          <w:szCs w:val="24"/>
        </w:rPr>
        <w:t>ach</w:t>
      </w:r>
      <w:r w:rsidRPr="00677204">
        <w:rPr>
          <w:rFonts w:ascii="Times New Roman" w:hAnsi="Times New Roman" w:cs="Times New Roman"/>
          <w:szCs w:val="24"/>
        </w:rPr>
        <w:t xml:space="preserve"> i </w:t>
      </w:r>
      <w:r w:rsidR="005860EC" w:rsidRPr="00677204">
        <w:rPr>
          <w:rFonts w:ascii="Times New Roman" w:hAnsi="Times New Roman" w:cs="Times New Roman"/>
          <w:szCs w:val="24"/>
        </w:rPr>
        <w:t>ułatwieniom w zakresie</w:t>
      </w:r>
      <w:r w:rsidRPr="00677204">
        <w:rPr>
          <w:rFonts w:ascii="Times New Roman" w:hAnsi="Times New Roman" w:cs="Times New Roman"/>
          <w:szCs w:val="24"/>
        </w:rPr>
        <w:t xml:space="preserve"> przenoszenia rachunku w połączeniu z prawem dostępu do podstawowego rachunku płatniczego</w:t>
      </w:r>
      <w:r w:rsidR="00B214E2" w:rsidRPr="00677204">
        <w:rPr>
          <w:rFonts w:ascii="Times New Roman" w:hAnsi="Times New Roman" w:cs="Times New Roman"/>
          <w:szCs w:val="24"/>
        </w:rPr>
        <w:t xml:space="preserve">, konsumenci </w:t>
      </w:r>
      <w:r w:rsidRPr="00677204">
        <w:rPr>
          <w:rFonts w:ascii="Times New Roman" w:hAnsi="Times New Roman" w:cs="Times New Roman"/>
          <w:szCs w:val="24"/>
        </w:rPr>
        <w:t>będą mogli czerpać większe korzyści w obszarze detalicznych usług finansowych</w:t>
      </w:r>
      <w:r w:rsidR="00FF2997" w:rsidRPr="00677204">
        <w:rPr>
          <w:rFonts w:ascii="Times New Roman" w:hAnsi="Times New Roman" w:cs="Times New Roman"/>
          <w:szCs w:val="24"/>
        </w:rPr>
        <w:t>,</w:t>
      </w:r>
      <w:r w:rsidRPr="00677204">
        <w:rPr>
          <w:rFonts w:ascii="Times New Roman" w:hAnsi="Times New Roman" w:cs="Times New Roman"/>
          <w:szCs w:val="24"/>
        </w:rPr>
        <w:t xml:space="preserve"> co</w:t>
      </w:r>
      <w:r w:rsidR="00DE3FB7" w:rsidRPr="00677204">
        <w:rPr>
          <w:rFonts w:ascii="Times New Roman" w:hAnsi="Times New Roman" w:cs="Times New Roman"/>
          <w:szCs w:val="24"/>
        </w:rPr>
        <w:t xml:space="preserve"> powinno</w:t>
      </w:r>
      <w:r w:rsidRPr="00677204">
        <w:rPr>
          <w:rFonts w:ascii="Times New Roman" w:hAnsi="Times New Roman" w:cs="Times New Roman"/>
          <w:szCs w:val="24"/>
        </w:rPr>
        <w:t xml:space="preserve"> przyczyni</w:t>
      </w:r>
      <w:r w:rsidR="00DE3FB7" w:rsidRPr="00677204">
        <w:rPr>
          <w:rFonts w:ascii="Times New Roman" w:hAnsi="Times New Roman" w:cs="Times New Roman"/>
          <w:szCs w:val="24"/>
        </w:rPr>
        <w:t>ć</w:t>
      </w:r>
      <w:r w:rsidRPr="00677204">
        <w:rPr>
          <w:rFonts w:ascii="Times New Roman" w:hAnsi="Times New Roman" w:cs="Times New Roman"/>
          <w:szCs w:val="24"/>
        </w:rPr>
        <w:t xml:space="preserve"> się do dalszego rozwoju rynku finansowego </w:t>
      </w:r>
      <w:r w:rsidR="00DE3FB7" w:rsidRPr="00677204">
        <w:rPr>
          <w:rFonts w:ascii="Times New Roman" w:hAnsi="Times New Roman" w:cs="Times New Roman"/>
          <w:szCs w:val="24"/>
        </w:rPr>
        <w:t>oraz</w:t>
      </w:r>
      <w:r w:rsidR="00B21B8E" w:rsidRPr="00677204">
        <w:rPr>
          <w:rFonts w:ascii="Times New Roman" w:hAnsi="Times New Roman" w:cs="Times New Roman"/>
          <w:szCs w:val="24"/>
        </w:rPr>
        <w:t xml:space="preserve"> </w:t>
      </w:r>
      <w:r w:rsidRPr="00677204">
        <w:rPr>
          <w:rFonts w:ascii="Times New Roman" w:hAnsi="Times New Roman" w:cs="Times New Roman"/>
          <w:szCs w:val="24"/>
        </w:rPr>
        <w:t xml:space="preserve">wzrostu </w:t>
      </w:r>
      <w:r w:rsidR="0029602E" w:rsidRPr="00677204">
        <w:rPr>
          <w:rFonts w:ascii="Times New Roman" w:hAnsi="Times New Roman" w:cs="Times New Roman"/>
          <w:szCs w:val="24"/>
        </w:rPr>
        <w:t xml:space="preserve">tzw. </w:t>
      </w:r>
      <w:r w:rsidRPr="00677204">
        <w:rPr>
          <w:rFonts w:ascii="Times New Roman" w:hAnsi="Times New Roman" w:cs="Times New Roman"/>
          <w:szCs w:val="24"/>
        </w:rPr>
        <w:t>ubankowienia polskiego społeczeństwa</w:t>
      </w:r>
      <w:r w:rsidR="00DE3FB7" w:rsidRPr="00677204">
        <w:rPr>
          <w:rFonts w:ascii="Times New Roman" w:hAnsi="Times New Roman" w:cs="Times New Roman"/>
          <w:szCs w:val="24"/>
        </w:rPr>
        <w:t>.</w:t>
      </w:r>
    </w:p>
    <w:p w14:paraId="54D64E99" w14:textId="77777777" w:rsidR="007D7D71" w:rsidRPr="00677204" w:rsidRDefault="00DE3FB7" w:rsidP="00254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20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21EAD" w:rsidRPr="00677204">
        <w:rPr>
          <w:rFonts w:ascii="Times New Roman" w:hAnsi="Times New Roman" w:cs="Times New Roman"/>
          <w:b/>
          <w:sz w:val="24"/>
          <w:szCs w:val="24"/>
        </w:rPr>
        <w:t>Dostęp do rachunku podstawowego</w:t>
      </w:r>
      <w:r w:rsidR="00A74C20" w:rsidRPr="00677204">
        <w:rPr>
          <w:rFonts w:ascii="Times New Roman" w:hAnsi="Times New Roman" w:cs="Times New Roman"/>
          <w:sz w:val="24"/>
          <w:szCs w:val="24"/>
        </w:rPr>
        <w:tab/>
      </w:r>
      <w:r w:rsidR="00A74C20" w:rsidRPr="00677204">
        <w:rPr>
          <w:rFonts w:ascii="Times New Roman" w:hAnsi="Times New Roman" w:cs="Times New Roman"/>
          <w:sz w:val="24"/>
          <w:szCs w:val="24"/>
        </w:rPr>
        <w:tab/>
      </w:r>
    </w:p>
    <w:p w14:paraId="4C7F89E8" w14:textId="59083F32" w:rsidR="00BC211F" w:rsidRPr="00677204" w:rsidRDefault="000575BA" w:rsidP="00254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204">
        <w:rPr>
          <w:rFonts w:ascii="Times New Roman" w:hAnsi="Times New Roman" w:cs="Times New Roman"/>
          <w:sz w:val="24"/>
          <w:szCs w:val="24"/>
        </w:rPr>
        <w:t xml:space="preserve">Projektowana ustawa </w:t>
      </w:r>
      <w:r w:rsidR="00E21EAD" w:rsidRPr="00677204">
        <w:rPr>
          <w:rFonts w:ascii="Times New Roman" w:hAnsi="Times New Roman" w:cs="Times New Roman"/>
          <w:sz w:val="24"/>
          <w:szCs w:val="24"/>
        </w:rPr>
        <w:t>wprowadza przepisy, które zapewniają konsumentom dostęp do podstawowego rachunku płatniczego oraz do podstawowych usług płatniczych powiązanych z</w:t>
      </w:r>
      <w:r w:rsidR="002549F6" w:rsidRPr="00677204">
        <w:rPr>
          <w:rFonts w:ascii="Times New Roman" w:hAnsi="Times New Roman" w:cs="Times New Roman"/>
          <w:sz w:val="24"/>
          <w:szCs w:val="24"/>
        </w:rPr>
        <w:t xml:space="preserve"> </w:t>
      </w:r>
      <w:r w:rsidR="00574CD7" w:rsidRPr="00677204">
        <w:rPr>
          <w:rFonts w:ascii="Times New Roman" w:hAnsi="Times New Roman" w:cs="Times New Roman"/>
          <w:sz w:val="24"/>
          <w:szCs w:val="24"/>
        </w:rPr>
        <w:t>tym rachunkiem.</w:t>
      </w:r>
    </w:p>
    <w:p w14:paraId="53DA62AB" w14:textId="1EB67B36" w:rsidR="0094335F" w:rsidRPr="00677204" w:rsidRDefault="00E21EAD" w:rsidP="00254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204">
        <w:rPr>
          <w:rFonts w:ascii="Times New Roman" w:hAnsi="Times New Roman" w:cs="Times New Roman"/>
          <w:sz w:val="24"/>
          <w:szCs w:val="24"/>
        </w:rPr>
        <w:t>W opinii wielu konsumentów panuje przeświadczenie, że rachunek płatniczy stanowi wyłącznie zbędny wydatek</w:t>
      </w:r>
      <w:r w:rsidR="0029602E" w:rsidRPr="00677204">
        <w:rPr>
          <w:rFonts w:ascii="Times New Roman" w:hAnsi="Times New Roman" w:cs="Times New Roman"/>
          <w:sz w:val="24"/>
          <w:szCs w:val="24"/>
        </w:rPr>
        <w:t>, a</w:t>
      </w:r>
      <w:r w:rsidRPr="00677204">
        <w:rPr>
          <w:rFonts w:ascii="Times New Roman" w:hAnsi="Times New Roman" w:cs="Times New Roman"/>
          <w:sz w:val="24"/>
          <w:szCs w:val="24"/>
        </w:rPr>
        <w:t xml:space="preserve"> często </w:t>
      </w:r>
      <w:r w:rsidR="0029602E" w:rsidRPr="00677204">
        <w:rPr>
          <w:rFonts w:ascii="Times New Roman" w:hAnsi="Times New Roman" w:cs="Times New Roman"/>
          <w:sz w:val="24"/>
          <w:szCs w:val="24"/>
        </w:rPr>
        <w:t xml:space="preserve">jest </w:t>
      </w:r>
      <w:r w:rsidRPr="00677204">
        <w:rPr>
          <w:rFonts w:ascii="Times New Roman" w:hAnsi="Times New Roman" w:cs="Times New Roman"/>
          <w:sz w:val="24"/>
          <w:szCs w:val="24"/>
        </w:rPr>
        <w:t>połączony ze skomplikowanymi usługami płatniczymi</w:t>
      </w:r>
      <w:r w:rsidR="0029602E" w:rsidRPr="00677204">
        <w:rPr>
          <w:rFonts w:ascii="Times New Roman" w:hAnsi="Times New Roman" w:cs="Times New Roman"/>
          <w:sz w:val="24"/>
          <w:szCs w:val="24"/>
        </w:rPr>
        <w:t>,</w:t>
      </w:r>
      <w:r w:rsidRPr="00677204">
        <w:rPr>
          <w:rFonts w:ascii="Times New Roman" w:hAnsi="Times New Roman" w:cs="Times New Roman"/>
          <w:sz w:val="24"/>
          <w:szCs w:val="24"/>
        </w:rPr>
        <w:t xml:space="preserve"> za które trzeba </w:t>
      </w:r>
      <w:r w:rsidR="0029602E" w:rsidRPr="00677204">
        <w:rPr>
          <w:rFonts w:ascii="Times New Roman" w:hAnsi="Times New Roman" w:cs="Times New Roman"/>
          <w:sz w:val="24"/>
          <w:szCs w:val="24"/>
        </w:rPr>
        <w:t xml:space="preserve">ponosić </w:t>
      </w:r>
      <w:r w:rsidRPr="00677204">
        <w:rPr>
          <w:rFonts w:ascii="Times New Roman" w:hAnsi="Times New Roman" w:cs="Times New Roman"/>
          <w:sz w:val="24"/>
          <w:szCs w:val="24"/>
        </w:rPr>
        <w:t xml:space="preserve">dodatkowe opłaty. </w:t>
      </w:r>
      <w:r w:rsidR="0029602E" w:rsidRPr="00677204">
        <w:rPr>
          <w:rFonts w:ascii="Times New Roman" w:hAnsi="Times New Roman" w:cs="Times New Roman"/>
          <w:sz w:val="24"/>
          <w:szCs w:val="24"/>
        </w:rPr>
        <w:t>Z</w:t>
      </w:r>
      <w:r w:rsidR="00EB10C7" w:rsidRPr="00677204">
        <w:rPr>
          <w:rFonts w:ascii="Times New Roman" w:hAnsi="Times New Roman" w:cs="Times New Roman"/>
          <w:sz w:val="24"/>
          <w:szCs w:val="24"/>
        </w:rPr>
        <w:t xml:space="preserve">asadne </w:t>
      </w:r>
      <w:r w:rsidR="0029602E" w:rsidRPr="00677204">
        <w:rPr>
          <w:rFonts w:ascii="Times New Roman" w:hAnsi="Times New Roman" w:cs="Times New Roman"/>
          <w:sz w:val="24"/>
          <w:szCs w:val="24"/>
        </w:rPr>
        <w:t xml:space="preserve">jest zatem </w:t>
      </w:r>
      <w:r w:rsidR="00EB10C7" w:rsidRPr="00677204">
        <w:rPr>
          <w:rFonts w:ascii="Times New Roman" w:hAnsi="Times New Roman" w:cs="Times New Roman"/>
          <w:sz w:val="24"/>
          <w:szCs w:val="24"/>
        </w:rPr>
        <w:t>skorzystanie przez Polskę z opcji narodowej, w której usługa dostępu do rachunku podstawowego – w</w:t>
      </w:r>
      <w:r w:rsidR="002549F6" w:rsidRPr="00677204">
        <w:rPr>
          <w:rFonts w:ascii="Times New Roman" w:hAnsi="Times New Roman" w:cs="Times New Roman"/>
          <w:sz w:val="24"/>
          <w:szCs w:val="24"/>
        </w:rPr>
        <w:t xml:space="preserve"> </w:t>
      </w:r>
      <w:r w:rsidR="00EB10C7" w:rsidRPr="00677204">
        <w:rPr>
          <w:rFonts w:ascii="Times New Roman" w:hAnsi="Times New Roman" w:cs="Times New Roman"/>
          <w:sz w:val="24"/>
          <w:szCs w:val="24"/>
        </w:rPr>
        <w:t>ramach określonych limitów transakcji – będzie bezpłatna. Usługa ta będzie świadczona dla konsumentów nieposiadający</w:t>
      </w:r>
      <w:r w:rsidR="00C66493" w:rsidRPr="00677204">
        <w:rPr>
          <w:rFonts w:ascii="Times New Roman" w:hAnsi="Times New Roman" w:cs="Times New Roman"/>
          <w:sz w:val="24"/>
          <w:szCs w:val="24"/>
        </w:rPr>
        <w:t>ch innego rachunku płatniczego.</w:t>
      </w:r>
      <w:r w:rsidR="00EB10C7" w:rsidRPr="00677204">
        <w:rPr>
          <w:rFonts w:ascii="Times New Roman" w:hAnsi="Times New Roman" w:cs="Times New Roman"/>
          <w:sz w:val="24"/>
          <w:szCs w:val="24"/>
        </w:rPr>
        <w:t xml:space="preserve"> Konsument, w ramach dostępu do rachunku podstawow</w:t>
      </w:r>
      <w:r w:rsidR="00033A93" w:rsidRPr="00677204">
        <w:rPr>
          <w:rFonts w:ascii="Times New Roman" w:hAnsi="Times New Roman" w:cs="Times New Roman"/>
          <w:sz w:val="24"/>
          <w:szCs w:val="24"/>
        </w:rPr>
        <w:t>ego,</w:t>
      </w:r>
      <w:r w:rsidR="002549F6" w:rsidRPr="00677204">
        <w:rPr>
          <w:rFonts w:ascii="Times New Roman" w:hAnsi="Times New Roman" w:cs="Times New Roman"/>
          <w:sz w:val="24"/>
          <w:szCs w:val="24"/>
        </w:rPr>
        <w:t xml:space="preserve"> </w:t>
      </w:r>
      <w:r w:rsidR="00EB10C7" w:rsidRPr="00677204">
        <w:rPr>
          <w:rFonts w:ascii="Times New Roman" w:hAnsi="Times New Roman" w:cs="Times New Roman"/>
          <w:sz w:val="24"/>
          <w:szCs w:val="24"/>
        </w:rPr>
        <w:t xml:space="preserve">będzie mógł wykonywać </w:t>
      </w:r>
      <w:r w:rsidR="00EB10C7" w:rsidRPr="00677204">
        <w:rPr>
          <w:rFonts w:ascii="Times New Roman" w:hAnsi="Times New Roman" w:cs="Times New Roman"/>
          <w:sz w:val="24"/>
          <w:szCs w:val="24"/>
        </w:rPr>
        <w:lastRenderedPageBreak/>
        <w:t>jedynie podstawowe</w:t>
      </w:r>
      <w:r w:rsidR="005860EC" w:rsidRPr="00677204">
        <w:rPr>
          <w:rFonts w:ascii="Times New Roman" w:hAnsi="Times New Roman" w:cs="Times New Roman"/>
          <w:sz w:val="24"/>
          <w:szCs w:val="24"/>
        </w:rPr>
        <w:t xml:space="preserve"> transakcje płatnicze</w:t>
      </w:r>
      <w:r w:rsidR="0029602E" w:rsidRPr="00677204">
        <w:rPr>
          <w:rFonts w:ascii="Times New Roman" w:hAnsi="Times New Roman" w:cs="Times New Roman"/>
          <w:sz w:val="24"/>
          <w:szCs w:val="24"/>
        </w:rPr>
        <w:t xml:space="preserve">, </w:t>
      </w:r>
      <w:r w:rsidR="005860EC" w:rsidRPr="00677204">
        <w:rPr>
          <w:rFonts w:ascii="Times New Roman" w:hAnsi="Times New Roman" w:cs="Times New Roman"/>
          <w:sz w:val="24"/>
          <w:szCs w:val="24"/>
        </w:rPr>
        <w:t>takie jak</w:t>
      </w:r>
      <w:r w:rsidR="002549F6" w:rsidRPr="00677204">
        <w:rPr>
          <w:rFonts w:ascii="Times New Roman" w:hAnsi="Times New Roman" w:cs="Times New Roman"/>
          <w:sz w:val="24"/>
          <w:szCs w:val="24"/>
        </w:rPr>
        <w:t xml:space="preserve"> </w:t>
      </w:r>
      <w:r w:rsidR="00EB10C7" w:rsidRPr="00677204">
        <w:rPr>
          <w:rFonts w:ascii="Times New Roman" w:hAnsi="Times New Roman" w:cs="Times New Roman"/>
          <w:sz w:val="24"/>
          <w:szCs w:val="24"/>
        </w:rPr>
        <w:t>wpłat</w:t>
      </w:r>
      <w:r w:rsidR="0029602E" w:rsidRPr="00677204">
        <w:rPr>
          <w:rFonts w:ascii="Times New Roman" w:hAnsi="Times New Roman" w:cs="Times New Roman"/>
          <w:sz w:val="24"/>
          <w:szCs w:val="24"/>
        </w:rPr>
        <w:t>a</w:t>
      </w:r>
      <w:r w:rsidR="00EB10C7" w:rsidRPr="00677204">
        <w:rPr>
          <w:rFonts w:ascii="Times New Roman" w:hAnsi="Times New Roman" w:cs="Times New Roman"/>
          <w:sz w:val="24"/>
          <w:szCs w:val="24"/>
        </w:rPr>
        <w:t xml:space="preserve"> i wypłat</w:t>
      </w:r>
      <w:r w:rsidR="0029602E" w:rsidRPr="00677204">
        <w:rPr>
          <w:rFonts w:ascii="Times New Roman" w:hAnsi="Times New Roman" w:cs="Times New Roman"/>
          <w:sz w:val="24"/>
          <w:szCs w:val="24"/>
        </w:rPr>
        <w:t>a</w:t>
      </w:r>
      <w:r w:rsidR="00EB10C7" w:rsidRPr="00677204">
        <w:rPr>
          <w:rFonts w:ascii="Times New Roman" w:hAnsi="Times New Roman" w:cs="Times New Roman"/>
          <w:sz w:val="24"/>
          <w:szCs w:val="24"/>
        </w:rPr>
        <w:t>,</w:t>
      </w:r>
      <w:r w:rsidR="002549F6" w:rsidRPr="00677204">
        <w:rPr>
          <w:rFonts w:ascii="Times New Roman" w:hAnsi="Times New Roman" w:cs="Times New Roman"/>
          <w:sz w:val="24"/>
          <w:szCs w:val="24"/>
        </w:rPr>
        <w:t xml:space="preserve"> </w:t>
      </w:r>
      <w:r w:rsidR="00EB10C7" w:rsidRPr="00677204">
        <w:rPr>
          <w:rFonts w:ascii="Times New Roman" w:hAnsi="Times New Roman" w:cs="Times New Roman"/>
          <w:sz w:val="24"/>
          <w:szCs w:val="24"/>
        </w:rPr>
        <w:t xml:space="preserve">polecenie </w:t>
      </w:r>
      <w:r w:rsidR="00574CD7" w:rsidRPr="00677204">
        <w:rPr>
          <w:rFonts w:ascii="Times New Roman" w:hAnsi="Times New Roman" w:cs="Times New Roman"/>
          <w:sz w:val="24"/>
          <w:szCs w:val="24"/>
        </w:rPr>
        <w:t>przelewu czy polecenie zapłaty.</w:t>
      </w:r>
    </w:p>
    <w:p w14:paraId="7C082EB5" w14:textId="25178266" w:rsidR="00EB10C7" w:rsidRPr="00677204" w:rsidRDefault="0029602E" w:rsidP="00254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204">
        <w:rPr>
          <w:rFonts w:ascii="Times New Roman" w:hAnsi="Times New Roman" w:cs="Times New Roman"/>
          <w:sz w:val="24"/>
          <w:szCs w:val="24"/>
        </w:rPr>
        <w:t>U</w:t>
      </w:r>
      <w:r w:rsidR="00EB10C7" w:rsidRPr="00677204">
        <w:rPr>
          <w:rFonts w:ascii="Times New Roman" w:hAnsi="Times New Roman" w:cs="Times New Roman"/>
          <w:sz w:val="24"/>
          <w:szCs w:val="24"/>
        </w:rPr>
        <w:t>sługi związane z takim rachunkiem mają mieć charakter podstawowy i</w:t>
      </w:r>
      <w:r w:rsidR="00B214E2" w:rsidRPr="00677204">
        <w:rPr>
          <w:rFonts w:ascii="Times New Roman" w:hAnsi="Times New Roman" w:cs="Times New Roman"/>
          <w:sz w:val="24"/>
          <w:szCs w:val="24"/>
        </w:rPr>
        <w:t xml:space="preserve"> </w:t>
      </w:r>
      <w:r w:rsidR="00BC211F" w:rsidRPr="00677204">
        <w:rPr>
          <w:rFonts w:ascii="Times New Roman" w:hAnsi="Times New Roman" w:cs="Times New Roman"/>
          <w:sz w:val="24"/>
          <w:szCs w:val="24"/>
        </w:rPr>
        <w:t xml:space="preserve">będą </w:t>
      </w:r>
      <w:r w:rsidR="00A74C20" w:rsidRPr="00677204">
        <w:rPr>
          <w:rFonts w:ascii="Times New Roman" w:hAnsi="Times New Roman" w:cs="Times New Roman"/>
          <w:sz w:val="24"/>
          <w:szCs w:val="24"/>
        </w:rPr>
        <w:t>przeznaczon</w:t>
      </w:r>
      <w:r w:rsidR="00BC211F" w:rsidRPr="00677204">
        <w:rPr>
          <w:rFonts w:ascii="Times New Roman" w:hAnsi="Times New Roman" w:cs="Times New Roman"/>
          <w:sz w:val="24"/>
          <w:szCs w:val="24"/>
        </w:rPr>
        <w:t>e</w:t>
      </w:r>
      <w:r w:rsidR="00A74C20" w:rsidRPr="00677204">
        <w:rPr>
          <w:rFonts w:ascii="Times New Roman" w:hAnsi="Times New Roman" w:cs="Times New Roman"/>
          <w:sz w:val="24"/>
          <w:szCs w:val="24"/>
        </w:rPr>
        <w:t xml:space="preserve"> dla osób niekorzystających dotychczas z rachunku bankowego (rachunku w</w:t>
      </w:r>
      <w:r w:rsidR="002549F6" w:rsidRPr="00677204">
        <w:rPr>
          <w:rFonts w:ascii="Times New Roman" w:hAnsi="Times New Roman" w:cs="Times New Roman"/>
          <w:sz w:val="24"/>
          <w:szCs w:val="24"/>
        </w:rPr>
        <w:t xml:space="preserve"> </w:t>
      </w:r>
      <w:r w:rsidR="00A74C20" w:rsidRPr="00677204">
        <w:rPr>
          <w:rFonts w:ascii="Times New Roman" w:hAnsi="Times New Roman" w:cs="Times New Roman"/>
          <w:sz w:val="24"/>
          <w:szCs w:val="24"/>
        </w:rPr>
        <w:t xml:space="preserve">skok), </w:t>
      </w:r>
      <w:r w:rsidR="00BC211F" w:rsidRPr="00677204">
        <w:rPr>
          <w:rFonts w:ascii="Times New Roman" w:hAnsi="Times New Roman" w:cs="Times New Roman"/>
          <w:sz w:val="24"/>
          <w:szCs w:val="24"/>
        </w:rPr>
        <w:t xml:space="preserve">przy czym </w:t>
      </w:r>
      <w:r w:rsidR="00A74C20" w:rsidRPr="00677204">
        <w:rPr>
          <w:rFonts w:ascii="Times New Roman" w:hAnsi="Times New Roman" w:cs="Times New Roman"/>
          <w:sz w:val="24"/>
          <w:szCs w:val="24"/>
        </w:rPr>
        <w:t xml:space="preserve">proponuje się </w:t>
      </w:r>
      <w:r w:rsidR="00EB10C7" w:rsidRPr="00677204">
        <w:rPr>
          <w:rFonts w:ascii="Times New Roman" w:hAnsi="Times New Roman" w:cs="Times New Roman"/>
          <w:sz w:val="24"/>
          <w:szCs w:val="24"/>
        </w:rPr>
        <w:t>wprowadz</w:t>
      </w:r>
      <w:r w:rsidR="001707DD" w:rsidRPr="00677204">
        <w:rPr>
          <w:rFonts w:ascii="Times New Roman" w:hAnsi="Times New Roman" w:cs="Times New Roman"/>
          <w:sz w:val="24"/>
          <w:szCs w:val="24"/>
        </w:rPr>
        <w:t>enie</w:t>
      </w:r>
      <w:r w:rsidR="00EB10C7" w:rsidRPr="00677204">
        <w:rPr>
          <w:rFonts w:ascii="Times New Roman" w:hAnsi="Times New Roman" w:cs="Times New Roman"/>
          <w:sz w:val="24"/>
          <w:szCs w:val="24"/>
        </w:rPr>
        <w:t xml:space="preserve"> </w:t>
      </w:r>
      <w:r w:rsidR="00BC211F" w:rsidRPr="00677204">
        <w:rPr>
          <w:rFonts w:ascii="Times New Roman" w:hAnsi="Times New Roman" w:cs="Times New Roman"/>
          <w:sz w:val="24"/>
          <w:szCs w:val="24"/>
        </w:rPr>
        <w:t xml:space="preserve">miesięcznego </w:t>
      </w:r>
      <w:r w:rsidR="00EB10C7" w:rsidRPr="00677204">
        <w:rPr>
          <w:rFonts w:ascii="Times New Roman" w:hAnsi="Times New Roman" w:cs="Times New Roman"/>
          <w:sz w:val="24"/>
          <w:szCs w:val="24"/>
        </w:rPr>
        <w:t>limit</w:t>
      </w:r>
      <w:r w:rsidR="00F731FC" w:rsidRPr="00677204">
        <w:rPr>
          <w:rFonts w:ascii="Times New Roman" w:hAnsi="Times New Roman" w:cs="Times New Roman"/>
          <w:sz w:val="24"/>
          <w:szCs w:val="24"/>
        </w:rPr>
        <w:t>u</w:t>
      </w:r>
      <w:r w:rsidR="00EB10C7" w:rsidRPr="00677204">
        <w:rPr>
          <w:rFonts w:ascii="Times New Roman" w:hAnsi="Times New Roman" w:cs="Times New Roman"/>
          <w:sz w:val="24"/>
          <w:szCs w:val="24"/>
        </w:rPr>
        <w:t xml:space="preserve"> </w:t>
      </w:r>
      <w:r w:rsidR="00BC211F" w:rsidRPr="00677204">
        <w:rPr>
          <w:rFonts w:ascii="Times New Roman" w:hAnsi="Times New Roman" w:cs="Times New Roman"/>
          <w:sz w:val="24"/>
          <w:szCs w:val="24"/>
        </w:rPr>
        <w:t>1</w:t>
      </w:r>
      <w:r w:rsidR="00F64DA3" w:rsidRPr="00677204">
        <w:rPr>
          <w:rFonts w:ascii="Times New Roman" w:hAnsi="Times New Roman" w:cs="Times New Roman"/>
          <w:sz w:val="24"/>
          <w:szCs w:val="24"/>
        </w:rPr>
        <w:t>5</w:t>
      </w:r>
      <w:r w:rsidR="00BC211F" w:rsidRPr="00677204">
        <w:rPr>
          <w:rFonts w:ascii="Times New Roman" w:hAnsi="Times New Roman" w:cs="Times New Roman"/>
          <w:sz w:val="24"/>
          <w:szCs w:val="24"/>
        </w:rPr>
        <w:t xml:space="preserve"> </w:t>
      </w:r>
      <w:r w:rsidR="00EB10C7" w:rsidRPr="00677204">
        <w:rPr>
          <w:rFonts w:ascii="Times New Roman" w:hAnsi="Times New Roman" w:cs="Times New Roman"/>
          <w:sz w:val="24"/>
          <w:szCs w:val="24"/>
        </w:rPr>
        <w:t xml:space="preserve">bezpłatnych transakcji realizowanych za pomocą polecenia przelewu, wliczając w to zlecenia stałe. Powyżej tego limitu dostawca usług płatniczych będzie mógł pobierać od konsumenta opłatę za realizację </w:t>
      </w:r>
      <w:r w:rsidR="00855EE9" w:rsidRPr="00677204">
        <w:rPr>
          <w:rFonts w:ascii="Times New Roman" w:hAnsi="Times New Roman" w:cs="Times New Roman"/>
          <w:sz w:val="24"/>
          <w:szCs w:val="24"/>
        </w:rPr>
        <w:t xml:space="preserve">kolejnych </w:t>
      </w:r>
      <w:r w:rsidR="00EB10C7" w:rsidRPr="00677204">
        <w:rPr>
          <w:rFonts w:ascii="Times New Roman" w:hAnsi="Times New Roman" w:cs="Times New Roman"/>
          <w:sz w:val="24"/>
          <w:szCs w:val="24"/>
        </w:rPr>
        <w:t>transakcji polecenia przelewu</w:t>
      </w:r>
      <w:r w:rsidR="00634830" w:rsidRPr="00677204">
        <w:rPr>
          <w:rFonts w:ascii="Times New Roman" w:hAnsi="Times New Roman" w:cs="Times New Roman"/>
          <w:sz w:val="24"/>
          <w:szCs w:val="24"/>
        </w:rPr>
        <w:t xml:space="preserve">, w tym </w:t>
      </w:r>
      <w:r w:rsidR="00855EE9" w:rsidRPr="00677204">
        <w:rPr>
          <w:rFonts w:ascii="Times New Roman" w:hAnsi="Times New Roman" w:cs="Times New Roman"/>
          <w:sz w:val="24"/>
          <w:szCs w:val="24"/>
        </w:rPr>
        <w:t>zleceń stałych</w:t>
      </w:r>
      <w:r w:rsidR="00EB10C7" w:rsidRPr="00677204">
        <w:rPr>
          <w:rFonts w:ascii="Times New Roman" w:hAnsi="Times New Roman" w:cs="Times New Roman"/>
          <w:sz w:val="24"/>
          <w:szCs w:val="24"/>
        </w:rPr>
        <w:t>. Opłata ta nie będzie mogła być jednak wyższa niż najczęściej pobierana opłata za taką samą usługę powiązaną z jakimkolwiek innym rachunkiem płatnicz</w:t>
      </w:r>
      <w:r w:rsidR="00B214E2" w:rsidRPr="00677204">
        <w:rPr>
          <w:rFonts w:ascii="Times New Roman" w:hAnsi="Times New Roman" w:cs="Times New Roman"/>
          <w:sz w:val="24"/>
          <w:szCs w:val="24"/>
        </w:rPr>
        <w:t>ym prowadzonym przez</w:t>
      </w:r>
      <w:r w:rsidR="002549F6" w:rsidRPr="00677204">
        <w:rPr>
          <w:rFonts w:ascii="Times New Roman" w:hAnsi="Times New Roman" w:cs="Times New Roman"/>
          <w:sz w:val="24"/>
          <w:szCs w:val="24"/>
        </w:rPr>
        <w:t xml:space="preserve"> </w:t>
      </w:r>
      <w:r w:rsidR="00B214E2" w:rsidRPr="00677204">
        <w:rPr>
          <w:rFonts w:ascii="Times New Roman" w:hAnsi="Times New Roman" w:cs="Times New Roman"/>
          <w:sz w:val="24"/>
          <w:szCs w:val="24"/>
        </w:rPr>
        <w:t>dostawcę.</w:t>
      </w:r>
      <w:r w:rsidR="00EB10C7" w:rsidRPr="00677204">
        <w:rPr>
          <w:rFonts w:ascii="Times New Roman" w:hAnsi="Times New Roman" w:cs="Times New Roman"/>
          <w:sz w:val="24"/>
          <w:szCs w:val="24"/>
        </w:rPr>
        <w:t xml:space="preserve"> Limit 1</w:t>
      </w:r>
      <w:r w:rsidR="00B35154" w:rsidRPr="00677204">
        <w:rPr>
          <w:rFonts w:ascii="Times New Roman" w:hAnsi="Times New Roman" w:cs="Times New Roman"/>
          <w:sz w:val="24"/>
          <w:szCs w:val="24"/>
        </w:rPr>
        <w:t>5</w:t>
      </w:r>
      <w:r w:rsidR="00EB10C7" w:rsidRPr="00677204">
        <w:rPr>
          <w:rFonts w:ascii="Times New Roman" w:hAnsi="Times New Roman" w:cs="Times New Roman"/>
          <w:sz w:val="24"/>
          <w:szCs w:val="24"/>
        </w:rPr>
        <w:t xml:space="preserve"> bezpłatnych transakcji</w:t>
      </w:r>
      <w:r w:rsidR="005860EC" w:rsidRPr="00677204">
        <w:rPr>
          <w:rFonts w:ascii="Times New Roman" w:hAnsi="Times New Roman" w:cs="Times New Roman"/>
          <w:sz w:val="24"/>
          <w:szCs w:val="24"/>
        </w:rPr>
        <w:t xml:space="preserve"> poleceń przelewu</w:t>
      </w:r>
      <w:r w:rsidR="00BC211F" w:rsidRPr="00677204">
        <w:rPr>
          <w:rFonts w:ascii="Times New Roman" w:hAnsi="Times New Roman" w:cs="Times New Roman"/>
          <w:sz w:val="24"/>
          <w:szCs w:val="24"/>
        </w:rPr>
        <w:t xml:space="preserve"> </w:t>
      </w:r>
      <w:r w:rsidR="00EB10C7" w:rsidRPr="00677204">
        <w:rPr>
          <w:rFonts w:ascii="Times New Roman" w:hAnsi="Times New Roman" w:cs="Times New Roman"/>
          <w:sz w:val="24"/>
          <w:szCs w:val="24"/>
        </w:rPr>
        <w:t>wydaje się w pełni wystarczający do zarządzania domowymi finansami</w:t>
      </w:r>
      <w:r w:rsidR="00A74C20" w:rsidRPr="00677204">
        <w:rPr>
          <w:rFonts w:ascii="Times New Roman" w:hAnsi="Times New Roman" w:cs="Times New Roman"/>
          <w:sz w:val="24"/>
          <w:szCs w:val="24"/>
        </w:rPr>
        <w:t xml:space="preserve">, </w:t>
      </w:r>
      <w:r w:rsidR="00EB10C7" w:rsidRPr="00677204">
        <w:rPr>
          <w:rFonts w:ascii="Times New Roman" w:hAnsi="Times New Roman" w:cs="Times New Roman"/>
          <w:sz w:val="24"/>
          <w:szCs w:val="24"/>
        </w:rPr>
        <w:t>np. w zakresie regulowania podstawowych zobowiązań związanych z funkcjonowaniem gospodarstwa domowego (czynsz, energia elektryczna</w:t>
      </w:r>
      <w:r w:rsidR="00574CD7" w:rsidRPr="00677204">
        <w:rPr>
          <w:rFonts w:ascii="Times New Roman" w:hAnsi="Times New Roman" w:cs="Times New Roman"/>
          <w:sz w:val="24"/>
          <w:szCs w:val="24"/>
        </w:rPr>
        <w:t xml:space="preserve"> czy usługi telekomunikacyjne).</w:t>
      </w:r>
    </w:p>
    <w:p w14:paraId="60F4C7DE" w14:textId="3FFA9CAC" w:rsidR="00BC211F" w:rsidRPr="00677204" w:rsidRDefault="003A1D3E" w:rsidP="002549F6">
      <w:pPr>
        <w:pStyle w:val="ARTartustawynprozporzdzeni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>K</w:t>
      </w:r>
      <w:r w:rsidR="00EB10C7" w:rsidRPr="00677204">
        <w:rPr>
          <w:rFonts w:ascii="Times New Roman" w:hAnsi="Times New Roman" w:cs="Times New Roman"/>
          <w:szCs w:val="24"/>
        </w:rPr>
        <w:t>onsument</w:t>
      </w:r>
      <w:r w:rsidR="00AA2168" w:rsidRPr="00677204">
        <w:rPr>
          <w:rFonts w:ascii="Times New Roman" w:hAnsi="Times New Roman" w:cs="Times New Roman"/>
          <w:szCs w:val="24"/>
        </w:rPr>
        <w:t xml:space="preserve"> posiadający rachunek podstawowy</w:t>
      </w:r>
      <w:r w:rsidR="00EB10C7" w:rsidRPr="00677204">
        <w:rPr>
          <w:rFonts w:ascii="Times New Roman" w:hAnsi="Times New Roman" w:cs="Times New Roman"/>
          <w:szCs w:val="24"/>
        </w:rPr>
        <w:t xml:space="preserve"> będzie mógł dokonywać transakcji kartami płatniczymi</w:t>
      </w:r>
      <w:r w:rsidR="00A74C20" w:rsidRPr="00677204">
        <w:rPr>
          <w:rFonts w:ascii="Times New Roman" w:hAnsi="Times New Roman" w:cs="Times New Roman"/>
          <w:szCs w:val="24"/>
        </w:rPr>
        <w:t xml:space="preserve">, </w:t>
      </w:r>
      <w:r w:rsidR="00EB10C7" w:rsidRPr="00677204">
        <w:rPr>
          <w:rFonts w:ascii="Times New Roman" w:hAnsi="Times New Roman" w:cs="Times New Roman"/>
          <w:szCs w:val="24"/>
        </w:rPr>
        <w:t>z wyjątkiem transakcji dokonywanych kartami kredytowymi, bowiem z</w:t>
      </w:r>
      <w:r w:rsidR="006D4B38">
        <w:rPr>
          <w:rFonts w:ascii="Times New Roman" w:hAnsi="Times New Roman" w:cs="Times New Roman"/>
          <w:szCs w:val="24"/>
        </w:rPr>
        <w:t xml:space="preserve"> </w:t>
      </w:r>
      <w:r w:rsidR="00EB10C7" w:rsidRPr="00677204">
        <w:rPr>
          <w:rFonts w:ascii="Times New Roman" w:hAnsi="Times New Roman" w:cs="Times New Roman"/>
          <w:szCs w:val="24"/>
        </w:rPr>
        <w:t>rachunkiem podstawowym nie będą mogły być powiązane żadne produkty kredytowe</w:t>
      </w:r>
      <w:r w:rsidR="00EE1B44" w:rsidRPr="00677204">
        <w:rPr>
          <w:rFonts w:ascii="Times New Roman" w:hAnsi="Times New Roman" w:cs="Times New Roman"/>
          <w:szCs w:val="24"/>
        </w:rPr>
        <w:t xml:space="preserve">, co </w:t>
      </w:r>
      <w:r w:rsidR="000D4DB1" w:rsidRPr="00677204">
        <w:rPr>
          <w:rFonts w:ascii="Times New Roman" w:hAnsi="Times New Roman" w:cs="Times New Roman"/>
          <w:szCs w:val="24"/>
        </w:rPr>
        <w:t>wynika z decyzji</w:t>
      </w:r>
      <w:r w:rsidR="00EE1B44" w:rsidRPr="00677204">
        <w:rPr>
          <w:rFonts w:ascii="Times New Roman" w:hAnsi="Times New Roman" w:cs="Times New Roman"/>
          <w:szCs w:val="24"/>
        </w:rPr>
        <w:t xml:space="preserve"> </w:t>
      </w:r>
      <w:r w:rsidR="000D4DB1" w:rsidRPr="00677204">
        <w:rPr>
          <w:rFonts w:ascii="Times New Roman" w:hAnsi="Times New Roman" w:cs="Times New Roman"/>
          <w:szCs w:val="24"/>
        </w:rPr>
        <w:t xml:space="preserve">o </w:t>
      </w:r>
      <w:r w:rsidR="00EE1B44" w:rsidRPr="00677204">
        <w:rPr>
          <w:rFonts w:ascii="Times New Roman" w:hAnsi="Times New Roman" w:cs="Times New Roman"/>
          <w:szCs w:val="24"/>
        </w:rPr>
        <w:t>nie</w:t>
      </w:r>
      <w:r w:rsidR="000D4DB1" w:rsidRPr="00677204">
        <w:rPr>
          <w:rFonts w:ascii="Times New Roman" w:hAnsi="Times New Roman" w:cs="Times New Roman"/>
          <w:szCs w:val="24"/>
        </w:rPr>
        <w:t>korzystaniu z</w:t>
      </w:r>
      <w:r w:rsidR="00EE1B44" w:rsidRPr="00677204">
        <w:rPr>
          <w:rFonts w:ascii="Times New Roman" w:hAnsi="Times New Roman" w:cs="Times New Roman"/>
          <w:szCs w:val="24"/>
        </w:rPr>
        <w:t xml:space="preserve"> opcji narodowej z art. 17 ust. 8 dyrektywy</w:t>
      </w:r>
      <w:r w:rsidR="007E1092" w:rsidRPr="00677204">
        <w:rPr>
          <w:rFonts w:ascii="Times New Roman" w:hAnsi="Times New Roman" w:cs="Times New Roman"/>
          <w:szCs w:val="24"/>
        </w:rPr>
        <w:t xml:space="preserve">. </w:t>
      </w:r>
      <w:r w:rsidR="00E439E3" w:rsidRPr="00677204">
        <w:rPr>
          <w:rFonts w:ascii="Times New Roman" w:hAnsi="Times New Roman" w:cs="Times New Roman"/>
          <w:szCs w:val="24"/>
        </w:rPr>
        <w:t xml:space="preserve">Ponadto proponuje się umożliwienie dostawcom pobierania opłaty za </w:t>
      </w:r>
      <w:r w:rsidR="00960D58" w:rsidRPr="00677204">
        <w:rPr>
          <w:rFonts w:ascii="Times New Roman" w:hAnsi="Times New Roman" w:cs="Times New Roman"/>
          <w:szCs w:val="24"/>
        </w:rPr>
        <w:t xml:space="preserve">wydanie </w:t>
      </w:r>
      <w:r w:rsidR="00E439E3" w:rsidRPr="00677204">
        <w:rPr>
          <w:rFonts w:ascii="Times New Roman" w:hAnsi="Times New Roman" w:cs="Times New Roman"/>
          <w:szCs w:val="24"/>
        </w:rPr>
        <w:t>karty płatnicze</w:t>
      </w:r>
      <w:r w:rsidR="00706891" w:rsidRPr="00677204">
        <w:rPr>
          <w:rFonts w:ascii="Times New Roman" w:hAnsi="Times New Roman" w:cs="Times New Roman"/>
          <w:szCs w:val="24"/>
        </w:rPr>
        <w:t xml:space="preserve">j, </w:t>
      </w:r>
      <w:r w:rsidR="00E439E3" w:rsidRPr="00677204">
        <w:rPr>
          <w:rFonts w:ascii="Times New Roman" w:hAnsi="Times New Roman" w:cs="Times New Roman"/>
          <w:szCs w:val="24"/>
        </w:rPr>
        <w:t xml:space="preserve">nie wyższej niż najczęściej pobierana opłata przez danego dostawcę za </w:t>
      </w:r>
      <w:r w:rsidR="00634830" w:rsidRPr="00677204">
        <w:rPr>
          <w:rFonts w:ascii="Times New Roman" w:hAnsi="Times New Roman" w:cs="Times New Roman"/>
          <w:szCs w:val="24"/>
        </w:rPr>
        <w:t xml:space="preserve">wydanie </w:t>
      </w:r>
      <w:r w:rsidR="00E439E3" w:rsidRPr="00677204">
        <w:rPr>
          <w:rFonts w:ascii="Times New Roman" w:hAnsi="Times New Roman" w:cs="Times New Roman"/>
          <w:szCs w:val="24"/>
        </w:rPr>
        <w:t>analogicznej karty płatniczej</w:t>
      </w:r>
      <w:r w:rsidR="007E1092" w:rsidRPr="00677204">
        <w:rPr>
          <w:rFonts w:ascii="Times New Roman" w:hAnsi="Times New Roman" w:cs="Times New Roman"/>
          <w:szCs w:val="24"/>
        </w:rPr>
        <w:t>.</w:t>
      </w:r>
    </w:p>
    <w:p w14:paraId="29A48211" w14:textId="78E1AFB2" w:rsidR="003B08BA" w:rsidRPr="00677204" w:rsidRDefault="00FE7F61" w:rsidP="002549F6">
      <w:pPr>
        <w:pStyle w:val="ARTartustawynprozporzdzeni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>Dostęp</w:t>
      </w:r>
      <w:r w:rsidR="00EB10C7" w:rsidRPr="00677204">
        <w:rPr>
          <w:rFonts w:ascii="Times New Roman" w:hAnsi="Times New Roman" w:cs="Times New Roman"/>
          <w:szCs w:val="24"/>
        </w:rPr>
        <w:t xml:space="preserve"> do </w:t>
      </w:r>
      <w:r w:rsidR="00D60E05" w:rsidRPr="00677204">
        <w:rPr>
          <w:rFonts w:ascii="Times New Roman" w:hAnsi="Times New Roman" w:cs="Times New Roman"/>
          <w:szCs w:val="24"/>
        </w:rPr>
        <w:t xml:space="preserve">podstawowego </w:t>
      </w:r>
      <w:r w:rsidR="00EB10C7" w:rsidRPr="00677204">
        <w:rPr>
          <w:rFonts w:ascii="Times New Roman" w:hAnsi="Times New Roman" w:cs="Times New Roman"/>
          <w:szCs w:val="24"/>
        </w:rPr>
        <w:t>rachunku p</w:t>
      </w:r>
      <w:r w:rsidR="00D60E05" w:rsidRPr="00677204">
        <w:rPr>
          <w:rFonts w:ascii="Times New Roman" w:hAnsi="Times New Roman" w:cs="Times New Roman"/>
          <w:szCs w:val="24"/>
        </w:rPr>
        <w:t>łatniczego</w:t>
      </w:r>
      <w:r w:rsidR="00EB10C7" w:rsidRPr="00677204">
        <w:rPr>
          <w:rFonts w:ascii="Times New Roman" w:hAnsi="Times New Roman" w:cs="Times New Roman"/>
          <w:szCs w:val="24"/>
        </w:rPr>
        <w:t xml:space="preserve"> </w:t>
      </w:r>
      <w:r w:rsidR="00AA2168" w:rsidRPr="00677204">
        <w:rPr>
          <w:rFonts w:ascii="Times New Roman" w:hAnsi="Times New Roman" w:cs="Times New Roman"/>
          <w:szCs w:val="24"/>
        </w:rPr>
        <w:t>powinien</w:t>
      </w:r>
      <w:r w:rsidR="00EB10C7" w:rsidRPr="00677204">
        <w:rPr>
          <w:rFonts w:ascii="Times New Roman" w:hAnsi="Times New Roman" w:cs="Times New Roman"/>
          <w:szCs w:val="24"/>
        </w:rPr>
        <w:t xml:space="preserve"> stanowić atrakcyjną ofertę dla tych konsumentów, którzy do tej pory nie korzystali </w:t>
      </w:r>
      <w:r w:rsidR="00901D4B" w:rsidRPr="00677204">
        <w:rPr>
          <w:rFonts w:ascii="Times New Roman" w:hAnsi="Times New Roman" w:cs="Times New Roman"/>
          <w:szCs w:val="24"/>
        </w:rPr>
        <w:t>z rachunków płatniczych</w:t>
      </w:r>
      <w:r w:rsidR="00706891" w:rsidRPr="00677204">
        <w:rPr>
          <w:rFonts w:ascii="Times New Roman" w:hAnsi="Times New Roman" w:cs="Times New Roman"/>
          <w:szCs w:val="24"/>
        </w:rPr>
        <w:t xml:space="preserve">. </w:t>
      </w:r>
      <w:r w:rsidR="003A1D3E" w:rsidRPr="00677204">
        <w:rPr>
          <w:rFonts w:ascii="Times New Roman" w:hAnsi="Times New Roman" w:cs="Times New Roman"/>
          <w:szCs w:val="24"/>
        </w:rPr>
        <w:t>W</w:t>
      </w:r>
      <w:r w:rsidR="008F6D38" w:rsidRPr="00677204">
        <w:rPr>
          <w:rFonts w:ascii="Times New Roman" w:hAnsi="Times New Roman" w:cs="Times New Roman"/>
          <w:szCs w:val="24"/>
        </w:rPr>
        <w:t>prowadzenie dostępu do</w:t>
      </w:r>
      <w:r w:rsidRPr="00677204">
        <w:rPr>
          <w:rFonts w:ascii="Times New Roman" w:hAnsi="Times New Roman" w:cs="Times New Roman"/>
          <w:szCs w:val="24"/>
        </w:rPr>
        <w:t xml:space="preserve"> podstawowego</w:t>
      </w:r>
      <w:r w:rsidR="008F6D38" w:rsidRPr="00677204">
        <w:rPr>
          <w:rFonts w:ascii="Times New Roman" w:hAnsi="Times New Roman" w:cs="Times New Roman"/>
          <w:szCs w:val="24"/>
        </w:rPr>
        <w:t xml:space="preserve"> rachunku</w:t>
      </w:r>
      <w:r w:rsidRPr="00677204">
        <w:rPr>
          <w:rFonts w:ascii="Times New Roman" w:hAnsi="Times New Roman" w:cs="Times New Roman"/>
          <w:szCs w:val="24"/>
        </w:rPr>
        <w:t xml:space="preserve"> </w:t>
      </w:r>
      <w:r w:rsidR="00AA2168" w:rsidRPr="00677204">
        <w:rPr>
          <w:rFonts w:ascii="Times New Roman" w:hAnsi="Times New Roman" w:cs="Times New Roman"/>
          <w:szCs w:val="24"/>
        </w:rPr>
        <w:t>płatniczego</w:t>
      </w:r>
      <w:r w:rsidR="008F6D38" w:rsidRPr="00677204">
        <w:rPr>
          <w:rFonts w:ascii="Times New Roman" w:hAnsi="Times New Roman" w:cs="Times New Roman"/>
          <w:szCs w:val="24"/>
        </w:rPr>
        <w:t xml:space="preserve"> może przekonać osoby starsze, które dotychczas nie odczuwały potrzeby posiadania rachunku płatniczego</w:t>
      </w:r>
      <w:r w:rsidR="00706891" w:rsidRPr="00677204">
        <w:rPr>
          <w:rFonts w:ascii="Times New Roman" w:hAnsi="Times New Roman" w:cs="Times New Roman"/>
          <w:szCs w:val="24"/>
        </w:rPr>
        <w:t xml:space="preserve">, </w:t>
      </w:r>
      <w:r w:rsidR="006D4B38">
        <w:rPr>
          <w:rFonts w:ascii="Times New Roman" w:hAnsi="Times New Roman" w:cs="Times New Roman"/>
          <w:szCs w:val="24"/>
        </w:rPr>
        <w:t>a </w:t>
      </w:r>
      <w:r w:rsidR="00AD0F57" w:rsidRPr="00677204">
        <w:rPr>
          <w:rFonts w:ascii="Times New Roman" w:hAnsi="Times New Roman" w:cs="Times New Roman"/>
          <w:szCs w:val="24"/>
        </w:rPr>
        <w:t>także miały przeświadczenie, że posiadają zbyt niskie dochody</w:t>
      </w:r>
      <w:r w:rsidR="00B214E2" w:rsidRPr="00677204">
        <w:rPr>
          <w:rFonts w:ascii="Times New Roman" w:hAnsi="Times New Roman" w:cs="Times New Roman"/>
          <w:szCs w:val="24"/>
        </w:rPr>
        <w:t>,</w:t>
      </w:r>
      <w:r w:rsidR="00AD0F57" w:rsidRPr="00677204">
        <w:rPr>
          <w:rFonts w:ascii="Times New Roman" w:hAnsi="Times New Roman" w:cs="Times New Roman"/>
          <w:szCs w:val="24"/>
        </w:rPr>
        <w:t xml:space="preserve"> </w:t>
      </w:r>
      <w:r w:rsidR="0098294E">
        <w:rPr>
          <w:rFonts w:ascii="Times New Roman" w:hAnsi="Times New Roman" w:cs="Times New Roman"/>
          <w:szCs w:val="24"/>
        </w:rPr>
        <w:t>a</w:t>
      </w:r>
      <w:r w:rsidR="00AD0F57" w:rsidRPr="00677204">
        <w:rPr>
          <w:rFonts w:ascii="Times New Roman" w:hAnsi="Times New Roman" w:cs="Times New Roman"/>
          <w:szCs w:val="24"/>
        </w:rPr>
        <w:t>by posiadać taki rachunek</w:t>
      </w:r>
      <w:r w:rsidR="008F6D38" w:rsidRPr="00677204">
        <w:rPr>
          <w:rFonts w:ascii="Times New Roman" w:hAnsi="Times New Roman" w:cs="Times New Roman"/>
          <w:szCs w:val="24"/>
        </w:rPr>
        <w:t>.</w:t>
      </w:r>
      <w:r w:rsidR="003B08BA" w:rsidRPr="00677204">
        <w:rPr>
          <w:rFonts w:ascii="Times New Roman" w:hAnsi="Times New Roman" w:cs="Times New Roman"/>
          <w:szCs w:val="24"/>
        </w:rPr>
        <w:t xml:space="preserve"> </w:t>
      </w:r>
      <w:r w:rsidR="008F6D38" w:rsidRPr="00677204">
        <w:rPr>
          <w:rFonts w:ascii="Times New Roman" w:hAnsi="Times New Roman" w:cs="Times New Roman"/>
          <w:szCs w:val="24"/>
        </w:rPr>
        <w:t>Z</w:t>
      </w:r>
      <w:r w:rsidR="002549F6" w:rsidRPr="00677204">
        <w:rPr>
          <w:rFonts w:ascii="Times New Roman" w:hAnsi="Times New Roman" w:cs="Times New Roman"/>
          <w:szCs w:val="24"/>
        </w:rPr>
        <w:t xml:space="preserve"> </w:t>
      </w:r>
      <w:r w:rsidR="003B08BA" w:rsidRPr="00677204">
        <w:rPr>
          <w:rFonts w:ascii="Times New Roman" w:hAnsi="Times New Roman" w:cs="Times New Roman"/>
          <w:szCs w:val="24"/>
        </w:rPr>
        <w:t>analizy przeprowadzonej przez NBP i zaprezentowanej w dokumencie Zwyczaje Płatnicze Polaków wynika, ż</w:t>
      </w:r>
      <w:r w:rsidR="00247FCA" w:rsidRPr="00677204">
        <w:rPr>
          <w:rFonts w:ascii="Times New Roman" w:hAnsi="Times New Roman" w:cs="Times New Roman"/>
          <w:szCs w:val="24"/>
        </w:rPr>
        <w:t>e</w:t>
      </w:r>
      <w:r w:rsidR="003B08BA" w:rsidRPr="00677204">
        <w:rPr>
          <w:rFonts w:ascii="Times New Roman" w:hAnsi="Times New Roman" w:cs="Times New Roman"/>
          <w:szCs w:val="24"/>
        </w:rPr>
        <w:t xml:space="preserve"> najrzadziej k</w:t>
      </w:r>
      <w:r w:rsidR="006D4B38">
        <w:rPr>
          <w:rFonts w:ascii="Times New Roman" w:hAnsi="Times New Roman" w:cs="Times New Roman"/>
          <w:szCs w:val="24"/>
        </w:rPr>
        <w:t>onto osobiste posiadają osoby w </w:t>
      </w:r>
      <w:r w:rsidR="003B08BA" w:rsidRPr="00677204">
        <w:rPr>
          <w:rFonts w:ascii="Times New Roman" w:hAnsi="Times New Roman" w:cs="Times New Roman"/>
          <w:szCs w:val="24"/>
        </w:rPr>
        <w:t>wieku 65</w:t>
      </w:r>
      <w:r w:rsidR="00215BF8" w:rsidRPr="00677204">
        <w:rPr>
          <w:rFonts w:ascii="Times New Roman" w:hAnsi="Times New Roman" w:cs="Times New Roman"/>
          <w:szCs w:val="24"/>
        </w:rPr>
        <w:t xml:space="preserve"> </w:t>
      </w:r>
      <w:r w:rsidR="00247FCA" w:rsidRPr="00677204">
        <w:rPr>
          <w:rFonts w:ascii="Times New Roman" w:hAnsi="Times New Roman" w:cs="Times New Roman"/>
          <w:szCs w:val="24"/>
        </w:rPr>
        <w:t xml:space="preserve">lat </w:t>
      </w:r>
      <w:r w:rsidR="001C7667">
        <w:rPr>
          <w:rFonts w:ascii="Times New Roman" w:hAnsi="Times New Roman" w:cs="Times New Roman"/>
          <w:szCs w:val="24"/>
        </w:rPr>
        <w:t>(43</w:t>
      </w:r>
      <w:r w:rsidR="00215BF8" w:rsidRPr="00677204">
        <w:rPr>
          <w:rFonts w:ascii="Times New Roman" w:hAnsi="Times New Roman" w:cs="Times New Roman"/>
          <w:szCs w:val="24"/>
        </w:rPr>
        <w:t>%)</w:t>
      </w:r>
      <w:r w:rsidR="003B08BA" w:rsidRPr="00677204">
        <w:rPr>
          <w:rFonts w:ascii="Times New Roman" w:hAnsi="Times New Roman" w:cs="Times New Roman"/>
          <w:szCs w:val="24"/>
        </w:rPr>
        <w:t xml:space="preserve"> </w:t>
      </w:r>
      <w:r w:rsidR="00CB1B6B" w:rsidRPr="00677204">
        <w:rPr>
          <w:rFonts w:ascii="Times New Roman" w:hAnsi="Times New Roman" w:cs="Times New Roman"/>
          <w:szCs w:val="24"/>
        </w:rPr>
        <w:t>i</w:t>
      </w:r>
      <w:r w:rsidR="002549F6" w:rsidRPr="00677204">
        <w:rPr>
          <w:rFonts w:ascii="Times New Roman" w:hAnsi="Times New Roman" w:cs="Times New Roman"/>
          <w:szCs w:val="24"/>
        </w:rPr>
        <w:t xml:space="preserve"> </w:t>
      </w:r>
      <w:r w:rsidR="00CB1B6B" w:rsidRPr="00677204">
        <w:rPr>
          <w:rFonts w:ascii="Times New Roman" w:hAnsi="Times New Roman" w:cs="Times New Roman"/>
          <w:szCs w:val="24"/>
        </w:rPr>
        <w:t>starsze</w:t>
      </w:r>
      <w:r w:rsidR="00247FCA" w:rsidRPr="00677204">
        <w:rPr>
          <w:rFonts w:ascii="Times New Roman" w:hAnsi="Times New Roman" w:cs="Times New Roman"/>
          <w:szCs w:val="24"/>
        </w:rPr>
        <w:t xml:space="preserve">, a także osoby </w:t>
      </w:r>
      <w:r w:rsidR="003B08BA" w:rsidRPr="00677204">
        <w:rPr>
          <w:rFonts w:ascii="Times New Roman" w:hAnsi="Times New Roman" w:cs="Times New Roman"/>
          <w:szCs w:val="24"/>
        </w:rPr>
        <w:t>w wieku 55</w:t>
      </w:r>
      <w:r w:rsidR="00247FCA" w:rsidRPr="00677204">
        <w:rPr>
          <w:rFonts w:ascii="Times New Roman" w:hAnsi="Times New Roman" w:cs="Times New Roman"/>
          <w:szCs w:val="24"/>
        </w:rPr>
        <w:t>–</w:t>
      </w:r>
      <w:r w:rsidR="003B08BA" w:rsidRPr="00677204">
        <w:rPr>
          <w:rFonts w:ascii="Times New Roman" w:hAnsi="Times New Roman" w:cs="Times New Roman"/>
          <w:szCs w:val="24"/>
        </w:rPr>
        <w:t>64 lata</w:t>
      </w:r>
      <w:r w:rsidR="00215BF8" w:rsidRPr="00677204">
        <w:rPr>
          <w:rFonts w:ascii="Times New Roman" w:hAnsi="Times New Roman" w:cs="Times New Roman"/>
          <w:szCs w:val="24"/>
        </w:rPr>
        <w:t xml:space="preserve"> (68%)</w:t>
      </w:r>
      <w:r w:rsidR="003B08BA" w:rsidRPr="00677204">
        <w:rPr>
          <w:rStyle w:val="Odwoanieprzypisudolnego"/>
          <w:rFonts w:ascii="Times New Roman" w:hAnsi="Times New Roman" w:cs="Times New Roman"/>
          <w:szCs w:val="24"/>
        </w:rPr>
        <w:footnoteReference w:id="3"/>
      </w:r>
      <w:r w:rsidR="00B66C4E" w:rsidRPr="00B66C4E">
        <w:rPr>
          <w:rFonts w:ascii="Times New Roman" w:hAnsi="Times New Roman" w:cs="Times New Roman"/>
          <w:szCs w:val="24"/>
          <w:vertAlign w:val="superscript"/>
        </w:rPr>
        <w:t>)</w:t>
      </w:r>
      <w:r w:rsidR="003B08BA" w:rsidRPr="00677204">
        <w:rPr>
          <w:rFonts w:ascii="Times New Roman" w:hAnsi="Times New Roman" w:cs="Times New Roman"/>
          <w:szCs w:val="24"/>
        </w:rPr>
        <w:t xml:space="preserve">. </w:t>
      </w:r>
      <w:r w:rsidR="00CB1B6B" w:rsidRPr="00677204">
        <w:rPr>
          <w:rFonts w:ascii="Times New Roman" w:hAnsi="Times New Roman" w:cs="Times New Roman"/>
          <w:szCs w:val="24"/>
        </w:rPr>
        <w:t>J</w:t>
      </w:r>
      <w:r w:rsidR="00AD0F57" w:rsidRPr="00677204">
        <w:rPr>
          <w:rFonts w:ascii="Times New Roman" w:hAnsi="Times New Roman" w:cs="Times New Roman"/>
          <w:szCs w:val="24"/>
        </w:rPr>
        <w:t>edn</w:t>
      </w:r>
      <w:r w:rsidR="00CB1B6B" w:rsidRPr="00677204">
        <w:rPr>
          <w:rFonts w:ascii="Times New Roman" w:hAnsi="Times New Roman" w:cs="Times New Roman"/>
          <w:szCs w:val="24"/>
        </w:rPr>
        <w:t xml:space="preserve">ą </w:t>
      </w:r>
      <w:r w:rsidR="006D4B38">
        <w:rPr>
          <w:rFonts w:ascii="Times New Roman" w:hAnsi="Times New Roman" w:cs="Times New Roman"/>
          <w:szCs w:val="24"/>
        </w:rPr>
        <w:t>z </w:t>
      </w:r>
      <w:r w:rsidR="00AD0F57" w:rsidRPr="00677204">
        <w:rPr>
          <w:rFonts w:ascii="Times New Roman" w:hAnsi="Times New Roman" w:cs="Times New Roman"/>
          <w:szCs w:val="24"/>
        </w:rPr>
        <w:t>najczęstszych przyczyn</w:t>
      </w:r>
      <w:r w:rsidR="003B08BA" w:rsidRPr="00677204">
        <w:rPr>
          <w:rFonts w:ascii="Times New Roman" w:hAnsi="Times New Roman" w:cs="Times New Roman"/>
          <w:szCs w:val="24"/>
        </w:rPr>
        <w:t xml:space="preserve"> </w:t>
      </w:r>
      <w:r w:rsidR="00CB1B6B" w:rsidRPr="00677204">
        <w:rPr>
          <w:rFonts w:ascii="Times New Roman" w:hAnsi="Times New Roman" w:cs="Times New Roman"/>
          <w:szCs w:val="24"/>
        </w:rPr>
        <w:t xml:space="preserve">braku </w:t>
      </w:r>
      <w:r w:rsidR="003B08BA" w:rsidRPr="00677204">
        <w:rPr>
          <w:rFonts w:ascii="Times New Roman" w:hAnsi="Times New Roman" w:cs="Times New Roman"/>
          <w:szCs w:val="24"/>
        </w:rPr>
        <w:t>konta osobistego jest brak takiej potrzeby</w:t>
      </w:r>
      <w:r w:rsidR="00AD0F57" w:rsidRPr="00677204">
        <w:rPr>
          <w:rFonts w:ascii="Times New Roman" w:hAnsi="Times New Roman" w:cs="Times New Roman"/>
          <w:szCs w:val="24"/>
        </w:rPr>
        <w:t xml:space="preserve"> oraz kwestie finansowe</w:t>
      </w:r>
      <w:r w:rsidR="00CB1B6B" w:rsidRPr="00677204">
        <w:rPr>
          <w:rFonts w:ascii="Times New Roman" w:hAnsi="Times New Roman" w:cs="Times New Roman"/>
          <w:szCs w:val="24"/>
        </w:rPr>
        <w:t xml:space="preserve">, np. </w:t>
      </w:r>
      <w:r w:rsidR="00AD0F57" w:rsidRPr="00677204">
        <w:rPr>
          <w:rFonts w:ascii="Times New Roman" w:hAnsi="Times New Roman" w:cs="Times New Roman"/>
          <w:szCs w:val="24"/>
        </w:rPr>
        <w:t>przeświadczenie o zbyt niskim dochodzie</w:t>
      </w:r>
      <w:r w:rsidR="00CB1B6B" w:rsidRPr="00677204">
        <w:rPr>
          <w:rFonts w:ascii="Times New Roman" w:hAnsi="Times New Roman" w:cs="Times New Roman"/>
          <w:szCs w:val="24"/>
        </w:rPr>
        <w:t xml:space="preserve"> unie</w:t>
      </w:r>
      <w:r w:rsidR="004E6EDC" w:rsidRPr="00677204">
        <w:rPr>
          <w:rFonts w:ascii="Times New Roman" w:hAnsi="Times New Roman" w:cs="Times New Roman"/>
          <w:szCs w:val="24"/>
        </w:rPr>
        <w:t>możliw</w:t>
      </w:r>
      <w:r w:rsidR="00CB1B6B" w:rsidRPr="00677204">
        <w:rPr>
          <w:rFonts w:ascii="Times New Roman" w:hAnsi="Times New Roman" w:cs="Times New Roman"/>
          <w:szCs w:val="24"/>
        </w:rPr>
        <w:t xml:space="preserve">iającym </w:t>
      </w:r>
      <w:r w:rsidR="00CB1B6B" w:rsidRPr="00677204">
        <w:rPr>
          <w:rFonts w:ascii="Times New Roman" w:hAnsi="Times New Roman" w:cs="Times New Roman"/>
          <w:szCs w:val="24"/>
        </w:rPr>
        <w:lastRenderedPageBreak/>
        <w:t>posiadanie dostępu do rachunku</w:t>
      </w:r>
      <w:r w:rsidR="00B214E2" w:rsidRPr="00677204">
        <w:rPr>
          <w:rFonts w:ascii="Times New Roman" w:hAnsi="Times New Roman" w:cs="Times New Roman"/>
          <w:szCs w:val="24"/>
        </w:rPr>
        <w:t xml:space="preserve">. </w:t>
      </w:r>
      <w:r w:rsidR="000D5E2B" w:rsidRPr="00677204">
        <w:rPr>
          <w:rFonts w:ascii="Times New Roman" w:hAnsi="Times New Roman" w:cs="Times New Roman"/>
          <w:szCs w:val="24"/>
        </w:rPr>
        <w:t>W</w:t>
      </w:r>
      <w:r w:rsidR="003B08BA" w:rsidRPr="00677204">
        <w:rPr>
          <w:rFonts w:ascii="Times New Roman" w:hAnsi="Times New Roman" w:cs="Times New Roman"/>
          <w:szCs w:val="24"/>
        </w:rPr>
        <w:t>prowadzenie</w:t>
      </w:r>
      <w:r w:rsidR="008F6D38" w:rsidRPr="00677204">
        <w:rPr>
          <w:rFonts w:ascii="Times New Roman" w:hAnsi="Times New Roman" w:cs="Times New Roman"/>
          <w:szCs w:val="24"/>
        </w:rPr>
        <w:t xml:space="preserve"> </w:t>
      </w:r>
      <w:r w:rsidR="00AD0F57" w:rsidRPr="00677204">
        <w:rPr>
          <w:rFonts w:ascii="Times New Roman" w:hAnsi="Times New Roman" w:cs="Times New Roman"/>
          <w:szCs w:val="24"/>
        </w:rPr>
        <w:t>uproszczone</w:t>
      </w:r>
      <w:r w:rsidR="000B4C0D" w:rsidRPr="00677204">
        <w:rPr>
          <w:rFonts w:ascii="Times New Roman" w:hAnsi="Times New Roman" w:cs="Times New Roman"/>
          <w:szCs w:val="24"/>
        </w:rPr>
        <w:t>go</w:t>
      </w:r>
      <w:r w:rsidR="00CB1B6B" w:rsidRPr="00677204">
        <w:rPr>
          <w:rFonts w:ascii="Times New Roman" w:hAnsi="Times New Roman" w:cs="Times New Roman"/>
          <w:szCs w:val="24"/>
        </w:rPr>
        <w:t>,</w:t>
      </w:r>
      <w:r w:rsidR="003A1D3E" w:rsidRPr="00677204">
        <w:rPr>
          <w:rFonts w:ascii="Times New Roman" w:hAnsi="Times New Roman" w:cs="Times New Roman"/>
          <w:szCs w:val="24"/>
        </w:rPr>
        <w:t xml:space="preserve"> </w:t>
      </w:r>
      <w:r w:rsidR="008F6D38" w:rsidRPr="00677204">
        <w:rPr>
          <w:rFonts w:ascii="Times New Roman" w:hAnsi="Times New Roman" w:cs="Times New Roman"/>
          <w:szCs w:val="24"/>
        </w:rPr>
        <w:t xml:space="preserve">a zarazem </w:t>
      </w:r>
      <w:r w:rsidR="00D24347" w:rsidRPr="00677204">
        <w:rPr>
          <w:rFonts w:ascii="Times New Roman" w:hAnsi="Times New Roman" w:cs="Times New Roman"/>
          <w:szCs w:val="24"/>
        </w:rPr>
        <w:t xml:space="preserve">co do zasady </w:t>
      </w:r>
      <w:r w:rsidR="00CB1B6B" w:rsidRPr="00677204">
        <w:rPr>
          <w:rFonts w:ascii="Times New Roman" w:hAnsi="Times New Roman" w:cs="Times New Roman"/>
          <w:szCs w:val="24"/>
        </w:rPr>
        <w:t xml:space="preserve">bezpłatnego </w:t>
      </w:r>
      <w:r w:rsidR="003B08BA" w:rsidRPr="00677204">
        <w:rPr>
          <w:rFonts w:ascii="Times New Roman" w:hAnsi="Times New Roman" w:cs="Times New Roman"/>
          <w:szCs w:val="24"/>
        </w:rPr>
        <w:t>rachunku płatniczego</w:t>
      </w:r>
      <w:r w:rsidR="00AD0F57" w:rsidRPr="00677204">
        <w:rPr>
          <w:rFonts w:ascii="Times New Roman" w:hAnsi="Times New Roman" w:cs="Times New Roman"/>
          <w:szCs w:val="24"/>
        </w:rPr>
        <w:t xml:space="preserve"> o</w:t>
      </w:r>
      <w:r w:rsidR="006D4B38">
        <w:rPr>
          <w:rFonts w:ascii="Times New Roman" w:hAnsi="Times New Roman" w:cs="Times New Roman"/>
          <w:szCs w:val="24"/>
        </w:rPr>
        <w:t xml:space="preserve"> </w:t>
      </w:r>
      <w:r w:rsidR="00AD0F57" w:rsidRPr="00677204">
        <w:rPr>
          <w:rFonts w:ascii="Times New Roman" w:hAnsi="Times New Roman" w:cs="Times New Roman"/>
          <w:szCs w:val="24"/>
        </w:rPr>
        <w:t>n</w:t>
      </w:r>
      <w:r w:rsidR="00574CD7" w:rsidRPr="00677204">
        <w:rPr>
          <w:rFonts w:ascii="Times New Roman" w:hAnsi="Times New Roman" w:cs="Times New Roman"/>
          <w:szCs w:val="24"/>
        </w:rPr>
        <w:t>ieskomplikowanym i przejrzystym</w:t>
      </w:r>
      <w:r w:rsidR="00AD0F57" w:rsidRPr="00677204">
        <w:rPr>
          <w:rFonts w:ascii="Times New Roman" w:hAnsi="Times New Roman" w:cs="Times New Roman"/>
          <w:szCs w:val="24"/>
        </w:rPr>
        <w:t xml:space="preserve"> charakterze</w:t>
      </w:r>
      <w:r w:rsidR="00CB1B6B" w:rsidRPr="00677204">
        <w:rPr>
          <w:rFonts w:ascii="Times New Roman" w:hAnsi="Times New Roman" w:cs="Times New Roman"/>
          <w:szCs w:val="24"/>
        </w:rPr>
        <w:t xml:space="preserve">, </w:t>
      </w:r>
      <w:r w:rsidR="003B08BA" w:rsidRPr="00677204">
        <w:rPr>
          <w:rFonts w:ascii="Times New Roman" w:hAnsi="Times New Roman" w:cs="Times New Roman"/>
          <w:szCs w:val="24"/>
        </w:rPr>
        <w:t xml:space="preserve">może stanowić atrakcyjną ofertę dla tej grupy osób </w:t>
      </w:r>
      <w:r w:rsidR="00171584" w:rsidRPr="00677204">
        <w:rPr>
          <w:rFonts w:ascii="Times New Roman" w:hAnsi="Times New Roman" w:cs="Times New Roman"/>
          <w:szCs w:val="24"/>
        </w:rPr>
        <w:t xml:space="preserve">oraz </w:t>
      </w:r>
      <w:r w:rsidR="003B08BA" w:rsidRPr="00677204">
        <w:rPr>
          <w:rFonts w:ascii="Times New Roman" w:hAnsi="Times New Roman" w:cs="Times New Roman"/>
          <w:szCs w:val="24"/>
        </w:rPr>
        <w:t>zachę</w:t>
      </w:r>
      <w:r w:rsidR="00171584" w:rsidRPr="00677204">
        <w:rPr>
          <w:rFonts w:ascii="Times New Roman" w:hAnsi="Times New Roman" w:cs="Times New Roman"/>
          <w:szCs w:val="24"/>
        </w:rPr>
        <w:t xml:space="preserve">tę do </w:t>
      </w:r>
      <w:r w:rsidR="00D24347" w:rsidRPr="00677204">
        <w:rPr>
          <w:rFonts w:ascii="Times New Roman" w:hAnsi="Times New Roman" w:cs="Times New Roman"/>
          <w:szCs w:val="24"/>
        </w:rPr>
        <w:t xml:space="preserve">podjęcia próby wykorzystywania </w:t>
      </w:r>
      <w:r w:rsidR="003B08BA" w:rsidRPr="00677204">
        <w:rPr>
          <w:rFonts w:ascii="Times New Roman" w:hAnsi="Times New Roman" w:cs="Times New Roman"/>
          <w:szCs w:val="24"/>
        </w:rPr>
        <w:t>płatności bezgotówkowych</w:t>
      </w:r>
      <w:r w:rsidR="00D24347" w:rsidRPr="00677204">
        <w:rPr>
          <w:rFonts w:ascii="Times New Roman" w:hAnsi="Times New Roman" w:cs="Times New Roman"/>
          <w:szCs w:val="24"/>
        </w:rPr>
        <w:t xml:space="preserve"> w</w:t>
      </w:r>
      <w:r w:rsidR="006D4B38">
        <w:rPr>
          <w:rFonts w:ascii="Times New Roman" w:hAnsi="Times New Roman" w:cs="Times New Roman"/>
          <w:szCs w:val="24"/>
        </w:rPr>
        <w:t xml:space="preserve"> </w:t>
      </w:r>
      <w:r w:rsidR="00D24347" w:rsidRPr="00677204">
        <w:rPr>
          <w:rFonts w:ascii="Times New Roman" w:hAnsi="Times New Roman" w:cs="Times New Roman"/>
          <w:szCs w:val="24"/>
        </w:rPr>
        <w:t>ich codziennym życiu</w:t>
      </w:r>
      <w:r w:rsidR="003B08BA" w:rsidRPr="00677204">
        <w:rPr>
          <w:rFonts w:ascii="Times New Roman" w:hAnsi="Times New Roman" w:cs="Times New Roman"/>
          <w:szCs w:val="24"/>
        </w:rPr>
        <w:t xml:space="preserve">. </w:t>
      </w:r>
      <w:r w:rsidR="00795406" w:rsidRPr="00677204">
        <w:rPr>
          <w:rFonts w:ascii="Times New Roman" w:hAnsi="Times New Roman" w:cs="Times New Roman"/>
          <w:szCs w:val="24"/>
        </w:rPr>
        <w:t xml:space="preserve">Jednocześnie ograniczenie rachunku podstawowego do usług całkowicie podstawowych (w tym wyłączenie wszelkich produktów kredytowych, ograniczenie </w:t>
      </w:r>
      <w:r w:rsidR="0098294E">
        <w:rPr>
          <w:rFonts w:ascii="Times New Roman" w:hAnsi="Times New Roman" w:cs="Times New Roman"/>
          <w:szCs w:val="24"/>
        </w:rPr>
        <w:t>liczby</w:t>
      </w:r>
      <w:r w:rsidR="00795406" w:rsidRPr="00677204">
        <w:rPr>
          <w:rFonts w:ascii="Times New Roman" w:hAnsi="Times New Roman" w:cs="Times New Roman"/>
          <w:szCs w:val="24"/>
        </w:rPr>
        <w:t xml:space="preserve"> bezpłatnych przelewów</w:t>
      </w:r>
      <w:r w:rsidR="0098294E">
        <w:rPr>
          <w:rFonts w:ascii="Times New Roman" w:hAnsi="Times New Roman" w:cs="Times New Roman"/>
          <w:szCs w:val="24"/>
        </w:rPr>
        <w:t>,</w:t>
      </w:r>
      <w:r w:rsidR="00795406" w:rsidRPr="00677204">
        <w:rPr>
          <w:rFonts w:ascii="Times New Roman" w:hAnsi="Times New Roman" w:cs="Times New Roman"/>
          <w:szCs w:val="24"/>
        </w:rPr>
        <w:t xml:space="preserve"> a także bezpłatność tylko w zakresie transakcji krajowych) powinno zapobiec przechodzeniu przez dotychczasowych użytkowników rachunków płatniczych na rachunek podstawowy.</w:t>
      </w:r>
    </w:p>
    <w:p w14:paraId="271E87AA" w14:textId="020D41C1" w:rsidR="00E21EAD" w:rsidRPr="00677204" w:rsidRDefault="003B08BA" w:rsidP="002549F6">
      <w:pPr>
        <w:pStyle w:val="ARTartustawynprozporzdzeni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 xml:space="preserve">Projektowane </w:t>
      </w:r>
      <w:r w:rsidR="0043583F" w:rsidRPr="00677204">
        <w:rPr>
          <w:rFonts w:ascii="Times New Roman" w:hAnsi="Times New Roman" w:cs="Times New Roman"/>
          <w:szCs w:val="24"/>
        </w:rPr>
        <w:t>rozwiązania</w:t>
      </w:r>
      <w:r w:rsidR="00E21EAD" w:rsidRPr="00677204">
        <w:rPr>
          <w:rFonts w:ascii="Times New Roman" w:hAnsi="Times New Roman" w:cs="Times New Roman"/>
          <w:szCs w:val="24"/>
        </w:rPr>
        <w:t xml:space="preserve"> powinny</w:t>
      </w:r>
      <w:r w:rsidRPr="00677204">
        <w:rPr>
          <w:rFonts w:ascii="Times New Roman" w:hAnsi="Times New Roman" w:cs="Times New Roman"/>
          <w:szCs w:val="24"/>
        </w:rPr>
        <w:t xml:space="preserve"> zatem</w:t>
      </w:r>
      <w:r w:rsidR="00E21EAD" w:rsidRPr="00677204">
        <w:rPr>
          <w:rFonts w:ascii="Times New Roman" w:hAnsi="Times New Roman" w:cs="Times New Roman"/>
          <w:szCs w:val="24"/>
        </w:rPr>
        <w:t xml:space="preserve"> spowodować wzrost </w:t>
      </w:r>
      <w:r w:rsidR="00CB1B6B" w:rsidRPr="00677204">
        <w:rPr>
          <w:rFonts w:ascii="Times New Roman" w:hAnsi="Times New Roman" w:cs="Times New Roman"/>
          <w:szCs w:val="24"/>
        </w:rPr>
        <w:t xml:space="preserve">tzw. </w:t>
      </w:r>
      <w:r w:rsidR="00E21EAD" w:rsidRPr="00677204">
        <w:rPr>
          <w:rFonts w:ascii="Times New Roman" w:hAnsi="Times New Roman" w:cs="Times New Roman"/>
          <w:szCs w:val="24"/>
        </w:rPr>
        <w:t>ubankowienia polskiego społeczeństwa</w:t>
      </w:r>
      <w:r w:rsidR="00B214E2" w:rsidRPr="00677204">
        <w:rPr>
          <w:rFonts w:ascii="Times New Roman" w:hAnsi="Times New Roman" w:cs="Times New Roman"/>
          <w:szCs w:val="24"/>
        </w:rPr>
        <w:t xml:space="preserve">, </w:t>
      </w:r>
      <w:r w:rsidR="00E21EAD" w:rsidRPr="00677204">
        <w:rPr>
          <w:rFonts w:ascii="Times New Roman" w:hAnsi="Times New Roman" w:cs="Times New Roman"/>
          <w:szCs w:val="24"/>
        </w:rPr>
        <w:t>co przełoży się również na rozwój obrotu bezgotówkowego w</w:t>
      </w:r>
      <w:r w:rsidR="006D4B38">
        <w:rPr>
          <w:rFonts w:ascii="Times New Roman" w:hAnsi="Times New Roman" w:cs="Times New Roman"/>
          <w:szCs w:val="24"/>
        </w:rPr>
        <w:t> </w:t>
      </w:r>
      <w:r w:rsidR="00E21EAD" w:rsidRPr="00677204">
        <w:rPr>
          <w:rFonts w:ascii="Times New Roman" w:hAnsi="Times New Roman" w:cs="Times New Roman"/>
          <w:szCs w:val="24"/>
        </w:rPr>
        <w:t>Polsce</w:t>
      </w:r>
      <w:r w:rsidR="00B214E2" w:rsidRPr="00677204">
        <w:rPr>
          <w:rFonts w:ascii="Times New Roman" w:hAnsi="Times New Roman" w:cs="Times New Roman"/>
          <w:szCs w:val="24"/>
        </w:rPr>
        <w:t xml:space="preserve">, </w:t>
      </w:r>
      <w:r w:rsidR="00AA2168" w:rsidRPr="00677204">
        <w:rPr>
          <w:rFonts w:ascii="Times New Roman" w:hAnsi="Times New Roman" w:cs="Times New Roman"/>
          <w:szCs w:val="24"/>
        </w:rPr>
        <w:t>a także powinno przyczynić</w:t>
      </w:r>
      <w:r w:rsidR="00AD0F57" w:rsidRPr="00677204">
        <w:rPr>
          <w:rFonts w:ascii="Times New Roman" w:hAnsi="Times New Roman" w:cs="Times New Roman"/>
          <w:szCs w:val="24"/>
        </w:rPr>
        <w:t xml:space="preserve"> się do </w:t>
      </w:r>
      <w:r w:rsidR="0043583F" w:rsidRPr="00677204">
        <w:rPr>
          <w:rFonts w:ascii="Times New Roman" w:hAnsi="Times New Roman" w:cs="Times New Roman"/>
          <w:szCs w:val="24"/>
        </w:rPr>
        <w:t>niwelowania zagrożenia wykluczenia finansowego</w:t>
      </w:r>
      <w:r w:rsidR="00AD0F57" w:rsidRPr="00677204">
        <w:rPr>
          <w:rFonts w:ascii="Times New Roman" w:hAnsi="Times New Roman" w:cs="Times New Roman"/>
          <w:szCs w:val="24"/>
        </w:rPr>
        <w:t xml:space="preserve"> </w:t>
      </w:r>
      <w:r w:rsidR="00AA2168" w:rsidRPr="00677204">
        <w:rPr>
          <w:rFonts w:ascii="Times New Roman" w:hAnsi="Times New Roman" w:cs="Times New Roman"/>
          <w:szCs w:val="24"/>
        </w:rPr>
        <w:t xml:space="preserve">wśród </w:t>
      </w:r>
      <w:r w:rsidR="00AD0F57" w:rsidRPr="00677204">
        <w:rPr>
          <w:rFonts w:ascii="Times New Roman" w:hAnsi="Times New Roman" w:cs="Times New Roman"/>
          <w:szCs w:val="24"/>
        </w:rPr>
        <w:t>osób</w:t>
      </w:r>
      <w:r w:rsidR="0043583F" w:rsidRPr="00677204">
        <w:rPr>
          <w:rFonts w:ascii="Times New Roman" w:hAnsi="Times New Roman" w:cs="Times New Roman"/>
          <w:szCs w:val="24"/>
        </w:rPr>
        <w:t xml:space="preserve"> starszych</w:t>
      </w:r>
      <w:r w:rsidR="00E21EAD" w:rsidRPr="00677204">
        <w:rPr>
          <w:rFonts w:ascii="Times New Roman" w:hAnsi="Times New Roman" w:cs="Times New Roman"/>
          <w:szCs w:val="24"/>
        </w:rPr>
        <w:t>.</w:t>
      </w:r>
    </w:p>
    <w:p w14:paraId="209AB58D" w14:textId="0B5F74C9" w:rsidR="00E21EAD" w:rsidRPr="00677204" w:rsidRDefault="00FD33F4" w:rsidP="002549F6">
      <w:pPr>
        <w:pStyle w:val="ARTartustawynprozporzdzenia"/>
        <w:spacing w:before="0"/>
        <w:ind w:firstLine="0"/>
        <w:rPr>
          <w:rFonts w:ascii="Times New Roman" w:hAnsi="Times New Roman" w:cs="Times New Roman"/>
          <w:b/>
          <w:szCs w:val="24"/>
        </w:rPr>
      </w:pPr>
      <w:r w:rsidRPr="00677204">
        <w:rPr>
          <w:rFonts w:ascii="Times New Roman" w:hAnsi="Times New Roman" w:cs="Times New Roman"/>
          <w:b/>
          <w:szCs w:val="24"/>
        </w:rPr>
        <w:t xml:space="preserve">2. </w:t>
      </w:r>
      <w:r w:rsidR="00E21EAD" w:rsidRPr="00677204">
        <w:rPr>
          <w:rFonts w:ascii="Times New Roman" w:hAnsi="Times New Roman" w:cs="Times New Roman"/>
          <w:b/>
          <w:szCs w:val="24"/>
        </w:rPr>
        <w:t>Przeniesienie rachunku płatniczego</w:t>
      </w:r>
    </w:p>
    <w:p w14:paraId="5B05230A" w14:textId="7C541F1A" w:rsidR="00414AC9" w:rsidRPr="00677204" w:rsidRDefault="00CB1B6B" w:rsidP="002549F6">
      <w:pPr>
        <w:pStyle w:val="ARTartustawynprozporzdzeni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>Z</w:t>
      </w:r>
      <w:r w:rsidR="00E21EAD" w:rsidRPr="00677204">
        <w:rPr>
          <w:rFonts w:ascii="Times New Roman" w:hAnsi="Times New Roman" w:cs="Times New Roman"/>
          <w:szCs w:val="24"/>
        </w:rPr>
        <w:t xml:space="preserve"> dniem 1 s</w:t>
      </w:r>
      <w:r w:rsidR="00B214E2" w:rsidRPr="00677204">
        <w:rPr>
          <w:rFonts w:ascii="Times New Roman" w:hAnsi="Times New Roman" w:cs="Times New Roman"/>
          <w:szCs w:val="24"/>
        </w:rPr>
        <w:t xml:space="preserve">tycznia 2010 r. weszła w życie </w:t>
      </w:r>
      <w:r w:rsidR="00E21EAD" w:rsidRPr="00677204">
        <w:rPr>
          <w:rFonts w:ascii="Times New Roman" w:hAnsi="Times New Roman" w:cs="Times New Roman"/>
          <w:szCs w:val="24"/>
        </w:rPr>
        <w:t>Rekomendacja Związku Banków Polskich dotycząca dobrych praktyk w zakresie przenoszenia rachunków oszczędnościowo</w:t>
      </w:r>
      <w:r w:rsidR="00EA26E8">
        <w:rPr>
          <w:rFonts w:ascii="Times New Roman" w:hAnsi="Times New Roman" w:cs="Times New Roman"/>
          <w:szCs w:val="24"/>
        </w:rPr>
        <w:t>-</w:t>
      </w:r>
      <w:r w:rsidR="00EA26E8">
        <w:rPr>
          <w:rFonts w:ascii="Times New Roman" w:hAnsi="Times New Roman" w:cs="Times New Roman"/>
          <w:szCs w:val="24"/>
        </w:rPr>
        <w:br/>
      </w:r>
      <w:r w:rsidR="00E21EAD" w:rsidRPr="00677204">
        <w:rPr>
          <w:rFonts w:ascii="Times New Roman" w:hAnsi="Times New Roman" w:cs="Times New Roman"/>
          <w:szCs w:val="24"/>
        </w:rPr>
        <w:t>-rozliczeniowych dla klientów indywidualnych na polskim rynku bankowym</w:t>
      </w:r>
      <w:r w:rsidR="003A1D3E" w:rsidRPr="00677204">
        <w:rPr>
          <w:rFonts w:ascii="Times New Roman" w:hAnsi="Times New Roman" w:cs="Times New Roman"/>
          <w:szCs w:val="24"/>
        </w:rPr>
        <w:t>,</w:t>
      </w:r>
      <w:r w:rsidR="003A1D3E" w:rsidRPr="00677204">
        <w:rPr>
          <w:rStyle w:val="Odwoanieprzypisudolnego"/>
          <w:rFonts w:ascii="Times New Roman" w:hAnsi="Times New Roman" w:cs="Times New Roman"/>
          <w:szCs w:val="24"/>
        </w:rPr>
        <w:footnoteReference w:id="4"/>
      </w:r>
      <w:r w:rsidR="006D4B38">
        <w:rPr>
          <w:rFonts w:ascii="Times New Roman" w:hAnsi="Times New Roman" w:cs="Times New Roman"/>
          <w:szCs w:val="24"/>
          <w:vertAlign w:val="superscript"/>
        </w:rPr>
        <w:t>)</w:t>
      </w:r>
      <w:r w:rsidR="00E21EAD" w:rsidRPr="00677204">
        <w:rPr>
          <w:rFonts w:ascii="Times New Roman" w:hAnsi="Times New Roman" w:cs="Times New Roman"/>
          <w:szCs w:val="24"/>
        </w:rPr>
        <w:t>, któr</w:t>
      </w:r>
      <w:r w:rsidR="00142E96" w:rsidRPr="00677204">
        <w:rPr>
          <w:rFonts w:ascii="Times New Roman" w:hAnsi="Times New Roman" w:cs="Times New Roman"/>
          <w:szCs w:val="24"/>
        </w:rPr>
        <w:t>a</w:t>
      </w:r>
      <w:r w:rsidR="00E21EAD" w:rsidRPr="00677204">
        <w:rPr>
          <w:rFonts w:ascii="Times New Roman" w:hAnsi="Times New Roman" w:cs="Times New Roman"/>
          <w:szCs w:val="24"/>
        </w:rPr>
        <w:t xml:space="preserve"> sprawił</w:t>
      </w:r>
      <w:r w:rsidR="00142E96" w:rsidRPr="00677204">
        <w:rPr>
          <w:rFonts w:ascii="Times New Roman" w:hAnsi="Times New Roman" w:cs="Times New Roman"/>
          <w:szCs w:val="24"/>
        </w:rPr>
        <w:t>a</w:t>
      </w:r>
      <w:r w:rsidR="00E21EAD" w:rsidRPr="00677204">
        <w:rPr>
          <w:rFonts w:ascii="Times New Roman" w:hAnsi="Times New Roman" w:cs="Times New Roman"/>
          <w:szCs w:val="24"/>
        </w:rPr>
        <w:t>, że przeniesieni</w:t>
      </w:r>
      <w:r w:rsidR="00FD60DF" w:rsidRPr="00677204">
        <w:rPr>
          <w:rFonts w:ascii="Times New Roman" w:hAnsi="Times New Roman" w:cs="Times New Roman"/>
          <w:szCs w:val="24"/>
        </w:rPr>
        <w:t>e</w:t>
      </w:r>
      <w:r w:rsidR="00E21EAD" w:rsidRPr="00677204">
        <w:rPr>
          <w:rFonts w:ascii="Times New Roman" w:hAnsi="Times New Roman" w:cs="Times New Roman"/>
          <w:szCs w:val="24"/>
        </w:rPr>
        <w:t xml:space="preserve"> rachunków bankowych stał</w:t>
      </w:r>
      <w:r w:rsidR="00FD60DF" w:rsidRPr="00677204">
        <w:rPr>
          <w:rFonts w:ascii="Times New Roman" w:hAnsi="Times New Roman" w:cs="Times New Roman"/>
          <w:szCs w:val="24"/>
        </w:rPr>
        <w:t>o</w:t>
      </w:r>
      <w:r w:rsidR="00E21EAD" w:rsidRPr="00677204">
        <w:rPr>
          <w:rFonts w:ascii="Times New Roman" w:hAnsi="Times New Roman" w:cs="Times New Roman"/>
          <w:szCs w:val="24"/>
        </w:rPr>
        <w:t xml:space="preserve"> się szybsz</w:t>
      </w:r>
      <w:r w:rsidR="00FD60DF" w:rsidRPr="00677204">
        <w:rPr>
          <w:rFonts w:ascii="Times New Roman" w:hAnsi="Times New Roman" w:cs="Times New Roman"/>
          <w:szCs w:val="24"/>
        </w:rPr>
        <w:t>e</w:t>
      </w:r>
      <w:r w:rsidR="00E21EAD" w:rsidRPr="00677204">
        <w:rPr>
          <w:rFonts w:ascii="Times New Roman" w:hAnsi="Times New Roman" w:cs="Times New Roman"/>
          <w:szCs w:val="24"/>
        </w:rPr>
        <w:t xml:space="preserve"> i wygodniejsz</w:t>
      </w:r>
      <w:r w:rsidR="00FD60DF" w:rsidRPr="00677204">
        <w:rPr>
          <w:rFonts w:ascii="Times New Roman" w:hAnsi="Times New Roman" w:cs="Times New Roman"/>
          <w:szCs w:val="24"/>
        </w:rPr>
        <w:t>e</w:t>
      </w:r>
      <w:r w:rsidR="00E21EAD" w:rsidRPr="00677204">
        <w:rPr>
          <w:rFonts w:ascii="Times New Roman" w:hAnsi="Times New Roman" w:cs="Times New Roman"/>
          <w:szCs w:val="24"/>
        </w:rPr>
        <w:t xml:space="preserve"> dla klientów indywidualnych. Rekomendacja ta nie jest</w:t>
      </w:r>
      <w:r w:rsidR="00414AC9" w:rsidRPr="00677204">
        <w:rPr>
          <w:rFonts w:ascii="Times New Roman" w:hAnsi="Times New Roman" w:cs="Times New Roman"/>
          <w:szCs w:val="24"/>
        </w:rPr>
        <w:t xml:space="preserve"> jednak </w:t>
      </w:r>
      <w:r w:rsidR="00E21EAD" w:rsidRPr="00677204">
        <w:rPr>
          <w:rFonts w:ascii="Times New Roman" w:hAnsi="Times New Roman" w:cs="Times New Roman"/>
          <w:szCs w:val="24"/>
        </w:rPr>
        <w:t xml:space="preserve">wiążąca </w:t>
      </w:r>
      <w:r w:rsidR="00414AC9" w:rsidRPr="00677204">
        <w:rPr>
          <w:rFonts w:ascii="Times New Roman" w:hAnsi="Times New Roman" w:cs="Times New Roman"/>
          <w:szCs w:val="24"/>
        </w:rPr>
        <w:t>dla dostawców usług płatniczych</w:t>
      </w:r>
      <w:r w:rsidR="00D203D6" w:rsidRPr="00677204">
        <w:rPr>
          <w:rFonts w:ascii="Times New Roman" w:hAnsi="Times New Roman" w:cs="Times New Roman"/>
          <w:szCs w:val="24"/>
        </w:rPr>
        <w:t>,</w:t>
      </w:r>
      <w:r w:rsidR="00414AC9" w:rsidRPr="00677204">
        <w:rPr>
          <w:rFonts w:ascii="Times New Roman" w:hAnsi="Times New Roman" w:cs="Times New Roman"/>
          <w:szCs w:val="24"/>
        </w:rPr>
        <w:t xml:space="preserve"> </w:t>
      </w:r>
      <w:r w:rsidR="00E21EAD" w:rsidRPr="00677204">
        <w:rPr>
          <w:rFonts w:ascii="Times New Roman" w:hAnsi="Times New Roman" w:cs="Times New Roman"/>
          <w:szCs w:val="24"/>
        </w:rPr>
        <w:t>stąd konieczne jest uzupełnienie ustawy o przepisy dotyczące przenoszenia rachunków</w:t>
      </w:r>
      <w:r w:rsidR="00574CD7" w:rsidRPr="00677204">
        <w:rPr>
          <w:rFonts w:ascii="Times New Roman" w:hAnsi="Times New Roman" w:cs="Times New Roman"/>
          <w:szCs w:val="24"/>
        </w:rPr>
        <w:t xml:space="preserve"> płatniczych.</w:t>
      </w:r>
    </w:p>
    <w:p w14:paraId="6F1E181D" w14:textId="384644DC" w:rsidR="00E21EAD" w:rsidRPr="00677204" w:rsidRDefault="002F72DD" w:rsidP="002549F6">
      <w:pPr>
        <w:pStyle w:val="ARTartustawynprozporzdzeni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>Od 2010</w:t>
      </w:r>
      <w:r w:rsidR="00142E96" w:rsidRPr="00677204">
        <w:rPr>
          <w:rFonts w:ascii="Times New Roman" w:hAnsi="Times New Roman" w:cs="Times New Roman"/>
          <w:szCs w:val="24"/>
        </w:rPr>
        <w:t xml:space="preserve"> r. s</w:t>
      </w:r>
      <w:r w:rsidRPr="00677204">
        <w:rPr>
          <w:rFonts w:ascii="Times New Roman" w:hAnsi="Times New Roman" w:cs="Times New Roman"/>
          <w:szCs w:val="24"/>
        </w:rPr>
        <w:t>ystematycznie zwiększa się liczb</w:t>
      </w:r>
      <w:r w:rsidR="00E62C90" w:rsidRPr="00677204">
        <w:rPr>
          <w:rFonts w:ascii="Times New Roman" w:hAnsi="Times New Roman" w:cs="Times New Roman"/>
          <w:szCs w:val="24"/>
        </w:rPr>
        <w:t>a</w:t>
      </w:r>
      <w:r w:rsidRPr="00677204">
        <w:rPr>
          <w:rFonts w:ascii="Times New Roman" w:hAnsi="Times New Roman" w:cs="Times New Roman"/>
          <w:szCs w:val="24"/>
        </w:rPr>
        <w:t xml:space="preserve"> klientów przenoszących rachunki bankowe</w:t>
      </w:r>
      <w:r w:rsidRPr="00677204">
        <w:rPr>
          <w:rStyle w:val="Odwoanieprzypisudolnego"/>
          <w:rFonts w:ascii="Times New Roman" w:hAnsi="Times New Roman" w:cs="Times New Roman"/>
          <w:szCs w:val="24"/>
        </w:rPr>
        <w:footnoteReference w:id="5"/>
      </w:r>
      <w:r w:rsidR="00B66C4E" w:rsidRPr="00B66C4E">
        <w:rPr>
          <w:rFonts w:ascii="Times New Roman" w:hAnsi="Times New Roman" w:cs="Times New Roman"/>
          <w:szCs w:val="24"/>
          <w:vertAlign w:val="superscript"/>
        </w:rPr>
        <w:t>)</w:t>
      </w:r>
      <w:r w:rsidRPr="00677204">
        <w:rPr>
          <w:rFonts w:ascii="Times New Roman" w:hAnsi="Times New Roman" w:cs="Times New Roman"/>
          <w:szCs w:val="24"/>
        </w:rPr>
        <w:t xml:space="preserve">. </w:t>
      </w:r>
      <w:r w:rsidR="00E21EAD" w:rsidRPr="00677204">
        <w:rPr>
          <w:rFonts w:ascii="Times New Roman" w:hAnsi="Times New Roman" w:cs="Times New Roman"/>
          <w:szCs w:val="24"/>
        </w:rPr>
        <w:t xml:space="preserve">Zgodnie z </w:t>
      </w:r>
      <w:r w:rsidR="003A1D3E" w:rsidRPr="00677204">
        <w:rPr>
          <w:rFonts w:ascii="Times New Roman" w:hAnsi="Times New Roman" w:cs="Times New Roman"/>
          <w:szCs w:val="24"/>
        </w:rPr>
        <w:t xml:space="preserve">aktualnymi </w:t>
      </w:r>
      <w:r w:rsidR="00E21EAD" w:rsidRPr="00677204">
        <w:rPr>
          <w:rFonts w:ascii="Times New Roman" w:hAnsi="Times New Roman" w:cs="Times New Roman"/>
          <w:szCs w:val="24"/>
        </w:rPr>
        <w:t>danymi</w:t>
      </w:r>
      <w:r w:rsidR="00B214E2" w:rsidRPr="00677204">
        <w:rPr>
          <w:rFonts w:ascii="Times New Roman" w:hAnsi="Times New Roman" w:cs="Times New Roman"/>
          <w:szCs w:val="24"/>
        </w:rPr>
        <w:t xml:space="preserve"> dotyczącymi </w:t>
      </w:r>
      <w:r w:rsidR="004C1D70" w:rsidRPr="00677204">
        <w:rPr>
          <w:rFonts w:ascii="Times New Roman" w:hAnsi="Times New Roman" w:cs="Times New Roman"/>
          <w:szCs w:val="24"/>
        </w:rPr>
        <w:t>stanu wykorzystania przez konsumentów możliwości przenoszeni</w:t>
      </w:r>
      <w:r w:rsidR="006D4B38">
        <w:rPr>
          <w:rFonts w:ascii="Times New Roman" w:hAnsi="Times New Roman" w:cs="Times New Roman"/>
          <w:szCs w:val="24"/>
        </w:rPr>
        <w:t>a rachunków bankowych zgodnie z </w:t>
      </w:r>
      <w:r w:rsidR="004C1D70" w:rsidRPr="00677204">
        <w:rPr>
          <w:rFonts w:ascii="Times New Roman" w:hAnsi="Times New Roman" w:cs="Times New Roman"/>
          <w:szCs w:val="24"/>
        </w:rPr>
        <w:t>Rekomendacją Związku Banków Polskich</w:t>
      </w:r>
      <w:r w:rsidR="00E62C90" w:rsidRPr="00677204">
        <w:rPr>
          <w:rFonts w:ascii="Times New Roman" w:hAnsi="Times New Roman" w:cs="Times New Roman"/>
          <w:szCs w:val="24"/>
        </w:rPr>
        <w:t xml:space="preserve">, </w:t>
      </w:r>
      <w:r w:rsidR="00E21EAD" w:rsidRPr="00677204">
        <w:rPr>
          <w:rFonts w:ascii="Times New Roman" w:hAnsi="Times New Roman" w:cs="Times New Roman"/>
          <w:szCs w:val="24"/>
        </w:rPr>
        <w:t xml:space="preserve">w okresie od </w:t>
      </w:r>
      <w:r w:rsidR="0098294E">
        <w:rPr>
          <w:rFonts w:ascii="Times New Roman" w:hAnsi="Times New Roman" w:cs="Times New Roman"/>
          <w:szCs w:val="24"/>
        </w:rPr>
        <w:t xml:space="preserve">dnia </w:t>
      </w:r>
      <w:r w:rsidR="00E21EAD" w:rsidRPr="00677204">
        <w:rPr>
          <w:rFonts w:ascii="Times New Roman" w:hAnsi="Times New Roman" w:cs="Times New Roman"/>
          <w:szCs w:val="24"/>
        </w:rPr>
        <w:t xml:space="preserve">1 stycznia do </w:t>
      </w:r>
      <w:r w:rsidR="0098294E">
        <w:rPr>
          <w:rFonts w:ascii="Times New Roman" w:hAnsi="Times New Roman" w:cs="Times New Roman"/>
          <w:szCs w:val="24"/>
        </w:rPr>
        <w:t xml:space="preserve">dnia </w:t>
      </w:r>
      <w:r w:rsidR="00E21EAD" w:rsidRPr="00677204">
        <w:rPr>
          <w:rFonts w:ascii="Times New Roman" w:hAnsi="Times New Roman" w:cs="Times New Roman"/>
          <w:szCs w:val="24"/>
        </w:rPr>
        <w:t>31</w:t>
      </w:r>
      <w:r w:rsidR="0098294E">
        <w:rPr>
          <w:rFonts w:ascii="Times New Roman" w:hAnsi="Times New Roman" w:cs="Times New Roman"/>
          <w:szCs w:val="24"/>
        </w:rPr>
        <w:t> </w:t>
      </w:r>
      <w:r w:rsidR="00E21EAD" w:rsidRPr="00677204">
        <w:rPr>
          <w:rFonts w:ascii="Times New Roman" w:hAnsi="Times New Roman" w:cs="Times New Roman"/>
          <w:szCs w:val="24"/>
        </w:rPr>
        <w:t>grudnia 2014 r. przez system OGNIVO obsługiwany przez Krajową Izbę Rozliczeniową przesłanych zostało pomiędzy bankami 17</w:t>
      </w:r>
      <w:r w:rsidR="0098294E">
        <w:rPr>
          <w:rFonts w:ascii="Times New Roman" w:hAnsi="Times New Roman" w:cs="Times New Roman"/>
          <w:szCs w:val="24"/>
        </w:rPr>
        <w:t> </w:t>
      </w:r>
      <w:r w:rsidR="00E21EAD" w:rsidRPr="00677204">
        <w:rPr>
          <w:rFonts w:ascii="Times New Roman" w:hAnsi="Times New Roman" w:cs="Times New Roman"/>
          <w:szCs w:val="24"/>
        </w:rPr>
        <w:t>490 zgłoszeń dotyczących otwarcia nowego rachunku bankowego. W 17</w:t>
      </w:r>
      <w:r w:rsidR="0098294E">
        <w:rPr>
          <w:rFonts w:ascii="Times New Roman" w:hAnsi="Times New Roman" w:cs="Times New Roman"/>
          <w:szCs w:val="24"/>
        </w:rPr>
        <w:t> </w:t>
      </w:r>
      <w:r w:rsidR="00E21EAD" w:rsidRPr="00677204">
        <w:rPr>
          <w:rFonts w:ascii="Times New Roman" w:hAnsi="Times New Roman" w:cs="Times New Roman"/>
          <w:szCs w:val="24"/>
        </w:rPr>
        <w:t xml:space="preserve">054 przypadkach (nieco ponad 97%) </w:t>
      </w:r>
      <w:r w:rsidR="00E21EAD" w:rsidRPr="00677204">
        <w:rPr>
          <w:rFonts w:ascii="Times New Roman" w:hAnsi="Times New Roman" w:cs="Times New Roman"/>
          <w:szCs w:val="24"/>
        </w:rPr>
        <w:lastRenderedPageBreak/>
        <w:t>zgłoszono chęć zamknięcia dotychczasowego rachunku. Jednocześnie konsumenci zainteresowani byli w 2014 r</w:t>
      </w:r>
      <w:r w:rsidR="005B3ACE" w:rsidRPr="00677204">
        <w:rPr>
          <w:rFonts w:ascii="Times New Roman" w:hAnsi="Times New Roman" w:cs="Times New Roman"/>
          <w:szCs w:val="24"/>
        </w:rPr>
        <w:t xml:space="preserve">. przede wszystkim </w:t>
      </w:r>
      <w:r w:rsidR="00E21EAD" w:rsidRPr="00677204">
        <w:rPr>
          <w:rFonts w:ascii="Times New Roman" w:hAnsi="Times New Roman" w:cs="Times New Roman"/>
          <w:szCs w:val="24"/>
        </w:rPr>
        <w:t xml:space="preserve">przeniesieniem całości dostępnego salda </w:t>
      </w:r>
      <w:r w:rsidR="005B3ACE" w:rsidRPr="00677204">
        <w:rPr>
          <w:rFonts w:ascii="Times New Roman" w:hAnsi="Times New Roman" w:cs="Times New Roman"/>
          <w:szCs w:val="24"/>
        </w:rPr>
        <w:t>–</w:t>
      </w:r>
      <w:r w:rsidR="0098294E">
        <w:rPr>
          <w:rFonts w:ascii="Times New Roman" w:hAnsi="Times New Roman" w:cs="Times New Roman"/>
          <w:szCs w:val="24"/>
        </w:rPr>
        <w:t xml:space="preserve"> 16 </w:t>
      </w:r>
      <w:r w:rsidR="006D4B38">
        <w:rPr>
          <w:rFonts w:ascii="Times New Roman" w:hAnsi="Times New Roman" w:cs="Times New Roman"/>
          <w:szCs w:val="24"/>
        </w:rPr>
        <w:t>534 (ok. </w:t>
      </w:r>
      <w:r w:rsidR="00E21EAD" w:rsidRPr="00677204">
        <w:rPr>
          <w:rFonts w:ascii="Times New Roman" w:hAnsi="Times New Roman" w:cs="Times New Roman"/>
          <w:szCs w:val="24"/>
        </w:rPr>
        <w:t>97%). Należy zauważyć, że na przestrzeni pięciu lat</w:t>
      </w:r>
      <w:r w:rsidR="005B3ACE" w:rsidRPr="00677204">
        <w:rPr>
          <w:rFonts w:ascii="Times New Roman" w:hAnsi="Times New Roman" w:cs="Times New Roman"/>
          <w:szCs w:val="24"/>
        </w:rPr>
        <w:t xml:space="preserve">, </w:t>
      </w:r>
      <w:r w:rsidR="00E21EAD" w:rsidRPr="00677204">
        <w:rPr>
          <w:rFonts w:ascii="Times New Roman" w:hAnsi="Times New Roman" w:cs="Times New Roman"/>
          <w:szCs w:val="24"/>
        </w:rPr>
        <w:t>czyli od początku funkcjonowania Rekomendacji</w:t>
      </w:r>
      <w:r w:rsidR="005B3ACE" w:rsidRPr="00677204">
        <w:rPr>
          <w:rFonts w:ascii="Times New Roman" w:hAnsi="Times New Roman" w:cs="Times New Roman"/>
          <w:szCs w:val="24"/>
        </w:rPr>
        <w:t>,</w:t>
      </w:r>
      <w:r w:rsidR="002549F6" w:rsidRPr="00677204">
        <w:rPr>
          <w:rFonts w:ascii="Times New Roman" w:hAnsi="Times New Roman" w:cs="Times New Roman"/>
          <w:szCs w:val="24"/>
        </w:rPr>
        <w:t xml:space="preserve"> </w:t>
      </w:r>
      <w:r w:rsidR="00E21EAD" w:rsidRPr="00677204">
        <w:rPr>
          <w:rFonts w:ascii="Times New Roman" w:hAnsi="Times New Roman" w:cs="Times New Roman"/>
          <w:szCs w:val="24"/>
        </w:rPr>
        <w:t>przeniesiono w ramach systemu OGN</w:t>
      </w:r>
      <w:r w:rsidR="0098294E">
        <w:rPr>
          <w:rFonts w:ascii="Times New Roman" w:hAnsi="Times New Roman" w:cs="Times New Roman"/>
          <w:szCs w:val="24"/>
        </w:rPr>
        <w:t>IVO 82 </w:t>
      </w:r>
      <w:r w:rsidR="00574CD7" w:rsidRPr="00677204">
        <w:rPr>
          <w:rFonts w:ascii="Times New Roman" w:hAnsi="Times New Roman" w:cs="Times New Roman"/>
          <w:szCs w:val="24"/>
        </w:rPr>
        <w:t>184 rachunk</w:t>
      </w:r>
      <w:r w:rsidR="0098294E">
        <w:rPr>
          <w:rFonts w:ascii="Times New Roman" w:hAnsi="Times New Roman" w:cs="Times New Roman"/>
          <w:szCs w:val="24"/>
        </w:rPr>
        <w:t>i</w:t>
      </w:r>
      <w:r w:rsidR="00574CD7" w:rsidRPr="00677204">
        <w:rPr>
          <w:rFonts w:ascii="Times New Roman" w:hAnsi="Times New Roman" w:cs="Times New Roman"/>
          <w:szCs w:val="24"/>
        </w:rPr>
        <w:t xml:space="preserve"> bankow</w:t>
      </w:r>
      <w:r w:rsidR="0098294E">
        <w:rPr>
          <w:rFonts w:ascii="Times New Roman" w:hAnsi="Times New Roman" w:cs="Times New Roman"/>
          <w:szCs w:val="24"/>
        </w:rPr>
        <w:t>e</w:t>
      </w:r>
      <w:r w:rsidR="00574CD7" w:rsidRPr="00677204">
        <w:rPr>
          <w:rFonts w:ascii="Times New Roman" w:hAnsi="Times New Roman" w:cs="Times New Roman"/>
          <w:szCs w:val="24"/>
        </w:rPr>
        <w:t>.</w:t>
      </w:r>
    </w:p>
    <w:p w14:paraId="708FF66F" w14:textId="77777777" w:rsidR="005161CE" w:rsidRPr="00677204" w:rsidRDefault="00E62C90" w:rsidP="002549F6">
      <w:pPr>
        <w:pStyle w:val="ARTartustawynprozporzdzeni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>Ja</w:t>
      </w:r>
      <w:r w:rsidR="00960D58" w:rsidRPr="00677204">
        <w:rPr>
          <w:rFonts w:ascii="Times New Roman" w:hAnsi="Times New Roman" w:cs="Times New Roman"/>
          <w:szCs w:val="24"/>
        </w:rPr>
        <w:t>k</w:t>
      </w:r>
      <w:r w:rsidRPr="00677204">
        <w:rPr>
          <w:rFonts w:ascii="Times New Roman" w:hAnsi="Times New Roman" w:cs="Times New Roman"/>
          <w:szCs w:val="24"/>
        </w:rPr>
        <w:t xml:space="preserve"> wskazano powyżej, p</w:t>
      </w:r>
      <w:r w:rsidR="00DC04DD" w:rsidRPr="00677204">
        <w:rPr>
          <w:rFonts w:ascii="Times New Roman" w:hAnsi="Times New Roman" w:cs="Times New Roman"/>
          <w:szCs w:val="24"/>
        </w:rPr>
        <w:t xml:space="preserve">rocedury dotyczące przeniesienia rachunków </w:t>
      </w:r>
      <w:r w:rsidR="00D86F15" w:rsidRPr="00677204">
        <w:rPr>
          <w:rFonts w:ascii="Times New Roman" w:hAnsi="Times New Roman" w:cs="Times New Roman"/>
          <w:szCs w:val="24"/>
        </w:rPr>
        <w:t>płatniczych</w:t>
      </w:r>
      <w:r w:rsidR="00DC04DD" w:rsidRPr="00677204">
        <w:rPr>
          <w:rFonts w:ascii="Times New Roman" w:hAnsi="Times New Roman" w:cs="Times New Roman"/>
          <w:szCs w:val="24"/>
        </w:rPr>
        <w:t xml:space="preserve"> funkcjonują sprawnie pomiędzy bankami. </w:t>
      </w:r>
      <w:r w:rsidR="00D203D6" w:rsidRPr="00677204">
        <w:rPr>
          <w:rFonts w:ascii="Times New Roman" w:hAnsi="Times New Roman" w:cs="Times New Roman"/>
          <w:szCs w:val="24"/>
        </w:rPr>
        <w:t>K</w:t>
      </w:r>
      <w:r w:rsidR="00DC04DD" w:rsidRPr="00677204">
        <w:rPr>
          <w:rFonts w:ascii="Times New Roman" w:hAnsi="Times New Roman" w:cs="Times New Roman"/>
          <w:szCs w:val="24"/>
        </w:rPr>
        <w:t>onieczne jest</w:t>
      </w:r>
      <w:r w:rsidR="00D203D6" w:rsidRPr="00677204">
        <w:rPr>
          <w:rFonts w:ascii="Times New Roman" w:hAnsi="Times New Roman" w:cs="Times New Roman"/>
          <w:szCs w:val="24"/>
        </w:rPr>
        <w:t xml:space="preserve"> jednak</w:t>
      </w:r>
      <w:r w:rsidR="00DC04DD" w:rsidRPr="00677204">
        <w:rPr>
          <w:rFonts w:ascii="Times New Roman" w:hAnsi="Times New Roman" w:cs="Times New Roman"/>
          <w:szCs w:val="24"/>
        </w:rPr>
        <w:t xml:space="preserve"> wprowadzenie regulacji, które usprawnią także przenoszenie rachunków płatniczych pomiędzy poszczególnymi kategoriami dostawców usług płatniczych (np. przeniesienie rachunku płatniczego z </w:t>
      </w:r>
      <w:r w:rsidR="005B3ACE" w:rsidRPr="00677204">
        <w:rPr>
          <w:rFonts w:ascii="Times New Roman" w:hAnsi="Times New Roman" w:cs="Times New Roman"/>
          <w:szCs w:val="24"/>
        </w:rPr>
        <w:t>b</w:t>
      </w:r>
      <w:r w:rsidR="00DC04DD" w:rsidRPr="00677204">
        <w:rPr>
          <w:rFonts w:ascii="Times New Roman" w:hAnsi="Times New Roman" w:cs="Times New Roman"/>
          <w:szCs w:val="24"/>
        </w:rPr>
        <w:t xml:space="preserve">anku do </w:t>
      </w:r>
      <w:r w:rsidR="005B3ACE" w:rsidRPr="00677204">
        <w:rPr>
          <w:rFonts w:ascii="Times New Roman" w:hAnsi="Times New Roman" w:cs="Times New Roman"/>
          <w:szCs w:val="24"/>
        </w:rPr>
        <w:t>k</w:t>
      </w:r>
      <w:r w:rsidR="00DC04DD" w:rsidRPr="00677204">
        <w:rPr>
          <w:rFonts w:ascii="Times New Roman" w:hAnsi="Times New Roman" w:cs="Times New Roman"/>
          <w:szCs w:val="24"/>
        </w:rPr>
        <w:t xml:space="preserve">rajowej </w:t>
      </w:r>
      <w:r w:rsidR="005B3ACE" w:rsidRPr="00677204">
        <w:rPr>
          <w:rFonts w:ascii="Times New Roman" w:hAnsi="Times New Roman" w:cs="Times New Roman"/>
          <w:szCs w:val="24"/>
        </w:rPr>
        <w:t>i</w:t>
      </w:r>
      <w:r w:rsidR="00480AB4" w:rsidRPr="00677204">
        <w:rPr>
          <w:rFonts w:ascii="Times New Roman" w:hAnsi="Times New Roman" w:cs="Times New Roman"/>
          <w:szCs w:val="24"/>
        </w:rPr>
        <w:t xml:space="preserve">nstytucji </w:t>
      </w:r>
      <w:r w:rsidR="005B3ACE" w:rsidRPr="00677204">
        <w:rPr>
          <w:rFonts w:ascii="Times New Roman" w:hAnsi="Times New Roman" w:cs="Times New Roman"/>
          <w:szCs w:val="24"/>
        </w:rPr>
        <w:t>p</w:t>
      </w:r>
      <w:r w:rsidR="00480AB4" w:rsidRPr="00677204">
        <w:rPr>
          <w:rFonts w:ascii="Times New Roman" w:hAnsi="Times New Roman" w:cs="Times New Roman"/>
          <w:szCs w:val="24"/>
        </w:rPr>
        <w:t>łatniczej</w:t>
      </w:r>
      <w:r w:rsidR="00DC04DD" w:rsidRPr="00677204">
        <w:rPr>
          <w:rFonts w:ascii="Times New Roman" w:hAnsi="Times New Roman" w:cs="Times New Roman"/>
          <w:szCs w:val="24"/>
        </w:rPr>
        <w:t xml:space="preserve">). Uregulowanie kwestii dotyczącej przenoszenia rachunków </w:t>
      </w:r>
      <w:r w:rsidR="005161CE" w:rsidRPr="00677204">
        <w:rPr>
          <w:rFonts w:ascii="Times New Roman" w:hAnsi="Times New Roman" w:cs="Times New Roman"/>
          <w:szCs w:val="24"/>
        </w:rPr>
        <w:t>płatniczych</w:t>
      </w:r>
      <w:r w:rsidR="00DC04DD" w:rsidRPr="00677204">
        <w:rPr>
          <w:rFonts w:ascii="Times New Roman" w:hAnsi="Times New Roman" w:cs="Times New Roman"/>
          <w:szCs w:val="24"/>
        </w:rPr>
        <w:t xml:space="preserve"> między różnymi kategoriami dostawców wpłynie pozytywnie na konkurencj</w:t>
      </w:r>
      <w:r w:rsidR="00960D58" w:rsidRPr="00677204">
        <w:rPr>
          <w:rFonts w:ascii="Times New Roman" w:hAnsi="Times New Roman" w:cs="Times New Roman"/>
          <w:szCs w:val="24"/>
        </w:rPr>
        <w:t>ę</w:t>
      </w:r>
      <w:r w:rsidR="00DC04DD" w:rsidRPr="00677204">
        <w:rPr>
          <w:rFonts w:ascii="Times New Roman" w:hAnsi="Times New Roman" w:cs="Times New Roman"/>
          <w:szCs w:val="24"/>
        </w:rPr>
        <w:t xml:space="preserve"> na rynku usług </w:t>
      </w:r>
      <w:r w:rsidR="005161CE" w:rsidRPr="00677204">
        <w:rPr>
          <w:rFonts w:ascii="Times New Roman" w:hAnsi="Times New Roman" w:cs="Times New Roman"/>
          <w:szCs w:val="24"/>
        </w:rPr>
        <w:t>płatniczych</w:t>
      </w:r>
      <w:r w:rsidR="00480AB4" w:rsidRPr="00677204">
        <w:rPr>
          <w:rFonts w:ascii="Times New Roman" w:hAnsi="Times New Roman" w:cs="Times New Roman"/>
          <w:szCs w:val="24"/>
        </w:rPr>
        <w:t xml:space="preserve"> i przyczyni się do wzrostu jakości świadczonych usług.</w:t>
      </w:r>
    </w:p>
    <w:p w14:paraId="5DEE01B9" w14:textId="7ACC8C0D" w:rsidR="00E21EAD" w:rsidRPr="00677204" w:rsidRDefault="005B3ACE" w:rsidP="002549F6">
      <w:pPr>
        <w:pStyle w:val="ARTartustawynprozporzdzeni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>W</w:t>
      </w:r>
      <w:r w:rsidR="00DC04DD" w:rsidRPr="00677204">
        <w:rPr>
          <w:rFonts w:ascii="Times New Roman" w:hAnsi="Times New Roman" w:cs="Times New Roman"/>
          <w:szCs w:val="24"/>
        </w:rPr>
        <w:t xml:space="preserve">prowadzenie regulacji ustawowej </w:t>
      </w:r>
      <w:r w:rsidR="009643C6" w:rsidRPr="00677204">
        <w:rPr>
          <w:rFonts w:ascii="Times New Roman" w:hAnsi="Times New Roman" w:cs="Times New Roman"/>
          <w:szCs w:val="24"/>
        </w:rPr>
        <w:t xml:space="preserve">w tym zakresie </w:t>
      </w:r>
      <w:r w:rsidR="00DC04DD" w:rsidRPr="00677204">
        <w:rPr>
          <w:rFonts w:ascii="Times New Roman" w:hAnsi="Times New Roman" w:cs="Times New Roman"/>
          <w:szCs w:val="24"/>
        </w:rPr>
        <w:t xml:space="preserve">może przyczynić się </w:t>
      </w:r>
      <w:r w:rsidRPr="00677204">
        <w:rPr>
          <w:rFonts w:ascii="Times New Roman" w:hAnsi="Times New Roman" w:cs="Times New Roman"/>
          <w:szCs w:val="24"/>
        </w:rPr>
        <w:t xml:space="preserve">także </w:t>
      </w:r>
      <w:r w:rsidR="00DC04DD" w:rsidRPr="00677204">
        <w:rPr>
          <w:rFonts w:ascii="Times New Roman" w:hAnsi="Times New Roman" w:cs="Times New Roman"/>
          <w:szCs w:val="24"/>
        </w:rPr>
        <w:t xml:space="preserve">do </w:t>
      </w:r>
      <w:r w:rsidR="005161CE" w:rsidRPr="00677204">
        <w:rPr>
          <w:rFonts w:ascii="Times New Roman" w:hAnsi="Times New Roman" w:cs="Times New Roman"/>
          <w:szCs w:val="24"/>
        </w:rPr>
        <w:t xml:space="preserve">wzrostu zaufania do </w:t>
      </w:r>
      <w:r w:rsidR="00D86F15" w:rsidRPr="00677204">
        <w:rPr>
          <w:rFonts w:ascii="Times New Roman" w:hAnsi="Times New Roman" w:cs="Times New Roman"/>
          <w:szCs w:val="24"/>
        </w:rPr>
        <w:t>usługi</w:t>
      </w:r>
      <w:r w:rsidR="005161CE" w:rsidRPr="00677204">
        <w:rPr>
          <w:rFonts w:ascii="Times New Roman" w:hAnsi="Times New Roman" w:cs="Times New Roman"/>
          <w:szCs w:val="24"/>
        </w:rPr>
        <w:t xml:space="preserve"> przeniesienia rachunku </w:t>
      </w:r>
      <w:r w:rsidR="00D86F15" w:rsidRPr="00677204">
        <w:rPr>
          <w:rFonts w:ascii="Times New Roman" w:hAnsi="Times New Roman" w:cs="Times New Roman"/>
          <w:szCs w:val="24"/>
        </w:rPr>
        <w:t>płatniczego</w:t>
      </w:r>
      <w:r w:rsidR="005161CE" w:rsidRPr="00677204">
        <w:rPr>
          <w:rFonts w:ascii="Times New Roman" w:hAnsi="Times New Roman" w:cs="Times New Roman"/>
          <w:szCs w:val="24"/>
        </w:rPr>
        <w:t xml:space="preserve">. </w:t>
      </w:r>
      <w:r w:rsidR="00E21EAD" w:rsidRPr="00677204">
        <w:rPr>
          <w:rFonts w:ascii="Times New Roman" w:hAnsi="Times New Roman" w:cs="Times New Roman"/>
          <w:szCs w:val="24"/>
        </w:rPr>
        <w:t xml:space="preserve">Należy </w:t>
      </w:r>
      <w:r w:rsidR="005161CE" w:rsidRPr="00677204">
        <w:rPr>
          <w:rFonts w:ascii="Times New Roman" w:hAnsi="Times New Roman" w:cs="Times New Roman"/>
          <w:szCs w:val="24"/>
        </w:rPr>
        <w:t xml:space="preserve">bowiem </w:t>
      </w:r>
      <w:r w:rsidR="00E21EAD" w:rsidRPr="00677204">
        <w:rPr>
          <w:rFonts w:ascii="Times New Roman" w:hAnsi="Times New Roman" w:cs="Times New Roman"/>
          <w:szCs w:val="24"/>
        </w:rPr>
        <w:t>zauważyć, że decyzje o przeniesieni</w:t>
      </w:r>
      <w:r w:rsidR="009643C6" w:rsidRPr="00677204">
        <w:rPr>
          <w:rFonts w:ascii="Times New Roman" w:hAnsi="Times New Roman" w:cs="Times New Roman"/>
          <w:szCs w:val="24"/>
        </w:rPr>
        <w:t>u</w:t>
      </w:r>
      <w:r w:rsidR="00E21EAD" w:rsidRPr="00677204">
        <w:rPr>
          <w:rFonts w:ascii="Times New Roman" w:hAnsi="Times New Roman" w:cs="Times New Roman"/>
          <w:szCs w:val="24"/>
        </w:rPr>
        <w:t xml:space="preserve"> rachunku płatniczego do innego dostawcy usług płatniczych bardzo często są odkładane przez konsumentów ze względu na istotne bariery administracyjne, a</w:t>
      </w:r>
      <w:r w:rsidR="002549F6" w:rsidRPr="00677204">
        <w:rPr>
          <w:rFonts w:ascii="Times New Roman" w:hAnsi="Times New Roman" w:cs="Times New Roman"/>
          <w:szCs w:val="24"/>
        </w:rPr>
        <w:t xml:space="preserve"> </w:t>
      </w:r>
      <w:r w:rsidR="00E21EAD" w:rsidRPr="00677204">
        <w:rPr>
          <w:rFonts w:ascii="Times New Roman" w:hAnsi="Times New Roman" w:cs="Times New Roman"/>
          <w:szCs w:val="24"/>
        </w:rPr>
        <w:t>także finansowe. W związku z tym</w:t>
      </w:r>
      <w:r w:rsidR="00DA2456" w:rsidRPr="00677204">
        <w:rPr>
          <w:rFonts w:ascii="Times New Roman" w:hAnsi="Times New Roman" w:cs="Times New Roman"/>
          <w:szCs w:val="24"/>
        </w:rPr>
        <w:t xml:space="preserve"> </w:t>
      </w:r>
      <w:r w:rsidR="00E21EAD" w:rsidRPr="00677204">
        <w:rPr>
          <w:rFonts w:ascii="Times New Roman" w:hAnsi="Times New Roman" w:cs="Times New Roman"/>
          <w:szCs w:val="24"/>
        </w:rPr>
        <w:t xml:space="preserve">projektowane </w:t>
      </w:r>
      <w:r w:rsidR="00DA2456" w:rsidRPr="00677204">
        <w:rPr>
          <w:rFonts w:ascii="Times New Roman" w:hAnsi="Times New Roman" w:cs="Times New Roman"/>
          <w:szCs w:val="24"/>
        </w:rPr>
        <w:t xml:space="preserve">rozwiązania </w:t>
      </w:r>
      <w:r w:rsidR="00E21EAD" w:rsidRPr="00677204">
        <w:rPr>
          <w:rFonts w:ascii="Times New Roman" w:hAnsi="Times New Roman" w:cs="Times New Roman"/>
          <w:szCs w:val="24"/>
        </w:rPr>
        <w:t xml:space="preserve">mają sprawić, że </w:t>
      </w:r>
      <w:r w:rsidR="00057CC5" w:rsidRPr="00677204">
        <w:rPr>
          <w:rFonts w:ascii="Times New Roman" w:hAnsi="Times New Roman" w:cs="Times New Roman"/>
          <w:szCs w:val="24"/>
        </w:rPr>
        <w:t xml:space="preserve">wszyscy </w:t>
      </w:r>
      <w:r w:rsidR="00E21EAD" w:rsidRPr="00677204">
        <w:rPr>
          <w:rFonts w:ascii="Times New Roman" w:hAnsi="Times New Roman" w:cs="Times New Roman"/>
          <w:szCs w:val="24"/>
        </w:rPr>
        <w:t>dostawcy usług płatniczych</w:t>
      </w:r>
      <w:r w:rsidR="00057CC5" w:rsidRPr="00677204">
        <w:rPr>
          <w:rFonts w:ascii="Times New Roman" w:hAnsi="Times New Roman" w:cs="Times New Roman"/>
          <w:szCs w:val="24"/>
        </w:rPr>
        <w:t xml:space="preserve"> świadczący usługi prowadzenia rachunku płatniczego</w:t>
      </w:r>
      <w:r w:rsidR="00E21EAD" w:rsidRPr="00677204">
        <w:rPr>
          <w:rFonts w:ascii="Times New Roman" w:hAnsi="Times New Roman" w:cs="Times New Roman"/>
          <w:szCs w:val="24"/>
        </w:rPr>
        <w:t xml:space="preserve"> będą oferować jasną, szybką i bezpieczną procedurę przenoszenia rachunków płatniczych oraz usług powiązanych z </w:t>
      </w:r>
      <w:r w:rsidR="00057CC5" w:rsidRPr="00677204">
        <w:rPr>
          <w:rFonts w:ascii="Times New Roman" w:hAnsi="Times New Roman" w:cs="Times New Roman"/>
          <w:szCs w:val="24"/>
        </w:rPr>
        <w:t>tymi rachunkami</w:t>
      </w:r>
      <w:r w:rsidR="00E21EAD" w:rsidRPr="00677204">
        <w:rPr>
          <w:rFonts w:ascii="Times New Roman" w:hAnsi="Times New Roman" w:cs="Times New Roman"/>
          <w:szCs w:val="24"/>
        </w:rPr>
        <w:t xml:space="preserve">. </w:t>
      </w:r>
      <w:r w:rsidR="009643C6" w:rsidRPr="00677204">
        <w:rPr>
          <w:rFonts w:ascii="Times New Roman" w:hAnsi="Times New Roman" w:cs="Times New Roman"/>
          <w:szCs w:val="24"/>
        </w:rPr>
        <w:t>K</w:t>
      </w:r>
      <w:r w:rsidR="00E21EAD" w:rsidRPr="00677204">
        <w:rPr>
          <w:rFonts w:ascii="Times New Roman" w:hAnsi="Times New Roman" w:cs="Times New Roman"/>
          <w:szCs w:val="24"/>
        </w:rPr>
        <w:t xml:space="preserve">onsumenci będą mieć </w:t>
      </w:r>
      <w:r w:rsidR="009643C6" w:rsidRPr="00677204">
        <w:rPr>
          <w:rFonts w:ascii="Times New Roman" w:hAnsi="Times New Roman" w:cs="Times New Roman"/>
          <w:szCs w:val="24"/>
        </w:rPr>
        <w:t xml:space="preserve">zatem </w:t>
      </w:r>
      <w:r w:rsidR="002549F6" w:rsidRPr="00677204">
        <w:rPr>
          <w:rFonts w:ascii="Times New Roman" w:hAnsi="Times New Roman" w:cs="Times New Roman"/>
          <w:szCs w:val="24"/>
        </w:rPr>
        <w:t>możliwość skorzystania z</w:t>
      </w:r>
      <w:r w:rsidR="006D4B38">
        <w:rPr>
          <w:rFonts w:ascii="Times New Roman" w:hAnsi="Times New Roman" w:cs="Times New Roman"/>
          <w:szCs w:val="24"/>
        </w:rPr>
        <w:t xml:space="preserve"> </w:t>
      </w:r>
      <w:r w:rsidR="00E21EAD" w:rsidRPr="00677204">
        <w:rPr>
          <w:rFonts w:ascii="Times New Roman" w:hAnsi="Times New Roman" w:cs="Times New Roman"/>
          <w:szCs w:val="24"/>
        </w:rPr>
        <w:t>najdogodniejszych ofert na rynku w dowolnie wybranym przez siebie momencie</w:t>
      </w:r>
      <w:r w:rsidR="00DA2456" w:rsidRPr="00677204">
        <w:rPr>
          <w:rFonts w:ascii="Times New Roman" w:hAnsi="Times New Roman" w:cs="Times New Roman"/>
          <w:szCs w:val="24"/>
        </w:rPr>
        <w:t>,</w:t>
      </w:r>
      <w:r w:rsidR="00057CC5" w:rsidRPr="00677204">
        <w:rPr>
          <w:rFonts w:ascii="Times New Roman" w:hAnsi="Times New Roman" w:cs="Times New Roman"/>
          <w:szCs w:val="24"/>
        </w:rPr>
        <w:t xml:space="preserve"> przy niskim zaangażowaniu swojego czasu, co pozwoli</w:t>
      </w:r>
      <w:r w:rsidR="00D203D6" w:rsidRPr="00677204">
        <w:rPr>
          <w:rFonts w:ascii="Times New Roman" w:hAnsi="Times New Roman" w:cs="Times New Roman"/>
          <w:szCs w:val="24"/>
        </w:rPr>
        <w:t xml:space="preserve"> im na sprawną</w:t>
      </w:r>
      <w:r w:rsidR="00E21EAD" w:rsidRPr="00677204">
        <w:rPr>
          <w:rFonts w:ascii="Times New Roman" w:hAnsi="Times New Roman" w:cs="Times New Roman"/>
          <w:szCs w:val="24"/>
        </w:rPr>
        <w:t xml:space="preserve"> i szybką zmianę rachunku płatniczego bez względu na to</w:t>
      </w:r>
      <w:r w:rsidR="00DA2456" w:rsidRPr="00677204">
        <w:rPr>
          <w:rFonts w:ascii="Times New Roman" w:hAnsi="Times New Roman" w:cs="Times New Roman"/>
          <w:szCs w:val="24"/>
        </w:rPr>
        <w:t xml:space="preserve">, </w:t>
      </w:r>
      <w:r w:rsidR="00E21EAD" w:rsidRPr="00677204">
        <w:rPr>
          <w:rFonts w:ascii="Times New Roman" w:hAnsi="Times New Roman" w:cs="Times New Roman"/>
          <w:szCs w:val="24"/>
        </w:rPr>
        <w:t xml:space="preserve">czy zmiana ta miałaby miejsce </w:t>
      </w:r>
      <w:r w:rsidR="009643C6" w:rsidRPr="00677204">
        <w:rPr>
          <w:rFonts w:ascii="Times New Roman" w:hAnsi="Times New Roman" w:cs="Times New Roman"/>
          <w:szCs w:val="24"/>
        </w:rPr>
        <w:t xml:space="preserve">u </w:t>
      </w:r>
      <w:r w:rsidR="00E21EAD" w:rsidRPr="00677204">
        <w:rPr>
          <w:rFonts w:ascii="Times New Roman" w:hAnsi="Times New Roman" w:cs="Times New Roman"/>
          <w:szCs w:val="24"/>
        </w:rPr>
        <w:t>tego samego dostawcy</w:t>
      </w:r>
      <w:r w:rsidR="00C66493" w:rsidRPr="00677204">
        <w:rPr>
          <w:rFonts w:ascii="Times New Roman" w:hAnsi="Times New Roman" w:cs="Times New Roman"/>
          <w:szCs w:val="24"/>
        </w:rPr>
        <w:t>,</w:t>
      </w:r>
      <w:r w:rsidR="00E21EAD" w:rsidRPr="00677204">
        <w:rPr>
          <w:rFonts w:ascii="Times New Roman" w:hAnsi="Times New Roman" w:cs="Times New Roman"/>
          <w:szCs w:val="24"/>
        </w:rPr>
        <w:t xml:space="preserve"> czy też między różnymi dostawcami usług płatniczych.</w:t>
      </w:r>
    </w:p>
    <w:p w14:paraId="0EC50AB9" w14:textId="76A7BF50" w:rsidR="00E21EAD" w:rsidRDefault="00E21EAD" w:rsidP="002549F6">
      <w:pPr>
        <w:pStyle w:val="ARTartustawynprozporzdzeni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>Wprowadzenie regulacji prawnych dotyczących przeniesienia rachunków płatniczych</w:t>
      </w:r>
      <w:r w:rsidR="002549F6" w:rsidRPr="00677204">
        <w:rPr>
          <w:rFonts w:ascii="Times New Roman" w:hAnsi="Times New Roman" w:cs="Times New Roman"/>
          <w:szCs w:val="24"/>
        </w:rPr>
        <w:t xml:space="preserve"> w</w:t>
      </w:r>
      <w:r w:rsidR="00162376">
        <w:rPr>
          <w:rFonts w:ascii="Times New Roman" w:hAnsi="Times New Roman" w:cs="Times New Roman"/>
          <w:szCs w:val="24"/>
        </w:rPr>
        <w:t> </w:t>
      </w:r>
      <w:r w:rsidR="009643C6" w:rsidRPr="00677204">
        <w:rPr>
          <w:rFonts w:ascii="Times New Roman" w:hAnsi="Times New Roman" w:cs="Times New Roman"/>
          <w:szCs w:val="24"/>
        </w:rPr>
        <w:t xml:space="preserve">proponowanym zakresie </w:t>
      </w:r>
      <w:r w:rsidRPr="00677204">
        <w:rPr>
          <w:rFonts w:ascii="Times New Roman" w:hAnsi="Times New Roman" w:cs="Times New Roman"/>
          <w:szCs w:val="24"/>
        </w:rPr>
        <w:t xml:space="preserve">usprawni </w:t>
      </w:r>
      <w:r w:rsidR="00FD60DF" w:rsidRPr="00677204">
        <w:rPr>
          <w:rFonts w:ascii="Times New Roman" w:hAnsi="Times New Roman" w:cs="Times New Roman"/>
          <w:szCs w:val="24"/>
        </w:rPr>
        <w:t xml:space="preserve">ten </w:t>
      </w:r>
      <w:r w:rsidRPr="00677204">
        <w:rPr>
          <w:rFonts w:ascii="Times New Roman" w:hAnsi="Times New Roman" w:cs="Times New Roman"/>
          <w:szCs w:val="24"/>
        </w:rPr>
        <w:t>proces i</w:t>
      </w:r>
      <w:r w:rsidR="007E1092" w:rsidRPr="00677204">
        <w:rPr>
          <w:rFonts w:ascii="Times New Roman" w:hAnsi="Times New Roman" w:cs="Times New Roman"/>
          <w:szCs w:val="24"/>
        </w:rPr>
        <w:t xml:space="preserve"> </w:t>
      </w:r>
      <w:r w:rsidRPr="00677204">
        <w:rPr>
          <w:rFonts w:ascii="Times New Roman" w:hAnsi="Times New Roman" w:cs="Times New Roman"/>
          <w:szCs w:val="24"/>
        </w:rPr>
        <w:t>wpłynie pozytywnie na konkurencj</w:t>
      </w:r>
      <w:r w:rsidR="00197AF4" w:rsidRPr="00677204">
        <w:rPr>
          <w:rFonts w:ascii="Times New Roman" w:hAnsi="Times New Roman" w:cs="Times New Roman"/>
          <w:szCs w:val="24"/>
        </w:rPr>
        <w:t>ę</w:t>
      </w:r>
      <w:r w:rsidRPr="00677204">
        <w:rPr>
          <w:rFonts w:ascii="Times New Roman" w:hAnsi="Times New Roman" w:cs="Times New Roman"/>
          <w:szCs w:val="24"/>
        </w:rPr>
        <w:t xml:space="preserve"> na rynku usług płatniczych</w:t>
      </w:r>
      <w:r w:rsidR="00A9473F" w:rsidRPr="00677204">
        <w:rPr>
          <w:rFonts w:ascii="Times New Roman" w:hAnsi="Times New Roman" w:cs="Times New Roman"/>
          <w:szCs w:val="24"/>
        </w:rPr>
        <w:t xml:space="preserve">, co w konsekwencji </w:t>
      </w:r>
      <w:r w:rsidRPr="00677204">
        <w:rPr>
          <w:rFonts w:ascii="Times New Roman" w:hAnsi="Times New Roman" w:cs="Times New Roman"/>
          <w:szCs w:val="24"/>
        </w:rPr>
        <w:t>może przyczynić się do zwiększenia zaufania konsumentów do dostawców usług płatniczych oraz przełożyć się na wzrost liczby konsumentów korzystających z rachunków płatniczych.</w:t>
      </w:r>
    </w:p>
    <w:p w14:paraId="1E174561" w14:textId="77777777" w:rsidR="00C96462" w:rsidRPr="00677204" w:rsidRDefault="00C96462" w:rsidP="002549F6">
      <w:pPr>
        <w:pStyle w:val="ARTartustawynprozporzdzenia"/>
        <w:spacing w:before="0"/>
        <w:ind w:firstLine="0"/>
        <w:rPr>
          <w:rFonts w:ascii="Times New Roman" w:hAnsi="Times New Roman" w:cs="Times New Roman"/>
          <w:szCs w:val="24"/>
        </w:rPr>
      </w:pPr>
    </w:p>
    <w:p w14:paraId="028D2360" w14:textId="49781054" w:rsidR="00E21EAD" w:rsidRPr="00677204" w:rsidRDefault="00FF6656" w:rsidP="002C17C2">
      <w:pPr>
        <w:pStyle w:val="ARTartustawynprozporzdzenia"/>
        <w:keepNext/>
        <w:spacing w:before="0"/>
        <w:ind w:firstLine="0"/>
        <w:rPr>
          <w:rFonts w:ascii="Times New Roman" w:hAnsi="Times New Roman" w:cs="Times New Roman"/>
          <w:b/>
          <w:szCs w:val="24"/>
        </w:rPr>
      </w:pPr>
      <w:r w:rsidRPr="00677204">
        <w:rPr>
          <w:rFonts w:ascii="Times New Roman" w:hAnsi="Times New Roman" w:cs="Times New Roman"/>
          <w:b/>
          <w:szCs w:val="24"/>
        </w:rPr>
        <w:lastRenderedPageBreak/>
        <w:t xml:space="preserve">3. </w:t>
      </w:r>
      <w:r w:rsidR="00E21EAD" w:rsidRPr="00677204">
        <w:rPr>
          <w:rFonts w:ascii="Times New Roman" w:hAnsi="Times New Roman" w:cs="Times New Roman"/>
          <w:b/>
          <w:szCs w:val="24"/>
        </w:rPr>
        <w:t>Strony internetowe porównujące oferty dostawców usług płatniczych w zakresie pro</w:t>
      </w:r>
      <w:r w:rsidR="00574CD7" w:rsidRPr="00677204">
        <w:rPr>
          <w:rFonts w:ascii="Times New Roman" w:hAnsi="Times New Roman" w:cs="Times New Roman"/>
          <w:b/>
          <w:szCs w:val="24"/>
        </w:rPr>
        <w:t>wadzenia rachunków płatniczych</w:t>
      </w:r>
    </w:p>
    <w:p w14:paraId="4ADC9BDC" w14:textId="1425D0A7" w:rsidR="00384D29" w:rsidRPr="00677204" w:rsidRDefault="00E21EAD" w:rsidP="002549F6">
      <w:pPr>
        <w:pStyle w:val="ARTartustawynprozporzdzeni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>Projektowane</w:t>
      </w:r>
      <w:r w:rsidR="00D203D6" w:rsidRPr="00677204">
        <w:rPr>
          <w:rFonts w:ascii="Times New Roman" w:hAnsi="Times New Roman" w:cs="Times New Roman"/>
          <w:szCs w:val="24"/>
        </w:rPr>
        <w:t xml:space="preserve"> </w:t>
      </w:r>
      <w:r w:rsidR="00C164FE" w:rsidRPr="00677204">
        <w:rPr>
          <w:rFonts w:ascii="Times New Roman" w:hAnsi="Times New Roman" w:cs="Times New Roman"/>
          <w:szCs w:val="24"/>
        </w:rPr>
        <w:t xml:space="preserve">rozwiązania </w:t>
      </w:r>
      <w:r w:rsidRPr="00677204">
        <w:rPr>
          <w:rFonts w:ascii="Times New Roman" w:hAnsi="Times New Roman" w:cs="Times New Roman"/>
          <w:szCs w:val="24"/>
        </w:rPr>
        <w:t xml:space="preserve">mają na celu zapewnienie konsumentom </w:t>
      </w:r>
      <w:r w:rsidR="00414AC9" w:rsidRPr="00677204">
        <w:rPr>
          <w:rFonts w:ascii="Times New Roman" w:hAnsi="Times New Roman" w:cs="Times New Roman"/>
          <w:szCs w:val="24"/>
        </w:rPr>
        <w:t>skutecznego środ</w:t>
      </w:r>
      <w:r w:rsidRPr="00677204">
        <w:rPr>
          <w:rFonts w:ascii="Times New Roman" w:hAnsi="Times New Roman" w:cs="Times New Roman"/>
          <w:szCs w:val="24"/>
        </w:rPr>
        <w:t>k</w:t>
      </w:r>
      <w:r w:rsidR="00414AC9" w:rsidRPr="00677204">
        <w:rPr>
          <w:rFonts w:ascii="Times New Roman" w:hAnsi="Times New Roman" w:cs="Times New Roman"/>
          <w:szCs w:val="24"/>
        </w:rPr>
        <w:t>a</w:t>
      </w:r>
      <w:r w:rsidRPr="00677204">
        <w:rPr>
          <w:rFonts w:ascii="Times New Roman" w:hAnsi="Times New Roman" w:cs="Times New Roman"/>
          <w:szCs w:val="24"/>
        </w:rPr>
        <w:t xml:space="preserve"> umożliwiając</w:t>
      </w:r>
      <w:r w:rsidR="00414AC9" w:rsidRPr="00677204">
        <w:rPr>
          <w:rFonts w:ascii="Times New Roman" w:hAnsi="Times New Roman" w:cs="Times New Roman"/>
          <w:szCs w:val="24"/>
        </w:rPr>
        <w:t>ego</w:t>
      </w:r>
      <w:r w:rsidRPr="00677204">
        <w:rPr>
          <w:rFonts w:ascii="Times New Roman" w:hAnsi="Times New Roman" w:cs="Times New Roman"/>
          <w:szCs w:val="24"/>
        </w:rPr>
        <w:t xml:space="preserve"> ocenę różnych ofert rachunków płatniczych w jednym miejscu</w:t>
      </w:r>
      <w:r w:rsidR="00D203D6" w:rsidRPr="00677204">
        <w:rPr>
          <w:rFonts w:ascii="Times New Roman" w:hAnsi="Times New Roman" w:cs="Times New Roman"/>
          <w:szCs w:val="24"/>
        </w:rPr>
        <w:t xml:space="preserve"> na pods</w:t>
      </w:r>
      <w:r w:rsidR="00574CD7" w:rsidRPr="00677204">
        <w:rPr>
          <w:rFonts w:ascii="Times New Roman" w:hAnsi="Times New Roman" w:cs="Times New Roman"/>
          <w:szCs w:val="24"/>
        </w:rPr>
        <w:t>tawie zagregowanych informacji.</w:t>
      </w:r>
    </w:p>
    <w:p w14:paraId="0C5421D0" w14:textId="09C248F3" w:rsidR="00414AC9" w:rsidRPr="00677204" w:rsidRDefault="00384D29" w:rsidP="002549F6">
      <w:pPr>
        <w:pStyle w:val="ARTartustawynprozporzdzeni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 xml:space="preserve">Zakłada </w:t>
      </w:r>
      <w:r w:rsidR="00C164FE" w:rsidRPr="00677204">
        <w:rPr>
          <w:rFonts w:ascii="Times New Roman" w:hAnsi="Times New Roman" w:cs="Times New Roman"/>
          <w:szCs w:val="24"/>
        </w:rPr>
        <w:t xml:space="preserve">się </w:t>
      </w:r>
      <w:r w:rsidR="00E21EAD" w:rsidRPr="00677204">
        <w:rPr>
          <w:rFonts w:ascii="Times New Roman" w:hAnsi="Times New Roman" w:cs="Times New Roman"/>
          <w:szCs w:val="24"/>
        </w:rPr>
        <w:t>wprowadz</w:t>
      </w:r>
      <w:r w:rsidR="00C164FE" w:rsidRPr="00677204">
        <w:rPr>
          <w:rFonts w:ascii="Times New Roman" w:hAnsi="Times New Roman" w:cs="Times New Roman"/>
          <w:szCs w:val="24"/>
        </w:rPr>
        <w:t>enie przepisów</w:t>
      </w:r>
      <w:r w:rsidR="00E21EAD" w:rsidRPr="00677204">
        <w:rPr>
          <w:rFonts w:ascii="Times New Roman" w:hAnsi="Times New Roman" w:cs="Times New Roman"/>
          <w:szCs w:val="24"/>
        </w:rPr>
        <w:t xml:space="preserve"> regulując</w:t>
      </w:r>
      <w:r w:rsidR="00C164FE" w:rsidRPr="00677204">
        <w:rPr>
          <w:rFonts w:ascii="Times New Roman" w:hAnsi="Times New Roman" w:cs="Times New Roman"/>
          <w:szCs w:val="24"/>
        </w:rPr>
        <w:t xml:space="preserve">ych </w:t>
      </w:r>
      <w:r w:rsidR="00E21EAD" w:rsidRPr="00677204">
        <w:rPr>
          <w:rFonts w:ascii="Times New Roman" w:hAnsi="Times New Roman" w:cs="Times New Roman"/>
          <w:szCs w:val="24"/>
        </w:rPr>
        <w:t xml:space="preserve">funkcjonowanie stron internetowych, które </w:t>
      </w:r>
      <w:r w:rsidR="00D203D6" w:rsidRPr="00677204">
        <w:rPr>
          <w:rFonts w:ascii="Times New Roman" w:hAnsi="Times New Roman" w:cs="Times New Roman"/>
          <w:szCs w:val="24"/>
        </w:rPr>
        <w:t>w jasny, zwięzły oraz kompletny</w:t>
      </w:r>
      <w:r w:rsidR="00E21EAD" w:rsidRPr="00677204">
        <w:rPr>
          <w:rFonts w:ascii="Times New Roman" w:hAnsi="Times New Roman" w:cs="Times New Roman"/>
          <w:szCs w:val="24"/>
        </w:rPr>
        <w:t xml:space="preserve"> </w:t>
      </w:r>
      <w:r w:rsidR="00D203D6" w:rsidRPr="00677204">
        <w:rPr>
          <w:rFonts w:ascii="Times New Roman" w:hAnsi="Times New Roman" w:cs="Times New Roman"/>
          <w:szCs w:val="24"/>
        </w:rPr>
        <w:t>sposób prezentują</w:t>
      </w:r>
      <w:r w:rsidR="00E21EAD" w:rsidRPr="00677204">
        <w:rPr>
          <w:rFonts w:ascii="Times New Roman" w:hAnsi="Times New Roman" w:cs="Times New Roman"/>
          <w:szCs w:val="24"/>
        </w:rPr>
        <w:t xml:space="preserve"> informacje dotyczące </w:t>
      </w:r>
      <w:r w:rsidR="00C164FE" w:rsidRPr="00677204">
        <w:rPr>
          <w:rFonts w:ascii="Times New Roman" w:hAnsi="Times New Roman" w:cs="Times New Roman"/>
          <w:szCs w:val="24"/>
        </w:rPr>
        <w:t xml:space="preserve">rachunków płatniczych </w:t>
      </w:r>
      <w:r w:rsidR="00E21EAD" w:rsidRPr="00677204">
        <w:rPr>
          <w:rFonts w:ascii="Times New Roman" w:hAnsi="Times New Roman" w:cs="Times New Roman"/>
          <w:szCs w:val="24"/>
        </w:rPr>
        <w:t xml:space="preserve">oferowanych </w:t>
      </w:r>
      <w:r w:rsidR="00D203D6" w:rsidRPr="00677204">
        <w:rPr>
          <w:rFonts w:ascii="Times New Roman" w:hAnsi="Times New Roman" w:cs="Times New Roman"/>
          <w:szCs w:val="24"/>
        </w:rPr>
        <w:t>przez dostawców usług płatniczych</w:t>
      </w:r>
      <w:r w:rsidR="00E21EAD" w:rsidRPr="00677204">
        <w:rPr>
          <w:rFonts w:ascii="Times New Roman" w:hAnsi="Times New Roman" w:cs="Times New Roman"/>
          <w:szCs w:val="24"/>
        </w:rPr>
        <w:t xml:space="preserve">. Oferty będą porównywane m.in. </w:t>
      </w:r>
      <w:r w:rsidR="00414AC9" w:rsidRPr="00677204">
        <w:rPr>
          <w:rFonts w:ascii="Times New Roman" w:hAnsi="Times New Roman" w:cs="Times New Roman"/>
          <w:szCs w:val="24"/>
        </w:rPr>
        <w:t>w zakresie</w:t>
      </w:r>
      <w:r w:rsidR="00E21EAD" w:rsidRPr="00677204">
        <w:rPr>
          <w:rFonts w:ascii="Times New Roman" w:hAnsi="Times New Roman" w:cs="Times New Roman"/>
          <w:szCs w:val="24"/>
        </w:rPr>
        <w:t xml:space="preserve"> opłat </w:t>
      </w:r>
      <w:r w:rsidR="00C607FC" w:rsidRPr="00677204">
        <w:rPr>
          <w:rFonts w:ascii="Times New Roman" w:hAnsi="Times New Roman" w:cs="Times New Roman"/>
          <w:szCs w:val="24"/>
        </w:rPr>
        <w:t>pobieranych w</w:t>
      </w:r>
      <w:r w:rsidR="002549F6" w:rsidRPr="00677204">
        <w:rPr>
          <w:rFonts w:ascii="Times New Roman" w:hAnsi="Times New Roman" w:cs="Times New Roman"/>
          <w:szCs w:val="24"/>
        </w:rPr>
        <w:t xml:space="preserve"> </w:t>
      </w:r>
      <w:r w:rsidR="00C607FC" w:rsidRPr="00677204">
        <w:rPr>
          <w:rFonts w:ascii="Times New Roman" w:hAnsi="Times New Roman" w:cs="Times New Roman"/>
          <w:szCs w:val="24"/>
        </w:rPr>
        <w:t>związku z</w:t>
      </w:r>
      <w:r w:rsidR="006D4B38">
        <w:rPr>
          <w:rFonts w:ascii="Times New Roman" w:hAnsi="Times New Roman" w:cs="Times New Roman"/>
          <w:szCs w:val="24"/>
        </w:rPr>
        <w:t> </w:t>
      </w:r>
      <w:r w:rsidR="00C607FC" w:rsidRPr="00677204">
        <w:rPr>
          <w:rFonts w:ascii="Times New Roman" w:hAnsi="Times New Roman" w:cs="Times New Roman"/>
          <w:szCs w:val="24"/>
        </w:rPr>
        <w:t xml:space="preserve">prowadzonymi rachunkami płatniczymi </w:t>
      </w:r>
      <w:r w:rsidR="00E21EAD" w:rsidRPr="00677204">
        <w:rPr>
          <w:rFonts w:ascii="Times New Roman" w:hAnsi="Times New Roman" w:cs="Times New Roman"/>
          <w:szCs w:val="24"/>
        </w:rPr>
        <w:t>czy liczby bankomatów</w:t>
      </w:r>
      <w:r w:rsidR="00466068" w:rsidRPr="00677204">
        <w:rPr>
          <w:rFonts w:ascii="Times New Roman" w:hAnsi="Times New Roman" w:cs="Times New Roman"/>
          <w:szCs w:val="24"/>
        </w:rPr>
        <w:t>, z których można wypłacać gotówkę bezpłatnie</w:t>
      </w:r>
      <w:r w:rsidR="00E21EAD" w:rsidRPr="00677204">
        <w:rPr>
          <w:rFonts w:ascii="Times New Roman" w:hAnsi="Times New Roman" w:cs="Times New Roman"/>
          <w:szCs w:val="24"/>
        </w:rPr>
        <w:t xml:space="preserve">. </w:t>
      </w:r>
      <w:r w:rsidRPr="00677204">
        <w:rPr>
          <w:rFonts w:ascii="Times New Roman" w:hAnsi="Times New Roman" w:cs="Times New Roman"/>
          <w:szCs w:val="24"/>
        </w:rPr>
        <w:t>Podmioty prowadzące s</w:t>
      </w:r>
      <w:r w:rsidR="00E21EAD" w:rsidRPr="00677204">
        <w:rPr>
          <w:rFonts w:ascii="Times New Roman" w:hAnsi="Times New Roman" w:cs="Times New Roman"/>
          <w:szCs w:val="24"/>
        </w:rPr>
        <w:t>trony internetowe</w:t>
      </w:r>
      <w:r w:rsidR="00C607FC" w:rsidRPr="00677204">
        <w:rPr>
          <w:rFonts w:ascii="Times New Roman" w:hAnsi="Times New Roman" w:cs="Times New Roman"/>
          <w:szCs w:val="24"/>
        </w:rPr>
        <w:t xml:space="preserve"> spełniające wymogi stawiane przez dyrektywę 2014/92/UE</w:t>
      </w:r>
      <w:r w:rsidR="00E21EAD" w:rsidRPr="00677204">
        <w:rPr>
          <w:rFonts w:ascii="Times New Roman" w:hAnsi="Times New Roman" w:cs="Times New Roman"/>
          <w:szCs w:val="24"/>
        </w:rPr>
        <w:t xml:space="preserve"> będą </w:t>
      </w:r>
      <w:r w:rsidR="00960D58" w:rsidRPr="00677204">
        <w:rPr>
          <w:rFonts w:ascii="Times New Roman" w:hAnsi="Times New Roman" w:cs="Times New Roman"/>
          <w:szCs w:val="24"/>
        </w:rPr>
        <w:t>zamieszczały stosowne oświadczenie na swojej stronie internetowej w tym zakresie oraz będą informować, że prowadzą porównywarki internetowe zgodnie z wymogami tej dyrektywy</w:t>
      </w:r>
      <w:r w:rsidR="00E21EAD" w:rsidRPr="00677204">
        <w:rPr>
          <w:rFonts w:ascii="Times New Roman" w:hAnsi="Times New Roman" w:cs="Times New Roman"/>
          <w:szCs w:val="24"/>
        </w:rPr>
        <w:t xml:space="preserve">. Wykaz stron internetowych dostępny będzie na stronie </w:t>
      </w:r>
      <w:r w:rsidR="008D4CE7" w:rsidRPr="00677204">
        <w:rPr>
          <w:rFonts w:ascii="Times New Roman" w:hAnsi="Times New Roman" w:cs="Times New Roman"/>
          <w:szCs w:val="24"/>
        </w:rPr>
        <w:t>internetowej KNF</w:t>
      </w:r>
      <w:r w:rsidR="00E21EAD" w:rsidRPr="00677204">
        <w:rPr>
          <w:rFonts w:ascii="Times New Roman" w:hAnsi="Times New Roman" w:cs="Times New Roman"/>
          <w:szCs w:val="24"/>
        </w:rPr>
        <w:t xml:space="preserve">. </w:t>
      </w:r>
      <w:r w:rsidR="00D11D88" w:rsidRPr="00677204">
        <w:rPr>
          <w:rFonts w:ascii="Times New Roman" w:hAnsi="Times New Roman" w:cs="Times New Roman"/>
          <w:szCs w:val="24"/>
        </w:rPr>
        <w:t>K</w:t>
      </w:r>
      <w:r w:rsidR="00F835E4" w:rsidRPr="00677204">
        <w:rPr>
          <w:rFonts w:ascii="Times New Roman" w:hAnsi="Times New Roman" w:cs="Times New Roman"/>
          <w:szCs w:val="24"/>
        </w:rPr>
        <w:t xml:space="preserve">omisja </w:t>
      </w:r>
      <w:r w:rsidR="00D11D88" w:rsidRPr="00677204">
        <w:rPr>
          <w:rFonts w:ascii="Times New Roman" w:hAnsi="Times New Roman" w:cs="Times New Roman"/>
          <w:szCs w:val="24"/>
        </w:rPr>
        <w:t>N</w:t>
      </w:r>
      <w:r w:rsidR="00F835E4" w:rsidRPr="00677204">
        <w:rPr>
          <w:rFonts w:ascii="Times New Roman" w:hAnsi="Times New Roman" w:cs="Times New Roman"/>
          <w:szCs w:val="24"/>
        </w:rPr>
        <w:t xml:space="preserve">adzoru </w:t>
      </w:r>
      <w:r w:rsidR="00D11D88" w:rsidRPr="00677204">
        <w:rPr>
          <w:rFonts w:ascii="Times New Roman" w:hAnsi="Times New Roman" w:cs="Times New Roman"/>
          <w:szCs w:val="24"/>
        </w:rPr>
        <w:t>F</w:t>
      </w:r>
      <w:r w:rsidR="00F835E4" w:rsidRPr="00677204">
        <w:rPr>
          <w:rFonts w:ascii="Times New Roman" w:hAnsi="Times New Roman" w:cs="Times New Roman"/>
          <w:szCs w:val="24"/>
        </w:rPr>
        <w:t>inansowego</w:t>
      </w:r>
      <w:r w:rsidR="00D11D88" w:rsidRPr="00677204">
        <w:rPr>
          <w:rFonts w:ascii="Times New Roman" w:hAnsi="Times New Roman" w:cs="Times New Roman"/>
          <w:szCs w:val="24"/>
        </w:rPr>
        <w:t xml:space="preserve"> jest organem </w:t>
      </w:r>
      <w:r w:rsidR="00A01A4E" w:rsidRPr="00677204">
        <w:rPr>
          <w:rFonts w:ascii="Times New Roman" w:hAnsi="Times New Roman" w:cs="Times New Roman"/>
          <w:szCs w:val="24"/>
        </w:rPr>
        <w:t xml:space="preserve">właściwym do sprawowania nadzoru nad rynkiem finansowym, </w:t>
      </w:r>
      <w:r w:rsidR="00F835E4" w:rsidRPr="00677204">
        <w:rPr>
          <w:rFonts w:ascii="Times New Roman" w:hAnsi="Times New Roman" w:cs="Times New Roman"/>
          <w:szCs w:val="24"/>
        </w:rPr>
        <w:t xml:space="preserve">zatem </w:t>
      </w:r>
      <w:r w:rsidR="00A01A4E" w:rsidRPr="00677204">
        <w:rPr>
          <w:rFonts w:ascii="Times New Roman" w:hAnsi="Times New Roman" w:cs="Times New Roman"/>
          <w:szCs w:val="24"/>
        </w:rPr>
        <w:t xml:space="preserve">wydaje się być właściwy również w </w:t>
      </w:r>
      <w:r w:rsidR="00F835E4" w:rsidRPr="00677204">
        <w:rPr>
          <w:rFonts w:ascii="Times New Roman" w:hAnsi="Times New Roman" w:cs="Times New Roman"/>
          <w:szCs w:val="24"/>
        </w:rPr>
        <w:t>zakresie</w:t>
      </w:r>
      <w:r w:rsidR="00A01A4E" w:rsidRPr="00677204">
        <w:rPr>
          <w:rFonts w:ascii="Times New Roman" w:hAnsi="Times New Roman" w:cs="Times New Roman"/>
          <w:szCs w:val="24"/>
        </w:rPr>
        <w:t xml:space="preserve"> nadzoru nad </w:t>
      </w:r>
      <w:r w:rsidR="00F835E4" w:rsidRPr="00677204">
        <w:rPr>
          <w:rFonts w:ascii="Times New Roman" w:hAnsi="Times New Roman" w:cs="Times New Roman"/>
          <w:szCs w:val="24"/>
        </w:rPr>
        <w:t xml:space="preserve">porównywarkami rachunków płatniczych oraz </w:t>
      </w:r>
      <w:r w:rsidR="00A01A4E" w:rsidRPr="00677204">
        <w:rPr>
          <w:rFonts w:ascii="Times New Roman" w:hAnsi="Times New Roman" w:cs="Times New Roman"/>
          <w:szCs w:val="24"/>
        </w:rPr>
        <w:t>właściwym informowaniem użytkowników o usługach płatniczych.</w:t>
      </w:r>
    </w:p>
    <w:p w14:paraId="12A1E8B4" w14:textId="6FB0B83D" w:rsidR="00A733BB" w:rsidRPr="00677204" w:rsidRDefault="00E21EAD" w:rsidP="002549F6">
      <w:pPr>
        <w:pStyle w:val="ARTartustawynprozporzdzeni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>Stworzenie wiarygodnej i rzetelnej internetowej bazy informacji dla konsumentów</w:t>
      </w:r>
      <w:r w:rsidR="00414AC9" w:rsidRPr="00677204">
        <w:rPr>
          <w:rFonts w:ascii="Times New Roman" w:hAnsi="Times New Roman" w:cs="Times New Roman"/>
          <w:szCs w:val="24"/>
        </w:rPr>
        <w:t xml:space="preserve"> w</w:t>
      </w:r>
      <w:r w:rsidR="006D4B38">
        <w:rPr>
          <w:rFonts w:ascii="Times New Roman" w:hAnsi="Times New Roman" w:cs="Times New Roman"/>
          <w:szCs w:val="24"/>
        </w:rPr>
        <w:t> </w:t>
      </w:r>
      <w:r w:rsidRPr="00677204">
        <w:rPr>
          <w:rFonts w:ascii="Times New Roman" w:hAnsi="Times New Roman" w:cs="Times New Roman"/>
          <w:szCs w:val="24"/>
        </w:rPr>
        <w:t>postaci stron internetowych porównujących oferty dostawców usług płatniczych zapewni konsumentom możliwość wyboru najkorzystniejszej</w:t>
      </w:r>
      <w:r w:rsidR="00414AC9" w:rsidRPr="00677204">
        <w:rPr>
          <w:rFonts w:ascii="Times New Roman" w:hAnsi="Times New Roman" w:cs="Times New Roman"/>
          <w:szCs w:val="24"/>
        </w:rPr>
        <w:t xml:space="preserve"> oferty, </w:t>
      </w:r>
      <w:r w:rsidR="0094645C" w:rsidRPr="00677204">
        <w:rPr>
          <w:rFonts w:ascii="Times New Roman" w:hAnsi="Times New Roman" w:cs="Times New Roman"/>
          <w:szCs w:val="24"/>
        </w:rPr>
        <w:t xml:space="preserve">co również powinno </w:t>
      </w:r>
      <w:r w:rsidRPr="00677204">
        <w:rPr>
          <w:rFonts w:ascii="Times New Roman" w:hAnsi="Times New Roman" w:cs="Times New Roman"/>
          <w:szCs w:val="24"/>
        </w:rPr>
        <w:t>pozyt</w:t>
      </w:r>
      <w:r w:rsidR="0098417F" w:rsidRPr="00677204">
        <w:rPr>
          <w:rFonts w:ascii="Times New Roman" w:hAnsi="Times New Roman" w:cs="Times New Roman"/>
          <w:szCs w:val="24"/>
        </w:rPr>
        <w:t>ywnie oddziaływać na konkurencję</w:t>
      </w:r>
      <w:r w:rsidRPr="00677204">
        <w:rPr>
          <w:rFonts w:ascii="Times New Roman" w:hAnsi="Times New Roman" w:cs="Times New Roman"/>
          <w:szCs w:val="24"/>
        </w:rPr>
        <w:t xml:space="preserve"> między dostawcami usług płatniczych.</w:t>
      </w:r>
    </w:p>
    <w:p w14:paraId="204F9A40" w14:textId="411D8A44" w:rsidR="00C607FC" w:rsidRPr="00677204" w:rsidRDefault="00FF6656" w:rsidP="002549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204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607FC" w:rsidRPr="00677204">
        <w:rPr>
          <w:rFonts w:ascii="Times New Roman" w:hAnsi="Times New Roman" w:cs="Times New Roman"/>
          <w:b/>
          <w:sz w:val="24"/>
          <w:szCs w:val="24"/>
        </w:rPr>
        <w:t xml:space="preserve">Obowiązki informacyjne w zakresie pobieranych opłat przez dostawców </w:t>
      </w:r>
      <w:r w:rsidR="006C4463">
        <w:rPr>
          <w:rFonts w:ascii="Times New Roman" w:hAnsi="Times New Roman" w:cs="Times New Roman"/>
          <w:b/>
          <w:sz w:val="24"/>
          <w:szCs w:val="24"/>
        </w:rPr>
        <w:t>prowadzących rachunki płatnicze</w:t>
      </w:r>
    </w:p>
    <w:p w14:paraId="4C6F2639" w14:textId="2C1B4BC0" w:rsidR="000442E6" w:rsidRPr="00677204" w:rsidRDefault="00341527" w:rsidP="00254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204">
        <w:rPr>
          <w:rFonts w:ascii="Times New Roman" w:hAnsi="Times New Roman" w:cs="Times New Roman"/>
          <w:sz w:val="24"/>
          <w:szCs w:val="24"/>
        </w:rPr>
        <w:t xml:space="preserve">Proponowane zmiany nakładają na dostawców usług płatniczych obowiązek przekazywania, </w:t>
      </w:r>
      <w:r w:rsidR="00960D58" w:rsidRPr="00677204">
        <w:rPr>
          <w:rFonts w:ascii="Times New Roman" w:hAnsi="Times New Roman" w:cs="Times New Roman"/>
          <w:sz w:val="24"/>
          <w:szCs w:val="24"/>
        </w:rPr>
        <w:t>na prośbę konsumenta,</w:t>
      </w:r>
      <w:r w:rsidRPr="00677204">
        <w:rPr>
          <w:rFonts w:ascii="Times New Roman" w:hAnsi="Times New Roman" w:cs="Times New Roman"/>
          <w:sz w:val="24"/>
          <w:szCs w:val="24"/>
        </w:rPr>
        <w:t xml:space="preserve"> informacji dotyczącej opłat pobieranych za usługę prowadzenia rachunku płatniczego</w:t>
      </w:r>
      <w:r w:rsidR="00E72752" w:rsidRPr="00677204">
        <w:rPr>
          <w:rFonts w:ascii="Times New Roman" w:hAnsi="Times New Roman" w:cs="Times New Roman"/>
          <w:sz w:val="24"/>
          <w:szCs w:val="24"/>
        </w:rPr>
        <w:t>,</w:t>
      </w:r>
      <w:r w:rsidRPr="00677204">
        <w:rPr>
          <w:rFonts w:ascii="Times New Roman" w:hAnsi="Times New Roman" w:cs="Times New Roman"/>
          <w:sz w:val="24"/>
          <w:szCs w:val="24"/>
        </w:rPr>
        <w:t xml:space="preserve"> a także</w:t>
      </w:r>
      <w:r w:rsidR="005440E8" w:rsidRPr="00677204">
        <w:rPr>
          <w:rFonts w:ascii="Times New Roman" w:hAnsi="Times New Roman" w:cs="Times New Roman"/>
          <w:sz w:val="24"/>
          <w:szCs w:val="24"/>
        </w:rPr>
        <w:t xml:space="preserve"> za</w:t>
      </w:r>
      <w:r w:rsidRPr="00677204">
        <w:rPr>
          <w:rFonts w:ascii="Times New Roman" w:hAnsi="Times New Roman" w:cs="Times New Roman"/>
          <w:sz w:val="24"/>
          <w:szCs w:val="24"/>
        </w:rPr>
        <w:t xml:space="preserve"> usług</w:t>
      </w:r>
      <w:r w:rsidR="005440E8" w:rsidRPr="00677204">
        <w:rPr>
          <w:rFonts w:ascii="Times New Roman" w:hAnsi="Times New Roman" w:cs="Times New Roman"/>
          <w:sz w:val="24"/>
          <w:szCs w:val="24"/>
        </w:rPr>
        <w:t>i</w:t>
      </w:r>
      <w:r w:rsidRPr="00677204">
        <w:rPr>
          <w:rFonts w:ascii="Times New Roman" w:hAnsi="Times New Roman" w:cs="Times New Roman"/>
          <w:sz w:val="24"/>
          <w:szCs w:val="24"/>
        </w:rPr>
        <w:t xml:space="preserve"> </w:t>
      </w:r>
      <w:r w:rsidR="005440E8" w:rsidRPr="00677204">
        <w:rPr>
          <w:rFonts w:ascii="Times New Roman" w:hAnsi="Times New Roman" w:cs="Times New Roman"/>
          <w:sz w:val="24"/>
          <w:szCs w:val="24"/>
        </w:rPr>
        <w:t>zawarte</w:t>
      </w:r>
      <w:r w:rsidRPr="00677204">
        <w:rPr>
          <w:rFonts w:ascii="Times New Roman" w:hAnsi="Times New Roman" w:cs="Times New Roman"/>
          <w:sz w:val="24"/>
          <w:szCs w:val="24"/>
        </w:rPr>
        <w:t xml:space="preserve"> w wykazie reprezentatywnych </w:t>
      </w:r>
      <w:r w:rsidR="00B633E7" w:rsidRPr="00677204">
        <w:rPr>
          <w:rFonts w:ascii="Times New Roman" w:hAnsi="Times New Roman" w:cs="Times New Roman"/>
          <w:sz w:val="24"/>
          <w:szCs w:val="24"/>
        </w:rPr>
        <w:t>usług</w:t>
      </w:r>
      <w:r w:rsidR="00E4409C" w:rsidRPr="00677204">
        <w:rPr>
          <w:rFonts w:ascii="Times New Roman" w:hAnsi="Times New Roman" w:cs="Times New Roman"/>
          <w:sz w:val="24"/>
          <w:szCs w:val="24"/>
        </w:rPr>
        <w:t xml:space="preserve">, jeżeli </w:t>
      </w:r>
      <w:r w:rsidR="00B633E7" w:rsidRPr="00677204">
        <w:rPr>
          <w:rFonts w:ascii="Times New Roman" w:hAnsi="Times New Roman" w:cs="Times New Roman"/>
          <w:sz w:val="24"/>
          <w:szCs w:val="24"/>
        </w:rPr>
        <w:t xml:space="preserve">dostawca usług </w:t>
      </w:r>
      <w:r w:rsidR="001C69A6" w:rsidRPr="00677204">
        <w:rPr>
          <w:rFonts w:ascii="Times New Roman" w:hAnsi="Times New Roman" w:cs="Times New Roman"/>
          <w:sz w:val="24"/>
          <w:szCs w:val="24"/>
        </w:rPr>
        <w:t>płatniczych</w:t>
      </w:r>
      <w:r w:rsidR="00B633E7" w:rsidRPr="00677204">
        <w:rPr>
          <w:rFonts w:ascii="Times New Roman" w:hAnsi="Times New Roman" w:cs="Times New Roman"/>
          <w:sz w:val="24"/>
          <w:szCs w:val="24"/>
        </w:rPr>
        <w:t xml:space="preserve"> świadczy takie usługi</w:t>
      </w:r>
      <w:r w:rsidR="006D4B38">
        <w:rPr>
          <w:rFonts w:ascii="Times New Roman" w:hAnsi="Times New Roman" w:cs="Times New Roman"/>
          <w:sz w:val="24"/>
          <w:szCs w:val="24"/>
        </w:rPr>
        <w:t xml:space="preserve"> w </w:t>
      </w:r>
      <w:r w:rsidR="00960D58" w:rsidRPr="00677204">
        <w:rPr>
          <w:rFonts w:ascii="Times New Roman" w:hAnsi="Times New Roman" w:cs="Times New Roman"/>
          <w:sz w:val="24"/>
          <w:szCs w:val="24"/>
        </w:rPr>
        <w:t>postaci dokumentu dotyczącego opłat</w:t>
      </w:r>
      <w:r w:rsidR="00B214E2" w:rsidRPr="00677204">
        <w:rPr>
          <w:rFonts w:ascii="Times New Roman" w:hAnsi="Times New Roman" w:cs="Times New Roman"/>
          <w:sz w:val="24"/>
          <w:szCs w:val="24"/>
        </w:rPr>
        <w:t xml:space="preserve">, </w:t>
      </w:r>
      <w:r w:rsidR="002549F6" w:rsidRPr="00677204">
        <w:rPr>
          <w:rFonts w:ascii="Times New Roman" w:hAnsi="Times New Roman" w:cs="Times New Roman"/>
          <w:sz w:val="24"/>
          <w:szCs w:val="24"/>
        </w:rPr>
        <w:t>a</w:t>
      </w:r>
      <w:r w:rsidR="006D4B38">
        <w:rPr>
          <w:rFonts w:ascii="Times New Roman" w:hAnsi="Times New Roman" w:cs="Times New Roman"/>
          <w:sz w:val="24"/>
          <w:szCs w:val="24"/>
        </w:rPr>
        <w:t xml:space="preserve"> </w:t>
      </w:r>
      <w:r w:rsidR="000442E6" w:rsidRPr="00677204">
        <w:rPr>
          <w:rFonts w:ascii="Times New Roman" w:hAnsi="Times New Roman" w:cs="Times New Roman"/>
          <w:sz w:val="24"/>
          <w:szCs w:val="24"/>
        </w:rPr>
        <w:t xml:space="preserve">ponadto </w:t>
      </w:r>
      <w:r w:rsidR="00466068" w:rsidRPr="00677204">
        <w:rPr>
          <w:rFonts w:ascii="Times New Roman" w:hAnsi="Times New Roman" w:cs="Times New Roman"/>
          <w:sz w:val="24"/>
          <w:szCs w:val="24"/>
        </w:rPr>
        <w:t xml:space="preserve">w </w:t>
      </w:r>
      <w:r w:rsidR="00B214E2" w:rsidRPr="00677204">
        <w:rPr>
          <w:rFonts w:ascii="Times New Roman" w:hAnsi="Times New Roman" w:cs="Times New Roman"/>
          <w:sz w:val="24"/>
          <w:szCs w:val="24"/>
        </w:rPr>
        <w:t xml:space="preserve">czasie </w:t>
      </w:r>
      <w:r w:rsidR="00466068" w:rsidRPr="00677204">
        <w:rPr>
          <w:rFonts w:ascii="Times New Roman" w:hAnsi="Times New Roman" w:cs="Times New Roman"/>
          <w:sz w:val="24"/>
          <w:szCs w:val="24"/>
        </w:rPr>
        <w:t xml:space="preserve">trwania umowy </w:t>
      </w:r>
      <w:r w:rsidR="006D4B38">
        <w:rPr>
          <w:rFonts w:ascii="Times New Roman" w:hAnsi="Times New Roman" w:cs="Times New Roman"/>
          <w:sz w:val="24"/>
          <w:szCs w:val="24"/>
        </w:rPr>
        <w:br/>
      </w:r>
      <w:r w:rsidR="00D203D6" w:rsidRPr="00677204">
        <w:rPr>
          <w:rFonts w:ascii="Times New Roman" w:hAnsi="Times New Roman" w:cs="Times New Roman"/>
          <w:sz w:val="24"/>
          <w:szCs w:val="24"/>
        </w:rPr>
        <w:t>–</w:t>
      </w:r>
      <w:r w:rsidR="00466068" w:rsidRPr="00677204">
        <w:rPr>
          <w:rFonts w:ascii="Times New Roman" w:hAnsi="Times New Roman" w:cs="Times New Roman"/>
          <w:sz w:val="24"/>
          <w:szCs w:val="24"/>
        </w:rPr>
        <w:t>o</w:t>
      </w:r>
      <w:r w:rsidR="006D4B38">
        <w:rPr>
          <w:rFonts w:ascii="Times New Roman" w:hAnsi="Times New Roman" w:cs="Times New Roman"/>
          <w:sz w:val="24"/>
          <w:szCs w:val="24"/>
        </w:rPr>
        <w:t> </w:t>
      </w:r>
      <w:r w:rsidR="00466068" w:rsidRPr="00677204">
        <w:rPr>
          <w:rFonts w:ascii="Times New Roman" w:hAnsi="Times New Roman" w:cs="Times New Roman"/>
          <w:sz w:val="24"/>
          <w:szCs w:val="24"/>
        </w:rPr>
        <w:t>pobranych opłatach w danym okresie</w:t>
      </w:r>
      <w:r w:rsidR="00960D58" w:rsidRPr="00677204">
        <w:rPr>
          <w:rFonts w:ascii="Times New Roman" w:hAnsi="Times New Roman" w:cs="Times New Roman"/>
          <w:sz w:val="24"/>
          <w:szCs w:val="24"/>
        </w:rPr>
        <w:t xml:space="preserve"> – w postaci zestawienia opłat</w:t>
      </w:r>
      <w:r w:rsidR="00B633E7" w:rsidRPr="00677204">
        <w:rPr>
          <w:rFonts w:ascii="Times New Roman" w:hAnsi="Times New Roman" w:cs="Times New Roman"/>
          <w:sz w:val="24"/>
          <w:szCs w:val="24"/>
        </w:rPr>
        <w:t xml:space="preserve">. Informacje te </w:t>
      </w:r>
      <w:r w:rsidR="000442E6" w:rsidRPr="00677204">
        <w:rPr>
          <w:rFonts w:ascii="Times New Roman" w:hAnsi="Times New Roman" w:cs="Times New Roman"/>
          <w:sz w:val="24"/>
          <w:szCs w:val="24"/>
        </w:rPr>
        <w:t xml:space="preserve">będą </w:t>
      </w:r>
      <w:r w:rsidR="00B633E7" w:rsidRPr="00677204">
        <w:rPr>
          <w:rFonts w:ascii="Times New Roman" w:hAnsi="Times New Roman" w:cs="Times New Roman"/>
          <w:sz w:val="24"/>
          <w:szCs w:val="24"/>
        </w:rPr>
        <w:t xml:space="preserve">przekazywane w </w:t>
      </w:r>
      <w:r w:rsidR="00960D58" w:rsidRPr="00677204">
        <w:rPr>
          <w:rFonts w:ascii="Times New Roman" w:hAnsi="Times New Roman" w:cs="Times New Roman"/>
          <w:sz w:val="24"/>
          <w:szCs w:val="24"/>
        </w:rPr>
        <w:t>postaci papierowej lub na innym trwałym nośniku informacji</w:t>
      </w:r>
      <w:r w:rsidR="00D203D6" w:rsidRPr="00677204">
        <w:rPr>
          <w:rFonts w:ascii="Times New Roman" w:hAnsi="Times New Roman" w:cs="Times New Roman"/>
          <w:sz w:val="24"/>
          <w:szCs w:val="24"/>
        </w:rPr>
        <w:t xml:space="preserve">. </w:t>
      </w:r>
      <w:r w:rsidR="000442E6" w:rsidRPr="00677204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B633E7" w:rsidRPr="00677204">
        <w:rPr>
          <w:rFonts w:ascii="Times New Roman" w:hAnsi="Times New Roman" w:cs="Times New Roman"/>
          <w:sz w:val="24"/>
          <w:szCs w:val="24"/>
        </w:rPr>
        <w:t xml:space="preserve">nformacje </w:t>
      </w:r>
      <w:r w:rsidR="000442E6" w:rsidRPr="00677204">
        <w:rPr>
          <w:rFonts w:ascii="Times New Roman" w:hAnsi="Times New Roman" w:cs="Times New Roman"/>
          <w:sz w:val="24"/>
          <w:szCs w:val="24"/>
        </w:rPr>
        <w:t xml:space="preserve">powinny </w:t>
      </w:r>
      <w:r w:rsidR="00B633E7" w:rsidRPr="00677204">
        <w:rPr>
          <w:rFonts w:ascii="Times New Roman" w:hAnsi="Times New Roman" w:cs="Times New Roman"/>
          <w:sz w:val="24"/>
          <w:szCs w:val="24"/>
        </w:rPr>
        <w:t>być jasne i precyzyjne</w:t>
      </w:r>
      <w:r w:rsidR="00813E71" w:rsidRPr="00677204">
        <w:rPr>
          <w:rFonts w:ascii="Times New Roman" w:hAnsi="Times New Roman" w:cs="Times New Roman"/>
          <w:sz w:val="24"/>
          <w:szCs w:val="24"/>
        </w:rPr>
        <w:t xml:space="preserve">, </w:t>
      </w:r>
      <w:r w:rsidR="005440E8" w:rsidRPr="00677204">
        <w:rPr>
          <w:rFonts w:ascii="Times New Roman" w:hAnsi="Times New Roman" w:cs="Times New Roman"/>
          <w:sz w:val="24"/>
          <w:szCs w:val="24"/>
        </w:rPr>
        <w:t>a</w:t>
      </w:r>
      <w:r w:rsidR="00D203D6" w:rsidRPr="00677204">
        <w:rPr>
          <w:rFonts w:ascii="Times New Roman" w:hAnsi="Times New Roman" w:cs="Times New Roman"/>
          <w:sz w:val="24"/>
          <w:szCs w:val="24"/>
        </w:rPr>
        <w:t xml:space="preserve">by konsument </w:t>
      </w:r>
      <w:r w:rsidR="00B633E7" w:rsidRPr="00677204">
        <w:rPr>
          <w:rFonts w:ascii="Times New Roman" w:hAnsi="Times New Roman" w:cs="Times New Roman"/>
          <w:sz w:val="24"/>
          <w:szCs w:val="24"/>
        </w:rPr>
        <w:t>był w pełni świadomy</w:t>
      </w:r>
      <w:r w:rsidR="00813E71" w:rsidRPr="00677204">
        <w:rPr>
          <w:rFonts w:ascii="Times New Roman" w:hAnsi="Times New Roman" w:cs="Times New Roman"/>
          <w:sz w:val="24"/>
          <w:szCs w:val="24"/>
        </w:rPr>
        <w:t xml:space="preserve">, </w:t>
      </w:r>
      <w:r w:rsidR="00B633E7" w:rsidRPr="00677204">
        <w:rPr>
          <w:rFonts w:ascii="Times New Roman" w:hAnsi="Times New Roman" w:cs="Times New Roman"/>
          <w:sz w:val="24"/>
          <w:szCs w:val="24"/>
        </w:rPr>
        <w:t>za jakie usług</w:t>
      </w:r>
      <w:r w:rsidR="005440E8" w:rsidRPr="00677204">
        <w:rPr>
          <w:rFonts w:ascii="Times New Roman" w:hAnsi="Times New Roman" w:cs="Times New Roman"/>
          <w:sz w:val="24"/>
          <w:szCs w:val="24"/>
        </w:rPr>
        <w:t>i</w:t>
      </w:r>
      <w:r w:rsidR="00B633E7" w:rsidRPr="00677204">
        <w:rPr>
          <w:rFonts w:ascii="Times New Roman" w:hAnsi="Times New Roman" w:cs="Times New Roman"/>
          <w:sz w:val="24"/>
          <w:szCs w:val="24"/>
        </w:rPr>
        <w:t xml:space="preserve"> są pobierane opłaty. Informacje będą przekazywane konsumentowi </w:t>
      </w:r>
      <w:r w:rsidR="000442E6" w:rsidRPr="00677204">
        <w:rPr>
          <w:rFonts w:ascii="Times New Roman" w:hAnsi="Times New Roman" w:cs="Times New Roman"/>
          <w:sz w:val="24"/>
          <w:szCs w:val="24"/>
        </w:rPr>
        <w:t>nieod</w:t>
      </w:r>
      <w:r w:rsidR="00B633E7" w:rsidRPr="00677204">
        <w:rPr>
          <w:rFonts w:ascii="Times New Roman" w:hAnsi="Times New Roman" w:cs="Times New Roman"/>
          <w:sz w:val="24"/>
          <w:szCs w:val="24"/>
        </w:rPr>
        <w:t xml:space="preserve">płatnie. </w:t>
      </w:r>
    </w:p>
    <w:p w14:paraId="5F1A2D73" w14:textId="51C03D58" w:rsidR="00341527" w:rsidRPr="00677204" w:rsidRDefault="00B633E7" w:rsidP="00254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204">
        <w:rPr>
          <w:rFonts w:ascii="Times New Roman" w:hAnsi="Times New Roman" w:cs="Times New Roman"/>
          <w:sz w:val="24"/>
          <w:szCs w:val="24"/>
        </w:rPr>
        <w:t xml:space="preserve">Pełna przejrzystość opłat pobieranych za usługi związane z rachunkiem płatniczym przyczyni się do wzrostu zaufania konsumentów </w:t>
      </w:r>
      <w:r w:rsidR="004F414C" w:rsidRPr="00677204">
        <w:rPr>
          <w:rFonts w:ascii="Times New Roman" w:hAnsi="Times New Roman" w:cs="Times New Roman"/>
          <w:sz w:val="24"/>
          <w:szCs w:val="24"/>
        </w:rPr>
        <w:t>do dostawców usług płatniczych</w:t>
      </w:r>
      <w:r w:rsidR="006D4B38">
        <w:rPr>
          <w:rFonts w:ascii="Times New Roman" w:hAnsi="Times New Roman" w:cs="Times New Roman"/>
          <w:sz w:val="24"/>
          <w:szCs w:val="24"/>
        </w:rPr>
        <w:t xml:space="preserve"> i </w:t>
      </w:r>
      <w:r w:rsidR="005440E8" w:rsidRPr="00677204">
        <w:rPr>
          <w:rFonts w:ascii="Times New Roman" w:hAnsi="Times New Roman" w:cs="Times New Roman"/>
          <w:sz w:val="24"/>
          <w:szCs w:val="24"/>
        </w:rPr>
        <w:t>całego sektora usług finansowych</w:t>
      </w:r>
      <w:r w:rsidR="004F414C" w:rsidRPr="00677204">
        <w:rPr>
          <w:rFonts w:ascii="Times New Roman" w:hAnsi="Times New Roman" w:cs="Times New Roman"/>
          <w:sz w:val="24"/>
          <w:szCs w:val="24"/>
        </w:rPr>
        <w:t xml:space="preserve">. Wprowadzenie </w:t>
      </w:r>
      <w:r w:rsidR="000442E6" w:rsidRPr="00677204">
        <w:rPr>
          <w:rFonts w:ascii="Times New Roman" w:hAnsi="Times New Roman" w:cs="Times New Roman"/>
          <w:sz w:val="24"/>
          <w:szCs w:val="24"/>
        </w:rPr>
        <w:t xml:space="preserve">projektowanych rozwiązań </w:t>
      </w:r>
      <w:r w:rsidR="00E72752" w:rsidRPr="00677204">
        <w:rPr>
          <w:rFonts w:ascii="Times New Roman" w:hAnsi="Times New Roman" w:cs="Times New Roman"/>
          <w:sz w:val="24"/>
          <w:szCs w:val="24"/>
        </w:rPr>
        <w:t xml:space="preserve">powinno </w:t>
      </w:r>
      <w:r w:rsidR="004F414C" w:rsidRPr="00677204">
        <w:rPr>
          <w:rFonts w:ascii="Times New Roman" w:hAnsi="Times New Roman" w:cs="Times New Roman"/>
          <w:sz w:val="24"/>
          <w:szCs w:val="24"/>
        </w:rPr>
        <w:t>sprawi</w:t>
      </w:r>
      <w:r w:rsidR="00E72752" w:rsidRPr="00677204">
        <w:rPr>
          <w:rFonts w:ascii="Times New Roman" w:hAnsi="Times New Roman" w:cs="Times New Roman"/>
          <w:sz w:val="24"/>
          <w:szCs w:val="24"/>
        </w:rPr>
        <w:t>ć</w:t>
      </w:r>
      <w:r w:rsidR="004F414C" w:rsidRPr="00677204">
        <w:rPr>
          <w:rFonts w:ascii="Times New Roman" w:hAnsi="Times New Roman" w:cs="Times New Roman"/>
          <w:sz w:val="24"/>
          <w:szCs w:val="24"/>
        </w:rPr>
        <w:t>, że konsument będzie miał pewnoś</w:t>
      </w:r>
      <w:r w:rsidR="00E72752" w:rsidRPr="00677204">
        <w:rPr>
          <w:rFonts w:ascii="Times New Roman" w:hAnsi="Times New Roman" w:cs="Times New Roman"/>
          <w:sz w:val="24"/>
          <w:szCs w:val="24"/>
        </w:rPr>
        <w:t>ć</w:t>
      </w:r>
      <w:r w:rsidR="004F414C" w:rsidRPr="00677204">
        <w:rPr>
          <w:rFonts w:ascii="Times New Roman" w:hAnsi="Times New Roman" w:cs="Times New Roman"/>
          <w:sz w:val="24"/>
          <w:szCs w:val="24"/>
        </w:rPr>
        <w:t>, ż</w:t>
      </w:r>
      <w:r w:rsidR="00423685" w:rsidRPr="00677204">
        <w:rPr>
          <w:rFonts w:ascii="Times New Roman" w:hAnsi="Times New Roman" w:cs="Times New Roman"/>
          <w:sz w:val="24"/>
          <w:szCs w:val="24"/>
        </w:rPr>
        <w:t>e</w:t>
      </w:r>
      <w:r w:rsidR="004F414C" w:rsidRPr="00677204">
        <w:rPr>
          <w:rFonts w:ascii="Times New Roman" w:hAnsi="Times New Roman" w:cs="Times New Roman"/>
          <w:sz w:val="24"/>
          <w:szCs w:val="24"/>
        </w:rPr>
        <w:t xml:space="preserve"> posiada pełną</w:t>
      </w:r>
      <w:r w:rsidR="00574CD7" w:rsidRPr="00677204">
        <w:rPr>
          <w:rFonts w:ascii="Times New Roman" w:hAnsi="Times New Roman" w:cs="Times New Roman"/>
          <w:sz w:val="24"/>
          <w:szCs w:val="24"/>
        </w:rPr>
        <w:t xml:space="preserve"> wiedzę o pobieranych opłatach </w:t>
      </w:r>
      <w:r w:rsidR="004F414C" w:rsidRPr="00677204">
        <w:rPr>
          <w:rFonts w:ascii="Times New Roman" w:hAnsi="Times New Roman" w:cs="Times New Roman"/>
          <w:sz w:val="24"/>
          <w:szCs w:val="24"/>
        </w:rPr>
        <w:t>przez swojego dostawc</w:t>
      </w:r>
      <w:r w:rsidR="00960D58" w:rsidRPr="00677204">
        <w:rPr>
          <w:rFonts w:ascii="Times New Roman" w:hAnsi="Times New Roman" w:cs="Times New Roman"/>
          <w:sz w:val="24"/>
          <w:szCs w:val="24"/>
        </w:rPr>
        <w:t>ę</w:t>
      </w:r>
      <w:r w:rsidR="004F414C" w:rsidRPr="00677204">
        <w:rPr>
          <w:rFonts w:ascii="Times New Roman" w:hAnsi="Times New Roman" w:cs="Times New Roman"/>
          <w:sz w:val="24"/>
          <w:szCs w:val="24"/>
        </w:rPr>
        <w:t xml:space="preserve"> usług płatniczych </w:t>
      </w:r>
      <w:r w:rsidR="006D4B38">
        <w:rPr>
          <w:rFonts w:ascii="Times New Roman" w:hAnsi="Times New Roman" w:cs="Times New Roman"/>
          <w:sz w:val="24"/>
          <w:szCs w:val="24"/>
        </w:rPr>
        <w:t>za świadczone usługi związane z </w:t>
      </w:r>
      <w:r w:rsidR="004F414C" w:rsidRPr="00677204">
        <w:rPr>
          <w:rFonts w:ascii="Times New Roman" w:hAnsi="Times New Roman" w:cs="Times New Roman"/>
          <w:sz w:val="24"/>
          <w:szCs w:val="24"/>
        </w:rPr>
        <w:t>rachunkiem płatniczym.</w:t>
      </w:r>
    </w:p>
    <w:p w14:paraId="0077783C" w14:textId="77777777" w:rsidR="00CC55C2" w:rsidRPr="00677204" w:rsidRDefault="00FE6725" w:rsidP="002549F6">
      <w:pPr>
        <w:pStyle w:val="NIEARTTEKSTtekstnieartykuowanynppodstprawnarozplubpreambua"/>
        <w:spacing w:before="0"/>
        <w:ind w:firstLine="0"/>
        <w:rPr>
          <w:rStyle w:val="Ppogrubienie"/>
          <w:rFonts w:ascii="Times New Roman" w:eastAsia="Calibri" w:hAnsi="Times New Roman" w:cs="Times New Roman"/>
          <w:szCs w:val="24"/>
        </w:rPr>
      </w:pPr>
      <w:r w:rsidRPr="00677204">
        <w:rPr>
          <w:rStyle w:val="Ppogrubienie"/>
          <w:rFonts w:ascii="Times New Roman" w:eastAsia="Calibri" w:hAnsi="Times New Roman" w:cs="Times New Roman"/>
          <w:szCs w:val="24"/>
        </w:rPr>
        <w:t>5</w:t>
      </w:r>
      <w:r w:rsidR="00CC55C2" w:rsidRPr="00677204">
        <w:rPr>
          <w:rStyle w:val="Ppogrubienie"/>
          <w:rFonts w:ascii="Times New Roman" w:eastAsia="Calibri" w:hAnsi="Times New Roman" w:cs="Times New Roman"/>
          <w:szCs w:val="24"/>
        </w:rPr>
        <w:t>. Projekt ustawy</w:t>
      </w:r>
      <w:r w:rsidR="005B3ACE" w:rsidRPr="00677204">
        <w:rPr>
          <w:rStyle w:val="Ppogrubienie"/>
          <w:rFonts w:ascii="Times New Roman" w:eastAsia="Calibri" w:hAnsi="Times New Roman" w:cs="Times New Roman"/>
          <w:szCs w:val="24"/>
        </w:rPr>
        <w:t xml:space="preserve"> – rozwiązania szczegółowe</w:t>
      </w:r>
    </w:p>
    <w:p w14:paraId="664E927A" w14:textId="1A86EFD7" w:rsidR="00106889" w:rsidRPr="00677204" w:rsidRDefault="00CC55C2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b/>
          <w:szCs w:val="24"/>
        </w:rPr>
        <w:t>Ar</w:t>
      </w:r>
      <w:r w:rsidR="000442E6" w:rsidRPr="00677204">
        <w:rPr>
          <w:rFonts w:ascii="Times New Roman" w:eastAsia="Calibri" w:hAnsi="Times New Roman" w:cs="Times New Roman"/>
          <w:b/>
          <w:szCs w:val="24"/>
        </w:rPr>
        <w:t>t</w:t>
      </w:r>
      <w:r w:rsidR="00C776FD" w:rsidRPr="00677204">
        <w:rPr>
          <w:rFonts w:ascii="Times New Roman" w:eastAsia="Calibri" w:hAnsi="Times New Roman" w:cs="Times New Roman"/>
          <w:b/>
          <w:szCs w:val="24"/>
        </w:rPr>
        <w:t xml:space="preserve">. </w:t>
      </w:r>
      <w:r w:rsidRPr="00677204">
        <w:rPr>
          <w:rFonts w:ascii="Times New Roman" w:eastAsia="Calibri" w:hAnsi="Times New Roman" w:cs="Times New Roman"/>
          <w:b/>
          <w:szCs w:val="24"/>
        </w:rPr>
        <w:t>1</w:t>
      </w:r>
      <w:r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C344D6" w:rsidRPr="00677204">
        <w:rPr>
          <w:rFonts w:ascii="Times New Roman" w:eastAsia="Calibri" w:hAnsi="Times New Roman" w:cs="Times New Roman"/>
          <w:b/>
          <w:szCs w:val="24"/>
        </w:rPr>
        <w:t>projektu</w:t>
      </w:r>
      <w:r w:rsidR="00C344D6" w:rsidRPr="00677204">
        <w:rPr>
          <w:rFonts w:ascii="Times New Roman" w:eastAsia="Calibri" w:hAnsi="Times New Roman" w:cs="Times New Roman"/>
          <w:szCs w:val="24"/>
        </w:rPr>
        <w:t xml:space="preserve"> </w:t>
      </w:r>
      <w:r w:rsidRPr="00677204">
        <w:rPr>
          <w:rFonts w:ascii="Times New Roman" w:eastAsia="Calibri" w:hAnsi="Times New Roman" w:cs="Times New Roman"/>
          <w:szCs w:val="24"/>
        </w:rPr>
        <w:t>wprowadza zmiany w ustawie z dnia 19 sierpnia 2011 r. o usługach płatniczych (Dz. U. z 2014 r. poz. 873</w:t>
      </w:r>
      <w:r w:rsidR="00E9357C">
        <w:rPr>
          <w:rFonts w:ascii="Times New Roman" w:eastAsia="Calibri" w:hAnsi="Times New Roman" w:cs="Times New Roman"/>
          <w:szCs w:val="24"/>
        </w:rPr>
        <w:t>,</w:t>
      </w:r>
      <w:r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E9357C">
        <w:rPr>
          <w:rFonts w:ascii="Times New Roman" w:eastAsia="Calibri" w:hAnsi="Times New Roman" w:cs="Times New Roman"/>
          <w:szCs w:val="24"/>
        </w:rPr>
        <w:t>z późn. zm.</w:t>
      </w:r>
      <w:r w:rsidRPr="00677204">
        <w:rPr>
          <w:rFonts w:ascii="Times New Roman" w:eastAsia="Calibri" w:hAnsi="Times New Roman" w:cs="Times New Roman"/>
          <w:szCs w:val="24"/>
        </w:rPr>
        <w:t xml:space="preserve">), </w:t>
      </w:r>
      <w:r w:rsidR="00C776FD" w:rsidRPr="00677204">
        <w:rPr>
          <w:rFonts w:ascii="Times New Roman" w:eastAsia="Calibri" w:hAnsi="Times New Roman" w:cs="Times New Roman"/>
          <w:szCs w:val="24"/>
        </w:rPr>
        <w:t xml:space="preserve">zwanej </w:t>
      </w:r>
      <w:r w:rsidR="0098294E">
        <w:rPr>
          <w:rFonts w:ascii="Times New Roman" w:eastAsia="Calibri" w:hAnsi="Times New Roman" w:cs="Times New Roman"/>
          <w:szCs w:val="24"/>
        </w:rPr>
        <w:t>dalej „</w:t>
      </w:r>
      <w:r w:rsidRPr="00677204">
        <w:rPr>
          <w:rFonts w:ascii="Times New Roman" w:eastAsia="Calibri" w:hAnsi="Times New Roman" w:cs="Times New Roman"/>
          <w:szCs w:val="24"/>
        </w:rPr>
        <w:t>ustaw</w:t>
      </w:r>
      <w:r w:rsidR="00C776FD" w:rsidRPr="00677204">
        <w:rPr>
          <w:rFonts w:ascii="Times New Roman" w:eastAsia="Calibri" w:hAnsi="Times New Roman" w:cs="Times New Roman"/>
          <w:szCs w:val="24"/>
        </w:rPr>
        <w:t>ą</w:t>
      </w:r>
      <w:r w:rsidR="0098294E">
        <w:rPr>
          <w:rFonts w:ascii="Times New Roman" w:eastAsia="Calibri" w:hAnsi="Times New Roman" w:cs="Times New Roman"/>
          <w:szCs w:val="24"/>
        </w:rPr>
        <w:t>”</w:t>
      </w:r>
      <w:r w:rsidRPr="00677204">
        <w:rPr>
          <w:rFonts w:ascii="Times New Roman" w:eastAsia="Calibri" w:hAnsi="Times New Roman" w:cs="Times New Roman"/>
          <w:szCs w:val="24"/>
        </w:rPr>
        <w:t>.</w:t>
      </w:r>
    </w:p>
    <w:p w14:paraId="51B9D679" w14:textId="261D2437" w:rsidR="000442E6" w:rsidRPr="00677204" w:rsidRDefault="005809E4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>W</w:t>
      </w:r>
      <w:r w:rsidR="005E091D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5E091D" w:rsidRPr="00677204">
        <w:rPr>
          <w:rFonts w:ascii="Times New Roman" w:eastAsia="Calibri" w:hAnsi="Times New Roman" w:cs="Times New Roman"/>
          <w:b/>
          <w:szCs w:val="24"/>
        </w:rPr>
        <w:t>p</w:t>
      </w:r>
      <w:r w:rsidR="00CC55C2" w:rsidRPr="00677204">
        <w:rPr>
          <w:rFonts w:ascii="Times New Roman" w:eastAsia="Calibri" w:hAnsi="Times New Roman" w:cs="Times New Roman"/>
          <w:b/>
          <w:szCs w:val="24"/>
        </w:rPr>
        <w:t>kt 1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wprowadza </w:t>
      </w:r>
      <w:r w:rsidR="005E091D" w:rsidRPr="00677204">
        <w:rPr>
          <w:rFonts w:ascii="Times New Roman" w:eastAsia="Calibri" w:hAnsi="Times New Roman" w:cs="Times New Roman"/>
          <w:szCs w:val="24"/>
        </w:rPr>
        <w:t xml:space="preserve">się </w:t>
      </w:r>
      <w:r w:rsidR="00CC55C2" w:rsidRPr="00677204">
        <w:rPr>
          <w:rFonts w:ascii="Times New Roman" w:eastAsia="Calibri" w:hAnsi="Times New Roman" w:cs="Times New Roman"/>
          <w:szCs w:val="24"/>
        </w:rPr>
        <w:t>zmiany w art. 1 ustawy, określ</w:t>
      </w:r>
      <w:r w:rsidR="00574CD7" w:rsidRPr="00677204">
        <w:rPr>
          <w:rFonts w:ascii="Times New Roman" w:eastAsia="Calibri" w:hAnsi="Times New Roman" w:cs="Times New Roman"/>
          <w:szCs w:val="24"/>
        </w:rPr>
        <w:t>ającym jej zakres przedmiotowy.</w:t>
      </w:r>
    </w:p>
    <w:p w14:paraId="1A4D0DFA" w14:textId="479DC5CB" w:rsidR="000442E6" w:rsidRPr="00677204" w:rsidRDefault="00CC55C2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Ustawa będzie regulowała </w:t>
      </w:r>
      <w:r w:rsidR="005E091D" w:rsidRPr="00677204">
        <w:rPr>
          <w:rFonts w:ascii="Times New Roman" w:eastAsia="Calibri" w:hAnsi="Times New Roman" w:cs="Times New Roman"/>
          <w:szCs w:val="24"/>
        </w:rPr>
        <w:t xml:space="preserve">także </w:t>
      </w:r>
      <w:r w:rsidRPr="00677204">
        <w:rPr>
          <w:rFonts w:ascii="Times New Roman" w:eastAsia="Calibri" w:hAnsi="Times New Roman" w:cs="Times New Roman"/>
          <w:szCs w:val="24"/>
        </w:rPr>
        <w:t>zasady dostępu do</w:t>
      </w:r>
      <w:r w:rsidR="00FE7F61" w:rsidRPr="00677204">
        <w:rPr>
          <w:rFonts w:ascii="Times New Roman" w:eastAsia="Calibri" w:hAnsi="Times New Roman" w:cs="Times New Roman"/>
          <w:szCs w:val="24"/>
        </w:rPr>
        <w:t xml:space="preserve"> podstawowego</w:t>
      </w:r>
      <w:r w:rsidRPr="00677204">
        <w:rPr>
          <w:rFonts w:ascii="Times New Roman" w:eastAsia="Calibri" w:hAnsi="Times New Roman" w:cs="Times New Roman"/>
          <w:szCs w:val="24"/>
        </w:rPr>
        <w:t xml:space="preserve"> rachunku </w:t>
      </w:r>
      <w:r w:rsidR="005C7DAB" w:rsidRPr="00677204">
        <w:rPr>
          <w:rFonts w:ascii="Times New Roman" w:eastAsia="Calibri" w:hAnsi="Times New Roman" w:cs="Times New Roman"/>
          <w:szCs w:val="24"/>
        </w:rPr>
        <w:t>płatniczego</w:t>
      </w:r>
      <w:r w:rsidRPr="00677204">
        <w:rPr>
          <w:rFonts w:ascii="Times New Roman" w:eastAsia="Calibri" w:hAnsi="Times New Roman" w:cs="Times New Roman"/>
          <w:szCs w:val="24"/>
        </w:rPr>
        <w:t xml:space="preserve">, zasady dotyczące przenoszenia rachunków płatniczych </w:t>
      </w:r>
      <w:r w:rsidR="006B7C77" w:rsidRPr="00677204">
        <w:rPr>
          <w:rFonts w:ascii="Times New Roman" w:eastAsia="Calibri" w:hAnsi="Times New Roman" w:cs="Times New Roman"/>
          <w:szCs w:val="24"/>
        </w:rPr>
        <w:t xml:space="preserve">prowadzonych dla konsumentów </w:t>
      </w:r>
      <w:r w:rsidRPr="00677204">
        <w:rPr>
          <w:rFonts w:ascii="Times New Roman" w:eastAsia="Calibri" w:hAnsi="Times New Roman" w:cs="Times New Roman"/>
          <w:szCs w:val="24"/>
        </w:rPr>
        <w:t>oraz zasady dotyczące porównywalności opłat za usługi pow</w:t>
      </w:r>
      <w:r w:rsidR="006D4B38">
        <w:rPr>
          <w:rFonts w:ascii="Times New Roman" w:eastAsia="Calibri" w:hAnsi="Times New Roman" w:cs="Times New Roman"/>
          <w:szCs w:val="24"/>
        </w:rPr>
        <w:t>iązane z </w:t>
      </w:r>
      <w:r w:rsidR="00574CD7" w:rsidRPr="00677204">
        <w:rPr>
          <w:rFonts w:ascii="Times New Roman" w:eastAsia="Calibri" w:hAnsi="Times New Roman" w:cs="Times New Roman"/>
          <w:szCs w:val="24"/>
        </w:rPr>
        <w:t>rachunkiem płatniczym.</w:t>
      </w:r>
      <w:r w:rsidR="005C6AFA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5E091D" w:rsidRPr="00677204">
        <w:rPr>
          <w:rFonts w:ascii="Times New Roman" w:eastAsia="Calibri" w:hAnsi="Times New Roman" w:cs="Times New Roman"/>
          <w:szCs w:val="24"/>
        </w:rPr>
        <w:t xml:space="preserve">Konsekwencją tej zmiany są </w:t>
      </w:r>
      <w:r w:rsidRPr="00677204">
        <w:rPr>
          <w:rFonts w:ascii="Times New Roman" w:eastAsia="Calibri" w:hAnsi="Times New Roman" w:cs="Times New Roman"/>
          <w:szCs w:val="24"/>
        </w:rPr>
        <w:t xml:space="preserve">zmiany w art. 1 ust. 1 </w:t>
      </w:r>
      <w:r w:rsidR="005E091D" w:rsidRPr="00677204">
        <w:rPr>
          <w:rFonts w:ascii="Times New Roman" w:eastAsia="Calibri" w:hAnsi="Times New Roman" w:cs="Times New Roman"/>
          <w:szCs w:val="24"/>
        </w:rPr>
        <w:t xml:space="preserve">ustawy </w:t>
      </w:r>
      <w:r w:rsidR="00BE23BF" w:rsidRPr="00677204">
        <w:rPr>
          <w:rFonts w:ascii="Times New Roman" w:eastAsia="Calibri" w:hAnsi="Times New Roman" w:cs="Times New Roman"/>
          <w:szCs w:val="24"/>
        </w:rPr>
        <w:t>przez</w:t>
      </w:r>
      <w:r w:rsidR="002549F6" w:rsidRPr="00677204">
        <w:rPr>
          <w:rFonts w:ascii="Times New Roman" w:eastAsia="Calibri" w:hAnsi="Times New Roman" w:cs="Times New Roman"/>
          <w:szCs w:val="24"/>
        </w:rPr>
        <w:t xml:space="preserve"> </w:t>
      </w:r>
      <w:r w:rsidRPr="00677204">
        <w:rPr>
          <w:rFonts w:ascii="Times New Roman" w:eastAsia="Calibri" w:hAnsi="Times New Roman" w:cs="Times New Roman"/>
          <w:szCs w:val="24"/>
        </w:rPr>
        <w:t xml:space="preserve">dodanie </w:t>
      </w:r>
      <w:r w:rsidR="00BE23BF" w:rsidRPr="00677204">
        <w:rPr>
          <w:rFonts w:ascii="Times New Roman" w:eastAsia="Calibri" w:hAnsi="Times New Roman" w:cs="Times New Roman"/>
          <w:szCs w:val="24"/>
        </w:rPr>
        <w:t xml:space="preserve">w </w:t>
      </w:r>
      <w:r w:rsidRPr="00677204">
        <w:rPr>
          <w:rFonts w:ascii="Times New Roman" w:eastAsia="Calibri" w:hAnsi="Times New Roman" w:cs="Times New Roman"/>
          <w:szCs w:val="24"/>
        </w:rPr>
        <w:t xml:space="preserve">ust. </w:t>
      </w:r>
      <w:r w:rsidR="00960D58" w:rsidRPr="00677204">
        <w:rPr>
          <w:rFonts w:ascii="Times New Roman" w:eastAsia="Calibri" w:hAnsi="Times New Roman" w:cs="Times New Roman"/>
          <w:szCs w:val="24"/>
        </w:rPr>
        <w:t>1</w:t>
      </w:r>
      <w:r w:rsidR="00B214E2" w:rsidRPr="00677204">
        <w:rPr>
          <w:rFonts w:ascii="Times New Roman" w:eastAsia="Calibri" w:hAnsi="Times New Roman" w:cs="Times New Roman"/>
          <w:szCs w:val="24"/>
        </w:rPr>
        <w:t xml:space="preserve"> pkt 4 i 5</w:t>
      </w:r>
      <w:r w:rsidR="005C6AFA" w:rsidRPr="00677204">
        <w:rPr>
          <w:rFonts w:ascii="Times New Roman" w:eastAsia="Calibri" w:hAnsi="Times New Roman" w:cs="Times New Roman"/>
          <w:szCs w:val="24"/>
        </w:rPr>
        <w:t>.</w:t>
      </w:r>
      <w:r w:rsidR="00960D58" w:rsidRPr="00677204">
        <w:rPr>
          <w:rFonts w:ascii="Times New Roman" w:eastAsia="Calibri" w:hAnsi="Times New Roman" w:cs="Times New Roman"/>
          <w:szCs w:val="24"/>
        </w:rPr>
        <w:t xml:space="preserve"> </w:t>
      </w:r>
    </w:p>
    <w:p w14:paraId="191DF3DC" w14:textId="6B363EC2" w:rsidR="000442E6" w:rsidRPr="00677204" w:rsidRDefault="000442E6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b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>W</w:t>
      </w:r>
      <w:r w:rsidRPr="00677204">
        <w:rPr>
          <w:rFonts w:ascii="Times New Roman" w:eastAsia="Calibri" w:hAnsi="Times New Roman" w:cs="Times New Roman"/>
          <w:b/>
          <w:szCs w:val="24"/>
        </w:rPr>
        <w:t xml:space="preserve"> </w:t>
      </w:r>
      <w:r w:rsidR="005E091D" w:rsidRPr="00677204">
        <w:rPr>
          <w:rFonts w:ascii="Times New Roman" w:eastAsia="Calibri" w:hAnsi="Times New Roman" w:cs="Times New Roman"/>
          <w:b/>
          <w:szCs w:val="24"/>
        </w:rPr>
        <w:t>p</w:t>
      </w:r>
      <w:r w:rsidR="00CC55C2" w:rsidRPr="00677204">
        <w:rPr>
          <w:rFonts w:ascii="Times New Roman" w:eastAsia="Calibri" w:hAnsi="Times New Roman" w:cs="Times New Roman"/>
          <w:b/>
          <w:szCs w:val="24"/>
        </w:rPr>
        <w:t>kt 2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wprowadza </w:t>
      </w:r>
      <w:r w:rsidR="005E091D" w:rsidRPr="00677204">
        <w:rPr>
          <w:rFonts w:ascii="Times New Roman" w:eastAsia="Calibri" w:hAnsi="Times New Roman" w:cs="Times New Roman"/>
          <w:szCs w:val="24"/>
        </w:rPr>
        <w:t xml:space="preserve">się </w:t>
      </w:r>
      <w:r w:rsidR="00CC55C2" w:rsidRPr="00677204">
        <w:rPr>
          <w:rFonts w:ascii="Times New Roman" w:eastAsia="Calibri" w:hAnsi="Times New Roman" w:cs="Times New Roman"/>
          <w:szCs w:val="24"/>
        </w:rPr>
        <w:t>zmiany w art. 2 ustawy, zawierającym słowniczek pojęć używanych w ustawie. Dodawane pojęcia to:</w:t>
      </w:r>
      <w:r w:rsidR="006B7C77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381B37" w:rsidRPr="00677204">
        <w:rPr>
          <w:rFonts w:ascii="Times New Roman" w:eastAsia="Calibri" w:hAnsi="Times New Roman" w:cs="Times New Roman"/>
          <w:szCs w:val="24"/>
        </w:rPr>
        <w:t>dostawca prz</w:t>
      </w:r>
      <w:r w:rsidR="00007953">
        <w:rPr>
          <w:rFonts w:ascii="Times New Roman" w:eastAsia="Calibri" w:hAnsi="Times New Roman" w:cs="Times New Roman"/>
          <w:szCs w:val="24"/>
        </w:rPr>
        <w:t>ekazują</w:t>
      </w:r>
      <w:r w:rsidR="00381B37" w:rsidRPr="00677204">
        <w:rPr>
          <w:rFonts w:ascii="Times New Roman" w:eastAsia="Calibri" w:hAnsi="Times New Roman" w:cs="Times New Roman"/>
          <w:szCs w:val="24"/>
        </w:rPr>
        <w:t xml:space="preserve">cy (pkt </w:t>
      </w:r>
      <w:r w:rsidR="00007953">
        <w:rPr>
          <w:rFonts w:ascii="Times New Roman" w:eastAsia="Calibri" w:hAnsi="Times New Roman" w:cs="Times New Roman"/>
          <w:szCs w:val="24"/>
        </w:rPr>
        <w:t>4a), dostawca przejm</w:t>
      </w:r>
      <w:r w:rsidR="002549F6" w:rsidRPr="00677204">
        <w:rPr>
          <w:rFonts w:ascii="Times New Roman" w:eastAsia="Calibri" w:hAnsi="Times New Roman" w:cs="Times New Roman"/>
          <w:szCs w:val="24"/>
        </w:rPr>
        <w:t>ujący (pkt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381B37" w:rsidRPr="00677204">
        <w:rPr>
          <w:rFonts w:ascii="Times New Roman" w:eastAsia="Calibri" w:hAnsi="Times New Roman" w:cs="Times New Roman"/>
          <w:szCs w:val="24"/>
        </w:rPr>
        <w:t xml:space="preserve">4b), </w:t>
      </w:r>
      <w:r w:rsidR="006B7C77" w:rsidRPr="00677204">
        <w:rPr>
          <w:rFonts w:ascii="Times New Roman" w:eastAsia="Calibri" w:hAnsi="Times New Roman" w:cs="Times New Roman"/>
          <w:szCs w:val="24"/>
        </w:rPr>
        <w:t>identyfikator dostawcy (pkt 9b),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960D58" w:rsidRPr="00677204">
        <w:rPr>
          <w:rFonts w:ascii="Times New Roman" w:eastAsia="Calibri" w:hAnsi="Times New Roman" w:cs="Times New Roman"/>
          <w:szCs w:val="24"/>
        </w:rPr>
        <w:t xml:space="preserve">konsument (pkt 15ac), </w:t>
      </w:r>
      <w:r w:rsidR="00CC55C2" w:rsidRPr="00677204">
        <w:rPr>
          <w:rFonts w:ascii="Times New Roman" w:eastAsia="Calibri" w:hAnsi="Times New Roman" w:cs="Times New Roman"/>
          <w:szCs w:val="24"/>
        </w:rPr>
        <w:t>kredyt w</w:t>
      </w:r>
      <w:r w:rsidR="006D4B38">
        <w:rPr>
          <w:rFonts w:ascii="Times New Roman" w:eastAsia="Calibri" w:hAnsi="Times New Roman" w:cs="Times New Roman"/>
          <w:szCs w:val="24"/>
        </w:rPr>
        <w:t> 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rachunku </w:t>
      </w:r>
      <w:r w:rsidR="006B1DD2" w:rsidRPr="00677204">
        <w:rPr>
          <w:rFonts w:ascii="Times New Roman" w:eastAsia="Calibri" w:hAnsi="Times New Roman" w:cs="Times New Roman"/>
          <w:szCs w:val="24"/>
        </w:rPr>
        <w:t>płatniczym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(pkt 16b),</w:t>
      </w:r>
      <w:r w:rsidR="007B25AF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4766BC" w:rsidRPr="00677204">
        <w:rPr>
          <w:rFonts w:ascii="Times New Roman" w:eastAsia="Calibri" w:hAnsi="Times New Roman" w:cs="Times New Roman"/>
          <w:szCs w:val="24"/>
        </w:rPr>
        <w:t>numer rozliczeniowy dostaw</w:t>
      </w:r>
      <w:r w:rsidR="001E726A" w:rsidRPr="00677204">
        <w:rPr>
          <w:rFonts w:ascii="Times New Roman" w:eastAsia="Calibri" w:hAnsi="Times New Roman" w:cs="Times New Roman"/>
          <w:szCs w:val="24"/>
        </w:rPr>
        <w:t>cy usług płatniczych (pkt 17a), u</w:t>
      </w:r>
      <w:r w:rsidR="00CC55C2" w:rsidRPr="00677204">
        <w:rPr>
          <w:rFonts w:ascii="Times New Roman" w:eastAsia="Calibri" w:hAnsi="Times New Roman" w:cs="Times New Roman"/>
          <w:szCs w:val="24"/>
        </w:rPr>
        <w:t>sługi powiązane z rachu</w:t>
      </w:r>
      <w:r w:rsidR="007B25AF" w:rsidRPr="00677204">
        <w:rPr>
          <w:rFonts w:ascii="Times New Roman" w:eastAsia="Calibri" w:hAnsi="Times New Roman" w:cs="Times New Roman"/>
          <w:szCs w:val="24"/>
        </w:rPr>
        <w:t>nkiem płatniczym (pkt 33a).</w:t>
      </w:r>
    </w:p>
    <w:p w14:paraId="2D20EFB4" w14:textId="0AB9DBFC" w:rsidR="006B7C77" w:rsidRPr="00677204" w:rsidRDefault="006B7C77" w:rsidP="002549F6">
      <w:pPr>
        <w:pStyle w:val="ARTartustawynprozporzdzeni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W </w:t>
      </w:r>
      <w:r w:rsidRPr="00677204">
        <w:rPr>
          <w:rFonts w:ascii="Times New Roman" w:eastAsia="Calibri" w:hAnsi="Times New Roman" w:cs="Times New Roman"/>
          <w:b/>
          <w:szCs w:val="24"/>
        </w:rPr>
        <w:t xml:space="preserve">pkt 3 </w:t>
      </w:r>
      <w:r w:rsidR="00A86FB2" w:rsidRPr="00677204">
        <w:rPr>
          <w:rFonts w:ascii="Times New Roman" w:eastAsia="Calibri" w:hAnsi="Times New Roman" w:cs="Times New Roman"/>
          <w:szCs w:val="24"/>
        </w:rPr>
        <w:t>wprowadza się zmianę</w:t>
      </w:r>
      <w:r w:rsidR="00A86FB2" w:rsidRPr="00677204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677204">
        <w:rPr>
          <w:rFonts w:ascii="Times New Roman" w:eastAsia="Calibri" w:hAnsi="Times New Roman" w:cs="Times New Roman"/>
          <w:szCs w:val="24"/>
        </w:rPr>
        <w:t xml:space="preserve">w art. 3 </w:t>
      </w:r>
      <w:r w:rsidR="00A86FB2" w:rsidRPr="00677204">
        <w:rPr>
          <w:rFonts w:ascii="Times New Roman" w:eastAsia="Calibri" w:hAnsi="Times New Roman" w:cs="Times New Roman"/>
          <w:szCs w:val="24"/>
        </w:rPr>
        <w:t>ustawy, przez dodanie ust.</w:t>
      </w:r>
      <w:r w:rsidR="005C6AFA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A86FB2" w:rsidRPr="00677204">
        <w:rPr>
          <w:rFonts w:ascii="Times New Roman" w:eastAsia="Calibri" w:hAnsi="Times New Roman" w:cs="Times New Roman"/>
          <w:szCs w:val="24"/>
        </w:rPr>
        <w:t>4, który</w:t>
      </w:r>
      <w:r w:rsidRPr="00677204">
        <w:rPr>
          <w:rFonts w:ascii="Times New Roman" w:eastAsia="Calibri" w:hAnsi="Times New Roman" w:cs="Times New Roman"/>
          <w:szCs w:val="24"/>
        </w:rPr>
        <w:t xml:space="preserve"> zawiera definicję polecenia przelewu.</w:t>
      </w:r>
    </w:p>
    <w:p w14:paraId="63988961" w14:textId="00ACD7E3" w:rsidR="008D79C1" w:rsidRPr="00677204" w:rsidRDefault="000442E6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>W</w:t>
      </w:r>
      <w:r w:rsidRPr="00677204">
        <w:rPr>
          <w:rFonts w:ascii="Times New Roman" w:eastAsia="Calibri" w:hAnsi="Times New Roman" w:cs="Times New Roman"/>
          <w:b/>
          <w:szCs w:val="24"/>
        </w:rPr>
        <w:t xml:space="preserve"> </w:t>
      </w:r>
      <w:r w:rsidR="005E091D" w:rsidRPr="00677204">
        <w:rPr>
          <w:rFonts w:ascii="Times New Roman" w:eastAsia="Calibri" w:hAnsi="Times New Roman" w:cs="Times New Roman"/>
          <w:b/>
          <w:szCs w:val="24"/>
        </w:rPr>
        <w:t>p</w:t>
      </w:r>
      <w:r w:rsidR="007B25AF" w:rsidRPr="00677204">
        <w:rPr>
          <w:rFonts w:ascii="Times New Roman" w:eastAsia="Calibri" w:hAnsi="Times New Roman" w:cs="Times New Roman"/>
          <w:b/>
          <w:szCs w:val="24"/>
        </w:rPr>
        <w:t>kt</w:t>
      </w:r>
      <w:r w:rsidR="00DF1E15" w:rsidRPr="00677204">
        <w:rPr>
          <w:rFonts w:ascii="Times New Roman" w:eastAsia="Calibri" w:hAnsi="Times New Roman" w:cs="Times New Roman"/>
          <w:b/>
          <w:szCs w:val="24"/>
        </w:rPr>
        <w:t xml:space="preserve"> </w:t>
      </w:r>
      <w:r w:rsidR="006B7C77" w:rsidRPr="00677204">
        <w:rPr>
          <w:rFonts w:ascii="Times New Roman" w:eastAsia="Calibri" w:hAnsi="Times New Roman" w:cs="Times New Roman"/>
          <w:b/>
          <w:szCs w:val="24"/>
        </w:rPr>
        <w:t>4</w:t>
      </w:r>
      <w:r w:rsidR="00796352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BF34CF" w:rsidRPr="00677204">
        <w:rPr>
          <w:rFonts w:ascii="Times New Roman" w:eastAsia="Calibri" w:hAnsi="Times New Roman" w:cs="Times New Roman"/>
          <w:szCs w:val="24"/>
        </w:rPr>
        <w:t>dodaje się art. 4a, który ustanawia obowiązek nadawania przez niebankowych dostawców usług płatniczych prowadzących rachunki płatnicze i uczestniczących w</w:t>
      </w:r>
      <w:r w:rsidR="006D4B38">
        <w:rPr>
          <w:rFonts w:ascii="Times New Roman" w:eastAsia="Calibri" w:hAnsi="Times New Roman" w:cs="Times New Roman"/>
          <w:szCs w:val="24"/>
        </w:rPr>
        <w:t> </w:t>
      </w:r>
      <w:r w:rsidR="00BF34CF" w:rsidRPr="00677204">
        <w:rPr>
          <w:rFonts w:ascii="Times New Roman" w:eastAsia="Calibri" w:hAnsi="Times New Roman" w:cs="Times New Roman"/>
          <w:szCs w:val="24"/>
        </w:rPr>
        <w:t>systemach płatności prowadzonym przez te podmioty rachunkom unikatowych identyfikatorów. Sposó</w:t>
      </w:r>
      <w:r w:rsidR="00A95D81" w:rsidRPr="00677204">
        <w:rPr>
          <w:rFonts w:ascii="Times New Roman" w:eastAsia="Calibri" w:hAnsi="Times New Roman" w:cs="Times New Roman"/>
          <w:szCs w:val="24"/>
        </w:rPr>
        <w:t xml:space="preserve">b nadawania ww. identyfikatorów </w:t>
      </w:r>
      <w:r w:rsidR="00BF34CF" w:rsidRPr="00677204">
        <w:rPr>
          <w:rFonts w:ascii="Times New Roman" w:eastAsia="Calibri" w:hAnsi="Times New Roman" w:cs="Times New Roman"/>
          <w:szCs w:val="24"/>
        </w:rPr>
        <w:t>zostanie określony w</w:t>
      </w:r>
      <w:r w:rsidR="006D4B38">
        <w:rPr>
          <w:rFonts w:ascii="Times New Roman" w:eastAsia="Calibri" w:hAnsi="Times New Roman" w:cs="Times New Roman"/>
          <w:szCs w:val="24"/>
        </w:rPr>
        <w:t> </w:t>
      </w:r>
      <w:r w:rsidR="00BF34CF" w:rsidRPr="00677204">
        <w:rPr>
          <w:rFonts w:ascii="Times New Roman" w:eastAsia="Calibri" w:hAnsi="Times New Roman" w:cs="Times New Roman"/>
          <w:szCs w:val="24"/>
        </w:rPr>
        <w:t xml:space="preserve">rozporządzeniu wydanym przez ministra </w:t>
      </w:r>
      <w:r w:rsidR="00007953">
        <w:rPr>
          <w:rFonts w:ascii="Times New Roman" w:eastAsia="Calibri" w:hAnsi="Times New Roman" w:cs="Times New Roman"/>
          <w:szCs w:val="24"/>
        </w:rPr>
        <w:t xml:space="preserve">właściwego </w:t>
      </w:r>
      <w:r w:rsidR="00BF34CF" w:rsidRPr="00677204">
        <w:rPr>
          <w:rFonts w:ascii="Times New Roman" w:eastAsia="Calibri" w:hAnsi="Times New Roman" w:cs="Times New Roman"/>
          <w:szCs w:val="24"/>
        </w:rPr>
        <w:t>d</w:t>
      </w:r>
      <w:r w:rsidR="00915110">
        <w:rPr>
          <w:rFonts w:ascii="Times New Roman" w:eastAsia="Calibri" w:hAnsi="Times New Roman" w:cs="Times New Roman"/>
          <w:szCs w:val="24"/>
        </w:rPr>
        <w:t xml:space="preserve">o </w:t>
      </w:r>
      <w:r w:rsidR="00BF34CF" w:rsidRPr="00677204">
        <w:rPr>
          <w:rFonts w:ascii="Times New Roman" w:eastAsia="Calibri" w:hAnsi="Times New Roman" w:cs="Times New Roman"/>
          <w:szCs w:val="24"/>
        </w:rPr>
        <w:t>s</w:t>
      </w:r>
      <w:r w:rsidR="00915110">
        <w:rPr>
          <w:rFonts w:ascii="Times New Roman" w:eastAsia="Calibri" w:hAnsi="Times New Roman" w:cs="Times New Roman"/>
          <w:szCs w:val="24"/>
        </w:rPr>
        <w:t>praw</w:t>
      </w:r>
      <w:r w:rsidR="00BF34CF" w:rsidRPr="00677204">
        <w:rPr>
          <w:rFonts w:ascii="Times New Roman" w:eastAsia="Calibri" w:hAnsi="Times New Roman" w:cs="Times New Roman"/>
          <w:szCs w:val="24"/>
        </w:rPr>
        <w:t xml:space="preserve"> instytucji finansowych (ust. </w:t>
      </w:r>
      <w:r w:rsidR="00381B37" w:rsidRPr="00677204">
        <w:rPr>
          <w:rFonts w:ascii="Times New Roman" w:eastAsia="Calibri" w:hAnsi="Times New Roman" w:cs="Times New Roman"/>
          <w:szCs w:val="24"/>
        </w:rPr>
        <w:t>5</w:t>
      </w:r>
      <w:r w:rsidR="00BF34CF" w:rsidRPr="00677204">
        <w:rPr>
          <w:rFonts w:ascii="Times New Roman" w:eastAsia="Calibri" w:hAnsi="Times New Roman" w:cs="Times New Roman"/>
          <w:szCs w:val="24"/>
        </w:rPr>
        <w:t>). Dodatkowo ust. 3 uprawni Narodowy Bank Polski do nadawania ww. podmiotom numerów rozliczeniowych, zasady ich nadawa</w:t>
      </w:r>
      <w:r w:rsidR="00007953">
        <w:rPr>
          <w:rFonts w:ascii="Times New Roman" w:eastAsia="Calibri" w:hAnsi="Times New Roman" w:cs="Times New Roman"/>
          <w:szCs w:val="24"/>
        </w:rPr>
        <w:t xml:space="preserve">nia zostaną również określone w </w:t>
      </w:r>
      <w:r w:rsidR="00BF34CF" w:rsidRPr="00677204">
        <w:rPr>
          <w:rFonts w:ascii="Times New Roman" w:eastAsia="Calibri" w:hAnsi="Times New Roman" w:cs="Times New Roman"/>
          <w:szCs w:val="24"/>
        </w:rPr>
        <w:t>rozporządzeniu ministra</w:t>
      </w:r>
      <w:r w:rsidR="00BF34CF" w:rsidRPr="00677204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 </w:t>
      </w:r>
      <w:r w:rsidR="00007953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właściwego </w:t>
      </w:r>
      <w:r w:rsidR="00BF34CF" w:rsidRPr="00677204">
        <w:rPr>
          <w:rFonts w:ascii="Times New Roman" w:eastAsia="Calibri" w:hAnsi="Times New Roman" w:cs="Times New Roman"/>
          <w:szCs w:val="24"/>
        </w:rPr>
        <w:t>d</w:t>
      </w:r>
      <w:r w:rsidR="00915110">
        <w:rPr>
          <w:rFonts w:ascii="Times New Roman" w:eastAsia="Calibri" w:hAnsi="Times New Roman" w:cs="Times New Roman"/>
          <w:szCs w:val="24"/>
        </w:rPr>
        <w:t xml:space="preserve">o </w:t>
      </w:r>
      <w:r w:rsidR="00BF34CF" w:rsidRPr="00677204">
        <w:rPr>
          <w:rFonts w:ascii="Times New Roman" w:eastAsia="Calibri" w:hAnsi="Times New Roman" w:cs="Times New Roman"/>
          <w:szCs w:val="24"/>
        </w:rPr>
        <w:t>s</w:t>
      </w:r>
      <w:r w:rsidR="00915110">
        <w:rPr>
          <w:rFonts w:ascii="Times New Roman" w:eastAsia="Calibri" w:hAnsi="Times New Roman" w:cs="Times New Roman"/>
          <w:szCs w:val="24"/>
        </w:rPr>
        <w:t>praw</w:t>
      </w:r>
      <w:r w:rsidR="00BF34CF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007953">
        <w:rPr>
          <w:rFonts w:ascii="Times New Roman" w:eastAsia="Calibri" w:hAnsi="Times New Roman" w:cs="Times New Roman"/>
          <w:szCs w:val="24"/>
        </w:rPr>
        <w:t xml:space="preserve">instytucji finansowych </w:t>
      </w:r>
      <w:r w:rsidR="00007953">
        <w:rPr>
          <w:rFonts w:ascii="Times New Roman" w:eastAsia="Calibri" w:hAnsi="Times New Roman" w:cs="Times New Roman"/>
          <w:szCs w:val="24"/>
        </w:rPr>
        <w:lastRenderedPageBreak/>
        <w:t>(ust. </w:t>
      </w:r>
      <w:r w:rsidR="00381B37" w:rsidRPr="00677204">
        <w:rPr>
          <w:rFonts w:ascii="Times New Roman" w:eastAsia="Calibri" w:hAnsi="Times New Roman" w:cs="Times New Roman"/>
          <w:szCs w:val="24"/>
        </w:rPr>
        <w:t>5</w:t>
      </w:r>
      <w:r w:rsidR="00BF34CF" w:rsidRPr="00677204">
        <w:rPr>
          <w:rFonts w:ascii="Times New Roman" w:eastAsia="Calibri" w:hAnsi="Times New Roman" w:cs="Times New Roman"/>
          <w:szCs w:val="24"/>
        </w:rPr>
        <w:t>).</w:t>
      </w:r>
      <w:r w:rsidR="008D4EC8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0C6634">
        <w:rPr>
          <w:rFonts w:ascii="Times New Roman" w:eastAsia="Calibri" w:hAnsi="Times New Roman" w:cs="Times New Roman"/>
          <w:szCs w:val="24"/>
        </w:rPr>
        <w:t>Przepis u</w:t>
      </w:r>
      <w:r w:rsidR="00FA34EE" w:rsidRPr="00677204">
        <w:rPr>
          <w:rFonts w:ascii="Times New Roman" w:eastAsia="Calibri" w:hAnsi="Times New Roman" w:cs="Times New Roman"/>
          <w:szCs w:val="24"/>
        </w:rPr>
        <w:t>st</w:t>
      </w:r>
      <w:r w:rsidR="006E278D">
        <w:rPr>
          <w:rFonts w:ascii="Times New Roman" w:eastAsia="Calibri" w:hAnsi="Times New Roman" w:cs="Times New Roman"/>
          <w:szCs w:val="24"/>
        </w:rPr>
        <w:t>.</w:t>
      </w:r>
      <w:r w:rsidR="00FA34EE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381B37" w:rsidRPr="00677204">
        <w:rPr>
          <w:rFonts w:ascii="Times New Roman" w:eastAsia="Calibri" w:hAnsi="Times New Roman" w:cs="Times New Roman"/>
          <w:szCs w:val="24"/>
        </w:rPr>
        <w:t>4</w:t>
      </w:r>
      <w:r w:rsidR="00FA34EE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626AF9" w:rsidRPr="00677204">
        <w:rPr>
          <w:rFonts w:ascii="Times New Roman" w:eastAsia="Calibri" w:hAnsi="Times New Roman" w:cs="Times New Roman"/>
          <w:szCs w:val="24"/>
        </w:rPr>
        <w:t>określa szczegółowy zakres oraz sposób przekazywania prze</w:t>
      </w:r>
      <w:r w:rsidR="006D4B38">
        <w:rPr>
          <w:rFonts w:ascii="Times New Roman" w:eastAsia="Calibri" w:hAnsi="Times New Roman" w:cs="Times New Roman"/>
          <w:szCs w:val="24"/>
        </w:rPr>
        <w:t>z dostawców informacji do NBP w </w:t>
      </w:r>
      <w:r w:rsidR="00626AF9" w:rsidRPr="00677204">
        <w:rPr>
          <w:rFonts w:ascii="Times New Roman" w:eastAsia="Calibri" w:hAnsi="Times New Roman" w:cs="Times New Roman"/>
          <w:szCs w:val="24"/>
        </w:rPr>
        <w:t>celu nadania identyfikatora dostawcy</w:t>
      </w:r>
      <w:r w:rsidR="00381B37" w:rsidRPr="00677204">
        <w:rPr>
          <w:rFonts w:ascii="Times New Roman" w:eastAsia="Calibri" w:hAnsi="Times New Roman" w:cs="Times New Roman"/>
          <w:szCs w:val="24"/>
        </w:rPr>
        <w:t xml:space="preserve"> oraz numeru rozliczeniowego</w:t>
      </w:r>
      <w:r w:rsidR="00626AF9" w:rsidRPr="00677204">
        <w:rPr>
          <w:rFonts w:ascii="Times New Roman" w:eastAsia="Calibri" w:hAnsi="Times New Roman" w:cs="Times New Roman"/>
          <w:szCs w:val="24"/>
        </w:rPr>
        <w:t xml:space="preserve">. </w:t>
      </w:r>
      <w:r w:rsidR="008D4EC8" w:rsidRPr="00677204">
        <w:rPr>
          <w:rFonts w:ascii="Times New Roman" w:eastAsia="Calibri" w:hAnsi="Times New Roman" w:cs="Times New Roman"/>
          <w:szCs w:val="24"/>
        </w:rPr>
        <w:t>Zgodnie z ust. 2 z ww. regulacji zostały wyłączone banki, z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8D4EC8" w:rsidRPr="00677204">
        <w:rPr>
          <w:rFonts w:ascii="Times New Roman" w:eastAsia="Calibri" w:hAnsi="Times New Roman" w:cs="Times New Roman"/>
          <w:szCs w:val="24"/>
        </w:rPr>
        <w:t xml:space="preserve">uwagi na istnienie w odniesieniu do tej kategorii dostawców odpowiednich regulacji w tym zakresie (tj. </w:t>
      </w:r>
      <w:r w:rsidR="00E97298">
        <w:rPr>
          <w:rFonts w:ascii="Times New Roman" w:eastAsia="Calibri" w:hAnsi="Times New Roman" w:cs="Times New Roman"/>
          <w:szCs w:val="24"/>
        </w:rPr>
        <w:t>z</w:t>
      </w:r>
      <w:r w:rsidR="006D4B38">
        <w:rPr>
          <w:rFonts w:ascii="Times New Roman" w:eastAsia="Calibri" w:hAnsi="Times New Roman" w:cs="Times New Roman"/>
          <w:szCs w:val="24"/>
        </w:rPr>
        <w:t xml:space="preserve">arządzenie </w:t>
      </w:r>
      <w:r w:rsidR="00E97298">
        <w:rPr>
          <w:rFonts w:ascii="Times New Roman" w:eastAsia="Calibri" w:hAnsi="Times New Roman" w:cs="Times New Roman"/>
          <w:szCs w:val="24"/>
        </w:rPr>
        <w:t>n</w:t>
      </w:r>
      <w:r w:rsidR="009A6EB8">
        <w:rPr>
          <w:rFonts w:ascii="Times New Roman" w:eastAsia="Calibri" w:hAnsi="Times New Roman" w:cs="Times New Roman"/>
          <w:szCs w:val="24"/>
        </w:rPr>
        <w:t xml:space="preserve">r </w:t>
      </w:r>
      <w:r w:rsidR="008D4EC8" w:rsidRPr="00677204">
        <w:rPr>
          <w:rFonts w:ascii="Times New Roman" w:eastAsia="Calibri" w:hAnsi="Times New Roman" w:cs="Times New Roman"/>
          <w:szCs w:val="24"/>
        </w:rPr>
        <w:t>15/2010 z dnia 15 lipca 2010 r. w sprawie sposobu numeracji banków i rachunków bankowych (Dz. Urz. NBP Nr 9, poz. 9), wydane na podstawie art</w:t>
      </w:r>
      <w:r w:rsidR="006D4B38">
        <w:rPr>
          <w:rFonts w:ascii="Times New Roman" w:eastAsia="Calibri" w:hAnsi="Times New Roman" w:cs="Times New Roman"/>
          <w:szCs w:val="24"/>
        </w:rPr>
        <w:t>. 68 pkt 3 i 4 ustawy z</w:t>
      </w:r>
      <w:r w:rsidR="000C6634">
        <w:rPr>
          <w:rFonts w:ascii="Times New Roman" w:eastAsia="Calibri" w:hAnsi="Times New Roman" w:cs="Times New Roman"/>
          <w:szCs w:val="24"/>
        </w:rPr>
        <w:t xml:space="preserve"> </w:t>
      </w:r>
      <w:r w:rsidR="00106889" w:rsidRPr="00677204">
        <w:rPr>
          <w:rFonts w:ascii="Times New Roman" w:eastAsia="Calibri" w:hAnsi="Times New Roman" w:cs="Times New Roman"/>
          <w:szCs w:val="24"/>
        </w:rPr>
        <w:t xml:space="preserve">dnia 29 sierpnia 1997 r. – </w:t>
      </w:r>
      <w:r w:rsidR="008D4EC8" w:rsidRPr="00677204">
        <w:rPr>
          <w:rFonts w:ascii="Times New Roman" w:eastAsia="Calibri" w:hAnsi="Times New Roman" w:cs="Times New Roman"/>
          <w:szCs w:val="24"/>
        </w:rPr>
        <w:t>Prawo</w:t>
      </w:r>
      <w:r w:rsidR="00106889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8D4EC8" w:rsidRPr="00677204">
        <w:rPr>
          <w:rFonts w:ascii="Times New Roman" w:eastAsia="Calibri" w:hAnsi="Times New Roman" w:cs="Times New Roman"/>
          <w:szCs w:val="24"/>
        </w:rPr>
        <w:t>bankowe</w:t>
      </w:r>
      <w:r w:rsidR="00106889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0C6634">
        <w:rPr>
          <w:rFonts w:ascii="Times New Roman" w:eastAsia="Calibri" w:hAnsi="Times New Roman" w:cs="Times New Roman"/>
          <w:szCs w:val="24"/>
        </w:rPr>
        <w:t>(Dz. U. z </w:t>
      </w:r>
      <w:r w:rsidR="008D4EC8" w:rsidRPr="00677204">
        <w:rPr>
          <w:rFonts w:ascii="Times New Roman" w:eastAsia="Calibri" w:hAnsi="Times New Roman" w:cs="Times New Roman"/>
          <w:szCs w:val="24"/>
        </w:rPr>
        <w:t>2015 r. poz. 128</w:t>
      </w:r>
      <w:r w:rsidR="000C6634">
        <w:rPr>
          <w:rFonts w:ascii="Times New Roman" w:eastAsia="Calibri" w:hAnsi="Times New Roman" w:cs="Times New Roman"/>
          <w:szCs w:val="24"/>
        </w:rPr>
        <w:t>, z późn. zm.</w:t>
      </w:r>
      <w:r w:rsidR="008D4EC8" w:rsidRPr="00677204">
        <w:rPr>
          <w:rFonts w:ascii="Times New Roman" w:eastAsia="Calibri" w:hAnsi="Times New Roman" w:cs="Times New Roman"/>
          <w:szCs w:val="24"/>
        </w:rPr>
        <w:t>). Przepis ten gwarantuje niebankowym dostawcom (instytucjom płatniczym, spółdzielczym kasom oszczędnościowo-kredytowym)</w:t>
      </w:r>
      <w:r w:rsidR="008D4EC8" w:rsidRPr="00677204">
        <w:rPr>
          <w:rFonts w:ascii="Times New Roman" w:hAnsi="Times New Roman" w:cs="Times New Roman"/>
          <w:bCs w:val="0"/>
          <w:szCs w:val="24"/>
        </w:rPr>
        <w:t xml:space="preserve"> wypełnienie </w:t>
      </w:r>
      <w:r w:rsidR="008D4EC8" w:rsidRPr="00677204">
        <w:rPr>
          <w:rFonts w:ascii="Times New Roman" w:eastAsia="Calibri" w:hAnsi="Times New Roman" w:cs="Times New Roman"/>
          <w:szCs w:val="24"/>
        </w:rPr>
        <w:t>wymogu identyfikowania rachunków płatniczych zgodnie z</w:t>
      </w:r>
      <w:r w:rsidR="00FF2AEC">
        <w:rPr>
          <w:rFonts w:ascii="Times New Roman" w:eastAsia="Calibri" w:hAnsi="Times New Roman" w:cs="Times New Roman"/>
          <w:szCs w:val="24"/>
        </w:rPr>
        <w:t> </w:t>
      </w:r>
      <w:r w:rsidR="008D4EC8" w:rsidRPr="00677204">
        <w:rPr>
          <w:rFonts w:ascii="Times New Roman" w:eastAsia="Calibri" w:hAnsi="Times New Roman" w:cs="Times New Roman"/>
          <w:szCs w:val="24"/>
        </w:rPr>
        <w:t>rozporządzeniem 260/2012 w odniesieniu do poleceń przelewu i</w:t>
      </w:r>
      <w:r w:rsidR="006D4B38">
        <w:rPr>
          <w:rFonts w:ascii="Times New Roman" w:eastAsia="Calibri" w:hAnsi="Times New Roman" w:cs="Times New Roman"/>
          <w:szCs w:val="24"/>
        </w:rPr>
        <w:t> </w:t>
      </w:r>
      <w:r w:rsidR="008D4EC8" w:rsidRPr="00677204">
        <w:rPr>
          <w:rFonts w:ascii="Times New Roman" w:eastAsia="Calibri" w:hAnsi="Times New Roman" w:cs="Times New Roman"/>
          <w:szCs w:val="24"/>
        </w:rPr>
        <w:t>poleceń zapłaty dokonywanych w euro czy też praktycznych wymogów, jakie mogą być nakładane na uczestników systemów płatności, w których konieczne jest posługiwanie się rachunkami płatniczymi identyfikowanymi w standardzie IBAN.</w:t>
      </w:r>
    </w:p>
    <w:p w14:paraId="6DDB48E5" w14:textId="6585A4C9" w:rsidR="00C07F00" w:rsidRPr="00677204" w:rsidRDefault="00CF1DE6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W </w:t>
      </w:r>
      <w:r w:rsidRPr="00677204">
        <w:rPr>
          <w:rFonts w:ascii="Times New Roman" w:eastAsia="Calibri" w:hAnsi="Times New Roman" w:cs="Times New Roman"/>
          <w:b/>
          <w:szCs w:val="24"/>
        </w:rPr>
        <w:t xml:space="preserve">pkt </w:t>
      </w:r>
      <w:r w:rsidR="00A86FB2" w:rsidRPr="00677204">
        <w:rPr>
          <w:rFonts w:ascii="Times New Roman" w:eastAsia="Calibri" w:hAnsi="Times New Roman" w:cs="Times New Roman"/>
          <w:b/>
          <w:szCs w:val="24"/>
        </w:rPr>
        <w:t>5</w:t>
      </w:r>
      <w:r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C07F00" w:rsidRPr="00677204">
        <w:rPr>
          <w:rFonts w:ascii="Times New Roman" w:eastAsia="Calibri" w:hAnsi="Times New Roman" w:cs="Times New Roman"/>
          <w:szCs w:val="24"/>
        </w:rPr>
        <w:t xml:space="preserve">wprowadza się zmiany w art. 5 </w:t>
      </w:r>
      <w:r w:rsidR="00C77C2C" w:rsidRPr="00677204">
        <w:rPr>
          <w:rFonts w:ascii="Times New Roman" w:eastAsia="Calibri" w:hAnsi="Times New Roman" w:cs="Times New Roman"/>
          <w:szCs w:val="24"/>
        </w:rPr>
        <w:t xml:space="preserve">ust. 3 </w:t>
      </w:r>
      <w:r w:rsidR="00C07F00" w:rsidRPr="00677204">
        <w:rPr>
          <w:rFonts w:ascii="Times New Roman" w:eastAsia="Calibri" w:hAnsi="Times New Roman" w:cs="Times New Roman"/>
          <w:szCs w:val="24"/>
        </w:rPr>
        <w:t>ustawy</w:t>
      </w:r>
      <w:r w:rsidR="00F5113F" w:rsidRPr="00677204">
        <w:rPr>
          <w:rFonts w:ascii="Times New Roman" w:eastAsia="Calibri" w:hAnsi="Times New Roman" w:cs="Times New Roman"/>
          <w:szCs w:val="24"/>
        </w:rPr>
        <w:t>, określającym do usług w jakiej walucie stosuje się przepisy ustawy</w:t>
      </w:r>
      <w:r w:rsidRPr="00677204">
        <w:rPr>
          <w:rFonts w:ascii="Times New Roman" w:eastAsia="Calibri" w:hAnsi="Times New Roman" w:cs="Times New Roman"/>
          <w:szCs w:val="24"/>
        </w:rPr>
        <w:t>. Zmiany</w:t>
      </w:r>
      <w:r w:rsidR="00C07F00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F5113F" w:rsidRPr="00677204">
        <w:rPr>
          <w:rFonts w:ascii="Times New Roman" w:eastAsia="Calibri" w:hAnsi="Times New Roman" w:cs="Times New Roman"/>
          <w:szCs w:val="24"/>
        </w:rPr>
        <w:t>wynikają z tego, że nowo dodawane przepisy o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F5113F" w:rsidRPr="00677204">
        <w:rPr>
          <w:rFonts w:ascii="Times New Roman" w:eastAsia="Calibri" w:hAnsi="Times New Roman" w:cs="Times New Roman"/>
          <w:szCs w:val="24"/>
        </w:rPr>
        <w:t>rachunku podstawowym</w:t>
      </w:r>
      <w:r w:rsidR="00C07F00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F5113F" w:rsidRPr="00677204">
        <w:rPr>
          <w:rFonts w:ascii="Times New Roman" w:eastAsia="Calibri" w:hAnsi="Times New Roman" w:cs="Times New Roman"/>
          <w:szCs w:val="24"/>
        </w:rPr>
        <w:t>stosuje si</w:t>
      </w:r>
      <w:r w:rsidR="006D4B38">
        <w:rPr>
          <w:rFonts w:ascii="Times New Roman" w:eastAsia="Calibri" w:hAnsi="Times New Roman" w:cs="Times New Roman"/>
          <w:szCs w:val="24"/>
        </w:rPr>
        <w:t>ę tylko do usług wykonywanych w </w:t>
      </w:r>
      <w:r w:rsidR="00F5113F" w:rsidRPr="00677204">
        <w:rPr>
          <w:rFonts w:ascii="Times New Roman" w:eastAsia="Calibri" w:hAnsi="Times New Roman" w:cs="Times New Roman"/>
          <w:szCs w:val="24"/>
        </w:rPr>
        <w:t>walucie polskiej, a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F5113F" w:rsidRPr="00677204">
        <w:rPr>
          <w:rFonts w:ascii="Times New Roman" w:eastAsia="Calibri" w:hAnsi="Times New Roman" w:cs="Times New Roman"/>
          <w:szCs w:val="24"/>
        </w:rPr>
        <w:t>przepisy o obowiązkach informacyjnych oraz dotyczące przeniesienia rachunku stosuje się</w:t>
      </w:r>
      <w:r w:rsidR="00F76FC4" w:rsidRPr="00677204">
        <w:rPr>
          <w:rFonts w:ascii="Times New Roman" w:eastAsia="Calibri" w:hAnsi="Times New Roman" w:cs="Times New Roman"/>
          <w:szCs w:val="24"/>
        </w:rPr>
        <w:t xml:space="preserve"> do usług wykonywanych w każdej walucie.</w:t>
      </w:r>
    </w:p>
    <w:p w14:paraId="7D39CE6F" w14:textId="06D0BBE1" w:rsidR="005C6AFA" w:rsidRPr="00677204" w:rsidRDefault="00F76FC4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W </w:t>
      </w:r>
      <w:r w:rsidRPr="00677204">
        <w:rPr>
          <w:rFonts w:ascii="Times New Roman" w:eastAsia="Calibri" w:hAnsi="Times New Roman" w:cs="Times New Roman"/>
          <w:b/>
          <w:szCs w:val="24"/>
        </w:rPr>
        <w:t xml:space="preserve">pkt </w:t>
      </w:r>
      <w:r w:rsidR="00A86FB2" w:rsidRPr="00677204">
        <w:rPr>
          <w:rFonts w:ascii="Times New Roman" w:eastAsia="Calibri" w:hAnsi="Times New Roman" w:cs="Times New Roman"/>
          <w:b/>
          <w:szCs w:val="24"/>
        </w:rPr>
        <w:t>6</w:t>
      </w:r>
      <w:r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DF1E15" w:rsidRPr="00677204">
        <w:rPr>
          <w:rFonts w:ascii="Times New Roman" w:eastAsia="Calibri" w:hAnsi="Times New Roman" w:cs="Times New Roman"/>
          <w:szCs w:val="24"/>
        </w:rPr>
        <w:t xml:space="preserve">wprowadza </w:t>
      </w:r>
      <w:r w:rsidR="005E091D" w:rsidRPr="00677204">
        <w:rPr>
          <w:rFonts w:ascii="Times New Roman" w:eastAsia="Calibri" w:hAnsi="Times New Roman" w:cs="Times New Roman"/>
          <w:szCs w:val="24"/>
        </w:rPr>
        <w:t xml:space="preserve">się </w:t>
      </w:r>
      <w:r w:rsidR="00DF1E15" w:rsidRPr="00677204">
        <w:rPr>
          <w:rFonts w:ascii="Times New Roman" w:eastAsia="Calibri" w:hAnsi="Times New Roman" w:cs="Times New Roman"/>
          <w:szCs w:val="24"/>
        </w:rPr>
        <w:t xml:space="preserve">zmiany w art. </w:t>
      </w:r>
      <w:r w:rsidRPr="00677204">
        <w:rPr>
          <w:rFonts w:ascii="Times New Roman" w:eastAsia="Calibri" w:hAnsi="Times New Roman" w:cs="Times New Roman"/>
          <w:szCs w:val="24"/>
        </w:rPr>
        <w:t>6 pkt 7</w:t>
      </w:r>
      <w:r w:rsidR="005E091D" w:rsidRPr="00677204">
        <w:rPr>
          <w:rFonts w:ascii="Times New Roman" w:eastAsia="Calibri" w:hAnsi="Times New Roman" w:cs="Times New Roman"/>
          <w:szCs w:val="24"/>
        </w:rPr>
        <w:t xml:space="preserve"> ustawy</w:t>
      </w:r>
      <w:r w:rsidRPr="00677204">
        <w:rPr>
          <w:rFonts w:ascii="Times New Roman" w:eastAsia="Calibri" w:hAnsi="Times New Roman" w:cs="Times New Roman"/>
          <w:szCs w:val="24"/>
        </w:rPr>
        <w:t xml:space="preserve">. </w:t>
      </w:r>
      <w:r w:rsidRPr="00677204" w:rsidDel="00CE404E">
        <w:rPr>
          <w:rFonts w:ascii="Times New Roman" w:eastAsia="Calibri" w:hAnsi="Times New Roman" w:cs="Times New Roman"/>
          <w:szCs w:val="24"/>
        </w:rPr>
        <w:t xml:space="preserve">Wprowadzane zastrzeżenie </w:t>
      </w:r>
      <w:r w:rsidR="00814EA6" w:rsidRPr="00677204" w:rsidDel="00CE404E">
        <w:rPr>
          <w:rFonts w:ascii="Times New Roman" w:eastAsia="Calibri" w:hAnsi="Times New Roman" w:cs="Times New Roman"/>
          <w:szCs w:val="24"/>
        </w:rPr>
        <w:t xml:space="preserve">wyjątkowego stosowania pewnych przepisów ustawy do usług generalnie wyłączonych z jej zakresu </w:t>
      </w:r>
      <w:r w:rsidRPr="00677204" w:rsidDel="00CE404E">
        <w:rPr>
          <w:rFonts w:ascii="Times New Roman" w:eastAsia="Calibri" w:hAnsi="Times New Roman" w:cs="Times New Roman"/>
          <w:szCs w:val="24"/>
        </w:rPr>
        <w:t>wynika z</w:t>
      </w:r>
      <w:r w:rsidR="00FA239F" w:rsidRPr="00677204" w:rsidDel="00CE404E">
        <w:rPr>
          <w:rFonts w:ascii="Times New Roman" w:eastAsia="Calibri" w:hAnsi="Times New Roman" w:cs="Times New Roman"/>
          <w:szCs w:val="24"/>
        </w:rPr>
        <w:t xml:space="preserve"> tego, iż </w:t>
      </w:r>
      <w:r w:rsidR="00B71998" w:rsidRPr="00677204" w:rsidDel="00CE404E">
        <w:rPr>
          <w:rFonts w:ascii="Times New Roman" w:eastAsia="Calibri" w:hAnsi="Times New Roman" w:cs="Times New Roman"/>
          <w:szCs w:val="24"/>
        </w:rPr>
        <w:t>informacja o opłatach związanych ze wskazanymi w tym przepisie usługami ma być przekazywana konsumen</w:t>
      </w:r>
      <w:r w:rsidR="00A57950">
        <w:rPr>
          <w:rFonts w:ascii="Times New Roman" w:eastAsia="Calibri" w:hAnsi="Times New Roman" w:cs="Times New Roman"/>
          <w:szCs w:val="24"/>
        </w:rPr>
        <w:t>tom, w przypadku ich zawarcia w </w:t>
      </w:r>
      <w:r w:rsidR="00B71998" w:rsidRPr="00677204" w:rsidDel="00CE404E">
        <w:rPr>
          <w:rFonts w:ascii="Times New Roman" w:eastAsia="Calibri" w:hAnsi="Times New Roman" w:cs="Times New Roman"/>
          <w:szCs w:val="24"/>
        </w:rPr>
        <w:t>wykazie usług reprezentatywnych. Stąd konieczne było wskazanie, że przepisy ustawy mogą mieć wyjątkowo zastosowanie do usług</w:t>
      </w:r>
      <w:r w:rsidR="000B6437" w:rsidRPr="00677204" w:rsidDel="00CE404E">
        <w:rPr>
          <w:rFonts w:ascii="Times New Roman" w:eastAsia="Calibri" w:hAnsi="Times New Roman" w:cs="Times New Roman"/>
          <w:szCs w:val="24"/>
        </w:rPr>
        <w:t>,</w:t>
      </w:r>
      <w:r w:rsidR="00B71998" w:rsidRPr="00677204" w:rsidDel="00CE404E">
        <w:rPr>
          <w:rFonts w:ascii="Times New Roman" w:eastAsia="Calibri" w:hAnsi="Times New Roman" w:cs="Times New Roman"/>
          <w:szCs w:val="24"/>
        </w:rPr>
        <w:t xml:space="preserve"> o których mowa w art. 6 pkt 7.</w:t>
      </w:r>
    </w:p>
    <w:p w14:paraId="788AF348" w14:textId="530FA13D" w:rsidR="005C6AFA" w:rsidRPr="00677204" w:rsidRDefault="00381B37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W </w:t>
      </w:r>
      <w:r w:rsidRPr="00677204">
        <w:rPr>
          <w:rFonts w:ascii="Times New Roman" w:eastAsia="Calibri" w:hAnsi="Times New Roman" w:cs="Times New Roman"/>
          <w:b/>
          <w:szCs w:val="24"/>
        </w:rPr>
        <w:t>pkt 7</w:t>
      </w:r>
      <w:r w:rsidRPr="00677204">
        <w:rPr>
          <w:rFonts w:ascii="Times New Roman" w:eastAsia="Calibri" w:hAnsi="Times New Roman" w:cs="Times New Roman"/>
          <w:szCs w:val="24"/>
        </w:rPr>
        <w:t xml:space="preserve"> wprowadza się zmiany w art. 6 </w:t>
      </w:r>
      <w:r w:rsidR="00CE404E" w:rsidRPr="00677204">
        <w:rPr>
          <w:rFonts w:ascii="Times New Roman" w:eastAsia="Calibri" w:hAnsi="Times New Roman" w:cs="Times New Roman"/>
          <w:szCs w:val="24"/>
        </w:rPr>
        <w:t>pkt 7 ustawy</w:t>
      </w:r>
      <w:r w:rsidR="00BE23BF" w:rsidRPr="00677204">
        <w:rPr>
          <w:rFonts w:ascii="Times New Roman" w:eastAsia="Calibri" w:hAnsi="Times New Roman" w:cs="Times New Roman"/>
          <w:szCs w:val="24"/>
        </w:rPr>
        <w:t>, przez dodanie art. 6a, który zawiera przepisy ustawy, do których stosuje się transakcje wymienione w art.</w:t>
      </w:r>
      <w:r w:rsidR="00A95D81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BE23BF" w:rsidRPr="00677204">
        <w:rPr>
          <w:rFonts w:ascii="Times New Roman" w:eastAsia="Calibri" w:hAnsi="Times New Roman" w:cs="Times New Roman"/>
          <w:szCs w:val="24"/>
        </w:rPr>
        <w:t>6 pkt 7.</w:t>
      </w:r>
    </w:p>
    <w:p w14:paraId="5AE2F4B0" w14:textId="21645D6F" w:rsidR="00F731FC" w:rsidRPr="00677204" w:rsidRDefault="002B4F26" w:rsidP="002549F6">
      <w:pPr>
        <w:pStyle w:val="ARTartustawynprozporzdzeni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W </w:t>
      </w:r>
      <w:r w:rsidRPr="00677204">
        <w:rPr>
          <w:rFonts w:ascii="Times New Roman" w:eastAsia="Calibri" w:hAnsi="Times New Roman" w:cs="Times New Roman"/>
          <w:b/>
          <w:szCs w:val="24"/>
        </w:rPr>
        <w:t>p</w:t>
      </w:r>
      <w:r w:rsidR="00CC55C2" w:rsidRPr="00677204">
        <w:rPr>
          <w:rFonts w:ascii="Times New Roman" w:eastAsia="Calibri" w:hAnsi="Times New Roman" w:cs="Times New Roman"/>
          <w:b/>
          <w:szCs w:val="24"/>
        </w:rPr>
        <w:t xml:space="preserve">kt </w:t>
      </w:r>
      <w:r w:rsidR="00381B37" w:rsidRPr="00677204">
        <w:rPr>
          <w:rFonts w:ascii="Times New Roman" w:eastAsia="Calibri" w:hAnsi="Times New Roman" w:cs="Times New Roman"/>
          <w:b/>
          <w:szCs w:val="24"/>
        </w:rPr>
        <w:t>8</w:t>
      </w:r>
      <w:r w:rsidR="00796352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F731FC" w:rsidRPr="00677204">
        <w:rPr>
          <w:rFonts w:ascii="Times New Roman" w:eastAsia="Calibri" w:hAnsi="Times New Roman" w:cs="Times New Roman"/>
          <w:szCs w:val="24"/>
        </w:rPr>
        <w:t>wprowadza się zmiany w art. 12 ust. 1 pkt 4 skutkujące możliwością odbierania od użytkowników zgody na przekazanie informacji zawierających tajemnicę zawodową również w postaci elektronicznej.</w:t>
      </w:r>
    </w:p>
    <w:p w14:paraId="4FD1DCCD" w14:textId="111396AE" w:rsidR="00F731FC" w:rsidRPr="00677204" w:rsidRDefault="00F731FC" w:rsidP="002549F6">
      <w:pPr>
        <w:pStyle w:val="ARTartustawynprozporzdzeni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W </w:t>
      </w:r>
      <w:r w:rsidRPr="00677204">
        <w:rPr>
          <w:rFonts w:ascii="Times New Roman" w:eastAsia="Calibri" w:hAnsi="Times New Roman" w:cs="Times New Roman"/>
          <w:b/>
          <w:szCs w:val="24"/>
        </w:rPr>
        <w:t xml:space="preserve">pkt </w:t>
      </w:r>
      <w:r w:rsidR="00381B37" w:rsidRPr="00677204">
        <w:rPr>
          <w:rFonts w:ascii="Times New Roman" w:eastAsia="Calibri" w:hAnsi="Times New Roman" w:cs="Times New Roman"/>
          <w:b/>
          <w:szCs w:val="24"/>
        </w:rPr>
        <w:t>9</w:t>
      </w:r>
      <w:r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wprowadza </w:t>
      </w:r>
      <w:r w:rsidR="002B4F26" w:rsidRPr="00677204">
        <w:rPr>
          <w:rFonts w:ascii="Times New Roman" w:eastAsia="Calibri" w:hAnsi="Times New Roman" w:cs="Times New Roman"/>
          <w:szCs w:val="24"/>
        </w:rPr>
        <w:t xml:space="preserve">się 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zmiany w art. 14 ustawy, który określa zakres nadzoru nad dostawcami usług płatniczych oraz wskazuje właściwe organy nadzorcze. </w:t>
      </w:r>
      <w:r w:rsidR="00333796" w:rsidRPr="00677204">
        <w:rPr>
          <w:rFonts w:ascii="Times New Roman" w:eastAsia="Calibri" w:hAnsi="Times New Roman" w:cs="Times New Roman"/>
          <w:szCs w:val="24"/>
        </w:rPr>
        <w:t>Proponuje się, a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by dotychczasowe organy właściwe do sprawowania nadzoru nad dostawcami </w:t>
      </w:r>
      <w:r w:rsidR="00CC55C2" w:rsidRPr="00677204">
        <w:rPr>
          <w:rFonts w:ascii="Times New Roman" w:eastAsia="Calibri" w:hAnsi="Times New Roman" w:cs="Times New Roman"/>
          <w:szCs w:val="24"/>
        </w:rPr>
        <w:lastRenderedPageBreak/>
        <w:t>usług płatniczych w zakresie świadczenia usług płatniczych były również właściwe do sprawowania nadzoru w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zakresie ich działalności wynikającej z przepisów implementowanej dyrektywy 2014/92/UE. </w:t>
      </w:r>
      <w:r w:rsidR="00333796" w:rsidRPr="00677204">
        <w:rPr>
          <w:rFonts w:ascii="Times New Roman" w:eastAsia="Calibri" w:hAnsi="Times New Roman" w:cs="Times New Roman"/>
          <w:szCs w:val="24"/>
        </w:rPr>
        <w:t>Z</w:t>
      </w:r>
      <w:r w:rsidR="00CC55C2" w:rsidRPr="00677204">
        <w:rPr>
          <w:rFonts w:ascii="Times New Roman" w:eastAsia="Calibri" w:hAnsi="Times New Roman" w:cs="Times New Roman"/>
          <w:szCs w:val="24"/>
        </w:rPr>
        <w:t>akres</w:t>
      </w:r>
      <w:r w:rsidR="00333796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CC55C2" w:rsidRPr="00677204">
        <w:rPr>
          <w:rFonts w:ascii="Times New Roman" w:eastAsia="Calibri" w:hAnsi="Times New Roman" w:cs="Times New Roman"/>
          <w:szCs w:val="24"/>
        </w:rPr>
        <w:t>przedmiotow</w:t>
      </w:r>
      <w:r w:rsidR="00333796" w:rsidRPr="00677204">
        <w:rPr>
          <w:rFonts w:ascii="Times New Roman" w:eastAsia="Calibri" w:hAnsi="Times New Roman" w:cs="Times New Roman"/>
          <w:szCs w:val="24"/>
        </w:rPr>
        <w:t xml:space="preserve">y 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nadzoru </w:t>
      </w:r>
      <w:r w:rsidR="00333796" w:rsidRPr="00677204">
        <w:rPr>
          <w:rFonts w:ascii="Times New Roman" w:eastAsia="Calibri" w:hAnsi="Times New Roman" w:cs="Times New Roman"/>
          <w:szCs w:val="24"/>
        </w:rPr>
        <w:t xml:space="preserve">uzupełniono o </w:t>
      </w:r>
      <w:r w:rsidR="00CC55C2" w:rsidRPr="00677204">
        <w:rPr>
          <w:rFonts w:ascii="Times New Roman" w:eastAsia="Calibri" w:hAnsi="Times New Roman" w:cs="Times New Roman"/>
          <w:szCs w:val="24"/>
        </w:rPr>
        <w:t>nadzór nad wykonywaniem usługi przeniesienia rachunku</w:t>
      </w:r>
      <w:r w:rsidR="00796352" w:rsidRPr="00677204">
        <w:rPr>
          <w:rFonts w:ascii="Times New Roman" w:eastAsia="Calibri" w:hAnsi="Times New Roman" w:cs="Times New Roman"/>
          <w:szCs w:val="24"/>
        </w:rPr>
        <w:t>, jako że nie stanowi ona usługi płatniczej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. Świadczenie usługi </w:t>
      </w:r>
      <w:r w:rsidR="00FE7F61" w:rsidRPr="00677204">
        <w:rPr>
          <w:rFonts w:ascii="Times New Roman" w:eastAsia="Calibri" w:hAnsi="Times New Roman" w:cs="Times New Roman"/>
          <w:szCs w:val="24"/>
        </w:rPr>
        <w:t xml:space="preserve">podstawowego 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rachunku </w:t>
      </w:r>
      <w:r w:rsidR="00FE7F61" w:rsidRPr="00677204">
        <w:rPr>
          <w:rFonts w:ascii="Times New Roman" w:eastAsia="Calibri" w:hAnsi="Times New Roman" w:cs="Times New Roman"/>
          <w:szCs w:val="24"/>
        </w:rPr>
        <w:t>płatniczego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oraz wykonywanie obowiązków informacyjnych dotyczących porównywalności opłat mieści się w </w:t>
      </w:r>
      <w:r w:rsidR="00333796" w:rsidRPr="00677204">
        <w:rPr>
          <w:rFonts w:ascii="Times New Roman" w:eastAsia="Calibri" w:hAnsi="Times New Roman" w:cs="Times New Roman"/>
          <w:szCs w:val="24"/>
        </w:rPr>
        <w:t xml:space="preserve">pojęciu </w:t>
      </w:r>
      <w:r w:rsidR="0098294E">
        <w:rPr>
          <w:rFonts w:ascii="Times New Roman" w:eastAsia="Calibri" w:hAnsi="Times New Roman" w:cs="Times New Roman"/>
          <w:szCs w:val="24"/>
        </w:rPr>
        <w:t>„</w:t>
      </w:r>
      <w:r w:rsidR="00CC55C2" w:rsidRPr="00677204">
        <w:rPr>
          <w:rFonts w:ascii="Times New Roman" w:eastAsia="Calibri" w:hAnsi="Times New Roman" w:cs="Times New Roman"/>
          <w:szCs w:val="24"/>
        </w:rPr>
        <w:t>działalnoś</w:t>
      </w:r>
      <w:r w:rsidR="00333796" w:rsidRPr="00677204">
        <w:rPr>
          <w:rFonts w:ascii="Times New Roman" w:eastAsia="Calibri" w:hAnsi="Times New Roman" w:cs="Times New Roman"/>
          <w:szCs w:val="24"/>
        </w:rPr>
        <w:t>ci</w:t>
      </w:r>
      <w:r w:rsidR="0098294E">
        <w:rPr>
          <w:rFonts w:ascii="Times New Roman" w:eastAsia="Calibri" w:hAnsi="Times New Roman" w:cs="Times New Roman"/>
          <w:szCs w:val="24"/>
        </w:rPr>
        <w:t xml:space="preserve"> w zakresie usług płatniczych”</w:t>
      </w:r>
      <w:r w:rsidR="00CC55C2" w:rsidRPr="00677204">
        <w:rPr>
          <w:rFonts w:ascii="Times New Roman" w:eastAsia="Calibri" w:hAnsi="Times New Roman" w:cs="Times New Roman"/>
          <w:szCs w:val="24"/>
        </w:rPr>
        <w:t>, stąd art. 14 ustawy nie wymagał dodatkowych zmian.</w:t>
      </w:r>
    </w:p>
    <w:p w14:paraId="41108EA5" w14:textId="72D0B3B6" w:rsidR="00422004" w:rsidRPr="00677204" w:rsidRDefault="006C23B1" w:rsidP="002549F6">
      <w:pPr>
        <w:pStyle w:val="ARTartustawynprozporzdzeni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>W</w:t>
      </w:r>
      <w:r w:rsidR="00B647E9" w:rsidRPr="00677204">
        <w:rPr>
          <w:rFonts w:ascii="Times New Roman" w:eastAsia="Calibri" w:hAnsi="Times New Roman" w:cs="Times New Roman"/>
          <w:szCs w:val="24"/>
        </w:rPr>
        <w:t xml:space="preserve"> </w:t>
      </w:r>
      <w:r w:rsidRPr="00677204">
        <w:rPr>
          <w:rFonts w:ascii="Times New Roman" w:eastAsia="Calibri" w:hAnsi="Times New Roman" w:cs="Times New Roman"/>
          <w:b/>
          <w:szCs w:val="24"/>
        </w:rPr>
        <w:t>p</w:t>
      </w:r>
      <w:r w:rsidR="00B33ACD" w:rsidRPr="00677204">
        <w:rPr>
          <w:rFonts w:ascii="Times New Roman" w:eastAsia="Calibri" w:hAnsi="Times New Roman" w:cs="Times New Roman"/>
          <w:b/>
          <w:szCs w:val="24"/>
        </w:rPr>
        <w:t xml:space="preserve">kt </w:t>
      </w:r>
      <w:r w:rsidR="00CE404E" w:rsidRPr="00677204">
        <w:rPr>
          <w:rFonts w:ascii="Times New Roman" w:eastAsia="Calibri" w:hAnsi="Times New Roman" w:cs="Times New Roman"/>
          <w:b/>
          <w:szCs w:val="24"/>
        </w:rPr>
        <w:t>10</w:t>
      </w:r>
      <w:r w:rsidR="00B33ACD" w:rsidRPr="00677204">
        <w:rPr>
          <w:rFonts w:ascii="Times New Roman" w:eastAsia="Calibri" w:hAnsi="Times New Roman" w:cs="Times New Roman"/>
          <w:szCs w:val="24"/>
        </w:rPr>
        <w:t xml:space="preserve"> dodaje </w:t>
      </w:r>
      <w:r w:rsidRPr="00677204">
        <w:rPr>
          <w:rFonts w:ascii="Times New Roman" w:eastAsia="Calibri" w:hAnsi="Times New Roman" w:cs="Times New Roman"/>
          <w:szCs w:val="24"/>
        </w:rPr>
        <w:t xml:space="preserve">się </w:t>
      </w:r>
      <w:r w:rsidR="00B33ACD" w:rsidRPr="00677204">
        <w:rPr>
          <w:rFonts w:ascii="Times New Roman" w:eastAsia="Calibri" w:hAnsi="Times New Roman" w:cs="Times New Roman"/>
          <w:szCs w:val="24"/>
        </w:rPr>
        <w:t xml:space="preserve">art. </w:t>
      </w:r>
      <w:r w:rsidR="00746E23" w:rsidRPr="00677204">
        <w:rPr>
          <w:rFonts w:ascii="Times New Roman" w:eastAsia="Calibri" w:hAnsi="Times New Roman" w:cs="Times New Roman"/>
          <w:szCs w:val="24"/>
        </w:rPr>
        <w:t>14e–</w:t>
      </w:r>
      <w:r w:rsidR="00220BE8" w:rsidRPr="00677204">
        <w:rPr>
          <w:rFonts w:ascii="Times New Roman" w:eastAsia="Calibri" w:hAnsi="Times New Roman" w:cs="Times New Roman"/>
          <w:szCs w:val="24"/>
        </w:rPr>
        <w:t>14</w:t>
      </w:r>
      <w:r w:rsidR="00CE404E" w:rsidRPr="00677204">
        <w:rPr>
          <w:rFonts w:ascii="Times New Roman" w:eastAsia="Calibri" w:hAnsi="Times New Roman" w:cs="Times New Roman"/>
          <w:szCs w:val="24"/>
        </w:rPr>
        <w:t>i</w:t>
      </w:r>
      <w:r w:rsidR="00746E23" w:rsidRPr="00677204">
        <w:rPr>
          <w:rFonts w:ascii="Times New Roman" w:eastAsia="Calibri" w:hAnsi="Times New Roman" w:cs="Times New Roman"/>
          <w:szCs w:val="24"/>
        </w:rPr>
        <w:t>.</w:t>
      </w:r>
      <w:r w:rsidR="0038553F" w:rsidRPr="00677204">
        <w:rPr>
          <w:rFonts w:ascii="Times New Roman" w:eastAsia="Calibri" w:hAnsi="Times New Roman" w:cs="Times New Roman"/>
          <w:szCs w:val="24"/>
        </w:rPr>
        <w:t xml:space="preserve"> Przepis art. 14e ustanawia KNF jako punkt kontaktowy, </w:t>
      </w:r>
      <w:r w:rsidR="00397555" w:rsidRPr="00677204">
        <w:rPr>
          <w:rFonts w:ascii="Times New Roman" w:eastAsia="Calibri" w:hAnsi="Times New Roman" w:cs="Times New Roman"/>
          <w:szCs w:val="24"/>
        </w:rPr>
        <w:t xml:space="preserve">właściwy m.in. do </w:t>
      </w:r>
      <w:r w:rsidR="00E701C2" w:rsidRPr="00677204">
        <w:rPr>
          <w:rFonts w:ascii="Times New Roman" w:eastAsia="Calibri" w:hAnsi="Times New Roman" w:cs="Times New Roman"/>
          <w:szCs w:val="24"/>
        </w:rPr>
        <w:t xml:space="preserve">współpracy z organami ustanowionymi w innych państwach członkowskich </w:t>
      </w:r>
      <w:r w:rsidR="00E46B09" w:rsidRPr="00677204">
        <w:rPr>
          <w:rFonts w:ascii="Times New Roman" w:eastAsia="Calibri" w:hAnsi="Times New Roman" w:cs="Times New Roman"/>
          <w:szCs w:val="24"/>
        </w:rPr>
        <w:t xml:space="preserve">jako punkty kontaktowe, </w:t>
      </w:r>
      <w:r w:rsidR="00E701C2" w:rsidRPr="00677204">
        <w:rPr>
          <w:rFonts w:ascii="Times New Roman" w:eastAsia="Calibri" w:hAnsi="Times New Roman" w:cs="Times New Roman"/>
          <w:szCs w:val="24"/>
        </w:rPr>
        <w:t xml:space="preserve">w </w:t>
      </w:r>
      <w:r w:rsidR="00A57950">
        <w:rPr>
          <w:rFonts w:ascii="Times New Roman" w:eastAsia="Calibri" w:hAnsi="Times New Roman" w:cs="Times New Roman"/>
          <w:szCs w:val="24"/>
        </w:rPr>
        <w:t>zakresie kwestii wynikających z </w:t>
      </w:r>
      <w:r w:rsidR="00507E18" w:rsidRPr="00677204">
        <w:rPr>
          <w:rFonts w:ascii="Times New Roman" w:eastAsia="Calibri" w:hAnsi="Times New Roman" w:cs="Times New Roman"/>
          <w:szCs w:val="24"/>
        </w:rPr>
        <w:t xml:space="preserve">przepisów dyrektywy. </w:t>
      </w:r>
      <w:r w:rsidR="00EA0F83" w:rsidRPr="00677204">
        <w:rPr>
          <w:rFonts w:ascii="Times New Roman" w:eastAsia="Calibri" w:hAnsi="Times New Roman" w:cs="Times New Roman"/>
          <w:szCs w:val="24"/>
        </w:rPr>
        <w:t>W przypadku gdy organ innego państwa członkowskiego odmawia współpracy, o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EA0F83" w:rsidRPr="00677204">
        <w:rPr>
          <w:rFonts w:ascii="Times New Roman" w:eastAsia="Calibri" w:hAnsi="Times New Roman" w:cs="Times New Roman"/>
          <w:szCs w:val="24"/>
        </w:rPr>
        <w:t>której mowa powyżej, KNF na mocy ust. 3 w art. 14e</w:t>
      </w:r>
      <w:r w:rsidR="00746E23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EA0F83" w:rsidRPr="00677204">
        <w:rPr>
          <w:rFonts w:ascii="Times New Roman" w:eastAsia="Calibri" w:hAnsi="Times New Roman" w:cs="Times New Roman"/>
          <w:szCs w:val="24"/>
        </w:rPr>
        <w:t>może skierować sprawę do Europejskiego Urzędu Nadzoru Bankowego.</w:t>
      </w:r>
      <w:r w:rsidR="00840E78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7536EA">
        <w:rPr>
          <w:rFonts w:ascii="Times New Roman" w:eastAsia="Calibri" w:hAnsi="Times New Roman" w:cs="Times New Roman"/>
          <w:szCs w:val="24"/>
        </w:rPr>
        <w:t>Przepis u</w:t>
      </w:r>
      <w:r w:rsidR="00840E78" w:rsidRPr="00677204">
        <w:rPr>
          <w:rFonts w:ascii="Times New Roman" w:eastAsia="Calibri" w:hAnsi="Times New Roman" w:cs="Times New Roman"/>
          <w:szCs w:val="24"/>
        </w:rPr>
        <w:t>st</w:t>
      </w:r>
      <w:r w:rsidR="000629EA">
        <w:rPr>
          <w:rFonts w:ascii="Times New Roman" w:eastAsia="Calibri" w:hAnsi="Times New Roman" w:cs="Times New Roman"/>
          <w:szCs w:val="24"/>
        </w:rPr>
        <w:t>.</w:t>
      </w:r>
      <w:r w:rsidR="00840E78" w:rsidRPr="00677204">
        <w:rPr>
          <w:rFonts w:ascii="Times New Roman" w:eastAsia="Calibri" w:hAnsi="Times New Roman" w:cs="Times New Roman"/>
          <w:szCs w:val="24"/>
        </w:rPr>
        <w:t xml:space="preserve"> 4 określa przypad</w:t>
      </w:r>
      <w:r w:rsidR="00CE404E" w:rsidRPr="00677204">
        <w:rPr>
          <w:rFonts w:ascii="Times New Roman" w:eastAsia="Calibri" w:hAnsi="Times New Roman" w:cs="Times New Roman"/>
          <w:szCs w:val="24"/>
        </w:rPr>
        <w:t>e</w:t>
      </w:r>
      <w:r w:rsidR="00840E78" w:rsidRPr="00677204">
        <w:rPr>
          <w:rFonts w:ascii="Times New Roman" w:eastAsia="Calibri" w:hAnsi="Times New Roman" w:cs="Times New Roman"/>
          <w:szCs w:val="24"/>
        </w:rPr>
        <w:t>k</w:t>
      </w:r>
      <w:r w:rsidR="000629EA">
        <w:rPr>
          <w:rFonts w:ascii="Times New Roman" w:eastAsia="Calibri" w:hAnsi="Times New Roman" w:cs="Times New Roman"/>
          <w:szCs w:val="24"/>
        </w:rPr>
        <w:t>,</w:t>
      </w:r>
      <w:r w:rsidR="00840E78" w:rsidRPr="00677204">
        <w:rPr>
          <w:rFonts w:ascii="Times New Roman" w:eastAsia="Calibri" w:hAnsi="Times New Roman" w:cs="Times New Roman"/>
          <w:szCs w:val="24"/>
        </w:rPr>
        <w:t xml:space="preserve"> w jaki</w:t>
      </w:r>
      <w:r w:rsidR="00CE404E" w:rsidRPr="00677204">
        <w:rPr>
          <w:rFonts w:ascii="Times New Roman" w:eastAsia="Calibri" w:hAnsi="Times New Roman" w:cs="Times New Roman"/>
          <w:szCs w:val="24"/>
        </w:rPr>
        <w:t>m</w:t>
      </w:r>
      <w:r w:rsidR="00840E78" w:rsidRPr="00677204">
        <w:rPr>
          <w:rFonts w:ascii="Times New Roman" w:eastAsia="Calibri" w:hAnsi="Times New Roman" w:cs="Times New Roman"/>
          <w:szCs w:val="24"/>
        </w:rPr>
        <w:t xml:space="preserve"> KNF może odmówić </w:t>
      </w:r>
      <w:r w:rsidR="00E46B09" w:rsidRPr="00677204">
        <w:rPr>
          <w:rFonts w:ascii="Times New Roman" w:eastAsia="Calibri" w:hAnsi="Times New Roman" w:cs="Times New Roman"/>
          <w:szCs w:val="24"/>
        </w:rPr>
        <w:t xml:space="preserve">innemu organowi </w:t>
      </w:r>
      <w:r w:rsidR="00840E78" w:rsidRPr="00677204">
        <w:rPr>
          <w:rFonts w:ascii="Times New Roman" w:eastAsia="Calibri" w:hAnsi="Times New Roman" w:cs="Times New Roman"/>
          <w:szCs w:val="24"/>
        </w:rPr>
        <w:t>udzielenia informacji niezbędnych do wykonywania zadań nałożonych na niego w drodze dyrektywy.</w:t>
      </w:r>
      <w:r w:rsidR="005540E3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7536EA">
        <w:rPr>
          <w:rFonts w:ascii="Times New Roman" w:eastAsia="Calibri" w:hAnsi="Times New Roman" w:cs="Times New Roman"/>
          <w:szCs w:val="24"/>
        </w:rPr>
        <w:t>Przepis u</w:t>
      </w:r>
      <w:r w:rsidR="005540E3" w:rsidRPr="00677204">
        <w:rPr>
          <w:rFonts w:ascii="Times New Roman" w:eastAsia="Calibri" w:hAnsi="Times New Roman" w:cs="Times New Roman"/>
          <w:szCs w:val="24"/>
        </w:rPr>
        <w:t>st</w:t>
      </w:r>
      <w:r w:rsidR="000629EA">
        <w:rPr>
          <w:rFonts w:ascii="Times New Roman" w:eastAsia="Calibri" w:hAnsi="Times New Roman" w:cs="Times New Roman"/>
          <w:szCs w:val="24"/>
        </w:rPr>
        <w:t>.</w:t>
      </w:r>
      <w:r w:rsidR="005540E3" w:rsidRPr="00677204">
        <w:rPr>
          <w:rFonts w:ascii="Times New Roman" w:eastAsia="Calibri" w:hAnsi="Times New Roman" w:cs="Times New Roman"/>
          <w:szCs w:val="24"/>
        </w:rPr>
        <w:t xml:space="preserve"> 5 wprowadza obowiązek powiadomienia właściwego organu, któremu KNF odmówił udzielenia informacji i wskazania szczegółowego uzasadnienia swojej odmowy.</w:t>
      </w:r>
    </w:p>
    <w:p w14:paraId="333D388B" w14:textId="7B9A8DD7" w:rsidR="006B1DD2" w:rsidRPr="00677204" w:rsidRDefault="00703342" w:rsidP="002549F6">
      <w:pPr>
        <w:pStyle w:val="ARTartustawynprozporzdzenia"/>
        <w:spacing w:before="0"/>
        <w:ind w:firstLine="0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Przepisy art. 14f–</w:t>
      </w:r>
      <w:r w:rsidR="00840E78" w:rsidRPr="00677204">
        <w:rPr>
          <w:rFonts w:ascii="Times New Roman" w:eastAsia="Calibri" w:hAnsi="Times New Roman" w:cs="Times New Roman"/>
          <w:szCs w:val="24"/>
        </w:rPr>
        <w:t>14g</w:t>
      </w:r>
      <w:r w:rsidR="00E46B09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CC55C2" w:rsidRPr="00677204">
        <w:rPr>
          <w:rFonts w:ascii="Times New Roman" w:eastAsia="Calibri" w:hAnsi="Times New Roman" w:cs="Times New Roman"/>
          <w:szCs w:val="24"/>
        </w:rPr>
        <w:t>dotycz</w:t>
      </w:r>
      <w:r w:rsidR="00E46B09" w:rsidRPr="00677204">
        <w:rPr>
          <w:rFonts w:ascii="Times New Roman" w:eastAsia="Calibri" w:hAnsi="Times New Roman" w:cs="Times New Roman"/>
          <w:szCs w:val="24"/>
        </w:rPr>
        <w:t>ą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wykazu reprezentatywnych</w:t>
      </w:r>
      <w:r w:rsidR="002549F6" w:rsidRPr="00677204">
        <w:rPr>
          <w:rFonts w:ascii="Times New Roman" w:eastAsia="Calibri" w:hAnsi="Times New Roman" w:cs="Times New Roman"/>
          <w:szCs w:val="24"/>
        </w:rPr>
        <w:t xml:space="preserve"> usług płatniczych tworzonego </w:t>
      </w:r>
      <w:r w:rsidR="002549F6" w:rsidRPr="00677204">
        <w:rPr>
          <w:rFonts w:eastAsia="Calibri"/>
        </w:rPr>
        <w:t>w</w:t>
      </w:r>
      <w:r w:rsidR="006D4B38">
        <w:rPr>
          <w:rFonts w:eastAsia="Calibri"/>
        </w:rPr>
        <w:t xml:space="preserve"> </w:t>
      </w:r>
      <w:r w:rsidR="00CC55C2" w:rsidRPr="00677204">
        <w:rPr>
          <w:rFonts w:eastAsia="Calibri"/>
        </w:rPr>
        <w:t>każdym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państwie członkowski</w:t>
      </w:r>
      <w:r w:rsidR="00796352" w:rsidRPr="00677204">
        <w:rPr>
          <w:rFonts w:ascii="Times New Roman" w:eastAsia="Calibri" w:hAnsi="Times New Roman" w:cs="Times New Roman"/>
          <w:szCs w:val="24"/>
        </w:rPr>
        <w:t>m</w:t>
      </w:r>
      <w:r w:rsidR="00CC55C2" w:rsidRPr="00677204">
        <w:rPr>
          <w:rFonts w:ascii="Times New Roman" w:eastAsia="Calibri" w:hAnsi="Times New Roman" w:cs="Times New Roman"/>
          <w:szCs w:val="24"/>
        </w:rPr>
        <w:t>, odzwierciedlającego najbardziej popularne wśród konsumentów usługi powiązane z rachunkiem</w:t>
      </w:r>
      <w:r w:rsidR="00E46B09" w:rsidRPr="00677204">
        <w:rPr>
          <w:rFonts w:ascii="Times New Roman" w:eastAsia="Calibri" w:hAnsi="Times New Roman" w:cs="Times New Roman"/>
          <w:szCs w:val="24"/>
        </w:rPr>
        <w:t xml:space="preserve">. </w:t>
      </w:r>
      <w:r w:rsidR="00A30FA4" w:rsidRPr="00677204">
        <w:rPr>
          <w:rFonts w:ascii="Times New Roman" w:eastAsia="Calibri" w:hAnsi="Times New Roman" w:cs="Times New Roman"/>
          <w:szCs w:val="24"/>
        </w:rPr>
        <w:t>Wykaz usług reprezentatywnych będzie określany w formie rozporządzenia</w:t>
      </w:r>
      <w:r w:rsidR="00A77A3D" w:rsidRPr="00677204">
        <w:rPr>
          <w:rFonts w:ascii="Times New Roman" w:eastAsia="Calibri" w:hAnsi="Times New Roman" w:cs="Times New Roman"/>
          <w:szCs w:val="24"/>
        </w:rPr>
        <w:t xml:space="preserve"> przez Ministra Finansów</w:t>
      </w:r>
      <w:r w:rsidR="00A30FA4" w:rsidRPr="00677204">
        <w:rPr>
          <w:rFonts w:ascii="Times New Roman" w:eastAsia="Calibri" w:hAnsi="Times New Roman" w:cs="Times New Roman"/>
          <w:szCs w:val="24"/>
        </w:rPr>
        <w:t>.</w:t>
      </w:r>
      <w:r w:rsidR="00E97F48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E46B09" w:rsidRPr="00677204">
        <w:rPr>
          <w:rFonts w:ascii="Times New Roman" w:eastAsia="Calibri" w:hAnsi="Times New Roman" w:cs="Times New Roman"/>
          <w:szCs w:val="24"/>
        </w:rPr>
        <w:t>Pierwszy projekt wykazu powinien powstać i zostać opublikowany jeszcze przed terminem wyznaczonym na implementację dyrektywy (co wynika z art. 3 ust. 3–5 dyrektywy 2014/92/UE).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E46B09" w:rsidRPr="00677204">
        <w:rPr>
          <w:rFonts w:ascii="Times New Roman" w:eastAsia="Calibri" w:hAnsi="Times New Roman" w:cs="Times New Roman"/>
          <w:szCs w:val="24"/>
        </w:rPr>
        <w:t xml:space="preserve">Wykaz ma obejmować usługi, 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za które </w:t>
      </w:r>
      <w:r w:rsidR="00B33ACD" w:rsidRPr="00677204">
        <w:rPr>
          <w:rFonts w:ascii="Times New Roman" w:eastAsia="Calibri" w:hAnsi="Times New Roman" w:cs="Times New Roman"/>
          <w:szCs w:val="24"/>
        </w:rPr>
        <w:t>przynajmniej jeden dostawca prowadzący działalność na terytorium Rzeczypospolitej Polskiej pobiera opłatę</w:t>
      </w:r>
      <w:r w:rsidR="00455811" w:rsidRPr="00677204">
        <w:rPr>
          <w:rFonts w:ascii="Times New Roman" w:eastAsia="Calibri" w:hAnsi="Times New Roman" w:cs="Times New Roman"/>
          <w:szCs w:val="24"/>
        </w:rPr>
        <w:t>, wyłączając przypadki</w:t>
      </w:r>
      <w:r w:rsidR="003802EA" w:rsidRPr="00677204">
        <w:rPr>
          <w:rFonts w:ascii="Times New Roman" w:eastAsia="Calibri" w:hAnsi="Times New Roman" w:cs="Times New Roman"/>
          <w:szCs w:val="24"/>
        </w:rPr>
        <w:t>,</w:t>
      </w:r>
      <w:r w:rsidR="00455811" w:rsidRPr="00677204">
        <w:rPr>
          <w:rFonts w:ascii="Times New Roman" w:eastAsia="Calibri" w:hAnsi="Times New Roman" w:cs="Times New Roman"/>
          <w:szCs w:val="24"/>
        </w:rPr>
        <w:t xml:space="preserve"> w których j</w:t>
      </w:r>
      <w:r w:rsidR="00E46B09" w:rsidRPr="00677204">
        <w:rPr>
          <w:rFonts w:ascii="Times New Roman" w:eastAsia="Calibri" w:hAnsi="Times New Roman" w:cs="Times New Roman"/>
          <w:szCs w:val="24"/>
        </w:rPr>
        <w:t xml:space="preserve">est mowa o opłacie „0 złotych”. Wątpliwości </w:t>
      </w:r>
      <w:r w:rsidR="00A57950">
        <w:rPr>
          <w:rFonts w:ascii="Times New Roman" w:eastAsia="Calibri" w:hAnsi="Times New Roman" w:cs="Times New Roman"/>
          <w:szCs w:val="24"/>
        </w:rPr>
        <w:t>odnośnie tego</w:t>
      </w:r>
      <w:r w:rsidR="000629EA">
        <w:rPr>
          <w:rFonts w:ascii="Times New Roman" w:eastAsia="Calibri" w:hAnsi="Times New Roman" w:cs="Times New Roman"/>
          <w:szCs w:val="24"/>
        </w:rPr>
        <w:t>,</w:t>
      </w:r>
      <w:r w:rsidR="00A57950">
        <w:rPr>
          <w:rFonts w:ascii="Times New Roman" w:eastAsia="Calibri" w:hAnsi="Times New Roman" w:cs="Times New Roman"/>
          <w:szCs w:val="24"/>
        </w:rPr>
        <w:t xml:space="preserve"> czy można mówić o </w:t>
      </w:r>
      <w:r w:rsidR="00E46B09" w:rsidRPr="00677204">
        <w:rPr>
          <w:rFonts w:ascii="Times New Roman" w:eastAsia="Calibri" w:hAnsi="Times New Roman" w:cs="Times New Roman"/>
          <w:szCs w:val="24"/>
        </w:rPr>
        <w:t>„opłacie 0 złotych” jako opłacie pobieranej, wyniknęły z powszechnego używania przez dostawców</w:t>
      </w:r>
      <w:r w:rsidR="00455811" w:rsidRPr="00677204">
        <w:rPr>
          <w:rFonts w:ascii="Times New Roman" w:eastAsia="Calibri" w:hAnsi="Times New Roman" w:cs="Times New Roman"/>
          <w:szCs w:val="24"/>
        </w:rPr>
        <w:t xml:space="preserve"> w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455811" w:rsidRPr="00677204">
        <w:rPr>
          <w:rFonts w:ascii="Times New Roman" w:eastAsia="Calibri" w:hAnsi="Times New Roman" w:cs="Times New Roman"/>
          <w:szCs w:val="24"/>
        </w:rPr>
        <w:t xml:space="preserve">tabelach opłat i prowizji </w:t>
      </w:r>
      <w:r w:rsidR="00E46B09" w:rsidRPr="00677204">
        <w:rPr>
          <w:rFonts w:ascii="Times New Roman" w:eastAsia="Calibri" w:hAnsi="Times New Roman" w:cs="Times New Roman"/>
          <w:szCs w:val="24"/>
        </w:rPr>
        <w:t>takiego sformułowania</w:t>
      </w:r>
      <w:r w:rsidR="00455811" w:rsidRPr="00677204">
        <w:rPr>
          <w:rFonts w:ascii="Times New Roman" w:eastAsia="Calibri" w:hAnsi="Times New Roman" w:cs="Times New Roman"/>
          <w:szCs w:val="24"/>
        </w:rPr>
        <w:t xml:space="preserve">. W tej sytuacji </w:t>
      </w:r>
      <w:r w:rsidR="00E46B09" w:rsidRPr="00677204">
        <w:rPr>
          <w:rFonts w:ascii="Times New Roman" w:eastAsia="Calibri" w:hAnsi="Times New Roman" w:cs="Times New Roman"/>
          <w:szCs w:val="24"/>
        </w:rPr>
        <w:t xml:space="preserve">jednak </w:t>
      </w:r>
      <w:r w:rsidR="00455811" w:rsidRPr="00677204">
        <w:rPr>
          <w:rFonts w:ascii="Times New Roman" w:eastAsia="Calibri" w:hAnsi="Times New Roman" w:cs="Times New Roman"/>
          <w:szCs w:val="24"/>
        </w:rPr>
        <w:t xml:space="preserve">nie dochodzi do pobrania </w:t>
      </w:r>
      <w:r w:rsidR="00E46B09" w:rsidRPr="00677204">
        <w:rPr>
          <w:rFonts w:ascii="Times New Roman" w:eastAsia="Calibri" w:hAnsi="Times New Roman" w:cs="Times New Roman"/>
          <w:szCs w:val="24"/>
        </w:rPr>
        <w:t>żadnej kwoty</w:t>
      </w:r>
      <w:r w:rsidR="00455811" w:rsidRPr="00677204">
        <w:rPr>
          <w:rFonts w:ascii="Times New Roman" w:eastAsia="Calibri" w:hAnsi="Times New Roman" w:cs="Times New Roman"/>
          <w:szCs w:val="24"/>
        </w:rPr>
        <w:t xml:space="preserve">, </w:t>
      </w:r>
      <w:r w:rsidR="00E46B09" w:rsidRPr="00677204">
        <w:rPr>
          <w:rFonts w:ascii="Times New Roman" w:eastAsia="Calibri" w:hAnsi="Times New Roman" w:cs="Times New Roman"/>
          <w:szCs w:val="24"/>
        </w:rPr>
        <w:t>czego wymaga art. 14f</w:t>
      </w:r>
      <w:r w:rsidR="00455811" w:rsidRPr="00677204">
        <w:rPr>
          <w:rFonts w:ascii="Times New Roman" w:eastAsia="Calibri" w:hAnsi="Times New Roman" w:cs="Times New Roman"/>
          <w:szCs w:val="24"/>
        </w:rPr>
        <w:t xml:space="preserve"> ust. </w:t>
      </w:r>
      <w:r w:rsidR="008D79C1" w:rsidRPr="00677204">
        <w:rPr>
          <w:rFonts w:ascii="Times New Roman" w:eastAsia="Calibri" w:hAnsi="Times New Roman" w:cs="Times New Roman"/>
          <w:szCs w:val="24"/>
        </w:rPr>
        <w:t>1</w:t>
      </w:r>
      <w:r w:rsidR="00E46B09" w:rsidRPr="00677204">
        <w:rPr>
          <w:rFonts w:ascii="Times New Roman" w:eastAsia="Calibri" w:hAnsi="Times New Roman" w:cs="Times New Roman"/>
          <w:szCs w:val="24"/>
        </w:rPr>
        <w:t xml:space="preserve"> pkt 1</w:t>
      </w:r>
      <w:r w:rsidR="00455811" w:rsidRPr="00677204">
        <w:rPr>
          <w:rFonts w:ascii="Times New Roman" w:eastAsia="Calibri" w:hAnsi="Times New Roman" w:cs="Times New Roman"/>
          <w:szCs w:val="24"/>
        </w:rPr>
        <w:t xml:space="preserve"> dla uwzględnienia danej usługi w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455811" w:rsidRPr="00677204">
        <w:rPr>
          <w:rFonts w:ascii="Times New Roman" w:eastAsia="Calibri" w:hAnsi="Times New Roman" w:cs="Times New Roman"/>
          <w:szCs w:val="24"/>
        </w:rPr>
        <w:t xml:space="preserve">wykazie. </w:t>
      </w:r>
      <w:r w:rsidR="006C23B1" w:rsidRPr="00677204">
        <w:rPr>
          <w:rFonts w:ascii="Times New Roman" w:eastAsia="Calibri" w:hAnsi="Times New Roman" w:cs="Times New Roman"/>
          <w:szCs w:val="24"/>
        </w:rPr>
        <w:t>N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a podstawie </w:t>
      </w:r>
      <w:r w:rsidR="006C23B1" w:rsidRPr="00677204">
        <w:rPr>
          <w:rFonts w:ascii="Times New Roman" w:eastAsia="Calibri" w:hAnsi="Times New Roman" w:cs="Times New Roman"/>
          <w:szCs w:val="24"/>
        </w:rPr>
        <w:t xml:space="preserve">wykazu </w:t>
      </w:r>
      <w:r w:rsidR="00E46B09" w:rsidRPr="00677204">
        <w:rPr>
          <w:rFonts w:ascii="Times New Roman" w:eastAsia="Calibri" w:hAnsi="Times New Roman" w:cs="Times New Roman"/>
          <w:szCs w:val="24"/>
        </w:rPr>
        <w:t>reprezentatywnych usług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dostawcy będą przekazywać informacje o oferowanych przez siebie usługach</w:t>
      </w:r>
      <w:r w:rsidR="006C23B1" w:rsidRPr="00677204">
        <w:rPr>
          <w:rFonts w:ascii="Times New Roman" w:eastAsia="Calibri" w:hAnsi="Times New Roman" w:cs="Times New Roman"/>
          <w:szCs w:val="24"/>
        </w:rPr>
        <w:t xml:space="preserve"> – 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będzie </w:t>
      </w:r>
      <w:r w:rsidR="006C23B1" w:rsidRPr="00677204">
        <w:rPr>
          <w:rFonts w:ascii="Times New Roman" w:eastAsia="Calibri" w:hAnsi="Times New Roman" w:cs="Times New Roman"/>
          <w:szCs w:val="24"/>
        </w:rPr>
        <w:lastRenderedPageBreak/>
        <w:t xml:space="preserve">on 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instrumentem </w:t>
      </w:r>
      <w:r w:rsidR="00796352" w:rsidRPr="00677204">
        <w:rPr>
          <w:rFonts w:ascii="Times New Roman" w:eastAsia="Calibri" w:hAnsi="Times New Roman" w:cs="Times New Roman"/>
          <w:szCs w:val="24"/>
        </w:rPr>
        <w:t xml:space="preserve">przydatnym </w:t>
      </w:r>
      <w:r w:rsidR="006C23B1" w:rsidRPr="00677204">
        <w:rPr>
          <w:rFonts w:ascii="Times New Roman" w:eastAsia="Calibri" w:hAnsi="Times New Roman" w:cs="Times New Roman"/>
          <w:szCs w:val="24"/>
        </w:rPr>
        <w:t>konsument</w:t>
      </w:r>
      <w:r w:rsidR="00967CE7" w:rsidRPr="00677204">
        <w:rPr>
          <w:rFonts w:ascii="Times New Roman" w:eastAsia="Calibri" w:hAnsi="Times New Roman" w:cs="Times New Roman"/>
          <w:szCs w:val="24"/>
        </w:rPr>
        <w:t>om</w:t>
      </w:r>
      <w:r w:rsidR="006C23B1" w:rsidRPr="00677204">
        <w:rPr>
          <w:rFonts w:ascii="Times New Roman" w:eastAsia="Calibri" w:hAnsi="Times New Roman" w:cs="Times New Roman"/>
          <w:szCs w:val="24"/>
        </w:rPr>
        <w:t xml:space="preserve"> przy </w:t>
      </w:r>
      <w:r w:rsidR="00CC55C2" w:rsidRPr="00677204">
        <w:rPr>
          <w:rFonts w:ascii="Times New Roman" w:eastAsia="Calibri" w:hAnsi="Times New Roman" w:cs="Times New Roman"/>
          <w:szCs w:val="24"/>
        </w:rPr>
        <w:t>dokonywani</w:t>
      </w:r>
      <w:r w:rsidR="006C23B1" w:rsidRPr="00677204">
        <w:rPr>
          <w:rFonts w:ascii="Times New Roman" w:eastAsia="Calibri" w:hAnsi="Times New Roman" w:cs="Times New Roman"/>
          <w:szCs w:val="24"/>
        </w:rPr>
        <w:t>u</w:t>
      </w:r>
      <w:r w:rsidR="00A57950">
        <w:rPr>
          <w:rFonts w:ascii="Times New Roman" w:eastAsia="Calibri" w:hAnsi="Times New Roman" w:cs="Times New Roman"/>
          <w:szCs w:val="24"/>
        </w:rPr>
        <w:t xml:space="preserve"> wyboru dostawcy, z 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którym chcieliby zawrzeć umowę rachunku płatniczego. Wykaz będzie zawierał ujednolicone pojęcia i definicje </w:t>
      </w:r>
      <w:r w:rsidR="006C23B1" w:rsidRPr="00677204">
        <w:rPr>
          <w:rFonts w:ascii="Times New Roman" w:eastAsia="Calibri" w:hAnsi="Times New Roman" w:cs="Times New Roman"/>
          <w:szCs w:val="24"/>
        </w:rPr>
        <w:t xml:space="preserve">dotyczące </w:t>
      </w:r>
      <w:r w:rsidR="00CC55C2" w:rsidRPr="00677204">
        <w:rPr>
          <w:rFonts w:ascii="Times New Roman" w:eastAsia="Calibri" w:hAnsi="Times New Roman" w:cs="Times New Roman"/>
          <w:szCs w:val="24"/>
        </w:rPr>
        <w:t>usług powiązany</w:t>
      </w:r>
      <w:r w:rsidR="006C23B1" w:rsidRPr="00677204">
        <w:rPr>
          <w:rFonts w:ascii="Times New Roman" w:eastAsia="Calibri" w:hAnsi="Times New Roman" w:cs="Times New Roman"/>
          <w:szCs w:val="24"/>
        </w:rPr>
        <w:t>ch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z rachunkiem płatniczym. </w:t>
      </w:r>
      <w:r w:rsidR="006B1DD2" w:rsidRPr="00677204">
        <w:rPr>
          <w:rFonts w:ascii="Times New Roman" w:eastAsia="Calibri" w:hAnsi="Times New Roman" w:cs="Times New Roman"/>
          <w:szCs w:val="24"/>
        </w:rPr>
        <w:t>Zgodnie z art. 14</w:t>
      </w:r>
      <w:r w:rsidR="006A7393" w:rsidRPr="00677204">
        <w:rPr>
          <w:rFonts w:ascii="Times New Roman" w:eastAsia="Calibri" w:hAnsi="Times New Roman" w:cs="Times New Roman"/>
          <w:szCs w:val="24"/>
        </w:rPr>
        <w:t>f</w:t>
      </w:r>
      <w:r w:rsidR="006B1DD2" w:rsidRPr="00677204">
        <w:rPr>
          <w:rFonts w:ascii="Times New Roman" w:eastAsia="Calibri" w:hAnsi="Times New Roman" w:cs="Times New Roman"/>
          <w:szCs w:val="24"/>
        </w:rPr>
        <w:t xml:space="preserve"> ust. </w:t>
      </w:r>
      <w:r w:rsidR="008D79C1" w:rsidRPr="00677204">
        <w:rPr>
          <w:rFonts w:ascii="Times New Roman" w:eastAsia="Calibri" w:hAnsi="Times New Roman" w:cs="Times New Roman"/>
          <w:szCs w:val="24"/>
        </w:rPr>
        <w:t>2</w:t>
      </w:r>
      <w:r w:rsidR="006B1DD2" w:rsidRPr="00677204">
        <w:rPr>
          <w:rFonts w:ascii="Times New Roman" w:eastAsia="Calibri" w:hAnsi="Times New Roman" w:cs="Times New Roman"/>
          <w:szCs w:val="24"/>
        </w:rPr>
        <w:t xml:space="preserve">, </w:t>
      </w:r>
      <w:r w:rsidR="00B35154" w:rsidRPr="00677204">
        <w:rPr>
          <w:rFonts w:ascii="Times New Roman" w:eastAsia="Calibri" w:hAnsi="Times New Roman" w:cs="Times New Roman"/>
          <w:szCs w:val="24"/>
        </w:rPr>
        <w:t xml:space="preserve">KNF 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będzie </w:t>
      </w:r>
      <w:r w:rsidR="006B1DD2" w:rsidRPr="00677204">
        <w:rPr>
          <w:rFonts w:ascii="Times New Roman" w:eastAsia="Calibri" w:hAnsi="Times New Roman" w:cs="Times New Roman"/>
          <w:szCs w:val="24"/>
        </w:rPr>
        <w:t xml:space="preserve">zobowiązany </w:t>
      </w:r>
      <w:r w:rsidR="006C23B1" w:rsidRPr="00677204">
        <w:rPr>
          <w:rFonts w:ascii="Times New Roman" w:eastAsia="Calibri" w:hAnsi="Times New Roman" w:cs="Times New Roman"/>
          <w:szCs w:val="24"/>
        </w:rPr>
        <w:t xml:space="preserve">co 4 lata </w:t>
      </w:r>
      <w:r w:rsidR="006B1DD2" w:rsidRPr="00677204">
        <w:rPr>
          <w:rFonts w:ascii="Times New Roman" w:eastAsia="Calibri" w:hAnsi="Times New Roman" w:cs="Times New Roman"/>
          <w:szCs w:val="24"/>
        </w:rPr>
        <w:t>ocenić</w:t>
      </w:r>
      <w:r w:rsidR="00A57950">
        <w:rPr>
          <w:rFonts w:ascii="Times New Roman" w:eastAsia="Calibri" w:hAnsi="Times New Roman" w:cs="Times New Roman"/>
          <w:szCs w:val="24"/>
        </w:rPr>
        <w:t xml:space="preserve"> aktualność wykazu i </w:t>
      </w:r>
      <w:r w:rsidR="00CC55C2" w:rsidRPr="00677204">
        <w:rPr>
          <w:rFonts w:ascii="Times New Roman" w:eastAsia="Calibri" w:hAnsi="Times New Roman" w:cs="Times New Roman"/>
          <w:szCs w:val="24"/>
        </w:rPr>
        <w:t>w razie potrzeby</w:t>
      </w:r>
      <w:r w:rsidR="00A30FA4" w:rsidRPr="00677204">
        <w:rPr>
          <w:rFonts w:ascii="Times New Roman" w:eastAsia="Calibri" w:hAnsi="Times New Roman" w:cs="Times New Roman"/>
          <w:szCs w:val="24"/>
        </w:rPr>
        <w:t xml:space="preserve"> przekazywać do ministra właściwego do spraw instytucji finansowych informację o </w:t>
      </w:r>
      <w:r w:rsidR="00CE404E" w:rsidRPr="00677204">
        <w:rPr>
          <w:rFonts w:ascii="Times New Roman" w:eastAsia="Calibri" w:hAnsi="Times New Roman" w:cs="Times New Roman"/>
          <w:szCs w:val="24"/>
        </w:rPr>
        <w:t>usługach powiązanych z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CE404E" w:rsidRPr="00677204">
        <w:rPr>
          <w:rFonts w:ascii="Times New Roman" w:eastAsia="Calibri" w:hAnsi="Times New Roman" w:cs="Times New Roman"/>
          <w:szCs w:val="24"/>
        </w:rPr>
        <w:t>rachunkiem płatniczym, reprezentatywnych w danym okresie dla krajowego rynku.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B33ACD" w:rsidRPr="00677204">
        <w:rPr>
          <w:rFonts w:ascii="Times New Roman" w:eastAsia="Calibri" w:hAnsi="Times New Roman" w:cs="Times New Roman"/>
          <w:szCs w:val="24"/>
        </w:rPr>
        <w:t>Ponadto</w:t>
      </w:r>
      <w:r w:rsidR="006C23B1" w:rsidRPr="00677204">
        <w:rPr>
          <w:rFonts w:ascii="Times New Roman" w:eastAsia="Calibri" w:hAnsi="Times New Roman" w:cs="Times New Roman"/>
          <w:szCs w:val="24"/>
        </w:rPr>
        <w:t xml:space="preserve">, </w:t>
      </w:r>
      <w:r w:rsidR="00B33ACD" w:rsidRPr="00677204">
        <w:rPr>
          <w:rFonts w:ascii="Times New Roman" w:eastAsia="Calibri" w:hAnsi="Times New Roman" w:cs="Times New Roman"/>
          <w:szCs w:val="24"/>
        </w:rPr>
        <w:t>w przypadku dokonania zmian w wykazie</w:t>
      </w:r>
      <w:r w:rsidR="000575BA" w:rsidRPr="00677204">
        <w:rPr>
          <w:rFonts w:ascii="Times New Roman" w:eastAsia="Calibri" w:hAnsi="Times New Roman" w:cs="Times New Roman"/>
          <w:szCs w:val="24"/>
        </w:rPr>
        <w:t>,</w:t>
      </w:r>
      <w:r w:rsidR="00B33ACD" w:rsidRPr="00677204">
        <w:rPr>
          <w:rFonts w:ascii="Times New Roman" w:eastAsia="Calibri" w:hAnsi="Times New Roman" w:cs="Times New Roman"/>
          <w:szCs w:val="24"/>
        </w:rPr>
        <w:t xml:space="preserve"> KNF zobowiązany </w:t>
      </w:r>
      <w:r w:rsidR="006B1DD2" w:rsidRPr="00677204">
        <w:rPr>
          <w:rFonts w:ascii="Times New Roman" w:eastAsia="Calibri" w:hAnsi="Times New Roman" w:cs="Times New Roman"/>
          <w:szCs w:val="24"/>
        </w:rPr>
        <w:t>będzie</w:t>
      </w:r>
      <w:r w:rsidR="00B33ACD" w:rsidRPr="00677204">
        <w:rPr>
          <w:rFonts w:ascii="Times New Roman" w:eastAsia="Calibri" w:hAnsi="Times New Roman" w:cs="Times New Roman"/>
          <w:szCs w:val="24"/>
        </w:rPr>
        <w:t xml:space="preserve"> przekazać </w:t>
      </w:r>
      <w:r w:rsidR="00070B14" w:rsidRPr="00677204">
        <w:rPr>
          <w:rFonts w:ascii="Times New Roman" w:eastAsia="Calibri" w:hAnsi="Times New Roman" w:cs="Times New Roman"/>
          <w:szCs w:val="24"/>
        </w:rPr>
        <w:t xml:space="preserve">do </w:t>
      </w:r>
      <w:r w:rsidR="00B33ACD" w:rsidRPr="00677204">
        <w:rPr>
          <w:rFonts w:ascii="Times New Roman" w:eastAsia="Calibri" w:hAnsi="Times New Roman" w:cs="Times New Roman"/>
          <w:szCs w:val="24"/>
        </w:rPr>
        <w:t xml:space="preserve">Komisji Europejskiej i </w:t>
      </w:r>
      <w:r w:rsidR="00070B14" w:rsidRPr="00677204">
        <w:rPr>
          <w:rFonts w:ascii="Times New Roman" w:eastAsia="Calibri" w:hAnsi="Times New Roman" w:cs="Times New Roman"/>
          <w:szCs w:val="24"/>
        </w:rPr>
        <w:t xml:space="preserve">do Europejskiego Urzędu Nadzoru Bankowego uaktualniony wykaz. </w:t>
      </w:r>
      <w:r w:rsidR="006E005C" w:rsidRPr="00677204">
        <w:rPr>
          <w:rFonts w:ascii="Times New Roman" w:eastAsia="Calibri" w:hAnsi="Times New Roman" w:cs="Times New Roman"/>
          <w:szCs w:val="24"/>
        </w:rPr>
        <w:t xml:space="preserve">Przepis art. 14g zobowiązuje dostawców usług płatniczych prowadzących rachunki płatnicze do uwzględniania usług zawartych w wykazie przy realizacji obowiązków informacyjnych </w:t>
      </w:r>
      <w:r w:rsidR="00AF1E7C" w:rsidRPr="00677204">
        <w:rPr>
          <w:rFonts w:ascii="Times New Roman" w:eastAsia="Calibri" w:hAnsi="Times New Roman" w:cs="Times New Roman"/>
          <w:szCs w:val="24"/>
        </w:rPr>
        <w:t>w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AF1E7C" w:rsidRPr="00677204">
        <w:rPr>
          <w:rFonts w:ascii="Times New Roman" w:eastAsia="Calibri" w:hAnsi="Times New Roman" w:cs="Times New Roman"/>
          <w:szCs w:val="24"/>
        </w:rPr>
        <w:t>zakresie opracowywania</w:t>
      </w:r>
      <w:r w:rsidR="006E005C" w:rsidRPr="00677204">
        <w:rPr>
          <w:rFonts w:ascii="Times New Roman" w:eastAsia="Calibri" w:hAnsi="Times New Roman" w:cs="Times New Roman"/>
          <w:szCs w:val="24"/>
        </w:rPr>
        <w:t xml:space="preserve"> dokumentu dotyczącego opłat oraz zestawienia opłat.</w:t>
      </w:r>
    </w:p>
    <w:p w14:paraId="4EAEF5DA" w14:textId="0E2C6CEC" w:rsidR="00166E5E" w:rsidRPr="00677204" w:rsidRDefault="006C23B1" w:rsidP="002549F6">
      <w:pPr>
        <w:pStyle w:val="ARTartustawynprozporzdzeni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Przepisy art. </w:t>
      </w:r>
      <w:r w:rsidR="006B1DD2" w:rsidRPr="00677204">
        <w:rPr>
          <w:rFonts w:ascii="Times New Roman" w:eastAsia="Calibri" w:hAnsi="Times New Roman" w:cs="Times New Roman"/>
          <w:szCs w:val="24"/>
        </w:rPr>
        <w:t>14</w:t>
      </w:r>
      <w:r w:rsidR="006E005C" w:rsidRPr="00677204">
        <w:rPr>
          <w:rFonts w:ascii="Times New Roman" w:eastAsia="Calibri" w:hAnsi="Times New Roman" w:cs="Times New Roman"/>
          <w:szCs w:val="24"/>
        </w:rPr>
        <w:t>h</w:t>
      </w:r>
      <w:r w:rsidRPr="00677204">
        <w:rPr>
          <w:rFonts w:ascii="Times New Roman" w:eastAsia="Calibri" w:hAnsi="Times New Roman" w:cs="Times New Roman"/>
          <w:szCs w:val="24"/>
        </w:rPr>
        <w:t>–</w:t>
      </w:r>
      <w:r w:rsidR="006B1DD2" w:rsidRPr="00677204">
        <w:rPr>
          <w:rFonts w:ascii="Times New Roman" w:eastAsia="Calibri" w:hAnsi="Times New Roman" w:cs="Times New Roman"/>
          <w:szCs w:val="24"/>
        </w:rPr>
        <w:t>14</w:t>
      </w:r>
      <w:r w:rsidR="00A2559F" w:rsidRPr="00677204">
        <w:rPr>
          <w:rFonts w:ascii="Times New Roman" w:eastAsia="Calibri" w:hAnsi="Times New Roman" w:cs="Times New Roman"/>
          <w:szCs w:val="24"/>
        </w:rPr>
        <w:t>i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BC68F9" w:rsidRPr="00677204">
        <w:rPr>
          <w:rFonts w:ascii="Times New Roman" w:eastAsia="Calibri" w:hAnsi="Times New Roman" w:cs="Times New Roman"/>
          <w:szCs w:val="24"/>
        </w:rPr>
        <w:t>r</w:t>
      </w:r>
      <w:r w:rsidR="007357A2" w:rsidRPr="00677204">
        <w:rPr>
          <w:rFonts w:ascii="Times New Roman" w:eastAsia="Calibri" w:hAnsi="Times New Roman" w:cs="Times New Roman"/>
          <w:szCs w:val="24"/>
        </w:rPr>
        <w:t>egulują kwesti</w:t>
      </w:r>
      <w:r w:rsidR="00287D8E">
        <w:rPr>
          <w:rFonts w:ascii="Times New Roman" w:eastAsia="Calibri" w:hAnsi="Times New Roman" w:cs="Times New Roman"/>
          <w:szCs w:val="24"/>
        </w:rPr>
        <w:t>e</w:t>
      </w:r>
      <w:r w:rsidR="00BC68F9" w:rsidRPr="00677204">
        <w:rPr>
          <w:rFonts w:ascii="Times New Roman" w:eastAsia="Calibri" w:hAnsi="Times New Roman" w:cs="Times New Roman"/>
          <w:szCs w:val="24"/>
        </w:rPr>
        <w:t xml:space="preserve"> związane z</w:t>
      </w:r>
      <w:r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5809E4" w:rsidRPr="00677204">
        <w:rPr>
          <w:rFonts w:ascii="Times New Roman" w:eastAsia="Calibri" w:hAnsi="Times New Roman" w:cs="Times New Roman"/>
          <w:szCs w:val="24"/>
        </w:rPr>
        <w:t>podmiot</w:t>
      </w:r>
      <w:r w:rsidR="00BC68F9" w:rsidRPr="00677204">
        <w:rPr>
          <w:rFonts w:ascii="Times New Roman" w:eastAsia="Calibri" w:hAnsi="Times New Roman" w:cs="Times New Roman"/>
          <w:szCs w:val="24"/>
        </w:rPr>
        <w:t>ami</w:t>
      </w:r>
      <w:r w:rsidR="005809E4" w:rsidRPr="00677204">
        <w:rPr>
          <w:rFonts w:ascii="Times New Roman" w:eastAsia="Calibri" w:hAnsi="Times New Roman" w:cs="Times New Roman"/>
          <w:szCs w:val="24"/>
        </w:rPr>
        <w:t xml:space="preserve"> prowadzącym</w:t>
      </w:r>
      <w:r w:rsidR="00BC68F9" w:rsidRPr="00677204">
        <w:rPr>
          <w:rFonts w:ascii="Times New Roman" w:eastAsia="Calibri" w:hAnsi="Times New Roman" w:cs="Times New Roman"/>
          <w:szCs w:val="24"/>
        </w:rPr>
        <w:t>i</w:t>
      </w:r>
      <w:r w:rsidR="005809E4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CC55C2" w:rsidRPr="00677204">
        <w:rPr>
          <w:rFonts w:ascii="Times New Roman" w:eastAsia="Calibri" w:hAnsi="Times New Roman" w:cs="Times New Roman"/>
          <w:szCs w:val="24"/>
        </w:rPr>
        <w:t>stron</w:t>
      </w:r>
      <w:r w:rsidR="005809E4" w:rsidRPr="00677204">
        <w:rPr>
          <w:rFonts w:ascii="Times New Roman" w:eastAsia="Calibri" w:hAnsi="Times New Roman" w:cs="Times New Roman"/>
          <w:szCs w:val="24"/>
        </w:rPr>
        <w:t>y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internetow</w:t>
      </w:r>
      <w:r w:rsidR="005809E4" w:rsidRPr="00677204">
        <w:rPr>
          <w:rFonts w:ascii="Times New Roman" w:eastAsia="Calibri" w:hAnsi="Times New Roman" w:cs="Times New Roman"/>
          <w:szCs w:val="24"/>
        </w:rPr>
        <w:t>e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porównując</w:t>
      </w:r>
      <w:r w:rsidR="005809E4" w:rsidRPr="00677204">
        <w:rPr>
          <w:rFonts w:ascii="Times New Roman" w:eastAsia="Calibri" w:hAnsi="Times New Roman" w:cs="Times New Roman"/>
          <w:szCs w:val="24"/>
        </w:rPr>
        <w:t>e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oferty dostawców prowadzących rachunki płatnicze. </w:t>
      </w:r>
      <w:r w:rsidR="007357A2" w:rsidRPr="00677204">
        <w:rPr>
          <w:rFonts w:ascii="Times New Roman" w:eastAsia="Calibri" w:hAnsi="Times New Roman" w:cs="Times New Roman"/>
          <w:szCs w:val="24"/>
        </w:rPr>
        <w:t xml:space="preserve">Dyrektywa nakazuje, </w:t>
      </w:r>
      <w:r w:rsidR="00287D8E">
        <w:rPr>
          <w:rFonts w:ascii="Times New Roman" w:eastAsia="Calibri" w:hAnsi="Times New Roman" w:cs="Times New Roman"/>
          <w:szCs w:val="24"/>
        </w:rPr>
        <w:t>a</w:t>
      </w:r>
      <w:r w:rsidR="007357A2" w:rsidRPr="00677204">
        <w:rPr>
          <w:rFonts w:ascii="Times New Roman" w:eastAsia="Calibri" w:hAnsi="Times New Roman" w:cs="Times New Roman"/>
          <w:szCs w:val="24"/>
        </w:rPr>
        <w:t>by</w:t>
      </w:r>
      <w:r w:rsidR="006E31CB" w:rsidRPr="00677204">
        <w:rPr>
          <w:rFonts w:ascii="Times New Roman" w:eastAsia="Calibri" w:hAnsi="Times New Roman" w:cs="Times New Roman"/>
          <w:szCs w:val="24"/>
        </w:rPr>
        <w:t xml:space="preserve"> państwo członkowskie zapewniło funkcjonowanie przynajmniej jednej strony internetowej porównującej oferty dostawców usług płatniczych prowadzących rachunki płatnicze dla konsumentów na terytorium RP zgodnie z </w:t>
      </w:r>
      <w:r w:rsidR="00801313" w:rsidRPr="00677204">
        <w:rPr>
          <w:rFonts w:ascii="Times New Roman" w:eastAsia="Calibri" w:hAnsi="Times New Roman" w:cs="Times New Roman"/>
          <w:szCs w:val="24"/>
        </w:rPr>
        <w:t>wymogami dyrektywy, powtórzonymi w art. 14h ust. 1</w:t>
      </w:r>
      <w:r w:rsidR="00AF1E7C" w:rsidRPr="00677204">
        <w:rPr>
          <w:rFonts w:ascii="Times New Roman" w:eastAsia="Calibri" w:hAnsi="Times New Roman" w:cs="Times New Roman"/>
          <w:szCs w:val="24"/>
        </w:rPr>
        <w:t xml:space="preserve"> ustawy</w:t>
      </w:r>
      <w:r w:rsidR="006E31CB" w:rsidRPr="00677204">
        <w:rPr>
          <w:rFonts w:ascii="Times New Roman" w:eastAsia="Calibri" w:hAnsi="Times New Roman" w:cs="Times New Roman"/>
          <w:szCs w:val="24"/>
        </w:rPr>
        <w:t>.</w:t>
      </w:r>
      <w:r w:rsidR="007357A2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6E31CB" w:rsidRPr="00677204">
        <w:rPr>
          <w:rFonts w:ascii="Times New Roman" w:eastAsia="Calibri" w:hAnsi="Times New Roman" w:cs="Times New Roman"/>
          <w:szCs w:val="24"/>
        </w:rPr>
        <w:t>W projekcie przyjęto, że podmioty f</w:t>
      </w:r>
      <w:r w:rsidR="00801313" w:rsidRPr="00677204">
        <w:rPr>
          <w:rFonts w:ascii="Times New Roman" w:eastAsia="Calibri" w:hAnsi="Times New Roman" w:cs="Times New Roman"/>
          <w:szCs w:val="24"/>
        </w:rPr>
        <w:t>unkcjonujące zgodnie z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801313" w:rsidRPr="00677204">
        <w:rPr>
          <w:rFonts w:ascii="Times New Roman" w:eastAsia="Calibri" w:hAnsi="Times New Roman" w:cs="Times New Roman"/>
          <w:szCs w:val="24"/>
        </w:rPr>
        <w:t>wymogami będą informowały o tym</w:t>
      </w:r>
      <w:r w:rsidR="00AF1E7C" w:rsidRPr="00677204">
        <w:rPr>
          <w:rFonts w:ascii="Times New Roman" w:eastAsia="Calibri" w:hAnsi="Times New Roman" w:cs="Times New Roman"/>
          <w:szCs w:val="24"/>
        </w:rPr>
        <w:t xml:space="preserve"> fakcie</w:t>
      </w:r>
      <w:r w:rsidR="00801313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C212CC" w:rsidRPr="00677204">
        <w:rPr>
          <w:rFonts w:ascii="Times New Roman" w:eastAsia="Calibri" w:hAnsi="Times New Roman" w:cs="Times New Roman"/>
          <w:szCs w:val="24"/>
        </w:rPr>
        <w:t>KNF</w:t>
      </w:r>
      <w:r w:rsidR="00801313" w:rsidRPr="00677204">
        <w:rPr>
          <w:rFonts w:ascii="Times New Roman" w:eastAsia="Calibri" w:hAnsi="Times New Roman" w:cs="Times New Roman"/>
          <w:szCs w:val="24"/>
        </w:rPr>
        <w:t>, który będzie na swojej stronie internetowej zamieszczał wykaz</w:t>
      </w:r>
      <w:r w:rsidR="00AF1E7C" w:rsidRPr="00677204">
        <w:rPr>
          <w:rFonts w:ascii="Times New Roman" w:eastAsia="Calibri" w:hAnsi="Times New Roman" w:cs="Times New Roman"/>
          <w:szCs w:val="24"/>
        </w:rPr>
        <w:t xml:space="preserve"> tych podmiotów</w:t>
      </w:r>
      <w:r w:rsidR="00801313" w:rsidRPr="00677204">
        <w:rPr>
          <w:rFonts w:ascii="Times New Roman" w:eastAsia="Calibri" w:hAnsi="Times New Roman" w:cs="Times New Roman"/>
          <w:szCs w:val="24"/>
        </w:rPr>
        <w:t xml:space="preserve">. Uznano, że operatorzy stron internetowych porównujących oferty będą zainteresowani, </w:t>
      </w:r>
      <w:r w:rsidR="00287D8E">
        <w:rPr>
          <w:rFonts w:ascii="Times New Roman" w:eastAsia="Calibri" w:hAnsi="Times New Roman" w:cs="Times New Roman"/>
          <w:szCs w:val="24"/>
        </w:rPr>
        <w:t>a</w:t>
      </w:r>
      <w:r w:rsidR="00801313" w:rsidRPr="00677204">
        <w:rPr>
          <w:rFonts w:ascii="Times New Roman" w:eastAsia="Calibri" w:hAnsi="Times New Roman" w:cs="Times New Roman"/>
          <w:szCs w:val="24"/>
        </w:rPr>
        <w:t xml:space="preserve">by znaleźć się w tym wykazie, więc będą dążyć do tego, </w:t>
      </w:r>
      <w:r w:rsidR="00287D8E">
        <w:rPr>
          <w:rFonts w:ascii="Times New Roman" w:eastAsia="Calibri" w:hAnsi="Times New Roman" w:cs="Times New Roman"/>
          <w:szCs w:val="24"/>
        </w:rPr>
        <w:t>a</w:t>
      </w:r>
      <w:r w:rsidR="00801313" w:rsidRPr="00677204">
        <w:rPr>
          <w:rFonts w:ascii="Times New Roman" w:eastAsia="Calibri" w:hAnsi="Times New Roman" w:cs="Times New Roman"/>
          <w:szCs w:val="24"/>
        </w:rPr>
        <w:t>by wypełniać wymogi zawarte w dyrektywie. Podmioty takie będą ta</w:t>
      </w:r>
      <w:r w:rsidR="00AF1E7C" w:rsidRPr="00677204">
        <w:rPr>
          <w:rFonts w:ascii="Times New Roman" w:eastAsia="Calibri" w:hAnsi="Times New Roman" w:cs="Times New Roman"/>
          <w:szCs w:val="24"/>
        </w:rPr>
        <w:t>kże obowiązane do umieszczenia</w:t>
      </w:r>
      <w:r w:rsidR="00801313" w:rsidRPr="00677204">
        <w:rPr>
          <w:rFonts w:ascii="Times New Roman" w:eastAsia="Calibri" w:hAnsi="Times New Roman" w:cs="Times New Roman"/>
          <w:szCs w:val="24"/>
        </w:rPr>
        <w:t xml:space="preserve"> na swojej stronie internetowej</w:t>
      </w:r>
      <w:r w:rsidR="00AF1E7C" w:rsidRPr="00677204">
        <w:rPr>
          <w:rFonts w:ascii="Times New Roman" w:eastAsia="Calibri" w:hAnsi="Times New Roman" w:cs="Times New Roman"/>
          <w:szCs w:val="24"/>
        </w:rPr>
        <w:t xml:space="preserve"> informacji</w:t>
      </w:r>
      <w:r w:rsidR="00801313" w:rsidRPr="00677204">
        <w:rPr>
          <w:rFonts w:ascii="Times New Roman" w:eastAsia="Calibri" w:hAnsi="Times New Roman" w:cs="Times New Roman"/>
          <w:szCs w:val="24"/>
        </w:rPr>
        <w:t xml:space="preserve">, że wypełniają </w:t>
      </w:r>
      <w:r w:rsidR="00AF1E7C" w:rsidRPr="00677204">
        <w:rPr>
          <w:rFonts w:ascii="Times New Roman" w:eastAsia="Calibri" w:hAnsi="Times New Roman" w:cs="Times New Roman"/>
          <w:szCs w:val="24"/>
        </w:rPr>
        <w:t>warunki</w:t>
      </w:r>
      <w:r w:rsidR="001975D0">
        <w:rPr>
          <w:rFonts w:ascii="Times New Roman" w:eastAsia="Calibri" w:hAnsi="Times New Roman" w:cs="Times New Roman"/>
          <w:szCs w:val="24"/>
        </w:rPr>
        <w:t xml:space="preserve"> stawiane</w:t>
      </w:r>
      <w:r w:rsidR="006E6B0C">
        <w:rPr>
          <w:rFonts w:ascii="Times New Roman" w:eastAsia="Calibri" w:hAnsi="Times New Roman" w:cs="Times New Roman"/>
          <w:szCs w:val="24"/>
        </w:rPr>
        <w:t xml:space="preserve"> porównywarkom</w:t>
      </w:r>
      <w:r w:rsidR="00801313" w:rsidRPr="00677204">
        <w:rPr>
          <w:rFonts w:ascii="Times New Roman" w:eastAsia="Calibri" w:hAnsi="Times New Roman" w:cs="Times New Roman"/>
          <w:szCs w:val="24"/>
        </w:rPr>
        <w:t xml:space="preserve"> przez p</w:t>
      </w:r>
      <w:r w:rsidR="001975D0">
        <w:rPr>
          <w:rFonts w:ascii="Times New Roman" w:eastAsia="Calibri" w:hAnsi="Times New Roman" w:cs="Times New Roman"/>
          <w:szCs w:val="24"/>
        </w:rPr>
        <w:t>rzepisy</w:t>
      </w:r>
      <w:r w:rsidR="00801313" w:rsidRPr="00677204">
        <w:rPr>
          <w:rFonts w:ascii="Times New Roman" w:eastAsia="Calibri" w:hAnsi="Times New Roman" w:cs="Times New Roman"/>
          <w:szCs w:val="24"/>
        </w:rPr>
        <w:t xml:space="preserve">. </w:t>
      </w:r>
    </w:p>
    <w:p w14:paraId="291A7F5E" w14:textId="67E46973" w:rsidR="00422004" w:rsidRPr="00677204" w:rsidRDefault="00CC55C2" w:rsidP="002549F6">
      <w:pPr>
        <w:pStyle w:val="ARTartustawynprozporzdzeni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Strony </w:t>
      </w:r>
      <w:r w:rsidR="00AF1E7C" w:rsidRPr="00677204">
        <w:rPr>
          <w:rFonts w:ascii="Times New Roman" w:eastAsia="Calibri" w:hAnsi="Times New Roman" w:cs="Times New Roman"/>
          <w:szCs w:val="24"/>
        </w:rPr>
        <w:t>internetowe</w:t>
      </w:r>
      <w:r w:rsidR="00166E5E" w:rsidRPr="00677204">
        <w:rPr>
          <w:rFonts w:ascii="Times New Roman" w:eastAsia="Calibri" w:hAnsi="Times New Roman" w:cs="Times New Roman"/>
          <w:szCs w:val="24"/>
        </w:rPr>
        <w:t xml:space="preserve"> przez figurowanie w wykazie prowadzonym przez </w:t>
      </w:r>
      <w:r w:rsidR="004B7B82" w:rsidRPr="00677204">
        <w:rPr>
          <w:rFonts w:ascii="Times New Roman" w:eastAsia="Calibri" w:hAnsi="Times New Roman" w:cs="Times New Roman"/>
          <w:szCs w:val="24"/>
        </w:rPr>
        <w:t>KNF</w:t>
      </w:r>
      <w:r w:rsidR="00AC44C8" w:rsidRPr="00677204">
        <w:rPr>
          <w:rFonts w:ascii="Times New Roman" w:eastAsia="Calibri" w:hAnsi="Times New Roman" w:cs="Times New Roman"/>
          <w:szCs w:val="24"/>
        </w:rPr>
        <w:t xml:space="preserve"> </w:t>
      </w:r>
      <w:r w:rsidRPr="00677204">
        <w:rPr>
          <w:rFonts w:ascii="Times New Roman" w:eastAsia="Calibri" w:hAnsi="Times New Roman" w:cs="Times New Roman"/>
          <w:szCs w:val="24"/>
        </w:rPr>
        <w:t xml:space="preserve">powinny cieszyć się zaufaniem publicznym. </w:t>
      </w:r>
      <w:r w:rsidR="00D10DA1" w:rsidRPr="00677204">
        <w:rPr>
          <w:rFonts w:ascii="Times New Roman" w:eastAsia="Calibri" w:hAnsi="Times New Roman" w:cs="Times New Roman"/>
          <w:szCs w:val="24"/>
        </w:rPr>
        <w:t>Warto podkreślić, że c</w:t>
      </w:r>
      <w:r w:rsidRPr="00677204">
        <w:rPr>
          <w:rFonts w:ascii="Times New Roman" w:eastAsia="Calibri" w:hAnsi="Times New Roman" w:cs="Times New Roman"/>
          <w:szCs w:val="24"/>
        </w:rPr>
        <w:t xml:space="preserve">o do zasady </w:t>
      </w:r>
      <w:r w:rsidR="00AF1E7C" w:rsidRPr="00677204">
        <w:rPr>
          <w:rFonts w:ascii="Times New Roman" w:eastAsia="Calibri" w:hAnsi="Times New Roman" w:cs="Times New Roman"/>
          <w:szCs w:val="24"/>
        </w:rPr>
        <w:t xml:space="preserve">te </w:t>
      </w:r>
      <w:r w:rsidRPr="00677204">
        <w:rPr>
          <w:rFonts w:ascii="Times New Roman" w:eastAsia="Calibri" w:hAnsi="Times New Roman" w:cs="Times New Roman"/>
          <w:szCs w:val="24"/>
        </w:rPr>
        <w:t xml:space="preserve">strony internetowe powinny porównywać dostawców </w:t>
      </w:r>
      <w:r w:rsidR="00D10DA1" w:rsidRPr="00677204">
        <w:rPr>
          <w:rFonts w:ascii="Times New Roman" w:eastAsia="Calibri" w:hAnsi="Times New Roman" w:cs="Times New Roman"/>
          <w:szCs w:val="24"/>
        </w:rPr>
        <w:t xml:space="preserve">właśnie </w:t>
      </w:r>
      <w:r w:rsidR="00A57950">
        <w:rPr>
          <w:rFonts w:ascii="Times New Roman" w:eastAsia="Calibri" w:hAnsi="Times New Roman" w:cs="Times New Roman"/>
          <w:szCs w:val="24"/>
        </w:rPr>
        <w:t>pod kątem usług zawartych w </w:t>
      </w:r>
      <w:r w:rsidRPr="00677204">
        <w:rPr>
          <w:rFonts w:ascii="Times New Roman" w:eastAsia="Calibri" w:hAnsi="Times New Roman" w:cs="Times New Roman"/>
          <w:szCs w:val="24"/>
        </w:rPr>
        <w:t>wykazie reprezentatywnych usług, jednak w projekcie zdecydowano dodać dodatkowe kryteri</w:t>
      </w:r>
      <w:r w:rsidR="00AE5871" w:rsidRPr="00677204">
        <w:rPr>
          <w:rFonts w:ascii="Times New Roman" w:eastAsia="Calibri" w:hAnsi="Times New Roman" w:cs="Times New Roman"/>
          <w:szCs w:val="24"/>
        </w:rPr>
        <w:t>a</w:t>
      </w:r>
      <w:r w:rsidRPr="00677204">
        <w:rPr>
          <w:rFonts w:ascii="Times New Roman" w:eastAsia="Calibri" w:hAnsi="Times New Roman" w:cs="Times New Roman"/>
          <w:szCs w:val="24"/>
        </w:rPr>
        <w:t xml:space="preserve">, które </w:t>
      </w:r>
      <w:r w:rsidR="00AE5871" w:rsidRPr="00677204">
        <w:rPr>
          <w:rFonts w:ascii="Times New Roman" w:eastAsia="Calibri" w:hAnsi="Times New Roman" w:cs="Times New Roman"/>
          <w:szCs w:val="24"/>
        </w:rPr>
        <w:t>są implementacją</w:t>
      </w:r>
      <w:r w:rsidRPr="00677204">
        <w:rPr>
          <w:rFonts w:ascii="Times New Roman" w:eastAsia="Calibri" w:hAnsi="Times New Roman" w:cs="Times New Roman"/>
          <w:szCs w:val="24"/>
        </w:rPr>
        <w:t xml:space="preserve"> opcji narodowych </w:t>
      </w:r>
      <w:r w:rsidR="006C23B1" w:rsidRPr="00677204">
        <w:rPr>
          <w:rFonts w:ascii="Times New Roman" w:eastAsia="Calibri" w:hAnsi="Times New Roman" w:cs="Times New Roman"/>
          <w:szCs w:val="24"/>
        </w:rPr>
        <w:t>–</w:t>
      </w:r>
      <w:r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6C23B1" w:rsidRPr="00677204">
        <w:rPr>
          <w:rFonts w:ascii="Times New Roman" w:eastAsia="Calibri" w:hAnsi="Times New Roman" w:cs="Times New Roman"/>
          <w:szCs w:val="24"/>
        </w:rPr>
        <w:t xml:space="preserve">liczbę </w:t>
      </w:r>
      <w:r w:rsidRPr="00677204">
        <w:rPr>
          <w:rFonts w:ascii="Times New Roman" w:eastAsia="Calibri" w:hAnsi="Times New Roman" w:cs="Times New Roman"/>
          <w:szCs w:val="24"/>
        </w:rPr>
        <w:t>i lokalizacj</w:t>
      </w:r>
      <w:r w:rsidR="00B214E2" w:rsidRPr="00677204">
        <w:rPr>
          <w:rFonts w:ascii="Times New Roman" w:eastAsia="Calibri" w:hAnsi="Times New Roman" w:cs="Times New Roman"/>
          <w:szCs w:val="24"/>
        </w:rPr>
        <w:t>ę</w:t>
      </w:r>
      <w:r w:rsidRPr="00677204">
        <w:rPr>
          <w:rFonts w:ascii="Times New Roman" w:eastAsia="Calibri" w:hAnsi="Times New Roman" w:cs="Times New Roman"/>
          <w:szCs w:val="24"/>
        </w:rPr>
        <w:t xml:space="preserve"> bankomatów </w:t>
      </w:r>
      <w:r w:rsidR="005F7368" w:rsidRPr="00677204">
        <w:rPr>
          <w:rFonts w:ascii="Times New Roman" w:eastAsia="Calibri" w:hAnsi="Times New Roman" w:cs="Times New Roman"/>
          <w:szCs w:val="24"/>
        </w:rPr>
        <w:t>należących do dostawcy</w:t>
      </w:r>
      <w:r w:rsidR="00AE5871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6C23B1" w:rsidRPr="00677204">
        <w:rPr>
          <w:rFonts w:ascii="Times New Roman" w:eastAsia="Calibri" w:hAnsi="Times New Roman" w:cs="Times New Roman"/>
          <w:szCs w:val="24"/>
        </w:rPr>
        <w:t xml:space="preserve">oraz </w:t>
      </w:r>
      <w:r w:rsidR="00AE5871" w:rsidRPr="00677204">
        <w:rPr>
          <w:rFonts w:ascii="Times New Roman" w:eastAsia="Calibri" w:hAnsi="Times New Roman" w:cs="Times New Roman"/>
          <w:szCs w:val="24"/>
        </w:rPr>
        <w:t>liczb</w:t>
      </w:r>
      <w:r w:rsidR="006C23B1" w:rsidRPr="00677204">
        <w:rPr>
          <w:rFonts w:ascii="Times New Roman" w:eastAsia="Calibri" w:hAnsi="Times New Roman" w:cs="Times New Roman"/>
          <w:szCs w:val="24"/>
        </w:rPr>
        <w:t xml:space="preserve">ę i </w:t>
      </w:r>
      <w:r w:rsidR="00AE5871" w:rsidRPr="00677204">
        <w:rPr>
          <w:rFonts w:ascii="Times New Roman" w:eastAsia="Calibri" w:hAnsi="Times New Roman" w:cs="Times New Roman"/>
          <w:szCs w:val="24"/>
        </w:rPr>
        <w:t>lokalizacj</w:t>
      </w:r>
      <w:r w:rsidR="006C23B1" w:rsidRPr="00677204">
        <w:rPr>
          <w:rFonts w:ascii="Times New Roman" w:eastAsia="Calibri" w:hAnsi="Times New Roman" w:cs="Times New Roman"/>
          <w:szCs w:val="24"/>
        </w:rPr>
        <w:t>ę</w:t>
      </w:r>
      <w:r w:rsidR="00AE5871" w:rsidRPr="00677204">
        <w:rPr>
          <w:rFonts w:ascii="Times New Roman" w:eastAsia="Calibri" w:hAnsi="Times New Roman" w:cs="Times New Roman"/>
          <w:szCs w:val="24"/>
        </w:rPr>
        <w:t xml:space="preserve"> placówek znajdujących się na terytorium Polski</w:t>
      </w:r>
      <w:r w:rsidR="005F7368" w:rsidRPr="00677204">
        <w:rPr>
          <w:rFonts w:ascii="Times New Roman" w:eastAsia="Calibri" w:hAnsi="Times New Roman" w:cs="Times New Roman"/>
          <w:szCs w:val="24"/>
        </w:rPr>
        <w:t xml:space="preserve"> (art. 14</w:t>
      </w:r>
      <w:r w:rsidR="00166E5E" w:rsidRPr="00677204">
        <w:rPr>
          <w:rFonts w:ascii="Times New Roman" w:eastAsia="Calibri" w:hAnsi="Times New Roman" w:cs="Times New Roman"/>
          <w:szCs w:val="24"/>
        </w:rPr>
        <w:t>h</w:t>
      </w:r>
      <w:r w:rsidR="005F7368" w:rsidRPr="00677204">
        <w:rPr>
          <w:rFonts w:ascii="Times New Roman" w:eastAsia="Calibri" w:hAnsi="Times New Roman" w:cs="Times New Roman"/>
          <w:szCs w:val="24"/>
        </w:rPr>
        <w:t xml:space="preserve"> pkt 3</w:t>
      </w:r>
      <w:r w:rsidRPr="00677204">
        <w:rPr>
          <w:rFonts w:ascii="Times New Roman" w:eastAsia="Calibri" w:hAnsi="Times New Roman" w:cs="Times New Roman"/>
          <w:szCs w:val="24"/>
        </w:rPr>
        <w:t xml:space="preserve">). </w:t>
      </w:r>
      <w:r w:rsidR="00FF03A1" w:rsidRPr="00677204">
        <w:rPr>
          <w:rFonts w:ascii="Times New Roman" w:eastAsia="Calibri" w:hAnsi="Times New Roman" w:cs="Times New Roman"/>
          <w:szCs w:val="24"/>
        </w:rPr>
        <w:t xml:space="preserve">Porównanie ofert dostawców powinno </w:t>
      </w:r>
      <w:r w:rsidR="00FF03A1" w:rsidRPr="00677204">
        <w:rPr>
          <w:rFonts w:ascii="Times New Roman" w:eastAsia="Calibri" w:hAnsi="Times New Roman" w:cs="Times New Roman"/>
          <w:szCs w:val="24"/>
        </w:rPr>
        <w:lastRenderedPageBreak/>
        <w:t>dotyczyć znacznej części rynku (przyjęto, że jest</w:t>
      </w:r>
      <w:r w:rsidR="00827416" w:rsidRPr="00677204">
        <w:rPr>
          <w:rFonts w:ascii="Times New Roman" w:eastAsia="Calibri" w:hAnsi="Times New Roman" w:cs="Times New Roman"/>
          <w:szCs w:val="24"/>
        </w:rPr>
        <w:t xml:space="preserve"> to</w:t>
      </w:r>
      <w:r w:rsidR="00FF03A1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71294A" w:rsidRPr="00677204">
        <w:rPr>
          <w:rFonts w:ascii="Times New Roman" w:eastAsia="Calibri" w:hAnsi="Times New Roman" w:cs="Times New Roman"/>
          <w:szCs w:val="24"/>
        </w:rPr>
        <w:t xml:space="preserve">powyżej </w:t>
      </w:r>
      <w:r w:rsidR="00827416" w:rsidRPr="00677204">
        <w:rPr>
          <w:rFonts w:ascii="Times New Roman" w:eastAsia="Calibri" w:hAnsi="Times New Roman" w:cs="Times New Roman"/>
          <w:szCs w:val="24"/>
        </w:rPr>
        <w:t>50</w:t>
      </w:r>
      <w:r w:rsidR="00FF03A1" w:rsidRPr="00677204">
        <w:rPr>
          <w:rFonts w:ascii="Times New Roman" w:eastAsia="Calibri" w:hAnsi="Times New Roman" w:cs="Times New Roman"/>
          <w:szCs w:val="24"/>
        </w:rPr>
        <w:t>% części rynku rachunków płatniczych).</w:t>
      </w:r>
    </w:p>
    <w:p w14:paraId="78950473" w14:textId="4BF05FDE" w:rsidR="00D11EC6" w:rsidRPr="00677204" w:rsidRDefault="005A3F7E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W </w:t>
      </w:r>
      <w:r w:rsidRPr="00677204">
        <w:rPr>
          <w:rFonts w:ascii="Times New Roman" w:eastAsia="Calibri" w:hAnsi="Times New Roman" w:cs="Times New Roman"/>
          <w:b/>
          <w:szCs w:val="24"/>
        </w:rPr>
        <w:t xml:space="preserve">pkt </w:t>
      </w:r>
      <w:r w:rsidR="00A2559F" w:rsidRPr="00677204">
        <w:rPr>
          <w:rFonts w:ascii="Times New Roman" w:eastAsia="Calibri" w:hAnsi="Times New Roman" w:cs="Times New Roman"/>
          <w:b/>
          <w:szCs w:val="24"/>
        </w:rPr>
        <w:t>1</w:t>
      </w:r>
      <w:r w:rsidR="00CD6B36" w:rsidRPr="00677204">
        <w:rPr>
          <w:rFonts w:ascii="Times New Roman" w:eastAsia="Calibri" w:hAnsi="Times New Roman" w:cs="Times New Roman"/>
          <w:b/>
          <w:szCs w:val="24"/>
        </w:rPr>
        <w:t>1</w:t>
      </w:r>
      <w:r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4168B0" w:rsidRPr="00677204">
        <w:rPr>
          <w:rFonts w:ascii="Times New Roman" w:eastAsia="Calibri" w:hAnsi="Times New Roman" w:cs="Times New Roman"/>
          <w:szCs w:val="24"/>
        </w:rPr>
        <w:t xml:space="preserve">dodaje </w:t>
      </w:r>
      <w:r w:rsidR="0095164B" w:rsidRPr="00677204">
        <w:rPr>
          <w:rFonts w:ascii="Times New Roman" w:eastAsia="Calibri" w:hAnsi="Times New Roman" w:cs="Times New Roman"/>
          <w:szCs w:val="24"/>
        </w:rPr>
        <w:t xml:space="preserve">się </w:t>
      </w:r>
      <w:r w:rsidR="004168B0" w:rsidRPr="00677204">
        <w:rPr>
          <w:rFonts w:ascii="Times New Roman" w:eastAsia="Calibri" w:hAnsi="Times New Roman" w:cs="Times New Roman"/>
          <w:szCs w:val="24"/>
        </w:rPr>
        <w:t xml:space="preserve">art. </w:t>
      </w:r>
      <w:r w:rsidR="00460A22" w:rsidRPr="00677204">
        <w:rPr>
          <w:rFonts w:ascii="Times New Roman" w:eastAsia="Calibri" w:hAnsi="Times New Roman" w:cs="Times New Roman"/>
          <w:szCs w:val="24"/>
        </w:rPr>
        <w:t>20a</w:t>
      </w:r>
      <w:r w:rsidR="0095164B" w:rsidRPr="00677204">
        <w:rPr>
          <w:rFonts w:ascii="Times New Roman" w:eastAsia="Calibri" w:hAnsi="Times New Roman" w:cs="Times New Roman"/>
          <w:szCs w:val="24"/>
        </w:rPr>
        <w:t>–</w:t>
      </w:r>
      <w:r w:rsidR="004168B0" w:rsidRPr="00677204">
        <w:rPr>
          <w:rFonts w:ascii="Times New Roman" w:eastAsia="Calibri" w:hAnsi="Times New Roman" w:cs="Times New Roman"/>
          <w:szCs w:val="24"/>
        </w:rPr>
        <w:t>2</w:t>
      </w:r>
      <w:r w:rsidR="00460A22" w:rsidRPr="00677204">
        <w:rPr>
          <w:rFonts w:ascii="Times New Roman" w:eastAsia="Calibri" w:hAnsi="Times New Roman" w:cs="Times New Roman"/>
          <w:szCs w:val="24"/>
        </w:rPr>
        <w:t>0</w:t>
      </w:r>
      <w:r w:rsidR="004168B0" w:rsidRPr="00677204">
        <w:rPr>
          <w:rFonts w:ascii="Times New Roman" w:eastAsia="Calibri" w:hAnsi="Times New Roman" w:cs="Times New Roman"/>
          <w:szCs w:val="24"/>
        </w:rPr>
        <w:t>c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do rozdziału </w:t>
      </w:r>
      <w:r w:rsidR="00460A22" w:rsidRPr="00677204">
        <w:rPr>
          <w:rFonts w:ascii="Times New Roman" w:eastAsia="Calibri" w:hAnsi="Times New Roman" w:cs="Times New Roman"/>
          <w:szCs w:val="24"/>
        </w:rPr>
        <w:t xml:space="preserve">1 </w:t>
      </w:r>
      <w:r w:rsidR="00CC55C2" w:rsidRPr="00677204">
        <w:rPr>
          <w:rFonts w:ascii="Times New Roman" w:eastAsia="Calibri" w:hAnsi="Times New Roman" w:cs="Times New Roman"/>
          <w:szCs w:val="24"/>
        </w:rPr>
        <w:t>działu II (</w:t>
      </w:r>
      <w:r w:rsidR="00A733BB" w:rsidRPr="00677204">
        <w:rPr>
          <w:rFonts w:ascii="Times New Roman" w:eastAsia="Calibri" w:hAnsi="Times New Roman" w:cs="Times New Roman"/>
          <w:szCs w:val="24"/>
        </w:rPr>
        <w:t>„</w:t>
      </w:r>
      <w:r w:rsidR="00CC55C2" w:rsidRPr="00677204">
        <w:rPr>
          <w:rFonts w:ascii="Times New Roman" w:eastAsia="Calibri" w:hAnsi="Times New Roman" w:cs="Times New Roman"/>
          <w:szCs w:val="24"/>
        </w:rPr>
        <w:t>Obowiązki informacyjne w</w:t>
      </w:r>
      <w:r w:rsidR="00A57950">
        <w:rPr>
          <w:rFonts w:ascii="Times New Roman" w:eastAsia="Calibri" w:hAnsi="Times New Roman" w:cs="Times New Roman"/>
          <w:szCs w:val="24"/>
        </w:rPr>
        <w:t> </w:t>
      </w:r>
      <w:r w:rsidR="00CC55C2" w:rsidRPr="00677204">
        <w:rPr>
          <w:rFonts w:ascii="Times New Roman" w:eastAsia="Calibri" w:hAnsi="Times New Roman" w:cs="Times New Roman"/>
          <w:szCs w:val="24"/>
        </w:rPr>
        <w:t>zakresi</w:t>
      </w:r>
      <w:r w:rsidR="00505E80" w:rsidRPr="00677204">
        <w:rPr>
          <w:rFonts w:ascii="Times New Roman" w:eastAsia="Calibri" w:hAnsi="Times New Roman" w:cs="Times New Roman"/>
          <w:szCs w:val="24"/>
        </w:rPr>
        <w:t>e świadczenia usług płatniczych”</w:t>
      </w:r>
      <w:r w:rsidR="00CC55C2" w:rsidRPr="00677204">
        <w:rPr>
          <w:rFonts w:ascii="Times New Roman" w:eastAsia="Calibri" w:hAnsi="Times New Roman" w:cs="Times New Roman"/>
          <w:szCs w:val="24"/>
        </w:rPr>
        <w:t>).</w:t>
      </w:r>
      <w:r w:rsidRPr="00677204">
        <w:rPr>
          <w:rFonts w:ascii="Times New Roman" w:eastAsia="Calibri" w:hAnsi="Times New Roman" w:cs="Times New Roman"/>
          <w:szCs w:val="24"/>
        </w:rPr>
        <w:t xml:space="preserve"> Wprowadzono </w:t>
      </w:r>
      <w:r w:rsidR="00CC55C2" w:rsidRPr="00677204">
        <w:rPr>
          <w:rFonts w:ascii="Times New Roman" w:eastAsia="Calibri" w:hAnsi="Times New Roman" w:cs="Times New Roman"/>
          <w:szCs w:val="24"/>
        </w:rPr>
        <w:t>obowiązek udostępniania konsumentom</w:t>
      </w:r>
      <w:r w:rsidR="00460A22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dokumentu </w:t>
      </w:r>
      <w:r w:rsidR="00D03712" w:rsidRPr="00677204">
        <w:rPr>
          <w:rFonts w:ascii="Times New Roman" w:eastAsia="Calibri" w:hAnsi="Times New Roman" w:cs="Times New Roman"/>
          <w:szCs w:val="24"/>
        </w:rPr>
        <w:t xml:space="preserve">zawierającego informację o </w:t>
      </w:r>
      <w:r w:rsidR="00D10DA1" w:rsidRPr="00677204">
        <w:rPr>
          <w:rFonts w:ascii="Times New Roman" w:eastAsia="Calibri" w:hAnsi="Times New Roman" w:cs="Times New Roman"/>
          <w:szCs w:val="24"/>
        </w:rPr>
        <w:t>opłatach</w:t>
      </w:r>
      <w:r w:rsidR="00D03712" w:rsidRPr="00677204">
        <w:rPr>
          <w:rFonts w:ascii="Times New Roman" w:eastAsia="Calibri" w:hAnsi="Times New Roman" w:cs="Times New Roman"/>
          <w:szCs w:val="24"/>
        </w:rPr>
        <w:t xml:space="preserve"> za usługi znajdujące się w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D03712" w:rsidRPr="00677204">
        <w:rPr>
          <w:rFonts w:ascii="Times New Roman" w:eastAsia="Calibri" w:hAnsi="Times New Roman" w:cs="Times New Roman"/>
          <w:szCs w:val="24"/>
        </w:rPr>
        <w:t xml:space="preserve">wykazie reprezentatywnych </w:t>
      </w:r>
      <w:r w:rsidR="00CC55C2" w:rsidRPr="00677204">
        <w:rPr>
          <w:rFonts w:ascii="Times New Roman" w:eastAsia="Calibri" w:hAnsi="Times New Roman" w:cs="Times New Roman"/>
          <w:szCs w:val="24"/>
        </w:rPr>
        <w:t>usług powiązanych z rachunkiem płatniczym oraz podlegających opłacie</w:t>
      </w:r>
      <w:r w:rsidR="00460A22" w:rsidRPr="00677204">
        <w:rPr>
          <w:rFonts w:ascii="Times New Roman" w:eastAsia="Calibri" w:hAnsi="Times New Roman" w:cs="Times New Roman"/>
          <w:szCs w:val="24"/>
        </w:rPr>
        <w:t xml:space="preserve"> (dokument dotyczący opłat)</w:t>
      </w:r>
      <w:r w:rsidR="00CC55C2" w:rsidRPr="00677204">
        <w:rPr>
          <w:rFonts w:ascii="Times New Roman" w:eastAsia="Calibri" w:hAnsi="Times New Roman" w:cs="Times New Roman"/>
          <w:szCs w:val="24"/>
        </w:rPr>
        <w:t>. Dokument dotyczący opłat ma pomóc konsumentowi w wyborze dostawcy</w:t>
      </w:r>
      <w:r w:rsidR="00460A22" w:rsidRPr="00677204">
        <w:rPr>
          <w:rFonts w:ascii="Times New Roman" w:eastAsia="Calibri" w:hAnsi="Times New Roman" w:cs="Times New Roman"/>
          <w:szCs w:val="24"/>
        </w:rPr>
        <w:t xml:space="preserve"> prowadzącego rachunek płatniczy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przez możliwość porównania kosztów usług oferowanych przez różnych dostawców. </w:t>
      </w:r>
    </w:p>
    <w:p w14:paraId="07D89EAD" w14:textId="50EEC479" w:rsidR="00D11EC6" w:rsidRPr="00677204" w:rsidRDefault="00CC55C2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Obowiązek przekazywania dokumentu dotyczącego opłat nie </w:t>
      </w:r>
      <w:r w:rsidR="00542739" w:rsidRPr="00677204">
        <w:rPr>
          <w:rFonts w:ascii="Times New Roman" w:eastAsia="Calibri" w:hAnsi="Times New Roman" w:cs="Times New Roman"/>
          <w:szCs w:val="24"/>
        </w:rPr>
        <w:t>będzie miał</w:t>
      </w:r>
      <w:r w:rsidRPr="00677204">
        <w:rPr>
          <w:rFonts w:ascii="Times New Roman" w:eastAsia="Calibri" w:hAnsi="Times New Roman" w:cs="Times New Roman"/>
          <w:szCs w:val="24"/>
        </w:rPr>
        <w:t xml:space="preserve"> wpływu na </w:t>
      </w:r>
      <w:r w:rsidR="00542739" w:rsidRPr="00677204">
        <w:rPr>
          <w:rFonts w:ascii="Times New Roman" w:eastAsia="Calibri" w:hAnsi="Times New Roman" w:cs="Times New Roman"/>
          <w:szCs w:val="24"/>
        </w:rPr>
        <w:t xml:space="preserve">dotychczasowe </w:t>
      </w:r>
      <w:r w:rsidRPr="00677204">
        <w:rPr>
          <w:rFonts w:ascii="Times New Roman" w:eastAsia="Calibri" w:hAnsi="Times New Roman" w:cs="Times New Roman"/>
          <w:szCs w:val="24"/>
        </w:rPr>
        <w:t>obowiązki informacyjn</w:t>
      </w:r>
      <w:r w:rsidR="00542739" w:rsidRPr="00677204">
        <w:rPr>
          <w:rFonts w:ascii="Times New Roman" w:eastAsia="Calibri" w:hAnsi="Times New Roman" w:cs="Times New Roman"/>
          <w:szCs w:val="24"/>
        </w:rPr>
        <w:t>e</w:t>
      </w:r>
      <w:r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542739" w:rsidRPr="00677204">
        <w:rPr>
          <w:rFonts w:ascii="Times New Roman" w:eastAsia="Calibri" w:hAnsi="Times New Roman" w:cs="Times New Roman"/>
          <w:szCs w:val="24"/>
        </w:rPr>
        <w:t>ciążące</w:t>
      </w:r>
      <w:r w:rsidRPr="00677204">
        <w:rPr>
          <w:rFonts w:ascii="Times New Roman" w:eastAsia="Calibri" w:hAnsi="Times New Roman" w:cs="Times New Roman"/>
          <w:szCs w:val="24"/>
        </w:rPr>
        <w:t xml:space="preserve"> na dostawcach, np. z</w:t>
      </w:r>
      <w:r w:rsidR="00542739" w:rsidRPr="00677204">
        <w:rPr>
          <w:rFonts w:ascii="Times New Roman" w:eastAsia="Calibri" w:hAnsi="Times New Roman" w:cs="Times New Roman"/>
          <w:szCs w:val="24"/>
        </w:rPr>
        <w:t>godnie z art. 27 ustawy, które będ</w:t>
      </w:r>
      <w:r w:rsidRPr="00677204">
        <w:rPr>
          <w:rFonts w:ascii="Times New Roman" w:eastAsia="Calibri" w:hAnsi="Times New Roman" w:cs="Times New Roman"/>
          <w:szCs w:val="24"/>
        </w:rPr>
        <w:t>ą równolegle</w:t>
      </w:r>
      <w:r w:rsidR="00D10DA1" w:rsidRPr="00677204">
        <w:rPr>
          <w:rFonts w:ascii="Times New Roman" w:eastAsia="Calibri" w:hAnsi="Times New Roman" w:cs="Times New Roman"/>
          <w:szCs w:val="24"/>
        </w:rPr>
        <w:t xml:space="preserve"> </w:t>
      </w:r>
      <w:r w:rsidRPr="00677204">
        <w:rPr>
          <w:rFonts w:ascii="Times New Roman" w:eastAsia="Calibri" w:hAnsi="Times New Roman" w:cs="Times New Roman"/>
          <w:szCs w:val="24"/>
        </w:rPr>
        <w:t>wymagane</w:t>
      </w:r>
      <w:r w:rsidR="00460A22" w:rsidRPr="00677204">
        <w:rPr>
          <w:rFonts w:ascii="Times New Roman" w:eastAsia="Calibri" w:hAnsi="Times New Roman" w:cs="Times New Roman"/>
          <w:szCs w:val="24"/>
        </w:rPr>
        <w:t>, z uwagi na to, że mają</w:t>
      </w:r>
      <w:r w:rsidR="005A3F7E" w:rsidRPr="00677204">
        <w:rPr>
          <w:rFonts w:ascii="Times New Roman" w:eastAsia="Calibri" w:hAnsi="Times New Roman" w:cs="Times New Roman"/>
          <w:szCs w:val="24"/>
        </w:rPr>
        <w:t xml:space="preserve"> one</w:t>
      </w:r>
      <w:r w:rsidR="00460A22" w:rsidRPr="00677204">
        <w:rPr>
          <w:rFonts w:ascii="Times New Roman" w:eastAsia="Calibri" w:hAnsi="Times New Roman" w:cs="Times New Roman"/>
          <w:szCs w:val="24"/>
        </w:rPr>
        <w:t xml:space="preserve"> inny charakter. Informacje, o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460A22" w:rsidRPr="00677204">
        <w:rPr>
          <w:rFonts w:ascii="Times New Roman" w:eastAsia="Calibri" w:hAnsi="Times New Roman" w:cs="Times New Roman"/>
          <w:szCs w:val="24"/>
        </w:rPr>
        <w:t>których mowa w art. 27 ustawy</w:t>
      </w:r>
      <w:r w:rsidR="00287D8E">
        <w:rPr>
          <w:rFonts w:ascii="Times New Roman" w:eastAsia="Calibri" w:hAnsi="Times New Roman" w:cs="Times New Roman"/>
          <w:szCs w:val="24"/>
        </w:rPr>
        <w:t>,</w:t>
      </w:r>
      <w:r w:rsidR="00460A22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E473B6" w:rsidRPr="00677204">
        <w:rPr>
          <w:rFonts w:ascii="Times New Roman" w:eastAsia="Calibri" w:hAnsi="Times New Roman" w:cs="Times New Roman"/>
          <w:szCs w:val="24"/>
        </w:rPr>
        <w:t xml:space="preserve">są </w:t>
      </w:r>
      <w:r w:rsidR="00460A22" w:rsidRPr="00677204">
        <w:rPr>
          <w:rFonts w:ascii="Times New Roman" w:eastAsia="Calibri" w:hAnsi="Times New Roman" w:cs="Times New Roman"/>
          <w:szCs w:val="24"/>
        </w:rPr>
        <w:t xml:space="preserve">przekazywane już na etapie podpisywania przez użytkownika </w:t>
      </w:r>
      <w:r w:rsidR="00E473B6" w:rsidRPr="00677204">
        <w:rPr>
          <w:rFonts w:ascii="Times New Roman" w:eastAsia="Calibri" w:hAnsi="Times New Roman" w:cs="Times New Roman"/>
          <w:szCs w:val="24"/>
        </w:rPr>
        <w:t xml:space="preserve">umowy </w:t>
      </w:r>
      <w:r w:rsidR="00460A22" w:rsidRPr="00677204">
        <w:rPr>
          <w:rFonts w:ascii="Times New Roman" w:eastAsia="Calibri" w:hAnsi="Times New Roman" w:cs="Times New Roman"/>
          <w:szCs w:val="24"/>
        </w:rPr>
        <w:t>o prowadzenie rachunku</w:t>
      </w:r>
      <w:r w:rsidR="005A3F7E" w:rsidRPr="00677204">
        <w:rPr>
          <w:rFonts w:ascii="Times New Roman" w:eastAsia="Calibri" w:hAnsi="Times New Roman" w:cs="Times New Roman"/>
          <w:szCs w:val="24"/>
        </w:rPr>
        <w:t xml:space="preserve"> płatniczego</w:t>
      </w:r>
      <w:r w:rsidR="00460A22" w:rsidRPr="00677204">
        <w:rPr>
          <w:rFonts w:ascii="Times New Roman" w:eastAsia="Calibri" w:hAnsi="Times New Roman" w:cs="Times New Roman"/>
          <w:szCs w:val="24"/>
        </w:rPr>
        <w:t>, natomiast informacje zawarte w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460A22" w:rsidRPr="00677204">
        <w:rPr>
          <w:rFonts w:ascii="Times New Roman" w:eastAsia="Calibri" w:hAnsi="Times New Roman" w:cs="Times New Roman"/>
          <w:szCs w:val="24"/>
        </w:rPr>
        <w:t>dokumencie dotyczącym opłat co do zasady pełnią rolę dokumentu „marketingowego”, gdyż są one przekazywane niezależnie od tego</w:t>
      </w:r>
      <w:r w:rsidR="00287D8E">
        <w:rPr>
          <w:rFonts w:ascii="Times New Roman" w:eastAsia="Calibri" w:hAnsi="Times New Roman" w:cs="Times New Roman"/>
          <w:szCs w:val="24"/>
        </w:rPr>
        <w:t>,</w:t>
      </w:r>
      <w:r w:rsidR="00460A22" w:rsidRPr="00677204">
        <w:rPr>
          <w:rFonts w:ascii="Times New Roman" w:eastAsia="Calibri" w:hAnsi="Times New Roman" w:cs="Times New Roman"/>
          <w:szCs w:val="24"/>
        </w:rPr>
        <w:t xml:space="preserve"> czy konsument zamierza zawrzeć umowę z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460A22" w:rsidRPr="00677204">
        <w:rPr>
          <w:rFonts w:ascii="Times New Roman" w:eastAsia="Calibri" w:hAnsi="Times New Roman" w:cs="Times New Roman"/>
          <w:szCs w:val="24"/>
        </w:rPr>
        <w:t>danym dostawcą. Mają zapewnić przejrzystą informację o opłatach, co ma służyć podjęciu przez konsumenta decyzji o zawieraniu</w:t>
      </w:r>
      <w:r w:rsidR="005A3F7E" w:rsidRPr="00677204">
        <w:rPr>
          <w:rFonts w:ascii="Times New Roman" w:eastAsia="Calibri" w:hAnsi="Times New Roman" w:cs="Times New Roman"/>
          <w:szCs w:val="24"/>
        </w:rPr>
        <w:t xml:space="preserve"> bądź niezawieraniu</w:t>
      </w:r>
      <w:r w:rsidR="00460A22" w:rsidRPr="00677204">
        <w:rPr>
          <w:rFonts w:ascii="Times New Roman" w:eastAsia="Calibri" w:hAnsi="Times New Roman" w:cs="Times New Roman"/>
          <w:szCs w:val="24"/>
        </w:rPr>
        <w:t xml:space="preserve"> umowy z danym dostawcą. Istotne jest to, że obowiązek przekazywania przez dostawców tego dokumentu dotyczy każdego konsumenta, niekoniecznie takiego, którego z danym dostawcą łączy stosunek umowny.</w:t>
      </w:r>
    </w:p>
    <w:p w14:paraId="1C4BFFBB" w14:textId="72F4266D" w:rsidR="00D11EC6" w:rsidRPr="00677204" w:rsidRDefault="00CC55C2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>Dokument dotyczący opłat będzie tworzony w formacie ujednoliconym na poziomie unijnym</w:t>
      </w:r>
      <w:r w:rsidR="00953836" w:rsidRPr="00677204">
        <w:rPr>
          <w:rFonts w:ascii="Times New Roman" w:eastAsia="Calibri" w:hAnsi="Times New Roman" w:cs="Times New Roman"/>
          <w:szCs w:val="24"/>
        </w:rPr>
        <w:t>, po przyjęciu przez Komisję Europejską wykonawczych standardów technicznych</w:t>
      </w:r>
      <w:r w:rsidRPr="00677204">
        <w:rPr>
          <w:rFonts w:ascii="Times New Roman" w:eastAsia="Calibri" w:hAnsi="Times New Roman" w:cs="Times New Roman"/>
          <w:szCs w:val="24"/>
        </w:rPr>
        <w:t xml:space="preserve"> (art. </w:t>
      </w:r>
      <w:r w:rsidR="00460A22" w:rsidRPr="00677204">
        <w:rPr>
          <w:rFonts w:ascii="Times New Roman" w:eastAsia="Calibri" w:hAnsi="Times New Roman" w:cs="Times New Roman"/>
          <w:szCs w:val="24"/>
        </w:rPr>
        <w:t xml:space="preserve">20b </w:t>
      </w:r>
      <w:r w:rsidRPr="00677204">
        <w:rPr>
          <w:rFonts w:ascii="Times New Roman" w:eastAsia="Calibri" w:hAnsi="Times New Roman" w:cs="Times New Roman"/>
          <w:szCs w:val="24"/>
        </w:rPr>
        <w:t>ust. 1 pkt 9). Przepis art. 2</w:t>
      </w:r>
      <w:r w:rsidR="00460A22" w:rsidRPr="00677204">
        <w:rPr>
          <w:rFonts w:ascii="Times New Roman" w:eastAsia="Calibri" w:hAnsi="Times New Roman" w:cs="Times New Roman"/>
          <w:szCs w:val="24"/>
        </w:rPr>
        <w:t>0</w:t>
      </w:r>
      <w:r w:rsidRPr="00677204">
        <w:rPr>
          <w:rFonts w:ascii="Times New Roman" w:eastAsia="Calibri" w:hAnsi="Times New Roman" w:cs="Times New Roman"/>
          <w:szCs w:val="24"/>
        </w:rPr>
        <w:t>b ust. 1 ustanawia wymogi</w:t>
      </w:r>
      <w:r w:rsidR="0095164B" w:rsidRPr="00677204">
        <w:rPr>
          <w:rFonts w:ascii="Times New Roman" w:eastAsia="Calibri" w:hAnsi="Times New Roman" w:cs="Times New Roman"/>
          <w:szCs w:val="24"/>
        </w:rPr>
        <w:t xml:space="preserve">, </w:t>
      </w:r>
      <w:r w:rsidRPr="00677204">
        <w:rPr>
          <w:rFonts w:ascii="Times New Roman" w:eastAsia="Calibri" w:hAnsi="Times New Roman" w:cs="Times New Roman"/>
          <w:szCs w:val="24"/>
        </w:rPr>
        <w:t>jakie musi spełniać dokument</w:t>
      </w:r>
      <w:r w:rsidR="00E4437C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5A3F7E" w:rsidRPr="00677204">
        <w:rPr>
          <w:rFonts w:ascii="Times New Roman" w:eastAsia="Calibri" w:hAnsi="Times New Roman" w:cs="Times New Roman"/>
          <w:szCs w:val="24"/>
        </w:rPr>
        <w:t>dotyczący opłat</w:t>
      </w:r>
      <w:r w:rsidRPr="00677204">
        <w:rPr>
          <w:rFonts w:ascii="Times New Roman" w:eastAsia="Calibri" w:hAnsi="Times New Roman" w:cs="Times New Roman"/>
          <w:szCs w:val="24"/>
        </w:rPr>
        <w:t xml:space="preserve">, w celu zapewniania </w:t>
      </w:r>
      <w:r w:rsidR="005A3F7E" w:rsidRPr="00677204">
        <w:rPr>
          <w:rFonts w:ascii="Times New Roman" w:eastAsia="Calibri" w:hAnsi="Times New Roman" w:cs="Times New Roman"/>
          <w:szCs w:val="24"/>
        </w:rPr>
        <w:t xml:space="preserve">przejrzystości </w:t>
      </w:r>
      <w:r w:rsidR="00A57950">
        <w:rPr>
          <w:rFonts w:ascii="Times New Roman" w:eastAsia="Calibri" w:hAnsi="Times New Roman" w:cs="Times New Roman"/>
          <w:szCs w:val="24"/>
        </w:rPr>
        <w:t>i </w:t>
      </w:r>
      <w:r w:rsidR="00E4437C" w:rsidRPr="00677204">
        <w:rPr>
          <w:rFonts w:ascii="Times New Roman" w:eastAsia="Calibri" w:hAnsi="Times New Roman" w:cs="Times New Roman"/>
          <w:szCs w:val="24"/>
        </w:rPr>
        <w:t xml:space="preserve">transparentności tych </w:t>
      </w:r>
      <w:r w:rsidR="007E1092" w:rsidRPr="00677204">
        <w:rPr>
          <w:rFonts w:ascii="Times New Roman" w:eastAsia="Calibri" w:hAnsi="Times New Roman" w:cs="Times New Roman"/>
          <w:szCs w:val="24"/>
        </w:rPr>
        <w:t xml:space="preserve">informacji </w:t>
      </w:r>
      <w:r w:rsidR="002549F6" w:rsidRPr="00677204">
        <w:rPr>
          <w:rFonts w:ascii="Times New Roman" w:eastAsia="Calibri" w:hAnsi="Times New Roman" w:cs="Times New Roman"/>
          <w:szCs w:val="24"/>
        </w:rPr>
        <w:t>(m.in.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Pr="00677204">
        <w:rPr>
          <w:rFonts w:ascii="Times New Roman" w:eastAsia="Calibri" w:hAnsi="Times New Roman" w:cs="Times New Roman"/>
          <w:szCs w:val="24"/>
        </w:rPr>
        <w:t xml:space="preserve">wymóg precyzyjności i </w:t>
      </w:r>
      <w:r w:rsidR="00E4437C" w:rsidRPr="00677204">
        <w:rPr>
          <w:rFonts w:ascii="Times New Roman" w:eastAsia="Calibri" w:hAnsi="Times New Roman" w:cs="Times New Roman"/>
          <w:szCs w:val="24"/>
        </w:rPr>
        <w:t>czytelności formy</w:t>
      </w:r>
      <w:r w:rsidRPr="00677204">
        <w:rPr>
          <w:rFonts w:ascii="Times New Roman" w:eastAsia="Calibri" w:hAnsi="Times New Roman" w:cs="Times New Roman"/>
          <w:szCs w:val="24"/>
        </w:rPr>
        <w:t xml:space="preserve">). Dokument dotyczący opłat </w:t>
      </w:r>
      <w:r w:rsidR="0095164B" w:rsidRPr="00677204">
        <w:rPr>
          <w:rFonts w:ascii="Times New Roman" w:eastAsia="Calibri" w:hAnsi="Times New Roman" w:cs="Times New Roman"/>
          <w:szCs w:val="24"/>
        </w:rPr>
        <w:t xml:space="preserve">będzie </w:t>
      </w:r>
      <w:r w:rsidRPr="00677204">
        <w:rPr>
          <w:rFonts w:ascii="Times New Roman" w:eastAsia="Calibri" w:hAnsi="Times New Roman" w:cs="Times New Roman"/>
          <w:szCs w:val="24"/>
        </w:rPr>
        <w:t xml:space="preserve">przekazywany konsumentom </w:t>
      </w:r>
      <w:r w:rsidR="00D11EC6" w:rsidRPr="00677204">
        <w:rPr>
          <w:rFonts w:ascii="Times New Roman" w:eastAsia="Calibri" w:hAnsi="Times New Roman" w:cs="Times New Roman"/>
          <w:szCs w:val="24"/>
        </w:rPr>
        <w:t>nieod</w:t>
      </w:r>
      <w:r w:rsidRPr="00677204">
        <w:rPr>
          <w:rFonts w:ascii="Times New Roman" w:eastAsia="Calibri" w:hAnsi="Times New Roman" w:cs="Times New Roman"/>
          <w:szCs w:val="24"/>
        </w:rPr>
        <w:t xml:space="preserve">płatnie (art. </w:t>
      </w:r>
      <w:r w:rsidR="00460A22" w:rsidRPr="00677204">
        <w:rPr>
          <w:rFonts w:ascii="Times New Roman" w:eastAsia="Calibri" w:hAnsi="Times New Roman" w:cs="Times New Roman"/>
          <w:szCs w:val="24"/>
        </w:rPr>
        <w:t xml:space="preserve">20b </w:t>
      </w:r>
      <w:r w:rsidRPr="00677204">
        <w:rPr>
          <w:rFonts w:ascii="Times New Roman" w:eastAsia="Calibri" w:hAnsi="Times New Roman" w:cs="Times New Roman"/>
          <w:szCs w:val="24"/>
        </w:rPr>
        <w:t>ust. 3)</w:t>
      </w:r>
      <w:r w:rsidR="0095164B" w:rsidRPr="00677204">
        <w:rPr>
          <w:rFonts w:ascii="Times New Roman" w:eastAsia="Calibri" w:hAnsi="Times New Roman" w:cs="Times New Roman"/>
          <w:szCs w:val="24"/>
        </w:rPr>
        <w:t xml:space="preserve">, a </w:t>
      </w:r>
      <w:r w:rsidR="00953836" w:rsidRPr="00677204">
        <w:rPr>
          <w:rFonts w:ascii="Times New Roman" w:eastAsia="Calibri" w:hAnsi="Times New Roman" w:cs="Times New Roman"/>
          <w:szCs w:val="24"/>
        </w:rPr>
        <w:t xml:space="preserve">zgodnie z wymogami dyrektywy </w:t>
      </w:r>
      <w:r w:rsidR="005F68AB" w:rsidRPr="00677204">
        <w:rPr>
          <w:rFonts w:ascii="Times New Roman" w:eastAsia="Calibri" w:hAnsi="Times New Roman" w:cs="Times New Roman"/>
          <w:szCs w:val="24"/>
        </w:rPr>
        <w:t xml:space="preserve">będzie </w:t>
      </w:r>
      <w:r w:rsidR="00953836" w:rsidRPr="00677204">
        <w:rPr>
          <w:rFonts w:ascii="Times New Roman" w:eastAsia="Calibri" w:hAnsi="Times New Roman" w:cs="Times New Roman"/>
          <w:szCs w:val="24"/>
        </w:rPr>
        <w:t>odrębnym dokumentem</w:t>
      </w:r>
      <w:r w:rsidR="005A3F7E" w:rsidRPr="00677204">
        <w:rPr>
          <w:rFonts w:ascii="Times New Roman" w:eastAsia="Calibri" w:hAnsi="Times New Roman" w:cs="Times New Roman"/>
          <w:szCs w:val="24"/>
        </w:rPr>
        <w:t xml:space="preserve"> (art. 20c)</w:t>
      </w:r>
      <w:r w:rsidRPr="00677204">
        <w:rPr>
          <w:rFonts w:ascii="Times New Roman" w:eastAsia="Calibri" w:hAnsi="Times New Roman" w:cs="Times New Roman"/>
          <w:szCs w:val="24"/>
        </w:rPr>
        <w:t xml:space="preserve">. </w:t>
      </w:r>
      <w:r w:rsidR="0095164B" w:rsidRPr="00677204">
        <w:rPr>
          <w:rFonts w:ascii="Times New Roman" w:eastAsia="Calibri" w:hAnsi="Times New Roman" w:cs="Times New Roman"/>
          <w:szCs w:val="24"/>
        </w:rPr>
        <w:t>D</w:t>
      </w:r>
      <w:r w:rsidRPr="00677204">
        <w:rPr>
          <w:rFonts w:ascii="Times New Roman" w:eastAsia="Calibri" w:hAnsi="Times New Roman" w:cs="Times New Roman"/>
          <w:szCs w:val="24"/>
        </w:rPr>
        <w:t>ostawcy</w:t>
      </w:r>
      <w:r w:rsidR="0095164B" w:rsidRPr="00677204">
        <w:rPr>
          <w:rFonts w:ascii="Times New Roman" w:eastAsia="Calibri" w:hAnsi="Times New Roman" w:cs="Times New Roman"/>
          <w:szCs w:val="24"/>
        </w:rPr>
        <w:t xml:space="preserve">, </w:t>
      </w:r>
      <w:r w:rsidRPr="00677204">
        <w:rPr>
          <w:rFonts w:ascii="Times New Roman" w:eastAsia="Calibri" w:hAnsi="Times New Roman" w:cs="Times New Roman"/>
          <w:szCs w:val="24"/>
        </w:rPr>
        <w:t>w dokumencie dotyczącym opłat</w:t>
      </w:r>
      <w:r w:rsidR="0095164B" w:rsidRPr="00677204">
        <w:rPr>
          <w:rFonts w:ascii="Times New Roman" w:eastAsia="Calibri" w:hAnsi="Times New Roman" w:cs="Times New Roman"/>
          <w:szCs w:val="24"/>
        </w:rPr>
        <w:t xml:space="preserve">, </w:t>
      </w:r>
      <w:r w:rsidR="005F68AB" w:rsidRPr="00677204">
        <w:rPr>
          <w:rFonts w:ascii="Times New Roman" w:eastAsia="Calibri" w:hAnsi="Times New Roman" w:cs="Times New Roman"/>
          <w:szCs w:val="24"/>
        </w:rPr>
        <w:t xml:space="preserve">będą mieli </w:t>
      </w:r>
      <w:r w:rsidR="00F84A2D" w:rsidRPr="00677204">
        <w:rPr>
          <w:rFonts w:ascii="Times New Roman" w:eastAsia="Calibri" w:hAnsi="Times New Roman" w:cs="Times New Roman"/>
          <w:szCs w:val="24"/>
        </w:rPr>
        <w:t>obowiązek</w:t>
      </w:r>
      <w:r w:rsidRPr="00677204">
        <w:rPr>
          <w:rFonts w:ascii="Times New Roman" w:eastAsia="Calibri" w:hAnsi="Times New Roman" w:cs="Times New Roman"/>
          <w:szCs w:val="24"/>
        </w:rPr>
        <w:t xml:space="preserve"> posług</w:t>
      </w:r>
      <w:r w:rsidR="00F84A2D" w:rsidRPr="00677204">
        <w:rPr>
          <w:rFonts w:ascii="Times New Roman" w:eastAsia="Calibri" w:hAnsi="Times New Roman" w:cs="Times New Roman"/>
          <w:szCs w:val="24"/>
        </w:rPr>
        <w:t xml:space="preserve">iwać się </w:t>
      </w:r>
      <w:r w:rsidRPr="00677204">
        <w:rPr>
          <w:rFonts w:ascii="Times New Roman" w:eastAsia="Calibri" w:hAnsi="Times New Roman" w:cs="Times New Roman"/>
          <w:szCs w:val="24"/>
        </w:rPr>
        <w:t>pojęciami zawartym</w:t>
      </w:r>
      <w:r w:rsidR="002549F6" w:rsidRPr="00677204">
        <w:rPr>
          <w:rFonts w:ascii="Times New Roman" w:eastAsia="Calibri" w:hAnsi="Times New Roman" w:cs="Times New Roman"/>
          <w:szCs w:val="24"/>
        </w:rPr>
        <w:t>i w wykazie usług płatniczych w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Pr="00677204">
        <w:rPr>
          <w:rFonts w:ascii="Times New Roman" w:eastAsia="Calibri" w:hAnsi="Times New Roman" w:cs="Times New Roman"/>
          <w:szCs w:val="24"/>
        </w:rPr>
        <w:t xml:space="preserve">przypadku odnoszenia się do tych usług, </w:t>
      </w:r>
      <w:r w:rsidR="005F68AB" w:rsidRPr="00677204">
        <w:rPr>
          <w:rFonts w:ascii="Times New Roman" w:eastAsia="Calibri" w:hAnsi="Times New Roman" w:cs="Times New Roman"/>
          <w:szCs w:val="24"/>
        </w:rPr>
        <w:t>a</w:t>
      </w:r>
      <w:r w:rsidRPr="00677204">
        <w:rPr>
          <w:rFonts w:ascii="Times New Roman" w:eastAsia="Calibri" w:hAnsi="Times New Roman" w:cs="Times New Roman"/>
          <w:szCs w:val="24"/>
        </w:rPr>
        <w:t xml:space="preserve">by zapewnić konsumentom możliwość przejrzystego porównania ofert różnych dostawców usług w zakresie tych samych usług. Stosowanie nazw </w:t>
      </w:r>
      <w:r w:rsidR="005F68AB" w:rsidRPr="00677204">
        <w:rPr>
          <w:rFonts w:ascii="Times New Roman" w:eastAsia="Calibri" w:hAnsi="Times New Roman" w:cs="Times New Roman"/>
          <w:szCs w:val="24"/>
        </w:rPr>
        <w:t xml:space="preserve">handlowych będzie </w:t>
      </w:r>
      <w:r w:rsidRPr="00677204">
        <w:rPr>
          <w:rFonts w:ascii="Times New Roman" w:eastAsia="Calibri" w:hAnsi="Times New Roman" w:cs="Times New Roman"/>
          <w:szCs w:val="24"/>
        </w:rPr>
        <w:t>możliwe tylko w uzupełnieniu</w:t>
      </w:r>
      <w:r w:rsidR="005A3F7E" w:rsidRPr="00677204">
        <w:rPr>
          <w:rFonts w:ascii="Times New Roman" w:eastAsia="Calibri" w:hAnsi="Times New Roman" w:cs="Times New Roman"/>
          <w:szCs w:val="24"/>
        </w:rPr>
        <w:t xml:space="preserve"> do</w:t>
      </w:r>
      <w:r w:rsidRPr="00677204">
        <w:rPr>
          <w:rFonts w:ascii="Times New Roman" w:eastAsia="Calibri" w:hAnsi="Times New Roman" w:cs="Times New Roman"/>
          <w:szCs w:val="24"/>
        </w:rPr>
        <w:t xml:space="preserve"> ujednoliconych pojęć (art. 2</w:t>
      </w:r>
      <w:r w:rsidR="00460A22" w:rsidRPr="00677204">
        <w:rPr>
          <w:rFonts w:ascii="Times New Roman" w:eastAsia="Calibri" w:hAnsi="Times New Roman" w:cs="Times New Roman"/>
          <w:szCs w:val="24"/>
        </w:rPr>
        <w:t>0</w:t>
      </w:r>
      <w:r w:rsidRPr="00677204">
        <w:rPr>
          <w:rFonts w:ascii="Times New Roman" w:eastAsia="Calibri" w:hAnsi="Times New Roman" w:cs="Times New Roman"/>
          <w:szCs w:val="24"/>
        </w:rPr>
        <w:t>b ust. 4).</w:t>
      </w:r>
    </w:p>
    <w:p w14:paraId="2A9E7B35" w14:textId="1B7326F3" w:rsidR="00AF1E7C" w:rsidRPr="00677204" w:rsidRDefault="00D11EC6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lastRenderedPageBreak/>
        <w:t xml:space="preserve">W </w:t>
      </w:r>
      <w:r w:rsidR="0095164B" w:rsidRPr="00677204">
        <w:rPr>
          <w:rFonts w:ascii="Times New Roman" w:eastAsia="Calibri" w:hAnsi="Times New Roman" w:cs="Times New Roman"/>
          <w:b/>
          <w:szCs w:val="24"/>
        </w:rPr>
        <w:t>p</w:t>
      </w:r>
      <w:r w:rsidR="00CC55C2" w:rsidRPr="00677204">
        <w:rPr>
          <w:rFonts w:ascii="Times New Roman" w:eastAsia="Calibri" w:hAnsi="Times New Roman" w:cs="Times New Roman"/>
          <w:b/>
          <w:szCs w:val="24"/>
        </w:rPr>
        <w:t xml:space="preserve">kt </w:t>
      </w:r>
      <w:r w:rsidR="00F731FC" w:rsidRPr="00677204">
        <w:rPr>
          <w:rFonts w:ascii="Times New Roman" w:eastAsia="Calibri" w:hAnsi="Times New Roman" w:cs="Times New Roman"/>
          <w:b/>
          <w:szCs w:val="24"/>
        </w:rPr>
        <w:t>1</w:t>
      </w:r>
      <w:r w:rsidR="00CD6B36" w:rsidRPr="00677204">
        <w:rPr>
          <w:rFonts w:ascii="Times New Roman" w:eastAsia="Calibri" w:hAnsi="Times New Roman" w:cs="Times New Roman"/>
          <w:b/>
          <w:szCs w:val="24"/>
        </w:rPr>
        <w:t>2</w:t>
      </w:r>
      <w:r w:rsidR="00AF1E7C" w:rsidRPr="00677204">
        <w:rPr>
          <w:rFonts w:ascii="Times New Roman" w:eastAsia="Calibri" w:hAnsi="Times New Roman" w:cs="Times New Roman"/>
          <w:b/>
          <w:szCs w:val="24"/>
        </w:rPr>
        <w:t xml:space="preserve"> </w:t>
      </w:r>
      <w:r w:rsidR="00AF1E7C" w:rsidRPr="00677204">
        <w:rPr>
          <w:rFonts w:ascii="Times New Roman" w:eastAsia="Calibri" w:hAnsi="Times New Roman" w:cs="Times New Roman"/>
          <w:szCs w:val="24"/>
        </w:rPr>
        <w:t xml:space="preserve">wprowadzono zmianę </w:t>
      </w:r>
      <w:r w:rsidR="000B0712" w:rsidRPr="00677204">
        <w:rPr>
          <w:rFonts w:ascii="Times New Roman" w:eastAsia="Calibri" w:hAnsi="Times New Roman" w:cs="Times New Roman"/>
          <w:szCs w:val="24"/>
        </w:rPr>
        <w:t xml:space="preserve">w </w:t>
      </w:r>
      <w:r w:rsidR="00AF1E7C" w:rsidRPr="00677204">
        <w:rPr>
          <w:rFonts w:ascii="Times New Roman" w:eastAsia="Calibri" w:hAnsi="Times New Roman" w:cs="Times New Roman"/>
          <w:szCs w:val="24"/>
        </w:rPr>
        <w:t>art. 29</w:t>
      </w:r>
      <w:r w:rsidR="00B214E2" w:rsidRPr="00677204">
        <w:rPr>
          <w:rFonts w:ascii="Times New Roman" w:eastAsia="Calibri" w:hAnsi="Times New Roman" w:cs="Times New Roman"/>
          <w:szCs w:val="24"/>
        </w:rPr>
        <w:t xml:space="preserve"> polegającą na dodaniu ust. 7, </w:t>
      </w:r>
      <w:r w:rsidR="0009187A" w:rsidRPr="00677204">
        <w:rPr>
          <w:rFonts w:ascii="Times New Roman" w:eastAsia="Calibri" w:hAnsi="Times New Roman" w:cs="Times New Roman"/>
          <w:szCs w:val="24"/>
        </w:rPr>
        <w:t xml:space="preserve">zobowiązującego dostawców do przekazywania użytkownikom </w:t>
      </w:r>
      <w:r w:rsidR="000B0712" w:rsidRPr="00677204">
        <w:rPr>
          <w:rFonts w:ascii="Times New Roman" w:eastAsia="Calibri" w:hAnsi="Times New Roman" w:cs="Times New Roman"/>
          <w:szCs w:val="24"/>
        </w:rPr>
        <w:t xml:space="preserve">w trakcie trwania umowy </w:t>
      </w:r>
      <w:r w:rsidR="002549F6" w:rsidRPr="00677204">
        <w:rPr>
          <w:rFonts w:ascii="Times New Roman" w:eastAsia="Calibri" w:hAnsi="Times New Roman" w:cs="Times New Roman"/>
          <w:szCs w:val="24"/>
        </w:rPr>
        <w:t>informacji o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09187A" w:rsidRPr="00677204">
        <w:rPr>
          <w:rFonts w:ascii="Times New Roman" w:eastAsia="Calibri" w:hAnsi="Times New Roman" w:cs="Times New Roman"/>
          <w:szCs w:val="24"/>
        </w:rPr>
        <w:t xml:space="preserve">zmianach opłat za usługi zawarte </w:t>
      </w:r>
      <w:r w:rsidR="000B0712" w:rsidRPr="00677204">
        <w:rPr>
          <w:rFonts w:ascii="Times New Roman" w:eastAsia="Calibri" w:hAnsi="Times New Roman" w:cs="Times New Roman"/>
          <w:szCs w:val="24"/>
        </w:rPr>
        <w:t xml:space="preserve">w </w:t>
      </w:r>
      <w:r w:rsidR="0009187A" w:rsidRPr="00677204">
        <w:rPr>
          <w:rFonts w:ascii="Times New Roman" w:eastAsia="Calibri" w:hAnsi="Times New Roman" w:cs="Times New Roman"/>
          <w:szCs w:val="24"/>
        </w:rPr>
        <w:t xml:space="preserve">wykazie </w:t>
      </w:r>
      <w:r w:rsidR="004E479F">
        <w:rPr>
          <w:rFonts w:ascii="Times New Roman" w:eastAsia="Calibri" w:hAnsi="Times New Roman" w:cs="Times New Roman"/>
          <w:szCs w:val="24"/>
        </w:rPr>
        <w:t xml:space="preserve">usług </w:t>
      </w:r>
      <w:r w:rsidR="0009187A" w:rsidRPr="00677204">
        <w:rPr>
          <w:rFonts w:ascii="Times New Roman" w:eastAsia="Calibri" w:hAnsi="Times New Roman" w:cs="Times New Roman"/>
          <w:szCs w:val="24"/>
        </w:rPr>
        <w:t xml:space="preserve">reprezentatywnych </w:t>
      </w:r>
      <w:r w:rsidR="00A57950">
        <w:rPr>
          <w:rFonts w:ascii="Times New Roman" w:eastAsia="Calibri" w:hAnsi="Times New Roman" w:cs="Times New Roman"/>
          <w:szCs w:val="24"/>
        </w:rPr>
        <w:t>w </w:t>
      </w:r>
      <w:r w:rsidR="000B0712" w:rsidRPr="00677204">
        <w:rPr>
          <w:rFonts w:ascii="Times New Roman" w:eastAsia="Calibri" w:hAnsi="Times New Roman" w:cs="Times New Roman"/>
          <w:szCs w:val="24"/>
        </w:rPr>
        <w:t xml:space="preserve">postaci dokumentu dotyczącego opłat. Obowiązek </w:t>
      </w:r>
      <w:r w:rsidR="00A57950">
        <w:rPr>
          <w:rFonts w:ascii="Times New Roman" w:eastAsia="Calibri" w:hAnsi="Times New Roman" w:cs="Times New Roman"/>
          <w:szCs w:val="24"/>
        </w:rPr>
        <w:t>informowania o zmianach w </w:t>
      </w:r>
      <w:r w:rsidR="005C133C" w:rsidRPr="00677204">
        <w:rPr>
          <w:rFonts w:ascii="Times New Roman" w:eastAsia="Calibri" w:hAnsi="Times New Roman" w:cs="Times New Roman"/>
          <w:szCs w:val="24"/>
        </w:rPr>
        <w:t>z</w:t>
      </w:r>
      <w:r w:rsidR="002549F6" w:rsidRPr="00677204">
        <w:rPr>
          <w:rFonts w:ascii="Times New Roman" w:eastAsia="Calibri" w:hAnsi="Times New Roman" w:cs="Times New Roman"/>
          <w:szCs w:val="24"/>
        </w:rPr>
        <w:t>akresie opłat wynika już z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2549F6" w:rsidRPr="00677204">
        <w:rPr>
          <w:rFonts w:ascii="Times New Roman" w:eastAsia="Calibri" w:hAnsi="Times New Roman" w:cs="Times New Roman"/>
          <w:szCs w:val="24"/>
        </w:rPr>
        <w:t>art.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5C133C" w:rsidRPr="00677204">
        <w:rPr>
          <w:rFonts w:ascii="Times New Roman" w:eastAsia="Calibri" w:hAnsi="Times New Roman" w:cs="Times New Roman"/>
          <w:szCs w:val="24"/>
        </w:rPr>
        <w:t>27 ustawy</w:t>
      </w:r>
      <w:r w:rsidR="000B0712" w:rsidRPr="00677204">
        <w:rPr>
          <w:rFonts w:ascii="Times New Roman" w:eastAsia="Calibri" w:hAnsi="Times New Roman" w:cs="Times New Roman"/>
          <w:szCs w:val="24"/>
        </w:rPr>
        <w:t xml:space="preserve">, </w:t>
      </w:r>
      <w:r w:rsidR="005C133C" w:rsidRPr="00677204">
        <w:rPr>
          <w:rFonts w:ascii="Times New Roman" w:eastAsia="Calibri" w:hAnsi="Times New Roman" w:cs="Times New Roman"/>
          <w:szCs w:val="24"/>
        </w:rPr>
        <w:t xml:space="preserve">więc nowy </w:t>
      </w:r>
      <w:r w:rsidR="000B0712" w:rsidRPr="00677204">
        <w:rPr>
          <w:rFonts w:ascii="Times New Roman" w:eastAsia="Calibri" w:hAnsi="Times New Roman" w:cs="Times New Roman"/>
          <w:szCs w:val="24"/>
        </w:rPr>
        <w:t xml:space="preserve">przepis jedynie </w:t>
      </w:r>
      <w:r w:rsidR="005C133C" w:rsidRPr="00677204">
        <w:rPr>
          <w:rFonts w:ascii="Times New Roman" w:eastAsia="Calibri" w:hAnsi="Times New Roman" w:cs="Times New Roman"/>
          <w:szCs w:val="24"/>
        </w:rPr>
        <w:t xml:space="preserve">wskazuje na </w:t>
      </w:r>
      <w:r w:rsidR="00505F80" w:rsidRPr="00677204">
        <w:rPr>
          <w:rFonts w:ascii="Times New Roman" w:eastAsia="Calibri" w:hAnsi="Times New Roman" w:cs="Times New Roman"/>
          <w:szCs w:val="24"/>
        </w:rPr>
        <w:t>szczególn</w:t>
      </w:r>
      <w:r w:rsidR="00CA15A0">
        <w:rPr>
          <w:rFonts w:ascii="Times New Roman" w:eastAsia="Calibri" w:hAnsi="Times New Roman" w:cs="Times New Roman"/>
          <w:szCs w:val="24"/>
        </w:rPr>
        <w:t>ą</w:t>
      </w:r>
      <w:r w:rsidR="00505F80" w:rsidRPr="00677204">
        <w:rPr>
          <w:rFonts w:ascii="Times New Roman" w:eastAsia="Calibri" w:hAnsi="Times New Roman" w:cs="Times New Roman"/>
          <w:szCs w:val="24"/>
        </w:rPr>
        <w:t xml:space="preserve"> formę</w:t>
      </w:r>
      <w:r w:rsidR="00CA15A0">
        <w:rPr>
          <w:rFonts w:ascii="Times New Roman" w:eastAsia="Calibri" w:hAnsi="Times New Roman" w:cs="Times New Roman"/>
          <w:szCs w:val="24"/>
        </w:rPr>
        <w:t>,</w:t>
      </w:r>
      <w:r w:rsidR="00505F80" w:rsidRPr="00677204">
        <w:rPr>
          <w:rFonts w:ascii="Times New Roman" w:eastAsia="Calibri" w:hAnsi="Times New Roman" w:cs="Times New Roman"/>
          <w:szCs w:val="24"/>
        </w:rPr>
        <w:t xml:space="preserve"> w jakiej informacje mają być przekazywane. </w:t>
      </w:r>
      <w:r w:rsidR="000B0712" w:rsidRPr="00677204">
        <w:rPr>
          <w:rFonts w:ascii="Times New Roman" w:eastAsia="Calibri" w:hAnsi="Times New Roman" w:cs="Times New Roman"/>
          <w:szCs w:val="24"/>
        </w:rPr>
        <w:t xml:space="preserve">Propozycja ta ma na celu zwiększenie znaczenia i roli dokumentu dotyczącego opłat, również na etapie </w:t>
      </w:r>
      <w:r w:rsidR="00505F80" w:rsidRPr="00677204">
        <w:rPr>
          <w:rFonts w:ascii="Times New Roman" w:eastAsia="Calibri" w:hAnsi="Times New Roman" w:cs="Times New Roman"/>
          <w:szCs w:val="24"/>
        </w:rPr>
        <w:t>po zawarciu</w:t>
      </w:r>
      <w:r w:rsidR="000B0712" w:rsidRPr="00677204">
        <w:rPr>
          <w:rFonts w:ascii="Times New Roman" w:eastAsia="Calibri" w:hAnsi="Times New Roman" w:cs="Times New Roman"/>
          <w:szCs w:val="24"/>
        </w:rPr>
        <w:t xml:space="preserve"> umowy rachunku płatniczego.</w:t>
      </w:r>
    </w:p>
    <w:p w14:paraId="40C7A161" w14:textId="1B375BF9" w:rsidR="00F23194" w:rsidRPr="00677204" w:rsidRDefault="00505F80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W pkt </w:t>
      </w:r>
      <w:r w:rsidR="00D226CB" w:rsidRPr="00677204">
        <w:rPr>
          <w:rFonts w:ascii="Times New Roman" w:eastAsia="Calibri" w:hAnsi="Times New Roman" w:cs="Times New Roman"/>
          <w:b/>
          <w:szCs w:val="24"/>
        </w:rPr>
        <w:t>1</w:t>
      </w:r>
      <w:r w:rsidR="00CD6B36" w:rsidRPr="00677204">
        <w:rPr>
          <w:rFonts w:ascii="Times New Roman" w:eastAsia="Calibri" w:hAnsi="Times New Roman" w:cs="Times New Roman"/>
          <w:b/>
          <w:szCs w:val="24"/>
        </w:rPr>
        <w:t>3</w:t>
      </w:r>
      <w:r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dodaje </w:t>
      </w:r>
      <w:r w:rsidR="0095164B" w:rsidRPr="00677204">
        <w:rPr>
          <w:rFonts w:ascii="Times New Roman" w:eastAsia="Calibri" w:hAnsi="Times New Roman" w:cs="Times New Roman"/>
          <w:szCs w:val="24"/>
        </w:rPr>
        <w:t xml:space="preserve">się </w:t>
      </w:r>
      <w:r w:rsidR="00CC55C2" w:rsidRPr="00677204">
        <w:rPr>
          <w:rFonts w:ascii="Times New Roman" w:eastAsia="Calibri" w:hAnsi="Times New Roman" w:cs="Times New Roman"/>
          <w:szCs w:val="24"/>
        </w:rPr>
        <w:t>art. 32b–32e do rozdziału 3 działu II</w:t>
      </w:r>
      <w:r w:rsidR="00B214E2" w:rsidRPr="00677204">
        <w:rPr>
          <w:rFonts w:ascii="Times New Roman" w:eastAsia="Calibri" w:hAnsi="Times New Roman" w:cs="Times New Roman"/>
          <w:szCs w:val="24"/>
        </w:rPr>
        <w:t>.</w:t>
      </w:r>
      <w:r w:rsidR="005C6AFA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95164B" w:rsidRPr="00677204">
        <w:rPr>
          <w:rFonts w:ascii="Times New Roman" w:eastAsia="Calibri" w:hAnsi="Times New Roman" w:cs="Times New Roman"/>
          <w:szCs w:val="24"/>
        </w:rPr>
        <w:t>Przepisy a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rt. 32b i </w:t>
      </w:r>
      <w:r w:rsidR="00BC2B4B">
        <w:rPr>
          <w:rFonts w:ascii="Times New Roman" w:eastAsia="Calibri" w:hAnsi="Times New Roman" w:cs="Times New Roman"/>
          <w:szCs w:val="24"/>
        </w:rPr>
        <w:t xml:space="preserve">art. 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32c dotyczą obowiązku udostępniania konsumentom zestawienia opłat, niezależnie od obowiązujących równolegle obowiązków przekazywania </w:t>
      </w:r>
      <w:r w:rsidR="00E439E3" w:rsidRPr="00677204">
        <w:rPr>
          <w:rFonts w:ascii="Times New Roman" w:eastAsia="Calibri" w:hAnsi="Times New Roman" w:cs="Times New Roman"/>
          <w:szCs w:val="24"/>
        </w:rPr>
        <w:t xml:space="preserve">konsumentom 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informacji co do wykonanych transakcji płatniczych na podstawie art. 31 i </w:t>
      </w:r>
      <w:r w:rsidR="00BC2B4B">
        <w:rPr>
          <w:rFonts w:ascii="Times New Roman" w:eastAsia="Calibri" w:hAnsi="Times New Roman" w:cs="Times New Roman"/>
          <w:szCs w:val="24"/>
        </w:rPr>
        <w:t xml:space="preserve">art. </w:t>
      </w:r>
      <w:r w:rsidR="00CC55C2" w:rsidRPr="00677204">
        <w:rPr>
          <w:rFonts w:ascii="Times New Roman" w:eastAsia="Calibri" w:hAnsi="Times New Roman" w:cs="Times New Roman"/>
          <w:szCs w:val="24"/>
        </w:rPr>
        <w:t>32 ustawy</w:t>
      </w:r>
      <w:r w:rsidR="00E1039E" w:rsidRPr="00677204">
        <w:rPr>
          <w:rFonts w:ascii="Times New Roman" w:eastAsia="Calibri" w:hAnsi="Times New Roman" w:cs="Times New Roman"/>
          <w:szCs w:val="24"/>
        </w:rPr>
        <w:t xml:space="preserve"> (dostarczanie informacji po dokonaniu indywidualnej transakcji)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oraz niezależnie od obowiązku przekazywania wyciągu z rachunku oszczędnościowo-rozliczeniowego na podstawie art. 38 </w:t>
      </w:r>
      <w:r w:rsidR="00CC55C2" w:rsidRPr="00677204">
        <w:rPr>
          <w:rFonts w:ascii="Times New Roman" w:hAnsi="Times New Roman" w:cs="Times New Roman"/>
          <w:szCs w:val="24"/>
        </w:rPr>
        <w:t>ustawy z dnia 12 maja 2011 r. o</w:t>
      </w:r>
      <w:r w:rsidR="006D4B38">
        <w:rPr>
          <w:rFonts w:ascii="Times New Roman" w:hAnsi="Times New Roman" w:cs="Times New Roman"/>
          <w:szCs w:val="24"/>
        </w:rPr>
        <w:t xml:space="preserve"> </w:t>
      </w:r>
      <w:r w:rsidR="00CC55C2" w:rsidRPr="00677204">
        <w:rPr>
          <w:rFonts w:ascii="Times New Roman" w:hAnsi="Times New Roman" w:cs="Times New Roman"/>
          <w:szCs w:val="24"/>
        </w:rPr>
        <w:t>kredycie kons</w:t>
      </w:r>
      <w:r w:rsidR="00805489">
        <w:rPr>
          <w:rFonts w:ascii="Times New Roman" w:hAnsi="Times New Roman" w:cs="Times New Roman"/>
          <w:szCs w:val="24"/>
        </w:rPr>
        <w:t>umenckim (Dz. U. z </w:t>
      </w:r>
      <w:r w:rsidR="00A57950">
        <w:rPr>
          <w:rFonts w:ascii="Times New Roman" w:hAnsi="Times New Roman" w:cs="Times New Roman"/>
          <w:szCs w:val="24"/>
        </w:rPr>
        <w:t>2014 r. poz. </w:t>
      </w:r>
      <w:r w:rsidR="00CC55C2" w:rsidRPr="00677204">
        <w:rPr>
          <w:rFonts w:ascii="Times New Roman" w:hAnsi="Times New Roman" w:cs="Times New Roman"/>
          <w:szCs w:val="24"/>
        </w:rPr>
        <w:t>1497, z późn. zm.</w:t>
      </w:r>
      <w:r w:rsidR="00B214E2" w:rsidRPr="00677204">
        <w:rPr>
          <w:rFonts w:ascii="Times New Roman" w:hAnsi="Times New Roman" w:cs="Times New Roman"/>
          <w:szCs w:val="24"/>
        </w:rPr>
        <w:t>).</w:t>
      </w:r>
    </w:p>
    <w:p w14:paraId="4586D4FD" w14:textId="2BA9FBCA" w:rsidR="00422004" w:rsidRPr="00677204" w:rsidRDefault="00CC55C2" w:rsidP="002549F6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 xml:space="preserve">Zestawienie opłat </w:t>
      </w:r>
      <w:r w:rsidR="00BC2B4B" w:rsidRPr="00677204">
        <w:rPr>
          <w:rFonts w:ascii="Times New Roman" w:hAnsi="Times New Roman" w:cs="Times New Roman"/>
          <w:szCs w:val="24"/>
        </w:rPr>
        <w:t xml:space="preserve">będzie </w:t>
      </w:r>
      <w:r w:rsidRPr="00677204">
        <w:rPr>
          <w:rFonts w:ascii="Times New Roman" w:hAnsi="Times New Roman" w:cs="Times New Roman"/>
          <w:szCs w:val="24"/>
        </w:rPr>
        <w:t>zawierać informacj</w:t>
      </w:r>
      <w:r w:rsidR="00D05DDC" w:rsidRPr="00677204">
        <w:rPr>
          <w:rFonts w:ascii="Times New Roman" w:hAnsi="Times New Roman" w:cs="Times New Roman"/>
          <w:szCs w:val="24"/>
        </w:rPr>
        <w:t>e</w:t>
      </w:r>
      <w:r w:rsidRPr="00677204">
        <w:rPr>
          <w:rFonts w:ascii="Times New Roman" w:hAnsi="Times New Roman" w:cs="Times New Roman"/>
          <w:szCs w:val="24"/>
        </w:rPr>
        <w:t xml:space="preserve"> o wszelkich opłatach pobranych w</w:t>
      </w:r>
      <w:r w:rsidR="00A57950">
        <w:rPr>
          <w:rFonts w:ascii="Times New Roman" w:hAnsi="Times New Roman" w:cs="Times New Roman"/>
          <w:szCs w:val="24"/>
        </w:rPr>
        <w:t> </w:t>
      </w:r>
      <w:r w:rsidRPr="00677204">
        <w:rPr>
          <w:rFonts w:ascii="Times New Roman" w:hAnsi="Times New Roman" w:cs="Times New Roman"/>
          <w:szCs w:val="24"/>
        </w:rPr>
        <w:t>związku z</w:t>
      </w:r>
      <w:r w:rsidR="006D4B38">
        <w:rPr>
          <w:rFonts w:ascii="Times New Roman" w:hAnsi="Times New Roman" w:cs="Times New Roman"/>
          <w:szCs w:val="24"/>
        </w:rPr>
        <w:t xml:space="preserve"> </w:t>
      </w:r>
      <w:r w:rsidRPr="00677204">
        <w:rPr>
          <w:rFonts w:ascii="Times New Roman" w:hAnsi="Times New Roman" w:cs="Times New Roman"/>
          <w:szCs w:val="24"/>
        </w:rPr>
        <w:t>usługami powiązanymi z rachunkiem płatniczym. Zestawienie powinno być sporządzane przynajmni</w:t>
      </w:r>
      <w:r w:rsidR="00653BFF" w:rsidRPr="00677204">
        <w:rPr>
          <w:rFonts w:ascii="Times New Roman" w:hAnsi="Times New Roman" w:cs="Times New Roman"/>
          <w:szCs w:val="24"/>
        </w:rPr>
        <w:t xml:space="preserve">ej raz w roku (art. 32b ust. 2) </w:t>
      </w:r>
      <w:r w:rsidR="0021798B" w:rsidRPr="00677204">
        <w:rPr>
          <w:rFonts w:ascii="Times New Roman" w:hAnsi="Times New Roman" w:cs="Times New Roman"/>
          <w:szCs w:val="24"/>
        </w:rPr>
        <w:t>i zawierać</w:t>
      </w:r>
      <w:r w:rsidR="00A57950">
        <w:rPr>
          <w:rFonts w:ascii="Times New Roman" w:hAnsi="Times New Roman" w:cs="Times New Roman"/>
          <w:szCs w:val="24"/>
        </w:rPr>
        <w:t xml:space="preserve"> także informację o </w:t>
      </w:r>
      <w:r w:rsidR="00E1039E" w:rsidRPr="00677204">
        <w:rPr>
          <w:rFonts w:ascii="Times New Roman" w:hAnsi="Times New Roman" w:cs="Times New Roman"/>
          <w:szCs w:val="24"/>
        </w:rPr>
        <w:t>stopie</w:t>
      </w:r>
      <w:r w:rsidR="00653BFF" w:rsidRPr="00677204">
        <w:rPr>
          <w:rFonts w:ascii="Times New Roman" w:hAnsi="Times New Roman" w:cs="Times New Roman"/>
          <w:szCs w:val="24"/>
        </w:rPr>
        <w:t xml:space="preserve"> oprocentowania kredytu w rachunku </w:t>
      </w:r>
      <w:r w:rsidR="00E1039E" w:rsidRPr="00677204">
        <w:rPr>
          <w:rFonts w:ascii="Times New Roman" w:hAnsi="Times New Roman" w:cs="Times New Roman"/>
          <w:szCs w:val="24"/>
        </w:rPr>
        <w:t>płatniczym</w:t>
      </w:r>
      <w:r w:rsidR="00653BFF" w:rsidRPr="00677204">
        <w:rPr>
          <w:rFonts w:ascii="Times New Roman" w:hAnsi="Times New Roman" w:cs="Times New Roman"/>
          <w:szCs w:val="24"/>
        </w:rPr>
        <w:t>, całkowitej kwocie odsetek pobranych z tego tytułu oraz o</w:t>
      </w:r>
      <w:r w:rsidR="006D4B38">
        <w:rPr>
          <w:rFonts w:ascii="Times New Roman" w:hAnsi="Times New Roman" w:cs="Times New Roman"/>
          <w:szCs w:val="24"/>
        </w:rPr>
        <w:t xml:space="preserve"> </w:t>
      </w:r>
      <w:r w:rsidR="00B214E2" w:rsidRPr="00677204">
        <w:rPr>
          <w:rFonts w:ascii="Times New Roman" w:hAnsi="Times New Roman" w:cs="Times New Roman"/>
          <w:szCs w:val="24"/>
        </w:rPr>
        <w:t xml:space="preserve">stopie </w:t>
      </w:r>
      <w:r w:rsidR="00653BFF" w:rsidRPr="00677204">
        <w:rPr>
          <w:rFonts w:ascii="Times New Roman" w:hAnsi="Times New Roman" w:cs="Times New Roman"/>
          <w:szCs w:val="24"/>
        </w:rPr>
        <w:t>oprocentowania środków pieniężnych na rachunku płatniczym.</w:t>
      </w:r>
      <w:r w:rsidRPr="00677204">
        <w:rPr>
          <w:rFonts w:ascii="Times New Roman" w:hAnsi="Times New Roman" w:cs="Times New Roman"/>
          <w:szCs w:val="24"/>
        </w:rPr>
        <w:t xml:space="preserve"> Zgodnie z</w:t>
      </w:r>
      <w:r w:rsidR="002549F6" w:rsidRPr="00677204">
        <w:rPr>
          <w:rFonts w:ascii="Times New Roman" w:hAnsi="Times New Roman" w:cs="Times New Roman"/>
          <w:szCs w:val="24"/>
        </w:rPr>
        <w:t xml:space="preserve"> </w:t>
      </w:r>
      <w:r w:rsidR="006B47A5" w:rsidRPr="00677204">
        <w:rPr>
          <w:rFonts w:ascii="Times New Roman" w:hAnsi="Times New Roman" w:cs="Times New Roman"/>
          <w:szCs w:val="24"/>
        </w:rPr>
        <w:t>art. 32b ust. 1</w:t>
      </w:r>
      <w:r w:rsidR="003C6628" w:rsidRPr="00677204">
        <w:rPr>
          <w:rFonts w:ascii="Times New Roman" w:hAnsi="Times New Roman" w:cs="Times New Roman"/>
          <w:szCs w:val="24"/>
        </w:rPr>
        <w:t xml:space="preserve">, </w:t>
      </w:r>
      <w:r w:rsidRPr="00677204">
        <w:rPr>
          <w:rFonts w:ascii="Times New Roman" w:hAnsi="Times New Roman" w:cs="Times New Roman"/>
          <w:szCs w:val="24"/>
        </w:rPr>
        <w:t>za przekazywanie zestawienia opłat</w:t>
      </w:r>
      <w:r w:rsidR="00B214E2" w:rsidRPr="00677204">
        <w:rPr>
          <w:rFonts w:ascii="Times New Roman" w:hAnsi="Times New Roman" w:cs="Times New Roman"/>
          <w:szCs w:val="24"/>
        </w:rPr>
        <w:t xml:space="preserve"> nie mogą być pobierane opłaty.</w:t>
      </w:r>
    </w:p>
    <w:p w14:paraId="60A5C413" w14:textId="5FB67326" w:rsidR="00422004" w:rsidRPr="00677204" w:rsidRDefault="003C6628" w:rsidP="002549F6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>Przepis a</w:t>
      </w:r>
      <w:r w:rsidR="00CC55C2" w:rsidRPr="00677204">
        <w:rPr>
          <w:rFonts w:ascii="Times New Roman" w:hAnsi="Times New Roman" w:cs="Times New Roman"/>
          <w:szCs w:val="24"/>
        </w:rPr>
        <w:t xml:space="preserve">rt. 32c </w:t>
      </w:r>
      <w:r w:rsidRPr="00677204">
        <w:rPr>
          <w:rFonts w:ascii="Times New Roman" w:hAnsi="Times New Roman" w:cs="Times New Roman"/>
          <w:szCs w:val="24"/>
        </w:rPr>
        <w:t xml:space="preserve">określa </w:t>
      </w:r>
      <w:r w:rsidR="00CC55C2" w:rsidRPr="00677204">
        <w:rPr>
          <w:rFonts w:ascii="Times New Roman" w:hAnsi="Times New Roman" w:cs="Times New Roman"/>
          <w:szCs w:val="24"/>
        </w:rPr>
        <w:t>zakres informacji</w:t>
      </w:r>
      <w:r w:rsidR="000575BA" w:rsidRPr="00677204">
        <w:rPr>
          <w:rFonts w:ascii="Times New Roman" w:hAnsi="Times New Roman" w:cs="Times New Roman"/>
          <w:szCs w:val="24"/>
        </w:rPr>
        <w:t>,</w:t>
      </w:r>
      <w:r w:rsidR="00CC55C2" w:rsidRPr="00677204">
        <w:rPr>
          <w:rFonts w:ascii="Times New Roman" w:hAnsi="Times New Roman" w:cs="Times New Roman"/>
          <w:szCs w:val="24"/>
        </w:rPr>
        <w:t xml:space="preserve"> jakie mają być zawarte w zestawieniu opłat</w:t>
      </w:r>
      <w:r w:rsidRPr="00677204">
        <w:rPr>
          <w:rFonts w:ascii="Times New Roman" w:hAnsi="Times New Roman" w:cs="Times New Roman"/>
          <w:szCs w:val="24"/>
        </w:rPr>
        <w:t xml:space="preserve">, </w:t>
      </w:r>
      <w:r w:rsidR="006B47A5" w:rsidRPr="00677204">
        <w:rPr>
          <w:rFonts w:ascii="Times New Roman" w:hAnsi="Times New Roman" w:cs="Times New Roman"/>
          <w:szCs w:val="24"/>
        </w:rPr>
        <w:t>oraz wymogi techniczne stawiane zestawieniu opłat jako dokumentowi</w:t>
      </w:r>
      <w:r w:rsidR="00CC55C2" w:rsidRPr="00677204">
        <w:rPr>
          <w:rFonts w:ascii="Times New Roman" w:hAnsi="Times New Roman" w:cs="Times New Roman"/>
          <w:szCs w:val="24"/>
        </w:rPr>
        <w:t>.</w:t>
      </w:r>
    </w:p>
    <w:p w14:paraId="526008C2" w14:textId="4D8AD4D4" w:rsidR="00F23194" w:rsidRPr="00677204" w:rsidRDefault="003C6628" w:rsidP="002549F6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>Przepis a</w:t>
      </w:r>
      <w:r w:rsidR="00CC55C2" w:rsidRPr="00677204">
        <w:rPr>
          <w:rFonts w:ascii="Times New Roman" w:hAnsi="Times New Roman" w:cs="Times New Roman"/>
          <w:szCs w:val="24"/>
        </w:rPr>
        <w:t>rt. 32d zobowiązuje dostawców do posługiwania</w:t>
      </w:r>
      <w:r w:rsidR="00653BFF" w:rsidRPr="00677204">
        <w:rPr>
          <w:rFonts w:ascii="Times New Roman" w:hAnsi="Times New Roman" w:cs="Times New Roman"/>
          <w:szCs w:val="24"/>
        </w:rPr>
        <w:t xml:space="preserve"> się w informacjach</w:t>
      </w:r>
      <w:r w:rsidR="002549F6" w:rsidRPr="00677204">
        <w:rPr>
          <w:rFonts w:ascii="Times New Roman" w:hAnsi="Times New Roman" w:cs="Times New Roman"/>
          <w:szCs w:val="24"/>
        </w:rPr>
        <w:t xml:space="preserve"> </w:t>
      </w:r>
      <w:r w:rsidR="00653BFF" w:rsidRPr="00677204">
        <w:rPr>
          <w:rFonts w:ascii="Times New Roman" w:hAnsi="Times New Roman" w:cs="Times New Roman"/>
          <w:szCs w:val="24"/>
        </w:rPr>
        <w:t>handlowych, reklamowych i umownych kierowanych do konsumentów</w:t>
      </w:r>
      <w:r w:rsidR="00CC55C2" w:rsidRPr="00677204">
        <w:rPr>
          <w:rFonts w:ascii="Times New Roman" w:hAnsi="Times New Roman" w:cs="Times New Roman"/>
          <w:szCs w:val="24"/>
        </w:rPr>
        <w:t xml:space="preserve"> pojęciami i</w:t>
      </w:r>
      <w:r w:rsidR="00A57950">
        <w:rPr>
          <w:rFonts w:ascii="Times New Roman" w:hAnsi="Times New Roman" w:cs="Times New Roman"/>
          <w:szCs w:val="24"/>
        </w:rPr>
        <w:t> </w:t>
      </w:r>
      <w:r w:rsidR="00CC55C2" w:rsidRPr="00677204">
        <w:rPr>
          <w:rFonts w:ascii="Times New Roman" w:hAnsi="Times New Roman" w:cs="Times New Roman"/>
          <w:szCs w:val="24"/>
        </w:rPr>
        <w:t>definicjami zawartymi w wykazie</w:t>
      </w:r>
      <w:r w:rsidR="00220BE8" w:rsidRPr="00677204">
        <w:rPr>
          <w:rFonts w:ascii="Times New Roman" w:hAnsi="Times New Roman" w:cs="Times New Roman"/>
          <w:szCs w:val="24"/>
        </w:rPr>
        <w:t xml:space="preserve"> </w:t>
      </w:r>
      <w:r w:rsidR="007B08D6" w:rsidRPr="00677204">
        <w:rPr>
          <w:rFonts w:ascii="Times New Roman" w:hAnsi="Times New Roman" w:cs="Times New Roman"/>
          <w:szCs w:val="24"/>
        </w:rPr>
        <w:t xml:space="preserve">usług </w:t>
      </w:r>
      <w:r w:rsidR="00FA460E">
        <w:rPr>
          <w:rFonts w:ascii="Times New Roman" w:hAnsi="Times New Roman" w:cs="Times New Roman"/>
          <w:szCs w:val="24"/>
        </w:rPr>
        <w:t>reprezentatywnych</w:t>
      </w:r>
      <w:r w:rsidRPr="00677204">
        <w:rPr>
          <w:rFonts w:ascii="Times New Roman" w:hAnsi="Times New Roman" w:cs="Times New Roman"/>
          <w:szCs w:val="24"/>
        </w:rPr>
        <w:t>,</w:t>
      </w:r>
      <w:r w:rsidR="00CC55C2" w:rsidRPr="00677204">
        <w:rPr>
          <w:rFonts w:ascii="Times New Roman" w:hAnsi="Times New Roman" w:cs="Times New Roman"/>
          <w:szCs w:val="24"/>
        </w:rPr>
        <w:t xml:space="preserve"> w odniesieniu do usług </w:t>
      </w:r>
      <w:r w:rsidRPr="00677204">
        <w:rPr>
          <w:rFonts w:ascii="Times New Roman" w:hAnsi="Times New Roman" w:cs="Times New Roman"/>
          <w:szCs w:val="24"/>
        </w:rPr>
        <w:t xml:space="preserve">zawartych </w:t>
      </w:r>
      <w:r w:rsidR="00CC55C2" w:rsidRPr="00677204">
        <w:rPr>
          <w:rFonts w:ascii="Times New Roman" w:hAnsi="Times New Roman" w:cs="Times New Roman"/>
          <w:szCs w:val="24"/>
        </w:rPr>
        <w:t xml:space="preserve">w tym wykazie, tak </w:t>
      </w:r>
      <w:r w:rsidR="00F23194" w:rsidRPr="00677204">
        <w:rPr>
          <w:rFonts w:ascii="Times New Roman" w:hAnsi="Times New Roman" w:cs="Times New Roman"/>
          <w:szCs w:val="24"/>
        </w:rPr>
        <w:t>a</w:t>
      </w:r>
      <w:r w:rsidR="00CC55C2" w:rsidRPr="00677204">
        <w:rPr>
          <w:rFonts w:ascii="Times New Roman" w:hAnsi="Times New Roman" w:cs="Times New Roman"/>
          <w:szCs w:val="24"/>
        </w:rPr>
        <w:t xml:space="preserve">by nie </w:t>
      </w:r>
      <w:r w:rsidR="00E473B6">
        <w:rPr>
          <w:rFonts w:ascii="Times New Roman" w:hAnsi="Times New Roman" w:cs="Times New Roman"/>
          <w:szCs w:val="24"/>
        </w:rPr>
        <w:t>wprowadzać konsumentów w błąd i </w:t>
      </w:r>
      <w:r w:rsidR="00CC55C2" w:rsidRPr="00677204">
        <w:rPr>
          <w:rFonts w:ascii="Times New Roman" w:hAnsi="Times New Roman" w:cs="Times New Roman"/>
          <w:szCs w:val="24"/>
        </w:rPr>
        <w:t>dostarczyć im przejrzystą informację w zakresie charakteru świadczonych usług oraz ułatwić im porównywanie ofert dostawców.</w:t>
      </w:r>
    </w:p>
    <w:p w14:paraId="493CDDFB" w14:textId="2BC13961" w:rsidR="00B647E9" w:rsidRPr="00677204" w:rsidRDefault="00864E95" w:rsidP="002549F6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 xml:space="preserve">Komisja Europejska będzie co </w:t>
      </w:r>
      <w:r w:rsidR="0095673A">
        <w:rPr>
          <w:rFonts w:ascii="Times New Roman" w:hAnsi="Times New Roman" w:cs="Times New Roman"/>
          <w:szCs w:val="24"/>
        </w:rPr>
        <w:t>2</w:t>
      </w:r>
      <w:r w:rsidRPr="00677204">
        <w:rPr>
          <w:rFonts w:ascii="Times New Roman" w:hAnsi="Times New Roman" w:cs="Times New Roman"/>
          <w:szCs w:val="24"/>
        </w:rPr>
        <w:t xml:space="preserve"> lata informowana </w:t>
      </w:r>
      <w:r w:rsidR="006B47A5" w:rsidRPr="00677204">
        <w:rPr>
          <w:rFonts w:ascii="Times New Roman" w:hAnsi="Times New Roman" w:cs="Times New Roman"/>
          <w:szCs w:val="24"/>
        </w:rPr>
        <w:t xml:space="preserve">przez KNF </w:t>
      </w:r>
      <w:r w:rsidR="001E726A" w:rsidRPr="00677204">
        <w:rPr>
          <w:rFonts w:ascii="Times New Roman" w:hAnsi="Times New Roman" w:cs="Times New Roman"/>
          <w:szCs w:val="24"/>
        </w:rPr>
        <w:t xml:space="preserve">(art. 32e) </w:t>
      </w:r>
      <w:r w:rsidRPr="00677204">
        <w:rPr>
          <w:rFonts w:ascii="Times New Roman" w:hAnsi="Times New Roman" w:cs="Times New Roman"/>
          <w:szCs w:val="24"/>
        </w:rPr>
        <w:t>o</w:t>
      </w:r>
      <w:r w:rsidR="00A57950">
        <w:rPr>
          <w:rFonts w:ascii="Times New Roman" w:hAnsi="Times New Roman" w:cs="Times New Roman"/>
          <w:szCs w:val="24"/>
        </w:rPr>
        <w:t> </w:t>
      </w:r>
      <w:r w:rsidR="002549F6" w:rsidRPr="00677204">
        <w:rPr>
          <w:rFonts w:ascii="Times New Roman" w:hAnsi="Times New Roman" w:cs="Times New Roman"/>
          <w:szCs w:val="24"/>
        </w:rPr>
        <w:t>stwierdzonych w</w:t>
      </w:r>
      <w:r w:rsidR="006D4B38">
        <w:rPr>
          <w:rFonts w:ascii="Times New Roman" w:hAnsi="Times New Roman" w:cs="Times New Roman"/>
          <w:szCs w:val="24"/>
        </w:rPr>
        <w:t xml:space="preserve"> </w:t>
      </w:r>
      <w:r w:rsidR="00D05DDC" w:rsidRPr="00677204">
        <w:rPr>
          <w:rFonts w:ascii="Times New Roman" w:hAnsi="Times New Roman" w:cs="Times New Roman"/>
          <w:szCs w:val="24"/>
        </w:rPr>
        <w:t>ramach sprawowanego przez KNF nadzoru przypadkach</w:t>
      </w:r>
      <w:r w:rsidRPr="00677204">
        <w:rPr>
          <w:rFonts w:ascii="Times New Roman" w:hAnsi="Times New Roman" w:cs="Times New Roman"/>
          <w:szCs w:val="24"/>
        </w:rPr>
        <w:t xml:space="preserve"> </w:t>
      </w:r>
      <w:r w:rsidR="00D05DDC" w:rsidRPr="00677204">
        <w:rPr>
          <w:rFonts w:ascii="Times New Roman" w:hAnsi="Times New Roman" w:cs="Times New Roman"/>
          <w:szCs w:val="24"/>
        </w:rPr>
        <w:t xml:space="preserve">braku </w:t>
      </w:r>
      <w:r w:rsidR="00D05DDC" w:rsidRPr="00677204">
        <w:rPr>
          <w:rFonts w:ascii="Times New Roman" w:hAnsi="Times New Roman" w:cs="Times New Roman"/>
          <w:szCs w:val="24"/>
        </w:rPr>
        <w:lastRenderedPageBreak/>
        <w:t xml:space="preserve">realizacji </w:t>
      </w:r>
      <w:r w:rsidR="003C6628" w:rsidRPr="00677204">
        <w:rPr>
          <w:rFonts w:ascii="Times New Roman" w:hAnsi="Times New Roman" w:cs="Times New Roman"/>
          <w:szCs w:val="24"/>
        </w:rPr>
        <w:t xml:space="preserve">przez dostawców </w:t>
      </w:r>
      <w:r w:rsidRPr="00677204">
        <w:rPr>
          <w:rFonts w:ascii="Times New Roman" w:hAnsi="Times New Roman" w:cs="Times New Roman"/>
          <w:szCs w:val="24"/>
        </w:rPr>
        <w:t xml:space="preserve">obowiązków informacyjnych wynikających z art. </w:t>
      </w:r>
      <w:r w:rsidR="00460A22" w:rsidRPr="00677204">
        <w:rPr>
          <w:rFonts w:ascii="Times New Roman" w:hAnsi="Times New Roman" w:cs="Times New Roman"/>
          <w:szCs w:val="24"/>
        </w:rPr>
        <w:t xml:space="preserve">20a </w:t>
      </w:r>
      <w:r w:rsidR="003C6628" w:rsidRPr="00677204">
        <w:rPr>
          <w:rFonts w:ascii="Times New Roman" w:hAnsi="Times New Roman" w:cs="Times New Roman"/>
          <w:szCs w:val="24"/>
        </w:rPr>
        <w:t>i</w:t>
      </w:r>
      <w:r w:rsidR="00805489">
        <w:rPr>
          <w:rFonts w:ascii="Times New Roman" w:hAnsi="Times New Roman" w:cs="Times New Roman"/>
          <w:szCs w:val="24"/>
        </w:rPr>
        <w:t> </w:t>
      </w:r>
      <w:r w:rsidR="00094F6E">
        <w:rPr>
          <w:rFonts w:ascii="Times New Roman" w:hAnsi="Times New Roman" w:cs="Times New Roman"/>
          <w:szCs w:val="24"/>
        </w:rPr>
        <w:t>art. </w:t>
      </w:r>
      <w:r w:rsidR="00460A22" w:rsidRPr="00677204">
        <w:rPr>
          <w:rFonts w:ascii="Times New Roman" w:hAnsi="Times New Roman" w:cs="Times New Roman"/>
          <w:szCs w:val="24"/>
        </w:rPr>
        <w:t>20b</w:t>
      </w:r>
      <w:r w:rsidR="00D05DDC" w:rsidRPr="00677204">
        <w:rPr>
          <w:rFonts w:ascii="Times New Roman" w:hAnsi="Times New Roman" w:cs="Times New Roman"/>
          <w:szCs w:val="24"/>
        </w:rPr>
        <w:t xml:space="preserve"> (udostępnianie dokumentu dotyczącego opłat)</w:t>
      </w:r>
      <w:r w:rsidR="00E54D29">
        <w:rPr>
          <w:rFonts w:ascii="Times New Roman" w:hAnsi="Times New Roman" w:cs="Times New Roman"/>
          <w:szCs w:val="24"/>
        </w:rPr>
        <w:t xml:space="preserve"> i</w:t>
      </w:r>
      <w:r w:rsidR="006B47A5" w:rsidRPr="00677204">
        <w:rPr>
          <w:rFonts w:ascii="Times New Roman" w:hAnsi="Times New Roman" w:cs="Times New Roman"/>
          <w:szCs w:val="24"/>
        </w:rPr>
        <w:t xml:space="preserve"> </w:t>
      </w:r>
      <w:r w:rsidR="001F252E">
        <w:rPr>
          <w:rFonts w:ascii="Times New Roman" w:hAnsi="Times New Roman" w:cs="Times New Roman"/>
          <w:szCs w:val="24"/>
        </w:rPr>
        <w:t xml:space="preserve">art. </w:t>
      </w:r>
      <w:r w:rsidRPr="00677204">
        <w:rPr>
          <w:rFonts w:ascii="Times New Roman" w:hAnsi="Times New Roman" w:cs="Times New Roman"/>
          <w:szCs w:val="24"/>
        </w:rPr>
        <w:t>32b</w:t>
      </w:r>
      <w:r w:rsidR="003C6628" w:rsidRPr="00677204">
        <w:rPr>
          <w:rFonts w:ascii="Times New Roman" w:hAnsi="Times New Roman" w:cs="Times New Roman"/>
          <w:szCs w:val="24"/>
        </w:rPr>
        <w:t>–</w:t>
      </w:r>
      <w:r w:rsidRPr="00677204">
        <w:rPr>
          <w:rFonts w:ascii="Times New Roman" w:hAnsi="Times New Roman" w:cs="Times New Roman"/>
          <w:szCs w:val="24"/>
        </w:rPr>
        <w:t>32d</w:t>
      </w:r>
      <w:r w:rsidR="00D05DDC" w:rsidRPr="00677204">
        <w:rPr>
          <w:rFonts w:ascii="Times New Roman" w:hAnsi="Times New Roman" w:cs="Times New Roman"/>
          <w:szCs w:val="24"/>
        </w:rPr>
        <w:t xml:space="preserve"> (przekazywanie zestawienia opłat)</w:t>
      </w:r>
      <w:r w:rsidRPr="00677204">
        <w:rPr>
          <w:rFonts w:ascii="Times New Roman" w:hAnsi="Times New Roman" w:cs="Times New Roman"/>
          <w:szCs w:val="24"/>
        </w:rPr>
        <w:t>.</w:t>
      </w:r>
    </w:p>
    <w:p w14:paraId="3F1CC86A" w14:textId="04D61978" w:rsidR="00AF028E" w:rsidRPr="00677204" w:rsidRDefault="005809E4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b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>W</w:t>
      </w:r>
      <w:r w:rsidR="00B647E9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C003DF" w:rsidRPr="00677204">
        <w:rPr>
          <w:rFonts w:ascii="Times New Roman" w:eastAsia="Calibri" w:hAnsi="Times New Roman" w:cs="Times New Roman"/>
          <w:b/>
          <w:szCs w:val="24"/>
        </w:rPr>
        <w:t>p</w:t>
      </w:r>
      <w:r w:rsidR="00CC55C2" w:rsidRPr="00677204">
        <w:rPr>
          <w:rFonts w:ascii="Times New Roman" w:eastAsia="Calibri" w:hAnsi="Times New Roman" w:cs="Times New Roman"/>
          <w:b/>
          <w:szCs w:val="24"/>
        </w:rPr>
        <w:t xml:space="preserve">kt </w:t>
      </w:r>
      <w:r w:rsidR="00D05DDC" w:rsidRPr="00677204">
        <w:rPr>
          <w:rFonts w:ascii="Times New Roman" w:eastAsia="Calibri" w:hAnsi="Times New Roman" w:cs="Times New Roman"/>
          <w:b/>
          <w:szCs w:val="24"/>
        </w:rPr>
        <w:t>1</w:t>
      </w:r>
      <w:r w:rsidR="00CD6B36" w:rsidRPr="00677204">
        <w:rPr>
          <w:rFonts w:ascii="Times New Roman" w:eastAsia="Calibri" w:hAnsi="Times New Roman" w:cs="Times New Roman"/>
          <w:b/>
          <w:szCs w:val="24"/>
        </w:rPr>
        <w:t>4</w:t>
      </w:r>
      <w:r w:rsidR="00D05DDC" w:rsidRPr="00677204">
        <w:rPr>
          <w:rFonts w:ascii="Times New Roman" w:eastAsia="Calibri" w:hAnsi="Times New Roman" w:cs="Times New Roman"/>
          <w:b/>
          <w:szCs w:val="24"/>
        </w:rPr>
        <w:t xml:space="preserve"> </w:t>
      </w:r>
      <w:r w:rsidR="00AF028E" w:rsidRPr="00677204">
        <w:rPr>
          <w:rFonts w:ascii="Times New Roman" w:eastAsia="Calibri" w:hAnsi="Times New Roman" w:cs="Times New Roman"/>
          <w:szCs w:val="24"/>
        </w:rPr>
        <w:t>wprowadza się zmianę do art. 59ie</w:t>
      </w:r>
      <w:r w:rsidR="00A95D81" w:rsidRPr="00677204">
        <w:rPr>
          <w:rFonts w:ascii="Times New Roman" w:eastAsia="Calibri" w:hAnsi="Times New Roman" w:cs="Times New Roman"/>
          <w:szCs w:val="24"/>
        </w:rPr>
        <w:t>,</w:t>
      </w:r>
      <w:r w:rsidR="00AF028E" w:rsidRPr="00677204">
        <w:rPr>
          <w:rFonts w:ascii="Times New Roman" w:eastAsia="Calibri" w:hAnsi="Times New Roman" w:cs="Times New Roman"/>
          <w:szCs w:val="24"/>
        </w:rPr>
        <w:t xml:space="preserve"> którą precyzuje się, że katalog przesłanek umożliwiających odmowę przyjęcia zapłaty karta płatniczą przez akceptanta ma charakter zamknięty. Jest to zmiana legislacyjna, potwierdzająca jedynie istniejącą </w:t>
      </w:r>
      <w:r w:rsidR="00A2559F" w:rsidRPr="00677204">
        <w:rPr>
          <w:rFonts w:ascii="Times New Roman" w:eastAsia="Calibri" w:hAnsi="Times New Roman" w:cs="Times New Roman"/>
          <w:szCs w:val="24"/>
        </w:rPr>
        <w:t>wykładnię</w:t>
      </w:r>
      <w:r w:rsidR="00AF028E" w:rsidRPr="00677204">
        <w:rPr>
          <w:rFonts w:ascii="Times New Roman" w:eastAsia="Calibri" w:hAnsi="Times New Roman" w:cs="Times New Roman"/>
          <w:szCs w:val="24"/>
        </w:rPr>
        <w:t xml:space="preserve"> tego przepisu.</w:t>
      </w:r>
    </w:p>
    <w:p w14:paraId="6BA05EC3" w14:textId="667FE2D9" w:rsidR="00C35DC2" w:rsidRPr="00677204" w:rsidRDefault="00AF028E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W </w:t>
      </w:r>
      <w:r w:rsidR="00F731FC" w:rsidRPr="00677204">
        <w:rPr>
          <w:rFonts w:ascii="Times New Roman" w:eastAsia="Calibri" w:hAnsi="Times New Roman" w:cs="Times New Roman"/>
          <w:b/>
          <w:szCs w:val="24"/>
        </w:rPr>
        <w:t>pkt 1</w:t>
      </w:r>
      <w:r w:rsidR="00CD6B36" w:rsidRPr="00677204">
        <w:rPr>
          <w:rFonts w:ascii="Times New Roman" w:eastAsia="Calibri" w:hAnsi="Times New Roman" w:cs="Times New Roman"/>
          <w:b/>
          <w:szCs w:val="24"/>
        </w:rPr>
        <w:t>5</w:t>
      </w:r>
      <w:r w:rsidRPr="00677204">
        <w:rPr>
          <w:rFonts w:ascii="Times New Roman" w:eastAsia="Calibri" w:hAnsi="Times New Roman" w:cs="Times New Roman"/>
          <w:b/>
          <w:szCs w:val="24"/>
        </w:rPr>
        <w:t xml:space="preserve"> </w:t>
      </w:r>
      <w:r w:rsidR="00C003DF" w:rsidRPr="00677204">
        <w:rPr>
          <w:rFonts w:ascii="Times New Roman" w:eastAsia="Calibri" w:hAnsi="Times New Roman" w:cs="Times New Roman"/>
          <w:szCs w:val="24"/>
        </w:rPr>
        <w:t xml:space="preserve">wprowadza się zmianę polegającą na dodaniu </w:t>
      </w:r>
      <w:r w:rsidR="00CC55C2" w:rsidRPr="00677204">
        <w:rPr>
          <w:rFonts w:ascii="Times New Roman" w:eastAsia="Calibri" w:hAnsi="Times New Roman" w:cs="Times New Roman"/>
          <w:szCs w:val="24"/>
        </w:rPr>
        <w:t>rozdział</w:t>
      </w:r>
      <w:r w:rsidR="00C003DF" w:rsidRPr="00677204">
        <w:rPr>
          <w:rFonts w:ascii="Times New Roman" w:eastAsia="Calibri" w:hAnsi="Times New Roman" w:cs="Times New Roman"/>
          <w:szCs w:val="24"/>
        </w:rPr>
        <w:t>ów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7 i 8 do działu III.</w:t>
      </w:r>
    </w:p>
    <w:p w14:paraId="3E741357" w14:textId="52340584" w:rsidR="00B647E9" w:rsidRPr="00677204" w:rsidRDefault="00CC55C2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b/>
          <w:szCs w:val="24"/>
        </w:rPr>
        <w:t>Rozdział 7</w:t>
      </w:r>
      <w:r w:rsidR="001F252E">
        <w:rPr>
          <w:rFonts w:ascii="Times New Roman" w:eastAsia="Calibri" w:hAnsi="Times New Roman" w:cs="Times New Roman"/>
          <w:szCs w:val="24"/>
        </w:rPr>
        <w:t xml:space="preserve"> został zatytułowany „</w:t>
      </w:r>
      <w:r w:rsidRPr="00677204">
        <w:rPr>
          <w:rFonts w:ascii="Times New Roman" w:eastAsia="Calibri" w:hAnsi="Times New Roman" w:cs="Times New Roman"/>
          <w:szCs w:val="24"/>
        </w:rPr>
        <w:t xml:space="preserve">Dostęp do </w:t>
      </w:r>
      <w:r w:rsidR="006B47A5" w:rsidRPr="00677204">
        <w:rPr>
          <w:rFonts w:ascii="Times New Roman" w:eastAsia="Calibri" w:hAnsi="Times New Roman" w:cs="Times New Roman"/>
          <w:szCs w:val="24"/>
        </w:rPr>
        <w:t xml:space="preserve">podstawowego </w:t>
      </w:r>
      <w:r w:rsidRPr="00677204">
        <w:rPr>
          <w:rFonts w:ascii="Times New Roman" w:eastAsia="Calibri" w:hAnsi="Times New Roman" w:cs="Times New Roman"/>
          <w:szCs w:val="24"/>
        </w:rPr>
        <w:t>rachunku p</w:t>
      </w:r>
      <w:r w:rsidR="006B47A5" w:rsidRPr="00677204">
        <w:rPr>
          <w:rFonts w:ascii="Times New Roman" w:eastAsia="Calibri" w:hAnsi="Times New Roman" w:cs="Times New Roman"/>
          <w:szCs w:val="24"/>
        </w:rPr>
        <w:t>łatniczego</w:t>
      </w:r>
      <w:r w:rsidR="0021798B" w:rsidRPr="00677204">
        <w:rPr>
          <w:rFonts w:ascii="Times New Roman" w:eastAsia="Calibri" w:hAnsi="Times New Roman" w:cs="Times New Roman"/>
          <w:szCs w:val="24"/>
        </w:rPr>
        <w:t>”</w:t>
      </w:r>
      <w:r w:rsidR="00B214E2" w:rsidRPr="00677204">
        <w:rPr>
          <w:rFonts w:ascii="Times New Roman" w:eastAsia="Calibri" w:hAnsi="Times New Roman" w:cs="Times New Roman"/>
          <w:szCs w:val="24"/>
        </w:rPr>
        <w:t>.</w:t>
      </w:r>
    </w:p>
    <w:p w14:paraId="0616C26E" w14:textId="04C51C5E" w:rsidR="00F23194" w:rsidRPr="00677204" w:rsidRDefault="00B647E9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Proponowany </w:t>
      </w:r>
      <w:r w:rsidR="003016A4" w:rsidRPr="00677204">
        <w:rPr>
          <w:rFonts w:ascii="Times New Roman" w:eastAsia="Calibri" w:hAnsi="Times New Roman" w:cs="Times New Roman"/>
          <w:szCs w:val="24"/>
        </w:rPr>
        <w:t>a</w:t>
      </w:r>
      <w:r w:rsidR="005809E4" w:rsidRPr="00677204">
        <w:rPr>
          <w:rFonts w:ascii="Times New Roman" w:eastAsia="Calibri" w:hAnsi="Times New Roman" w:cs="Times New Roman"/>
          <w:szCs w:val="24"/>
        </w:rPr>
        <w:t xml:space="preserve">rt. 59ia ust. </w:t>
      </w:r>
      <w:r w:rsidR="00460A22" w:rsidRPr="00677204">
        <w:rPr>
          <w:rFonts w:ascii="Times New Roman" w:eastAsia="Calibri" w:hAnsi="Times New Roman" w:cs="Times New Roman"/>
          <w:szCs w:val="24"/>
        </w:rPr>
        <w:t xml:space="preserve">3 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zawiera definicję funkcjonalną </w:t>
      </w:r>
      <w:r w:rsidR="00FE7F61" w:rsidRPr="00677204">
        <w:rPr>
          <w:rFonts w:ascii="Times New Roman" w:eastAsia="Calibri" w:hAnsi="Times New Roman" w:cs="Times New Roman"/>
          <w:szCs w:val="24"/>
        </w:rPr>
        <w:t xml:space="preserve">podstawowego 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rachunku </w:t>
      </w:r>
      <w:r w:rsidR="00FE7F61" w:rsidRPr="00677204">
        <w:rPr>
          <w:rFonts w:ascii="Times New Roman" w:eastAsia="Calibri" w:hAnsi="Times New Roman" w:cs="Times New Roman"/>
          <w:szCs w:val="24"/>
        </w:rPr>
        <w:t>płatniczego</w:t>
      </w:r>
      <w:r w:rsidR="001F252E">
        <w:rPr>
          <w:rFonts w:ascii="Times New Roman" w:eastAsia="Calibri" w:hAnsi="Times New Roman" w:cs="Times New Roman"/>
          <w:szCs w:val="24"/>
        </w:rPr>
        <w:t>,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określa</w:t>
      </w:r>
      <w:r w:rsidR="006B47A5" w:rsidRPr="00677204">
        <w:rPr>
          <w:rFonts w:ascii="Times New Roman" w:eastAsia="Calibri" w:hAnsi="Times New Roman" w:cs="Times New Roman"/>
          <w:szCs w:val="24"/>
        </w:rPr>
        <w:t>jąc</w:t>
      </w:r>
      <w:r w:rsidR="00126C57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CC55C2" w:rsidRPr="00677204">
        <w:rPr>
          <w:rFonts w:ascii="Times New Roman" w:eastAsia="Calibri" w:hAnsi="Times New Roman" w:cs="Times New Roman"/>
          <w:szCs w:val="24"/>
        </w:rPr>
        <w:t>do jakich usług ma uprawniać</w:t>
      </w:r>
      <w:r w:rsidR="00126C57" w:rsidRPr="00677204">
        <w:rPr>
          <w:rFonts w:ascii="Times New Roman" w:eastAsia="Calibri" w:hAnsi="Times New Roman" w:cs="Times New Roman"/>
          <w:szCs w:val="24"/>
        </w:rPr>
        <w:t xml:space="preserve"> dostęp do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6752E0" w:rsidRPr="00677204">
        <w:rPr>
          <w:rFonts w:ascii="Times New Roman" w:eastAsia="Calibri" w:hAnsi="Times New Roman" w:cs="Times New Roman"/>
          <w:szCs w:val="24"/>
        </w:rPr>
        <w:t>takiego rachunku</w:t>
      </w:r>
      <w:r w:rsidR="00CC55C2" w:rsidRPr="00677204">
        <w:rPr>
          <w:rFonts w:ascii="Times New Roman" w:eastAsia="Calibri" w:hAnsi="Times New Roman" w:cs="Times New Roman"/>
          <w:szCs w:val="24"/>
        </w:rPr>
        <w:t>.</w:t>
      </w:r>
      <w:r w:rsidR="006B47A5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D056A2" w:rsidRPr="00677204">
        <w:rPr>
          <w:rFonts w:ascii="Times New Roman" w:eastAsia="Calibri" w:hAnsi="Times New Roman" w:cs="Times New Roman"/>
          <w:szCs w:val="24"/>
        </w:rPr>
        <w:t xml:space="preserve">Będzie </w:t>
      </w:r>
      <w:r w:rsidR="006B47A5" w:rsidRPr="00677204">
        <w:rPr>
          <w:rFonts w:ascii="Times New Roman" w:eastAsia="Calibri" w:hAnsi="Times New Roman" w:cs="Times New Roman"/>
          <w:szCs w:val="24"/>
        </w:rPr>
        <w:t xml:space="preserve">to katalog zamknięty, ze względu na przyjęcie koncepcji uproszczonego </w:t>
      </w:r>
      <w:r w:rsidR="00FE7F61" w:rsidRPr="00677204">
        <w:rPr>
          <w:rFonts w:ascii="Times New Roman" w:eastAsia="Calibri" w:hAnsi="Times New Roman" w:cs="Times New Roman"/>
          <w:szCs w:val="24"/>
        </w:rPr>
        <w:t xml:space="preserve">podstawowego </w:t>
      </w:r>
      <w:r w:rsidR="006B47A5" w:rsidRPr="00677204">
        <w:rPr>
          <w:rFonts w:ascii="Times New Roman" w:eastAsia="Calibri" w:hAnsi="Times New Roman" w:cs="Times New Roman"/>
          <w:szCs w:val="24"/>
        </w:rPr>
        <w:t xml:space="preserve">rachunku </w:t>
      </w:r>
      <w:r w:rsidR="00FE7F61" w:rsidRPr="00677204">
        <w:rPr>
          <w:rFonts w:ascii="Times New Roman" w:eastAsia="Calibri" w:hAnsi="Times New Roman" w:cs="Times New Roman"/>
          <w:szCs w:val="24"/>
        </w:rPr>
        <w:t>płatniczego</w:t>
      </w:r>
      <w:r w:rsidR="006B47A5" w:rsidRPr="00677204">
        <w:rPr>
          <w:rFonts w:ascii="Times New Roman" w:eastAsia="Calibri" w:hAnsi="Times New Roman" w:cs="Times New Roman"/>
          <w:szCs w:val="24"/>
        </w:rPr>
        <w:t>.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F23194" w:rsidRPr="00677204">
        <w:rPr>
          <w:rFonts w:ascii="Times New Roman" w:eastAsia="Calibri" w:hAnsi="Times New Roman" w:cs="Times New Roman"/>
          <w:szCs w:val="24"/>
        </w:rPr>
        <w:t>D</w:t>
      </w:r>
      <w:r w:rsidR="00AD0F69" w:rsidRPr="00677204">
        <w:rPr>
          <w:rFonts w:ascii="Times New Roman" w:eastAsia="Calibri" w:hAnsi="Times New Roman" w:cs="Times New Roman"/>
          <w:szCs w:val="24"/>
        </w:rPr>
        <w:t xml:space="preserve">ostęp do </w:t>
      </w:r>
      <w:r w:rsidR="00FE7F61" w:rsidRPr="00677204">
        <w:rPr>
          <w:rFonts w:ascii="Times New Roman" w:eastAsia="Calibri" w:hAnsi="Times New Roman" w:cs="Times New Roman"/>
          <w:szCs w:val="24"/>
        </w:rPr>
        <w:t xml:space="preserve">podstawowego </w:t>
      </w:r>
      <w:r w:rsidR="00AD0F69" w:rsidRPr="00677204">
        <w:rPr>
          <w:rFonts w:ascii="Times New Roman" w:eastAsia="Calibri" w:hAnsi="Times New Roman" w:cs="Times New Roman"/>
          <w:szCs w:val="24"/>
        </w:rPr>
        <w:t>rachunku p</w:t>
      </w:r>
      <w:r w:rsidR="00FE7F61" w:rsidRPr="00677204">
        <w:rPr>
          <w:rFonts w:ascii="Times New Roman" w:eastAsia="Calibri" w:hAnsi="Times New Roman" w:cs="Times New Roman"/>
          <w:szCs w:val="24"/>
        </w:rPr>
        <w:t>łatniczego</w:t>
      </w:r>
      <w:r w:rsidR="00B214E2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6B47A5" w:rsidRPr="00677204">
        <w:rPr>
          <w:rFonts w:ascii="Times New Roman" w:eastAsia="Calibri" w:hAnsi="Times New Roman" w:cs="Times New Roman"/>
          <w:szCs w:val="24"/>
        </w:rPr>
        <w:t>będzie umożliwiał</w:t>
      </w:r>
      <w:r w:rsidR="008D49DA" w:rsidRPr="00677204">
        <w:rPr>
          <w:rFonts w:ascii="Times New Roman" w:eastAsia="Calibri" w:hAnsi="Times New Roman" w:cs="Times New Roman"/>
          <w:szCs w:val="24"/>
        </w:rPr>
        <w:t xml:space="preserve"> jedynie dokonywanie wypłat i wpłat, wykonywanie podstawowych transakcji płatn</w:t>
      </w:r>
      <w:r w:rsidR="00B214E2" w:rsidRPr="00677204">
        <w:rPr>
          <w:rFonts w:ascii="Times New Roman" w:eastAsia="Calibri" w:hAnsi="Times New Roman" w:cs="Times New Roman"/>
          <w:szCs w:val="24"/>
        </w:rPr>
        <w:t>iczych przez polecenie przelewu</w:t>
      </w:r>
      <w:r w:rsidR="008D49DA" w:rsidRPr="00677204">
        <w:rPr>
          <w:rFonts w:ascii="Times New Roman" w:eastAsia="Calibri" w:hAnsi="Times New Roman" w:cs="Times New Roman"/>
          <w:szCs w:val="24"/>
        </w:rPr>
        <w:t xml:space="preserve"> i polecenie zapłaty</w:t>
      </w:r>
      <w:r w:rsidR="00537FB3" w:rsidRPr="00677204">
        <w:rPr>
          <w:rFonts w:ascii="Times New Roman" w:eastAsia="Calibri" w:hAnsi="Times New Roman" w:cs="Times New Roman"/>
          <w:szCs w:val="24"/>
        </w:rPr>
        <w:t>, a także</w:t>
      </w:r>
      <w:r w:rsidR="008D49DA" w:rsidRPr="00677204">
        <w:rPr>
          <w:rFonts w:ascii="Times New Roman" w:eastAsia="Calibri" w:hAnsi="Times New Roman" w:cs="Times New Roman"/>
          <w:szCs w:val="24"/>
        </w:rPr>
        <w:t xml:space="preserve"> będzie umożliwiał korzystanie z karty płatniczej, z </w:t>
      </w:r>
      <w:r w:rsidR="00D05DDC" w:rsidRPr="00677204">
        <w:rPr>
          <w:rFonts w:ascii="Times New Roman" w:eastAsia="Calibri" w:hAnsi="Times New Roman" w:cs="Times New Roman"/>
          <w:szCs w:val="24"/>
        </w:rPr>
        <w:t>wył</w:t>
      </w:r>
      <w:r w:rsidR="00D54346" w:rsidRPr="00677204">
        <w:rPr>
          <w:rFonts w:ascii="Times New Roman" w:eastAsia="Calibri" w:hAnsi="Times New Roman" w:cs="Times New Roman"/>
          <w:szCs w:val="24"/>
        </w:rPr>
        <w:t>ą</w:t>
      </w:r>
      <w:r w:rsidR="00D05DDC" w:rsidRPr="00677204">
        <w:rPr>
          <w:rFonts w:ascii="Times New Roman" w:eastAsia="Calibri" w:hAnsi="Times New Roman" w:cs="Times New Roman"/>
          <w:szCs w:val="24"/>
        </w:rPr>
        <w:t xml:space="preserve">czeniem </w:t>
      </w:r>
      <w:r w:rsidR="008D49DA" w:rsidRPr="00677204">
        <w:rPr>
          <w:rFonts w:ascii="Times New Roman" w:eastAsia="Calibri" w:hAnsi="Times New Roman" w:cs="Times New Roman"/>
          <w:szCs w:val="24"/>
        </w:rPr>
        <w:t>karty kredytowej.</w:t>
      </w:r>
      <w:r w:rsidR="00126C57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951FAE" w:rsidRPr="00677204">
        <w:rPr>
          <w:rFonts w:ascii="Times New Roman" w:eastAsia="Calibri" w:hAnsi="Times New Roman" w:cs="Times New Roman"/>
          <w:szCs w:val="24"/>
        </w:rPr>
        <w:t>Projekt nie przewiduje skorzystania z opcji wskazanej w art. 17 ust. 8 dyrektywy PAD, umożliwiającej dostawcom usług płatniczych oferowanie kredytu w rachunku płatniczym będącym rachunkiem podstawowym.</w:t>
      </w:r>
    </w:p>
    <w:p w14:paraId="41CCA664" w14:textId="53AE20AD" w:rsidR="005C6AFA" w:rsidRPr="00677204" w:rsidRDefault="00AD0F69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>Projektowany u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st. 2 nakłada na dostawców </w:t>
      </w:r>
      <w:r w:rsidRPr="00677204">
        <w:rPr>
          <w:rFonts w:ascii="Times New Roman" w:eastAsia="Calibri" w:hAnsi="Times New Roman" w:cs="Times New Roman"/>
          <w:szCs w:val="24"/>
        </w:rPr>
        <w:t xml:space="preserve">usług płatniczych 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obowiązek świadczenia usługi </w:t>
      </w:r>
      <w:r w:rsidR="00FE7F61" w:rsidRPr="00677204">
        <w:rPr>
          <w:rFonts w:ascii="Times New Roman" w:eastAsia="Calibri" w:hAnsi="Times New Roman" w:cs="Times New Roman"/>
          <w:szCs w:val="24"/>
        </w:rPr>
        <w:t xml:space="preserve">podstawowego </w:t>
      </w:r>
      <w:r w:rsidR="00CC55C2" w:rsidRPr="00677204">
        <w:rPr>
          <w:rFonts w:ascii="Times New Roman" w:eastAsia="Calibri" w:hAnsi="Times New Roman" w:cs="Times New Roman"/>
          <w:szCs w:val="24"/>
        </w:rPr>
        <w:t>rachunku p</w:t>
      </w:r>
      <w:r w:rsidR="00FE7F61" w:rsidRPr="00677204">
        <w:rPr>
          <w:rFonts w:ascii="Times New Roman" w:eastAsia="Calibri" w:hAnsi="Times New Roman" w:cs="Times New Roman"/>
          <w:szCs w:val="24"/>
        </w:rPr>
        <w:t>łatniczego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konsumentom </w:t>
      </w:r>
      <w:r w:rsidR="00D54346" w:rsidRPr="00677204">
        <w:rPr>
          <w:rFonts w:ascii="Times New Roman" w:eastAsia="Calibri" w:hAnsi="Times New Roman" w:cs="Times New Roman"/>
          <w:szCs w:val="24"/>
        </w:rPr>
        <w:t>nieposiadającym</w:t>
      </w:r>
      <w:r w:rsidR="006752E0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0D28AC" w:rsidRPr="00677204">
        <w:rPr>
          <w:rFonts w:ascii="Times New Roman" w:eastAsia="Calibri" w:hAnsi="Times New Roman" w:cs="Times New Roman"/>
          <w:szCs w:val="24"/>
        </w:rPr>
        <w:t>rachunku płatniczego</w:t>
      </w:r>
      <w:r w:rsidR="00D54346" w:rsidRPr="00677204">
        <w:rPr>
          <w:rFonts w:ascii="Times New Roman" w:eastAsia="Calibri" w:hAnsi="Times New Roman" w:cs="Times New Roman"/>
          <w:szCs w:val="24"/>
        </w:rPr>
        <w:t xml:space="preserve"> prowadzonego dla niego w walucie polskiej</w:t>
      </w:r>
      <w:r w:rsidR="000D28AC" w:rsidRPr="00677204">
        <w:rPr>
          <w:rFonts w:ascii="Times New Roman" w:eastAsia="Calibri" w:hAnsi="Times New Roman" w:cs="Times New Roman"/>
          <w:szCs w:val="24"/>
        </w:rPr>
        <w:t xml:space="preserve"> na terytorium Polski.</w:t>
      </w:r>
    </w:p>
    <w:p w14:paraId="1ECF6815" w14:textId="7BB1A575" w:rsidR="00F23194" w:rsidRPr="00677204" w:rsidRDefault="00CC55C2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Zakres podmiotowy dostawców zobowiązanych do oferowania </w:t>
      </w:r>
      <w:r w:rsidR="00FE7F61" w:rsidRPr="00677204">
        <w:rPr>
          <w:rFonts w:ascii="Times New Roman" w:eastAsia="Calibri" w:hAnsi="Times New Roman" w:cs="Times New Roman"/>
          <w:szCs w:val="24"/>
        </w:rPr>
        <w:t xml:space="preserve">podstawowego </w:t>
      </w:r>
      <w:r w:rsidRPr="00677204">
        <w:rPr>
          <w:rFonts w:ascii="Times New Roman" w:eastAsia="Calibri" w:hAnsi="Times New Roman" w:cs="Times New Roman"/>
          <w:szCs w:val="24"/>
        </w:rPr>
        <w:t>rachunku p</w:t>
      </w:r>
      <w:r w:rsidR="00FE7F61" w:rsidRPr="00677204">
        <w:rPr>
          <w:rFonts w:ascii="Times New Roman" w:eastAsia="Calibri" w:hAnsi="Times New Roman" w:cs="Times New Roman"/>
          <w:szCs w:val="24"/>
        </w:rPr>
        <w:t>łatniczego</w:t>
      </w:r>
      <w:r w:rsidRPr="00677204">
        <w:rPr>
          <w:rFonts w:ascii="Times New Roman" w:eastAsia="Calibri" w:hAnsi="Times New Roman" w:cs="Times New Roman"/>
          <w:szCs w:val="24"/>
        </w:rPr>
        <w:t xml:space="preserve"> został ograniczony do banków krajowych, </w:t>
      </w:r>
      <w:r w:rsidR="00A709A0" w:rsidRPr="00677204">
        <w:rPr>
          <w:rFonts w:ascii="Times New Roman" w:eastAsia="Calibri" w:hAnsi="Times New Roman" w:cs="Times New Roman"/>
          <w:szCs w:val="24"/>
        </w:rPr>
        <w:t xml:space="preserve">oddziałów banków zagranicznych, </w:t>
      </w:r>
      <w:r w:rsidRPr="00677204">
        <w:rPr>
          <w:rFonts w:ascii="Times New Roman" w:eastAsia="Calibri" w:hAnsi="Times New Roman" w:cs="Times New Roman"/>
          <w:szCs w:val="24"/>
        </w:rPr>
        <w:t>instytucji kredytowych oraz spółdzielczych kas oszczędnościowo</w:t>
      </w:r>
      <w:r w:rsidR="00E27D49">
        <w:rPr>
          <w:rFonts w:ascii="Times New Roman" w:eastAsia="Calibri" w:hAnsi="Times New Roman" w:cs="Times New Roman"/>
          <w:szCs w:val="24"/>
        </w:rPr>
        <w:t>-</w:t>
      </w:r>
      <w:r w:rsidR="00E27D49">
        <w:rPr>
          <w:rFonts w:ascii="Times New Roman" w:eastAsia="Calibri" w:hAnsi="Times New Roman" w:cs="Times New Roman"/>
          <w:szCs w:val="24"/>
        </w:rPr>
        <w:br/>
      </w:r>
      <w:r w:rsidRPr="00677204">
        <w:rPr>
          <w:rFonts w:ascii="Times New Roman" w:eastAsia="Calibri" w:hAnsi="Times New Roman" w:cs="Times New Roman"/>
          <w:szCs w:val="24"/>
        </w:rPr>
        <w:t>-kredytowych (czyli dostawców, którzy obecnie w Polsc</w:t>
      </w:r>
      <w:r w:rsidR="00A57950">
        <w:rPr>
          <w:rFonts w:ascii="Times New Roman" w:eastAsia="Calibri" w:hAnsi="Times New Roman" w:cs="Times New Roman"/>
          <w:szCs w:val="24"/>
        </w:rPr>
        <w:t>e prowadzą rachunki płatnicze o </w:t>
      </w:r>
      <w:r w:rsidRPr="00677204">
        <w:rPr>
          <w:rFonts w:ascii="Times New Roman" w:eastAsia="Calibri" w:hAnsi="Times New Roman" w:cs="Times New Roman"/>
          <w:szCs w:val="24"/>
        </w:rPr>
        <w:t>pełnej funkcjonalności, w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Pr="00677204">
        <w:rPr>
          <w:rFonts w:ascii="Times New Roman" w:eastAsia="Calibri" w:hAnsi="Times New Roman" w:cs="Times New Roman"/>
          <w:szCs w:val="24"/>
        </w:rPr>
        <w:t xml:space="preserve">tym </w:t>
      </w:r>
      <w:r w:rsidR="00252B3E" w:rsidRPr="00677204">
        <w:rPr>
          <w:rFonts w:ascii="Times New Roman" w:eastAsia="Calibri" w:hAnsi="Times New Roman" w:cs="Times New Roman"/>
          <w:szCs w:val="24"/>
        </w:rPr>
        <w:t xml:space="preserve">rachunki </w:t>
      </w:r>
      <w:r w:rsidRPr="00677204">
        <w:rPr>
          <w:rFonts w:ascii="Times New Roman" w:eastAsia="Calibri" w:hAnsi="Times New Roman" w:cs="Times New Roman"/>
          <w:szCs w:val="24"/>
        </w:rPr>
        <w:t xml:space="preserve">umożliwiające wykonywanie z nich poleceń przelewu). </w:t>
      </w:r>
      <w:r w:rsidR="002549F6" w:rsidRPr="00677204">
        <w:rPr>
          <w:rFonts w:ascii="Times New Roman" w:eastAsia="Calibri" w:hAnsi="Times New Roman" w:cs="Times New Roman"/>
          <w:szCs w:val="24"/>
        </w:rPr>
        <w:t>Jednak zgodnie z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2549F6" w:rsidRPr="00677204">
        <w:rPr>
          <w:rFonts w:ascii="Times New Roman" w:eastAsia="Calibri" w:hAnsi="Times New Roman" w:cs="Times New Roman"/>
          <w:szCs w:val="24"/>
        </w:rPr>
        <w:t>art.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455811" w:rsidRPr="00677204">
        <w:rPr>
          <w:rFonts w:ascii="Times New Roman" w:eastAsia="Calibri" w:hAnsi="Times New Roman" w:cs="Times New Roman"/>
          <w:szCs w:val="24"/>
        </w:rPr>
        <w:t>59ia ust. 4 dostawc</w:t>
      </w:r>
      <w:r w:rsidR="00460A22" w:rsidRPr="00677204">
        <w:rPr>
          <w:rFonts w:ascii="Times New Roman" w:eastAsia="Calibri" w:hAnsi="Times New Roman" w:cs="Times New Roman"/>
          <w:szCs w:val="24"/>
        </w:rPr>
        <w:t>y</w:t>
      </w:r>
      <w:r w:rsidR="00D54346" w:rsidRPr="00677204">
        <w:rPr>
          <w:rFonts w:ascii="Times New Roman" w:eastAsia="Calibri" w:hAnsi="Times New Roman" w:cs="Times New Roman"/>
          <w:szCs w:val="24"/>
        </w:rPr>
        <w:t xml:space="preserve"> będą obowiązani świadczyć</w:t>
      </w:r>
      <w:r w:rsidR="00460A22" w:rsidRPr="00677204">
        <w:rPr>
          <w:rFonts w:ascii="Times New Roman" w:eastAsia="Calibri" w:hAnsi="Times New Roman" w:cs="Times New Roman"/>
          <w:szCs w:val="24"/>
        </w:rPr>
        <w:t xml:space="preserve"> usługę rachunku podstawowego </w:t>
      </w:r>
      <w:r w:rsidR="002549F6" w:rsidRPr="00677204">
        <w:rPr>
          <w:rFonts w:ascii="Times New Roman" w:eastAsia="Calibri" w:hAnsi="Times New Roman" w:cs="Times New Roman"/>
          <w:szCs w:val="24"/>
        </w:rPr>
        <w:t>w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460A22" w:rsidRPr="00677204">
        <w:rPr>
          <w:rFonts w:ascii="Times New Roman" w:eastAsia="Calibri" w:hAnsi="Times New Roman" w:cs="Times New Roman"/>
          <w:szCs w:val="24"/>
        </w:rPr>
        <w:t>takim zakresie</w:t>
      </w:r>
      <w:r w:rsidR="00737E9D">
        <w:rPr>
          <w:rFonts w:ascii="Times New Roman" w:eastAsia="Calibri" w:hAnsi="Times New Roman" w:cs="Times New Roman"/>
          <w:szCs w:val="24"/>
        </w:rPr>
        <w:t>,</w:t>
      </w:r>
      <w:r w:rsidR="00460A22" w:rsidRPr="00677204">
        <w:rPr>
          <w:rFonts w:ascii="Times New Roman" w:eastAsia="Calibri" w:hAnsi="Times New Roman" w:cs="Times New Roman"/>
          <w:szCs w:val="24"/>
        </w:rPr>
        <w:t xml:space="preserve"> w ja</w:t>
      </w:r>
      <w:r w:rsidR="00A57950">
        <w:rPr>
          <w:rFonts w:ascii="Times New Roman" w:eastAsia="Calibri" w:hAnsi="Times New Roman" w:cs="Times New Roman"/>
          <w:szCs w:val="24"/>
        </w:rPr>
        <w:t>kim świadczą już takie usługi w </w:t>
      </w:r>
      <w:r w:rsidR="00460A22" w:rsidRPr="00677204">
        <w:rPr>
          <w:rFonts w:ascii="Times New Roman" w:eastAsia="Calibri" w:hAnsi="Times New Roman" w:cs="Times New Roman"/>
          <w:szCs w:val="24"/>
        </w:rPr>
        <w:t>ramach prowadzenia innych rachunków płatniczych.</w:t>
      </w:r>
    </w:p>
    <w:p w14:paraId="15D8BA22" w14:textId="31956B3D" w:rsidR="00D056A2" w:rsidRPr="00677204" w:rsidRDefault="00CC55C2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>Niedyskryminacyjny dostęp do</w:t>
      </w:r>
      <w:r w:rsidR="00FE7F61" w:rsidRPr="00677204">
        <w:rPr>
          <w:rFonts w:ascii="Times New Roman" w:eastAsia="Calibri" w:hAnsi="Times New Roman" w:cs="Times New Roman"/>
          <w:szCs w:val="24"/>
        </w:rPr>
        <w:t xml:space="preserve"> podstawowego</w:t>
      </w:r>
      <w:r w:rsidRPr="00677204">
        <w:rPr>
          <w:rFonts w:ascii="Times New Roman" w:eastAsia="Calibri" w:hAnsi="Times New Roman" w:cs="Times New Roman"/>
          <w:szCs w:val="24"/>
        </w:rPr>
        <w:t xml:space="preserve"> rachunku p</w:t>
      </w:r>
      <w:r w:rsidR="00FE7F61" w:rsidRPr="00677204">
        <w:rPr>
          <w:rFonts w:ascii="Times New Roman" w:eastAsia="Calibri" w:hAnsi="Times New Roman" w:cs="Times New Roman"/>
          <w:szCs w:val="24"/>
        </w:rPr>
        <w:t>łatniczego</w:t>
      </w:r>
      <w:r w:rsidRPr="00677204">
        <w:rPr>
          <w:rFonts w:ascii="Times New Roman" w:eastAsia="Calibri" w:hAnsi="Times New Roman" w:cs="Times New Roman"/>
          <w:szCs w:val="24"/>
        </w:rPr>
        <w:t xml:space="preserve"> został odzwierciedlony w art. 59ic ust. 2. </w:t>
      </w:r>
      <w:r w:rsidR="00252B3E" w:rsidRPr="00677204">
        <w:rPr>
          <w:rFonts w:ascii="Times New Roman" w:eastAsia="Calibri" w:hAnsi="Times New Roman" w:cs="Times New Roman"/>
          <w:szCs w:val="24"/>
        </w:rPr>
        <w:t>Przepis a</w:t>
      </w:r>
      <w:r w:rsidRPr="00677204">
        <w:rPr>
          <w:rFonts w:ascii="Times New Roman" w:eastAsia="Calibri" w:hAnsi="Times New Roman" w:cs="Times New Roman"/>
          <w:szCs w:val="24"/>
        </w:rPr>
        <w:t>rt. 59ib da</w:t>
      </w:r>
      <w:r w:rsidR="00FC5B83" w:rsidRPr="00677204">
        <w:rPr>
          <w:rFonts w:ascii="Times New Roman" w:eastAsia="Calibri" w:hAnsi="Times New Roman" w:cs="Times New Roman"/>
          <w:szCs w:val="24"/>
        </w:rPr>
        <w:t>je</w:t>
      </w:r>
      <w:r w:rsidR="00DB2A16" w:rsidRPr="00677204">
        <w:rPr>
          <w:rFonts w:ascii="Times New Roman" w:eastAsia="Calibri" w:hAnsi="Times New Roman" w:cs="Times New Roman"/>
          <w:szCs w:val="24"/>
        </w:rPr>
        <w:t xml:space="preserve"> </w:t>
      </w:r>
      <w:r w:rsidRPr="00677204">
        <w:rPr>
          <w:rFonts w:ascii="Times New Roman" w:eastAsia="Calibri" w:hAnsi="Times New Roman" w:cs="Times New Roman"/>
          <w:szCs w:val="24"/>
        </w:rPr>
        <w:t>dostawcom możliwość uzależniania zawarcia z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Pr="00677204">
        <w:rPr>
          <w:rFonts w:ascii="Times New Roman" w:eastAsia="Calibri" w:hAnsi="Times New Roman" w:cs="Times New Roman"/>
          <w:szCs w:val="24"/>
        </w:rPr>
        <w:t xml:space="preserve">konsumentem umowy </w:t>
      </w:r>
      <w:r w:rsidR="00FE7F61" w:rsidRPr="00677204">
        <w:rPr>
          <w:rFonts w:ascii="Times New Roman" w:eastAsia="Calibri" w:hAnsi="Times New Roman" w:cs="Times New Roman"/>
          <w:szCs w:val="24"/>
        </w:rPr>
        <w:t xml:space="preserve">podstawowego </w:t>
      </w:r>
      <w:r w:rsidRPr="00677204">
        <w:rPr>
          <w:rFonts w:ascii="Times New Roman" w:eastAsia="Calibri" w:hAnsi="Times New Roman" w:cs="Times New Roman"/>
          <w:szCs w:val="24"/>
        </w:rPr>
        <w:t>rachunku p</w:t>
      </w:r>
      <w:r w:rsidR="00FE7F61" w:rsidRPr="00677204">
        <w:rPr>
          <w:rFonts w:ascii="Times New Roman" w:eastAsia="Calibri" w:hAnsi="Times New Roman" w:cs="Times New Roman"/>
          <w:szCs w:val="24"/>
        </w:rPr>
        <w:t>łatniczego</w:t>
      </w:r>
      <w:r w:rsidRPr="00677204">
        <w:rPr>
          <w:rFonts w:ascii="Times New Roman" w:eastAsia="Calibri" w:hAnsi="Times New Roman" w:cs="Times New Roman"/>
          <w:szCs w:val="24"/>
        </w:rPr>
        <w:t xml:space="preserve"> od </w:t>
      </w:r>
      <w:r w:rsidRPr="00677204">
        <w:rPr>
          <w:rFonts w:ascii="Times New Roman" w:eastAsia="Calibri" w:hAnsi="Times New Roman" w:cs="Times New Roman"/>
          <w:szCs w:val="24"/>
        </w:rPr>
        <w:lastRenderedPageBreak/>
        <w:t>złożenia przez niego oświadczenia o nieposiadaniu rachunku płatniczego o</w:t>
      </w:r>
      <w:r w:rsidR="00A57950">
        <w:rPr>
          <w:rFonts w:ascii="Times New Roman" w:eastAsia="Calibri" w:hAnsi="Times New Roman" w:cs="Times New Roman"/>
          <w:szCs w:val="24"/>
        </w:rPr>
        <w:t> </w:t>
      </w:r>
      <w:r w:rsidRPr="00677204">
        <w:rPr>
          <w:rFonts w:ascii="Times New Roman" w:eastAsia="Calibri" w:hAnsi="Times New Roman" w:cs="Times New Roman"/>
          <w:szCs w:val="24"/>
        </w:rPr>
        <w:t>funkcjonalności</w:t>
      </w:r>
      <w:r w:rsidR="00B21EF4" w:rsidRPr="00677204">
        <w:rPr>
          <w:rFonts w:ascii="Times New Roman" w:eastAsia="Calibri" w:hAnsi="Times New Roman" w:cs="Times New Roman"/>
          <w:szCs w:val="24"/>
        </w:rPr>
        <w:t xml:space="preserve"> określonej w art. 59ia ust. 1</w:t>
      </w:r>
      <w:r w:rsidRPr="00677204">
        <w:rPr>
          <w:rFonts w:ascii="Times New Roman" w:eastAsia="Calibri" w:hAnsi="Times New Roman" w:cs="Times New Roman"/>
          <w:szCs w:val="24"/>
        </w:rPr>
        <w:t>,</w:t>
      </w:r>
      <w:r w:rsidR="00B21EF4" w:rsidRPr="00677204">
        <w:rPr>
          <w:rFonts w:ascii="Times New Roman" w:eastAsia="Calibri" w:hAnsi="Times New Roman" w:cs="Times New Roman"/>
          <w:szCs w:val="24"/>
        </w:rPr>
        <w:t xml:space="preserve"> prowadzonego przez innego dostawcę usług płatniczych na terytorium RP.</w:t>
      </w:r>
      <w:r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FC5B83" w:rsidRPr="00677204">
        <w:rPr>
          <w:rFonts w:ascii="Times New Roman" w:eastAsia="Calibri" w:hAnsi="Times New Roman" w:cs="Times New Roman"/>
          <w:szCs w:val="24"/>
        </w:rPr>
        <w:t>W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FC5B83" w:rsidRPr="00677204">
        <w:rPr>
          <w:rFonts w:ascii="Times New Roman" w:eastAsia="Calibri" w:hAnsi="Times New Roman" w:cs="Times New Roman"/>
          <w:szCs w:val="24"/>
        </w:rPr>
        <w:t>przypadku złoż</w:t>
      </w:r>
      <w:r w:rsidR="00A57950">
        <w:rPr>
          <w:rFonts w:ascii="Times New Roman" w:eastAsia="Calibri" w:hAnsi="Times New Roman" w:cs="Times New Roman"/>
          <w:szCs w:val="24"/>
        </w:rPr>
        <w:t>enia oświadczenia niezgodnego z </w:t>
      </w:r>
      <w:r w:rsidR="00FC5B83" w:rsidRPr="00677204">
        <w:rPr>
          <w:rFonts w:ascii="Times New Roman" w:eastAsia="Calibri" w:hAnsi="Times New Roman" w:cs="Times New Roman"/>
          <w:szCs w:val="24"/>
        </w:rPr>
        <w:t>prawdą dostawca będzie mógł pobierać opłaty, jakie pobiera od analogicznego rachunku płatniczego, niebędącego rachunkiem podstawowym (art. 59ib zd. 2).</w:t>
      </w:r>
    </w:p>
    <w:p w14:paraId="5C171CDA" w14:textId="6691CA13" w:rsidR="00D056A2" w:rsidRPr="00677204" w:rsidRDefault="00CC55C2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>Procedura składania wniosku o zawarcie u</w:t>
      </w:r>
      <w:r w:rsidR="00B21EF4" w:rsidRPr="00677204">
        <w:rPr>
          <w:rFonts w:ascii="Times New Roman" w:eastAsia="Calibri" w:hAnsi="Times New Roman" w:cs="Times New Roman"/>
          <w:szCs w:val="24"/>
        </w:rPr>
        <w:t xml:space="preserve">mowy </w:t>
      </w:r>
      <w:r w:rsidR="00FE7F61" w:rsidRPr="00677204">
        <w:rPr>
          <w:rFonts w:ascii="Times New Roman" w:eastAsia="Calibri" w:hAnsi="Times New Roman" w:cs="Times New Roman"/>
          <w:szCs w:val="24"/>
        </w:rPr>
        <w:t xml:space="preserve">podstawowego </w:t>
      </w:r>
      <w:r w:rsidR="00B21EF4" w:rsidRPr="00677204">
        <w:rPr>
          <w:rFonts w:ascii="Times New Roman" w:eastAsia="Calibri" w:hAnsi="Times New Roman" w:cs="Times New Roman"/>
          <w:szCs w:val="24"/>
        </w:rPr>
        <w:t>rachunku p</w:t>
      </w:r>
      <w:r w:rsidR="00FE7F61" w:rsidRPr="00677204">
        <w:rPr>
          <w:rFonts w:ascii="Times New Roman" w:eastAsia="Calibri" w:hAnsi="Times New Roman" w:cs="Times New Roman"/>
          <w:szCs w:val="24"/>
        </w:rPr>
        <w:t>łatniczego</w:t>
      </w:r>
      <w:r w:rsidR="00B21EF4" w:rsidRPr="00677204">
        <w:rPr>
          <w:rFonts w:ascii="Times New Roman" w:eastAsia="Calibri" w:hAnsi="Times New Roman" w:cs="Times New Roman"/>
          <w:szCs w:val="24"/>
        </w:rPr>
        <w:t xml:space="preserve">, </w:t>
      </w:r>
      <w:r w:rsidRPr="00677204">
        <w:rPr>
          <w:rFonts w:ascii="Times New Roman" w:eastAsia="Calibri" w:hAnsi="Times New Roman" w:cs="Times New Roman"/>
          <w:szCs w:val="24"/>
        </w:rPr>
        <w:t xml:space="preserve">przypadki, w których dostawca może odrzucić </w:t>
      </w:r>
      <w:r w:rsidR="00DB2A16" w:rsidRPr="00677204">
        <w:rPr>
          <w:rFonts w:ascii="Times New Roman" w:eastAsia="Calibri" w:hAnsi="Times New Roman" w:cs="Times New Roman"/>
          <w:szCs w:val="24"/>
        </w:rPr>
        <w:t xml:space="preserve">taki </w:t>
      </w:r>
      <w:r w:rsidRPr="00677204">
        <w:rPr>
          <w:rFonts w:ascii="Times New Roman" w:eastAsia="Calibri" w:hAnsi="Times New Roman" w:cs="Times New Roman"/>
          <w:szCs w:val="24"/>
        </w:rPr>
        <w:t>wniosek</w:t>
      </w:r>
      <w:r w:rsidR="00DB2A16" w:rsidRPr="00677204">
        <w:rPr>
          <w:rFonts w:ascii="Times New Roman" w:eastAsia="Calibri" w:hAnsi="Times New Roman" w:cs="Times New Roman"/>
          <w:szCs w:val="24"/>
        </w:rPr>
        <w:t xml:space="preserve">, </w:t>
      </w:r>
      <w:r w:rsidR="00A709A0" w:rsidRPr="00677204">
        <w:rPr>
          <w:rFonts w:ascii="Times New Roman" w:eastAsia="Calibri" w:hAnsi="Times New Roman" w:cs="Times New Roman"/>
          <w:szCs w:val="24"/>
        </w:rPr>
        <w:t>a także terminy zawarcia umowy</w:t>
      </w:r>
      <w:r w:rsidR="00B21EF4" w:rsidRPr="00677204">
        <w:rPr>
          <w:rFonts w:ascii="Times New Roman" w:eastAsia="Calibri" w:hAnsi="Times New Roman" w:cs="Times New Roman"/>
          <w:szCs w:val="24"/>
        </w:rPr>
        <w:t xml:space="preserve"> oraz ewentualnego odrzucenia wniosku</w:t>
      </w:r>
      <w:r w:rsidRPr="00677204">
        <w:rPr>
          <w:rFonts w:ascii="Times New Roman" w:eastAsia="Calibri" w:hAnsi="Times New Roman" w:cs="Times New Roman"/>
          <w:szCs w:val="24"/>
        </w:rPr>
        <w:t xml:space="preserve"> zostały </w:t>
      </w:r>
      <w:r w:rsidR="007D39F1" w:rsidRPr="00677204">
        <w:rPr>
          <w:rFonts w:ascii="Times New Roman" w:eastAsia="Calibri" w:hAnsi="Times New Roman" w:cs="Times New Roman"/>
          <w:szCs w:val="24"/>
        </w:rPr>
        <w:t>zaproponowane</w:t>
      </w:r>
      <w:r w:rsidRPr="00677204">
        <w:rPr>
          <w:rFonts w:ascii="Times New Roman" w:eastAsia="Calibri" w:hAnsi="Times New Roman" w:cs="Times New Roman"/>
          <w:szCs w:val="24"/>
        </w:rPr>
        <w:t xml:space="preserve"> w art. 59ic.</w:t>
      </w:r>
      <w:r w:rsidR="007E1092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B21EF4" w:rsidRPr="00677204">
        <w:rPr>
          <w:rFonts w:ascii="Times New Roman" w:eastAsia="Calibri" w:hAnsi="Times New Roman" w:cs="Times New Roman"/>
          <w:szCs w:val="24"/>
        </w:rPr>
        <w:t xml:space="preserve">Dostawca usług płatniczych </w:t>
      </w:r>
      <w:r w:rsidR="00B647E9" w:rsidRPr="00677204">
        <w:rPr>
          <w:rFonts w:ascii="Times New Roman" w:eastAsia="Calibri" w:hAnsi="Times New Roman" w:cs="Times New Roman"/>
          <w:szCs w:val="24"/>
        </w:rPr>
        <w:t xml:space="preserve">będzie miał </w:t>
      </w:r>
      <w:r w:rsidR="00A709A0" w:rsidRPr="00677204">
        <w:rPr>
          <w:rFonts w:ascii="Times New Roman" w:eastAsia="Calibri" w:hAnsi="Times New Roman" w:cs="Times New Roman"/>
          <w:szCs w:val="24"/>
        </w:rPr>
        <w:t xml:space="preserve">obowiązek oferowania </w:t>
      </w:r>
      <w:r w:rsidR="00FE7F61" w:rsidRPr="00677204">
        <w:rPr>
          <w:rFonts w:ascii="Times New Roman" w:eastAsia="Calibri" w:hAnsi="Times New Roman" w:cs="Times New Roman"/>
          <w:szCs w:val="24"/>
        </w:rPr>
        <w:t xml:space="preserve">podstawowego </w:t>
      </w:r>
      <w:r w:rsidR="00A709A0" w:rsidRPr="00677204">
        <w:rPr>
          <w:rFonts w:ascii="Times New Roman" w:eastAsia="Calibri" w:hAnsi="Times New Roman" w:cs="Times New Roman"/>
          <w:szCs w:val="24"/>
        </w:rPr>
        <w:t>rachunku p</w:t>
      </w:r>
      <w:r w:rsidR="00FE7F61" w:rsidRPr="00677204">
        <w:rPr>
          <w:rFonts w:ascii="Times New Roman" w:eastAsia="Calibri" w:hAnsi="Times New Roman" w:cs="Times New Roman"/>
          <w:szCs w:val="24"/>
        </w:rPr>
        <w:t>łatniczego</w:t>
      </w:r>
      <w:r w:rsidR="00B21EF4" w:rsidRPr="00677204">
        <w:rPr>
          <w:rFonts w:ascii="Times New Roman" w:eastAsia="Calibri" w:hAnsi="Times New Roman" w:cs="Times New Roman"/>
          <w:szCs w:val="24"/>
        </w:rPr>
        <w:t xml:space="preserve"> w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B21EF4" w:rsidRPr="00677204">
        <w:rPr>
          <w:rFonts w:ascii="Times New Roman" w:eastAsia="Calibri" w:hAnsi="Times New Roman" w:cs="Times New Roman"/>
          <w:szCs w:val="24"/>
        </w:rPr>
        <w:t>walucie polskiej</w:t>
      </w:r>
      <w:r w:rsidR="00537FB3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674FA0" w:rsidRPr="00677204">
        <w:rPr>
          <w:rFonts w:ascii="Times New Roman" w:eastAsia="Calibri" w:hAnsi="Times New Roman" w:cs="Times New Roman"/>
          <w:szCs w:val="24"/>
        </w:rPr>
        <w:t>(art. 59id)</w:t>
      </w:r>
      <w:r w:rsidR="00A709A0" w:rsidRPr="00677204">
        <w:rPr>
          <w:rFonts w:ascii="Times New Roman" w:eastAsia="Calibri" w:hAnsi="Times New Roman" w:cs="Times New Roman"/>
          <w:szCs w:val="24"/>
        </w:rPr>
        <w:t>.</w:t>
      </w:r>
      <w:r w:rsidR="007E1092" w:rsidRPr="00677204">
        <w:rPr>
          <w:rFonts w:ascii="Times New Roman" w:eastAsia="Calibri" w:hAnsi="Times New Roman" w:cs="Times New Roman"/>
          <w:szCs w:val="24"/>
        </w:rPr>
        <w:t xml:space="preserve"> </w:t>
      </w:r>
      <w:r w:rsidRPr="00677204">
        <w:rPr>
          <w:rFonts w:ascii="Times New Roman" w:eastAsia="Calibri" w:hAnsi="Times New Roman" w:cs="Times New Roman"/>
          <w:szCs w:val="24"/>
        </w:rPr>
        <w:t xml:space="preserve">Prowadzenie </w:t>
      </w:r>
      <w:r w:rsidR="00FE7F61" w:rsidRPr="00677204">
        <w:rPr>
          <w:rFonts w:ascii="Times New Roman" w:eastAsia="Calibri" w:hAnsi="Times New Roman" w:cs="Times New Roman"/>
          <w:szCs w:val="24"/>
        </w:rPr>
        <w:t xml:space="preserve">podstawowego </w:t>
      </w:r>
      <w:r w:rsidRPr="00677204">
        <w:rPr>
          <w:rFonts w:ascii="Times New Roman" w:eastAsia="Calibri" w:hAnsi="Times New Roman" w:cs="Times New Roman"/>
          <w:szCs w:val="24"/>
        </w:rPr>
        <w:t xml:space="preserve">rachunku </w:t>
      </w:r>
      <w:r w:rsidR="00FE7F61" w:rsidRPr="00677204">
        <w:rPr>
          <w:rFonts w:ascii="Times New Roman" w:eastAsia="Calibri" w:hAnsi="Times New Roman" w:cs="Times New Roman"/>
          <w:szCs w:val="24"/>
        </w:rPr>
        <w:t>płatniczego</w:t>
      </w:r>
      <w:r w:rsidR="00EC6EB9" w:rsidRPr="00677204">
        <w:rPr>
          <w:rFonts w:ascii="Times New Roman" w:eastAsia="Calibri" w:hAnsi="Times New Roman" w:cs="Times New Roman"/>
          <w:szCs w:val="24"/>
        </w:rPr>
        <w:t xml:space="preserve"> w zakresie transakcji krajowych</w:t>
      </w:r>
      <w:r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235506" w:rsidRPr="00677204">
        <w:rPr>
          <w:rFonts w:ascii="Times New Roman" w:eastAsia="Calibri" w:hAnsi="Times New Roman" w:cs="Times New Roman"/>
          <w:szCs w:val="24"/>
        </w:rPr>
        <w:t xml:space="preserve">będzie </w:t>
      </w:r>
      <w:r w:rsidR="00674FA0" w:rsidRPr="00677204">
        <w:rPr>
          <w:rFonts w:ascii="Times New Roman" w:eastAsia="Calibri" w:hAnsi="Times New Roman" w:cs="Times New Roman"/>
          <w:szCs w:val="24"/>
        </w:rPr>
        <w:t>co do zasady nieodpłatne</w:t>
      </w:r>
      <w:r w:rsidR="00954B3F" w:rsidRPr="00677204">
        <w:rPr>
          <w:rFonts w:ascii="Times New Roman" w:eastAsia="Calibri" w:hAnsi="Times New Roman" w:cs="Times New Roman"/>
          <w:szCs w:val="24"/>
        </w:rPr>
        <w:t xml:space="preserve"> (art. 59ie ust. 1)</w:t>
      </w:r>
      <w:r w:rsidR="00674FA0" w:rsidRPr="00677204">
        <w:rPr>
          <w:rFonts w:ascii="Times New Roman" w:eastAsia="Calibri" w:hAnsi="Times New Roman" w:cs="Times New Roman"/>
          <w:szCs w:val="24"/>
        </w:rPr>
        <w:t>.</w:t>
      </w:r>
    </w:p>
    <w:p w14:paraId="7DBAAFFB" w14:textId="1F8DEF0E" w:rsidR="00D056A2" w:rsidRPr="00677204" w:rsidRDefault="00B647E9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W projekcie </w:t>
      </w:r>
      <w:r w:rsidR="00D056A2" w:rsidRPr="00677204">
        <w:rPr>
          <w:rFonts w:ascii="Times New Roman" w:eastAsia="Calibri" w:hAnsi="Times New Roman" w:cs="Times New Roman"/>
          <w:szCs w:val="24"/>
        </w:rPr>
        <w:t xml:space="preserve">proponuje się jednak </w:t>
      </w:r>
      <w:r w:rsidR="00EC6EB9" w:rsidRPr="00677204">
        <w:rPr>
          <w:rFonts w:ascii="Times New Roman" w:eastAsia="Calibri" w:hAnsi="Times New Roman" w:cs="Times New Roman"/>
          <w:szCs w:val="24"/>
        </w:rPr>
        <w:t>wprowadzenie</w:t>
      </w:r>
      <w:r w:rsidR="00126C57" w:rsidRPr="00677204">
        <w:rPr>
          <w:rFonts w:ascii="Times New Roman" w:eastAsia="Calibri" w:hAnsi="Times New Roman" w:cs="Times New Roman"/>
          <w:szCs w:val="24"/>
        </w:rPr>
        <w:t xml:space="preserve"> miesięczn</w:t>
      </w:r>
      <w:r w:rsidR="00EC6EB9" w:rsidRPr="00677204">
        <w:rPr>
          <w:rFonts w:ascii="Times New Roman" w:eastAsia="Calibri" w:hAnsi="Times New Roman" w:cs="Times New Roman"/>
          <w:szCs w:val="24"/>
        </w:rPr>
        <w:t>ego</w:t>
      </w:r>
      <w:r w:rsidR="00126C57" w:rsidRPr="00677204">
        <w:rPr>
          <w:rFonts w:ascii="Times New Roman" w:eastAsia="Calibri" w:hAnsi="Times New Roman" w:cs="Times New Roman"/>
          <w:szCs w:val="24"/>
        </w:rPr>
        <w:t xml:space="preserve"> limit</w:t>
      </w:r>
      <w:r w:rsidR="00EC6EB9" w:rsidRPr="00677204">
        <w:rPr>
          <w:rFonts w:ascii="Times New Roman" w:eastAsia="Calibri" w:hAnsi="Times New Roman" w:cs="Times New Roman"/>
          <w:szCs w:val="24"/>
        </w:rPr>
        <w:t>u</w:t>
      </w:r>
      <w:r w:rsidR="00126C57" w:rsidRPr="00677204">
        <w:rPr>
          <w:rFonts w:ascii="Times New Roman" w:eastAsia="Calibri" w:hAnsi="Times New Roman" w:cs="Times New Roman"/>
          <w:szCs w:val="24"/>
        </w:rPr>
        <w:t xml:space="preserve"> 1</w:t>
      </w:r>
      <w:r w:rsidR="008D79C1" w:rsidRPr="00677204">
        <w:rPr>
          <w:rFonts w:ascii="Times New Roman" w:eastAsia="Calibri" w:hAnsi="Times New Roman" w:cs="Times New Roman"/>
          <w:szCs w:val="24"/>
        </w:rPr>
        <w:t>5</w:t>
      </w:r>
      <w:r w:rsidR="00126C57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D056A2" w:rsidRPr="00677204">
        <w:rPr>
          <w:rFonts w:ascii="Times New Roman" w:eastAsia="Calibri" w:hAnsi="Times New Roman" w:cs="Times New Roman"/>
          <w:szCs w:val="24"/>
        </w:rPr>
        <w:t xml:space="preserve">bezpłatnych </w:t>
      </w:r>
      <w:r w:rsidR="00126C57" w:rsidRPr="00677204">
        <w:rPr>
          <w:rFonts w:ascii="Times New Roman" w:eastAsia="Calibri" w:hAnsi="Times New Roman" w:cs="Times New Roman"/>
          <w:szCs w:val="24"/>
        </w:rPr>
        <w:t>poleceń przelewu</w:t>
      </w:r>
      <w:r w:rsidR="00A709A0" w:rsidRPr="00677204">
        <w:rPr>
          <w:rFonts w:ascii="Times New Roman" w:eastAsia="Calibri" w:hAnsi="Times New Roman" w:cs="Times New Roman"/>
          <w:szCs w:val="24"/>
        </w:rPr>
        <w:t xml:space="preserve"> (w tym zleceń stałych)</w:t>
      </w:r>
      <w:r w:rsidR="00126C57" w:rsidRPr="00677204">
        <w:rPr>
          <w:rFonts w:ascii="Times New Roman" w:eastAsia="Calibri" w:hAnsi="Times New Roman" w:cs="Times New Roman"/>
          <w:szCs w:val="24"/>
        </w:rPr>
        <w:t>, po przekroczeniu któr</w:t>
      </w:r>
      <w:r w:rsidR="00A709A0" w:rsidRPr="00677204">
        <w:rPr>
          <w:rFonts w:ascii="Times New Roman" w:eastAsia="Calibri" w:hAnsi="Times New Roman" w:cs="Times New Roman"/>
          <w:szCs w:val="24"/>
        </w:rPr>
        <w:t>ych</w:t>
      </w:r>
      <w:r w:rsidR="00126C57" w:rsidRPr="00677204">
        <w:rPr>
          <w:rFonts w:ascii="Times New Roman" w:eastAsia="Calibri" w:hAnsi="Times New Roman" w:cs="Times New Roman"/>
          <w:szCs w:val="24"/>
        </w:rPr>
        <w:t xml:space="preserve"> dostawca usług płatniczych będzie mógł pobierać opłatę za realizację </w:t>
      </w:r>
      <w:r w:rsidR="005654F6" w:rsidRPr="00677204">
        <w:rPr>
          <w:rFonts w:ascii="Times New Roman" w:eastAsia="Calibri" w:hAnsi="Times New Roman" w:cs="Times New Roman"/>
          <w:szCs w:val="24"/>
        </w:rPr>
        <w:t>tych usług</w:t>
      </w:r>
      <w:r w:rsidR="00126C57" w:rsidRPr="00677204">
        <w:rPr>
          <w:rFonts w:ascii="Times New Roman" w:eastAsia="Calibri" w:hAnsi="Times New Roman" w:cs="Times New Roman"/>
          <w:szCs w:val="24"/>
        </w:rPr>
        <w:t>. Opłata ta nie będzie mogła</w:t>
      </w:r>
      <w:r w:rsidR="000D501D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126C57" w:rsidRPr="00677204">
        <w:rPr>
          <w:rFonts w:ascii="Times New Roman" w:eastAsia="Calibri" w:hAnsi="Times New Roman" w:cs="Times New Roman"/>
          <w:szCs w:val="24"/>
        </w:rPr>
        <w:t>by</w:t>
      </w:r>
      <w:r w:rsidR="000D501D" w:rsidRPr="00677204">
        <w:rPr>
          <w:rFonts w:ascii="Times New Roman" w:eastAsia="Calibri" w:hAnsi="Times New Roman" w:cs="Times New Roman"/>
          <w:szCs w:val="24"/>
        </w:rPr>
        <w:t>ć</w:t>
      </w:r>
      <w:r w:rsidR="00126C57" w:rsidRPr="00677204">
        <w:rPr>
          <w:rFonts w:ascii="Times New Roman" w:eastAsia="Calibri" w:hAnsi="Times New Roman" w:cs="Times New Roman"/>
          <w:szCs w:val="24"/>
        </w:rPr>
        <w:t xml:space="preserve"> jednak wyższa niż</w:t>
      </w:r>
      <w:r w:rsidR="00827416" w:rsidRPr="00677204">
        <w:rPr>
          <w:rFonts w:ascii="Times New Roman" w:eastAsia="Calibri" w:hAnsi="Times New Roman" w:cs="Times New Roman"/>
          <w:szCs w:val="24"/>
        </w:rPr>
        <w:t xml:space="preserve"> najczęściej pobierana</w:t>
      </w:r>
      <w:r w:rsidR="00126C57" w:rsidRPr="00677204">
        <w:rPr>
          <w:rFonts w:ascii="Times New Roman" w:eastAsia="Calibri" w:hAnsi="Times New Roman" w:cs="Times New Roman"/>
          <w:szCs w:val="24"/>
        </w:rPr>
        <w:t xml:space="preserve"> opłata </w:t>
      </w:r>
      <w:r w:rsidR="00827416" w:rsidRPr="00677204">
        <w:rPr>
          <w:rFonts w:ascii="Times New Roman" w:eastAsia="Calibri" w:hAnsi="Times New Roman" w:cs="Times New Roman"/>
          <w:szCs w:val="24"/>
        </w:rPr>
        <w:t xml:space="preserve">przez danego </w:t>
      </w:r>
      <w:r w:rsidR="00126C57" w:rsidRPr="00677204">
        <w:rPr>
          <w:rFonts w:ascii="Times New Roman" w:eastAsia="Calibri" w:hAnsi="Times New Roman" w:cs="Times New Roman"/>
          <w:szCs w:val="24"/>
        </w:rPr>
        <w:t>dostawc</w:t>
      </w:r>
      <w:r w:rsidR="00827416" w:rsidRPr="00677204">
        <w:rPr>
          <w:rFonts w:ascii="Times New Roman" w:eastAsia="Calibri" w:hAnsi="Times New Roman" w:cs="Times New Roman"/>
          <w:szCs w:val="24"/>
        </w:rPr>
        <w:t>ę</w:t>
      </w:r>
      <w:r w:rsidR="00126C57" w:rsidRPr="00677204">
        <w:rPr>
          <w:rFonts w:ascii="Times New Roman" w:eastAsia="Calibri" w:hAnsi="Times New Roman" w:cs="Times New Roman"/>
          <w:szCs w:val="24"/>
        </w:rPr>
        <w:t xml:space="preserve"> za </w:t>
      </w:r>
      <w:r w:rsidR="0099227D" w:rsidRPr="00677204">
        <w:rPr>
          <w:rFonts w:ascii="Times New Roman" w:eastAsia="Calibri" w:hAnsi="Times New Roman" w:cs="Times New Roman"/>
          <w:szCs w:val="24"/>
        </w:rPr>
        <w:t xml:space="preserve">analogiczną </w:t>
      </w:r>
      <w:r w:rsidR="00126C57" w:rsidRPr="00677204">
        <w:rPr>
          <w:rFonts w:ascii="Times New Roman" w:eastAsia="Calibri" w:hAnsi="Times New Roman" w:cs="Times New Roman"/>
          <w:szCs w:val="24"/>
        </w:rPr>
        <w:t>usługę powiązaną z jaki</w:t>
      </w:r>
      <w:r w:rsidR="0099227D" w:rsidRPr="00677204">
        <w:rPr>
          <w:rFonts w:ascii="Times New Roman" w:eastAsia="Calibri" w:hAnsi="Times New Roman" w:cs="Times New Roman"/>
          <w:szCs w:val="24"/>
        </w:rPr>
        <w:t>mko</w:t>
      </w:r>
      <w:r w:rsidR="00126C57" w:rsidRPr="00677204">
        <w:rPr>
          <w:rFonts w:ascii="Times New Roman" w:eastAsia="Calibri" w:hAnsi="Times New Roman" w:cs="Times New Roman"/>
          <w:szCs w:val="24"/>
        </w:rPr>
        <w:t>lwiek innym rachunkiem płatniczym</w:t>
      </w:r>
      <w:r w:rsidR="000D501D" w:rsidRPr="00677204">
        <w:rPr>
          <w:rFonts w:ascii="Times New Roman" w:eastAsia="Calibri" w:hAnsi="Times New Roman" w:cs="Times New Roman"/>
          <w:szCs w:val="24"/>
        </w:rPr>
        <w:t xml:space="preserve"> oferowanym przez tego dostawcę</w:t>
      </w:r>
      <w:r w:rsidR="00954B3F" w:rsidRPr="00677204">
        <w:rPr>
          <w:rFonts w:ascii="Times New Roman" w:eastAsia="Calibri" w:hAnsi="Times New Roman" w:cs="Times New Roman"/>
          <w:szCs w:val="24"/>
        </w:rPr>
        <w:t xml:space="preserve"> (art. 59ie ust. 2)</w:t>
      </w:r>
      <w:r w:rsidR="00B214E2" w:rsidRPr="00677204">
        <w:rPr>
          <w:rFonts w:ascii="Times New Roman" w:eastAsia="Calibri" w:hAnsi="Times New Roman" w:cs="Times New Roman"/>
          <w:szCs w:val="24"/>
        </w:rPr>
        <w:t>.</w:t>
      </w:r>
    </w:p>
    <w:p w14:paraId="7DFE39C0" w14:textId="3B0E8B5F" w:rsidR="00D056A2" w:rsidRPr="00677204" w:rsidRDefault="00A709A0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Ponadto możliwe będzie pobieranie przez dostawcę opłaty z tytułu </w:t>
      </w:r>
      <w:r w:rsidR="00EC6EB9" w:rsidRPr="00677204">
        <w:rPr>
          <w:rFonts w:ascii="Times New Roman" w:eastAsia="Calibri" w:hAnsi="Times New Roman" w:cs="Times New Roman"/>
          <w:szCs w:val="24"/>
        </w:rPr>
        <w:t xml:space="preserve">wydania </w:t>
      </w:r>
      <w:r w:rsidRPr="00677204">
        <w:rPr>
          <w:rFonts w:ascii="Times New Roman" w:eastAsia="Calibri" w:hAnsi="Times New Roman" w:cs="Times New Roman"/>
          <w:szCs w:val="24"/>
        </w:rPr>
        <w:t xml:space="preserve">karty płatniczej (art. 59ie ust. </w:t>
      </w:r>
      <w:r w:rsidR="00EC6EB9" w:rsidRPr="00677204">
        <w:rPr>
          <w:rFonts w:ascii="Times New Roman" w:eastAsia="Calibri" w:hAnsi="Times New Roman" w:cs="Times New Roman"/>
          <w:szCs w:val="24"/>
        </w:rPr>
        <w:t>4</w:t>
      </w:r>
      <w:r w:rsidRPr="00677204">
        <w:rPr>
          <w:rFonts w:ascii="Times New Roman" w:eastAsia="Calibri" w:hAnsi="Times New Roman" w:cs="Times New Roman"/>
          <w:szCs w:val="24"/>
        </w:rPr>
        <w:t>)</w:t>
      </w:r>
      <w:r w:rsidR="00EC6EB9" w:rsidRPr="00677204">
        <w:rPr>
          <w:rFonts w:ascii="Times New Roman" w:eastAsia="Calibri" w:hAnsi="Times New Roman" w:cs="Times New Roman"/>
          <w:szCs w:val="24"/>
        </w:rPr>
        <w:t xml:space="preserve"> oraz za wypłaty gotówki z bankomatów</w:t>
      </w:r>
      <w:r w:rsidR="00E13EC5" w:rsidRPr="00677204">
        <w:rPr>
          <w:rFonts w:ascii="Times New Roman" w:eastAsia="Calibri" w:hAnsi="Times New Roman" w:cs="Times New Roman"/>
          <w:szCs w:val="24"/>
        </w:rPr>
        <w:t xml:space="preserve"> i wpłatomatów</w:t>
      </w:r>
      <w:r w:rsidR="00EC6EB9" w:rsidRPr="00677204">
        <w:rPr>
          <w:rFonts w:ascii="Times New Roman" w:eastAsia="Calibri" w:hAnsi="Times New Roman" w:cs="Times New Roman"/>
          <w:szCs w:val="24"/>
        </w:rPr>
        <w:t xml:space="preserve"> nienależących do dostawcy prowadzącego rachunek podstawowy (art. 59ie ust. 3).</w:t>
      </w:r>
    </w:p>
    <w:p w14:paraId="1CFA6779" w14:textId="4EBFBC1C" w:rsidR="00D056A2" w:rsidRPr="00677204" w:rsidRDefault="00FE7F61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>Podstawowy r</w:t>
      </w:r>
      <w:r w:rsidR="00827416" w:rsidRPr="00677204">
        <w:rPr>
          <w:rFonts w:ascii="Times New Roman" w:eastAsia="Calibri" w:hAnsi="Times New Roman" w:cs="Times New Roman"/>
          <w:szCs w:val="24"/>
        </w:rPr>
        <w:t>achunek p</w:t>
      </w:r>
      <w:r w:rsidRPr="00677204">
        <w:rPr>
          <w:rFonts w:ascii="Times New Roman" w:eastAsia="Calibri" w:hAnsi="Times New Roman" w:cs="Times New Roman"/>
          <w:szCs w:val="24"/>
        </w:rPr>
        <w:t>łatniczy</w:t>
      </w:r>
      <w:r w:rsidR="00827416" w:rsidRPr="00677204">
        <w:rPr>
          <w:rFonts w:ascii="Times New Roman" w:eastAsia="Calibri" w:hAnsi="Times New Roman" w:cs="Times New Roman"/>
          <w:szCs w:val="24"/>
        </w:rPr>
        <w:t xml:space="preserve"> nie powinien być mniej korzystny dla konsumentów niż inne funkcjonujące na rynku rachunki płatnicze, stąd </w:t>
      </w:r>
      <w:r w:rsidR="00B647E9" w:rsidRPr="00677204">
        <w:rPr>
          <w:rFonts w:ascii="Times New Roman" w:eastAsia="Calibri" w:hAnsi="Times New Roman" w:cs="Times New Roman"/>
          <w:szCs w:val="24"/>
        </w:rPr>
        <w:t xml:space="preserve">proponowane brzmienie </w:t>
      </w:r>
      <w:r w:rsidR="00827416" w:rsidRPr="00677204">
        <w:rPr>
          <w:rFonts w:ascii="Times New Roman" w:eastAsia="Calibri" w:hAnsi="Times New Roman" w:cs="Times New Roman"/>
          <w:szCs w:val="24"/>
        </w:rPr>
        <w:t>art. 59ie ust. 2 zd</w:t>
      </w:r>
      <w:r w:rsidR="00B647E9" w:rsidRPr="00677204">
        <w:rPr>
          <w:rFonts w:ascii="Times New Roman" w:eastAsia="Calibri" w:hAnsi="Times New Roman" w:cs="Times New Roman"/>
          <w:szCs w:val="24"/>
        </w:rPr>
        <w:t>anie drugie</w:t>
      </w:r>
      <w:r w:rsidR="00827416" w:rsidRPr="00677204">
        <w:rPr>
          <w:rFonts w:ascii="Times New Roman" w:eastAsia="Calibri" w:hAnsi="Times New Roman" w:cs="Times New Roman"/>
          <w:szCs w:val="24"/>
        </w:rPr>
        <w:t>.</w:t>
      </w:r>
      <w:r w:rsidR="00BF1A9D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B647E9" w:rsidRPr="00677204">
        <w:rPr>
          <w:rFonts w:ascii="Times New Roman" w:eastAsia="Calibri" w:hAnsi="Times New Roman" w:cs="Times New Roman"/>
          <w:szCs w:val="24"/>
        </w:rPr>
        <w:t>U</w:t>
      </w:r>
      <w:r w:rsidR="004E14D2" w:rsidRPr="00677204">
        <w:rPr>
          <w:rFonts w:ascii="Times New Roman" w:eastAsia="Calibri" w:hAnsi="Times New Roman" w:cs="Times New Roman"/>
          <w:szCs w:val="24"/>
        </w:rPr>
        <w:t xml:space="preserve">stawowe nałożenie zakazu pobierania opłat za prowadzenie </w:t>
      </w:r>
      <w:r w:rsidR="003D48CC" w:rsidRPr="00677204">
        <w:rPr>
          <w:rFonts w:ascii="Times New Roman" w:eastAsia="Calibri" w:hAnsi="Times New Roman" w:cs="Times New Roman"/>
          <w:szCs w:val="24"/>
        </w:rPr>
        <w:t xml:space="preserve">podstawowego </w:t>
      </w:r>
      <w:r w:rsidR="004E14D2" w:rsidRPr="00677204">
        <w:rPr>
          <w:rFonts w:ascii="Times New Roman" w:eastAsia="Calibri" w:hAnsi="Times New Roman" w:cs="Times New Roman"/>
          <w:szCs w:val="24"/>
        </w:rPr>
        <w:t>rachunku p</w:t>
      </w:r>
      <w:r w:rsidR="003D48CC" w:rsidRPr="00677204">
        <w:rPr>
          <w:rFonts w:ascii="Times New Roman" w:eastAsia="Calibri" w:hAnsi="Times New Roman" w:cs="Times New Roman"/>
          <w:szCs w:val="24"/>
        </w:rPr>
        <w:t>łatniczego</w:t>
      </w:r>
      <w:r w:rsidR="004E14D2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B647E9" w:rsidRPr="00677204">
        <w:rPr>
          <w:rFonts w:ascii="Times New Roman" w:eastAsia="Calibri" w:hAnsi="Times New Roman" w:cs="Times New Roman"/>
          <w:szCs w:val="24"/>
        </w:rPr>
        <w:t xml:space="preserve">i </w:t>
      </w:r>
      <w:r w:rsidR="000D501D" w:rsidRPr="00677204">
        <w:rPr>
          <w:rFonts w:ascii="Times New Roman" w:eastAsia="Calibri" w:hAnsi="Times New Roman" w:cs="Times New Roman"/>
          <w:szCs w:val="24"/>
        </w:rPr>
        <w:t>usługi</w:t>
      </w:r>
      <w:r w:rsidR="004E14D2" w:rsidRPr="00677204">
        <w:rPr>
          <w:rFonts w:ascii="Times New Roman" w:eastAsia="Calibri" w:hAnsi="Times New Roman" w:cs="Times New Roman"/>
          <w:szCs w:val="24"/>
        </w:rPr>
        <w:t xml:space="preserve"> z nim powiązan</w:t>
      </w:r>
      <w:r w:rsidR="000D501D" w:rsidRPr="00677204">
        <w:rPr>
          <w:rFonts w:ascii="Times New Roman" w:eastAsia="Calibri" w:hAnsi="Times New Roman" w:cs="Times New Roman"/>
          <w:szCs w:val="24"/>
        </w:rPr>
        <w:t>e</w:t>
      </w:r>
      <w:r w:rsidR="004E14D2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5654F6" w:rsidRPr="00677204">
        <w:rPr>
          <w:rFonts w:ascii="Times New Roman" w:eastAsia="Calibri" w:hAnsi="Times New Roman" w:cs="Times New Roman"/>
          <w:szCs w:val="24"/>
        </w:rPr>
        <w:t xml:space="preserve">do pewnego limitu transakcji </w:t>
      </w:r>
      <w:r w:rsidR="004E14D2" w:rsidRPr="00677204">
        <w:rPr>
          <w:rFonts w:ascii="Times New Roman" w:eastAsia="Calibri" w:hAnsi="Times New Roman" w:cs="Times New Roman"/>
          <w:szCs w:val="24"/>
        </w:rPr>
        <w:t>jest konieczne</w:t>
      </w:r>
      <w:r w:rsidR="00B647E9" w:rsidRPr="00677204">
        <w:rPr>
          <w:rFonts w:ascii="Times New Roman" w:eastAsia="Calibri" w:hAnsi="Times New Roman" w:cs="Times New Roman"/>
          <w:szCs w:val="24"/>
        </w:rPr>
        <w:t xml:space="preserve">, </w:t>
      </w:r>
      <w:r w:rsidR="005654F6" w:rsidRPr="00677204">
        <w:rPr>
          <w:rFonts w:ascii="Times New Roman" w:eastAsia="Calibri" w:hAnsi="Times New Roman" w:cs="Times New Roman"/>
          <w:szCs w:val="24"/>
        </w:rPr>
        <w:t>aby zachęcić</w:t>
      </w:r>
      <w:r w:rsidR="004E14D2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5654F6" w:rsidRPr="00677204">
        <w:rPr>
          <w:rFonts w:ascii="Times New Roman" w:eastAsia="Calibri" w:hAnsi="Times New Roman" w:cs="Times New Roman"/>
          <w:szCs w:val="24"/>
        </w:rPr>
        <w:t xml:space="preserve">osoby </w:t>
      </w:r>
      <w:r w:rsidR="004E14D2" w:rsidRPr="00677204">
        <w:rPr>
          <w:rFonts w:ascii="Times New Roman" w:eastAsia="Calibri" w:hAnsi="Times New Roman" w:cs="Times New Roman"/>
          <w:szCs w:val="24"/>
        </w:rPr>
        <w:t xml:space="preserve">najbardziej </w:t>
      </w:r>
      <w:r w:rsidR="005654F6" w:rsidRPr="00677204">
        <w:rPr>
          <w:rFonts w:ascii="Times New Roman" w:eastAsia="Calibri" w:hAnsi="Times New Roman" w:cs="Times New Roman"/>
          <w:szCs w:val="24"/>
        </w:rPr>
        <w:t xml:space="preserve">narażone </w:t>
      </w:r>
      <w:r w:rsidR="004E14D2" w:rsidRPr="00677204">
        <w:rPr>
          <w:rFonts w:ascii="Times New Roman" w:eastAsia="Calibri" w:hAnsi="Times New Roman" w:cs="Times New Roman"/>
          <w:szCs w:val="24"/>
        </w:rPr>
        <w:t>na wykluczenie finansowe</w:t>
      </w:r>
      <w:r w:rsidR="000D501D" w:rsidRPr="00677204">
        <w:rPr>
          <w:rFonts w:ascii="Times New Roman" w:eastAsia="Calibri" w:hAnsi="Times New Roman" w:cs="Times New Roman"/>
          <w:szCs w:val="24"/>
        </w:rPr>
        <w:t xml:space="preserve"> do skorzystania z usług finansowych</w:t>
      </w:r>
      <w:r w:rsidR="004E14D2" w:rsidRPr="00677204">
        <w:rPr>
          <w:rFonts w:ascii="Times New Roman" w:eastAsia="Calibri" w:hAnsi="Times New Roman" w:cs="Times New Roman"/>
          <w:szCs w:val="24"/>
        </w:rPr>
        <w:t>. Ponadto limit 1</w:t>
      </w:r>
      <w:r w:rsidR="002D7407" w:rsidRPr="00677204">
        <w:rPr>
          <w:rFonts w:ascii="Times New Roman" w:eastAsia="Calibri" w:hAnsi="Times New Roman" w:cs="Times New Roman"/>
          <w:szCs w:val="24"/>
        </w:rPr>
        <w:t>5</w:t>
      </w:r>
      <w:r w:rsidR="004E14D2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B647E9" w:rsidRPr="00677204">
        <w:rPr>
          <w:rFonts w:ascii="Times New Roman" w:eastAsia="Calibri" w:hAnsi="Times New Roman" w:cs="Times New Roman"/>
          <w:szCs w:val="24"/>
        </w:rPr>
        <w:t xml:space="preserve">bezpłatnych </w:t>
      </w:r>
      <w:r w:rsidR="004E14D2" w:rsidRPr="00677204">
        <w:rPr>
          <w:rFonts w:ascii="Times New Roman" w:eastAsia="Calibri" w:hAnsi="Times New Roman" w:cs="Times New Roman"/>
          <w:szCs w:val="24"/>
        </w:rPr>
        <w:t xml:space="preserve">poleceń przelewów </w:t>
      </w:r>
      <w:r w:rsidR="00827416" w:rsidRPr="00677204">
        <w:rPr>
          <w:rFonts w:ascii="Times New Roman" w:eastAsia="Calibri" w:hAnsi="Times New Roman" w:cs="Times New Roman"/>
          <w:szCs w:val="24"/>
        </w:rPr>
        <w:t xml:space="preserve">wydaje się </w:t>
      </w:r>
      <w:r w:rsidR="00B647E9" w:rsidRPr="00677204">
        <w:rPr>
          <w:rFonts w:ascii="Times New Roman" w:eastAsia="Calibri" w:hAnsi="Times New Roman" w:cs="Times New Roman"/>
          <w:szCs w:val="24"/>
        </w:rPr>
        <w:t xml:space="preserve">odpowiedni </w:t>
      </w:r>
      <w:r w:rsidR="00827416" w:rsidRPr="00677204">
        <w:rPr>
          <w:rFonts w:ascii="Times New Roman" w:eastAsia="Calibri" w:hAnsi="Times New Roman" w:cs="Times New Roman"/>
          <w:szCs w:val="24"/>
        </w:rPr>
        <w:t>do zarządzania domowymi finansami</w:t>
      </w:r>
      <w:r w:rsidR="00B647E9" w:rsidRPr="00677204">
        <w:rPr>
          <w:rFonts w:ascii="Times New Roman" w:eastAsia="Calibri" w:hAnsi="Times New Roman" w:cs="Times New Roman"/>
          <w:szCs w:val="24"/>
        </w:rPr>
        <w:t xml:space="preserve">, </w:t>
      </w:r>
      <w:r w:rsidR="00827416" w:rsidRPr="00677204">
        <w:rPr>
          <w:rFonts w:ascii="Times New Roman" w:eastAsia="Calibri" w:hAnsi="Times New Roman" w:cs="Times New Roman"/>
          <w:szCs w:val="24"/>
        </w:rPr>
        <w:t>np. w zakresie regulowania podstawowych zobowiązań związanych z funkcjonowaniem gospodarstwa domowego (czynsz, energia elektryczna</w:t>
      </w:r>
      <w:r w:rsidR="00A709A0" w:rsidRPr="00677204">
        <w:rPr>
          <w:rFonts w:ascii="Times New Roman" w:eastAsia="Calibri" w:hAnsi="Times New Roman" w:cs="Times New Roman"/>
          <w:szCs w:val="24"/>
        </w:rPr>
        <w:t xml:space="preserve"> czy usługi telekomunikacyjne).</w:t>
      </w:r>
    </w:p>
    <w:p w14:paraId="3C7B13D8" w14:textId="77777777" w:rsidR="00C35DC2" w:rsidRPr="00677204" w:rsidRDefault="00A709A0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Zgodnie z art. 59ie ust. </w:t>
      </w:r>
      <w:r w:rsidR="00EC6EB9" w:rsidRPr="00677204">
        <w:rPr>
          <w:rFonts w:ascii="Times New Roman" w:eastAsia="Calibri" w:hAnsi="Times New Roman" w:cs="Times New Roman"/>
          <w:szCs w:val="24"/>
        </w:rPr>
        <w:t>5</w:t>
      </w:r>
      <w:r w:rsidR="00B647E9" w:rsidRPr="00677204">
        <w:rPr>
          <w:rFonts w:ascii="Times New Roman" w:eastAsia="Calibri" w:hAnsi="Times New Roman" w:cs="Times New Roman"/>
          <w:szCs w:val="24"/>
        </w:rPr>
        <w:t xml:space="preserve">, </w:t>
      </w:r>
      <w:r w:rsidRPr="00677204">
        <w:rPr>
          <w:rFonts w:ascii="Times New Roman" w:eastAsia="Calibri" w:hAnsi="Times New Roman" w:cs="Times New Roman"/>
          <w:szCs w:val="24"/>
        </w:rPr>
        <w:t>dostawca zapewni konsumentom możliwość wykonywania operacji w swoich placówkach</w:t>
      </w:r>
      <w:r w:rsidR="00B647E9" w:rsidRPr="00677204">
        <w:rPr>
          <w:rFonts w:ascii="Times New Roman" w:eastAsia="Calibri" w:hAnsi="Times New Roman" w:cs="Times New Roman"/>
          <w:szCs w:val="24"/>
        </w:rPr>
        <w:t xml:space="preserve"> </w:t>
      </w:r>
      <w:r w:rsidRPr="00677204">
        <w:rPr>
          <w:rFonts w:ascii="Times New Roman" w:eastAsia="Calibri" w:hAnsi="Times New Roman" w:cs="Times New Roman"/>
          <w:szCs w:val="24"/>
        </w:rPr>
        <w:t xml:space="preserve">oraz za pośrednictwem elektronicznego dostępu do rachunku. Na podstawie </w:t>
      </w:r>
      <w:r w:rsidR="00B647E9" w:rsidRPr="00677204">
        <w:rPr>
          <w:rFonts w:ascii="Times New Roman" w:eastAsia="Calibri" w:hAnsi="Times New Roman" w:cs="Times New Roman"/>
          <w:szCs w:val="24"/>
        </w:rPr>
        <w:t xml:space="preserve">zdania drugiego ust. </w:t>
      </w:r>
      <w:r w:rsidR="00EC6EB9" w:rsidRPr="00677204">
        <w:rPr>
          <w:rFonts w:ascii="Times New Roman" w:eastAsia="Calibri" w:hAnsi="Times New Roman" w:cs="Times New Roman"/>
          <w:szCs w:val="24"/>
        </w:rPr>
        <w:t>5</w:t>
      </w:r>
      <w:r w:rsidR="00B647E9" w:rsidRPr="00677204">
        <w:rPr>
          <w:rFonts w:ascii="Times New Roman" w:eastAsia="Calibri" w:hAnsi="Times New Roman" w:cs="Times New Roman"/>
          <w:szCs w:val="24"/>
        </w:rPr>
        <w:t xml:space="preserve">, </w:t>
      </w:r>
      <w:r w:rsidRPr="00677204">
        <w:rPr>
          <w:rFonts w:ascii="Times New Roman" w:eastAsia="Calibri" w:hAnsi="Times New Roman" w:cs="Times New Roman"/>
          <w:szCs w:val="24"/>
        </w:rPr>
        <w:t xml:space="preserve">dostawca, który świadczy usługi </w:t>
      </w:r>
      <w:r w:rsidRPr="00677204">
        <w:rPr>
          <w:rFonts w:ascii="Times New Roman" w:eastAsia="Calibri" w:hAnsi="Times New Roman" w:cs="Times New Roman"/>
          <w:szCs w:val="24"/>
        </w:rPr>
        <w:lastRenderedPageBreak/>
        <w:t>rachunku płatniczego wyłącznie za pośrednictwem środków elektronicznego dostępu</w:t>
      </w:r>
      <w:r w:rsidR="00B647E9" w:rsidRPr="00677204">
        <w:rPr>
          <w:rFonts w:ascii="Times New Roman" w:eastAsia="Calibri" w:hAnsi="Times New Roman" w:cs="Times New Roman"/>
          <w:szCs w:val="24"/>
        </w:rPr>
        <w:t xml:space="preserve">, </w:t>
      </w:r>
      <w:r w:rsidRPr="00677204">
        <w:rPr>
          <w:rFonts w:ascii="Times New Roman" w:eastAsia="Calibri" w:hAnsi="Times New Roman" w:cs="Times New Roman"/>
          <w:szCs w:val="24"/>
        </w:rPr>
        <w:t xml:space="preserve">nie </w:t>
      </w:r>
      <w:r w:rsidR="00B647E9" w:rsidRPr="00677204">
        <w:rPr>
          <w:rFonts w:ascii="Times New Roman" w:eastAsia="Calibri" w:hAnsi="Times New Roman" w:cs="Times New Roman"/>
          <w:szCs w:val="24"/>
        </w:rPr>
        <w:t xml:space="preserve">będzie zobowiązany do </w:t>
      </w:r>
      <w:r w:rsidRPr="00677204">
        <w:rPr>
          <w:rFonts w:ascii="Times New Roman" w:eastAsia="Calibri" w:hAnsi="Times New Roman" w:cs="Times New Roman"/>
          <w:szCs w:val="24"/>
        </w:rPr>
        <w:t>poszerz</w:t>
      </w:r>
      <w:r w:rsidR="00B647E9" w:rsidRPr="00677204">
        <w:rPr>
          <w:rFonts w:ascii="Times New Roman" w:eastAsia="Calibri" w:hAnsi="Times New Roman" w:cs="Times New Roman"/>
          <w:szCs w:val="24"/>
        </w:rPr>
        <w:t xml:space="preserve">enia </w:t>
      </w:r>
      <w:r w:rsidRPr="00677204">
        <w:rPr>
          <w:rFonts w:ascii="Times New Roman" w:eastAsia="Calibri" w:hAnsi="Times New Roman" w:cs="Times New Roman"/>
          <w:szCs w:val="24"/>
        </w:rPr>
        <w:t xml:space="preserve">profilu swojej działalności </w:t>
      </w:r>
      <w:r w:rsidR="00BF1A9D" w:rsidRPr="00677204">
        <w:rPr>
          <w:rFonts w:ascii="Times New Roman" w:eastAsia="Calibri" w:hAnsi="Times New Roman" w:cs="Times New Roman"/>
          <w:szCs w:val="24"/>
        </w:rPr>
        <w:t xml:space="preserve">o </w:t>
      </w:r>
      <w:r w:rsidR="00B214E2" w:rsidRPr="00677204">
        <w:rPr>
          <w:rFonts w:ascii="Times New Roman" w:eastAsia="Calibri" w:hAnsi="Times New Roman" w:cs="Times New Roman"/>
          <w:szCs w:val="24"/>
        </w:rPr>
        <w:t>świadczenie usług w placówkach.</w:t>
      </w:r>
    </w:p>
    <w:p w14:paraId="03D08EC1" w14:textId="4500695C" w:rsidR="00123B4D" w:rsidRPr="00677204" w:rsidRDefault="00B647E9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>Przepis a</w:t>
      </w:r>
      <w:r w:rsidR="00BF1A9D" w:rsidRPr="00677204">
        <w:rPr>
          <w:rFonts w:ascii="Times New Roman" w:eastAsia="Calibri" w:hAnsi="Times New Roman" w:cs="Times New Roman"/>
          <w:szCs w:val="24"/>
        </w:rPr>
        <w:t xml:space="preserve">rt. 59if </w:t>
      </w:r>
      <w:r w:rsidR="00187976" w:rsidRPr="00677204">
        <w:rPr>
          <w:rFonts w:ascii="Times New Roman" w:eastAsia="Calibri" w:hAnsi="Times New Roman" w:cs="Times New Roman"/>
          <w:szCs w:val="24"/>
        </w:rPr>
        <w:t>ust. 2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zawiera przesłanki umożliwiające rozwiązanie umowy</w:t>
      </w:r>
      <w:r w:rsidR="003D48CC" w:rsidRPr="00677204">
        <w:rPr>
          <w:rFonts w:ascii="Times New Roman" w:eastAsia="Calibri" w:hAnsi="Times New Roman" w:cs="Times New Roman"/>
          <w:szCs w:val="24"/>
        </w:rPr>
        <w:t xml:space="preserve"> podstawowego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rachu</w:t>
      </w:r>
      <w:r w:rsidR="000E0BC3" w:rsidRPr="00677204">
        <w:rPr>
          <w:rFonts w:ascii="Times New Roman" w:eastAsia="Calibri" w:hAnsi="Times New Roman" w:cs="Times New Roman"/>
          <w:szCs w:val="24"/>
        </w:rPr>
        <w:t>nku p</w:t>
      </w:r>
      <w:r w:rsidR="003D48CC" w:rsidRPr="00677204">
        <w:rPr>
          <w:rFonts w:ascii="Times New Roman" w:eastAsia="Calibri" w:hAnsi="Times New Roman" w:cs="Times New Roman"/>
          <w:szCs w:val="24"/>
        </w:rPr>
        <w:t>łatniczego</w:t>
      </w:r>
      <w:r w:rsidR="000E0BC3" w:rsidRPr="00677204">
        <w:rPr>
          <w:rFonts w:ascii="Times New Roman" w:eastAsia="Calibri" w:hAnsi="Times New Roman" w:cs="Times New Roman"/>
          <w:szCs w:val="24"/>
        </w:rPr>
        <w:t xml:space="preserve"> przez dostawcę. </w:t>
      </w:r>
      <w:r w:rsidR="00587D94" w:rsidRPr="00677204">
        <w:rPr>
          <w:rFonts w:ascii="Times New Roman" w:eastAsia="Calibri" w:hAnsi="Times New Roman" w:cs="Times New Roman"/>
          <w:szCs w:val="24"/>
        </w:rPr>
        <w:t>W stosunku do przesłanek wymaganych dyrektywą przepis przewiduje dodatkowe przesłanki, tj.:</w:t>
      </w:r>
      <w:r w:rsidR="00123B4D" w:rsidRPr="00677204">
        <w:rPr>
          <w:rFonts w:ascii="Times New Roman" w:eastAsiaTheme="minorEastAsia" w:hAnsi="Times New Roman" w:cs="Times New Roman"/>
          <w:bCs w:val="0"/>
          <w:szCs w:val="24"/>
        </w:rPr>
        <w:t xml:space="preserve"> wykorzystanie rachunku, nie tylko w sposób umyślny</w:t>
      </w:r>
      <w:r w:rsidR="00737E9D">
        <w:rPr>
          <w:rFonts w:ascii="Times New Roman" w:eastAsiaTheme="minorEastAsia" w:hAnsi="Times New Roman" w:cs="Times New Roman"/>
          <w:bCs w:val="0"/>
          <w:szCs w:val="24"/>
        </w:rPr>
        <w:t>,</w:t>
      </w:r>
      <w:r w:rsidR="00123B4D" w:rsidRPr="00677204">
        <w:rPr>
          <w:rFonts w:ascii="Times New Roman" w:eastAsiaTheme="minorEastAsia" w:hAnsi="Times New Roman" w:cs="Times New Roman"/>
          <w:bCs w:val="0"/>
          <w:szCs w:val="24"/>
        </w:rPr>
        <w:t xml:space="preserve"> ale również </w:t>
      </w:r>
      <w:r w:rsidR="00123B4D" w:rsidRPr="00677204">
        <w:rPr>
          <w:rFonts w:ascii="Times New Roman" w:eastAsia="Calibri" w:hAnsi="Times New Roman" w:cs="Times New Roman"/>
          <w:szCs w:val="24"/>
        </w:rPr>
        <w:t>w wyniku rażącego niedbalstwa, do celów niezgodnych z prawem</w:t>
      </w:r>
      <w:r w:rsidR="00587D94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2549F6" w:rsidRPr="00677204">
        <w:rPr>
          <w:rFonts w:ascii="Times New Roman" w:eastAsia="Calibri" w:hAnsi="Times New Roman" w:cs="Times New Roman"/>
          <w:szCs w:val="24"/>
        </w:rPr>
        <w:t>(pkt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123B4D" w:rsidRPr="00677204">
        <w:rPr>
          <w:rFonts w:ascii="Times New Roman" w:eastAsia="Calibri" w:hAnsi="Times New Roman" w:cs="Times New Roman"/>
          <w:szCs w:val="24"/>
        </w:rPr>
        <w:t xml:space="preserve">1), uprawdopodobnione podejrzenie, że środki zgromadzone na rachunku pochodzą lub mają związek z działalnością </w:t>
      </w:r>
      <w:r w:rsidR="00996A10" w:rsidRPr="00677204">
        <w:rPr>
          <w:rFonts w:ascii="Times New Roman" w:eastAsia="Calibri" w:hAnsi="Times New Roman" w:cs="Times New Roman"/>
          <w:szCs w:val="24"/>
        </w:rPr>
        <w:t>przestępczą</w:t>
      </w:r>
      <w:r w:rsidR="00737E9D">
        <w:rPr>
          <w:rFonts w:ascii="Times New Roman" w:eastAsia="Calibri" w:hAnsi="Times New Roman" w:cs="Times New Roman"/>
          <w:szCs w:val="24"/>
        </w:rPr>
        <w:t xml:space="preserve"> (pkt </w:t>
      </w:r>
      <w:r w:rsidR="001E726A" w:rsidRPr="00677204">
        <w:rPr>
          <w:rFonts w:ascii="Times New Roman" w:eastAsia="Calibri" w:hAnsi="Times New Roman" w:cs="Times New Roman"/>
          <w:szCs w:val="24"/>
        </w:rPr>
        <w:t xml:space="preserve">2). </w:t>
      </w:r>
      <w:r w:rsidR="00123B4D" w:rsidRPr="00677204">
        <w:rPr>
          <w:rFonts w:ascii="Times New Roman" w:eastAsia="Calibri" w:hAnsi="Times New Roman" w:cs="Times New Roman"/>
          <w:szCs w:val="24"/>
        </w:rPr>
        <w:t xml:space="preserve">Możliwość </w:t>
      </w:r>
      <w:r w:rsidR="004E62CD" w:rsidRPr="00677204">
        <w:rPr>
          <w:rFonts w:ascii="Times New Roman" w:eastAsia="Calibri" w:hAnsi="Times New Roman" w:cs="Times New Roman"/>
          <w:szCs w:val="24"/>
        </w:rPr>
        <w:t>poszerzenia katalogu przesłanek</w:t>
      </w:r>
      <w:r w:rsidR="00123B4D" w:rsidRPr="00677204">
        <w:rPr>
          <w:rFonts w:ascii="Times New Roman" w:eastAsia="Calibri" w:hAnsi="Times New Roman" w:cs="Times New Roman"/>
          <w:szCs w:val="24"/>
        </w:rPr>
        <w:t xml:space="preserve"> daje art. 19 ust. 3 dyrektywy 2014/92/UE.</w:t>
      </w:r>
      <w:r w:rsidR="006B4370" w:rsidRPr="00677204">
        <w:rPr>
          <w:rFonts w:ascii="Times New Roman" w:eastAsia="Calibri" w:hAnsi="Times New Roman" w:cs="Times New Roman"/>
          <w:szCs w:val="24"/>
        </w:rPr>
        <w:t xml:space="preserve"> Jeśli chodzi o</w:t>
      </w:r>
      <w:r w:rsidR="002549F6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6B4370" w:rsidRPr="00677204">
        <w:rPr>
          <w:rFonts w:ascii="Times New Roman" w:eastAsia="Calibri" w:hAnsi="Times New Roman" w:cs="Times New Roman"/>
          <w:szCs w:val="24"/>
        </w:rPr>
        <w:t>wykorzystanie rachunku do celów niezgodnych z prawem uznano, że nie tylko umyślność</w:t>
      </w:r>
      <w:r w:rsidR="00737E9D">
        <w:rPr>
          <w:rFonts w:ascii="Times New Roman" w:eastAsia="Calibri" w:hAnsi="Times New Roman" w:cs="Times New Roman"/>
          <w:szCs w:val="24"/>
        </w:rPr>
        <w:t>,</w:t>
      </w:r>
      <w:r w:rsidR="006B4370" w:rsidRPr="00677204">
        <w:rPr>
          <w:rFonts w:ascii="Times New Roman" w:eastAsia="Calibri" w:hAnsi="Times New Roman" w:cs="Times New Roman"/>
          <w:szCs w:val="24"/>
        </w:rPr>
        <w:t xml:space="preserve"> ale i rażące niedbalstwo, jako przypadek niezachowania podstawowych zasad staranności, </w:t>
      </w:r>
      <w:r w:rsidR="00737E9D" w:rsidRPr="00677204">
        <w:rPr>
          <w:rFonts w:ascii="Times New Roman" w:eastAsia="Calibri" w:hAnsi="Times New Roman" w:cs="Times New Roman"/>
          <w:szCs w:val="24"/>
        </w:rPr>
        <w:t xml:space="preserve">powinien </w:t>
      </w:r>
      <w:r w:rsidR="004E62CD" w:rsidRPr="00677204">
        <w:rPr>
          <w:rFonts w:ascii="Times New Roman" w:eastAsia="Calibri" w:hAnsi="Times New Roman" w:cs="Times New Roman"/>
          <w:szCs w:val="24"/>
        </w:rPr>
        <w:t xml:space="preserve">skutkować możliwością </w:t>
      </w:r>
      <w:r w:rsidR="006B4370" w:rsidRPr="00677204">
        <w:rPr>
          <w:rFonts w:ascii="Times New Roman" w:eastAsia="Calibri" w:hAnsi="Times New Roman" w:cs="Times New Roman"/>
          <w:szCs w:val="24"/>
        </w:rPr>
        <w:t>sankcj</w:t>
      </w:r>
      <w:r w:rsidR="004E62CD" w:rsidRPr="00677204">
        <w:rPr>
          <w:rFonts w:ascii="Times New Roman" w:eastAsia="Calibri" w:hAnsi="Times New Roman" w:cs="Times New Roman"/>
          <w:szCs w:val="24"/>
        </w:rPr>
        <w:t>i w postaci</w:t>
      </w:r>
      <w:r w:rsidR="006B4370" w:rsidRPr="00677204">
        <w:rPr>
          <w:rFonts w:ascii="Times New Roman" w:eastAsia="Calibri" w:hAnsi="Times New Roman" w:cs="Times New Roman"/>
          <w:szCs w:val="24"/>
        </w:rPr>
        <w:t xml:space="preserve"> rozwiązania umowy rachunku podstawowego.</w:t>
      </w:r>
      <w:r w:rsidR="00805489">
        <w:rPr>
          <w:rFonts w:ascii="Times New Roman" w:eastAsia="Calibri" w:hAnsi="Times New Roman" w:cs="Times New Roman"/>
          <w:szCs w:val="24"/>
        </w:rPr>
        <w:t xml:space="preserve"> Forma zamiaru w </w:t>
      </w:r>
      <w:r w:rsidR="004E62CD" w:rsidRPr="00677204">
        <w:rPr>
          <w:rFonts w:ascii="Times New Roman" w:eastAsia="Calibri" w:hAnsi="Times New Roman" w:cs="Times New Roman"/>
          <w:szCs w:val="24"/>
        </w:rPr>
        <w:t>postaci rażącego niedbalstwa jest bliska formie zamiaru w</w:t>
      </w:r>
      <w:r w:rsidR="002549F6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4E62CD" w:rsidRPr="00677204">
        <w:rPr>
          <w:rFonts w:ascii="Times New Roman" w:eastAsia="Calibri" w:hAnsi="Times New Roman" w:cs="Times New Roman"/>
          <w:szCs w:val="24"/>
        </w:rPr>
        <w:t>postaci umyślności.</w:t>
      </w:r>
    </w:p>
    <w:p w14:paraId="73013789" w14:textId="40DFC5B3" w:rsidR="00DA13F2" w:rsidRPr="00677204" w:rsidRDefault="00BF1A9D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>P</w:t>
      </w:r>
      <w:r w:rsidR="000E0BC3" w:rsidRPr="00677204">
        <w:rPr>
          <w:rFonts w:ascii="Times New Roman" w:eastAsia="Calibri" w:hAnsi="Times New Roman" w:cs="Times New Roman"/>
          <w:szCs w:val="24"/>
        </w:rPr>
        <w:t xml:space="preserve">rzewidziano </w:t>
      </w:r>
      <w:r w:rsidR="00B42704" w:rsidRPr="00677204">
        <w:rPr>
          <w:rFonts w:ascii="Times New Roman" w:eastAsia="Calibri" w:hAnsi="Times New Roman" w:cs="Times New Roman"/>
          <w:szCs w:val="24"/>
        </w:rPr>
        <w:t xml:space="preserve">również </w:t>
      </w:r>
      <w:r w:rsidR="000E0BC3" w:rsidRPr="00677204">
        <w:rPr>
          <w:rFonts w:ascii="Times New Roman" w:eastAsia="Calibri" w:hAnsi="Times New Roman" w:cs="Times New Roman"/>
          <w:szCs w:val="24"/>
        </w:rPr>
        <w:t>sytuacje, w których to dostawca może rozwiązać umowę bez zachowania terminu wypowiedzenia</w:t>
      </w:r>
      <w:r w:rsidR="00537FB3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0E0BC3" w:rsidRPr="00677204">
        <w:rPr>
          <w:rFonts w:ascii="Times New Roman" w:eastAsia="Calibri" w:hAnsi="Times New Roman" w:cs="Times New Roman"/>
          <w:szCs w:val="24"/>
        </w:rPr>
        <w:t xml:space="preserve">(ust. </w:t>
      </w:r>
      <w:r w:rsidR="002D7407" w:rsidRPr="00677204">
        <w:rPr>
          <w:rFonts w:ascii="Times New Roman" w:eastAsia="Calibri" w:hAnsi="Times New Roman" w:cs="Times New Roman"/>
          <w:szCs w:val="24"/>
        </w:rPr>
        <w:t>5</w:t>
      </w:r>
      <w:r w:rsidR="000E0BC3" w:rsidRPr="00677204">
        <w:rPr>
          <w:rFonts w:ascii="Times New Roman" w:eastAsia="Calibri" w:hAnsi="Times New Roman" w:cs="Times New Roman"/>
          <w:szCs w:val="24"/>
        </w:rPr>
        <w:t>).</w:t>
      </w:r>
    </w:p>
    <w:p w14:paraId="10BC702B" w14:textId="2159DD61" w:rsidR="00D056A2" w:rsidRPr="00677204" w:rsidRDefault="001D0FB1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KNF będzie zamieszczał na swojej </w:t>
      </w:r>
      <w:r w:rsidR="00537FB3" w:rsidRPr="00677204">
        <w:rPr>
          <w:rFonts w:ascii="Times New Roman" w:eastAsia="Calibri" w:hAnsi="Times New Roman" w:cs="Times New Roman"/>
          <w:szCs w:val="24"/>
        </w:rPr>
        <w:t>s</w:t>
      </w:r>
      <w:r w:rsidRPr="00677204">
        <w:rPr>
          <w:rFonts w:ascii="Times New Roman" w:eastAsia="Calibri" w:hAnsi="Times New Roman" w:cs="Times New Roman"/>
          <w:szCs w:val="24"/>
        </w:rPr>
        <w:t xml:space="preserve">tronie internetowej informacje dotyczące zasad dostępu do </w:t>
      </w:r>
      <w:r w:rsidR="003D48CC" w:rsidRPr="00677204">
        <w:rPr>
          <w:rFonts w:ascii="Times New Roman" w:eastAsia="Calibri" w:hAnsi="Times New Roman" w:cs="Times New Roman"/>
          <w:szCs w:val="24"/>
        </w:rPr>
        <w:t xml:space="preserve">podstawowego </w:t>
      </w:r>
      <w:r w:rsidRPr="00677204">
        <w:rPr>
          <w:rFonts w:ascii="Times New Roman" w:eastAsia="Calibri" w:hAnsi="Times New Roman" w:cs="Times New Roman"/>
          <w:szCs w:val="24"/>
        </w:rPr>
        <w:t>rachunku p</w:t>
      </w:r>
      <w:r w:rsidR="003D48CC" w:rsidRPr="00677204">
        <w:rPr>
          <w:rFonts w:ascii="Times New Roman" w:eastAsia="Calibri" w:hAnsi="Times New Roman" w:cs="Times New Roman"/>
          <w:szCs w:val="24"/>
        </w:rPr>
        <w:t>łatniczego</w:t>
      </w:r>
      <w:r w:rsidRPr="00677204">
        <w:rPr>
          <w:rFonts w:ascii="Times New Roman" w:eastAsia="Calibri" w:hAnsi="Times New Roman" w:cs="Times New Roman"/>
          <w:szCs w:val="24"/>
        </w:rPr>
        <w:t xml:space="preserve"> oraz informował Komisj</w:t>
      </w:r>
      <w:r w:rsidR="00EC6EB9" w:rsidRPr="00677204">
        <w:rPr>
          <w:rFonts w:ascii="Times New Roman" w:eastAsia="Calibri" w:hAnsi="Times New Roman" w:cs="Times New Roman"/>
          <w:szCs w:val="24"/>
        </w:rPr>
        <w:t>ę</w:t>
      </w:r>
      <w:r w:rsidRPr="00677204">
        <w:rPr>
          <w:rFonts w:ascii="Times New Roman" w:eastAsia="Calibri" w:hAnsi="Times New Roman" w:cs="Times New Roman"/>
          <w:szCs w:val="24"/>
        </w:rPr>
        <w:t xml:space="preserve"> Europejską o</w:t>
      </w:r>
      <w:r w:rsidR="002549F6" w:rsidRPr="00677204">
        <w:rPr>
          <w:rFonts w:ascii="Times New Roman" w:eastAsia="Calibri" w:hAnsi="Times New Roman" w:cs="Times New Roman"/>
          <w:szCs w:val="24"/>
        </w:rPr>
        <w:t xml:space="preserve"> </w:t>
      </w:r>
      <w:r w:rsidRPr="00677204">
        <w:rPr>
          <w:rFonts w:ascii="Times New Roman" w:eastAsia="Calibri" w:hAnsi="Times New Roman" w:cs="Times New Roman"/>
          <w:szCs w:val="24"/>
        </w:rPr>
        <w:t>liczbie dostawców świadcząc</w:t>
      </w:r>
      <w:r w:rsidR="00537FB3" w:rsidRPr="00677204">
        <w:rPr>
          <w:rFonts w:ascii="Times New Roman" w:eastAsia="Calibri" w:hAnsi="Times New Roman" w:cs="Times New Roman"/>
          <w:szCs w:val="24"/>
        </w:rPr>
        <w:t>ych</w:t>
      </w:r>
      <w:r w:rsidRPr="00677204">
        <w:rPr>
          <w:rFonts w:ascii="Times New Roman" w:eastAsia="Calibri" w:hAnsi="Times New Roman" w:cs="Times New Roman"/>
          <w:szCs w:val="24"/>
        </w:rPr>
        <w:t xml:space="preserve"> taką usługę (art.</w:t>
      </w:r>
      <w:r w:rsidR="00FA5743" w:rsidRPr="00677204">
        <w:rPr>
          <w:rFonts w:ascii="Times New Roman" w:eastAsia="Calibri" w:hAnsi="Times New Roman" w:cs="Times New Roman"/>
          <w:szCs w:val="24"/>
        </w:rPr>
        <w:t xml:space="preserve"> </w:t>
      </w:r>
      <w:r w:rsidRPr="00677204">
        <w:rPr>
          <w:rFonts w:ascii="Times New Roman" w:eastAsia="Calibri" w:hAnsi="Times New Roman" w:cs="Times New Roman"/>
          <w:szCs w:val="24"/>
        </w:rPr>
        <w:t>59ig).</w:t>
      </w:r>
      <w:r w:rsidR="00247610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EC6EB9" w:rsidRPr="00677204">
        <w:rPr>
          <w:rFonts w:ascii="Times New Roman" w:eastAsia="Calibri" w:hAnsi="Times New Roman" w:cs="Times New Roman"/>
          <w:szCs w:val="24"/>
        </w:rPr>
        <w:t xml:space="preserve">Przepis art. 59ig ust. 2 zobowiązuje także dostawców do przekazywania </w:t>
      </w:r>
      <w:r w:rsidR="000E6BBB" w:rsidRPr="00677204">
        <w:rPr>
          <w:rFonts w:ascii="Times New Roman" w:eastAsia="Calibri" w:hAnsi="Times New Roman" w:cs="Times New Roman"/>
          <w:szCs w:val="24"/>
        </w:rPr>
        <w:t xml:space="preserve">do KNF </w:t>
      </w:r>
      <w:r w:rsidR="00A57950">
        <w:rPr>
          <w:rFonts w:ascii="Times New Roman" w:eastAsia="Calibri" w:hAnsi="Times New Roman" w:cs="Times New Roman"/>
          <w:szCs w:val="24"/>
        </w:rPr>
        <w:t>stosownych informacji w </w:t>
      </w:r>
      <w:r w:rsidR="00EC6EB9" w:rsidRPr="00677204">
        <w:rPr>
          <w:rFonts w:ascii="Times New Roman" w:eastAsia="Calibri" w:hAnsi="Times New Roman" w:cs="Times New Roman"/>
          <w:szCs w:val="24"/>
        </w:rPr>
        <w:t xml:space="preserve">zakresie statystyk dotyczących </w:t>
      </w:r>
      <w:r w:rsidR="000E6BBB" w:rsidRPr="00677204">
        <w:rPr>
          <w:rFonts w:ascii="Times New Roman" w:eastAsia="Calibri" w:hAnsi="Times New Roman" w:cs="Times New Roman"/>
          <w:szCs w:val="24"/>
        </w:rPr>
        <w:t xml:space="preserve">świadczenia usługi </w:t>
      </w:r>
      <w:r w:rsidR="00EC6EB9" w:rsidRPr="00677204">
        <w:rPr>
          <w:rFonts w:ascii="Times New Roman" w:eastAsia="Calibri" w:hAnsi="Times New Roman" w:cs="Times New Roman"/>
          <w:szCs w:val="24"/>
        </w:rPr>
        <w:t>rachunku podstawowego.</w:t>
      </w:r>
    </w:p>
    <w:p w14:paraId="1C4664D3" w14:textId="30C645CC" w:rsidR="00B647E9" w:rsidRPr="00677204" w:rsidRDefault="001D0FB1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b/>
          <w:szCs w:val="24"/>
        </w:rPr>
        <w:t>Rozdział 8</w:t>
      </w:r>
      <w:r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FF7F1A" w:rsidRPr="00677204">
        <w:rPr>
          <w:rFonts w:ascii="Times New Roman" w:eastAsia="Calibri" w:hAnsi="Times New Roman" w:cs="Times New Roman"/>
          <w:szCs w:val="24"/>
        </w:rPr>
        <w:t>został zatytułowany „Przen</w:t>
      </w:r>
      <w:r w:rsidR="00B214E2" w:rsidRPr="00677204">
        <w:rPr>
          <w:rFonts w:ascii="Times New Roman" w:eastAsia="Calibri" w:hAnsi="Times New Roman" w:cs="Times New Roman"/>
          <w:szCs w:val="24"/>
        </w:rPr>
        <w:t>iesienie rachunku płatniczego”.</w:t>
      </w:r>
    </w:p>
    <w:p w14:paraId="5396AF91" w14:textId="425CA57D" w:rsidR="001A02D0" w:rsidRPr="00677204" w:rsidRDefault="00B647E9" w:rsidP="002549F6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>Przepisy a</w:t>
      </w:r>
      <w:r w:rsidR="00247610" w:rsidRPr="00677204">
        <w:rPr>
          <w:rFonts w:ascii="Times New Roman" w:eastAsia="Calibri" w:hAnsi="Times New Roman" w:cs="Times New Roman"/>
          <w:szCs w:val="24"/>
        </w:rPr>
        <w:t>rt. 59i</w:t>
      </w:r>
      <w:r w:rsidR="002D7407" w:rsidRPr="00677204">
        <w:rPr>
          <w:rFonts w:ascii="Times New Roman" w:eastAsia="Calibri" w:hAnsi="Times New Roman" w:cs="Times New Roman"/>
          <w:szCs w:val="24"/>
        </w:rPr>
        <w:t>h</w:t>
      </w:r>
      <w:r w:rsidR="00191490">
        <w:rPr>
          <w:rFonts w:ascii="Times New Roman" w:eastAsia="Calibri" w:hAnsi="Times New Roman" w:cs="Times New Roman"/>
          <w:szCs w:val="24"/>
        </w:rPr>
        <w:t>–</w:t>
      </w:r>
      <w:r w:rsidR="00247610" w:rsidRPr="00677204">
        <w:rPr>
          <w:rFonts w:ascii="Times New Roman" w:eastAsia="Calibri" w:hAnsi="Times New Roman" w:cs="Times New Roman"/>
          <w:szCs w:val="24"/>
        </w:rPr>
        <w:t>59i</w:t>
      </w:r>
      <w:r w:rsidR="002D7407" w:rsidRPr="00677204">
        <w:rPr>
          <w:rFonts w:ascii="Times New Roman" w:eastAsia="Calibri" w:hAnsi="Times New Roman" w:cs="Times New Roman"/>
          <w:szCs w:val="24"/>
        </w:rPr>
        <w:t>q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 dotyczą </w:t>
      </w:r>
      <w:r w:rsidR="00644C50" w:rsidRPr="00677204">
        <w:rPr>
          <w:rFonts w:ascii="Times New Roman" w:eastAsia="Calibri" w:hAnsi="Times New Roman" w:cs="Times New Roman"/>
          <w:szCs w:val="24"/>
        </w:rPr>
        <w:t xml:space="preserve">przesłanek, </w:t>
      </w:r>
      <w:r w:rsidR="00D056A2" w:rsidRPr="00677204">
        <w:rPr>
          <w:rFonts w:ascii="Times New Roman" w:eastAsia="Calibri" w:hAnsi="Times New Roman" w:cs="Times New Roman"/>
          <w:szCs w:val="24"/>
        </w:rPr>
        <w:t xml:space="preserve">sposobu i trybu 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przenoszenia rachunków płatniczych. </w:t>
      </w:r>
      <w:r w:rsidR="00A87CFF" w:rsidRPr="00677204">
        <w:rPr>
          <w:rFonts w:ascii="Times New Roman" w:eastAsia="Calibri" w:hAnsi="Times New Roman" w:cs="Times New Roman"/>
          <w:szCs w:val="24"/>
        </w:rPr>
        <w:t>Projektowany p</w:t>
      </w:r>
      <w:r w:rsidR="00CC55C2" w:rsidRPr="00677204">
        <w:rPr>
          <w:rFonts w:ascii="Times New Roman" w:hAnsi="Times New Roman" w:cs="Times New Roman"/>
          <w:szCs w:val="24"/>
        </w:rPr>
        <w:t xml:space="preserve">rzepis art. </w:t>
      </w:r>
      <w:r w:rsidR="00247610" w:rsidRPr="00677204">
        <w:rPr>
          <w:rFonts w:ascii="Times New Roman" w:hAnsi="Times New Roman" w:cs="Times New Roman"/>
          <w:szCs w:val="24"/>
        </w:rPr>
        <w:t>59i</w:t>
      </w:r>
      <w:r w:rsidR="002D7407" w:rsidRPr="00677204">
        <w:rPr>
          <w:rFonts w:ascii="Times New Roman" w:hAnsi="Times New Roman" w:cs="Times New Roman"/>
          <w:szCs w:val="24"/>
        </w:rPr>
        <w:t>h</w:t>
      </w:r>
      <w:r w:rsidR="00CC55C2" w:rsidRPr="00677204">
        <w:rPr>
          <w:rFonts w:ascii="Times New Roman" w:hAnsi="Times New Roman" w:cs="Times New Roman"/>
          <w:szCs w:val="24"/>
        </w:rPr>
        <w:t xml:space="preserve"> </w:t>
      </w:r>
      <w:r w:rsidRPr="00677204">
        <w:rPr>
          <w:rFonts w:ascii="Times New Roman" w:hAnsi="Times New Roman" w:cs="Times New Roman"/>
          <w:szCs w:val="24"/>
        </w:rPr>
        <w:t>stanowi</w:t>
      </w:r>
      <w:r w:rsidR="00CC55C2" w:rsidRPr="00677204">
        <w:rPr>
          <w:rFonts w:ascii="Times New Roman" w:hAnsi="Times New Roman" w:cs="Times New Roman"/>
          <w:szCs w:val="24"/>
        </w:rPr>
        <w:t>, że obowiązek stosowania przepisów w</w:t>
      </w:r>
      <w:r w:rsidR="006D4B38">
        <w:rPr>
          <w:rFonts w:ascii="Times New Roman" w:hAnsi="Times New Roman" w:cs="Times New Roman"/>
          <w:szCs w:val="24"/>
        </w:rPr>
        <w:t xml:space="preserve"> </w:t>
      </w:r>
      <w:r w:rsidR="00CC55C2" w:rsidRPr="00677204">
        <w:rPr>
          <w:rFonts w:ascii="Times New Roman" w:hAnsi="Times New Roman" w:cs="Times New Roman"/>
          <w:szCs w:val="24"/>
        </w:rPr>
        <w:t xml:space="preserve">zakresie przenoszenia rachunków płatniczych </w:t>
      </w:r>
      <w:r w:rsidR="00737E9D" w:rsidRPr="00677204">
        <w:rPr>
          <w:rFonts w:ascii="Times New Roman" w:hAnsi="Times New Roman" w:cs="Times New Roman"/>
          <w:szCs w:val="24"/>
        </w:rPr>
        <w:t xml:space="preserve">będzie </w:t>
      </w:r>
      <w:r w:rsidR="00CC55C2" w:rsidRPr="00677204">
        <w:rPr>
          <w:rFonts w:ascii="Times New Roman" w:hAnsi="Times New Roman" w:cs="Times New Roman"/>
          <w:szCs w:val="24"/>
        </w:rPr>
        <w:t>dotyczy</w:t>
      </w:r>
      <w:r w:rsidR="001A02D0" w:rsidRPr="00677204">
        <w:rPr>
          <w:rFonts w:ascii="Times New Roman" w:hAnsi="Times New Roman" w:cs="Times New Roman"/>
          <w:szCs w:val="24"/>
        </w:rPr>
        <w:t xml:space="preserve">ć </w:t>
      </w:r>
      <w:r w:rsidR="00CC55C2" w:rsidRPr="00677204">
        <w:rPr>
          <w:rFonts w:ascii="Times New Roman" w:hAnsi="Times New Roman" w:cs="Times New Roman"/>
          <w:szCs w:val="24"/>
        </w:rPr>
        <w:t>rachunków płatniczych prowadzonych dla konsumentów</w:t>
      </w:r>
      <w:r w:rsidR="00247610" w:rsidRPr="00677204">
        <w:rPr>
          <w:rFonts w:ascii="Times New Roman" w:hAnsi="Times New Roman" w:cs="Times New Roman"/>
          <w:szCs w:val="24"/>
        </w:rPr>
        <w:t>. P</w:t>
      </w:r>
      <w:r w:rsidR="00DC2E9B" w:rsidRPr="00677204">
        <w:rPr>
          <w:rFonts w:ascii="Times New Roman" w:hAnsi="Times New Roman" w:cs="Times New Roman"/>
          <w:szCs w:val="24"/>
        </w:rPr>
        <w:t xml:space="preserve">onadto </w:t>
      </w:r>
      <w:r w:rsidR="001A02D0" w:rsidRPr="00677204">
        <w:rPr>
          <w:rFonts w:ascii="Times New Roman" w:hAnsi="Times New Roman" w:cs="Times New Roman"/>
          <w:szCs w:val="24"/>
        </w:rPr>
        <w:t xml:space="preserve">nowe </w:t>
      </w:r>
      <w:r w:rsidR="00DC2E9B" w:rsidRPr="00677204">
        <w:rPr>
          <w:rFonts w:ascii="Times New Roman" w:hAnsi="Times New Roman" w:cs="Times New Roman"/>
          <w:szCs w:val="24"/>
        </w:rPr>
        <w:t xml:space="preserve">przepisy </w:t>
      </w:r>
      <w:r w:rsidR="00247610" w:rsidRPr="00677204">
        <w:rPr>
          <w:rFonts w:ascii="Times New Roman" w:hAnsi="Times New Roman" w:cs="Times New Roman"/>
          <w:szCs w:val="24"/>
        </w:rPr>
        <w:t>będą stosowane w odniesieniu</w:t>
      </w:r>
      <w:r w:rsidR="00DC2E9B" w:rsidRPr="00677204">
        <w:rPr>
          <w:rFonts w:ascii="Times New Roman" w:hAnsi="Times New Roman" w:cs="Times New Roman"/>
          <w:szCs w:val="24"/>
        </w:rPr>
        <w:t xml:space="preserve"> do </w:t>
      </w:r>
      <w:r w:rsidR="001D11C7" w:rsidRPr="00677204">
        <w:rPr>
          <w:rFonts w:ascii="Times New Roman" w:hAnsi="Times New Roman" w:cs="Times New Roman"/>
          <w:szCs w:val="24"/>
        </w:rPr>
        <w:t>rachunków</w:t>
      </w:r>
      <w:r w:rsidR="00DC2E9B" w:rsidRPr="00677204">
        <w:rPr>
          <w:rFonts w:ascii="Times New Roman" w:hAnsi="Times New Roman" w:cs="Times New Roman"/>
          <w:szCs w:val="24"/>
        </w:rPr>
        <w:t xml:space="preserve">, </w:t>
      </w:r>
      <w:r w:rsidR="001D11C7" w:rsidRPr="00677204">
        <w:rPr>
          <w:rFonts w:ascii="Times New Roman" w:hAnsi="Times New Roman" w:cs="Times New Roman"/>
          <w:szCs w:val="24"/>
        </w:rPr>
        <w:t xml:space="preserve">które </w:t>
      </w:r>
      <w:r w:rsidR="00DC2E9B" w:rsidRPr="00677204">
        <w:rPr>
          <w:rFonts w:ascii="Times New Roman" w:hAnsi="Times New Roman" w:cs="Times New Roman"/>
          <w:szCs w:val="24"/>
        </w:rPr>
        <w:t>umożliwiają co najmniej umieszczanie na rachunkach środków pieniężnych, dokonywanie wy</w:t>
      </w:r>
      <w:r w:rsidR="00A57950">
        <w:rPr>
          <w:rFonts w:ascii="Times New Roman" w:hAnsi="Times New Roman" w:cs="Times New Roman"/>
          <w:szCs w:val="24"/>
        </w:rPr>
        <w:t>płat z rachunku oraz zlecanie i </w:t>
      </w:r>
      <w:r w:rsidR="00DC2E9B" w:rsidRPr="00677204">
        <w:rPr>
          <w:rFonts w:ascii="Times New Roman" w:hAnsi="Times New Roman" w:cs="Times New Roman"/>
          <w:szCs w:val="24"/>
        </w:rPr>
        <w:t>odbieranie transakcji płatniczych</w:t>
      </w:r>
      <w:r w:rsidR="005421E3" w:rsidRPr="00677204">
        <w:rPr>
          <w:rFonts w:ascii="Times New Roman" w:hAnsi="Times New Roman" w:cs="Times New Roman"/>
          <w:szCs w:val="24"/>
        </w:rPr>
        <w:t xml:space="preserve"> (art. 59i</w:t>
      </w:r>
      <w:r w:rsidR="002D7407" w:rsidRPr="00677204">
        <w:rPr>
          <w:rFonts w:ascii="Times New Roman" w:hAnsi="Times New Roman" w:cs="Times New Roman"/>
          <w:szCs w:val="24"/>
        </w:rPr>
        <w:t>i</w:t>
      </w:r>
      <w:r w:rsidR="001D11C7" w:rsidRPr="00677204">
        <w:rPr>
          <w:rFonts w:ascii="Times New Roman" w:hAnsi="Times New Roman" w:cs="Times New Roman"/>
          <w:szCs w:val="24"/>
        </w:rPr>
        <w:t xml:space="preserve"> ust. 1</w:t>
      </w:r>
      <w:r w:rsidR="005421E3" w:rsidRPr="00677204">
        <w:rPr>
          <w:rFonts w:ascii="Times New Roman" w:hAnsi="Times New Roman" w:cs="Times New Roman"/>
          <w:szCs w:val="24"/>
        </w:rPr>
        <w:t>)</w:t>
      </w:r>
      <w:r w:rsidR="00CC55C2" w:rsidRPr="00677204">
        <w:rPr>
          <w:rFonts w:ascii="Times New Roman" w:hAnsi="Times New Roman" w:cs="Times New Roman"/>
          <w:szCs w:val="24"/>
        </w:rPr>
        <w:t xml:space="preserve">. </w:t>
      </w:r>
      <w:r w:rsidR="001D11C7" w:rsidRPr="00677204">
        <w:rPr>
          <w:rFonts w:ascii="Times New Roman" w:hAnsi="Times New Roman" w:cs="Times New Roman"/>
          <w:szCs w:val="24"/>
        </w:rPr>
        <w:t>Zgodnie z ust. 2</w:t>
      </w:r>
      <w:r w:rsidR="00DC11AF" w:rsidRPr="00677204">
        <w:rPr>
          <w:rFonts w:ascii="Times New Roman" w:hAnsi="Times New Roman" w:cs="Times New Roman"/>
          <w:szCs w:val="24"/>
        </w:rPr>
        <w:t xml:space="preserve"> art. 59i</w:t>
      </w:r>
      <w:r w:rsidR="002D7407" w:rsidRPr="00677204">
        <w:rPr>
          <w:rFonts w:ascii="Times New Roman" w:hAnsi="Times New Roman" w:cs="Times New Roman"/>
          <w:szCs w:val="24"/>
        </w:rPr>
        <w:t>i</w:t>
      </w:r>
      <w:r w:rsidR="002A43E7" w:rsidRPr="00677204">
        <w:rPr>
          <w:rFonts w:ascii="Times New Roman" w:hAnsi="Times New Roman" w:cs="Times New Roman"/>
          <w:szCs w:val="24"/>
        </w:rPr>
        <w:t xml:space="preserve"> dost</w:t>
      </w:r>
      <w:r w:rsidR="00D87F36" w:rsidRPr="00677204">
        <w:rPr>
          <w:rFonts w:ascii="Times New Roman" w:hAnsi="Times New Roman" w:cs="Times New Roman"/>
          <w:szCs w:val="24"/>
        </w:rPr>
        <w:t>a</w:t>
      </w:r>
      <w:r w:rsidR="002A43E7" w:rsidRPr="00677204">
        <w:rPr>
          <w:rFonts w:ascii="Times New Roman" w:hAnsi="Times New Roman" w:cs="Times New Roman"/>
          <w:szCs w:val="24"/>
        </w:rPr>
        <w:t>wca</w:t>
      </w:r>
      <w:r w:rsidR="00D87F36" w:rsidRPr="00677204">
        <w:rPr>
          <w:rFonts w:ascii="Times New Roman" w:hAnsi="Times New Roman" w:cs="Times New Roman"/>
          <w:szCs w:val="24"/>
        </w:rPr>
        <w:t xml:space="preserve"> przyjmujący nie jest zobowiązany do świadczenia usług powiązanych z rachunkiem przenoszonym</w:t>
      </w:r>
      <w:r w:rsidR="00737E9D">
        <w:rPr>
          <w:rFonts w:ascii="Times New Roman" w:hAnsi="Times New Roman" w:cs="Times New Roman"/>
          <w:szCs w:val="24"/>
        </w:rPr>
        <w:t>,</w:t>
      </w:r>
      <w:r w:rsidR="00D87F36" w:rsidRPr="00677204">
        <w:rPr>
          <w:rFonts w:ascii="Times New Roman" w:hAnsi="Times New Roman" w:cs="Times New Roman"/>
          <w:szCs w:val="24"/>
        </w:rPr>
        <w:t xml:space="preserve"> jeśli nie świadczy w ogóle tego typu usług.</w:t>
      </w:r>
    </w:p>
    <w:p w14:paraId="56DA415D" w14:textId="5667AC99" w:rsidR="001A02D0" w:rsidRPr="00677204" w:rsidRDefault="00247610" w:rsidP="002549F6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lastRenderedPageBreak/>
        <w:t>Projektowany ust. 1 art. 59i</w:t>
      </w:r>
      <w:r w:rsidR="002D7407" w:rsidRPr="00677204">
        <w:rPr>
          <w:rFonts w:ascii="Times New Roman" w:hAnsi="Times New Roman" w:cs="Times New Roman"/>
          <w:szCs w:val="24"/>
        </w:rPr>
        <w:t>j</w:t>
      </w:r>
      <w:r w:rsidR="00A87CFF" w:rsidRPr="00677204">
        <w:rPr>
          <w:rFonts w:ascii="Times New Roman" w:hAnsi="Times New Roman" w:cs="Times New Roman"/>
          <w:szCs w:val="24"/>
        </w:rPr>
        <w:t xml:space="preserve"> obliguje dostawcę usług płatniczych do </w:t>
      </w:r>
      <w:r w:rsidR="00CC55C2" w:rsidRPr="00677204">
        <w:rPr>
          <w:rFonts w:ascii="Times New Roman" w:hAnsi="Times New Roman" w:cs="Times New Roman"/>
          <w:szCs w:val="24"/>
        </w:rPr>
        <w:t>udz</w:t>
      </w:r>
      <w:r w:rsidR="00A87CFF" w:rsidRPr="00677204">
        <w:rPr>
          <w:rFonts w:ascii="Times New Roman" w:hAnsi="Times New Roman" w:cs="Times New Roman"/>
          <w:szCs w:val="24"/>
        </w:rPr>
        <w:t xml:space="preserve">ielania </w:t>
      </w:r>
      <w:r w:rsidR="004144D6" w:rsidRPr="00677204">
        <w:rPr>
          <w:rFonts w:ascii="Times New Roman" w:hAnsi="Times New Roman" w:cs="Times New Roman"/>
          <w:szCs w:val="24"/>
        </w:rPr>
        <w:t xml:space="preserve">bezpłatnie </w:t>
      </w:r>
      <w:r w:rsidR="00A87CFF" w:rsidRPr="00677204">
        <w:rPr>
          <w:rFonts w:ascii="Times New Roman" w:hAnsi="Times New Roman" w:cs="Times New Roman"/>
          <w:szCs w:val="24"/>
        </w:rPr>
        <w:t>informacji konsumentowi o procesie</w:t>
      </w:r>
      <w:r w:rsidR="00CC55C2" w:rsidRPr="00677204">
        <w:rPr>
          <w:rFonts w:ascii="Times New Roman" w:hAnsi="Times New Roman" w:cs="Times New Roman"/>
          <w:szCs w:val="24"/>
        </w:rPr>
        <w:t xml:space="preserve"> prz</w:t>
      </w:r>
      <w:r w:rsidR="00A87CFF" w:rsidRPr="00677204">
        <w:rPr>
          <w:rFonts w:ascii="Times New Roman" w:hAnsi="Times New Roman" w:cs="Times New Roman"/>
          <w:szCs w:val="24"/>
        </w:rPr>
        <w:t>eniesienia rachunku płatniczego</w:t>
      </w:r>
      <w:r w:rsidR="001A02D0" w:rsidRPr="00677204">
        <w:rPr>
          <w:rFonts w:ascii="Times New Roman" w:hAnsi="Times New Roman" w:cs="Times New Roman"/>
          <w:szCs w:val="24"/>
        </w:rPr>
        <w:t xml:space="preserve"> w</w:t>
      </w:r>
      <w:r w:rsidR="00A57950">
        <w:rPr>
          <w:rFonts w:ascii="Times New Roman" w:hAnsi="Times New Roman" w:cs="Times New Roman"/>
          <w:szCs w:val="24"/>
        </w:rPr>
        <w:t> </w:t>
      </w:r>
      <w:r w:rsidR="001A02D0" w:rsidRPr="00677204">
        <w:rPr>
          <w:rFonts w:ascii="Times New Roman" w:hAnsi="Times New Roman" w:cs="Times New Roman"/>
          <w:szCs w:val="24"/>
        </w:rPr>
        <w:t>przejrzystej i</w:t>
      </w:r>
      <w:r w:rsidR="006D4B38">
        <w:rPr>
          <w:rFonts w:ascii="Times New Roman" w:hAnsi="Times New Roman" w:cs="Times New Roman"/>
          <w:szCs w:val="24"/>
        </w:rPr>
        <w:t xml:space="preserve"> </w:t>
      </w:r>
      <w:r w:rsidR="001A02D0" w:rsidRPr="00677204">
        <w:rPr>
          <w:rFonts w:ascii="Times New Roman" w:hAnsi="Times New Roman" w:cs="Times New Roman"/>
          <w:szCs w:val="24"/>
        </w:rPr>
        <w:t>czytelnej formie</w:t>
      </w:r>
      <w:r w:rsidR="00A87CFF" w:rsidRPr="00677204">
        <w:rPr>
          <w:rFonts w:ascii="Times New Roman" w:hAnsi="Times New Roman" w:cs="Times New Roman"/>
          <w:szCs w:val="24"/>
        </w:rPr>
        <w:t>. Konsument</w:t>
      </w:r>
      <w:r w:rsidR="000575BA" w:rsidRPr="00677204">
        <w:rPr>
          <w:rFonts w:ascii="Times New Roman" w:hAnsi="Times New Roman" w:cs="Times New Roman"/>
          <w:szCs w:val="24"/>
        </w:rPr>
        <w:t>,</w:t>
      </w:r>
      <w:r w:rsidR="00A87CFF" w:rsidRPr="00677204">
        <w:rPr>
          <w:rFonts w:ascii="Times New Roman" w:hAnsi="Times New Roman" w:cs="Times New Roman"/>
          <w:szCs w:val="24"/>
        </w:rPr>
        <w:t xml:space="preserve"> w celu uzyskania informacji</w:t>
      </w:r>
      <w:r w:rsidR="001A02D0" w:rsidRPr="00677204">
        <w:rPr>
          <w:rFonts w:ascii="Times New Roman" w:hAnsi="Times New Roman" w:cs="Times New Roman"/>
          <w:szCs w:val="24"/>
        </w:rPr>
        <w:t xml:space="preserve">, będzie mógł </w:t>
      </w:r>
      <w:r w:rsidR="00CC55C2" w:rsidRPr="00677204">
        <w:rPr>
          <w:rFonts w:ascii="Times New Roman" w:hAnsi="Times New Roman" w:cs="Times New Roman"/>
          <w:szCs w:val="24"/>
        </w:rPr>
        <w:t>się zgłosić zarówno do dostawcy</w:t>
      </w:r>
      <w:r w:rsidR="005809E4" w:rsidRPr="00677204">
        <w:rPr>
          <w:rFonts w:ascii="Times New Roman" w:hAnsi="Times New Roman" w:cs="Times New Roman"/>
          <w:szCs w:val="24"/>
        </w:rPr>
        <w:t xml:space="preserve"> przyjmującego</w:t>
      </w:r>
      <w:r w:rsidR="00CC55C2" w:rsidRPr="00677204">
        <w:rPr>
          <w:rFonts w:ascii="Times New Roman" w:hAnsi="Times New Roman" w:cs="Times New Roman"/>
          <w:szCs w:val="24"/>
        </w:rPr>
        <w:t xml:space="preserve">, jak również do </w:t>
      </w:r>
      <w:r w:rsidR="005809E4" w:rsidRPr="00677204">
        <w:rPr>
          <w:rFonts w:ascii="Times New Roman" w:hAnsi="Times New Roman" w:cs="Times New Roman"/>
          <w:szCs w:val="24"/>
        </w:rPr>
        <w:t xml:space="preserve">dostawcy </w:t>
      </w:r>
      <w:r w:rsidR="00CC55C2" w:rsidRPr="00677204">
        <w:rPr>
          <w:rFonts w:ascii="Times New Roman" w:hAnsi="Times New Roman" w:cs="Times New Roman"/>
          <w:szCs w:val="24"/>
        </w:rPr>
        <w:t>przekazującego. W</w:t>
      </w:r>
      <w:r w:rsidR="002549F6" w:rsidRPr="00677204">
        <w:rPr>
          <w:rFonts w:ascii="Times New Roman" w:hAnsi="Times New Roman" w:cs="Times New Roman"/>
          <w:szCs w:val="24"/>
        </w:rPr>
        <w:t xml:space="preserve"> </w:t>
      </w:r>
      <w:r w:rsidR="00CC55C2" w:rsidRPr="00677204">
        <w:rPr>
          <w:rFonts w:ascii="Times New Roman" w:hAnsi="Times New Roman" w:cs="Times New Roman"/>
          <w:szCs w:val="24"/>
        </w:rPr>
        <w:t>ust. 2 zawarto katalog informacji dotyczących procesu przeniesienia</w:t>
      </w:r>
      <w:r w:rsidR="005809E4" w:rsidRPr="00677204">
        <w:rPr>
          <w:rFonts w:ascii="Times New Roman" w:hAnsi="Times New Roman" w:cs="Times New Roman"/>
          <w:szCs w:val="24"/>
        </w:rPr>
        <w:t>,</w:t>
      </w:r>
      <w:r w:rsidR="00CC55C2" w:rsidRPr="00677204">
        <w:rPr>
          <w:rFonts w:ascii="Times New Roman" w:hAnsi="Times New Roman" w:cs="Times New Roman"/>
          <w:szCs w:val="24"/>
        </w:rPr>
        <w:t xml:space="preserve"> jakie </w:t>
      </w:r>
      <w:r w:rsidR="00A87CFF" w:rsidRPr="00677204">
        <w:rPr>
          <w:rFonts w:ascii="Times New Roman" w:hAnsi="Times New Roman" w:cs="Times New Roman"/>
          <w:szCs w:val="24"/>
        </w:rPr>
        <w:t>konsument</w:t>
      </w:r>
      <w:r w:rsidR="00CC55C2" w:rsidRPr="00677204">
        <w:rPr>
          <w:rFonts w:ascii="Times New Roman" w:hAnsi="Times New Roman" w:cs="Times New Roman"/>
          <w:szCs w:val="24"/>
        </w:rPr>
        <w:t xml:space="preserve"> powinien otrzymać od dostawców. Informacje te przekazywane </w:t>
      </w:r>
      <w:r w:rsidR="001A02D0" w:rsidRPr="00677204">
        <w:rPr>
          <w:rFonts w:ascii="Times New Roman" w:hAnsi="Times New Roman" w:cs="Times New Roman"/>
          <w:szCs w:val="24"/>
        </w:rPr>
        <w:t xml:space="preserve">będą </w:t>
      </w:r>
      <w:r w:rsidR="00CC55C2" w:rsidRPr="00677204">
        <w:rPr>
          <w:rFonts w:ascii="Times New Roman" w:hAnsi="Times New Roman" w:cs="Times New Roman"/>
          <w:szCs w:val="24"/>
        </w:rPr>
        <w:t>nieodpłatnie</w:t>
      </w:r>
      <w:r w:rsidR="00A87CFF" w:rsidRPr="00677204">
        <w:rPr>
          <w:rFonts w:ascii="Times New Roman" w:hAnsi="Times New Roman" w:cs="Times New Roman"/>
          <w:szCs w:val="24"/>
        </w:rPr>
        <w:t xml:space="preserve"> </w:t>
      </w:r>
      <w:r w:rsidR="00C867AE" w:rsidRPr="00677204">
        <w:rPr>
          <w:rFonts w:ascii="Times New Roman" w:hAnsi="Times New Roman" w:cs="Times New Roman"/>
          <w:szCs w:val="24"/>
        </w:rPr>
        <w:t xml:space="preserve">w </w:t>
      </w:r>
      <w:r w:rsidR="00D87F36" w:rsidRPr="00677204">
        <w:rPr>
          <w:rFonts w:ascii="Times New Roman" w:hAnsi="Times New Roman" w:cs="Times New Roman"/>
          <w:szCs w:val="24"/>
        </w:rPr>
        <w:t xml:space="preserve">postaci </w:t>
      </w:r>
      <w:r w:rsidR="00C867AE" w:rsidRPr="00677204">
        <w:rPr>
          <w:rFonts w:ascii="Times New Roman" w:hAnsi="Times New Roman" w:cs="Times New Roman"/>
          <w:szCs w:val="24"/>
        </w:rPr>
        <w:t xml:space="preserve">papierowej lub na innym trwałym nośniku informacji, a także udostępniane na stronie internetowej dostawcy </w:t>
      </w:r>
      <w:r w:rsidR="00A87CFF" w:rsidRPr="00677204">
        <w:rPr>
          <w:rFonts w:ascii="Times New Roman" w:hAnsi="Times New Roman" w:cs="Times New Roman"/>
          <w:szCs w:val="24"/>
        </w:rPr>
        <w:t>(ust. 3)</w:t>
      </w:r>
      <w:r w:rsidR="00CC55C2" w:rsidRPr="00677204">
        <w:rPr>
          <w:rFonts w:ascii="Times New Roman" w:hAnsi="Times New Roman" w:cs="Times New Roman"/>
          <w:szCs w:val="24"/>
        </w:rPr>
        <w:t>.</w:t>
      </w:r>
    </w:p>
    <w:p w14:paraId="0E0A7803" w14:textId="491E28D2" w:rsidR="00D64757" w:rsidRPr="00677204" w:rsidRDefault="00BE2BB6" w:rsidP="002549F6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 xml:space="preserve">Zgodnie z projektowanym </w:t>
      </w:r>
      <w:r w:rsidR="008176A1" w:rsidRPr="00677204">
        <w:rPr>
          <w:rFonts w:ascii="Times New Roman" w:hAnsi="Times New Roman" w:cs="Times New Roman"/>
          <w:szCs w:val="24"/>
        </w:rPr>
        <w:t>art. 59i</w:t>
      </w:r>
      <w:r w:rsidR="002D7407" w:rsidRPr="00677204">
        <w:rPr>
          <w:rFonts w:ascii="Times New Roman" w:hAnsi="Times New Roman" w:cs="Times New Roman"/>
          <w:szCs w:val="24"/>
        </w:rPr>
        <w:t>k</w:t>
      </w:r>
      <w:r w:rsidR="001A02D0" w:rsidRPr="00677204">
        <w:rPr>
          <w:rFonts w:ascii="Times New Roman" w:hAnsi="Times New Roman" w:cs="Times New Roman"/>
          <w:szCs w:val="24"/>
        </w:rPr>
        <w:t xml:space="preserve">, </w:t>
      </w:r>
      <w:r w:rsidR="00CC55C2" w:rsidRPr="00677204">
        <w:rPr>
          <w:rFonts w:ascii="Times New Roman" w:hAnsi="Times New Roman" w:cs="Times New Roman"/>
          <w:szCs w:val="24"/>
        </w:rPr>
        <w:t>przeniesieni</w:t>
      </w:r>
      <w:r w:rsidR="00FD60DF" w:rsidRPr="00677204">
        <w:rPr>
          <w:rFonts w:ascii="Times New Roman" w:hAnsi="Times New Roman" w:cs="Times New Roman"/>
          <w:szCs w:val="24"/>
        </w:rPr>
        <w:t>e</w:t>
      </w:r>
      <w:r w:rsidR="00CC55C2" w:rsidRPr="00677204">
        <w:rPr>
          <w:rFonts w:ascii="Times New Roman" w:hAnsi="Times New Roman" w:cs="Times New Roman"/>
          <w:szCs w:val="24"/>
        </w:rPr>
        <w:t xml:space="preserve"> rachunku płatniczego </w:t>
      </w:r>
      <w:r w:rsidR="001A02D0" w:rsidRPr="00677204">
        <w:rPr>
          <w:rFonts w:ascii="Times New Roman" w:hAnsi="Times New Roman" w:cs="Times New Roman"/>
          <w:szCs w:val="24"/>
        </w:rPr>
        <w:t xml:space="preserve">będzie </w:t>
      </w:r>
      <w:r w:rsidR="00CC55C2" w:rsidRPr="00677204">
        <w:rPr>
          <w:rFonts w:ascii="Times New Roman" w:hAnsi="Times New Roman" w:cs="Times New Roman"/>
          <w:szCs w:val="24"/>
        </w:rPr>
        <w:t>inicjowan</w:t>
      </w:r>
      <w:r w:rsidR="00FD60DF" w:rsidRPr="00677204">
        <w:rPr>
          <w:rFonts w:ascii="Times New Roman" w:hAnsi="Times New Roman" w:cs="Times New Roman"/>
          <w:szCs w:val="24"/>
        </w:rPr>
        <w:t>e</w:t>
      </w:r>
      <w:r w:rsidR="00CC55C2" w:rsidRPr="00677204">
        <w:rPr>
          <w:rFonts w:ascii="Times New Roman" w:hAnsi="Times New Roman" w:cs="Times New Roman"/>
          <w:szCs w:val="24"/>
        </w:rPr>
        <w:t xml:space="preserve"> na wniosek </w:t>
      </w:r>
      <w:r w:rsidR="00E439E3" w:rsidRPr="00677204">
        <w:rPr>
          <w:rFonts w:ascii="Times New Roman" w:hAnsi="Times New Roman" w:cs="Times New Roman"/>
          <w:szCs w:val="24"/>
        </w:rPr>
        <w:t>konsumenta</w:t>
      </w:r>
      <w:r w:rsidR="00E261FC" w:rsidRPr="00677204">
        <w:rPr>
          <w:rFonts w:ascii="Times New Roman" w:hAnsi="Times New Roman" w:cs="Times New Roman"/>
          <w:szCs w:val="24"/>
        </w:rPr>
        <w:t xml:space="preserve"> </w:t>
      </w:r>
      <w:r w:rsidR="00CC55C2" w:rsidRPr="00677204">
        <w:rPr>
          <w:rFonts w:ascii="Times New Roman" w:hAnsi="Times New Roman" w:cs="Times New Roman"/>
          <w:szCs w:val="24"/>
        </w:rPr>
        <w:t>złożony dostawcy usług płatniczych</w:t>
      </w:r>
      <w:r w:rsidRPr="00677204">
        <w:rPr>
          <w:rFonts w:ascii="Times New Roman" w:hAnsi="Times New Roman" w:cs="Times New Roman"/>
          <w:szCs w:val="24"/>
        </w:rPr>
        <w:t>.</w:t>
      </w:r>
      <w:r w:rsidR="00CC55C2" w:rsidRPr="00677204">
        <w:rPr>
          <w:rFonts w:ascii="Times New Roman" w:hAnsi="Times New Roman" w:cs="Times New Roman"/>
          <w:szCs w:val="24"/>
        </w:rPr>
        <w:t xml:space="preserve"> Po złożeniu przez </w:t>
      </w:r>
      <w:r w:rsidR="00E439E3" w:rsidRPr="00677204">
        <w:rPr>
          <w:rFonts w:ascii="Times New Roman" w:hAnsi="Times New Roman" w:cs="Times New Roman"/>
          <w:szCs w:val="24"/>
        </w:rPr>
        <w:t xml:space="preserve">konsumenta </w:t>
      </w:r>
      <w:r w:rsidR="00CC55C2" w:rsidRPr="00677204">
        <w:rPr>
          <w:rFonts w:ascii="Times New Roman" w:hAnsi="Times New Roman" w:cs="Times New Roman"/>
          <w:szCs w:val="24"/>
        </w:rPr>
        <w:t xml:space="preserve">lub </w:t>
      </w:r>
      <w:r w:rsidR="00E439E3" w:rsidRPr="00677204">
        <w:rPr>
          <w:rFonts w:ascii="Times New Roman" w:hAnsi="Times New Roman" w:cs="Times New Roman"/>
          <w:szCs w:val="24"/>
        </w:rPr>
        <w:t xml:space="preserve">konsumentów </w:t>
      </w:r>
      <w:r w:rsidR="00CC55C2" w:rsidRPr="00677204">
        <w:rPr>
          <w:rFonts w:ascii="Times New Roman" w:hAnsi="Times New Roman" w:cs="Times New Roman"/>
          <w:szCs w:val="24"/>
        </w:rPr>
        <w:t>upoważnienia</w:t>
      </w:r>
      <w:r w:rsidR="00B214E2" w:rsidRPr="00677204">
        <w:rPr>
          <w:rFonts w:ascii="Times New Roman" w:hAnsi="Times New Roman" w:cs="Times New Roman"/>
          <w:szCs w:val="24"/>
        </w:rPr>
        <w:t>,</w:t>
      </w:r>
      <w:r w:rsidR="00CC55C2" w:rsidRPr="00677204">
        <w:rPr>
          <w:rFonts w:ascii="Times New Roman" w:hAnsi="Times New Roman" w:cs="Times New Roman"/>
          <w:szCs w:val="24"/>
        </w:rPr>
        <w:t xml:space="preserve"> dostawca usług płatniczych rozpocz</w:t>
      </w:r>
      <w:r w:rsidR="00E261FC" w:rsidRPr="00677204">
        <w:rPr>
          <w:rFonts w:ascii="Times New Roman" w:hAnsi="Times New Roman" w:cs="Times New Roman"/>
          <w:szCs w:val="24"/>
        </w:rPr>
        <w:t xml:space="preserve">nie </w:t>
      </w:r>
      <w:r w:rsidR="00CC55C2" w:rsidRPr="00677204">
        <w:rPr>
          <w:rFonts w:ascii="Times New Roman" w:hAnsi="Times New Roman" w:cs="Times New Roman"/>
          <w:szCs w:val="24"/>
        </w:rPr>
        <w:t>przen</w:t>
      </w:r>
      <w:r w:rsidR="006052C1" w:rsidRPr="00677204">
        <w:rPr>
          <w:rFonts w:ascii="Times New Roman" w:hAnsi="Times New Roman" w:cs="Times New Roman"/>
          <w:szCs w:val="24"/>
        </w:rPr>
        <w:t>oszenie</w:t>
      </w:r>
      <w:r w:rsidR="00CC55C2" w:rsidRPr="00677204">
        <w:rPr>
          <w:rFonts w:ascii="Times New Roman" w:hAnsi="Times New Roman" w:cs="Times New Roman"/>
          <w:szCs w:val="24"/>
        </w:rPr>
        <w:t xml:space="preserve"> rachunku płatniczego</w:t>
      </w:r>
      <w:r w:rsidRPr="00677204">
        <w:rPr>
          <w:rFonts w:ascii="Times New Roman" w:hAnsi="Times New Roman" w:cs="Times New Roman"/>
          <w:szCs w:val="24"/>
        </w:rPr>
        <w:t xml:space="preserve">. </w:t>
      </w:r>
      <w:r w:rsidR="00CC55C2" w:rsidRPr="00677204">
        <w:rPr>
          <w:rFonts w:ascii="Times New Roman" w:hAnsi="Times New Roman" w:cs="Times New Roman"/>
          <w:szCs w:val="24"/>
        </w:rPr>
        <w:t>Przeniesienie usług płatniczych powiązanych z</w:t>
      </w:r>
      <w:r w:rsidR="002549F6" w:rsidRPr="00677204">
        <w:rPr>
          <w:rFonts w:ascii="Times New Roman" w:hAnsi="Times New Roman" w:cs="Times New Roman"/>
          <w:szCs w:val="24"/>
        </w:rPr>
        <w:t xml:space="preserve"> </w:t>
      </w:r>
      <w:r w:rsidR="00CC55C2" w:rsidRPr="00677204">
        <w:rPr>
          <w:rFonts w:ascii="Times New Roman" w:hAnsi="Times New Roman" w:cs="Times New Roman"/>
          <w:szCs w:val="24"/>
        </w:rPr>
        <w:t xml:space="preserve">rachunkiem płatniczym </w:t>
      </w:r>
      <w:r w:rsidR="0059532B" w:rsidRPr="00677204">
        <w:rPr>
          <w:rFonts w:ascii="Times New Roman" w:hAnsi="Times New Roman" w:cs="Times New Roman"/>
          <w:szCs w:val="24"/>
        </w:rPr>
        <w:t>będzie obowiązkowe</w:t>
      </w:r>
      <w:r w:rsidR="00CC55C2" w:rsidRPr="00677204">
        <w:rPr>
          <w:rFonts w:ascii="Times New Roman" w:hAnsi="Times New Roman" w:cs="Times New Roman"/>
          <w:szCs w:val="24"/>
        </w:rPr>
        <w:t xml:space="preserve"> tylko wówczas, gdy </w:t>
      </w:r>
      <w:r w:rsidR="0059532B" w:rsidRPr="00677204">
        <w:rPr>
          <w:rFonts w:ascii="Times New Roman" w:hAnsi="Times New Roman" w:cs="Times New Roman"/>
          <w:szCs w:val="24"/>
        </w:rPr>
        <w:t xml:space="preserve">nowy </w:t>
      </w:r>
      <w:r w:rsidR="00CC55C2" w:rsidRPr="00677204">
        <w:rPr>
          <w:rFonts w:ascii="Times New Roman" w:hAnsi="Times New Roman" w:cs="Times New Roman"/>
          <w:szCs w:val="24"/>
        </w:rPr>
        <w:t xml:space="preserve">dostawca usług płatniczych świadczy takie usługi płatnicze. Upoważnienie </w:t>
      </w:r>
      <w:r w:rsidR="00E261FC" w:rsidRPr="00677204">
        <w:rPr>
          <w:rFonts w:ascii="Times New Roman" w:hAnsi="Times New Roman" w:cs="Times New Roman"/>
          <w:szCs w:val="24"/>
        </w:rPr>
        <w:t xml:space="preserve">będzie mogło </w:t>
      </w:r>
      <w:r w:rsidR="00CC55C2" w:rsidRPr="00677204">
        <w:rPr>
          <w:rFonts w:ascii="Times New Roman" w:hAnsi="Times New Roman" w:cs="Times New Roman"/>
          <w:szCs w:val="24"/>
        </w:rPr>
        <w:t>zostać złożone zarówno w formie pisemnej</w:t>
      </w:r>
      <w:r w:rsidR="0059532B" w:rsidRPr="00677204">
        <w:rPr>
          <w:rFonts w:ascii="Times New Roman" w:hAnsi="Times New Roman" w:cs="Times New Roman"/>
          <w:szCs w:val="24"/>
        </w:rPr>
        <w:t xml:space="preserve"> w postaci papierowej lub</w:t>
      </w:r>
      <w:r w:rsidR="00CC55C2" w:rsidRPr="00677204">
        <w:rPr>
          <w:rFonts w:ascii="Times New Roman" w:hAnsi="Times New Roman" w:cs="Times New Roman"/>
          <w:szCs w:val="24"/>
        </w:rPr>
        <w:t xml:space="preserve"> elektronicznej </w:t>
      </w:r>
      <w:r w:rsidR="0059532B" w:rsidRPr="00677204">
        <w:rPr>
          <w:rFonts w:ascii="Times New Roman" w:hAnsi="Times New Roman" w:cs="Times New Roman"/>
          <w:szCs w:val="24"/>
        </w:rPr>
        <w:t xml:space="preserve">oraz w formie elektronicznej </w:t>
      </w:r>
      <w:r w:rsidR="00913238">
        <w:rPr>
          <w:rFonts w:ascii="Times New Roman" w:hAnsi="Times New Roman" w:cs="Times New Roman"/>
          <w:szCs w:val="24"/>
        </w:rPr>
        <w:t>w przypadku gdy zapewniona jest jednoznaczna identyfikacja konsumenta</w:t>
      </w:r>
      <w:r w:rsidR="00E261FC" w:rsidRPr="00677204">
        <w:rPr>
          <w:rFonts w:ascii="Times New Roman" w:hAnsi="Times New Roman" w:cs="Times New Roman"/>
          <w:szCs w:val="24"/>
        </w:rPr>
        <w:t xml:space="preserve">; </w:t>
      </w:r>
      <w:r w:rsidR="00F846E3" w:rsidRPr="00677204">
        <w:rPr>
          <w:rFonts w:ascii="Times New Roman" w:hAnsi="Times New Roman" w:cs="Times New Roman"/>
          <w:szCs w:val="24"/>
        </w:rPr>
        <w:t xml:space="preserve">będzie mogło </w:t>
      </w:r>
      <w:r w:rsidR="00CC55C2" w:rsidRPr="00677204">
        <w:rPr>
          <w:rFonts w:ascii="Times New Roman" w:hAnsi="Times New Roman" w:cs="Times New Roman"/>
          <w:szCs w:val="24"/>
        </w:rPr>
        <w:t xml:space="preserve">zawierać informacje </w:t>
      </w:r>
      <w:r w:rsidR="00B214E2" w:rsidRPr="00677204">
        <w:rPr>
          <w:rFonts w:ascii="Times New Roman" w:hAnsi="Times New Roman" w:cs="Times New Roman"/>
          <w:szCs w:val="24"/>
        </w:rPr>
        <w:t>o</w:t>
      </w:r>
      <w:r w:rsidR="00913238">
        <w:rPr>
          <w:rFonts w:ascii="Times New Roman" w:hAnsi="Times New Roman" w:cs="Times New Roman"/>
          <w:szCs w:val="24"/>
        </w:rPr>
        <w:t> </w:t>
      </w:r>
      <w:r w:rsidR="00CC55C2" w:rsidRPr="00677204">
        <w:rPr>
          <w:rFonts w:ascii="Times New Roman" w:hAnsi="Times New Roman" w:cs="Times New Roman"/>
          <w:szCs w:val="24"/>
        </w:rPr>
        <w:t>przenoszonych usług</w:t>
      </w:r>
      <w:r w:rsidR="00F846E3" w:rsidRPr="00677204">
        <w:rPr>
          <w:rFonts w:ascii="Times New Roman" w:hAnsi="Times New Roman" w:cs="Times New Roman"/>
          <w:szCs w:val="24"/>
        </w:rPr>
        <w:t>ach</w:t>
      </w:r>
      <w:r w:rsidR="00CC55C2" w:rsidRPr="00677204">
        <w:rPr>
          <w:rFonts w:ascii="Times New Roman" w:hAnsi="Times New Roman" w:cs="Times New Roman"/>
          <w:szCs w:val="24"/>
        </w:rPr>
        <w:t xml:space="preserve"> płatniczych</w:t>
      </w:r>
      <w:r w:rsidR="00D7536B" w:rsidRPr="00677204">
        <w:rPr>
          <w:rFonts w:ascii="Times New Roman" w:hAnsi="Times New Roman" w:cs="Times New Roman"/>
          <w:szCs w:val="24"/>
        </w:rPr>
        <w:t>,</w:t>
      </w:r>
      <w:r w:rsidR="00CC55C2" w:rsidRPr="00677204">
        <w:rPr>
          <w:rFonts w:ascii="Times New Roman" w:hAnsi="Times New Roman" w:cs="Times New Roman"/>
          <w:szCs w:val="24"/>
        </w:rPr>
        <w:t xml:space="preserve"> a także </w:t>
      </w:r>
      <w:r w:rsidR="00F846E3" w:rsidRPr="00677204">
        <w:rPr>
          <w:rFonts w:ascii="Times New Roman" w:hAnsi="Times New Roman" w:cs="Times New Roman"/>
          <w:szCs w:val="24"/>
        </w:rPr>
        <w:t xml:space="preserve">wskazywać </w:t>
      </w:r>
      <w:r w:rsidR="00CC55C2" w:rsidRPr="00677204">
        <w:rPr>
          <w:rFonts w:ascii="Times New Roman" w:hAnsi="Times New Roman" w:cs="Times New Roman"/>
          <w:szCs w:val="24"/>
        </w:rPr>
        <w:t>datę</w:t>
      </w:r>
      <w:r w:rsidR="00E261FC" w:rsidRPr="00677204">
        <w:rPr>
          <w:rFonts w:ascii="Times New Roman" w:hAnsi="Times New Roman" w:cs="Times New Roman"/>
          <w:szCs w:val="24"/>
        </w:rPr>
        <w:t xml:space="preserve">, </w:t>
      </w:r>
      <w:r w:rsidR="00CC55C2" w:rsidRPr="00677204">
        <w:rPr>
          <w:rFonts w:ascii="Times New Roman" w:hAnsi="Times New Roman" w:cs="Times New Roman"/>
          <w:szCs w:val="24"/>
        </w:rPr>
        <w:t xml:space="preserve">od </w:t>
      </w:r>
      <w:r w:rsidR="00F846E3" w:rsidRPr="00677204">
        <w:rPr>
          <w:rFonts w:ascii="Times New Roman" w:hAnsi="Times New Roman" w:cs="Times New Roman"/>
          <w:szCs w:val="24"/>
        </w:rPr>
        <w:t xml:space="preserve">której </w:t>
      </w:r>
      <w:r w:rsidR="00D64757" w:rsidRPr="00677204">
        <w:rPr>
          <w:rFonts w:ascii="Times New Roman" w:hAnsi="Times New Roman" w:cs="Times New Roman"/>
          <w:szCs w:val="24"/>
        </w:rPr>
        <w:t xml:space="preserve">nowy </w:t>
      </w:r>
      <w:r w:rsidR="00CC55C2" w:rsidRPr="00677204">
        <w:rPr>
          <w:rFonts w:ascii="Times New Roman" w:hAnsi="Times New Roman" w:cs="Times New Roman"/>
          <w:szCs w:val="24"/>
        </w:rPr>
        <w:t xml:space="preserve">dostawca usług płatniczych ma </w:t>
      </w:r>
      <w:r w:rsidR="0059532B" w:rsidRPr="00677204">
        <w:rPr>
          <w:rFonts w:ascii="Times New Roman" w:hAnsi="Times New Roman" w:cs="Times New Roman"/>
          <w:szCs w:val="24"/>
        </w:rPr>
        <w:t>rozpocząć świadczenie</w:t>
      </w:r>
      <w:r w:rsidR="00CC55C2" w:rsidRPr="00677204">
        <w:rPr>
          <w:rFonts w:ascii="Times New Roman" w:hAnsi="Times New Roman" w:cs="Times New Roman"/>
          <w:szCs w:val="24"/>
        </w:rPr>
        <w:t xml:space="preserve"> przenoszon</w:t>
      </w:r>
      <w:r w:rsidR="0059532B" w:rsidRPr="00677204">
        <w:rPr>
          <w:rFonts w:ascii="Times New Roman" w:hAnsi="Times New Roman" w:cs="Times New Roman"/>
          <w:szCs w:val="24"/>
        </w:rPr>
        <w:t>ych</w:t>
      </w:r>
      <w:r w:rsidRPr="00677204">
        <w:rPr>
          <w:rFonts w:ascii="Times New Roman" w:hAnsi="Times New Roman" w:cs="Times New Roman"/>
          <w:szCs w:val="24"/>
        </w:rPr>
        <w:t xml:space="preserve"> usług</w:t>
      </w:r>
      <w:r w:rsidR="0059532B" w:rsidRPr="00677204">
        <w:rPr>
          <w:rFonts w:ascii="Times New Roman" w:hAnsi="Times New Roman" w:cs="Times New Roman"/>
          <w:szCs w:val="24"/>
        </w:rPr>
        <w:t xml:space="preserve"> płatniczych</w:t>
      </w:r>
      <w:r w:rsidRPr="00677204">
        <w:rPr>
          <w:rFonts w:ascii="Times New Roman" w:hAnsi="Times New Roman" w:cs="Times New Roman"/>
          <w:szCs w:val="24"/>
        </w:rPr>
        <w:t xml:space="preserve"> (</w:t>
      </w:r>
      <w:r w:rsidR="00913238">
        <w:rPr>
          <w:rFonts w:ascii="Times New Roman" w:hAnsi="Times New Roman" w:cs="Times New Roman"/>
          <w:szCs w:val="24"/>
        </w:rPr>
        <w:t>ust. 2 i </w:t>
      </w:r>
      <w:r w:rsidRPr="00677204">
        <w:rPr>
          <w:rFonts w:ascii="Times New Roman" w:hAnsi="Times New Roman" w:cs="Times New Roman"/>
          <w:szCs w:val="24"/>
        </w:rPr>
        <w:t>3).</w:t>
      </w:r>
    </w:p>
    <w:p w14:paraId="75CB323A" w14:textId="39347AE8" w:rsidR="00C66493" w:rsidRPr="00677204" w:rsidRDefault="00CC55C2" w:rsidP="002549F6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 xml:space="preserve">Przepis art. </w:t>
      </w:r>
      <w:r w:rsidR="0059532B" w:rsidRPr="00677204">
        <w:rPr>
          <w:rFonts w:ascii="Times New Roman" w:hAnsi="Times New Roman" w:cs="Times New Roman"/>
          <w:szCs w:val="24"/>
        </w:rPr>
        <w:t>59i</w:t>
      </w:r>
      <w:r w:rsidR="002D7407" w:rsidRPr="00677204">
        <w:rPr>
          <w:rFonts w:ascii="Times New Roman" w:hAnsi="Times New Roman" w:cs="Times New Roman"/>
          <w:szCs w:val="24"/>
        </w:rPr>
        <w:t>l</w:t>
      </w:r>
      <w:r w:rsidRPr="00677204">
        <w:rPr>
          <w:rFonts w:ascii="Times New Roman" w:hAnsi="Times New Roman" w:cs="Times New Roman"/>
          <w:szCs w:val="24"/>
        </w:rPr>
        <w:t xml:space="preserve"> </w:t>
      </w:r>
      <w:r w:rsidR="00644C50" w:rsidRPr="00677204">
        <w:rPr>
          <w:rFonts w:ascii="Times New Roman" w:hAnsi="Times New Roman" w:cs="Times New Roman"/>
          <w:szCs w:val="24"/>
        </w:rPr>
        <w:t xml:space="preserve">określa tryb </w:t>
      </w:r>
      <w:r w:rsidRPr="00677204">
        <w:rPr>
          <w:rFonts w:ascii="Times New Roman" w:hAnsi="Times New Roman" w:cs="Times New Roman"/>
          <w:szCs w:val="24"/>
        </w:rPr>
        <w:t xml:space="preserve">przeniesienia rachunku płatniczego, w tym termin na dokonanie </w:t>
      </w:r>
      <w:r w:rsidR="00F846E3" w:rsidRPr="00677204">
        <w:rPr>
          <w:rFonts w:ascii="Times New Roman" w:hAnsi="Times New Roman" w:cs="Times New Roman"/>
          <w:szCs w:val="24"/>
        </w:rPr>
        <w:t xml:space="preserve">odpowiednich czynności </w:t>
      </w:r>
      <w:r w:rsidRPr="00677204">
        <w:rPr>
          <w:rFonts w:ascii="Times New Roman" w:hAnsi="Times New Roman" w:cs="Times New Roman"/>
          <w:szCs w:val="24"/>
        </w:rPr>
        <w:t xml:space="preserve">przez dostawców uczestniczących w </w:t>
      </w:r>
      <w:r w:rsidR="00F846E3" w:rsidRPr="00677204">
        <w:rPr>
          <w:rFonts w:ascii="Times New Roman" w:hAnsi="Times New Roman" w:cs="Times New Roman"/>
          <w:szCs w:val="24"/>
        </w:rPr>
        <w:t>przeniesieniu</w:t>
      </w:r>
      <w:r w:rsidR="00B214E2" w:rsidRPr="00677204">
        <w:rPr>
          <w:rFonts w:ascii="Times New Roman" w:hAnsi="Times New Roman" w:cs="Times New Roman"/>
          <w:szCs w:val="24"/>
        </w:rPr>
        <w:t>.</w:t>
      </w:r>
      <w:r w:rsidR="00C66493" w:rsidRPr="00677204">
        <w:rPr>
          <w:rFonts w:ascii="Times New Roman" w:hAnsi="Times New Roman" w:cs="Times New Roman"/>
          <w:szCs w:val="24"/>
        </w:rPr>
        <w:t xml:space="preserve"> </w:t>
      </w:r>
      <w:r w:rsidRPr="00677204">
        <w:rPr>
          <w:rFonts w:ascii="Times New Roman" w:hAnsi="Times New Roman" w:cs="Times New Roman"/>
          <w:szCs w:val="24"/>
        </w:rPr>
        <w:t xml:space="preserve">Jeżeli </w:t>
      </w:r>
      <w:r w:rsidR="00B214E2" w:rsidRPr="00677204">
        <w:rPr>
          <w:rFonts w:ascii="Times New Roman" w:hAnsi="Times New Roman" w:cs="Times New Roman"/>
          <w:szCs w:val="24"/>
        </w:rPr>
        <w:t xml:space="preserve">nowym </w:t>
      </w:r>
      <w:r w:rsidRPr="00677204">
        <w:rPr>
          <w:rFonts w:ascii="Times New Roman" w:hAnsi="Times New Roman" w:cs="Times New Roman"/>
          <w:szCs w:val="24"/>
        </w:rPr>
        <w:t xml:space="preserve">dostawcą usług płatniczych </w:t>
      </w:r>
      <w:r w:rsidR="00D64757" w:rsidRPr="00677204">
        <w:rPr>
          <w:rFonts w:ascii="Times New Roman" w:hAnsi="Times New Roman" w:cs="Times New Roman"/>
          <w:szCs w:val="24"/>
        </w:rPr>
        <w:t xml:space="preserve">będzie </w:t>
      </w:r>
      <w:r w:rsidRPr="00677204">
        <w:rPr>
          <w:rFonts w:ascii="Times New Roman" w:hAnsi="Times New Roman" w:cs="Times New Roman"/>
          <w:szCs w:val="24"/>
        </w:rPr>
        <w:t>spółdzielcza kasa oszczędnościowo-</w:t>
      </w:r>
      <w:r w:rsidR="003F6805">
        <w:rPr>
          <w:rFonts w:ascii="Times New Roman" w:hAnsi="Times New Roman" w:cs="Times New Roman"/>
          <w:szCs w:val="24"/>
        </w:rPr>
        <w:br/>
        <w:t>-</w:t>
      </w:r>
      <w:r w:rsidRPr="00677204">
        <w:rPr>
          <w:rFonts w:ascii="Times New Roman" w:hAnsi="Times New Roman" w:cs="Times New Roman"/>
          <w:szCs w:val="24"/>
        </w:rPr>
        <w:t>kredytowa w</w:t>
      </w:r>
      <w:r w:rsidR="006D4B38">
        <w:rPr>
          <w:rFonts w:ascii="Times New Roman" w:hAnsi="Times New Roman" w:cs="Times New Roman"/>
          <w:szCs w:val="24"/>
        </w:rPr>
        <w:t xml:space="preserve"> </w:t>
      </w:r>
      <w:r w:rsidRPr="00677204">
        <w:rPr>
          <w:rFonts w:ascii="Times New Roman" w:hAnsi="Times New Roman" w:cs="Times New Roman"/>
          <w:szCs w:val="24"/>
        </w:rPr>
        <w:t>rozumieniu ustawy z dnia 5 listopada 2009 r. o spółdzielczych kasach oszczędnościowo-kredytowych (Dz.</w:t>
      </w:r>
      <w:r w:rsidR="00D53305" w:rsidRPr="00677204">
        <w:rPr>
          <w:rFonts w:ascii="Times New Roman" w:hAnsi="Times New Roman" w:cs="Times New Roman"/>
          <w:szCs w:val="24"/>
        </w:rPr>
        <w:t xml:space="preserve"> </w:t>
      </w:r>
      <w:r w:rsidRPr="00677204">
        <w:rPr>
          <w:rFonts w:ascii="Times New Roman" w:hAnsi="Times New Roman" w:cs="Times New Roman"/>
          <w:szCs w:val="24"/>
        </w:rPr>
        <w:t>U. z 2013 r. poz. 1450</w:t>
      </w:r>
      <w:r w:rsidR="00913238">
        <w:rPr>
          <w:rFonts w:ascii="Times New Roman" w:hAnsi="Times New Roman" w:cs="Times New Roman"/>
          <w:szCs w:val="24"/>
        </w:rPr>
        <w:t>, z późn. zm.</w:t>
      </w:r>
      <w:r w:rsidRPr="00677204">
        <w:rPr>
          <w:rFonts w:ascii="Times New Roman" w:hAnsi="Times New Roman" w:cs="Times New Roman"/>
          <w:szCs w:val="24"/>
        </w:rPr>
        <w:t>)</w:t>
      </w:r>
      <w:r w:rsidR="00D64757" w:rsidRPr="00677204">
        <w:rPr>
          <w:rFonts w:ascii="Times New Roman" w:hAnsi="Times New Roman" w:cs="Times New Roman"/>
          <w:szCs w:val="24"/>
        </w:rPr>
        <w:t xml:space="preserve">, </w:t>
      </w:r>
      <w:r w:rsidRPr="00677204">
        <w:rPr>
          <w:rFonts w:ascii="Times New Roman" w:hAnsi="Times New Roman" w:cs="Times New Roman"/>
          <w:szCs w:val="24"/>
        </w:rPr>
        <w:t xml:space="preserve">dostawca ten </w:t>
      </w:r>
      <w:r w:rsidR="00D64757" w:rsidRPr="00677204">
        <w:rPr>
          <w:rFonts w:ascii="Times New Roman" w:hAnsi="Times New Roman" w:cs="Times New Roman"/>
          <w:szCs w:val="24"/>
        </w:rPr>
        <w:t xml:space="preserve">będzie </w:t>
      </w:r>
      <w:r w:rsidRPr="00677204">
        <w:rPr>
          <w:rFonts w:ascii="Times New Roman" w:hAnsi="Times New Roman" w:cs="Times New Roman"/>
          <w:szCs w:val="24"/>
        </w:rPr>
        <w:t xml:space="preserve">zobowiązany do dokonania weryfikacji </w:t>
      </w:r>
      <w:r w:rsidR="00A57950">
        <w:rPr>
          <w:rFonts w:ascii="Times New Roman" w:hAnsi="Times New Roman" w:cs="Times New Roman"/>
          <w:szCs w:val="24"/>
        </w:rPr>
        <w:t>członkostwa konsumenta u </w:t>
      </w:r>
      <w:r w:rsidR="00B31B6F" w:rsidRPr="00677204">
        <w:rPr>
          <w:rFonts w:ascii="Times New Roman" w:hAnsi="Times New Roman" w:cs="Times New Roman"/>
          <w:szCs w:val="24"/>
        </w:rPr>
        <w:t>tego dostawcy</w:t>
      </w:r>
      <w:r w:rsidR="003F6805">
        <w:rPr>
          <w:rFonts w:ascii="Times New Roman" w:hAnsi="Times New Roman" w:cs="Times New Roman"/>
          <w:szCs w:val="24"/>
        </w:rPr>
        <w:t>,</w:t>
      </w:r>
      <w:r w:rsidR="00B31B6F" w:rsidRPr="00677204">
        <w:rPr>
          <w:rFonts w:ascii="Times New Roman" w:hAnsi="Times New Roman" w:cs="Times New Roman"/>
          <w:szCs w:val="24"/>
        </w:rPr>
        <w:t xml:space="preserve"> </w:t>
      </w:r>
      <w:r w:rsidR="00D7536B" w:rsidRPr="00677204">
        <w:rPr>
          <w:rFonts w:ascii="Times New Roman" w:hAnsi="Times New Roman" w:cs="Times New Roman"/>
          <w:szCs w:val="24"/>
        </w:rPr>
        <w:t>a</w:t>
      </w:r>
      <w:r w:rsidRPr="00677204">
        <w:rPr>
          <w:rFonts w:ascii="Times New Roman" w:hAnsi="Times New Roman" w:cs="Times New Roman"/>
          <w:szCs w:val="24"/>
        </w:rPr>
        <w:t xml:space="preserve"> termin na rozpoczęc</w:t>
      </w:r>
      <w:r w:rsidR="00C66493" w:rsidRPr="00677204">
        <w:rPr>
          <w:rFonts w:ascii="Times New Roman" w:hAnsi="Times New Roman" w:cs="Times New Roman"/>
          <w:szCs w:val="24"/>
        </w:rPr>
        <w:t xml:space="preserve">ie procesu przeniesienia przez </w:t>
      </w:r>
      <w:r w:rsidRPr="00677204">
        <w:rPr>
          <w:rFonts w:ascii="Times New Roman" w:hAnsi="Times New Roman" w:cs="Times New Roman"/>
          <w:szCs w:val="24"/>
        </w:rPr>
        <w:t xml:space="preserve">dostawcę </w:t>
      </w:r>
      <w:r w:rsidR="00D64757" w:rsidRPr="00677204">
        <w:rPr>
          <w:rFonts w:ascii="Times New Roman" w:hAnsi="Times New Roman" w:cs="Times New Roman"/>
          <w:szCs w:val="24"/>
        </w:rPr>
        <w:t>zostanie prze</w:t>
      </w:r>
      <w:r w:rsidRPr="00677204">
        <w:rPr>
          <w:rFonts w:ascii="Times New Roman" w:hAnsi="Times New Roman" w:cs="Times New Roman"/>
          <w:szCs w:val="24"/>
        </w:rPr>
        <w:t>dłużony</w:t>
      </w:r>
      <w:r w:rsidR="00D64757" w:rsidRPr="00677204">
        <w:rPr>
          <w:rFonts w:ascii="Times New Roman" w:hAnsi="Times New Roman" w:cs="Times New Roman"/>
          <w:szCs w:val="24"/>
        </w:rPr>
        <w:t xml:space="preserve">, </w:t>
      </w:r>
      <w:r w:rsidR="00D7536B" w:rsidRPr="00677204">
        <w:rPr>
          <w:rFonts w:ascii="Times New Roman" w:hAnsi="Times New Roman" w:cs="Times New Roman"/>
          <w:szCs w:val="24"/>
        </w:rPr>
        <w:t>tj.</w:t>
      </w:r>
      <w:r w:rsidRPr="00677204">
        <w:rPr>
          <w:rFonts w:ascii="Times New Roman" w:hAnsi="Times New Roman" w:cs="Times New Roman"/>
          <w:szCs w:val="24"/>
        </w:rPr>
        <w:t xml:space="preserve"> </w:t>
      </w:r>
      <w:r w:rsidR="00D64757" w:rsidRPr="00677204">
        <w:rPr>
          <w:rFonts w:ascii="Times New Roman" w:hAnsi="Times New Roman" w:cs="Times New Roman"/>
          <w:szCs w:val="24"/>
        </w:rPr>
        <w:t xml:space="preserve">będzie </w:t>
      </w:r>
      <w:r w:rsidRPr="00677204">
        <w:rPr>
          <w:rFonts w:ascii="Times New Roman" w:hAnsi="Times New Roman" w:cs="Times New Roman"/>
          <w:szCs w:val="24"/>
        </w:rPr>
        <w:t xml:space="preserve">liczony dopiero od momentu pozytywnej weryfikacji </w:t>
      </w:r>
      <w:r w:rsidR="00B31B6F" w:rsidRPr="00677204">
        <w:rPr>
          <w:rFonts w:ascii="Times New Roman" w:hAnsi="Times New Roman" w:cs="Times New Roman"/>
          <w:szCs w:val="24"/>
        </w:rPr>
        <w:t xml:space="preserve">członkostwa </w:t>
      </w:r>
      <w:r w:rsidR="00224F74" w:rsidRPr="00677204">
        <w:rPr>
          <w:rFonts w:ascii="Times New Roman" w:hAnsi="Times New Roman" w:cs="Times New Roman"/>
          <w:szCs w:val="24"/>
        </w:rPr>
        <w:t>oraz podpisania umowy o</w:t>
      </w:r>
      <w:r w:rsidR="006D4B38">
        <w:rPr>
          <w:rFonts w:ascii="Times New Roman" w:hAnsi="Times New Roman" w:cs="Times New Roman"/>
          <w:szCs w:val="24"/>
        </w:rPr>
        <w:t xml:space="preserve"> </w:t>
      </w:r>
      <w:r w:rsidR="00224F74" w:rsidRPr="00677204">
        <w:rPr>
          <w:rFonts w:ascii="Times New Roman" w:hAnsi="Times New Roman" w:cs="Times New Roman"/>
          <w:szCs w:val="24"/>
        </w:rPr>
        <w:t xml:space="preserve">członkostwo spółdzielczej kasy oszczędnościowo-kredytowej </w:t>
      </w:r>
      <w:r w:rsidR="0059532B" w:rsidRPr="00677204">
        <w:rPr>
          <w:rFonts w:ascii="Times New Roman" w:hAnsi="Times New Roman" w:cs="Times New Roman"/>
          <w:szCs w:val="24"/>
        </w:rPr>
        <w:t>(art. 59i</w:t>
      </w:r>
      <w:r w:rsidR="002D7407" w:rsidRPr="00677204">
        <w:rPr>
          <w:rFonts w:ascii="Times New Roman" w:hAnsi="Times New Roman" w:cs="Times New Roman"/>
          <w:szCs w:val="24"/>
        </w:rPr>
        <w:t>l</w:t>
      </w:r>
      <w:r w:rsidR="0059532B" w:rsidRPr="00677204">
        <w:rPr>
          <w:rFonts w:ascii="Times New Roman" w:hAnsi="Times New Roman" w:cs="Times New Roman"/>
          <w:szCs w:val="24"/>
        </w:rPr>
        <w:t xml:space="preserve"> ust. 2)</w:t>
      </w:r>
      <w:r w:rsidR="00C66493" w:rsidRPr="00677204">
        <w:rPr>
          <w:rFonts w:ascii="Times New Roman" w:hAnsi="Times New Roman" w:cs="Times New Roman"/>
          <w:szCs w:val="24"/>
        </w:rPr>
        <w:t>.</w:t>
      </w:r>
    </w:p>
    <w:p w14:paraId="2AF33722" w14:textId="6931626E" w:rsidR="003D30F2" w:rsidRPr="00677204" w:rsidRDefault="00CC55C2" w:rsidP="002549F6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>Ponadto w ust. 7 wskazano, ż</w:t>
      </w:r>
      <w:r w:rsidR="00D64757" w:rsidRPr="00677204">
        <w:rPr>
          <w:rFonts w:ascii="Times New Roman" w:hAnsi="Times New Roman" w:cs="Times New Roman"/>
          <w:szCs w:val="24"/>
        </w:rPr>
        <w:t>e</w:t>
      </w:r>
      <w:r w:rsidRPr="00677204">
        <w:rPr>
          <w:rFonts w:ascii="Times New Roman" w:hAnsi="Times New Roman" w:cs="Times New Roman"/>
          <w:szCs w:val="24"/>
        </w:rPr>
        <w:t xml:space="preserve"> </w:t>
      </w:r>
      <w:r w:rsidR="00224F74" w:rsidRPr="00677204">
        <w:rPr>
          <w:rFonts w:ascii="Times New Roman" w:hAnsi="Times New Roman" w:cs="Times New Roman"/>
          <w:szCs w:val="24"/>
        </w:rPr>
        <w:t xml:space="preserve">przyjmujący </w:t>
      </w:r>
      <w:r w:rsidRPr="00677204">
        <w:rPr>
          <w:rFonts w:ascii="Times New Roman" w:hAnsi="Times New Roman" w:cs="Times New Roman"/>
          <w:szCs w:val="24"/>
        </w:rPr>
        <w:t xml:space="preserve">dostawca usług płatniczych </w:t>
      </w:r>
      <w:r w:rsidR="00D64757" w:rsidRPr="00677204">
        <w:rPr>
          <w:rFonts w:ascii="Times New Roman" w:hAnsi="Times New Roman" w:cs="Times New Roman"/>
          <w:szCs w:val="24"/>
        </w:rPr>
        <w:t xml:space="preserve">będzie </w:t>
      </w:r>
      <w:r w:rsidRPr="00677204">
        <w:rPr>
          <w:rFonts w:ascii="Times New Roman" w:hAnsi="Times New Roman" w:cs="Times New Roman"/>
          <w:szCs w:val="24"/>
        </w:rPr>
        <w:t xml:space="preserve">zobowiązany dostarczyć </w:t>
      </w:r>
      <w:r w:rsidR="00E439E3" w:rsidRPr="00677204">
        <w:rPr>
          <w:rFonts w:ascii="Times New Roman" w:hAnsi="Times New Roman" w:cs="Times New Roman"/>
          <w:szCs w:val="24"/>
        </w:rPr>
        <w:t xml:space="preserve">konsumentowi </w:t>
      </w:r>
      <w:r w:rsidRPr="00677204">
        <w:rPr>
          <w:rFonts w:ascii="Times New Roman" w:hAnsi="Times New Roman" w:cs="Times New Roman"/>
          <w:szCs w:val="24"/>
        </w:rPr>
        <w:t>informacje dotyczące rachunku płatniczego w</w:t>
      </w:r>
      <w:r w:rsidR="00A57950">
        <w:rPr>
          <w:rFonts w:ascii="Times New Roman" w:hAnsi="Times New Roman" w:cs="Times New Roman"/>
          <w:szCs w:val="24"/>
        </w:rPr>
        <w:t> </w:t>
      </w:r>
      <w:r w:rsidRPr="00677204">
        <w:rPr>
          <w:rFonts w:ascii="Times New Roman" w:hAnsi="Times New Roman" w:cs="Times New Roman"/>
          <w:szCs w:val="24"/>
        </w:rPr>
        <w:t>sytuacji</w:t>
      </w:r>
      <w:r w:rsidR="003F6805">
        <w:rPr>
          <w:rFonts w:ascii="Times New Roman" w:hAnsi="Times New Roman" w:cs="Times New Roman"/>
          <w:szCs w:val="24"/>
        </w:rPr>
        <w:t>,</w:t>
      </w:r>
      <w:r w:rsidRPr="00677204">
        <w:rPr>
          <w:rFonts w:ascii="Times New Roman" w:hAnsi="Times New Roman" w:cs="Times New Roman"/>
          <w:szCs w:val="24"/>
        </w:rPr>
        <w:t xml:space="preserve"> gdy </w:t>
      </w:r>
      <w:r w:rsidR="00E439E3" w:rsidRPr="00677204">
        <w:rPr>
          <w:rFonts w:ascii="Times New Roman" w:hAnsi="Times New Roman" w:cs="Times New Roman"/>
          <w:szCs w:val="24"/>
        </w:rPr>
        <w:t xml:space="preserve">konsument </w:t>
      </w:r>
      <w:r w:rsidRPr="00677204">
        <w:rPr>
          <w:rFonts w:ascii="Times New Roman" w:hAnsi="Times New Roman" w:cs="Times New Roman"/>
          <w:szCs w:val="24"/>
        </w:rPr>
        <w:t xml:space="preserve">zdecyduje się samodzielnie poinformować płatników </w:t>
      </w:r>
      <w:r w:rsidRPr="00677204">
        <w:rPr>
          <w:rFonts w:ascii="Times New Roman" w:hAnsi="Times New Roman" w:cs="Times New Roman"/>
          <w:szCs w:val="24"/>
        </w:rPr>
        <w:lastRenderedPageBreak/>
        <w:t xml:space="preserve">dokonujących poleceń przelewu na rachunek </w:t>
      </w:r>
      <w:r w:rsidR="00E439E3" w:rsidRPr="00677204">
        <w:rPr>
          <w:rFonts w:ascii="Times New Roman" w:hAnsi="Times New Roman" w:cs="Times New Roman"/>
          <w:szCs w:val="24"/>
        </w:rPr>
        <w:t xml:space="preserve">konsumenta </w:t>
      </w:r>
      <w:r w:rsidRPr="00677204">
        <w:rPr>
          <w:rFonts w:ascii="Times New Roman" w:hAnsi="Times New Roman" w:cs="Times New Roman"/>
          <w:szCs w:val="24"/>
        </w:rPr>
        <w:t xml:space="preserve">i odbiorców stosujących polecenie zapłaty do pobierania środków pieniężnych z rachunku </w:t>
      </w:r>
      <w:r w:rsidR="00E439E3" w:rsidRPr="00677204">
        <w:rPr>
          <w:rFonts w:ascii="Times New Roman" w:hAnsi="Times New Roman" w:cs="Times New Roman"/>
          <w:szCs w:val="24"/>
        </w:rPr>
        <w:t>konsumenta</w:t>
      </w:r>
      <w:r w:rsidRPr="00677204">
        <w:rPr>
          <w:rFonts w:ascii="Times New Roman" w:hAnsi="Times New Roman" w:cs="Times New Roman"/>
          <w:szCs w:val="24"/>
        </w:rPr>
        <w:t>. Ponadto ust.</w:t>
      </w:r>
      <w:r w:rsidR="002549F6" w:rsidRPr="00677204">
        <w:rPr>
          <w:rFonts w:ascii="Times New Roman" w:hAnsi="Times New Roman" w:cs="Times New Roman"/>
          <w:szCs w:val="24"/>
        </w:rPr>
        <w:t xml:space="preserve"> </w:t>
      </w:r>
      <w:r w:rsidRPr="00677204">
        <w:rPr>
          <w:rFonts w:ascii="Times New Roman" w:hAnsi="Times New Roman" w:cs="Times New Roman"/>
          <w:szCs w:val="24"/>
        </w:rPr>
        <w:t>8 zabrania przekazującemu dostawcy usług płatniczych blokowania instrumentów pła</w:t>
      </w:r>
      <w:r w:rsidR="002549F6" w:rsidRPr="00677204">
        <w:rPr>
          <w:rFonts w:ascii="Times New Roman" w:hAnsi="Times New Roman" w:cs="Times New Roman"/>
          <w:szCs w:val="24"/>
        </w:rPr>
        <w:t>tniczych przed datą określoną w</w:t>
      </w:r>
      <w:r w:rsidR="006D4B38">
        <w:rPr>
          <w:rFonts w:ascii="Times New Roman" w:hAnsi="Times New Roman" w:cs="Times New Roman"/>
          <w:szCs w:val="24"/>
        </w:rPr>
        <w:t xml:space="preserve"> </w:t>
      </w:r>
      <w:r w:rsidRPr="00677204">
        <w:rPr>
          <w:rFonts w:ascii="Times New Roman" w:hAnsi="Times New Roman" w:cs="Times New Roman"/>
          <w:szCs w:val="24"/>
        </w:rPr>
        <w:t>upoważnieniu.</w:t>
      </w:r>
    </w:p>
    <w:p w14:paraId="6BDFA4ED" w14:textId="0FF73C78" w:rsidR="009C06F1" w:rsidRPr="00677204" w:rsidRDefault="00CC55C2" w:rsidP="002549F6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>W art. 5</w:t>
      </w:r>
      <w:r w:rsidR="0059532B" w:rsidRPr="00677204">
        <w:rPr>
          <w:rFonts w:ascii="Times New Roman" w:hAnsi="Times New Roman" w:cs="Times New Roman"/>
          <w:szCs w:val="24"/>
        </w:rPr>
        <w:t>9i</w:t>
      </w:r>
      <w:r w:rsidR="002D7407" w:rsidRPr="00677204">
        <w:rPr>
          <w:rFonts w:ascii="Times New Roman" w:hAnsi="Times New Roman" w:cs="Times New Roman"/>
          <w:szCs w:val="24"/>
        </w:rPr>
        <w:t>m</w:t>
      </w:r>
      <w:r w:rsidRPr="00677204">
        <w:rPr>
          <w:rFonts w:ascii="Times New Roman" w:hAnsi="Times New Roman" w:cs="Times New Roman"/>
          <w:szCs w:val="24"/>
        </w:rPr>
        <w:t xml:space="preserve"> uregulowano tryb postępowania w przypadku</w:t>
      </w:r>
      <w:r w:rsidR="003F6805">
        <w:rPr>
          <w:rFonts w:ascii="Times New Roman" w:hAnsi="Times New Roman" w:cs="Times New Roman"/>
          <w:szCs w:val="24"/>
        </w:rPr>
        <w:t>,</w:t>
      </w:r>
      <w:r w:rsidRPr="00677204">
        <w:rPr>
          <w:rFonts w:ascii="Times New Roman" w:hAnsi="Times New Roman" w:cs="Times New Roman"/>
          <w:szCs w:val="24"/>
        </w:rPr>
        <w:t xml:space="preserve"> gdy </w:t>
      </w:r>
      <w:r w:rsidR="00E439E3" w:rsidRPr="00677204">
        <w:rPr>
          <w:rFonts w:ascii="Times New Roman" w:hAnsi="Times New Roman" w:cs="Times New Roman"/>
          <w:szCs w:val="24"/>
        </w:rPr>
        <w:t xml:space="preserve">konsument </w:t>
      </w:r>
      <w:r w:rsidRPr="00677204">
        <w:rPr>
          <w:rFonts w:ascii="Times New Roman" w:hAnsi="Times New Roman" w:cs="Times New Roman"/>
          <w:szCs w:val="24"/>
        </w:rPr>
        <w:t>zgłosi swojemu dostawcy zamiar otwarcia rachunku płatniczego w innym państwie członkowskim</w:t>
      </w:r>
      <w:r w:rsidR="0059532B" w:rsidRPr="00677204">
        <w:rPr>
          <w:rFonts w:ascii="Times New Roman" w:hAnsi="Times New Roman" w:cs="Times New Roman"/>
          <w:szCs w:val="24"/>
        </w:rPr>
        <w:t>, wskazując do wykonania jakich czynności zobowiązany jest w takim przypadku dostawca</w:t>
      </w:r>
      <w:r w:rsidRPr="00677204">
        <w:rPr>
          <w:rFonts w:ascii="Times New Roman" w:hAnsi="Times New Roman" w:cs="Times New Roman"/>
          <w:szCs w:val="24"/>
        </w:rPr>
        <w:t>.</w:t>
      </w:r>
      <w:r w:rsidR="00C66493" w:rsidRPr="00677204">
        <w:rPr>
          <w:rFonts w:ascii="Times New Roman" w:hAnsi="Times New Roman" w:cs="Times New Roman"/>
          <w:szCs w:val="24"/>
        </w:rPr>
        <w:t xml:space="preserve"> </w:t>
      </w:r>
      <w:r w:rsidR="00DC0D80" w:rsidRPr="00677204">
        <w:rPr>
          <w:rFonts w:ascii="Times New Roman" w:hAnsi="Times New Roman" w:cs="Times New Roman"/>
          <w:szCs w:val="24"/>
        </w:rPr>
        <w:t xml:space="preserve">Przepis </w:t>
      </w:r>
      <w:r w:rsidR="00274B92" w:rsidRPr="00677204">
        <w:rPr>
          <w:rFonts w:ascii="Times New Roman" w:hAnsi="Times New Roman" w:cs="Times New Roman"/>
          <w:szCs w:val="24"/>
        </w:rPr>
        <w:t xml:space="preserve">ust. 2 </w:t>
      </w:r>
      <w:r w:rsidR="00B214E2" w:rsidRPr="00677204">
        <w:rPr>
          <w:rFonts w:ascii="Times New Roman" w:hAnsi="Times New Roman" w:cs="Times New Roman"/>
          <w:szCs w:val="24"/>
        </w:rPr>
        <w:t>określa</w:t>
      </w:r>
      <w:r w:rsidR="00274B92" w:rsidRPr="00677204">
        <w:rPr>
          <w:rFonts w:ascii="Times New Roman" w:hAnsi="Times New Roman" w:cs="Times New Roman"/>
          <w:szCs w:val="24"/>
        </w:rPr>
        <w:t xml:space="preserve"> termin </w:t>
      </w:r>
      <w:r w:rsidR="0059532B" w:rsidRPr="00677204">
        <w:rPr>
          <w:rFonts w:ascii="Times New Roman" w:hAnsi="Times New Roman" w:cs="Times New Roman"/>
          <w:szCs w:val="24"/>
        </w:rPr>
        <w:t xml:space="preserve">na wykonanie czynności przez dostawcę </w:t>
      </w:r>
      <w:r w:rsidR="00274B92" w:rsidRPr="00677204">
        <w:rPr>
          <w:rFonts w:ascii="Times New Roman" w:hAnsi="Times New Roman" w:cs="Times New Roman"/>
          <w:szCs w:val="24"/>
        </w:rPr>
        <w:t>usług płatniczych, który prowadzi aktualnie rachunek płatniczy konsumenta</w:t>
      </w:r>
      <w:r w:rsidR="009130F4" w:rsidRPr="00677204">
        <w:rPr>
          <w:rFonts w:ascii="Times New Roman" w:hAnsi="Times New Roman" w:cs="Times New Roman"/>
          <w:szCs w:val="24"/>
        </w:rPr>
        <w:t xml:space="preserve">. </w:t>
      </w:r>
      <w:r w:rsidR="00DC0D80" w:rsidRPr="00677204">
        <w:rPr>
          <w:rFonts w:ascii="Times New Roman" w:hAnsi="Times New Roman" w:cs="Times New Roman"/>
          <w:szCs w:val="24"/>
        </w:rPr>
        <w:t xml:space="preserve">Jeżeli </w:t>
      </w:r>
      <w:r w:rsidR="009130F4" w:rsidRPr="00677204">
        <w:rPr>
          <w:rFonts w:ascii="Times New Roman" w:hAnsi="Times New Roman" w:cs="Times New Roman"/>
          <w:szCs w:val="24"/>
        </w:rPr>
        <w:t xml:space="preserve">na rachunku </w:t>
      </w:r>
      <w:r w:rsidR="00DF5B02" w:rsidRPr="00677204">
        <w:rPr>
          <w:rFonts w:ascii="Times New Roman" w:hAnsi="Times New Roman" w:cs="Times New Roman"/>
          <w:szCs w:val="24"/>
        </w:rPr>
        <w:t>płatniczym podlegającym procedurze przeniesienia</w:t>
      </w:r>
      <w:r w:rsidR="009130F4" w:rsidRPr="00677204">
        <w:rPr>
          <w:rFonts w:ascii="Times New Roman" w:hAnsi="Times New Roman" w:cs="Times New Roman"/>
          <w:szCs w:val="24"/>
        </w:rPr>
        <w:t xml:space="preserve"> </w:t>
      </w:r>
      <w:r w:rsidR="00DC0D80" w:rsidRPr="00677204">
        <w:rPr>
          <w:rFonts w:ascii="Times New Roman" w:hAnsi="Times New Roman" w:cs="Times New Roman"/>
          <w:szCs w:val="24"/>
        </w:rPr>
        <w:t xml:space="preserve">będą </w:t>
      </w:r>
      <w:r w:rsidR="009130F4" w:rsidRPr="00677204">
        <w:rPr>
          <w:rFonts w:ascii="Times New Roman" w:hAnsi="Times New Roman" w:cs="Times New Roman"/>
          <w:szCs w:val="24"/>
        </w:rPr>
        <w:t>nieuregulowane zobowiązania</w:t>
      </w:r>
      <w:r w:rsidR="00DC0D80" w:rsidRPr="00677204">
        <w:rPr>
          <w:rFonts w:ascii="Times New Roman" w:hAnsi="Times New Roman" w:cs="Times New Roman"/>
          <w:szCs w:val="24"/>
        </w:rPr>
        <w:t xml:space="preserve">, </w:t>
      </w:r>
      <w:r w:rsidR="009130F4" w:rsidRPr="00677204">
        <w:rPr>
          <w:rFonts w:ascii="Times New Roman" w:hAnsi="Times New Roman" w:cs="Times New Roman"/>
          <w:szCs w:val="24"/>
        </w:rPr>
        <w:t xml:space="preserve">dostawca usług płatniczych </w:t>
      </w:r>
      <w:r w:rsidR="00DC0D80" w:rsidRPr="00677204">
        <w:rPr>
          <w:rFonts w:ascii="Times New Roman" w:hAnsi="Times New Roman" w:cs="Times New Roman"/>
          <w:szCs w:val="24"/>
        </w:rPr>
        <w:t>po</w:t>
      </w:r>
      <w:r w:rsidR="009130F4" w:rsidRPr="00677204">
        <w:rPr>
          <w:rFonts w:ascii="Times New Roman" w:hAnsi="Times New Roman" w:cs="Times New Roman"/>
          <w:szCs w:val="24"/>
        </w:rPr>
        <w:t>informuje</w:t>
      </w:r>
      <w:r w:rsidR="00D64A79" w:rsidRPr="00677204">
        <w:rPr>
          <w:rFonts w:ascii="Times New Roman" w:hAnsi="Times New Roman" w:cs="Times New Roman"/>
          <w:szCs w:val="24"/>
        </w:rPr>
        <w:t xml:space="preserve"> konsumenta</w:t>
      </w:r>
      <w:r w:rsidR="00A57950">
        <w:rPr>
          <w:rFonts w:ascii="Times New Roman" w:hAnsi="Times New Roman" w:cs="Times New Roman"/>
          <w:szCs w:val="24"/>
        </w:rPr>
        <w:t xml:space="preserve"> o </w:t>
      </w:r>
      <w:r w:rsidR="00DF5B02" w:rsidRPr="00677204">
        <w:rPr>
          <w:rFonts w:ascii="Times New Roman" w:hAnsi="Times New Roman" w:cs="Times New Roman"/>
          <w:szCs w:val="24"/>
        </w:rPr>
        <w:t>braku możliwości</w:t>
      </w:r>
      <w:r w:rsidR="009130F4" w:rsidRPr="00677204">
        <w:rPr>
          <w:rFonts w:ascii="Times New Roman" w:hAnsi="Times New Roman" w:cs="Times New Roman"/>
          <w:szCs w:val="24"/>
        </w:rPr>
        <w:t xml:space="preserve"> zamknięcia rachunku w taki</w:t>
      </w:r>
      <w:r w:rsidR="009C06F1" w:rsidRPr="00677204">
        <w:rPr>
          <w:rFonts w:ascii="Times New Roman" w:hAnsi="Times New Roman" w:cs="Times New Roman"/>
          <w:szCs w:val="24"/>
        </w:rPr>
        <w:t>m przypad</w:t>
      </w:r>
      <w:r w:rsidR="00E124DC" w:rsidRPr="00677204">
        <w:rPr>
          <w:rFonts w:ascii="Times New Roman" w:hAnsi="Times New Roman" w:cs="Times New Roman"/>
          <w:szCs w:val="24"/>
        </w:rPr>
        <w:t>k</w:t>
      </w:r>
      <w:r w:rsidR="009C06F1" w:rsidRPr="00677204">
        <w:rPr>
          <w:rFonts w:ascii="Times New Roman" w:hAnsi="Times New Roman" w:cs="Times New Roman"/>
          <w:szCs w:val="24"/>
        </w:rPr>
        <w:t>u</w:t>
      </w:r>
      <w:r w:rsidR="00B214E2" w:rsidRPr="00677204">
        <w:rPr>
          <w:rFonts w:ascii="Times New Roman" w:hAnsi="Times New Roman" w:cs="Times New Roman"/>
          <w:szCs w:val="24"/>
        </w:rPr>
        <w:t>.</w:t>
      </w:r>
    </w:p>
    <w:p w14:paraId="7DC7196C" w14:textId="67EDD215" w:rsidR="00DC0D80" w:rsidRPr="00677204" w:rsidRDefault="009130F4" w:rsidP="002549F6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 xml:space="preserve">W </w:t>
      </w:r>
      <w:r w:rsidR="00AC44C8" w:rsidRPr="00677204">
        <w:rPr>
          <w:rFonts w:ascii="Times New Roman" w:hAnsi="Times New Roman" w:cs="Times New Roman"/>
          <w:szCs w:val="24"/>
        </w:rPr>
        <w:t>art. 59i</w:t>
      </w:r>
      <w:r w:rsidR="002D7407" w:rsidRPr="00677204">
        <w:rPr>
          <w:rFonts w:ascii="Times New Roman" w:hAnsi="Times New Roman" w:cs="Times New Roman"/>
          <w:szCs w:val="24"/>
        </w:rPr>
        <w:t>m</w:t>
      </w:r>
      <w:r w:rsidR="00AA179D" w:rsidRPr="00677204">
        <w:rPr>
          <w:rFonts w:ascii="Times New Roman" w:hAnsi="Times New Roman" w:cs="Times New Roman"/>
          <w:szCs w:val="24"/>
        </w:rPr>
        <w:t xml:space="preserve"> ust.</w:t>
      </w:r>
      <w:r w:rsidR="00043586" w:rsidRPr="00677204">
        <w:rPr>
          <w:rFonts w:ascii="Times New Roman" w:hAnsi="Times New Roman" w:cs="Times New Roman"/>
          <w:szCs w:val="24"/>
        </w:rPr>
        <w:t xml:space="preserve"> </w:t>
      </w:r>
      <w:r w:rsidR="00AA179D" w:rsidRPr="00677204">
        <w:rPr>
          <w:rFonts w:ascii="Times New Roman" w:hAnsi="Times New Roman" w:cs="Times New Roman"/>
          <w:szCs w:val="24"/>
        </w:rPr>
        <w:t>3</w:t>
      </w:r>
      <w:r w:rsidRPr="00677204">
        <w:rPr>
          <w:rFonts w:ascii="Times New Roman" w:hAnsi="Times New Roman" w:cs="Times New Roman"/>
          <w:szCs w:val="24"/>
        </w:rPr>
        <w:t xml:space="preserve"> określono katalog przypadków</w:t>
      </w:r>
      <w:r w:rsidR="00D64A79" w:rsidRPr="00677204">
        <w:rPr>
          <w:rFonts w:ascii="Times New Roman" w:hAnsi="Times New Roman" w:cs="Times New Roman"/>
          <w:szCs w:val="24"/>
        </w:rPr>
        <w:t>,</w:t>
      </w:r>
      <w:r w:rsidR="009C06F1" w:rsidRPr="00677204">
        <w:rPr>
          <w:rFonts w:ascii="Times New Roman" w:hAnsi="Times New Roman" w:cs="Times New Roman"/>
          <w:szCs w:val="24"/>
        </w:rPr>
        <w:t xml:space="preserve"> </w:t>
      </w:r>
      <w:r w:rsidR="00D64A79" w:rsidRPr="00677204">
        <w:rPr>
          <w:rFonts w:ascii="Times New Roman" w:hAnsi="Times New Roman" w:cs="Times New Roman"/>
          <w:szCs w:val="24"/>
        </w:rPr>
        <w:t>które dostawca może traktować jako</w:t>
      </w:r>
      <w:r w:rsidRPr="00677204">
        <w:rPr>
          <w:rFonts w:ascii="Times New Roman" w:hAnsi="Times New Roman" w:cs="Times New Roman"/>
          <w:szCs w:val="24"/>
        </w:rPr>
        <w:t xml:space="preserve"> nieuregulowan</w:t>
      </w:r>
      <w:r w:rsidR="00D64A79" w:rsidRPr="00677204">
        <w:rPr>
          <w:rFonts w:ascii="Times New Roman" w:hAnsi="Times New Roman" w:cs="Times New Roman"/>
          <w:szCs w:val="24"/>
        </w:rPr>
        <w:t>e</w:t>
      </w:r>
      <w:r w:rsidRPr="00677204">
        <w:rPr>
          <w:rFonts w:ascii="Times New Roman" w:hAnsi="Times New Roman" w:cs="Times New Roman"/>
          <w:szCs w:val="24"/>
        </w:rPr>
        <w:t xml:space="preserve"> zobowiąza</w:t>
      </w:r>
      <w:r w:rsidR="00D64A79" w:rsidRPr="00677204">
        <w:rPr>
          <w:rFonts w:ascii="Times New Roman" w:hAnsi="Times New Roman" w:cs="Times New Roman"/>
          <w:szCs w:val="24"/>
        </w:rPr>
        <w:t>nia</w:t>
      </w:r>
      <w:r w:rsidR="00731C1D" w:rsidRPr="00677204">
        <w:rPr>
          <w:rFonts w:ascii="Times New Roman" w:hAnsi="Times New Roman" w:cs="Times New Roman"/>
          <w:szCs w:val="24"/>
        </w:rPr>
        <w:t>, uniemożliwiających zamknięcie rachunku w terminie określonym w art. 59i</w:t>
      </w:r>
      <w:r w:rsidR="002D7407" w:rsidRPr="00677204">
        <w:rPr>
          <w:rFonts w:ascii="Times New Roman" w:hAnsi="Times New Roman" w:cs="Times New Roman"/>
          <w:szCs w:val="24"/>
        </w:rPr>
        <w:t>m</w:t>
      </w:r>
      <w:r w:rsidR="00731C1D" w:rsidRPr="00677204">
        <w:rPr>
          <w:rFonts w:ascii="Times New Roman" w:hAnsi="Times New Roman" w:cs="Times New Roman"/>
          <w:szCs w:val="24"/>
        </w:rPr>
        <w:t xml:space="preserve"> ust. 2</w:t>
      </w:r>
      <w:r w:rsidRPr="00677204">
        <w:rPr>
          <w:rFonts w:ascii="Times New Roman" w:hAnsi="Times New Roman" w:cs="Times New Roman"/>
          <w:szCs w:val="24"/>
        </w:rPr>
        <w:t xml:space="preserve">. </w:t>
      </w:r>
      <w:r w:rsidR="00DC0D80" w:rsidRPr="00677204">
        <w:rPr>
          <w:rFonts w:ascii="Times New Roman" w:hAnsi="Times New Roman" w:cs="Times New Roman"/>
          <w:szCs w:val="24"/>
        </w:rPr>
        <w:t>D</w:t>
      </w:r>
      <w:r w:rsidR="00CC55C2" w:rsidRPr="00677204">
        <w:rPr>
          <w:rFonts w:ascii="Times New Roman" w:hAnsi="Times New Roman" w:cs="Times New Roman"/>
          <w:szCs w:val="24"/>
        </w:rPr>
        <w:t xml:space="preserve">ostawca usług płatniczych </w:t>
      </w:r>
      <w:r w:rsidR="00DC0D80" w:rsidRPr="00677204">
        <w:rPr>
          <w:rFonts w:ascii="Times New Roman" w:hAnsi="Times New Roman" w:cs="Times New Roman"/>
          <w:szCs w:val="24"/>
        </w:rPr>
        <w:t xml:space="preserve">będzie </w:t>
      </w:r>
      <w:r w:rsidR="00CC55C2" w:rsidRPr="00677204">
        <w:rPr>
          <w:rFonts w:ascii="Times New Roman" w:hAnsi="Times New Roman" w:cs="Times New Roman"/>
          <w:szCs w:val="24"/>
        </w:rPr>
        <w:t>odpowiada</w:t>
      </w:r>
      <w:r w:rsidR="00DC0D80" w:rsidRPr="00677204">
        <w:rPr>
          <w:rFonts w:ascii="Times New Roman" w:hAnsi="Times New Roman" w:cs="Times New Roman"/>
          <w:szCs w:val="24"/>
        </w:rPr>
        <w:t>ł</w:t>
      </w:r>
      <w:r w:rsidR="00CC55C2" w:rsidRPr="00677204">
        <w:rPr>
          <w:rFonts w:ascii="Times New Roman" w:hAnsi="Times New Roman" w:cs="Times New Roman"/>
          <w:szCs w:val="24"/>
        </w:rPr>
        <w:t xml:space="preserve"> za </w:t>
      </w:r>
      <w:r w:rsidR="0060185F" w:rsidRPr="00677204">
        <w:rPr>
          <w:rFonts w:ascii="Times New Roman" w:hAnsi="Times New Roman" w:cs="Times New Roman"/>
          <w:szCs w:val="24"/>
        </w:rPr>
        <w:t>straty finansowe</w:t>
      </w:r>
      <w:r w:rsidR="00CC55C2" w:rsidRPr="00677204">
        <w:rPr>
          <w:rFonts w:ascii="Times New Roman" w:hAnsi="Times New Roman" w:cs="Times New Roman"/>
          <w:szCs w:val="24"/>
        </w:rPr>
        <w:t xml:space="preserve"> </w:t>
      </w:r>
      <w:r w:rsidR="00E439E3" w:rsidRPr="00677204">
        <w:rPr>
          <w:rFonts w:ascii="Times New Roman" w:hAnsi="Times New Roman" w:cs="Times New Roman"/>
          <w:szCs w:val="24"/>
        </w:rPr>
        <w:t xml:space="preserve">konsumenta </w:t>
      </w:r>
      <w:r w:rsidR="00CC55C2" w:rsidRPr="00677204">
        <w:rPr>
          <w:rFonts w:ascii="Times New Roman" w:hAnsi="Times New Roman" w:cs="Times New Roman"/>
          <w:szCs w:val="24"/>
        </w:rPr>
        <w:t>pow</w:t>
      </w:r>
      <w:r w:rsidR="00DF5B02" w:rsidRPr="00677204">
        <w:rPr>
          <w:rFonts w:ascii="Times New Roman" w:hAnsi="Times New Roman" w:cs="Times New Roman"/>
          <w:szCs w:val="24"/>
        </w:rPr>
        <w:t>stałe na skutek nie</w:t>
      </w:r>
      <w:r w:rsidR="00CC55C2" w:rsidRPr="00677204">
        <w:rPr>
          <w:rFonts w:ascii="Times New Roman" w:hAnsi="Times New Roman" w:cs="Times New Roman"/>
          <w:szCs w:val="24"/>
        </w:rPr>
        <w:t xml:space="preserve">wykonania obowiązków </w:t>
      </w:r>
      <w:r w:rsidR="00DF5B02" w:rsidRPr="00677204">
        <w:rPr>
          <w:rFonts w:ascii="Times New Roman" w:hAnsi="Times New Roman" w:cs="Times New Roman"/>
          <w:szCs w:val="24"/>
        </w:rPr>
        <w:t>wiążących się z</w:t>
      </w:r>
      <w:r w:rsidR="00A57950">
        <w:rPr>
          <w:rFonts w:ascii="Times New Roman" w:hAnsi="Times New Roman" w:cs="Times New Roman"/>
          <w:szCs w:val="24"/>
        </w:rPr>
        <w:t> </w:t>
      </w:r>
      <w:r w:rsidR="00DF5B02" w:rsidRPr="00677204">
        <w:rPr>
          <w:rFonts w:ascii="Times New Roman" w:hAnsi="Times New Roman" w:cs="Times New Roman"/>
          <w:szCs w:val="24"/>
        </w:rPr>
        <w:t>procedurą przenoszenia rachunku płatniczego</w:t>
      </w:r>
      <w:r w:rsidR="00D422B4" w:rsidRPr="00677204">
        <w:rPr>
          <w:rFonts w:ascii="Times New Roman" w:hAnsi="Times New Roman" w:cs="Times New Roman"/>
          <w:szCs w:val="24"/>
        </w:rPr>
        <w:t xml:space="preserve"> (art. 59i</w:t>
      </w:r>
      <w:r w:rsidR="002D7407" w:rsidRPr="00677204">
        <w:rPr>
          <w:rFonts w:ascii="Times New Roman" w:hAnsi="Times New Roman" w:cs="Times New Roman"/>
          <w:szCs w:val="24"/>
        </w:rPr>
        <w:t>o</w:t>
      </w:r>
      <w:r w:rsidR="00D422B4" w:rsidRPr="00677204">
        <w:rPr>
          <w:rFonts w:ascii="Times New Roman" w:hAnsi="Times New Roman" w:cs="Times New Roman"/>
          <w:szCs w:val="24"/>
        </w:rPr>
        <w:t>).</w:t>
      </w:r>
    </w:p>
    <w:p w14:paraId="5A2731DA" w14:textId="1AD78D81" w:rsidR="00DC0D80" w:rsidRPr="00677204" w:rsidRDefault="0060185F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>Informacja o liczbie przeniesionych rachunków płatniczych będzie przekazywana Komisji Eur</w:t>
      </w:r>
      <w:r w:rsidR="005034EA" w:rsidRPr="00677204">
        <w:rPr>
          <w:rFonts w:ascii="Times New Roman" w:hAnsi="Times New Roman" w:cs="Times New Roman"/>
          <w:szCs w:val="24"/>
        </w:rPr>
        <w:t>opejs</w:t>
      </w:r>
      <w:r w:rsidR="00AC44C8" w:rsidRPr="00677204">
        <w:rPr>
          <w:rFonts w:ascii="Times New Roman" w:hAnsi="Times New Roman" w:cs="Times New Roman"/>
          <w:szCs w:val="24"/>
        </w:rPr>
        <w:t xml:space="preserve">kiej przez KNF co </w:t>
      </w:r>
      <w:r w:rsidR="003F6805">
        <w:rPr>
          <w:rFonts w:ascii="Times New Roman" w:hAnsi="Times New Roman" w:cs="Times New Roman"/>
          <w:szCs w:val="24"/>
        </w:rPr>
        <w:t>2</w:t>
      </w:r>
      <w:r w:rsidR="00AC44C8" w:rsidRPr="00677204">
        <w:rPr>
          <w:rFonts w:ascii="Times New Roman" w:hAnsi="Times New Roman" w:cs="Times New Roman"/>
          <w:szCs w:val="24"/>
        </w:rPr>
        <w:t xml:space="preserve"> lata (59i</w:t>
      </w:r>
      <w:r w:rsidR="002D7407" w:rsidRPr="00677204">
        <w:rPr>
          <w:rFonts w:ascii="Times New Roman" w:hAnsi="Times New Roman" w:cs="Times New Roman"/>
          <w:szCs w:val="24"/>
        </w:rPr>
        <w:t>p</w:t>
      </w:r>
      <w:r w:rsidR="005034EA" w:rsidRPr="00677204">
        <w:rPr>
          <w:rFonts w:ascii="Times New Roman" w:hAnsi="Times New Roman" w:cs="Times New Roman"/>
          <w:szCs w:val="24"/>
        </w:rPr>
        <w:t>).</w:t>
      </w:r>
    </w:p>
    <w:p w14:paraId="54BB7FF2" w14:textId="1B19638F" w:rsidR="00106889" w:rsidRPr="00677204" w:rsidRDefault="00DC0D80" w:rsidP="002549F6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W </w:t>
      </w:r>
      <w:r w:rsidRPr="00677204">
        <w:rPr>
          <w:rFonts w:ascii="Times New Roman" w:hAnsi="Times New Roman" w:cs="Times New Roman"/>
          <w:szCs w:val="24"/>
        </w:rPr>
        <w:t>a</w:t>
      </w:r>
      <w:r w:rsidR="00DF5B02" w:rsidRPr="00677204">
        <w:rPr>
          <w:rFonts w:ascii="Times New Roman" w:hAnsi="Times New Roman" w:cs="Times New Roman"/>
          <w:szCs w:val="24"/>
        </w:rPr>
        <w:t>rt.</w:t>
      </w:r>
      <w:r w:rsidR="00AC44C8" w:rsidRPr="00677204">
        <w:rPr>
          <w:rFonts w:ascii="Times New Roman" w:hAnsi="Times New Roman" w:cs="Times New Roman"/>
          <w:szCs w:val="24"/>
        </w:rPr>
        <w:t xml:space="preserve"> 59i</w:t>
      </w:r>
      <w:r w:rsidR="002D7407" w:rsidRPr="00677204">
        <w:rPr>
          <w:rFonts w:ascii="Times New Roman" w:hAnsi="Times New Roman" w:cs="Times New Roman"/>
          <w:szCs w:val="24"/>
        </w:rPr>
        <w:t>q</w:t>
      </w:r>
      <w:r w:rsidR="00DF5B02" w:rsidRPr="00677204">
        <w:rPr>
          <w:rFonts w:ascii="Times New Roman" w:hAnsi="Times New Roman" w:cs="Times New Roman"/>
          <w:szCs w:val="24"/>
        </w:rPr>
        <w:t xml:space="preserve"> przewid</w:t>
      </w:r>
      <w:r w:rsidRPr="00677204">
        <w:rPr>
          <w:rFonts w:ascii="Times New Roman" w:hAnsi="Times New Roman" w:cs="Times New Roman"/>
          <w:szCs w:val="24"/>
        </w:rPr>
        <w:t xml:space="preserve">ziano </w:t>
      </w:r>
      <w:r w:rsidR="00DF5B02" w:rsidRPr="00677204">
        <w:rPr>
          <w:rFonts w:ascii="Times New Roman" w:hAnsi="Times New Roman" w:cs="Times New Roman"/>
          <w:szCs w:val="24"/>
        </w:rPr>
        <w:t>możliwość stosowania sankcji administracyjnej w postaci kary pieniężnej nakładanej na dostawcę</w:t>
      </w:r>
      <w:r w:rsidR="008A0D3D">
        <w:rPr>
          <w:rFonts w:ascii="Times New Roman" w:hAnsi="Times New Roman" w:cs="Times New Roman"/>
          <w:szCs w:val="24"/>
        </w:rPr>
        <w:t xml:space="preserve"> innego niż dostawca określony w art. 4 ust. 2 pkt 1–3 i 9 ustawy</w:t>
      </w:r>
      <w:r w:rsidR="00DF5B02" w:rsidRPr="00677204">
        <w:rPr>
          <w:rFonts w:ascii="Times New Roman" w:hAnsi="Times New Roman" w:cs="Times New Roman"/>
          <w:szCs w:val="24"/>
        </w:rPr>
        <w:t>, który nie wypełnia obowiązków związanych z</w:t>
      </w:r>
      <w:r w:rsidR="005D4A00">
        <w:rPr>
          <w:rFonts w:ascii="Times New Roman" w:hAnsi="Times New Roman" w:cs="Times New Roman"/>
          <w:szCs w:val="24"/>
        </w:rPr>
        <w:t xml:space="preserve"> </w:t>
      </w:r>
      <w:r w:rsidR="00DF5B02" w:rsidRPr="00677204">
        <w:rPr>
          <w:rFonts w:ascii="Times New Roman" w:hAnsi="Times New Roman" w:cs="Times New Roman"/>
          <w:szCs w:val="24"/>
        </w:rPr>
        <w:t>przenoszeniem rachunków.</w:t>
      </w:r>
      <w:r w:rsidR="009C06F1" w:rsidRPr="00677204">
        <w:rPr>
          <w:rFonts w:ascii="Times New Roman" w:hAnsi="Times New Roman" w:cs="Times New Roman"/>
          <w:szCs w:val="24"/>
        </w:rPr>
        <w:t xml:space="preserve"> </w:t>
      </w:r>
    </w:p>
    <w:p w14:paraId="29AB0240" w14:textId="47A4B990" w:rsidR="00106889" w:rsidRPr="00677204" w:rsidRDefault="00DC0D80" w:rsidP="002549F6">
      <w:pPr>
        <w:pStyle w:val="ARTartustawynprozporzdzeni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W </w:t>
      </w:r>
      <w:r w:rsidR="00DA13F2" w:rsidRPr="00677204">
        <w:rPr>
          <w:rFonts w:ascii="Times New Roman" w:eastAsia="Calibri" w:hAnsi="Times New Roman" w:cs="Times New Roman"/>
          <w:b/>
          <w:szCs w:val="24"/>
        </w:rPr>
        <w:t>p</w:t>
      </w:r>
      <w:r w:rsidR="00CC55C2" w:rsidRPr="00677204">
        <w:rPr>
          <w:rFonts w:ascii="Times New Roman" w:eastAsia="Calibri" w:hAnsi="Times New Roman" w:cs="Times New Roman"/>
          <w:b/>
          <w:szCs w:val="24"/>
        </w:rPr>
        <w:t xml:space="preserve">kt </w:t>
      </w:r>
      <w:r w:rsidR="000328EC" w:rsidRPr="00677204">
        <w:rPr>
          <w:rFonts w:ascii="Times New Roman" w:eastAsia="Calibri" w:hAnsi="Times New Roman" w:cs="Times New Roman"/>
          <w:b/>
          <w:szCs w:val="24"/>
        </w:rPr>
        <w:t>1</w:t>
      </w:r>
      <w:r w:rsidR="00D004E4" w:rsidRPr="00677204">
        <w:rPr>
          <w:rFonts w:ascii="Times New Roman" w:eastAsia="Calibri" w:hAnsi="Times New Roman" w:cs="Times New Roman"/>
          <w:b/>
          <w:szCs w:val="24"/>
        </w:rPr>
        <w:t>6</w:t>
      </w:r>
      <w:r w:rsidR="00D422B4" w:rsidRPr="00677204">
        <w:rPr>
          <w:rFonts w:ascii="Times New Roman" w:eastAsia="Calibri" w:hAnsi="Times New Roman" w:cs="Times New Roman"/>
          <w:b/>
          <w:szCs w:val="24"/>
        </w:rPr>
        <w:t xml:space="preserve"> </w:t>
      </w:r>
      <w:r w:rsidR="00AC44C8" w:rsidRPr="00677204">
        <w:rPr>
          <w:rFonts w:ascii="Times New Roman" w:eastAsia="Calibri" w:hAnsi="Times New Roman" w:cs="Times New Roman"/>
          <w:szCs w:val="24"/>
        </w:rPr>
        <w:t>wprowadza się zmiany do art. 64a ust. 1 pkt 1 lit. b wynikające z</w:t>
      </w:r>
      <w:r w:rsidR="00A57950">
        <w:rPr>
          <w:rFonts w:ascii="Times New Roman" w:eastAsia="Calibri" w:hAnsi="Times New Roman" w:cs="Times New Roman"/>
          <w:szCs w:val="24"/>
        </w:rPr>
        <w:t> </w:t>
      </w:r>
      <w:r w:rsidR="00AC44C8" w:rsidRPr="00677204">
        <w:rPr>
          <w:rFonts w:ascii="Times New Roman" w:eastAsia="Calibri" w:hAnsi="Times New Roman" w:cs="Times New Roman"/>
          <w:szCs w:val="24"/>
        </w:rPr>
        <w:t>wprowadzenia do ustawy skrótu „ustawa o przeciwdziałaniu praniu pieniędzy”.</w:t>
      </w:r>
    </w:p>
    <w:p w14:paraId="6467EAD3" w14:textId="2310BDF4" w:rsidR="00DA627C" w:rsidRPr="00677204" w:rsidRDefault="00AC44C8" w:rsidP="002549F6">
      <w:pPr>
        <w:pStyle w:val="ARTartustawynprozporzdzeni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W </w:t>
      </w:r>
      <w:r w:rsidRPr="00677204">
        <w:rPr>
          <w:rFonts w:ascii="Times New Roman" w:eastAsia="Calibri" w:hAnsi="Times New Roman" w:cs="Times New Roman"/>
          <w:b/>
          <w:szCs w:val="24"/>
        </w:rPr>
        <w:t xml:space="preserve">pkt </w:t>
      </w:r>
      <w:r w:rsidR="00D422B4" w:rsidRPr="00677204">
        <w:rPr>
          <w:rFonts w:ascii="Times New Roman" w:eastAsia="Calibri" w:hAnsi="Times New Roman" w:cs="Times New Roman"/>
          <w:b/>
          <w:szCs w:val="24"/>
        </w:rPr>
        <w:t>1</w:t>
      </w:r>
      <w:r w:rsidR="00D004E4" w:rsidRPr="00677204">
        <w:rPr>
          <w:rFonts w:ascii="Times New Roman" w:eastAsia="Calibri" w:hAnsi="Times New Roman" w:cs="Times New Roman"/>
          <w:b/>
          <w:szCs w:val="24"/>
        </w:rPr>
        <w:t>7</w:t>
      </w:r>
      <w:r w:rsidR="00D422B4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wprowadza </w:t>
      </w:r>
      <w:r w:rsidR="00472E1B" w:rsidRPr="00677204">
        <w:rPr>
          <w:rFonts w:ascii="Times New Roman" w:eastAsia="Calibri" w:hAnsi="Times New Roman" w:cs="Times New Roman"/>
          <w:szCs w:val="24"/>
        </w:rPr>
        <w:t xml:space="preserve">się </w:t>
      </w:r>
      <w:r w:rsidR="00CC55C2" w:rsidRPr="00677204">
        <w:rPr>
          <w:rFonts w:ascii="Times New Roman" w:eastAsia="Calibri" w:hAnsi="Times New Roman" w:cs="Times New Roman"/>
          <w:szCs w:val="24"/>
        </w:rPr>
        <w:t>zmiany do art.</w:t>
      </w:r>
      <w:r w:rsidR="002549F6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0328EC" w:rsidRPr="00677204">
        <w:rPr>
          <w:rFonts w:ascii="Times New Roman" w:eastAsia="Calibri" w:hAnsi="Times New Roman" w:cs="Times New Roman"/>
          <w:szCs w:val="24"/>
        </w:rPr>
        <w:t>111 ust. 1</w:t>
      </w:r>
      <w:r w:rsidR="00675F7D" w:rsidRPr="00677204">
        <w:rPr>
          <w:rFonts w:ascii="Times New Roman" w:eastAsia="Calibri" w:hAnsi="Times New Roman" w:cs="Times New Roman"/>
          <w:szCs w:val="24"/>
        </w:rPr>
        <w:t xml:space="preserve"> polegające na dodaniu właściwych organów wyznaczonych jako punkty kontaktowe do katalogu podmiotów, z którymi KNF może wymieniać się informacjami w celu wykonywania zadań ustawowych.</w:t>
      </w:r>
    </w:p>
    <w:p w14:paraId="3BBFD3C9" w14:textId="380D144E" w:rsidR="00DA627C" w:rsidRPr="00677204" w:rsidRDefault="00AA179D" w:rsidP="002549F6">
      <w:pPr>
        <w:pStyle w:val="ARTartustawynprozporzdzenia"/>
        <w:spacing w:before="0"/>
        <w:ind w:firstLine="0"/>
        <w:rPr>
          <w:rFonts w:ascii="Times New Roman" w:eastAsia="Calibri" w:hAnsi="Times New Roman" w:cs="Times New Roman"/>
          <w:b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W </w:t>
      </w:r>
      <w:r w:rsidRPr="00677204">
        <w:rPr>
          <w:rFonts w:ascii="Times New Roman" w:eastAsia="Calibri" w:hAnsi="Times New Roman" w:cs="Times New Roman"/>
          <w:b/>
          <w:szCs w:val="24"/>
        </w:rPr>
        <w:t>pkt 1</w:t>
      </w:r>
      <w:r w:rsidR="00D004E4" w:rsidRPr="00677204">
        <w:rPr>
          <w:rFonts w:ascii="Times New Roman" w:eastAsia="Calibri" w:hAnsi="Times New Roman" w:cs="Times New Roman"/>
          <w:b/>
          <w:szCs w:val="24"/>
        </w:rPr>
        <w:t>8</w:t>
      </w:r>
      <w:r w:rsidR="00BF4083" w:rsidRPr="00677204">
        <w:rPr>
          <w:rFonts w:ascii="Times New Roman" w:eastAsia="Calibri" w:hAnsi="Times New Roman" w:cs="Times New Roman"/>
          <w:szCs w:val="24"/>
        </w:rPr>
        <w:t xml:space="preserve"> wprowadza się zmiany do art. 15</w:t>
      </w:r>
      <w:r w:rsidR="00D004E4" w:rsidRPr="00677204">
        <w:rPr>
          <w:rFonts w:ascii="Times New Roman" w:eastAsia="Calibri" w:hAnsi="Times New Roman" w:cs="Times New Roman"/>
          <w:szCs w:val="24"/>
        </w:rPr>
        <w:t>3</w:t>
      </w:r>
      <w:r w:rsidR="00BF4083" w:rsidRPr="00677204">
        <w:rPr>
          <w:rFonts w:ascii="Times New Roman" w:eastAsia="Calibri" w:hAnsi="Times New Roman" w:cs="Times New Roman"/>
          <w:szCs w:val="24"/>
        </w:rPr>
        <w:t>, dodaj</w:t>
      </w:r>
      <w:r w:rsidR="003F6805">
        <w:rPr>
          <w:rFonts w:ascii="Times New Roman" w:eastAsia="Calibri" w:hAnsi="Times New Roman" w:cs="Times New Roman"/>
          <w:szCs w:val="24"/>
        </w:rPr>
        <w:t>e</w:t>
      </w:r>
      <w:r w:rsidR="00BF4083" w:rsidRPr="00677204">
        <w:rPr>
          <w:rFonts w:ascii="Times New Roman" w:eastAsia="Calibri" w:hAnsi="Times New Roman" w:cs="Times New Roman"/>
          <w:szCs w:val="24"/>
        </w:rPr>
        <w:t xml:space="preserve"> się </w:t>
      </w:r>
      <w:r w:rsidR="00D004E4" w:rsidRPr="00677204">
        <w:rPr>
          <w:rFonts w:ascii="Times New Roman" w:eastAsia="Calibri" w:hAnsi="Times New Roman" w:cs="Times New Roman"/>
          <w:szCs w:val="24"/>
        </w:rPr>
        <w:t>art. 153b</w:t>
      </w:r>
      <w:r w:rsidR="00BF4083" w:rsidRPr="00677204">
        <w:rPr>
          <w:rFonts w:ascii="Times New Roman" w:eastAsia="Calibri" w:hAnsi="Times New Roman" w:cs="Times New Roman"/>
          <w:szCs w:val="24"/>
        </w:rPr>
        <w:t>, w którym przewidziano możliwość stosowania sankcji karnej w postaci kary grzywny za złożenie fałszywego oświadczenia</w:t>
      </w:r>
      <w:r w:rsidR="00C77C2C" w:rsidRPr="00677204">
        <w:rPr>
          <w:rFonts w:ascii="Times New Roman" w:eastAsia="Calibri" w:hAnsi="Times New Roman" w:cs="Times New Roman"/>
          <w:szCs w:val="24"/>
        </w:rPr>
        <w:t xml:space="preserve"> o prowadzeniu strony internetowej porównującej oferty dostawców usług płatniczych prowadzących rachunki płatnicze zgodnie z kryteriami ustanowionymi w</w:t>
      </w:r>
      <w:r w:rsidR="002549F6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C77C2C" w:rsidRPr="00677204">
        <w:rPr>
          <w:rFonts w:ascii="Times New Roman" w:eastAsia="Calibri" w:hAnsi="Times New Roman" w:cs="Times New Roman"/>
          <w:szCs w:val="24"/>
        </w:rPr>
        <w:t>ustawie</w:t>
      </w:r>
      <w:r w:rsidR="00BF4083" w:rsidRPr="00677204">
        <w:rPr>
          <w:rFonts w:ascii="Times New Roman" w:eastAsia="Calibri" w:hAnsi="Times New Roman" w:cs="Times New Roman"/>
          <w:szCs w:val="24"/>
        </w:rPr>
        <w:t>.</w:t>
      </w:r>
    </w:p>
    <w:p w14:paraId="56F64869" w14:textId="77777777" w:rsidR="005D4A00" w:rsidRPr="00677204" w:rsidRDefault="005D4A00" w:rsidP="005D4A00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lastRenderedPageBreak/>
        <w:t>Art. 2</w:t>
      </w:r>
      <w:r w:rsidRPr="00677204">
        <w:rPr>
          <w:rFonts w:ascii="Times New Roman" w:eastAsia="Calibri" w:hAnsi="Times New Roman" w:cs="Times New Roman"/>
          <w:b/>
          <w:szCs w:val="24"/>
        </w:rPr>
        <w:t xml:space="preserve"> projektu </w:t>
      </w:r>
      <w:r w:rsidRPr="00677204">
        <w:rPr>
          <w:rFonts w:ascii="Times New Roman" w:eastAsia="Calibri" w:hAnsi="Times New Roman" w:cs="Times New Roman"/>
          <w:szCs w:val="24"/>
        </w:rPr>
        <w:t>wprowadza zmiany w art. 23a ustawy z dnia 29 sierpnia 1997 r. o</w:t>
      </w:r>
      <w:r>
        <w:rPr>
          <w:rFonts w:ascii="Times New Roman" w:eastAsia="Calibri" w:hAnsi="Times New Roman" w:cs="Times New Roman"/>
          <w:szCs w:val="24"/>
        </w:rPr>
        <w:t> </w:t>
      </w:r>
      <w:r w:rsidRPr="00677204">
        <w:rPr>
          <w:rFonts w:ascii="Times New Roman" w:eastAsia="Calibri" w:hAnsi="Times New Roman" w:cs="Times New Roman"/>
          <w:szCs w:val="24"/>
        </w:rPr>
        <w:t>Narodowym Banku Polskim (Dz. U. z 2013 r. poz. 908, z późn. zm.), który określa</w:t>
      </w:r>
      <w:r>
        <w:rPr>
          <w:rFonts w:ascii="Times New Roman" w:eastAsia="Calibri" w:hAnsi="Times New Roman" w:cs="Times New Roman"/>
          <w:szCs w:val="24"/>
        </w:rPr>
        <w:t>,</w:t>
      </w:r>
      <w:r w:rsidRPr="00677204">
        <w:rPr>
          <w:rFonts w:ascii="Times New Roman" w:eastAsia="Calibri" w:hAnsi="Times New Roman" w:cs="Times New Roman"/>
          <w:szCs w:val="24"/>
        </w:rPr>
        <w:t xml:space="preserve"> jakie dane są przekazywane do NBP w formie elektronicznej. Dodaje się w tym przepisie dane w</w:t>
      </w:r>
      <w:r>
        <w:rPr>
          <w:rFonts w:ascii="Times New Roman" w:eastAsia="Calibri" w:hAnsi="Times New Roman" w:cs="Times New Roman"/>
          <w:szCs w:val="24"/>
        </w:rPr>
        <w:t xml:space="preserve"> </w:t>
      </w:r>
      <w:r w:rsidRPr="00677204">
        <w:rPr>
          <w:rFonts w:ascii="Times New Roman" w:eastAsia="Calibri" w:hAnsi="Times New Roman" w:cs="Times New Roman"/>
          <w:szCs w:val="24"/>
        </w:rPr>
        <w:t>zakresie numerowania banków i ich jednostek organizacyjnych.</w:t>
      </w:r>
    </w:p>
    <w:p w14:paraId="044AAE5E" w14:textId="5E917A11" w:rsidR="005D4A00" w:rsidRPr="00677204" w:rsidRDefault="005D4A00" w:rsidP="005D4A00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Przepisem </w:t>
      </w:r>
      <w:r w:rsidRPr="00677204">
        <w:rPr>
          <w:rFonts w:ascii="Times New Roman" w:eastAsia="Calibri" w:hAnsi="Times New Roman" w:cs="Times New Roman"/>
          <w:b/>
          <w:szCs w:val="24"/>
        </w:rPr>
        <w:t>art. 3 projektu</w:t>
      </w:r>
      <w:r w:rsidRPr="00677204">
        <w:rPr>
          <w:rFonts w:ascii="Times New Roman" w:eastAsia="Calibri" w:hAnsi="Times New Roman" w:cs="Times New Roman"/>
          <w:szCs w:val="24"/>
        </w:rPr>
        <w:t xml:space="preserve"> zmieniany jest art. 68 ustawy z dnia 29 sierpnia 1997 r. – Prawo bankowe (Dz. U. z 2015 r. poz. 128, z późn. zm.), określający zakres spraw regulowanych zarządzeniem Prezesa NBP w zakresie rozliczeń pieniężnych. Zmianie ulega pkt 1 w art. 68 w zakresie</w:t>
      </w:r>
      <w:r>
        <w:rPr>
          <w:rFonts w:ascii="Times New Roman" w:eastAsia="Calibri" w:hAnsi="Times New Roman" w:cs="Times New Roman"/>
          <w:szCs w:val="24"/>
        </w:rPr>
        <w:t>,</w:t>
      </w:r>
      <w:r w:rsidRPr="00677204">
        <w:rPr>
          <w:rFonts w:ascii="Times New Roman" w:eastAsia="Calibri" w:hAnsi="Times New Roman" w:cs="Times New Roman"/>
          <w:szCs w:val="24"/>
        </w:rPr>
        <w:t xml:space="preserve"> w jakim dodaje się, że Prezes NBP wydaje zarządzenie określające także sposób przeprowadzania rozliczeń międzybankowych, co pozwoli NBP wywierać wpływ również na t</w:t>
      </w:r>
      <w:r>
        <w:rPr>
          <w:rFonts w:ascii="Times New Roman" w:eastAsia="Calibri" w:hAnsi="Times New Roman" w:cs="Times New Roman"/>
          <w:szCs w:val="24"/>
        </w:rPr>
        <w:t>ę</w:t>
      </w:r>
      <w:r w:rsidRPr="00677204">
        <w:rPr>
          <w:rFonts w:ascii="Times New Roman" w:eastAsia="Calibri" w:hAnsi="Times New Roman" w:cs="Times New Roman"/>
          <w:szCs w:val="24"/>
        </w:rPr>
        <w:t xml:space="preserve"> sferę działalności banków. Nowy pkt 5 w art. 68 wprowadza kompetencję Prezesa NBP do wydawania zarządzenia w zakresie sposobu przekazywania informacji związanych z</w:t>
      </w:r>
      <w:r>
        <w:rPr>
          <w:rFonts w:ascii="Times New Roman" w:eastAsia="Calibri" w:hAnsi="Times New Roman" w:cs="Times New Roman"/>
          <w:szCs w:val="24"/>
        </w:rPr>
        <w:t xml:space="preserve"> </w:t>
      </w:r>
      <w:r w:rsidRPr="00677204">
        <w:rPr>
          <w:rFonts w:ascii="Times New Roman" w:eastAsia="Calibri" w:hAnsi="Times New Roman" w:cs="Times New Roman"/>
          <w:szCs w:val="24"/>
        </w:rPr>
        <w:t>numeracją banków i ich jednostek organizacyjnych.</w:t>
      </w:r>
    </w:p>
    <w:p w14:paraId="50F463DB" w14:textId="4AA79D87" w:rsidR="005D4A00" w:rsidRPr="00677204" w:rsidRDefault="005D4A00" w:rsidP="005D4A00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 xml:space="preserve">Wprowadza się zmiany w art. 141 przez dodanie ust. </w:t>
      </w:r>
      <w:r>
        <w:rPr>
          <w:rFonts w:ascii="Times New Roman" w:eastAsia="Calibri" w:hAnsi="Times New Roman" w:cs="Times New Roman"/>
          <w:szCs w:val="24"/>
        </w:rPr>
        <w:t>1b–</w:t>
      </w:r>
      <w:r w:rsidRPr="00677204">
        <w:rPr>
          <w:rFonts w:ascii="Times New Roman" w:eastAsia="Calibri" w:hAnsi="Times New Roman" w:cs="Times New Roman"/>
          <w:szCs w:val="24"/>
        </w:rPr>
        <w:t>1e, które przewidują możliwość stosowania sankcji administracyjnej w postaci kary pieniężnej nakładanej na banki, które nie udostępniają usług związanych z udostępnianiem podstawowego rachunku płatniczego oraz przenoszeniem rachunków płatniczych.</w:t>
      </w:r>
    </w:p>
    <w:p w14:paraId="0ECA5470" w14:textId="6EE836D1" w:rsidR="00C35DC2" w:rsidRPr="00677204" w:rsidRDefault="00802D23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b/>
          <w:szCs w:val="24"/>
        </w:rPr>
        <w:t xml:space="preserve">Art. </w:t>
      </w:r>
      <w:r w:rsidR="005D4A00">
        <w:rPr>
          <w:rFonts w:ascii="Times New Roman" w:eastAsia="Calibri" w:hAnsi="Times New Roman" w:cs="Times New Roman"/>
          <w:b/>
          <w:szCs w:val="24"/>
        </w:rPr>
        <w:t>4</w:t>
      </w:r>
      <w:r w:rsidR="00733F5F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C344D6" w:rsidRPr="00677204">
        <w:rPr>
          <w:rFonts w:ascii="Times New Roman" w:eastAsia="Calibri" w:hAnsi="Times New Roman" w:cs="Times New Roman"/>
          <w:b/>
          <w:szCs w:val="24"/>
        </w:rPr>
        <w:t>projektu</w:t>
      </w:r>
      <w:r w:rsidR="00C344D6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733F5F" w:rsidRPr="00677204">
        <w:rPr>
          <w:rFonts w:ascii="Times New Roman" w:eastAsia="Calibri" w:hAnsi="Times New Roman" w:cs="Times New Roman"/>
          <w:szCs w:val="24"/>
        </w:rPr>
        <w:t>zmienia</w:t>
      </w:r>
      <w:r w:rsidR="00220BE8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B214E2" w:rsidRPr="00677204">
        <w:rPr>
          <w:rFonts w:ascii="Times New Roman" w:eastAsia="Calibri" w:hAnsi="Times New Roman" w:cs="Times New Roman"/>
          <w:szCs w:val="24"/>
        </w:rPr>
        <w:t xml:space="preserve">ust. 1 art. 6b </w:t>
      </w:r>
      <w:r w:rsidR="00733F5F" w:rsidRPr="00677204">
        <w:rPr>
          <w:rFonts w:ascii="Times New Roman" w:eastAsia="Calibri" w:hAnsi="Times New Roman" w:cs="Times New Roman"/>
          <w:szCs w:val="24"/>
        </w:rPr>
        <w:t xml:space="preserve">ustawy z dnia 21 lipca 2006 r. o nadzorze nad rynkiem finansowym (Dz. U. z </w:t>
      </w:r>
      <w:r w:rsidR="00436630" w:rsidRPr="00677204">
        <w:rPr>
          <w:rFonts w:ascii="Times New Roman" w:eastAsia="Calibri" w:hAnsi="Times New Roman" w:cs="Times New Roman"/>
          <w:szCs w:val="24"/>
        </w:rPr>
        <w:t>2015 r. poz. 614</w:t>
      </w:r>
      <w:r w:rsidR="00652D34">
        <w:rPr>
          <w:rFonts w:ascii="Times New Roman" w:eastAsia="Calibri" w:hAnsi="Times New Roman" w:cs="Times New Roman"/>
          <w:szCs w:val="24"/>
        </w:rPr>
        <w:t>, z późn. zm.</w:t>
      </w:r>
      <w:r w:rsidR="00733F5F" w:rsidRPr="00677204">
        <w:rPr>
          <w:rFonts w:ascii="Times New Roman" w:eastAsia="Calibri" w:hAnsi="Times New Roman" w:cs="Times New Roman"/>
          <w:szCs w:val="24"/>
        </w:rPr>
        <w:t>)</w:t>
      </w:r>
      <w:r w:rsidR="003F6805">
        <w:rPr>
          <w:rFonts w:ascii="Times New Roman" w:eastAsia="Calibri" w:hAnsi="Times New Roman" w:cs="Times New Roman"/>
          <w:szCs w:val="24"/>
        </w:rPr>
        <w:t>,</w:t>
      </w:r>
      <w:r w:rsidR="00733F5F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6162A7" w:rsidRPr="00677204">
        <w:rPr>
          <w:rFonts w:ascii="Times New Roman" w:eastAsia="Calibri" w:hAnsi="Times New Roman" w:cs="Times New Roman"/>
          <w:szCs w:val="24"/>
        </w:rPr>
        <w:t xml:space="preserve">dodając </w:t>
      </w:r>
      <w:r w:rsidR="00733F5F" w:rsidRPr="00677204">
        <w:rPr>
          <w:rFonts w:ascii="Times New Roman" w:eastAsia="Calibri" w:hAnsi="Times New Roman" w:cs="Times New Roman"/>
          <w:szCs w:val="24"/>
        </w:rPr>
        <w:t xml:space="preserve">do katalogu informacji podawanych przez </w:t>
      </w:r>
      <w:r w:rsidR="004E6EDC" w:rsidRPr="00677204">
        <w:rPr>
          <w:rFonts w:ascii="Times New Roman" w:eastAsia="Calibri" w:hAnsi="Times New Roman" w:cs="Times New Roman"/>
          <w:szCs w:val="24"/>
        </w:rPr>
        <w:t xml:space="preserve">KNF </w:t>
      </w:r>
      <w:r w:rsidR="00733F5F" w:rsidRPr="00677204">
        <w:rPr>
          <w:rFonts w:ascii="Times New Roman" w:eastAsia="Calibri" w:hAnsi="Times New Roman" w:cs="Times New Roman"/>
          <w:szCs w:val="24"/>
        </w:rPr>
        <w:t xml:space="preserve">do publicznej wiadomości </w:t>
      </w:r>
      <w:r w:rsidR="006162A7" w:rsidRPr="00677204">
        <w:rPr>
          <w:rFonts w:ascii="Times New Roman" w:eastAsia="Calibri" w:hAnsi="Times New Roman" w:cs="Times New Roman"/>
          <w:szCs w:val="24"/>
        </w:rPr>
        <w:t xml:space="preserve">możliwość podania </w:t>
      </w:r>
      <w:r w:rsidR="00733F5F" w:rsidRPr="00677204">
        <w:rPr>
          <w:rFonts w:ascii="Times New Roman" w:eastAsia="Calibri" w:hAnsi="Times New Roman" w:cs="Times New Roman"/>
          <w:szCs w:val="24"/>
        </w:rPr>
        <w:t>informacj</w:t>
      </w:r>
      <w:r w:rsidR="006162A7" w:rsidRPr="00677204">
        <w:rPr>
          <w:rFonts w:ascii="Times New Roman" w:eastAsia="Calibri" w:hAnsi="Times New Roman" w:cs="Times New Roman"/>
          <w:szCs w:val="24"/>
        </w:rPr>
        <w:t>i</w:t>
      </w:r>
      <w:r w:rsidR="00733F5F" w:rsidRPr="00677204">
        <w:rPr>
          <w:rFonts w:ascii="Times New Roman" w:eastAsia="Calibri" w:hAnsi="Times New Roman" w:cs="Times New Roman"/>
          <w:szCs w:val="24"/>
        </w:rPr>
        <w:t xml:space="preserve"> o</w:t>
      </w:r>
      <w:r w:rsidR="00A57950">
        <w:rPr>
          <w:rFonts w:ascii="Times New Roman" w:eastAsia="Calibri" w:hAnsi="Times New Roman" w:cs="Times New Roman"/>
          <w:szCs w:val="24"/>
        </w:rPr>
        <w:t> </w:t>
      </w:r>
      <w:r w:rsidR="00733F5F" w:rsidRPr="00677204">
        <w:rPr>
          <w:rFonts w:ascii="Times New Roman" w:eastAsia="Calibri" w:hAnsi="Times New Roman" w:cs="Times New Roman"/>
          <w:szCs w:val="24"/>
        </w:rPr>
        <w:t>karach administracyjnych nałożonych na dostawców usług płatniczych w związku z</w:t>
      </w:r>
      <w:r w:rsidR="00A57950">
        <w:rPr>
          <w:rFonts w:ascii="Times New Roman" w:eastAsia="Calibri" w:hAnsi="Times New Roman" w:cs="Times New Roman"/>
          <w:szCs w:val="24"/>
        </w:rPr>
        <w:t> </w:t>
      </w:r>
      <w:r w:rsidR="00733F5F" w:rsidRPr="00677204">
        <w:rPr>
          <w:rFonts w:ascii="Times New Roman" w:eastAsia="Calibri" w:hAnsi="Times New Roman" w:cs="Times New Roman"/>
          <w:szCs w:val="24"/>
        </w:rPr>
        <w:t xml:space="preserve">niewypełnieniem obowiązków </w:t>
      </w:r>
      <w:r w:rsidR="00C35CA3" w:rsidRPr="00677204">
        <w:rPr>
          <w:rFonts w:ascii="Times New Roman" w:eastAsia="Calibri" w:hAnsi="Times New Roman" w:cs="Times New Roman"/>
          <w:szCs w:val="24"/>
        </w:rPr>
        <w:t xml:space="preserve">wynikających z art. </w:t>
      </w:r>
      <w:r w:rsidR="006162A7" w:rsidRPr="00677204">
        <w:rPr>
          <w:rFonts w:ascii="Times New Roman" w:eastAsia="Calibri" w:hAnsi="Times New Roman" w:cs="Times New Roman"/>
          <w:szCs w:val="24"/>
        </w:rPr>
        <w:t>20a</w:t>
      </w:r>
      <w:r w:rsidR="00C35CA3" w:rsidRPr="00677204">
        <w:rPr>
          <w:rFonts w:ascii="Times New Roman" w:eastAsia="Calibri" w:hAnsi="Times New Roman" w:cs="Times New Roman"/>
          <w:szCs w:val="24"/>
        </w:rPr>
        <w:t xml:space="preserve">, </w:t>
      </w:r>
      <w:r w:rsidR="009C06F1" w:rsidRPr="00677204">
        <w:rPr>
          <w:rFonts w:ascii="Times New Roman" w:eastAsia="Calibri" w:hAnsi="Times New Roman" w:cs="Times New Roman"/>
          <w:szCs w:val="24"/>
        </w:rPr>
        <w:t xml:space="preserve">art. </w:t>
      </w:r>
      <w:r w:rsidR="00C35CA3" w:rsidRPr="00677204">
        <w:rPr>
          <w:rFonts w:ascii="Times New Roman" w:eastAsia="Calibri" w:hAnsi="Times New Roman" w:cs="Times New Roman"/>
          <w:szCs w:val="24"/>
        </w:rPr>
        <w:t>32b</w:t>
      </w:r>
      <w:r w:rsidR="00041AD1" w:rsidRPr="00677204">
        <w:rPr>
          <w:rFonts w:ascii="Times New Roman" w:eastAsia="Calibri" w:hAnsi="Times New Roman" w:cs="Times New Roman"/>
          <w:szCs w:val="24"/>
        </w:rPr>
        <w:t>–</w:t>
      </w:r>
      <w:r w:rsidR="00C35CA3" w:rsidRPr="00677204">
        <w:rPr>
          <w:rFonts w:ascii="Times New Roman" w:eastAsia="Calibri" w:hAnsi="Times New Roman" w:cs="Times New Roman"/>
          <w:szCs w:val="24"/>
        </w:rPr>
        <w:t>32</w:t>
      </w:r>
      <w:r w:rsidR="00733F5F" w:rsidRPr="00677204">
        <w:rPr>
          <w:rFonts w:ascii="Times New Roman" w:eastAsia="Calibri" w:hAnsi="Times New Roman" w:cs="Times New Roman"/>
          <w:szCs w:val="24"/>
        </w:rPr>
        <w:t>d oraz z przepisów rozdziału 7</w:t>
      </w:r>
      <w:r w:rsidR="00041AD1" w:rsidRPr="00677204">
        <w:rPr>
          <w:rFonts w:ascii="Times New Roman" w:eastAsia="Calibri" w:hAnsi="Times New Roman" w:cs="Times New Roman"/>
          <w:szCs w:val="24"/>
        </w:rPr>
        <w:t xml:space="preserve"> i </w:t>
      </w:r>
      <w:r w:rsidR="002549F6" w:rsidRPr="00677204">
        <w:rPr>
          <w:rFonts w:ascii="Times New Roman" w:eastAsia="Calibri" w:hAnsi="Times New Roman" w:cs="Times New Roman"/>
          <w:szCs w:val="24"/>
        </w:rPr>
        <w:t>8 działu III ustawy o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="00733F5F" w:rsidRPr="00677204">
        <w:rPr>
          <w:rFonts w:ascii="Times New Roman" w:eastAsia="Calibri" w:hAnsi="Times New Roman" w:cs="Times New Roman"/>
          <w:szCs w:val="24"/>
        </w:rPr>
        <w:t>usługach płatniczych.</w:t>
      </w:r>
    </w:p>
    <w:p w14:paraId="753335AB" w14:textId="0E04BA6A" w:rsidR="005A5AEC" w:rsidRPr="00677204" w:rsidRDefault="005A5AEC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b/>
          <w:szCs w:val="24"/>
        </w:rPr>
      </w:pPr>
      <w:r w:rsidRPr="00677204">
        <w:rPr>
          <w:rFonts w:ascii="Times New Roman" w:eastAsia="Calibri" w:hAnsi="Times New Roman" w:cs="Times New Roman"/>
          <w:b/>
          <w:szCs w:val="24"/>
        </w:rPr>
        <w:t xml:space="preserve">Art. 5 projektu </w:t>
      </w:r>
      <w:r w:rsidRPr="00677204">
        <w:rPr>
          <w:rFonts w:ascii="Times New Roman" w:eastAsia="Calibri" w:hAnsi="Times New Roman" w:cs="Times New Roman"/>
          <w:szCs w:val="24"/>
        </w:rPr>
        <w:t xml:space="preserve">wprowadza zmiany w art. 72 ust. 1 </w:t>
      </w:r>
      <w:r w:rsidR="00C77C2C" w:rsidRPr="00677204">
        <w:rPr>
          <w:rFonts w:ascii="Times New Roman" w:eastAsia="Calibri" w:hAnsi="Times New Roman" w:cs="Times New Roman"/>
          <w:szCs w:val="24"/>
        </w:rPr>
        <w:t xml:space="preserve">ustawy o spółdzielczych kasach oszczędnościowo-kredytowych </w:t>
      </w:r>
      <w:r w:rsidR="00B02018">
        <w:rPr>
          <w:rFonts w:ascii="Times New Roman" w:eastAsia="Calibri" w:hAnsi="Times New Roman" w:cs="Times New Roman"/>
          <w:szCs w:val="24"/>
        </w:rPr>
        <w:t>przez dodanie ust. 1b–</w:t>
      </w:r>
      <w:r w:rsidRPr="00677204">
        <w:rPr>
          <w:rFonts w:ascii="Times New Roman" w:eastAsia="Calibri" w:hAnsi="Times New Roman" w:cs="Times New Roman"/>
          <w:szCs w:val="24"/>
        </w:rPr>
        <w:t>1e, które przewidują możliwość stosowania sankcji administracyjnej w postaci kary pieniężnej nakładanej na spółdzielcze kasy oszczędnościowo-kredytowe, które nie udostępniają usług związanych z udostępnianiem podstawowego rachunku płatniczego oraz przenoszeniem rachunków płatniczych.</w:t>
      </w:r>
    </w:p>
    <w:p w14:paraId="6D36FE1B" w14:textId="5DBB159D" w:rsidR="00850476" w:rsidRPr="00677204" w:rsidRDefault="00422004" w:rsidP="002549F6">
      <w:pPr>
        <w:pStyle w:val="NIEARTTEKSTtekstnieartykuowanynppodstprawnarozplubpreambu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b/>
          <w:szCs w:val="24"/>
        </w:rPr>
        <w:t xml:space="preserve">Art. </w:t>
      </w:r>
      <w:r w:rsidR="005A5AEC" w:rsidRPr="00677204">
        <w:rPr>
          <w:rFonts w:ascii="Times New Roman" w:eastAsia="Calibri" w:hAnsi="Times New Roman" w:cs="Times New Roman"/>
          <w:b/>
          <w:szCs w:val="24"/>
        </w:rPr>
        <w:t>6</w:t>
      </w:r>
      <w:r w:rsidR="00F068CE" w:rsidRPr="00677204">
        <w:rPr>
          <w:rFonts w:ascii="Times New Roman" w:eastAsia="Calibri" w:hAnsi="Times New Roman" w:cs="Times New Roman"/>
          <w:b/>
          <w:szCs w:val="24"/>
        </w:rPr>
        <w:t xml:space="preserve"> </w:t>
      </w:r>
      <w:r w:rsidR="00041AD1" w:rsidRPr="00677204">
        <w:rPr>
          <w:rFonts w:ascii="Times New Roman" w:eastAsia="Calibri" w:hAnsi="Times New Roman" w:cs="Times New Roman"/>
          <w:b/>
          <w:szCs w:val="24"/>
        </w:rPr>
        <w:t>projektu</w:t>
      </w:r>
      <w:r w:rsidR="00041AD1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CC55C2" w:rsidRPr="00677204">
        <w:rPr>
          <w:rFonts w:ascii="Times New Roman" w:eastAsia="Calibri" w:hAnsi="Times New Roman" w:cs="Times New Roman"/>
          <w:szCs w:val="24"/>
        </w:rPr>
        <w:t xml:space="preserve">jest przepisem przejściowym mającym zastosowanie do obowiązków informacyjnych nałożonych na KNF </w:t>
      </w:r>
      <w:r w:rsidR="00041AD1" w:rsidRPr="00677204">
        <w:rPr>
          <w:rFonts w:ascii="Times New Roman" w:eastAsia="Calibri" w:hAnsi="Times New Roman" w:cs="Times New Roman"/>
          <w:szCs w:val="24"/>
        </w:rPr>
        <w:t xml:space="preserve">wobec </w:t>
      </w:r>
      <w:r w:rsidR="00CC55C2" w:rsidRPr="00677204">
        <w:rPr>
          <w:rFonts w:ascii="Times New Roman" w:eastAsia="Calibri" w:hAnsi="Times New Roman" w:cs="Times New Roman"/>
          <w:szCs w:val="24"/>
        </w:rPr>
        <w:t>Komisji Europejskiej.</w:t>
      </w:r>
    </w:p>
    <w:p w14:paraId="397E8385" w14:textId="66703EFC" w:rsidR="00850476" w:rsidRPr="00677204" w:rsidRDefault="00105A70" w:rsidP="002549F6">
      <w:pPr>
        <w:pStyle w:val="ARTartustawynprozporzdzeni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b/>
          <w:szCs w:val="24"/>
        </w:rPr>
        <w:t xml:space="preserve">Art. </w:t>
      </w:r>
      <w:r w:rsidR="005A5AEC" w:rsidRPr="00677204">
        <w:rPr>
          <w:rFonts w:ascii="Times New Roman" w:eastAsia="Calibri" w:hAnsi="Times New Roman" w:cs="Times New Roman"/>
          <w:b/>
          <w:szCs w:val="24"/>
        </w:rPr>
        <w:t>7</w:t>
      </w:r>
      <w:r w:rsidRPr="00677204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677204">
        <w:rPr>
          <w:rFonts w:ascii="Times New Roman" w:eastAsia="Calibri" w:hAnsi="Times New Roman" w:cs="Times New Roman"/>
          <w:szCs w:val="24"/>
        </w:rPr>
        <w:t>ust. 1</w:t>
      </w:r>
      <w:r w:rsidRPr="00677204">
        <w:rPr>
          <w:rFonts w:ascii="Times New Roman" w:eastAsia="Calibri" w:hAnsi="Times New Roman" w:cs="Times New Roman"/>
          <w:b/>
          <w:szCs w:val="24"/>
        </w:rPr>
        <w:t xml:space="preserve"> projektu</w:t>
      </w:r>
      <w:r w:rsidRPr="00677204">
        <w:rPr>
          <w:rFonts w:ascii="Times New Roman" w:eastAsia="Calibri" w:hAnsi="Times New Roman" w:cs="Times New Roman"/>
          <w:szCs w:val="24"/>
        </w:rPr>
        <w:t xml:space="preserve"> jest przepisem przejściowym skierowanym do dostawców, ustanawiającym termin 1</w:t>
      </w:r>
      <w:r w:rsidR="006234E1" w:rsidRPr="00677204">
        <w:rPr>
          <w:rFonts w:ascii="Times New Roman" w:eastAsia="Calibri" w:hAnsi="Times New Roman" w:cs="Times New Roman"/>
          <w:szCs w:val="24"/>
        </w:rPr>
        <w:t>8</w:t>
      </w:r>
      <w:r w:rsidRPr="00677204">
        <w:rPr>
          <w:rFonts w:ascii="Times New Roman" w:eastAsia="Calibri" w:hAnsi="Times New Roman" w:cs="Times New Roman"/>
          <w:szCs w:val="24"/>
        </w:rPr>
        <w:t xml:space="preserve"> miesięcy na dostosowanie się do obowiązków </w:t>
      </w:r>
      <w:r w:rsidRPr="00677204">
        <w:rPr>
          <w:rFonts w:ascii="Times New Roman" w:eastAsia="Calibri" w:hAnsi="Times New Roman" w:cs="Times New Roman"/>
          <w:szCs w:val="24"/>
        </w:rPr>
        <w:lastRenderedPageBreak/>
        <w:t>informacyjnych wynikających z art. 2</w:t>
      </w:r>
      <w:r w:rsidR="006234E1" w:rsidRPr="00677204">
        <w:rPr>
          <w:rFonts w:ascii="Times New Roman" w:eastAsia="Calibri" w:hAnsi="Times New Roman" w:cs="Times New Roman"/>
          <w:szCs w:val="24"/>
        </w:rPr>
        <w:t>0</w:t>
      </w:r>
      <w:r w:rsidRPr="00677204">
        <w:rPr>
          <w:rFonts w:ascii="Times New Roman" w:eastAsia="Calibri" w:hAnsi="Times New Roman" w:cs="Times New Roman"/>
          <w:szCs w:val="24"/>
        </w:rPr>
        <w:t>a</w:t>
      </w:r>
      <w:r w:rsidR="009C06F1" w:rsidRPr="00677204">
        <w:rPr>
          <w:rFonts w:ascii="Times New Roman" w:eastAsia="Calibri" w:hAnsi="Times New Roman" w:cs="Times New Roman"/>
          <w:szCs w:val="24"/>
        </w:rPr>
        <w:t xml:space="preserve"> i art. 2</w:t>
      </w:r>
      <w:r w:rsidR="006234E1" w:rsidRPr="00677204">
        <w:rPr>
          <w:rFonts w:ascii="Times New Roman" w:eastAsia="Calibri" w:hAnsi="Times New Roman" w:cs="Times New Roman"/>
          <w:szCs w:val="24"/>
        </w:rPr>
        <w:t>0</w:t>
      </w:r>
      <w:r w:rsidRPr="00677204">
        <w:rPr>
          <w:rFonts w:ascii="Times New Roman" w:eastAsia="Calibri" w:hAnsi="Times New Roman" w:cs="Times New Roman"/>
          <w:szCs w:val="24"/>
        </w:rPr>
        <w:t>b</w:t>
      </w:r>
      <w:r w:rsidR="009C06F1" w:rsidRPr="00677204">
        <w:rPr>
          <w:rFonts w:ascii="Times New Roman" w:eastAsia="Calibri" w:hAnsi="Times New Roman" w:cs="Times New Roman"/>
          <w:szCs w:val="24"/>
        </w:rPr>
        <w:t xml:space="preserve"> oraz </w:t>
      </w:r>
      <w:r w:rsidRPr="00677204">
        <w:rPr>
          <w:rFonts w:ascii="Times New Roman" w:eastAsia="Calibri" w:hAnsi="Times New Roman" w:cs="Times New Roman"/>
          <w:szCs w:val="24"/>
        </w:rPr>
        <w:t>art. 32b–32</w:t>
      </w:r>
      <w:r w:rsidR="00D004E4" w:rsidRPr="00677204">
        <w:rPr>
          <w:rFonts w:ascii="Times New Roman" w:eastAsia="Calibri" w:hAnsi="Times New Roman" w:cs="Times New Roman"/>
          <w:szCs w:val="24"/>
        </w:rPr>
        <w:t>d</w:t>
      </w:r>
      <w:r w:rsidR="009C06F1" w:rsidRPr="00677204">
        <w:rPr>
          <w:rFonts w:ascii="Times New Roman" w:eastAsia="Calibri" w:hAnsi="Times New Roman" w:cs="Times New Roman"/>
          <w:szCs w:val="24"/>
        </w:rPr>
        <w:t xml:space="preserve">, a także </w:t>
      </w:r>
      <w:r w:rsidRPr="00677204">
        <w:rPr>
          <w:rFonts w:ascii="Times New Roman" w:eastAsia="Calibri" w:hAnsi="Times New Roman" w:cs="Times New Roman"/>
          <w:szCs w:val="24"/>
        </w:rPr>
        <w:t>obowiązku of</w:t>
      </w:r>
      <w:r w:rsidR="00B214E2" w:rsidRPr="00677204">
        <w:rPr>
          <w:rFonts w:ascii="Times New Roman" w:eastAsia="Calibri" w:hAnsi="Times New Roman" w:cs="Times New Roman"/>
          <w:szCs w:val="24"/>
        </w:rPr>
        <w:t>erowania rachunku podstawowego.</w:t>
      </w:r>
      <w:r w:rsidR="00043586" w:rsidRPr="00677204">
        <w:rPr>
          <w:rFonts w:ascii="Times New Roman" w:eastAsia="Calibri" w:hAnsi="Times New Roman" w:cs="Times New Roman"/>
          <w:szCs w:val="24"/>
        </w:rPr>
        <w:t xml:space="preserve"> </w:t>
      </w:r>
      <w:r w:rsidR="000442E6" w:rsidRPr="00677204">
        <w:rPr>
          <w:rFonts w:ascii="Times New Roman" w:eastAsia="Calibri" w:hAnsi="Times New Roman" w:cs="Times New Roman"/>
          <w:szCs w:val="24"/>
        </w:rPr>
        <w:t>Przepis u</w:t>
      </w:r>
      <w:r w:rsidRPr="00677204">
        <w:rPr>
          <w:rFonts w:ascii="Times New Roman" w:eastAsia="Calibri" w:hAnsi="Times New Roman" w:cs="Times New Roman"/>
          <w:szCs w:val="24"/>
        </w:rPr>
        <w:t>st</w:t>
      </w:r>
      <w:r w:rsidR="000442E6" w:rsidRPr="00677204">
        <w:rPr>
          <w:rFonts w:ascii="Times New Roman" w:eastAsia="Calibri" w:hAnsi="Times New Roman" w:cs="Times New Roman"/>
          <w:szCs w:val="24"/>
        </w:rPr>
        <w:t xml:space="preserve">. </w:t>
      </w:r>
      <w:r w:rsidRPr="00677204">
        <w:rPr>
          <w:rFonts w:ascii="Times New Roman" w:eastAsia="Calibri" w:hAnsi="Times New Roman" w:cs="Times New Roman"/>
          <w:szCs w:val="24"/>
        </w:rPr>
        <w:t xml:space="preserve">2 stanowi, że </w:t>
      </w:r>
      <w:r w:rsidR="006234E1" w:rsidRPr="00677204">
        <w:rPr>
          <w:rFonts w:ascii="Times New Roman" w:eastAsia="Calibri" w:hAnsi="Times New Roman" w:cs="Times New Roman"/>
          <w:szCs w:val="24"/>
        </w:rPr>
        <w:t>do postępowań o</w:t>
      </w:r>
      <w:r w:rsidR="00A57950">
        <w:rPr>
          <w:rFonts w:ascii="Times New Roman" w:eastAsia="Calibri" w:hAnsi="Times New Roman" w:cs="Times New Roman"/>
          <w:szCs w:val="24"/>
        </w:rPr>
        <w:t> </w:t>
      </w:r>
      <w:r w:rsidR="006234E1" w:rsidRPr="00677204">
        <w:rPr>
          <w:rFonts w:ascii="Times New Roman" w:eastAsia="Calibri" w:hAnsi="Times New Roman" w:cs="Times New Roman"/>
          <w:szCs w:val="24"/>
        </w:rPr>
        <w:t>przeniesienie rachunku płatnicz</w:t>
      </w:r>
      <w:r w:rsidR="00810530">
        <w:rPr>
          <w:rFonts w:ascii="Times New Roman" w:eastAsia="Calibri" w:hAnsi="Times New Roman" w:cs="Times New Roman"/>
          <w:szCs w:val="24"/>
        </w:rPr>
        <w:t>ego</w:t>
      </w:r>
      <w:r w:rsidR="006234E1" w:rsidRPr="00677204">
        <w:rPr>
          <w:rFonts w:ascii="Times New Roman" w:eastAsia="Calibri" w:hAnsi="Times New Roman" w:cs="Times New Roman"/>
          <w:szCs w:val="24"/>
        </w:rPr>
        <w:t xml:space="preserve"> wszczętych przed wejściem w życie niniejszej ustawy przepisów art. 59i</w:t>
      </w:r>
      <w:r w:rsidR="00D004E4" w:rsidRPr="00677204">
        <w:rPr>
          <w:rFonts w:ascii="Times New Roman" w:eastAsia="Calibri" w:hAnsi="Times New Roman" w:cs="Times New Roman"/>
          <w:szCs w:val="24"/>
        </w:rPr>
        <w:t>h</w:t>
      </w:r>
      <w:r w:rsidR="000549FA">
        <w:rPr>
          <w:rFonts w:ascii="Times New Roman" w:eastAsia="Calibri" w:hAnsi="Times New Roman" w:cs="Times New Roman"/>
          <w:szCs w:val="24"/>
        </w:rPr>
        <w:t>–</w:t>
      </w:r>
      <w:r w:rsidR="006234E1" w:rsidRPr="00677204">
        <w:rPr>
          <w:rFonts w:ascii="Times New Roman" w:eastAsia="Calibri" w:hAnsi="Times New Roman" w:cs="Times New Roman"/>
          <w:szCs w:val="24"/>
        </w:rPr>
        <w:t>59i</w:t>
      </w:r>
      <w:r w:rsidR="00D004E4" w:rsidRPr="00677204">
        <w:rPr>
          <w:rFonts w:ascii="Times New Roman" w:eastAsia="Calibri" w:hAnsi="Times New Roman" w:cs="Times New Roman"/>
          <w:szCs w:val="24"/>
        </w:rPr>
        <w:t>q</w:t>
      </w:r>
      <w:r w:rsidR="006234E1" w:rsidRPr="00677204">
        <w:rPr>
          <w:rFonts w:ascii="Times New Roman" w:eastAsia="Calibri" w:hAnsi="Times New Roman" w:cs="Times New Roman"/>
          <w:szCs w:val="24"/>
        </w:rPr>
        <w:t xml:space="preserve"> nie stosuje się</w:t>
      </w:r>
      <w:r w:rsidR="007F024D" w:rsidRPr="00677204">
        <w:rPr>
          <w:rFonts w:ascii="Times New Roman" w:eastAsia="Calibri" w:hAnsi="Times New Roman" w:cs="Times New Roman"/>
          <w:szCs w:val="24"/>
        </w:rPr>
        <w:t>.</w:t>
      </w:r>
    </w:p>
    <w:p w14:paraId="458858A3" w14:textId="7D11BC5F" w:rsidR="009C06F1" w:rsidRPr="00677204" w:rsidRDefault="007F024D" w:rsidP="002549F6">
      <w:pPr>
        <w:pStyle w:val="ARTartustawynprozporzdzeni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b/>
          <w:szCs w:val="24"/>
        </w:rPr>
        <w:t xml:space="preserve">Art. </w:t>
      </w:r>
      <w:r w:rsidR="005A5AEC" w:rsidRPr="00677204">
        <w:rPr>
          <w:rFonts w:ascii="Times New Roman" w:eastAsia="Calibri" w:hAnsi="Times New Roman" w:cs="Times New Roman"/>
          <w:b/>
          <w:szCs w:val="24"/>
        </w:rPr>
        <w:t>8</w:t>
      </w:r>
      <w:r w:rsidR="0007029F" w:rsidRPr="00677204">
        <w:rPr>
          <w:rFonts w:ascii="Times New Roman" w:eastAsia="Calibri" w:hAnsi="Times New Roman" w:cs="Times New Roman"/>
          <w:b/>
          <w:szCs w:val="24"/>
        </w:rPr>
        <w:t xml:space="preserve"> </w:t>
      </w:r>
      <w:r w:rsidR="000442E6" w:rsidRPr="00677204">
        <w:rPr>
          <w:rFonts w:ascii="Times New Roman" w:eastAsia="Calibri" w:hAnsi="Times New Roman" w:cs="Times New Roman"/>
          <w:b/>
          <w:szCs w:val="24"/>
        </w:rPr>
        <w:t xml:space="preserve">projektu </w:t>
      </w:r>
      <w:r w:rsidRPr="00677204">
        <w:rPr>
          <w:rFonts w:ascii="Times New Roman" w:eastAsia="Calibri" w:hAnsi="Times New Roman" w:cs="Times New Roman"/>
          <w:szCs w:val="24"/>
        </w:rPr>
        <w:t>stanowi</w:t>
      </w:r>
      <w:r w:rsidR="005A5AEC" w:rsidRPr="00677204">
        <w:rPr>
          <w:rFonts w:ascii="Times New Roman" w:eastAsia="Calibri" w:hAnsi="Times New Roman" w:cs="Times New Roman"/>
          <w:szCs w:val="24"/>
        </w:rPr>
        <w:t>ą</w:t>
      </w:r>
      <w:r w:rsidRPr="00677204">
        <w:rPr>
          <w:rFonts w:ascii="Times New Roman" w:eastAsia="Calibri" w:hAnsi="Times New Roman" w:cs="Times New Roman"/>
          <w:szCs w:val="24"/>
        </w:rPr>
        <w:t xml:space="preserve"> przepis</w:t>
      </w:r>
      <w:r w:rsidR="005A5AEC" w:rsidRPr="00677204">
        <w:rPr>
          <w:rFonts w:ascii="Times New Roman" w:eastAsia="Calibri" w:hAnsi="Times New Roman" w:cs="Times New Roman"/>
          <w:szCs w:val="24"/>
        </w:rPr>
        <w:t>y</w:t>
      </w:r>
      <w:r w:rsidRPr="00677204">
        <w:rPr>
          <w:rFonts w:ascii="Times New Roman" w:eastAsia="Calibri" w:hAnsi="Times New Roman" w:cs="Times New Roman"/>
          <w:szCs w:val="24"/>
        </w:rPr>
        <w:t xml:space="preserve"> mając</w:t>
      </w:r>
      <w:r w:rsidR="005A5AEC" w:rsidRPr="00677204">
        <w:rPr>
          <w:rFonts w:ascii="Times New Roman" w:eastAsia="Calibri" w:hAnsi="Times New Roman" w:cs="Times New Roman"/>
          <w:szCs w:val="24"/>
        </w:rPr>
        <w:t>e</w:t>
      </w:r>
      <w:r w:rsidRPr="00677204">
        <w:rPr>
          <w:rFonts w:ascii="Times New Roman" w:eastAsia="Calibri" w:hAnsi="Times New Roman" w:cs="Times New Roman"/>
          <w:szCs w:val="24"/>
        </w:rPr>
        <w:t xml:space="preserve"> zastosowanie na wypadek</w:t>
      </w:r>
      <w:r w:rsidR="00810530">
        <w:rPr>
          <w:rFonts w:ascii="Times New Roman" w:eastAsia="Calibri" w:hAnsi="Times New Roman" w:cs="Times New Roman"/>
          <w:szCs w:val="24"/>
        </w:rPr>
        <w:t>,</w:t>
      </w:r>
      <w:r w:rsidRPr="00677204">
        <w:rPr>
          <w:rFonts w:ascii="Times New Roman" w:eastAsia="Calibri" w:hAnsi="Times New Roman" w:cs="Times New Roman"/>
          <w:szCs w:val="24"/>
        </w:rPr>
        <w:t xml:space="preserve"> gdyby nie istniała żadna strona internetowa porównująca oferty dostawców prowadzących rachunki płatnicze</w:t>
      </w:r>
      <w:r w:rsidR="00937D00" w:rsidRPr="00677204">
        <w:rPr>
          <w:rFonts w:ascii="Times New Roman" w:eastAsia="Calibri" w:hAnsi="Times New Roman" w:cs="Times New Roman"/>
          <w:szCs w:val="24"/>
        </w:rPr>
        <w:t xml:space="preserve"> zgodnie z wymogami stawianymi dyrektywą</w:t>
      </w:r>
      <w:r w:rsidRPr="00677204">
        <w:rPr>
          <w:rFonts w:ascii="Times New Roman" w:eastAsia="Calibri" w:hAnsi="Times New Roman" w:cs="Times New Roman"/>
          <w:szCs w:val="24"/>
        </w:rPr>
        <w:t xml:space="preserve">. W takiej sytuacji obowiązek porównania ofert dostawców przeszedłby na </w:t>
      </w:r>
      <w:r w:rsidR="00F64DA3" w:rsidRPr="00677204">
        <w:rPr>
          <w:rFonts w:ascii="Times New Roman" w:eastAsia="Calibri" w:hAnsi="Times New Roman" w:cs="Times New Roman"/>
          <w:szCs w:val="24"/>
        </w:rPr>
        <w:t>Komisję</w:t>
      </w:r>
      <w:r w:rsidR="00C212CC" w:rsidRPr="00677204">
        <w:rPr>
          <w:rFonts w:ascii="Times New Roman" w:eastAsia="Calibri" w:hAnsi="Times New Roman" w:cs="Times New Roman"/>
          <w:szCs w:val="24"/>
        </w:rPr>
        <w:t xml:space="preserve"> Nadzoru Finansowego</w:t>
      </w:r>
      <w:r w:rsidRPr="00677204">
        <w:rPr>
          <w:rFonts w:ascii="Times New Roman" w:eastAsia="Calibri" w:hAnsi="Times New Roman" w:cs="Times New Roman"/>
          <w:szCs w:val="24"/>
        </w:rPr>
        <w:t>.</w:t>
      </w:r>
    </w:p>
    <w:p w14:paraId="2D689DA4" w14:textId="77C11FFF" w:rsidR="00C35DC2" w:rsidRPr="00677204" w:rsidRDefault="005809E4" w:rsidP="002549F6">
      <w:pPr>
        <w:pStyle w:val="ARTartustawynprozporzdzeni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szCs w:val="24"/>
        </w:rPr>
        <w:t>Przepis ten ma zapewnić istnienie przynajmniej jednej por</w:t>
      </w:r>
      <w:r w:rsidR="002549F6" w:rsidRPr="00677204">
        <w:rPr>
          <w:rFonts w:ascii="Times New Roman" w:eastAsia="Calibri" w:hAnsi="Times New Roman" w:cs="Times New Roman"/>
          <w:szCs w:val="24"/>
        </w:rPr>
        <w:t>ównywarki działającej zgodnie z</w:t>
      </w:r>
      <w:r w:rsidR="006D4B38">
        <w:rPr>
          <w:rFonts w:ascii="Times New Roman" w:eastAsia="Calibri" w:hAnsi="Times New Roman" w:cs="Times New Roman"/>
          <w:szCs w:val="24"/>
        </w:rPr>
        <w:t xml:space="preserve"> </w:t>
      </w:r>
      <w:r w:rsidRPr="00677204">
        <w:rPr>
          <w:rFonts w:ascii="Times New Roman" w:eastAsia="Calibri" w:hAnsi="Times New Roman" w:cs="Times New Roman"/>
          <w:szCs w:val="24"/>
        </w:rPr>
        <w:t>przepisami dyrektywy w przypadku</w:t>
      </w:r>
      <w:r w:rsidR="00810530">
        <w:rPr>
          <w:rFonts w:ascii="Times New Roman" w:eastAsia="Calibri" w:hAnsi="Times New Roman" w:cs="Times New Roman"/>
          <w:szCs w:val="24"/>
        </w:rPr>
        <w:t>,</w:t>
      </w:r>
      <w:r w:rsidRPr="00677204">
        <w:rPr>
          <w:rFonts w:ascii="Times New Roman" w:eastAsia="Calibri" w:hAnsi="Times New Roman" w:cs="Times New Roman"/>
          <w:szCs w:val="24"/>
        </w:rPr>
        <w:t xml:space="preserve"> gdyby </w:t>
      </w:r>
      <w:r w:rsidR="003379D0" w:rsidRPr="00677204">
        <w:rPr>
          <w:rFonts w:ascii="Times New Roman" w:eastAsia="Calibri" w:hAnsi="Times New Roman" w:cs="Times New Roman"/>
          <w:szCs w:val="24"/>
        </w:rPr>
        <w:t xml:space="preserve">żaden podmiot </w:t>
      </w:r>
      <w:r w:rsidR="00844127" w:rsidRPr="00677204">
        <w:rPr>
          <w:rFonts w:ascii="Times New Roman" w:eastAsia="Calibri" w:hAnsi="Times New Roman" w:cs="Times New Roman"/>
          <w:szCs w:val="24"/>
        </w:rPr>
        <w:t>prywatny nie funkcjonował na rynku</w:t>
      </w:r>
      <w:r w:rsidR="00B214E2" w:rsidRPr="00677204">
        <w:rPr>
          <w:rFonts w:ascii="Times New Roman" w:eastAsia="Calibri" w:hAnsi="Times New Roman" w:cs="Times New Roman"/>
          <w:szCs w:val="24"/>
        </w:rPr>
        <w:t>.</w:t>
      </w:r>
    </w:p>
    <w:p w14:paraId="1CECB02E" w14:textId="19F8B319" w:rsidR="0080615F" w:rsidRPr="00677204" w:rsidRDefault="00FA34EE" w:rsidP="002549F6">
      <w:pPr>
        <w:pStyle w:val="ARTartustawynprozporzdzenia"/>
        <w:spacing w:before="0"/>
        <w:ind w:firstLine="0"/>
        <w:rPr>
          <w:rFonts w:ascii="Times New Roman" w:eastAsia="Calibri" w:hAnsi="Times New Roman" w:cs="Times New Roman"/>
          <w:szCs w:val="24"/>
        </w:rPr>
      </w:pPr>
      <w:r w:rsidRPr="00677204">
        <w:rPr>
          <w:rFonts w:ascii="Times New Roman" w:eastAsia="Calibri" w:hAnsi="Times New Roman" w:cs="Times New Roman"/>
          <w:b/>
          <w:szCs w:val="24"/>
        </w:rPr>
        <w:t xml:space="preserve">Art. </w:t>
      </w:r>
      <w:r w:rsidR="00D004E4" w:rsidRPr="00677204">
        <w:rPr>
          <w:rFonts w:ascii="Times New Roman" w:eastAsia="Calibri" w:hAnsi="Times New Roman" w:cs="Times New Roman"/>
          <w:b/>
          <w:szCs w:val="24"/>
        </w:rPr>
        <w:t>9</w:t>
      </w:r>
      <w:r w:rsidRPr="00677204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677204">
        <w:rPr>
          <w:rFonts w:ascii="Times New Roman" w:eastAsia="Calibri" w:hAnsi="Times New Roman" w:cs="Times New Roman"/>
          <w:szCs w:val="24"/>
        </w:rPr>
        <w:t xml:space="preserve">projektu jest przepisem przejściowym odnoszącym się do </w:t>
      </w:r>
      <w:r w:rsidR="00855EE9" w:rsidRPr="00677204">
        <w:rPr>
          <w:rFonts w:ascii="Times New Roman" w:eastAsia="Calibri" w:hAnsi="Times New Roman" w:cs="Times New Roman"/>
          <w:szCs w:val="24"/>
        </w:rPr>
        <w:t>terminu wejścia w</w:t>
      </w:r>
      <w:r w:rsidR="00A57950">
        <w:rPr>
          <w:rFonts w:ascii="Times New Roman" w:eastAsia="Calibri" w:hAnsi="Times New Roman" w:cs="Times New Roman"/>
          <w:szCs w:val="24"/>
        </w:rPr>
        <w:t> </w:t>
      </w:r>
      <w:r w:rsidR="00855EE9" w:rsidRPr="00677204">
        <w:rPr>
          <w:rFonts w:ascii="Times New Roman" w:eastAsia="Calibri" w:hAnsi="Times New Roman" w:cs="Times New Roman"/>
          <w:szCs w:val="24"/>
        </w:rPr>
        <w:t xml:space="preserve">życie zarządzenia </w:t>
      </w:r>
      <w:r w:rsidR="00C77C2C" w:rsidRPr="00677204">
        <w:rPr>
          <w:rFonts w:ascii="Times New Roman" w:eastAsia="Calibri" w:hAnsi="Times New Roman" w:cs="Times New Roman"/>
          <w:szCs w:val="24"/>
        </w:rPr>
        <w:t xml:space="preserve">Prezesa </w:t>
      </w:r>
      <w:r w:rsidRPr="00677204">
        <w:rPr>
          <w:rFonts w:ascii="Times New Roman" w:eastAsia="Calibri" w:hAnsi="Times New Roman" w:cs="Times New Roman"/>
          <w:szCs w:val="24"/>
        </w:rPr>
        <w:t>Nar</w:t>
      </w:r>
      <w:r w:rsidR="00C77C2C" w:rsidRPr="00677204">
        <w:rPr>
          <w:rFonts w:ascii="Times New Roman" w:eastAsia="Calibri" w:hAnsi="Times New Roman" w:cs="Times New Roman"/>
          <w:szCs w:val="24"/>
        </w:rPr>
        <w:t>o</w:t>
      </w:r>
      <w:r w:rsidRPr="00677204">
        <w:rPr>
          <w:rFonts w:ascii="Times New Roman" w:eastAsia="Calibri" w:hAnsi="Times New Roman" w:cs="Times New Roman"/>
          <w:szCs w:val="24"/>
        </w:rPr>
        <w:t>dow</w:t>
      </w:r>
      <w:r w:rsidR="00C77C2C" w:rsidRPr="00677204">
        <w:rPr>
          <w:rFonts w:ascii="Times New Roman" w:eastAsia="Calibri" w:hAnsi="Times New Roman" w:cs="Times New Roman"/>
          <w:szCs w:val="24"/>
        </w:rPr>
        <w:t>ego</w:t>
      </w:r>
      <w:r w:rsidRPr="00677204">
        <w:rPr>
          <w:rFonts w:ascii="Times New Roman" w:eastAsia="Calibri" w:hAnsi="Times New Roman" w:cs="Times New Roman"/>
          <w:szCs w:val="24"/>
        </w:rPr>
        <w:t xml:space="preserve"> Bank</w:t>
      </w:r>
      <w:r w:rsidR="00C77C2C" w:rsidRPr="00677204">
        <w:rPr>
          <w:rFonts w:ascii="Times New Roman" w:eastAsia="Calibri" w:hAnsi="Times New Roman" w:cs="Times New Roman"/>
          <w:szCs w:val="24"/>
        </w:rPr>
        <w:t>u</w:t>
      </w:r>
      <w:r w:rsidRPr="00677204">
        <w:rPr>
          <w:rFonts w:ascii="Times New Roman" w:eastAsia="Calibri" w:hAnsi="Times New Roman" w:cs="Times New Roman"/>
          <w:szCs w:val="24"/>
        </w:rPr>
        <w:t xml:space="preserve"> Polski</w:t>
      </w:r>
      <w:r w:rsidR="00C77C2C" w:rsidRPr="00677204">
        <w:rPr>
          <w:rFonts w:ascii="Times New Roman" w:eastAsia="Calibri" w:hAnsi="Times New Roman" w:cs="Times New Roman"/>
          <w:szCs w:val="24"/>
        </w:rPr>
        <w:t>ego</w:t>
      </w:r>
      <w:r w:rsidRPr="00677204">
        <w:rPr>
          <w:rFonts w:ascii="Times New Roman" w:eastAsia="Calibri" w:hAnsi="Times New Roman" w:cs="Times New Roman"/>
          <w:szCs w:val="24"/>
        </w:rPr>
        <w:t xml:space="preserve"> w sprawie sposobu przeprowadzenia rozliczeń międzybankowych i rozrachunków </w:t>
      </w:r>
      <w:r w:rsidR="0007029F" w:rsidRPr="00677204">
        <w:rPr>
          <w:rFonts w:ascii="Times New Roman" w:eastAsia="Calibri" w:hAnsi="Times New Roman" w:cs="Times New Roman"/>
          <w:szCs w:val="24"/>
        </w:rPr>
        <w:t>międzybankowych</w:t>
      </w:r>
      <w:r w:rsidR="00855EE9" w:rsidRPr="00677204">
        <w:rPr>
          <w:rFonts w:ascii="Times New Roman" w:eastAsia="Calibri" w:hAnsi="Times New Roman" w:cs="Times New Roman"/>
          <w:szCs w:val="24"/>
        </w:rPr>
        <w:t xml:space="preserve">, na wypadek gdyby wejście w życie ww. zarządzenia w dniu wejścia w </w:t>
      </w:r>
      <w:r w:rsidR="004B7B82" w:rsidRPr="00677204">
        <w:rPr>
          <w:rFonts w:ascii="Times New Roman" w:eastAsia="Calibri" w:hAnsi="Times New Roman" w:cs="Times New Roman"/>
          <w:szCs w:val="24"/>
        </w:rPr>
        <w:t>życie</w:t>
      </w:r>
      <w:r w:rsidR="00855EE9" w:rsidRPr="00677204">
        <w:rPr>
          <w:rFonts w:ascii="Times New Roman" w:eastAsia="Calibri" w:hAnsi="Times New Roman" w:cs="Times New Roman"/>
          <w:szCs w:val="24"/>
        </w:rPr>
        <w:t xml:space="preserve"> przedmiotowej ustawy nie było </w:t>
      </w:r>
      <w:r w:rsidR="004B7B82" w:rsidRPr="00677204">
        <w:rPr>
          <w:rFonts w:ascii="Times New Roman" w:eastAsia="Calibri" w:hAnsi="Times New Roman" w:cs="Times New Roman"/>
          <w:szCs w:val="24"/>
        </w:rPr>
        <w:t>możliwe</w:t>
      </w:r>
      <w:r w:rsidRPr="00677204">
        <w:rPr>
          <w:rFonts w:ascii="Times New Roman" w:eastAsia="Calibri" w:hAnsi="Times New Roman" w:cs="Times New Roman"/>
          <w:szCs w:val="24"/>
        </w:rPr>
        <w:t>.</w:t>
      </w:r>
    </w:p>
    <w:p w14:paraId="3F2F85B7" w14:textId="595DEF98" w:rsidR="00733F5F" w:rsidRPr="00677204" w:rsidRDefault="00AC44C8" w:rsidP="002549F6">
      <w:pPr>
        <w:pStyle w:val="ARTartustawynprozporzdzenia"/>
        <w:spacing w:before="0"/>
        <w:ind w:firstLine="0"/>
        <w:rPr>
          <w:rFonts w:ascii="Times New Roman" w:hAnsi="Times New Roman" w:cs="Times New Roman"/>
          <w:bCs/>
          <w:szCs w:val="24"/>
        </w:rPr>
      </w:pPr>
      <w:r w:rsidRPr="00677204">
        <w:rPr>
          <w:rFonts w:ascii="Times New Roman" w:hAnsi="Times New Roman" w:cs="Times New Roman"/>
          <w:szCs w:val="24"/>
        </w:rPr>
        <w:t>Zgodnie z</w:t>
      </w:r>
      <w:r w:rsidR="00422004" w:rsidRPr="00677204">
        <w:rPr>
          <w:rFonts w:ascii="Times New Roman" w:hAnsi="Times New Roman" w:cs="Times New Roman"/>
          <w:b/>
          <w:szCs w:val="24"/>
        </w:rPr>
        <w:t xml:space="preserve"> art. </w:t>
      </w:r>
      <w:r w:rsidR="005A5AEC" w:rsidRPr="00677204">
        <w:rPr>
          <w:rFonts w:ascii="Times New Roman" w:hAnsi="Times New Roman" w:cs="Times New Roman"/>
          <w:b/>
          <w:szCs w:val="24"/>
        </w:rPr>
        <w:t>1</w:t>
      </w:r>
      <w:r w:rsidR="00D004E4" w:rsidRPr="00677204">
        <w:rPr>
          <w:rFonts w:ascii="Times New Roman" w:hAnsi="Times New Roman" w:cs="Times New Roman"/>
          <w:b/>
          <w:szCs w:val="24"/>
        </w:rPr>
        <w:t>0</w:t>
      </w:r>
      <w:r w:rsidR="00041AD1" w:rsidRPr="00677204">
        <w:rPr>
          <w:rFonts w:ascii="Times New Roman" w:hAnsi="Times New Roman" w:cs="Times New Roman"/>
          <w:b/>
          <w:szCs w:val="24"/>
        </w:rPr>
        <w:t xml:space="preserve"> projektu</w:t>
      </w:r>
      <w:r w:rsidRPr="00677204">
        <w:rPr>
          <w:rFonts w:ascii="Times New Roman" w:hAnsi="Times New Roman" w:cs="Times New Roman"/>
          <w:b/>
          <w:szCs w:val="24"/>
        </w:rPr>
        <w:t>,</w:t>
      </w:r>
      <w:r w:rsidR="00733F5F" w:rsidRPr="00677204">
        <w:rPr>
          <w:rFonts w:ascii="Times New Roman" w:hAnsi="Times New Roman" w:cs="Times New Roman"/>
          <w:szCs w:val="24"/>
        </w:rPr>
        <w:t xml:space="preserve"> ustawa </w:t>
      </w:r>
      <w:r w:rsidR="004E6EDC" w:rsidRPr="00677204">
        <w:rPr>
          <w:rFonts w:ascii="Times New Roman" w:hAnsi="Times New Roman" w:cs="Times New Roman"/>
          <w:szCs w:val="24"/>
        </w:rPr>
        <w:t>wejdzie w życie</w:t>
      </w:r>
      <w:r w:rsidR="00422C2B" w:rsidRPr="00677204">
        <w:rPr>
          <w:rFonts w:ascii="Times New Roman" w:hAnsi="Times New Roman" w:cs="Times New Roman"/>
          <w:szCs w:val="24"/>
        </w:rPr>
        <w:t xml:space="preserve"> po upływie </w:t>
      </w:r>
      <w:r w:rsidR="006234E1" w:rsidRPr="00677204">
        <w:rPr>
          <w:rFonts w:ascii="Times New Roman" w:hAnsi="Times New Roman" w:cs="Times New Roman"/>
          <w:szCs w:val="24"/>
        </w:rPr>
        <w:t>3 miesięcy</w:t>
      </w:r>
      <w:r w:rsidR="00733F5F" w:rsidRPr="00677204">
        <w:rPr>
          <w:rFonts w:ascii="Times New Roman" w:hAnsi="Times New Roman" w:cs="Times New Roman"/>
          <w:szCs w:val="24"/>
        </w:rPr>
        <w:t xml:space="preserve"> od dnia jej ogłoszenia.</w:t>
      </w:r>
      <w:r w:rsidR="00F91D2C" w:rsidRPr="00677204">
        <w:rPr>
          <w:rFonts w:ascii="Times New Roman" w:hAnsi="Times New Roman" w:cs="Times New Roman"/>
          <w:szCs w:val="24"/>
        </w:rPr>
        <w:t xml:space="preserve"> W przypadku przepisów dotyczących numerowania niebankowych dostawców usług płatniczych i numerowania ich rac</w:t>
      </w:r>
      <w:r w:rsidR="00A57950">
        <w:rPr>
          <w:rFonts w:ascii="Times New Roman" w:hAnsi="Times New Roman" w:cs="Times New Roman"/>
          <w:szCs w:val="24"/>
        </w:rPr>
        <w:t>hunków płatniczych, wejdą one w </w:t>
      </w:r>
      <w:r w:rsidR="00F91D2C" w:rsidRPr="00677204">
        <w:rPr>
          <w:rFonts w:ascii="Times New Roman" w:hAnsi="Times New Roman" w:cs="Times New Roman"/>
          <w:szCs w:val="24"/>
        </w:rPr>
        <w:t xml:space="preserve">życie </w:t>
      </w:r>
      <w:r w:rsidR="00810530">
        <w:rPr>
          <w:rFonts w:ascii="Times New Roman" w:hAnsi="Times New Roman" w:cs="Times New Roman"/>
          <w:szCs w:val="24"/>
        </w:rPr>
        <w:t xml:space="preserve">z dniem </w:t>
      </w:r>
      <w:r w:rsidR="00F91D2C" w:rsidRPr="00677204">
        <w:rPr>
          <w:rFonts w:ascii="Times New Roman" w:hAnsi="Times New Roman" w:cs="Times New Roman"/>
          <w:szCs w:val="24"/>
        </w:rPr>
        <w:t xml:space="preserve">1 </w:t>
      </w:r>
      <w:r w:rsidR="00D004E4" w:rsidRPr="00677204">
        <w:rPr>
          <w:rFonts w:ascii="Times New Roman" w:hAnsi="Times New Roman" w:cs="Times New Roman"/>
          <w:szCs w:val="24"/>
        </w:rPr>
        <w:t xml:space="preserve">listopada </w:t>
      </w:r>
      <w:r w:rsidR="00F91D2C" w:rsidRPr="00677204">
        <w:rPr>
          <w:rFonts w:ascii="Times New Roman" w:hAnsi="Times New Roman" w:cs="Times New Roman"/>
          <w:szCs w:val="24"/>
        </w:rPr>
        <w:t>2016 r. Termin ten wynika z obowiązku nałożonego na dostawców uczestniczących w</w:t>
      </w:r>
      <w:r w:rsidR="002549F6" w:rsidRPr="00677204">
        <w:rPr>
          <w:rFonts w:ascii="Times New Roman" w:hAnsi="Times New Roman" w:cs="Times New Roman"/>
          <w:szCs w:val="24"/>
        </w:rPr>
        <w:t xml:space="preserve"> </w:t>
      </w:r>
      <w:r w:rsidR="00F91D2C" w:rsidRPr="00677204">
        <w:rPr>
          <w:rFonts w:ascii="Times New Roman" w:hAnsi="Times New Roman" w:cs="Times New Roman"/>
          <w:szCs w:val="24"/>
        </w:rPr>
        <w:t xml:space="preserve">systemach płatności, zapisanego w </w:t>
      </w:r>
      <w:r w:rsidR="00F91D2C" w:rsidRPr="00677204">
        <w:rPr>
          <w:rFonts w:ascii="Times New Roman" w:hAnsi="Times New Roman" w:cs="Times New Roman"/>
          <w:bCs/>
          <w:szCs w:val="24"/>
        </w:rPr>
        <w:t>rozporządzeniu 260/2012 w</w:t>
      </w:r>
      <w:r w:rsidR="00A57950">
        <w:rPr>
          <w:rFonts w:ascii="Times New Roman" w:hAnsi="Times New Roman" w:cs="Times New Roman"/>
          <w:bCs/>
          <w:szCs w:val="24"/>
        </w:rPr>
        <w:t> </w:t>
      </w:r>
      <w:r w:rsidR="00F91D2C" w:rsidRPr="00677204">
        <w:rPr>
          <w:rFonts w:ascii="Times New Roman" w:hAnsi="Times New Roman" w:cs="Times New Roman"/>
          <w:bCs/>
          <w:szCs w:val="24"/>
        </w:rPr>
        <w:t>odniesieniu do poleceń przelewu i poleceń zapłaty dokonywanych w euro.</w:t>
      </w:r>
      <w:r w:rsidR="0080615F" w:rsidRPr="00677204">
        <w:rPr>
          <w:rFonts w:ascii="Times New Roman" w:hAnsi="Times New Roman" w:cs="Times New Roman"/>
          <w:bCs/>
          <w:szCs w:val="24"/>
        </w:rPr>
        <w:t xml:space="preserve"> </w:t>
      </w:r>
      <w:r w:rsidR="001B7E83" w:rsidRPr="00677204">
        <w:rPr>
          <w:rFonts w:ascii="Times New Roman" w:hAnsi="Times New Roman" w:cs="Times New Roman"/>
          <w:bCs/>
          <w:szCs w:val="24"/>
        </w:rPr>
        <w:t>Powyższe uzasadnia odstąpienie od wynikającej z postanowień u</w:t>
      </w:r>
      <w:r w:rsidR="00A57950">
        <w:rPr>
          <w:rFonts w:ascii="Times New Roman" w:hAnsi="Times New Roman" w:cs="Times New Roman"/>
          <w:bCs/>
          <w:szCs w:val="24"/>
        </w:rPr>
        <w:t xml:space="preserve">chwały </w:t>
      </w:r>
      <w:r w:rsidR="00D271DA">
        <w:rPr>
          <w:rFonts w:ascii="Times New Roman" w:hAnsi="Times New Roman" w:cs="Times New Roman"/>
          <w:bCs/>
          <w:szCs w:val="24"/>
        </w:rPr>
        <w:t xml:space="preserve">nr 20 Rady Ministrów z dnia 18 </w:t>
      </w:r>
      <w:r w:rsidR="001B7E83" w:rsidRPr="00677204">
        <w:rPr>
          <w:rFonts w:ascii="Times New Roman" w:hAnsi="Times New Roman" w:cs="Times New Roman"/>
          <w:bCs/>
          <w:szCs w:val="24"/>
        </w:rPr>
        <w:t>lutego 2014 r. w sprawie zaleceń ujednolicenia terminów wejścia w życie niektóryc</w:t>
      </w:r>
      <w:r w:rsidR="00677204">
        <w:rPr>
          <w:rFonts w:ascii="Times New Roman" w:hAnsi="Times New Roman" w:cs="Times New Roman"/>
          <w:bCs/>
          <w:szCs w:val="24"/>
        </w:rPr>
        <w:t>h aktów normatywnych (M.P. poz.</w:t>
      </w:r>
      <w:r w:rsidR="006D4B38">
        <w:rPr>
          <w:rFonts w:ascii="Times New Roman" w:hAnsi="Times New Roman" w:cs="Times New Roman"/>
          <w:bCs/>
          <w:szCs w:val="24"/>
        </w:rPr>
        <w:t xml:space="preserve"> </w:t>
      </w:r>
      <w:r w:rsidR="001B7E83" w:rsidRPr="00677204">
        <w:rPr>
          <w:rFonts w:ascii="Times New Roman" w:hAnsi="Times New Roman" w:cs="Times New Roman"/>
          <w:bCs/>
          <w:szCs w:val="24"/>
        </w:rPr>
        <w:t>205) zasady ustal</w:t>
      </w:r>
      <w:r w:rsidR="00810530">
        <w:rPr>
          <w:rFonts w:ascii="Times New Roman" w:hAnsi="Times New Roman" w:cs="Times New Roman"/>
          <w:bCs/>
          <w:szCs w:val="24"/>
        </w:rPr>
        <w:t>ania na dzień 1 </w:t>
      </w:r>
      <w:r w:rsidR="00A57950">
        <w:rPr>
          <w:rFonts w:ascii="Times New Roman" w:hAnsi="Times New Roman" w:cs="Times New Roman"/>
          <w:bCs/>
          <w:szCs w:val="24"/>
        </w:rPr>
        <w:t xml:space="preserve">stycznia albo </w:t>
      </w:r>
      <w:r w:rsidR="00810530">
        <w:rPr>
          <w:rFonts w:ascii="Times New Roman" w:hAnsi="Times New Roman" w:cs="Times New Roman"/>
          <w:bCs/>
          <w:szCs w:val="24"/>
        </w:rPr>
        <w:t xml:space="preserve">dzień </w:t>
      </w:r>
      <w:r w:rsidR="00A57950">
        <w:rPr>
          <w:rFonts w:ascii="Times New Roman" w:hAnsi="Times New Roman" w:cs="Times New Roman"/>
          <w:bCs/>
          <w:szCs w:val="24"/>
        </w:rPr>
        <w:t>1</w:t>
      </w:r>
      <w:r w:rsidR="009E7485">
        <w:rPr>
          <w:rFonts w:ascii="Times New Roman" w:hAnsi="Times New Roman" w:cs="Times New Roman"/>
          <w:bCs/>
          <w:szCs w:val="24"/>
        </w:rPr>
        <w:t xml:space="preserve"> </w:t>
      </w:r>
      <w:r w:rsidR="001B7E83" w:rsidRPr="00677204">
        <w:rPr>
          <w:rFonts w:ascii="Times New Roman" w:hAnsi="Times New Roman" w:cs="Times New Roman"/>
          <w:bCs/>
          <w:szCs w:val="24"/>
        </w:rPr>
        <w:t>czerwca daty wejścia w życie przepisów określających warunki prowadzenia działalności gospodarczej</w:t>
      </w:r>
      <w:r w:rsidR="00021EE2" w:rsidRPr="00677204">
        <w:rPr>
          <w:rFonts w:ascii="Times New Roman" w:hAnsi="Times New Roman" w:cs="Times New Roman"/>
          <w:bCs/>
          <w:szCs w:val="24"/>
        </w:rPr>
        <w:t>.</w:t>
      </w:r>
    </w:p>
    <w:p w14:paraId="5E6E442B" w14:textId="1FD93815" w:rsidR="00CC55C2" w:rsidRPr="00677204" w:rsidRDefault="00CC55C2" w:rsidP="002549F6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>Zawarte w projekcie regulacje nie stanowią przepisów technicznych w rozumieniu rozporządzenia Rady Ministrów z dnia 23 grudnia 2002 r. w sprawie sposobu funkcjonowania krajowego systemu notyfikacji norm i aktów prawnych (Dz. U. Nr 239, poz.</w:t>
      </w:r>
      <w:r w:rsidR="002549F6" w:rsidRPr="00677204">
        <w:rPr>
          <w:rFonts w:ascii="Times New Roman" w:hAnsi="Times New Roman" w:cs="Times New Roman"/>
          <w:szCs w:val="24"/>
        </w:rPr>
        <w:t xml:space="preserve"> </w:t>
      </w:r>
      <w:r w:rsidR="00677204">
        <w:rPr>
          <w:rFonts w:ascii="Times New Roman" w:hAnsi="Times New Roman" w:cs="Times New Roman"/>
          <w:szCs w:val="24"/>
        </w:rPr>
        <w:t>2039 oraz z</w:t>
      </w:r>
      <w:r w:rsidR="006D4B38">
        <w:rPr>
          <w:rFonts w:ascii="Times New Roman" w:hAnsi="Times New Roman" w:cs="Times New Roman"/>
          <w:szCs w:val="24"/>
        </w:rPr>
        <w:t xml:space="preserve"> </w:t>
      </w:r>
      <w:r w:rsidR="00677204">
        <w:rPr>
          <w:rFonts w:ascii="Times New Roman" w:hAnsi="Times New Roman" w:cs="Times New Roman"/>
          <w:szCs w:val="24"/>
        </w:rPr>
        <w:t>2004</w:t>
      </w:r>
      <w:r w:rsidR="006D4B38">
        <w:rPr>
          <w:rFonts w:ascii="Times New Roman" w:hAnsi="Times New Roman" w:cs="Times New Roman"/>
          <w:szCs w:val="24"/>
        </w:rPr>
        <w:t xml:space="preserve"> </w:t>
      </w:r>
      <w:r w:rsidRPr="00677204">
        <w:rPr>
          <w:rFonts w:ascii="Times New Roman" w:hAnsi="Times New Roman" w:cs="Times New Roman"/>
          <w:szCs w:val="24"/>
        </w:rPr>
        <w:t>r. Nr 65, poz. 597)</w:t>
      </w:r>
      <w:r w:rsidR="001B7E83" w:rsidRPr="00677204">
        <w:rPr>
          <w:rFonts w:ascii="Times New Roman" w:hAnsi="Times New Roman" w:cs="Times New Roman"/>
          <w:szCs w:val="24"/>
        </w:rPr>
        <w:t xml:space="preserve">, </w:t>
      </w:r>
      <w:r w:rsidRPr="00677204">
        <w:rPr>
          <w:rFonts w:ascii="Times New Roman" w:hAnsi="Times New Roman" w:cs="Times New Roman"/>
          <w:szCs w:val="24"/>
        </w:rPr>
        <w:t>dlatego też projekt nie podlega procedurze notyfikacji.</w:t>
      </w:r>
    </w:p>
    <w:p w14:paraId="2FD1A988" w14:textId="1D6FFD13" w:rsidR="0080615F" w:rsidRPr="00677204" w:rsidRDefault="00A74C20" w:rsidP="002549F6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lastRenderedPageBreak/>
        <w:t>R</w:t>
      </w:r>
      <w:r w:rsidR="00CC55C2" w:rsidRPr="00677204">
        <w:rPr>
          <w:rFonts w:ascii="Times New Roman" w:hAnsi="Times New Roman" w:cs="Times New Roman"/>
          <w:szCs w:val="24"/>
        </w:rPr>
        <w:t>egulacja mieści się w zakresie przedmiotowym zagadni</w:t>
      </w:r>
      <w:r w:rsidR="00677204">
        <w:rPr>
          <w:rFonts w:ascii="Times New Roman" w:hAnsi="Times New Roman" w:cs="Times New Roman"/>
          <w:szCs w:val="24"/>
        </w:rPr>
        <w:t>eń podlegających konsultacjom z</w:t>
      </w:r>
      <w:r w:rsidR="006D4B38">
        <w:rPr>
          <w:rFonts w:ascii="Times New Roman" w:hAnsi="Times New Roman" w:cs="Times New Roman"/>
          <w:szCs w:val="24"/>
        </w:rPr>
        <w:t xml:space="preserve"> </w:t>
      </w:r>
      <w:r w:rsidR="00CC55C2" w:rsidRPr="00677204">
        <w:rPr>
          <w:rFonts w:ascii="Times New Roman" w:hAnsi="Times New Roman" w:cs="Times New Roman"/>
          <w:szCs w:val="24"/>
        </w:rPr>
        <w:t>Europejskim Bankiem Centralnym, zgodnie z art. 2 ust. 1 decyzji Rady Nr 98/415/WE z</w:t>
      </w:r>
      <w:r w:rsidR="006D4B38">
        <w:rPr>
          <w:rFonts w:ascii="Times New Roman" w:hAnsi="Times New Roman" w:cs="Times New Roman"/>
          <w:szCs w:val="24"/>
        </w:rPr>
        <w:t xml:space="preserve"> </w:t>
      </w:r>
      <w:r w:rsidR="00CC55C2" w:rsidRPr="00677204">
        <w:rPr>
          <w:rFonts w:ascii="Times New Roman" w:hAnsi="Times New Roman" w:cs="Times New Roman"/>
          <w:szCs w:val="24"/>
        </w:rPr>
        <w:t>dnia 29 czerwca 1998 r. w sprawie konsultacji Europejskiego Banku Centralnego udzielanych władzom krajowym w sprawie projektów przepisów prawnych (Dz. Urz. UE L 189 z 03.07.1998, s. 42).</w:t>
      </w:r>
      <w:r w:rsidR="0080615F" w:rsidRPr="00677204">
        <w:rPr>
          <w:rFonts w:ascii="Times New Roman" w:hAnsi="Times New Roman" w:cs="Times New Roman"/>
          <w:szCs w:val="24"/>
        </w:rPr>
        <w:t xml:space="preserve"> W związku z tym projekt zostanie przekazany do Europejskiego Banku Centralnego w celu uzyskania opinii/stanowiska EBC.</w:t>
      </w:r>
    </w:p>
    <w:p w14:paraId="4ED7DEE1" w14:textId="725D9DB6" w:rsidR="00CC55C2" w:rsidRPr="00677204" w:rsidRDefault="00CC55C2" w:rsidP="002549F6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 xml:space="preserve">Stosownie do art. 4 ustawy z dnia 7 lipca 2005 r. o działalności lobbingowej w procesie stanowienia prawa (Dz. U. poz. 1414, z późn. zm.) projekt </w:t>
      </w:r>
      <w:r w:rsidR="00BF3903" w:rsidRPr="00677204">
        <w:rPr>
          <w:rFonts w:ascii="Times New Roman" w:hAnsi="Times New Roman" w:cs="Times New Roman"/>
          <w:szCs w:val="24"/>
        </w:rPr>
        <w:t xml:space="preserve">został </w:t>
      </w:r>
      <w:r w:rsidRPr="00677204">
        <w:rPr>
          <w:rFonts w:ascii="Times New Roman" w:hAnsi="Times New Roman" w:cs="Times New Roman"/>
          <w:szCs w:val="24"/>
        </w:rPr>
        <w:t>zamieszczony w</w:t>
      </w:r>
      <w:r w:rsidR="00A57950">
        <w:rPr>
          <w:rFonts w:ascii="Times New Roman" w:hAnsi="Times New Roman" w:cs="Times New Roman"/>
          <w:szCs w:val="24"/>
        </w:rPr>
        <w:t> </w:t>
      </w:r>
      <w:r w:rsidR="009E7485">
        <w:rPr>
          <w:rFonts w:ascii="Times New Roman" w:hAnsi="Times New Roman" w:cs="Times New Roman"/>
          <w:szCs w:val="24"/>
        </w:rPr>
        <w:t>W</w:t>
      </w:r>
      <w:r w:rsidRPr="00677204">
        <w:rPr>
          <w:rFonts w:ascii="Times New Roman" w:hAnsi="Times New Roman" w:cs="Times New Roman"/>
          <w:szCs w:val="24"/>
        </w:rPr>
        <w:t>ykazie prac legislacyjnych</w:t>
      </w:r>
      <w:r w:rsidR="00B214E2" w:rsidRPr="00677204">
        <w:rPr>
          <w:rFonts w:ascii="Times New Roman" w:hAnsi="Times New Roman" w:cs="Times New Roman"/>
          <w:szCs w:val="24"/>
        </w:rPr>
        <w:t xml:space="preserve"> Rady Ministrów.</w:t>
      </w:r>
    </w:p>
    <w:p w14:paraId="04493D53" w14:textId="416C7973" w:rsidR="0080615F" w:rsidRPr="00677204" w:rsidRDefault="00CC55C2" w:rsidP="002549F6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 xml:space="preserve">Zgodnie z art. 5 ustawy z dnia 7 lipca 2005 r. o działalności lobbingowej w procesie stanowienia prawa, w związku z § 52 uchwały </w:t>
      </w:r>
      <w:r w:rsidR="009E7485">
        <w:rPr>
          <w:rFonts w:ascii="Times New Roman" w:hAnsi="Times New Roman" w:cs="Times New Roman"/>
          <w:szCs w:val="24"/>
        </w:rPr>
        <w:t>n</w:t>
      </w:r>
      <w:r w:rsidR="00677204">
        <w:rPr>
          <w:rFonts w:ascii="Times New Roman" w:hAnsi="Times New Roman" w:cs="Times New Roman"/>
          <w:szCs w:val="24"/>
        </w:rPr>
        <w:t>r 190 Rady Ministrów z dnia 29</w:t>
      </w:r>
      <w:r w:rsidR="00A57950">
        <w:rPr>
          <w:rFonts w:ascii="Times New Roman" w:hAnsi="Times New Roman" w:cs="Times New Roman"/>
          <w:szCs w:val="24"/>
        </w:rPr>
        <w:t> </w:t>
      </w:r>
      <w:r w:rsidRPr="00677204">
        <w:rPr>
          <w:rFonts w:ascii="Times New Roman" w:hAnsi="Times New Roman" w:cs="Times New Roman"/>
          <w:szCs w:val="24"/>
        </w:rPr>
        <w:t>października 2013</w:t>
      </w:r>
      <w:r w:rsidR="002549F6" w:rsidRPr="00677204">
        <w:rPr>
          <w:rFonts w:ascii="Times New Roman" w:hAnsi="Times New Roman" w:cs="Times New Roman"/>
          <w:szCs w:val="24"/>
        </w:rPr>
        <w:t xml:space="preserve"> </w:t>
      </w:r>
      <w:r w:rsidRPr="00677204">
        <w:rPr>
          <w:rFonts w:ascii="Times New Roman" w:hAnsi="Times New Roman" w:cs="Times New Roman"/>
          <w:szCs w:val="24"/>
        </w:rPr>
        <w:t>r. – Regulamin pracy Rady Ministrów (M.P. poz. 979</w:t>
      </w:r>
      <w:r w:rsidR="00307299">
        <w:rPr>
          <w:rFonts w:ascii="Times New Roman" w:hAnsi="Times New Roman" w:cs="Times New Roman"/>
          <w:szCs w:val="24"/>
        </w:rPr>
        <w:t>, z późn. zm.</w:t>
      </w:r>
      <w:r w:rsidRPr="00677204">
        <w:rPr>
          <w:rFonts w:ascii="Times New Roman" w:hAnsi="Times New Roman" w:cs="Times New Roman"/>
          <w:szCs w:val="24"/>
        </w:rPr>
        <w:t xml:space="preserve">), projekt </w:t>
      </w:r>
      <w:r w:rsidR="001751F0" w:rsidRPr="00677204">
        <w:rPr>
          <w:rFonts w:ascii="Times New Roman" w:hAnsi="Times New Roman" w:cs="Times New Roman"/>
          <w:szCs w:val="24"/>
        </w:rPr>
        <w:t xml:space="preserve">został </w:t>
      </w:r>
      <w:r w:rsidRPr="00677204">
        <w:rPr>
          <w:rFonts w:ascii="Times New Roman" w:hAnsi="Times New Roman" w:cs="Times New Roman"/>
          <w:szCs w:val="24"/>
        </w:rPr>
        <w:t>udostępniony w Biuletynie Informacji Publicznej na stronie podmiotowej R</w:t>
      </w:r>
      <w:r w:rsidR="000575BA" w:rsidRPr="00677204">
        <w:rPr>
          <w:rFonts w:ascii="Times New Roman" w:hAnsi="Times New Roman" w:cs="Times New Roman"/>
          <w:szCs w:val="24"/>
        </w:rPr>
        <w:t xml:space="preserve">ządowego Centrum Legislacji, w </w:t>
      </w:r>
      <w:r w:rsidRPr="00677204">
        <w:rPr>
          <w:rFonts w:ascii="Times New Roman" w:hAnsi="Times New Roman" w:cs="Times New Roman"/>
          <w:szCs w:val="24"/>
        </w:rPr>
        <w:t>serwisie Rządowy Proces Legislacyjny.</w:t>
      </w:r>
      <w:r w:rsidR="0080615F" w:rsidRPr="00677204">
        <w:rPr>
          <w:rFonts w:ascii="Times New Roman" w:hAnsi="Times New Roman" w:cs="Times New Roman"/>
          <w:szCs w:val="24"/>
        </w:rPr>
        <w:t xml:space="preserve"> Żaden podmiot nie zgłosił zainteresowania prac</w:t>
      </w:r>
      <w:r w:rsidR="00A57950">
        <w:rPr>
          <w:rFonts w:ascii="Times New Roman" w:hAnsi="Times New Roman" w:cs="Times New Roman"/>
          <w:szCs w:val="24"/>
        </w:rPr>
        <w:t>ami nad projektem w ww. </w:t>
      </w:r>
      <w:r w:rsidR="000575BA" w:rsidRPr="00677204">
        <w:rPr>
          <w:rFonts w:ascii="Times New Roman" w:hAnsi="Times New Roman" w:cs="Times New Roman"/>
          <w:szCs w:val="24"/>
        </w:rPr>
        <w:t>trybie.</w:t>
      </w:r>
    </w:p>
    <w:p w14:paraId="210283CF" w14:textId="0C3EC9D5" w:rsidR="00A57950" w:rsidRPr="00677204" w:rsidRDefault="0080615F" w:rsidP="002549F6">
      <w:pPr>
        <w:pStyle w:val="ARTartustawynprozporzdzenia"/>
        <w:spacing w:before="0"/>
        <w:ind w:firstLine="0"/>
        <w:rPr>
          <w:rFonts w:ascii="Times New Roman" w:hAnsi="Times New Roman" w:cs="Times New Roman"/>
          <w:szCs w:val="24"/>
        </w:rPr>
      </w:pPr>
      <w:r w:rsidRPr="00677204">
        <w:rPr>
          <w:rFonts w:ascii="Times New Roman" w:hAnsi="Times New Roman" w:cs="Times New Roman"/>
          <w:szCs w:val="24"/>
        </w:rPr>
        <w:t>Projekt jest zgodny z prawem Unii Europejskiej.</w:t>
      </w:r>
    </w:p>
    <w:sectPr w:rsidR="00A57950" w:rsidRPr="00677204" w:rsidSect="00677204">
      <w:footerReference w:type="default" r:id="rId8"/>
      <w:pgSz w:w="11906" w:h="16838"/>
      <w:pgMar w:top="1588" w:right="1418" w:bottom="1418" w:left="1985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7CD56B" w15:done="0"/>
  <w15:commentEx w15:paraId="43141E5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EF36B" w14:textId="77777777" w:rsidR="00A97F60" w:rsidRDefault="00A97F60" w:rsidP="00EF536E">
      <w:pPr>
        <w:spacing w:after="0" w:line="240" w:lineRule="auto"/>
      </w:pPr>
      <w:r>
        <w:separator/>
      </w:r>
    </w:p>
  </w:endnote>
  <w:endnote w:type="continuationSeparator" w:id="0">
    <w:p w14:paraId="24FF6566" w14:textId="77777777" w:rsidR="00A97F60" w:rsidRDefault="00A97F60" w:rsidP="00EF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2455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601597" w14:textId="77777777" w:rsidR="007D7D71" w:rsidRPr="002549F6" w:rsidRDefault="007D7D71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49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49F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49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6875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2549F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828FCD2" w14:textId="77777777" w:rsidR="007D7D71" w:rsidRDefault="007D7D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E6942" w14:textId="77777777" w:rsidR="00A97F60" w:rsidRDefault="00A97F60" w:rsidP="00EF536E">
      <w:pPr>
        <w:spacing w:after="0" w:line="240" w:lineRule="auto"/>
      </w:pPr>
      <w:r>
        <w:separator/>
      </w:r>
    </w:p>
  </w:footnote>
  <w:footnote w:type="continuationSeparator" w:id="0">
    <w:p w14:paraId="5E9BBF43" w14:textId="77777777" w:rsidR="00A97F60" w:rsidRDefault="00A97F60" w:rsidP="00EF536E">
      <w:pPr>
        <w:spacing w:after="0" w:line="240" w:lineRule="auto"/>
      </w:pPr>
      <w:r>
        <w:continuationSeparator/>
      </w:r>
    </w:p>
  </w:footnote>
  <w:footnote w:id="1">
    <w:p w14:paraId="2925CDB7" w14:textId="69C17325" w:rsidR="00677204" w:rsidRPr="006D4B38" w:rsidRDefault="00BC211F" w:rsidP="006D4B3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49F6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="00677204" w:rsidRPr="00677204">
        <w:rPr>
          <w:vertAlign w:val="superscript"/>
        </w:rPr>
        <w:t>)</w:t>
      </w:r>
      <w:r w:rsidRPr="002549F6">
        <w:t xml:space="preserve"> </w:t>
      </w:r>
      <w:r w:rsidR="00677204" w:rsidRPr="006D4B38">
        <w:rPr>
          <w:sz w:val="20"/>
          <w:szCs w:val="20"/>
        </w:rPr>
        <w:tab/>
      </w:r>
      <w:r w:rsidR="006D4B38" w:rsidRPr="006D4B38">
        <w:rPr>
          <w:rFonts w:ascii="Times New Roman" w:hAnsi="Times New Roman" w:cs="Times New Roman"/>
          <w:sz w:val="20"/>
          <w:szCs w:val="20"/>
        </w:rPr>
        <w:t>http://www.nbp.pl/systemplatniczy/obrot_bezgotowkowy/diagnoza-rozwoju-obrotu-bezgotowkowego.pdf</w:t>
      </w:r>
    </w:p>
  </w:footnote>
  <w:footnote w:id="2">
    <w:p w14:paraId="7C29A356" w14:textId="332EFF70" w:rsidR="00BC211F" w:rsidRPr="006D4B38" w:rsidRDefault="00BC211F" w:rsidP="006D4B38">
      <w:pPr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D4B3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="00677204" w:rsidRPr="006D4B3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)</w:t>
      </w:r>
      <w:r w:rsidR="006D4B3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 </w:t>
      </w:r>
      <w:r w:rsidRPr="006D4B38">
        <w:rPr>
          <w:rFonts w:ascii="Times New Roman" w:hAnsi="Times New Roman" w:cs="Times New Roman"/>
          <w:sz w:val="20"/>
          <w:szCs w:val="20"/>
          <w:lang w:val="en-US"/>
        </w:rPr>
        <w:t>(wwwds.worldbank.org/external/default/WDSContentServer/WDSP/IB/2015/04/15/090224b082dca3aa/1_0/</w:t>
      </w:r>
      <w:r w:rsidR="00677204" w:rsidRPr="006D4B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D4B38">
        <w:rPr>
          <w:rFonts w:ascii="Times New Roman" w:hAnsi="Times New Roman" w:cs="Times New Roman"/>
          <w:sz w:val="20"/>
          <w:szCs w:val="20"/>
          <w:lang w:val="en-US"/>
        </w:rPr>
        <w:t>Rendered/PDF/The0Global0Fin0ion0around0the0world.pdf#page=3)</w:t>
      </w:r>
    </w:p>
  </w:footnote>
  <w:footnote w:id="3">
    <w:p w14:paraId="66ABC4E2" w14:textId="066DF3A0" w:rsidR="006D4B38" w:rsidRDefault="007D7D71" w:rsidP="002549F6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2549F6">
        <w:rPr>
          <w:rStyle w:val="Odwoanieprzypisudolnego"/>
          <w:rFonts w:ascii="Times New Roman" w:hAnsi="Times New Roman" w:cs="Times New Roman"/>
        </w:rPr>
        <w:footnoteRef/>
      </w:r>
      <w:r w:rsidR="006D4B38">
        <w:rPr>
          <w:rFonts w:ascii="Times New Roman" w:hAnsi="Times New Roman" w:cs="Times New Roman"/>
          <w:vertAlign w:val="superscript"/>
        </w:rPr>
        <w:t>)</w:t>
      </w:r>
      <w:r w:rsidR="006D4B38">
        <w:rPr>
          <w:rFonts w:ascii="Times New Roman" w:hAnsi="Times New Roman" w:cs="Times New Roman"/>
          <w:vertAlign w:val="superscript"/>
        </w:rPr>
        <w:tab/>
      </w:r>
      <w:r w:rsidRPr="002549F6">
        <w:rPr>
          <w:rFonts w:ascii="Times New Roman" w:hAnsi="Times New Roman" w:cs="Times New Roman"/>
        </w:rPr>
        <w:t xml:space="preserve">T. Koźliński, </w:t>
      </w:r>
      <w:r w:rsidRPr="002549F6">
        <w:rPr>
          <w:rFonts w:ascii="Times New Roman" w:hAnsi="Times New Roman" w:cs="Times New Roman"/>
          <w:i/>
        </w:rPr>
        <w:t xml:space="preserve">Zwyczaje płatnicze Polaków, </w:t>
      </w:r>
      <w:r w:rsidR="006D4B38">
        <w:rPr>
          <w:rFonts w:ascii="Times New Roman" w:hAnsi="Times New Roman" w:cs="Times New Roman"/>
        </w:rPr>
        <w:t>Warszawa 2013</w:t>
      </w:r>
    </w:p>
    <w:p w14:paraId="22A114C4" w14:textId="66ACFF45" w:rsidR="007D7D71" w:rsidRPr="002549F6" w:rsidRDefault="007D7D71" w:rsidP="006D4B38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2549F6">
        <w:rPr>
          <w:rFonts w:ascii="Times New Roman" w:hAnsi="Times New Roman" w:cs="Times New Roman"/>
        </w:rPr>
        <w:t>https://www.nbp.pl/systemplatniczy/zwyczaje_platnicze/zwyczaje_platnicze_Polakow.pdf</w:t>
      </w:r>
    </w:p>
  </w:footnote>
  <w:footnote w:id="4">
    <w:p w14:paraId="18A66A8A" w14:textId="6E94CCFA" w:rsidR="003A1D3E" w:rsidRPr="002549F6" w:rsidRDefault="003A1D3E" w:rsidP="002549F6">
      <w:pPr>
        <w:pStyle w:val="Tekstprzypisudolnego"/>
        <w:ind w:left="284" w:hanging="284"/>
        <w:rPr>
          <w:rFonts w:ascii="Times New Roman" w:hAnsi="Times New Roman" w:cs="Times New Roman"/>
        </w:rPr>
      </w:pPr>
      <w:r w:rsidRPr="002549F6">
        <w:rPr>
          <w:rStyle w:val="Odwoanieprzypisudolnego"/>
          <w:rFonts w:ascii="Times New Roman" w:hAnsi="Times New Roman" w:cs="Times New Roman"/>
        </w:rPr>
        <w:footnoteRef/>
      </w:r>
      <w:r w:rsidR="006D4B38">
        <w:rPr>
          <w:rFonts w:ascii="Times New Roman" w:hAnsi="Times New Roman" w:cs="Times New Roman"/>
          <w:vertAlign w:val="superscript"/>
        </w:rPr>
        <w:t>)</w:t>
      </w:r>
      <w:r w:rsidR="006D4B38">
        <w:rPr>
          <w:rFonts w:ascii="Times New Roman" w:hAnsi="Times New Roman" w:cs="Times New Roman"/>
          <w:vertAlign w:val="superscript"/>
        </w:rPr>
        <w:tab/>
      </w:r>
      <w:hyperlink r:id="rId1" w:history="1">
        <w:r w:rsidRPr="002549F6">
          <w:rPr>
            <w:rStyle w:val="Hipercze"/>
            <w:rFonts w:ascii="Times New Roman" w:hAnsi="Times New Roman" w:cs="Times New Roman"/>
            <w:color w:val="auto"/>
            <w:u w:val="none"/>
          </w:rPr>
          <w:t>http://zbp.pl/public/repozytorium/dla_bankow/rady_i_komitety/bankowosc_detaliczna/</w:t>
        </w:r>
      </w:hyperlink>
      <w:r w:rsidRPr="002549F6">
        <w:rPr>
          <w:rFonts w:ascii="Times New Roman" w:hAnsi="Times New Roman" w:cs="Times New Roman"/>
        </w:rPr>
        <w:t xml:space="preserve"> Ocena_wdrozenia_Rekomendacji_ZBP_w_zakresie_przenoszenia_rachunkow_bankowych_03.2011.pdf</w:t>
      </w:r>
    </w:p>
  </w:footnote>
  <w:footnote w:id="5">
    <w:p w14:paraId="4351E09D" w14:textId="48BC3B2B" w:rsidR="007D7D71" w:rsidRPr="006D4B38" w:rsidRDefault="007D7D71" w:rsidP="002549F6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6D4B38">
        <w:rPr>
          <w:rStyle w:val="Odwoanieprzypisudolnego"/>
          <w:rFonts w:ascii="Times New Roman" w:hAnsi="Times New Roman" w:cs="Times New Roman"/>
        </w:rPr>
        <w:footnoteRef/>
      </w:r>
      <w:r w:rsidR="006D4B38">
        <w:rPr>
          <w:rFonts w:ascii="Times New Roman" w:hAnsi="Times New Roman" w:cs="Times New Roman"/>
          <w:vertAlign w:val="superscript"/>
        </w:rPr>
        <w:t>)</w:t>
      </w:r>
      <w:r w:rsidR="006D4B38">
        <w:rPr>
          <w:rFonts w:ascii="Times New Roman" w:hAnsi="Times New Roman" w:cs="Times New Roman"/>
        </w:rPr>
        <w:tab/>
      </w:r>
      <w:r w:rsidRPr="006D4B38">
        <w:rPr>
          <w:rFonts w:ascii="Times New Roman" w:hAnsi="Times New Roman" w:cs="Times New Roman"/>
        </w:rPr>
        <w:t xml:space="preserve">Informacja nt. stanu wykorzystania przez konsumentów możliwości przenoszenia rachunków bankowych zgodnie z Rekomendacją Związku Banków Polskich w I półroczu 2014 roku </w:t>
      </w:r>
    </w:p>
    <w:p w14:paraId="3722AE85" w14:textId="77777777" w:rsidR="007D7D71" w:rsidRPr="002549F6" w:rsidRDefault="007D7D71" w:rsidP="006D4B38">
      <w:pPr>
        <w:pStyle w:val="Tekstprzypisudolnego"/>
        <w:ind w:left="284"/>
        <w:rPr>
          <w:rFonts w:ascii="Times New Roman" w:hAnsi="Times New Roman" w:cs="Times New Roman"/>
        </w:rPr>
      </w:pPr>
      <w:r w:rsidRPr="002549F6">
        <w:rPr>
          <w:rFonts w:ascii="Times New Roman" w:hAnsi="Times New Roman" w:cs="Times New Roman"/>
        </w:rPr>
        <w:t>(</w:t>
      </w:r>
      <w:hyperlink r:id="rId2" w:history="1">
        <w:r w:rsidRPr="002549F6">
          <w:rPr>
            <w:rStyle w:val="Hipercze"/>
            <w:rFonts w:ascii="Times New Roman" w:hAnsi="Times New Roman" w:cs="Times New Roman"/>
            <w:color w:val="auto"/>
            <w:u w:val="none"/>
          </w:rPr>
          <w:t>http://zbp.pl/public/repozytorium/dla_bankow/rady_i_komitety/bankowosc_detaliczna/Informacja_dot._</w:t>
        </w:r>
      </w:hyperlink>
      <w:r w:rsidRPr="002549F6">
        <w:rPr>
          <w:rFonts w:ascii="Times New Roman" w:hAnsi="Times New Roman" w:cs="Times New Roman"/>
        </w:rPr>
        <w:t>przenoszalnosci_rachunkow_bankowych_w_I_pol_2014_r.pdf)</w:t>
      </w:r>
    </w:p>
    <w:p w14:paraId="488DE2BB" w14:textId="77777777" w:rsidR="007D7D71" w:rsidRPr="002549F6" w:rsidRDefault="007D7D71" w:rsidP="002549F6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rążyk, Małgorzata Maria">
    <w15:presenceInfo w15:providerId="AD" w15:userId="S-1-5-21-1969266838-771958977-85252371-322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F1"/>
    <w:rsid w:val="00001F64"/>
    <w:rsid w:val="00007953"/>
    <w:rsid w:val="000114EF"/>
    <w:rsid w:val="0001319D"/>
    <w:rsid w:val="00021EE2"/>
    <w:rsid w:val="000328EC"/>
    <w:rsid w:val="00033A93"/>
    <w:rsid w:val="00036A71"/>
    <w:rsid w:val="00041AD1"/>
    <w:rsid w:val="00043586"/>
    <w:rsid w:val="000442E6"/>
    <w:rsid w:val="00047E53"/>
    <w:rsid w:val="00050ACC"/>
    <w:rsid w:val="000549FA"/>
    <w:rsid w:val="000575BA"/>
    <w:rsid w:val="00057CC5"/>
    <w:rsid w:val="000629EA"/>
    <w:rsid w:val="00063EBD"/>
    <w:rsid w:val="0007029F"/>
    <w:rsid w:val="00070B14"/>
    <w:rsid w:val="000853A0"/>
    <w:rsid w:val="0009187A"/>
    <w:rsid w:val="00094F6E"/>
    <w:rsid w:val="00096CAE"/>
    <w:rsid w:val="00096CD1"/>
    <w:rsid w:val="000A57C0"/>
    <w:rsid w:val="000B0712"/>
    <w:rsid w:val="000B4296"/>
    <w:rsid w:val="000B4C0D"/>
    <w:rsid w:val="000B6437"/>
    <w:rsid w:val="000B78A0"/>
    <w:rsid w:val="000C6634"/>
    <w:rsid w:val="000D0F83"/>
    <w:rsid w:val="000D28AC"/>
    <w:rsid w:val="000D4DB1"/>
    <w:rsid w:val="000D501D"/>
    <w:rsid w:val="000D5D6A"/>
    <w:rsid w:val="000D5E2B"/>
    <w:rsid w:val="000D6B48"/>
    <w:rsid w:val="000E0BC3"/>
    <w:rsid w:val="000E6BBB"/>
    <w:rsid w:val="000F25D8"/>
    <w:rsid w:val="000F33B6"/>
    <w:rsid w:val="00100860"/>
    <w:rsid w:val="00105A70"/>
    <w:rsid w:val="00106889"/>
    <w:rsid w:val="0011294D"/>
    <w:rsid w:val="00123B4D"/>
    <w:rsid w:val="00126C57"/>
    <w:rsid w:val="00142DC6"/>
    <w:rsid w:val="00142E96"/>
    <w:rsid w:val="00147BC5"/>
    <w:rsid w:val="00152FE0"/>
    <w:rsid w:val="0015408B"/>
    <w:rsid w:val="0015609B"/>
    <w:rsid w:val="00162376"/>
    <w:rsid w:val="0016653C"/>
    <w:rsid w:val="00166E5E"/>
    <w:rsid w:val="001707DD"/>
    <w:rsid w:val="00171584"/>
    <w:rsid w:val="001749DF"/>
    <w:rsid w:val="001751F0"/>
    <w:rsid w:val="001753DE"/>
    <w:rsid w:val="001754C1"/>
    <w:rsid w:val="00187976"/>
    <w:rsid w:val="00191490"/>
    <w:rsid w:val="00191521"/>
    <w:rsid w:val="00192B52"/>
    <w:rsid w:val="00194A6F"/>
    <w:rsid w:val="001975D0"/>
    <w:rsid w:val="00197AF4"/>
    <w:rsid w:val="001A02D0"/>
    <w:rsid w:val="001A12DA"/>
    <w:rsid w:val="001A7A3B"/>
    <w:rsid w:val="001B6574"/>
    <w:rsid w:val="001B7E83"/>
    <w:rsid w:val="001C69A6"/>
    <w:rsid w:val="001C7667"/>
    <w:rsid w:val="001D0FB1"/>
    <w:rsid w:val="001D11C7"/>
    <w:rsid w:val="001E726A"/>
    <w:rsid w:val="001F252E"/>
    <w:rsid w:val="001F4C75"/>
    <w:rsid w:val="00204B67"/>
    <w:rsid w:val="00205586"/>
    <w:rsid w:val="002121F7"/>
    <w:rsid w:val="00215BF8"/>
    <w:rsid w:val="0021798B"/>
    <w:rsid w:val="00220BE8"/>
    <w:rsid w:val="00222ABA"/>
    <w:rsid w:val="00224F74"/>
    <w:rsid w:val="002265F0"/>
    <w:rsid w:val="00230115"/>
    <w:rsid w:val="00235506"/>
    <w:rsid w:val="00247610"/>
    <w:rsid w:val="00247FCA"/>
    <w:rsid w:val="002502C0"/>
    <w:rsid w:val="00252B3E"/>
    <w:rsid w:val="002549F6"/>
    <w:rsid w:val="002615DA"/>
    <w:rsid w:val="00274B92"/>
    <w:rsid w:val="00283FC3"/>
    <w:rsid w:val="00286752"/>
    <w:rsid w:val="00287106"/>
    <w:rsid w:val="00287D8E"/>
    <w:rsid w:val="0029602E"/>
    <w:rsid w:val="00297E5D"/>
    <w:rsid w:val="002A009E"/>
    <w:rsid w:val="002A408A"/>
    <w:rsid w:val="002A43E7"/>
    <w:rsid w:val="002B1483"/>
    <w:rsid w:val="002B3940"/>
    <w:rsid w:val="002B3B3C"/>
    <w:rsid w:val="002B4F26"/>
    <w:rsid w:val="002C09BB"/>
    <w:rsid w:val="002C17C2"/>
    <w:rsid w:val="002D03C0"/>
    <w:rsid w:val="002D1432"/>
    <w:rsid w:val="002D3FBE"/>
    <w:rsid w:val="002D7407"/>
    <w:rsid w:val="002D7803"/>
    <w:rsid w:val="002E1524"/>
    <w:rsid w:val="002F72DD"/>
    <w:rsid w:val="003003C1"/>
    <w:rsid w:val="003016A4"/>
    <w:rsid w:val="003023B1"/>
    <w:rsid w:val="003059BC"/>
    <w:rsid w:val="00307299"/>
    <w:rsid w:val="00333796"/>
    <w:rsid w:val="003379D0"/>
    <w:rsid w:val="00341527"/>
    <w:rsid w:val="003538F1"/>
    <w:rsid w:val="00375B0A"/>
    <w:rsid w:val="003802EA"/>
    <w:rsid w:val="00381B37"/>
    <w:rsid w:val="00384D29"/>
    <w:rsid w:val="0038553F"/>
    <w:rsid w:val="00396913"/>
    <w:rsid w:val="00397213"/>
    <w:rsid w:val="00397555"/>
    <w:rsid w:val="00397D02"/>
    <w:rsid w:val="003A1D3E"/>
    <w:rsid w:val="003B08BA"/>
    <w:rsid w:val="003C0F51"/>
    <w:rsid w:val="003C6628"/>
    <w:rsid w:val="003D2B72"/>
    <w:rsid w:val="003D30F2"/>
    <w:rsid w:val="003D48CC"/>
    <w:rsid w:val="003E1312"/>
    <w:rsid w:val="003E25DA"/>
    <w:rsid w:val="003E57F9"/>
    <w:rsid w:val="003E762A"/>
    <w:rsid w:val="003F0F87"/>
    <w:rsid w:val="003F1787"/>
    <w:rsid w:val="003F2481"/>
    <w:rsid w:val="003F5825"/>
    <w:rsid w:val="003F6805"/>
    <w:rsid w:val="003F6E04"/>
    <w:rsid w:val="003F7E64"/>
    <w:rsid w:val="00401FE5"/>
    <w:rsid w:val="0040346F"/>
    <w:rsid w:val="004144D6"/>
    <w:rsid w:val="00414AC9"/>
    <w:rsid w:val="004168B0"/>
    <w:rsid w:val="00422004"/>
    <w:rsid w:val="00422C2B"/>
    <w:rsid w:val="00423685"/>
    <w:rsid w:val="00432FA0"/>
    <w:rsid w:val="0043583F"/>
    <w:rsid w:val="00436630"/>
    <w:rsid w:val="00437998"/>
    <w:rsid w:val="00455811"/>
    <w:rsid w:val="0045680A"/>
    <w:rsid w:val="00460A22"/>
    <w:rsid w:val="00466068"/>
    <w:rsid w:val="00467A3E"/>
    <w:rsid w:val="004723AF"/>
    <w:rsid w:val="00472E1B"/>
    <w:rsid w:val="004766BC"/>
    <w:rsid w:val="00480AB4"/>
    <w:rsid w:val="00481C69"/>
    <w:rsid w:val="004A2CCB"/>
    <w:rsid w:val="004A418B"/>
    <w:rsid w:val="004B2D14"/>
    <w:rsid w:val="004B7B82"/>
    <w:rsid w:val="004C1D70"/>
    <w:rsid w:val="004C5479"/>
    <w:rsid w:val="004D3DA1"/>
    <w:rsid w:val="004E14D2"/>
    <w:rsid w:val="004E479F"/>
    <w:rsid w:val="004E62CD"/>
    <w:rsid w:val="004E6EDC"/>
    <w:rsid w:val="004E7D00"/>
    <w:rsid w:val="004F0949"/>
    <w:rsid w:val="004F14DA"/>
    <w:rsid w:val="004F414C"/>
    <w:rsid w:val="005006EC"/>
    <w:rsid w:val="0050121A"/>
    <w:rsid w:val="005034EA"/>
    <w:rsid w:val="00505BDA"/>
    <w:rsid w:val="00505E80"/>
    <w:rsid w:val="00505F80"/>
    <w:rsid w:val="00507E18"/>
    <w:rsid w:val="00511774"/>
    <w:rsid w:val="005156B9"/>
    <w:rsid w:val="005161CE"/>
    <w:rsid w:val="0051659C"/>
    <w:rsid w:val="00530C16"/>
    <w:rsid w:val="00537FB3"/>
    <w:rsid w:val="005421E3"/>
    <w:rsid w:val="00542739"/>
    <w:rsid w:val="005440E8"/>
    <w:rsid w:val="005540E3"/>
    <w:rsid w:val="005654F6"/>
    <w:rsid w:val="00574CD7"/>
    <w:rsid w:val="005809E4"/>
    <w:rsid w:val="00580DF0"/>
    <w:rsid w:val="00585371"/>
    <w:rsid w:val="005860EC"/>
    <w:rsid w:val="00587D94"/>
    <w:rsid w:val="00593DBA"/>
    <w:rsid w:val="0059532B"/>
    <w:rsid w:val="005A1871"/>
    <w:rsid w:val="005A3F7E"/>
    <w:rsid w:val="005A5AEC"/>
    <w:rsid w:val="005B34B3"/>
    <w:rsid w:val="005B3ACE"/>
    <w:rsid w:val="005C068D"/>
    <w:rsid w:val="005C133C"/>
    <w:rsid w:val="005C6AFA"/>
    <w:rsid w:val="005C7DAB"/>
    <w:rsid w:val="005D4A00"/>
    <w:rsid w:val="005E091D"/>
    <w:rsid w:val="005E1E89"/>
    <w:rsid w:val="005F1A48"/>
    <w:rsid w:val="005F68AB"/>
    <w:rsid w:val="005F7368"/>
    <w:rsid w:val="0060185F"/>
    <w:rsid w:val="006052C1"/>
    <w:rsid w:val="00610F8E"/>
    <w:rsid w:val="00614714"/>
    <w:rsid w:val="00614D44"/>
    <w:rsid w:val="006162A7"/>
    <w:rsid w:val="006234E1"/>
    <w:rsid w:val="00626AF9"/>
    <w:rsid w:val="00634830"/>
    <w:rsid w:val="00644C50"/>
    <w:rsid w:val="0064604B"/>
    <w:rsid w:val="00652D34"/>
    <w:rsid w:val="00653BFF"/>
    <w:rsid w:val="00654DFB"/>
    <w:rsid w:val="00661BDC"/>
    <w:rsid w:val="00672727"/>
    <w:rsid w:val="00674FA0"/>
    <w:rsid w:val="006752E0"/>
    <w:rsid w:val="00675F7D"/>
    <w:rsid w:val="00677204"/>
    <w:rsid w:val="00683C73"/>
    <w:rsid w:val="006840DD"/>
    <w:rsid w:val="00693024"/>
    <w:rsid w:val="006A4BE2"/>
    <w:rsid w:val="006A7393"/>
    <w:rsid w:val="006B1DD2"/>
    <w:rsid w:val="006B1F17"/>
    <w:rsid w:val="006B3E70"/>
    <w:rsid w:val="006B4370"/>
    <w:rsid w:val="006B47A5"/>
    <w:rsid w:val="006B7C77"/>
    <w:rsid w:val="006C23B1"/>
    <w:rsid w:val="006C4463"/>
    <w:rsid w:val="006D4B38"/>
    <w:rsid w:val="006D7E59"/>
    <w:rsid w:val="006E005C"/>
    <w:rsid w:val="006E278D"/>
    <w:rsid w:val="006E3042"/>
    <w:rsid w:val="006E31CB"/>
    <w:rsid w:val="006E6B0C"/>
    <w:rsid w:val="006F422D"/>
    <w:rsid w:val="00703342"/>
    <w:rsid w:val="00706891"/>
    <w:rsid w:val="007069CE"/>
    <w:rsid w:val="0070753D"/>
    <w:rsid w:val="007109B9"/>
    <w:rsid w:val="0071294A"/>
    <w:rsid w:val="007170BB"/>
    <w:rsid w:val="007175F5"/>
    <w:rsid w:val="00722FE7"/>
    <w:rsid w:val="00725AC1"/>
    <w:rsid w:val="00731C1D"/>
    <w:rsid w:val="00732F03"/>
    <w:rsid w:val="00733F5F"/>
    <w:rsid w:val="007357A2"/>
    <w:rsid w:val="00737E9D"/>
    <w:rsid w:val="00741785"/>
    <w:rsid w:val="0074249E"/>
    <w:rsid w:val="00744182"/>
    <w:rsid w:val="00746E23"/>
    <w:rsid w:val="007536EA"/>
    <w:rsid w:val="0078131C"/>
    <w:rsid w:val="00784812"/>
    <w:rsid w:val="00787260"/>
    <w:rsid w:val="00791DB3"/>
    <w:rsid w:val="00792025"/>
    <w:rsid w:val="00795406"/>
    <w:rsid w:val="00796352"/>
    <w:rsid w:val="00797E54"/>
    <w:rsid w:val="007A4B66"/>
    <w:rsid w:val="007A528B"/>
    <w:rsid w:val="007A6758"/>
    <w:rsid w:val="007B08D6"/>
    <w:rsid w:val="007B25AF"/>
    <w:rsid w:val="007B7C52"/>
    <w:rsid w:val="007C3207"/>
    <w:rsid w:val="007C3594"/>
    <w:rsid w:val="007D39F1"/>
    <w:rsid w:val="007D74ED"/>
    <w:rsid w:val="007D7D11"/>
    <w:rsid w:val="007D7D71"/>
    <w:rsid w:val="007E1092"/>
    <w:rsid w:val="007E6E81"/>
    <w:rsid w:val="007E7021"/>
    <w:rsid w:val="007F024D"/>
    <w:rsid w:val="007F2BA8"/>
    <w:rsid w:val="007F5630"/>
    <w:rsid w:val="007F6B74"/>
    <w:rsid w:val="007F7E17"/>
    <w:rsid w:val="00801313"/>
    <w:rsid w:val="008029BC"/>
    <w:rsid w:val="00802D23"/>
    <w:rsid w:val="00805489"/>
    <w:rsid w:val="00805944"/>
    <w:rsid w:val="0080615F"/>
    <w:rsid w:val="00810530"/>
    <w:rsid w:val="00813E71"/>
    <w:rsid w:val="00814335"/>
    <w:rsid w:val="00814EA6"/>
    <w:rsid w:val="00815F24"/>
    <w:rsid w:val="008176A1"/>
    <w:rsid w:val="00822D6C"/>
    <w:rsid w:val="00823EAC"/>
    <w:rsid w:val="00827416"/>
    <w:rsid w:val="008360E7"/>
    <w:rsid w:val="00840E78"/>
    <w:rsid w:val="00844127"/>
    <w:rsid w:val="00844B92"/>
    <w:rsid w:val="008476AE"/>
    <w:rsid w:val="00850472"/>
    <w:rsid w:val="00850476"/>
    <w:rsid w:val="00851C84"/>
    <w:rsid w:val="00854921"/>
    <w:rsid w:val="00855EE9"/>
    <w:rsid w:val="00864E95"/>
    <w:rsid w:val="00866065"/>
    <w:rsid w:val="00874BEE"/>
    <w:rsid w:val="008833C4"/>
    <w:rsid w:val="00886C71"/>
    <w:rsid w:val="00886E07"/>
    <w:rsid w:val="00886EEF"/>
    <w:rsid w:val="008A0D3D"/>
    <w:rsid w:val="008B0188"/>
    <w:rsid w:val="008B47D6"/>
    <w:rsid w:val="008D49DA"/>
    <w:rsid w:val="008D4CE7"/>
    <w:rsid w:val="008D4EC8"/>
    <w:rsid w:val="008D79C1"/>
    <w:rsid w:val="008E0D2C"/>
    <w:rsid w:val="008E389E"/>
    <w:rsid w:val="008F07DC"/>
    <w:rsid w:val="008F1364"/>
    <w:rsid w:val="008F6D38"/>
    <w:rsid w:val="00901D4B"/>
    <w:rsid w:val="009037E8"/>
    <w:rsid w:val="00904251"/>
    <w:rsid w:val="0091154C"/>
    <w:rsid w:val="009130F4"/>
    <w:rsid w:val="00913238"/>
    <w:rsid w:val="00915110"/>
    <w:rsid w:val="00921429"/>
    <w:rsid w:val="009273FF"/>
    <w:rsid w:val="00927601"/>
    <w:rsid w:val="009315E8"/>
    <w:rsid w:val="00936BA9"/>
    <w:rsid w:val="00937D00"/>
    <w:rsid w:val="00940192"/>
    <w:rsid w:val="0094335F"/>
    <w:rsid w:val="0094645C"/>
    <w:rsid w:val="0095164B"/>
    <w:rsid w:val="00951FAE"/>
    <w:rsid w:val="00952430"/>
    <w:rsid w:val="00953836"/>
    <w:rsid w:val="00954B3F"/>
    <w:rsid w:val="0095673A"/>
    <w:rsid w:val="00960D58"/>
    <w:rsid w:val="009643C6"/>
    <w:rsid w:val="00967640"/>
    <w:rsid w:val="00967AF9"/>
    <w:rsid w:val="00967CE7"/>
    <w:rsid w:val="009732C6"/>
    <w:rsid w:val="009741DC"/>
    <w:rsid w:val="00975FB6"/>
    <w:rsid w:val="0098294E"/>
    <w:rsid w:val="0098417F"/>
    <w:rsid w:val="00984AFE"/>
    <w:rsid w:val="00985BA8"/>
    <w:rsid w:val="0099227D"/>
    <w:rsid w:val="00996A10"/>
    <w:rsid w:val="00996DC5"/>
    <w:rsid w:val="009A1075"/>
    <w:rsid w:val="009A423D"/>
    <w:rsid w:val="009A6EB8"/>
    <w:rsid w:val="009C06F1"/>
    <w:rsid w:val="009E5A74"/>
    <w:rsid w:val="009E7485"/>
    <w:rsid w:val="009F633E"/>
    <w:rsid w:val="00A01A4E"/>
    <w:rsid w:val="00A142C6"/>
    <w:rsid w:val="00A2559F"/>
    <w:rsid w:val="00A30FA4"/>
    <w:rsid w:val="00A32A23"/>
    <w:rsid w:val="00A3501D"/>
    <w:rsid w:val="00A35175"/>
    <w:rsid w:val="00A3531D"/>
    <w:rsid w:val="00A522C8"/>
    <w:rsid w:val="00A55D1C"/>
    <w:rsid w:val="00A57950"/>
    <w:rsid w:val="00A65638"/>
    <w:rsid w:val="00A709A0"/>
    <w:rsid w:val="00A733BB"/>
    <w:rsid w:val="00A74C20"/>
    <w:rsid w:val="00A77A3D"/>
    <w:rsid w:val="00A86FB2"/>
    <w:rsid w:val="00A87996"/>
    <w:rsid w:val="00A87CFF"/>
    <w:rsid w:val="00A9285F"/>
    <w:rsid w:val="00A9473F"/>
    <w:rsid w:val="00A95D81"/>
    <w:rsid w:val="00A97F60"/>
    <w:rsid w:val="00AA179D"/>
    <w:rsid w:val="00AA2168"/>
    <w:rsid w:val="00AB73DE"/>
    <w:rsid w:val="00AC2C21"/>
    <w:rsid w:val="00AC44C8"/>
    <w:rsid w:val="00AD0F57"/>
    <w:rsid w:val="00AD0F69"/>
    <w:rsid w:val="00AE5871"/>
    <w:rsid w:val="00AF028E"/>
    <w:rsid w:val="00AF1E7C"/>
    <w:rsid w:val="00B008CA"/>
    <w:rsid w:val="00B01147"/>
    <w:rsid w:val="00B0121F"/>
    <w:rsid w:val="00B02018"/>
    <w:rsid w:val="00B13CAE"/>
    <w:rsid w:val="00B14265"/>
    <w:rsid w:val="00B214E2"/>
    <w:rsid w:val="00B21B8E"/>
    <w:rsid w:val="00B21EF4"/>
    <w:rsid w:val="00B26BC5"/>
    <w:rsid w:val="00B31B6F"/>
    <w:rsid w:val="00B31F81"/>
    <w:rsid w:val="00B33ACD"/>
    <w:rsid w:val="00B33B66"/>
    <w:rsid w:val="00B35154"/>
    <w:rsid w:val="00B368DD"/>
    <w:rsid w:val="00B42704"/>
    <w:rsid w:val="00B4478B"/>
    <w:rsid w:val="00B45C1E"/>
    <w:rsid w:val="00B50432"/>
    <w:rsid w:val="00B633E7"/>
    <w:rsid w:val="00B647E9"/>
    <w:rsid w:val="00B66C4E"/>
    <w:rsid w:val="00B70C98"/>
    <w:rsid w:val="00B71998"/>
    <w:rsid w:val="00B74206"/>
    <w:rsid w:val="00B758BC"/>
    <w:rsid w:val="00B77DF5"/>
    <w:rsid w:val="00B81F39"/>
    <w:rsid w:val="00B87CB2"/>
    <w:rsid w:val="00B97CA4"/>
    <w:rsid w:val="00BA4E92"/>
    <w:rsid w:val="00BB08A1"/>
    <w:rsid w:val="00BC0A0F"/>
    <w:rsid w:val="00BC211F"/>
    <w:rsid w:val="00BC2B4B"/>
    <w:rsid w:val="00BC68F9"/>
    <w:rsid w:val="00BE23BF"/>
    <w:rsid w:val="00BE2BB6"/>
    <w:rsid w:val="00BE6346"/>
    <w:rsid w:val="00BE741C"/>
    <w:rsid w:val="00BF089A"/>
    <w:rsid w:val="00BF1A9D"/>
    <w:rsid w:val="00BF34CF"/>
    <w:rsid w:val="00BF3903"/>
    <w:rsid w:val="00BF4083"/>
    <w:rsid w:val="00C003DF"/>
    <w:rsid w:val="00C05F49"/>
    <w:rsid w:val="00C07F00"/>
    <w:rsid w:val="00C11206"/>
    <w:rsid w:val="00C155DC"/>
    <w:rsid w:val="00C164FE"/>
    <w:rsid w:val="00C212CC"/>
    <w:rsid w:val="00C2418E"/>
    <w:rsid w:val="00C344D6"/>
    <w:rsid w:val="00C35CA3"/>
    <w:rsid w:val="00C35DC2"/>
    <w:rsid w:val="00C44E54"/>
    <w:rsid w:val="00C4703D"/>
    <w:rsid w:val="00C52356"/>
    <w:rsid w:val="00C52AAD"/>
    <w:rsid w:val="00C607FC"/>
    <w:rsid w:val="00C66493"/>
    <w:rsid w:val="00C76B99"/>
    <w:rsid w:val="00C776FD"/>
    <w:rsid w:val="00C77C2C"/>
    <w:rsid w:val="00C82CA2"/>
    <w:rsid w:val="00C867AE"/>
    <w:rsid w:val="00C86E33"/>
    <w:rsid w:val="00C96462"/>
    <w:rsid w:val="00C97B48"/>
    <w:rsid w:val="00CA15A0"/>
    <w:rsid w:val="00CA69C0"/>
    <w:rsid w:val="00CA6FE3"/>
    <w:rsid w:val="00CB1B6B"/>
    <w:rsid w:val="00CC01C6"/>
    <w:rsid w:val="00CC4AF8"/>
    <w:rsid w:val="00CC55C2"/>
    <w:rsid w:val="00CD347F"/>
    <w:rsid w:val="00CD6B36"/>
    <w:rsid w:val="00CE404E"/>
    <w:rsid w:val="00CE6DFB"/>
    <w:rsid w:val="00CF1DE6"/>
    <w:rsid w:val="00D004E4"/>
    <w:rsid w:val="00D03712"/>
    <w:rsid w:val="00D056A2"/>
    <w:rsid w:val="00D05DDC"/>
    <w:rsid w:val="00D10DA1"/>
    <w:rsid w:val="00D10E7C"/>
    <w:rsid w:val="00D11D88"/>
    <w:rsid w:val="00D11EC6"/>
    <w:rsid w:val="00D203D6"/>
    <w:rsid w:val="00D226CB"/>
    <w:rsid w:val="00D228F5"/>
    <w:rsid w:val="00D24347"/>
    <w:rsid w:val="00D271DA"/>
    <w:rsid w:val="00D368A0"/>
    <w:rsid w:val="00D422B4"/>
    <w:rsid w:val="00D53305"/>
    <w:rsid w:val="00D54346"/>
    <w:rsid w:val="00D60DAD"/>
    <w:rsid w:val="00D60E05"/>
    <w:rsid w:val="00D64757"/>
    <w:rsid w:val="00D64A79"/>
    <w:rsid w:val="00D7536B"/>
    <w:rsid w:val="00D81C06"/>
    <w:rsid w:val="00D86F15"/>
    <w:rsid w:val="00D87F36"/>
    <w:rsid w:val="00D9325B"/>
    <w:rsid w:val="00DA13F2"/>
    <w:rsid w:val="00DA2456"/>
    <w:rsid w:val="00DA627C"/>
    <w:rsid w:val="00DB2333"/>
    <w:rsid w:val="00DB2A16"/>
    <w:rsid w:val="00DB3670"/>
    <w:rsid w:val="00DC04DD"/>
    <w:rsid w:val="00DC09D8"/>
    <w:rsid w:val="00DC0D80"/>
    <w:rsid w:val="00DC1082"/>
    <w:rsid w:val="00DC11AF"/>
    <w:rsid w:val="00DC1AAF"/>
    <w:rsid w:val="00DC1AB1"/>
    <w:rsid w:val="00DC2E9B"/>
    <w:rsid w:val="00DC5C57"/>
    <w:rsid w:val="00DE332E"/>
    <w:rsid w:val="00DE3FB7"/>
    <w:rsid w:val="00DF0FBC"/>
    <w:rsid w:val="00DF1E15"/>
    <w:rsid w:val="00DF5B02"/>
    <w:rsid w:val="00E00067"/>
    <w:rsid w:val="00E017D4"/>
    <w:rsid w:val="00E03F29"/>
    <w:rsid w:val="00E1039E"/>
    <w:rsid w:val="00E124DC"/>
    <w:rsid w:val="00E13EC5"/>
    <w:rsid w:val="00E21EAD"/>
    <w:rsid w:val="00E25885"/>
    <w:rsid w:val="00E261FC"/>
    <w:rsid w:val="00E27D49"/>
    <w:rsid w:val="00E36875"/>
    <w:rsid w:val="00E4098A"/>
    <w:rsid w:val="00E439E3"/>
    <w:rsid w:val="00E4409C"/>
    <w:rsid w:val="00E4437C"/>
    <w:rsid w:val="00E46B09"/>
    <w:rsid w:val="00E46EA3"/>
    <w:rsid w:val="00E473B6"/>
    <w:rsid w:val="00E54D29"/>
    <w:rsid w:val="00E55617"/>
    <w:rsid w:val="00E62C90"/>
    <w:rsid w:val="00E6472D"/>
    <w:rsid w:val="00E701C2"/>
    <w:rsid w:val="00E72752"/>
    <w:rsid w:val="00E8113F"/>
    <w:rsid w:val="00E9357C"/>
    <w:rsid w:val="00E94074"/>
    <w:rsid w:val="00E97298"/>
    <w:rsid w:val="00E97F48"/>
    <w:rsid w:val="00EA0F83"/>
    <w:rsid w:val="00EA255D"/>
    <w:rsid w:val="00EA26E8"/>
    <w:rsid w:val="00EB0E75"/>
    <w:rsid w:val="00EB10C7"/>
    <w:rsid w:val="00EB2E36"/>
    <w:rsid w:val="00EB62B9"/>
    <w:rsid w:val="00EC6EB9"/>
    <w:rsid w:val="00ED7AF2"/>
    <w:rsid w:val="00EE1B44"/>
    <w:rsid w:val="00EE79AA"/>
    <w:rsid w:val="00EF08FB"/>
    <w:rsid w:val="00EF44B1"/>
    <w:rsid w:val="00EF536E"/>
    <w:rsid w:val="00F05974"/>
    <w:rsid w:val="00F068CE"/>
    <w:rsid w:val="00F07311"/>
    <w:rsid w:val="00F23194"/>
    <w:rsid w:val="00F312AC"/>
    <w:rsid w:val="00F4163F"/>
    <w:rsid w:val="00F5113F"/>
    <w:rsid w:val="00F612D2"/>
    <w:rsid w:val="00F64DA3"/>
    <w:rsid w:val="00F731FC"/>
    <w:rsid w:val="00F76FC4"/>
    <w:rsid w:val="00F80002"/>
    <w:rsid w:val="00F835E4"/>
    <w:rsid w:val="00F846E3"/>
    <w:rsid w:val="00F84A2D"/>
    <w:rsid w:val="00F913E1"/>
    <w:rsid w:val="00F91D2C"/>
    <w:rsid w:val="00F96169"/>
    <w:rsid w:val="00FA239F"/>
    <w:rsid w:val="00FA34EE"/>
    <w:rsid w:val="00FA42C2"/>
    <w:rsid w:val="00FA460E"/>
    <w:rsid w:val="00FA5743"/>
    <w:rsid w:val="00FA792F"/>
    <w:rsid w:val="00FB0684"/>
    <w:rsid w:val="00FC18A2"/>
    <w:rsid w:val="00FC5B83"/>
    <w:rsid w:val="00FD12BD"/>
    <w:rsid w:val="00FD33F4"/>
    <w:rsid w:val="00FD60DF"/>
    <w:rsid w:val="00FE6725"/>
    <w:rsid w:val="00FE7F61"/>
    <w:rsid w:val="00FF03A1"/>
    <w:rsid w:val="00FF2997"/>
    <w:rsid w:val="00FF2AEC"/>
    <w:rsid w:val="00FF6656"/>
    <w:rsid w:val="00FF71AF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C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E21EA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21EAD"/>
    <w:rPr>
      <w:bCs/>
    </w:rPr>
  </w:style>
  <w:style w:type="paragraph" w:customStyle="1" w:styleId="TYTTABELItytutabeli">
    <w:name w:val="TYT_TABELI – tytuł tabeli"/>
    <w:basedOn w:val="Normalny"/>
    <w:uiPriority w:val="22"/>
    <w:qFormat/>
    <w:rsid w:val="00E21EAD"/>
    <w:pPr>
      <w:keepNext/>
      <w:spacing w:before="120" w:after="0" w:line="360" w:lineRule="auto"/>
      <w:jc w:val="center"/>
    </w:pPr>
    <w:rPr>
      <w:rFonts w:ascii="Times" w:eastAsia="Times New Roman" w:hAnsi="Times" w:cs="Arial"/>
      <w:b/>
      <w:bCs/>
      <w:caps/>
      <w:kern w:val="24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10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1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01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01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1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11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53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3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536E"/>
    <w:rPr>
      <w:vertAlign w:val="superscript"/>
    </w:rPr>
  </w:style>
  <w:style w:type="paragraph" w:customStyle="1" w:styleId="ODNONIKtreodnonika">
    <w:name w:val="ODNOŚNIK – treść odnośnika"/>
    <w:uiPriority w:val="24"/>
    <w:qFormat/>
    <w:rsid w:val="00CC55C2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Ppogrubienie">
    <w:name w:val="_P_ – pogrubienie"/>
    <w:uiPriority w:val="1"/>
    <w:qFormat/>
    <w:rsid w:val="00CC55C2"/>
    <w:rPr>
      <w:b/>
    </w:rPr>
  </w:style>
  <w:style w:type="character" w:styleId="Pogrubienie">
    <w:name w:val="Strong"/>
    <w:qFormat/>
    <w:rsid w:val="00CC55C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73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3BB"/>
  </w:style>
  <w:style w:type="paragraph" w:styleId="Stopka">
    <w:name w:val="footer"/>
    <w:basedOn w:val="Normalny"/>
    <w:link w:val="StopkaZnak"/>
    <w:uiPriority w:val="99"/>
    <w:unhideWhenUsed/>
    <w:rsid w:val="00A73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3BB"/>
  </w:style>
  <w:style w:type="character" w:styleId="Hipercze">
    <w:name w:val="Hyperlink"/>
    <w:basedOn w:val="Domylnaczcionkaakapitu"/>
    <w:uiPriority w:val="99"/>
    <w:unhideWhenUsed/>
    <w:rsid w:val="00CB1B6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B1B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E21EA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21EAD"/>
    <w:rPr>
      <w:bCs/>
    </w:rPr>
  </w:style>
  <w:style w:type="paragraph" w:customStyle="1" w:styleId="TYTTABELItytutabeli">
    <w:name w:val="TYT_TABELI – tytuł tabeli"/>
    <w:basedOn w:val="Normalny"/>
    <w:uiPriority w:val="22"/>
    <w:qFormat/>
    <w:rsid w:val="00E21EAD"/>
    <w:pPr>
      <w:keepNext/>
      <w:spacing w:before="120" w:after="0" w:line="360" w:lineRule="auto"/>
      <w:jc w:val="center"/>
    </w:pPr>
    <w:rPr>
      <w:rFonts w:ascii="Times" w:eastAsia="Times New Roman" w:hAnsi="Times" w:cs="Arial"/>
      <w:b/>
      <w:bCs/>
      <w:caps/>
      <w:kern w:val="24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10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1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01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01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1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11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53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3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536E"/>
    <w:rPr>
      <w:vertAlign w:val="superscript"/>
    </w:rPr>
  </w:style>
  <w:style w:type="paragraph" w:customStyle="1" w:styleId="ODNONIKtreodnonika">
    <w:name w:val="ODNOŚNIK – treść odnośnika"/>
    <w:uiPriority w:val="24"/>
    <w:qFormat/>
    <w:rsid w:val="00CC55C2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Ppogrubienie">
    <w:name w:val="_P_ – pogrubienie"/>
    <w:uiPriority w:val="1"/>
    <w:qFormat/>
    <w:rsid w:val="00CC55C2"/>
    <w:rPr>
      <w:b/>
    </w:rPr>
  </w:style>
  <w:style w:type="character" w:styleId="Pogrubienie">
    <w:name w:val="Strong"/>
    <w:qFormat/>
    <w:rsid w:val="00CC55C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73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3BB"/>
  </w:style>
  <w:style w:type="paragraph" w:styleId="Stopka">
    <w:name w:val="footer"/>
    <w:basedOn w:val="Normalny"/>
    <w:link w:val="StopkaZnak"/>
    <w:uiPriority w:val="99"/>
    <w:unhideWhenUsed/>
    <w:rsid w:val="00A73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3BB"/>
  </w:style>
  <w:style w:type="character" w:styleId="Hipercze">
    <w:name w:val="Hyperlink"/>
    <w:basedOn w:val="Domylnaczcionkaakapitu"/>
    <w:uiPriority w:val="99"/>
    <w:unhideWhenUsed/>
    <w:rsid w:val="00CB1B6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B1B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zbp.pl/public/repozytorium/dla_bankow/rady_i_komitety/bankowosc_detaliczna/Informacja_dot._" TargetMode="External"/><Relationship Id="rId1" Type="http://schemas.openxmlformats.org/officeDocument/2006/relationships/hyperlink" Target="http://zbp.pl/public/repozytorium/dla_bankow/rady_i_komitety/bankowosc_detalicz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A73E9-D2C0-42D0-B944-4A1BB83B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6644</Words>
  <Characters>39869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Pawliczak Piotr</dc:creator>
  <cp:lastModifiedBy>Ewa A. Genert</cp:lastModifiedBy>
  <cp:revision>2</cp:revision>
  <cp:lastPrinted>2016-06-16T08:59:00Z</cp:lastPrinted>
  <dcterms:created xsi:type="dcterms:W3CDTF">2016-08-23T12:45:00Z</dcterms:created>
  <dcterms:modified xsi:type="dcterms:W3CDTF">2016-08-23T12:45:00Z</dcterms:modified>
</cp:coreProperties>
</file>