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80C" w:rsidRPr="009F7057" w:rsidRDefault="0042480C" w:rsidP="009F7057">
      <w:pPr>
        <w:pStyle w:val="TYTDZPRZEDMprzedmiotregulacjitytuulubdziau"/>
        <w:rPr>
          <w:rFonts w:ascii="Times New Roman" w:hAnsi="Times New Roman"/>
          <w:b w:val="0"/>
        </w:rPr>
      </w:pPr>
      <w:bookmarkStart w:id="0" w:name="_GoBack"/>
      <w:bookmarkEnd w:id="0"/>
      <w:r w:rsidRPr="009F7057">
        <w:rPr>
          <w:rFonts w:ascii="Times New Roman" w:hAnsi="Times New Roman"/>
          <w:b w:val="0"/>
        </w:rPr>
        <w:t>UZASADNIENIE</w:t>
      </w:r>
    </w:p>
    <w:p w:rsidR="00C50B95" w:rsidRPr="009F7057" w:rsidRDefault="00C50B95" w:rsidP="009F7057">
      <w:pPr>
        <w:suppressAutoHyphens/>
        <w:overflowPunct w:val="0"/>
        <w:autoSpaceDE w:val="0"/>
        <w:spacing w:before="240" w:line="360" w:lineRule="auto"/>
        <w:jc w:val="both"/>
      </w:pPr>
      <w:r w:rsidRPr="009F7057">
        <w:rPr>
          <w:bCs/>
          <w:lang w:eastAsia="ar-SA"/>
        </w:rPr>
        <w:t>Nowelizacja ustawy z dnia 25 sierpnia 2006 r. o bezpieczeństwie żywności i</w:t>
      </w:r>
      <w:r w:rsidR="009F7057">
        <w:rPr>
          <w:bCs/>
          <w:lang w:eastAsia="ar-SA"/>
        </w:rPr>
        <w:t xml:space="preserve"> </w:t>
      </w:r>
      <w:r w:rsidRPr="009F7057">
        <w:rPr>
          <w:bCs/>
          <w:lang w:eastAsia="ar-SA"/>
        </w:rPr>
        <w:t>żywienia</w:t>
      </w:r>
      <w:r w:rsidR="00046284" w:rsidRPr="009F7057">
        <w:rPr>
          <w:bCs/>
          <w:lang w:eastAsia="ar-SA"/>
        </w:rPr>
        <w:t xml:space="preserve"> (Dz. U. z 2015 r. poz. 594, z późn. zm.)</w:t>
      </w:r>
      <w:r w:rsidRPr="009F7057">
        <w:rPr>
          <w:bCs/>
          <w:lang w:eastAsia="ar-SA"/>
        </w:rPr>
        <w:t xml:space="preserve">, zwanej dalej </w:t>
      </w:r>
      <w:r w:rsidR="00046284" w:rsidRPr="009F7057">
        <w:rPr>
          <w:bCs/>
          <w:lang w:eastAsia="ar-SA"/>
        </w:rPr>
        <w:t>„</w:t>
      </w:r>
      <w:r w:rsidRPr="009F7057">
        <w:rPr>
          <w:bCs/>
          <w:lang w:eastAsia="ar-SA"/>
        </w:rPr>
        <w:t>ustawą</w:t>
      </w:r>
      <w:r w:rsidR="00046284" w:rsidRPr="009F7057">
        <w:rPr>
          <w:bCs/>
          <w:lang w:eastAsia="ar-SA"/>
        </w:rPr>
        <w:t>”</w:t>
      </w:r>
      <w:r w:rsidRPr="009F7057">
        <w:rPr>
          <w:bCs/>
          <w:lang w:eastAsia="ar-SA"/>
        </w:rPr>
        <w:t>, wynika z</w:t>
      </w:r>
      <w:r w:rsidR="009F7057">
        <w:rPr>
          <w:bCs/>
          <w:lang w:eastAsia="ar-SA"/>
        </w:rPr>
        <w:t xml:space="preserve"> </w:t>
      </w:r>
      <w:r w:rsidRPr="009F7057">
        <w:rPr>
          <w:bCs/>
          <w:lang w:eastAsia="ar-SA"/>
        </w:rPr>
        <w:t xml:space="preserve">konieczności </w:t>
      </w:r>
      <w:r w:rsidR="004B69E4" w:rsidRPr="009F7057">
        <w:rPr>
          <w:bCs/>
          <w:lang w:eastAsia="ar-SA"/>
        </w:rPr>
        <w:t xml:space="preserve">wdrożenia </w:t>
      </w:r>
      <w:r w:rsidRPr="009F7057">
        <w:t>przepisów dyrektywy Parlamentu Europejskiego i Rady (UE) 2015/254 z</w:t>
      </w:r>
      <w:r w:rsidR="009F7057">
        <w:t> </w:t>
      </w:r>
      <w:r w:rsidRPr="009F7057">
        <w:t>dnia 11 lutego 2015 r. uchylającej dyrektywę Rady 93/5/EWG w sprawie pomocy Komisji i</w:t>
      </w:r>
      <w:r w:rsidR="009F7057">
        <w:t xml:space="preserve"> </w:t>
      </w:r>
      <w:r w:rsidRPr="009F7057">
        <w:t>współpracy państw członkowskich w naukowym badaniu zagadnień dotyczących żywności (Dz. Urz. UE L 43 z 18.02.2015, str. 1)</w:t>
      </w:r>
      <w:r w:rsidR="00046284" w:rsidRPr="009F7057">
        <w:t>, zwanej dalej „dyrektywą 2015/254</w:t>
      </w:r>
      <w:r w:rsidR="00B73580" w:rsidRPr="009F7057">
        <w:t>”</w:t>
      </w:r>
      <w:r w:rsidR="00046284" w:rsidRPr="009F7057">
        <w:t>,</w:t>
      </w:r>
      <w:r w:rsidR="00B73580" w:rsidRPr="009F7057">
        <w:t xml:space="preserve"> </w:t>
      </w:r>
      <w:r w:rsidRPr="009F7057">
        <w:t>oraz</w:t>
      </w:r>
      <w:r w:rsidR="00B73580" w:rsidRPr="009F7057">
        <w:t xml:space="preserve"> </w:t>
      </w:r>
      <w:r w:rsidR="00491519" w:rsidRPr="009F7057">
        <w:t>wykonani</w:t>
      </w:r>
      <w:r w:rsidR="004B69E4" w:rsidRPr="009F7057">
        <w:t>a</w:t>
      </w:r>
      <w:r w:rsidR="00491519" w:rsidRPr="009F7057">
        <w:t xml:space="preserve"> przepisów </w:t>
      </w:r>
      <w:r w:rsidRPr="009F7057">
        <w:t>rozporządzeni</w:t>
      </w:r>
      <w:r w:rsidR="00491519" w:rsidRPr="009F7057">
        <w:t>a</w:t>
      </w:r>
      <w:r w:rsidRPr="009F7057">
        <w:t xml:space="preserve"> Komisji (UE) nr</w:t>
      </w:r>
      <w:r w:rsidR="009F7057">
        <w:t> </w:t>
      </w:r>
      <w:r w:rsidRPr="009F7057">
        <w:t>579/2014 z dnia 28 maja 2014 r. przyznając</w:t>
      </w:r>
      <w:r w:rsidR="00046284" w:rsidRPr="009F7057">
        <w:t>ego</w:t>
      </w:r>
      <w:r w:rsidRPr="009F7057">
        <w:t xml:space="preserve"> odstępstwo od niektórych przepisów załącznika II do rozporządzenia (WE) nr 852/2004 Parlamentu Europejskiego i Rady w</w:t>
      </w:r>
      <w:r w:rsidR="009F7057">
        <w:t> </w:t>
      </w:r>
      <w:r w:rsidRPr="009F7057">
        <w:t>odniesieniu do transportu morskiego płynnych olejów i tłuszczów (Dz.</w:t>
      </w:r>
      <w:r w:rsidR="009F7057">
        <w:t xml:space="preserve"> </w:t>
      </w:r>
      <w:r w:rsidR="00491519" w:rsidRPr="009F7057">
        <w:t>Urz. UE</w:t>
      </w:r>
      <w:r w:rsidRPr="009F7057">
        <w:t xml:space="preserve"> L</w:t>
      </w:r>
      <w:r w:rsidR="009F7057">
        <w:t> </w:t>
      </w:r>
      <w:r w:rsidRPr="009F7057">
        <w:t>160 z 29.05.2014, str. 14</w:t>
      </w:r>
      <w:r w:rsidR="00046284" w:rsidRPr="009F7057">
        <w:t>, z późn. zm.</w:t>
      </w:r>
      <w:r w:rsidRPr="009F7057">
        <w:t>)</w:t>
      </w:r>
      <w:r w:rsidR="00046284" w:rsidRPr="009F7057">
        <w:t>, zwanego dalej „rozporządzeniem</w:t>
      </w:r>
      <w:r w:rsidR="00B73580" w:rsidRPr="009F7057">
        <w:t xml:space="preserve"> </w:t>
      </w:r>
      <w:r w:rsidR="00046284" w:rsidRPr="009F7057">
        <w:t>579/2014</w:t>
      </w:r>
      <w:r w:rsidR="00B73580" w:rsidRPr="009F7057">
        <w:t>”</w:t>
      </w:r>
      <w:r w:rsidRPr="009F7057">
        <w:t>.</w:t>
      </w:r>
      <w:r w:rsidR="009F7057">
        <w:t xml:space="preserve"> </w:t>
      </w:r>
    </w:p>
    <w:p w:rsidR="00C50B95" w:rsidRPr="009F7057" w:rsidRDefault="00C50B95" w:rsidP="009F7057">
      <w:pPr>
        <w:spacing w:before="120" w:line="360" w:lineRule="auto"/>
        <w:jc w:val="both"/>
      </w:pPr>
      <w:r w:rsidRPr="009F7057">
        <w:t xml:space="preserve">W </w:t>
      </w:r>
      <w:r w:rsidR="004B69E4" w:rsidRPr="009F7057">
        <w:t xml:space="preserve">przypadku </w:t>
      </w:r>
      <w:r w:rsidRPr="009F7057">
        <w:t>dyrektywy 2015/254</w:t>
      </w:r>
      <w:r w:rsidR="00B73580" w:rsidRPr="009F7057">
        <w:t xml:space="preserve"> </w:t>
      </w:r>
      <w:r w:rsidRPr="009F7057">
        <w:t>należy z odnośnika n</w:t>
      </w:r>
      <w:r w:rsidR="004B69E4" w:rsidRPr="009F7057">
        <w:t xml:space="preserve">r 1 do ustawy wykreślić pkt 16 </w:t>
      </w:r>
      <w:r w:rsidRPr="009F7057">
        <w:t>obejmujący uchyl</w:t>
      </w:r>
      <w:r w:rsidR="00A853E4" w:rsidRPr="009F7057">
        <w:t>o</w:t>
      </w:r>
      <w:r w:rsidRPr="009F7057">
        <w:t>ną</w:t>
      </w:r>
      <w:r w:rsidR="00B73580" w:rsidRPr="009F7057">
        <w:t xml:space="preserve"> </w:t>
      </w:r>
      <w:r w:rsidRPr="009F7057">
        <w:t xml:space="preserve">dyrektywę Rady 93/5/EWG z dnia 25 lutego 1993 r. w sprawie pomocy Komisji i współpracy Państw Członkowskich w naukowym badaniu zagadnień dotyczących żywności (Dz. Urz. WE L 52 z 04.03.1993, str. 18 </w:t>
      </w:r>
      <w:r w:rsidR="00A853E4" w:rsidRPr="009F7057">
        <w:t xml:space="preserve">– </w:t>
      </w:r>
      <w:r w:rsidRPr="009F7057">
        <w:t>Dz. Urz. UE Polskie wydanie specjalne, rozdz. 15, t. 2, str. 208)</w:t>
      </w:r>
      <w:r w:rsidR="00A853E4" w:rsidRPr="009F7057">
        <w:t>, zwaną dalej „dyrektywą 93/5/EWG”</w:t>
      </w:r>
      <w:r w:rsidRPr="009F7057">
        <w:t>.</w:t>
      </w:r>
    </w:p>
    <w:p w:rsidR="009630A5" w:rsidRPr="009F7057" w:rsidRDefault="009630A5" w:rsidP="009F7057">
      <w:pPr>
        <w:spacing w:before="120" w:line="360" w:lineRule="auto"/>
        <w:jc w:val="both"/>
      </w:pPr>
      <w:r w:rsidRPr="009F7057">
        <w:t>Termin wdrożenia dyrektywy 2015/254</w:t>
      </w:r>
      <w:r w:rsidR="00B73580" w:rsidRPr="009F7057">
        <w:t xml:space="preserve"> </w:t>
      </w:r>
      <w:r w:rsidRPr="009F7057">
        <w:t>mi</w:t>
      </w:r>
      <w:r w:rsidR="00046284" w:rsidRPr="009F7057">
        <w:t>nął</w:t>
      </w:r>
      <w:r w:rsidRPr="009F7057">
        <w:t xml:space="preserve"> w dniu 29 lutego 2016 r. </w:t>
      </w:r>
    </w:p>
    <w:p w:rsidR="00C50B95" w:rsidRPr="009F7057" w:rsidRDefault="00C50B95" w:rsidP="009F7057">
      <w:pPr>
        <w:spacing w:before="120" w:line="360" w:lineRule="auto"/>
        <w:jc w:val="both"/>
      </w:pPr>
      <w:r w:rsidRPr="009F7057">
        <w:t>Uchyl</w:t>
      </w:r>
      <w:r w:rsidR="00A853E4" w:rsidRPr="009F7057">
        <w:t>o</w:t>
      </w:r>
      <w:r w:rsidRPr="009F7057">
        <w:t xml:space="preserve">na dyrektywa 93/5/EWG określała wymagania dotyczące podejmowania przez </w:t>
      </w:r>
      <w:r w:rsidR="009C6D28" w:rsidRPr="009F7057">
        <w:t>p</w:t>
      </w:r>
      <w:r w:rsidRPr="009F7057">
        <w:t xml:space="preserve">aństwa </w:t>
      </w:r>
      <w:r w:rsidR="009C6D28" w:rsidRPr="009F7057">
        <w:t>c</w:t>
      </w:r>
      <w:r w:rsidRPr="009F7057">
        <w:t>złonkowskie niezbędnych środków, aby zapewnić ich właściwym władzom i</w:t>
      </w:r>
      <w:r w:rsidR="009F7057">
        <w:t> </w:t>
      </w:r>
      <w:r w:rsidRPr="009F7057">
        <w:t>organom współpracę z Komisją i udzielić im pomocy w naukowym badaniu, w</w:t>
      </w:r>
      <w:r w:rsidR="009F7057">
        <w:t> </w:t>
      </w:r>
      <w:r w:rsidRPr="009F7057">
        <w:t>ramach interesu publicznego, zagadnień dotyczących żywności, w szczególności w</w:t>
      </w:r>
      <w:r w:rsidR="009F7057">
        <w:t> </w:t>
      </w:r>
      <w:r w:rsidRPr="009F7057">
        <w:t xml:space="preserve">zakresie zdrowia publicznego. Dyrektywa określała również, że przepisy przyjęte przez państwa członkowskie zawierają odniesienie do niniejszej dyrektywy lub odniesienie to powinno towarzyszyć ich urzędowej publikacji. Metody dokonywania takiego odniesienia </w:t>
      </w:r>
      <w:r w:rsidR="00A853E4" w:rsidRPr="009F7057">
        <w:t>miały być</w:t>
      </w:r>
      <w:r w:rsidR="00ED18D6" w:rsidRPr="009F7057">
        <w:t xml:space="preserve"> </w:t>
      </w:r>
      <w:r w:rsidRPr="009F7057">
        <w:t xml:space="preserve">określane przez </w:t>
      </w:r>
      <w:r w:rsidR="009C6D28" w:rsidRPr="009F7057">
        <w:t>p</w:t>
      </w:r>
      <w:r w:rsidRPr="009F7057">
        <w:t xml:space="preserve">aństwa </w:t>
      </w:r>
      <w:r w:rsidR="009C6D28" w:rsidRPr="009F7057">
        <w:t>c</w:t>
      </w:r>
      <w:r w:rsidRPr="009F7057">
        <w:t>złonkowskie.</w:t>
      </w:r>
      <w:r w:rsidR="00B73580" w:rsidRPr="009F7057">
        <w:t xml:space="preserve"> </w:t>
      </w:r>
      <w:r w:rsidRPr="009F7057">
        <w:t>W</w:t>
      </w:r>
      <w:r w:rsidR="009F7057">
        <w:t> </w:t>
      </w:r>
      <w:r w:rsidR="004A61E1" w:rsidRPr="009F7057">
        <w:t xml:space="preserve">Rzeczypospolitej </w:t>
      </w:r>
      <w:r w:rsidRPr="009F7057">
        <w:t>Pols</w:t>
      </w:r>
      <w:r w:rsidR="004A61E1" w:rsidRPr="009F7057">
        <w:t>kiej</w:t>
      </w:r>
      <w:r w:rsidR="00B73580" w:rsidRPr="009F7057">
        <w:t xml:space="preserve"> </w:t>
      </w:r>
      <w:r w:rsidRPr="009F7057">
        <w:t>prz</w:t>
      </w:r>
      <w:r w:rsidR="00ED18D6" w:rsidRPr="009F7057">
        <w:t>yj</w:t>
      </w:r>
      <w:r w:rsidRPr="009F7057">
        <w:t>ęte zostało rozwiązanie o</w:t>
      </w:r>
      <w:r w:rsidR="009F7057">
        <w:t xml:space="preserve"> </w:t>
      </w:r>
      <w:r w:rsidR="0015328C" w:rsidRPr="009F7057">
        <w:t xml:space="preserve">odniesieniu się do tej dyrektywy </w:t>
      </w:r>
      <w:r w:rsidRPr="009F7057">
        <w:t xml:space="preserve">w odnośniku nr 1 </w:t>
      </w:r>
      <w:r w:rsidR="0015328C" w:rsidRPr="009F7057">
        <w:t xml:space="preserve">do ustawy w części dotyczącej dyrektyw w </w:t>
      </w:r>
      <w:r w:rsidRPr="009F7057">
        <w:t>pkt 16.</w:t>
      </w:r>
    </w:p>
    <w:p w:rsidR="00C50B95" w:rsidRPr="009F7057" w:rsidRDefault="00C50B95" w:rsidP="009F7057">
      <w:pPr>
        <w:spacing w:before="120" w:line="360" w:lineRule="auto"/>
        <w:jc w:val="both"/>
      </w:pPr>
      <w:r w:rsidRPr="009F7057">
        <w:t>Uchyl</w:t>
      </w:r>
      <w:r w:rsidR="00CB6073" w:rsidRPr="009F7057">
        <w:t>o</w:t>
      </w:r>
      <w:r w:rsidRPr="009F7057">
        <w:t>na dyrektywa 93/5/EWG</w:t>
      </w:r>
      <w:r w:rsidR="00B73580" w:rsidRPr="009F7057">
        <w:t xml:space="preserve"> </w:t>
      </w:r>
      <w:r w:rsidRPr="009F7057">
        <w:t>m</w:t>
      </w:r>
      <w:r w:rsidR="00CB6073" w:rsidRPr="009F7057">
        <w:t>iała</w:t>
      </w:r>
      <w:r w:rsidRPr="009F7057">
        <w:t xml:space="preserve"> charakter techniczno</w:t>
      </w:r>
      <w:r w:rsidR="0015328C" w:rsidRPr="009F7057">
        <w:t>-</w:t>
      </w:r>
      <w:r w:rsidRPr="009F7057">
        <w:t>organizacyjny, a kwestie współpracy Komisji Europejskiej w obszarze bezpieczeństwa żywności z państwami członkowskim</w:t>
      </w:r>
      <w:r w:rsidR="0015328C" w:rsidRPr="009F7057">
        <w:t>i</w:t>
      </w:r>
      <w:r w:rsidR="00B73580" w:rsidRPr="009F7057">
        <w:t xml:space="preserve"> i Europejskim </w:t>
      </w:r>
      <w:r w:rsidRPr="009F7057">
        <w:t xml:space="preserve">Urzędem ds. Bezpieczeństwa Żywności (EFSA) określają </w:t>
      </w:r>
      <w:r w:rsidRPr="009F7057">
        <w:lastRenderedPageBreak/>
        <w:t xml:space="preserve">przepisy rozporządzenia </w:t>
      </w:r>
      <w:r w:rsidR="00F83CA1" w:rsidRPr="009F7057">
        <w:t xml:space="preserve">(WE) </w:t>
      </w:r>
      <w:r w:rsidRPr="009F7057">
        <w:t>nr 178/2002 Parlamentu Europejskiego i Rady z dnia 28</w:t>
      </w:r>
      <w:r w:rsidR="009F7057">
        <w:t> </w:t>
      </w:r>
      <w:r w:rsidRPr="009F7057">
        <w:t>stycznia 2002 r. ustanawiającego ogólne zasady i wymagania prawa żywnościowego, powołującego Europejski Urząd ds. Bezpieczeństwa Żywności oraz ustanawiającego procedury w zakresie bezpieczeństwa żywności (Dz. Urz. WE L 31 z</w:t>
      </w:r>
      <w:r w:rsidR="009F7057">
        <w:t> </w:t>
      </w:r>
      <w:r w:rsidRPr="009F7057">
        <w:t>01.02.2002, str. 1</w:t>
      </w:r>
      <w:r w:rsidR="00F83CA1" w:rsidRPr="009F7057">
        <w:t>, z późn. zm.</w:t>
      </w:r>
      <w:r w:rsidRPr="009F7057">
        <w:t xml:space="preserve"> </w:t>
      </w:r>
      <w:r w:rsidR="00CB6073" w:rsidRPr="009F7057">
        <w:t xml:space="preserve">– </w:t>
      </w:r>
      <w:r w:rsidRPr="009F7057">
        <w:t>Dz. Urz. UE Polskie wydanie specjalne, rozdz. 15, t.</w:t>
      </w:r>
      <w:r w:rsidR="009F7057">
        <w:t> </w:t>
      </w:r>
      <w:r w:rsidRPr="009F7057">
        <w:t xml:space="preserve">6, str. 463), </w:t>
      </w:r>
      <w:r w:rsidR="00CB6073" w:rsidRPr="009F7057">
        <w:t xml:space="preserve">zwanego dalej „rozporządzeniem 178/2002”, </w:t>
      </w:r>
      <w:r w:rsidRPr="009F7057">
        <w:t>które stosuje się wprost.</w:t>
      </w:r>
      <w:r w:rsidR="00CB6073" w:rsidRPr="009F7057">
        <w:t xml:space="preserve"> </w:t>
      </w:r>
      <w:r w:rsidRPr="009F7057">
        <w:t>Zgodnie z rozporządzeniem 178/2002 zadania Komitetu Naukowego ds. Żywności, o</w:t>
      </w:r>
      <w:r w:rsidR="009F7057">
        <w:t> </w:t>
      </w:r>
      <w:r w:rsidRPr="009F7057">
        <w:t>których mowa w dyrektywie 93/5/EWG, zostały przekazane Europejskiemu Urzędowi ds. Bezpieczeństwa Żywności, a zasady współpracy z</w:t>
      </w:r>
      <w:r w:rsidR="009F7057">
        <w:t xml:space="preserve"> </w:t>
      </w:r>
      <w:r w:rsidRPr="009F7057">
        <w:t>EFSA zostały określone w art. 90 ustawy.</w:t>
      </w:r>
    </w:p>
    <w:p w:rsidR="00C50B95" w:rsidRPr="009F7057" w:rsidRDefault="004B69E4" w:rsidP="009F7057">
      <w:pPr>
        <w:spacing w:before="120" w:line="360" w:lineRule="auto"/>
        <w:jc w:val="both"/>
      </w:pPr>
      <w:r w:rsidRPr="009F7057">
        <w:t xml:space="preserve">W </w:t>
      </w:r>
      <w:r w:rsidR="00C50B95" w:rsidRPr="009F7057">
        <w:t xml:space="preserve">celu harmonizacji przepisów </w:t>
      </w:r>
      <w:r w:rsidRPr="009F7057">
        <w:t>ustawy</w:t>
      </w:r>
      <w:r w:rsidR="00C50B95" w:rsidRPr="009F7057">
        <w:t xml:space="preserve"> z przepisami rozporządzenia 579/2014</w:t>
      </w:r>
      <w:r w:rsidR="00B73580" w:rsidRPr="009F7057">
        <w:t xml:space="preserve"> </w:t>
      </w:r>
      <w:r w:rsidR="00C50B95" w:rsidRPr="009F7057">
        <w:t xml:space="preserve">należy </w:t>
      </w:r>
      <w:r w:rsidR="00CB6073" w:rsidRPr="009F7057">
        <w:t xml:space="preserve">nadać nowe brzmienie art. 70 ustawy, wykreślić pkt 22 </w:t>
      </w:r>
      <w:r w:rsidR="00A655D4" w:rsidRPr="009F7057">
        <w:t>w</w:t>
      </w:r>
      <w:r w:rsidR="00797F80" w:rsidRPr="009F7057">
        <w:t xml:space="preserve"> odnośniku</w:t>
      </w:r>
      <w:r w:rsidR="00CB6073" w:rsidRPr="009F7057">
        <w:t xml:space="preserve"> nr 1 </w:t>
      </w:r>
      <w:r w:rsidR="00A655D4" w:rsidRPr="009F7057">
        <w:t xml:space="preserve">w części dotyczącej </w:t>
      </w:r>
      <w:r w:rsidR="002922BC" w:rsidRPr="009F7057">
        <w:t xml:space="preserve">dokonywania transpozycji </w:t>
      </w:r>
      <w:r w:rsidR="00A655D4" w:rsidRPr="009F7057">
        <w:t xml:space="preserve">dyrektyw </w:t>
      </w:r>
      <w:r w:rsidR="00CB6073" w:rsidRPr="009F7057">
        <w:t xml:space="preserve">i dodać pkt 55 w </w:t>
      </w:r>
      <w:r w:rsidR="00C50B95" w:rsidRPr="009F7057">
        <w:t xml:space="preserve">odnośniku nr 1 </w:t>
      </w:r>
      <w:r w:rsidR="00F83CA1" w:rsidRPr="009F7057">
        <w:t>w</w:t>
      </w:r>
      <w:r w:rsidR="009F7057">
        <w:t> </w:t>
      </w:r>
      <w:r w:rsidR="00F83CA1" w:rsidRPr="009F7057">
        <w:t xml:space="preserve">części dotyczącej </w:t>
      </w:r>
      <w:r w:rsidR="002922BC" w:rsidRPr="009F7057">
        <w:t xml:space="preserve">wykonywania </w:t>
      </w:r>
      <w:r w:rsidR="00A655D4" w:rsidRPr="009F7057">
        <w:t>rozporządzeń</w:t>
      </w:r>
      <w:r w:rsidR="00C50B95" w:rsidRPr="009F7057">
        <w:t xml:space="preserve">. </w:t>
      </w:r>
    </w:p>
    <w:p w:rsidR="00C50B95" w:rsidRPr="009F7057" w:rsidRDefault="00C50B95" w:rsidP="009F7057">
      <w:pPr>
        <w:spacing w:before="120" w:line="360" w:lineRule="auto"/>
        <w:jc w:val="both"/>
      </w:pPr>
      <w:r w:rsidRPr="009F7057">
        <w:t xml:space="preserve">W odnośniku nr 1 </w:t>
      </w:r>
      <w:r w:rsidR="00F83CA1" w:rsidRPr="009F7057">
        <w:t xml:space="preserve">w części dotyczącej </w:t>
      </w:r>
      <w:r w:rsidR="002922BC" w:rsidRPr="009F7057">
        <w:t xml:space="preserve">dokonywania </w:t>
      </w:r>
      <w:r w:rsidR="00797F80" w:rsidRPr="009F7057">
        <w:t xml:space="preserve">transpozycji </w:t>
      </w:r>
      <w:r w:rsidR="00F83CA1" w:rsidRPr="009F7057">
        <w:t xml:space="preserve">dyrektyw </w:t>
      </w:r>
      <w:r w:rsidRPr="009F7057">
        <w:t>w pkt 22 wymieniona została dyrektywa Komisji 96/3/WE z dnia 26 stycznia 1996 r. przyznając</w:t>
      </w:r>
      <w:r w:rsidR="00F83CA1" w:rsidRPr="009F7057">
        <w:t>a</w:t>
      </w:r>
      <w:r w:rsidRPr="009F7057">
        <w:t xml:space="preserve"> odstępstwo od niektórych przepisów dyrektywy Rady 93/43/EWG w sprawie higieny środków spożywczych w odniesieniu do transportu morskiego płynnych olejów i</w:t>
      </w:r>
      <w:r w:rsidR="009F7057">
        <w:t> </w:t>
      </w:r>
      <w:r w:rsidRPr="009F7057">
        <w:t>tłuszczów luzem (Dz. Urz. WE L 21 z 2</w:t>
      </w:r>
      <w:r w:rsidR="00F83CA1" w:rsidRPr="009F7057">
        <w:t>7</w:t>
      </w:r>
      <w:r w:rsidRPr="009F7057">
        <w:t>.01.1996, str. 42</w:t>
      </w:r>
      <w:r w:rsidR="00935722" w:rsidRPr="009F7057">
        <w:t>, z późn. zm.</w:t>
      </w:r>
      <w:r w:rsidRPr="009F7057">
        <w:t xml:space="preserve"> </w:t>
      </w:r>
      <w:r w:rsidR="00797F80" w:rsidRPr="009F7057">
        <w:t xml:space="preserve">– </w:t>
      </w:r>
      <w:r w:rsidRPr="009F7057">
        <w:t>Dz. Urz. UE Polskie wydanie specjalne, rozdz. 13, t. 15, str. 432). Dyrektywa ta została uchylona przez rozporządzenie</w:t>
      </w:r>
      <w:r w:rsidR="00B73580" w:rsidRPr="009F7057">
        <w:t xml:space="preserve"> </w:t>
      </w:r>
      <w:r w:rsidRPr="009F7057">
        <w:t>579/2014 i</w:t>
      </w:r>
      <w:r w:rsidR="009F7057">
        <w:t xml:space="preserve"> </w:t>
      </w:r>
      <w:r w:rsidRPr="009F7057">
        <w:t xml:space="preserve">dlatego należy </w:t>
      </w:r>
      <w:r w:rsidR="00797F80" w:rsidRPr="009F7057">
        <w:t xml:space="preserve">uchylić </w:t>
      </w:r>
      <w:r w:rsidRPr="009F7057">
        <w:t>ją w</w:t>
      </w:r>
      <w:r w:rsidR="009F7057">
        <w:t xml:space="preserve"> </w:t>
      </w:r>
      <w:r w:rsidRPr="009F7057">
        <w:t>odnośniku do ustawy.</w:t>
      </w:r>
    </w:p>
    <w:p w:rsidR="004B69E4" w:rsidRPr="009F7057" w:rsidRDefault="004B69E4" w:rsidP="009F7057">
      <w:pPr>
        <w:spacing w:before="120" w:line="360" w:lineRule="auto"/>
        <w:jc w:val="both"/>
      </w:pPr>
      <w:r w:rsidRPr="009F7057">
        <w:t>Rozporządzenie 579/2014</w:t>
      </w:r>
      <w:r w:rsidR="00B73580" w:rsidRPr="009F7057">
        <w:t xml:space="preserve"> </w:t>
      </w:r>
      <w:r w:rsidRPr="009F7057">
        <w:t>obowiązuje bezpośrednio od dnia 1</w:t>
      </w:r>
      <w:r w:rsidR="00F44671" w:rsidRPr="009F7057">
        <w:t>8</w:t>
      </w:r>
      <w:r w:rsidRPr="009F7057">
        <w:t xml:space="preserve"> czerwca 2014 r.</w:t>
      </w:r>
    </w:p>
    <w:p w:rsidR="00C50B95" w:rsidRPr="009F7057" w:rsidRDefault="004B69E4" w:rsidP="009F7057">
      <w:pPr>
        <w:spacing w:before="120" w:line="360" w:lineRule="auto"/>
        <w:jc w:val="both"/>
      </w:pPr>
      <w:r w:rsidRPr="009F7057">
        <w:t>P</w:t>
      </w:r>
      <w:r w:rsidR="00C50B95" w:rsidRPr="009F7057">
        <w:t xml:space="preserve">rzepisy dyrektywy </w:t>
      </w:r>
      <w:r w:rsidRPr="009F7057">
        <w:t>96/3/WE</w:t>
      </w:r>
      <w:r w:rsidR="00B73580" w:rsidRPr="009F7057">
        <w:t xml:space="preserve"> </w:t>
      </w:r>
      <w:r w:rsidR="00C50B95" w:rsidRPr="009F7057">
        <w:t>zostały wdrożone w rozporządzeniu Ministra Zdrowia z</w:t>
      </w:r>
      <w:r w:rsidR="009F7057">
        <w:t> </w:t>
      </w:r>
      <w:r w:rsidR="00C50B95" w:rsidRPr="009F7057">
        <w:t>dnia 21 grudnia 2010 r. w sprawie szczególnych wymagań higienicznych w zakresie transportu morskiego luzem cukru</w:t>
      </w:r>
      <w:r w:rsidR="00935722" w:rsidRPr="009F7057">
        <w:t xml:space="preserve"> surowego</w:t>
      </w:r>
      <w:r w:rsidR="00C50B95" w:rsidRPr="009F7057">
        <w:t>, olejów płynnych i tłuszczów (Dz. U. poz.</w:t>
      </w:r>
      <w:r w:rsidR="009F7057">
        <w:t> </w:t>
      </w:r>
      <w:r w:rsidR="00C50B95" w:rsidRPr="009F7057">
        <w:t>1718).</w:t>
      </w:r>
      <w:r w:rsidR="00B73580" w:rsidRPr="009F7057">
        <w:t xml:space="preserve"> </w:t>
      </w:r>
      <w:r w:rsidR="00C50B95" w:rsidRPr="009F7057">
        <w:t xml:space="preserve">Biorąc pod uwagę fakt, że </w:t>
      </w:r>
      <w:r w:rsidR="00935722" w:rsidRPr="009F7057">
        <w:t xml:space="preserve">przywołana wyżej </w:t>
      </w:r>
      <w:r w:rsidR="00C50B95" w:rsidRPr="009F7057">
        <w:t>dyrektywa została uchylona</w:t>
      </w:r>
      <w:r w:rsidRPr="009F7057">
        <w:t>,</w:t>
      </w:r>
      <w:r w:rsidR="00C50B95" w:rsidRPr="009F7057">
        <w:t xml:space="preserve"> a</w:t>
      </w:r>
      <w:r w:rsidR="009F7057">
        <w:t> </w:t>
      </w:r>
      <w:r w:rsidR="00C50B95" w:rsidRPr="009F7057">
        <w:t>wymagania dotyczące transportu morskiego płynnych olejów i tłuszczów określa obowiązujące wprost rozporządzenie</w:t>
      </w:r>
      <w:r w:rsidR="00B73580" w:rsidRPr="009F7057">
        <w:t xml:space="preserve"> </w:t>
      </w:r>
      <w:r w:rsidR="00C50B95" w:rsidRPr="009F7057">
        <w:t>579/2014</w:t>
      </w:r>
      <w:r w:rsidR="002922BC" w:rsidRPr="009F7057">
        <w:t>,</w:t>
      </w:r>
      <w:r w:rsidR="00C50B95" w:rsidRPr="009F7057">
        <w:t xml:space="preserve"> należy dokonać zmiany brzmienia upoważnienia zawartego w art. 70 </w:t>
      </w:r>
      <w:r w:rsidR="00C50B95" w:rsidRPr="009F7057">
        <w:rPr>
          <w:bCs/>
          <w:lang w:eastAsia="ar-SA"/>
        </w:rPr>
        <w:t xml:space="preserve">ustawy </w:t>
      </w:r>
      <w:r w:rsidR="00C50B95" w:rsidRPr="009F7057">
        <w:t>przez wykreślenie części upoważnienia dla ministra właściwego do spraw zdrowia w</w:t>
      </w:r>
      <w:r w:rsidR="009F7057">
        <w:t xml:space="preserve"> </w:t>
      </w:r>
      <w:r w:rsidR="00C50B95" w:rsidRPr="009F7057">
        <w:t xml:space="preserve">odniesieniu do </w:t>
      </w:r>
      <w:r w:rsidR="00797F80" w:rsidRPr="009F7057">
        <w:t>kwestii transportu morskiego płynnych olejów i tłuszczów</w:t>
      </w:r>
      <w:r w:rsidR="00C50B95" w:rsidRPr="009F7057">
        <w:t xml:space="preserve">. </w:t>
      </w:r>
    </w:p>
    <w:p w:rsidR="00D503BD" w:rsidRPr="009F7057" w:rsidRDefault="00D503BD" w:rsidP="009F7057">
      <w:pPr>
        <w:pStyle w:val="NIEARTTEKSTtekstnieartykuowanynppodstprawnarozplubpreambua"/>
        <w:ind w:firstLine="0"/>
      </w:pPr>
      <w:r w:rsidRPr="009F7057">
        <w:lastRenderedPageBreak/>
        <w:t>Planuje się, że projektowana</w:t>
      </w:r>
      <w:r w:rsidR="00B73580" w:rsidRPr="009F7057">
        <w:t xml:space="preserve"> </w:t>
      </w:r>
      <w:r w:rsidRPr="009F7057">
        <w:t>ustawa wejdzie w życie po upływie 14 dni od dnia ogłoszenia.</w:t>
      </w:r>
    </w:p>
    <w:p w:rsidR="00D503BD" w:rsidRPr="009F7057" w:rsidRDefault="00D503BD" w:rsidP="009F7057">
      <w:pPr>
        <w:pStyle w:val="NIEARTTEKSTtekstnieartykuowanynppodstprawnarozplubpreambua"/>
        <w:ind w:firstLine="0"/>
      </w:pPr>
      <w:r w:rsidRPr="009F7057">
        <w:t>Projektowana</w:t>
      </w:r>
      <w:r w:rsidR="00B73580" w:rsidRPr="009F7057">
        <w:t xml:space="preserve"> </w:t>
      </w:r>
      <w:r w:rsidRPr="009F7057">
        <w:t>ustaw</w:t>
      </w:r>
      <w:r w:rsidR="000C4037" w:rsidRPr="009F7057">
        <w:t>a</w:t>
      </w:r>
      <w:r w:rsidRPr="009F7057">
        <w:t xml:space="preserve"> nie podlega procedurze notyfikacji w rozumieniu przepisów rozporządzenia Rady Ministrów z dnia 23 grudnia 2002 r. w sprawie sposobu funkcjonowania krajowego systemu notyfikacji norm i aktów prawnych (Dz. U. </w:t>
      </w:r>
      <w:r w:rsidR="009D2638" w:rsidRPr="009F7057">
        <w:t>poz.</w:t>
      </w:r>
      <w:r w:rsidR="009F7057">
        <w:t> </w:t>
      </w:r>
      <w:r w:rsidR="009D2638" w:rsidRPr="009F7057">
        <w:t>2039, z późn. zm.).</w:t>
      </w:r>
    </w:p>
    <w:p w:rsidR="009A09E0" w:rsidRPr="009F7057" w:rsidRDefault="009A09E0" w:rsidP="009F7057">
      <w:pPr>
        <w:pStyle w:val="ARTartustawynprozporzdzenia"/>
        <w:ind w:firstLine="0"/>
      </w:pPr>
      <w:r w:rsidRPr="009F7057">
        <w:t xml:space="preserve">Projekt ustawy, wraz z przesłaniem do konsultacji publicznych, został opublikowany na stronie </w:t>
      </w:r>
      <w:r w:rsidR="002922BC" w:rsidRPr="009F7057">
        <w:t xml:space="preserve">podmiotowej </w:t>
      </w:r>
      <w:r w:rsidRPr="009F7057">
        <w:t>Biuletynu Informacji Publicznej Ministerstwa Zdrowia zgodnie z</w:t>
      </w:r>
      <w:r w:rsidR="009F7057">
        <w:t> </w:t>
      </w:r>
      <w:r w:rsidRPr="009F7057">
        <w:t>przepisami ustawy z dnia 7 lipca 2005 r. o działalności lobbingowej w procesie stanowienia prawa (Dz. U. poz. 1414, z późn. zm.) oraz w Biuletynie Informacji Publicznej Rządowego Centrum Legislacji.</w:t>
      </w:r>
    </w:p>
    <w:p w:rsidR="009F7057" w:rsidRPr="001922BC" w:rsidRDefault="00D503BD" w:rsidP="001922BC">
      <w:pPr>
        <w:pStyle w:val="NIEARTTEKSTtekstnieartykuowanynppodstprawnarozplubpreambua"/>
        <w:ind w:firstLine="0"/>
      </w:pPr>
      <w:r w:rsidRPr="009F7057">
        <w:t xml:space="preserve">Projekt </w:t>
      </w:r>
      <w:r w:rsidR="00DB188A" w:rsidRPr="009F7057">
        <w:t>ustawy</w:t>
      </w:r>
      <w:r w:rsidRPr="009F7057">
        <w:t xml:space="preserve"> jest zgodny z prawem Unii Europejskiej</w:t>
      </w:r>
      <w:r w:rsidR="008C03E6" w:rsidRPr="009F7057">
        <w:t xml:space="preserve">, </w:t>
      </w:r>
      <w:r w:rsidR="002922BC" w:rsidRPr="009F7057">
        <w:t>stosownie do stanowiska</w:t>
      </w:r>
      <w:r w:rsidR="008C03E6" w:rsidRPr="009F7057">
        <w:t xml:space="preserve"> Ministra Spraw Zagranicznych z dnia 5 maja 2016 r., znak: DPUE.920.587.2016/2/BP. </w:t>
      </w:r>
    </w:p>
    <w:sectPr w:rsidR="009F7057" w:rsidRPr="001922BC" w:rsidSect="009F7057">
      <w:footerReference w:type="even" r:id="rId8"/>
      <w:footerReference w:type="default" r:id="rId9"/>
      <w:footnotePr>
        <w:numRestart w:val="eachSect"/>
      </w:footnotePr>
      <w:pgSz w:w="11906" w:h="16838" w:code="9"/>
      <w:pgMar w:top="1588" w:right="1418" w:bottom="1418" w:left="1985" w:header="510" w:footer="709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FC8" w:rsidRDefault="00441FC8">
      <w:r>
        <w:separator/>
      </w:r>
    </w:p>
  </w:endnote>
  <w:endnote w:type="continuationSeparator" w:id="0">
    <w:p w:rsidR="00441FC8" w:rsidRDefault="00441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3394566"/>
      <w:docPartObj>
        <w:docPartGallery w:val="Page Numbers (Bottom of Page)"/>
        <w:docPartUnique/>
      </w:docPartObj>
    </w:sdtPr>
    <w:sdtEndPr/>
    <w:sdtContent>
      <w:p w:rsidR="001229D8" w:rsidRDefault="002C4B74">
        <w:pPr>
          <w:pStyle w:val="Stopka"/>
          <w:jc w:val="right"/>
        </w:pPr>
        <w:r>
          <w:fldChar w:fldCharType="begin"/>
        </w:r>
        <w:r w:rsidR="001229D8">
          <w:instrText>PAGE   \* MERGEFORMAT</w:instrText>
        </w:r>
        <w:r>
          <w:fldChar w:fldCharType="separate"/>
        </w:r>
        <w:r w:rsidR="009F7057">
          <w:rPr>
            <w:noProof/>
          </w:rPr>
          <w:t>2</w:t>
        </w:r>
        <w:r>
          <w:fldChar w:fldCharType="end"/>
        </w:r>
      </w:p>
    </w:sdtContent>
  </w:sdt>
  <w:p w:rsidR="001229D8" w:rsidRDefault="001229D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2659491"/>
      <w:docPartObj>
        <w:docPartGallery w:val="Page Numbers (Bottom of Page)"/>
        <w:docPartUnique/>
      </w:docPartObj>
    </w:sdtPr>
    <w:sdtEndPr/>
    <w:sdtContent>
      <w:p w:rsidR="00DC52FC" w:rsidRDefault="009F7057" w:rsidP="009F70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6E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FC8" w:rsidRDefault="00441FC8">
      <w:r>
        <w:separator/>
      </w:r>
    </w:p>
  </w:footnote>
  <w:footnote w:type="continuationSeparator" w:id="0">
    <w:p w:rsidR="00441FC8" w:rsidRDefault="00441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EC1"/>
    <w:rsid w:val="000374F3"/>
    <w:rsid w:val="00046284"/>
    <w:rsid w:val="0005334F"/>
    <w:rsid w:val="000C0EA6"/>
    <w:rsid w:val="000C4037"/>
    <w:rsid w:val="000E4C88"/>
    <w:rsid w:val="000F66C6"/>
    <w:rsid w:val="001107AE"/>
    <w:rsid w:val="00115E5C"/>
    <w:rsid w:val="001229D8"/>
    <w:rsid w:val="0015328C"/>
    <w:rsid w:val="00176E95"/>
    <w:rsid w:val="00182ACD"/>
    <w:rsid w:val="001922BC"/>
    <w:rsid w:val="001B0720"/>
    <w:rsid w:val="001D19A7"/>
    <w:rsid w:val="001E6474"/>
    <w:rsid w:val="001F4BAD"/>
    <w:rsid w:val="00200F41"/>
    <w:rsid w:val="002153C2"/>
    <w:rsid w:val="002553A6"/>
    <w:rsid w:val="00277CAD"/>
    <w:rsid w:val="002922BC"/>
    <w:rsid w:val="00293204"/>
    <w:rsid w:val="002C4B74"/>
    <w:rsid w:val="0030446F"/>
    <w:rsid w:val="00326995"/>
    <w:rsid w:val="003815A2"/>
    <w:rsid w:val="00394687"/>
    <w:rsid w:val="003B2135"/>
    <w:rsid w:val="003E0CC2"/>
    <w:rsid w:val="00416672"/>
    <w:rsid w:val="004179FF"/>
    <w:rsid w:val="00422C0C"/>
    <w:rsid w:val="0042311D"/>
    <w:rsid w:val="0042480C"/>
    <w:rsid w:val="00441FC8"/>
    <w:rsid w:val="00491519"/>
    <w:rsid w:val="00495899"/>
    <w:rsid w:val="004A0552"/>
    <w:rsid w:val="004A61E1"/>
    <w:rsid w:val="004B69E4"/>
    <w:rsid w:val="004D63F1"/>
    <w:rsid w:val="005170EF"/>
    <w:rsid w:val="00522415"/>
    <w:rsid w:val="00543E83"/>
    <w:rsid w:val="00546344"/>
    <w:rsid w:val="00567B73"/>
    <w:rsid w:val="00596AAA"/>
    <w:rsid w:val="005D758C"/>
    <w:rsid w:val="00642F1D"/>
    <w:rsid w:val="006502B0"/>
    <w:rsid w:val="00673EA0"/>
    <w:rsid w:val="006B5FCA"/>
    <w:rsid w:val="006F28D5"/>
    <w:rsid w:val="006F6145"/>
    <w:rsid w:val="007139BA"/>
    <w:rsid w:val="0076322F"/>
    <w:rsid w:val="00765020"/>
    <w:rsid w:val="00794162"/>
    <w:rsid w:val="007956E3"/>
    <w:rsid w:val="007958B4"/>
    <w:rsid w:val="0079689A"/>
    <w:rsid w:val="00797F80"/>
    <w:rsid w:val="007A4BE8"/>
    <w:rsid w:val="00832052"/>
    <w:rsid w:val="00874479"/>
    <w:rsid w:val="008C03E6"/>
    <w:rsid w:val="00935722"/>
    <w:rsid w:val="00935EA4"/>
    <w:rsid w:val="00937480"/>
    <w:rsid w:val="00957D17"/>
    <w:rsid w:val="009630A5"/>
    <w:rsid w:val="009756F3"/>
    <w:rsid w:val="00993FF5"/>
    <w:rsid w:val="00995241"/>
    <w:rsid w:val="009A09E0"/>
    <w:rsid w:val="009C6D28"/>
    <w:rsid w:val="009D2638"/>
    <w:rsid w:val="009D39B0"/>
    <w:rsid w:val="009F7057"/>
    <w:rsid w:val="00A14EC4"/>
    <w:rsid w:val="00A20C6C"/>
    <w:rsid w:val="00A45020"/>
    <w:rsid w:val="00A45DAD"/>
    <w:rsid w:val="00A47AE9"/>
    <w:rsid w:val="00A655D4"/>
    <w:rsid w:val="00A75E5B"/>
    <w:rsid w:val="00A853E4"/>
    <w:rsid w:val="00AE6563"/>
    <w:rsid w:val="00B41565"/>
    <w:rsid w:val="00B73580"/>
    <w:rsid w:val="00B94745"/>
    <w:rsid w:val="00BB62E2"/>
    <w:rsid w:val="00BC4E97"/>
    <w:rsid w:val="00BD5213"/>
    <w:rsid w:val="00C0768F"/>
    <w:rsid w:val="00C10BCA"/>
    <w:rsid w:val="00C46357"/>
    <w:rsid w:val="00C50B95"/>
    <w:rsid w:val="00C763A9"/>
    <w:rsid w:val="00CA0551"/>
    <w:rsid w:val="00CB2696"/>
    <w:rsid w:val="00CB6073"/>
    <w:rsid w:val="00CC4DEA"/>
    <w:rsid w:val="00CE56E2"/>
    <w:rsid w:val="00CF2A76"/>
    <w:rsid w:val="00D15342"/>
    <w:rsid w:val="00D42EC1"/>
    <w:rsid w:val="00D503BD"/>
    <w:rsid w:val="00D70B09"/>
    <w:rsid w:val="00DB188A"/>
    <w:rsid w:val="00DC52FC"/>
    <w:rsid w:val="00DD1A4F"/>
    <w:rsid w:val="00E01FD7"/>
    <w:rsid w:val="00E10011"/>
    <w:rsid w:val="00E56A00"/>
    <w:rsid w:val="00EB24BF"/>
    <w:rsid w:val="00EC57C5"/>
    <w:rsid w:val="00ED18D6"/>
    <w:rsid w:val="00EE41FE"/>
    <w:rsid w:val="00F0792E"/>
    <w:rsid w:val="00F126E1"/>
    <w:rsid w:val="00F22EEE"/>
    <w:rsid w:val="00F44671"/>
    <w:rsid w:val="00F50A6E"/>
    <w:rsid w:val="00F76EBE"/>
    <w:rsid w:val="00F811C7"/>
    <w:rsid w:val="00F83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480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2480C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42480C"/>
    <w:rPr>
      <w:rFonts w:ascii="Times" w:eastAsia="Times New Roman" w:hAnsi="Times" w:cs="Times New Roman"/>
      <w:kern w:val="1"/>
      <w:sz w:val="20"/>
      <w:szCs w:val="20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2480C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2480C"/>
    <w:rPr>
      <w:bCs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2480C"/>
    <w:pPr>
      <w:keepNext/>
      <w:suppressAutoHyphens/>
      <w:spacing w:before="120" w:line="360" w:lineRule="auto"/>
      <w:jc w:val="center"/>
    </w:pPr>
    <w:rPr>
      <w:rFonts w:ascii="Times" w:eastAsia="Times New Roman" w:hAnsi="Times"/>
      <w:b/>
      <w:sz w:val="24"/>
      <w:szCs w:val="26"/>
    </w:rPr>
  </w:style>
  <w:style w:type="character" w:customStyle="1" w:styleId="Teksttreci3Bezkursywy">
    <w:name w:val="Tekst treści (3) + Bez kursywy"/>
    <w:rsid w:val="00935E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9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9B0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05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55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2A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2A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2A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2A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2A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F4BAD"/>
    <w:rPr>
      <w:rFonts w:ascii="Times New Roman" w:eastAsia="Times New Roman" w:hAnsi="Times New Roman"/>
      <w:sz w:val="24"/>
      <w:szCs w:val="24"/>
    </w:rPr>
  </w:style>
  <w:style w:type="paragraph" w:customStyle="1" w:styleId="PKTODNONIKApunktodnonika">
    <w:name w:val="PKT_ODNOŚNIKA – punkt odnośnika"/>
    <w:basedOn w:val="Normalny"/>
    <w:uiPriority w:val="19"/>
    <w:qFormat/>
    <w:rsid w:val="00D503BD"/>
    <w:pPr>
      <w:ind w:left="568" w:hanging="284"/>
      <w:jc w:val="both"/>
    </w:pPr>
    <w:rPr>
      <w:rFonts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480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2480C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42480C"/>
    <w:rPr>
      <w:rFonts w:ascii="Times" w:eastAsia="Times New Roman" w:hAnsi="Times" w:cs="Times New Roman"/>
      <w:kern w:val="1"/>
      <w:sz w:val="20"/>
      <w:szCs w:val="20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2480C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42480C"/>
    <w:rPr>
      <w:bCs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42480C"/>
    <w:pPr>
      <w:keepNext/>
      <w:suppressAutoHyphens/>
      <w:spacing w:before="120" w:line="360" w:lineRule="auto"/>
      <w:jc w:val="center"/>
    </w:pPr>
    <w:rPr>
      <w:rFonts w:ascii="Times" w:eastAsia="Times New Roman" w:hAnsi="Times"/>
      <w:b/>
      <w:sz w:val="24"/>
      <w:szCs w:val="26"/>
    </w:rPr>
  </w:style>
  <w:style w:type="character" w:customStyle="1" w:styleId="Teksttreci3Bezkursywy">
    <w:name w:val="Tekst treści (3) + Bez kursywy"/>
    <w:rsid w:val="00935E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9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9B0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05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055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2A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2A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2A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2A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2A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F4BAD"/>
    <w:rPr>
      <w:rFonts w:ascii="Times New Roman" w:eastAsia="Times New Roman" w:hAnsi="Times New Roman"/>
      <w:sz w:val="24"/>
      <w:szCs w:val="24"/>
    </w:rPr>
  </w:style>
  <w:style w:type="paragraph" w:customStyle="1" w:styleId="PKTODNONIKApunktodnonika">
    <w:name w:val="PKT_ODNOŚNIKA – punkt odnośnika"/>
    <w:basedOn w:val="Normalny"/>
    <w:uiPriority w:val="19"/>
    <w:qFormat/>
    <w:rsid w:val="00D503BD"/>
    <w:pPr>
      <w:ind w:left="568" w:hanging="284"/>
      <w:jc w:val="both"/>
    </w:pPr>
    <w:rPr>
      <w:rFonts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C2093-037C-4DF7-8CD4-4514C1E18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Kedra</dc:creator>
  <cp:lastModifiedBy>Ewa A. Genert</cp:lastModifiedBy>
  <cp:revision>2</cp:revision>
  <cp:lastPrinted>2016-05-10T13:39:00Z</cp:lastPrinted>
  <dcterms:created xsi:type="dcterms:W3CDTF">2016-08-23T12:50:00Z</dcterms:created>
  <dcterms:modified xsi:type="dcterms:W3CDTF">2016-08-23T12:50:00Z</dcterms:modified>
</cp:coreProperties>
</file>