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1DFD" w:rsidRPr="005C2E12" w:rsidRDefault="005C2E12" w:rsidP="005C2E12">
      <w:pPr>
        <w:pStyle w:val="ARTartustawynprozporzdzenia"/>
        <w:ind w:firstLine="0"/>
        <w:jc w:val="center"/>
        <w:rPr>
          <w:rStyle w:val="Ppogrubienie"/>
          <w:b w:val="0"/>
        </w:rPr>
      </w:pPr>
      <w:bookmarkStart w:id="0" w:name="_GoBack"/>
      <w:bookmarkEnd w:id="0"/>
      <w:r w:rsidRPr="005C2E12">
        <w:rPr>
          <w:rStyle w:val="Ppogrubienie"/>
          <w:b w:val="0"/>
        </w:rPr>
        <w:t>UZASADNIENIE</w:t>
      </w:r>
    </w:p>
    <w:p w:rsidR="00781DFD" w:rsidRPr="000178C7" w:rsidRDefault="00781DFD" w:rsidP="005C2E12">
      <w:pPr>
        <w:pStyle w:val="ARTartustawynprozporzdzenia"/>
        <w:spacing w:before="240"/>
        <w:ind w:firstLine="0"/>
        <w:rPr>
          <w:rFonts w:ascii="Times New Roman" w:hAnsi="Times New Roman" w:cs="Times New Roman"/>
          <w:szCs w:val="24"/>
        </w:rPr>
      </w:pPr>
      <w:r w:rsidRPr="000178C7">
        <w:rPr>
          <w:rFonts w:ascii="Times New Roman" w:hAnsi="Times New Roman" w:cs="Times New Roman"/>
          <w:szCs w:val="24"/>
        </w:rPr>
        <w:t>Zgodnie z art. 84 ust. 1 ustawy z dnia 13 października 1998 r. o systemie ubezpieczeń społecznych (Dz. U.</w:t>
      </w:r>
      <w:r w:rsidR="00F67D9E" w:rsidRPr="000178C7">
        <w:rPr>
          <w:rFonts w:ascii="Times New Roman" w:hAnsi="Times New Roman" w:cs="Times New Roman"/>
          <w:szCs w:val="24"/>
        </w:rPr>
        <w:t xml:space="preserve"> z 2016 r. poz. 963</w:t>
      </w:r>
      <w:r w:rsidRPr="000178C7">
        <w:rPr>
          <w:rFonts w:ascii="Times New Roman" w:hAnsi="Times New Roman" w:cs="Times New Roman"/>
          <w:szCs w:val="24"/>
        </w:rPr>
        <w:t>), osoba, która pobrała nienależnie świadczenie z</w:t>
      </w:r>
      <w:r w:rsidR="005C2E12">
        <w:rPr>
          <w:rFonts w:ascii="Times New Roman" w:hAnsi="Times New Roman" w:cs="Times New Roman"/>
          <w:szCs w:val="24"/>
        </w:rPr>
        <w:t> </w:t>
      </w:r>
      <w:r w:rsidRPr="000178C7">
        <w:rPr>
          <w:rFonts w:ascii="Times New Roman" w:hAnsi="Times New Roman" w:cs="Times New Roman"/>
          <w:szCs w:val="24"/>
        </w:rPr>
        <w:t>ubezpieczeń społecznych, jest obowiązana do jego zwrotu.</w:t>
      </w:r>
    </w:p>
    <w:p w:rsidR="00781DFD" w:rsidRPr="000178C7" w:rsidRDefault="00781DFD" w:rsidP="005C2E12">
      <w:pPr>
        <w:pStyle w:val="ARTartustawynprozporzdzenia"/>
        <w:ind w:firstLine="0"/>
        <w:rPr>
          <w:rFonts w:ascii="Times New Roman" w:hAnsi="Times New Roman" w:cs="Times New Roman"/>
          <w:szCs w:val="24"/>
        </w:rPr>
      </w:pPr>
      <w:r w:rsidRPr="000178C7">
        <w:rPr>
          <w:rFonts w:ascii="Times New Roman" w:hAnsi="Times New Roman" w:cs="Times New Roman"/>
          <w:szCs w:val="24"/>
        </w:rPr>
        <w:t>Stosown</w:t>
      </w:r>
      <w:r w:rsidR="008C2300">
        <w:rPr>
          <w:rFonts w:ascii="Times New Roman" w:hAnsi="Times New Roman" w:cs="Times New Roman"/>
          <w:szCs w:val="24"/>
        </w:rPr>
        <w:t>ie do art. 84 ust. 3 ww. ustawy</w:t>
      </w:r>
      <w:r w:rsidRPr="000178C7">
        <w:rPr>
          <w:rFonts w:ascii="Times New Roman" w:hAnsi="Times New Roman" w:cs="Times New Roman"/>
          <w:szCs w:val="24"/>
        </w:rPr>
        <w:t xml:space="preserve"> nie można żądać zwrotu kwot nienależnie pobranych świadczeń </w:t>
      </w:r>
      <w:r w:rsidR="00F67D9E" w:rsidRPr="000178C7">
        <w:rPr>
          <w:rFonts w:ascii="Times New Roman" w:hAnsi="Times New Roman" w:cs="Times New Roman"/>
          <w:szCs w:val="24"/>
        </w:rPr>
        <w:t xml:space="preserve">z ubezpieczeń społecznych </w:t>
      </w:r>
      <w:r w:rsidRPr="000178C7">
        <w:rPr>
          <w:rFonts w:ascii="Times New Roman" w:hAnsi="Times New Roman" w:cs="Times New Roman"/>
          <w:szCs w:val="24"/>
        </w:rPr>
        <w:t>za okres dłuższy niż ostatnie 12</w:t>
      </w:r>
      <w:r w:rsidR="005C2E12">
        <w:rPr>
          <w:rFonts w:ascii="Times New Roman" w:hAnsi="Times New Roman" w:cs="Times New Roman"/>
          <w:szCs w:val="24"/>
        </w:rPr>
        <w:t> </w:t>
      </w:r>
      <w:r w:rsidRPr="000178C7">
        <w:rPr>
          <w:rFonts w:ascii="Times New Roman" w:hAnsi="Times New Roman" w:cs="Times New Roman"/>
          <w:szCs w:val="24"/>
        </w:rPr>
        <w:t xml:space="preserve">miesięcy, jeżeli osoba pobierająca świadczenie zawiadomiła organ wypłacający </w:t>
      </w:r>
      <w:r w:rsidR="00F67D9E" w:rsidRPr="000178C7">
        <w:rPr>
          <w:rFonts w:ascii="Times New Roman" w:hAnsi="Times New Roman" w:cs="Times New Roman"/>
          <w:szCs w:val="24"/>
        </w:rPr>
        <w:t xml:space="preserve">świadczenia </w:t>
      </w:r>
      <w:r w:rsidRPr="000178C7">
        <w:rPr>
          <w:rFonts w:ascii="Times New Roman" w:hAnsi="Times New Roman" w:cs="Times New Roman"/>
          <w:szCs w:val="24"/>
        </w:rPr>
        <w:t>o zajściu okoliczności powodujących ustanie prawa do świadczeń albo wstrzymanie ich wypłaty, a mimo to świadczenia były nadal wypłacane, a</w:t>
      </w:r>
      <w:r w:rsidR="005C2E12">
        <w:rPr>
          <w:rFonts w:ascii="Times New Roman" w:hAnsi="Times New Roman" w:cs="Times New Roman"/>
          <w:szCs w:val="24"/>
        </w:rPr>
        <w:t> </w:t>
      </w:r>
      <w:r w:rsidRPr="000178C7">
        <w:rPr>
          <w:rFonts w:ascii="Times New Roman" w:hAnsi="Times New Roman" w:cs="Times New Roman"/>
          <w:szCs w:val="24"/>
        </w:rPr>
        <w:t>w</w:t>
      </w:r>
      <w:r w:rsidR="005C2E12">
        <w:rPr>
          <w:rFonts w:ascii="Times New Roman" w:hAnsi="Times New Roman" w:cs="Times New Roman"/>
          <w:szCs w:val="24"/>
        </w:rPr>
        <w:t> </w:t>
      </w:r>
      <w:r w:rsidRPr="000178C7">
        <w:rPr>
          <w:rFonts w:ascii="Times New Roman" w:hAnsi="Times New Roman" w:cs="Times New Roman"/>
          <w:szCs w:val="24"/>
        </w:rPr>
        <w:t>pozostałych przypadkach za okres dłuższy niż 3 lata.</w:t>
      </w:r>
    </w:p>
    <w:p w:rsidR="00781DFD" w:rsidRPr="000178C7" w:rsidRDefault="00781DFD" w:rsidP="005C2E12">
      <w:pPr>
        <w:pStyle w:val="ARTartustawynprozporzdzenia"/>
        <w:ind w:firstLine="0"/>
        <w:rPr>
          <w:rFonts w:ascii="Times New Roman" w:hAnsi="Times New Roman" w:cs="Times New Roman"/>
          <w:szCs w:val="24"/>
        </w:rPr>
      </w:pPr>
      <w:r w:rsidRPr="000178C7">
        <w:rPr>
          <w:rFonts w:ascii="Times New Roman" w:hAnsi="Times New Roman" w:cs="Times New Roman"/>
          <w:szCs w:val="24"/>
        </w:rPr>
        <w:t>W obecnym stanie prawnym przepisy ustanawiają jedynie okres, za który organ rentowy może żądać zwrotu nienależnie pobranych świadczeń od osoby, która to świadczenie pobrała, tj. 3 lata wstecz od ostatniej wypłaty (pobrania) świadczenia, nie przewidują natomiast okresu, po upływie którego Zakład Ubezpieczeń Społecznych nie ma możliwości żądania zwrotu nienależnie pobranego świadczenia.</w:t>
      </w:r>
    </w:p>
    <w:p w:rsidR="00781DFD" w:rsidRPr="000178C7" w:rsidRDefault="00781DFD" w:rsidP="005C2E12">
      <w:pPr>
        <w:pStyle w:val="ARTartustawynprozporzdzenia"/>
        <w:ind w:firstLine="0"/>
        <w:rPr>
          <w:rFonts w:ascii="Times New Roman" w:hAnsi="Times New Roman" w:cs="Times New Roman"/>
          <w:szCs w:val="24"/>
        </w:rPr>
      </w:pPr>
      <w:r w:rsidRPr="000178C7">
        <w:rPr>
          <w:rFonts w:ascii="Times New Roman" w:hAnsi="Times New Roman" w:cs="Times New Roman"/>
          <w:szCs w:val="24"/>
        </w:rPr>
        <w:t>Wprawdzie z art. 84 ust. 7 ustawy z dnia 13 października 1998 r. o systemie ubezpieczeń społecznych wynika, że należności z tytułu nienależnie pobranych świadczeń ulegają przedawnieniu po upływie 10 lat, jednakże bieg powyższego terminu rozpoczyna się dopiero od dnia uprawomocnienia się decyzji ustalającej te należności.</w:t>
      </w:r>
    </w:p>
    <w:p w:rsidR="00781DFD" w:rsidRPr="000178C7" w:rsidRDefault="00781DFD" w:rsidP="005C2E12">
      <w:pPr>
        <w:pStyle w:val="ARTartustawynprozporzdzenia"/>
        <w:ind w:firstLine="0"/>
        <w:rPr>
          <w:rFonts w:ascii="Times New Roman" w:hAnsi="Times New Roman" w:cs="Times New Roman"/>
          <w:szCs w:val="24"/>
        </w:rPr>
      </w:pPr>
      <w:r w:rsidRPr="000178C7">
        <w:rPr>
          <w:rFonts w:ascii="Times New Roman" w:hAnsi="Times New Roman" w:cs="Times New Roman"/>
          <w:szCs w:val="24"/>
        </w:rPr>
        <w:t>W konsekwencji organ rentowy nie jest ograniczony jakimkolwiek terminem do wydania decyzji zobowiązującej do zwrotu nienależnie pobranych świadczeń.</w:t>
      </w:r>
    </w:p>
    <w:p w:rsidR="00781DFD" w:rsidRPr="000178C7" w:rsidRDefault="00781DFD" w:rsidP="005C2E12">
      <w:pPr>
        <w:pStyle w:val="ARTartustawynprozporzdzenia"/>
        <w:ind w:firstLine="0"/>
        <w:rPr>
          <w:rFonts w:ascii="Times New Roman" w:hAnsi="Times New Roman" w:cs="Times New Roman"/>
          <w:szCs w:val="24"/>
        </w:rPr>
      </w:pPr>
      <w:r w:rsidRPr="000178C7">
        <w:rPr>
          <w:rFonts w:ascii="Times New Roman" w:hAnsi="Times New Roman" w:cs="Times New Roman"/>
          <w:szCs w:val="24"/>
        </w:rPr>
        <w:t>Bezspornym jest fakt, iż osoba, która pobrała nienależne świadczenie z</w:t>
      </w:r>
      <w:r w:rsidR="005C2E12">
        <w:rPr>
          <w:rFonts w:ascii="Times New Roman" w:hAnsi="Times New Roman" w:cs="Times New Roman"/>
          <w:szCs w:val="24"/>
        </w:rPr>
        <w:t xml:space="preserve"> </w:t>
      </w:r>
      <w:r w:rsidRPr="000178C7">
        <w:rPr>
          <w:rFonts w:ascii="Times New Roman" w:hAnsi="Times New Roman" w:cs="Times New Roman"/>
          <w:szCs w:val="24"/>
        </w:rPr>
        <w:t>ubezpieczeń społecznych, musi liczyć się, zgodnie z obowiązującymi przepisami, z</w:t>
      </w:r>
      <w:r w:rsidR="005C2E12">
        <w:rPr>
          <w:rFonts w:ascii="Times New Roman" w:hAnsi="Times New Roman" w:cs="Times New Roman"/>
          <w:szCs w:val="24"/>
        </w:rPr>
        <w:t xml:space="preserve"> </w:t>
      </w:r>
      <w:r w:rsidRPr="000178C7">
        <w:rPr>
          <w:rFonts w:ascii="Times New Roman" w:hAnsi="Times New Roman" w:cs="Times New Roman"/>
          <w:szCs w:val="24"/>
        </w:rPr>
        <w:t xml:space="preserve">koniecznością jego zwrotu. Przepisy przewidujące konieczność zwrotu nienależnie pobranych świadczeń są jak najbardziej zasadne. Jednakże istnieje uzasadniona konieczność wskazania okresu, w którym byłoby możliwe wydanie decyzji umożliwiającej dochodzenie nienależnie pobranego świadczenia. </w:t>
      </w:r>
    </w:p>
    <w:p w:rsidR="00781DFD" w:rsidRPr="000178C7" w:rsidRDefault="00781DFD" w:rsidP="005C2E12">
      <w:pPr>
        <w:pStyle w:val="ARTartustawynprozporzdzenia"/>
        <w:ind w:firstLine="0"/>
        <w:rPr>
          <w:rStyle w:val="Kkursywa"/>
          <w:rFonts w:ascii="Times New Roman" w:hAnsi="Times New Roman" w:cs="Times New Roman"/>
          <w:i w:val="0"/>
          <w:szCs w:val="24"/>
        </w:rPr>
      </w:pPr>
      <w:r w:rsidRPr="000178C7">
        <w:rPr>
          <w:rStyle w:val="Kkursywa"/>
          <w:rFonts w:ascii="Times New Roman" w:hAnsi="Times New Roman" w:cs="Times New Roman"/>
          <w:i w:val="0"/>
          <w:szCs w:val="24"/>
        </w:rPr>
        <w:t>Wprowadzenie ograniczenia czasowego dla możliwości wydawania przez organ rentowy decyzji ustalającej wysokość kwoty nienależnie pobranego świadczenia z</w:t>
      </w:r>
      <w:r w:rsidR="005C2E12">
        <w:rPr>
          <w:rStyle w:val="Kkursywa"/>
          <w:rFonts w:ascii="Times New Roman" w:hAnsi="Times New Roman" w:cs="Times New Roman"/>
          <w:i w:val="0"/>
          <w:szCs w:val="24"/>
        </w:rPr>
        <w:t> </w:t>
      </w:r>
      <w:r w:rsidRPr="000178C7">
        <w:rPr>
          <w:rStyle w:val="Kkursywa"/>
          <w:rFonts w:ascii="Times New Roman" w:hAnsi="Times New Roman" w:cs="Times New Roman"/>
          <w:i w:val="0"/>
          <w:szCs w:val="24"/>
        </w:rPr>
        <w:t>ubezpieczeń społecznych służy również realizacji zasady ochrony zaufania obywateli do państwa i stanowionego przez nie prawa wyn</w:t>
      </w:r>
      <w:r w:rsidR="00F67D9E" w:rsidRPr="000178C7">
        <w:rPr>
          <w:rStyle w:val="Kkursywa"/>
          <w:rFonts w:ascii="Times New Roman" w:hAnsi="Times New Roman" w:cs="Times New Roman"/>
          <w:i w:val="0"/>
          <w:szCs w:val="24"/>
        </w:rPr>
        <w:t>ikającej z art. 2 Konstytucji</w:t>
      </w:r>
      <w:r w:rsidR="008C2300">
        <w:rPr>
          <w:rStyle w:val="Kkursywa"/>
          <w:rFonts w:ascii="Times New Roman" w:hAnsi="Times New Roman" w:cs="Times New Roman"/>
          <w:i w:val="0"/>
          <w:szCs w:val="24"/>
        </w:rPr>
        <w:t xml:space="preserve"> RP</w:t>
      </w:r>
      <w:r w:rsidRPr="000178C7">
        <w:rPr>
          <w:rStyle w:val="Kkursywa"/>
          <w:rFonts w:ascii="Times New Roman" w:hAnsi="Times New Roman" w:cs="Times New Roman"/>
          <w:i w:val="0"/>
          <w:szCs w:val="24"/>
        </w:rPr>
        <w:t>.</w:t>
      </w:r>
    </w:p>
    <w:p w:rsidR="00781DFD" w:rsidRPr="000178C7" w:rsidRDefault="00781DFD" w:rsidP="005C2E12">
      <w:pPr>
        <w:pStyle w:val="ARTartustawynprozporzdzenia"/>
        <w:ind w:firstLine="0"/>
        <w:rPr>
          <w:rFonts w:ascii="Times New Roman" w:hAnsi="Times New Roman" w:cs="Times New Roman"/>
          <w:i/>
        </w:rPr>
      </w:pPr>
      <w:r w:rsidRPr="000178C7">
        <w:rPr>
          <w:rFonts w:ascii="Times New Roman" w:hAnsi="Times New Roman" w:cs="Times New Roman"/>
        </w:rPr>
        <w:lastRenderedPageBreak/>
        <w:t>Z uwagi na powyższe, proponuje się nowelizację ustawy z dnia 13 października 1998 r. o systemie ubezpieczeń społecznych, polegającą na dodaniu ust. 7a do art. 84, regulującego instytucję przedawnienia w zakresie zwrotu nienależnie pobranych świadczeń w ten sposób, że decyzja zobowiązująca do zwrotu kwoty nienależnie pobranych świadczeń</w:t>
      </w:r>
      <w:r w:rsidR="001F532C" w:rsidRPr="000178C7">
        <w:rPr>
          <w:rFonts w:ascii="Times New Roman" w:hAnsi="Times New Roman" w:cs="Times New Roman"/>
        </w:rPr>
        <w:t xml:space="preserve"> </w:t>
      </w:r>
      <w:r w:rsidRPr="000178C7">
        <w:rPr>
          <w:rFonts w:ascii="Times New Roman" w:hAnsi="Times New Roman" w:cs="Times New Roman"/>
        </w:rPr>
        <w:t>z ubezpieczeń społecznych nie może być wydana później niż w</w:t>
      </w:r>
      <w:r w:rsidR="005C2E12">
        <w:rPr>
          <w:rFonts w:ascii="Times New Roman" w:hAnsi="Times New Roman" w:cs="Times New Roman"/>
        </w:rPr>
        <w:t> </w:t>
      </w:r>
      <w:r w:rsidRPr="000178C7">
        <w:rPr>
          <w:rFonts w:ascii="Times New Roman" w:hAnsi="Times New Roman" w:cs="Times New Roman"/>
        </w:rPr>
        <w:t>terminie 5 lat od ostatniego dnia okresu, za który pobrano nienależne świadczenie. Rozwiązanie to ma charakter komplementarny w stosunku do obecnie obowiązującej regulacji, która przewiduje, że należności z tytułu nienależnie pobranych świadczeń ulegają przedawnieniu po upływie 10 lat, licząc od dnia uprawomocnienia się decyzji ustalającej te należności. Proponowana regulacja zawiera także przepis przejściowy, na mocy którego</w:t>
      </w:r>
      <w:r w:rsidR="00AC6DA6" w:rsidRPr="000178C7">
        <w:rPr>
          <w:rFonts w:ascii="Times New Roman" w:hAnsi="Times New Roman" w:cs="Times New Roman"/>
        </w:rPr>
        <w:t xml:space="preserve"> </w:t>
      </w:r>
      <w:r w:rsidRPr="000178C7">
        <w:rPr>
          <w:rFonts w:ascii="Times New Roman" w:hAnsi="Times New Roman" w:cs="Times New Roman"/>
        </w:rPr>
        <w:t>od dnia wejścia w życie ustawy organ rentowy nie wydaje decyzji ustalającej należności z tytułu nienależnie pobranych świadczeń,</w:t>
      </w:r>
      <w:r w:rsidR="001F532C" w:rsidRPr="000178C7">
        <w:rPr>
          <w:rFonts w:ascii="Times New Roman" w:hAnsi="Times New Roman" w:cs="Times New Roman"/>
        </w:rPr>
        <w:t xml:space="preserve"> </w:t>
      </w:r>
      <w:r w:rsidRPr="000178C7">
        <w:rPr>
          <w:rFonts w:ascii="Times New Roman" w:hAnsi="Times New Roman" w:cs="Times New Roman"/>
        </w:rPr>
        <w:t>jeżeli od ostatniego dnia okresu, za który pobrano nienależne świadczenie</w:t>
      </w:r>
      <w:r w:rsidR="008C2300">
        <w:rPr>
          <w:rFonts w:ascii="Times New Roman" w:hAnsi="Times New Roman" w:cs="Times New Roman"/>
        </w:rPr>
        <w:t>,</w:t>
      </w:r>
      <w:r w:rsidRPr="000178C7">
        <w:rPr>
          <w:rFonts w:ascii="Times New Roman" w:hAnsi="Times New Roman" w:cs="Times New Roman"/>
        </w:rPr>
        <w:t xml:space="preserve"> upłynął termin 5 lat. Jednocześnie przewidziano regulację dla sytuacji, kiedy decyzja została już wydana</w:t>
      </w:r>
      <w:r w:rsidR="008453DB" w:rsidRPr="000178C7">
        <w:rPr>
          <w:rFonts w:ascii="Times New Roman" w:hAnsi="Times New Roman" w:cs="Times New Roman"/>
        </w:rPr>
        <w:t>,</w:t>
      </w:r>
      <w:r w:rsidRPr="000178C7">
        <w:rPr>
          <w:rFonts w:ascii="Times New Roman" w:hAnsi="Times New Roman" w:cs="Times New Roman"/>
        </w:rPr>
        <w:t xml:space="preserve"> a</w:t>
      </w:r>
      <w:r w:rsidR="005C2E12">
        <w:rPr>
          <w:rFonts w:ascii="Times New Roman" w:hAnsi="Times New Roman" w:cs="Times New Roman"/>
        </w:rPr>
        <w:t> </w:t>
      </w:r>
      <w:r w:rsidRPr="000178C7">
        <w:rPr>
          <w:rFonts w:ascii="Times New Roman" w:hAnsi="Times New Roman" w:cs="Times New Roman"/>
        </w:rPr>
        <w:t xml:space="preserve">zainteresowany odwołał się do sądu. </w:t>
      </w:r>
      <w:r w:rsidRPr="000178C7">
        <w:rPr>
          <w:rStyle w:val="Kkursywa"/>
          <w:rFonts w:ascii="Times New Roman" w:hAnsi="Times New Roman" w:cs="Times New Roman"/>
          <w:i w:val="0"/>
        </w:rPr>
        <w:t>Nowa regulacja będzie miała zastosowanie do rozpoznawania odwołań od decyzji ustalających kwoty nienależnie pobranych świadczeń oraz kwot odsetek i kosztów upomnienia, wniesionych i nierozpatrzonych przed dniem wejścia w życie niniejszej ustawy.</w:t>
      </w:r>
    </w:p>
    <w:p w:rsidR="00781DFD" w:rsidRPr="000178C7" w:rsidRDefault="00781DFD" w:rsidP="005C2E12">
      <w:pPr>
        <w:pStyle w:val="ARTartustawynprozporzdzenia"/>
        <w:ind w:firstLine="0"/>
        <w:rPr>
          <w:rFonts w:ascii="Times New Roman" w:hAnsi="Times New Roman" w:cs="Times New Roman"/>
        </w:rPr>
      </w:pPr>
      <w:r w:rsidRPr="000178C7">
        <w:rPr>
          <w:rFonts w:ascii="Times New Roman" w:hAnsi="Times New Roman" w:cs="Times New Roman"/>
        </w:rPr>
        <w:t>Zgodnie z art. 2 projektowanej nowelizacji przez organ rentowy należy rozumieć zarówno Zakład Ubezpieczeń Społecznych, jak i Prezesa Kasy Rolniczego Ubezpieczenia Społecznego (art. 52 ust. 2 ustawy z dnia 20 grudnia 1990 r. o</w:t>
      </w:r>
      <w:r w:rsidR="005C2E12">
        <w:rPr>
          <w:rFonts w:ascii="Times New Roman" w:hAnsi="Times New Roman" w:cs="Times New Roman"/>
        </w:rPr>
        <w:t> </w:t>
      </w:r>
      <w:r w:rsidRPr="000178C7">
        <w:rPr>
          <w:rFonts w:ascii="Times New Roman" w:hAnsi="Times New Roman" w:cs="Times New Roman"/>
        </w:rPr>
        <w:t>ubezpieczeniu społecznym rolników (Dz. U. z 2016 r. poz. 277).</w:t>
      </w:r>
    </w:p>
    <w:p w:rsidR="00781DFD" w:rsidRPr="000178C7" w:rsidRDefault="00781DFD" w:rsidP="005C2E12">
      <w:pPr>
        <w:pStyle w:val="ARTartustawynprozporzdzenia"/>
        <w:ind w:firstLine="0"/>
        <w:rPr>
          <w:rFonts w:ascii="Times New Roman" w:hAnsi="Times New Roman" w:cs="Times New Roman"/>
          <w:i/>
        </w:rPr>
      </w:pPr>
      <w:r w:rsidRPr="000178C7">
        <w:rPr>
          <w:rFonts w:ascii="Times New Roman" w:hAnsi="Times New Roman" w:cs="Times New Roman"/>
        </w:rPr>
        <w:t>Z uwagi na fakt, iż problem nienależnie pobranych świadczeń dotyczy</w:t>
      </w:r>
      <w:r w:rsidR="001F532C" w:rsidRPr="000178C7">
        <w:rPr>
          <w:rFonts w:ascii="Times New Roman" w:hAnsi="Times New Roman" w:cs="Times New Roman"/>
        </w:rPr>
        <w:t xml:space="preserve"> </w:t>
      </w:r>
      <w:r w:rsidR="00F67D9E" w:rsidRPr="000178C7">
        <w:rPr>
          <w:rFonts w:ascii="Times New Roman" w:hAnsi="Times New Roman" w:cs="Times New Roman"/>
        </w:rPr>
        <w:t>zarówno świadczeń krótko</w:t>
      </w:r>
      <w:r w:rsidR="008C2300">
        <w:rPr>
          <w:rFonts w:ascii="Times New Roman" w:hAnsi="Times New Roman" w:cs="Times New Roman"/>
        </w:rPr>
        <w:t>-,</w:t>
      </w:r>
      <w:r w:rsidRPr="000178C7">
        <w:rPr>
          <w:rFonts w:ascii="Times New Roman" w:hAnsi="Times New Roman" w:cs="Times New Roman"/>
        </w:rPr>
        <w:t xml:space="preserve"> jak i długoterminowych,</w:t>
      </w:r>
      <w:r w:rsidR="001F532C" w:rsidRPr="000178C7">
        <w:rPr>
          <w:rFonts w:ascii="Times New Roman" w:hAnsi="Times New Roman" w:cs="Times New Roman"/>
        </w:rPr>
        <w:t xml:space="preserve"> </w:t>
      </w:r>
      <w:r w:rsidRPr="000178C7">
        <w:rPr>
          <w:rFonts w:ascii="Times New Roman" w:hAnsi="Times New Roman" w:cs="Times New Roman"/>
        </w:rPr>
        <w:t>nowelizacja obejmuje świadczenia przysługują</w:t>
      </w:r>
      <w:r w:rsidR="00BB6AA0" w:rsidRPr="000178C7">
        <w:rPr>
          <w:rFonts w:ascii="Times New Roman" w:hAnsi="Times New Roman" w:cs="Times New Roman"/>
        </w:rPr>
        <w:t>ce na</w:t>
      </w:r>
      <w:r w:rsidR="001F532C" w:rsidRPr="000178C7">
        <w:rPr>
          <w:rFonts w:ascii="Times New Roman" w:hAnsi="Times New Roman" w:cs="Times New Roman"/>
        </w:rPr>
        <w:t xml:space="preserve"> </w:t>
      </w:r>
      <w:r w:rsidRPr="000178C7">
        <w:rPr>
          <w:rFonts w:ascii="Times New Roman" w:hAnsi="Times New Roman" w:cs="Times New Roman"/>
        </w:rPr>
        <w:t>podstawie ustawy z dnia 17 grudnia 1998 r. o emeryturach i rentach</w:t>
      </w:r>
      <w:r w:rsidR="001F532C" w:rsidRPr="000178C7">
        <w:rPr>
          <w:rFonts w:ascii="Times New Roman" w:hAnsi="Times New Roman" w:cs="Times New Roman"/>
        </w:rPr>
        <w:t xml:space="preserve"> </w:t>
      </w:r>
      <w:r w:rsidRPr="000178C7">
        <w:rPr>
          <w:rFonts w:ascii="Times New Roman" w:hAnsi="Times New Roman" w:cs="Times New Roman"/>
        </w:rPr>
        <w:t>z</w:t>
      </w:r>
      <w:r w:rsidR="005C2E12">
        <w:rPr>
          <w:rFonts w:ascii="Times New Roman" w:hAnsi="Times New Roman" w:cs="Times New Roman"/>
        </w:rPr>
        <w:t> </w:t>
      </w:r>
      <w:r w:rsidRPr="000178C7">
        <w:rPr>
          <w:rFonts w:ascii="Times New Roman" w:hAnsi="Times New Roman" w:cs="Times New Roman"/>
        </w:rPr>
        <w:t>Funduszu Ubezpieczeń Społecznych</w:t>
      </w:r>
      <w:r w:rsidR="00F67D9E" w:rsidRPr="000178C7">
        <w:rPr>
          <w:rFonts w:ascii="Times New Roman" w:hAnsi="Times New Roman" w:cs="Times New Roman"/>
        </w:rPr>
        <w:t xml:space="preserve"> (Dz. U. z 2016 r. poz. 887</w:t>
      </w:r>
      <w:r w:rsidRPr="000178C7">
        <w:rPr>
          <w:rFonts w:ascii="Times New Roman" w:hAnsi="Times New Roman" w:cs="Times New Roman"/>
        </w:rPr>
        <w:t>), ustawy z dnia 25</w:t>
      </w:r>
      <w:r w:rsidR="005C2E12">
        <w:rPr>
          <w:rFonts w:ascii="Times New Roman" w:hAnsi="Times New Roman" w:cs="Times New Roman"/>
        </w:rPr>
        <w:t> </w:t>
      </w:r>
      <w:r w:rsidRPr="000178C7">
        <w:rPr>
          <w:rFonts w:ascii="Times New Roman" w:hAnsi="Times New Roman" w:cs="Times New Roman"/>
        </w:rPr>
        <w:t>czerwca 1999 r. o świadczeniach pieniężnych z ubezpieczeni</w:t>
      </w:r>
      <w:r w:rsidR="00F67D9E" w:rsidRPr="000178C7">
        <w:rPr>
          <w:rFonts w:ascii="Times New Roman" w:hAnsi="Times New Roman" w:cs="Times New Roman"/>
        </w:rPr>
        <w:t xml:space="preserve">a społecznego w razie choroby </w:t>
      </w:r>
      <w:r w:rsidRPr="000178C7">
        <w:rPr>
          <w:rFonts w:ascii="Times New Roman" w:hAnsi="Times New Roman" w:cs="Times New Roman"/>
        </w:rPr>
        <w:t>i macierzyństwa (Dz. U. z 2016 r. poz. 372</w:t>
      </w:r>
      <w:r w:rsidR="00F67D9E" w:rsidRPr="000178C7">
        <w:rPr>
          <w:rFonts w:ascii="Times New Roman" w:hAnsi="Times New Roman" w:cs="Times New Roman"/>
        </w:rPr>
        <w:t xml:space="preserve"> i 960</w:t>
      </w:r>
      <w:r w:rsidRPr="000178C7">
        <w:rPr>
          <w:rFonts w:ascii="Times New Roman" w:hAnsi="Times New Roman" w:cs="Times New Roman"/>
        </w:rPr>
        <w:t>) oraz ustawy z dnia 30</w:t>
      </w:r>
      <w:r w:rsidR="005C2E12">
        <w:rPr>
          <w:rFonts w:ascii="Times New Roman" w:hAnsi="Times New Roman" w:cs="Times New Roman"/>
        </w:rPr>
        <w:t> </w:t>
      </w:r>
      <w:r w:rsidRPr="000178C7">
        <w:rPr>
          <w:rFonts w:ascii="Times New Roman" w:hAnsi="Times New Roman" w:cs="Times New Roman"/>
        </w:rPr>
        <w:t>października 2002 r. o ubezpieczeniu społecznym z tytułu wypadków przy pracy i</w:t>
      </w:r>
      <w:r w:rsidR="005C2E12">
        <w:rPr>
          <w:rFonts w:ascii="Times New Roman" w:hAnsi="Times New Roman" w:cs="Times New Roman"/>
        </w:rPr>
        <w:t> </w:t>
      </w:r>
      <w:r w:rsidRPr="000178C7">
        <w:rPr>
          <w:rFonts w:ascii="Times New Roman" w:hAnsi="Times New Roman" w:cs="Times New Roman"/>
        </w:rPr>
        <w:t>chorób zawodowych (Dz. U. z 2015 r. poz. 1242, z późn. zm.)</w:t>
      </w:r>
      <w:r w:rsidR="005B63CD" w:rsidRPr="000178C7">
        <w:rPr>
          <w:rFonts w:ascii="Times New Roman" w:hAnsi="Times New Roman" w:cs="Times New Roman"/>
        </w:rPr>
        <w:t>,</w:t>
      </w:r>
      <w:r w:rsidRPr="000178C7">
        <w:rPr>
          <w:rFonts w:ascii="Times New Roman" w:hAnsi="Times New Roman" w:cs="Times New Roman"/>
        </w:rPr>
        <w:t xml:space="preserve"> </w:t>
      </w:r>
      <w:r w:rsidRPr="000178C7">
        <w:rPr>
          <w:rStyle w:val="Kkursywa"/>
          <w:rFonts w:ascii="Times New Roman" w:hAnsi="Times New Roman" w:cs="Times New Roman"/>
          <w:i w:val="0"/>
        </w:rPr>
        <w:t>a także świadczenia pieniężne inne niż z ubezpieczeń społecznych, wypłacane przez Zakład Ubezpieczeń Społecznych na mocy odrębnych przepisów (np. ustawy z dnia 20 kwietnia 2004 r. o</w:t>
      </w:r>
      <w:r w:rsidR="005C2E12">
        <w:rPr>
          <w:rStyle w:val="Kkursywa"/>
          <w:rFonts w:ascii="Times New Roman" w:hAnsi="Times New Roman" w:cs="Times New Roman"/>
          <w:i w:val="0"/>
        </w:rPr>
        <w:t> </w:t>
      </w:r>
      <w:r w:rsidRPr="000178C7">
        <w:rPr>
          <w:rStyle w:val="Kkursywa"/>
          <w:rFonts w:ascii="Times New Roman" w:hAnsi="Times New Roman" w:cs="Times New Roman"/>
          <w:i w:val="0"/>
        </w:rPr>
        <w:t>promocji zatrudnienia i instyt</w:t>
      </w:r>
      <w:r w:rsidR="00F67D9E" w:rsidRPr="000178C7">
        <w:rPr>
          <w:rStyle w:val="Kkursywa"/>
          <w:rFonts w:ascii="Times New Roman" w:hAnsi="Times New Roman" w:cs="Times New Roman"/>
          <w:i w:val="0"/>
        </w:rPr>
        <w:t>ucjach rynku pracy (</w:t>
      </w:r>
      <w:r w:rsidRPr="000178C7">
        <w:rPr>
          <w:rStyle w:val="Kkursywa"/>
          <w:rFonts w:ascii="Times New Roman" w:hAnsi="Times New Roman" w:cs="Times New Roman"/>
          <w:i w:val="0"/>
        </w:rPr>
        <w:t xml:space="preserve">Dz. U. z 2016 r. poz. 645, </w:t>
      </w:r>
      <w:r w:rsidRPr="000178C7">
        <w:rPr>
          <w:rStyle w:val="Kkursywa"/>
          <w:rFonts w:ascii="Times New Roman" w:hAnsi="Times New Roman" w:cs="Times New Roman"/>
          <w:i w:val="0"/>
        </w:rPr>
        <w:lastRenderedPageBreak/>
        <w:t>z</w:t>
      </w:r>
      <w:r w:rsidR="005C2E12">
        <w:rPr>
          <w:rStyle w:val="Kkursywa"/>
          <w:rFonts w:ascii="Times New Roman" w:hAnsi="Times New Roman" w:cs="Times New Roman"/>
          <w:i w:val="0"/>
        </w:rPr>
        <w:t> </w:t>
      </w:r>
      <w:r w:rsidRPr="000178C7">
        <w:rPr>
          <w:rStyle w:val="Kkursywa"/>
          <w:rFonts w:ascii="Times New Roman" w:hAnsi="Times New Roman" w:cs="Times New Roman"/>
          <w:i w:val="0"/>
        </w:rPr>
        <w:t>późn.</w:t>
      </w:r>
      <w:r w:rsidR="005C2E12">
        <w:rPr>
          <w:rStyle w:val="Kkursywa"/>
          <w:rFonts w:ascii="Times New Roman" w:hAnsi="Times New Roman" w:cs="Times New Roman"/>
          <w:i w:val="0"/>
        </w:rPr>
        <w:t> </w:t>
      </w:r>
      <w:r w:rsidRPr="000178C7">
        <w:rPr>
          <w:rStyle w:val="Kkursywa"/>
          <w:rFonts w:ascii="Times New Roman" w:hAnsi="Times New Roman" w:cs="Times New Roman"/>
          <w:i w:val="0"/>
        </w:rPr>
        <w:t>zm.</w:t>
      </w:r>
      <w:r w:rsidR="00F67D9E" w:rsidRPr="000178C7">
        <w:rPr>
          <w:rStyle w:val="Kkursywa"/>
          <w:rFonts w:ascii="Times New Roman" w:hAnsi="Times New Roman" w:cs="Times New Roman"/>
          <w:i w:val="0"/>
        </w:rPr>
        <w:t>)</w:t>
      </w:r>
      <w:r w:rsidRPr="000178C7">
        <w:rPr>
          <w:rStyle w:val="Kkursywa"/>
          <w:rFonts w:ascii="Times New Roman" w:hAnsi="Times New Roman" w:cs="Times New Roman"/>
          <w:i w:val="0"/>
        </w:rPr>
        <w:t>, ustawy z dnia 27 czerwca 2003 r. o rencie</w:t>
      </w:r>
      <w:r w:rsidR="001F532C" w:rsidRPr="000178C7">
        <w:rPr>
          <w:rStyle w:val="Kkursywa"/>
          <w:rFonts w:ascii="Times New Roman" w:hAnsi="Times New Roman" w:cs="Times New Roman"/>
          <w:i w:val="0"/>
        </w:rPr>
        <w:t xml:space="preserve"> </w:t>
      </w:r>
      <w:r w:rsidR="00F67D9E" w:rsidRPr="000178C7">
        <w:rPr>
          <w:rStyle w:val="Kkursywa"/>
          <w:rFonts w:ascii="Times New Roman" w:hAnsi="Times New Roman" w:cs="Times New Roman"/>
          <w:i w:val="0"/>
        </w:rPr>
        <w:t>socjalnej (</w:t>
      </w:r>
      <w:r w:rsidRPr="000178C7">
        <w:rPr>
          <w:rStyle w:val="Kkursywa"/>
          <w:rFonts w:ascii="Times New Roman" w:hAnsi="Times New Roman" w:cs="Times New Roman"/>
          <w:i w:val="0"/>
        </w:rPr>
        <w:t>Dz. U. z 2013 r. poz.</w:t>
      </w:r>
      <w:r w:rsidR="005C2E12">
        <w:rPr>
          <w:rStyle w:val="Kkursywa"/>
          <w:rFonts w:ascii="Times New Roman" w:hAnsi="Times New Roman" w:cs="Times New Roman"/>
          <w:i w:val="0"/>
        </w:rPr>
        <w:t> </w:t>
      </w:r>
      <w:r w:rsidRPr="000178C7">
        <w:rPr>
          <w:rStyle w:val="Kkursywa"/>
          <w:rFonts w:ascii="Times New Roman" w:hAnsi="Times New Roman" w:cs="Times New Roman"/>
          <w:i w:val="0"/>
        </w:rPr>
        <w:t>982, z późn. zm.</w:t>
      </w:r>
      <w:r w:rsidR="00F67D9E" w:rsidRPr="000178C7">
        <w:rPr>
          <w:rStyle w:val="Kkursywa"/>
          <w:rFonts w:ascii="Times New Roman" w:hAnsi="Times New Roman" w:cs="Times New Roman"/>
          <w:i w:val="0"/>
        </w:rPr>
        <w:t>)</w:t>
      </w:r>
      <w:r w:rsidRPr="000178C7">
        <w:rPr>
          <w:rStyle w:val="Kkursywa"/>
          <w:rFonts w:ascii="Times New Roman" w:hAnsi="Times New Roman" w:cs="Times New Roman"/>
          <w:i w:val="0"/>
        </w:rPr>
        <w:t>, ustawy z dnia 30 kwietnia 2004 r. o ś</w:t>
      </w:r>
      <w:r w:rsidR="00F67D9E" w:rsidRPr="000178C7">
        <w:rPr>
          <w:rStyle w:val="Kkursywa"/>
          <w:rFonts w:ascii="Times New Roman" w:hAnsi="Times New Roman" w:cs="Times New Roman"/>
          <w:i w:val="0"/>
        </w:rPr>
        <w:t>wiadczeniach przedemerytalnych (</w:t>
      </w:r>
      <w:r w:rsidRPr="000178C7">
        <w:rPr>
          <w:rStyle w:val="Kkursywa"/>
          <w:rFonts w:ascii="Times New Roman" w:hAnsi="Times New Roman" w:cs="Times New Roman"/>
          <w:i w:val="0"/>
        </w:rPr>
        <w:t>Dz.</w:t>
      </w:r>
      <w:r w:rsidR="001F532C" w:rsidRPr="000178C7">
        <w:rPr>
          <w:rStyle w:val="Kkursywa"/>
          <w:rFonts w:ascii="Times New Roman" w:hAnsi="Times New Roman" w:cs="Times New Roman"/>
          <w:i w:val="0"/>
        </w:rPr>
        <w:t xml:space="preserve"> </w:t>
      </w:r>
      <w:r w:rsidRPr="000178C7">
        <w:rPr>
          <w:rStyle w:val="Kkursywa"/>
          <w:rFonts w:ascii="Times New Roman" w:hAnsi="Times New Roman" w:cs="Times New Roman"/>
          <w:i w:val="0"/>
        </w:rPr>
        <w:t>U. z 2013 r. poz. 170, z późn. zm.</w:t>
      </w:r>
      <w:r w:rsidR="00F67D9E" w:rsidRPr="000178C7">
        <w:rPr>
          <w:rStyle w:val="Kkursywa"/>
          <w:rFonts w:ascii="Times New Roman" w:hAnsi="Times New Roman" w:cs="Times New Roman"/>
          <w:i w:val="0"/>
        </w:rPr>
        <w:t>)</w:t>
      </w:r>
      <w:r w:rsidRPr="000178C7">
        <w:rPr>
          <w:rStyle w:val="Kkursywa"/>
          <w:rFonts w:ascii="Times New Roman" w:hAnsi="Times New Roman" w:cs="Times New Roman"/>
          <w:i w:val="0"/>
        </w:rPr>
        <w:t xml:space="preserve">). </w:t>
      </w:r>
    </w:p>
    <w:p w:rsidR="00781DFD" w:rsidRPr="000178C7" w:rsidRDefault="00781DFD" w:rsidP="005C2E12">
      <w:pPr>
        <w:pStyle w:val="ARTartustawynprozporzdzenia"/>
        <w:rPr>
          <w:rFonts w:ascii="Times New Roman" w:hAnsi="Times New Roman" w:cs="Times New Roman"/>
        </w:rPr>
      </w:pPr>
      <w:r w:rsidRPr="000178C7">
        <w:rPr>
          <w:rFonts w:ascii="Times New Roman" w:hAnsi="Times New Roman" w:cs="Times New Roman"/>
        </w:rPr>
        <w:t>Zmiana przepisów nie ma zastosowania do płatników, o których mowa w art. 84 ust. 6 ustawy. Rozwiązanie takie wynika z faktu, iż płatnik składek współdziałający z</w:t>
      </w:r>
      <w:r w:rsidR="005C2E12">
        <w:rPr>
          <w:rFonts w:ascii="Times New Roman" w:hAnsi="Times New Roman" w:cs="Times New Roman"/>
        </w:rPr>
        <w:t> </w:t>
      </w:r>
      <w:r w:rsidRPr="000178C7">
        <w:rPr>
          <w:rFonts w:ascii="Times New Roman" w:hAnsi="Times New Roman" w:cs="Times New Roman"/>
        </w:rPr>
        <w:t xml:space="preserve">ubezpieczonym w celu uzyskania przez niego korzyści w postaci nienależnych mu świadczeń nie powinien czuć się zwolniony z odpowiedzialności, w szczególności dlatego, że najczęściej forma takiego współdziałania sprowadza się do niezasadnego zgłoszenia do ubezpieczenia lub podwyższenia podstawy wymiaru składki. Jednocześnie płatnik ma możliwość korygowania dokumentacji ubezpieczeniowej bezterminowo (uchylony art. 41 ust. 7 ustawy zobowiązywał do korekty dokumentacji do </w:t>
      </w:r>
      <w:r w:rsidR="008C2300">
        <w:rPr>
          <w:rFonts w:ascii="Times New Roman" w:hAnsi="Times New Roman" w:cs="Times New Roman"/>
        </w:rPr>
        <w:t xml:space="preserve">dnia </w:t>
      </w:r>
      <w:r w:rsidRPr="000178C7">
        <w:rPr>
          <w:rFonts w:ascii="Times New Roman" w:hAnsi="Times New Roman" w:cs="Times New Roman"/>
        </w:rPr>
        <w:t>30 kwietnia następnego roku kalendarzowego).</w:t>
      </w:r>
    </w:p>
    <w:p w:rsidR="00781DFD" w:rsidRPr="000178C7" w:rsidRDefault="00781DFD" w:rsidP="005C2E12">
      <w:pPr>
        <w:pStyle w:val="ARTartustawynprozporzdzenia"/>
        <w:rPr>
          <w:rFonts w:ascii="Times New Roman" w:hAnsi="Times New Roman" w:cs="Times New Roman"/>
        </w:rPr>
      </w:pPr>
      <w:r w:rsidRPr="000178C7">
        <w:rPr>
          <w:rFonts w:ascii="Times New Roman" w:hAnsi="Times New Roman" w:cs="Times New Roman"/>
        </w:rPr>
        <w:t>Oczekiwanym efektem wejścia w życie regulacji będzie ochrona pewności i</w:t>
      </w:r>
      <w:r w:rsidR="005C2E12">
        <w:rPr>
          <w:rFonts w:ascii="Times New Roman" w:hAnsi="Times New Roman" w:cs="Times New Roman"/>
        </w:rPr>
        <w:t> </w:t>
      </w:r>
      <w:r w:rsidRPr="000178C7">
        <w:rPr>
          <w:rFonts w:ascii="Times New Roman" w:hAnsi="Times New Roman" w:cs="Times New Roman"/>
        </w:rPr>
        <w:t xml:space="preserve">stabilności porządku prawnego oraz wykluczenie roszczeń organu rentowego, które wobec znacznego </w:t>
      </w:r>
      <w:r w:rsidR="008C2300" w:rsidRPr="000178C7">
        <w:rPr>
          <w:rFonts w:ascii="Times New Roman" w:hAnsi="Times New Roman" w:cs="Times New Roman"/>
        </w:rPr>
        <w:t xml:space="preserve">upływu </w:t>
      </w:r>
      <w:r w:rsidRPr="000178C7">
        <w:rPr>
          <w:rFonts w:ascii="Times New Roman" w:hAnsi="Times New Roman" w:cs="Times New Roman"/>
        </w:rPr>
        <w:t>czasu od daty ich powstania, w momencie spełnienia byłyby oderwane od faktycznej sytuacji ubezpieczonego.</w:t>
      </w:r>
    </w:p>
    <w:p w:rsidR="00781DFD" w:rsidRPr="000178C7" w:rsidRDefault="00781DFD" w:rsidP="005C2E12">
      <w:pPr>
        <w:pStyle w:val="ARTartustawynprozporzdzenia"/>
        <w:rPr>
          <w:rFonts w:ascii="Times New Roman" w:hAnsi="Times New Roman" w:cs="Times New Roman"/>
          <w:i/>
        </w:rPr>
      </w:pPr>
      <w:r w:rsidRPr="000178C7">
        <w:rPr>
          <w:rStyle w:val="Kkursywa"/>
          <w:rFonts w:ascii="Times New Roman" w:hAnsi="Times New Roman" w:cs="Times New Roman"/>
          <w:i w:val="0"/>
        </w:rPr>
        <w:t xml:space="preserve">Brak jest możliwości podjęcia alternatywnych, w stosunku do uchwalenia projektowanej ustawy, środków umożliwiających osiągnięcie zamierzonego celu. </w:t>
      </w:r>
    </w:p>
    <w:p w:rsidR="00781DFD" w:rsidRPr="000178C7" w:rsidRDefault="00781DFD" w:rsidP="005C2E12">
      <w:pPr>
        <w:pStyle w:val="ARTartustawynprozporzdzenia"/>
        <w:rPr>
          <w:rFonts w:ascii="Times New Roman" w:hAnsi="Times New Roman" w:cs="Times New Roman"/>
        </w:rPr>
      </w:pPr>
      <w:r w:rsidRPr="000178C7">
        <w:rPr>
          <w:rFonts w:ascii="Times New Roman" w:hAnsi="Times New Roman" w:cs="Times New Roman"/>
        </w:rPr>
        <w:t>W ocenie projektodawcy przedmiot regulacji nie jest objęty zakresem prawa Unii Europejskiej i nie podlega procedurze notyfikacji w rozumieniu przepisów dotyczących notyfikacji norm i aktów prawnych.</w:t>
      </w:r>
    </w:p>
    <w:p w:rsidR="00781DFD" w:rsidRPr="000178C7" w:rsidRDefault="00781DFD" w:rsidP="005C2E12">
      <w:pPr>
        <w:pStyle w:val="ARTartustawynprozporzdzenia"/>
        <w:rPr>
          <w:rStyle w:val="Kkursywa"/>
          <w:rFonts w:ascii="Times New Roman" w:hAnsi="Times New Roman" w:cs="Times New Roman"/>
          <w:i w:val="0"/>
        </w:rPr>
      </w:pPr>
      <w:r w:rsidRPr="000178C7">
        <w:rPr>
          <w:rStyle w:val="Kkursywa"/>
          <w:rFonts w:ascii="Times New Roman" w:hAnsi="Times New Roman" w:cs="Times New Roman"/>
          <w:i w:val="0"/>
        </w:rPr>
        <w:t xml:space="preserve">Projekt </w:t>
      </w:r>
      <w:r w:rsidR="000318AB" w:rsidRPr="000178C7">
        <w:rPr>
          <w:rStyle w:val="Kkursywa"/>
          <w:rFonts w:ascii="Times New Roman" w:hAnsi="Times New Roman" w:cs="Times New Roman"/>
          <w:i w:val="0"/>
        </w:rPr>
        <w:t xml:space="preserve">ustawy nie jest sprzeczny z prawem Unii Europejskiej. </w:t>
      </w:r>
    </w:p>
    <w:p w:rsidR="005C2E12" w:rsidRPr="005C2E12" w:rsidRDefault="009E1A80" w:rsidP="005C2E12">
      <w:pPr>
        <w:widowControl/>
        <w:autoSpaceDE/>
        <w:autoSpaceDN/>
        <w:adjustRightInd/>
        <w:spacing w:before="120"/>
        <w:ind w:firstLine="480"/>
        <w:jc w:val="both"/>
        <w:rPr>
          <w:rFonts w:eastAsia="Times New Roman" w:cs="Times New Roman"/>
          <w:color w:val="000000"/>
          <w:szCs w:val="24"/>
        </w:rPr>
      </w:pPr>
      <w:r w:rsidRPr="000178C7">
        <w:rPr>
          <w:rFonts w:eastAsia="Times New Roman" w:cs="Times New Roman"/>
          <w:color w:val="000000"/>
          <w:szCs w:val="24"/>
        </w:rPr>
        <w:t>Projekt nie był przedstawia</w:t>
      </w:r>
      <w:r w:rsidR="00916103" w:rsidRPr="000178C7">
        <w:rPr>
          <w:rFonts w:eastAsia="Times New Roman" w:cs="Times New Roman"/>
          <w:color w:val="000000"/>
          <w:szCs w:val="24"/>
        </w:rPr>
        <w:t xml:space="preserve">ny </w:t>
      </w:r>
      <w:r w:rsidR="003846FD" w:rsidRPr="000178C7">
        <w:rPr>
          <w:rFonts w:eastAsia="Times New Roman" w:cs="Times New Roman"/>
          <w:color w:val="000000"/>
          <w:szCs w:val="24"/>
        </w:rPr>
        <w:t xml:space="preserve">właściwym organom i instytucjom Unii Europejskiej, w tym </w:t>
      </w:r>
      <w:r w:rsidRPr="000178C7">
        <w:rPr>
          <w:rFonts w:eastAsia="Times New Roman" w:cs="Times New Roman"/>
          <w:color w:val="000000"/>
          <w:szCs w:val="24"/>
        </w:rPr>
        <w:t>Eur</w:t>
      </w:r>
      <w:r w:rsidR="00916103" w:rsidRPr="000178C7">
        <w:rPr>
          <w:rFonts w:eastAsia="Times New Roman" w:cs="Times New Roman"/>
          <w:color w:val="000000"/>
          <w:szCs w:val="24"/>
        </w:rPr>
        <w:t>opejskiemu Bankowi Centralnemu</w:t>
      </w:r>
      <w:r w:rsidR="003846FD" w:rsidRPr="000178C7">
        <w:rPr>
          <w:rFonts w:eastAsia="Times New Roman" w:cs="Times New Roman"/>
          <w:color w:val="000000"/>
          <w:szCs w:val="24"/>
        </w:rPr>
        <w:t>,</w:t>
      </w:r>
      <w:r w:rsidR="00916103" w:rsidRPr="000178C7">
        <w:rPr>
          <w:rFonts w:eastAsia="Times New Roman" w:cs="Times New Roman"/>
          <w:color w:val="000000"/>
          <w:szCs w:val="24"/>
        </w:rPr>
        <w:t xml:space="preserve"> </w:t>
      </w:r>
      <w:r w:rsidRPr="000178C7">
        <w:rPr>
          <w:rFonts w:eastAsia="Times New Roman" w:cs="Times New Roman"/>
          <w:color w:val="000000"/>
          <w:szCs w:val="24"/>
        </w:rPr>
        <w:t>w celu uzyskania opinii, dokonania powiadomienia, konsultacji albo uzgodnienia.</w:t>
      </w:r>
    </w:p>
    <w:p w:rsidR="005C2E12" w:rsidRPr="005C2E12" w:rsidRDefault="005C2E12" w:rsidP="005C2E12">
      <w:pPr>
        <w:pStyle w:val="ARTartustawynprozporzdzenia"/>
        <w:ind w:firstLine="0"/>
        <w:rPr>
          <w:rFonts w:ascii="Times New Roman" w:hAnsi="Times New Roman" w:cs="Times New Roman"/>
          <w:sz w:val="20"/>
        </w:rPr>
      </w:pPr>
    </w:p>
    <w:sectPr w:rsidR="005C2E12" w:rsidRPr="005C2E12" w:rsidSect="005C2E12">
      <w:headerReference w:type="default" r:id="rId7"/>
      <w:footerReference w:type="default" r:id="rId8"/>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4E11" w:rsidRDefault="000C4E11" w:rsidP="00781DFD">
      <w:pPr>
        <w:spacing w:line="240" w:lineRule="auto"/>
      </w:pPr>
      <w:r>
        <w:separator/>
      </w:r>
    </w:p>
  </w:endnote>
  <w:endnote w:type="continuationSeparator" w:id="0">
    <w:p w:rsidR="000C4E11" w:rsidRDefault="000C4E11" w:rsidP="00781D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8457344"/>
      <w:docPartObj>
        <w:docPartGallery w:val="Page Numbers (Bottom of Page)"/>
        <w:docPartUnique/>
      </w:docPartObj>
    </w:sdtPr>
    <w:sdtEndPr/>
    <w:sdtContent>
      <w:p w:rsidR="00781DFD" w:rsidRDefault="005C2E12" w:rsidP="005C2E12">
        <w:pPr>
          <w:pStyle w:val="Stopka"/>
          <w:jc w:val="center"/>
        </w:pPr>
        <w:r>
          <w:fldChar w:fldCharType="begin"/>
        </w:r>
        <w:r>
          <w:instrText>PAGE   \* MERGEFORMAT</w:instrText>
        </w:r>
        <w:r>
          <w:fldChar w:fldCharType="separate"/>
        </w:r>
        <w:r w:rsidR="00CB261A">
          <w:rPr>
            <w:noProof/>
          </w:rPr>
          <w:t>3</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4E11" w:rsidRDefault="000C4E11" w:rsidP="00781DFD">
      <w:pPr>
        <w:spacing w:line="240" w:lineRule="auto"/>
      </w:pPr>
      <w:r>
        <w:separator/>
      </w:r>
    </w:p>
  </w:footnote>
  <w:footnote w:type="continuationSeparator" w:id="0">
    <w:p w:rsidR="000C4E11" w:rsidRDefault="000C4E11" w:rsidP="00781DF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1059640"/>
      <w:docPartObj>
        <w:docPartGallery w:val="Page Numbers (Top of Page)"/>
        <w:docPartUnique/>
      </w:docPartObj>
    </w:sdtPr>
    <w:sdtEndPr/>
    <w:sdtContent>
      <w:p w:rsidR="00781DFD" w:rsidRDefault="007A5948">
        <w:pPr>
          <w:pStyle w:val="Nagwek"/>
          <w:jc w:val="center"/>
        </w:pPr>
        <w:r>
          <w:fldChar w:fldCharType="begin"/>
        </w:r>
        <w:r w:rsidR="00781DFD">
          <w:instrText>PAGE   \* MERGEFORMAT</w:instrText>
        </w:r>
        <w:r>
          <w:fldChar w:fldCharType="separate"/>
        </w:r>
        <w:r w:rsidR="00CB261A">
          <w:rPr>
            <w:noProof/>
          </w:rPr>
          <w:t>3</w:t>
        </w:r>
        <w:r>
          <w:fldChar w:fldCharType="end"/>
        </w:r>
      </w:p>
    </w:sdtContent>
  </w:sdt>
  <w:p w:rsidR="00781DFD" w:rsidRDefault="00781DFD">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1DFD"/>
    <w:rsid w:val="000178C7"/>
    <w:rsid w:val="000318AB"/>
    <w:rsid w:val="000C4E11"/>
    <w:rsid w:val="0014055A"/>
    <w:rsid w:val="0016088E"/>
    <w:rsid w:val="001A1A25"/>
    <w:rsid w:val="001E7CAE"/>
    <w:rsid w:val="001F532C"/>
    <w:rsid w:val="002156AD"/>
    <w:rsid w:val="00323D57"/>
    <w:rsid w:val="003846FD"/>
    <w:rsid w:val="003B74AF"/>
    <w:rsid w:val="004D6FA4"/>
    <w:rsid w:val="00530613"/>
    <w:rsid w:val="005B63CD"/>
    <w:rsid w:val="005C2E12"/>
    <w:rsid w:val="005E6088"/>
    <w:rsid w:val="007175B1"/>
    <w:rsid w:val="00727BC1"/>
    <w:rsid w:val="00781DFD"/>
    <w:rsid w:val="007A2418"/>
    <w:rsid w:val="007A5948"/>
    <w:rsid w:val="008453DB"/>
    <w:rsid w:val="008B1D08"/>
    <w:rsid w:val="008C2300"/>
    <w:rsid w:val="00916103"/>
    <w:rsid w:val="00922179"/>
    <w:rsid w:val="009E1A80"/>
    <w:rsid w:val="009F6508"/>
    <w:rsid w:val="00AC6DA6"/>
    <w:rsid w:val="00B65D7F"/>
    <w:rsid w:val="00BB6AA0"/>
    <w:rsid w:val="00C205C8"/>
    <w:rsid w:val="00C219FA"/>
    <w:rsid w:val="00CB261A"/>
    <w:rsid w:val="00CB4060"/>
    <w:rsid w:val="00D56BD5"/>
    <w:rsid w:val="00D85C7C"/>
    <w:rsid w:val="00E54070"/>
    <w:rsid w:val="00F67D9E"/>
    <w:rsid w:val="00FA2AA2"/>
    <w:rsid w:val="00FE6AE2"/>
    <w:rsid w:val="00FE711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81DFD"/>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11"/>
    <w:qFormat/>
    <w:rsid w:val="00781DFD"/>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Ppogrubienie">
    <w:name w:val="_P_ – pogrubienie"/>
    <w:basedOn w:val="Domylnaczcionkaakapitu"/>
    <w:uiPriority w:val="1"/>
    <w:qFormat/>
    <w:rsid w:val="00781DFD"/>
    <w:rPr>
      <w:b/>
    </w:rPr>
  </w:style>
  <w:style w:type="character" w:customStyle="1" w:styleId="Kkursywa">
    <w:name w:val="_K_ – kursywa"/>
    <w:basedOn w:val="Domylnaczcionkaakapitu"/>
    <w:uiPriority w:val="1"/>
    <w:qFormat/>
    <w:rsid w:val="00781DFD"/>
    <w:rPr>
      <w:i/>
    </w:rPr>
  </w:style>
  <w:style w:type="paragraph" w:styleId="Nagwek">
    <w:name w:val="header"/>
    <w:basedOn w:val="Normalny"/>
    <w:link w:val="NagwekZnak"/>
    <w:uiPriority w:val="99"/>
    <w:unhideWhenUsed/>
    <w:rsid w:val="00781DFD"/>
    <w:pPr>
      <w:tabs>
        <w:tab w:val="center" w:pos="4536"/>
        <w:tab w:val="right" w:pos="9072"/>
      </w:tabs>
      <w:spacing w:line="240" w:lineRule="auto"/>
    </w:pPr>
  </w:style>
  <w:style w:type="character" w:customStyle="1" w:styleId="NagwekZnak">
    <w:name w:val="Nagłówek Znak"/>
    <w:basedOn w:val="Domylnaczcionkaakapitu"/>
    <w:link w:val="Nagwek"/>
    <w:uiPriority w:val="99"/>
    <w:rsid w:val="00781DFD"/>
    <w:rPr>
      <w:rFonts w:ascii="Times New Roman" w:eastAsiaTheme="minorEastAsia" w:hAnsi="Times New Roman" w:cs="Arial"/>
      <w:sz w:val="24"/>
      <w:szCs w:val="20"/>
      <w:lang w:eastAsia="pl-PL"/>
    </w:rPr>
  </w:style>
  <w:style w:type="paragraph" w:styleId="Stopka">
    <w:name w:val="footer"/>
    <w:basedOn w:val="Normalny"/>
    <w:link w:val="StopkaZnak"/>
    <w:uiPriority w:val="99"/>
    <w:unhideWhenUsed/>
    <w:rsid w:val="00781DFD"/>
    <w:pPr>
      <w:tabs>
        <w:tab w:val="center" w:pos="4536"/>
        <w:tab w:val="right" w:pos="9072"/>
      </w:tabs>
      <w:spacing w:line="240" w:lineRule="auto"/>
    </w:pPr>
  </w:style>
  <w:style w:type="character" w:customStyle="1" w:styleId="StopkaZnak">
    <w:name w:val="Stopka Znak"/>
    <w:basedOn w:val="Domylnaczcionkaakapitu"/>
    <w:link w:val="Stopka"/>
    <w:uiPriority w:val="99"/>
    <w:rsid w:val="00781DFD"/>
    <w:rPr>
      <w:rFonts w:ascii="Times New Roman" w:eastAsiaTheme="minorEastAsia" w:hAnsi="Times New Roman" w:cs="Arial"/>
      <w:sz w:val="24"/>
      <w:szCs w:val="20"/>
      <w:lang w:eastAsia="pl-PL"/>
    </w:rPr>
  </w:style>
  <w:style w:type="paragraph" w:styleId="Tekstdymka">
    <w:name w:val="Balloon Text"/>
    <w:basedOn w:val="Normalny"/>
    <w:link w:val="TekstdymkaZnak"/>
    <w:uiPriority w:val="99"/>
    <w:semiHidden/>
    <w:unhideWhenUsed/>
    <w:rsid w:val="008C2300"/>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C2300"/>
    <w:rPr>
      <w:rFonts w:ascii="Tahoma" w:eastAsiaTheme="minorEastAsia" w:hAnsi="Tahoma" w:cs="Tahoma"/>
      <w:sz w:val="16"/>
      <w:szCs w:val="16"/>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81DFD"/>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11"/>
    <w:qFormat/>
    <w:rsid w:val="00781DFD"/>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Ppogrubienie">
    <w:name w:val="_P_ – pogrubienie"/>
    <w:basedOn w:val="Domylnaczcionkaakapitu"/>
    <w:uiPriority w:val="1"/>
    <w:qFormat/>
    <w:rsid w:val="00781DFD"/>
    <w:rPr>
      <w:b/>
    </w:rPr>
  </w:style>
  <w:style w:type="character" w:customStyle="1" w:styleId="Kkursywa">
    <w:name w:val="_K_ – kursywa"/>
    <w:basedOn w:val="Domylnaczcionkaakapitu"/>
    <w:uiPriority w:val="1"/>
    <w:qFormat/>
    <w:rsid w:val="00781DFD"/>
    <w:rPr>
      <w:i/>
    </w:rPr>
  </w:style>
  <w:style w:type="paragraph" w:styleId="Nagwek">
    <w:name w:val="header"/>
    <w:basedOn w:val="Normalny"/>
    <w:link w:val="NagwekZnak"/>
    <w:uiPriority w:val="99"/>
    <w:unhideWhenUsed/>
    <w:rsid w:val="00781DFD"/>
    <w:pPr>
      <w:tabs>
        <w:tab w:val="center" w:pos="4536"/>
        <w:tab w:val="right" w:pos="9072"/>
      </w:tabs>
      <w:spacing w:line="240" w:lineRule="auto"/>
    </w:pPr>
  </w:style>
  <w:style w:type="character" w:customStyle="1" w:styleId="NagwekZnak">
    <w:name w:val="Nagłówek Znak"/>
    <w:basedOn w:val="Domylnaczcionkaakapitu"/>
    <w:link w:val="Nagwek"/>
    <w:uiPriority w:val="99"/>
    <w:rsid w:val="00781DFD"/>
    <w:rPr>
      <w:rFonts w:ascii="Times New Roman" w:eastAsiaTheme="minorEastAsia" w:hAnsi="Times New Roman" w:cs="Arial"/>
      <w:sz w:val="24"/>
      <w:szCs w:val="20"/>
      <w:lang w:eastAsia="pl-PL"/>
    </w:rPr>
  </w:style>
  <w:style w:type="paragraph" w:styleId="Stopka">
    <w:name w:val="footer"/>
    <w:basedOn w:val="Normalny"/>
    <w:link w:val="StopkaZnak"/>
    <w:uiPriority w:val="99"/>
    <w:unhideWhenUsed/>
    <w:rsid w:val="00781DFD"/>
    <w:pPr>
      <w:tabs>
        <w:tab w:val="center" w:pos="4536"/>
        <w:tab w:val="right" w:pos="9072"/>
      </w:tabs>
      <w:spacing w:line="240" w:lineRule="auto"/>
    </w:pPr>
  </w:style>
  <w:style w:type="character" w:customStyle="1" w:styleId="StopkaZnak">
    <w:name w:val="Stopka Znak"/>
    <w:basedOn w:val="Domylnaczcionkaakapitu"/>
    <w:link w:val="Stopka"/>
    <w:uiPriority w:val="99"/>
    <w:rsid w:val="00781DFD"/>
    <w:rPr>
      <w:rFonts w:ascii="Times New Roman" w:eastAsiaTheme="minorEastAsia" w:hAnsi="Times New Roman" w:cs="Arial"/>
      <w:sz w:val="24"/>
      <w:szCs w:val="20"/>
      <w:lang w:eastAsia="pl-PL"/>
    </w:rPr>
  </w:style>
  <w:style w:type="paragraph" w:styleId="Tekstdymka">
    <w:name w:val="Balloon Text"/>
    <w:basedOn w:val="Normalny"/>
    <w:link w:val="TekstdymkaZnak"/>
    <w:uiPriority w:val="99"/>
    <w:semiHidden/>
    <w:unhideWhenUsed/>
    <w:rsid w:val="008C2300"/>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C2300"/>
    <w:rPr>
      <w:rFonts w:ascii="Tahoma" w:eastAsiaTheme="minorEastAsia" w:hAnsi="Tahoma" w:cs="Tahoma"/>
      <w:sz w:val="16"/>
      <w:szCs w:val="1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0969550">
      <w:bodyDiv w:val="1"/>
      <w:marLeft w:val="0"/>
      <w:marRight w:val="0"/>
      <w:marTop w:val="0"/>
      <w:marBottom w:val="0"/>
      <w:divBdr>
        <w:top w:val="none" w:sz="0" w:space="0" w:color="auto"/>
        <w:left w:val="none" w:sz="0" w:space="0" w:color="auto"/>
        <w:bottom w:val="none" w:sz="0" w:space="0" w:color="auto"/>
        <w:right w:val="none" w:sz="0" w:space="0" w:color="auto"/>
      </w:divBdr>
      <w:divsChild>
        <w:div w:id="2130195937">
          <w:marLeft w:val="0"/>
          <w:marRight w:val="0"/>
          <w:marTop w:val="0"/>
          <w:marBottom w:val="0"/>
          <w:divBdr>
            <w:top w:val="none" w:sz="0" w:space="0" w:color="auto"/>
            <w:left w:val="none" w:sz="0" w:space="0" w:color="auto"/>
            <w:bottom w:val="none" w:sz="0" w:space="0" w:color="auto"/>
            <w:right w:val="none" w:sz="0" w:space="0" w:color="auto"/>
          </w:divBdr>
          <w:divsChild>
            <w:div w:id="2090153641">
              <w:marLeft w:val="1"/>
              <w:marRight w:val="1"/>
              <w:marTop w:val="0"/>
              <w:marBottom w:val="0"/>
              <w:divBdr>
                <w:top w:val="none" w:sz="0" w:space="0" w:color="auto"/>
                <w:left w:val="none" w:sz="0" w:space="0" w:color="auto"/>
                <w:bottom w:val="none" w:sz="0" w:space="0" w:color="auto"/>
                <w:right w:val="none" w:sz="0" w:space="0" w:color="auto"/>
              </w:divBdr>
              <w:divsChild>
                <w:div w:id="1877620566">
                  <w:marLeft w:val="0"/>
                  <w:marRight w:val="0"/>
                  <w:marTop w:val="0"/>
                  <w:marBottom w:val="0"/>
                  <w:divBdr>
                    <w:top w:val="none" w:sz="0" w:space="0" w:color="auto"/>
                    <w:left w:val="none" w:sz="0" w:space="0" w:color="auto"/>
                    <w:bottom w:val="none" w:sz="0" w:space="0" w:color="auto"/>
                    <w:right w:val="none" w:sz="0" w:space="0" w:color="auto"/>
                  </w:divBdr>
                  <w:divsChild>
                    <w:div w:id="315453074">
                      <w:marLeft w:val="0"/>
                      <w:marRight w:val="0"/>
                      <w:marTop w:val="0"/>
                      <w:marBottom w:val="0"/>
                      <w:divBdr>
                        <w:top w:val="none" w:sz="0" w:space="0" w:color="auto"/>
                        <w:left w:val="none" w:sz="0" w:space="0" w:color="auto"/>
                        <w:bottom w:val="none" w:sz="0" w:space="0" w:color="auto"/>
                        <w:right w:val="none" w:sz="0" w:space="0" w:color="auto"/>
                      </w:divBdr>
                      <w:divsChild>
                        <w:div w:id="1554349696">
                          <w:marLeft w:val="0"/>
                          <w:marRight w:val="0"/>
                          <w:marTop w:val="0"/>
                          <w:marBottom w:val="0"/>
                          <w:divBdr>
                            <w:top w:val="none" w:sz="0" w:space="0" w:color="auto"/>
                            <w:left w:val="none" w:sz="0" w:space="0" w:color="auto"/>
                            <w:bottom w:val="none" w:sz="0" w:space="0" w:color="auto"/>
                            <w:right w:val="none" w:sz="0" w:space="0" w:color="auto"/>
                          </w:divBdr>
                          <w:divsChild>
                            <w:div w:id="82392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955</Words>
  <Characters>5733</Characters>
  <Application>Microsoft Office Word</Application>
  <DocSecurity>0</DocSecurity>
  <Lines>47</Lines>
  <Paragraphs>13</Paragraphs>
  <ScaleCrop>false</ScaleCrop>
  <HeadingPairs>
    <vt:vector size="2" baseType="variant">
      <vt:variant>
        <vt:lpstr>Tytuł</vt:lpstr>
      </vt:variant>
      <vt:variant>
        <vt:i4>1</vt:i4>
      </vt:variant>
    </vt:vector>
  </HeadingPairs>
  <TitlesOfParts>
    <vt:vector size="1" baseType="lpstr">
      <vt:lpstr/>
    </vt:vector>
  </TitlesOfParts>
  <Company>MPiPS</Company>
  <LinksUpToDate>false</LinksUpToDate>
  <CharactersWithSpaces>6675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Karasiewicz</dc:creator>
  <cp:lastModifiedBy>Ewa A. Genert</cp:lastModifiedBy>
  <cp:revision>2</cp:revision>
  <cp:lastPrinted>2016-07-28T11:06:00Z</cp:lastPrinted>
  <dcterms:created xsi:type="dcterms:W3CDTF">2016-09-05T12:18:00Z</dcterms:created>
  <dcterms:modified xsi:type="dcterms:W3CDTF">2016-09-05T12:18:00Z</dcterms:modified>
</cp:coreProperties>
</file>